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FEEC2" w14:textId="246B62E4" w:rsidR="001C5622" w:rsidRPr="0007215F" w:rsidRDefault="002A6F1E" w:rsidP="00986F6C">
      <w:pPr>
        <w:pBdr>
          <w:top w:val="nil"/>
          <w:left w:val="nil"/>
          <w:bottom w:val="nil"/>
          <w:right w:val="nil"/>
          <w:between w:val="nil"/>
        </w:pBdr>
        <w:spacing w:after="120"/>
        <w:ind w:left="-425"/>
        <w:jc w:val="center"/>
        <w:rPr>
          <w:rFonts w:asciiTheme="minorHAnsi" w:hAnsiTheme="minorHAnsi" w:cstheme="minorHAnsi"/>
          <w:b/>
          <w:sz w:val="36"/>
          <w:szCs w:val="22"/>
        </w:rPr>
      </w:pPr>
      <w:r>
        <w:rPr>
          <w:rFonts w:asciiTheme="minorHAnsi" w:hAnsiTheme="minorHAnsi" w:cstheme="minorHAnsi"/>
          <w:b/>
          <w:sz w:val="36"/>
          <w:szCs w:val="22"/>
        </w:rPr>
        <w:t xml:space="preserve">PBAC -  </w:t>
      </w:r>
      <w:r w:rsidR="009A2070">
        <w:rPr>
          <w:rFonts w:asciiTheme="minorHAnsi" w:hAnsiTheme="minorHAnsi" w:cstheme="minorHAnsi"/>
          <w:b/>
          <w:sz w:val="36"/>
          <w:szCs w:val="22"/>
        </w:rPr>
        <w:t xml:space="preserve">WEB </w:t>
      </w:r>
      <w:r w:rsidR="005422C6" w:rsidRPr="0007215F">
        <w:rPr>
          <w:rFonts w:asciiTheme="minorHAnsi" w:hAnsiTheme="minorHAnsi" w:cstheme="minorHAnsi"/>
          <w:b/>
          <w:sz w:val="36"/>
          <w:szCs w:val="22"/>
        </w:rPr>
        <w:t>OUTCOME STATEMENT</w:t>
      </w:r>
    </w:p>
    <w:p w14:paraId="3182BA38" w14:textId="68A9E5F0" w:rsidR="00126BCB" w:rsidRPr="00126BCB" w:rsidRDefault="000C7A5B" w:rsidP="00986F6C">
      <w:pPr>
        <w:pBdr>
          <w:top w:val="nil"/>
          <w:left w:val="nil"/>
          <w:bottom w:val="nil"/>
          <w:right w:val="nil"/>
          <w:between w:val="nil"/>
        </w:pBdr>
        <w:spacing w:after="120"/>
        <w:ind w:left="-425"/>
        <w:jc w:val="center"/>
        <w:rPr>
          <w:rFonts w:asciiTheme="minorHAnsi" w:hAnsiTheme="minorHAnsi" w:cstheme="minorHAnsi"/>
          <w:b/>
          <w:sz w:val="36"/>
          <w:szCs w:val="22"/>
        </w:rPr>
      </w:pPr>
      <w:r>
        <w:rPr>
          <w:rFonts w:asciiTheme="minorHAnsi" w:hAnsiTheme="minorHAnsi" w:cstheme="minorHAnsi"/>
          <w:b/>
          <w:sz w:val="36"/>
          <w:szCs w:val="22"/>
        </w:rPr>
        <w:t>NIRMATRELVIR</w:t>
      </w:r>
      <w:r w:rsidR="0027295B">
        <w:rPr>
          <w:rFonts w:asciiTheme="minorHAnsi" w:hAnsiTheme="minorHAnsi" w:cstheme="minorHAnsi"/>
          <w:b/>
          <w:sz w:val="36"/>
          <w:szCs w:val="22"/>
        </w:rPr>
        <w:t xml:space="preserve"> AND RITONAVIR</w:t>
      </w:r>
      <w:r w:rsidR="00126BCB" w:rsidRPr="00126BCB">
        <w:rPr>
          <w:rFonts w:asciiTheme="minorHAnsi" w:hAnsiTheme="minorHAnsi" w:cstheme="minorHAnsi"/>
          <w:b/>
          <w:sz w:val="36"/>
          <w:szCs w:val="22"/>
        </w:rPr>
        <w:t>,</w:t>
      </w:r>
    </w:p>
    <w:p w14:paraId="5CF0C419" w14:textId="61A7A937" w:rsidR="00126BCB" w:rsidRPr="00126BCB" w:rsidRDefault="00DD6F70" w:rsidP="00986F6C">
      <w:pPr>
        <w:pBdr>
          <w:top w:val="nil"/>
          <w:left w:val="nil"/>
          <w:bottom w:val="nil"/>
          <w:right w:val="nil"/>
          <w:between w:val="nil"/>
        </w:pBdr>
        <w:spacing w:after="120"/>
        <w:ind w:left="-425"/>
        <w:jc w:val="center"/>
        <w:rPr>
          <w:rFonts w:asciiTheme="minorHAnsi" w:hAnsiTheme="minorHAnsi" w:cstheme="minorHAnsi"/>
          <w:b/>
          <w:sz w:val="36"/>
          <w:szCs w:val="22"/>
        </w:rPr>
      </w:pPr>
      <w:r w:rsidRPr="00DD6F70">
        <w:rPr>
          <w:rFonts w:asciiTheme="minorHAnsi" w:hAnsiTheme="minorHAnsi" w:cstheme="minorHAnsi"/>
          <w:b/>
          <w:sz w:val="36"/>
          <w:szCs w:val="22"/>
        </w:rPr>
        <w:t xml:space="preserve">Pack containing 4 tablets nirmatrelvir 150 mg and 2 tablets </w:t>
      </w:r>
      <w:r w:rsidR="00127B8B" w:rsidRPr="00DD6F70">
        <w:rPr>
          <w:rFonts w:asciiTheme="minorHAnsi" w:hAnsiTheme="minorHAnsi" w:cstheme="minorHAnsi"/>
          <w:b/>
          <w:sz w:val="36"/>
          <w:szCs w:val="22"/>
        </w:rPr>
        <w:t>riton</w:t>
      </w:r>
      <w:r w:rsidR="00127B8B">
        <w:rPr>
          <w:rFonts w:asciiTheme="minorHAnsi" w:hAnsiTheme="minorHAnsi" w:cstheme="minorHAnsi"/>
          <w:b/>
          <w:sz w:val="36"/>
          <w:szCs w:val="22"/>
        </w:rPr>
        <w:t>a</w:t>
      </w:r>
      <w:r w:rsidR="00127B8B" w:rsidRPr="00DD6F70">
        <w:rPr>
          <w:rFonts w:asciiTheme="minorHAnsi" w:hAnsiTheme="minorHAnsi" w:cstheme="minorHAnsi"/>
          <w:b/>
          <w:sz w:val="36"/>
          <w:szCs w:val="22"/>
        </w:rPr>
        <w:t xml:space="preserve">vir </w:t>
      </w:r>
      <w:r w:rsidRPr="00DD6F70">
        <w:rPr>
          <w:rFonts w:asciiTheme="minorHAnsi" w:hAnsiTheme="minorHAnsi" w:cstheme="minorHAnsi"/>
          <w:b/>
          <w:sz w:val="36"/>
          <w:szCs w:val="22"/>
        </w:rPr>
        <w:t>100 mg, 5</w:t>
      </w:r>
      <w:r w:rsidR="005422C6" w:rsidRPr="00126BCB">
        <w:rPr>
          <w:rFonts w:asciiTheme="minorHAnsi" w:hAnsiTheme="minorHAnsi" w:cstheme="minorHAnsi"/>
          <w:b/>
          <w:sz w:val="36"/>
          <w:szCs w:val="22"/>
        </w:rPr>
        <w:t xml:space="preserve">, </w:t>
      </w:r>
      <w:r>
        <w:rPr>
          <w:rFonts w:asciiTheme="minorHAnsi" w:hAnsiTheme="minorHAnsi" w:cstheme="minorHAnsi"/>
          <w:b/>
          <w:sz w:val="36"/>
          <w:szCs w:val="22"/>
        </w:rPr>
        <w:t>Paxlovid</w:t>
      </w:r>
      <w:r w:rsidR="005422C6" w:rsidRPr="00126BCB">
        <w:rPr>
          <w:rFonts w:asciiTheme="minorHAnsi" w:hAnsiTheme="minorHAnsi" w:cstheme="minorHAnsi"/>
          <w:b/>
          <w:sz w:val="36"/>
          <w:szCs w:val="22"/>
        </w:rPr>
        <w:t>®,</w:t>
      </w:r>
    </w:p>
    <w:p w14:paraId="3215DC42" w14:textId="22AD67AA" w:rsidR="005422C6" w:rsidRPr="00126BCB" w:rsidRDefault="00127B8B" w:rsidP="00986F6C">
      <w:pPr>
        <w:pBdr>
          <w:top w:val="nil"/>
          <w:left w:val="nil"/>
          <w:bottom w:val="nil"/>
          <w:right w:val="nil"/>
          <w:between w:val="nil"/>
        </w:pBdr>
        <w:spacing w:after="120"/>
        <w:ind w:left="-425"/>
        <w:jc w:val="center"/>
        <w:rPr>
          <w:rFonts w:asciiTheme="minorHAnsi" w:hAnsiTheme="minorHAnsi" w:cstheme="minorHAnsi"/>
          <w:b/>
          <w:sz w:val="36"/>
          <w:szCs w:val="22"/>
        </w:rPr>
      </w:pPr>
      <w:r>
        <w:rPr>
          <w:rFonts w:asciiTheme="minorHAnsi" w:hAnsiTheme="minorHAnsi" w:cstheme="minorHAnsi"/>
          <w:b/>
          <w:sz w:val="36"/>
          <w:szCs w:val="22"/>
        </w:rPr>
        <w:t>Department of Health (Commonwealth)</w:t>
      </w:r>
    </w:p>
    <w:p w14:paraId="74C2A9FB" w14:textId="3394A4E5" w:rsidR="00C8356A" w:rsidRPr="00C8356A" w:rsidRDefault="009F2CD0" w:rsidP="00986F6C">
      <w:pPr>
        <w:pBdr>
          <w:top w:val="nil"/>
          <w:left w:val="nil"/>
          <w:bottom w:val="nil"/>
          <w:right w:val="nil"/>
          <w:between w:val="nil"/>
        </w:pBdr>
        <w:spacing w:after="120"/>
      </w:pPr>
      <w:r w:rsidRPr="00C8356A">
        <w:t>T</w:t>
      </w:r>
      <w:r w:rsidR="00D50457" w:rsidRPr="00C8356A">
        <w:t>he P</w:t>
      </w:r>
      <w:r w:rsidR="002A6F1E">
        <w:t>harmaceutical Benefits Advisory Committee (PB</w:t>
      </w:r>
      <w:r w:rsidR="00D50457" w:rsidRPr="00C8356A">
        <w:t>AC</w:t>
      </w:r>
      <w:r w:rsidR="002A6F1E">
        <w:t>)</w:t>
      </w:r>
      <w:r w:rsidR="00D50457" w:rsidRPr="00C8356A">
        <w:t xml:space="preserve"> undertook an expedited consideration of a submission to add </w:t>
      </w:r>
      <w:r w:rsidR="00D14D95">
        <w:t xml:space="preserve">the combination </w:t>
      </w:r>
      <w:r w:rsidR="00A021E2">
        <w:t>product</w:t>
      </w:r>
      <w:r w:rsidR="00D14D95">
        <w:t xml:space="preserve">, </w:t>
      </w:r>
      <w:r w:rsidR="002213DE" w:rsidRPr="002213DE">
        <w:t>nirmatrelvir and</w:t>
      </w:r>
      <w:r w:rsidR="00A021E2">
        <w:t xml:space="preserve"> </w:t>
      </w:r>
      <w:r w:rsidR="00222ED3" w:rsidRPr="002213DE">
        <w:t>ritonavir</w:t>
      </w:r>
      <w:r w:rsidR="00D50457" w:rsidRPr="00C8356A">
        <w:t xml:space="preserve"> (</w:t>
      </w:r>
      <w:r w:rsidR="002213DE">
        <w:t>Paxlovid</w:t>
      </w:r>
      <w:r w:rsidR="00D50457" w:rsidRPr="00C8356A">
        <w:t>®) to the P</w:t>
      </w:r>
      <w:r w:rsidR="002A6F1E">
        <w:t>harmaceutical Benefits Scheme (PB</w:t>
      </w:r>
      <w:r w:rsidR="00D50457" w:rsidRPr="00C8356A">
        <w:t>S</w:t>
      </w:r>
      <w:r w:rsidR="002A6F1E">
        <w:t>)</w:t>
      </w:r>
      <w:r w:rsidR="00D50457" w:rsidRPr="00C8356A">
        <w:t xml:space="preserve"> for use in treating patients with mild to moderate COVID-19 who are at risk of developing severe disease</w:t>
      </w:r>
      <w:r w:rsidR="002A6F1E">
        <w:t xml:space="preserve"> requiring hospitalisation</w:t>
      </w:r>
      <w:r w:rsidR="00D50457" w:rsidRPr="00C8356A">
        <w:t>.</w:t>
      </w:r>
      <w:r w:rsidRPr="00C8356A">
        <w:t xml:space="preserve"> </w:t>
      </w:r>
      <w:r w:rsidR="00C8356A" w:rsidRPr="00C8356A">
        <w:t xml:space="preserve">The expedited consideration by PBAC recognises the urgent public health need related to the prevention, </w:t>
      </w:r>
      <w:r w:rsidR="002167DF" w:rsidRPr="00C8356A">
        <w:t>management,</w:t>
      </w:r>
      <w:r w:rsidR="00C8356A" w:rsidRPr="00C8356A">
        <w:t xml:space="preserve"> or treatment of SARS-CoV-2 infections.</w:t>
      </w:r>
    </w:p>
    <w:p w14:paraId="1EDB02FE" w14:textId="67D063FA" w:rsidR="002167DF" w:rsidRDefault="00BE013A" w:rsidP="00986F6C">
      <w:pPr>
        <w:pBdr>
          <w:top w:val="nil"/>
          <w:left w:val="nil"/>
          <w:bottom w:val="nil"/>
          <w:right w:val="nil"/>
          <w:between w:val="nil"/>
        </w:pBdr>
        <w:spacing w:after="120"/>
      </w:pPr>
      <w:r w:rsidRPr="00C9463B">
        <w:t xml:space="preserve">The PBAC </w:t>
      </w:r>
      <w:r w:rsidR="00DD3345" w:rsidRPr="00C9463B">
        <w:t xml:space="preserve">recommended </w:t>
      </w:r>
      <w:r w:rsidRPr="00C9463B">
        <w:t xml:space="preserve">the listing </w:t>
      </w:r>
      <w:r w:rsidR="00A1776D" w:rsidRPr="00C9463B">
        <w:t xml:space="preserve">on the PBS </w:t>
      </w:r>
      <w:r w:rsidRPr="00C9463B">
        <w:t xml:space="preserve">of </w:t>
      </w:r>
      <w:r w:rsidR="002213DE" w:rsidRPr="002213DE">
        <w:t xml:space="preserve">nirmatrelvir and </w:t>
      </w:r>
      <w:r w:rsidR="00127B8B" w:rsidRPr="002213DE">
        <w:t>riton</w:t>
      </w:r>
      <w:r w:rsidR="00127B8B">
        <w:t>a</w:t>
      </w:r>
      <w:r w:rsidR="00127B8B" w:rsidRPr="002213DE">
        <w:t>vir</w:t>
      </w:r>
      <w:r w:rsidR="00127B8B" w:rsidRPr="00C9463B">
        <w:t xml:space="preserve"> </w:t>
      </w:r>
      <w:r w:rsidRPr="00C9463B">
        <w:t xml:space="preserve">as </w:t>
      </w:r>
      <w:r w:rsidR="00D63EA6" w:rsidRPr="00C9463B">
        <w:t xml:space="preserve">a </w:t>
      </w:r>
      <w:r w:rsidR="00E73939" w:rsidRPr="00C9463B">
        <w:t>G</w:t>
      </w:r>
      <w:r w:rsidR="00D63EA6" w:rsidRPr="00C9463B">
        <w:t xml:space="preserve">eneral </w:t>
      </w:r>
      <w:r w:rsidR="00E73939" w:rsidRPr="00C9463B">
        <w:t>S</w:t>
      </w:r>
      <w:r w:rsidR="00D63EA6" w:rsidRPr="00C9463B">
        <w:t xml:space="preserve">chedule, </w:t>
      </w:r>
      <w:r w:rsidR="00E73939" w:rsidRPr="00C9463B">
        <w:t>A</w:t>
      </w:r>
      <w:r w:rsidRPr="00C9463B">
        <w:t xml:space="preserve">uthority </w:t>
      </w:r>
      <w:r w:rsidR="00E73939" w:rsidRPr="00C9463B">
        <w:t>R</w:t>
      </w:r>
      <w:r w:rsidRPr="00C9463B">
        <w:t>equired (</w:t>
      </w:r>
      <w:r w:rsidR="002213DE">
        <w:t>STREAMLINED</w:t>
      </w:r>
      <w:r w:rsidRPr="00C9463B">
        <w:t>)</w:t>
      </w:r>
      <w:r w:rsidR="00D50457">
        <w:t xml:space="preserve"> benefit</w:t>
      </w:r>
      <w:r w:rsidR="002167DF">
        <w:t xml:space="preserve">. </w:t>
      </w:r>
    </w:p>
    <w:p w14:paraId="4B22046F" w14:textId="50210FBE" w:rsidR="009A2070" w:rsidRDefault="002213DE" w:rsidP="00986F6C">
      <w:pPr>
        <w:pBdr>
          <w:top w:val="nil"/>
          <w:left w:val="nil"/>
          <w:bottom w:val="nil"/>
          <w:right w:val="nil"/>
          <w:between w:val="nil"/>
        </w:pBdr>
        <w:spacing w:after="120"/>
        <w:rPr>
          <w:rStyle w:val="Hyperlink"/>
          <w:rFonts w:cstheme="minorHAnsi"/>
          <w:color w:val="auto"/>
          <w:u w:val="none"/>
        </w:rPr>
      </w:pPr>
      <w:r w:rsidRPr="002213DE">
        <w:t>The PBAC recommended that</w:t>
      </w:r>
      <w:r w:rsidR="00D14D95">
        <w:t xml:space="preserve"> </w:t>
      </w:r>
      <w:r w:rsidRPr="002213DE">
        <w:t xml:space="preserve">nirmatrelvir </w:t>
      </w:r>
      <w:r>
        <w:t>and</w:t>
      </w:r>
      <w:r w:rsidRPr="002213DE">
        <w:t xml:space="preserve"> ritonavir should be </w:t>
      </w:r>
      <w:r>
        <w:t xml:space="preserve">PBS subsidised </w:t>
      </w:r>
      <w:r w:rsidRPr="002213DE">
        <w:t xml:space="preserve">for </w:t>
      </w:r>
      <w:r w:rsidR="009A2070">
        <w:t xml:space="preserve">the </w:t>
      </w:r>
      <w:r w:rsidR="009A2070" w:rsidRPr="00C9463B">
        <w:rPr>
          <w:rStyle w:val="Hyperlink"/>
          <w:rFonts w:cstheme="minorHAnsi"/>
          <w:color w:val="auto"/>
          <w:u w:val="none"/>
        </w:rPr>
        <w:t>following groups of patients with mild-moderate COVID-19 disease not requiring supplemental oxygen for their COVID-19</w:t>
      </w:r>
      <w:r w:rsidR="00D50457">
        <w:rPr>
          <w:rStyle w:val="Hyperlink"/>
          <w:rFonts w:cstheme="minorHAnsi"/>
          <w:color w:val="auto"/>
          <w:u w:val="none"/>
        </w:rPr>
        <w:t xml:space="preserve"> and where treatment is commenced within 5 days of the onset of symptoms</w:t>
      </w:r>
      <w:r w:rsidR="009A2070" w:rsidRPr="00C9463B">
        <w:rPr>
          <w:rStyle w:val="Hyperlink"/>
          <w:rFonts w:cstheme="minorHAnsi"/>
          <w:color w:val="auto"/>
          <w:u w:val="none"/>
        </w:rPr>
        <w:t xml:space="preserve">: </w:t>
      </w:r>
    </w:p>
    <w:p w14:paraId="7310EEF6" w14:textId="5ACF0D7C" w:rsidR="009A2070" w:rsidRPr="00C9463B" w:rsidRDefault="009A2070" w:rsidP="00986F6C">
      <w:pPr>
        <w:pStyle w:val="ListParagraph"/>
        <w:numPr>
          <w:ilvl w:val="0"/>
          <w:numId w:val="15"/>
        </w:numPr>
        <w:ind w:left="567" w:hanging="567"/>
        <w:jc w:val="left"/>
        <w:rPr>
          <w:rStyle w:val="Hyperlink"/>
          <w:rFonts w:cstheme="minorHAnsi"/>
          <w:color w:val="auto"/>
          <w:u w:val="none"/>
        </w:rPr>
      </w:pPr>
      <w:r w:rsidRPr="00C9463B">
        <w:rPr>
          <w:rStyle w:val="Hyperlink"/>
          <w:rFonts w:cstheme="minorHAnsi"/>
          <w:color w:val="auto"/>
          <w:u w:val="none"/>
        </w:rPr>
        <w:t>P</w:t>
      </w:r>
      <w:r w:rsidR="002167DF">
        <w:rPr>
          <w:rStyle w:val="Hyperlink"/>
          <w:rFonts w:cstheme="minorHAnsi"/>
          <w:color w:val="auto"/>
          <w:u w:val="none"/>
        </w:rPr>
        <w:t>eople</w:t>
      </w:r>
      <w:r w:rsidRPr="00C9463B">
        <w:rPr>
          <w:rStyle w:val="Hyperlink"/>
          <w:rFonts w:cstheme="minorHAnsi"/>
          <w:color w:val="auto"/>
          <w:u w:val="none"/>
        </w:rPr>
        <w:t xml:space="preserve"> 65 years or older w</w:t>
      </w:r>
      <w:r>
        <w:rPr>
          <w:rStyle w:val="Hyperlink"/>
          <w:rFonts w:cstheme="minorHAnsi"/>
          <w:color w:val="auto"/>
          <w:u w:val="none"/>
        </w:rPr>
        <w:t xml:space="preserve">ith two additional </w:t>
      </w:r>
      <w:r w:rsidR="00CE4C54">
        <w:rPr>
          <w:rStyle w:val="Hyperlink"/>
          <w:rFonts w:cstheme="minorHAnsi"/>
          <w:color w:val="auto"/>
          <w:u w:val="none"/>
        </w:rPr>
        <w:t>high-</w:t>
      </w:r>
      <w:r>
        <w:rPr>
          <w:rStyle w:val="Hyperlink"/>
          <w:rFonts w:cstheme="minorHAnsi"/>
          <w:color w:val="auto"/>
          <w:u w:val="none"/>
        </w:rPr>
        <w:t>risk factors for developing severe disease,</w:t>
      </w:r>
    </w:p>
    <w:p w14:paraId="6BAC4EFF" w14:textId="28C7CB26" w:rsidR="009A2070" w:rsidRPr="00C9463B" w:rsidRDefault="009A2070">
      <w:pPr>
        <w:pStyle w:val="ListParagraph"/>
        <w:numPr>
          <w:ilvl w:val="0"/>
          <w:numId w:val="15"/>
        </w:numPr>
        <w:ind w:left="567" w:hanging="567"/>
        <w:jc w:val="left"/>
        <w:rPr>
          <w:rStyle w:val="Hyperlink"/>
          <w:rFonts w:cstheme="minorHAnsi"/>
          <w:color w:val="auto"/>
          <w:u w:val="none"/>
        </w:rPr>
      </w:pPr>
      <w:r w:rsidRPr="00C9463B">
        <w:rPr>
          <w:rStyle w:val="Hyperlink"/>
          <w:rFonts w:cstheme="minorHAnsi"/>
          <w:color w:val="auto"/>
          <w:u w:val="none"/>
        </w:rPr>
        <w:t>P</w:t>
      </w:r>
      <w:r w:rsidR="002167DF">
        <w:rPr>
          <w:rStyle w:val="Hyperlink"/>
          <w:rFonts w:cstheme="minorHAnsi"/>
          <w:color w:val="auto"/>
          <w:u w:val="none"/>
        </w:rPr>
        <w:t>eople</w:t>
      </w:r>
      <w:r w:rsidRPr="00C9463B">
        <w:rPr>
          <w:rStyle w:val="Hyperlink"/>
          <w:rFonts w:cstheme="minorHAnsi"/>
          <w:color w:val="auto"/>
          <w:u w:val="none"/>
        </w:rPr>
        <w:t xml:space="preserve"> 75 years or older w</w:t>
      </w:r>
      <w:r>
        <w:rPr>
          <w:rStyle w:val="Hyperlink"/>
          <w:rFonts w:cstheme="minorHAnsi"/>
          <w:color w:val="auto"/>
          <w:u w:val="none"/>
        </w:rPr>
        <w:t xml:space="preserve">ith one additional </w:t>
      </w:r>
      <w:r w:rsidR="00CE4C54">
        <w:rPr>
          <w:rStyle w:val="Hyperlink"/>
          <w:rFonts w:cstheme="minorHAnsi"/>
          <w:color w:val="auto"/>
          <w:u w:val="none"/>
        </w:rPr>
        <w:t>high-</w:t>
      </w:r>
      <w:r>
        <w:rPr>
          <w:rStyle w:val="Hyperlink"/>
          <w:rFonts w:cstheme="minorHAnsi"/>
          <w:color w:val="auto"/>
          <w:u w:val="none"/>
        </w:rPr>
        <w:t>risk factor for developing severe disease,</w:t>
      </w:r>
    </w:p>
    <w:p w14:paraId="4C5F81C0" w14:textId="52E390D3" w:rsidR="009A2070" w:rsidRPr="00C9463B" w:rsidRDefault="008613F6">
      <w:pPr>
        <w:pStyle w:val="ListParagraph"/>
        <w:numPr>
          <w:ilvl w:val="0"/>
          <w:numId w:val="15"/>
        </w:numPr>
        <w:ind w:left="567" w:hanging="567"/>
        <w:jc w:val="left"/>
        <w:rPr>
          <w:rStyle w:val="Hyperlink"/>
          <w:rFonts w:cstheme="minorHAnsi"/>
          <w:color w:val="auto"/>
          <w:u w:val="none"/>
        </w:rPr>
      </w:pPr>
      <w:r>
        <w:rPr>
          <w:rStyle w:val="Hyperlink"/>
          <w:rFonts w:cstheme="minorHAnsi"/>
          <w:color w:val="auto"/>
          <w:u w:val="none"/>
        </w:rPr>
        <w:t>Moderately to severely i</w:t>
      </w:r>
      <w:r w:rsidR="009A2070" w:rsidRPr="00C9463B">
        <w:rPr>
          <w:rStyle w:val="Hyperlink"/>
          <w:rFonts w:cstheme="minorHAnsi"/>
          <w:color w:val="auto"/>
          <w:u w:val="none"/>
        </w:rPr>
        <w:t xml:space="preserve">mmunocompromised </w:t>
      </w:r>
      <w:r w:rsidR="009A2070">
        <w:rPr>
          <w:rStyle w:val="Hyperlink"/>
          <w:rFonts w:cstheme="minorHAnsi"/>
          <w:color w:val="auto"/>
          <w:u w:val="none"/>
        </w:rPr>
        <w:t>people</w:t>
      </w:r>
      <w:r w:rsidR="009A2070" w:rsidRPr="00C9463B">
        <w:rPr>
          <w:rStyle w:val="Hyperlink"/>
          <w:rFonts w:cstheme="minorHAnsi"/>
          <w:color w:val="auto"/>
          <w:u w:val="none"/>
        </w:rPr>
        <w:t xml:space="preserve"> irrespective of vaccination status, and</w:t>
      </w:r>
    </w:p>
    <w:p w14:paraId="070178FF" w14:textId="06F464BD" w:rsidR="009A2070" w:rsidRDefault="009A2070">
      <w:pPr>
        <w:pStyle w:val="ListParagraph"/>
        <w:numPr>
          <w:ilvl w:val="0"/>
          <w:numId w:val="15"/>
        </w:numPr>
        <w:ind w:left="567" w:hanging="567"/>
        <w:jc w:val="left"/>
        <w:rPr>
          <w:rStyle w:val="Hyperlink"/>
          <w:rFonts w:cstheme="minorHAnsi"/>
          <w:color w:val="auto"/>
          <w:u w:val="none"/>
        </w:rPr>
      </w:pPr>
      <w:r w:rsidRPr="00C9463B">
        <w:rPr>
          <w:rStyle w:val="Hyperlink"/>
          <w:rFonts w:cstheme="minorHAnsi"/>
          <w:color w:val="auto"/>
          <w:u w:val="none"/>
        </w:rPr>
        <w:t xml:space="preserve">Aboriginal and Torres Strait Islander </w:t>
      </w:r>
      <w:r>
        <w:rPr>
          <w:rStyle w:val="Hyperlink"/>
          <w:rFonts w:cstheme="minorHAnsi"/>
          <w:color w:val="auto"/>
          <w:u w:val="none"/>
        </w:rPr>
        <w:t>people</w:t>
      </w:r>
      <w:r w:rsidRPr="00C9463B">
        <w:rPr>
          <w:rStyle w:val="Hyperlink"/>
          <w:rFonts w:cstheme="minorHAnsi"/>
          <w:color w:val="auto"/>
          <w:u w:val="none"/>
        </w:rPr>
        <w:t xml:space="preserve"> aged 50 years or older w</w:t>
      </w:r>
      <w:r>
        <w:rPr>
          <w:rStyle w:val="Hyperlink"/>
          <w:rFonts w:cstheme="minorHAnsi"/>
          <w:color w:val="auto"/>
          <w:u w:val="none"/>
        </w:rPr>
        <w:t xml:space="preserve">ith two additional </w:t>
      </w:r>
      <w:r w:rsidR="00CE4C54">
        <w:rPr>
          <w:rStyle w:val="Hyperlink"/>
          <w:rFonts w:cstheme="minorHAnsi"/>
          <w:color w:val="auto"/>
          <w:u w:val="none"/>
        </w:rPr>
        <w:t>high-</w:t>
      </w:r>
      <w:r>
        <w:rPr>
          <w:rStyle w:val="Hyperlink"/>
          <w:rFonts w:cstheme="minorHAnsi"/>
          <w:color w:val="auto"/>
          <w:u w:val="none"/>
        </w:rPr>
        <w:t>risk factors for developing severe disease.</w:t>
      </w:r>
    </w:p>
    <w:p w14:paraId="26D2AF33" w14:textId="233A9F5A" w:rsidR="00320AEB" w:rsidRDefault="00127B8B" w:rsidP="00222ED3">
      <w:pPr>
        <w:pStyle w:val="ListBullet"/>
        <w:spacing w:after="120"/>
        <w:ind w:left="0" w:firstLine="0"/>
        <w:contextualSpacing w:val="0"/>
      </w:pPr>
      <w:r>
        <w:t xml:space="preserve">The PBAC noted its recommended </w:t>
      </w:r>
      <w:r w:rsidR="006F174C">
        <w:t xml:space="preserve">eligibility criteria </w:t>
      </w:r>
      <w:r>
        <w:t xml:space="preserve">for </w:t>
      </w:r>
      <w:r w:rsidR="006F174C">
        <w:t xml:space="preserve">accessing PBS subsidised treatment with </w:t>
      </w:r>
      <w:r>
        <w:t xml:space="preserve">nirmatrelvir </w:t>
      </w:r>
      <w:r w:rsidR="00D14D95">
        <w:t>and</w:t>
      </w:r>
      <w:r>
        <w:t xml:space="preserve"> ritonavir </w:t>
      </w:r>
      <w:r w:rsidR="006F174C">
        <w:t xml:space="preserve">are </w:t>
      </w:r>
      <w:r>
        <w:t>the same as the current molnupiravir (Lagevrio®)</w:t>
      </w:r>
      <w:r w:rsidR="00BF2FB8">
        <w:t xml:space="preserve"> PBS</w:t>
      </w:r>
      <w:r>
        <w:t xml:space="preserve"> </w:t>
      </w:r>
      <w:r w:rsidR="006F174C">
        <w:t>criteria</w:t>
      </w:r>
      <w:r>
        <w:t xml:space="preserve">. </w:t>
      </w:r>
      <w:r w:rsidR="00300025">
        <w:t xml:space="preserve"> </w:t>
      </w:r>
    </w:p>
    <w:p w14:paraId="4AFF419F" w14:textId="32420BD2" w:rsidR="00300025" w:rsidRDefault="00EC0190" w:rsidP="00986F6C">
      <w:pPr>
        <w:pStyle w:val="ListBullet"/>
        <w:spacing w:after="120"/>
        <w:ind w:left="0" w:firstLine="0"/>
        <w:contextualSpacing w:val="0"/>
      </w:pPr>
      <w:r>
        <w:t>T</w:t>
      </w:r>
      <w:r w:rsidR="00127B8B">
        <w:t xml:space="preserve">he PBAC </w:t>
      </w:r>
      <w:r w:rsidR="006F174C">
        <w:t>consider</w:t>
      </w:r>
      <w:r w:rsidR="00BF2FB8">
        <w:t>ed</w:t>
      </w:r>
      <w:r w:rsidR="006F174C">
        <w:t xml:space="preserve"> whether any updates should be made to </w:t>
      </w:r>
      <w:r w:rsidR="00BF2FB8">
        <w:t xml:space="preserve">the </w:t>
      </w:r>
      <w:r w:rsidR="006F174C">
        <w:t>risk factors for eligibility</w:t>
      </w:r>
      <w:r w:rsidR="00320AEB">
        <w:t xml:space="preserve"> to PBS subsidised oral anti-viral treatments for mild-moderate COVID-19</w:t>
      </w:r>
      <w:r w:rsidR="006F174C">
        <w:t>.</w:t>
      </w:r>
      <w:r w:rsidR="00BF2FB8">
        <w:t xml:space="preserve"> </w:t>
      </w:r>
      <w:r w:rsidR="00222ED3">
        <w:t>In particular, t</w:t>
      </w:r>
      <w:r w:rsidR="00BF2FB8">
        <w:t xml:space="preserve">he PBAC noted the Australian Technical Advisory Group on Immunisation </w:t>
      </w:r>
      <w:r w:rsidR="00222ED3">
        <w:t xml:space="preserve">(ATAGI) </w:t>
      </w:r>
      <w:r w:rsidR="00BF2FB8">
        <w:t>has updated its vaccine recommendations</w:t>
      </w:r>
      <w:r w:rsidR="00741109">
        <w:t>.</w:t>
      </w:r>
      <w:r w:rsidR="00BF2FB8">
        <w:t xml:space="preserve"> </w:t>
      </w:r>
      <w:r w:rsidR="00222ED3">
        <w:t xml:space="preserve">The </w:t>
      </w:r>
      <w:r w:rsidR="00320AEB">
        <w:t xml:space="preserve">PBAC considered the evidence continues to show the highest risk for hospitalisation and death in older patients infected with COVID-19 is associated with no or one vaccine doses.  </w:t>
      </w:r>
      <w:r w:rsidR="00222ED3" w:rsidRPr="00222ED3">
        <w:t>The PBAC decided not to</w:t>
      </w:r>
      <w:r w:rsidR="00222ED3">
        <w:t xml:space="preserve"> </w:t>
      </w:r>
      <w:r w:rsidR="00222ED3" w:rsidRPr="00222ED3">
        <w:t xml:space="preserve">make any changes </w:t>
      </w:r>
      <w:r w:rsidR="00222ED3">
        <w:t xml:space="preserve">to the risk factors </w:t>
      </w:r>
      <w:r w:rsidR="00222ED3" w:rsidRPr="00222ED3">
        <w:t>at this time.</w:t>
      </w:r>
    </w:p>
    <w:p w14:paraId="6F025BF8" w14:textId="7F4A479B" w:rsidR="00C33609" w:rsidRDefault="00C33609" w:rsidP="00C33609">
      <w:r w:rsidRPr="00C33609">
        <w:t>The PBAC recalled its advice at the March 2022 meeting that molnupiravir is suitable for prescribing by nurse practitioner</w:t>
      </w:r>
      <w:r w:rsidR="0014646A">
        <w:t>s</w:t>
      </w:r>
      <w:r w:rsidRPr="00C33609">
        <w:t>. The PBAC advised that nirmatrelvir and ritonavir is also suitable for prescribing by nurse practitioners.</w:t>
      </w:r>
    </w:p>
    <w:p w14:paraId="614D7824" w14:textId="77777777" w:rsidR="00A021E2" w:rsidRPr="00C33609" w:rsidRDefault="00A021E2" w:rsidP="00C33609"/>
    <w:p w14:paraId="182B1AB3" w14:textId="60B3F41C" w:rsidR="00320AEB" w:rsidRDefault="00320AEB" w:rsidP="00986F6C">
      <w:pPr>
        <w:pBdr>
          <w:top w:val="nil"/>
          <w:left w:val="nil"/>
          <w:bottom w:val="nil"/>
          <w:right w:val="nil"/>
          <w:between w:val="nil"/>
        </w:pBdr>
        <w:spacing w:after="120"/>
      </w:pPr>
      <w:r>
        <w:t xml:space="preserve">The PBAC requested </w:t>
      </w:r>
      <w:r w:rsidR="00222ED3">
        <w:t>the listing</w:t>
      </w:r>
      <w:r w:rsidR="00A021E2">
        <w:t xml:space="preserve"> for nirmatrelvir and ritonavir</w:t>
      </w:r>
      <w:r w:rsidR="00222ED3">
        <w:t xml:space="preserve"> include a caution</w:t>
      </w:r>
      <w:r w:rsidR="00C33609">
        <w:t xml:space="preserve"> to</w:t>
      </w:r>
      <w:r w:rsidR="00222ED3">
        <w:t xml:space="preserve"> alert prescribers and dispensers to the potential for serious drug-drug interactions with nirmatrelvir </w:t>
      </w:r>
      <w:r w:rsidR="00D14D95">
        <w:t>and</w:t>
      </w:r>
      <w:r w:rsidR="00222ED3">
        <w:t xml:space="preserve"> ritonavir.</w:t>
      </w:r>
    </w:p>
    <w:p w14:paraId="50D2F464" w14:textId="6E429F02" w:rsidR="001A68B6" w:rsidRDefault="001A68B6" w:rsidP="00986F6C">
      <w:pPr>
        <w:pBdr>
          <w:top w:val="nil"/>
          <w:left w:val="nil"/>
          <w:bottom w:val="nil"/>
          <w:right w:val="nil"/>
          <w:between w:val="nil"/>
        </w:pBdr>
        <w:spacing w:after="120"/>
      </w:pPr>
      <w:r w:rsidRPr="001A68B6">
        <w:rPr>
          <w:rFonts w:cstheme="minorHAnsi"/>
          <w:color w:val="000000"/>
        </w:rPr>
        <w:t xml:space="preserve">The PBAC </w:t>
      </w:r>
      <w:r>
        <w:rPr>
          <w:rFonts w:cstheme="minorHAnsi"/>
          <w:color w:val="000000"/>
        </w:rPr>
        <w:t>will</w:t>
      </w:r>
      <w:r w:rsidR="009F2CD0">
        <w:rPr>
          <w:rFonts w:cstheme="minorHAnsi"/>
          <w:color w:val="000000"/>
        </w:rPr>
        <w:t xml:space="preserve"> continue to</w:t>
      </w:r>
      <w:r>
        <w:rPr>
          <w:rFonts w:cstheme="minorHAnsi"/>
          <w:color w:val="000000"/>
        </w:rPr>
        <w:t xml:space="preserve"> </w:t>
      </w:r>
      <w:r w:rsidRPr="001A68B6">
        <w:rPr>
          <w:rFonts w:cstheme="minorHAnsi"/>
          <w:color w:val="000000"/>
        </w:rPr>
        <w:t>monitor</w:t>
      </w:r>
      <w:r>
        <w:rPr>
          <w:rFonts w:cstheme="minorHAnsi"/>
          <w:color w:val="000000"/>
        </w:rPr>
        <w:t xml:space="preserve"> the</w:t>
      </w:r>
      <w:r w:rsidRPr="001A68B6">
        <w:rPr>
          <w:rFonts w:cstheme="minorHAnsi"/>
          <w:color w:val="000000"/>
        </w:rPr>
        <w:t xml:space="preserve"> </w:t>
      </w:r>
      <w:r>
        <w:rPr>
          <w:rFonts w:cstheme="minorHAnsi"/>
          <w:color w:val="000000"/>
        </w:rPr>
        <w:t>conditions for PBS access</w:t>
      </w:r>
      <w:r w:rsidR="002167DF">
        <w:rPr>
          <w:rFonts w:cstheme="minorHAnsi"/>
          <w:color w:val="000000"/>
        </w:rPr>
        <w:t xml:space="preserve"> considering new evidence for the </w:t>
      </w:r>
      <w:r w:rsidRPr="001A68B6">
        <w:rPr>
          <w:rFonts w:cstheme="minorHAnsi"/>
          <w:color w:val="000000"/>
        </w:rPr>
        <w:t xml:space="preserve">effectiveness and safety of </w:t>
      </w:r>
      <w:r w:rsidR="002213DE" w:rsidRPr="002213DE">
        <w:rPr>
          <w:rFonts w:cstheme="minorHAnsi"/>
          <w:color w:val="000000"/>
        </w:rPr>
        <w:t>nirmatrelvir and riton</w:t>
      </w:r>
      <w:r w:rsidR="00320AEB">
        <w:rPr>
          <w:rFonts w:cstheme="minorHAnsi"/>
          <w:color w:val="000000"/>
        </w:rPr>
        <w:t>a</w:t>
      </w:r>
      <w:r w:rsidR="002213DE" w:rsidRPr="002213DE">
        <w:rPr>
          <w:rFonts w:cstheme="minorHAnsi"/>
          <w:color w:val="000000"/>
        </w:rPr>
        <w:t>vir</w:t>
      </w:r>
      <w:r w:rsidRPr="001A68B6">
        <w:rPr>
          <w:rFonts w:cstheme="minorHAnsi"/>
          <w:color w:val="000000"/>
        </w:rPr>
        <w:t xml:space="preserve"> </w:t>
      </w:r>
      <w:r>
        <w:rPr>
          <w:rFonts w:cstheme="minorHAnsi"/>
          <w:color w:val="000000"/>
        </w:rPr>
        <w:t xml:space="preserve">and </w:t>
      </w:r>
      <w:r w:rsidR="002167DF">
        <w:rPr>
          <w:rFonts w:cstheme="minorHAnsi"/>
          <w:color w:val="000000"/>
        </w:rPr>
        <w:t xml:space="preserve">the </w:t>
      </w:r>
      <w:r>
        <w:rPr>
          <w:rFonts w:cstheme="minorHAnsi"/>
          <w:color w:val="000000"/>
        </w:rPr>
        <w:t>epidemiology of COVID-19</w:t>
      </w:r>
      <w:r w:rsidR="009F2CD0">
        <w:rPr>
          <w:rFonts w:cstheme="minorHAnsi"/>
          <w:color w:val="000000"/>
        </w:rPr>
        <w:t>.</w:t>
      </w:r>
      <w:r w:rsidRPr="001A68B6">
        <w:rPr>
          <w:rFonts w:cstheme="minorHAnsi"/>
          <w:color w:val="000000"/>
        </w:rPr>
        <w:t xml:space="preserve"> </w:t>
      </w:r>
    </w:p>
    <w:p w14:paraId="29B21AEF" w14:textId="36A0CDB3" w:rsidR="001A68B6" w:rsidRPr="00C9463B" w:rsidRDefault="001A68B6" w:rsidP="00986F6C">
      <w:pPr>
        <w:pBdr>
          <w:top w:val="nil"/>
          <w:left w:val="nil"/>
          <w:bottom w:val="nil"/>
          <w:right w:val="nil"/>
          <w:between w:val="nil"/>
        </w:pBdr>
        <w:spacing w:after="120"/>
      </w:pPr>
      <w:r w:rsidRPr="001A68B6">
        <w:t xml:space="preserve">The PBAC’s recommendation for listing was based on, among other matters, its assessment that the cost-effectiveness of </w:t>
      </w:r>
      <w:r w:rsidR="00222ED3" w:rsidRPr="00222ED3">
        <w:t xml:space="preserve">nirmatrelvir </w:t>
      </w:r>
      <w:r w:rsidR="00D14D95">
        <w:t>and</w:t>
      </w:r>
      <w:r w:rsidR="00222ED3" w:rsidRPr="00222ED3">
        <w:t xml:space="preserve"> ritonavir</w:t>
      </w:r>
      <w:r w:rsidR="00222ED3" w:rsidRPr="00222ED3" w:rsidDel="00222ED3">
        <w:t xml:space="preserve"> </w:t>
      </w:r>
      <w:r w:rsidRPr="001A68B6">
        <w:t xml:space="preserve">at the </w:t>
      </w:r>
      <w:r w:rsidR="00084929">
        <w:t xml:space="preserve">proposed </w:t>
      </w:r>
      <w:r w:rsidRPr="001A68B6">
        <w:t>price would be acceptable.</w:t>
      </w:r>
      <w:r w:rsidR="00084929">
        <w:t xml:space="preserve"> </w:t>
      </w:r>
      <w:r w:rsidRPr="001A68B6">
        <w:t xml:space="preserve">In making this recommendation, the PBAC is satisfied that </w:t>
      </w:r>
      <w:r w:rsidR="00222ED3" w:rsidRPr="00222ED3">
        <w:t xml:space="preserve">nirmatrelvir </w:t>
      </w:r>
      <w:r w:rsidR="00D14D95">
        <w:t>and</w:t>
      </w:r>
      <w:r w:rsidR="00222ED3" w:rsidRPr="00222ED3">
        <w:t xml:space="preserve"> ritonavir</w:t>
      </w:r>
      <w:r w:rsidR="00222ED3" w:rsidRPr="00222ED3" w:rsidDel="00222ED3">
        <w:t xml:space="preserve"> </w:t>
      </w:r>
      <w:r w:rsidRPr="001A68B6">
        <w:t>is likely to provide, for some patients, a significant improvement in efficacy over standard of care in terms of a reduction in the risk of developing severe disease requiring admission to hospital.</w:t>
      </w:r>
    </w:p>
    <w:p w14:paraId="1BCDA90C" w14:textId="77777777" w:rsidR="001A68B6" w:rsidRPr="001A68B6" w:rsidRDefault="001A68B6" w:rsidP="00986F6C">
      <w:pPr>
        <w:pBdr>
          <w:top w:val="nil"/>
          <w:left w:val="nil"/>
          <w:bottom w:val="nil"/>
          <w:right w:val="nil"/>
          <w:between w:val="nil"/>
        </w:pBdr>
        <w:spacing w:after="120"/>
        <w:rPr>
          <w:rStyle w:val="Hyperlink"/>
          <w:rFonts w:cstheme="minorHAnsi"/>
          <w:color w:val="auto"/>
          <w:u w:val="none"/>
        </w:rPr>
      </w:pPr>
    </w:p>
    <w:sectPr w:rsidR="001A68B6" w:rsidRPr="001A68B6" w:rsidSect="00A1776D">
      <w:headerReference w:type="even" r:id="rId8"/>
      <w:headerReference w:type="default" r:id="rId9"/>
      <w:footerReference w:type="even" r:id="rId10"/>
      <w:footerReference w:type="first" r:id="rId11"/>
      <w:pgSz w:w="11906" w:h="16838" w:code="9"/>
      <w:pgMar w:top="1440" w:right="1418" w:bottom="1440" w:left="1418" w:header="1440" w:footer="14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13C2D" w14:textId="77777777" w:rsidR="001B4843" w:rsidRDefault="001B4843">
      <w:r>
        <w:separator/>
      </w:r>
    </w:p>
  </w:endnote>
  <w:endnote w:type="continuationSeparator" w:id="0">
    <w:p w14:paraId="1AFF0B87" w14:textId="77777777" w:rsidR="001B4843" w:rsidRDefault="001B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D5AE1" w14:textId="77777777" w:rsidR="00D50457" w:rsidRDefault="00D50457">
    <w:pPr>
      <w:widowControl w:val="0"/>
      <w:pBdr>
        <w:top w:val="nil"/>
        <w:left w:val="nil"/>
        <w:bottom w:val="nil"/>
        <w:right w:val="nil"/>
        <w:between w:val="nil"/>
      </w:pBdr>
      <w:spacing w:line="276" w:lineRule="auto"/>
      <w:jc w:val="left"/>
      <w:rPr>
        <w:b/>
        <w:color w:val="000000"/>
      </w:rPr>
    </w:pPr>
  </w:p>
  <w:tbl>
    <w:tblPr>
      <w:tblStyle w:val="aa"/>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7"/>
      <w:gridCol w:w="1252"/>
      <w:gridCol w:w="3887"/>
    </w:tblGrid>
    <w:tr w:rsidR="00D50457" w14:paraId="1E5062EA" w14:textId="77777777">
      <w:trPr>
        <w:trHeight w:val="151"/>
      </w:trPr>
      <w:tc>
        <w:tcPr>
          <w:tcW w:w="3887" w:type="dxa"/>
          <w:tcBorders>
            <w:top w:val="nil"/>
            <w:left w:val="nil"/>
            <w:bottom w:val="single" w:sz="4" w:space="0" w:color="4F81BD"/>
            <w:right w:val="nil"/>
          </w:tcBorders>
        </w:tcPr>
        <w:p w14:paraId="676433D7" w14:textId="77777777" w:rsidR="00D50457" w:rsidRDefault="00D50457">
          <w:pPr>
            <w:keepNext/>
            <w:pBdr>
              <w:top w:val="nil"/>
              <w:left w:val="nil"/>
              <w:bottom w:val="nil"/>
              <w:right w:val="nil"/>
              <w:between w:val="nil"/>
            </w:pBdr>
            <w:tabs>
              <w:tab w:val="center" w:pos="4513"/>
              <w:tab w:val="right" w:pos="9026"/>
            </w:tabs>
            <w:spacing w:before="0" w:after="0" w:line="276" w:lineRule="auto"/>
            <w:jc w:val="center"/>
            <w:rPr>
              <w:b/>
              <w:color w:val="4F81BD"/>
            </w:rPr>
          </w:pPr>
        </w:p>
      </w:tc>
      <w:tc>
        <w:tcPr>
          <w:tcW w:w="1252" w:type="dxa"/>
          <w:vMerge w:val="restart"/>
          <w:vAlign w:val="center"/>
        </w:tcPr>
        <w:p w14:paraId="0A25B199" w14:textId="77777777" w:rsidR="00D50457" w:rsidRDefault="00D50457">
          <w:pPr>
            <w:pBdr>
              <w:top w:val="nil"/>
              <w:left w:val="nil"/>
              <w:bottom w:val="nil"/>
              <w:right w:val="nil"/>
              <w:between w:val="nil"/>
            </w:pBdr>
            <w:spacing w:before="0" w:after="0" w:line="276" w:lineRule="auto"/>
            <w:jc w:val="left"/>
            <w:rPr>
              <w:sz w:val="22"/>
              <w:szCs w:val="22"/>
            </w:rPr>
          </w:pPr>
          <w:r>
            <w:rPr>
              <w:rFonts w:ascii="Cambria" w:eastAsia="Cambria" w:hAnsi="Cambria" w:cs="Cambria"/>
              <w:sz w:val="22"/>
              <w:szCs w:val="22"/>
            </w:rPr>
            <w:t>[Type text]</w:t>
          </w:r>
        </w:p>
      </w:tc>
      <w:tc>
        <w:tcPr>
          <w:tcW w:w="3887" w:type="dxa"/>
          <w:tcBorders>
            <w:top w:val="nil"/>
            <w:left w:val="nil"/>
            <w:bottom w:val="single" w:sz="4" w:space="0" w:color="4F81BD"/>
            <w:right w:val="nil"/>
          </w:tcBorders>
        </w:tcPr>
        <w:p w14:paraId="631B0309" w14:textId="77777777" w:rsidR="00D50457" w:rsidRDefault="00D50457">
          <w:pPr>
            <w:keepNext/>
            <w:pBdr>
              <w:top w:val="nil"/>
              <w:left w:val="nil"/>
              <w:bottom w:val="nil"/>
              <w:right w:val="nil"/>
              <w:between w:val="nil"/>
            </w:pBdr>
            <w:tabs>
              <w:tab w:val="center" w:pos="4513"/>
              <w:tab w:val="right" w:pos="9026"/>
            </w:tabs>
            <w:spacing w:before="0" w:after="0" w:line="276" w:lineRule="auto"/>
            <w:jc w:val="center"/>
            <w:rPr>
              <w:b/>
              <w:color w:val="4F81BD"/>
            </w:rPr>
          </w:pPr>
        </w:p>
      </w:tc>
    </w:tr>
    <w:tr w:rsidR="00D50457" w14:paraId="31288AB2" w14:textId="77777777">
      <w:trPr>
        <w:trHeight w:val="150"/>
      </w:trPr>
      <w:tc>
        <w:tcPr>
          <w:tcW w:w="3887" w:type="dxa"/>
          <w:tcBorders>
            <w:top w:val="single" w:sz="4" w:space="0" w:color="4F81BD"/>
            <w:left w:val="nil"/>
            <w:bottom w:val="nil"/>
            <w:right w:val="nil"/>
          </w:tcBorders>
        </w:tcPr>
        <w:p w14:paraId="0CEF5B0A" w14:textId="77777777" w:rsidR="00D50457" w:rsidRDefault="00D50457">
          <w:pPr>
            <w:keepNext/>
            <w:pBdr>
              <w:top w:val="nil"/>
              <w:left w:val="nil"/>
              <w:bottom w:val="nil"/>
              <w:right w:val="nil"/>
              <w:between w:val="nil"/>
            </w:pBdr>
            <w:tabs>
              <w:tab w:val="center" w:pos="4513"/>
              <w:tab w:val="right" w:pos="9026"/>
            </w:tabs>
            <w:spacing w:before="0" w:after="0" w:line="276" w:lineRule="auto"/>
            <w:jc w:val="center"/>
            <w:rPr>
              <w:b/>
              <w:color w:val="4F81BD"/>
            </w:rPr>
          </w:pPr>
        </w:p>
      </w:tc>
      <w:tc>
        <w:tcPr>
          <w:tcW w:w="1252" w:type="dxa"/>
          <w:vMerge/>
          <w:vAlign w:val="center"/>
        </w:tcPr>
        <w:p w14:paraId="558452AB" w14:textId="77777777" w:rsidR="00D50457" w:rsidRDefault="00D50457">
          <w:pPr>
            <w:widowControl w:val="0"/>
            <w:pBdr>
              <w:top w:val="nil"/>
              <w:left w:val="nil"/>
              <w:bottom w:val="nil"/>
              <w:right w:val="nil"/>
              <w:between w:val="nil"/>
            </w:pBdr>
            <w:spacing w:before="0" w:after="0" w:line="276" w:lineRule="auto"/>
            <w:jc w:val="left"/>
            <w:rPr>
              <w:b/>
              <w:color w:val="4F81BD"/>
            </w:rPr>
          </w:pPr>
        </w:p>
      </w:tc>
      <w:tc>
        <w:tcPr>
          <w:tcW w:w="3887" w:type="dxa"/>
          <w:tcBorders>
            <w:top w:val="single" w:sz="4" w:space="0" w:color="4F81BD"/>
            <w:left w:val="nil"/>
            <w:bottom w:val="nil"/>
            <w:right w:val="nil"/>
          </w:tcBorders>
        </w:tcPr>
        <w:p w14:paraId="50644143" w14:textId="77777777" w:rsidR="00D50457" w:rsidRDefault="00D50457">
          <w:pPr>
            <w:keepNext/>
            <w:pBdr>
              <w:top w:val="nil"/>
              <w:left w:val="nil"/>
              <w:bottom w:val="nil"/>
              <w:right w:val="nil"/>
              <w:between w:val="nil"/>
            </w:pBdr>
            <w:tabs>
              <w:tab w:val="center" w:pos="4513"/>
              <w:tab w:val="right" w:pos="9026"/>
            </w:tabs>
            <w:spacing w:before="0" w:after="0" w:line="276" w:lineRule="auto"/>
            <w:jc w:val="center"/>
            <w:rPr>
              <w:b/>
              <w:color w:val="4F81BD"/>
            </w:rPr>
          </w:pPr>
        </w:p>
      </w:tc>
    </w:tr>
  </w:tbl>
  <w:p w14:paraId="7B5DA2F5" w14:textId="77777777" w:rsidR="00D50457" w:rsidRDefault="00D50457">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241781B" w14:textId="77777777" w:rsidR="00D50457" w:rsidRDefault="00D50457">
    <w:pPr>
      <w:pBdr>
        <w:top w:val="nil"/>
        <w:left w:val="nil"/>
        <w:bottom w:val="nil"/>
        <w:right w:val="nil"/>
        <w:between w:val="nil"/>
      </w:pBdr>
      <w:tabs>
        <w:tab w:val="center" w:pos="4153"/>
        <w:tab w:val="right" w:pos="8306"/>
      </w:tabs>
      <w:rPr>
        <w:color w:val="000000"/>
      </w:rPr>
    </w:pPr>
  </w:p>
  <w:p w14:paraId="34A97B40" w14:textId="77777777" w:rsidR="00D50457" w:rsidRDefault="00D504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6D2AE" w14:textId="77777777" w:rsidR="00D50457" w:rsidRDefault="00D50457">
    <w:pPr>
      <w:widowControl w:val="0"/>
      <w:pBdr>
        <w:top w:val="nil"/>
        <w:left w:val="nil"/>
        <w:bottom w:val="nil"/>
        <w:right w:val="nil"/>
        <w:between w:val="nil"/>
      </w:pBdr>
      <w:spacing w:line="276" w:lineRule="auto"/>
      <w:jc w:val="left"/>
    </w:pPr>
  </w:p>
  <w:tbl>
    <w:tblPr>
      <w:tblStyle w:val="a9"/>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7"/>
      <w:gridCol w:w="1252"/>
      <w:gridCol w:w="3887"/>
    </w:tblGrid>
    <w:tr w:rsidR="00D50457" w14:paraId="24A3AF85" w14:textId="77777777">
      <w:trPr>
        <w:trHeight w:val="151"/>
      </w:trPr>
      <w:tc>
        <w:tcPr>
          <w:tcW w:w="3887" w:type="dxa"/>
          <w:tcBorders>
            <w:top w:val="nil"/>
            <w:left w:val="nil"/>
            <w:bottom w:val="single" w:sz="4" w:space="0" w:color="4F81BD"/>
            <w:right w:val="nil"/>
          </w:tcBorders>
        </w:tcPr>
        <w:p w14:paraId="331D2884" w14:textId="77777777" w:rsidR="00D50457" w:rsidRDefault="00D50457">
          <w:pPr>
            <w:keepNext/>
            <w:pBdr>
              <w:top w:val="nil"/>
              <w:left w:val="nil"/>
              <w:bottom w:val="nil"/>
              <w:right w:val="nil"/>
              <w:between w:val="nil"/>
            </w:pBdr>
            <w:tabs>
              <w:tab w:val="center" w:pos="4513"/>
              <w:tab w:val="right" w:pos="9026"/>
            </w:tabs>
            <w:spacing w:before="0" w:after="0" w:line="276" w:lineRule="auto"/>
            <w:jc w:val="center"/>
            <w:rPr>
              <w:b/>
              <w:color w:val="4F81BD"/>
            </w:rPr>
          </w:pPr>
        </w:p>
      </w:tc>
      <w:tc>
        <w:tcPr>
          <w:tcW w:w="1252" w:type="dxa"/>
          <w:vMerge w:val="restart"/>
          <w:vAlign w:val="center"/>
        </w:tcPr>
        <w:p w14:paraId="00A8187D" w14:textId="77777777" w:rsidR="00D50457" w:rsidRDefault="00D50457">
          <w:pPr>
            <w:pBdr>
              <w:top w:val="nil"/>
              <w:left w:val="nil"/>
              <w:bottom w:val="nil"/>
              <w:right w:val="nil"/>
              <w:between w:val="nil"/>
            </w:pBdr>
            <w:spacing w:before="0" w:after="0" w:line="276" w:lineRule="auto"/>
            <w:jc w:val="left"/>
            <w:rPr>
              <w:sz w:val="22"/>
              <w:szCs w:val="22"/>
            </w:rPr>
          </w:pPr>
          <w:r>
            <w:rPr>
              <w:rFonts w:ascii="Cambria" w:eastAsia="Cambria" w:hAnsi="Cambria" w:cs="Cambria"/>
              <w:sz w:val="22"/>
              <w:szCs w:val="22"/>
            </w:rPr>
            <w:t>[Type text]</w:t>
          </w:r>
        </w:p>
      </w:tc>
      <w:tc>
        <w:tcPr>
          <w:tcW w:w="3887" w:type="dxa"/>
          <w:tcBorders>
            <w:top w:val="nil"/>
            <w:left w:val="nil"/>
            <w:bottom w:val="single" w:sz="4" w:space="0" w:color="4F81BD"/>
            <w:right w:val="nil"/>
          </w:tcBorders>
        </w:tcPr>
        <w:p w14:paraId="4BC0204B" w14:textId="77777777" w:rsidR="00D50457" w:rsidRDefault="00D50457">
          <w:pPr>
            <w:keepNext/>
            <w:pBdr>
              <w:top w:val="nil"/>
              <w:left w:val="nil"/>
              <w:bottom w:val="nil"/>
              <w:right w:val="nil"/>
              <w:between w:val="nil"/>
            </w:pBdr>
            <w:tabs>
              <w:tab w:val="center" w:pos="4513"/>
              <w:tab w:val="right" w:pos="9026"/>
            </w:tabs>
            <w:spacing w:before="0" w:after="0" w:line="276" w:lineRule="auto"/>
            <w:jc w:val="center"/>
            <w:rPr>
              <w:b/>
              <w:color w:val="4F81BD"/>
            </w:rPr>
          </w:pPr>
        </w:p>
      </w:tc>
    </w:tr>
    <w:tr w:rsidR="00D50457" w14:paraId="418D986A" w14:textId="77777777">
      <w:trPr>
        <w:trHeight w:val="150"/>
      </w:trPr>
      <w:tc>
        <w:tcPr>
          <w:tcW w:w="3887" w:type="dxa"/>
          <w:tcBorders>
            <w:top w:val="single" w:sz="4" w:space="0" w:color="4F81BD"/>
            <w:left w:val="nil"/>
            <w:bottom w:val="nil"/>
            <w:right w:val="nil"/>
          </w:tcBorders>
        </w:tcPr>
        <w:p w14:paraId="36915131" w14:textId="77777777" w:rsidR="00D50457" w:rsidRDefault="00D50457">
          <w:pPr>
            <w:keepNext/>
            <w:pBdr>
              <w:top w:val="nil"/>
              <w:left w:val="nil"/>
              <w:bottom w:val="nil"/>
              <w:right w:val="nil"/>
              <w:between w:val="nil"/>
            </w:pBdr>
            <w:tabs>
              <w:tab w:val="center" w:pos="4513"/>
              <w:tab w:val="right" w:pos="9026"/>
            </w:tabs>
            <w:spacing w:before="0" w:after="0" w:line="276" w:lineRule="auto"/>
            <w:jc w:val="center"/>
            <w:rPr>
              <w:b/>
              <w:color w:val="4F81BD"/>
            </w:rPr>
          </w:pPr>
        </w:p>
      </w:tc>
      <w:tc>
        <w:tcPr>
          <w:tcW w:w="1252" w:type="dxa"/>
          <w:vMerge/>
          <w:vAlign w:val="center"/>
        </w:tcPr>
        <w:p w14:paraId="7FE49066" w14:textId="77777777" w:rsidR="00D50457" w:rsidRDefault="00D50457">
          <w:pPr>
            <w:widowControl w:val="0"/>
            <w:pBdr>
              <w:top w:val="nil"/>
              <w:left w:val="nil"/>
              <w:bottom w:val="nil"/>
              <w:right w:val="nil"/>
              <w:between w:val="nil"/>
            </w:pBdr>
            <w:spacing w:before="0" w:after="0" w:line="276" w:lineRule="auto"/>
            <w:jc w:val="left"/>
            <w:rPr>
              <w:b/>
              <w:color w:val="4F81BD"/>
            </w:rPr>
          </w:pPr>
        </w:p>
      </w:tc>
      <w:tc>
        <w:tcPr>
          <w:tcW w:w="3887" w:type="dxa"/>
          <w:tcBorders>
            <w:top w:val="single" w:sz="4" w:space="0" w:color="4F81BD"/>
            <w:left w:val="nil"/>
            <w:bottom w:val="nil"/>
            <w:right w:val="nil"/>
          </w:tcBorders>
        </w:tcPr>
        <w:p w14:paraId="7E84A3D2" w14:textId="77777777" w:rsidR="00D50457" w:rsidRDefault="00D50457">
          <w:pPr>
            <w:keepNext/>
            <w:pBdr>
              <w:top w:val="nil"/>
              <w:left w:val="nil"/>
              <w:bottom w:val="nil"/>
              <w:right w:val="nil"/>
              <w:between w:val="nil"/>
            </w:pBdr>
            <w:tabs>
              <w:tab w:val="center" w:pos="4513"/>
              <w:tab w:val="right" w:pos="9026"/>
            </w:tabs>
            <w:spacing w:before="0" w:after="0" w:line="276" w:lineRule="auto"/>
            <w:jc w:val="center"/>
            <w:rPr>
              <w:b/>
              <w:color w:val="4F81BD"/>
            </w:rPr>
          </w:pPr>
        </w:p>
      </w:tc>
    </w:tr>
    <w:tr w:rsidR="00D50457" w14:paraId="2F2B38DC" w14:textId="77777777">
      <w:trPr>
        <w:trHeight w:val="151"/>
      </w:trPr>
      <w:tc>
        <w:tcPr>
          <w:tcW w:w="3887" w:type="dxa"/>
          <w:tcBorders>
            <w:top w:val="nil"/>
            <w:left w:val="nil"/>
            <w:bottom w:val="single" w:sz="4" w:space="0" w:color="4F81BD"/>
            <w:right w:val="nil"/>
          </w:tcBorders>
        </w:tcPr>
        <w:p w14:paraId="701CEE5A" w14:textId="77777777" w:rsidR="00D50457" w:rsidRDefault="00D50457">
          <w:pPr>
            <w:keepNext/>
            <w:pBdr>
              <w:top w:val="nil"/>
              <w:left w:val="nil"/>
              <w:bottom w:val="nil"/>
              <w:right w:val="nil"/>
              <w:between w:val="nil"/>
            </w:pBdr>
            <w:tabs>
              <w:tab w:val="center" w:pos="4513"/>
              <w:tab w:val="right" w:pos="9026"/>
            </w:tabs>
            <w:spacing w:before="0" w:after="0" w:line="276" w:lineRule="auto"/>
            <w:jc w:val="center"/>
            <w:rPr>
              <w:b/>
              <w:color w:val="4F81BD"/>
            </w:rPr>
          </w:pPr>
        </w:p>
      </w:tc>
      <w:tc>
        <w:tcPr>
          <w:tcW w:w="1252" w:type="dxa"/>
          <w:vMerge w:val="restart"/>
          <w:vAlign w:val="center"/>
        </w:tcPr>
        <w:p w14:paraId="20F0D65A" w14:textId="77777777" w:rsidR="00D50457" w:rsidRDefault="00D50457">
          <w:pPr>
            <w:pBdr>
              <w:top w:val="nil"/>
              <w:left w:val="nil"/>
              <w:bottom w:val="nil"/>
              <w:right w:val="nil"/>
              <w:between w:val="nil"/>
            </w:pBdr>
            <w:spacing w:before="0" w:after="0" w:line="276" w:lineRule="auto"/>
            <w:jc w:val="left"/>
            <w:rPr>
              <w:sz w:val="22"/>
              <w:szCs w:val="22"/>
            </w:rPr>
          </w:pPr>
          <w:r>
            <w:rPr>
              <w:rFonts w:ascii="Cambria" w:eastAsia="Cambria" w:hAnsi="Cambria" w:cs="Cambria"/>
              <w:sz w:val="22"/>
              <w:szCs w:val="22"/>
            </w:rPr>
            <w:t>[Type text]</w:t>
          </w:r>
        </w:p>
      </w:tc>
      <w:tc>
        <w:tcPr>
          <w:tcW w:w="3887" w:type="dxa"/>
          <w:tcBorders>
            <w:top w:val="nil"/>
            <w:left w:val="nil"/>
            <w:bottom w:val="single" w:sz="4" w:space="0" w:color="4F81BD"/>
            <w:right w:val="nil"/>
          </w:tcBorders>
        </w:tcPr>
        <w:p w14:paraId="525C04A6" w14:textId="77777777" w:rsidR="00D50457" w:rsidRDefault="00D50457">
          <w:pPr>
            <w:keepNext/>
            <w:pBdr>
              <w:top w:val="nil"/>
              <w:left w:val="nil"/>
              <w:bottom w:val="nil"/>
              <w:right w:val="nil"/>
              <w:between w:val="nil"/>
            </w:pBdr>
            <w:tabs>
              <w:tab w:val="center" w:pos="4513"/>
              <w:tab w:val="right" w:pos="9026"/>
            </w:tabs>
            <w:spacing w:before="0" w:after="0" w:line="276" w:lineRule="auto"/>
            <w:jc w:val="center"/>
            <w:rPr>
              <w:b/>
              <w:color w:val="4F81BD"/>
            </w:rPr>
          </w:pPr>
        </w:p>
      </w:tc>
    </w:tr>
    <w:tr w:rsidR="00D50457" w14:paraId="051E2BC0" w14:textId="77777777">
      <w:trPr>
        <w:trHeight w:val="150"/>
      </w:trPr>
      <w:tc>
        <w:tcPr>
          <w:tcW w:w="3887" w:type="dxa"/>
          <w:tcBorders>
            <w:top w:val="single" w:sz="4" w:space="0" w:color="4F81BD"/>
            <w:left w:val="nil"/>
            <w:bottom w:val="nil"/>
            <w:right w:val="nil"/>
          </w:tcBorders>
        </w:tcPr>
        <w:p w14:paraId="2831209F" w14:textId="77777777" w:rsidR="00D50457" w:rsidRDefault="00D50457">
          <w:pPr>
            <w:keepNext/>
            <w:pBdr>
              <w:top w:val="nil"/>
              <w:left w:val="nil"/>
              <w:bottom w:val="nil"/>
              <w:right w:val="nil"/>
              <w:between w:val="nil"/>
            </w:pBdr>
            <w:tabs>
              <w:tab w:val="center" w:pos="4513"/>
              <w:tab w:val="right" w:pos="9026"/>
            </w:tabs>
            <w:spacing w:before="0" w:after="0" w:line="276" w:lineRule="auto"/>
            <w:jc w:val="center"/>
            <w:rPr>
              <w:b/>
              <w:color w:val="4F81BD"/>
            </w:rPr>
          </w:pPr>
        </w:p>
      </w:tc>
      <w:tc>
        <w:tcPr>
          <w:tcW w:w="1252" w:type="dxa"/>
          <w:vMerge/>
          <w:vAlign w:val="center"/>
        </w:tcPr>
        <w:p w14:paraId="7FBD3F49" w14:textId="77777777" w:rsidR="00D50457" w:rsidRDefault="00D50457">
          <w:pPr>
            <w:widowControl w:val="0"/>
            <w:pBdr>
              <w:top w:val="nil"/>
              <w:left w:val="nil"/>
              <w:bottom w:val="nil"/>
              <w:right w:val="nil"/>
              <w:between w:val="nil"/>
            </w:pBdr>
            <w:spacing w:before="0" w:after="0" w:line="276" w:lineRule="auto"/>
            <w:jc w:val="left"/>
            <w:rPr>
              <w:b/>
              <w:color w:val="4F81BD"/>
            </w:rPr>
          </w:pPr>
        </w:p>
      </w:tc>
      <w:tc>
        <w:tcPr>
          <w:tcW w:w="3887" w:type="dxa"/>
          <w:tcBorders>
            <w:top w:val="single" w:sz="4" w:space="0" w:color="4F81BD"/>
            <w:left w:val="nil"/>
            <w:bottom w:val="nil"/>
            <w:right w:val="nil"/>
          </w:tcBorders>
        </w:tcPr>
        <w:p w14:paraId="1A31D752" w14:textId="77777777" w:rsidR="00D50457" w:rsidRDefault="00D50457">
          <w:pPr>
            <w:keepNext/>
            <w:pBdr>
              <w:top w:val="nil"/>
              <w:left w:val="nil"/>
              <w:bottom w:val="nil"/>
              <w:right w:val="nil"/>
              <w:between w:val="nil"/>
            </w:pBdr>
            <w:tabs>
              <w:tab w:val="center" w:pos="4513"/>
              <w:tab w:val="right" w:pos="9026"/>
            </w:tabs>
            <w:spacing w:before="0" w:after="0" w:line="276" w:lineRule="auto"/>
            <w:jc w:val="center"/>
            <w:rPr>
              <w:b/>
              <w:color w:val="4F81BD"/>
            </w:rPr>
          </w:pPr>
        </w:p>
      </w:tc>
    </w:tr>
  </w:tbl>
  <w:p w14:paraId="718118BF" w14:textId="77777777" w:rsidR="00D50457" w:rsidRDefault="00D50457">
    <w:pPr>
      <w:pBdr>
        <w:top w:val="nil"/>
        <w:left w:val="nil"/>
        <w:bottom w:val="nil"/>
        <w:right w:val="nil"/>
        <w:between w:val="nil"/>
      </w:pBdr>
      <w:tabs>
        <w:tab w:val="center" w:pos="4153"/>
        <w:tab w:val="right" w:pos="8306"/>
      </w:tabs>
      <w:jc w:val="center"/>
      <w:rPr>
        <w:b/>
        <w:i/>
        <w:color w:val="000000"/>
        <w:sz w:val="20"/>
        <w:szCs w:val="20"/>
      </w:rPr>
    </w:pPr>
    <w:r>
      <w:rPr>
        <w:b/>
        <w:i/>
        <w:color w:val="000000"/>
        <w:sz w:val="20"/>
        <w:szCs w:val="20"/>
      </w:rPr>
      <w:t>Draft Minutes November 2011 P</w:t>
    </w:r>
    <w:r>
      <w:rPr>
        <w:color w:val="000000"/>
      </w:rPr>
      <w:fldChar w:fldCharType="begin"/>
    </w:r>
    <w:r>
      <w:rPr>
        <w:color w:val="000000"/>
      </w:rPr>
      <w:instrText>PAGE</w:instrText>
    </w:r>
    <w:r>
      <w:rPr>
        <w:color w:val="000000"/>
      </w:rPr>
      <w:fldChar w:fldCharType="end"/>
    </w:r>
    <w:r>
      <w:rPr>
        <w:b/>
        <w:i/>
        <w:color w:val="000000"/>
        <w:sz w:val="20"/>
        <w:szCs w:val="20"/>
      </w:rPr>
      <w:t>BAC Meeting</w:t>
    </w:r>
  </w:p>
  <w:p w14:paraId="009F59D7" w14:textId="77777777" w:rsidR="00D50457" w:rsidRDefault="00D50457">
    <w:pPr>
      <w:pBdr>
        <w:top w:val="nil"/>
        <w:left w:val="nil"/>
        <w:bottom w:val="nil"/>
        <w:right w:val="nil"/>
        <w:between w:val="nil"/>
      </w:pBdr>
      <w:tabs>
        <w:tab w:val="center" w:pos="4153"/>
        <w:tab w:val="right" w:pos="8306"/>
      </w:tabs>
      <w:jc w:val="center"/>
      <w:rPr>
        <w:b/>
        <w:i/>
        <w:color w:val="000000"/>
        <w:sz w:val="20"/>
        <w:szCs w:val="20"/>
      </w:rPr>
    </w:pPr>
    <w:r>
      <w:rPr>
        <w:b/>
        <w:i/>
        <w:color w:val="000000"/>
        <w:sz w:val="20"/>
        <w:szCs w:val="20"/>
      </w:rPr>
      <w:t>Commercial-in-Confidence</w:t>
    </w:r>
  </w:p>
  <w:p w14:paraId="7C4649B8" w14:textId="77777777" w:rsidR="00D50457" w:rsidRDefault="00D504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F8E42" w14:textId="77777777" w:rsidR="001B4843" w:rsidRDefault="001B4843">
      <w:r>
        <w:separator/>
      </w:r>
    </w:p>
  </w:footnote>
  <w:footnote w:type="continuationSeparator" w:id="0">
    <w:p w14:paraId="410FB6A1" w14:textId="77777777" w:rsidR="001B4843" w:rsidRDefault="001B4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86B5E" w14:textId="77777777" w:rsidR="00D50457" w:rsidRDefault="00D50457">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8"/>
      <w:tblW w:w="8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9"/>
      <w:gridCol w:w="1252"/>
      <w:gridCol w:w="3731"/>
    </w:tblGrid>
    <w:tr w:rsidR="00D50457" w14:paraId="2E47E7FB" w14:textId="77777777">
      <w:trPr>
        <w:trHeight w:val="151"/>
      </w:trPr>
      <w:tc>
        <w:tcPr>
          <w:tcW w:w="3929" w:type="dxa"/>
          <w:tcBorders>
            <w:top w:val="nil"/>
            <w:left w:val="nil"/>
            <w:bottom w:val="single" w:sz="4" w:space="0" w:color="4F81BD"/>
            <w:right w:val="nil"/>
          </w:tcBorders>
        </w:tcPr>
        <w:p w14:paraId="53EBB4E9" w14:textId="77777777" w:rsidR="00D50457" w:rsidRDefault="00D50457">
          <w:pPr>
            <w:keepNext/>
            <w:pBdr>
              <w:top w:val="nil"/>
              <w:left w:val="nil"/>
              <w:bottom w:val="nil"/>
              <w:right w:val="nil"/>
              <w:between w:val="nil"/>
            </w:pBdr>
            <w:tabs>
              <w:tab w:val="center" w:pos="4513"/>
              <w:tab w:val="right" w:pos="9026"/>
            </w:tabs>
            <w:spacing w:before="0" w:after="0" w:line="276" w:lineRule="auto"/>
            <w:jc w:val="center"/>
            <w:rPr>
              <w:rFonts w:ascii="Cambria" w:eastAsia="Cambria" w:hAnsi="Cambria" w:cs="Cambria"/>
              <w:b/>
              <w:color w:val="4F81BD"/>
            </w:rPr>
          </w:pPr>
        </w:p>
      </w:tc>
      <w:tc>
        <w:tcPr>
          <w:tcW w:w="1252" w:type="dxa"/>
          <w:vMerge w:val="restart"/>
          <w:vAlign w:val="center"/>
        </w:tcPr>
        <w:p w14:paraId="14883E97" w14:textId="77777777" w:rsidR="00D50457" w:rsidRDefault="00D50457">
          <w:pPr>
            <w:pBdr>
              <w:top w:val="nil"/>
              <w:left w:val="nil"/>
              <w:bottom w:val="nil"/>
              <w:right w:val="nil"/>
              <w:between w:val="nil"/>
            </w:pBdr>
            <w:spacing w:before="0" w:after="0"/>
            <w:jc w:val="left"/>
            <w:rPr>
              <w:rFonts w:ascii="Cambria" w:eastAsia="Cambria" w:hAnsi="Cambria" w:cs="Cambria"/>
              <w:color w:val="4F81BD"/>
              <w:sz w:val="22"/>
              <w:szCs w:val="22"/>
            </w:rPr>
          </w:pPr>
          <w:r>
            <w:rPr>
              <w:rFonts w:ascii="Cambria" w:eastAsia="Cambria" w:hAnsi="Cambria" w:cs="Cambria"/>
              <w:color w:val="4F81BD"/>
              <w:sz w:val="22"/>
              <w:szCs w:val="22"/>
            </w:rPr>
            <w:t>[Type text]</w:t>
          </w:r>
        </w:p>
      </w:tc>
      <w:tc>
        <w:tcPr>
          <w:tcW w:w="3731" w:type="dxa"/>
          <w:tcBorders>
            <w:top w:val="nil"/>
            <w:left w:val="nil"/>
            <w:bottom w:val="single" w:sz="4" w:space="0" w:color="4F81BD"/>
            <w:right w:val="nil"/>
          </w:tcBorders>
        </w:tcPr>
        <w:p w14:paraId="49D5E891" w14:textId="77777777" w:rsidR="00D50457" w:rsidRDefault="00D50457">
          <w:pPr>
            <w:keepNext/>
            <w:pBdr>
              <w:top w:val="nil"/>
              <w:left w:val="nil"/>
              <w:bottom w:val="nil"/>
              <w:right w:val="nil"/>
              <w:between w:val="nil"/>
            </w:pBdr>
            <w:tabs>
              <w:tab w:val="center" w:pos="4513"/>
              <w:tab w:val="right" w:pos="9026"/>
            </w:tabs>
            <w:spacing w:before="0" w:after="0" w:line="276" w:lineRule="auto"/>
            <w:jc w:val="center"/>
            <w:rPr>
              <w:rFonts w:ascii="Cambria" w:eastAsia="Cambria" w:hAnsi="Cambria" w:cs="Cambria"/>
              <w:b/>
              <w:color w:val="4F81BD"/>
            </w:rPr>
          </w:pPr>
        </w:p>
      </w:tc>
    </w:tr>
    <w:tr w:rsidR="00D50457" w14:paraId="7B5929EB" w14:textId="77777777">
      <w:trPr>
        <w:trHeight w:val="150"/>
      </w:trPr>
      <w:tc>
        <w:tcPr>
          <w:tcW w:w="3929" w:type="dxa"/>
          <w:tcBorders>
            <w:top w:val="single" w:sz="4" w:space="0" w:color="4F81BD"/>
            <w:left w:val="nil"/>
            <w:bottom w:val="nil"/>
            <w:right w:val="nil"/>
          </w:tcBorders>
        </w:tcPr>
        <w:p w14:paraId="179B51D7" w14:textId="77777777" w:rsidR="00D50457" w:rsidRDefault="00D50457">
          <w:pPr>
            <w:keepNext/>
            <w:pBdr>
              <w:top w:val="nil"/>
              <w:left w:val="nil"/>
              <w:bottom w:val="nil"/>
              <w:right w:val="nil"/>
              <w:between w:val="nil"/>
            </w:pBdr>
            <w:tabs>
              <w:tab w:val="center" w:pos="4513"/>
              <w:tab w:val="right" w:pos="9026"/>
            </w:tabs>
            <w:spacing w:before="0" w:after="0" w:line="276" w:lineRule="auto"/>
            <w:jc w:val="center"/>
            <w:rPr>
              <w:rFonts w:ascii="Cambria" w:eastAsia="Cambria" w:hAnsi="Cambria" w:cs="Cambria"/>
              <w:b/>
              <w:color w:val="4F81BD"/>
            </w:rPr>
          </w:pPr>
        </w:p>
      </w:tc>
      <w:tc>
        <w:tcPr>
          <w:tcW w:w="1252" w:type="dxa"/>
          <w:vMerge/>
          <w:vAlign w:val="center"/>
        </w:tcPr>
        <w:p w14:paraId="3C9F6DC9" w14:textId="77777777" w:rsidR="00D50457" w:rsidRDefault="00D50457">
          <w:pPr>
            <w:widowControl w:val="0"/>
            <w:pBdr>
              <w:top w:val="nil"/>
              <w:left w:val="nil"/>
              <w:bottom w:val="nil"/>
              <w:right w:val="nil"/>
              <w:between w:val="nil"/>
            </w:pBdr>
            <w:spacing w:before="0" w:after="0" w:line="276" w:lineRule="auto"/>
            <w:jc w:val="left"/>
            <w:rPr>
              <w:rFonts w:ascii="Cambria" w:eastAsia="Cambria" w:hAnsi="Cambria" w:cs="Cambria"/>
              <w:b/>
              <w:color w:val="4F81BD"/>
            </w:rPr>
          </w:pPr>
        </w:p>
      </w:tc>
      <w:tc>
        <w:tcPr>
          <w:tcW w:w="3731" w:type="dxa"/>
          <w:tcBorders>
            <w:top w:val="single" w:sz="4" w:space="0" w:color="4F81BD"/>
            <w:left w:val="nil"/>
            <w:bottom w:val="nil"/>
            <w:right w:val="nil"/>
          </w:tcBorders>
        </w:tcPr>
        <w:p w14:paraId="4B439933" w14:textId="77777777" w:rsidR="00D50457" w:rsidRDefault="00D50457">
          <w:pPr>
            <w:keepNext/>
            <w:pBdr>
              <w:top w:val="nil"/>
              <w:left w:val="nil"/>
              <w:bottom w:val="nil"/>
              <w:right w:val="nil"/>
              <w:between w:val="nil"/>
            </w:pBdr>
            <w:tabs>
              <w:tab w:val="center" w:pos="4513"/>
              <w:tab w:val="right" w:pos="9026"/>
            </w:tabs>
            <w:spacing w:before="0" w:after="0" w:line="276" w:lineRule="auto"/>
            <w:jc w:val="center"/>
            <w:rPr>
              <w:rFonts w:ascii="Cambria" w:eastAsia="Cambria" w:hAnsi="Cambria" w:cs="Cambria"/>
              <w:b/>
              <w:color w:val="4F81BD"/>
            </w:rPr>
          </w:pPr>
        </w:p>
      </w:tc>
    </w:tr>
  </w:tbl>
  <w:p w14:paraId="26AA07E5" w14:textId="77777777" w:rsidR="00D50457" w:rsidRDefault="00D50457">
    <w:pPr>
      <w:keepNext/>
      <w:pBdr>
        <w:top w:val="nil"/>
        <w:left w:val="nil"/>
        <w:bottom w:val="nil"/>
        <w:right w:val="nil"/>
        <w:between w:val="nil"/>
      </w:pBdr>
      <w:tabs>
        <w:tab w:val="center" w:pos="4513"/>
        <w:tab w:val="right" w:pos="9026"/>
      </w:tabs>
      <w:jc w:val="center"/>
      <w:rPr>
        <w:color w:val="000000"/>
      </w:rPr>
    </w:pPr>
  </w:p>
  <w:p w14:paraId="63FDA8D7" w14:textId="77777777" w:rsidR="00D50457" w:rsidRDefault="00D504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8E612" w14:textId="63FF9334" w:rsidR="00D50457" w:rsidRDefault="00D50457" w:rsidP="00E73939">
    <w:pPr>
      <w:keepNext/>
      <w:pBdr>
        <w:top w:val="nil"/>
        <w:left w:val="nil"/>
        <w:bottom w:val="nil"/>
        <w:right w:val="nil"/>
        <w:between w:val="nil"/>
      </w:pBdr>
      <w:tabs>
        <w:tab w:val="center" w:pos="4513"/>
        <w:tab w:val="right" w:pos="9026"/>
      </w:tabs>
      <w:jc w:val="right"/>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5672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76C6E"/>
    <w:multiLevelType w:val="multilevel"/>
    <w:tmpl w:val="F60A7126"/>
    <w:lvl w:ilvl="0">
      <w:start w:val="4"/>
      <w:numFmt w:val="decimal"/>
      <w:lvlText w:val="%1."/>
      <w:lvlJc w:val="left"/>
      <w:pPr>
        <w:ind w:left="540" w:hanging="540"/>
      </w:pPr>
      <w:rPr>
        <w:rFonts w:ascii="Calibri" w:hAnsi="Calibri" w:cs="Times New Roman" w:hint="default"/>
      </w:rPr>
    </w:lvl>
    <w:lvl w:ilvl="1">
      <w:start w:val="4"/>
      <w:numFmt w:val="decimal"/>
      <w:lvlText w:val="%1.%2."/>
      <w:lvlJc w:val="left"/>
      <w:pPr>
        <w:ind w:left="720" w:hanging="720"/>
      </w:pPr>
      <w:rPr>
        <w:rFonts w:ascii="Calibri" w:hAnsi="Calibri" w:cs="Times New Roman" w:hint="default"/>
      </w:rPr>
    </w:lvl>
    <w:lvl w:ilvl="2">
      <w:start w:val="2"/>
      <w:numFmt w:val="decimal"/>
      <w:lvlText w:val="%1.%2.%3."/>
      <w:lvlJc w:val="left"/>
      <w:pPr>
        <w:ind w:left="720" w:hanging="720"/>
      </w:pPr>
      <w:rPr>
        <w:rFonts w:ascii="Calibri" w:hAnsi="Calibri" w:cs="Times New Roman" w:hint="default"/>
      </w:rPr>
    </w:lvl>
    <w:lvl w:ilvl="3">
      <w:start w:val="1"/>
      <w:numFmt w:val="decimal"/>
      <w:lvlText w:val="%1.%2.%3.%4."/>
      <w:lvlJc w:val="left"/>
      <w:pPr>
        <w:ind w:left="1080" w:hanging="108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440" w:hanging="144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800" w:hanging="1800"/>
      </w:pPr>
      <w:rPr>
        <w:rFonts w:ascii="Calibri" w:hAnsi="Calibri" w:cs="Times New Roman" w:hint="default"/>
      </w:rPr>
    </w:lvl>
    <w:lvl w:ilvl="8">
      <w:start w:val="1"/>
      <w:numFmt w:val="decimal"/>
      <w:lvlText w:val="%1.%2.%3.%4.%5.%6.%7.%8.%9."/>
      <w:lvlJc w:val="left"/>
      <w:pPr>
        <w:ind w:left="2160" w:hanging="2160"/>
      </w:pPr>
      <w:rPr>
        <w:rFonts w:ascii="Calibri" w:hAnsi="Calibri" w:cs="Times New Roman" w:hint="default"/>
      </w:rPr>
    </w:lvl>
  </w:abstractNum>
  <w:abstractNum w:abstractNumId="2" w15:restartNumberingAfterBreak="0">
    <w:nsid w:val="0950016E"/>
    <w:multiLevelType w:val="hybridMultilevel"/>
    <w:tmpl w:val="140A2D12"/>
    <w:lvl w:ilvl="0" w:tplc="0C09000F">
      <w:start w:val="1"/>
      <w:numFmt w:val="decimal"/>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0A010310"/>
    <w:multiLevelType w:val="hybridMultilevel"/>
    <w:tmpl w:val="3822EC3C"/>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 w15:restartNumberingAfterBreak="0">
    <w:nsid w:val="0C2769F4"/>
    <w:multiLevelType w:val="hybridMultilevel"/>
    <w:tmpl w:val="08CA9928"/>
    <w:lvl w:ilvl="0" w:tplc="4BD6A91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944DCC"/>
    <w:multiLevelType w:val="multilevel"/>
    <w:tmpl w:val="84DEC8CC"/>
    <w:lvl w:ilvl="0">
      <w:start w:val="2"/>
      <w:numFmt w:val="decimal"/>
      <w:lvlText w:val="%1."/>
      <w:lvlJc w:val="left"/>
      <w:pPr>
        <w:ind w:left="400" w:hanging="40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DC1660A"/>
    <w:multiLevelType w:val="hybridMultilevel"/>
    <w:tmpl w:val="D6A03C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185AA9"/>
    <w:multiLevelType w:val="hybridMultilevel"/>
    <w:tmpl w:val="DD42C536"/>
    <w:lvl w:ilvl="0" w:tplc="12024C7A">
      <w:start w:val="3"/>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EF87268"/>
    <w:multiLevelType w:val="hybridMultilevel"/>
    <w:tmpl w:val="9B50B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50D462D"/>
    <w:multiLevelType w:val="hybridMultilevel"/>
    <w:tmpl w:val="498631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8E42AA3"/>
    <w:multiLevelType w:val="hybridMultilevel"/>
    <w:tmpl w:val="B74EC1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2E710F"/>
    <w:multiLevelType w:val="multilevel"/>
    <w:tmpl w:val="BEF8AC0A"/>
    <w:lvl w:ilvl="0">
      <w:start w:val="1"/>
      <w:numFmt w:val="decimal"/>
      <w:lvlText w:val="%1."/>
      <w:lvlJc w:val="right"/>
      <w:pPr>
        <w:ind w:left="720" w:hanging="720"/>
      </w:pPr>
      <w:rPr>
        <w:b/>
        <w:color w:val="000000"/>
      </w:rPr>
    </w:lvl>
    <w:lvl w:ilvl="1">
      <w:start w:val="1"/>
      <w:numFmt w:val="decimal"/>
      <w:lvlText w:val="%1.%2."/>
      <w:lvlJc w:val="right"/>
      <w:pPr>
        <w:ind w:left="720" w:hanging="720"/>
      </w:pPr>
      <w:rPr>
        <w:b w:val="0"/>
        <w:i w:val="0"/>
        <w:color w:val="000000"/>
        <w:sz w:val="24"/>
        <w:szCs w:val="24"/>
      </w:rPr>
    </w:lvl>
    <w:lvl w:ilvl="2">
      <w:start w:val="1"/>
      <w:numFmt w:val="decimal"/>
      <w:lvlText w:val="%1.%2.%3."/>
      <w:lvlJc w:val="right"/>
      <w:pPr>
        <w:ind w:left="720" w:hanging="720"/>
      </w:pPr>
    </w:lvl>
    <w:lvl w:ilvl="3">
      <w:start w:val="1"/>
      <w:numFmt w:val="decimal"/>
      <w:lvlText w:val="%1.%2.%3.%4."/>
      <w:lvlJc w:val="right"/>
      <w:pPr>
        <w:ind w:left="1080" w:hanging="1080"/>
      </w:pPr>
    </w:lvl>
    <w:lvl w:ilvl="4">
      <w:start w:val="1"/>
      <w:numFmt w:val="decimal"/>
      <w:lvlText w:val="%1.%2.%3.%4.%5."/>
      <w:lvlJc w:val="right"/>
      <w:pPr>
        <w:ind w:left="1080" w:hanging="1080"/>
      </w:pPr>
    </w:lvl>
    <w:lvl w:ilvl="5">
      <w:start w:val="1"/>
      <w:numFmt w:val="decimal"/>
      <w:lvlText w:val="%1.%2.%3.%4.%5.%6."/>
      <w:lvlJc w:val="right"/>
      <w:pPr>
        <w:ind w:left="1440" w:hanging="1440"/>
      </w:pPr>
    </w:lvl>
    <w:lvl w:ilvl="6">
      <w:start w:val="1"/>
      <w:numFmt w:val="decimal"/>
      <w:lvlText w:val="%1.%2.%3.%4.%5.%6.%7."/>
      <w:lvlJc w:val="right"/>
      <w:pPr>
        <w:ind w:left="1440" w:hanging="1440"/>
      </w:pPr>
    </w:lvl>
    <w:lvl w:ilvl="7">
      <w:start w:val="1"/>
      <w:numFmt w:val="decimal"/>
      <w:lvlText w:val="%1.%2.%3.%4.%5.%6.%7.%8."/>
      <w:lvlJc w:val="right"/>
      <w:pPr>
        <w:ind w:left="1800" w:hanging="1800"/>
      </w:pPr>
    </w:lvl>
    <w:lvl w:ilvl="8">
      <w:start w:val="1"/>
      <w:numFmt w:val="decimal"/>
      <w:lvlText w:val="%1.%2.%3.%4.%5.%6.%7.%8.%9."/>
      <w:lvlJc w:val="right"/>
      <w:pPr>
        <w:ind w:left="1800" w:hanging="1800"/>
      </w:pPr>
    </w:lvl>
  </w:abstractNum>
  <w:abstractNum w:abstractNumId="12" w15:restartNumberingAfterBreak="0">
    <w:nsid w:val="1FBC1645"/>
    <w:multiLevelType w:val="hybridMultilevel"/>
    <w:tmpl w:val="343A0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12560"/>
    <w:multiLevelType w:val="hybridMultilevel"/>
    <w:tmpl w:val="1EE21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BB7222"/>
    <w:multiLevelType w:val="hybridMultilevel"/>
    <w:tmpl w:val="1144BD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F92825"/>
    <w:multiLevelType w:val="hybridMultilevel"/>
    <w:tmpl w:val="BC988496"/>
    <w:lvl w:ilvl="0" w:tplc="4BD6A91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44295D"/>
    <w:multiLevelType w:val="hybridMultilevel"/>
    <w:tmpl w:val="1EFE3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A965648"/>
    <w:multiLevelType w:val="multilevel"/>
    <w:tmpl w:val="C64E56FE"/>
    <w:lvl w:ilvl="0">
      <w:start w:val="1"/>
      <w:numFmt w:val="decimal"/>
      <w:pStyle w:val="ProcedureStep"/>
      <w:lvlText w:val="%1."/>
      <w:lvlJc w:val="left"/>
      <w:pPr>
        <w:tabs>
          <w:tab w:val="num" w:pos="720"/>
        </w:tabs>
        <w:ind w:left="720" w:hanging="720"/>
      </w:pPr>
    </w:lvl>
    <w:lvl w:ilvl="1">
      <w:start w:val="1"/>
      <w:numFmt w:val="decimal"/>
      <w:pStyle w:val="Lis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C490ED2"/>
    <w:multiLevelType w:val="multilevel"/>
    <w:tmpl w:val="8820CE0C"/>
    <w:lvl w:ilvl="0">
      <w:start w:val="1"/>
      <w:numFmt w:val="decimal"/>
      <w:lvlText w:val="%1"/>
      <w:lvlJc w:val="left"/>
      <w:pPr>
        <w:ind w:left="430" w:hanging="430"/>
      </w:pPr>
      <w:rPr>
        <w:rFonts w:hint="default"/>
        <w:b w:val="0"/>
      </w:rPr>
    </w:lvl>
    <w:lvl w:ilvl="1">
      <w:start w:val="1"/>
      <w:numFmt w:val="decimal"/>
      <w:lvlText w:val="%1.%2"/>
      <w:lvlJc w:val="left"/>
      <w:pPr>
        <w:ind w:left="4" w:hanging="430"/>
      </w:pPr>
      <w:rPr>
        <w:rFonts w:hint="default"/>
        <w:b w:val="0"/>
      </w:rPr>
    </w:lvl>
    <w:lvl w:ilvl="2">
      <w:start w:val="1"/>
      <w:numFmt w:val="decimal"/>
      <w:lvlText w:val="%1.%2.%3"/>
      <w:lvlJc w:val="left"/>
      <w:pPr>
        <w:ind w:left="-132" w:hanging="720"/>
      </w:pPr>
      <w:rPr>
        <w:rFonts w:hint="default"/>
        <w:b w:val="0"/>
      </w:rPr>
    </w:lvl>
    <w:lvl w:ilvl="3">
      <w:start w:val="1"/>
      <w:numFmt w:val="decimal"/>
      <w:lvlText w:val="%1.%2.%3.%4"/>
      <w:lvlJc w:val="left"/>
      <w:pPr>
        <w:ind w:left="-558" w:hanging="720"/>
      </w:pPr>
      <w:rPr>
        <w:rFonts w:hint="default"/>
        <w:b w:val="0"/>
      </w:rPr>
    </w:lvl>
    <w:lvl w:ilvl="4">
      <w:start w:val="1"/>
      <w:numFmt w:val="decimal"/>
      <w:lvlText w:val="%1.%2.%3.%4.%5"/>
      <w:lvlJc w:val="left"/>
      <w:pPr>
        <w:ind w:left="-624" w:hanging="1080"/>
      </w:pPr>
      <w:rPr>
        <w:rFonts w:hint="default"/>
        <w:b w:val="0"/>
      </w:rPr>
    </w:lvl>
    <w:lvl w:ilvl="5">
      <w:start w:val="1"/>
      <w:numFmt w:val="decimal"/>
      <w:lvlText w:val="%1.%2.%3.%4.%5.%6"/>
      <w:lvlJc w:val="left"/>
      <w:pPr>
        <w:ind w:left="-1050" w:hanging="1080"/>
      </w:pPr>
      <w:rPr>
        <w:rFonts w:hint="default"/>
        <w:b w:val="0"/>
      </w:rPr>
    </w:lvl>
    <w:lvl w:ilvl="6">
      <w:start w:val="1"/>
      <w:numFmt w:val="decimal"/>
      <w:lvlText w:val="%1.%2.%3.%4.%5.%6.%7"/>
      <w:lvlJc w:val="left"/>
      <w:pPr>
        <w:ind w:left="-1116" w:hanging="1440"/>
      </w:pPr>
      <w:rPr>
        <w:rFonts w:hint="default"/>
        <w:b w:val="0"/>
      </w:rPr>
    </w:lvl>
    <w:lvl w:ilvl="7">
      <w:start w:val="1"/>
      <w:numFmt w:val="decimal"/>
      <w:lvlText w:val="%1.%2.%3.%4.%5.%6.%7.%8"/>
      <w:lvlJc w:val="left"/>
      <w:pPr>
        <w:ind w:left="-1542" w:hanging="1440"/>
      </w:pPr>
      <w:rPr>
        <w:rFonts w:hint="default"/>
        <w:b w:val="0"/>
      </w:rPr>
    </w:lvl>
    <w:lvl w:ilvl="8">
      <w:start w:val="1"/>
      <w:numFmt w:val="decimal"/>
      <w:lvlText w:val="%1.%2.%3.%4.%5.%6.%7.%8.%9"/>
      <w:lvlJc w:val="left"/>
      <w:pPr>
        <w:ind w:left="-1608" w:hanging="1800"/>
      </w:pPr>
      <w:rPr>
        <w:rFonts w:hint="default"/>
        <w:b w:val="0"/>
      </w:rPr>
    </w:lvl>
  </w:abstractNum>
  <w:abstractNum w:abstractNumId="19" w15:restartNumberingAfterBreak="0">
    <w:nsid w:val="41017911"/>
    <w:multiLevelType w:val="hybridMultilevel"/>
    <w:tmpl w:val="BB10FACE"/>
    <w:lvl w:ilvl="0" w:tplc="12024C7A">
      <w:start w:val="3"/>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3A83570"/>
    <w:multiLevelType w:val="hybridMultilevel"/>
    <w:tmpl w:val="82DEF41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BD73ED"/>
    <w:multiLevelType w:val="hybridMultilevel"/>
    <w:tmpl w:val="44A49DB8"/>
    <w:lvl w:ilvl="0" w:tplc="A21C7C32">
      <w:numFmt w:val="bullet"/>
      <w:lvlText w:val="•"/>
      <w:lvlJc w:val="left"/>
      <w:pPr>
        <w:ind w:left="1440" w:hanging="360"/>
      </w:pPr>
      <w:rPr>
        <w:rFonts w:ascii="Calibri" w:eastAsia="Calibri" w:hAnsi="Calibri" w:cs="Calibri"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2" w15:restartNumberingAfterBreak="0">
    <w:nsid w:val="48F52A20"/>
    <w:multiLevelType w:val="multilevel"/>
    <w:tmpl w:val="446C595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3" w15:restartNumberingAfterBreak="0">
    <w:nsid w:val="494C2AAC"/>
    <w:multiLevelType w:val="hybridMultilevel"/>
    <w:tmpl w:val="9120FFC8"/>
    <w:lvl w:ilvl="0" w:tplc="4BD6A91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A86000"/>
    <w:multiLevelType w:val="multilevel"/>
    <w:tmpl w:val="493CE556"/>
    <w:lvl w:ilvl="0">
      <w:start w:val="1"/>
      <w:numFmt w:val="bullet"/>
      <w:pStyle w:val="2-SectionHeading"/>
      <w:lvlText w:val="-"/>
      <w:lvlJc w:val="left"/>
      <w:pPr>
        <w:ind w:left="1440" w:hanging="360"/>
      </w:pPr>
      <w:rPr>
        <w:u w:val="none"/>
      </w:rPr>
    </w:lvl>
    <w:lvl w:ilvl="1">
      <w:start w:val="1"/>
      <w:numFmt w:val="bullet"/>
      <w:pStyle w:val="3Bodytex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5915BC5"/>
    <w:multiLevelType w:val="hybridMultilevel"/>
    <w:tmpl w:val="8604E1D8"/>
    <w:lvl w:ilvl="0" w:tplc="46245BC0">
      <w:start w:val="1"/>
      <w:numFmt w:val="bullet"/>
      <w:lvlText w:val=""/>
      <w:lvlJc w:val="left"/>
      <w:pPr>
        <w:ind w:left="2160" w:hanging="360"/>
      </w:pPr>
      <w:rPr>
        <w:rFonts w:ascii="Symbol" w:hAnsi="Symbol" w:hint="default"/>
        <w:sz w:val="24"/>
        <w:szCs w:val="24"/>
      </w:rPr>
    </w:lvl>
    <w:lvl w:ilvl="1" w:tplc="28BC3446">
      <w:start w:val="1"/>
      <w:numFmt w:val="bullet"/>
      <w:lvlText w:val="o"/>
      <w:lvlJc w:val="left"/>
      <w:pPr>
        <w:ind w:left="2880" w:hanging="360"/>
      </w:pPr>
      <w:rPr>
        <w:rFonts w:ascii="Courier New" w:hAnsi="Courier New" w:cs="Courier New" w:hint="default"/>
      </w:rPr>
    </w:lvl>
    <w:lvl w:ilvl="2" w:tplc="E2EE3FFC">
      <w:start w:val="1"/>
      <w:numFmt w:val="bullet"/>
      <w:lvlText w:val=""/>
      <w:lvlJc w:val="left"/>
      <w:pPr>
        <w:ind w:left="3600" w:hanging="360"/>
      </w:pPr>
      <w:rPr>
        <w:rFonts w:ascii="Wingdings" w:hAnsi="Wingdings" w:hint="default"/>
      </w:rPr>
    </w:lvl>
    <w:lvl w:ilvl="3" w:tplc="30AECEAA" w:tentative="1">
      <w:start w:val="1"/>
      <w:numFmt w:val="bullet"/>
      <w:lvlText w:val=""/>
      <w:lvlJc w:val="left"/>
      <w:pPr>
        <w:ind w:left="4320" w:hanging="360"/>
      </w:pPr>
      <w:rPr>
        <w:rFonts w:ascii="Symbol" w:hAnsi="Symbol" w:hint="default"/>
      </w:rPr>
    </w:lvl>
    <w:lvl w:ilvl="4" w:tplc="FED270C8" w:tentative="1">
      <w:start w:val="1"/>
      <w:numFmt w:val="bullet"/>
      <w:lvlText w:val="o"/>
      <w:lvlJc w:val="left"/>
      <w:pPr>
        <w:ind w:left="5040" w:hanging="360"/>
      </w:pPr>
      <w:rPr>
        <w:rFonts w:ascii="Courier New" w:hAnsi="Courier New" w:cs="Courier New" w:hint="default"/>
      </w:rPr>
    </w:lvl>
    <w:lvl w:ilvl="5" w:tplc="3D0C6A5C" w:tentative="1">
      <w:start w:val="1"/>
      <w:numFmt w:val="bullet"/>
      <w:lvlText w:val=""/>
      <w:lvlJc w:val="left"/>
      <w:pPr>
        <w:ind w:left="5760" w:hanging="360"/>
      </w:pPr>
      <w:rPr>
        <w:rFonts w:ascii="Wingdings" w:hAnsi="Wingdings" w:hint="default"/>
      </w:rPr>
    </w:lvl>
    <w:lvl w:ilvl="6" w:tplc="B42EFA50" w:tentative="1">
      <w:start w:val="1"/>
      <w:numFmt w:val="bullet"/>
      <w:lvlText w:val=""/>
      <w:lvlJc w:val="left"/>
      <w:pPr>
        <w:ind w:left="6480" w:hanging="360"/>
      </w:pPr>
      <w:rPr>
        <w:rFonts w:ascii="Symbol" w:hAnsi="Symbol" w:hint="default"/>
      </w:rPr>
    </w:lvl>
    <w:lvl w:ilvl="7" w:tplc="89F4D5E6" w:tentative="1">
      <w:start w:val="1"/>
      <w:numFmt w:val="bullet"/>
      <w:lvlText w:val="o"/>
      <w:lvlJc w:val="left"/>
      <w:pPr>
        <w:ind w:left="7200" w:hanging="360"/>
      </w:pPr>
      <w:rPr>
        <w:rFonts w:ascii="Courier New" w:hAnsi="Courier New" w:cs="Courier New" w:hint="default"/>
      </w:rPr>
    </w:lvl>
    <w:lvl w:ilvl="8" w:tplc="6AE8C0A8" w:tentative="1">
      <w:start w:val="1"/>
      <w:numFmt w:val="bullet"/>
      <w:lvlText w:val=""/>
      <w:lvlJc w:val="left"/>
      <w:pPr>
        <w:ind w:left="7920" w:hanging="360"/>
      </w:pPr>
      <w:rPr>
        <w:rFonts w:ascii="Wingdings" w:hAnsi="Wingdings" w:hint="default"/>
      </w:rPr>
    </w:lvl>
  </w:abstractNum>
  <w:abstractNum w:abstractNumId="26" w15:restartNumberingAfterBreak="0">
    <w:nsid w:val="5D4A17AA"/>
    <w:multiLevelType w:val="hybridMultilevel"/>
    <w:tmpl w:val="0F22F8F0"/>
    <w:lvl w:ilvl="0" w:tplc="4BD6A91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1B2327"/>
    <w:multiLevelType w:val="hybridMultilevel"/>
    <w:tmpl w:val="1144BD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430E7B"/>
    <w:multiLevelType w:val="hybridMultilevel"/>
    <w:tmpl w:val="9320DC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4D19C5"/>
    <w:multiLevelType w:val="multilevel"/>
    <w:tmpl w:val="B9E4DB7A"/>
    <w:lvl w:ilvl="0">
      <w:start w:val="1"/>
      <w:numFmt w:val="bullet"/>
      <w:lvlText w:val="●"/>
      <w:lvlJc w:val="left"/>
      <w:pPr>
        <w:ind w:left="720" w:hanging="360"/>
      </w:pPr>
      <w:rPr>
        <w:rFonts w:ascii="Arial" w:eastAsia="Arial" w:hAnsi="Arial" w:cs="Arial"/>
        <w:sz w:val="26"/>
        <w:szCs w:val="26"/>
        <w:u w:val="none"/>
      </w:rPr>
    </w:lvl>
    <w:lvl w:ilvl="1">
      <w:start w:val="1"/>
      <w:numFmt w:val="bullet"/>
      <w:pStyle w:val="3-BodyTex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ABA3737"/>
    <w:multiLevelType w:val="hybridMultilevel"/>
    <w:tmpl w:val="CFD6CA7E"/>
    <w:lvl w:ilvl="0" w:tplc="12024C7A">
      <w:start w:val="3"/>
      <w:numFmt w:val="bullet"/>
      <w:lvlText w:val="-"/>
      <w:lvlJc w:val="left"/>
      <w:pPr>
        <w:ind w:left="578" w:hanging="360"/>
      </w:pPr>
      <w:rPr>
        <w:rFonts w:ascii="Calibri" w:eastAsiaTheme="minorHAnsi" w:hAnsi="Calibri" w:cs="Calibri"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31" w15:restartNumberingAfterBreak="0">
    <w:nsid w:val="6C570992"/>
    <w:multiLevelType w:val="hybridMultilevel"/>
    <w:tmpl w:val="9312BBAA"/>
    <w:lvl w:ilvl="0" w:tplc="4BD6A91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096BE3"/>
    <w:multiLevelType w:val="hybridMultilevel"/>
    <w:tmpl w:val="B73C22EC"/>
    <w:lvl w:ilvl="0" w:tplc="7040EBB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F562C7"/>
    <w:multiLevelType w:val="hybridMultilevel"/>
    <w:tmpl w:val="E19A7B0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F86F6D"/>
    <w:multiLevelType w:val="hybridMultilevel"/>
    <w:tmpl w:val="05D8A1FA"/>
    <w:lvl w:ilvl="0" w:tplc="4BD6A91A">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AC14E2"/>
    <w:multiLevelType w:val="multilevel"/>
    <w:tmpl w:val="ABCAD5AC"/>
    <w:lvl w:ilvl="0">
      <w:start w:val="4"/>
      <w:numFmt w:val="decimal"/>
      <w:lvlText w:val="%1."/>
      <w:lvlJc w:val="left"/>
      <w:pPr>
        <w:ind w:left="400" w:hanging="4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76590846"/>
    <w:multiLevelType w:val="hybridMultilevel"/>
    <w:tmpl w:val="3C12CFAE"/>
    <w:lvl w:ilvl="0" w:tplc="46245BC0">
      <w:start w:val="1"/>
      <w:numFmt w:val="bullet"/>
      <w:lvlText w:val=""/>
      <w:lvlJc w:val="left"/>
      <w:pPr>
        <w:ind w:left="2160" w:hanging="360"/>
      </w:pPr>
      <w:rPr>
        <w:rFonts w:ascii="Symbol" w:hAnsi="Symbol" w:hint="default"/>
        <w:sz w:val="24"/>
        <w:szCs w:val="24"/>
      </w:rPr>
    </w:lvl>
    <w:lvl w:ilvl="1" w:tplc="0C090001">
      <w:start w:val="1"/>
      <w:numFmt w:val="bullet"/>
      <w:lvlText w:val=""/>
      <w:lvlJc w:val="left"/>
      <w:pPr>
        <w:ind w:left="2880" w:hanging="360"/>
      </w:pPr>
      <w:rPr>
        <w:rFonts w:ascii="Symbol" w:hAnsi="Symbol" w:hint="default"/>
      </w:rPr>
    </w:lvl>
    <w:lvl w:ilvl="2" w:tplc="E2EE3FFC">
      <w:start w:val="1"/>
      <w:numFmt w:val="bullet"/>
      <w:lvlText w:val=""/>
      <w:lvlJc w:val="left"/>
      <w:pPr>
        <w:ind w:left="3600" w:hanging="360"/>
      </w:pPr>
      <w:rPr>
        <w:rFonts w:ascii="Wingdings" w:hAnsi="Wingdings" w:hint="default"/>
      </w:rPr>
    </w:lvl>
    <w:lvl w:ilvl="3" w:tplc="30AECEAA" w:tentative="1">
      <w:start w:val="1"/>
      <w:numFmt w:val="bullet"/>
      <w:lvlText w:val=""/>
      <w:lvlJc w:val="left"/>
      <w:pPr>
        <w:ind w:left="4320" w:hanging="360"/>
      </w:pPr>
      <w:rPr>
        <w:rFonts w:ascii="Symbol" w:hAnsi="Symbol" w:hint="default"/>
      </w:rPr>
    </w:lvl>
    <w:lvl w:ilvl="4" w:tplc="FED270C8" w:tentative="1">
      <w:start w:val="1"/>
      <w:numFmt w:val="bullet"/>
      <w:lvlText w:val="o"/>
      <w:lvlJc w:val="left"/>
      <w:pPr>
        <w:ind w:left="5040" w:hanging="360"/>
      </w:pPr>
      <w:rPr>
        <w:rFonts w:ascii="Courier New" w:hAnsi="Courier New" w:cs="Courier New" w:hint="default"/>
      </w:rPr>
    </w:lvl>
    <w:lvl w:ilvl="5" w:tplc="3D0C6A5C" w:tentative="1">
      <w:start w:val="1"/>
      <w:numFmt w:val="bullet"/>
      <w:lvlText w:val=""/>
      <w:lvlJc w:val="left"/>
      <w:pPr>
        <w:ind w:left="5760" w:hanging="360"/>
      </w:pPr>
      <w:rPr>
        <w:rFonts w:ascii="Wingdings" w:hAnsi="Wingdings" w:hint="default"/>
      </w:rPr>
    </w:lvl>
    <w:lvl w:ilvl="6" w:tplc="B42EFA50" w:tentative="1">
      <w:start w:val="1"/>
      <w:numFmt w:val="bullet"/>
      <w:lvlText w:val=""/>
      <w:lvlJc w:val="left"/>
      <w:pPr>
        <w:ind w:left="6480" w:hanging="360"/>
      </w:pPr>
      <w:rPr>
        <w:rFonts w:ascii="Symbol" w:hAnsi="Symbol" w:hint="default"/>
      </w:rPr>
    </w:lvl>
    <w:lvl w:ilvl="7" w:tplc="89F4D5E6" w:tentative="1">
      <w:start w:val="1"/>
      <w:numFmt w:val="bullet"/>
      <w:lvlText w:val="o"/>
      <w:lvlJc w:val="left"/>
      <w:pPr>
        <w:ind w:left="7200" w:hanging="360"/>
      </w:pPr>
      <w:rPr>
        <w:rFonts w:ascii="Courier New" w:hAnsi="Courier New" w:cs="Courier New" w:hint="default"/>
      </w:rPr>
    </w:lvl>
    <w:lvl w:ilvl="8" w:tplc="6AE8C0A8" w:tentative="1">
      <w:start w:val="1"/>
      <w:numFmt w:val="bullet"/>
      <w:lvlText w:val=""/>
      <w:lvlJc w:val="left"/>
      <w:pPr>
        <w:ind w:left="7920" w:hanging="360"/>
      </w:pPr>
      <w:rPr>
        <w:rFonts w:ascii="Wingdings" w:hAnsi="Wingdings" w:hint="default"/>
      </w:rPr>
    </w:lvl>
  </w:abstractNum>
  <w:abstractNum w:abstractNumId="37" w15:restartNumberingAfterBreak="0">
    <w:nsid w:val="7773595F"/>
    <w:multiLevelType w:val="multilevel"/>
    <w:tmpl w:val="CDACE9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8440D51"/>
    <w:multiLevelType w:val="multilevel"/>
    <w:tmpl w:val="38A6BA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84D033C"/>
    <w:multiLevelType w:val="multilevel"/>
    <w:tmpl w:val="066E1428"/>
    <w:lvl w:ilvl="0">
      <w:start w:val="1"/>
      <w:numFmt w:val="decimal"/>
      <w:lvlText w:val="%1"/>
      <w:lvlJc w:val="left"/>
      <w:pPr>
        <w:ind w:left="720" w:hanging="720"/>
      </w:pPr>
      <w:rPr>
        <w:b/>
        <w:color w:val="auto"/>
      </w:rPr>
    </w:lvl>
    <w:lvl w:ilvl="1">
      <w:start w:val="1"/>
      <w:numFmt w:val="decimal"/>
      <w:lvlText w:val="%1.%2"/>
      <w:lvlJc w:val="left"/>
      <w:pPr>
        <w:ind w:left="720" w:hanging="720"/>
      </w:pPr>
      <w:rPr>
        <w:rFonts w:asciiTheme="minorHAnsi" w:hAnsiTheme="minorHAnsi" w:cstheme="minorHAnsi" w:hint="default"/>
        <w:b w:val="0"/>
        <w:i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7B2B69F2"/>
    <w:multiLevelType w:val="hybridMultilevel"/>
    <w:tmpl w:val="7C623CC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1" w15:restartNumberingAfterBreak="0">
    <w:nsid w:val="7DE50A9D"/>
    <w:multiLevelType w:val="hybridMultilevel"/>
    <w:tmpl w:val="B48AAF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EFB3EBD"/>
    <w:multiLevelType w:val="hybridMultilevel"/>
    <w:tmpl w:val="2BF0EFA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9"/>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6"/>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4"/>
  </w:num>
  <w:num w:numId="11">
    <w:abstractNumId w:val="4"/>
  </w:num>
  <w:num w:numId="12">
    <w:abstractNumId w:val="26"/>
  </w:num>
  <w:num w:numId="13">
    <w:abstractNumId w:val="31"/>
  </w:num>
  <w:num w:numId="14">
    <w:abstractNumId w:val="23"/>
  </w:num>
  <w:num w:numId="15">
    <w:abstractNumId w:val="21"/>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9"/>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9"/>
  </w:num>
  <w:num w:numId="25">
    <w:abstractNumId w:val="30"/>
  </w:num>
  <w:num w:numId="26">
    <w:abstractNumId w:val="12"/>
  </w:num>
  <w:num w:numId="27">
    <w:abstractNumId w:val="1"/>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8"/>
  </w:num>
  <w:num w:numId="30">
    <w:abstractNumId w:val="21"/>
  </w:num>
  <w:num w:numId="31">
    <w:abstractNumId w:val="13"/>
  </w:num>
  <w:num w:numId="32">
    <w:abstractNumId w:val="22"/>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
  </w:num>
  <w:num w:numId="36">
    <w:abstractNumId w:val="32"/>
  </w:num>
  <w:num w:numId="37">
    <w:abstractNumId w:val="3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33"/>
  </w:num>
  <w:num w:numId="40">
    <w:abstractNumId w:val="42"/>
  </w:num>
  <w:num w:numId="41">
    <w:abstractNumId w:val="10"/>
  </w:num>
  <w:num w:numId="42">
    <w:abstractNumId w:val="36"/>
  </w:num>
  <w:num w:numId="43">
    <w:abstractNumId w:val="14"/>
  </w:num>
  <w:num w:numId="44">
    <w:abstractNumId w:val="28"/>
  </w:num>
  <w:num w:numId="45">
    <w:abstractNumId w:val="27"/>
  </w:num>
  <w:num w:numId="46">
    <w:abstractNumId w:val="20"/>
  </w:num>
  <w:num w:numId="47">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14"/>
    <w:rsid w:val="00000DE4"/>
    <w:rsid w:val="00002551"/>
    <w:rsid w:val="00060E62"/>
    <w:rsid w:val="00070EA3"/>
    <w:rsid w:val="000719F5"/>
    <w:rsid w:val="0007215F"/>
    <w:rsid w:val="00084281"/>
    <w:rsid w:val="00084929"/>
    <w:rsid w:val="000A3664"/>
    <w:rsid w:val="000A38BD"/>
    <w:rsid w:val="000B42FF"/>
    <w:rsid w:val="000C7A5B"/>
    <w:rsid w:val="000D255F"/>
    <w:rsid w:val="000D7261"/>
    <w:rsid w:val="000E2B3A"/>
    <w:rsid w:val="000E4A73"/>
    <w:rsid w:val="000F4232"/>
    <w:rsid w:val="00126BCB"/>
    <w:rsid w:val="00127B8B"/>
    <w:rsid w:val="00131BB9"/>
    <w:rsid w:val="0014060D"/>
    <w:rsid w:val="0014646A"/>
    <w:rsid w:val="001521E2"/>
    <w:rsid w:val="001726B8"/>
    <w:rsid w:val="00197D81"/>
    <w:rsid w:val="001A141D"/>
    <w:rsid w:val="001A5844"/>
    <w:rsid w:val="001A68B6"/>
    <w:rsid w:val="001B4843"/>
    <w:rsid w:val="001C4EE3"/>
    <w:rsid w:val="001C5622"/>
    <w:rsid w:val="001D3525"/>
    <w:rsid w:val="001D7AD1"/>
    <w:rsid w:val="001E1594"/>
    <w:rsid w:val="001E5386"/>
    <w:rsid w:val="002167DF"/>
    <w:rsid w:val="00220224"/>
    <w:rsid w:val="002213DE"/>
    <w:rsid w:val="00222ED3"/>
    <w:rsid w:val="00247E08"/>
    <w:rsid w:val="0026177E"/>
    <w:rsid w:val="002626A1"/>
    <w:rsid w:val="0027295B"/>
    <w:rsid w:val="00273CDE"/>
    <w:rsid w:val="00293F2B"/>
    <w:rsid w:val="002A6F1E"/>
    <w:rsid w:val="002B056D"/>
    <w:rsid w:val="00300025"/>
    <w:rsid w:val="00311C9A"/>
    <w:rsid w:val="00313552"/>
    <w:rsid w:val="00315D15"/>
    <w:rsid w:val="00320AEB"/>
    <w:rsid w:val="00325681"/>
    <w:rsid w:val="003432A8"/>
    <w:rsid w:val="00370247"/>
    <w:rsid w:val="003703B0"/>
    <w:rsid w:val="003775D4"/>
    <w:rsid w:val="00377C41"/>
    <w:rsid w:val="00387E36"/>
    <w:rsid w:val="003C0D84"/>
    <w:rsid w:val="003C6B2B"/>
    <w:rsid w:val="0040173E"/>
    <w:rsid w:val="0042504D"/>
    <w:rsid w:val="00430CD5"/>
    <w:rsid w:val="0046207B"/>
    <w:rsid w:val="00470D78"/>
    <w:rsid w:val="00474895"/>
    <w:rsid w:val="00477061"/>
    <w:rsid w:val="00487FF5"/>
    <w:rsid w:val="004C1207"/>
    <w:rsid w:val="004C27BE"/>
    <w:rsid w:val="005054AE"/>
    <w:rsid w:val="0052645C"/>
    <w:rsid w:val="0054169B"/>
    <w:rsid w:val="005422C6"/>
    <w:rsid w:val="00551FE6"/>
    <w:rsid w:val="005563EB"/>
    <w:rsid w:val="005602E7"/>
    <w:rsid w:val="005672DC"/>
    <w:rsid w:val="00571B61"/>
    <w:rsid w:val="00591EB3"/>
    <w:rsid w:val="005A4F06"/>
    <w:rsid w:val="005A74DF"/>
    <w:rsid w:val="005B1456"/>
    <w:rsid w:val="005B1C67"/>
    <w:rsid w:val="005B747E"/>
    <w:rsid w:val="005E305B"/>
    <w:rsid w:val="00622711"/>
    <w:rsid w:val="00632797"/>
    <w:rsid w:val="00655ABD"/>
    <w:rsid w:val="00657F70"/>
    <w:rsid w:val="006816D1"/>
    <w:rsid w:val="00685563"/>
    <w:rsid w:val="006A5DE2"/>
    <w:rsid w:val="006B7BFD"/>
    <w:rsid w:val="006C7114"/>
    <w:rsid w:val="006C7CD5"/>
    <w:rsid w:val="006F174C"/>
    <w:rsid w:val="006F4FE4"/>
    <w:rsid w:val="00737013"/>
    <w:rsid w:val="00741109"/>
    <w:rsid w:val="00743A35"/>
    <w:rsid w:val="007A3520"/>
    <w:rsid w:val="007B1D0C"/>
    <w:rsid w:val="007C2DEA"/>
    <w:rsid w:val="008478E0"/>
    <w:rsid w:val="00854F45"/>
    <w:rsid w:val="008613F6"/>
    <w:rsid w:val="00872D2C"/>
    <w:rsid w:val="00873720"/>
    <w:rsid w:val="008960CF"/>
    <w:rsid w:val="008B304A"/>
    <w:rsid w:val="008B32A1"/>
    <w:rsid w:val="008B5378"/>
    <w:rsid w:val="008C550F"/>
    <w:rsid w:val="009061BA"/>
    <w:rsid w:val="00913E72"/>
    <w:rsid w:val="00937E0C"/>
    <w:rsid w:val="0094220E"/>
    <w:rsid w:val="00942369"/>
    <w:rsid w:val="00986F6C"/>
    <w:rsid w:val="00995355"/>
    <w:rsid w:val="009965C8"/>
    <w:rsid w:val="009A2070"/>
    <w:rsid w:val="009B2200"/>
    <w:rsid w:val="009C03A3"/>
    <w:rsid w:val="009C1CBB"/>
    <w:rsid w:val="009C47F5"/>
    <w:rsid w:val="009C4E58"/>
    <w:rsid w:val="009C61A1"/>
    <w:rsid w:val="009E4E26"/>
    <w:rsid w:val="009E741D"/>
    <w:rsid w:val="009F2CD0"/>
    <w:rsid w:val="009F3ACB"/>
    <w:rsid w:val="00A021E2"/>
    <w:rsid w:val="00A0477F"/>
    <w:rsid w:val="00A04F6A"/>
    <w:rsid w:val="00A14D67"/>
    <w:rsid w:val="00A1776D"/>
    <w:rsid w:val="00A30617"/>
    <w:rsid w:val="00A350B8"/>
    <w:rsid w:val="00A37083"/>
    <w:rsid w:val="00A4674A"/>
    <w:rsid w:val="00A57B16"/>
    <w:rsid w:val="00A7674E"/>
    <w:rsid w:val="00AD040E"/>
    <w:rsid w:val="00AD336D"/>
    <w:rsid w:val="00AE3EA5"/>
    <w:rsid w:val="00B00DAB"/>
    <w:rsid w:val="00B06135"/>
    <w:rsid w:val="00B278BC"/>
    <w:rsid w:val="00B27C80"/>
    <w:rsid w:val="00B43471"/>
    <w:rsid w:val="00B75687"/>
    <w:rsid w:val="00B8329F"/>
    <w:rsid w:val="00B84FA2"/>
    <w:rsid w:val="00BC015C"/>
    <w:rsid w:val="00BD24B7"/>
    <w:rsid w:val="00BE013A"/>
    <w:rsid w:val="00BE3AE8"/>
    <w:rsid w:val="00BF2FB8"/>
    <w:rsid w:val="00C17A23"/>
    <w:rsid w:val="00C227A3"/>
    <w:rsid w:val="00C2321F"/>
    <w:rsid w:val="00C33609"/>
    <w:rsid w:val="00C422E6"/>
    <w:rsid w:val="00C442EC"/>
    <w:rsid w:val="00C44460"/>
    <w:rsid w:val="00C641B1"/>
    <w:rsid w:val="00C64334"/>
    <w:rsid w:val="00C8356A"/>
    <w:rsid w:val="00C9463B"/>
    <w:rsid w:val="00CB36F9"/>
    <w:rsid w:val="00CC447C"/>
    <w:rsid w:val="00CD35D5"/>
    <w:rsid w:val="00CD42A6"/>
    <w:rsid w:val="00CD5F38"/>
    <w:rsid w:val="00CE4C54"/>
    <w:rsid w:val="00CF2850"/>
    <w:rsid w:val="00D00B6A"/>
    <w:rsid w:val="00D14D95"/>
    <w:rsid w:val="00D201C9"/>
    <w:rsid w:val="00D22999"/>
    <w:rsid w:val="00D26338"/>
    <w:rsid w:val="00D50457"/>
    <w:rsid w:val="00D63EA6"/>
    <w:rsid w:val="00D8037E"/>
    <w:rsid w:val="00D8234A"/>
    <w:rsid w:val="00D86281"/>
    <w:rsid w:val="00D95497"/>
    <w:rsid w:val="00D96B4B"/>
    <w:rsid w:val="00DA6256"/>
    <w:rsid w:val="00DD10DF"/>
    <w:rsid w:val="00DD3345"/>
    <w:rsid w:val="00DD6F70"/>
    <w:rsid w:val="00DE0537"/>
    <w:rsid w:val="00DE1215"/>
    <w:rsid w:val="00DE14D1"/>
    <w:rsid w:val="00DE2C0B"/>
    <w:rsid w:val="00DE4971"/>
    <w:rsid w:val="00E01B27"/>
    <w:rsid w:val="00E02E26"/>
    <w:rsid w:val="00E410F2"/>
    <w:rsid w:val="00E45BB8"/>
    <w:rsid w:val="00E47B3F"/>
    <w:rsid w:val="00E72CC1"/>
    <w:rsid w:val="00E732D9"/>
    <w:rsid w:val="00E73939"/>
    <w:rsid w:val="00E9009B"/>
    <w:rsid w:val="00EB61B0"/>
    <w:rsid w:val="00EC0190"/>
    <w:rsid w:val="00ED6DA8"/>
    <w:rsid w:val="00EE3CC5"/>
    <w:rsid w:val="00EF25BD"/>
    <w:rsid w:val="00F13664"/>
    <w:rsid w:val="00F15AD5"/>
    <w:rsid w:val="00F472B2"/>
    <w:rsid w:val="00F56920"/>
    <w:rsid w:val="00F879A6"/>
    <w:rsid w:val="00F934E4"/>
    <w:rsid w:val="00FB30A6"/>
    <w:rsid w:val="00FB50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CD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AU" w:eastAsia="en-A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938"/>
  </w:style>
  <w:style w:type="paragraph" w:styleId="Heading1">
    <w:name w:val="heading 1"/>
    <w:basedOn w:val="ListParagraph"/>
    <w:next w:val="Normal"/>
    <w:link w:val="Heading1Char"/>
    <w:uiPriority w:val="9"/>
    <w:qFormat/>
    <w:rsid w:val="00C603D4"/>
    <w:pPr>
      <w:ind w:left="0"/>
      <w:outlineLvl w:val="0"/>
    </w:pPr>
    <w:rPr>
      <w:b/>
      <w:szCs w:val="22"/>
    </w:rPr>
  </w:style>
  <w:style w:type="paragraph" w:styleId="Heading2">
    <w:name w:val="heading 2"/>
    <w:aliases w:val="Subsection Headings"/>
    <w:basedOn w:val="Normal"/>
    <w:next w:val="Normal"/>
    <w:link w:val="Heading2Char"/>
    <w:uiPriority w:val="9"/>
    <w:semiHidden/>
    <w:unhideWhenUsed/>
    <w:qFormat/>
    <w:rsid w:val="00B1059E"/>
    <w:pPr>
      <w:keepNext/>
      <w:outlineLvl w:val="1"/>
    </w:pPr>
    <w:rPr>
      <w:rFonts w:ascii="Arial" w:hAnsi="Arial"/>
      <w:b/>
      <w:i/>
      <w:sz w:val="22"/>
    </w:rPr>
  </w:style>
  <w:style w:type="paragraph" w:styleId="Heading3">
    <w:name w:val="heading 3"/>
    <w:basedOn w:val="Normal"/>
    <w:next w:val="Normal"/>
    <w:link w:val="Heading3Char"/>
    <w:uiPriority w:val="9"/>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Dossier table,Summary box,Table Gridbeth,CMA Table Template,ASD Table,new style,PBAC table,Header Table,NICE instructions,Source table_,HTAtableplain"/>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4"/>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link w:val="TableHeadingChar"/>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next w:val="Normal"/>
    <w:link w:val="SubtitleChar"/>
    <w:uiPriority w:val="11"/>
    <w:qFormat/>
    <w:rPr>
      <w:sz w:val="20"/>
      <w:szCs w:val="20"/>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Bullets,CV text,Dot pt,Bullet 1"/>
    <w:next w:val="ListBullet"/>
    <w:link w:val="ListParagraphChar"/>
    <w:uiPriority w:val="34"/>
    <w:qFormat/>
    <w:rsid w:val="00446938"/>
    <w:pPr>
      <w:spacing w:after="120"/>
      <w:ind w:left="1134" w:hanging="357"/>
    </w:pPr>
    <w:rPr>
      <w:rFonts w:asciiTheme="minorHAnsi" w:hAnsiTheme="minorHAnsi" w:cs="Arial"/>
      <w:snapToGrid w:val="0"/>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4"/>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lang w:val="en-US"/>
    </w:rPr>
  </w:style>
  <w:style w:type="paragraph" w:customStyle="1" w:styleId="2-SectionHeading">
    <w:name w:val="2-Section Heading"/>
    <w:qFormat/>
    <w:rsid w:val="00446938"/>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ind w:left="720" w:hanging="720"/>
    </w:pPr>
    <w:rPr>
      <w:rFonts w:asciiTheme="minorHAnsi" w:eastAsiaTheme="minorHAnsi" w:hAnsiTheme="minorHAnsi" w:cstheme="minorBidi"/>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tabs>
        <w:tab w:val="num" w:pos="720"/>
      </w:tabs>
      <w:ind w:left="720" w:hanging="720"/>
      <w:contextualSpacing/>
    </w:pPr>
  </w:style>
  <w:style w:type="paragraph" w:styleId="Revision">
    <w:name w:val="Revision"/>
    <w:hidden/>
    <w:uiPriority w:val="71"/>
    <w:semiHidden/>
    <w:rsid w:val="00DF021D"/>
  </w:style>
  <w:style w:type="paragraph" w:customStyle="1" w:styleId="Default">
    <w:name w:val="Default"/>
    <w:rsid w:val="000B7767"/>
    <w:pPr>
      <w:autoSpaceDE w:val="0"/>
      <w:autoSpaceDN w:val="0"/>
      <w:adjustRightInd w:val="0"/>
    </w:pPr>
    <w:rPr>
      <w:color w:val="000000"/>
    </w:rPr>
  </w:style>
  <w:style w:type="paragraph" w:styleId="ListBullet2">
    <w:name w:val="List Bullet 2"/>
    <w:basedOn w:val="Normal"/>
    <w:semiHidden/>
    <w:unhideWhenUsed/>
    <w:rsid w:val="00B313A0"/>
    <w:pPr>
      <w:tabs>
        <w:tab w:val="num" w:pos="720"/>
      </w:tabs>
      <w:ind w:left="720" w:hanging="720"/>
      <w:contextualSpacing/>
    </w:pPr>
  </w:style>
  <w:style w:type="character" w:customStyle="1" w:styleId="TableHeadingChar">
    <w:name w:val="TableHeading Char"/>
    <w:link w:val="TableHeading"/>
    <w:rsid w:val="00375910"/>
    <w:rPr>
      <w:rFonts w:ascii="Arial Narrow" w:hAnsi="Arial Narrow" w:cs="Arial Narrow"/>
      <w:b/>
      <w:bCs/>
      <w:lang w:eastAsia="en-US"/>
    </w:rPr>
  </w:style>
  <w:style w:type="paragraph" w:customStyle="1" w:styleId="TFAbbrevs0">
    <w:name w:val="TFAbbrevs+0"/>
    <w:basedOn w:val="Normal"/>
    <w:qFormat/>
    <w:rsid w:val="00375910"/>
    <w:pPr>
      <w:keepNext/>
      <w:keepLines/>
      <w:jc w:val="left"/>
    </w:pPr>
    <w:rPr>
      <w:rFonts w:ascii="Arial Narrow" w:hAnsi="Arial Narrow"/>
      <w:color w:val="000000"/>
      <w:sz w:val="18"/>
      <w:szCs w:val="18"/>
    </w:rPr>
  </w:style>
  <w:style w:type="table" w:customStyle="1" w:styleId="OPTUMTableNormal">
    <w:name w:val="OPTUM Table Normal"/>
    <w:basedOn w:val="TableNormal"/>
    <w:rsid w:val="00375910"/>
    <w:pPr>
      <w:spacing w:before="40" w:after="20"/>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4Bodytextnumbered">
    <w:name w:val="4. Body text numbered"/>
    <w:basedOn w:val="ListParagraph"/>
    <w:qFormat/>
    <w:rsid w:val="007D067C"/>
    <w:pPr>
      <w:ind w:left="720" w:hanging="720"/>
    </w:pPr>
    <w:rPr>
      <w:rFonts w:eastAsiaTheme="minorHAnsi" w:cstheme="minorBidi"/>
      <w:snapToGrid/>
      <w:szCs w:val="22"/>
      <w:lang w:eastAsia="en-US"/>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
    <w:link w:val="Caption"/>
    <w:locked/>
    <w:rsid w:val="00FC68A0"/>
    <w:rPr>
      <w:rFonts w:ascii="Calibri" w:hAnsi="Calibri"/>
      <w:i/>
      <w:iCs/>
      <w:color w:val="000000" w:themeColor="text1"/>
      <w:sz w:val="18"/>
      <w:szCs w:val="18"/>
    </w:rPr>
  </w:style>
  <w:style w:type="paragraph" w:customStyle="1" w:styleId="QuoteBodyText">
    <w:name w:val="QuoteBodyText"/>
    <w:basedOn w:val="Quote"/>
    <w:next w:val="BodyText"/>
    <w:uiPriority w:val="6"/>
    <w:qFormat/>
    <w:rsid w:val="00EC0503"/>
    <w:pPr>
      <w:spacing w:before="120" w:after="120" w:line="276" w:lineRule="auto"/>
      <w:ind w:left="1134" w:right="851"/>
      <w:jc w:val="left"/>
    </w:pPr>
    <w:rPr>
      <w:rFonts w:asciiTheme="minorHAnsi" w:eastAsiaTheme="minorHAnsi" w:hAnsiTheme="minorHAnsi" w:cs="Tahoma"/>
      <w:i w:val="0"/>
      <w:color w:val="000000" w:themeColor="text1"/>
      <w:sz w:val="22"/>
      <w:szCs w:val="22"/>
      <w:lang w:eastAsia="en-US"/>
    </w:rPr>
  </w:style>
  <w:style w:type="paragraph" w:customStyle="1" w:styleId="Tablebulletlist">
    <w:name w:val="Table bullet list"/>
    <w:basedOn w:val="Normal"/>
    <w:qFormat/>
    <w:rsid w:val="00EC0503"/>
    <w:pPr>
      <w:widowControl w:val="0"/>
      <w:tabs>
        <w:tab w:val="left" w:pos="464"/>
        <w:tab w:val="num" w:pos="720"/>
      </w:tabs>
      <w:spacing w:before="34"/>
      <w:ind w:left="720" w:hanging="720"/>
      <w:jc w:val="left"/>
    </w:pPr>
    <w:rPr>
      <w:rFonts w:asciiTheme="minorHAnsi" w:hAnsiTheme="minorHAnsi"/>
      <w:sz w:val="18"/>
      <w:szCs w:val="18"/>
      <w:lang w:val="en-US"/>
    </w:rPr>
  </w:style>
  <w:style w:type="paragraph" w:customStyle="1" w:styleId="Tablenotes0">
    <w:name w:val="Tablenotes"/>
    <w:basedOn w:val="Normal"/>
    <w:link w:val="TablenotesChar"/>
    <w:qFormat/>
    <w:rsid w:val="00EC0503"/>
    <w:pPr>
      <w:widowControl w:val="0"/>
      <w:spacing w:after="360"/>
      <w:contextualSpacing/>
    </w:pPr>
    <w:rPr>
      <w:rFonts w:ascii="Arial Narrow" w:hAnsi="Arial Narrow" w:cs="Arial"/>
      <w:snapToGrid w:val="0"/>
      <w:sz w:val="18"/>
      <w:szCs w:val="20"/>
      <w:lang w:eastAsia="en-US"/>
    </w:rPr>
  </w:style>
  <w:style w:type="character" w:customStyle="1" w:styleId="TablenotesChar">
    <w:name w:val="Tablenotes Char"/>
    <w:basedOn w:val="DefaultParagraphFont"/>
    <w:link w:val="Tablenotes0"/>
    <w:rsid w:val="00EC0503"/>
    <w:rPr>
      <w:rFonts w:ascii="Arial Narrow" w:eastAsia="Calibri" w:hAnsi="Arial Narrow" w:cs="Arial"/>
      <w:snapToGrid w:val="0"/>
      <w:sz w:val="18"/>
      <w:lang w:eastAsia="en-US"/>
    </w:rPr>
  </w:style>
  <w:style w:type="paragraph" w:styleId="Quote">
    <w:name w:val="Quote"/>
    <w:basedOn w:val="Normal"/>
    <w:next w:val="Normal"/>
    <w:link w:val="QuoteChar"/>
    <w:uiPriority w:val="73"/>
    <w:rsid w:val="00EC0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EC0503"/>
    <w:rPr>
      <w:rFonts w:ascii="Calibri" w:hAnsi="Calibri"/>
      <w:i/>
      <w:iCs/>
      <w:color w:val="404040" w:themeColor="text1" w:themeTint="BF"/>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before="40" w:after="20"/>
    </w:pPr>
    <w:rPr>
      <w:color w:val="365F91"/>
      <w:sz w:val="18"/>
      <w:szCs w:val="18"/>
    </w:rPr>
    <w:tblPr>
      <w:tblStyleRowBandSize w:val="1"/>
      <w:tblStyleColBandSize w:val="1"/>
      <w:tblCellMar>
        <w:left w:w="85" w:type="dxa"/>
        <w:right w:w="85" w:type="dxa"/>
      </w:tblCellMar>
    </w:tblPr>
    <w:tblStylePr w:type="firstRow">
      <w:rPr>
        <w:rFonts w:ascii="Calibri" w:eastAsia="Calibri" w:hAnsi="Calibri" w:cs="Calibri"/>
        <w:b w:val="0"/>
        <w:sz w:val="22"/>
        <w:szCs w:val="22"/>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tcPr>
    </w:tblStyle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before="40" w:after="20"/>
    </w:pPr>
    <w:rPr>
      <w:color w:val="365F91"/>
      <w:sz w:val="18"/>
      <w:szCs w:val="18"/>
    </w:rPr>
    <w:tblPr>
      <w:tblStyleRowBandSize w:val="1"/>
      <w:tblStyleColBandSize w:val="1"/>
      <w:tblCellMar>
        <w:left w:w="115" w:type="dxa"/>
        <w:right w:w="115" w:type="dxa"/>
      </w:tblCellMar>
    </w:tblPr>
  </w:style>
  <w:style w:type="table" w:customStyle="1" w:styleId="a6">
    <w:basedOn w:val="TableNormal"/>
    <w:pPr>
      <w:spacing w:before="40" w:after="20"/>
    </w:pPr>
    <w:rPr>
      <w:color w:val="365F91"/>
      <w:sz w:val="18"/>
      <w:szCs w:val="18"/>
    </w:rPr>
    <w:tblPr>
      <w:tblStyleRowBandSize w:val="1"/>
      <w:tblStyleColBandSize w:val="1"/>
      <w:tblCellMar>
        <w:left w:w="115" w:type="dxa"/>
        <w:right w:w="115" w:type="dxa"/>
      </w:tblCellMar>
    </w:tblPr>
  </w:style>
  <w:style w:type="table" w:customStyle="1" w:styleId="a7">
    <w:basedOn w:val="TableNormal"/>
    <w:pPr>
      <w:spacing w:before="40" w:after="20"/>
    </w:pPr>
    <w:rPr>
      <w:color w:val="365F91"/>
      <w:sz w:val="18"/>
      <w:szCs w:val="18"/>
    </w:rPr>
    <w:tblPr>
      <w:tblStyleRowBandSize w:val="1"/>
      <w:tblStyleColBandSize w:val="1"/>
      <w:tblCellMar>
        <w:left w:w="115" w:type="dxa"/>
        <w:right w:w="115" w:type="dxa"/>
      </w:tblCellMar>
    </w:tblPr>
    <w:tblStylePr w:type="firstRow">
      <w:rPr>
        <w:rFonts w:ascii="Calibri" w:eastAsia="Calibri" w:hAnsi="Calibri" w:cs="Calibri"/>
        <w:b w:val="0"/>
        <w:sz w:val="22"/>
        <w:szCs w:val="22"/>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tcPr>
    </w:tblStylePr>
  </w:style>
  <w:style w:type="table" w:customStyle="1" w:styleId="a8">
    <w:basedOn w:val="TableNormal"/>
    <w:pPr>
      <w:spacing w:before="40" w:after="20"/>
    </w:pPr>
    <w:rPr>
      <w:color w:val="365F91"/>
      <w:sz w:val="18"/>
      <w:szCs w:val="18"/>
    </w:rPr>
    <w:tblPr>
      <w:tblStyleRowBandSize w:val="1"/>
      <w:tblStyleColBandSize w:val="1"/>
      <w:tblCellMar>
        <w:left w:w="115" w:type="dxa"/>
        <w:right w:w="115" w:type="dxa"/>
      </w:tblCellMar>
    </w:tblPr>
  </w:style>
  <w:style w:type="table" w:customStyle="1" w:styleId="a9">
    <w:basedOn w:val="TableNormal"/>
    <w:pPr>
      <w:spacing w:before="40" w:after="20"/>
    </w:pPr>
    <w:rPr>
      <w:color w:val="365F91"/>
      <w:sz w:val="18"/>
      <w:szCs w:val="18"/>
    </w:rPr>
    <w:tblPr>
      <w:tblStyleRowBandSize w:val="1"/>
      <w:tblStyleColBandSize w:val="1"/>
      <w:tblCellMar>
        <w:left w:w="115" w:type="dxa"/>
        <w:right w:w="115" w:type="dxa"/>
      </w:tblCellMar>
    </w:tblPr>
  </w:style>
  <w:style w:type="table" w:customStyle="1" w:styleId="aa">
    <w:basedOn w:val="TableNormal"/>
    <w:pPr>
      <w:spacing w:before="40" w:after="20"/>
    </w:pPr>
    <w:rPr>
      <w:color w:val="365F91"/>
      <w:sz w:val="18"/>
      <w:szCs w:val="18"/>
    </w:r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D201C9"/>
    <w:rPr>
      <w:rFonts w:ascii="Times New Roman" w:hAnsi="Times New Roman" w:cs="Times New Roman"/>
    </w:rPr>
  </w:style>
  <w:style w:type="character" w:customStyle="1" w:styleId="UnresolvedMention1">
    <w:name w:val="Unresolved Mention1"/>
    <w:basedOn w:val="DefaultParagraphFont"/>
    <w:uiPriority w:val="99"/>
    <w:semiHidden/>
    <w:unhideWhenUsed/>
    <w:rsid w:val="004C1207"/>
    <w:rPr>
      <w:color w:val="605E5C"/>
      <w:shd w:val="clear" w:color="auto" w:fill="E1DFDD"/>
    </w:rPr>
  </w:style>
  <w:style w:type="character" w:styleId="Strong">
    <w:name w:val="Strong"/>
    <w:basedOn w:val="DefaultParagraphFont"/>
    <w:uiPriority w:val="22"/>
    <w:qFormat/>
    <w:rsid w:val="006F4FE4"/>
    <w:rPr>
      <w:b/>
      <w:bCs/>
    </w:rPr>
  </w:style>
  <w:style w:type="character" w:styleId="Emphasis">
    <w:name w:val="Emphasis"/>
    <w:basedOn w:val="DefaultParagraphFont"/>
    <w:uiPriority w:val="20"/>
    <w:qFormat/>
    <w:rsid w:val="006F4FE4"/>
    <w:rPr>
      <w:i/>
      <w:iCs/>
    </w:rPr>
  </w:style>
  <w:style w:type="character" w:customStyle="1" w:styleId="apple-converted-space">
    <w:name w:val="apple-converted-space"/>
    <w:basedOn w:val="DefaultParagraphFont"/>
    <w:rsid w:val="0042504D"/>
  </w:style>
  <w:style w:type="paragraph" w:customStyle="1" w:styleId="paragraph">
    <w:name w:val="paragraph"/>
    <w:basedOn w:val="Normal"/>
    <w:rsid w:val="0042504D"/>
    <w:pPr>
      <w:spacing w:before="100" w:beforeAutospacing="1" w:after="100" w:afterAutospacing="1"/>
      <w:jc w:val="left"/>
    </w:pPr>
    <w:rPr>
      <w:rFonts w:ascii="Times New Roman" w:eastAsia="Times New Roman" w:hAnsi="Times New Roman" w:cs="Times New Roman"/>
      <w:lang w:eastAsia="en-GB"/>
    </w:rPr>
  </w:style>
  <w:style w:type="character" w:customStyle="1" w:styleId="TablecaptionChar">
    <w:name w:val="Table caption Char"/>
    <w:basedOn w:val="DefaultParagraphFont"/>
    <w:link w:val="Tablecaption"/>
    <w:locked/>
    <w:rsid w:val="0042504D"/>
    <w:rPr>
      <w:rFonts w:ascii="Arial Narrow" w:eastAsiaTheme="minorHAnsi" w:hAnsi="Arial Narrow" w:cs="Arial"/>
      <w:b/>
      <w:bCs/>
      <w:iCs/>
      <w:sz w:val="22"/>
      <w:lang w:eastAsia="en-US"/>
    </w:rPr>
  </w:style>
  <w:style w:type="paragraph" w:customStyle="1" w:styleId="Tablecaption">
    <w:name w:val="Table caption"/>
    <w:basedOn w:val="Caption"/>
    <w:link w:val="TablecaptionChar"/>
    <w:qFormat/>
    <w:rsid w:val="0042504D"/>
    <w:pPr>
      <w:keepNext/>
      <w:spacing w:after="40" w:line="256" w:lineRule="auto"/>
      <w:ind w:left="851" w:hanging="851"/>
    </w:pPr>
    <w:rPr>
      <w:rFonts w:ascii="Arial Narrow" w:eastAsiaTheme="minorHAnsi" w:hAnsi="Arial Narrow" w:cs="Arial"/>
      <w:b/>
      <w:bCs/>
      <w:i w:val="0"/>
      <w:color w:val="auto"/>
      <w:sz w:val="22"/>
      <w:szCs w:val="24"/>
      <w:lang w:eastAsia="en-US"/>
    </w:rPr>
  </w:style>
  <w:style w:type="character" w:customStyle="1" w:styleId="TablenotesChar0">
    <w:name w:val="Table notes Char"/>
    <w:basedOn w:val="DefaultParagraphFont"/>
    <w:link w:val="Tablenotes1"/>
    <w:locked/>
    <w:rsid w:val="0042504D"/>
    <w:rPr>
      <w:rFonts w:ascii="Arial Narrow" w:eastAsiaTheme="minorHAnsi" w:hAnsi="Arial Narrow" w:cs="Arial"/>
      <w:szCs w:val="22"/>
      <w:lang w:eastAsia="en-US"/>
    </w:rPr>
  </w:style>
  <w:style w:type="paragraph" w:customStyle="1" w:styleId="Tablenotes1">
    <w:name w:val="Table notes"/>
    <w:basedOn w:val="Normal"/>
    <w:link w:val="TablenotesChar0"/>
    <w:qFormat/>
    <w:rsid w:val="0042504D"/>
    <w:pPr>
      <w:spacing w:after="240" w:line="256" w:lineRule="auto"/>
      <w:contextualSpacing/>
      <w:jc w:val="left"/>
    </w:pPr>
    <w:rPr>
      <w:rFonts w:ascii="Arial Narrow" w:eastAsiaTheme="minorHAnsi" w:hAnsi="Arial Narrow" w:cs="Arial"/>
      <w:szCs w:val="22"/>
      <w:lang w:eastAsia="en-US"/>
    </w:rPr>
  </w:style>
  <w:style w:type="character" w:customStyle="1" w:styleId="normaltextrun">
    <w:name w:val="normaltextrun"/>
    <w:basedOn w:val="DefaultParagraphFont"/>
    <w:rsid w:val="0042504D"/>
  </w:style>
  <w:style w:type="character" w:customStyle="1" w:styleId="eop">
    <w:name w:val="eop"/>
    <w:basedOn w:val="DefaultParagraphFont"/>
    <w:rsid w:val="00425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89903">
      <w:bodyDiv w:val="1"/>
      <w:marLeft w:val="0"/>
      <w:marRight w:val="0"/>
      <w:marTop w:val="0"/>
      <w:marBottom w:val="0"/>
      <w:divBdr>
        <w:top w:val="none" w:sz="0" w:space="0" w:color="auto"/>
        <w:left w:val="none" w:sz="0" w:space="0" w:color="auto"/>
        <w:bottom w:val="none" w:sz="0" w:space="0" w:color="auto"/>
        <w:right w:val="none" w:sz="0" w:space="0" w:color="auto"/>
      </w:divBdr>
    </w:div>
    <w:div w:id="95753722">
      <w:bodyDiv w:val="1"/>
      <w:marLeft w:val="0"/>
      <w:marRight w:val="0"/>
      <w:marTop w:val="0"/>
      <w:marBottom w:val="0"/>
      <w:divBdr>
        <w:top w:val="none" w:sz="0" w:space="0" w:color="auto"/>
        <w:left w:val="none" w:sz="0" w:space="0" w:color="auto"/>
        <w:bottom w:val="none" w:sz="0" w:space="0" w:color="auto"/>
        <w:right w:val="none" w:sz="0" w:space="0" w:color="auto"/>
      </w:divBdr>
    </w:div>
    <w:div w:id="175702101">
      <w:bodyDiv w:val="1"/>
      <w:marLeft w:val="0"/>
      <w:marRight w:val="0"/>
      <w:marTop w:val="0"/>
      <w:marBottom w:val="0"/>
      <w:divBdr>
        <w:top w:val="none" w:sz="0" w:space="0" w:color="auto"/>
        <w:left w:val="none" w:sz="0" w:space="0" w:color="auto"/>
        <w:bottom w:val="none" w:sz="0" w:space="0" w:color="auto"/>
        <w:right w:val="none" w:sz="0" w:space="0" w:color="auto"/>
      </w:divBdr>
    </w:div>
    <w:div w:id="201141114">
      <w:bodyDiv w:val="1"/>
      <w:marLeft w:val="0"/>
      <w:marRight w:val="0"/>
      <w:marTop w:val="0"/>
      <w:marBottom w:val="0"/>
      <w:divBdr>
        <w:top w:val="none" w:sz="0" w:space="0" w:color="auto"/>
        <w:left w:val="none" w:sz="0" w:space="0" w:color="auto"/>
        <w:bottom w:val="none" w:sz="0" w:space="0" w:color="auto"/>
        <w:right w:val="none" w:sz="0" w:space="0" w:color="auto"/>
      </w:divBdr>
    </w:div>
    <w:div w:id="321929073">
      <w:bodyDiv w:val="1"/>
      <w:marLeft w:val="0"/>
      <w:marRight w:val="0"/>
      <w:marTop w:val="0"/>
      <w:marBottom w:val="0"/>
      <w:divBdr>
        <w:top w:val="none" w:sz="0" w:space="0" w:color="auto"/>
        <w:left w:val="none" w:sz="0" w:space="0" w:color="auto"/>
        <w:bottom w:val="none" w:sz="0" w:space="0" w:color="auto"/>
        <w:right w:val="none" w:sz="0" w:space="0" w:color="auto"/>
      </w:divBdr>
    </w:div>
    <w:div w:id="323163691">
      <w:bodyDiv w:val="1"/>
      <w:marLeft w:val="0"/>
      <w:marRight w:val="0"/>
      <w:marTop w:val="0"/>
      <w:marBottom w:val="0"/>
      <w:divBdr>
        <w:top w:val="none" w:sz="0" w:space="0" w:color="auto"/>
        <w:left w:val="none" w:sz="0" w:space="0" w:color="auto"/>
        <w:bottom w:val="none" w:sz="0" w:space="0" w:color="auto"/>
        <w:right w:val="none" w:sz="0" w:space="0" w:color="auto"/>
      </w:divBdr>
    </w:div>
    <w:div w:id="332801671">
      <w:bodyDiv w:val="1"/>
      <w:marLeft w:val="0"/>
      <w:marRight w:val="0"/>
      <w:marTop w:val="0"/>
      <w:marBottom w:val="0"/>
      <w:divBdr>
        <w:top w:val="none" w:sz="0" w:space="0" w:color="auto"/>
        <w:left w:val="none" w:sz="0" w:space="0" w:color="auto"/>
        <w:bottom w:val="none" w:sz="0" w:space="0" w:color="auto"/>
        <w:right w:val="none" w:sz="0" w:space="0" w:color="auto"/>
      </w:divBdr>
    </w:div>
    <w:div w:id="433791877">
      <w:bodyDiv w:val="1"/>
      <w:marLeft w:val="0"/>
      <w:marRight w:val="0"/>
      <w:marTop w:val="0"/>
      <w:marBottom w:val="0"/>
      <w:divBdr>
        <w:top w:val="none" w:sz="0" w:space="0" w:color="auto"/>
        <w:left w:val="none" w:sz="0" w:space="0" w:color="auto"/>
        <w:bottom w:val="none" w:sz="0" w:space="0" w:color="auto"/>
        <w:right w:val="none" w:sz="0" w:space="0" w:color="auto"/>
      </w:divBdr>
    </w:div>
    <w:div w:id="564218577">
      <w:bodyDiv w:val="1"/>
      <w:marLeft w:val="0"/>
      <w:marRight w:val="0"/>
      <w:marTop w:val="0"/>
      <w:marBottom w:val="0"/>
      <w:divBdr>
        <w:top w:val="none" w:sz="0" w:space="0" w:color="auto"/>
        <w:left w:val="none" w:sz="0" w:space="0" w:color="auto"/>
        <w:bottom w:val="none" w:sz="0" w:space="0" w:color="auto"/>
        <w:right w:val="none" w:sz="0" w:space="0" w:color="auto"/>
      </w:divBdr>
    </w:div>
    <w:div w:id="769394288">
      <w:bodyDiv w:val="1"/>
      <w:marLeft w:val="0"/>
      <w:marRight w:val="0"/>
      <w:marTop w:val="0"/>
      <w:marBottom w:val="0"/>
      <w:divBdr>
        <w:top w:val="none" w:sz="0" w:space="0" w:color="auto"/>
        <w:left w:val="none" w:sz="0" w:space="0" w:color="auto"/>
        <w:bottom w:val="none" w:sz="0" w:space="0" w:color="auto"/>
        <w:right w:val="none" w:sz="0" w:space="0" w:color="auto"/>
      </w:divBdr>
    </w:div>
    <w:div w:id="914169187">
      <w:bodyDiv w:val="1"/>
      <w:marLeft w:val="0"/>
      <w:marRight w:val="0"/>
      <w:marTop w:val="0"/>
      <w:marBottom w:val="0"/>
      <w:divBdr>
        <w:top w:val="none" w:sz="0" w:space="0" w:color="auto"/>
        <w:left w:val="none" w:sz="0" w:space="0" w:color="auto"/>
        <w:bottom w:val="none" w:sz="0" w:space="0" w:color="auto"/>
        <w:right w:val="none" w:sz="0" w:space="0" w:color="auto"/>
      </w:divBdr>
    </w:div>
    <w:div w:id="1184710284">
      <w:bodyDiv w:val="1"/>
      <w:marLeft w:val="0"/>
      <w:marRight w:val="0"/>
      <w:marTop w:val="0"/>
      <w:marBottom w:val="0"/>
      <w:divBdr>
        <w:top w:val="none" w:sz="0" w:space="0" w:color="auto"/>
        <w:left w:val="none" w:sz="0" w:space="0" w:color="auto"/>
        <w:bottom w:val="none" w:sz="0" w:space="0" w:color="auto"/>
        <w:right w:val="none" w:sz="0" w:space="0" w:color="auto"/>
      </w:divBdr>
    </w:div>
    <w:div w:id="1550145610">
      <w:bodyDiv w:val="1"/>
      <w:marLeft w:val="0"/>
      <w:marRight w:val="0"/>
      <w:marTop w:val="0"/>
      <w:marBottom w:val="0"/>
      <w:divBdr>
        <w:top w:val="none" w:sz="0" w:space="0" w:color="auto"/>
        <w:left w:val="none" w:sz="0" w:space="0" w:color="auto"/>
        <w:bottom w:val="none" w:sz="0" w:space="0" w:color="auto"/>
        <w:right w:val="none" w:sz="0" w:space="0" w:color="auto"/>
      </w:divBdr>
    </w:div>
    <w:div w:id="1605990478">
      <w:bodyDiv w:val="1"/>
      <w:marLeft w:val="0"/>
      <w:marRight w:val="0"/>
      <w:marTop w:val="0"/>
      <w:marBottom w:val="0"/>
      <w:divBdr>
        <w:top w:val="none" w:sz="0" w:space="0" w:color="auto"/>
        <w:left w:val="none" w:sz="0" w:space="0" w:color="auto"/>
        <w:bottom w:val="none" w:sz="0" w:space="0" w:color="auto"/>
        <w:right w:val="none" w:sz="0" w:space="0" w:color="auto"/>
      </w:divBdr>
    </w:div>
    <w:div w:id="2077390193">
      <w:bodyDiv w:val="1"/>
      <w:marLeft w:val="0"/>
      <w:marRight w:val="0"/>
      <w:marTop w:val="0"/>
      <w:marBottom w:val="0"/>
      <w:divBdr>
        <w:top w:val="none" w:sz="0" w:space="0" w:color="auto"/>
        <w:left w:val="none" w:sz="0" w:space="0" w:color="auto"/>
        <w:bottom w:val="none" w:sz="0" w:space="0" w:color="auto"/>
        <w:right w:val="none" w:sz="0" w:space="0" w:color="auto"/>
      </w:divBdr>
    </w:div>
    <w:div w:id="209331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fivp9IRhidO266dWNVUe6aDC2A==">AMUW2mXhopLVRy89e3jO3vuxViAMvIL86Qv90pjs0RVkJN5laCtaKgJqYmqGGe7d7rwpdpCt2Cleia1jEHXOUzHwBkbdNnrzELgG1utbvq16qRDKDEW52sqfSBMGhOtI/dKcx+0xLs0dIhqE8pPZbaYBFCKxRcYyuSOro68tnu8nLHwS2gcK1Wc=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2022-04-07T23:25:00Z</dcterms:created>
  <dcterms:modified xsi:type="dcterms:W3CDTF">2022-04-07T23:25:00Z</dcterms:modified>
</cp:coreProperties>
</file>