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65A2" w14:textId="413A7963" w:rsidR="00130C6E" w:rsidRPr="00130C6E" w:rsidRDefault="00130C6E" w:rsidP="007F739F">
      <w:pPr>
        <w:jc w:val="center"/>
        <w:rPr>
          <w:rFonts w:ascii="Arial" w:hAnsi="Arial" w:cs="Arial"/>
          <w:b/>
          <w:bCs/>
          <w:sz w:val="22"/>
          <w:szCs w:val="22"/>
        </w:rPr>
      </w:pPr>
      <w:r w:rsidRPr="00130C6E">
        <w:rPr>
          <w:rFonts w:ascii="Arial" w:hAnsi="Arial" w:cs="Arial"/>
          <w:b/>
          <w:bCs/>
          <w:sz w:val="22"/>
          <w:szCs w:val="22"/>
        </w:rPr>
        <w:t>Esketamine Stakeholder Meeting Outcome Statement</w:t>
      </w:r>
    </w:p>
    <w:p w14:paraId="700BFBD8" w14:textId="4C725B0F" w:rsidR="00130C6E" w:rsidRDefault="00130C6E" w:rsidP="007F739F">
      <w:pPr>
        <w:jc w:val="center"/>
        <w:rPr>
          <w:rFonts w:ascii="Arial" w:hAnsi="Arial" w:cs="Arial"/>
          <w:b/>
          <w:bCs/>
          <w:sz w:val="22"/>
          <w:szCs w:val="22"/>
        </w:rPr>
      </w:pPr>
      <w:r w:rsidRPr="00130C6E">
        <w:rPr>
          <w:rFonts w:ascii="Arial" w:hAnsi="Arial" w:cs="Arial"/>
          <w:b/>
          <w:bCs/>
          <w:sz w:val="22"/>
          <w:szCs w:val="22"/>
        </w:rPr>
        <w:t>Wednesday 1 February 2023</w:t>
      </w:r>
    </w:p>
    <w:p w14:paraId="5A1C351A" w14:textId="7B4F979D" w:rsidR="00130C6E" w:rsidRPr="00185AF1" w:rsidRDefault="00130C6E" w:rsidP="007F739F">
      <w:pPr>
        <w:jc w:val="both"/>
        <w:rPr>
          <w:rFonts w:ascii="Arial" w:hAnsi="Arial" w:cs="Arial"/>
          <w:b/>
          <w:bCs/>
        </w:rPr>
      </w:pPr>
      <w:r w:rsidRPr="00185AF1">
        <w:rPr>
          <w:rFonts w:ascii="Arial" w:hAnsi="Arial" w:cs="Arial"/>
          <w:b/>
          <w:bCs/>
        </w:rPr>
        <w:t>Attendees</w:t>
      </w:r>
    </w:p>
    <w:p w14:paraId="2218BDDF" w14:textId="54C1AC78" w:rsidR="0060156D" w:rsidRPr="0060156D" w:rsidRDefault="0060156D" w:rsidP="007F739F">
      <w:pPr>
        <w:jc w:val="both"/>
        <w:rPr>
          <w:rFonts w:asciiTheme="minorHAnsi" w:hAnsiTheme="minorHAnsi" w:cstheme="minorHAnsi"/>
        </w:rPr>
      </w:pPr>
      <w:r w:rsidRPr="0060156D">
        <w:rPr>
          <w:rFonts w:asciiTheme="minorHAnsi" w:hAnsiTheme="minorHAnsi" w:cstheme="minorHAnsi"/>
        </w:rPr>
        <w:t>Members of the Pharmaceutical Benefits Advisory Committee (PBAC), clinicians with expertise in the management of</w:t>
      </w:r>
      <w:r>
        <w:rPr>
          <w:rFonts w:asciiTheme="minorHAnsi" w:hAnsiTheme="minorHAnsi" w:cstheme="minorHAnsi"/>
        </w:rPr>
        <w:t xml:space="preserve"> </w:t>
      </w:r>
      <w:r w:rsidR="00BA4D47">
        <w:rPr>
          <w:rFonts w:asciiTheme="minorHAnsi" w:hAnsiTheme="minorHAnsi" w:cstheme="minorHAnsi"/>
        </w:rPr>
        <w:t xml:space="preserve">treatment-resistant </w:t>
      </w:r>
      <w:r>
        <w:rPr>
          <w:rFonts w:asciiTheme="minorHAnsi" w:hAnsiTheme="minorHAnsi" w:cstheme="minorHAnsi"/>
        </w:rPr>
        <w:t>depression</w:t>
      </w:r>
      <w:r w:rsidR="00BA4D47">
        <w:rPr>
          <w:rFonts w:asciiTheme="minorHAnsi" w:hAnsiTheme="minorHAnsi" w:cstheme="minorHAnsi"/>
        </w:rPr>
        <w:t xml:space="preserve"> (TRD), representatives from health consumer organisations</w:t>
      </w:r>
      <w:r w:rsidR="005E5CE3">
        <w:rPr>
          <w:rFonts w:asciiTheme="minorHAnsi" w:hAnsiTheme="minorHAnsi" w:cstheme="minorHAnsi"/>
        </w:rPr>
        <w:t>, Janssen-</w:t>
      </w:r>
      <w:proofErr w:type="spellStart"/>
      <w:r w:rsidR="005E5CE3">
        <w:rPr>
          <w:rFonts w:asciiTheme="minorHAnsi" w:hAnsiTheme="minorHAnsi" w:cstheme="minorHAnsi"/>
        </w:rPr>
        <w:t>Cilag</w:t>
      </w:r>
      <w:proofErr w:type="spellEnd"/>
      <w:r w:rsidR="005E5CE3">
        <w:rPr>
          <w:rFonts w:asciiTheme="minorHAnsi" w:hAnsiTheme="minorHAnsi" w:cstheme="minorHAnsi"/>
        </w:rPr>
        <w:t xml:space="preserve"> Pty Ltd</w:t>
      </w:r>
      <w:r w:rsidR="00BA4D47">
        <w:rPr>
          <w:rFonts w:asciiTheme="minorHAnsi" w:hAnsiTheme="minorHAnsi" w:cstheme="minorHAnsi"/>
        </w:rPr>
        <w:t xml:space="preserve"> </w:t>
      </w:r>
      <w:r w:rsidR="005E5CE3">
        <w:rPr>
          <w:rFonts w:asciiTheme="minorHAnsi" w:hAnsiTheme="minorHAnsi" w:cstheme="minorHAnsi"/>
        </w:rPr>
        <w:t xml:space="preserve">(the sponsor of esketamine) </w:t>
      </w:r>
      <w:r w:rsidRPr="0060156D">
        <w:rPr>
          <w:rFonts w:asciiTheme="minorHAnsi" w:hAnsiTheme="minorHAnsi" w:cstheme="minorHAnsi"/>
        </w:rPr>
        <w:t xml:space="preserve">and the Department of Health </w:t>
      </w:r>
      <w:r w:rsidR="000A0509">
        <w:rPr>
          <w:rFonts w:asciiTheme="minorHAnsi" w:hAnsiTheme="minorHAnsi" w:cstheme="minorHAnsi"/>
        </w:rPr>
        <w:t xml:space="preserve">and Aged Care </w:t>
      </w:r>
      <w:r w:rsidRPr="0060156D">
        <w:rPr>
          <w:rFonts w:asciiTheme="minorHAnsi" w:hAnsiTheme="minorHAnsi" w:cstheme="minorHAnsi"/>
        </w:rPr>
        <w:t xml:space="preserve">were in attendance. </w:t>
      </w:r>
    </w:p>
    <w:p w14:paraId="2A38E370" w14:textId="7761EBD4" w:rsidR="0060156D" w:rsidRDefault="0060156D" w:rsidP="007F739F">
      <w:pPr>
        <w:jc w:val="both"/>
        <w:rPr>
          <w:rFonts w:asciiTheme="minorHAnsi" w:hAnsiTheme="minorHAnsi" w:cstheme="minorHAnsi"/>
        </w:rPr>
      </w:pPr>
      <w:r w:rsidRPr="0060156D">
        <w:rPr>
          <w:rFonts w:asciiTheme="minorHAnsi" w:hAnsiTheme="minorHAnsi" w:cstheme="minorHAnsi"/>
        </w:rPr>
        <w:t>Non-departmental attendees undertook confidentiality declarations and provided conflict of interest statements.</w:t>
      </w:r>
    </w:p>
    <w:p w14:paraId="02A10D25" w14:textId="6A57CB4C" w:rsidR="0060156D" w:rsidRPr="00185AF1" w:rsidRDefault="0060156D" w:rsidP="007F739F">
      <w:pPr>
        <w:jc w:val="both"/>
        <w:rPr>
          <w:rFonts w:ascii="Arial" w:hAnsi="Arial" w:cs="Arial"/>
          <w:b/>
          <w:bCs/>
        </w:rPr>
      </w:pPr>
      <w:r w:rsidRPr="00185AF1">
        <w:rPr>
          <w:rFonts w:ascii="Arial" w:hAnsi="Arial" w:cs="Arial"/>
          <w:b/>
          <w:bCs/>
        </w:rPr>
        <w:t>Purpose of meeting</w:t>
      </w:r>
    </w:p>
    <w:p w14:paraId="16837387" w14:textId="021F11F2" w:rsidR="00BA2F55" w:rsidRPr="00BA2F55" w:rsidRDefault="00BA2F55" w:rsidP="007F739F">
      <w:pPr>
        <w:jc w:val="both"/>
        <w:rPr>
          <w:rFonts w:asciiTheme="minorHAnsi" w:hAnsiTheme="minorHAnsi" w:cstheme="minorHAnsi"/>
        </w:rPr>
      </w:pPr>
      <w:r w:rsidRPr="00BA2F55">
        <w:rPr>
          <w:rFonts w:asciiTheme="minorHAnsi" w:hAnsiTheme="minorHAnsi" w:cstheme="minorHAnsi"/>
        </w:rPr>
        <w:t>As part of its consideration of the July 2022 resubmission for esketamine</w:t>
      </w:r>
      <w:r w:rsidR="007F739F">
        <w:rPr>
          <w:rStyle w:val="FootnoteReference"/>
          <w:rFonts w:asciiTheme="minorHAnsi" w:hAnsiTheme="minorHAnsi" w:cstheme="minorHAnsi"/>
        </w:rPr>
        <w:footnoteReference w:id="1"/>
      </w:r>
      <w:r w:rsidRPr="00BA2F55">
        <w:rPr>
          <w:rFonts w:asciiTheme="minorHAnsi" w:hAnsiTheme="minorHAnsi" w:cstheme="minorHAnsi"/>
        </w:rPr>
        <w:t>, the PBAC considered it would be appropriate for a stakeholder meeting to be convened to further refine the PBS restriction, discuss potential issues related to access, discuss the likely extent of use and discuss what additional information might be required to support the PBS listing of esketamine.</w:t>
      </w:r>
    </w:p>
    <w:p w14:paraId="7486C962" w14:textId="77777777" w:rsidR="0060156D" w:rsidRPr="00185AF1" w:rsidRDefault="0060156D" w:rsidP="007F739F">
      <w:pPr>
        <w:jc w:val="both"/>
        <w:rPr>
          <w:rFonts w:ascii="Arial" w:hAnsi="Arial" w:cs="Arial"/>
          <w:b/>
          <w:bCs/>
        </w:rPr>
      </w:pPr>
      <w:r w:rsidRPr="00185AF1">
        <w:rPr>
          <w:rFonts w:ascii="Arial" w:hAnsi="Arial" w:cs="Arial"/>
          <w:b/>
          <w:bCs/>
        </w:rPr>
        <w:t>Background</w:t>
      </w:r>
    </w:p>
    <w:p w14:paraId="425213D9" w14:textId="75B128A6" w:rsidR="00BA2F55" w:rsidRDefault="00BA2F55" w:rsidP="007F739F">
      <w:pPr>
        <w:spacing w:line="240" w:lineRule="auto"/>
        <w:contextualSpacing/>
        <w:jc w:val="both"/>
        <w:rPr>
          <w:rFonts w:ascii="Calibri" w:eastAsia="Times New Roman" w:hAnsi="Calibri" w:cs="Calibri"/>
          <w:bCs/>
        </w:rPr>
      </w:pPr>
      <w:r>
        <w:rPr>
          <w:rFonts w:ascii="Calibri" w:eastAsia="Times New Roman" w:hAnsi="Calibri" w:cs="Calibri"/>
          <w:bCs/>
        </w:rPr>
        <w:t>The PBAC has considered applications for the PBS listing of esketamine</w:t>
      </w:r>
      <w:r>
        <w:rPr>
          <w:rFonts w:ascii="Calibri" w:eastAsia="Times New Roman" w:hAnsi="Calibri" w:cs="Calibri"/>
          <w:b/>
        </w:rPr>
        <w:t xml:space="preserve"> </w:t>
      </w:r>
      <w:r>
        <w:rPr>
          <w:rFonts w:ascii="Calibri" w:eastAsia="Times New Roman" w:hAnsi="Calibri" w:cs="Calibri"/>
          <w:bCs/>
        </w:rPr>
        <w:t>nasal spray for TRD at its July 2021 and July 2022 meetings. Below are links to the Public Summary Documents (PSDs):</w:t>
      </w:r>
    </w:p>
    <w:p w14:paraId="61D054CE" w14:textId="77777777" w:rsidR="00BA2F55" w:rsidRDefault="00BA2F55" w:rsidP="007F739F">
      <w:pPr>
        <w:spacing w:line="240" w:lineRule="auto"/>
        <w:contextualSpacing/>
        <w:jc w:val="both"/>
        <w:rPr>
          <w:rFonts w:ascii="Calibri" w:eastAsia="Times New Roman" w:hAnsi="Calibri" w:cs="Calibri"/>
          <w:bCs/>
        </w:rPr>
      </w:pPr>
    </w:p>
    <w:p w14:paraId="10524F09" w14:textId="77777777" w:rsidR="00BA2F55" w:rsidRDefault="0022168F" w:rsidP="007F739F">
      <w:pPr>
        <w:spacing w:line="240" w:lineRule="auto"/>
        <w:contextualSpacing/>
        <w:jc w:val="both"/>
        <w:rPr>
          <w:rFonts w:asciiTheme="minorHAnsi" w:hAnsiTheme="minorHAnsi" w:cstheme="minorBidi"/>
        </w:rPr>
      </w:pPr>
      <w:hyperlink r:id="rId8" w:history="1">
        <w:r w:rsidR="00BA2F55">
          <w:rPr>
            <w:rStyle w:val="Hyperlink"/>
          </w:rPr>
          <w:t>esketamine-psd-july-2022.pdf (pbs.gov.au)</w:t>
        </w:r>
      </w:hyperlink>
    </w:p>
    <w:p w14:paraId="6A10A193" w14:textId="1C6A89B4" w:rsidR="0060156D" w:rsidRDefault="0022168F" w:rsidP="007F739F">
      <w:pPr>
        <w:spacing w:line="240" w:lineRule="auto"/>
        <w:jc w:val="both"/>
        <w:rPr>
          <w:rStyle w:val="Hyperlink"/>
        </w:rPr>
      </w:pPr>
      <w:hyperlink r:id="rId9" w:history="1">
        <w:r w:rsidR="00BA2F55">
          <w:rPr>
            <w:rStyle w:val="Hyperlink"/>
          </w:rPr>
          <w:t>esketamine-psd-july-2021.pdf (pbs.gov.au)</w:t>
        </w:r>
      </w:hyperlink>
    </w:p>
    <w:p w14:paraId="562C477B" w14:textId="4582E925" w:rsidR="0060156D" w:rsidRPr="00185AF1" w:rsidRDefault="0060156D" w:rsidP="007F739F">
      <w:pPr>
        <w:jc w:val="both"/>
        <w:rPr>
          <w:rFonts w:ascii="Arial" w:hAnsi="Arial" w:cs="Arial"/>
          <w:b/>
          <w:bCs/>
        </w:rPr>
      </w:pPr>
      <w:r w:rsidRPr="00185AF1">
        <w:rPr>
          <w:rFonts w:ascii="Arial" w:hAnsi="Arial" w:cs="Arial"/>
          <w:b/>
          <w:bCs/>
        </w:rPr>
        <w:t>Discussion and outcomes</w:t>
      </w:r>
    </w:p>
    <w:p w14:paraId="58F3EBC4" w14:textId="7F6C8B0B" w:rsidR="00286D77" w:rsidRPr="009A4012" w:rsidRDefault="006F32BA" w:rsidP="007F739F">
      <w:pPr>
        <w:jc w:val="both"/>
        <w:rPr>
          <w:rFonts w:ascii="Calibri" w:hAnsi="Calibri" w:cs="Calibri"/>
          <w:bCs/>
          <w:u w:val="single"/>
        </w:rPr>
      </w:pPr>
      <w:r w:rsidRPr="009A4012">
        <w:rPr>
          <w:rFonts w:ascii="Calibri" w:hAnsi="Calibri" w:cs="Calibri"/>
          <w:bCs/>
        </w:rPr>
        <w:t xml:space="preserve">It was acknowledged that TRD has a significant impact on the quality of life of individuals and their </w:t>
      </w:r>
      <w:r w:rsidR="004F7B8C">
        <w:rPr>
          <w:rFonts w:ascii="Calibri" w:hAnsi="Calibri" w:cs="Calibri"/>
          <w:bCs/>
        </w:rPr>
        <w:t>families</w:t>
      </w:r>
      <w:r w:rsidR="007F739F">
        <w:rPr>
          <w:rFonts w:ascii="Calibri" w:hAnsi="Calibri" w:cs="Calibri"/>
          <w:bCs/>
        </w:rPr>
        <w:t xml:space="preserve"> and there was a clinical need for alternative treatment options. </w:t>
      </w:r>
      <w:r w:rsidR="007F739F" w:rsidRPr="007F739F">
        <w:rPr>
          <w:rFonts w:ascii="Calibri" w:hAnsi="Calibri" w:cs="Calibri"/>
          <w:bCs/>
        </w:rPr>
        <w:t xml:space="preserve">The PBAC </w:t>
      </w:r>
      <w:r w:rsidR="007F739F">
        <w:rPr>
          <w:rFonts w:ascii="Calibri" w:hAnsi="Calibri" w:cs="Calibri"/>
          <w:bCs/>
        </w:rPr>
        <w:t>C</w:t>
      </w:r>
      <w:r w:rsidR="007F739F" w:rsidRPr="007F739F">
        <w:rPr>
          <w:rFonts w:ascii="Calibri" w:hAnsi="Calibri" w:cs="Calibri"/>
          <w:bCs/>
        </w:rPr>
        <w:t xml:space="preserve">hair noted that the PBAC was supportive of a further submission for </w:t>
      </w:r>
      <w:proofErr w:type="gramStart"/>
      <w:r w:rsidR="007F739F" w:rsidRPr="007F739F">
        <w:rPr>
          <w:rFonts w:ascii="Calibri" w:hAnsi="Calibri" w:cs="Calibri"/>
          <w:bCs/>
        </w:rPr>
        <w:t>esketamine</w:t>
      </w:r>
      <w:proofErr w:type="gramEnd"/>
      <w:r w:rsidR="007F739F" w:rsidRPr="007F739F">
        <w:rPr>
          <w:rFonts w:ascii="Calibri" w:hAnsi="Calibri" w:cs="Calibri"/>
          <w:bCs/>
        </w:rPr>
        <w:t xml:space="preserve"> and that clinical input was important for framing any resubmission. </w:t>
      </w:r>
    </w:p>
    <w:p w14:paraId="7095CED1" w14:textId="05E262C6" w:rsidR="002F45DD" w:rsidRPr="00286D77" w:rsidRDefault="002F45DD" w:rsidP="007F739F">
      <w:pPr>
        <w:jc w:val="both"/>
        <w:rPr>
          <w:rFonts w:ascii="Calibri" w:eastAsia="Times New Roman" w:hAnsi="Calibri" w:cs="Calibri"/>
          <w:bCs/>
          <w:u w:val="single"/>
        </w:rPr>
      </w:pPr>
      <w:r w:rsidRPr="00286D77">
        <w:rPr>
          <w:rFonts w:ascii="Calibri" w:eastAsia="Times New Roman" w:hAnsi="Calibri" w:cs="Calibri"/>
          <w:bCs/>
          <w:u w:val="single"/>
        </w:rPr>
        <w:t xml:space="preserve">Place in therapy and </w:t>
      </w:r>
      <w:r w:rsidR="00714A1C" w:rsidRPr="00286D77">
        <w:rPr>
          <w:rFonts w:ascii="Calibri" w:eastAsia="Times New Roman" w:hAnsi="Calibri" w:cs="Calibri"/>
          <w:bCs/>
          <w:u w:val="single"/>
        </w:rPr>
        <w:t xml:space="preserve">PBS </w:t>
      </w:r>
      <w:r w:rsidRPr="00286D77">
        <w:rPr>
          <w:rFonts w:ascii="Calibri" w:eastAsia="Times New Roman" w:hAnsi="Calibri" w:cs="Calibri"/>
          <w:bCs/>
          <w:u w:val="single"/>
        </w:rPr>
        <w:t xml:space="preserve">restriction </w:t>
      </w:r>
    </w:p>
    <w:p w14:paraId="752369C0" w14:textId="5F8EE374" w:rsidR="009A4012" w:rsidRDefault="009A4012" w:rsidP="007F739F">
      <w:pPr>
        <w:pStyle w:val="ListParagraph"/>
        <w:numPr>
          <w:ilvl w:val="0"/>
          <w:numId w:val="5"/>
        </w:numPr>
        <w:ind w:left="357" w:hanging="357"/>
        <w:contextualSpacing w:val="0"/>
        <w:jc w:val="both"/>
        <w:rPr>
          <w:rFonts w:ascii="Calibri" w:hAnsi="Calibri" w:cs="Calibri"/>
          <w:bCs/>
        </w:rPr>
      </w:pPr>
      <w:r>
        <w:rPr>
          <w:rFonts w:ascii="Calibri" w:hAnsi="Calibri" w:cs="Calibri"/>
          <w:bCs/>
        </w:rPr>
        <w:t>The stakeholders acknowledged the treatment of TRD is complex and the best sequence of treatments for specific patient groups is developing as clinicians gain more experience with esketamine</w:t>
      </w:r>
      <w:r w:rsidR="00A33C51">
        <w:rPr>
          <w:rFonts w:ascii="Calibri" w:hAnsi="Calibri" w:cs="Calibri"/>
          <w:bCs/>
        </w:rPr>
        <w:t xml:space="preserve"> (and ketamine)</w:t>
      </w:r>
      <w:r>
        <w:rPr>
          <w:rFonts w:ascii="Calibri" w:hAnsi="Calibri" w:cs="Calibri"/>
          <w:bCs/>
        </w:rPr>
        <w:t>.</w:t>
      </w:r>
      <w:r w:rsidR="00F23891">
        <w:rPr>
          <w:rFonts w:ascii="Calibri" w:hAnsi="Calibri" w:cs="Calibri"/>
          <w:bCs/>
        </w:rPr>
        <w:t xml:space="preserve"> </w:t>
      </w:r>
    </w:p>
    <w:p w14:paraId="6C1F4F69" w14:textId="0EEAAB85" w:rsidR="00E255F0" w:rsidRDefault="00EC5A96" w:rsidP="007F739F">
      <w:pPr>
        <w:pStyle w:val="ListParagraph"/>
        <w:numPr>
          <w:ilvl w:val="0"/>
          <w:numId w:val="5"/>
        </w:numPr>
        <w:ind w:left="357" w:hanging="357"/>
        <w:contextualSpacing w:val="0"/>
        <w:jc w:val="both"/>
        <w:rPr>
          <w:rFonts w:ascii="Calibri" w:hAnsi="Calibri" w:cs="Calibri"/>
          <w:bCs/>
        </w:rPr>
      </w:pPr>
      <w:r>
        <w:rPr>
          <w:rFonts w:ascii="Calibri" w:hAnsi="Calibri" w:cs="Calibri"/>
          <w:bCs/>
        </w:rPr>
        <w:t>The</w:t>
      </w:r>
      <w:r w:rsidR="009A4012">
        <w:rPr>
          <w:rFonts w:ascii="Calibri" w:hAnsi="Calibri" w:cs="Calibri"/>
          <w:bCs/>
        </w:rPr>
        <w:t xml:space="preserve"> stakeholders</w:t>
      </w:r>
      <w:r>
        <w:rPr>
          <w:rFonts w:ascii="Calibri" w:hAnsi="Calibri" w:cs="Calibri"/>
          <w:bCs/>
        </w:rPr>
        <w:t xml:space="preserve"> advised careful consideration by experienced psychiatrists will be required to determine if</w:t>
      </w:r>
      <w:r w:rsidR="00440C88" w:rsidRPr="00440C88">
        <w:rPr>
          <w:rFonts w:ascii="Calibri" w:hAnsi="Calibri" w:cs="Calibri"/>
          <w:bCs/>
        </w:rPr>
        <w:t xml:space="preserve"> </w:t>
      </w:r>
      <w:r w:rsidR="00440C88">
        <w:rPr>
          <w:rFonts w:ascii="Calibri" w:hAnsi="Calibri" w:cs="Calibri"/>
          <w:bCs/>
        </w:rPr>
        <w:t>esketamine</w:t>
      </w:r>
      <w:r w:rsidR="00430554">
        <w:rPr>
          <w:rFonts w:ascii="Calibri" w:hAnsi="Calibri" w:cs="Calibri"/>
          <w:bCs/>
        </w:rPr>
        <w:t xml:space="preserve"> (or ketamine)</w:t>
      </w:r>
      <w:r w:rsidR="00440C88">
        <w:rPr>
          <w:rFonts w:ascii="Calibri" w:hAnsi="Calibri" w:cs="Calibri"/>
          <w:bCs/>
        </w:rPr>
        <w:t>,</w:t>
      </w:r>
      <w:r>
        <w:rPr>
          <w:rFonts w:ascii="Calibri" w:hAnsi="Calibri" w:cs="Calibri"/>
          <w:bCs/>
        </w:rPr>
        <w:t xml:space="preserve"> repetitive transcranial magnetic stimulation (</w:t>
      </w:r>
      <w:proofErr w:type="spellStart"/>
      <w:r>
        <w:rPr>
          <w:rFonts w:ascii="Calibri" w:hAnsi="Calibri" w:cs="Calibri"/>
          <w:bCs/>
        </w:rPr>
        <w:t>rTMS</w:t>
      </w:r>
      <w:proofErr w:type="spellEnd"/>
      <w:r>
        <w:rPr>
          <w:rFonts w:ascii="Calibri" w:hAnsi="Calibri" w:cs="Calibri"/>
          <w:bCs/>
        </w:rPr>
        <w:t>)</w:t>
      </w:r>
      <w:r w:rsidR="00440C88">
        <w:rPr>
          <w:rFonts w:ascii="Calibri" w:hAnsi="Calibri" w:cs="Calibri"/>
          <w:bCs/>
        </w:rPr>
        <w:t xml:space="preserve"> </w:t>
      </w:r>
      <w:r>
        <w:rPr>
          <w:rFonts w:ascii="Calibri" w:hAnsi="Calibri" w:cs="Calibri"/>
          <w:bCs/>
        </w:rPr>
        <w:t>or electroconvulsive therapy (ECT) are appropriate treatment options for individual patients</w:t>
      </w:r>
      <w:r w:rsidR="00440C88">
        <w:rPr>
          <w:rFonts w:ascii="Calibri" w:hAnsi="Calibri" w:cs="Calibri"/>
          <w:bCs/>
        </w:rPr>
        <w:t>, noting patients may sequence through the different treatments</w:t>
      </w:r>
      <w:r>
        <w:rPr>
          <w:rFonts w:ascii="Calibri" w:hAnsi="Calibri" w:cs="Calibri"/>
          <w:bCs/>
        </w:rPr>
        <w:t>. It was noted treatment choice was</w:t>
      </w:r>
      <w:r w:rsidR="00440C88">
        <w:rPr>
          <w:rFonts w:ascii="Calibri" w:hAnsi="Calibri" w:cs="Calibri"/>
          <w:bCs/>
        </w:rPr>
        <w:t xml:space="preserve"> needed and was</w:t>
      </w:r>
      <w:r>
        <w:rPr>
          <w:rFonts w:ascii="Calibri" w:hAnsi="Calibri" w:cs="Calibri"/>
          <w:bCs/>
        </w:rPr>
        <w:t xml:space="preserve"> dependant on a patient’s age, </w:t>
      </w:r>
      <w:r>
        <w:rPr>
          <w:rFonts w:ascii="Calibri" w:hAnsi="Calibri" w:cs="Calibri"/>
          <w:bCs/>
        </w:rPr>
        <w:lastRenderedPageBreak/>
        <w:t xml:space="preserve">treatment preferences, treatment history, severity of symptoms and location (i.e., metropolitan or rural/ remote). </w:t>
      </w:r>
    </w:p>
    <w:p w14:paraId="5BC2D0FA" w14:textId="5F34EC65" w:rsidR="00930FBA" w:rsidRDefault="00930FBA" w:rsidP="007F739F">
      <w:pPr>
        <w:pStyle w:val="ListParagraph"/>
        <w:numPr>
          <w:ilvl w:val="0"/>
          <w:numId w:val="5"/>
        </w:numPr>
        <w:ind w:left="357" w:hanging="357"/>
        <w:contextualSpacing w:val="0"/>
        <w:jc w:val="both"/>
        <w:rPr>
          <w:rFonts w:ascii="Calibri" w:hAnsi="Calibri" w:cs="Calibri"/>
          <w:bCs/>
        </w:rPr>
      </w:pPr>
      <w:r>
        <w:rPr>
          <w:rFonts w:ascii="Calibri" w:hAnsi="Calibri" w:cs="Calibri"/>
          <w:bCs/>
        </w:rPr>
        <w:t xml:space="preserve">The stakeholders noted the availability and patient cost of accessing treatments can </w:t>
      </w:r>
      <w:r w:rsidR="00B543F6">
        <w:rPr>
          <w:rFonts w:ascii="Calibri" w:hAnsi="Calibri" w:cs="Calibri"/>
          <w:bCs/>
        </w:rPr>
        <w:t xml:space="preserve">be </w:t>
      </w:r>
      <w:r>
        <w:rPr>
          <w:rFonts w:ascii="Calibri" w:hAnsi="Calibri" w:cs="Calibri"/>
          <w:bCs/>
        </w:rPr>
        <w:t>factor</w:t>
      </w:r>
      <w:r w:rsidR="00B543F6">
        <w:rPr>
          <w:rFonts w:ascii="Calibri" w:hAnsi="Calibri" w:cs="Calibri"/>
          <w:bCs/>
        </w:rPr>
        <w:t>s</w:t>
      </w:r>
      <w:r>
        <w:rPr>
          <w:rFonts w:ascii="Calibri" w:hAnsi="Calibri" w:cs="Calibri"/>
          <w:bCs/>
        </w:rPr>
        <w:t xml:space="preserve"> in treatment choice.  </w:t>
      </w:r>
    </w:p>
    <w:p w14:paraId="10C86040" w14:textId="6642C60D" w:rsidR="00186DB4" w:rsidRPr="009A4012" w:rsidRDefault="009A4012" w:rsidP="007F739F">
      <w:pPr>
        <w:pStyle w:val="ListParagraph"/>
        <w:numPr>
          <w:ilvl w:val="0"/>
          <w:numId w:val="5"/>
        </w:numPr>
        <w:ind w:left="357" w:hanging="357"/>
        <w:contextualSpacing w:val="0"/>
        <w:jc w:val="both"/>
        <w:rPr>
          <w:rFonts w:ascii="Calibri" w:hAnsi="Calibri" w:cs="Calibri"/>
          <w:bCs/>
        </w:rPr>
      </w:pPr>
      <w:r w:rsidRPr="009A4012">
        <w:rPr>
          <w:rFonts w:ascii="Calibri" w:hAnsi="Calibri" w:cs="Calibri"/>
          <w:bCs/>
        </w:rPr>
        <w:t xml:space="preserve">The place in therapy of </w:t>
      </w:r>
      <w:r w:rsidR="00186DB4" w:rsidRPr="009A4012">
        <w:rPr>
          <w:rFonts w:ascii="Calibri" w:hAnsi="Calibri" w:cs="Calibri"/>
          <w:bCs/>
        </w:rPr>
        <w:t xml:space="preserve">esketamine </w:t>
      </w:r>
      <w:r w:rsidR="0021408D">
        <w:rPr>
          <w:rFonts w:ascii="Calibri" w:hAnsi="Calibri" w:cs="Calibri"/>
          <w:bCs/>
        </w:rPr>
        <w:t xml:space="preserve">(and ketamine) </w:t>
      </w:r>
      <w:r w:rsidR="00186DB4" w:rsidRPr="009A4012">
        <w:rPr>
          <w:rFonts w:ascii="Calibri" w:hAnsi="Calibri" w:cs="Calibri"/>
          <w:bCs/>
        </w:rPr>
        <w:t>v</w:t>
      </w:r>
      <w:r w:rsidRPr="009A4012">
        <w:rPr>
          <w:rFonts w:ascii="Calibri" w:hAnsi="Calibri" w:cs="Calibri"/>
          <w:bCs/>
        </w:rPr>
        <w:t xml:space="preserve">ersus ECT was discussed. </w:t>
      </w:r>
      <w:r w:rsidR="00405761">
        <w:rPr>
          <w:rFonts w:ascii="Calibri" w:hAnsi="Calibri" w:cs="Calibri"/>
          <w:bCs/>
        </w:rPr>
        <w:t>Comments made include:</w:t>
      </w:r>
    </w:p>
    <w:p w14:paraId="1CF8DD43" w14:textId="4AEBE595" w:rsidR="00CF080C" w:rsidRDefault="00430554" w:rsidP="007F739F">
      <w:pPr>
        <w:pStyle w:val="ListParagraph"/>
        <w:numPr>
          <w:ilvl w:val="1"/>
          <w:numId w:val="5"/>
        </w:numPr>
        <w:jc w:val="both"/>
        <w:rPr>
          <w:rFonts w:ascii="Calibri" w:hAnsi="Calibri" w:cs="Calibri"/>
          <w:bCs/>
        </w:rPr>
      </w:pPr>
      <w:r>
        <w:rPr>
          <w:rFonts w:ascii="Calibri" w:hAnsi="Calibri" w:cs="Calibri"/>
          <w:bCs/>
        </w:rPr>
        <w:t>Comparative clinical</w:t>
      </w:r>
      <w:r w:rsidR="00CF080C" w:rsidRPr="00FC5860">
        <w:rPr>
          <w:rFonts w:ascii="Calibri" w:hAnsi="Calibri" w:cs="Calibri"/>
          <w:bCs/>
        </w:rPr>
        <w:t xml:space="preserve"> trial</w:t>
      </w:r>
      <w:r>
        <w:rPr>
          <w:rFonts w:ascii="Calibri" w:hAnsi="Calibri" w:cs="Calibri"/>
          <w:bCs/>
        </w:rPr>
        <w:t>s</w:t>
      </w:r>
      <w:r w:rsidR="00CF080C" w:rsidRPr="00FC5860">
        <w:rPr>
          <w:rFonts w:ascii="Calibri" w:hAnsi="Calibri" w:cs="Calibri"/>
          <w:bCs/>
        </w:rPr>
        <w:t xml:space="preserve"> of ECT versus ketamine suggest ECT </w:t>
      </w:r>
      <w:r w:rsidR="00DB5825">
        <w:rPr>
          <w:rFonts w:ascii="Calibri" w:hAnsi="Calibri" w:cs="Calibri"/>
          <w:bCs/>
        </w:rPr>
        <w:t>might be</w:t>
      </w:r>
      <w:r w:rsidR="00CF080C" w:rsidRPr="00FC5860">
        <w:rPr>
          <w:rFonts w:ascii="Calibri" w:hAnsi="Calibri" w:cs="Calibri"/>
          <w:bCs/>
        </w:rPr>
        <w:t xml:space="preserve"> more effective than ketamine</w:t>
      </w:r>
      <w:r w:rsidR="00DB5825">
        <w:rPr>
          <w:rStyle w:val="FootnoteReference"/>
          <w:rFonts w:ascii="Calibri" w:hAnsi="Calibri" w:cs="Calibri"/>
          <w:bCs/>
        </w:rPr>
        <w:footnoteReference w:id="2"/>
      </w:r>
      <w:r w:rsidR="00CF080C" w:rsidRPr="00FC5860">
        <w:rPr>
          <w:rFonts w:ascii="Calibri" w:hAnsi="Calibri" w:cs="Calibri"/>
          <w:bCs/>
        </w:rPr>
        <w:t xml:space="preserve">, especially in patients over 50 years of age. </w:t>
      </w:r>
    </w:p>
    <w:p w14:paraId="56D35EE4" w14:textId="6FDA1D16" w:rsidR="00DB5825" w:rsidRDefault="00DB5825" w:rsidP="007F739F">
      <w:pPr>
        <w:pStyle w:val="ListParagraph"/>
        <w:numPr>
          <w:ilvl w:val="1"/>
          <w:numId w:val="5"/>
        </w:numPr>
        <w:jc w:val="both"/>
        <w:rPr>
          <w:rFonts w:ascii="Calibri" w:hAnsi="Calibri" w:cs="Calibri"/>
          <w:bCs/>
        </w:rPr>
      </w:pPr>
      <w:r>
        <w:rPr>
          <w:rFonts w:ascii="Calibri" w:hAnsi="Calibri" w:cs="Calibri"/>
          <w:bCs/>
        </w:rPr>
        <w:t xml:space="preserve">Esketamine and ECT have different adverse events profiles, such that patients may </w:t>
      </w:r>
      <w:proofErr w:type="gramStart"/>
      <w:r>
        <w:rPr>
          <w:rFonts w:ascii="Calibri" w:hAnsi="Calibri" w:cs="Calibri"/>
          <w:bCs/>
        </w:rPr>
        <w:t>have a preference for</w:t>
      </w:r>
      <w:proofErr w:type="gramEnd"/>
      <w:r>
        <w:rPr>
          <w:rFonts w:ascii="Calibri" w:hAnsi="Calibri" w:cs="Calibri"/>
          <w:bCs/>
        </w:rPr>
        <w:t xml:space="preserve"> one over the other.</w:t>
      </w:r>
    </w:p>
    <w:p w14:paraId="3F14E2AD" w14:textId="77777777" w:rsidR="00DB5825" w:rsidRPr="00FC5860" w:rsidRDefault="00DB5825" w:rsidP="00DB5825">
      <w:pPr>
        <w:pStyle w:val="ListParagraph"/>
        <w:numPr>
          <w:ilvl w:val="1"/>
          <w:numId w:val="5"/>
        </w:numPr>
        <w:jc w:val="both"/>
        <w:rPr>
          <w:rFonts w:ascii="Calibri" w:hAnsi="Calibri" w:cs="Calibri"/>
          <w:bCs/>
        </w:rPr>
      </w:pPr>
      <w:r w:rsidRPr="00FC5860">
        <w:rPr>
          <w:rFonts w:ascii="Calibri" w:hAnsi="Calibri" w:cs="Calibri"/>
          <w:bCs/>
        </w:rPr>
        <w:t xml:space="preserve">Esketamine may be a useful treatment option </w:t>
      </w:r>
      <w:r>
        <w:rPr>
          <w:rFonts w:ascii="Calibri" w:hAnsi="Calibri" w:cs="Calibri"/>
          <w:bCs/>
        </w:rPr>
        <w:t>prior</w:t>
      </w:r>
      <w:r w:rsidRPr="00FC5860">
        <w:rPr>
          <w:rFonts w:ascii="Calibri" w:hAnsi="Calibri" w:cs="Calibri"/>
          <w:bCs/>
        </w:rPr>
        <w:t xml:space="preserve"> to ECT for some patients.  </w:t>
      </w:r>
    </w:p>
    <w:p w14:paraId="1CF6CDC9" w14:textId="7798DC1A" w:rsidR="005F7429" w:rsidRPr="00FC5860" w:rsidRDefault="0021408D" w:rsidP="007F739F">
      <w:pPr>
        <w:pStyle w:val="ListParagraph"/>
        <w:numPr>
          <w:ilvl w:val="1"/>
          <w:numId w:val="5"/>
        </w:numPr>
        <w:jc w:val="both"/>
        <w:rPr>
          <w:rFonts w:ascii="Calibri" w:hAnsi="Calibri" w:cs="Calibri"/>
          <w:bCs/>
        </w:rPr>
      </w:pPr>
      <w:r>
        <w:t>ECT may be more effective than esketamine (and ketamine) for some patients with severe TRD</w:t>
      </w:r>
      <w:r w:rsidR="005F7429">
        <w:rPr>
          <w:rFonts w:ascii="Calibri" w:hAnsi="Calibri" w:cs="Calibri"/>
          <w:bCs/>
        </w:rPr>
        <w:t xml:space="preserve"> </w:t>
      </w:r>
    </w:p>
    <w:p w14:paraId="66BF0925" w14:textId="2972C2D0" w:rsidR="00CF080C" w:rsidRPr="00FC5860" w:rsidRDefault="00CF080C" w:rsidP="007F739F">
      <w:pPr>
        <w:pStyle w:val="ListParagraph"/>
        <w:numPr>
          <w:ilvl w:val="1"/>
          <w:numId w:val="5"/>
        </w:numPr>
        <w:jc w:val="both"/>
        <w:rPr>
          <w:rFonts w:ascii="Calibri" w:hAnsi="Calibri" w:cs="Calibri"/>
          <w:bCs/>
        </w:rPr>
      </w:pPr>
      <w:r w:rsidRPr="00FC5860">
        <w:rPr>
          <w:rFonts w:ascii="Calibri" w:hAnsi="Calibri" w:cs="Calibri"/>
          <w:bCs/>
        </w:rPr>
        <w:t xml:space="preserve">Esketamine may be the preferred treatment </w:t>
      </w:r>
      <w:r w:rsidR="00183B9C">
        <w:rPr>
          <w:rFonts w:ascii="Calibri" w:hAnsi="Calibri" w:cs="Calibri"/>
          <w:bCs/>
        </w:rPr>
        <w:t xml:space="preserve">option </w:t>
      </w:r>
      <w:r w:rsidRPr="00FC5860">
        <w:rPr>
          <w:rFonts w:ascii="Calibri" w:hAnsi="Calibri" w:cs="Calibri"/>
          <w:bCs/>
        </w:rPr>
        <w:t>in younger patients.</w:t>
      </w:r>
    </w:p>
    <w:p w14:paraId="72213D74" w14:textId="657365C5" w:rsidR="00186DB4" w:rsidRPr="009A4012" w:rsidRDefault="00186DB4" w:rsidP="007F739F">
      <w:pPr>
        <w:pStyle w:val="ListParagraph"/>
        <w:ind w:left="1080"/>
        <w:jc w:val="both"/>
        <w:rPr>
          <w:rFonts w:ascii="Calibri" w:hAnsi="Calibri" w:cs="Calibri"/>
          <w:bCs/>
          <w:highlight w:val="yellow"/>
        </w:rPr>
      </w:pPr>
    </w:p>
    <w:p w14:paraId="21F3D395" w14:textId="08DBCC3D" w:rsidR="00186DB4" w:rsidRPr="009A4012" w:rsidRDefault="009A4012" w:rsidP="007F739F">
      <w:pPr>
        <w:pStyle w:val="ListParagraph"/>
        <w:numPr>
          <w:ilvl w:val="0"/>
          <w:numId w:val="5"/>
        </w:numPr>
        <w:ind w:left="357" w:hanging="357"/>
        <w:contextualSpacing w:val="0"/>
        <w:jc w:val="both"/>
        <w:rPr>
          <w:rFonts w:ascii="Calibri" w:hAnsi="Calibri" w:cs="Calibri"/>
          <w:bCs/>
        </w:rPr>
      </w:pPr>
      <w:r w:rsidRPr="009A4012">
        <w:rPr>
          <w:rFonts w:ascii="Calibri" w:hAnsi="Calibri" w:cs="Calibri"/>
          <w:bCs/>
        </w:rPr>
        <w:t xml:space="preserve">The place in therapy of esketamine versus </w:t>
      </w:r>
      <w:proofErr w:type="spellStart"/>
      <w:r w:rsidRPr="009A4012">
        <w:rPr>
          <w:rFonts w:ascii="Calibri" w:hAnsi="Calibri" w:cs="Calibri"/>
          <w:bCs/>
        </w:rPr>
        <w:t>rTMS</w:t>
      </w:r>
      <w:proofErr w:type="spellEnd"/>
      <w:r w:rsidRPr="009A4012">
        <w:rPr>
          <w:rFonts w:ascii="Calibri" w:hAnsi="Calibri" w:cs="Calibri"/>
          <w:bCs/>
        </w:rPr>
        <w:t xml:space="preserve"> was discussed. </w:t>
      </w:r>
      <w:r w:rsidR="00405761">
        <w:rPr>
          <w:rFonts w:ascii="Calibri" w:hAnsi="Calibri" w:cs="Calibri"/>
          <w:bCs/>
        </w:rPr>
        <w:t>Comments made include:</w:t>
      </w:r>
    </w:p>
    <w:p w14:paraId="2208B3EE" w14:textId="6C018AB1" w:rsidR="00186DB4" w:rsidRDefault="00186DB4" w:rsidP="007F739F">
      <w:pPr>
        <w:pStyle w:val="ListParagraph"/>
        <w:numPr>
          <w:ilvl w:val="1"/>
          <w:numId w:val="5"/>
        </w:numPr>
        <w:jc w:val="both"/>
        <w:rPr>
          <w:rFonts w:ascii="Calibri" w:hAnsi="Calibri" w:cs="Calibri"/>
          <w:bCs/>
        </w:rPr>
      </w:pPr>
      <w:r w:rsidRPr="00FC5860">
        <w:rPr>
          <w:rFonts w:ascii="Calibri" w:hAnsi="Calibri" w:cs="Calibri"/>
          <w:bCs/>
        </w:rPr>
        <w:t>There are no comparative</w:t>
      </w:r>
      <w:r w:rsidR="00FC5860" w:rsidRPr="00FC5860">
        <w:rPr>
          <w:rFonts w:ascii="Calibri" w:hAnsi="Calibri" w:cs="Calibri"/>
          <w:bCs/>
        </w:rPr>
        <w:t xml:space="preserve"> clinical trials of </w:t>
      </w:r>
      <w:proofErr w:type="spellStart"/>
      <w:r w:rsidR="00FC5860" w:rsidRPr="00FC5860">
        <w:rPr>
          <w:rFonts w:ascii="Calibri" w:hAnsi="Calibri" w:cs="Calibri"/>
          <w:bCs/>
        </w:rPr>
        <w:t>rTMS</w:t>
      </w:r>
      <w:proofErr w:type="spellEnd"/>
      <w:r w:rsidR="00FC5860" w:rsidRPr="00FC5860">
        <w:rPr>
          <w:rFonts w:ascii="Calibri" w:hAnsi="Calibri" w:cs="Calibri"/>
          <w:bCs/>
        </w:rPr>
        <w:t xml:space="preserve"> </w:t>
      </w:r>
      <w:r w:rsidRPr="00FC5860">
        <w:rPr>
          <w:rFonts w:ascii="Calibri" w:hAnsi="Calibri" w:cs="Calibri"/>
          <w:bCs/>
        </w:rPr>
        <w:t>v</w:t>
      </w:r>
      <w:r w:rsidR="00FC5860" w:rsidRPr="00FC5860">
        <w:rPr>
          <w:rFonts w:ascii="Calibri" w:hAnsi="Calibri" w:cs="Calibri"/>
          <w:bCs/>
        </w:rPr>
        <w:t>er</w:t>
      </w:r>
      <w:r w:rsidRPr="00FC5860">
        <w:rPr>
          <w:rFonts w:ascii="Calibri" w:hAnsi="Calibri" w:cs="Calibri"/>
          <w:bCs/>
        </w:rPr>
        <w:t>s</w:t>
      </w:r>
      <w:r w:rsidR="00FC5860" w:rsidRPr="00FC5860">
        <w:rPr>
          <w:rFonts w:ascii="Calibri" w:hAnsi="Calibri" w:cs="Calibri"/>
          <w:bCs/>
        </w:rPr>
        <w:t>us</w:t>
      </w:r>
      <w:r w:rsidRPr="00FC5860">
        <w:rPr>
          <w:rFonts w:ascii="Calibri" w:hAnsi="Calibri" w:cs="Calibri"/>
          <w:bCs/>
        </w:rPr>
        <w:t xml:space="preserve"> </w:t>
      </w:r>
      <w:r w:rsidR="00FC5860" w:rsidRPr="00FC5860">
        <w:rPr>
          <w:rFonts w:ascii="Calibri" w:hAnsi="Calibri" w:cs="Calibri"/>
          <w:bCs/>
        </w:rPr>
        <w:t>esketamine (or ketamine)</w:t>
      </w:r>
      <w:r w:rsidR="00FC5860">
        <w:rPr>
          <w:rFonts w:ascii="Calibri" w:hAnsi="Calibri" w:cs="Calibri"/>
          <w:bCs/>
        </w:rPr>
        <w:t>.</w:t>
      </w:r>
    </w:p>
    <w:p w14:paraId="42EB672F" w14:textId="00D44FAF" w:rsidR="00186DB4" w:rsidRPr="00FC5860" w:rsidRDefault="00186DB4" w:rsidP="007F739F">
      <w:pPr>
        <w:pStyle w:val="ListParagraph"/>
        <w:numPr>
          <w:ilvl w:val="1"/>
          <w:numId w:val="5"/>
        </w:numPr>
        <w:spacing w:after="0"/>
        <w:ind w:left="1077" w:hanging="357"/>
        <w:contextualSpacing w:val="0"/>
        <w:jc w:val="both"/>
        <w:rPr>
          <w:rFonts w:ascii="Calibri" w:hAnsi="Calibri" w:cs="Calibri"/>
          <w:bCs/>
        </w:rPr>
      </w:pPr>
      <w:r w:rsidRPr="00FC5860">
        <w:rPr>
          <w:rFonts w:ascii="Calibri" w:hAnsi="Calibri" w:cs="Calibri"/>
          <w:bCs/>
        </w:rPr>
        <w:t xml:space="preserve">The role of </w:t>
      </w:r>
      <w:proofErr w:type="spellStart"/>
      <w:r w:rsidR="00FC5860" w:rsidRPr="00FC5860">
        <w:rPr>
          <w:rFonts w:ascii="Calibri" w:hAnsi="Calibri" w:cs="Calibri"/>
          <w:bCs/>
        </w:rPr>
        <w:t>r</w:t>
      </w:r>
      <w:r w:rsidRPr="00FC5860">
        <w:rPr>
          <w:rFonts w:ascii="Calibri" w:hAnsi="Calibri" w:cs="Calibri"/>
          <w:bCs/>
        </w:rPr>
        <w:t>TMS</w:t>
      </w:r>
      <w:proofErr w:type="spellEnd"/>
      <w:r w:rsidRPr="00FC5860">
        <w:rPr>
          <w:rFonts w:ascii="Calibri" w:hAnsi="Calibri" w:cs="Calibri"/>
          <w:bCs/>
        </w:rPr>
        <w:t xml:space="preserve"> </w:t>
      </w:r>
      <w:r w:rsidR="00FC5860" w:rsidRPr="00FC5860">
        <w:rPr>
          <w:rFonts w:ascii="Calibri" w:hAnsi="Calibri" w:cs="Calibri"/>
          <w:bCs/>
        </w:rPr>
        <w:t>in clinical practi</w:t>
      </w:r>
      <w:r w:rsidR="00720D51">
        <w:rPr>
          <w:rFonts w:ascii="Calibri" w:hAnsi="Calibri" w:cs="Calibri"/>
          <w:bCs/>
        </w:rPr>
        <w:t>c</w:t>
      </w:r>
      <w:r w:rsidR="00FC5860" w:rsidRPr="00FC5860">
        <w:rPr>
          <w:rFonts w:ascii="Calibri" w:hAnsi="Calibri" w:cs="Calibri"/>
          <w:bCs/>
        </w:rPr>
        <w:t xml:space="preserve">e </w:t>
      </w:r>
      <w:r w:rsidRPr="00FC5860">
        <w:rPr>
          <w:rFonts w:ascii="Calibri" w:hAnsi="Calibri" w:cs="Calibri"/>
          <w:bCs/>
        </w:rPr>
        <w:t>is less clear</w:t>
      </w:r>
      <w:r w:rsidR="00FC5860" w:rsidRPr="00FC5860">
        <w:rPr>
          <w:rFonts w:ascii="Calibri" w:hAnsi="Calibri" w:cs="Calibri"/>
          <w:bCs/>
        </w:rPr>
        <w:t xml:space="preserve"> than for ECT and esketamine</w:t>
      </w:r>
      <w:r w:rsidR="00FC5860">
        <w:rPr>
          <w:rFonts w:ascii="Calibri" w:hAnsi="Calibri" w:cs="Calibri"/>
          <w:bCs/>
        </w:rPr>
        <w:t>.</w:t>
      </w:r>
    </w:p>
    <w:p w14:paraId="29DC4820" w14:textId="5B991C43" w:rsidR="00FC5860" w:rsidRPr="00FC5860" w:rsidRDefault="00FC5860" w:rsidP="007F739F">
      <w:pPr>
        <w:pStyle w:val="ListParagraph"/>
        <w:numPr>
          <w:ilvl w:val="1"/>
          <w:numId w:val="5"/>
        </w:numPr>
        <w:ind w:left="1077" w:hanging="357"/>
        <w:contextualSpacing w:val="0"/>
        <w:jc w:val="both"/>
        <w:rPr>
          <w:rFonts w:ascii="Calibri" w:hAnsi="Calibri" w:cs="Calibri"/>
          <w:bCs/>
        </w:rPr>
      </w:pPr>
      <w:proofErr w:type="spellStart"/>
      <w:r w:rsidRPr="00FC5860">
        <w:rPr>
          <w:rFonts w:ascii="Calibri" w:hAnsi="Calibri" w:cs="Calibri"/>
          <w:bCs/>
        </w:rPr>
        <w:t>rTMS</w:t>
      </w:r>
      <w:proofErr w:type="spellEnd"/>
      <w:r w:rsidRPr="00FC5860">
        <w:rPr>
          <w:rFonts w:ascii="Calibri" w:hAnsi="Calibri" w:cs="Calibri"/>
          <w:bCs/>
        </w:rPr>
        <w:t xml:space="preserve"> is often preferred to ECT in adolescents and young adults</w:t>
      </w:r>
      <w:r>
        <w:rPr>
          <w:rFonts w:ascii="Calibri" w:hAnsi="Calibri" w:cs="Calibri"/>
          <w:bCs/>
        </w:rPr>
        <w:t>.</w:t>
      </w:r>
    </w:p>
    <w:p w14:paraId="3D90DCCE" w14:textId="6BA55BBB" w:rsidR="002F45DD" w:rsidRDefault="002F45DD" w:rsidP="007F739F">
      <w:pPr>
        <w:pStyle w:val="ListParagraph"/>
        <w:numPr>
          <w:ilvl w:val="0"/>
          <w:numId w:val="5"/>
        </w:numPr>
        <w:jc w:val="both"/>
        <w:rPr>
          <w:rFonts w:ascii="Calibri" w:hAnsi="Calibri" w:cs="Calibri"/>
          <w:bCs/>
        </w:rPr>
      </w:pPr>
      <w:r w:rsidRPr="002F45DD">
        <w:rPr>
          <w:rFonts w:ascii="Calibri" w:hAnsi="Calibri" w:cs="Calibri"/>
          <w:bCs/>
        </w:rPr>
        <w:t xml:space="preserve">In discussing the appropriate clinical positioning of esketamine, clinicians advised the MBS criteria for </w:t>
      </w:r>
      <w:proofErr w:type="spellStart"/>
      <w:r w:rsidRPr="002F45DD">
        <w:rPr>
          <w:rFonts w:ascii="Calibri" w:hAnsi="Calibri" w:cs="Calibri"/>
          <w:bCs/>
        </w:rPr>
        <w:t>rTMS</w:t>
      </w:r>
      <w:proofErr w:type="spellEnd"/>
      <w:r>
        <w:rPr>
          <w:rStyle w:val="FootnoteReference"/>
          <w:rFonts w:ascii="Calibri" w:hAnsi="Calibri" w:cs="Calibri"/>
          <w:bCs/>
        </w:rPr>
        <w:footnoteReference w:id="3"/>
      </w:r>
      <w:r w:rsidR="00B25B96">
        <w:rPr>
          <w:rFonts w:ascii="Calibri" w:hAnsi="Calibri" w:cs="Calibri"/>
          <w:bCs/>
        </w:rPr>
        <w:t xml:space="preserve"> (initial </w:t>
      </w:r>
      <w:r w:rsidR="000E15EB">
        <w:rPr>
          <w:rFonts w:ascii="Calibri" w:hAnsi="Calibri" w:cs="Calibri"/>
          <w:bCs/>
        </w:rPr>
        <w:t xml:space="preserve">criteria provided </w:t>
      </w:r>
      <w:r w:rsidR="00B25B96">
        <w:rPr>
          <w:rFonts w:ascii="Calibri" w:hAnsi="Calibri" w:cs="Calibri"/>
          <w:bCs/>
        </w:rPr>
        <w:t>below)</w:t>
      </w:r>
      <w:r w:rsidRPr="00B25B96">
        <w:rPr>
          <w:rFonts w:ascii="Calibri" w:hAnsi="Calibri" w:cs="Calibri"/>
          <w:bCs/>
        </w:rPr>
        <w:t xml:space="preserve"> was well described and largely consistent with </w:t>
      </w:r>
      <w:r w:rsidR="00440C88">
        <w:rPr>
          <w:rFonts w:ascii="Calibri" w:hAnsi="Calibri" w:cs="Calibri"/>
          <w:bCs/>
        </w:rPr>
        <w:t xml:space="preserve">the patient population </w:t>
      </w:r>
      <w:r w:rsidR="00DD76CA">
        <w:rPr>
          <w:rFonts w:ascii="Calibri" w:hAnsi="Calibri" w:cs="Calibri"/>
          <w:bCs/>
        </w:rPr>
        <w:t>who would be</w:t>
      </w:r>
      <w:r w:rsidR="00440C88">
        <w:rPr>
          <w:rFonts w:ascii="Calibri" w:hAnsi="Calibri" w:cs="Calibri"/>
          <w:bCs/>
        </w:rPr>
        <w:t xml:space="preserve"> </w:t>
      </w:r>
      <w:r w:rsidR="00DD76CA">
        <w:rPr>
          <w:rFonts w:ascii="Calibri" w:hAnsi="Calibri" w:cs="Calibri"/>
          <w:bCs/>
        </w:rPr>
        <w:t xml:space="preserve">considered for </w:t>
      </w:r>
      <w:r w:rsidR="00440C88">
        <w:rPr>
          <w:rFonts w:ascii="Calibri" w:hAnsi="Calibri" w:cs="Calibri"/>
          <w:bCs/>
        </w:rPr>
        <w:t xml:space="preserve">treatment </w:t>
      </w:r>
      <w:r w:rsidR="00DD76CA">
        <w:rPr>
          <w:rFonts w:ascii="Calibri" w:hAnsi="Calibri" w:cs="Calibri"/>
          <w:bCs/>
        </w:rPr>
        <w:t xml:space="preserve">with </w:t>
      </w:r>
      <w:r w:rsidRPr="00B25B96">
        <w:rPr>
          <w:rFonts w:ascii="Calibri" w:hAnsi="Calibri" w:cs="Calibri"/>
          <w:bCs/>
        </w:rPr>
        <w:t>esketamine in clinical practice.</w:t>
      </w:r>
    </w:p>
    <w:tbl>
      <w:tblPr>
        <w:tblStyle w:val="TableGrid"/>
        <w:tblW w:w="0" w:type="auto"/>
        <w:tblLook w:val="04A0" w:firstRow="1" w:lastRow="0" w:firstColumn="1" w:lastColumn="0" w:noHBand="0" w:noVBand="1"/>
      </w:tblPr>
      <w:tblGrid>
        <w:gridCol w:w="9016"/>
      </w:tblGrid>
      <w:tr w:rsidR="00720D51" w14:paraId="2536E2FA" w14:textId="77777777" w:rsidTr="00720D51">
        <w:tc>
          <w:tcPr>
            <w:tcW w:w="9016" w:type="dxa"/>
          </w:tcPr>
          <w:p w14:paraId="4685B3F5" w14:textId="77777777" w:rsidR="00720D51" w:rsidRDefault="00720D51" w:rsidP="007F739F">
            <w:pPr>
              <w:jc w:val="both"/>
              <w:rPr>
                <w:rFonts w:ascii="Arial Narrow" w:hAnsi="Arial Narrow" w:cs="Calibri"/>
                <w:bCs/>
                <w:sz w:val="20"/>
                <w:szCs w:val="20"/>
              </w:rPr>
            </w:pPr>
          </w:p>
          <w:p w14:paraId="0FF63154" w14:textId="1B55D2D3" w:rsidR="00720D51" w:rsidRP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Professional attendance on a patient by a psychiatrist, who has undertaken training in Repetitive Transcranial Magnetic Stimulation (</w:t>
            </w:r>
            <w:proofErr w:type="spellStart"/>
            <w:r w:rsidRPr="00720D51">
              <w:rPr>
                <w:rFonts w:ascii="Arial Narrow" w:hAnsi="Arial Narrow" w:cs="Calibri"/>
                <w:bCs/>
                <w:sz w:val="20"/>
                <w:szCs w:val="20"/>
              </w:rPr>
              <w:t>rTMS</w:t>
            </w:r>
            <w:proofErr w:type="spellEnd"/>
            <w:r w:rsidRPr="00720D51">
              <w:rPr>
                <w:rFonts w:ascii="Arial Narrow" w:hAnsi="Arial Narrow" w:cs="Calibri"/>
                <w:bCs/>
                <w:sz w:val="20"/>
                <w:szCs w:val="20"/>
              </w:rPr>
              <w:t xml:space="preserve">), for treatment mapping for </w:t>
            </w:r>
            <w:proofErr w:type="spellStart"/>
            <w:r w:rsidRPr="00720D51">
              <w:rPr>
                <w:rFonts w:ascii="Arial Narrow" w:hAnsi="Arial Narrow" w:cs="Calibri"/>
                <w:bCs/>
                <w:sz w:val="20"/>
                <w:szCs w:val="20"/>
              </w:rPr>
              <w:t>rTMS</w:t>
            </w:r>
            <w:proofErr w:type="spellEnd"/>
            <w:r w:rsidRPr="00720D51">
              <w:rPr>
                <w:rFonts w:ascii="Arial Narrow" w:hAnsi="Arial Narrow" w:cs="Calibri"/>
                <w:bCs/>
                <w:sz w:val="20"/>
                <w:szCs w:val="20"/>
              </w:rPr>
              <w:t>, if the patient:</w:t>
            </w:r>
          </w:p>
          <w:p w14:paraId="72CF1CD5" w14:textId="77777777" w:rsidR="00720D51" w:rsidRPr="00720D51" w:rsidRDefault="00720D51" w:rsidP="007F739F">
            <w:pPr>
              <w:jc w:val="both"/>
              <w:rPr>
                <w:rFonts w:ascii="Arial Narrow" w:hAnsi="Arial Narrow" w:cs="Calibri"/>
                <w:bCs/>
                <w:sz w:val="20"/>
                <w:szCs w:val="20"/>
              </w:rPr>
            </w:pPr>
          </w:p>
          <w:p w14:paraId="0E9215DC" w14:textId="77777777" w:rsidR="00720D51" w:rsidRP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(a) has not previously received any prior transcranial magnetic stimulation therapy in a public or private setting; and</w:t>
            </w:r>
          </w:p>
          <w:p w14:paraId="155D63C7" w14:textId="77777777" w:rsidR="00720D51" w:rsidRPr="00720D51" w:rsidRDefault="00720D51" w:rsidP="007F739F">
            <w:pPr>
              <w:jc w:val="both"/>
              <w:rPr>
                <w:rFonts w:ascii="Arial Narrow" w:hAnsi="Arial Narrow" w:cs="Calibri"/>
                <w:bCs/>
                <w:sz w:val="20"/>
                <w:szCs w:val="20"/>
              </w:rPr>
            </w:pPr>
          </w:p>
          <w:p w14:paraId="3AC98E61" w14:textId="77777777" w:rsidR="00720D51" w:rsidRP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(b) is at least 18 years old; and</w:t>
            </w:r>
          </w:p>
          <w:p w14:paraId="6167E4D8" w14:textId="77777777" w:rsidR="00720D51" w:rsidRPr="00720D51" w:rsidRDefault="00720D51" w:rsidP="007F739F">
            <w:pPr>
              <w:jc w:val="both"/>
              <w:rPr>
                <w:rFonts w:ascii="Arial Narrow" w:hAnsi="Arial Narrow" w:cs="Calibri"/>
                <w:bCs/>
                <w:sz w:val="20"/>
                <w:szCs w:val="20"/>
              </w:rPr>
            </w:pPr>
          </w:p>
          <w:p w14:paraId="69C328DA" w14:textId="77777777" w:rsidR="00720D51" w:rsidRP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(c) is diagnosed with a major depressive episode; and</w:t>
            </w:r>
          </w:p>
          <w:p w14:paraId="7F033318" w14:textId="77777777" w:rsidR="00720D51" w:rsidRPr="00720D51" w:rsidRDefault="00720D51" w:rsidP="007F739F">
            <w:pPr>
              <w:jc w:val="both"/>
              <w:rPr>
                <w:rFonts w:ascii="Arial Narrow" w:hAnsi="Arial Narrow" w:cs="Calibri"/>
                <w:bCs/>
                <w:sz w:val="20"/>
                <w:szCs w:val="20"/>
              </w:rPr>
            </w:pPr>
          </w:p>
          <w:p w14:paraId="38CC223F" w14:textId="77777777" w:rsidR="00720D51" w:rsidRP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(d) has failed to receive satisfactory improvement for the major depressive episode despite the adequate trialling of at least 2 different classes of antidepressant medications, unless contraindicated, and all of the following apply:</w:t>
            </w:r>
          </w:p>
          <w:p w14:paraId="0A4A8E8D" w14:textId="77777777" w:rsidR="00720D51" w:rsidRPr="00720D51" w:rsidRDefault="00720D51" w:rsidP="007F739F">
            <w:pPr>
              <w:jc w:val="both"/>
              <w:rPr>
                <w:rFonts w:ascii="Arial Narrow" w:hAnsi="Arial Narrow" w:cs="Calibri"/>
                <w:bCs/>
                <w:sz w:val="20"/>
                <w:szCs w:val="20"/>
              </w:rPr>
            </w:pPr>
          </w:p>
          <w:p w14:paraId="694B6B85" w14:textId="77777777" w:rsidR="00720D51" w:rsidRP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w:t>
            </w:r>
            <w:proofErr w:type="spellStart"/>
            <w:r w:rsidRPr="00720D51">
              <w:rPr>
                <w:rFonts w:ascii="Arial Narrow" w:hAnsi="Arial Narrow" w:cs="Calibri"/>
                <w:bCs/>
                <w:sz w:val="20"/>
                <w:szCs w:val="20"/>
              </w:rPr>
              <w:t>i</w:t>
            </w:r>
            <w:proofErr w:type="spellEnd"/>
            <w:r w:rsidRPr="00720D51">
              <w:rPr>
                <w:rFonts w:ascii="Arial Narrow" w:hAnsi="Arial Narrow" w:cs="Calibri"/>
                <w:bCs/>
                <w:sz w:val="20"/>
                <w:szCs w:val="20"/>
              </w:rPr>
              <w:t xml:space="preserve">) the patient’s adherence to antidepressant treatment has been formally </w:t>
            </w:r>
            <w:proofErr w:type="gramStart"/>
            <w:r w:rsidRPr="00720D51">
              <w:rPr>
                <w:rFonts w:ascii="Arial Narrow" w:hAnsi="Arial Narrow" w:cs="Calibri"/>
                <w:bCs/>
                <w:sz w:val="20"/>
                <w:szCs w:val="20"/>
              </w:rPr>
              <w:t>assessed;</w:t>
            </w:r>
            <w:proofErr w:type="gramEnd"/>
          </w:p>
          <w:p w14:paraId="0D68C548" w14:textId="77777777" w:rsidR="00720D51" w:rsidRPr="00720D51" w:rsidRDefault="00720D51" w:rsidP="007F739F">
            <w:pPr>
              <w:jc w:val="both"/>
              <w:rPr>
                <w:rFonts w:ascii="Arial Narrow" w:hAnsi="Arial Narrow" w:cs="Calibri"/>
                <w:bCs/>
                <w:sz w:val="20"/>
                <w:szCs w:val="20"/>
              </w:rPr>
            </w:pPr>
          </w:p>
          <w:p w14:paraId="07650738" w14:textId="77777777" w:rsidR="00720D51" w:rsidRP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 xml:space="preserve">(ii) the trialling of each antidepressant medication has been at the recommended therapeutic dose for a minimum of 3 </w:t>
            </w:r>
            <w:proofErr w:type="gramStart"/>
            <w:r w:rsidRPr="00720D51">
              <w:rPr>
                <w:rFonts w:ascii="Arial Narrow" w:hAnsi="Arial Narrow" w:cs="Calibri"/>
                <w:bCs/>
                <w:sz w:val="20"/>
                <w:szCs w:val="20"/>
              </w:rPr>
              <w:t>weeks;</w:t>
            </w:r>
            <w:proofErr w:type="gramEnd"/>
          </w:p>
          <w:p w14:paraId="49D29B54" w14:textId="77777777" w:rsidR="00720D51" w:rsidRPr="00720D51" w:rsidRDefault="00720D51" w:rsidP="007F739F">
            <w:pPr>
              <w:jc w:val="both"/>
              <w:rPr>
                <w:rFonts w:ascii="Arial Narrow" w:hAnsi="Arial Narrow" w:cs="Calibri"/>
                <w:bCs/>
                <w:sz w:val="20"/>
                <w:szCs w:val="20"/>
              </w:rPr>
            </w:pPr>
          </w:p>
          <w:p w14:paraId="2F9DB0E5" w14:textId="77777777" w:rsidR="00720D51" w:rsidRP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(iii) where clinically appropriate, the treatment has been titrated to the maximum tolerated therapeutic dose; and</w:t>
            </w:r>
          </w:p>
          <w:p w14:paraId="4F9810B1" w14:textId="77777777" w:rsidR="00720D51" w:rsidRPr="00720D51" w:rsidRDefault="00720D51" w:rsidP="007F739F">
            <w:pPr>
              <w:jc w:val="both"/>
              <w:rPr>
                <w:rFonts w:ascii="Arial Narrow" w:hAnsi="Arial Narrow" w:cs="Calibri"/>
                <w:bCs/>
                <w:sz w:val="20"/>
                <w:szCs w:val="20"/>
              </w:rPr>
            </w:pPr>
          </w:p>
          <w:p w14:paraId="2156D5D3" w14:textId="77777777" w:rsidR="00720D51" w:rsidRDefault="00720D51" w:rsidP="007F739F">
            <w:pPr>
              <w:jc w:val="both"/>
              <w:rPr>
                <w:rFonts w:ascii="Arial Narrow" w:hAnsi="Arial Narrow" w:cs="Calibri"/>
                <w:bCs/>
                <w:sz w:val="20"/>
                <w:szCs w:val="20"/>
              </w:rPr>
            </w:pPr>
            <w:r w:rsidRPr="00720D51">
              <w:rPr>
                <w:rFonts w:ascii="Arial Narrow" w:hAnsi="Arial Narrow" w:cs="Calibri"/>
                <w:bCs/>
                <w:sz w:val="20"/>
                <w:szCs w:val="20"/>
              </w:rPr>
              <w:t>(e) has undertaken psychological therapy, if clinically appropriate</w:t>
            </w:r>
          </w:p>
          <w:p w14:paraId="622AF647" w14:textId="60AE7F4F" w:rsidR="00720D51" w:rsidRDefault="00720D51" w:rsidP="007F739F">
            <w:pPr>
              <w:jc w:val="both"/>
              <w:rPr>
                <w:rFonts w:ascii="Calibri" w:hAnsi="Calibri" w:cs="Calibri"/>
                <w:bCs/>
              </w:rPr>
            </w:pPr>
          </w:p>
        </w:tc>
      </w:tr>
    </w:tbl>
    <w:p w14:paraId="1E3A3FD5" w14:textId="77777777" w:rsidR="00720D51" w:rsidRDefault="00720D51" w:rsidP="00AE2673">
      <w:pPr>
        <w:pStyle w:val="ListParagraph"/>
        <w:ind w:left="357"/>
        <w:contextualSpacing w:val="0"/>
        <w:jc w:val="both"/>
        <w:rPr>
          <w:rFonts w:ascii="Calibri" w:hAnsi="Calibri" w:cs="Calibri"/>
          <w:bCs/>
        </w:rPr>
      </w:pPr>
    </w:p>
    <w:p w14:paraId="595CAD97" w14:textId="34BE8542" w:rsidR="000E15EB" w:rsidRDefault="000E15EB" w:rsidP="00AE2673">
      <w:pPr>
        <w:pStyle w:val="ListParagraph"/>
        <w:numPr>
          <w:ilvl w:val="0"/>
          <w:numId w:val="5"/>
        </w:numPr>
        <w:ind w:left="357" w:hanging="357"/>
        <w:contextualSpacing w:val="0"/>
        <w:jc w:val="both"/>
        <w:rPr>
          <w:rFonts w:ascii="Calibri" w:hAnsi="Calibri" w:cs="Calibri"/>
          <w:bCs/>
        </w:rPr>
      </w:pPr>
      <w:r>
        <w:rPr>
          <w:rFonts w:ascii="Calibri" w:hAnsi="Calibri" w:cs="Calibri"/>
          <w:bCs/>
        </w:rPr>
        <w:t xml:space="preserve">The </w:t>
      </w:r>
      <w:r w:rsidR="00720D51">
        <w:rPr>
          <w:rFonts w:ascii="Calibri" w:hAnsi="Calibri" w:cs="Calibri"/>
          <w:bCs/>
        </w:rPr>
        <w:t>stakeholders</w:t>
      </w:r>
      <w:r>
        <w:rPr>
          <w:rFonts w:ascii="Calibri" w:hAnsi="Calibri" w:cs="Calibri"/>
          <w:bCs/>
        </w:rPr>
        <w:t xml:space="preserve"> advised it would be appropriate</w:t>
      </w:r>
      <w:r w:rsidR="00DD76CA">
        <w:rPr>
          <w:rFonts w:ascii="Calibri" w:hAnsi="Calibri" w:cs="Calibri"/>
          <w:bCs/>
        </w:rPr>
        <w:t xml:space="preserve"> and consistent with clinical practice</w:t>
      </w:r>
      <w:r>
        <w:rPr>
          <w:rFonts w:ascii="Calibri" w:hAnsi="Calibri" w:cs="Calibri"/>
          <w:bCs/>
        </w:rPr>
        <w:t xml:space="preserve"> to amend criteria (d) (ii) </w:t>
      </w:r>
      <w:r w:rsidR="005F7429">
        <w:rPr>
          <w:rFonts w:ascii="Calibri" w:hAnsi="Calibri" w:cs="Calibri"/>
          <w:bCs/>
        </w:rPr>
        <w:t xml:space="preserve">for esketamine </w:t>
      </w:r>
      <w:r>
        <w:rPr>
          <w:rFonts w:ascii="Calibri" w:hAnsi="Calibri" w:cs="Calibri"/>
          <w:bCs/>
        </w:rPr>
        <w:t xml:space="preserve">to require trialling each antidepressant medication for a minimum of 4 to 6 weeks (rather than a minimum of 3 weeks). </w:t>
      </w:r>
    </w:p>
    <w:p w14:paraId="0E411E1A" w14:textId="71E94E94" w:rsidR="00714A1C" w:rsidRDefault="000E15EB" w:rsidP="00AE2673">
      <w:pPr>
        <w:pStyle w:val="ListParagraph"/>
        <w:numPr>
          <w:ilvl w:val="0"/>
          <w:numId w:val="5"/>
        </w:numPr>
        <w:ind w:left="357" w:hanging="357"/>
        <w:contextualSpacing w:val="0"/>
        <w:jc w:val="both"/>
        <w:rPr>
          <w:rFonts w:ascii="Calibri" w:hAnsi="Calibri" w:cs="Calibri"/>
          <w:bCs/>
        </w:rPr>
      </w:pPr>
      <w:r>
        <w:rPr>
          <w:rFonts w:ascii="Calibri" w:hAnsi="Calibri" w:cs="Calibri"/>
          <w:bCs/>
        </w:rPr>
        <w:t xml:space="preserve">The </w:t>
      </w:r>
      <w:r w:rsidR="00720D51">
        <w:rPr>
          <w:rFonts w:ascii="Calibri" w:hAnsi="Calibri" w:cs="Calibri"/>
          <w:bCs/>
        </w:rPr>
        <w:t>stakeholders</w:t>
      </w:r>
      <w:r>
        <w:rPr>
          <w:rFonts w:ascii="Calibri" w:hAnsi="Calibri" w:cs="Calibri"/>
          <w:bCs/>
        </w:rPr>
        <w:t xml:space="preserve"> noted it would be </w:t>
      </w:r>
      <w:r w:rsidR="00EC5A96">
        <w:rPr>
          <w:rFonts w:ascii="Calibri" w:hAnsi="Calibri" w:cs="Calibri"/>
          <w:bCs/>
        </w:rPr>
        <w:t xml:space="preserve">difficult to </w:t>
      </w:r>
      <w:r>
        <w:rPr>
          <w:rFonts w:ascii="Calibri" w:hAnsi="Calibri" w:cs="Calibri"/>
          <w:bCs/>
        </w:rPr>
        <w:t xml:space="preserve">further </w:t>
      </w:r>
      <w:r w:rsidR="00714A1C" w:rsidRPr="000E15EB">
        <w:rPr>
          <w:rFonts w:ascii="Calibri" w:hAnsi="Calibri" w:cs="Calibri"/>
          <w:bCs/>
        </w:rPr>
        <w:t xml:space="preserve">define </w:t>
      </w:r>
      <w:r>
        <w:rPr>
          <w:rFonts w:ascii="Calibri" w:hAnsi="Calibri" w:cs="Calibri"/>
          <w:bCs/>
        </w:rPr>
        <w:t xml:space="preserve">the patient population </w:t>
      </w:r>
      <w:r w:rsidR="005E5CE3">
        <w:rPr>
          <w:rFonts w:ascii="Calibri" w:hAnsi="Calibri" w:cs="Calibri"/>
          <w:bCs/>
        </w:rPr>
        <w:t xml:space="preserve">that would be appropriate for esketamine </w:t>
      </w:r>
      <w:r w:rsidR="00714A1C" w:rsidRPr="000E15EB">
        <w:rPr>
          <w:rFonts w:ascii="Calibri" w:hAnsi="Calibri" w:cs="Calibri"/>
          <w:bCs/>
        </w:rPr>
        <w:t>as treatment needs to be tailored to</w:t>
      </w:r>
      <w:r w:rsidR="00720D51">
        <w:rPr>
          <w:rFonts w:ascii="Calibri" w:hAnsi="Calibri" w:cs="Calibri"/>
          <w:bCs/>
        </w:rPr>
        <w:t xml:space="preserve"> each patients</w:t>
      </w:r>
      <w:r w:rsidR="00DD76CA">
        <w:rPr>
          <w:rFonts w:ascii="Calibri" w:hAnsi="Calibri" w:cs="Calibri"/>
          <w:bCs/>
        </w:rPr>
        <w:t>’</w:t>
      </w:r>
      <w:r w:rsidR="00714A1C" w:rsidRPr="000E15EB">
        <w:rPr>
          <w:rFonts w:ascii="Calibri" w:hAnsi="Calibri" w:cs="Calibri"/>
          <w:bCs/>
        </w:rPr>
        <w:t xml:space="preserve"> clinical situation and medication history</w:t>
      </w:r>
      <w:r w:rsidR="00EC5A96">
        <w:rPr>
          <w:rFonts w:ascii="Calibri" w:hAnsi="Calibri" w:cs="Calibri"/>
          <w:bCs/>
        </w:rPr>
        <w:t>.</w:t>
      </w:r>
    </w:p>
    <w:p w14:paraId="0BD166C7" w14:textId="25BA4671" w:rsidR="000E15EB" w:rsidRDefault="000E15EB" w:rsidP="00AE2673">
      <w:pPr>
        <w:pStyle w:val="ListParagraph"/>
        <w:numPr>
          <w:ilvl w:val="0"/>
          <w:numId w:val="5"/>
        </w:numPr>
        <w:jc w:val="both"/>
        <w:rPr>
          <w:rFonts w:ascii="Calibri" w:hAnsi="Calibri" w:cs="Calibri"/>
          <w:bCs/>
        </w:rPr>
      </w:pPr>
      <w:r>
        <w:rPr>
          <w:rFonts w:ascii="Calibri" w:hAnsi="Calibri" w:cs="Calibri"/>
          <w:bCs/>
        </w:rPr>
        <w:t xml:space="preserve">The </w:t>
      </w:r>
      <w:r w:rsidR="00720D51">
        <w:rPr>
          <w:rFonts w:ascii="Calibri" w:hAnsi="Calibri" w:cs="Calibri"/>
          <w:bCs/>
        </w:rPr>
        <w:t>stakeholders</w:t>
      </w:r>
      <w:r>
        <w:rPr>
          <w:rFonts w:ascii="Calibri" w:hAnsi="Calibri" w:cs="Calibri"/>
          <w:bCs/>
        </w:rPr>
        <w:t xml:space="preserve"> noted the proposed PBS restriction criteria for initial treatment with esketamine in the July 2022 PSD: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2"/>
        <w:gridCol w:w="6754"/>
      </w:tblGrid>
      <w:tr w:rsidR="000E15EB" w:rsidRPr="00A30A33" w14:paraId="1A5EAC4E" w14:textId="77777777" w:rsidTr="000501C9">
        <w:trPr>
          <w:trHeight w:val="20"/>
        </w:trPr>
        <w:tc>
          <w:tcPr>
            <w:tcW w:w="2262" w:type="dxa"/>
            <w:hideMark/>
          </w:tcPr>
          <w:p w14:paraId="7B60A260" w14:textId="77777777" w:rsidR="000E15EB" w:rsidRPr="00A30A33" w:rsidRDefault="000E15EB" w:rsidP="00AE2673">
            <w:pPr>
              <w:pStyle w:val="TableText"/>
              <w:keepNext w:val="0"/>
              <w:jc w:val="both"/>
            </w:pPr>
            <w:r w:rsidRPr="002530A2">
              <w:rPr>
                <w:b/>
              </w:rPr>
              <w:t>Category / Program:</w:t>
            </w:r>
          </w:p>
        </w:tc>
        <w:tc>
          <w:tcPr>
            <w:tcW w:w="6754" w:type="dxa"/>
          </w:tcPr>
          <w:p w14:paraId="45424505" w14:textId="77777777" w:rsidR="000E15EB" w:rsidRPr="00A30A33" w:rsidRDefault="000E15EB" w:rsidP="00AE2673">
            <w:pPr>
              <w:pStyle w:val="TableText"/>
              <w:keepNext w:val="0"/>
              <w:jc w:val="both"/>
            </w:pPr>
            <w:r w:rsidRPr="002530A2">
              <w:t xml:space="preserve">Section 100 – Highly Specialised Drugs Program </w:t>
            </w:r>
          </w:p>
        </w:tc>
      </w:tr>
      <w:tr w:rsidR="000E15EB" w:rsidRPr="00A30A33" w14:paraId="2060B558" w14:textId="77777777" w:rsidTr="000501C9">
        <w:trPr>
          <w:trHeight w:val="20"/>
        </w:trPr>
        <w:tc>
          <w:tcPr>
            <w:tcW w:w="2262" w:type="dxa"/>
            <w:hideMark/>
          </w:tcPr>
          <w:p w14:paraId="3D04FDDC" w14:textId="77777777" w:rsidR="000E15EB" w:rsidRPr="00A30A33" w:rsidRDefault="000E15EB" w:rsidP="00AE2673">
            <w:pPr>
              <w:pStyle w:val="TableText"/>
              <w:keepNext w:val="0"/>
              <w:jc w:val="both"/>
            </w:pPr>
            <w:r w:rsidRPr="002530A2">
              <w:rPr>
                <w:b/>
              </w:rPr>
              <w:t>Prescriber type:</w:t>
            </w:r>
          </w:p>
        </w:tc>
        <w:tc>
          <w:tcPr>
            <w:tcW w:w="6754" w:type="dxa"/>
          </w:tcPr>
          <w:p w14:paraId="038BAC61" w14:textId="77777777" w:rsidR="000E15EB" w:rsidRPr="00A30A33" w:rsidRDefault="000E15EB" w:rsidP="00AE2673">
            <w:pPr>
              <w:pStyle w:val="TableText"/>
              <w:keepNext w:val="0"/>
              <w:jc w:val="both"/>
            </w:pPr>
            <w:r w:rsidRPr="002530A2">
              <w:t xml:space="preserve">Medical Practitioners  </w:t>
            </w:r>
          </w:p>
        </w:tc>
      </w:tr>
      <w:tr w:rsidR="000E15EB" w:rsidRPr="00A30A33" w14:paraId="46CAB60D" w14:textId="77777777" w:rsidTr="000501C9">
        <w:trPr>
          <w:trHeight w:val="20"/>
        </w:trPr>
        <w:tc>
          <w:tcPr>
            <w:tcW w:w="2262" w:type="dxa"/>
            <w:hideMark/>
          </w:tcPr>
          <w:p w14:paraId="3919BBF9" w14:textId="77777777" w:rsidR="000E15EB" w:rsidRPr="00A30A33" w:rsidRDefault="000E15EB" w:rsidP="00AE2673">
            <w:pPr>
              <w:pStyle w:val="TableText"/>
              <w:keepNext w:val="0"/>
              <w:jc w:val="both"/>
            </w:pPr>
            <w:r w:rsidRPr="002530A2">
              <w:rPr>
                <w:b/>
              </w:rPr>
              <w:t>Severity:</w:t>
            </w:r>
          </w:p>
        </w:tc>
        <w:tc>
          <w:tcPr>
            <w:tcW w:w="6754" w:type="dxa"/>
          </w:tcPr>
          <w:p w14:paraId="2B4D127B" w14:textId="77777777" w:rsidR="000E15EB" w:rsidRPr="00A30A33" w:rsidRDefault="000E15EB" w:rsidP="00AE2673">
            <w:pPr>
              <w:pStyle w:val="TableText"/>
              <w:keepNext w:val="0"/>
              <w:jc w:val="both"/>
            </w:pPr>
            <w:r w:rsidRPr="002530A2">
              <w:t>Moderate to severe</w:t>
            </w:r>
          </w:p>
        </w:tc>
      </w:tr>
      <w:tr w:rsidR="000E15EB" w:rsidRPr="00A30A33" w14:paraId="13C6FB2B" w14:textId="77777777" w:rsidTr="000501C9">
        <w:trPr>
          <w:trHeight w:val="20"/>
        </w:trPr>
        <w:tc>
          <w:tcPr>
            <w:tcW w:w="2262" w:type="dxa"/>
            <w:hideMark/>
          </w:tcPr>
          <w:p w14:paraId="69B6E17E" w14:textId="77777777" w:rsidR="000E15EB" w:rsidRPr="00A30A33" w:rsidRDefault="000E15EB" w:rsidP="00AE2673">
            <w:pPr>
              <w:pStyle w:val="TableText"/>
              <w:keepNext w:val="0"/>
              <w:jc w:val="both"/>
            </w:pPr>
            <w:r w:rsidRPr="002530A2">
              <w:rPr>
                <w:b/>
              </w:rPr>
              <w:t>Condition:</w:t>
            </w:r>
          </w:p>
        </w:tc>
        <w:tc>
          <w:tcPr>
            <w:tcW w:w="6754" w:type="dxa"/>
          </w:tcPr>
          <w:p w14:paraId="27F597A2" w14:textId="77777777" w:rsidR="000E15EB" w:rsidRPr="00A30A33" w:rsidRDefault="000E15EB" w:rsidP="00AE2673">
            <w:pPr>
              <w:pStyle w:val="TableText"/>
              <w:keepNext w:val="0"/>
              <w:jc w:val="both"/>
            </w:pPr>
            <w:r w:rsidRPr="002530A2">
              <w:t>Major depressive disorder</w:t>
            </w:r>
          </w:p>
        </w:tc>
      </w:tr>
      <w:tr w:rsidR="000E15EB" w:rsidRPr="00A30A33" w14:paraId="557F3CA3" w14:textId="77777777" w:rsidTr="000501C9">
        <w:trPr>
          <w:trHeight w:val="20"/>
        </w:trPr>
        <w:tc>
          <w:tcPr>
            <w:tcW w:w="2262" w:type="dxa"/>
            <w:tcBorders>
              <w:bottom w:val="double" w:sz="4" w:space="0" w:color="auto"/>
            </w:tcBorders>
            <w:hideMark/>
          </w:tcPr>
          <w:p w14:paraId="539E67E1" w14:textId="77777777" w:rsidR="000E15EB" w:rsidRPr="00A30A33" w:rsidRDefault="000E15EB" w:rsidP="00AE2673">
            <w:pPr>
              <w:pStyle w:val="TableText"/>
              <w:keepNext w:val="0"/>
              <w:jc w:val="both"/>
            </w:pPr>
            <w:r w:rsidRPr="002530A2">
              <w:rPr>
                <w:b/>
              </w:rPr>
              <w:t>PBS Indication:</w:t>
            </w:r>
          </w:p>
        </w:tc>
        <w:tc>
          <w:tcPr>
            <w:tcW w:w="6754" w:type="dxa"/>
            <w:tcBorders>
              <w:bottom w:val="double" w:sz="4" w:space="0" w:color="auto"/>
            </w:tcBorders>
          </w:tcPr>
          <w:p w14:paraId="7F03F29C" w14:textId="77777777" w:rsidR="000E15EB" w:rsidRPr="00A30A33" w:rsidRDefault="000E15EB" w:rsidP="00AE2673">
            <w:pPr>
              <w:pStyle w:val="TableText"/>
              <w:keepNext w:val="0"/>
              <w:jc w:val="both"/>
            </w:pPr>
            <w:r w:rsidRPr="002530A2">
              <w:t>Treatment resistant depression</w:t>
            </w:r>
          </w:p>
        </w:tc>
      </w:tr>
      <w:tr w:rsidR="000E15EB" w:rsidRPr="00A30A33" w14:paraId="266B9558" w14:textId="77777777" w:rsidTr="000501C9">
        <w:trPr>
          <w:trHeight w:val="20"/>
        </w:trPr>
        <w:tc>
          <w:tcPr>
            <w:tcW w:w="2262" w:type="dxa"/>
            <w:tcBorders>
              <w:top w:val="double" w:sz="4" w:space="0" w:color="auto"/>
            </w:tcBorders>
            <w:hideMark/>
          </w:tcPr>
          <w:p w14:paraId="0D461DB2" w14:textId="77777777" w:rsidR="000E15EB" w:rsidRPr="00A30A33" w:rsidRDefault="000E15EB" w:rsidP="00AE2673">
            <w:pPr>
              <w:pStyle w:val="TableText"/>
              <w:keepNext w:val="0"/>
              <w:jc w:val="both"/>
            </w:pPr>
            <w:r w:rsidRPr="002530A2">
              <w:rPr>
                <w:b/>
              </w:rPr>
              <w:t>Treatment phase:</w:t>
            </w:r>
          </w:p>
        </w:tc>
        <w:tc>
          <w:tcPr>
            <w:tcW w:w="6754" w:type="dxa"/>
            <w:tcBorders>
              <w:top w:val="double" w:sz="4" w:space="0" w:color="auto"/>
            </w:tcBorders>
          </w:tcPr>
          <w:p w14:paraId="55EDFF64" w14:textId="77777777" w:rsidR="000E15EB" w:rsidRPr="00A30A33" w:rsidRDefault="000E15EB" w:rsidP="00AE2673">
            <w:pPr>
              <w:pStyle w:val="TableText"/>
              <w:keepNext w:val="0"/>
              <w:jc w:val="both"/>
            </w:pPr>
            <w:r w:rsidRPr="002530A2">
              <w:t>Initial treatment/induction</w:t>
            </w:r>
          </w:p>
        </w:tc>
      </w:tr>
      <w:tr w:rsidR="000E15EB" w:rsidRPr="00A30A33" w14:paraId="4776FDAE" w14:textId="77777777" w:rsidTr="000501C9">
        <w:trPr>
          <w:trHeight w:val="20"/>
        </w:trPr>
        <w:tc>
          <w:tcPr>
            <w:tcW w:w="2262" w:type="dxa"/>
          </w:tcPr>
          <w:p w14:paraId="084D07AC" w14:textId="77777777" w:rsidR="000E15EB" w:rsidRPr="00A30A33" w:rsidRDefault="000E15EB" w:rsidP="00AE2673">
            <w:pPr>
              <w:pStyle w:val="TableText"/>
              <w:keepNext w:val="0"/>
              <w:jc w:val="both"/>
            </w:pPr>
            <w:r w:rsidRPr="002530A2">
              <w:rPr>
                <w:b/>
              </w:rPr>
              <w:t>Restriction:</w:t>
            </w:r>
          </w:p>
        </w:tc>
        <w:tc>
          <w:tcPr>
            <w:tcW w:w="6754" w:type="dxa"/>
          </w:tcPr>
          <w:p w14:paraId="0E2BF587" w14:textId="77777777" w:rsidR="000E15EB" w:rsidRPr="00C50DC8" w:rsidRDefault="000E15EB" w:rsidP="00AE2673">
            <w:pPr>
              <w:pStyle w:val="TableText"/>
              <w:keepNext w:val="0"/>
              <w:jc w:val="both"/>
            </w:pPr>
            <w:r w:rsidRPr="002530A2">
              <w:t>Authority Required – Telephon</w:t>
            </w:r>
            <w:r>
              <w:t>e</w:t>
            </w:r>
          </w:p>
        </w:tc>
      </w:tr>
      <w:tr w:rsidR="000E15EB" w:rsidRPr="00A30A33" w14:paraId="3C960785" w14:textId="77777777" w:rsidTr="000501C9">
        <w:trPr>
          <w:trHeight w:val="20"/>
        </w:trPr>
        <w:tc>
          <w:tcPr>
            <w:tcW w:w="2262" w:type="dxa"/>
            <w:hideMark/>
          </w:tcPr>
          <w:p w14:paraId="3AEEDA8C" w14:textId="77777777" w:rsidR="000E15EB" w:rsidRPr="00A30A33" w:rsidRDefault="000E15EB" w:rsidP="00AE2673">
            <w:pPr>
              <w:pStyle w:val="TableText"/>
              <w:keepNext w:val="0"/>
              <w:jc w:val="both"/>
            </w:pPr>
            <w:r w:rsidRPr="002530A2">
              <w:rPr>
                <w:b/>
              </w:rPr>
              <w:t>Treatment criteria:</w:t>
            </w:r>
          </w:p>
        </w:tc>
        <w:tc>
          <w:tcPr>
            <w:tcW w:w="6754" w:type="dxa"/>
          </w:tcPr>
          <w:p w14:paraId="7842FAA2" w14:textId="77777777" w:rsidR="000E15EB" w:rsidRPr="00A30A33" w:rsidRDefault="000E15EB" w:rsidP="00AE2673">
            <w:pPr>
              <w:pStyle w:val="TableText"/>
              <w:keepNext w:val="0"/>
              <w:jc w:val="both"/>
              <w:rPr>
                <w:color w:val="000000"/>
              </w:rPr>
            </w:pPr>
            <w:r w:rsidRPr="002530A2">
              <w:rPr>
                <w:rFonts w:cs="Arial"/>
              </w:rPr>
              <w:t>Psychiatrist or under the supervision of a psychiatrist</w:t>
            </w:r>
          </w:p>
        </w:tc>
      </w:tr>
      <w:tr w:rsidR="000E15EB" w:rsidRPr="00A30A33" w14:paraId="5A08F30B" w14:textId="77777777" w:rsidTr="000501C9">
        <w:trPr>
          <w:trHeight w:val="20"/>
        </w:trPr>
        <w:tc>
          <w:tcPr>
            <w:tcW w:w="2262" w:type="dxa"/>
          </w:tcPr>
          <w:p w14:paraId="62AB5E18" w14:textId="77777777" w:rsidR="000E15EB" w:rsidRPr="002530A2" w:rsidRDefault="000E15EB" w:rsidP="00AE2673">
            <w:pPr>
              <w:pStyle w:val="TableText"/>
              <w:keepNext w:val="0"/>
              <w:jc w:val="both"/>
              <w:rPr>
                <w:b/>
              </w:rPr>
            </w:pPr>
            <w:r w:rsidRPr="002530A2">
              <w:rPr>
                <w:b/>
              </w:rPr>
              <w:t>Clinical criteria:</w:t>
            </w:r>
          </w:p>
          <w:p w14:paraId="6345A452" w14:textId="77777777" w:rsidR="000E15EB" w:rsidRDefault="000E15EB" w:rsidP="00AE2673">
            <w:pPr>
              <w:pStyle w:val="TableText"/>
              <w:keepNext w:val="0"/>
              <w:jc w:val="both"/>
            </w:pPr>
          </w:p>
        </w:tc>
        <w:tc>
          <w:tcPr>
            <w:tcW w:w="6754" w:type="dxa"/>
          </w:tcPr>
          <w:p w14:paraId="01BDC352" w14:textId="77777777" w:rsidR="000E15EB" w:rsidRPr="002530A2" w:rsidRDefault="000E15EB" w:rsidP="00AE2673">
            <w:pPr>
              <w:pStyle w:val="TableText"/>
              <w:keepNext w:val="0"/>
              <w:jc w:val="both"/>
              <w:rPr>
                <w:rFonts w:cs="Arial"/>
              </w:rPr>
            </w:pPr>
            <w:r w:rsidRPr="002530A2">
              <w:rPr>
                <w:rFonts w:cs="Arial"/>
              </w:rPr>
              <w:t>Patient must have received and not achieved an adequate response to at least two different antidepressant medications at adequate doses and duration to treat the current depressive episode.</w:t>
            </w:r>
          </w:p>
          <w:p w14:paraId="67FAD8FC" w14:textId="77777777" w:rsidR="000E15EB" w:rsidRPr="002530A2" w:rsidRDefault="000E15EB" w:rsidP="00AE2673">
            <w:pPr>
              <w:pStyle w:val="TableText"/>
              <w:keepNext w:val="0"/>
              <w:jc w:val="both"/>
              <w:rPr>
                <w:rFonts w:cs="Arial"/>
              </w:rPr>
            </w:pPr>
            <w:r w:rsidRPr="002530A2">
              <w:rPr>
                <w:rFonts w:cs="Arial"/>
              </w:rPr>
              <w:t>AND</w:t>
            </w:r>
          </w:p>
          <w:p w14:paraId="1D631E3B" w14:textId="77777777" w:rsidR="000E15EB" w:rsidRPr="002530A2" w:rsidRDefault="000E15EB" w:rsidP="00AE2673">
            <w:pPr>
              <w:pStyle w:val="TableText"/>
              <w:keepNext w:val="0"/>
              <w:jc w:val="both"/>
              <w:rPr>
                <w:rFonts w:cs="Arial"/>
              </w:rPr>
            </w:pPr>
            <w:r w:rsidRPr="002530A2">
              <w:rPr>
                <w:rFonts w:cs="Arial"/>
              </w:rPr>
              <w:t>Treatment must be used in combination with a newly initiated oral antidepressant</w:t>
            </w:r>
          </w:p>
          <w:p w14:paraId="7E8B9060" w14:textId="77777777" w:rsidR="000E15EB" w:rsidRPr="002530A2" w:rsidRDefault="000E15EB" w:rsidP="00AE2673">
            <w:pPr>
              <w:pStyle w:val="TableText"/>
              <w:keepNext w:val="0"/>
              <w:jc w:val="both"/>
              <w:rPr>
                <w:rFonts w:cs="Arial"/>
              </w:rPr>
            </w:pPr>
            <w:r w:rsidRPr="002530A2">
              <w:rPr>
                <w:rFonts w:cs="Arial"/>
              </w:rPr>
              <w:t>AND</w:t>
            </w:r>
          </w:p>
          <w:p w14:paraId="4B2EB600" w14:textId="77777777" w:rsidR="000E15EB" w:rsidRPr="00A30A33" w:rsidRDefault="000E15EB" w:rsidP="00AE2673">
            <w:pPr>
              <w:pStyle w:val="TableText"/>
              <w:keepNext w:val="0"/>
              <w:jc w:val="both"/>
              <w:rPr>
                <w:color w:val="000000"/>
              </w:rPr>
            </w:pPr>
            <w:r w:rsidRPr="002530A2">
              <w:rPr>
                <w:rFonts w:cs="Arial"/>
              </w:rPr>
              <w:t>Patient must not receive more than 4 weeks of treatment under this restriction</w:t>
            </w:r>
          </w:p>
        </w:tc>
      </w:tr>
      <w:tr w:rsidR="000E15EB" w:rsidRPr="00A30A33" w14:paraId="211AFDD3" w14:textId="77777777" w:rsidTr="000501C9">
        <w:trPr>
          <w:trHeight w:val="20"/>
        </w:trPr>
        <w:tc>
          <w:tcPr>
            <w:tcW w:w="2262" w:type="dxa"/>
            <w:tcBorders>
              <w:bottom w:val="double" w:sz="4" w:space="0" w:color="auto"/>
            </w:tcBorders>
          </w:tcPr>
          <w:p w14:paraId="2460CD0E" w14:textId="77777777" w:rsidR="000E15EB" w:rsidRDefault="000E15EB" w:rsidP="00AE2673">
            <w:pPr>
              <w:pStyle w:val="TableText"/>
              <w:keepNext w:val="0"/>
              <w:jc w:val="both"/>
            </w:pPr>
            <w:r w:rsidRPr="002530A2">
              <w:rPr>
                <w:b/>
              </w:rPr>
              <w:t>Population criteria:</w:t>
            </w:r>
          </w:p>
        </w:tc>
        <w:tc>
          <w:tcPr>
            <w:tcW w:w="6754" w:type="dxa"/>
            <w:tcBorders>
              <w:bottom w:val="double" w:sz="4" w:space="0" w:color="auto"/>
            </w:tcBorders>
          </w:tcPr>
          <w:p w14:paraId="30A766AE" w14:textId="77777777" w:rsidR="000E15EB" w:rsidRPr="00A30A33" w:rsidRDefault="000E15EB" w:rsidP="00AE2673">
            <w:pPr>
              <w:pStyle w:val="TableText"/>
              <w:keepNext w:val="0"/>
              <w:jc w:val="both"/>
              <w:rPr>
                <w:color w:val="000000"/>
              </w:rPr>
            </w:pPr>
            <w:r w:rsidRPr="002530A2">
              <w:t xml:space="preserve">Patients must be aged 18 years or </w:t>
            </w:r>
            <w:r>
              <w:t>older</w:t>
            </w:r>
          </w:p>
        </w:tc>
      </w:tr>
    </w:tbl>
    <w:p w14:paraId="23884E9D" w14:textId="23D8043D" w:rsidR="000E15EB" w:rsidRPr="000E15EB" w:rsidRDefault="000E15EB" w:rsidP="00AE2673">
      <w:pPr>
        <w:jc w:val="both"/>
        <w:rPr>
          <w:rFonts w:ascii="Calibri" w:hAnsi="Calibri" w:cs="Calibri"/>
          <w:bCs/>
        </w:rPr>
      </w:pPr>
    </w:p>
    <w:p w14:paraId="78C5907F" w14:textId="5527C55E" w:rsidR="00714A1C" w:rsidRDefault="002F1BFF" w:rsidP="00AE2673">
      <w:pPr>
        <w:pStyle w:val="ListParagraph"/>
        <w:numPr>
          <w:ilvl w:val="0"/>
          <w:numId w:val="5"/>
        </w:numPr>
        <w:ind w:left="357" w:hanging="357"/>
        <w:contextualSpacing w:val="0"/>
        <w:jc w:val="both"/>
        <w:rPr>
          <w:rFonts w:ascii="Calibri" w:hAnsi="Calibri" w:cs="Calibri"/>
          <w:bCs/>
        </w:rPr>
      </w:pPr>
      <w:r>
        <w:rPr>
          <w:rFonts w:ascii="Calibri" w:hAnsi="Calibri" w:cs="Calibri"/>
          <w:bCs/>
        </w:rPr>
        <w:t xml:space="preserve">The </w:t>
      </w:r>
      <w:r w:rsidR="00720D51">
        <w:rPr>
          <w:rFonts w:ascii="Calibri" w:hAnsi="Calibri" w:cs="Calibri"/>
          <w:bCs/>
        </w:rPr>
        <w:t>stakeholders</w:t>
      </w:r>
      <w:r>
        <w:rPr>
          <w:rFonts w:ascii="Calibri" w:hAnsi="Calibri" w:cs="Calibri"/>
          <w:bCs/>
        </w:rPr>
        <w:t xml:space="preserve"> </w:t>
      </w:r>
      <w:r w:rsidR="00EC5A96">
        <w:rPr>
          <w:rFonts w:ascii="Calibri" w:hAnsi="Calibri" w:cs="Calibri"/>
          <w:bCs/>
        </w:rPr>
        <w:t xml:space="preserve">strongly </w:t>
      </w:r>
      <w:r>
        <w:rPr>
          <w:rFonts w:ascii="Calibri" w:hAnsi="Calibri" w:cs="Calibri"/>
          <w:bCs/>
        </w:rPr>
        <w:t xml:space="preserve">supported limiting </w:t>
      </w:r>
      <w:r w:rsidR="00EC5A96">
        <w:rPr>
          <w:rFonts w:ascii="Calibri" w:hAnsi="Calibri" w:cs="Calibri"/>
          <w:bCs/>
        </w:rPr>
        <w:t xml:space="preserve">initial </w:t>
      </w:r>
      <w:r>
        <w:rPr>
          <w:rFonts w:ascii="Calibri" w:hAnsi="Calibri" w:cs="Calibri"/>
          <w:bCs/>
        </w:rPr>
        <w:t xml:space="preserve">prescribing to psychiatrists </w:t>
      </w:r>
      <w:r w:rsidR="00EC5A96">
        <w:rPr>
          <w:rFonts w:ascii="Calibri" w:hAnsi="Calibri" w:cs="Calibri"/>
          <w:bCs/>
        </w:rPr>
        <w:t xml:space="preserve">(rather than </w:t>
      </w:r>
      <w:r w:rsidR="00AE2673">
        <w:rPr>
          <w:rFonts w:ascii="Calibri" w:hAnsi="Calibri" w:cs="Calibri"/>
          <w:bCs/>
        </w:rPr>
        <w:t>‘</w:t>
      </w:r>
      <w:r w:rsidR="00EC5A96">
        <w:rPr>
          <w:rFonts w:ascii="Calibri" w:hAnsi="Calibri" w:cs="Calibri"/>
          <w:bCs/>
        </w:rPr>
        <w:t>psychiatrists or under the supervision of a psychiatrist</w:t>
      </w:r>
      <w:r w:rsidR="00AE2673">
        <w:rPr>
          <w:rFonts w:ascii="Calibri" w:hAnsi="Calibri" w:cs="Calibri"/>
          <w:bCs/>
        </w:rPr>
        <w:t>’</w:t>
      </w:r>
      <w:r w:rsidR="00EC5A96">
        <w:rPr>
          <w:rFonts w:ascii="Calibri" w:hAnsi="Calibri" w:cs="Calibri"/>
          <w:bCs/>
        </w:rPr>
        <w:t xml:space="preserve">) </w:t>
      </w:r>
      <w:r>
        <w:rPr>
          <w:rFonts w:ascii="Calibri" w:hAnsi="Calibri" w:cs="Calibri"/>
          <w:bCs/>
        </w:rPr>
        <w:t>given the treatment-resistant setting</w:t>
      </w:r>
      <w:r w:rsidR="00405761">
        <w:rPr>
          <w:rFonts w:ascii="Calibri" w:hAnsi="Calibri" w:cs="Calibri"/>
          <w:bCs/>
        </w:rPr>
        <w:t>,</w:t>
      </w:r>
      <w:r>
        <w:rPr>
          <w:rFonts w:ascii="Calibri" w:hAnsi="Calibri" w:cs="Calibri"/>
          <w:bCs/>
        </w:rPr>
        <w:t xml:space="preserve"> specialised nature of the treatment</w:t>
      </w:r>
      <w:r w:rsidR="00405761">
        <w:rPr>
          <w:rFonts w:ascii="Calibri" w:hAnsi="Calibri" w:cs="Calibri"/>
          <w:bCs/>
        </w:rPr>
        <w:t>, and concerns about serious adverse outcomes (</w:t>
      </w:r>
      <w:r w:rsidR="00863755">
        <w:rPr>
          <w:rFonts w:ascii="Calibri" w:hAnsi="Calibri" w:cs="Calibri"/>
          <w:bCs/>
        </w:rPr>
        <w:t xml:space="preserve">including </w:t>
      </w:r>
      <w:r w:rsidR="00405761">
        <w:rPr>
          <w:rFonts w:ascii="Calibri" w:hAnsi="Calibri" w:cs="Calibri"/>
          <w:bCs/>
        </w:rPr>
        <w:t>suicide attempts) where treatment has been given in Australia by general practitioners “under the supervision of a psychiatrist”</w:t>
      </w:r>
      <w:r>
        <w:rPr>
          <w:rFonts w:ascii="Calibri" w:hAnsi="Calibri" w:cs="Calibri"/>
          <w:bCs/>
        </w:rPr>
        <w:t xml:space="preserve">.  </w:t>
      </w:r>
    </w:p>
    <w:p w14:paraId="603E536B" w14:textId="6878CA2B" w:rsidR="00E754CA" w:rsidRDefault="00E754CA" w:rsidP="00AE2673">
      <w:pPr>
        <w:pStyle w:val="ListParagraph"/>
        <w:numPr>
          <w:ilvl w:val="0"/>
          <w:numId w:val="5"/>
        </w:numPr>
        <w:ind w:left="357" w:hanging="357"/>
        <w:contextualSpacing w:val="0"/>
        <w:jc w:val="both"/>
        <w:rPr>
          <w:rFonts w:ascii="Calibri" w:hAnsi="Calibri" w:cs="Calibri"/>
          <w:bCs/>
        </w:rPr>
      </w:pPr>
      <w:r w:rsidRPr="00E754CA">
        <w:rPr>
          <w:rFonts w:ascii="Calibri" w:hAnsi="Calibri" w:cs="Calibri"/>
          <w:bCs/>
        </w:rPr>
        <w:t xml:space="preserve">The </w:t>
      </w:r>
      <w:r w:rsidR="00720D51">
        <w:rPr>
          <w:rFonts w:ascii="Calibri" w:hAnsi="Calibri" w:cs="Calibri"/>
          <w:bCs/>
        </w:rPr>
        <w:t>stakeholders</w:t>
      </w:r>
      <w:r w:rsidRPr="00E754CA">
        <w:rPr>
          <w:rFonts w:ascii="Calibri" w:hAnsi="Calibri" w:cs="Calibri"/>
          <w:bCs/>
        </w:rPr>
        <w:t xml:space="preserve"> noted the proposed clinical criteria “Treatment must be used in combination with a newly initiated oral antidepressant” was consistent with the clinical trial and the TGA approved indication; however, it was not consistent with clinical practice</w:t>
      </w:r>
      <w:r>
        <w:rPr>
          <w:rFonts w:ascii="Calibri" w:hAnsi="Calibri" w:cs="Calibri"/>
          <w:bCs/>
        </w:rPr>
        <w:t>, would be difficult and complicated to adhere to and could result in unnecessary switching of treatments</w:t>
      </w:r>
      <w:r w:rsidRPr="00E754CA">
        <w:rPr>
          <w:rFonts w:ascii="Calibri" w:hAnsi="Calibri" w:cs="Calibri"/>
          <w:bCs/>
        </w:rPr>
        <w:t>.</w:t>
      </w:r>
    </w:p>
    <w:p w14:paraId="3A6AD211" w14:textId="762D3204" w:rsidR="00EC5A96" w:rsidRDefault="00EC5A96" w:rsidP="00AE2673">
      <w:pPr>
        <w:pStyle w:val="ListParagraph"/>
        <w:numPr>
          <w:ilvl w:val="0"/>
          <w:numId w:val="5"/>
        </w:numPr>
        <w:ind w:left="357" w:hanging="357"/>
        <w:contextualSpacing w:val="0"/>
        <w:jc w:val="both"/>
        <w:rPr>
          <w:rFonts w:ascii="Calibri" w:hAnsi="Calibri" w:cs="Calibri"/>
          <w:bCs/>
        </w:rPr>
      </w:pPr>
      <w:r>
        <w:rPr>
          <w:rFonts w:ascii="Calibri" w:hAnsi="Calibri" w:cs="Calibri"/>
          <w:bCs/>
        </w:rPr>
        <w:t xml:space="preserve">The </w:t>
      </w:r>
      <w:r w:rsidR="00720D51">
        <w:rPr>
          <w:rFonts w:ascii="Calibri" w:hAnsi="Calibri" w:cs="Calibri"/>
          <w:bCs/>
        </w:rPr>
        <w:t>stakeholders</w:t>
      </w:r>
      <w:r>
        <w:rPr>
          <w:rFonts w:ascii="Calibri" w:hAnsi="Calibri" w:cs="Calibri"/>
          <w:bCs/>
        </w:rPr>
        <w:t xml:space="preserve"> advised it would be appropriate to add a caution note regarding the use of esketamine in people with a history of substance abuse and in people with psychosis. </w:t>
      </w:r>
    </w:p>
    <w:p w14:paraId="3EE4C2E8" w14:textId="0E9DF9F4" w:rsidR="00F81B1A" w:rsidRPr="00E754CA" w:rsidRDefault="00F81B1A" w:rsidP="00AE2673">
      <w:pPr>
        <w:pStyle w:val="ListParagraph"/>
        <w:numPr>
          <w:ilvl w:val="0"/>
          <w:numId w:val="5"/>
        </w:numPr>
        <w:ind w:left="357" w:hanging="357"/>
        <w:contextualSpacing w:val="0"/>
        <w:jc w:val="both"/>
        <w:rPr>
          <w:rFonts w:ascii="Calibri" w:hAnsi="Calibri" w:cs="Calibri"/>
          <w:bCs/>
        </w:rPr>
      </w:pPr>
      <w:r>
        <w:rPr>
          <w:rFonts w:ascii="Calibri" w:hAnsi="Calibri" w:cs="Calibri"/>
          <w:bCs/>
        </w:rPr>
        <w:t xml:space="preserve">The stakeholders noted it was important for all patients to have a follow-up assessment one month after ceasing treatment to monitor for any post-withdrawal effects.   </w:t>
      </w:r>
    </w:p>
    <w:p w14:paraId="5C4CC8CF" w14:textId="4060CD4A" w:rsidR="00E754CA" w:rsidRPr="00E255F0" w:rsidRDefault="00E754CA" w:rsidP="00AE2673">
      <w:pPr>
        <w:jc w:val="both"/>
        <w:rPr>
          <w:rFonts w:ascii="Calibri" w:eastAsia="Times New Roman" w:hAnsi="Calibri" w:cs="Calibri"/>
          <w:bCs/>
          <w:u w:val="single"/>
        </w:rPr>
      </w:pPr>
      <w:r w:rsidRPr="00E255F0">
        <w:rPr>
          <w:rFonts w:ascii="Calibri" w:eastAsia="Times New Roman" w:hAnsi="Calibri" w:cs="Calibri"/>
          <w:bCs/>
          <w:u w:val="single"/>
        </w:rPr>
        <w:t>Dose and treatment duration</w:t>
      </w:r>
    </w:p>
    <w:p w14:paraId="424D8C39" w14:textId="195CCBA5" w:rsidR="00B32247" w:rsidRPr="00E255F0" w:rsidRDefault="00B32247" w:rsidP="00AE2673">
      <w:pPr>
        <w:pStyle w:val="ListParagraph"/>
        <w:numPr>
          <w:ilvl w:val="0"/>
          <w:numId w:val="5"/>
        </w:numPr>
        <w:ind w:left="357" w:hanging="357"/>
        <w:contextualSpacing w:val="0"/>
        <w:jc w:val="both"/>
        <w:rPr>
          <w:rFonts w:ascii="Calibri" w:hAnsi="Calibri" w:cs="Calibri"/>
          <w:bCs/>
        </w:rPr>
      </w:pPr>
      <w:r w:rsidRPr="00E255F0">
        <w:rPr>
          <w:rFonts w:ascii="Calibri" w:hAnsi="Calibri" w:cs="Calibri"/>
          <w:bCs/>
        </w:rPr>
        <w:t>The</w:t>
      </w:r>
      <w:r w:rsidR="00720D51">
        <w:rPr>
          <w:rFonts w:ascii="Calibri" w:hAnsi="Calibri" w:cs="Calibri"/>
          <w:bCs/>
        </w:rPr>
        <w:t xml:space="preserve"> stakeholders</w:t>
      </w:r>
      <w:r w:rsidRPr="00E255F0">
        <w:rPr>
          <w:rFonts w:ascii="Calibri" w:hAnsi="Calibri" w:cs="Calibri"/>
          <w:bCs/>
        </w:rPr>
        <w:t xml:space="preserve"> noted the administration of esketamine was reasonably straightforward but emphasised the need for appropriate monitoring for adverse events and withdrawal effects.  </w:t>
      </w:r>
    </w:p>
    <w:p w14:paraId="57A99BA4" w14:textId="11EA8D26" w:rsidR="00B32247" w:rsidRPr="00E255F0" w:rsidRDefault="00347141" w:rsidP="00AE2673">
      <w:pPr>
        <w:pStyle w:val="ListParagraph"/>
        <w:numPr>
          <w:ilvl w:val="0"/>
          <w:numId w:val="5"/>
        </w:numPr>
        <w:ind w:left="357" w:hanging="357"/>
        <w:contextualSpacing w:val="0"/>
        <w:jc w:val="both"/>
        <w:rPr>
          <w:rFonts w:ascii="Calibri" w:hAnsi="Calibri" w:cs="Calibri"/>
          <w:bCs/>
        </w:rPr>
      </w:pPr>
      <w:r w:rsidRPr="00E255F0">
        <w:rPr>
          <w:rFonts w:ascii="Calibri" w:hAnsi="Calibri" w:cs="Calibri"/>
          <w:bCs/>
        </w:rPr>
        <w:lastRenderedPageBreak/>
        <w:t>The</w:t>
      </w:r>
      <w:r w:rsidR="004B09D1" w:rsidRPr="00E255F0">
        <w:rPr>
          <w:rFonts w:ascii="Calibri" w:hAnsi="Calibri" w:cs="Calibri"/>
          <w:bCs/>
        </w:rPr>
        <w:t xml:space="preserve"> </w:t>
      </w:r>
      <w:r w:rsidR="00720D51">
        <w:rPr>
          <w:rFonts w:ascii="Calibri" w:hAnsi="Calibri" w:cs="Calibri"/>
          <w:bCs/>
        </w:rPr>
        <w:t>stakeholders</w:t>
      </w:r>
      <w:r w:rsidRPr="00E255F0">
        <w:rPr>
          <w:rFonts w:ascii="Calibri" w:hAnsi="Calibri" w:cs="Calibri"/>
          <w:bCs/>
        </w:rPr>
        <w:t xml:space="preserve"> considered it was reasonable to limit esketamine to the dose </w:t>
      </w:r>
      <w:r w:rsidR="00720D51">
        <w:rPr>
          <w:rFonts w:ascii="Calibri" w:hAnsi="Calibri" w:cs="Calibri"/>
          <w:bCs/>
        </w:rPr>
        <w:t xml:space="preserve">(28 mg to 84 mg) </w:t>
      </w:r>
      <w:r w:rsidRPr="00E255F0">
        <w:rPr>
          <w:rFonts w:ascii="Calibri" w:hAnsi="Calibri" w:cs="Calibri"/>
          <w:bCs/>
        </w:rPr>
        <w:t xml:space="preserve">and frequency </w:t>
      </w:r>
      <w:r w:rsidR="00720D51">
        <w:rPr>
          <w:rFonts w:ascii="Calibri" w:hAnsi="Calibri" w:cs="Calibri"/>
          <w:bCs/>
        </w:rPr>
        <w:t>(</w:t>
      </w:r>
      <w:r w:rsidR="00F81B1A">
        <w:rPr>
          <w:rFonts w:ascii="Calibri" w:hAnsi="Calibri" w:cs="Calibri"/>
          <w:bCs/>
        </w:rPr>
        <w:t>twice weekly in induction phase, on</w:t>
      </w:r>
      <w:r w:rsidR="004F0196">
        <w:rPr>
          <w:rFonts w:ascii="Calibri" w:hAnsi="Calibri" w:cs="Calibri"/>
          <w:bCs/>
        </w:rPr>
        <w:t>ce</w:t>
      </w:r>
      <w:r w:rsidR="00F81B1A">
        <w:rPr>
          <w:rFonts w:ascii="Calibri" w:hAnsi="Calibri" w:cs="Calibri"/>
          <w:bCs/>
        </w:rPr>
        <w:t xml:space="preserve"> weekly </w:t>
      </w:r>
      <w:r w:rsidR="00720D51">
        <w:rPr>
          <w:rFonts w:ascii="Calibri" w:hAnsi="Calibri" w:cs="Calibri"/>
          <w:bCs/>
        </w:rPr>
        <w:t xml:space="preserve">or </w:t>
      </w:r>
      <w:r w:rsidR="004F0196">
        <w:rPr>
          <w:rFonts w:ascii="Calibri" w:hAnsi="Calibri" w:cs="Calibri"/>
          <w:bCs/>
        </w:rPr>
        <w:t xml:space="preserve">every two </w:t>
      </w:r>
      <w:r w:rsidR="00720D51">
        <w:rPr>
          <w:rFonts w:ascii="Calibri" w:hAnsi="Calibri" w:cs="Calibri"/>
          <w:bCs/>
        </w:rPr>
        <w:t>week</w:t>
      </w:r>
      <w:r w:rsidR="004F0196">
        <w:rPr>
          <w:rFonts w:ascii="Calibri" w:hAnsi="Calibri" w:cs="Calibri"/>
          <w:bCs/>
        </w:rPr>
        <w:t>s</w:t>
      </w:r>
      <w:r w:rsidR="00F81B1A">
        <w:rPr>
          <w:rFonts w:ascii="Calibri" w:hAnsi="Calibri" w:cs="Calibri"/>
          <w:bCs/>
        </w:rPr>
        <w:t xml:space="preserve"> in maintenance phase</w:t>
      </w:r>
      <w:r w:rsidR="00720D51">
        <w:rPr>
          <w:rFonts w:ascii="Calibri" w:hAnsi="Calibri" w:cs="Calibri"/>
          <w:bCs/>
        </w:rPr>
        <w:t xml:space="preserve">) </w:t>
      </w:r>
      <w:r w:rsidRPr="00E255F0">
        <w:rPr>
          <w:rFonts w:ascii="Calibri" w:hAnsi="Calibri" w:cs="Calibri"/>
          <w:bCs/>
        </w:rPr>
        <w:t xml:space="preserve">outlined in the approved TGA Product Information document but to allow patient flexibility in terms of moving between </w:t>
      </w:r>
      <w:r w:rsidR="009D0E6B" w:rsidRPr="00E255F0">
        <w:rPr>
          <w:rFonts w:ascii="Calibri" w:hAnsi="Calibri" w:cs="Calibri"/>
          <w:bCs/>
        </w:rPr>
        <w:t xml:space="preserve">lower and higher </w:t>
      </w:r>
      <w:r w:rsidRPr="00E255F0">
        <w:rPr>
          <w:rFonts w:ascii="Calibri" w:hAnsi="Calibri" w:cs="Calibri"/>
          <w:bCs/>
        </w:rPr>
        <w:t xml:space="preserve">doses and </w:t>
      </w:r>
      <w:r w:rsidR="009D0E6B" w:rsidRPr="00E255F0">
        <w:rPr>
          <w:rFonts w:ascii="Calibri" w:hAnsi="Calibri" w:cs="Calibri"/>
          <w:bCs/>
        </w:rPr>
        <w:t xml:space="preserve">less and more frequent dosing </w:t>
      </w:r>
      <w:r w:rsidRPr="00E255F0">
        <w:rPr>
          <w:rFonts w:ascii="Calibri" w:hAnsi="Calibri" w:cs="Calibri"/>
          <w:bCs/>
        </w:rPr>
        <w:t xml:space="preserve">as clinically required. </w:t>
      </w:r>
      <w:r w:rsidR="000727B2">
        <w:rPr>
          <w:rFonts w:ascii="Calibri" w:hAnsi="Calibri" w:cs="Calibri"/>
          <w:bCs/>
        </w:rPr>
        <w:t xml:space="preserve">The stakeholders noted some patients on maintenance treatment may experience a relapse and require twice weekly treatment.   </w:t>
      </w:r>
    </w:p>
    <w:p w14:paraId="79C88E06" w14:textId="71D99442" w:rsidR="00B32247" w:rsidRDefault="00347141" w:rsidP="00AE2673">
      <w:pPr>
        <w:pStyle w:val="ListParagraph"/>
        <w:numPr>
          <w:ilvl w:val="0"/>
          <w:numId w:val="5"/>
        </w:numPr>
        <w:ind w:left="357" w:hanging="357"/>
        <w:contextualSpacing w:val="0"/>
        <w:jc w:val="both"/>
        <w:rPr>
          <w:rFonts w:ascii="Calibri" w:hAnsi="Calibri" w:cs="Calibri"/>
          <w:bCs/>
        </w:rPr>
      </w:pPr>
      <w:r w:rsidRPr="00E255F0">
        <w:rPr>
          <w:rFonts w:ascii="Calibri" w:hAnsi="Calibri" w:cs="Calibri"/>
          <w:bCs/>
        </w:rPr>
        <w:t>The</w:t>
      </w:r>
      <w:r w:rsidR="004B09D1" w:rsidRPr="00E255F0">
        <w:rPr>
          <w:rFonts w:ascii="Calibri" w:hAnsi="Calibri" w:cs="Calibri"/>
          <w:bCs/>
        </w:rPr>
        <w:t xml:space="preserve"> </w:t>
      </w:r>
      <w:r w:rsidR="00720D51">
        <w:rPr>
          <w:rFonts w:ascii="Calibri" w:hAnsi="Calibri" w:cs="Calibri"/>
          <w:bCs/>
        </w:rPr>
        <w:t>stakeholders</w:t>
      </w:r>
      <w:r w:rsidRPr="00E255F0">
        <w:rPr>
          <w:rFonts w:ascii="Calibri" w:hAnsi="Calibri" w:cs="Calibri"/>
          <w:bCs/>
        </w:rPr>
        <w:t xml:space="preserve"> considered that, after the initial </w:t>
      </w:r>
      <w:proofErr w:type="gramStart"/>
      <w:r w:rsidRPr="00E255F0">
        <w:rPr>
          <w:rFonts w:ascii="Calibri" w:hAnsi="Calibri" w:cs="Calibri"/>
          <w:bCs/>
        </w:rPr>
        <w:t>4 week</w:t>
      </w:r>
      <w:proofErr w:type="gramEnd"/>
      <w:r w:rsidRPr="00E255F0">
        <w:rPr>
          <w:rFonts w:ascii="Calibri" w:hAnsi="Calibri" w:cs="Calibri"/>
          <w:bCs/>
        </w:rPr>
        <w:t xml:space="preserve"> </w:t>
      </w:r>
      <w:r w:rsidR="00F81B1A">
        <w:rPr>
          <w:rFonts w:ascii="Calibri" w:hAnsi="Calibri" w:cs="Calibri"/>
          <w:bCs/>
        </w:rPr>
        <w:t>induction phase</w:t>
      </w:r>
      <w:r w:rsidRPr="00E255F0">
        <w:rPr>
          <w:rFonts w:ascii="Calibri" w:hAnsi="Calibri" w:cs="Calibri"/>
          <w:bCs/>
        </w:rPr>
        <w:t>,</w:t>
      </w:r>
      <w:r w:rsidR="00F8087E" w:rsidRPr="00E255F0">
        <w:rPr>
          <w:rFonts w:ascii="Calibri" w:hAnsi="Calibri" w:cs="Calibri"/>
          <w:bCs/>
        </w:rPr>
        <w:t xml:space="preserve"> a decision regarding ongoing treatment should be made after 6 months of </w:t>
      </w:r>
      <w:r w:rsidR="004F0196">
        <w:rPr>
          <w:rFonts w:ascii="Calibri" w:hAnsi="Calibri" w:cs="Calibri"/>
          <w:bCs/>
        </w:rPr>
        <w:t xml:space="preserve">maintenance </w:t>
      </w:r>
      <w:r w:rsidR="00F8087E" w:rsidRPr="00E255F0">
        <w:rPr>
          <w:rFonts w:ascii="Calibri" w:hAnsi="Calibri" w:cs="Calibri"/>
          <w:bCs/>
        </w:rPr>
        <w:t xml:space="preserve">treatment. </w:t>
      </w:r>
      <w:r w:rsidR="00F8087E" w:rsidRPr="00BD02B6">
        <w:rPr>
          <w:rFonts w:ascii="Calibri" w:hAnsi="Calibri" w:cs="Calibri"/>
          <w:bCs/>
        </w:rPr>
        <w:t xml:space="preserve">The </w:t>
      </w:r>
      <w:r w:rsidR="00A33C51" w:rsidRPr="00BD02B6">
        <w:rPr>
          <w:rFonts w:ascii="Calibri" w:hAnsi="Calibri" w:cs="Calibri"/>
          <w:bCs/>
        </w:rPr>
        <w:t xml:space="preserve">stakeholders </w:t>
      </w:r>
      <w:r w:rsidR="00F8087E" w:rsidRPr="00BD02B6">
        <w:rPr>
          <w:rFonts w:ascii="Calibri" w:hAnsi="Calibri" w:cs="Calibri"/>
          <w:bCs/>
        </w:rPr>
        <w:t>noted th</w:t>
      </w:r>
      <w:r w:rsidR="00AE2673" w:rsidRPr="00BD02B6">
        <w:rPr>
          <w:rFonts w:ascii="Calibri" w:hAnsi="Calibri" w:cs="Calibri"/>
          <w:bCs/>
        </w:rPr>
        <w:t>e</w:t>
      </w:r>
      <w:r w:rsidR="00BD02B6" w:rsidRPr="00BD02B6">
        <w:rPr>
          <w:rFonts w:ascii="Calibri" w:hAnsi="Calibri" w:cs="Calibri"/>
          <w:bCs/>
        </w:rPr>
        <w:t xml:space="preserve"> appropriate duration of treatment with esketamine remains uncertain and there</w:t>
      </w:r>
      <w:r w:rsidR="00BD02B6" w:rsidRPr="00BD02B6" w:rsidDel="00BD02B6">
        <w:rPr>
          <w:rFonts w:ascii="Calibri" w:hAnsi="Calibri" w:cs="Calibri"/>
          <w:bCs/>
        </w:rPr>
        <w:t xml:space="preserve"> </w:t>
      </w:r>
      <w:r w:rsidR="00AE2673" w:rsidRPr="00BD02B6">
        <w:rPr>
          <w:rFonts w:ascii="Calibri" w:hAnsi="Calibri" w:cs="Calibri"/>
          <w:bCs/>
        </w:rPr>
        <w:t xml:space="preserve">is limited data </w:t>
      </w:r>
      <w:r w:rsidR="00B82352" w:rsidRPr="00BD02B6">
        <w:rPr>
          <w:rFonts w:ascii="Calibri" w:hAnsi="Calibri" w:cs="Calibri"/>
          <w:bCs/>
        </w:rPr>
        <w:t xml:space="preserve">to support </w:t>
      </w:r>
      <w:r w:rsidR="004F0196">
        <w:rPr>
          <w:rFonts w:ascii="Calibri" w:hAnsi="Calibri" w:cs="Calibri"/>
          <w:bCs/>
        </w:rPr>
        <w:t xml:space="preserve">its </w:t>
      </w:r>
      <w:r w:rsidR="00F8087E" w:rsidRPr="00BD02B6">
        <w:rPr>
          <w:rFonts w:ascii="Calibri" w:hAnsi="Calibri" w:cs="Calibri"/>
          <w:bCs/>
        </w:rPr>
        <w:t>long-term</w:t>
      </w:r>
      <w:r w:rsidR="004F0196">
        <w:rPr>
          <w:rFonts w:ascii="Calibri" w:hAnsi="Calibri" w:cs="Calibri"/>
          <w:bCs/>
        </w:rPr>
        <w:t xml:space="preserve"> use</w:t>
      </w:r>
      <w:r w:rsidR="00AE2673" w:rsidRPr="00BD02B6">
        <w:rPr>
          <w:rFonts w:ascii="Calibri" w:hAnsi="Calibri" w:cs="Calibri"/>
          <w:bCs/>
        </w:rPr>
        <w:t>.</w:t>
      </w:r>
      <w:r w:rsidR="00AE2673">
        <w:rPr>
          <w:rFonts w:ascii="Calibri" w:hAnsi="Calibri" w:cs="Calibri"/>
          <w:bCs/>
        </w:rPr>
        <w:t xml:space="preserve"> </w:t>
      </w:r>
      <w:r w:rsidR="00BD02B6">
        <w:rPr>
          <w:rFonts w:ascii="Calibri" w:hAnsi="Calibri" w:cs="Calibri"/>
          <w:bCs/>
        </w:rPr>
        <w:t xml:space="preserve">The stakeholders considered </w:t>
      </w:r>
      <w:r w:rsidR="00F8087E" w:rsidRPr="00E255F0">
        <w:rPr>
          <w:rFonts w:ascii="Calibri" w:hAnsi="Calibri" w:cs="Calibri"/>
          <w:bCs/>
        </w:rPr>
        <w:t xml:space="preserve">it would be appropriate to allow for a maximum treatment duration of 12 months per patient. </w:t>
      </w:r>
      <w:r w:rsidR="00A33C51">
        <w:rPr>
          <w:rFonts w:ascii="Calibri" w:hAnsi="Calibri" w:cs="Calibri"/>
          <w:bCs/>
        </w:rPr>
        <w:t xml:space="preserve">The stakeholders considered </w:t>
      </w:r>
      <w:r w:rsidR="00B82352">
        <w:rPr>
          <w:rFonts w:ascii="Calibri" w:hAnsi="Calibri" w:cs="Calibri"/>
          <w:bCs/>
        </w:rPr>
        <w:t>that, based on their experience with esketamine</w:t>
      </w:r>
      <w:r w:rsidR="00C36DC5" w:rsidRPr="00C36DC5">
        <w:rPr>
          <w:rFonts w:ascii="Calibri" w:hAnsi="Calibri" w:cs="Calibri"/>
          <w:bCs/>
        </w:rPr>
        <w:t xml:space="preserve"> </w:t>
      </w:r>
      <w:r w:rsidR="00C36DC5">
        <w:rPr>
          <w:rFonts w:ascii="Calibri" w:hAnsi="Calibri" w:cs="Calibri"/>
          <w:bCs/>
        </w:rPr>
        <w:t>and ketamine</w:t>
      </w:r>
      <w:r w:rsidR="00B82352">
        <w:rPr>
          <w:rFonts w:ascii="Calibri" w:hAnsi="Calibri" w:cs="Calibri"/>
          <w:bCs/>
        </w:rPr>
        <w:t xml:space="preserve">, </w:t>
      </w:r>
      <w:r w:rsidR="009021DB">
        <w:rPr>
          <w:rFonts w:ascii="Calibri" w:hAnsi="Calibri" w:cs="Calibri"/>
          <w:bCs/>
        </w:rPr>
        <w:t>the</w:t>
      </w:r>
      <w:r w:rsidR="00B82352">
        <w:rPr>
          <w:rFonts w:ascii="Calibri" w:hAnsi="Calibri" w:cs="Calibri"/>
          <w:bCs/>
        </w:rPr>
        <w:t xml:space="preserve"> majority of patients would be treated for less than 12 months. However, there may be a small number of patients </w:t>
      </w:r>
      <w:r w:rsidR="009021DB">
        <w:rPr>
          <w:rFonts w:ascii="Calibri" w:hAnsi="Calibri" w:cs="Calibri"/>
          <w:bCs/>
        </w:rPr>
        <w:t xml:space="preserve">who </w:t>
      </w:r>
      <w:r w:rsidR="00B82352">
        <w:rPr>
          <w:rFonts w:ascii="Calibri" w:hAnsi="Calibri" w:cs="Calibri"/>
          <w:bCs/>
        </w:rPr>
        <w:t xml:space="preserve">require treatment beyond 12 months and for some patients, the anxiety experienced when approaching the </w:t>
      </w:r>
      <w:proofErr w:type="gramStart"/>
      <w:r w:rsidR="00B82352">
        <w:rPr>
          <w:rFonts w:ascii="Calibri" w:hAnsi="Calibri" w:cs="Calibri"/>
          <w:bCs/>
        </w:rPr>
        <w:t>12 month</w:t>
      </w:r>
      <w:proofErr w:type="gramEnd"/>
      <w:r w:rsidR="00B82352">
        <w:rPr>
          <w:rFonts w:ascii="Calibri" w:hAnsi="Calibri" w:cs="Calibri"/>
          <w:bCs/>
        </w:rPr>
        <w:t xml:space="preserve"> limit may exacerbate their depression.  The stakeholders </w:t>
      </w:r>
      <w:r w:rsidR="009021DB">
        <w:rPr>
          <w:rFonts w:ascii="Calibri" w:hAnsi="Calibri" w:cs="Calibri"/>
          <w:bCs/>
        </w:rPr>
        <w:t xml:space="preserve">considered </w:t>
      </w:r>
      <w:r w:rsidR="00B82352">
        <w:rPr>
          <w:rFonts w:ascii="Calibri" w:hAnsi="Calibri" w:cs="Calibri"/>
          <w:bCs/>
        </w:rPr>
        <w:t>there</w:t>
      </w:r>
      <w:r w:rsidR="009021DB">
        <w:rPr>
          <w:rFonts w:ascii="Calibri" w:hAnsi="Calibri" w:cs="Calibri"/>
          <w:bCs/>
        </w:rPr>
        <w:t xml:space="preserve"> may</w:t>
      </w:r>
      <w:r w:rsidR="00B82352">
        <w:rPr>
          <w:rFonts w:ascii="Calibri" w:hAnsi="Calibri" w:cs="Calibri"/>
          <w:bCs/>
        </w:rPr>
        <w:t xml:space="preserve"> need to be some flexibility regarding the maximum </w:t>
      </w:r>
      <w:proofErr w:type="gramStart"/>
      <w:r w:rsidR="00B82352">
        <w:rPr>
          <w:rFonts w:ascii="Calibri" w:hAnsi="Calibri" w:cs="Calibri"/>
          <w:bCs/>
        </w:rPr>
        <w:t>12 month</w:t>
      </w:r>
      <w:proofErr w:type="gramEnd"/>
      <w:r w:rsidR="00B82352">
        <w:rPr>
          <w:rFonts w:ascii="Calibri" w:hAnsi="Calibri" w:cs="Calibri"/>
          <w:bCs/>
        </w:rPr>
        <w:t xml:space="preserve"> treatment duration. </w:t>
      </w:r>
    </w:p>
    <w:p w14:paraId="6008FEEE" w14:textId="097F4F2C" w:rsidR="00B82352" w:rsidRPr="00E255F0" w:rsidRDefault="00B82352" w:rsidP="00AE2673">
      <w:pPr>
        <w:pStyle w:val="ListParagraph"/>
        <w:numPr>
          <w:ilvl w:val="0"/>
          <w:numId w:val="5"/>
        </w:numPr>
        <w:jc w:val="both"/>
        <w:rPr>
          <w:rFonts w:ascii="Calibri" w:hAnsi="Calibri" w:cs="Calibri"/>
          <w:bCs/>
        </w:rPr>
      </w:pPr>
      <w:r>
        <w:rPr>
          <w:rFonts w:ascii="Calibri" w:hAnsi="Calibri" w:cs="Calibri"/>
          <w:bCs/>
        </w:rPr>
        <w:t xml:space="preserve">The stakeholders considered allowing retreatment with esketamine may be appropriate for some patients after a reasonable period of time off treatment.  </w:t>
      </w:r>
    </w:p>
    <w:p w14:paraId="1B374BAD" w14:textId="5161FC06" w:rsidR="002F1BFF" w:rsidRPr="00EC5A96" w:rsidRDefault="002F1BFF" w:rsidP="00AE2673">
      <w:pPr>
        <w:jc w:val="both"/>
        <w:rPr>
          <w:rFonts w:ascii="Calibri" w:eastAsia="Times New Roman" w:hAnsi="Calibri" w:cs="Calibri"/>
          <w:bCs/>
          <w:u w:val="single"/>
        </w:rPr>
      </w:pPr>
      <w:r>
        <w:rPr>
          <w:rFonts w:ascii="Calibri" w:eastAsia="Times New Roman" w:hAnsi="Calibri" w:cs="Calibri"/>
          <w:bCs/>
          <w:u w:val="single"/>
        </w:rPr>
        <w:t>Likely extent of use</w:t>
      </w:r>
    </w:p>
    <w:p w14:paraId="0801B64B" w14:textId="51917856" w:rsidR="000727B2" w:rsidRDefault="000727B2" w:rsidP="00AE2673">
      <w:pPr>
        <w:pStyle w:val="ListParagraph"/>
        <w:numPr>
          <w:ilvl w:val="0"/>
          <w:numId w:val="11"/>
        </w:numPr>
        <w:ind w:left="357" w:hanging="357"/>
        <w:contextualSpacing w:val="0"/>
        <w:jc w:val="both"/>
        <w:rPr>
          <w:rFonts w:ascii="Calibri" w:hAnsi="Calibri" w:cs="Calibri"/>
          <w:bCs/>
        </w:rPr>
      </w:pPr>
      <w:r w:rsidRPr="00F81B1A">
        <w:rPr>
          <w:rFonts w:ascii="Calibri" w:hAnsi="Calibri" w:cs="Calibri"/>
          <w:bCs/>
        </w:rPr>
        <w:t>The stakeholders considered that, overall, with some refinement</w:t>
      </w:r>
      <w:r w:rsidR="00F23891">
        <w:rPr>
          <w:rFonts w:ascii="Calibri" w:hAnsi="Calibri" w:cs="Calibri"/>
          <w:bCs/>
        </w:rPr>
        <w:t xml:space="preserve"> as discussed above (i.e., limit prescribing to psychiatrists, maximum </w:t>
      </w:r>
      <w:proofErr w:type="gramStart"/>
      <w:r w:rsidR="00F23891">
        <w:rPr>
          <w:rFonts w:ascii="Calibri" w:hAnsi="Calibri" w:cs="Calibri"/>
          <w:bCs/>
        </w:rPr>
        <w:t>12 month</w:t>
      </w:r>
      <w:proofErr w:type="gramEnd"/>
      <w:r w:rsidR="00F23891">
        <w:rPr>
          <w:rFonts w:ascii="Calibri" w:hAnsi="Calibri" w:cs="Calibri"/>
          <w:bCs/>
        </w:rPr>
        <w:t xml:space="preserve"> treatment duration)</w:t>
      </w:r>
      <w:r w:rsidRPr="00F81B1A">
        <w:rPr>
          <w:rFonts w:ascii="Calibri" w:hAnsi="Calibri" w:cs="Calibri"/>
          <w:bCs/>
        </w:rPr>
        <w:t xml:space="preserve">, the previous approach to estimating patient numbers (see Estimated PBS usage and Financial Implications in the July 2022 PSD) </w:t>
      </w:r>
      <w:r w:rsidR="009021DB">
        <w:rPr>
          <w:rFonts w:ascii="Calibri" w:hAnsi="Calibri" w:cs="Calibri"/>
          <w:bCs/>
        </w:rPr>
        <w:t>appeared</w:t>
      </w:r>
      <w:r w:rsidR="009021DB" w:rsidRPr="00F81B1A">
        <w:rPr>
          <w:rFonts w:ascii="Calibri" w:hAnsi="Calibri" w:cs="Calibri"/>
          <w:bCs/>
        </w:rPr>
        <w:t xml:space="preserve"> </w:t>
      </w:r>
      <w:r w:rsidRPr="00F81B1A">
        <w:rPr>
          <w:rFonts w:ascii="Calibri" w:hAnsi="Calibri" w:cs="Calibri"/>
          <w:bCs/>
        </w:rPr>
        <w:t xml:space="preserve">reasonable. </w:t>
      </w:r>
    </w:p>
    <w:p w14:paraId="466ECCB8" w14:textId="7C86CAF5" w:rsidR="000727B2" w:rsidRDefault="000727B2" w:rsidP="00AE2673">
      <w:pPr>
        <w:pStyle w:val="ListParagraph"/>
        <w:numPr>
          <w:ilvl w:val="0"/>
          <w:numId w:val="11"/>
        </w:numPr>
        <w:ind w:left="357" w:hanging="357"/>
        <w:contextualSpacing w:val="0"/>
        <w:jc w:val="both"/>
        <w:rPr>
          <w:rFonts w:ascii="Calibri" w:hAnsi="Calibri" w:cs="Calibri"/>
          <w:bCs/>
        </w:rPr>
      </w:pPr>
      <w:r>
        <w:rPr>
          <w:rFonts w:ascii="Calibri" w:hAnsi="Calibri" w:cs="Calibri"/>
          <w:bCs/>
        </w:rPr>
        <w:t xml:space="preserve">The stakeholders noted the incidence of depression in the community is increasing, particularly among younger people. </w:t>
      </w:r>
    </w:p>
    <w:p w14:paraId="5A25159C" w14:textId="4ADA9C0B" w:rsidR="000727B2" w:rsidRDefault="000727B2" w:rsidP="00AE2673">
      <w:pPr>
        <w:pStyle w:val="ListParagraph"/>
        <w:numPr>
          <w:ilvl w:val="0"/>
          <w:numId w:val="11"/>
        </w:numPr>
        <w:ind w:left="357" w:hanging="357"/>
        <w:contextualSpacing w:val="0"/>
        <w:jc w:val="both"/>
        <w:rPr>
          <w:rFonts w:ascii="Calibri" w:hAnsi="Calibri" w:cs="Calibri"/>
          <w:bCs/>
        </w:rPr>
      </w:pPr>
      <w:r>
        <w:rPr>
          <w:rFonts w:ascii="Calibri" w:hAnsi="Calibri" w:cs="Calibri"/>
          <w:bCs/>
        </w:rPr>
        <w:t xml:space="preserve">The stakeholders </w:t>
      </w:r>
      <w:r w:rsidR="00A33C51">
        <w:rPr>
          <w:rFonts w:ascii="Calibri" w:hAnsi="Calibri" w:cs="Calibri"/>
          <w:bCs/>
        </w:rPr>
        <w:t xml:space="preserve">considered the uptake of esketamine would be higher in patients who have failed more treatment options. </w:t>
      </w:r>
    </w:p>
    <w:p w14:paraId="585024FA" w14:textId="4319973F" w:rsidR="00A33C51" w:rsidRDefault="00A33C51" w:rsidP="00AE2673">
      <w:pPr>
        <w:pStyle w:val="ListParagraph"/>
        <w:numPr>
          <w:ilvl w:val="0"/>
          <w:numId w:val="11"/>
        </w:numPr>
        <w:ind w:left="357" w:hanging="357"/>
        <w:contextualSpacing w:val="0"/>
        <w:jc w:val="both"/>
        <w:rPr>
          <w:rFonts w:ascii="Calibri" w:hAnsi="Calibri" w:cs="Calibri"/>
          <w:bCs/>
        </w:rPr>
      </w:pPr>
      <w:r>
        <w:rPr>
          <w:rFonts w:ascii="Calibri" w:hAnsi="Calibri" w:cs="Calibri"/>
          <w:bCs/>
        </w:rPr>
        <w:t>The sponsor noted the delivery of esketamine is restricted to treatment centres that have been accredited as required by the conditions of the Risk Management Plan</w:t>
      </w:r>
      <w:r w:rsidR="00F23891">
        <w:rPr>
          <w:rFonts w:ascii="Calibri" w:hAnsi="Calibri" w:cs="Calibri"/>
          <w:bCs/>
        </w:rPr>
        <w:t xml:space="preserve"> approved</w:t>
      </w:r>
      <w:r>
        <w:rPr>
          <w:rFonts w:ascii="Calibri" w:hAnsi="Calibri" w:cs="Calibri"/>
          <w:bCs/>
        </w:rPr>
        <w:t xml:space="preserve"> by the TGA. </w:t>
      </w:r>
    </w:p>
    <w:p w14:paraId="3FA13906" w14:textId="06285A95" w:rsidR="00A33C51" w:rsidRDefault="00A33C51" w:rsidP="00AE2673">
      <w:pPr>
        <w:pStyle w:val="ListParagraph"/>
        <w:numPr>
          <w:ilvl w:val="0"/>
          <w:numId w:val="11"/>
        </w:numPr>
        <w:ind w:left="357" w:hanging="357"/>
        <w:contextualSpacing w:val="0"/>
        <w:jc w:val="both"/>
        <w:rPr>
          <w:rFonts w:ascii="Calibri" w:hAnsi="Calibri" w:cs="Calibri"/>
          <w:bCs/>
        </w:rPr>
      </w:pPr>
      <w:r>
        <w:rPr>
          <w:rFonts w:ascii="Calibri" w:hAnsi="Calibri" w:cs="Calibri"/>
          <w:bCs/>
        </w:rPr>
        <w:t xml:space="preserve">The stakeholders noted uptake of esketamine will be limited by access to psychiatrists and accredited treatment centres. </w:t>
      </w:r>
    </w:p>
    <w:p w14:paraId="21174F63" w14:textId="522936B9" w:rsidR="000727B2" w:rsidRDefault="000727B2" w:rsidP="00AE2673">
      <w:pPr>
        <w:pStyle w:val="ListParagraph"/>
        <w:numPr>
          <w:ilvl w:val="0"/>
          <w:numId w:val="11"/>
        </w:numPr>
        <w:ind w:left="357" w:hanging="357"/>
        <w:contextualSpacing w:val="0"/>
        <w:jc w:val="both"/>
        <w:rPr>
          <w:rFonts w:ascii="Calibri" w:hAnsi="Calibri" w:cs="Calibri"/>
          <w:bCs/>
        </w:rPr>
      </w:pPr>
      <w:r>
        <w:rPr>
          <w:rFonts w:ascii="Calibri" w:hAnsi="Calibri" w:cs="Calibri"/>
          <w:bCs/>
        </w:rPr>
        <w:t xml:space="preserve">The sponsor noted </w:t>
      </w:r>
      <w:r w:rsidR="00AE2673">
        <w:rPr>
          <w:rFonts w:ascii="Calibri" w:hAnsi="Calibri" w:cs="Calibri"/>
          <w:bCs/>
        </w:rPr>
        <w:t xml:space="preserve">it had sourced </w:t>
      </w:r>
      <w:r>
        <w:rPr>
          <w:rFonts w:ascii="Calibri" w:hAnsi="Calibri" w:cs="Calibri"/>
          <w:bCs/>
        </w:rPr>
        <w:t>additional data</w:t>
      </w:r>
      <w:r w:rsidR="00AE2673">
        <w:rPr>
          <w:rFonts w:ascii="Calibri" w:hAnsi="Calibri" w:cs="Calibri"/>
          <w:bCs/>
        </w:rPr>
        <w:t xml:space="preserve"> </w:t>
      </w:r>
      <w:r>
        <w:rPr>
          <w:rFonts w:ascii="Calibri" w:hAnsi="Calibri" w:cs="Calibri"/>
          <w:bCs/>
        </w:rPr>
        <w:t xml:space="preserve">that would further inform the approach to estimating patient numbers. </w:t>
      </w:r>
    </w:p>
    <w:p w14:paraId="45DF4A76" w14:textId="77777777" w:rsidR="0060156D" w:rsidRPr="007847CE" w:rsidRDefault="0060156D" w:rsidP="00AE2673">
      <w:pPr>
        <w:jc w:val="both"/>
        <w:rPr>
          <w:rFonts w:ascii="Arial" w:hAnsi="Arial" w:cs="Arial"/>
          <w:b/>
          <w:bCs/>
        </w:rPr>
      </w:pPr>
      <w:r w:rsidRPr="007847CE">
        <w:rPr>
          <w:rFonts w:ascii="Arial" w:hAnsi="Arial" w:cs="Arial"/>
          <w:b/>
          <w:bCs/>
        </w:rPr>
        <w:t xml:space="preserve">Conclusion </w:t>
      </w:r>
    </w:p>
    <w:p w14:paraId="1C16BBB4" w14:textId="50930F53" w:rsidR="0060156D" w:rsidRPr="004B09D1" w:rsidRDefault="0060156D" w:rsidP="007F739F">
      <w:pPr>
        <w:jc w:val="both"/>
        <w:rPr>
          <w:rFonts w:ascii="Calibri" w:hAnsi="Calibri" w:cs="Calibri"/>
        </w:rPr>
      </w:pPr>
      <w:r w:rsidRPr="004B09D1">
        <w:rPr>
          <w:rFonts w:ascii="Calibri" w:hAnsi="Calibri" w:cs="Calibri"/>
        </w:rPr>
        <w:t xml:space="preserve">The PBAC Chair thanked </w:t>
      </w:r>
      <w:r w:rsidR="00720D51">
        <w:rPr>
          <w:rFonts w:ascii="Calibri" w:hAnsi="Calibri" w:cs="Calibri"/>
        </w:rPr>
        <w:t>stakeholders</w:t>
      </w:r>
      <w:r w:rsidRPr="004B09D1">
        <w:rPr>
          <w:rFonts w:ascii="Calibri" w:hAnsi="Calibri" w:cs="Calibri"/>
        </w:rPr>
        <w:t xml:space="preserve"> for their time in attending the meeting and the advice provided.</w:t>
      </w:r>
    </w:p>
    <w:p w14:paraId="2F2BA502" w14:textId="34CC10F8" w:rsidR="0060156D" w:rsidRPr="0060156D" w:rsidRDefault="0060156D" w:rsidP="007F739F">
      <w:pPr>
        <w:jc w:val="both"/>
        <w:rPr>
          <w:rFonts w:ascii="Calibri" w:hAnsi="Calibri" w:cs="Calibri"/>
        </w:rPr>
      </w:pPr>
      <w:r w:rsidRPr="004B09D1">
        <w:rPr>
          <w:rFonts w:ascii="Calibri" w:hAnsi="Calibri" w:cs="Calibri"/>
        </w:rPr>
        <w:t>The sponsor indicated its intention to use the advice provided to inform a future submission for listing esketamine on the PBS.</w:t>
      </w:r>
    </w:p>
    <w:p w14:paraId="56777E70" w14:textId="77777777" w:rsidR="00130C6E" w:rsidRPr="00130C6E" w:rsidRDefault="00130C6E" w:rsidP="00AE2673">
      <w:pPr>
        <w:jc w:val="both"/>
        <w:rPr>
          <w:rFonts w:ascii="Arial" w:hAnsi="Arial" w:cs="Arial"/>
          <w:b/>
          <w:bCs/>
          <w:sz w:val="22"/>
          <w:szCs w:val="22"/>
        </w:rPr>
      </w:pPr>
    </w:p>
    <w:sectPr w:rsidR="00130C6E" w:rsidRPr="00130C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04C8" w14:textId="77777777" w:rsidR="00560155" w:rsidRDefault="00560155" w:rsidP="00185AF1">
      <w:pPr>
        <w:spacing w:after="0" w:line="240" w:lineRule="auto"/>
      </w:pPr>
      <w:r>
        <w:separator/>
      </w:r>
    </w:p>
  </w:endnote>
  <w:endnote w:type="continuationSeparator" w:id="0">
    <w:p w14:paraId="5FB70BBE" w14:textId="77777777" w:rsidR="00560155" w:rsidRDefault="00560155" w:rsidP="0018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FA0E" w14:textId="77777777" w:rsidR="00560155" w:rsidRDefault="00560155" w:rsidP="00185AF1">
      <w:pPr>
        <w:spacing w:after="0" w:line="240" w:lineRule="auto"/>
      </w:pPr>
      <w:r>
        <w:separator/>
      </w:r>
    </w:p>
  </w:footnote>
  <w:footnote w:type="continuationSeparator" w:id="0">
    <w:p w14:paraId="79BB2B88" w14:textId="77777777" w:rsidR="00560155" w:rsidRDefault="00560155" w:rsidP="00185AF1">
      <w:pPr>
        <w:spacing w:after="0" w:line="240" w:lineRule="auto"/>
      </w:pPr>
      <w:r>
        <w:continuationSeparator/>
      </w:r>
    </w:p>
  </w:footnote>
  <w:footnote w:id="1">
    <w:p w14:paraId="7D002895" w14:textId="0C311646" w:rsidR="007F739F" w:rsidRDefault="007F739F">
      <w:pPr>
        <w:pStyle w:val="FootnoteText"/>
      </w:pPr>
      <w:r>
        <w:rPr>
          <w:rStyle w:val="FootnoteReference"/>
        </w:rPr>
        <w:footnoteRef/>
      </w:r>
      <w:r>
        <w:t xml:space="preserve"> Esketamine is the S-enantiomer of racemic ketamine</w:t>
      </w:r>
    </w:p>
  </w:footnote>
  <w:footnote w:id="2">
    <w:p w14:paraId="174F5732" w14:textId="22CCFC81" w:rsidR="00DB5825" w:rsidRDefault="00DB5825">
      <w:pPr>
        <w:pStyle w:val="FootnoteText"/>
      </w:pPr>
      <w:r>
        <w:rPr>
          <w:rStyle w:val="FootnoteReference"/>
        </w:rPr>
        <w:footnoteRef/>
      </w:r>
      <w:r>
        <w:t xml:space="preserve"> Rhee TG, Shim, SR, Forester BP et al. Efficacy and safety of ketamine vs electroconvulsive therapy among patients with major depressive episode. A Systematic review and meta-analysis. J</w:t>
      </w:r>
      <w:r w:rsidRPr="00DB5825">
        <w:t>AMA Psychiatry. 2022;79(12):1162-1172</w:t>
      </w:r>
    </w:p>
  </w:footnote>
  <w:footnote w:id="3">
    <w:p w14:paraId="1AE86A67" w14:textId="77777777" w:rsidR="002F45DD" w:rsidRDefault="002F45DD" w:rsidP="002F45DD">
      <w:pPr>
        <w:pStyle w:val="FootnoteText"/>
      </w:pPr>
      <w:r>
        <w:rPr>
          <w:rStyle w:val="FootnoteReference"/>
        </w:rPr>
        <w:footnoteRef/>
      </w:r>
      <w:r>
        <w:t xml:space="preserve"> MBS Item codes: </w:t>
      </w:r>
      <w:r w:rsidRPr="00B32247">
        <w:t>14216, 14217, 14219 and 14220</w:t>
      </w:r>
      <w:r>
        <w:t xml:space="preserve">: </w:t>
      </w:r>
      <w:hyperlink r:id="rId1" w:history="1">
        <w:r w:rsidRPr="00415612">
          <w:rPr>
            <w:rStyle w:val="Hyperlink"/>
          </w:rPr>
          <w:t>http://www9.health.gov.au/mbs/search.cfm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CD4"/>
    <w:multiLevelType w:val="hybridMultilevel"/>
    <w:tmpl w:val="BEF654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4F610F"/>
    <w:multiLevelType w:val="hybridMultilevel"/>
    <w:tmpl w:val="73DAD5D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B52692"/>
    <w:multiLevelType w:val="hybridMultilevel"/>
    <w:tmpl w:val="C63C8A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3C478E"/>
    <w:multiLevelType w:val="hybridMultilevel"/>
    <w:tmpl w:val="DA38522C"/>
    <w:lvl w:ilvl="0" w:tplc="CB226B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21FEE"/>
    <w:multiLevelType w:val="hybridMultilevel"/>
    <w:tmpl w:val="64F46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75995"/>
    <w:multiLevelType w:val="hybridMultilevel"/>
    <w:tmpl w:val="EE526D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5A1E40"/>
    <w:multiLevelType w:val="hybridMultilevel"/>
    <w:tmpl w:val="7C7400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2564E7"/>
    <w:multiLevelType w:val="hybridMultilevel"/>
    <w:tmpl w:val="74905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4672E7"/>
    <w:multiLevelType w:val="hybridMultilevel"/>
    <w:tmpl w:val="85C2F8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E976645"/>
    <w:multiLevelType w:val="hybridMultilevel"/>
    <w:tmpl w:val="6962413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79C67300"/>
    <w:multiLevelType w:val="hybridMultilevel"/>
    <w:tmpl w:val="3588F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4"/>
  </w:num>
  <w:num w:numId="7">
    <w:abstractNumId w:val="6"/>
  </w:num>
  <w:num w:numId="8">
    <w:abstractNumId w:val="1"/>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6E"/>
    <w:rsid w:val="0000078C"/>
    <w:rsid w:val="000727B2"/>
    <w:rsid w:val="0008565F"/>
    <w:rsid w:val="000A0509"/>
    <w:rsid w:val="000E15EB"/>
    <w:rsid w:val="00130C6E"/>
    <w:rsid w:val="00133CDD"/>
    <w:rsid w:val="00183B9C"/>
    <w:rsid w:val="00185AF1"/>
    <w:rsid w:val="00186DB4"/>
    <w:rsid w:val="001C687D"/>
    <w:rsid w:val="001F7079"/>
    <w:rsid w:val="0021408D"/>
    <w:rsid w:val="0022168F"/>
    <w:rsid w:val="00280050"/>
    <w:rsid w:val="00286D77"/>
    <w:rsid w:val="002F1BFF"/>
    <w:rsid w:val="002F45DD"/>
    <w:rsid w:val="00347141"/>
    <w:rsid w:val="003C4B95"/>
    <w:rsid w:val="003C4E5E"/>
    <w:rsid w:val="00405761"/>
    <w:rsid w:val="00430554"/>
    <w:rsid w:val="00440C88"/>
    <w:rsid w:val="0049280E"/>
    <w:rsid w:val="004B09D1"/>
    <w:rsid w:val="004F0196"/>
    <w:rsid w:val="004F7B8C"/>
    <w:rsid w:val="00500558"/>
    <w:rsid w:val="00553D8C"/>
    <w:rsid w:val="005555A5"/>
    <w:rsid w:val="00560155"/>
    <w:rsid w:val="005A4D06"/>
    <w:rsid w:val="005E5CE3"/>
    <w:rsid w:val="005F7429"/>
    <w:rsid w:val="0060156D"/>
    <w:rsid w:val="00614B0F"/>
    <w:rsid w:val="00641F96"/>
    <w:rsid w:val="006C3942"/>
    <w:rsid w:val="006F32BA"/>
    <w:rsid w:val="00714A1C"/>
    <w:rsid w:val="00720D51"/>
    <w:rsid w:val="00762A18"/>
    <w:rsid w:val="007847CE"/>
    <w:rsid w:val="007C424B"/>
    <w:rsid w:val="007F739F"/>
    <w:rsid w:val="00804EE6"/>
    <w:rsid w:val="00863755"/>
    <w:rsid w:val="00863E0E"/>
    <w:rsid w:val="008D0FE8"/>
    <w:rsid w:val="009021DB"/>
    <w:rsid w:val="00910955"/>
    <w:rsid w:val="00930D02"/>
    <w:rsid w:val="00930FBA"/>
    <w:rsid w:val="009A4012"/>
    <w:rsid w:val="009D0E6B"/>
    <w:rsid w:val="00A33C51"/>
    <w:rsid w:val="00AE2673"/>
    <w:rsid w:val="00AE2CCC"/>
    <w:rsid w:val="00B25B96"/>
    <w:rsid w:val="00B32247"/>
    <w:rsid w:val="00B4305C"/>
    <w:rsid w:val="00B543F6"/>
    <w:rsid w:val="00B6148D"/>
    <w:rsid w:val="00B82352"/>
    <w:rsid w:val="00BA2F55"/>
    <w:rsid w:val="00BA4D47"/>
    <w:rsid w:val="00BD02B6"/>
    <w:rsid w:val="00C36DC5"/>
    <w:rsid w:val="00C54E64"/>
    <w:rsid w:val="00CC1761"/>
    <w:rsid w:val="00CF080C"/>
    <w:rsid w:val="00DB5825"/>
    <w:rsid w:val="00DD76CA"/>
    <w:rsid w:val="00E255F0"/>
    <w:rsid w:val="00E61471"/>
    <w:rsid w:val="00E754CA"/>
    <w:rsid w:val="00E976BB"/>
    <w:rsid w:val="00EC5A96"/>
    <w:rsid w:val="00F14D6C"/>
    <w:rsid w:val="00F23891"/>
    <w:rsid w:val="00F8087E"/>
    <w:rsid w:val="00F81B1A"/>
    <w:rsid w:val="00FC5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AF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0156D"/>
    <w:pPr>
      <w:keepNext/>
      <w:spacing w:before="240" w:after="60" w:line="240" w:lineRule="auto"/>
      <w:outlineLvl w:val="1"/>
    </w:pPr>
    <w:rPr>
      <w:rFonts w:ascii="Arial" w:eastAsia="Times New Roman"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List Paragraph1,Bullet point,List Paragraph11,Recommendation,Section heading,Footnote"/>
    <w:basedOn w:val="Normal"/>
    <w:link w:val="ListParagraphChar"/>
    <w:uiPriority w:val="34"/>
    <w:qFormat/>
    <w:rsid w:val="0060156D"/>
    <w:pPr>
      <w:spacing w:after="120" w:line="240" w:lineRule="auto"/>
      <w:ind w:left="720"/>
      <w:contextualSpacing/>
    </w:pPr>
    <w:rPr>
      <w:rFonts w:asciiTheme="minorHAnsi" w:eastAsia="Times New Roman" w:hAnsiTheme="minorHAnsi"/>
    </w:rPr>
  </w:style>
  <w:style w:type="character" w:customStyle="1" w:styleId="Heading2Char">
    <w:name w:val="Heading 2 Char"/>
    <w:basedOn w:val="DefaultParagraphFont"/>
    <w:link w:val="Heading2"/>
    <w:rsid w:val="0060156D"/>
    <w:rPr>
      <w:rFonts w:ascii="Arial" w:eastAsia="Times New Roman" w:hAnsi="Arial" w:cs="Arial"/>
      <w:b/>
      <w:bCs/>
      <w:iCs/>
      <w:szCs w:val="28"/>
    </w:rPr>
  </w:style>
  <w:style w:type="character" w:styleId="Hyperlink">
    <w:name w:val="Hyperlink"/>
    <w:basedOn w:val="DefaultParagraphFont"/>
    <w:uiPriority w:val="99"/>
    <w:unhideWhenUsed/>
    <w:rsid w:val="00BA2F55"/>
    <w:rPr>
      <w:color w:val="0000FF"/>
      <w:u w:val="single"/>
    </w:rPr>
  </w:style>
  <w:style w:type="character" w:customStyle="1" w:styleId="ListParagraphChar">
    <w:name w:val="List Paragraph Char"/>
    <w:aliases w:val="BulletPoints Char,Numbered para Char,List Paragraph1 Char,Bullet point Char,List Paragraph11 Char,Recommendation Char,Section heading Char,Footnote Char"/>
    <w:basedOn w:val="DefaultParagraphFont"/>
    <w:link w:val="ListParagraph"/>
    <w:uiPriority w:val="34"/>
    <w:qFormat/>
    <w:locked/>
    <w:rsid w:val="0000078C"/>
    <w:rPr>
      <w:rFonts w:asciiTheme="minorHAnsi" w:eastAsia="Times New Roman" w:hAnsiTheme="minorHAnsi"/>
    </w:rPr>
  </w:style>
  <w:style w:type="character" w:styleId="CommentReference">
    <w:name w:val="annotation reference"/>
    <w:basedOn w:val="DefaultParagraphFont"/>
    <w:uiPriority w:val="99"/>
    <w:semiHidden/>
    <w:unhideWhenUsed/>
    <w:rsid w:val="00B6148D"/>
    <w:rPr>
      <w:sz w:val="16"/>
      <w:szCs w:val="16"/>
    </w:rPr>
  </w:style>
  <w:style w:type="paragraph" w:styleId="CommentText">
    <w:name w:val="annotation text"/>
    <w:basedOn w:val="Normal"/>
    <w:link w:val="CommentTextChar"/>
    <w:uiPriority w:val="99"/>
    <w:unhideWhenUsed/>
    <w:rsid w:val="00B6148D"/>
    <w:pPr>
      <w:spacing w:line="240" w:lineRule="auto"/>
    </w:pPr>
    <w:rPr>
      <w:sz w:val="20"/>
      <w:szCs w:val="20"/>
    </w:rPr>
  </w:style>
  <w:style w:type="character" w:customStyle="1" w:styleId="CommentTextChar">
    <w:name w:val="Comment Text Char"/>
    <w:basedOn w:val="DefaultParagraphFont"/>
    <w:link w:val="CommentText"/>
    <w:uiPriority w:val="99"/>
    <w:rsid w:val="00B6148D"/>
    <w:rPr>
      <w:sz w:val="20"/>
      <w:szCs w:val="20"/>
    </w:rPr>
  </w:style>
  <w:style w:type="paragraph" w:styleId="CommentSubject">
    <w:name w:val="annotation subject"/>
    <w:basedOn w:val="CommentText"/>
    <w:next w:val="CommentText"/>
    <w:link w:val="CommentSubjectChar"/>
    <w:uiPriority w:val="99"/>
    <w:semiHidden/>
    <w:unhideWhenUsed/>
    <w:rsid w:val="00B6148D"/>
    <w:rPr>
      <w:b/>
      <w:bCs/>
    </w:rPr>
  </w:style>
  <w:style w:type="character" w:customStyle="1" w:styleId="CommentSubjectChar">
    <w:name w:val="Comment Subject Char"/>
    <w:basedOn w:val="CommentTextChar"/>
    <w:link w:val="CommentSubject"/>
    <w:uiPriority w:val="99"/>
    <w:semiHidden/>
    <w:rsid w:val="00B6148D"/>
    <w:rPr>
      <w:b/>
      <w:bCs/>
      <w:sz w:val="20"/>
      <w:szCs w:val="20"/>
    </w:rPr>
  </w:style>
  <w:style w:type="character" w:styleId="FollowedHyperlink">
    <w:name w:val="FollowedHyperlink"/>
    <w:basedOn w:val="DefaultParagraphFont"/>
    <w:uiPriority w:val="99"/>
    <w:semiHidden/>
    <w:unhideWhenUsed/>
    <w:rsid w:val="00B6148D"/>
    <w:rPr>
      <w:color w:val="954F72" w:themeColor="followedHyperlink"/>
      <w:u w:val="single"/>
    </w:rPr>
  </w:style>
  <w:style w:type="paragraph" w:styleId="NormalWeb">
    <w:name w:val="Normal (Web)"/>
    <w:basedOn w:val="Normal"/>
    <w:uiPriority w:val="99"/>
    <w:semiHidden/>
    <w:unhideWhenUsed/>
    <w:rsid w:val="00185AF1"/>
    <w:pPr>
      <w:spacing w:before="100" w:beforeAutospacing="1" w:after="100" w:afterAutospacing="1" w:line="240" w:lineRule="auto"/>
    </w:pPr>
    <w:rPr>
      <w:rFonts w:eastAsia="Times New Roman"/>
      <w:lang w:eastAsia="en-AU"/>
    </w:rPr>
  </w:style>
  <w:style w:type="paragraph" w:styleId="FootnoteText">
    <w:name w:val="footnote text"/>
    <w:basedOn w:val="Normal"/>
    <w:link w:val="FootnoteTextChar"/>
    <w:uiPriority w:val="99"/>
    <w:semiHidden/>
    <w:unhideWhenUsed/>
    <w:rsid w:val="00185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AF1"/>
    <w:rPr>
      <w:sz w:val="20"/>
      <w:szCs w:val="20"/>
    </w:rPr>
  </w:style>
  <w:style w:type="character" w:styleId="FootnoteReference">
    <w:name w:val="footnote reference"/>
    <w:basedOn w:val="DefaultParagraphFont"/>
    <w:uiPriority w:val="99"/>
    <w:semiHidden/>
    <w:unhideWhenUsed/>
    <w:rsid w:val="00185AF1"/>
    <w:rPr>
      <w:vertAlign w:val="superscript"/>
    </w:rPr>
  </w:style>
  <w:style w:type="character" w:styleId="UnresolvedMention">
    <w:name w:val="Unresolved Mention"/>
    <w:basedOn w:val="DefaultParagraphFont"/>
    <w:uiPriority w:val="99"/>
    <w:semiHidden/>
    <w:unhideWhenUsed/>
    <w:rsid w:val="00B32247"/>
    <w:rPr>
      <w:color w:val="605E5C"/>
      <w:shd w:val="clear" w:color="auto" w:fill="E1DFDD"/>
    </w:rPr>
  </w:style>
  <w:style w:type="paragraph" w:customStyle="1" w:styleId="TableText">
    <w:name w:val="Table Text"/>
    <w:link w:val="TableTextChar"/>
    <w:qFormat/>
    <w:rsid w:val="000E15EB"/>
    <w:pPr>
      <w:keepNext/>
      <w:spacing w:after="0" w:line="240" w:lineRule="auto"/>
    </w:pPr>
    <w:rPr>
      <w:rFonts w:ascii="Arial Narrow" w:eastAsiaTheme="majorEastAsia" w:hAnsi="Arial Narrow" w:cstheme="majorBidi"/>
      <w:bCs/>
      <w:sz w:val="20"/>
      <w:lang w:eastAsia="en-AU"/>
    </w:rPr>
  </w:style>
  <w:style w:type="character" w:customStyle="1" w:styleId="TableTextChar">
    <w:name w:val="Table Text Char"/>
    <w:basedOn w:val="DefaultParagraphFont"/>
    <w:link w:val="TableText"/>
    <w:rsid w:val="000E15EB"/>
    <w:rPr>
      <w:rFonts w:ascii="Arial Narrow" w:eastAsiaTheme="majorEastAsia" w:hAnsi="Arial Narrow" w:cstheme="majorBidi"/>
      <w:bCs/>
      <w:sz w:val="20"/>
      <w:lang w:eastAsia="en-AU"/>
    </w:rPr>
  </w:style>
  <w:style w:type="table" w:styleId="TableGrid">
    <w:name w:val="Table Grid"/>
    <w:basedOn w:val="TableNormal"/>
    <w:uiPriority w:val="39"/>
    <w:rsid w:val="00720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citation-journal-name">
    <w:name w:val="meta-citation-journal-name"/>
    <w:basedOn w:val="DefaultParagraphFont"/>
    <w:rsid w:val="00DB5825"/>
  </w:style>
  <w:style w:type="character" w:customStyle="1" w:styleId="meta-citation">
    <w:name w:val="meta-citation"/>
    <w:basedOn w:val="DefaultParagraphFont"/>
    <w:rsid w:val="00DB5825"/>
  </w:style>
  <w:style w:type="paragraph" w:styleId="Revision">
    <w:name w:val="Revision"/>
    <w:hidden/>
    <w:uiPriority w:val="99"/>
    <w:semiHidden/>
    <w:rsid w:val="00405761"/>
    <w:pPr>
      <w:spacing w:after="0" w:line="240" w:lineRule="auto"/>
    </w:pPr>
  </w:style>
  <w:style w:type="paragraph" w:styleId="Header">
    <w:name w:val="header"/>
    <w:basedOn w:val="Normal"/>
    <w:link w:val="HeaderChar"/>
    <w:uiPriority w:val="99"/>
    <w:unhideWhenUsed/>
    <w:rsid w:val="00221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68F"/>
  </w:style>
  <w:style w:type="paragraph" w:styleId="Footer">
    <w:name w:val="footer"/>
    <w:basedOn w:val="Normal"/>
    <w:link w:val="FooterChar"/>
    <w:uiPriority w:val="99"/>
    <w:unhideWhenUsed/>
    <w:rsid w:val="00221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5431">
      <w:bodyDiv w:val="1"/>
      <w:marLeft w:val="0"/>
      <w:marRight w:val="0"/>
      <w:marTop w:val="0"/>
      <w:marBottom w:val="0"/>
      <w:divBdr>
        <w:top w:val="none" w:sz="0" w:space="0" w:color="auto"/>
        <w:left w:val="none" w:sz="0" w:space="0" w:color="auto"/>
        <w:bottom w:val="none" w:sz="0" w:space="0" w:color="auto"/>
        <w:right w:val="none" w:sz="0" w:space="0" w:color="auto"/>
      </w:divBdr>
    </w:div>
    <w:div w:id="1068840913">
      <w:bodyDiv w:val="1"/>
      <w:marLeft w:val="0"/>
      <w:marRight w:val="0"/>
      <w:marTop w:val="0"/>
      <w:marBottom w:val="0"/>
      <w:divBdr>
        <w:top w:val="none" w:sz="0" w:space="0" w:color="auto"/>
        <w:left w:val="none" w:sz="0" w:space="0" w:color="auto"/>
        <w:bottom w:val="none" w:sz="0" w:space="0" w:color="auto"/>
        <w:right w:val="none" w:sz="0" w:space="0" w:color="auto"/>
      </w:divBdr>
    </w:div>
    <w:div w:id="1476947094">
      <w:bodyDiv w:val="1"/>
      <w:marLeft w:val="0"/>
      <w:marRight w:val="0"/>
      <w:marTop w:val="0"/>
      <w:marBottom w:val="0"/>
      <w:divBdr>
        <w:top w:val="none" w:sz="0" w:space="0" w:color="auto"/>
        <w:left w:val="none" w:sz="0" w:space="0" w:color="auto"/>
        <w:bottom w:val="none" w:sz="0" w:space="0" w:color="auto"/>
        <w:right w:val="none" w:sz="0" w:space="0" w:color="auto"/>
      </w:divBdr>
    </w:div>
    <w:div w:id="1740636353">
      <w:bodyDiv w:val="1"/>
      <w:marLeft w:val="0"/>
      <w:marRight w:val="0"/>
      <w:marTop w:val="0"/>
      <w:marBottom w:val="0"/>
      <w:divBdr>
        <w:top w:val="none" w:sz="0" w:space="0" w:color="auto"/>
        <w:left w:val="none" w:sz="0" w:space="0" w:color="auto"/>
        <w:bottom w:val="none" w:sz="0" w:space="0" w:color="auto"/>
        <w:right w:val="none" w:sz="0" w:space="0" w:color="auto"/>
      </w:divBdr>
    </w:div>
    <w:div w:id="1869446187">
      <w:bodyDiv w:val="1"/>
      <w:marLeft w:val="0"/>
      <w:marRight w:val="0"/>
      <w:marTop w:val="0"/>
      <w:marBottom w:val="0"/>
      <w:divBdr>
        <w:top w:val="none" w:sz="0" w:space="0" w:color="auto"/>
        <w:left w:val="none" w:sz="0" w:space="0" w:color="auto"/>
        <w:bottom w:val="none" w:sz="0" w:space="0" w:color="auto"/>
        <w:right w:val="none" w:sz="0" w:space="0" w:color="auto"/>
      </w:divBdr>
    </w:div>
    <w:div w:id="19195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elements/pbac-meetings/psd/2022-07/files/esketamine-psd-july-202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bs.gov.au/industry/listing/elements/pbac-meetings/psd/2021-07/files/esketamine-psd-july-202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9.health.gov.au/mbs/search.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5F035-4F47-473E-A9A8-BA46F1C9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2023-03-17T02:28:00Z</dcterms:created>
  <dcterms:modified xsi:type="dcterms:W3CDTF">2023-03-17T02:28:00Z</dcterms:modified>
</cp:coreProperties>
</file>