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47881" w14:textId="6B7CCD1F" w:rsidR="00280050" w:rsidRPr="009B0AFD" w:rsidRDefault="005F007C" w:rsidP="006F5D7A">
      <w:pPr>
        <w:jc w:val="center"/>
        <w:rPr>
          <w:rFonts w:ascii="Calibri" w:hAnsi="Calibri" w:cs="Calibri"/>
          <w:b/>
          <w:bCs/>
          <w:sz w:val="32"/>
          <w:szCs w:val="32"/>
        </w:rPr>
      </w:pPr>
      <w:r w:rsidRPr="005F007C">
        <w:rPr>
          <w:rFonts w:ascii="Calibri" w:hAnsi="Calibri" w:cs="Calibri"/>
          <w:b/>
          <w:bCs/>
          <w:sz w:val="32"/>
          <w:szCs w:val="32"/>
        </w:rPr>
        <w:t xml:space="preserve">Pulmonary arterial hypertension (PAH) </w:t>
      </w:r>
      <w:r w:rsidR="0031182F">
        <w:rPr>
          <w:rFonts w:ascii="Calibri" w:hAnsi="Calibri" w:cs="Calibri"/>
          <w:b/>
          <w:bCs/>
          <w:sz w:val="32"/>
          <w:szCs w:val="32"/>
        </w:rPr>
        <w:t>Stakeholder</w:t>
      </w:r>
      <w:r w:rsidR="00781AC5" w:rsidRPr="009B0AFD">
        <w:rPr>
          <w:rFonts w:ascii="Calibri" w:hAnsi="Calibri" w:cs="Calibri"/>
          <w:b/>
          <w:bCs/>
          <w:sz w:val="32"/>
          <w:szCs w:val="32"/>
        </w:rPr>
        <w:t xml:space="preserve"> Meeting</w:t>
      </w:r>
    </w:p>
    <w:p w14:paraId="1CAE0BC1" w14:textId="40DEC09D" w:rsidR="00781AC5" w:rsidRPr="009B0AFD" w:rsidRDefault="00781AC5" w:rsidP="006F5D7A">
      <w:pPr>
        <w:jc w:val="center"/>
        <w:rPr>
          <w:rFonts w:ascii="Calibri" w:hAnsi="Calibri" w:cs="Calibri"/>
          <w:b/>
          <w:bCs/>
          <w:sz w:val="32"/>
          <w:szCs w:val="32"/>
        </w:rPr>
      </w:pPr>
      <w:r w:rsidRPr="009B0AFD">
        <w:rPr>
          <w:rFonts w:ascii="Calibri" w:hAnsi="Calibri" w:cs="Calibri"/>
          <w:b/>
          <w:bCs/>
          <w:sz w:val="32"/>
          <w:szCs w:val="32"/>
        </w:rPr>
        <w:t>Outcome Statement</w:t>
      </w:r>
    </w:p>
    <w:p w14:paraId="7CDDDD57" w14:textId="76F1D1E8" w:rsidR="00781AC5" w:rsidRPr="009B0AFD" w:rsidRDefault="00CB6F27" w:rsidP="006F5D7A">
      <w:pPr>
        <w:jc w:val="center"/>
        <w:rPr>
          <w:rFonts w:ascii="Calibri" w:hAnsi="Calibri" w:cs="Calibri"/>
          <w:b/>
          <w:bCs/>
          <w:sz w:val="32"/>
          <w:szCs w:val="32"/>
        </w:rPr>
      </w:pPr>
      <w:r>
        <w:rPr>
          <w:rFonts w:ascii="Calibri" w:hAnsi="Calibri" w:cs="Calibri"/>
          <w:b/>
          <w:bCs/>
          <w:sz w:val="32"/>
          <w:szCs w:val="32"/>
        </w:rPr>
        <w:t>Tuesday 12</w:t>
      </w:r>
      <w:r w:rsidR="00781AC5" w:rsidRPr="009B0AFD">
        <w:rPr>
          <w:rFonts w:ascii="Calibri" w:hAnsi="Calibri" w:cs="Calibri"/>
          <w:b/>
          <w:bCs/>
          <w:sz w:val="32"/>
          <w:szCs w:val="32"/>
        </w:rPr>
        <w:t xml:space="preserve"> </w:t>
      </w:r>
      <w:r>
        <w:rPr>
          <w:rFonts w:ascii="Calibri" w:hAnsi="Calibri" w:cs="Calibri"/>
          <w:b/>
          <w:bCs/>
          <w:sz w:val="32"/>
          <w:szCs w:val="32"/>
        </w:rPr>
        <w:t>August</w:t>
      </w:r>
      <w:r w:rsidR="00781AC5" w:rsidRPr="009B0AFD">
        <w:rPr>
          <w:rFonts w:ascii="Calibri" w:hAnsi="Calibri" w:cs="Calibri"/>
          <w:b/>
          <w:bCs/>
          <w:sz w:val="32"/>
          <w:szCs w:val="32"/>
        </w:rPr>
        <w:t xml:space="preserve"> 2025</w:t>
      </w:r>
    </w:p>
    <w:p w14:paraId="5AFD4B89" w14:textId="77777777" w:rsidR="00E8479B" w:rsidRPr="00593AD3" w:rsidRDefault="00781AC5" w:rsidP="006F5D7A">
      <w:pPr>
        <w:jc w:val="both"/>
        <w:rPr>
          <w:rFonts w:ascii="Calibri" w:hAnsi="Calibri" w:cs="Calibri"/>
          <w:b/>
          <w:bCs/>
          <w:i/>
          <w:iCs/>
          <w:sz w:val="28"/>
          <w:szCs w:val="28"/>
        </w:rPr>
      </w:pPr>
      <w:r w:rsidRPr="00593AD3">
        <w:rPr>
          <w:rFonts w:ascii="Calibri" w:hAnsi="Calibri" w:cs="Calibri"/>
          <w:b/>
          <w:bCs/>
          <w:i/>
          <w:iCs/>
          <w:sz w:val="28"/>
          <w:szCs w:val="28"/>
        </w:rPr>
        <w:t>Attendees</w:t>
      </w:r>
    </w:p>
    <w:p w14:paraId="5E1D68A2" w14:textId="2CCCE33F" w:rsidR="00B6235A" w:rsidRPr="00171C42" w:rsidRDefault="00BE538F" w:rsidP="006F5D7A">
      <w:pPr>
        <w:jc w:val="both"/>
        <w:rPr>
          <w:rFonts w:ascii="Calibri" w:hAnsi="Calibri" w:cs="Calibri"/>
        </w:rPr>
      </w:pPr>
      <w:r w:rsidRPr="00171C42">
        <w:rPr>
          <w:rFonts w:ascii="Calibri" w:hAnsi="Calibri" w:cs="Calibri"/>
        </w:rPr>
        <w:t>Members</w:t>
      </w:r>
      <w:r w:rsidR="00B6235A" w:rsidRPr="00171C42">
        <w:rPr>
          <w:rFonts w:ascii="Calibri" w:hAnsi="Calibri" w:cs="Calibri"/>
        </w:rPr>
        <w:t xml:space="preserve"> of the Pharmaceutical Benefits Advisory Committee (PBAC),</w:t>
      </w:r>
      <w:r w:rsidR="007320AB">
        <w:rPr>
          <w:rFonts w:ascii="Calibri" w:hAnsi="Calibri" w:cs="Calibri"/>
        </w:rPr>
        <w:t xml:space="preserve"> </w:t>
      </w:r>
      <w:r w:rsidR="0031182F">
        <w:rPr>
          <w:rFonts w:ascii="Calibri" w:hAnsi="Calibri" w:cs="Calibri"/>
        </w:rPr>
        <w:t xml:space="preserve">clinicians with expertise in the management of </w:t>
      </w:r>
      <w:r w:rsidR="00CB6F27">
        <w:rPr>
          <w:rFonts w:ascii="Calibri" w:hAnsi="Calibri" w:cs="Calibri"/>
        </w:rPr>
        <w:t>p</w:t>
      </w:r>
      <w:r w:rsidR="00CB6F27" w:rsidRPr="00CB6F27">
        <w:rPr>
          <w:rFonts w:ascii="Calibri" w:hAnsi="Calibri" w:cs="Calibri"/>
        </w:rPr>
        <w:t>ulmonary arterial hypertension (PAH)</w:t>
      </w:r>
      <w:r w:rsidR="0031182F">
        <w:rPr>
          <w:rFonts w:ascii="Calibri" w:hAnsi="Calibri" w:cs="Calibri"/>
        </w:rPr>
        <w:t xml:space="preserve">, </w:t>
      </w:r>
      <w:r w:rsidR="00CB6F27">
        <w:rPr>
          <w:rFonts w:ascii="Calibri" w:hAnsi="Calibri" w:cs="Calibri"/>
        </w:rPr>
        <w:t xml:space="preserve">and </w:t>
      </w:r>
      <w:r w:rsidR="0031182F">
        <w:rPr>
          <w:rFonts w:ascii="Calibri" w:hAnsi="Calibri" w:cs="Calibri"/>
        </w:rPr>
        <w:t xml:space="preserve">representatives from </w:t>
      </w:r>
      <w:r w:rsidR="00B6235A" w:rsidRPr="00171C42">
        <w:rPr>
          <w:rFonts w:ascii="Calibri" w:hAnsi="Calibri" w:cs="Calibri"/>
        </w:rPr>
        <w:t>the Department of Health, Disability and Ageing</w:t>
      </w:r>
      <w:r w:rsidR="00AF693E" w:rsidRPr="00171C42">
        <w:rPr>
          <w:rFonts w:ascii="Calibri" w:hAnsi="Calibri" w:cs="Calibri"/>
        </w:rPr>
        <w:t xml:space="preserve"> </w:t>
      </w:r>
      <w:r w:rsidR="009B5B64">
        <w:rPr>
          <w:rFonts w:ascii="Calibri" w:hAnsi="Calibri" w:cs="Calibri"/>
        </w:rPr>
        <w:t xml:space="preserve">(the Department) </w:t>
      </w:r>
      <w:r w:rsidR="00AF693E" w:rsidRPr="00171C42">
        <w:rPr>
          <w:rFonts w:ascii="Calibri" w:hAnsi="Calibri" w:cs="Calibri"/>
        </w:rPr>
        <w:t xml:space="preserve">were in attendance. </w:t>
      </w:r>
    </w:p>
    <w:p w14:paraId="4FFD9CF3" w14:textId="343B34C7" w:rsidR="00E8479B" w:rsidRPr="00171C42" w:rsidRDefault="00781AC5" w:rsidP="006F5D7A">
      <w:pPr>
        <w:jc w:val="both"/>
        <w:rPr>
          <w:rFonts w:ascii="Calibri" w:hAnsi="Calibri" w:cs="Calibri"/>
        </w:rPr>
      </w:pPr>
      <w:r w:rsidRPr="00171C42">
        <w:rPr>
          <w:rFonts w:ascii="Calibri" w:hAnsi="Calibri" w:cs="Calibri"/>
        </w:rPr>
        <w:t>Non-departmental attendees undertook confidentiality declarations and provided conflict of interest statements.</w:t>
      </w:r>
    </w:p>
    <w:p w14:paraId="28540546" w14:textId="133FDEE0" w:rsidR="00781AC5" w:rsidRPr="00171C42" w:rsidRDefault="00781AC5" w:rsidP="006F5D7A">
      <w:pPr>
        <w:jc w:val="both"/>
        <w:rPr>
          <w:rFonts w:ascii="Calibri" w:hAnsi="Calibri" w:cs="Calibri"/>
          <w:b/>
          <w:bCs/>
          <w:i/>
          <w:iCs/>
          <w:sz w:val="28"/>
          <w:szCs w:val="28"/>
        </w:rPr>
      </w:pPr>
      <w:r w:rsidRPr="00171C42">
        <w:rPr>
          <w:rFonts w:ascii="Calibri" w:hAnsi="Calibri" w:cs="Calibri"/>
          <w:b/>
          <w:bCs/>
          <w:i/>
          <w:iCs/>
          <w:sz w:val="28"/>
          <w:szCs w:val="28"/>
        </w:rPr>
        <w:t>Purpose of meeting</w:t>
      </w:r>
    </w:p>
    <w:p w14:paraId="69899AD7" w14:textId="77777777" w:rsidR="00F15AAC" w:rsidRDefault="00CB7BA5" w:rsidP="00705A9B">
      <w:pPr>
        <w:jc w:val="both"/>
        <w:rPr>
          <w:rFonts w:ascii="Calibri" w:hAnsi="Calibri" w:cs="Calibri"/>
        </w:rPr>
      </w:pPr>
      <w:r w:rsidRPr="00CB7BA5">
        <w:rPr>
          <w:rFonts w:ascii="Calibri" w:hAnsi="Calibri" w:cs="Calibri"/>
        </w:rPr>
        <w:t xml:space="preserve">At its March 2025 meeting the PBAC rejected a submission for sotatercept as add-on therapy in patients with </w:t>
      </w:r>
      <w:r w:rsidR="0024303E">
        <w:rPr>
          <w:rFonts w:ascii="Calibri" w:hAnsi="Calibri" w:cs="Calibri"/>
        </w:rPr>
        <w:t>PAH</w:t>
      </w:r>
      <w:r w:rsidRPr="00CB7BA5">
        <w:rPr>
          <w:rFonts w:ascii="Calibri" w:hAnsi="Calibri" w:cs="Calibri"/>
        </w:rPr>
        <w:t xml:space="preserve"> World Health Organisation (WHO) </w:t>
      </w:r>
      <w:r w:rsidR="007956C3">
        <w:rPr>
          <w:rFonts w:ascii="Calibri" w:hAnsi="Calibri" w:cs="Calibri"/>
        </w:rPr>
        <w:t>f</w:t>
      </w:r>
      <w:r w:rsidRPr="00CB7BA5">
        <w:rPr>
          <w:rFonts w:ascii="Calibri" w:hAnsi="Calibri" w:cs="Calibri"/>
        </w:rPr>
        <w:t xml:space="preserve">unctional class (FC) II-III. The PBAC noted the requested listing raised disconnections between currently available PAH medicines on the PBS and international PAH guidelines, which in turn informs the potential clinical place of sotatercept on the PBS. The PBAC requested that the Department </w:t>
      </w:r>
      <w:r w:rsidR="00D6387D">
        <w:rPr>
          <w:rFonts w:ascii="Calibri" w:hAnsi="Calibri" w:cs="Calibri"/>
        </w:rPr>
        <w:t>review</w:t>
      </w:r>
      <w:r w:rsidRPr="00CB7BA5">
        <w:rPr>
          <w:rFonts w:ascii="Calibri" w:hAnsi="Calibri" w:cs="Calibri"/>
        </w:rPr>
        <w:t xml:space="preserve"> the restrictions for currently listed PAH medicines regarding consistency with</w:t>
      </w:r>
      <w:r w:rsidR="00B736E5">
        <w:rPr>
          <w:rFonts w:ascii="Calibri" w:hAnsi="Calibri" w:cs="Calibri"/>
        </w:rPr>
        <w:t xml:space="preserve"> current clinical practice and</w:t>
      </w:r>
      <w:r w:rsidRPr="00CB7BA5">
        <w:rPr>
          <w:rFonts w:ascii="Calibri" w:hAnsi="Calibri" w:cs="Calibri"/>
        </w:rPr>
        <w:t xml:space="preserve"> international PAH treatment guidelines.</w:t>
      </w:r>
      <w:r w:rsidR="00B736E5">
        <w:rPr>
          <w:rFonts w:ascii="Calibri" w:hAnsi="Calibri" w:cs="Calibri"/>
        </w:rPr>
        <w:t xml:space="preserve"> </w:t>
      </w:r>
    </w:p>
    <w:p w14:paraId="051F8307" w14:textId="5A10F6B6" w:rsidR="004932BB" w:rsidRDefault="00B736E5" w:rsidP="00705A9B">
      <w:pPr>
        <w:jc w:val="both"/>
        <w:rPr>
          <w:rFonts w:ascii="Calibri" w:hAnsi="Calibri" w:cs="Calibri"/>
        </w:rPr>
      </w:pPr>
      <w:r>
        <w:rPr>
          <w:rFonts w:ascii="Calibri" w:hAnsi="Calibri" w:cs="Calibri"/>
        </w:rPr>
        <w:t xml:space="preserve">The </w:t>
      </w:r>
      <w:r w:rsidR="004932BB" w:rsidRPr="004932BB">
        <w:rPr>
          <w:rFonts w:ascii="Calibri" w:hAnsi="Calibri" w:cs="Calibri"/>
        </w:rPr>
        <w:t xml:space="preserve">PBAC Chair </w:t>
      </w:r>
      <w:r w:rsidR="004932BB">
        <w:rPr>
          <w:rFonts w:ascii="Calibri" w:hAnsi="Calibri" w:cs="Calibri"/>
        </w:rPr>
        <w:t xml:space="preserve">also </w:t>
      </w:r>
      <w:r w:rsidR="004932BB" w:rsidRPr="004932BB">
        <w:rPr>
          <w:rFonts w:ascii="Calibri" w:hAnsi="Calibri" w:cs="Calibri"/>
        </w:rPr>
        <w:t>requested a clinician stakeholder meeting be held to discuss therapy in WHO FC II PAH including the role of sotatercept in this PAH treatment paradigm</w:t>
      </w:r>
      <w:r w:rsidR="004932BB">
        <w:rPr>
          <w:rFonts w:ascii="Calibri" w:hAnsi="Calibri" w:cs="Calibri"/>
        </w:rPr>
        <w:t>.</w:t>
      </w:r>
      <w:r w:rsidR="00F15AAC">
        <w:rPr>
          <w:rFonts w:ascii="Calibri" w:hAnsi="Calibri" w:cs="Calibri"/>
        </w:rPr>
        <w:t xml:space="preserve"> </w:t>
      </w:r>
      <w:r w:rsidR="00F66081" w:rsidRPr="007E20E2">
        <w:rPr>
          <w:rFonts w:ascii="Calibri" w:hAnsi="Calibri" w:cs="Calibri"/>
        </w:rPr>
        <w:t xml:space="preserve">This is consistent with the </w:t>
      </w:r>
      <w:r w:rsidR="00F66081">
        <w:rPr>
          <w:rFonts w:ascii="Calibri" w:hAnsi="Calibri" w:cs="Calibri"/>
        </w:rPr>
        <w:t>p</w:t>
      </w:r>
      <w:r w:rsidR="00F66081" w:rsidRPr="007E20E2">
        <w:rPr>
          <w:rFonts w:ascii="Calibri" w:hAnsi="Calibri" w:cs="Calibri"/>
        </w:rPr>
        <w:t xml:space="preserve">rocedure guidance for listing medicines on the </w:t>
      </w:r>
      <w:r w:rsidR="007E20E2">
        <w:rPr>
          <w:rFonts w:ascii="Calibri" w:hAnsi="Calibri" w:cs="Calibri"/>
        </w:rPr>
        <w:t>PBS</w:t>
      </w:r>
      <w:r w:rsidR="00F66081" w:rsidRPr="007E20E2">
        <w:rPr>
          <w:rFonts w:ascii="Calibri" w:hAnsi="Calibri" w:cs="Calibri"/>
        </w:rPr>
        <w:t>, which outlines who may be invited to PBAC stakeholder meetings</w:t>
      </w:r>
      <w:r w:rsidR="00F66081" w:rsidRPr="00F66081">
        <w:rPr>
          <w:rFonts w:ascii="Calibri" w:hAnsi="Calibri" w:cs="Calibri"/>
          <w:b/>
          <w:bCs/>
        </w:rPr>
        <w:t>.</w:t>
      </w:r>
      <w:r w:rsidR="00F66081" w:rsidRPr="00F66081">
        <w:rPr>
          <w:rFonts w:ascii="Calibri" w:hAnsi="Calibri" w:cs="Calibri"/>
        </w:rPr>
        <w:t xml:space="preserve"> </w:t>
      </w:r>
    </w:p>
    <w:p w14:paraId="642103C2" w14:textId="5DAE5C80" w:rsidR="00705A9B" w:rsidRDefault="00386D02" w:rsidP="00705A9B">
      <w:pPr>
        <w:jc w:val="both"/>
        <w:rPr>
          <w:rFonts w:ascii="Calibri" w:hAnsi="Calibri" w:cs="Calibri"/>
        </w:rPr>
      </w:pPr>
      <w:r>
        <w:rPr>
          <w:rFonts w:ascii="Calibri" w:hAnsi="Calibri" w:cs="Calibri"/>
        </w:rPr>
        <w:t xml:space="preserve">The purpose of the meeting was to </w:t>
      </w:r>
      <w:r w:rsidR="00705A9B" w:rsidRPr="00705A9B">
        <w:rPr>
          <w:rFonts w:ascii="Calibri" w:hAnsi="Calibri" w:cs="Calibri"/>
        </w:rPr>
        <w:t xml:space="preserve">seek clinician input on issues raised by the </w:t>
      </w:r>
      <w:r w:rsidR="0024303E">
        <w:rPr>
          <w:rFonts w:ascii="Calibri" w:hAnsi="Calibri" w:cs="Calibri"/>
        </w:rPr>
        <w:t xml:space="preserve">PBAC </w:t>
      </w:r>
      <w:r w:rsidR="00705A9B" w:rsidRPr="00705A9B">
        <w:rPr>
          <w:rFonts w:ascii="Calibri" w:hAnsi="Calibri" w:cs="Calibri"/>
        </w:rPr>
        <w:t>relating to changes in guideline and consensus recommended therapy in Group I PAH including (but not limited to):</w:t>
      </w:r>
    </w:p>
    <w:p w14:paraId="1F33A7E0" w14:textId="17AFD7E4" w:rsidR="00705A9B" w:rsidRDefault="00705A9B" w:rsidP="00705A9B">
      <w:pPr>
        <w:pStyle w:val="ListParagraph"/>
        <w:numPr>
          <w:ilvl w:val="0"/>
          <w:numId w:val="24"/>
        </w:numPr>
        <w:jc w:val="both"/>
        <w:rPr>
          <w:rFonts w:ascii="Calibri" w:hAnsi="Calibri" w:cs="Calibri"/>
        </w:rPr>
      </w:pPr>
      <w:r w:rsidRPr="00705A9B">
        <w:rPr>
          <w:rFonts w:ascii="Calibri" w:hAnsi="Calibri" w:cs="Calibri"/>
        </w:rPr>
        <w:t xml:space="preserve">Dual therapy in WHO </w:t>
      </w:r>
      <w:r w:rsidR="00D8220F">
        <w:rPr>
          <w:rFonts w:ascii="Calibri" w:hAnsi="Calibri" w:cs="Calibri"/>
        </w:rPr>
        <w:t>FC</w:t>
      </w:r>
      <w:r w:rsidRPr="00705A9B">
        <w:rPr>
          <w:rFonts w:ascii="Calibri" w:hAnsi="Calibri" w:cs="Calibri"/>
        </w:rPr>
        <w:t xml:space="preserve"> II PAH, </w:t>
      </w:r>
    </w:p>
    <w:p w14:paraId="627C0E7C" w14:textId="77777777" w:rsidR="00705A9B" w:rsidRDefault="00705A9B" w:rsidP="00705A9B">
      <w:pPr>
        <w:pStyle w:val="ListParagraph"/>
        <w:numPr>
          <w:ilvl w:val="0"/>
          <w:numId w:val="24"/>
        </w:numPr>
        <w:jc w:val="both"/>
        <w:rPr>
          <w:rFonts w:ascii="Calibri" w:hAnsi="Calibri" w:cs="Calibri"/>
        </w:rPr>
      </w:pPr>
      <w:r w:rsidRPr="00705A9B">
        <w:rPr>
          <w:rFonts w:ascii="Calibri" w:hAnsi="Calibri" w:cs="Calibri"/>
        </w:rPr>
        <w:t>The role of sotatercept in the PAH treatment paradigm</w:t>
      </w:r>
    </w:p>
    <w:p w14:paraId="37718157" w14:textId="1EBF7875" w:rsidR="00CB7BA5" w:rsidRPr="00186B67" w:rsidRDefault="00705A9B" w:rsidP="006F5D7A">
      <w:pPr>
        <w:pStyle w:val="ListParagraph"/>
        <w:numPr>
          <w:ilvl w:val="0"/>
          <w:numId w:val="24"/>
        </w:numPr>
        <w:jc w:val="both"/>
        <w:rPr>
          <w:rFonts w:ascii="Calibri" w:hAnsi="Calibri" w:cs="Calibri"/>
        </w:rPr>
      </w:pPr>
      <w:r w:rsidRPr="00705A9B">
        <w:rPr>
          <w:rFonts w:ascii="Calibri" w:hAnsi="Calibri" w:cs="Calibri"/>
        </w:rPr>
        <w:t>Ways forward to optimise cost-effective PAH management</w:t>
      </w:r>
    </w:p>
    <w:p w14:paraId="07BD2D44" w14:textId="500ACDB2" w:rsidR="00E8479B" w:rsidRPr="001107DD" w:rsidRDefault="00C01342" w:rsidP="006F5D7A">
      <w:pPr>
        <w:jc w:val="both"/>
        <w:rPr>
          <w:rFonts w:ascii="Calibri" w:hAnsi="Calibri" w:cs="Calibri"/>
        </w:rPr>
      </w:pPr>
      <w:r w:rsidRPr="00C01342">
        <w:rPr>
          <w:rFonts w:ascii="Calibri" w:hAnsi="Calibri" w:cs="Calibri"/>
        </w:rPr>
        <w:t>The following points were identified as areas for discussion:</w:t>
      </w:r>
    </w:p>
    <w:p w14:paraId="0894D6E8" w14:textId="030647A0" w:rsidR="00444774" w:rsidRPr="00444774" w:rsidRDefault="00444774" w:rsidP="00444774">
      <w:pPr>
        <w:numPr>
          <w:ilvl w:val="0"/>
          <w:numId w:val="25"/>
        </w:numPr>
        <w:jc w:val="both"/>
        <w:rPr>
          <w:rFonts w:ascii="Calibri" w:hAnsi="Calibri" w:cs="Calibri"/>
        </w:rPr>
      </w:pPr>
      <w:r w:rsidRPr="00444774">
        <w:rPr>
          <w:rFonts w:ascii="Calibri" w:hAnsi="Calibri" w:cs="Calibri"/>
        </w:rPr>
        <w:t>What proportion of PAH patients present in WHO FC I and II</w:t>
      </w:r>
      <w:r w:rsidR="005C1C6C">
        <w:rPr>
          <w:rFonts w:ascii="Calibri" w:hAnsi="Calibri" w:cs="Calibri"/>
        </w:rPr>
        <w:t xml:space="preserve"> and h</w:t>
      </w:r>
      <w:r w:rsidRPr="00444774">
        <w:rPr>
          <w:rFonts w:ascii="Calibri" w:hAnsi="Calibri" w:cs="Calibri"/>
        </w:rPr>
        <w:t xml:space="preserve">ow is this population treated (including non-PBS therapy)? </w:t>
      </w:r>
    </w:p>
    <w:p w14:paraId="5105250C" w14:textId="77777777" w:rsidR="00444774" w:rsidRPr="00444774" w:rsidRDefault="00444774" w:rsidP="00444774">
      <w:pPr>
        <w:numPr>
          <w:ilvl w:val="0"/>
          <w:numId w:val="25"/>
        </w:numPr>
        <w:jc w:val="both"/>
        <w:rPr>
          <w:rFonts w:ascii="Calibri" w:hAnsi="Calibri" w:cs="Calibri"/>
        </w:rPr>
      </w:pPr>
      <w:r w:rsidRPr="00444774">
        <w:rPr>
          <w:rFonts w:ascii="Calibri" w:hAnsi="Calibri" w:cs="Calibri"/>
        </w:rPr>
        <w:t>Which treatment guideline(s) (if any) do Australian PAH clinicians currently follow?</w:t>
      </w:r>
    </w:p>
    <w:p w14:paraId="4D6B21FD" w14:textId="77777777" w:rsidR="00444774" w:rsidRPr="00444774" w:rsidRDefault="00444774" w:rsidP="00444774">
      <w:pPr>
        <w:numPr>
          <w:ilvl w:val="0"/>
          <w:numId w:val="25"/>
        </w:numPr>
        <w:jc w:val="both"/>
        <w:rPr>
          <w:rFonts w:ascii="Calibri" w:hAnsi="Calibri" w:cs="Calibri"/>
        </w:rPr>
      </w:pPr>
      <w:r w:rsidRPr="00444774">
        <w:rPr>
          <w:rFonts w:ascii="Calibri" w:hAnsi="Calibri" w:cs="Calibri"/>
        </w:rPr>
        <w:t>Is treatment approach primarily guided now by WHO FC status or by risk categorisation?  Which risk categorisation tools are preferred?</w:t>
      </w:r>
    </w:p>
    <w:p w14:paraId="2203BE94" w14:textId="77777777" w:rsidR="00444774" w:rsidRPr="00444774" w:rsidRDefault="00444774" w:rsidP="00444774">
      <w:pPr>
        <w:numPr>
          <w:ilvl w:val="0"/>
          <w:numId w:val="25"/>
        </w:numPr>
        <w:jc w:val="both"/>
        <w:rPr>
          <w:rFonts w:ascii="Calibri" w:hAnsi="Calibri" w:cs="Calibri"/>
        </w:rPr>
      </w:pPr>
      <w:r w:rsidRPr="00444774">
        <w:rPr>
          <w:rFonts w:ascii="Calibri" w:hAnsi="Calibri" w:cs="Calibri"/>
        </w:rPr>
        <w:lastRenderedPageBreak/>
        <w:t>Are PBS restrictions a barrier to optimal PAH therapy? In these cases, do patients self-fund treatment, or are there compassionate access programs available?</w:t>
      </w:r>
    </w:p>
    <w:p w14:paraId="334DED8B" w14:textId="080B5E5D" w:rsidR="00685F24" w:rsidRPr="00685F24" w:rsidRDefault="00685F24" w:rsidP="00685F24">
      <w:pPr>
        <w:numPr>
          <w:ilvl w:val="0"/>
          <w:numId w:val="25"/>
        </w:numPr>
        <w:jc w:val="both"/>
        <w:rPr>
          <w:rFonts w:ascii="Calibri" w:hAnsi="Calibri" w:cs="Calibri"/>
        </w:rPr>
      </w:pPr>
      <w:r w:rsidRPr="00685F24">
        <w:rPr>
          <w:rFonts w:ascii="Calibri" w:hAnsi="Calibri" w:cs="Calibri"/>
        </w:rPr>
        <w:t>Where should sotatercept be positioned in the PAH treatment algorithm?</w:t>
      </w:r>
      <w:r w:rsidR="00FE493B">
        <w:rPr>
          <w:rFonts w:ascii="Calibri" w:hAnsi="Calibri" w:cs="Calibri"/>
        </w:rPr>
        <w:t xml:space="preserve"> Does the 7</w:t>
      </w:r>
      <w:r w:rsidR="00FE493B" w:rsidRPr="00FE493B">
        <w:rPr>
          <w:rFonts w:ascii="Calibri" w:hAnsi="Calibri" w:cs="Calibri"/>
          <w:vertAlign w:val="superscript"/>
        </w:rPr>
        <w:t>th</w:t>
      </w:r>
      <w:r w:rsidR="00FE493B">
        <w:rPr>
          <w:rFonts w:ascii="Calibri" w:hAnsi="Calibri" w:cs="Calibri"/>
        </w:rPr>
        <w:t xml:space="preserve"> World Symposium in Pulmonary Hypertension algorithm accurately reflect the optimal treatment paradigm for PAH therapy in Australia?</w:t>
      </w:r>
    </w:p>
    <w:p w14:paraId="0FD49811" w14:textId="2BFD33D7" w:rsidR="00444774" w:rsidRDefault="00685F24" w:rsidP="006F5D7A">
      <w:pPr>
        <w:numPr>
          <w:ilvl w:val="0"/>
          <w:numId w:val="25"/>
        </w:numPr>
        <w:jc w:val="both"/>
        <w:rPr>
          <w:rFonts w:ascii="Calibri" w:hAnsi="Calibri" w:cs="Calibri"/>
        </w:rPr>
      </w:pPr>
      <w:r w:rsidRPr="00685F24">
        <w:rPr>
          <w:rFonts w:ascii="Calibri" w:hAnsi="Calibri" w:cs="Calibri"/>
        </w:rPr>
        <w:t>Are clinicians aware of any other new treatments on horizon/close to market?</w:t>
      </w:r>
    </w:p>
    <w:p w14:paraId="3079BF37" w14:textId="1F75C7C8" w:rsidR="00CF66F7" w:rsidRPr="00E71583" w:rsidRDefault="007763B4" w:rsidP="0052625F">
      <w:pPr>
        <w:jc w:val="both"/>
        <w:rPr>
          <w:rFonts w:ascii="Calibri" w:hAnsi="Calibri" w:cs="Calibri"/>
        </w:rPr>
      </w:pPr>
      <w:r>
        <w:rPr>
          <w:rFonts w:ascii="Calibri" w:hAnsi="Calibri" w:cs="Calibri"/>
        </w:rPr>
        <w:t xml:space="preserve">A </w:t>
      </w:r>
      <w:r w:rsidR="00CD36F1">
        <w:rPr>
          <w:rFonts w:ascii="Calibri" w:hAnsi="Calibri" w:cs="Calibri"/>
        </w:rPr>
        <w:t xml:space="preserve">slideshow </w:t>
      </w:r>
      <w:r>
        <w:rPr>
          <w:rFonts w:ascii="Calibri" w:hAnsi="Calibri" w:cs="Calibri"/>
        </w:rPr>
        <w:t>was presented</w:t>
      </w:r>
      <w:r w:rsidR="00E00B63">
        <w:rPr>
          <w:rFonts w:ascii="Calibri" w:hAnsi="Calibri" w:cs="Calibri"/>
        </w:rPr>
        <w:t xml:space="preserve"> which</w:t>
      </w:r>
      <w:r>
        <w:rPr>
          <w:rFonts w:ascii="Calibri" w:hAnsi="Calibri" w:cs="Calibri"/>
        </w:rPr>
        <w:t xml:space="preserve"> </w:t>
      </w:r>
      <w:r w:rsidR="00CD36F1">
        <w:rPr>
          <w:rFonts w:ascii="Calibri" w:hAnsi="Calibri" w:cs="Calibri"/>
        </w:rPr>
        <w:t xml:space="preserve">summarised </w:t>
      </w:r>
      <w:r>
        <w:rPr>
          <w:rFonts w:ascii="Calibri" w:hAnsi="Calibri" w:cs="Calibri"/>
        </w:rPr>
        <w:t>background on</w:t>
      </w:r>
      <w:r w:rsidR="00A9018E">
        <w:rPr>
          <w:rFonts w:ascii="Calibri" w:hAnsi="Calibri" w:cs="Calibri"/>
        </w:rPr>
        <w:t xml:space="preserve"> the</w:t>
      </w:r>
      <w:r w:rsidR="00A9018E" w:rsidRPr="00A9018E">
        <w:rPr>
          <w:rFonts w:ascii="Calibri" w:hAnsi="Calibri" w:cs="Calibri"/>
        </w:rPr>
        <w:t xml:space="preserve"> 2016-18 post-market review of PAH medicines,</w:t>
      </w:r>
      <w:r w:rsidR="0098107F">
        <w:rPr>
          <w:rFonts w:ascii="Calibri" w:hAnsi="Calibri" w:cs="Calibri"/>
        </w:rPr>
        <w:t xml:space="preserve"> u</w:t>
      </w:r>
      <w:r w:rsidR="00A9018E" w:rsidRPr="00A9018E">
        <w:rPr>
          <w:rFonts w:ascii="Calibri" w:hAnsi="Calibri" w:cs="Calibri"/>
        </w:rPr>
        <w:t>pdates to international PAH guidelines,</w:t>
      </w:r>
      <w:r w:rsidR="0098107F">
        <w:rPr>
          <w:rFonts w:ascii="Calibri" w:hAnsi="Calibri" w:cs="Calibri"/>
        </w:rPr>
        <w:t xml:space="preserve"> t</w:t>
      </w:r>
      <w:r w:rsidR="00A9018E" w:rsidRPr="00A9018E">
        <w:rPr>
          <w:rFonts w:ascii="Calibri" w:hAnsi="Calibri" w:cs="Calibri"/>
        </w:rPr>
        <w:t>he PBAC’s March 2025</w:t>
      </w:r>
      <w:r w:rsidR="00263F4F">
        <w:rPr>
          <w:rFonts w:ascii="Calibri" w:hAnsi="Calibri" w:cs="Calibri"/>
        </w:rPr>
        <w:t> </w:t>
      </w:r>
      <w:r w:rsidR="00A9018E" w:rsidRPr="00A9018E">
        <w:rPr>
          <w:rFonts w:ascii="Calibri" w:hAnsi="Calibri" w:cs="Calibri"/>
        </w:rPr>
        <w:t>consideration of sotatercept</w:t>
      </w:r>
      <w:r w:rsidR="00951CBF">
        <w:rPr>
          <w:rFonts w:ascii="Calibri" w:hAnsi="Calibri" w:cs="Calibri"/>
        </w:rPr>
        <w:t xml:space="preserve"> and</w:t>
      </w:r>
      <w:r w:rsidR="008A5D8C">
        <w:rPr>
          <w:rFonts w:ascii="Calibri" w:hAnsi="Calibri" w:cs="Calibri"/>
        </w:rPr>
        <w:t xml:space="preserve"> </w:t>
      </w:r>
      <w:r w:rsidR="00951CBF">
        <w:rPr>
          <w:rFonts w:ascii="Calibri" w:hAnsi="Calibri" w:cs="Calibri"/>
        </w:rPr>
        <w:t xml:space="preserve">clinical trials </w:t>
      </w:r>
      <w:r w:rsidR="0052625F">
        <w:rPr>
          <w:rFonts w:ascii="Calibri" w:hAnsi="Calibri" w:cs="Calibri"/>
        </w:rPr>
        <w:t xml:space="preserve">supporting the use of sotatercept </w:t>
      </w:r>
      <w:r w:rsidR="00970299">
        <w:rPr>
          <w:rFonts w:ascii="Calibri" w:hAnsi="Calibri" w:cs="Calibri"/>
        </w:rPr>
        <w:t>(</w:t>
      </w:r>
      <w:r w:rsidR="00970299" w:rsidRPr="00970299">
        <w:rPr>
          <w:rFonts w:ascii="Calibri" w:hAnsi="Calibri" w:cs="Calibri"/>
          <w:lang w:val="en-US"/>
        </w:rPr>
        <w:t>PULSAR, STELLAR, SOTERIA, ZENITH and HYPERION</w:t>
      </w:r>
      <w:r w:rsidR="00970299">
        <w:rPr>
          <w:rFonts w:ascii="Calibri" w:hAnsi="Calibri" w:cs="Calibri"/>
          <w:lang w:val="en-US"/>
        </w:rPr>
        <w:t>)</w:t>
      </w:r>
      <w:r w:rsidR="00951CBF">
        <w:rPr>
          <w:rFonts w:ascii="Calibri" w:hAnsi="Calibri" w:cs="Calibri"/>
        </w:rPr>
        <w:t>.</w:t>
      </w:r>
      <w:r w:rsidR="00CF66F7">
        <w:rPr>
          <w:rFonts w:ascii="Calibri" w:hAnsi="Calibri" w:cs="Calibri"/>
        </w:rPr>
        <w:t xml:space="preserve">  </w:t>
      </w:r>
    </w:p>
    <w:p w14:paraId="12AA8CDC" w14:textId="77777777" w:rsidR="00861D74" w:rsidRDefault="00861D74" w:rsidP="006F5D7A">
      <w:pPr>
        <w:jc w:val="both"/>
        <w:rPr>
          <w:rFonts w:ascii="Calibri" w:hAnsi="Calibri" w:cs="Calibri"/>
          <w:sz w:val="28"/>
          <w:szCs w:val="28"/>
        </w:rPr>
      </w:pPr>
      <w:r w:rsidRPr="00AF02C2">
        <w:rPr>
          <w:rFonts w:ascii="Calibri" w:hAnsi="Calibri" w:cs="Calibri"/>
          <w:b/>
          <w:bCs/>
          <w:i/>
          <w:iCs/>
          <w:sz w:val="28"/>
          <w:szCs w:val="28"/>
        </w:rPr>
        <w:t>Meeting discussion</w:t>
      </w:r>
      <w:r w:rsidRPr="00AF02C2">
        <w:rPr>
          <w:rFonts w:ascii="Calibri" w:hAnsi="Calibri" w:cs="Calibri"/>
          <w:sz w:val="28"/>
          <w:szCs w:val="28"/>
        </w:rPr>
        <w:t xml:space="preserve"> </w:t>
      </w:r>
    </w:p>
    <w:p w14:paraId="2EAE71E1" w14:textId="0C9801AF" w:rsidR="00554F81" w:rsidRPr="00D8220F" w:rsidRDefault="00E504F8" w:rsidP="00554F81">
      <w:pPr>
        <w:jc w:val="both"/>
        <w:rPr>
          <w:rFonts w:ascii="Calibri" w:hAnsi="Calibri" w:cs="Calibri"/>
          <w:u w:val="single"/>
        </w:rPr>
      </w:pPr>
      <w:r>
        <w:rPr>
          <w:rFonts w:ascii="Calibri" w:hAnsi="Calibri" w:cs="Calibri"/>
          <w:u w:val="single"/>
        </w:rPr>
        <w:t>Changes to PAH treatment guidelines and g</w:t>
      </w:r>
      <w:r w:rsidR="0067172A">
        <w:rPr>
          <w:rFonts w:ascii="Calibri" w:hAnsi="Calibri" w:cs="Calibri"/>
          <w:u w:val="single"/>
        </w:rPr>
        <w:t>aps in PBS-subsidised</w:t>
      </w:r>
      <w:r w:rsidR="008D2DE6">
        <w:rPr>
          <w:rFonts w:ascii="Calibri" w:hAnsi="Calibri" w:cs="Calibri"/>
          <w:u w:val="single"/>
        </w:rPr>
        <w:t xml:space="preserve"> </w:t>
      </w:r>
      <w:r>
        <w:rPr>
          <w:rFonts w:ascii="Calibri" w:hAnsi="Calibri" w:cs="Calibri"/>
          <w:u w:val="single"/>
        </w:rPr>
        <w:t>therapy</w:t>
      </w:r>
      <w:r w:rsidR="00D8220F">
        <w:rPr>
          <w:rFonts w:ascii="Calibri" w:hAnsi="Calibri" w:cs="Calibri"/>
          <w:u w:val="single"/>
        </w:rPr>
        <w:t xml:space="preserve"> </w:t>
      </w:r>
    </w:p>
    <w:p w14:paraId="0E525EB9" w14:textId="1CA19766" w:rsidR="006F5D7A" w:rsidRPr="00B81DFE" w:rsidRDefault="00BC3D67" w:rsidP="00AE40E5">
      <w:pPr>
        <w:pStyle w:val="ListParagraph"/>
        <w:numPr>
          <w:ilvl w:val="0"/>
          <w:numId w:val="12"/>
        </w:numPr>
        <w:jc w:val="both"/>
        <w:rPr>
          <w:rFonts w:ascii="Calibri" w:hAnsi="Calibri" w:cs="Calibri"/>
          <w:sz w:val="22"/>
          <w:szCs w:val="22"/>
        </w:rPr>
      </w:pPr>
      <w:r>
        <w:rPr>
          <w:rFonts w:ascii="Calibri" w:hAnsi="Calibri" w:cs="Calibri"/>
        </w:rPr>
        <w:t>Participants noted that</w:t>
      </w:r>
      <w:r w:rsidR="001D0FD1" w:rsidRPr="006C6AB6">
        <w:rPr>
          <w:rFonts w:ascii="Calibri" w:hAnsi="Calibri" w:cs="Calibri"/>
        </w:rPr>
        <w:t xml:space="preserve"> </w:t>
      </w:r>
      <w:r w:rsidR="00923B4F">
        <w:rPr>
          <w:rFonts w:ascii="Calibri" w:hAnsi="Calibri" w:cs="Calibri"/>
        </w:rPr>
        <w:t xml:space="preserve">international PAH treatment guidelines have </w:t>
      </w:r>
      <w:r w:rsidR="002F4376">
        <w:rPr>
          <w:rFonts w:ascii="Calibri" w:hAnsi="Calibri" w:cs="Calibri"/>
        </w:rPr>
        <w:t xml:space="preserve">evolved since the Department </w:t>
      </w:r>
      <w:r w:rsidR="00872770">
        <w:rPr>
          <w:rFonts w:ascii="Calibri" w:hAnsi="Calibri" w:cs="Calibri"/>
        </w:rPr>
        <w:t xml:space="preserve">last </w:t>
      </w:r>
      <w:r w:rsidR="002F4376">
        <w:rPr>
          <w:rFonts w:ascii="Calibri" w:hAnsi="Calibri" w:cs="Calibri"/>
        </w:rPr>
        <w:t>undertook a Post-market Review of Pulmonary Arterial Hypertension in 2016-2018</w:t>
      </w:r>
      <w:r w:rsidR="00B81DFE">
        <w:rPr>
          <w:rFonts w:ascii="Calibri" w:hAnsi="Calibri" w:cs="Calibri"/>
        </w:rPr>
        <w:t>.</w:t>
      </w:r>
      <w:r w:rsidR="006B02F3" w:rsidRPr="006B02F3">
        <w:rPr>
          <w:rFonts w:ascii="Calibri" w:hAnsi="Calibri" w:cs="Calibri"/>
        </w:rPr>
        <w:t xml:space="preserve"> </w:t>
      </w:r>
      <w:r w:rsidR="006B02F3">
        <w:rPr>
          <w:rFonts w:ascii="Calibri" w:hAnsi="Calibri" w:cs="Calibri"/>
        </w:rPr>
        <w:t>Clinicians agreed that</w:t>
      </w:r>
      <w:r>
        <w:rPr>
          <w:rFonts w:ascii="Calibri" w:hAnsi="Calibri" w:cs="Calibri"/>
        </w:rPr>
        <w:t xml:space="preserve"> currently,</w:t>
      </w:r>
      <w:r w:rsidR="006B02F3">
        <w:rPr>
          <w:rFonts w:ascii="Calibri" w:hAnsi="Calibri" w:cs="Calibri"/>
        </w:rPr>
        <w:t xml:space="preserve"> the 7</w:t>
      </w:r>
      <w:r w:rsidR="006B02F3" w:rsidRPr="00470F9C">
        <w:rPr>
          <w:rFonts w:ascii="Calibri" w:hAnsi="Calibri" w:cs="Calibri"/>
          <w:vertAlign w:val="superscript"/>
        </w:rPr>
        <w:t>th</w:t>
      </w:r>
      <w:r w:rsidR="006B02F3">
        <w:rPr>
          <w:rFonts w:ascii="Calibri" w:hAnsi="Calibri" w:cs="Calibri"/>
        </w:rPr>
        <w:t xml:space="preserve"> World Symposium in Pulmonary Hypertension algorithm represents best practice for the treatment of PAH in Australia.</w:t>
      </w:r>
    </w:p>
    <w:p w14:paraId="5E5CFA40" w14:textId="45569F6F" w:rsidR="00720B0F" w:rsidRPr="000002A8" w:rsidRDefault="00D5794B" w:rsidP="002D0B56">
      <w:pPr>
        <w:pStyle w:val="ListParagraph"/>
        <w:numPr>
          <w:ilvl w:val="0"/>
          <w:numId w:val="12"/>
        </w:numPr>
        <w:jc w:val="both"/>
        <w:rPr>
          <w:rFonts w:ascii="Calibri" w:hAnsi="Calibri" w:cs="Calibri"/>
        </w:rPr>
      </w:pPr>
      <w:r w:rsidRPr="00A90870">
        <w:rPr>
          <w:rFonts w:ascii="Calibri" w:hAnsi="Calibri" w:cs="Calibri"/>
        </w:rPr>
        <w:t xml:space="preserve">Clinicians noted that WHO FC status is a useful assessment, </w:t>
      </w:r>
      <w:r w:rsidR="009B1FA3" w:rsidRPr="00A90870">
        <w:rPr>
          <w:rFonts w:ascii="Calibri" w:hAnsi="Calibri" w:cs="Calibri"/>
        </w:rPr>
        <w:t>but</w:t>
      </w:r>
      <w:r w:rsidRPr="00A90870">
        <w:rPr>
          <w:rFonts w:ascii="Calibri" w:hAnsi="Calibri" w:cs="Calibri"/>
        </w:rPr>
        <w:t xml:space="preserve"> WHO FC status</w:t>
      </w:r>
      <w:r w:rsidR="009B1FA3" w:rsidRPr="00A90870">
        <w:rPr>
          <w:rFonts w:ascii="Calibri" w:hAnsi="Calibri" w:cs="Calibri"/>
        </w:rPr>
        <w:t xml:space="preserve"> in isolation</w:t>
      </w:r>
      <w:r w:rsidRPr="00A90870">
        <w:rPr>
          <w:rFonts w:ascii="Calibri" w:hAnsi="Calibri" w:cs="Calibri"/>
        </w:rPr>
        <w:t xml:space="preserve"> is not relied upon </w:t>
      </w:r>
      <w:r w:rsidR="009B1FA3" w:rsidRPr="00A90870">
        <w:rPr>
          <w:rFonts w:ascii="Calibri" w:hAnsi="Calibri" w:cs="Calibri"/>
        </w:rPr>
        <w:t>for</w:t>
      </w:r>
      <w:r w:rsidRPr="00A90870">
        <w:rPr>
          <w:rFonts w:ascii="Calibri" w:hAnsi="Calibri" w:cs="Calibri"/>
        </w:rPr>
        <w:t xml:space="preserve"> initiat</w:t>
      </w:r>
      <w:r w:rsidR="009B1FA3" w:rsidRPr="00A90870">
        <w:rPr>
          <w:rFonts w:ascii="Calibri" w:hAnsi="Calibri" w:cs="Calibri"/>
        </w:rPr>
        <w:t>ing</w:t>
      </w:r>
      <w:r w:rsidRPr="00A90870">
        <w:rPr>
          <w:rFonts w:ascii="Calibri" w:hAnsi="Calibri" w:cs="Calibri"/>
        </w:rPr>
        <w:t xml:space="preserve"> or escalat</w:t>
      </w:r>
      <w:r w:rsidR="009B1FA3" w:rsidRPr="00A90870">
        <w:rPr>
          <w:rFonts w:ascii="Calibri" w:hAnsi="Calibri" w:cs="Calibri"/>
        </w:rPr>
        <w:t>ing</w:t>
      </w:r>
      <w:r w:rsidRPr="00A90870">
        <w:rPr>
          <w:rFonts w:ascii="Calibri" w:hAnsi="Calibri" w:cs="Calibri"/>
        </w:rPr>
        <w:t xml:space="preserve"> therapy</w:t>
      </w:r>
      <w:r w:rsidRPr="00025FF9">
        <w:rPr>
          <w:rFonts w:ascii="Calibri" w:hAnsi="Calibri" w:cs="Calibri"/>
        </w:rPr>
        <w:t xml:space="preserve">. </w:t>
      </w:r>
      <w:r w:rsidR="00AF4679" w:rsidRPr="00025FF9">
        <w:rPr>
          <w:rFonts w:ascii="Calibri" w:hAnsi="Calibri" w:cs="Calibri"/>
        </w:rPr>
        <w:t>D</w:t>
      </w:r>
      <w:r w:rsidR="00417498" w:rsidRPr="00025FF9">
        <w:rPr>
          <w:rFonts w:ascii="Calibri" w:hAnsi="Calibri" w:cs="Calibri"/>
        </w:rPr>
        <w:t xml:space="preserve">isease severity and prognosis </w:t>
      </w:r>
      <w:r w:rsidR="00AF4679" w:rsidRPr="00025FF9">
        <w:rPr>
          <w:rFonts w:ascii="Calibri" w:hAnsi="Calibri" w:cs="Calibri"/>
        </w:rPr>
        <w:t xml:space="preserve">varies </w:t>
      </w:r>
      <w:r w:rsidR="00417498" w:rsidRPr="00025FF9">
        <w:rPr>
          <w:rFonts w:ascii="Calibri" w:hAnsi="Calibri" w:cs="Calibri"/>
        </w:rPr>
        <w:t xml:space="preserve">due to individual or genetic factors that influence </w:t>
      </w:r>
      <w:r w:rsidR="00850BE8" w:rsidRPr="00025FF9">
        <w:rPr>
          <w:rFonts w:ascii="Calibri" w:hAnsi="Calibri" w:cs="Calibri"/>
        </w:rPr>
        <w:t xml:space="preserve">patient </w:t>
      </w:r>
      <w:r w:rsidR="00417498" w:rsidRPr="00025FF9">
        <w:rPr>
          <w:rFonts w:ascii="Calibri" w:hAnsi="Calibri" w:cs="Calibri"/>
        </w:rPr>
        <w:t>outcome</w:t>
      </w:r>
      <w:r w:rsidR="00850BE8" w:rsidRPr="00025FF9">
        <w:rPr>
          <w:rFonts w:ascii="Calibri" w:hAnsi="Calibri" w:cs="Calibri"/>
        </w:rPr>
        <w:t>s</w:t>
      </w:r>
      <w:r w:rsidR="00417498" w:rsidRPr="00025FF9">
        <w:rPr>
          <w:rFonts w:ascii="Calibri" w:hAnsi="Calibri" w:cs="Calibri"/>
        </w:rPr>
        <w:t>.</w:t>
      </w:r>
      <w:r w:rsidR="00A90870" w:rsidRPr="00025FF9">
        <w:rPr>
          <w:rFonts w:ascii="Calibri" w:hAnsi="Calibri" w:cs="Calibri"/>
        </w:rPr>
        <w:t xml:space="preserve"> </w:t>
      </w:r>
      <w:r w:rsidRPr="00025FF9">
        <w:rPr>
          <w:rFonts w:ascii="Calibri" w:hAnsi="Calibri" w:cs="Calibri"/>
        </w:rPr>
        <w:t xml:space="preserve">WHO FC status </w:t>
      </w:r>
      <w:r w:rsidR="00A90870" w:rsidRPr="00025FF9">
        <w:rPr>
          <w:rFonts w:ascii="Calibri" w:hAnsi="Calibri" w:cs="Calibri"/>
        </w:rPr>
        <w:t xml:space="preserve">also </w:t>
      </w:r>
      <w:r w:rsidRPr="00025FF9">
        <w:rPr>
          <w:rFonts w:ascii="Calibri" w:hAnsi="Calibri" w:cs="Calibri"/>
        </w:rPr>
        <w:t>carries a bias towards older patients in terms of truly describing the patient’s health status</w:t>
      </w:r>
      <w:r w:rsidR="002810F4" w:rsidRPr="00025FF9">
        <w:rPr>
          <w:rFonts w:ascii="Calibri" w:hAnsi="Calibri" w:cs="Calibri"/>
        </w:rPr>
        <w:t>,</w:t>
      </w:r>
      <w:r w:rsidR="002810F4">
        <w:rPr>
          <w:rFonts w:ascii="Calibri" w:hAnsi="Calibri" w:cs="Calibri"/>
        </w:rPr>
        <w:t xml:space="preserve"> as younger patients</w:t>
      </w:r>
      <w:r w:rsidR="00275648">
        <w:rPr>
          <w:rFonts w:ascii="Calibri" w:hAnsi="Calibri" w:cs="Calibri"/>
        </w:rPr>
        <w:t xml:space="preserve"> </w:t>
      </w:r>
      <w:r w:rsidR="00850BE8">
        <w:rPr>
          <w:rFonts w:ascii="Calibri" w:hAnsi="Calibri" w:cs="Calibri"/>
        </w:rPr>
        <w:t xml:space="preserve">may be </w:t>
      </w:r>
      <w:r w:rsidR="00275648">
        <w:rPr>
          <w:rFonts w:ascii="Calibri" w:hAnsi="Calibri" w:cs="Calibri"/>
        </w:rPr>
        <w:t xml:space="preserve">able to preserve </w:t>
      </w:r>
      <w:r w:rsidR="0011288A">
        <w:rPr>
          <w:rFonts w:ascii="Calibri" w:hAnsi="Calibri" w:cs="Calibri"/>
        </w:rPr>
        <w:t xml:space="preserve">functional class whilst </w:t>
      </w:r>
      <w:r w:rsidR="00B02927">
        <w:rPr>
          <w:rFonts w:ascii="Calibri" w:hAnsi="Calibri" w:cs="Calibri"/>
        </w:rPr>
        <w:t xml:space="preserve">simultaneously being at </w:t>
      </w:r>
      <w:r w:rsidR="002A513B">
        <w:rPr>
          <w:rFonts w:ascii="Calibri" w:hAnsi="Calibri" w:cs="Calibri"/>
        </w:rPr>
        <w:t>higher risk</w:t>
      </w:r>
      <w:r w:rsidR="00154D2A">
        <w:rPr>
          <w:rFonts w:ascii="Calibri" w:hAnsi="Calibri" w:cs="Calibri"/>
        </w:rPr>
        <w:t xml:space="preserve"> of mortality</w:t>
      </w:r>
      <w:r w:rsidRPr="00A90870">
        <w:rPr>
          <w:rFonts w:ascii="Calibri" w:hAnsi="Calibri" w:cs="Calibri"/>
        </w:rPr>
        <w:t xml:space="preserve">. </w:t>
      </w:r>
      <w:r w:rsidR="001A7349">
        <w:rPr>
          <w:rFonts w:ascii="Calibri" w:hAnsi="Calibri" w:cs="Calibri"/>
        </w:rPr>
        <w:t>A</w:t>
      </w:r>
      <w:r w:rsidRPr="00A90870">
        <w:rPr>
          <w:rFonts w:ascii="Calibri" w:hAnsi="Calibri" w:cs="Calibri"/>
        </w:rPr>
        <w:t xml:space="preserve"> younger patient with WHO FC II </w:t>
      </w:r>
      <w:r w:rsidR="00BD527F">
        <w:rPr>
          <w:rFonts w:ascii="Calibri" w:hAnsi="Calibri" w:cs="Calibri"/>
        </w:rPr>
        <w:t xml:space="preserve">status </w:t>
      </w:r>
      <w:r w:rsidRPr="00A90870">
        <w:rPr>
          <w:rFonts w:ascii="Calibri" w:hAnsi="Calibri" w:cs="Calibri"/>
        </w:rPr>
        <w:t xml:space="preserve">may in practice be in greater need of intensive pharmacotherapy compared to an older patient </w:t>
      </w:r>
      <w:r w:rsidR="00C66A3B">
        <w:rPr>
          <w:rFonts w:ascii="Calibri" w:hAnsi="Calibri" w:cs="Calibri"/>
        </w:rPr>
        <w:t xml:space="preserve">with </w:t>
      </w:r>
      <w:r w:rsidRPr="00A90870">
        <w:rPr>
          <w:rFonts w:ascii="Calibri" w:hAnsi="Calibri" w:cs="Calibri"/>
        </w:rPr>
        <w:t xml:space="preserve">the same </w:t>
      </w:r>
      <w:r w:rsidR="00BD527F">
        <w:rPr>
          <w:rFonts w:ascii="Calibri" w:hAnsi="Calibri" w:cs="Calibri"/>
        </w:rPr>
        <w:t xml:space="preserve">WHO </w:t>
      </w:r>
      <w:r w:rsidRPr="00A90870">
        <w:rPr>
          <w:rFonts w:ascii="Calibri" w:hAnsi="Calibri" w:cs="Calibri"/>
        </w:rPr>
        <w:t>FC</w:t>
      </w:r>
      <w:r w:rsidR="00C66A3B">
        <w:rPr>
          <w:rFonts w:ascii="Calibri" w:hAnsi="Calibri" w:cs="Calibri"/>
        </w:rPr>
        <w:t xml:space="preserve"> </w:t>
      </w:r>
      <w:r w:rsidR="00BD527F">
        <w:rPr>
          <w:rFonts w:ascii="Calibri" w:hAnsi="Calibri" w:cs="Calibri"/>
        </w:rPr>
        <w:t>status</w:t>
      </w:r>
      <w:r w:rsidRPr="00A90870">
        <w:rPr>
          <w:rFonts w:ascii="Calibri" w:hAnsi="Calibri" w:cs="Calibri"/>
        </w:rPr>
        <w:t>.</w:t>
      </w:r>
    </w:p>
    <w:p w14:paraId="1A1EFD19" w14:textId="592D0D54" w:rsidR="00D5794B" w:rsidRDefault="00720B0F" w:rsidP="002D0B56">
      <w:pPr>
        <w:pStyle w:val="ListParagraph"/>
        <w:numPr>
          <w:ilvl w:val="0"/>
          <w:numId w:val="12"/>
        </w:numPr>
        <w:jc w:val="both"/>
        <w:rPr>
          <w:rFonts w:ascii="Calibri" w:hAnsi="Calibri" w:cs="Calibri"/>
        </w:rPr>
      </w:pPr>
      <w:r>
        <w:rPr>
          <w:rFonts w:ascii="Calibri" w:hAnsi="Calibri" w:cs="Calibri"/>
        </w:rPr>
        <w:t xml:space="preserve">In practice, treating </w:t>
      </w:r>
      <w:r w:rsidRPr="000002A8">
        <w:rPr>
          <w:rFonts w:ascii="Calibri" w:hAnsi="Calibri" w:cs="Calibri"/>
        </w:rPr>
        <w:t xml:space="preserve">physicians </w:t>
      </w:r>
      <w:r w:rsidR="0025184A" w:rsidRPr="000002A8">
        <w:rPr>
          <w:rFonts w:ascii="Calibri" w:hAnsi="Calibri" w:cs="Calibri"/>
        </w:rPr>
        <w:t xml:space="preserve">form an overall clinical </w:t>
      </w:r>
      <w:r w:rsidR="00C94845">
        <w:rPr>
          <w:rFonts w:ascii="Calibri" w:hAnsi="Calibri" w:cs="Calibri"/>
        </w:rPr>
        <w:t xml:space="preserve">risk </w:t>
      </w:r>
      <w:r w:rsidR="0025184A" w:rsidRPr="000002A8">
        <w:rPr>
          <w:rFonts w:ascii="Calibri" w:hAnsi="Calibri" w:cs="Calibri"/>
        </w:rPr>
        <w:t>assessment</w:t>
      </w:r>
      <w:r w:rsidR="00D5794B" w:rsidRPr="000002A8">
        <w:rPr>
          <w:rFonts w:ascii="Calibri" w:hAnsi="Calibri" w:cs="Calibri"/>
        </w:rPr>
        <w:t xml:space="preserve"> </w:t>
      </w:r>
      <w:r w:rsidR="00C66A3B">
        <w:rPr>
          <w:rFonts w:ascii="Calibri" w:hAnsi="Calibri" w:cs="Calibri"/>
        </w:rPr>
        <w:t xml:space="preserve">of a patient </w:t>
      </w:r>
      <w:r w:rsidR="0025184A" w:rsidRPr="000002A8">
        <w:rPr>
          <w:rFonts w:ascii="Calibri" w:hAnsi="Calibri" w:cs="Calibri"/>
        </w:rPr>
        <w:t>through stratifying r</w:t>
      </w:r>
      <w:r w:rsidR="00D5794B" w:rsidRPr="000002A8">
        <w:rPr>
          <w:rFonts w:ascii="Calibri" w:hAnsi="Calibri" w:cs="Calibri"/>
        </w:rPr>
        <w:t xml:space="preserve">isk via clinical markers, investigative tests, parameters </w:t>
      </w:r>
      <w:r w:rsidR="00377BC4" w:rsidRPr="000002A8">
        <w:rPr>
          <w:rFonts w:ascii="Calibri" w:hAnsi="Calibri" w:cs="Calibri"/>
        </w:rPr>
        <w:t xml:space="preserve">and </w:t>
      </w:r>
      <w:r w:rsidR="00D5794B" w:rsidRPr="000002A8">
        <w:rPr>
          <w:rFonts w:ascii="Calibri" w:hAnsi="Calibri" w:cs="Calibri"/>
        </w:rPr>
        <w:t>clinical observation.</w:t>
      </w:r>
    </w:p>
    <w:p w14:paraId="4E4C0643" w14:textId="0EDA9C5F" w:rsidR="00C94845" w:rsidRPr="000002A8" w:rsidRDefault="00C94845" w:rsidP="002D0B56">
      <w:pPr>
        <w:pStyle w:val="ListParagraph"/>
        <w:numPr>
          <w:ilvl w:val="0"/>
          <w:numId w:val="12"/>
        </w:numPr>
        <w:jc w:val="both"/>
        <w:rPr>
          <w:rFonts w:ascii="Calibri" w:hAnsi="Calibri" w:cs="Calibri"/>
        </w:rPr>
      </w:pPr>
      <w:r>
        <w:rPr>
          <w:rFonts w:ascii="Calibri" w:hAnsi="Calibri" w:cs="Calibri"/>
        </w:rPr>
        <w:t>Clinicians agreed that the emphasis with treatment is to attain and maintain a low</w:t>
      </w:r>
      <w:r w:rsidR="00454F59">
        <w:rPr>
          <w:rFonts w:ascii="Calibri" w:hAnsi="Calibri" w:cs="Calibri"/>
        </w:rPr>
        <w:t>-</w:t>
      </w:r>
      <w:r>
        <w:rPr>
          <w:rFonts w:ascii="Calibri" w:hAnsi="Calibri" w:cs="Calibri"/>
        </w:rPr>
        <w:t>risk status.</w:t>
      </w:r>
    </w:p>
    <w:p w14:paraId="56D2CC35" w14:textId="76AE2B44" w:rsidR="00232CDD" w:rsidRDefault="0069518D" w:rsidP="000E7A93">
      <w:pPr>
        <w:pStyle w:val="ListParagraph"/>
        <w:numPr>
          <w:ilvl w:val="0"/>
          <w:numId w:val="12"/>
        </w:numPr>
        <w:jc w:val="both"/>
        <w:rPr>
          <w:rFonts w:ascii="Calibri" w:hAnsi="Calibri" w:cs="Calibri"/>
        </w:rPr>
      </w:pPr>
      <w:r>
        <w:rPr>
          <w:rFonts w:ascii="Calibri" w:hAnsi="Calibri" w:cs="Calibri"/>
        </w:rPr>
        <w:t>Treatment g</w:t>
      </w:r>
      <w:r w:rsidR="00232CDD" w:rsidRPr="00232CDD">
        <w:rPr>
          <w:rFonts w:ascii="Calibri" w:hAnsi="Calibri" w:cs="Calibri"/>
        </w:rPr>
        <w:t xml:space="preserve">uidelines recommend dual therapy for </w:t>
      </w:r>
      <w:r w:rsidR="00EC09B5">
        <w:rPr>
          <w:rFonts w:ascii="Calibri" w:hAnsi="Calibri" w:cs="Calibri"/>
        </w:rPr>
        <w:t xml:space="preserve">all newly diagnosed </w:t>
      </w:r>
      <w:r w:rsidR="00232CDD" w:rsidRPr="00232CDD">
        <w:rPr>
          <w:rFonts w:ascii="Calibri" w:hAnsi="Calibri" w:cs="Calibri"/>
        </w:rPr>
        <w:t xml:space="preserve">patients </w:t>
      </w:r>
      <w:r w:rsidR="00C403BE">
        <w:rPr>
          <w:rFonts w:ascii="Calibri" w:hAnsi="Calibri" w:cs="Calibri"/>
        </w:rPr>
        <w:t>classified as “not high risk”</w:t>
      </w:r>
      <w:r w:rsidR="00743F32">
        <w:rPr>
          <w:rFonts w:ascii="Calibri" w:hAnsi="Calibri" w:cs="Calibri"/>
        </w:rPr>
        <w:t xml:space="preserve"> (</w:t>
      </w:r>
      <w:r w:rsidR="008C3C00">
        <w:rPr>
          <w:rFonts w:ascii="Calibri" w:hAnsi="Calibri" w:cs="Calibri"/>
        </w:rPr>
        <w:t xml:space="preserve">defined as </w:t>
      </w:r>
      <w:r w:rsidR="002B7BF7">
        <w:rPr>
          <w:rFonts w:ascii="Calibri" w:hAnsi="Calibri" w:cs="Calibri"/>
        </w:rPr>
        <w:t>less than</w:t>
      </w:r>
      <w:r w:rsidR="0049217E">
        <w:rPr>
          <w:rFonts w:ascii="Calibri" w:hAnsi="Calibri" w:cs="Calibri"/>
        </w:rPr>
        <w:t xml:space="preserve"> </w:t>
      </w:r>
      <w:r w:rsidR="00743F32">
        <w:rPr>
          <w:rFonts w:ascii="Calibri" w:hAnsi="Calibri" w:cs="Calibri"/>
        </w:rPr>
        <w:t>20</w:t>
      </w:r>
      <w:r w:rsidR="00C97485">
        <w:rPr>
          <w:rFonts w:ascii="Calibri" w:hAnsi="Calibri" w:cs="Calibri"/>
        </w:rPr>
        <w:t xml:space="preserve"> percent </w:t>
      </w:r>
      <w:r w:rsidR="00743F32">
        <w:rPr>
          <w:rFonts w:ascii="Calibri" w:hAnsi="Calibri" w:cs="Calibri"/>
        </w:rPr>
        <w:t>risk of 1 year mortality,</w:t>
      </w:r>
      <w:r w:rsidR="00C403BE">
        <w:rPr>
          <w:rFonts w:ascii="Calibri" w:hAnsi="Calibri" w:cs="Calibri"/>
        </w:rPr>
        <w:t xml:space="preserve"> usually</w:t>
      </w:r>
      <w:r w:rsidR="008C3C00">
        <w:rPr>
          <w:rFonts w:ascii="Calibri" w:hAnsi="Calibri" w:cs="Calibri"/>
        </w:rPr>
        <w:t xml:space="preserve"> in</w:t>
      </w:r>
      <w:r w:rsidR="00743F32">
        <w:rPr>
          <w:rFonts w:ascii="Calibri" w:hAnsi="Calibri" w:cs="Calibri"/>
        </w:rPr>
        <w:t xml:space="preserve"> patients with</w:t>
      </w:r>
      <w:r w:rsidR="008F2B5F">
        <w:rPr>
          <w:rFonts w:ascii="Calibri" w:hAnsi="Calibri" w:cs="Calibri"/>
        </w:rPr>
        <w:t xml:space="preserve"> PAH and</w:t>
      </w:r>
      <w:r w:rsidR="00C403BE">
        <w:rPr>
          <w:rFonts w:ascii="Calibri" w:hAnsi="Calibri" w:cs="Calibri"/>
        </w:rPr>
        <w:t xml:space="preserve"> </w:t>
      </w:r>
      <w:r w:rsidR="00EC09B5">
        <w:rPr>
          <w:rFonts w:ascii="Calibri" w:hAnsi="Calibri" w:cs="Calibri"/>
        </w:rPr>
        <w:t>WHO FC I</w:t>
      </w:r>
      <w:r w:rsidR="00C94845">
        <w:rPr>
          <w:rFonts w:ascii="Calibri" w:hAnsi="Calibri" w:cs="Calibri"/>
        </w:rPr>
        <w:t xml:space="preserve"> </w:t>
      </w:r>
      <w:r w:rsidR="00F31551">
        <w:rPr>
          <w:rFonts w:ascii="Calibri" w:hAnsi="Calibri" w:cs="Calibri"/>
        </w:rPr>
        <w:t>to</w:t>
      </w:r>
      <w:r w:rsidR="00C94845">
        <w:rPr>
          <w:rFonts w:ascii="Calibri" w:hAnsi="Calibri" w:cs="Calibri"/>
        </w:rPr>
        <w:t xml:space="preserve"> </w:t>
      </w:r>
      <w:r w:rsidR="00EC09B5">
        <w:rPr>
          <w:rFonts w:ascii="Calibri" w:hAnsi="Calibri" w:cs="Calibri"/>
        </w:rPr>
        <w:t>I</w:t>
      </w:r>
      <w:r w:rsidR="0019745F">
        <w:rPr>
          <w:rFonts w:ascii="Calibri" w:hAnsi="Calibri" w:cs="Calibri"/>
        </w:rPr>
        <w:t>I</w:t>
      </w:r>
      <w:r w:rsidR="00EC09B5">
        <w:rPr>
          <w:rFonts w:ascii="Calibri" w:hAnsi="Calibri" w:cs="Calibri"/>
        </w:rPr>
        <w:t>I</w:t>
      </w:r>
      <w:r w:rsidR="00567FE8">
        <w:rPr>
          <w:rFonts w:ascii="Calibri" w:hAnsi="Calibri" w:cs="Calibri"/>
        </w:rPr>
        <w:t xml:space="preserve"> </w:t>
      </w:r>
      <w:r w:rsidR="008F2B5F">
        <w:rPr>
          <w:rFonts w:ascii="Calibri" w:hAnsi="Calibri" w:cs="Calibri"/>
        </w:rPr>
        <w:t>s</w:t>
      </w:r>
      <w:r w:rsidR="002B7BF7">
        <w:rPr>
          <w:rFonts w:ascii="Calibri" w:hAnsi="Calibri" w:cs="Calibri"/>
        </w:rPr>
        <w:t>tatus</w:t>
      </w:r>
      <w:r w:rsidR="00C94845">
        <w:rPr>
          <w:rFonts w:ascii="Calibri" w:hAnsi="Calibri" w:cs="Calibri"/>
        </w:rPr>
        <w:t>)</w:t>
      </w:r>
      <w:r w:rsidR="00D10C94">
        <w:rPr>
          <w:rFonts w:ascii="Calibri" w:hAnsi="Calibri" w:cs="Calibri"/>
        </w:rPr>
        <w:t xml:space="preserve"> </w:t>
      </w:r>
      <w:r w:rsidR="00D10C94" w:rsidRPr="000579B7">
        <w:rPr>
          <w:rFonts w:ascii="Calibri" w:hAnsi="Calibri" w:cs="Calibri"/>
        </w:rPr>
        <w:t>and</w:t>
      </w:r>
      <w:r w:rsidR="00E23AD7" w:rsidRPr="000579B7">
        <w:rPr>
          <w:rFonts w:ascii="Calibri" w:hAnsi="Calibri" w:cs="Calibri"/>
        </w:rPr>
        <w:t xml:space="preserve"> therapy is modified or escalated with</w:t>
      </w:r>
      <w:r w:rsidR="00D10C94" w:rsidRPr="000579B7">
        <w:rPr>
          <w:rFonts w:ascii="Calibri" w:hAnsi="Calibri" w:cs="Calibri"/>
        </w:rPr>
        <w:t xml:space="preserve"> the goal </w:t>
      </w:r>
      <w:r w:rsidR="00E23AD7" w:rsidRPr="000579B7">
        <w:rPr>
          <w:rFonts w:ascii="Calibri" w:hAnsi="Calibri" w:cs="Calibri"/>
        </w:rPr>
        <w:t>of</w:t>
      </w:r>
      <w:r w:rsidR="00D10C94" w:rsidRPr="000579B7">
        <w:rPr>
          <w:rFonts w:ascii="Calibri" w:hAnsi="Calibri" w:cs="Calibri"/>
        </w:rPr>
        <w:t xml:space="preserve"> achiev</w:t>
      </w:r>
      <w:r w:rsidR="00E23AD7" w:rsidRPr="000579B7">
        <w:rPr>
          <w:rFonts w:ascii="Calibri" w:hAnsi="Calibri" w:cs="Calibri"/>
        </w:rPr>
        <w:t>ing</w:t>
      </w:r>
      <w:r w:rsidR="00D10C94" w:rsidRPr="000579B7">
        <w:rPr>
          <w:rFonts w:ascii="Calibri" w:hAnsi="Calibri" w:cs="Calibri"/>
        </w:rPr>
        <w:t xml:space="preserve"> a “</w:t>
      </w:r>
      <w:proofErr w:type="gramStart"/>
      <w:r w:rsidR="00D10C94" w:rsidRPr="000579B7">
        <w:rPr>
          <w:rFonts w:ascii="Calibri" w:hAnsi="Calibri" w:cs="Calibri"/>
        </w:rPr>
        <w:t>low</w:t>
      </w:r>
      <w:r w:rsidR="00CC4D0F">
        <w:rPr>
          <w:rFonts w:ascii="Calibri" w:hAnsi="Calibri" w:cs="Calibri"/>
        </w:rPr>
        <w:t>-</w:t>
      </w:r>
      <w:r w:rsidR="00D10C94" w:rsidRPr="000579B7">
        <w:rPr>
          <w:rFonts w:ascii="Calibri" w:hAnsi="Calibri" w:cs="Calibri"/>
        </w:rPr>
        <w:t>risk</w:t>
      </w:r>
      <w:proofErr w:type="gramEnd"/>
      <w:r w:rsidR="00D10C94" w:rsidRPr="000579B7">
        <w:rPr>
          <w:rFonts w:ascii="Calibri" w:hAnsi="Calibri" w:cs="Calibri"/>
        </w:rPr>
        <w:t>” status.</w:t>
      </w:r>
      <w:r w:rsidR="00232CDD" w:rsidRPr="000579B7">
        <w:rPr>
          <w:rFonts w:ascii="Calibri" w:hAnsi="Calibri" w:cs="Calibri"/>
        </w:rPr>
        <w:t xml:space="preserve"> </w:t>
      </w:r>
      <w:r w:rsidR="00A96D74" w:rsidRPr="000579B7">
        <w:rPr>
          <w:rFonts w:ascii="Calibri" w:hAnsi="Calibri" w:cs="Calibri"/>
        </w:rPr>
        <w:t>How</w:t>
      </w:r>
      <w:r w:rsidR="00A96D74">
        <w:rPr>
          <w:rFonts w:ascii="Calibri" w:hAnsi="Calibri" w:cs="Calibri"/>
        </w:rPr>
        <w:t>ever</w:t>
      </w:r>
      <w:r w:rsidR="00D10C94">
        <w:rPr>
          <w:rFonts w:ascii="Calibri" w:hAnsi="Calibri" w:cs="Calibri"/>
        </w:rPr>
        <w:t xml:space="preserve">, </w:t>
      </w:r>
      <w:r w:rsidR="00232CDD" w:rsidRPr="00232CDD">
        <w:rPr>
          <w:rFonts w:ascii="Calibri" w:hAnsi="Calibri" w:cs="Calibri"/>
        </w:rPr>
        <w:t xml:space="preserve">the PBS currently </w:t>
      </w:r>
      <w:r w:rsidR="00DD1822">
        <w:rPr>
          <w:rFonts w:ascii="Calibri" w:hAnsi="Calibri" w:cs="Calibri"/>
        </w:rPr>
        <w:t>only allows dual therapy for patients with WHO FC III-IV</w:t>
      </w:r>
      <w:r w:rsidR="00634F9B">
        <w:rPr>
          <w:rFonts w:ascii="Calibri" w:hAnsi="Calibri" w:cs="Calibri"/>
        </w:rPr>
        <w:t xml:space="preserve"> </w:t>
      </w:r>
      <w:r w:rsidR="00DA5893">
        <w:rPr>
          <w:rFonts w:ascii="Calibri" w:hAnsi="Calibri" w:cs="Calibri"/>
        </w:rPr>
        <w:t>status</w:t>
      </w:r>
      <w:r w:rsidR="00DD1822">
        <w:rPr>
          <w:rFonts w:ascii="Calibri" w:hAnsi="Calibri" w:cs="Calibri"/>
        </w:rPr>
        <w:t>.</w:t>
      </w:r>
      <w:r w:rsidR="000E7A93">
        <w:rPr>
          <w:rFonts w:ascii="Calibri" w:hAnsi="Calibri" w:cs="Calibri"/>
        </w:rPr>
        <w:t xml:space="preserve"> Patients newly diagnosed with</w:t>
      </w:r>
      <w:r w:rsidR="00232CDD" w:rsidRPr="000E7A93">
        <w:rPr>
          <w:rFonts w:ascii="Calibri" w:hAnsi="Calibri" w:cs="Calibri"/>
        </w:rPr>
        <w:t xml:space="preserve"> FC II </w:t>
      </w:r>
      <w:r w:rsidR="00DA5893">
        <w:rPr>
          <w:rFonts w:ascii="Calibri" w:hAnsi="Calibri" w:cs="Calibri"/>
        </w:rPr>
        <w:t xml:space="preserve">status </w:t>
      </w:r>
      <w:r w:rsidR="000E7A93">
        <w:rPr>
          <w:rFonts w:ascii="Calibri" w:hAnsi="Calibri" w:cs="Calibri"/>
        </w:rPr>
        <w:t xml:space="preserve">may </w:t>
      </w:r>
      <w:r w:rsidR="001232B9">
        <w:rPr>
          <w:rFonts w:ascii="Calibri" w:hAnsi="Calibri" w:cs="Calibri"/>
        </w:rPr>
        <w:t xml:space="preserve">only </w:t>
      </w:r>
      <w:r w:rsidR="000E7A93">
        <w:rPr>
          <w:rFonts w:ascii="Calibri" w:hAnsi="Calibri" w:cs="Calibri"/>
        </w:rPr>
        <w:t>access PBS-subsidised</w:t>
      </w:r>
      <w:r w:rsidR="00232CDD" w:rsidRPr="000E7A93">
        <w:rPr>
          <w:rFonts w:ascii="Calibri" w:hAnsi="Calibri" w:cs="Calibri"/>
        </w:rPr>
        <w:t xml:space="preserve"> monotherapy (</w:t>
      </w:r>
      <w:r w:rsidR="000E7A93">
        <w:rPr>
          <w:rFonts w:ascii="Calibri" w:hAnsi="Calibri" w:cs="Calibri"/>
        </w:rPr>
        <w:t xml:space="preserve">with </w:t>
      </w:r>
      <w:r w:rsidR="00AD5148" w:rsidRPr="00F96238">
        <w:rPr>
          <w:rFonts w:ascii="Calibri" w:hAnsi="Calibri" w:cs="Calibri"/>
        </w:rPr>
        <w:t xml:space="preserve">an endothelin receptor antagonist (ERA) </w:t>
      </w:r>
      <w:r w:rsidR="00AD5148">
        <w:rPr>
          <w:rFonts w:ascii="Calibri" w:hAnsi="Calibri" w:cs="Calibri"/>
        </w:rPr>
        <w:t>or</w:t>
      </w:r>
      <w:r w:rsidR="00AD5148" w:rsidRPr="00F96238">
        <w:rPr>
          <w:rFonts w:ascii="Calibri" w:hAnsi="Calibri" w:cs="Calibri"/>
        </w:rPr>
        <w:t xml:space="preserve"> a phosphodiesterase type 5 inhibitor (PDE-5i)</w:t>
      </w:r>
      <w:r w:rsidR="00232CDD" w:rsidRPr="000E7A93">
        <w:rPr>
          <w:rFonts w:ascii="Calibri" w:hAnsi="Calibri" w:cs="Calibri"/>
        </w:rPr>
        <w:t>,</w:t>
      </w:r>
      <w:r w:rsidR="006E25BE">
        <w:rPr>
          <w:rFonts w:ascii="Calibri" w:hAnsi="Calibri" w:cs="Calibri"/>
        </w:rPr>
        <w:t xml:space="preserve"> and patients </w:t>
      </w:r>
      <w:r w:rsidR="000937BF">
        <w:rPr>
          <w:rFonts w:ascii="Calibri" w:hAnsi="Calibri" w:cs="Calibri"/>
        </w:rPr>
        <w:t xml:space="preserve">with FC I </w:t>
      </w:r>
      <w:r w:rsidR="0091368D">
        <w:rPr>
          <w:rFonts w:ascii="Calibri" w:hAnsi="Calibri" w:cs="Calibri"/>
        </w:rPr>
        <w:t>s</w:t>
      </w:r>
      <w:r w:rsidR="00DA5893">
        <w:rPr>
          <w:rFonts w:ascii="Calibri" w:hAnsi="Calibri" w:cs="Calibri"/>
        </w:rPr>
        <w:t>tatus</w:t>
      </w:r>
      <w:r w:rsidR="0091368D">
        <w:rPr>
          <w:rFonts w:ascii="Calibri" w:hAnsi="Calibri" w:cs="Calibri"/>
        </w:rPr>
        <w:t xml:space="preserve"> </w:t>
      </w:r>
      <w:r w:rsidR="000937BF">
        <w:rPr>
          <w:rFonts w:ascii="Calibri" w:hAnsi="Calibri" w:cs="Calibri"/>
        </w:rPr>
        <w:t>cannot access PBS-subsidised therapy</w:t>
      </w:r>
      <w:r w:rsidR="00232CDD" w:rsidRPr="000E7A93">
        <w:rPr>
          <w:rFonts w:ascii="Calibri" w:hAnsi="Calibri" w:cs="Calibri"/>
        </w:rPr>
        <w:t xml:space="preserve">. </w:t>
      </w:r>
      <w:r w:rsidR="00897366" w:rsidRPr="00272EB1">
        <w:rPr>
          <w:rFonts w:ascii="Calibri" w:hAnsi="Calibri" w:cs="Calibri"/>
        </w:rPr>
        <w:t>Treatment guidelines recommend</w:t>
      </w:r>
      <w:r w:rsidR="00232CDD" w:rsidRPr="00272EB1">
        <w:rPr>
          <w:rFonts w:ascii="Calibri" w:hAnsi="Calibri" w:cs="Calibri"/>
        </w:rPr>
        <w:t xml:space="preserve"> </w:t>
      </w:r>
      <w:r w:rsidR="00897366" w:rsidRPr="00272EB1">
        <w:rPr>
          <w:rFonts w:ascii="Calibri" w:hAnsi="Calibri" w:cs="Calibri"/>
        </w:rPr>
        <w:t>that h</w:t>
      </w:r>
      <w:r w:rsidR="00167743" w:rsidRPr="00272EB1">
        <w:rPr>
          <w:rFonts w:ascii="Calibri" w:hAnsi="Calibri" w:cs="Calibri"/>
        </w:rPr>
        <w:t xml:space="preserve">igh risk patients (those </w:t>
      </w:r>
      <w:r w:rsidR="0001479C" w:rsidRPr="00272EB1">
        <w:rPr>
          <w:rFonts w:ascii="Calibri" w:hAnsi="Calibri" w:cs="Calibri"/>
        </w:rPr>
        <w:t xml:space="preserve">with a greater than 20% </w:t>
      </w:r>
      <w:r w:rsidR="008B7643" w:rsidRPr="00272EB1">
        <w:rPr>
          <w:rFonts w:ascii="Calibri" w:hAnsi="Calibri" w:cs="Calibri"/>
        </w:rPr>
        <w:t xml:space="preserve">risk of 1 year mortality) </w:t>
      </w:r>
      <w:r w:rsidR="00167743" w:rsidRPr="00272EB1">
        <w:rPr>
          <w:rFonts w:ascii="Calibri" w:hAnsi="Calibri" w:cs="Calibri"/>
        </w:rPr>
        <w:t xml:space="preserve">at initial presentation commence triple therapy and consider </w:t>
      </w:r>
      <w:r w:rsidR="00897366" w:rsidRPr="00272EB1">
        <w:rPr>
          <w:rFonts w:ascii="Calibri" w:hAnsi="Calibri" w:cs="Calibri"/>
        </w:rPr>
        <w:t xml:space="preserve">assessment for </w:t>
      </w:r>
      <w:r w:rsidR="00167743" w:rsidRPr="00272EB1">
        <w:rPr>
          <w:rFonts w:ascii="Calibri" w:hAnsi="Calibri" w:cs="Calibri"/>
        </w:rPr>
        <w:t>lung transplant</w:t>
      </w:r>
      <w:r w:rsidR="008B7643" w:rsidRPr="00272EB1">
        <w:rPr>
          <w:rFonts w:ascii="Calibri" w:hAnsi="Calibri" w:cs="Calibri"/>
        </w:rPr>
        <w:t>.</w:t>
      </w:r>
    </w:p>
    <w:p w14:paraId="7970804D" w14:textId="2240784D" w:rsidR="001C74A0" w:rsidRPr="000E7A93" w:rsidRDefault="00ED0AD5" w:rsidP="001C74A0">
      <w:pPr>
        <w:pStyle w:val="ListParagraph"/>
        <w:numPr>
          <w:ilvl w:val="0"/>
          <w:numId w:val="12"/>
        </w:numPr>
        <w:jc w:val="both"/>
        <w:rPr>
          <w:rFonts w:ascii="Calibri" w:hAnsi="Calibri" w:cs="Calibri"/>
        </w:rPr>
      </w:pPr>
      <w:r w:rsidRPr="00913BC9">
        <w:rPr>
          <w:rFonts w:ascii="Calibri" w:hAnsi="Calibri" w:cs="Calibri"/>
        </w:rPr>
        <w:t xml:space="preserve">Clinicians </w:t>
      </w:r>
      <w:r w:rsidR="005F0BA4" w:rsidRPr="00913BC9">
        <w:rPr>
          <w:rFonts w:ascii="Calibri" w:hAnsi="Calibri" w:cs="Calibri"/>
        </w:rPr>
        <w:t>agreed</w:t>
      </w:r>
      <w:r w:rsidRPr="00913BC9">
        <w:rPr>
          <w:rFonts w:ascii="Calibri" w:hAnsi="Calibri" w:cs="Calibri"/>
        </w:rPr>
        <w:t xml:space="preserve"> that all newly diagnosed patients</w:t>
      </w:r>
      <w:r w:rsidR="005A5A53" w:rsidRPr="00913BC9">
        <w:rPr>
          <w:rFonts w:ascii="Calibri" w:hAnsi="Calibri" w:cs="Calibri"/>
        </w:rPr>
        <w:t xml:space="preserve"> with PAH</w:t>
      </w:r>
      <w:r w:rsidRPr="00913BC9">
        <w:rPr>
          <w:rFonts w:ascii="Calibri" w:hAnsi="Calibri" w:cs="Calibri"/>
        </w:rPr>
        <w:t xml:space="preserve"> should have access to </w:t>
      </w:r>
      <w:r w:rsidR="004C162C" w:rsidRPr="00913BC9">
        <w:rPr>
          <w:rFonts w:ascii="Calibri" w:hAnsi="Calibri" w:cs="Calibri"/>
        </w:rPr>
        <w:t xml:space="preserve">at least </w:t>
      </w:r>
      <w:r w:rsidRPr="00913BC9">
        <w:rPr>
          <w:rFonts w:ascii="Calibri" w:hAnsi="Calibri" w:cs="Calibri"/>
        </w:rPr>
        <w:t xml:space="preserve">dual </w:t>
      </w:r>
      <w:r w:rsidR="005A5A53" w:rsidRPr="00913BC9">
        <w:rPr>
          <w:rFonts w:ascii="Calibri" w:hAnsi="Calibri" w:cs="Calibri"/>
        </w:rPr>
        <w:t>therapy (</w:t>
      </w:r>
      <w:r w:rsidRPr="00913BC9">
        <w:rPr>
          <w:rFonts w:ascii="Calibri" w:hAnsi="Calibri" w:cs="Calibri"/>
        </w:rPr>
        <w:t>ERA</w:t>
      </w:r>
      <w:r w:rsidR="005A5A53" w:rsidRPr="00913BC9">
        <w:rPr>
          <w:rFonts w:ascii="Calibri" w:hAnsi="Calibri" w:cs="Calibri"/>
        </w:rPr>
        <w:t xml:space="preserve"> in combination with </w:t>
      </w:r>
      <w:r w:rsidRPr="00913BC9">
        <w:rPr>
          <w:rFonts w:ascii="Calibri" w:hAnsi="Calibri" w:cs="Calibri"/>
        </w:rPr>
        <w:t>PDE</w:t>
      </w:r>
      <w:r w:rsidR="005A5A53" w:rsidRPr="00913BC9">
        <w:rPr>
          <w:rFonts w:ascii="Calibri" w:hAnsi="Calibri" w:cs="Calibri"/>
        </w:rPr>
        <w:t>-</w:t>
      </w:r>
      <w:r w:rsidRPr="00913BC9">
        <w:rPr>
          <w:rFonts w:ascii="Calibri" w:hAnsi="Calibri" w:cs="Calibri"/>
        </w:rPr>
        <w:t>5i</w:t>
      </w:r>
      <w:r w:rsidR="005A5A53" w:rsidRPr="00913BC9">
        <w:rPr>
          <w:rFonts w:ascii="Calibri" w:hAnsi="Calibri" w:cs="Calibri"/>
        </w:rPr>
        <w:t>)</w:t>
      </w:r>
      <w:r w:rsidR="005F0BA4" w:rsidRPr="00913BC9">
        <w:rPr>
          <w:rFonts w:ascii="Calibri" w:hAnsi="Calibri" w:cs="Calibri"/>
        </w:rPr>
        <w:t xml:space="preserve">, noting </w:t>
      </w:r>
      <w:r w:rsidRPr="00913BC9">
        <w:rPr>
          <w:rFonts w:ascii="Calibri" w:hAnsi="Calibri" w:cs="Calibri"/>
        </w:rPr>
        <w:t>the addition of</w:t>
      </w:r>
      <w:r w:rsidR="00AC7303" w:rsidRPr="00913BC9">
        <w:rPr>
          <w:rFonts w:ascii="Calibri" w:hAnsi="Calibri" w:cs="Calibri"/>
        </w:rPr>
        <w:t xml:space="preserve"> a</w:t>
      </w:r>
      <w:r w:rsidRPr="00913BC9">
        <w:rPr>
          <w:rFonts w:ascii="Calibri" w:hAnsi="Calibri" w:cs="Calibri"/>
        </w:rPr>
        <w:t xml:space="preserve"> PDE</w:t>
      </w:r>
      <w:r w:rsidR="00AC7303" w:rsidRPr="00913BC9">
        <w:rPr>
          <w:rFonts w:ascii="Calibri" w:hAnsi="Calibri" w:cs="Calibri"/>
        </w:rPr>
        <w:t>-</w:t>
      </w:r>
      <w:r w:rsidRPr="00913BC9">
        <w:rPr>
          <w:rFonts w:ascii="Calibri" w:hAnsi="Calibri" w:cs="Calibri"/>
        </w:rPr>
        <w:t xml:space="preserve">5i </w:t>
      </w:r>
      <w:r w:rsidR="00AC7303" w:rsidRPr="00913BC9">
        <w:rPr>
          <w:rFonts w:ascii="Calibri" w:hAnsi="Calibri" w:cs="Calibri"/>
        </w:rPr>
        <w:t>to a</w:t>
      </w:r>
      <w:r w:rsidR="00E9178E" w:rsidRPr="00913BC9">
        <w:rPr>
          <w:rFonts w:ascii="Calibri" w:hAnsi="Calibri" w:cs="Calibri"/>
        </w:rPr>
        <w:t>n</w:t>
      </w:r>
      <w:r w:rsidR="00AC7303" w:rsidRPr="00913BC9">
        <w:rPr>
          <w:rFonts w:ascii="Calibri" w:hAnsi="Calibri" w:cs="Calibri"/>
        </w:rPr>
        <w:t xml:space="preserve"> ERA </w:t>
      </w:r>
      <w:r w:rsidR="00E9178E" w:rsidRPr="00913BC9">
        <w:rPr>
          <w:rFonts w:ascii="Calibri" w:hAnsi="Calibri" w:cs="Calibri"/>
        </w:rPr>
        <w:lastRenderedPageBreak/>
        <w:t xml:space="preserve">often </w:t>
      </w:r>
      <w:r w:rsidRPr="00913BC9">
        <w:rPr>
          <w:rFonts w:ascii="Calibri" w:hAnsi="Calibri" w:cs="Calibri"/>
        </w:rPr>
        <w:t xml:space="preserve">adds </w:t>
      </w:r>
      <w:r w:rsidR="00AC7303" w:rsidRPr="00913BC9">
        <w:rPr>
          <w:rFonts w:ascii="Calibri" w:hAnsi="Calibri" w:cs="Calibri"/>
        </w:rPr>
        <w:t>significant</w:t>
      </w:r>
      <w:r w:rsidRPr="00913BC9">
        <w:rPr>
          <w:rFonts w:ascii="Calibri" w:hAnsi="Calibri" w:cs="Calibri"/>
        </w:rPr>
        <w:t xml:space="preserve"> </w:t>
      </w:r>
      <w:r w:rsidRPr="00D61164">
        <w:rPr>
          <w:rFonts w:ascii="Calibri" w:hAnsi="Calibri" w:cs="Calibri"/>
        </w:rPr>
        <w:t xml:space="preserve">improvement </w:t>
      </w:r>
      <w:r w:rsidR="00A940F1" w:rsidRPr="00D61164">
        <w:rPr>
          <w:rFonts w:ascii="Calibri" w:hAnsi="Calibri" w:cs="Calibri"/>
        </w:rPr>
        <w:t>with</w:t>
      </w:r>
      <w:r w:rsidRPr="00D61164">
        <w:rPr>
          <w:rFonts w:ascii="Calibri" w:hAnsi="Calibri" w:cs="Calibri"/>
        </w:rPr>
        <w:t xml:space="preserve"> </w:t>
      </w:r>
      <w:r w:rsidR="00DA2DF2" w:rsidRPr="00D61164">
        <w:rPr>
          <w:rFonts w:ascii="Calibri" w:hAnsi="Calibri" w:cs="Calibri"/>
        </w:rPr>
        <w:t>minimal</w:t>
      </w:r>
      <w:r w:rsidR="0003462D">
        <w:rPr>
          <w:rFonts w:ascii="Calibri" w:hAnsi="Calibri" w:cs="Calibri"/>
        </w:rPr>
        <w:t xml:space="preserve"> </w:t>
      </w:r>
      <w:r w:rsidRPr="00913BC9">
        <w:rPr>
          <w:rFonts w:ascii="Calibri" w:hAnsi="Calibri" w:cs="Calibri"/>
        </w:rPr>
        <w:t>adverse effects.</w:t>
      </w:r>
      <w:r w:rsidR="00DE3035" w:rsidRPr="00913BC9">
        <w:rPr>
          <w:rFonts w:ascii="Calibri" w:hAnsi="Calibri" w:cs="Calibri"/>
        </w:rPr>
        <w:t xml:space="preserve"> </w:t>
      </w:r>
      <w:r w:rsidR="001C74A0">
        <w:rPr>
          <w:rFonts w:ascii="Calibri" w:hAnsi="Calibri" w:cs="Calibri"/>
        </w:rPr>
        <w:t xml:space="preserve">Clinicians </w:t>
      </w:r>
      <w:r w:rsidR="00476E88">
        <w:rPr>
          <w:rFonts w:ascii="Calibri" w:hAnsi="Calibri" w:cs="Calibri"/>
        </w:rPr>
        <w:t xml:space="preserve">also </w:t>
      </w:r>
      <w:r w:rsidR="001C74A0">
        <w:rPr>
          <w:rFonts w:ascii="Calibri" w:hAnsi="Calibri" w:cs="Calibri"/>
        </w:rPr>
        <w:t>noted that some patients may benefit from switching the PDE</w:t>
      </w:r>
      <w:r w:rsidR="002F5074">
        <w:rPr>
          <w:rFonts w:ascii="Calibri" w:hAnsi="Calibri" w:cs="Calibri"/>
        </w:rPr>
        <w:t>-</w:t>
      </w:r>
      <w:r w:rsidR="001C74A0">
        <w:rPr>
          <w:rFonts w:ascii="Calibri" w:hAnsi="Calibri" w:cs="Calibri"/>
        </w:rPr>
        <w:t xml:space="preserve">5i to </w:t>
      </w:r>
      <w:proofErr w:type="spellStart"/>
      <w:r w:rsidR="001C74A0">
        <w:rPr>
          <w:rFonts w:ascii="Calibri" w:hAnsi="Calibri" w:cs="Calibri"/>
        </w:rPr>
        <w:t>riociguat</w:t>
      </w:r>
      <w:proofErr w:type="spellEnd"/>
      <w:r w:rsidR="001C74A0">
        <w:rPr>
          <w:rFonts w:ascii="Calibri" w:hAnsi="Calibri" w:cs="Calibri"/>
        </w:rPr>
        <w:t xml:space="preserve"> in combination with ERA. </w:t>
      </w:r>
    </w:p>
    <w:p w14:paraId="77E9B5BC" w14:textId="6BD4083E" w:rsidR="00AD3EE5" w:rsidRDefault="009D31A6" w:rsidP="00497BFE">
      <w:pPr>
        <w:pStyle w:val="ListParagraph"/>
        <w:numPr>
          <w:ilvl w:val="0"/>
          <w:numId w:val="12"/>
        </w:numPr>
        <w:jc w:val="both"/>
        <w:rPr>
          <w:rFonts w:ascii="Calibri" w:hAnsi="Calibri" w:cs="Calibri"/>
        </w:rPr>
      </w:pPr>
      <w:r>
        <w:rPr>
          <w:rFonts w:ascii="Calibri" w:hAnsi="Calibri" w:cs="Calibri"/>
        </w:rPr>
        <w:t>Clinicians</w:t>
      </w:r>
      <w:r w:rsidR="0030215C">
        <w:rPr>
          <w:rFonts w:ascii="Calibri" w:hAnsi="Calibri" w:cs="Calibri"/>
        </w:rPr>
        <w:t xml:space="preserve"> advised </w:t>
      </w:r>
      <w:r w:rsidR="00CA007B">
        <w:rPr>
          <w:rFonts w:ascii="Calibri" w:hAnsi="Calibri" w:cs="Calibri"/>
        </w:rPr>
        <w:t>that</w:t>
      </w:r>
      <w:r w:rsidR="0030215C">
        <w:rPr>
          <w:rFonts w:ascii="Calibri" w:hAnsi="Calibri" w:cs="Calibri"/>
        </w:rPr>
        <w:t xml:space="preserve"> few </w:t>
      </w:r>
      <w:r w:rsidR="00C94845">
        <w:rPr>
          <w:rFonts w:ascii="Calibri" w:hAnsi="Calibri" w:cs="Calibri"/>
        </w:rPr>
        <w:t xml:space="preserve">newly diagnosed </w:t>
      </w:r>
      <w:r w:rsidR="0030215C">
        <w:rPr>
          <w:rFonts w:ascii="Calibri" w:hAnsi="Calibri" w:cs="Calibri"/>
        </w:rPr>
        <w:t xml:space="preserve">patients </w:t>
      </w:r>
      <w:r w:rsidR="00164353">
        <w:rPr>
          <w:rFonts w:ascii="Calibri" w:hAnsi="Calibri" w:cs="Calibri"/>
        </w:rPr>
        <w:t xml:space="preserve">with </w:t>
      </w:r>
      <w:r w:rsidR="003C6AE3">
        <w:rPr>
          <w:rFonts w:ascii="Calibri" w:hAnsi="Calibri" w:cs="Calibri"/>
        </w:rPr>
        <w:t xml:space="preserve">PAH </w:t>
      </w:r>
      <w:r w:rsidR="0030215C">
        <w:rPr>
          <w:rFonts w:ascii="Calibri" w:hAnsi="Calibri" w:cs="Calibri"/>
        </w:rPr>
        <w:t xml:space="preserve">present </w:t>
      </w:r>
      <w:r w:rsidR="002C7727">
        <w:rPr>
          <w:rFonts w:ascii="Calibri" w:hAnsi="Calibri" w:cs="Calibri"/>
        </w:rPr>
        <w:t>with</w:t>
      </w:r>
      <w:r w:rsidR="00D2389D">
        <w:rPr>
          <w:rFonts w:ascii="Calibri" w:hAnsi="Calibri" w:cs="Calibri"/>
        </w:rPr>
        <w:t xml:space="preserve"> disease categorised as</w:t>
      </w:r>
      <w:r w:rsidR="002C7727">
        <w:rPr>
          <w:rFonts w:ascii="Calibri" w:hAnsi="Calibri" w:cs="Calibri"/>
        </w:rPr>
        <w:t xml:space="preserve"> </w:t>
      </w:r>
      <w:r w:rsidR="0030215C">
        <w:rPr>
          <w:rFonts w:ascii="Calibri" w:hAnsi="Calibri" w:cs="Calibri"/>
        </w:rPr>
        <w:t xml:space="preserve">WHO FC I </w:t>
      </w:r>
      <w:r w:rsidR="00D2389D">
        <w:rPr>
          <w:rFonts w:ascii="Calibri" w:hAnsi="Calibri" w:cs="Calibri"/>
        </w:rPr>
        <w:t>statu</w:t>
      </w:r>
      <w:r w:rsidR="009E702A">
        <w:rPr>
          <w:rFonts w:ascii="Calibri" w:hAnsi="Calibri" w:cs="Calibri"/>
        </w:rPr>
        <w:t>s</w:t>
      </w:r>
      <w:r w:rsidR="00C94845">
        <w:rPr>
          <w:rFonts w:ascii="Calibri" w:hAnsi="Calibri" w:cs="Calibri"/>
        </w:rPr>
        <w:t>, as</w:t>
      </w:r>
      <w:r w:rsidR="009E702A">
        <w:rPr>
          <w:rFonts w:ascii="Calibri" w:hAnsi="Calibri" w:cs="Calibri"/>
        </w:rPr>
        <w:t xml:space="preserve"> these</w:t>
      </w:r>
      <w:r w:rsidR="009E702A" w:rsidRPr="009E702A">
        <w:rPr>
          <w:rFonts w:ascii="Calibri" w:hAnsi="Calibri" w:cs="Calibri"/>
        </w:rPr>
        <w:t xml:space="preserve"> patients experience no symptoms during ordinary physical activity or at rest</w:t>
      </w:r>
      <w:r w:rsidR="0030215C">
        <w:rPr>
          <w:rFonts w:ascii="Calibri" w:hAnsi="Calibri" w:cs="Calibri"/>
        </w:rPr>
        <w:t>.</w:t>
      </w:r>
      <w:r w:rsidR="00024278">
        <w:rPr>
          <w:rFonts w:ascii="Calibri" w:hAnsi="Calibri" w:cs="Calibri"/>
        </w:rPr>
        <w:t xml:space="preserve"> </w:t>
      </w:r>
    </w:p>
    <w:p w14:paraId="4351A057" w14:textId="641FB860" w:rsidR="002A27B1" w:rsidRPr="00913BC9" w:rsidRDefault="00A940F1" w:rsidP="00497BFE">
      <w:pPr>
        <w:pStyle w:val="ListParagraph"/>
        <w:numPr>
          <w:ilvl w:val="0"/>
          <w:numId w:val="12"/>
        </w:numPr>
        <w:jc w:val="both"/>
        <w:rPr>
          <w:rFonts w:ascii="Calibri" w:hAnsi="Calibri" w:cs="Calibri"/>
        </w:rPr>
      </w:pPr>
      <w:r w:rsidRPr="00913BC9">
        <w:rPr>
          <w:rFonts w:ascii="Calibri" w:hAnsi="Calibri" w:cs="Calibri"/>
        </w:rPr>
        <w:t xml:space="preserve">Clinicians noted that </w:t>
      </w:r>
      <w:r w:rsidR="00D17258">
        <w:rPr>
          <w:rFonts w:ascii="Calibri" w:hAnsi="Calibri" w:cs="Calibri"/>
        </w:rPr>
        <w:t xml:space="preserve">application of </w:t>
      </w:r>
      <w:r w:rsidR="0060441B">
        <w:rPr>
          <w:rFonts w:ascii="Calibri" w:hAnsi="Calibri" w:cs="Calibri"/>
        </w:rPr>
        <w:t xml:space="preserve">the PBS restriction </w:t>
      </w:r>
      <w:r w:rsidR="00530BF3" w:rsidRPr="00913BC9">
        <w:rPr>
          <w:rFonts w:ascii="Calibri" w:hAnsi="Calibri" w:cs="Calibri"/>
        </w:rPr>
        <w:t>reference to</w:t>
      </w:r>
      <w:r w:rsidR="002A27B1" w:rsidRPr="00913BC9">
        <w:rPr>
          <w:rFonts w:ascii="Calibri" w:hAnsi="Calibri" w:cs="Calibri"/>
        </w:rPr>
        <w:t xml:space="preserve"> WHO FC </w:t>
      </w:r>
      <w:r w:rsidR="00D475A8">
        <w:rPr>
          <w:rFonts w:ascii="Calibri" w:hAnsi="Calibri" w:cs="Calibri"/>
        </w:rPr>
        <w:t>status</w:t>
      </w:r>
      <w:r w:rsidR="002A27B1" w:rsidRPr="00913BC9">
        <w:rPr>
          <w:rFonts w:ascii="Calibri" w:hAnsi="Calibri" w:cs="Calibri"/>
        </w:rPr>
        <w:t xml:space="preserve"> </w:t>
      </w:r>
      <w:r w:rsidR="005F2F5F">
        <w:rPr>
          <w:rFonts w:ascii="Calibri" w:hAnsi="Calibri" w:cs="Calibri"/>
        </w:rPr>
        <w:t xml:space="preserve">can be </w:t>
      </w:r>
      <w:r w:rsidR="00272EB1" w:rsidRPr="00913BC9">
        <w:rPr>
          <w:rFonts w:ascii="Calibri" w:hAnsi="Calibri" w:cs="Calibri"/>
        </w:rPr>
        <w:t>subjective,</w:t>
      </w:r>
      <w:r w:rsidR="004558DD" w:rsidRPr="00913BC9">
        <w:rPr>
          <w:rFonts w:ascii="Calibri" w:hAnsi="Calibri" w:cs="Calibri"/>
        </w:rPr>
        <w:t xml:space="preserve"> and </w:t>
      </w:r>
      <w:r w:rsidR="003B5331" w:rsidRPr="00913BC9">
        <w:rPr>
          <w:rFonts w:ascii="Calibri" w:hAnsi="Calibri" w:cs="Calibri"/>
        </w:rPr>
        <w:t>it is likely</w:t>
      </w:r>
      <w:r w:rsidR="00876E3B" w:rsidRPr="00913BC9">
        <w:rPr>
          <w:rFonts w:ascii="Calibri" w:hAnsi="Calibri" w:cs="Calibri"/>
        </w:rPr>
        <w:t xml:space="preserve"> that </w:t>
      </w:r>
      <w:r w:rsidR="00C94845">
        <w:rPr>
          <w:rFonts w:ascii="Calibri" w:hAnsi="Calibri" w:cs="Calibri"/>
        </w:rPr>
        <w:t xml:space="preserve">patients </w:t>
      </w:r>
      <w:r w:rsidR="00897366">
        <w:rPr>
          <w:rFonts w:ascii="Calibri" w:hAnsi="Calibri" w:cs="Calibri"/>
        </w:rPr>
        <w:t xml:space="preserve">may be </w:t>
      </w:r>
      <w:r w:rsidR="00C94845">
        <w:rPr>
          <w:rFonts w:ascii="Calibri" w:hAnsi="Calibri" w:cs="Calibri"/>
        </w:rPr>
        <w:t xml:space="preserve">classified by clinicians at a higher WHO FC </w:t>
      </w:r>
      <w:r w:rsidR="005F2F5F">
        <w:rPr>
          <w:rFonts w:ascii="Calibri" w:hAnsi="Calibri" w:cs="Calibri"/>
        </w:rPr>
        <w:t xml:space="preserve">(e.g. FC III rather than FC II to facilitate access to PBS subsidised dual </w:t>
      </w:r>
      <w:r w:rsidR="00E9178E" w:rsidRPr="00913BC9">
        <w:rPr>
          <w:rFonts w:ascii="Calibri" w:hAnsi="Calibri" w:cs="Calibri"/>
        </w:rPr>
        <w:t>therapy)</w:t>
      </w:r>
      <w:r w:rsidR="0051206E" w:rsidRPr="00913BC9">
        <w:rPr>
          <w:rFonts w:ascii="Calibri" w:hAnsi="Calibri" w:cs="Calibri"/>
        </w:rPr>
        <w:t xml:space="preserve">. </w:t>
      </w:r>
      <w:r w:rsidR="00FC3CFC">
        <w:rPr>
          <w:rFonts w:ascii="Calibri" w:hAnsi="Calibri" w:cs="Calibri"/>
        </w:rPr>
        <w:t>C</w:t>
      </w:r>
      <w:r w:rsidR="00981104" w:rsidRPr="00913BC9">
        <w:rPr>
          <w:rFonts w:ascii="Calibri" w:hAnsi="Calibri" w:cs="Calibri"/>
        </w:rPr>
        <w:t>linicians noted that</w:t>
      </w:r>
      <w:r w:rsidR="005F2F5F">
        <w:rPr>
          <w:rFonts w:ascii="Calibri" w:hAnsi="Calibri" w:cs="Calibri"/>
        </w:rPr>
        <w:t>,</w:t>
      </w:r>
      <w:r w:rsidR="00EF3510" w:rsidRPr="00913BC9">
        <w:rPr>
          <w:rFonts w:ascii="Calibri" w:hAnsi="Calibri" w:cs="Calibri"/>
        </w:rPr>
        <w:t xml:space="preserve"> in some instances, the treatment unit or the patient themselves will fund the </w:t>
      </w:r>
      <w:r w:rsidR="00EC2BDF" w:rsidRPr="00913BC9">
        <w:rPr>
          <w:rFonts w:ascii="Calibri" w:hAnsi="Calibri" w:cs="Calibri"/>
        </w:rPr>
        <w:t xml:space="preserve">cost of the </w:t>
      </w:r>
      <w:r w:rsidR="00EF3510" w:rsidRPr="00913BC9">
        <w:rPr>
          <w:rFonts w:ascii="Calibri" w:hAnsi="Calibri" w:cs="Calibri"/>
        </w:rPr>
        <w:t xml:space="preserve">second agent </w:t>
      </w:r>
      <w:r w:rsidR="00D61164">
        <w:rPr>
          <w:rFonts w:ascii="Calibri" w:hAnsi="Calibri" w:cs="Calibri"/>
        </w:rPr>
        <w:t xml:space="preserve">(usually </w:t>
      </w:r>
      <w:r w:rsidR="005F2F5F">
        <w:rPr>
          <w:rFonts w:ascii="Calibri" w:hAnsi="Calibri" w:cs="Calibri"/>
        </w:rPr>
        <w:t xml:space="preserve">the less expensive </w:t>
      </w:r>
      <w:r w:rsidR="00D61164">
        <w:rPr>
          <w:rFonts w:ascii="Calibri" w:hAnsi="Calibri" w:cs="Calibri"/>
        </w:rPr>
        <w:t>PDE</w:t>
      </w:r>
      <w:r w:rsidR="002F5074">
        <w:rPr>
          <w:rFonts w:ascii="Calibri" w:hAnsi="Calibri" w:cs="Calibri"/>
        </w:rPr>
        <w:t>-</w:t>
      </w:r>
      <w:r w:rsidR="009A6029">
        <w:rPr>
          <w:rFonts w:ascii="Calibri" w:hAnsi="Calibri" w:cs="Calibri"/>
        </w:rPr>
        <w:t xml:space="preserve">5i), </w:t>
      </w:r>
      <w:r w:rsidR="00A56BD8" w:rsidRPr="00913BC9">
        <w:rPr>
          <w:rFonts w:ascii="Calibri" w:hAnsi="Calibri" w:cs="Calibri"/>
        </w:rPr>
        <w:t xml:space="preserve">where ineligible for </w:t>
      </w:r>
      <w:r w:rsidR="00EF3510" w:rsidRPr="00913BC9">
        <w:rPr>
          <w:rFonts w:ascii="Calibri" w:hAnsi="Calibri" w:cs="Calibri"/>
        </w:rPr>
        <w:t>PBS-</w:t>
      </w:r>
      <w:r w:rsidR="005F2F5F" w:rsidRPr="00913BC9">
        <w:rPr>
          <w:rFonts w:ascii="Calibri" w:hAnsi="Calibri" w:cs="Calibri"/>
        </w:rPr>
        <w:t>subsid</w:t>
      </w:r>
      <w:r w:rsidR="005F2F5F">
        <w:rPr>
          <w:rFonts w:ascii="Calibri" w:hAnsi="Calibri" w:cs="Calibri"/>
        </w:rPr>
        <w:t xml:space="preserve">ised dual therapy. </w:t>
      </w:r>
      <w:r w:rsidR="00635418">
        <w:rPr>
          <w:rFonts w:ascii="Calibri" w:hAnsi="Calibri" w:cs="Calibri"/>
        </w:rPr>
        <w:t>H</w:t>
      </w:r>
      <w:r w:rsidR="00635418" w:rsidRPr="00913BC9">
        <w:rPr>
          <w:rFonts w:ascii="Calibri" w:hAnsi="Calibri" w:cs="Calibri"/>
        </w:rPr>
        <w:t>owever,</w:t>
      </w:r>
      <w:r w:rsidR="00EF3510" w:rsidRPr="00913BC9">
        <w:rPr>
          <w:rFonts w:ascii="Calibri" w:hAnsi="Calibri" w:cs="Calibri"/>
        </w:rPr>
        <w:t xml:space="preserve"> this is not always possible and </w:t>
      </w:r>
      <w:r w:rsidR="00913BC9" w:rsidRPr="00913BC9">
        <w:rPr>
          <w:rFonts w:ascii="Calibri" w:hAnsi="Calibri" w:cs="Calibri"/>
        </w:rPr>
        <w:t>highlights an</w:t>
      </w:r>
      <w:r w:rsidR="00EC2BDF" w:rsidRPr="00913BC9">
        <w:rPr>
          <w:rFonts w:ascii="Calibri" w:hAnsi="Calibri" w:cs="Calibri"/>
        </w:rPr>
        <w:t xml:space="preserve"> inequit</w:t>
      </w:r>
      <w:r w:rsidR="00913BC9" w:rsidRPr="00913BC9">
        <w:rPr>
          <w:rFonts w:ascii="Calibri" w:hAnsi="Calibri" w:cs="Calibri"/>
        </w:rPr>
        <w:t>y in</w:t>
      </w:r>
      <w:r w:rsidR="00EC2BDF" w:rsidRPr="00913BC9">
        <w:rPr>
          <w:rFonts w:ascii="Calibri" w:hAnsi="Calibri" w:cs="Calibri"/>
        </w:rPr>
        <w:t xml:space="preserve"> access to </w:t>
      </w:r>
      <w:r w:rsidR="00913BC9" w:rsidRPr="00913BC9">
        <w:rPr>
          <w:rFonts w:ascii="Calibri" w:hAnsi="Calibri" w:cs="Calibri"/>
        </w:rPr>
        <w:t xml:space="preserve">optimal </w:t>
      </w:r>
      <w:r w:rsidR="00CE4871">
        <w:rPr>
          <w:rFonts w:ascii="Calibri" w:hAnsi="Calibri" w:cs="Calibri"/>
        </w:rPr>
        <w:t xml:space="preserve">PAH </w:t>
      </w:r>
      <w:r w:rsidR="00EC2BDF" w:rsidRPr="00913BC9">
        <w:rPr>
          <w:rFonts w:ascii="Calibri" w:hAnsi="Calibri" w:cs="Calibri"/>
        </w:rPr>
        <w:t>treatment.</w:t>
      </w:r>
      <w:r w:rsidR="00913BC9" w:rsidRPr="00913BC9">
        <w:rPr>
          <w:rFonts w:ascii="Calibri" w:hAnsi="Calibri" w:cs="Calibri"/>
        </w:rPr>
        <w:t xml:space="preserve"> Some clinicians further commented that it is</w:t>
      </w:r>
      <w:r w:rsidR="00131B44" w:rsidRPr="00913BC9">
        <w:rPr>
          <w:rFonts w:ascii="Calibri" w:hAnsi="Calibri" w:cs="Calibri"/>
        </w:rPr>
        <w:t xml:space="preserve"> counterintuitive </w:t>
      </w:r>
      <w:r w:rsidR="00497BFE">
        <w:rPr>
          <w:rFonts w:ascii="Calibri" w:hAnsi="Calibri" w:cs="Calibri"/>
        </w:rPr>
        <w:t>to</w:t>
      </w:r>
      <w:r w:rsidR="00BD5ACD">
        <w:rPr>
          <w:rFonts w:ascii="Calibri" w:hAnsi="Calibri" w:cs="Calibri"/>
        </w:rPr>
        <w:t xml:space="preserve"> </w:t>
      </w:r>
      <w:r w:rsidR="00165EEC">
        <w:rPr>
          <w:rFonts w:ascii="Calibri" w:hAnsi="Calibri" w:cs="Calibri"/>
        </w:rPr>
        <w:t xml:space="preserve">require </w:t>
      </w:r>
      <w:r w:rsidR="00497BFE">
        <w:rPr>
          <w:rFonts w:ascii="Calibri" w:hAnsi="Calibri" w:cs="Calibri"/>
        </w:rPr>
        <w:t xml:space="preserve">patients </w:t>
      </w:r>
      <w:r w:rsidR="00D72E98">
        <w:rPr>
          <w:rFonts w:ascii="Calibri" w:hAnsi="Calibri" w:cs="Calibri"/>
        </w:rPr>
        <w:t xml:space="preserve">with </w:t>
      </w:r>
      <w:r w:rsidR="00044EBD">
        <w:rPr>
          <w:rFonts w:ascii="Calibri" w:hAnsi="Calibri" w:cs="Calibri"/>
        </w:rPr>
        <w:t xml:space="preserve">WHO </w:t>
      </w:r>
      <w:r w:rsidR="00497BFE">
        <w:rPr>
          <w:rFonts w:ascii="Calibri" w:hAnsi="Calibri" w:cs="Calibri"/>
        </w:rPr>
        <w:t xml:space="preserve">FC II </w:t>
      </w:r>
      <w:r w:rsidR="00044EBD">
        <w:rPr>
          <w:rFonts w:ascii="Calibri" w:hAnsi="Calibri" w:cs="Calibri"/>
        </w:rPr>
        <w:t xml:space="preserve">status </w:t>
      </w:r>
      <w:r w:rsidR="00131B44" w:rsidRPr="00913BC9">
        <w:rPr>
          <w:rFonts w:ascii="Calibri" w:hAnsi="Calibri" w:cs="Calibri"/>
        </w:rPr>
        <w:t xml:space="preserve">to wait until their condition worsens before </w:t>
      </w:r>
      <w:r w:rsidR="00497BFE">
        <w:rPr>
          <w:rFonts w:ascii="Calibri" w:hAnsi="Calibri" w:cs="Calibri"/>
        </w:rPr>
        <w:t>escalating to</w:t>
      </w:r>
      <w:r w:rsidR="00131B44" w:rsidRPr="00913BC9">
        <w:rPr>
          <w:rFonts w:ascii="Calibri" w:hAnsi="Calibri" w:cs="Calibri"/>
        </w:rPr>
        <w:t xml:space="preserve"> </w:t>
      </w:r>
      <w:r w:rsidR="007B6C61">
        <w:rPr>
          <w:rFonts w:ascii="Calibri" w:hAnsi="Calibri" w:cs="Calibri"/>
        </w:rPr>
        <w:t xml:space="preserve">subsidised </w:t>
      </w:r>
      <w:r w:rsidR="00131B44" w:rsidRPr="00913BC9">
        <w:rPr>
          <w:rFonts w:ascii="Calibri" w:hAnsi="Calibri" w:cs="Calibri"/>
        </w:rPr>
        <w:t>dual therapy</w:t>
      </w:r>
      <w:r w:rsidR="00497BFE">
        <w:rPr>
          <w:rFonts w:ascii="Calibri" w:hAnsi="Calibri" w:cs="Calibri"/>
        </w:rPr>
        <w:t>.</w:t>
      </w:r>
    </w:p>
    <w:p w14:paraId="039AE981" w14:textId="001216D9" w:rsidR="00872770" w:rsidRPr="002F5074" w:rsidRDefault="0012583E" w:rsidP="00BD5ACD">
      <w:pPr>
        <w:pStyle w:val="ListParagraph"/>
        <w:numPr>
          <w:ilvl w:val="0"/>
          <w:numId w:val="12"/>
        </w:numPr>
        <w:jc w:val="both"/>
        <w:rPr>
          <w:rFonts w:ascii="Calibri" w:hAnsi="Calibri" w:cs="Calibri"/>
        </w:rPr>
      </w:pPr>
      <w:r w:rsidRPr="00664C8B">
        <w:rPr>
          <w:rFonts w:ascii="Calibri" w:hAnsi="Calibri" w:cs="Calibri"/>
        </w:rPr>
        <w:t>Clinicians</w:t>
      </w:r>
      <w:r w:rsidR="00872770" w:rsidRPr="00664C8B">
        <w:rPr>
          <w:rFonts w:ascii="Calibri" w:hAnsi="Calibri" w:cs="Calibri"/>
        </w:rPr>
        <w:t xml:space="preserve"> </w:t>
      </w:r>
      <w:r w:rsidR="000026F5" w:rsidRPr="002F5074">
        <w:rPr>
          <w:rFonts w:ascii="Calibri" w:hAnsi="Calibri" w:cs="Calibri"/>
        </w:rPr>
        <w:t xml:space="preserve">noted that international clinical guidelines had been updated </w:t>
      </w:r>
      <w:r w:rsidR="00BB1DED" w:rsidRPr="002F5074">
        <w:rPr>
          <w:rFonts w:ascii="Calibri" w:hAnsi="Calibri" w:cs="Calibri"/>
        </w:rPr>
        <w:t xml:space="preserve">to </w:t>
      </w:r>
      <w:r w:rsidR="00442AD1" w:rsidRPr="002F5074">
        <w:rPr>
          <w:rFonts w:ascii="Calibri" w:hAnsi="Calibri" w:cs="Calibri"/>
        </w:rPr>
        <w:t xml:space="preserve">support </w:t>
      </w:r>
      <w:r w:rsidR="00FE366F" w:rsidRPr="00664C8B">
        <w:rPr>
          <w:rFonts w:ascii="Calibri" w:hAnsi="Calibri" w:cs="Calibri"/>
        </w:rPr>
        <w:t xml:space="preserve">initiating dual drug therapy in newly diagnosed PAH patients with WHO FC II </w:t>
      </w:r>
      <w:r w:rsidR="00815F44">
        <w:rPr>
          <w:rFonts w:ascii="Calibri" w:hAnsi="Calibri" w:cs="Calibri"/>
        </w:rPr>
        <w:t xml:space="preserve">status </w:t>
      </w:r>
      <w:r w:rsidR="00664C8B" w:rsidRPr="00664C8B">
        <w:rPr>
          <w:rFonts w:ascii="Calibri" w:hAnsi="Calibri" w:cs="Calibri"/>
        </w:rPr>
        <w:t>and</w:t>
      </w:r>
      <w:r w:rsidR="00576FB0" w:rsidRPr="00664C8B">
        <w:rPr>
          <w:rFonts w:ascii="Calibri" w:hAnsi="Calibri" w:cs="Calibri"/>
        </w:rPr>
        <w:t xml:space="preserve"> </w:t>
      </w:r>
      <w:r w:rsidRPr="00664C8B">
        <w:rPr>
          <w:rFonts w:ascii="Calibri" w:hAnsi="Calibri" w:cs="Calibri"/>
        </w:rPr>
        <w:t>agreed that there is reasonable clinical evidence to support</w:t>
      </w:r>
      <w:r w:rsidR="00576FB0" w:rsidRPr="00664C8B">
        <w:rPr>
          <w:rFonts w:ascii="Calibri" w:hAnsi="Calibri" w:cs="Calibri"/>
        </w:rPr>
        <w:t xml:space="preserve"> this practice</w:t>
      </w:r>
      <w:r w:rsidR="00BD5ACD" w:rsidRPr="00664C8B">
        <w:rPr>
          <w:rFonts w:ascii="Calibri" w:hAnsi="Calibri" w:cs="Calibri"/>
        </w:rPr>
        <w:t xml:space="preserve">. </w:t>
      </w:r>
      <w:r w:rsidRPr="00664C8B">
        <w:rPr>
          <w:rFonts w:ascii="Calibri" w:hAnsi="Calibri" w:cs="Calibri"/>
        </w:rPr>
        <w:t xml:space="preserve"> </w:t>
      </w:r>
    </w:p>
    <w:p w14:paraId="34466E00" w14:textId="162E6E1C" w:rsidR="003508FF" w:rsidRPr="002F5074" w:rsidRDefault="00897366" w:rsidP="001B42A4">
      <w:pPr>
        <w:pStyle w:val="ListParagraph"/>
        <w:numPr>
          <w:ilvl w:val="0"/>
          <w:numId w:val="12"/>
        </w:numPr>
        <w:jc w:val="both"/>
        <w:rPr>
          <w:rFonts w:ascii="Calibri" w:hAnsi="Calibri" w:cs="Calibri"/>
        </w:rPr>
      </w:pPr>
      <w:r>
        <w:rPr>
          <w:rFonts w:ascii="Calibri" w:hAnsi="Calibri" w:cs="Calibri"/>
        </w:rPr>
        <w:t>In general,</w:t>
      </w:r>
      <w:r w:rsidR="005C180E">
        <w:rPr>
          <w:rFonts w:ascii="Calibri" w:hAnsi="Calibri" w:cs="Calibri"/>
        </w:rPr>
        <w:t xml:space="preserve"> treatment guidelines do not recommend monotherapy. </w:t>
      </w:r>
      <w:r w:rsidR="003508FF" w:rsidRPr="00664C8B">
        <w:rPr>
          <w:rFonts w:ascii="Calibri" w:hAnsi="Calibri" w:cs="Calibri"/>
        </w:rPr>
        <w:t xml:space="preserve">Clinicians advised that patients prescribed initial monotherapy are likely those with an evolving diagnosis of </w:t>
      </w:r>
      <w:r w:rsidR="001F2F97" w:rsidRPr="00664C8B">
        <w:rPr>
          <w:rFonts w:ascii="Calibri" w:hAnsi="Calibri" w:cs="Calibri"/>
        </w:rPr>
        <w:t xml:space="preserve">pulmonary hypertension </w:t>
      </w:r>
      <w:r w:rsidR="003508FF" w:rsidRPr="00664C8B">
        <w:rPr>
          <w:rFonts w:ascii="Calibri" w:hAnsi="Calibri" w:cs="Calibri"/>
        </w:rPr>
        <w:t>type</w:t>
      </w:r>
      <w:r w:rsidR="005F2F5F">
        <w:rPr>
          <w:rFonts w:ascii="Calibri" w:hAnsi="Calibri" w:cs="Calibri"/>
        </w:rPr>
        <w:t>,</w:t>
      </w:r>
      <w:r w:rsidR="003508FF" w:rsidRPr="00664C8B">
        <w:rPr>
          <w:rFonts w:ascii="Calibri" w:hAnsi="Calibri" w:cs="Calibri"/>
        </w:rPr>
        <w:t xml:space="preserve"> </w:t>
      </w:r>
      <w:r w:rsidR="00B6220E" w:rsidRPr="00664C8B">
        <w:rPr>
          <w:rFonts w:ascii="Calibri" w:hAnsi="Calibri" w:cs="Calibri"/>
        </w:rPr>
        <w:t xml:space="preserve">i.e. </w:t>
      </w:r>
      <w:r w:rsidR="005F2F5F">
        <w:rPr>
          <w:rFonts w:ascii="Calibri" w:hAnsi="Calibri" w:cs="Calibri"/>
        </w:rPr>
        <w:t xml:space="preserve">where </w:t>
      </w:r>
      <w:r w:rsidR="00B6220E" w:rsidRPr="00664C8B">
        <w:rPr>
          <w:rFonts w:ascii="Calibri" w:hAnsi="Calibri" w:cs="Calibri"/>
        </w:rPr>
        <w:t xml:space="preserve">a diagnosis </w:t>
      </w:r>
      <w:r w:rsidR="00200DA5" w:rsidRPr="00664C8B">
        <w:rPr>
          <w:rFonts w:ascii="Calibri" w:hAnsi="Calibri" w:cs="Calibri"/>
        </w:rPr>
        <w:t xml:space="preserve">of </w:t>
      </w:r>
      <w:r w:rsidR="0040744B" w:rsidRPr="00664C8B">
        <w:rPr>
          <w:rFonts w:ascii="Calibri" w:hAnsi="Calibri" w:cs="Calibri"/>
        </w:rPr>
        <w:t>WHO Group 1 pulmonary hypertension</w:t>
      </w:r>
      <w:r w:rsidR="001F2F97" w:rsidRPr="00664C8B">
        <w:rPr>
          <w:rFonts w:ascii="Calibri" w:hAnsi="Calibri" w:cs="Calibri"/>
        </w:rPr>
        <w:t xml:space="preserve"> (PAH) </w:t>
      </w:r>
      <w:r w:rsidR="00200DA5" w:rsidRPr="00664C8B">
        <w:rPr>
          <w:rFonts w:ascii="Calibri" w:hAnsi="Calibri" w:cs="Calibri"/>
        </w:rPr>
        <w:t>is not yet clear</w:t>
      </w:r>
      <w:r w:rsidR="002F5074">
        <w:rPr>
          <w:rFonts w:ascii="Calibri" w:hAnsi="Calibri" w:cs="Calibri"/>
        </w:rPr>
        <w:t>.</w:t>
      </w:r>
      <w:r w:rsidR="006E57B8">
        <w:rPr>
          <w:rFonts w:ascii="Calibri" w:hAnsi="Calibri" w:cs="Calibri"/>
        </w:rPr>
        <w:t xml:space="preserve"> </w:t>
      </w:r>
      <w:r>
        <w:rPr>
          <w:rFonts w:ascii="Calibri" w:hAnsi="Calibri" w:cs="Calibri"/>
        </w:rPr>
        <w:t>M</w:t>
      </w:r>
      <w:r w:rsidR="002458C0">
        <w:rPr>
          <w:rFonts w:ascii="Calibri" w:hAnsi="Calibri" w:cs="Calibri"/>
        </w:rPr>
        <w:t xml:space="preserve">onotherapy may </w:t>
      </w:r>
      <w:r>
        <w:rPr>
          <w:rFonts w:ascii="Calibri" w:hAnsi="Calibri" w:cs="Calibri"/>
        </w:rPr>
        <w:t xml:space="preserve">also </w:t>
      </w:r>
      <w:r w:rsidR="002458C0">
        <w:rPr>
          <w:rFonts w:ascii="Calibri" w:hAnsi="Calibri" w:cs="Calibri"/>
        </w:rPr>
        <w:t xml:space="preserve">be commenced </w:t>
      </w:r>
      <w:r>
        <w:rPr>
          <w:rFonts w:ascii="Calibri" w:hAnsi="Calibri" w:cs="Calibri"/>
        </w:rPr>
        <w:t>in patients with</w:t>
      </w:r>
      <w:r w:rsidR="002458C0">
        <w:rPr>
          <w:rFonts w:ascii="Calibri" w:hAnsi="Calibri" w:cs="Calibri"/>
        </w:rPr>
        <w:t xml:space="preserve"> </w:t>
      </w:r>
      <w:r w:rsidR="008F3AEF">
        <w:rPr>
          <w:rFonts w:ascii="Calibri" w:hAnsi="Calibri" w:cs="Calibri"/>
        </w:rPr>
        <w:t>PAH</w:t>
      </w:r>
      <w:r>
        <w:rPr>
          <w:rFonts w:ascii="Calibri" w:hAnsi="Calibri" w:cs="Calibri"/>
        </w:rPr>
        <w:t xml:space="preserve"> and </w:t>
      </w:r>
      <w:r w:rsidR="008F3AEF">
        <w:rPr>
          <w:rFonts w:ascii="Calibri" w:hAnsi="Calibri" w:cs="Calibri"/>
        </w:rPr>
        <w:t xml:space="preserve">cardiac risk factors, </w:t>
      </w:r>
      <w:r w:rsidR="00D23C23">
        <w:rPr>
          <w:rFonts w:ascii="Calibri" w:hAnsi="Calibri" w:cs="Calibri"/>
        </w:rPr>
        <w:t xml:space="preserve">where escalation of treatment to dual therapy occurs more slowly and carefully than in patients </w:t>
      </w:r>
      <w:r w:rsidR="00BB6965">
        <w:rPr>
          <w:rFonts w:ascii="Calibri" w:hAnsi="Calibri" w:cs="Calibri"/>
        </w:rPr>
        <w:t xml:space="preserve">without </w:t>
      </w:r>
      <w:r w:rsidR="00D23C23">
        <w:rPr>
          <w:rFonts w:ascii="Calibri" w:hAnsi="Calibri" w:cs="Calibri"/>
        </w:rPr>
        <w:t xml:space="preserve">cardiac risk factors. </w:t>
      </w:r>
      <w:r w:rsidR="00BC2348" w:rsidRPr="00BC2348">
        <w:rPr>
          <w:rFonts w:ascii="Calibri" w:hAnsi="Calibri" w:cs="Calibri"/>
        </w:rPr>
        <w:t>The prevalence of cardiac risk factors (</w:t>
      </w:r>
      <w:r w:rsidR="00330B17">
        <w:rPr>
          <w:rFonts w:ascii="Calibri" w:hAnsi="Calibri" w:cs="Calibri"/>
        </w:rPr>
        <w:t>e.g. f</w:t>
      </w:r>
      <w:r w:rsidR="00BC2348" w:rsidRPr="00BC2348">
        <w:rPr>
          <w:rFonts w:ascii="Calibri" w:hAnsi="Calibri" w:cs="Calibri"/>
        </w:rPr>
        <w:t xml:space="preserve">amily history, systemic </w:t>
      </w:r>
      <w:r w:rsidR="00330B17">
        <w:rPr>
          <w:rFonts w:ascii="Calibri" w:hAnsi="Calibri" w:cs="Calibri"/>
        </w:rPr>
        <w:t>h</w:t>
      </w:r>
      <w:r w:rsidR="00BC2348" w:rsidRPr="00BC2348">
        <w:rPr>
          <w:rFonts w:ascii="Calibri" w:hAnsi="Calibri" w:cs="Calibri"/>
        </w:rPr>
        <w:t xml:space="preserve">ypertension, diabetes, obesity and elevated cholesterol) and slightly elevated </w:t>
      </w:r>
      <w:r w:rsidR="00674128">
        <w:rPr>
          <w:rFonts w:ascii="Calibri" w:hAnsi="Calibri" w:cs="Calibri"/>
        </w:rPr>
        <w:t>pulmonary capillary wedge pressure</w:t>
      </w:r>
      <w:r w:rsidR="00BC2348" w:rsidRPr="00BC2348">
        <w:rPr>
          <w:rFonts w:ascii="Calibri" w:hAnsi="Calibri" w:cs="Calibri"/>
        </w:rPr>
        <w:t xml:space="preserve"> in the 12-15 </w:t>
      </w:r>
      <w:r w:rsidR="0011032B">
        <w:rPr>
          <w:rFonts w:ascii="Calibri" w:hAnsi="Calibri" w:cs="Calibri"/>
        </w:rPr>
        <w:t xml:space="preserve">mmHg </w:t>
      </w:r>
      <w:r w:rsidR="00BC2348" w:rsidRPr="00BC2348">
        <w:rPr>
          <w:rFonts w:ascii="Calibri" w:hAnsi="Calibri" w:cs="Calibri"/>
        </w:rPr>
        <w:t>range is high</w:t>
      </w:r>
      <w:r w:rsidR="00272EB1">
        <w:rPr>
          <w:rFonts w:ascii="Calibri" w:hAnsi="Calibri" w:cs="Calibri"/>
        </w:rPr>
        <w:t>.</w:t>
      </w:r>
      <w:r w:rsidR="00BC2348" w:rsidRPr="00BC2348">
        <w:rPr>
          <w:rFonts w:ascii="Calibri" w:hAnsi="Calibri" w:cs="Calibri"/>
        </w:rPr>
        <w:t xml:space="preserve"> </w:t>
      </w:r>
    </w:p>
    <w:p w14:paraId="4EBAD08E" w14:textId="0707A2DC" w:rsidR="00914BF3" w:rsidRDefault="002B60B5" w:rsidP="00F50D61">
      <w:pPr>
        <w:pStyle w:val="ListParagraph"/>
        <w:numPr>
          <w:ilvl w:val="0"/>
          <w:numId w:val="12"/>
        </w:numPr>
        <w:jc w:val="both"/>
        <w:rPr>
          <w:rFonts w:ascii="Calibri" w:hAnsi="Calibri" w:cs="Calibri"/>
        </w:rPr>
      </w:pPr>
      <w:r>
        <w:rPr>
          <w:rFonts w:ascii="Calibri" w:hAnsi="Calibri" w:cs="Calibri"/>
        </w:rPr>
        <w:t xml:space="preserve">Participants </w:t>
      </w:r>
      <w:r w:rsidR="00402A1E">
        <w:rPr>
          <w:rFonts w:ascii="Calibri" w:hAnsi="Calibri" w:cs="Calibri"/>
        </w:rPr>
        <w:t xml:space="preserve">noted </w:t>
      </w:r>
      <w:r w:rsidR="00B11E1E">
        <w:rPr>
          <w:rFonts w:ascii="Calibri" w:hAnsi="Calibri" w:cs="Calibri"/>
        </w:rPr>
        <w:t>that</w:t>
      </w:r>
      <w:r>
        <w:rPr>
          <w:rFonts w:ascii="Calibri" w:hAnsi="Calibri" w:cs="Calibri"/>
        </w:rPr>
        <w:t xml:space="preserve"> </w:t>
      </w:r>
      <w:r w:rsidR="00390357">
        <w:rPr>
          <w:rFonts w:ascii="Calibri" w:hAnsi="Calibri" w:cs="Calibri"/>
        </w:rPr>
        <w:t xml:space="preserve">2022 </w:t>
      </w:r>
      <w:r w:rsidR="009B6329" w:rsidRPr="009B6329">
        <w:rPr>
          <w:rFonts w:ascii="Calibri" w:hAnsi="Calibri" w:cs="Calibri"/>
        </w:rPr>
        <w:t xml:space="preserve">ESC/ERS guidelines for pulmonary hypertension had lowered the </w:t>
      </w:r>
      <w:r w:rsidR="005C65FE" w:rsidRPr="005C65FE">
        <w:rPr>
          <w:rFonts w:ascii="Calibri" w:hAnsi="Calibri" w:cs="Calibri"/>
        </w:rPr>
        <w:t>mean pulmonary artery pressure (mPAP)</w:t>
      </w:r>
      <w:r w:rsidR="005C65FE">
        <w:rPr>
          <w:rFonts w:ascii="Calibri" w:hAnsi="Calibri" w:cs="Calibri"/>
        </w:rPr>
        <w:t xml:space="preserve"> threshold from </w:t>
      </w:r>
      <w:r w:rsidR="00755A6D">
        <w:rPr>
          <w:rFonts w:ascii="Calibri" w:hAnsi="Calibri" w:cs="Calibri"/>
        </w:rPr>
        <w:t xml:space="preserve">at least </w:t>
      </w:r>
      <w:r w:rsidR="005C65FE" w:rsidRPr="005C65FE">
        <w:rPr>
          <w:rFonts w:ascii="Calibri" w:hAnsi="Calibri" w:cs="Calibri"/>
        </w:rPr>
        <w:t>25</w:t>
      </w:r>
      <w:r w:rsidR="00755A6D">
        <w:rPr>
          <w:rFonts w:ascii="Calibri" w:hAnsi="Calibri" w:cs="Calibri"/>
        </w:rPr>
        <w:t xml:space="preserve"> mmH</w:t>
      </w:r>
      <w:r w:rsidR="00706138">
        <w:rPr>
          <w:rFonts w:ascii="Calibri" w:hAnsi="Calibri" w:cs="Calibri"/>
        </w:rPr>
        <w:t>g</w:t>
      </w:r>
      <w:r w:rsidR="005C65FE" w:rsidRPr="005C65FE">
        <w:rPr>
          <w:rFonts w:ascii="Calibri" w:hAnsi="Calibri" w:cs="Calibri"/>
        </w:rPr>
        <w:t xml:space="preserve"> to </w:t>
      </w:r>
      <w:r w:rsidR="00755A6D">
        <w:rPr>
          <w:rFonts w:ascii="Calibri" w:hAnsi="Calibri" w:cs="Calibri"/>
        </w:rPr>
        <w:t xml:space="preserve">greater than </w:t>
      </w:r>
      <w:r w:rsidR="005C65FE" w:rsidRPr="005C65FE">
        <w:rPr>
          <w:rFonts w:ascii="Calibri" w:hAnsi="Calibri" w:cs="Calibri"/>
        </w:rPr>
        <w:t>20 mmHg</w:t>
      </w:r>
      <w:r w:rsidR="006304FB">
        <w:rPr>
          <w:rFonts w:ascii="Calibri" w:hAnsi="Calibri" w:cs="Calibri"/>
        </w:rPr>
        <w:t xml:space="preserve">, while </w:t>
      </w:r>
      <w:r w:rsidR="00397A6F" w:rsidRPr="00397A6F">
        <w:rPr>
          <w:rFonts w:ascii="Calibri" w:hAnsi="Calibri" w:cs="Calibri"/>
        </w:rPr>
        <w:t xml:space="preserve">PBS restrictions require that </w:t>
      </w:r>
      <w:r w:rsidR="00397A6F">
        <w:rPr>
          <w:rFonts w:ascii="Calibri" w:hAnsi="Calibri" w:cs="Calibri"/>
        </w:rPr>
        <w:t>mPAP</w:t>
      </w:r>
      <w:r w:rsidR="00397A6F" w:rsidRPr="00397A6F">
        <w:rPr>
          <w:rFonts w:ascii="Calibri" w:hAnsi="Calibri" w:cs="Calibri"/>
        </w:rPr>
        <w:t xml:space="preserve"> is </w:t>
      </w:r>
      <w:r w:rsidR="00755A6D">
        <w:rPr>
          <w:rFonts w:ascii="Calibri" w:hAnsi="Calibri" w:cs="Calibri"/>
        </w:rPr>
        <w:t xml:space="preserve">at least </w:t>
      </w:r>
      <w:r w:rsidR="00397A6F" w:rsidRPr="005C65FE">
        <w:rPr>
          <w:rFonts w:ascii="Calibri" w:hAnsi="Calibri" w:cs="Calibri"/>
        </w:rPr>
        <w:t>25</w:t>
      </w:r>
      <w:r w:rsidR="00397A6F">
        <w:rPr>
          <w:rFonts w:ascii="Calibri" w:hAnsi="Calibri" w:cs="Calibri"/>
        </w:rPr>
        <w:t xml:space="preserve"> </w:t>
      </w:r>
      <w:r w:rsidR="00397A6F" w:rsidRPr="00397A6F">
        <w:rPr>
          <w:rFonts w:ascii="Calibri" w:hAnsi="Calibri" w:cs="Calibri"/>
        </w:rPr>
        <w:t>mmHg at rest</w:t>
      </w:r>
      <w:r w:rsidR="00C23C83">
        <w:rPr>
          <w:rFonts w:ascii="Calibri" w:hAnsi="Calibri" w:cs="Calibri"/>
        </w:rPr>
        <w:t xml:space="preserve">. This represented a potential </w:t>
      </w:r>
      <w:r w:rsidR="0057376F">
        <w:rPr>
          <w:rFonts w:ascii="Calibri" w:hAnsi="Calibri" w:cs="Calibri"/>
        </w:rPr>
        <w:t xml:space="preserve">gap in PBS access for </w:t>
      </w:r>
      <w:r w:rsidR="00402A1E">
        <w:rPr>
          <w:rFonts w:ascii="Calibri" w:hAnsi="Calibri" w:cs="Calibri"/>
        </w:rPr>
        <w:t>those</w:t>
      </w:r>
      <w:r w:rsidR="00D65F84">
        <w:rPr>
          <w:rFonts w:ascii="Calibri" w:hAnsi="Calibri" w:cs="Calibri"/>
        </w:rPr>
        <w:t xml:space="preserve"> </w:t>
      </w:r>
      <w:r w:rsidR="0057376F">
        <w:rPr>
          <w:rFonts w:ascii="Calibri" w:hAnsi="Calibri" w:cs="Calibri"/>
        </w:rPr>
        <w:t xml:space="preserve">patients with </w:t>
      </w:r>
      <w:r w:rsidR="0057376F" w:rsidRPr="00F50D61">
        <w:rPr>
          <w:rFonts w:ascii="Calibri" w:hAnsi="Calibri" w:cs="Calibri"/>
        </w:rPr>
        <w:t>mPAP between 21</w:t>
      </w:r>
      <w:r w:rsidR="007D274F">
        <w:rPr>
          <w:rFonts w:ascii="Calibri" w:hAnsi="Calibri" w:cs="Calibri"/>
        </w:rPr>
        <w:t> </w:t>
      </w:r>
      <w:r w:rsidR="00263F4F">
        <w:rPr>
          <w:rFonts w:ascii="Calibri" w:hAnsi="Calibri" w:cs="Calibri"/>
        </w:rPr>
        <w:t>-</w:t>
      </w:r>
      <w:r w:rsidR="0057376F" w:rsidRPr="00F50D61">
        <w:rPr>
          <w:rFonts w:ascii="Calibri" w:hAnsi="Calibri" w:cs="Calibri"/>
        </w:rPr>
        <w:t>24</w:t>
      </w:r>
      <w:r w:rsidR="007D274F">
        <w:rPr>
          <w:rFonts w:ascii="Calibri" w:hAnsi="Calibri" w:cs="Calibri"/>
        </w:rPr>
        <w:t> </w:t>
      </w:r>
      <w:r w:rsidR="0057376F" w:rsidRPr="00F50D61">
        <w:rPr>
          <w:rFonts w:ascii="Calibri" w:hAnsi="Calibri" w:cs="Calibri"/>
        </w:rPr>
        <w:t>mmHg</w:t>
      </w:r>
      <w:r w:rsidR="00C237B4">
        <w:rPr>
          <w:rFonts w:ascii="Calibri" w:hAnsi="Calibri" w:cs="Calibri"/>
        </w:rPr>
        <w:t>. Clinicians noted that</w:t>
      </w:r>
      <w:r w:rsidR="001F408B">
        <w:rPr>
          <w:rFonts w:ascii="Calibri" w:hAnsi="Calibri" w:cs="Calibri"/>
        </w:rPr>
        <w:t xml:space="preserve"> clinical trial data and</w:t>
      </w:r>
      <w:r w:rsidR="00C237B4">
        <w:rPr>
          <w:rFonts w:ascii="Calibri" w:hAnsi="Calibri" w:cs="Calibri"/>
        </w:rPr>
        <w:t xml:space="preserve"> </w:t>
      </w:r>
      <w:r w:rsidR="0053608E">
        <w:rPr>
          <w:rFonts w:ascii="Calibri" w:hAnsi="Calibri" w:cs="Calibri"/>
        </w:rPr>
        <w:t>the</w:t>
      </w:r>
      <w:r w:rsidR="0053608E" w:rsidRPr="0053608E">
        <w:rPr>
          <w:rFonts w:ascii="Calibri" w:hAnsi="Calibri" w:cs="Calibri"/>
        </w:rPr>
        <w:t xml:space="preserve"> 7th World Symposium in PH algorithm is based on patients with confirmed group 1 PAH based on mPAP of at least 2</w:t>
      </w:r>
      <w:r w:rsidR="007D274F">
        <w:rPr>
          <w:rFonts w:ascii="Calibri" w:hAnsi="Calibri" w:cs="Calibri"/>
        </w:rPr>
        <w:t>5 </w:t>
      </w:r>
      <w:r w:rsidR="0053608E" w:rsidRPr="0053608E">
        <w:rPr>
          <w:rFonts w:ascii="Calibri" w:hAnsi="Calibri" w:cs="Calibri"/>
        </w:rPr>
        <w:t>mmHg</w:t>
      </w:r>
      <w:r w:rsidR="00F5469C">
        <w:rPr>
          <w:rFonts w:ascii="Calibri" w:hAnsi="Calibri" w:cs="Calibri"/>
        </w:rPr>
        <w:t xml:space="preserve"> </w:t>
      </w:r>
      <w:r w:rsidR="00C23C83">
        <w:rPr>
          <w:rFonts w:ascii="Calibri" w:hAnsi="Calibri" w:cs="Calibri"/>
        </w:rPr>
        <w:t xml:space="preserve">with minimal data on therapy with a mPAP of 21-24 mmHg, hence </w:t>
      </w:r>
      <w:r w:rsidR="00F5469C">
        <w:rPr>
          <w:rFonts w:ascii="Calibri" w:hAnsi="Calibri" w:cs="Calibri"/>
        </w:rPr>
        <w:t xml:space="preserve">changing the threshold in the PBS restriction would </w:t>
      </w:r>
      <w:r w:rsidR="00755A6D">
        <w:rPr>
          <w:rFonts w:ascii="Calibri" w:hAnsi="Calibri" w:cs="Calibri"/>
        </w:rPr>
        <w:t xml:space="preserve">potentially </w:t>
      </w:r>
      <w:r w:rsidR="00F5469C">
        <w:rPr>
          <w:rFonts w:ascii="Calibri" w:hAnsi="Calibri" w:cs="Calibri"/>
        </w:rPr>
        <w:t>be confusing</w:t>
      </w:r>
      <w:r w:rsidR="005E3A89">
        <w:rPr>
          <w:rFonts w:ascii="Calibri" w:hAnsi="Calibri" w:cs="Calibri"/>
        </w:rPr>
        <w:t xml:space="preserve">. </w:t>
      </w:r>
      <w:r w:rsidR="00C23C83">
        <w:rPr>
          <w:rFonts w:ascii="Calibri" w:hAnsi="Calibri" w:cs="Calibri"/>
        </w:rPr>
        <w:t>M</w:t>
      </w:r>
      <w:r w:rsidR="005E3A89">
        <w:rPr>
          <w:rFonts w:ascii="Calibri" w:hAnsi="Calibri" w:cs="Calibri"/>
        </w:rPr>
        <w:t>ost agreed that</w:t>
      </w:r>
      <w:r w:rsidR="00F50D61">
        <w:rPr>
          <w:rFonts w:ascii="Calibri" w:hAnsi="Calibri" w:cs="Calibri"/>
        </w:rPr>
        <w:t xml:space="preserve"> </w:t>
      </w:r>
      <w:r w:rsidR="00471879" w:rsidRPr="00F50D61">
        <w:rPr>
          <w:rFonts w:ascii="Calibri" w:hAnsi="Calibri" w:cs="Calibri"/>
        </w:rPr>
        <w:t xml:space="preserve">the number of patients with mPAP between 21-24 mmHg at diagnosis is likely to be </w:t>
      </w:r>
      <w:r w:rsidR="00C23C83">
        <w:rPr>
          <w:rFonts w:ascii="Calibri" w:hAnsi="Calibri" w:cs="Calibri"/>
        </w:rPr>
        <w:t xml:space="preserve">very </w:t>
      </w:r>
      <w:r w:rsidR="00471879" w:rsidRPr="00F50D61">
        <w:rPr>
          <w:rFonts w:ascii="Calibri" w:hAnsi="Calibri" w:cs="Calibri"/>
        </w:rPr>
        <w:t>small</w:t>
      </w:r>
      <w:r w:rsidR="005E3A89">
        <w:rPr>
          <w:rFonts w:ascii="Calibri" w:hAnsi="Calibri" w:cs="Calibri"/>
        </w:rPr>
        <w:t xml:space="preserve"> and </w:t>
      </w:r>
      <w:r w:rsidR="001205BE">
        <w:rPr>
          <w:rFonts w:ascii="Calibri" w:hAnsi="Calibri" w:cs="Calibri"/>
        </w:rPr>
        <w:t xml:space="preserve">may not be offered therapy depending on risk assessment.  Hence there is </w:t>
      </w:r>
      <w:r w:rsidR="005C7A96">
        <w:rPr>
          <w:rFonts w:ascii="Calibri" w:hAnsi="Calibri" w:cs="Calibri"/>
        </w:rPr>
        <w:t xml:space="preserve">likely to </w:t>
      </w:r>
      <w:r w:rsidR="001205BE">
        <w:rPr>
          <w:rFonts w:ascii="Calibri" w:hAnsi="Calibri" w:cs="Calibri"/>
        </w:rPr>
        <w:t xml:space="preserve">be </w:t>
      </w:r>
      <w:r w:rsidR="005C7A96">
        <w:rPr>
          <w:rFonts w:ascii="Calibri" w:hAnsi="Calibri" w:cs="Calibri"/>
        </w:rPr>
        <w:t xml:space="preserve">minimal </w:t>
      </w:r>
      <w:r w:rsidR="00967E5A">
        <w:rPr>
          <w:rFonts w:ascii="Calibri" w:hAnsi="Calibri" w:cs="Calibri"/>
        </w:rPr>
        <w:t xml:space="preserve">financial </w:t>
      </w:r>
      <w:r w:rsidR="005C7A96">
        <w:rPr>
          <w:rFonts w:ascii="Calibri" w:hAnsi="Calibri" w:cs="Calibri"/>
        </w:rPr>
        <w:t>impact</w:t>
      </w:r>
      <w:r w:rsidR="00967E5A">
        <w:rPr>
          <w:rFonts w:ascii="Calibri" w:hAnsi="Calibri" w:cs="Calibri"/>
        </w:rPr>
        <w:t xml:space="preserve"> to the PBS </w:t>
      </w:r>
      <w:r w:rsidR="005E3A89">
        <w:rPr>
          <w:rFonts w:ascii="Calibri" w:hAnsi="Calibri" w:cs="Calibri"/>
        </w:rPr>
        <w:t xml:space="preserve">if the PBS restrictions were to remain silent on the threshold for </w:t>
      </w:r>
      <w:r w:rsidR="00967E5A">
        <w:rPr>
          <w:rFonts w:ascii="Calibri" w:hAnsi="Calibri" w:cs="Calibri"/>
        </w:rPr>
        <w:t xml:space="preserve">PAH </w:t>
      </w:r>
      <w:r w:rsidR="005E3A89">
        <w:rPr>
          <w:rFonts w:ascii="Calibri" w:hAnsi="Calibri" w:cs="Calibri"/>
        </w:rPr>
        <w:t>diagnosis</w:t>
      </w:r>
      <w:r w:rsidR="004503F6" w:rsidRPr="00F50D61">
        <w:rPr>
          <w:rFonts w:ascii="Calibri" w:hAnsi="Calibri" w:cs="Calibri"/>
        </w:rPr>
        <w:t>.</w:t>
      </w:r>
    </w:p>
    <w:p w14:paraId="1A2A618B" w14:textId="1E8E1823" w:rsidR="002B538B" w:rsidRDefault="002B538B" w:rsidP="00F50D61">
      <w:pPr>
        <w:pStyle w:val="ListParagraph"/>
        <w:numPr>
          <w:ilvl w:val="0"/>
          <w:numId w:val="12"/>
        </w:numPr>
        <w:jc w:val="both"/>
        <w:rPr>
          <w:rFonts w:ascii="Calibri" w:hAnsi="Calibri" w:cs="Calibri"/>
        </w:rPr>
      </w:pPr>
      <w:r>
        <w:rPr>
          <w:rFonts w:ascii="Calibri" w:hAnsi="Calibri" w:cs="Calibri"/>
        </w:rPr>
        <w:t>Clinicians agreed that a measure of response to treatment</w:t>
      </w:r>
      <w:r w:rsidR="005A2CED">
        <w:rPr>
          <w:rFonts w:ascii="Calibri" w:hAnsi="Calibri" w:cs="Calibri"/>
        </w:rPr>
        <w:t xml:space="preserve"> in the PBS restrictions for continuation of therapy</w:t>
      </w:r>
      <w:r w:rsidR="009E3719">
        <w:rPr>
          <w:rFonts w:ascii="Calibri" w:hAnsi="Calibri" w:cs="Calibri"/>
        </w:rPr>
        <w:t xml:space="preserve"> was not necessary, stating that </w:t>
      </w:r>
      <w:r w:rsidR="002D58EE">
        <w:rPr>
          <w:rFonts w:ascii="Calibri" w:hAnsi="Calibri" w:cs="Calibri"/>
        </w:rPr>
        <w:t xml:space="preserve">clinician judgement is assessing </w:t>
      </w:r>
      <w:r w:rsidR="009E3719">
        <w:rPr>
          <w:rFonts w:ascii="Calibri" w:hAnsi="Calibri" w:cs="Calibri"/>
        </w:rPr>
        <w:t xml:space="preserve">stability </w:t>
      </w:r>
      <w:r w:rsidR="00311D96">
        <w:rPr>
          <w:rFonts w:ascii="Calibri" w:hAnsi="Calibri" w:cs="Calibri"/>
        </w:rPr>
        <w:t>of disease</w:t>
      </w:r>
      <w:r w:rsidR="001578A2">
        <w:rPr>
          <w:rFonts w:ascii="Calibri" w:hAnsi="Calibri" w:cs="Calibri"/>
        </w:rPr>
        <w:t xml:space="preserve"> and non-progression was adequate.</w:t>
      </w:r>
      <w:r w:rsidR="001205BE">
        <w:rPr>
          <w:rFonts w:ascii="Calibri" w:hAnsi="Calibri" w:cs="Calibri"/>
        </w:rPr>
        <w:t xml:space="preserve"> Clinicians noted that patients who improved with PAH specific therapy rarely de-escalated oral therapy.</w:t>
      </w:r>
    </w:p>
    <w:p w14:paraId="324F9701" w14:textId="08CDD818" w:rsidR="0000424D" w:rsidRPr="007E20E2" w:rsidRDefault="00200DA5" w:rsidP="007E20E2">
      <w:pPr>
        <w:pStyle w:val="ListParagraph"/>
        <w:numPr>
          <w:ilvl w:val="0"/>
          <w:numId w:val="12"/>
        </w:numPr>
        <w:jc w:val="both"/>
        <w:rPr>
          <w:rFonts w:ascii="Calibri" w:hAnsi="Calibri" w:cs="Calibri"/>
          <w:u w:val="single"/>
        </w:rPr>
      </w:pPr>
      <w:r>
        <w:rPr>
          <w:rFonts w:ascii="Calibri" w:hAnsi="Calibri" w:cs="Calibri"/>
        </w:rPr>
        <w:lastRenderedPageBreak/>
        <w:t xml:space="preserve">Clinicians agreed </w:t>
      </w:r>
      <w:r w:rsidR="00DD510A">
        <w:rPr>
          <w:rFonts w:ascii="Calibri" w:hAnsi="Calibri" w:cs="Calibri"/>
        </w:rPr>
        <w:t xml:space="preserve">that </w:t>
      </w:r>
      <w:r w:rsidR="002C57E3">
        <w:rPr>
          <w:rFonts w:ascii="Calibri" w:hAnsi="Calibri" w:cs="Calibri"/>
        </w:rPr>
        <w:t>three-month</w:t>
      </w:r>
      <w:r w:rsidR="00DD510A">
        <w:rPr>
          <w:rFonts w:ascii="Calibri" w:hAnsi="Calibri" w:cs="Calibri"/>
        </w:rPr>
        <w:t xml:space="preserve"> </w:t>
      </w:r>
      <w:r w:rsidR="002C57E3">
        <w:rPr>
          <w:rFonts w:ascii="Calibri" w:hAnsi="Calibri" w:cs="Calibri"/>
        </w:rPr>
        <w:t>interval</w:t>
      </w:r>
      <w:r w:rsidR="001205BE">
        <w:rPr>
          <w:rFonts w:ascii="Calibri" w:hAnsi="Calibri" w:cs="Calibri"/>
        </w:rPr>
        <w:t>s</w:t>
      </w:r>
      <w:r w:rsidR="002C57E3">
        <w:rPr>
          <w:rFonts w:ascii="Calibri" w:hAnsi="Calibri" w:cs="Calibri"/>
        </w:rPr>
        <w:t xml:space="preserve"> to </w:t>
      </w:r>
      <w:r w:rsidR="00DD510A">
        <w:rPr>
          <w:rFonts w:ascii="Calibri" w:hAnsi="Calibri" w:cs="Calibri"/>
        </w:rPr>
        <w:t>assess</w:t>
      </w:r>
      <w:r w:rsidR="00F926D8">
        <w:rPr>
          <w:rFonts w:ascii="Calibri" w:hAnsi="Calibri" w:cs="Calibri"/>
        </w:rPr>
        <w:t xml:space="preserve"> response to dual therapy </w:t>
      </w:r>
      <w:r w:rsidR="00664C8B">
        <w:rPr>
          <w:rFonts w:ascii="Calibri" w:hAnsi="Calibri" w:cs="Calibri"/>
        </w:rPr>
        <w:t xml:space="preserve">and </w:t>
      </w:r>
      <w:r w:rsidR="00E549DF">
        <w:rPr>
          <w:rFonts w:ascii="Calibri" w:hAnsi="Calibri" w:cs="Calibri"/>
        </w:rPr>
        <w:t xml:space="preserve">the requirement to add on </w:t>
      </w:r>
      <w:r w:rsidR="00141C48">
        <w:rPr>
          <w:rFonts w:ascii="Calibri" w:hAnsi="Calibri" w:cs="Calibri"/>
        </w:rPr>
        <w:t xml:space="preserve">(and not up titrate) therapy </w:t>
      </w:r>
      <w:r w:rsidR="00664C8B">
        <w:rPr>
          <w:rFonts w:ascii="Calibri" w:hAnsi="Calibri" w:cs="Calibri"/>
        </w:rPr>
        <w:t>was optimal.</w:t>
      </w:r>
    </w:p>
    <w:p w14:paraId="73643B85" w14:textId="77777777" w:rsidR="007E20E2" w:rsidRPr="007E20E2" w:rsidRDefault="007E20E2" w:rsidP="007E20E2">
      <w:pPr>
        <w:pStyle w:val="ListParagraph"/>
        <w:ind w:left="360"/>
        <w:jc w:val="both"/>
        <w:rPr>
          <w:rFonts w:ascii="Calibri" w:hAnsi="Calibri" w:cs="Calibri"/>
          <w:u w:val="single"/>
        </w:rPr>
      </w:pPr>
    </w:p>
    <w:p w14:paraId="691C4335" w14:textId="3ED2A6A3" w:rsidR="00711193" w:rsidRPr="00EC7F2C" w:rsidRDefault="00711193" w:rsidP="00711193">
      <w:pPr>
        <w:jc w:val="both"/>
        <w:rPr>
          <w:rFonts w:ascii="Calibri" w:hAnsi="Calibri" w:cs="Calibri"/>
          <w:u w:val="single"/>
        </w:rPr>
      </w:pPr>
      <w:r>
        <w:rPr>
          <w:rFonts w:ascii="Calibri" w:hAnsi="Calibri" w:cs="Calibri"/>
          <w:u w:val="single"/>
        </w:rPr>
        <w:t>The role of sotatercept in the PAH treatment paradigm</w:t>
      </w:r>
    </w:p>
    <w:p w14:paraId="6002AB2A" w14:textId="18E39A47" w:rsidR="00C31F0A" w:rsidRDefault="00C31F0A" w:rsidP="00C31F0A">
      <w:pPr>
        <w:pStyle w:val="ListParagraph"/>
        <w:numPr>
          <w:ilvl w:val="0"/>
          <w:numId w:val="12"/>
        </w:numPr>
        <w:jc w:val="both"/>
        <w:rPr>
          <w:rFonts w:ascii="Calibri" w:hAnsi="Calibri" w:cs="Calibri"/>
        </w:rPr>
      </w:pPr>
      <w:r w:rsidRPr="00C31F0A">
        <w:rPr>
          <w:rFonts w:ascii="Calibri" w:hAnsi="Calibri" w:cs="Calibri"/>
        </w:rPr>
        <w:t xml:space="preserve">Clinicians noted sotatercept’s efficacy across a wide range of disease severity covering patients with functional class II </w:t>
      </w:r>
      <w:r w:rsidR="002B60E4">
        <w:rPr>
          <w:rFonts w:ascii="Calibri" w:hAnsi="Calibri" w:cs="Calibri"/>
        </w:rPr>
        <w:t xml:space="preserve">symptoms </w:t>
      </w:r>
      <w:r w:rsidRPr="00C31F0A">
        <w:rPr>
          <w:rFonts w:ascii="Calibri" w:hAnsi="Calibri" w:cs="Calibri"/>
        </w:rPr>
        <w:t xml:space="preserve">(STELLAR trial), functional class II </w:t>
      </w:r>
      <w:r w:rsidR="002B60E4">
        <w:rPr>
          <w:rFonts w:ascii="Calibri" w:hAnsi="Calibri" w:cs="Calibri"/>
        </w:rPr>
        <w:t xml:space="preserve">symptoms </w:t>
      </w:r>
      <w:r w:rsidRPr="00C31F0A">
        <w:rPr>
          <w:rFonts w:ascii="Calibri" w:hAnsi="Calibri" w:cs="Calibri"/>
        </w:rPr>
        <w:t xml:space="preserve">with intermediate or high risk of disease progression (HYPERION trial), functional class III </w:t>
      </w:r>
      <w:r w:rsidR="00540EF3">
        <w:rPr>
          <w:rFonts w:ascii="Calibri" w:hAnsi="Calibri" w:cs="Calibri"/>
        </w:rPr>
        <w:t xml:space="preserve">symptoms </w:t>
      </w:r>
      <w:r w:rsidRPr="00C31F0A">
        <w:rPr>
          <w:rFonts w:ascii="Calibri" w:hAnsi="Calibri" w:cs="Calibri"/>
        </w:rPr>
        <w:t xml:space="preserve">(STELLAR, ZENITH trials), functional class III </w:t>
      </w:r>
      <w:r w:rsidR="00540EF3">
        <w:rPr>
          <w:rFonts w:ascii="Calibri" w:hAnsi="Calibri" w:cs="Calibri"/>
        </w:rPr>
        <w:t xml:space="preserve">symptoms </w:t>
      </w:r>
      <w:r w:rsidRPr="00C31F0A">
        <w:rPr>
          <w:rFonts w:ascii="Calibri" w:hAnsi="Calibri" w:cs="Calibri"/>
        </w:rPr>
        <w:t xml:space="preserve">with intermediate to high risk of disease progression (HYPERION trial) and functional class IV </w:t>
      </w:r>
      <w:r w:rsidR="00540EF3">
        <w:rPr>
          <w:rFonts w:ascii="Calibri" w:hAnsi="Calibri" w:cs="Calibri"/>
        </w:rPr>
        <w:t>symptoms</w:t>
      </w:r>
      <w:r w:rsidRPr="00C31F0A">
        <w:rPr>
          <w:rFonts w:ascii="Calibri" w:hAnsi="Calibri" w:cs="Calibri"/>
        </w:rPr>
        <w:t xml:space="preserve"> (ZENITH trial).</w:t>
      </w:r>
    </w:p>
    <w:p w14:paraId="614EA152" w14:textId="7BFDF7BD" w:rsidR="00C31F0A" w:rsidRDefault="0001210E" w:rsidP="00C31F0A">
      <w:pPr>
        <w:pStyle w:val="ListParagraph"/>
        <w:numPr>
          <w:ilvl w:val="0"/>
          <w:numId w:val="12"/>
        </w:numPr>
        <w:jc w:val="both"/>
        <w:rPr>
          <w:rFonts w:ascii="Calibri" w:hAnsi="Calibri" w:cs="Calibri"/>
        </w:rPr>
      </w:pPr>
      <w:r>
        <w:rPr>
          <w:rFonts w:ascii="Calibri" w:hAnsi="Calibri" w:cs="Calibri"/>
        </w:rPr>
        <w:t xml:space="preserve">Participants </w:t>
      </w:r>
      <w:r w:rsidR="00C31F0A" w:rsidRPr="00C31F0A">
        <w:rPr>
          <w:rFonts w:ascii="Calibri" w:hAnsi="Calibri" w:cs="Calibri"/>
        </w:rPr>
        <w:t xml:space="preserve">noted that </w:t>
      </w:r>
      <w:r w:rsidR="00740A66">
        <w:rPr>
          <w:rFonts w:ascii="Calibri" w:hAnsi="Calibri" w:cs="Calibri"/>
        </w:rPr>
        <w:t>in March 2025</w:t>
      </w:r>
      <w:r w:rsidR="00B32FCA">
        <w:rPr>
          <w:rFonts w:ascii="Calibri" w:hAnsi="Calibri" w:cs="Calibri"/>
        </w:rPr>
        <w:t>,</w:t>
      </w:r>
      <w:r w:rsidR="00740A66">
        <w:rPr>
          <w:rFonts w:ascii="Calibri" w:hAnsi="Calibri" w:cs="Calibri"/>
        </w:rPr>
        <w:t xml:space="preserve"> </w:t>
      </w:r>
      <w:r w:rsidR="00DE510C">
        <w:rPr>
          <w:rFonts w:ascii="Calibri" w:hAnsi="Calibri" w:cs="Calibri"/>
        </w:rPr>
        <w:t>the PBAC</w:t>
      </w:r>
      <w:r w:rsidR="00740A66">
        <w:rPr>
          <w:rFonts w:ascii="Calibri" w:hAnsi="Calibri" w:cs="Calibri"/>
        </w:rPr>
        <w:t xml:space="preserve"> considered </w:t>
      </w:r>
      <w:r w:rsidR="00987573">
        <w:rPr>
          <w:rFonts w:ascii="Calibri" w:hAnsi="Calibri" w:cs="Calibri"/>
        </w:rPr>
        <w:t xml:space="preserve">and did not recommend </w:t>
      </w:r>
      <w:r w:rsidR="00740A66">
        <w:rPr>
          <w:rFonts w:ascii="Calibri" w:hAnsi="Calibri" w:cs="Calibri"/>
        </w:rPr>
        <w:t xml:space="preserve">a submission presenting evidence </w:t>
      </w:r>
      <w:r w:rsidR="00381EFC">
        <w:rPr>
          <w:rFonts w:ascii="Calibri" w:hAnsi="Calibri" w:cs="Calibri"/>
        </w:rPr>
        <w:t>for use of sot</w:t>
      </w:r>
      <w:r w:rsidR="00BA56DC">
        <w:rPr>
          <w:rFonts w:ascii="Calibri" w:hAnsi="Calibri" w:cs="Calibri"/>
        </w:rPr>
        <w:t>at</w:t>
      </w:r>
      <w:r w:rsidR="00381EFC">
        <w:rPr>
          <w:rFonts w:ascii="Calibri" w:hAnsi="Calibri" w:cs="Calibri"/>
        </w:rPr>
        <w:t xml:space="preserve">ercept </w:t>
      </w:r>
      <w:r w:rsidR="004E1973">
        <w:rPr>
          <w:rFonts w:ascii="Calibri" w:hAnsi="Calibri" w:cs="Calibri"/>
        </w:rPr>
        <w:t xml:space="preserve">in patients with WHO FC II </w:t>
      </w:r>
      <w:r w:rsidR="00BD49C0">
        <w:rPr>
          <w:rFonts w:ascii="Calibri" w:hAnsi="Calibri" w:cs="Calibri"/>
        </w:rPr>
        <w:t xml:space="preserve">status </w:t>
      </w:r>
      <w:r w:rsidR="004D2014">
        <w:rPr>
          <w:rFonts w:ascii="Calibri" w:hAnsi="Calibri" w:cs="Calibri"/>
        </w:rPr>
        <w:t xml:space="preserve">and </w:t>
      </w:r>
      <w:r w:rsidR="008339F6">
        <w:rPr>
          <w:rFonts w:ascii="Calibri" w:hAnsi="Calibri" w:cs="Calibri"/>
        </w:rPr>
        <w:t>that</w:t>
      </w:r>
      <w:r w:rsidR="001205BE">
        <w:rPr>
          <w:rFonts w:ascii="Calibri" w:hAnsi="Calibri" w:cs="Calibri"/>
        </w:rPr>
        <w:t>,</w:t>
      </w:r>
      <w:r w:rsidR="008339F6">
        <w:rPr>
          <w:rFonts w:ascii="Calibri" w:hAnsi="Calibri" w:cs="Calibri"/>
        </w:rPr>
        <w:t xml:space="preserve"> </w:t>
      </w:r>
      <w:r w:rsidR="00B1505E">
        <w:rPr>
          <w:rFonts w:ascii="Calibri" w:hAnsi="Calibri" w:cs="Calibri"/>
        </w:rPr>
        <w:t xml:space="preserve">to date, </w:t>
      </w:r>
      <w:r w:rsidR="008339F6">
        <w:rPr>
          <w:rFonts w:ascii="Calibri" w:hAnsi="Calibri" w:cs="Calibri"/>
        </w:rPr>
        <w:t>a</w:t>
      </w:r>
      <w:r w:rsidR="001205BE">
        <w:rPr>
          <w:rFonts w:ascii="Calibri" w:hAnsi="Calibri" w:cs="Calibri"/>
        </w:rPr>
        <w:t xml:space="preserve"> resubmission in this population or a</w:t>
      </w:r>
      <w:r w:rsidR="008339F6">
        <w:rPr>
          <w:rFonts w:ascii="Calibri" w:hAnsi="Calibri" w:cs="Calibri"/>
        </w:rPr>
        <w:t xml:space="preserve">n application </w:t>
      </w:r>
      <w:r w:rsidR="000C7A6E">
        <w:rPr>
          <w:rFonts w:ascii="Calibri" w:hAnsi="Calibri" w:cs="Calibri"/>
        </w:rPr>
        <w:t xml:space="preserve">presenting </w:t>
      </w:r>
      <w:r w:rsidR="00B1505E">
        <w:rPr>
          <w:rFonts w:ascii="Calibri" w:hAnsi="Calibri" w:cs="Calibri"/>
        </w:rPr>
        <w:t xml:space="preserve">clinical </w:t>
      </w:r>
      <w:r w:rsidR="000C7A6E">
        <w:rPr>
          <w:rFonts w:ascii="Calibri" w:hAnsi="Calibri" w:cs="Calibri"/>
        </w:rPr>
        <w:t>evidence for use in patients with more severe PAH</w:t>
      </w:r>
      <w:r w:rsidR="00B43F7D">
        <w:rPr>
          <w:rFonts w:ascii="Calibri" w:hAnsi="Calibri" w:cs="Calibri"/>
        </w:rPr>
        <w:t xml:space="preserve"> had not been sub</w:t>
      </w:r>
      <w:r w:rsidR="00D37751">
        <w:rPr>
          <w:rFonts w:ascii="Calibri" w:hAnsi="Calibri" w:cs="Calibri"/>
        </w:rPr>
        <w:t>mitted for PBAC’s consideration</w:t>
      </w:r>
      <w:r w:rsidR="00B1505E">
        <w:rPr>
          <w:rFonts w:ascii="Calibri" w:hAnsi="Calibri" w:cs="Calibri"/>
        </w:rPr>
        <w:t xml:space="preserve">. </w:t>
      </w:r>
    </w:p>
    <w:p w14:paraId="3148BC8B" w14:textId="4A654AE7" w:rsidR="0095034E" w:rsidRDefault="0095034E" w:rsidP="0095034E">
      <w:pPr>
        <w:pStyle w:val="ListParagraph"/>
        <w:numPr>
          <w:ilvl w:val="0"/>
          <w:numId w:val="12"/>
        </w:numPr>
        <w:jc w:val="both"/>
        <w:rPr>
          <w:rFonts w:ascii="Calibri" w:hAnsi="Calibri" w:cs="Calibri"/>
        </w:rPr>
      </w:pPr>
      <w:r>
        <w:rPr>
          <w:rFonts w:ascii="Calibri" w:hAnsi="Calibri" w:cs="Calibri"/>
        </w:rPr>
        <w:t>Clinicians noted the benefits of using a disease modifying</w:t>
      </w:r>
      <w:r w:rsidR="00664C8B">
        <w:rPr>
          <w:rFonts w:ascii="Calibri" w:hAnsi="Calibri" w:cs="Calibri"/>
        </w:rPr>
        <w:t xml:space="preserve">, anti-proliferative </w:t>
      </w:r>
      <w:r>
        <w:rPr>
          <w:rFonts w:ascii="Calibri" w:hAnsi="Calibri" w:cs="Calibri"/>
        </w:rPr>
        <w:t>medicine early in the treatment paradigm</w:t>
      </w:r>
      <w:r w:rsidR="00BD49C0">
        <w:rPr>
          <w:rFonts w:ascii="Calibri" w:hAnsi="Calibri" w:cs="Calibri"/>
        </w:rPr>
        <w:t>,</w:t>
      </w:r>
      <w:r>
        <w:rPr>
          <w:rFonts w:ascii="Calibri" w:hAnsi="Calibri" w:cs="Calibri"/>
        </w:rPr>
        <w:t xml:space="preserve"> </w:t>
      </w:r>
      <w:r w:rsidR="00C13171">
        <w:rPr>
          <w:rFonts w:ascii="Calibri" w:hAnsi="Calibri" w:cs="Calibri"/>
        </w:rPr>
        <w:t>but agreed</w:t>
      </w:r>
      <w:r>
        <w:rPr>
          <w:rFonts w:ascii="Calibri" w:hAnsi="Calibri" w:cs="Calibri"/>
        </w:rPr>
        <w:t xml:space="preserve"> that</w:t>
      </w:r>
      <w:r w:rsidRPr="00C31F0A">
        <w:rPr>
          <w:rFonts w:ascii="Calibri" w:hAnsi="Calibri" w:cs="Calibri"/>
        </w:rPr>
        <w:t xml:space="preserve"> in the context of limited Government budgets</w:t>
      </w:r>
      <w:r w:rsidR="00664C8B">
        <w:rPr>
          <w:rFonts w:ascii="Calibri" w:hAnsi="Calibri" w:cs="Calibri"/>
        </w:rPr>
        <w:t>,</w:t>
      </w:r>
      <w:r w:rsidRPr="00C31F0A">
        <w:rPr>
          <w:rFonts w:ascii="Calibri" w:hAnsi="Calibri" w:cs="Calibri"/>
        </w:rPr>
        <w:t xml:space="preserve"> PBS subsidy </w:t>
      </w:r>
      <w:r>
        <w:rPr>
          <w:rFonts w:ascii="Calibri" w:hAnsi="Calibri" w:cs="Calibri"/>
        </w:rPr>
        <w:t xml:space="preserve">could initially be prioritised for </w:t>
      </w:r>
      <w:r w:rsidRPr="00C31F0A">
        <w:rPr>
          <w:rFonts w:ascii="Calibri" w:hAnsi="Calibri" w:cs="Calibri"/>
        </w:rPr>
        <w:t xml:space="preserve">the </w:t>
      </w:r>
      <w:r w:rsidR="00664C8B" w:rsidRPr="00C31F0A">
        <w:rPr>
          <w:rFonts w:ascii="Calibri" w:hAnsi="Calibri" w:cs="Calibri"/>
        </w:rPr>
        <w:t>patient group</w:t>
      </w:r>
      <w:r w:rsidRPr="00C31F0A">
        <w:rPr>
          <w:rFonts w:ascii="Calibri" w:hAnsi="Calibri" w:cs="Calibri"/>
        </w:rPr>
        <w:t xml:space="preserve"> </w:t>
      </w:r>
      <w:r>
        <w:rPr>
          <w:rFonts w:ascii="Calibri" w:hAnsi="Calibri" w:cs="Calibri"/>
        </w:rPr>
        <w:t xml:space="preserve">likely </w:t>
      </w:r>
      <w:r w:rsidRPr="00C31F0A">
        <w:rPr>
          <w:rFonts w:ascii="Calibri" w:hAnsi="Calibri" w:cs="Calibri"/>
        </w:rPr>
        <w:t xml:space="preserve">to derive the most benefit </w:t>
      </w:r>
      <w:r w:rsidR="00533CB9">
        <w:rPr>
          <w:rFonts w:ascii="Calibri" w:hAnsi="Calibri" w:cs="Calibri"/>
        </w:rPr>
        <w:t xml:space="preserve">– this patient group consists of </w:t>
      </w:r>
      <w:r>
        <w:rPr>
          <w:rFonts w:ascii="Calibri" w:hAnsi="Calibri" w:cs="Calibri"/>
        </w:rPr>
        <w:t xml:space="preserve">patients at higher risk with WHO FC III-IV </w:t>
      </w:r>
      <w:r w:rsidR="00533CB9">
        <w:rPr>
          <w:rFonts w:ascii="Calibri" w:hAnsi="Calibri" w:cs="Calibri"/>
        </w:rPr>
        <w:t xml:space="preserve">status </w:t>
      </w:r>
      <w:r>
        <w:rPr>
          <w:rFonts w:ascii="Calibri" w:hAnsi="Calibri" w:cs="Calibri"/>
        </w:rPr>
        <w:t>with limited treatment options</w:t>
      </w:r>
      <w:r w:rsidR="00151C43">
        <w:rPr>
          <w:rFonts w:ascii="Calibri" w:hAnsi="Calibri" w:cs="Calibri"/>
        </w:rPr>
        <w:t>.</w:t>
      </w:r>
    </w:p>
    <w:p w14:paraId="00239D9F" w14:textId="1777ED40" w:rsidR="001E28D0" w:rsidRDefault="001E28D0" w:rsidP="001E28D0">
      <w:pPr>
        <w:pStyle w:val="ListParagraph"/>
        <w:numPr>
          <w:ilvl w:val="0"/>
          <w:numId w:val="12"/>
        </w:numPr>
        <w:jc w:val="both"/>
        <w:rPr>
          <w:rFonts w:ascii="Calibri" w:hAnsi="Calibri" w:cs="Calibri"/>
        </w:rPr>
      </w:pPr>
      <w:r>
        <w:rPr>
          <w:rFonts w:ascii="Calibri" w:hAnsi="Calibri" w:cs="Calibri"/>
        </w:rPr>
        <w:t xml:space="preserve">Clinicians considered </w:t>
      </w:r>
      <w:r w:rsidRPr="00D13A80">
        <w:rPr>
          <w:rFonts w:ascii="Calibri" w:hAnsi="Calibri" w:cs="Calibri"/>
        </w:rPr>
        <w:t>ERA</w:t>
      </w:r>
      <w:r w:rsidR="00D84514">
        <w:rPr>
          <w:rFonts w:ascii="Calibri" w:hAnsi="Calibri" w:cs="Calibri"/>
        </w:rPr>
        <w:t xml:space="preserve"> plus</w:t>
      </w:r>
      <w:r w:rsidRPr="00D13A80">
        <w:rPr>
          <w:rFonts w:ascii="Calibri" w:hAnsi="Calibri" w:cs="Calibri"/>
        </w:rPr>
        <w:t xml:space="preserve"> a PDE</w:t>
      </w:r>
      <w:r w:rsidR="00A6524D">
        <w:rPr>
          <w:rFonts w:ascii="Calibri" w:hAnsi="Calibri" w:cs="Calibri"/>
        </w:rPr>
        <w:t>-</w:t>
      </w:r>
      <w:r w:rsidRPr="00D13A80">
        <w:rPr>
          <w:rFonts w:ascii="Calibri" w:hAnsi="Calibri" w:cs="Calibri"/>
        </w:rPr>
        <w:t xml:space="preserve">5i </w:t>
      </w:r>
      <w:r>
        <w:rPr>
          <w:rFonts w:ascii="Calibri" w:hAnsi="Calibri" w:cs="Calibri"/>
        </w:rPr>
        <w:t xml:space="preserve">dual therapy </w:t>
      </w:r>
      <w:r w:rsidRPr="00D13A80">
        <w:rPr>
          <w:rFonts w:ascii="Calibri" w:hAnsi="Calibri" w:cs="Calibri"/>
        </w:rPr>
        <w:t>would remain as the first-choice drug therapy in most patients</w:t>
      </w:r>
      <w:r>
        <w:rPr>
          <w:rFonts w:ascii="Calibri" w:hAnsi="Calibri" w:cs="Calibri"/>
        </w:rPr>
        <w:t xml:space="preserve">. </w:t>
      </w:r>
      <w:r w:rsidRPr="00DC7878">
        <w:rPr>
          <w:rFonts w:ascii="Calibri" w:hAnsi="Calibri" w:cs="Calibri"/>
        </w:rPr>
        <w:t xml:space="preserve">Sotatercept </w:t>
      </w:r>
      <w:r w:rsidR="00D35633">
        <w:rPr>
          <w:rFonts w:ascii="Calibri" w:hAnsi="Calibri" w:cs="Calibri"/>
        </w:rPr>
        <w:t xml:space="preserve">is associated with a </w:t>
      </w:r>
      <w:r w:rsidRPr="00DC7878">
        <w:rPr>
          <w:rFonts w:ascii="Calibri" w:hAnsi="Calibri" w:cs="Calibri"/>
        </w:rPr>
        <w:t xml:space="preserve">high incidence of side-effects in clinical trials </w:t>
      </w:r>
      <w:r w:rsidR="001205BE">
        <w:rPr>
          <w:rFonts w:ascii="Calibri" w:hAnsi="Calibri" w:cs="Calibri"/>
        </w:rPr>
        <w:t xml:space="preserve">with </w:t>
      </w:r>
      <w:r w:rsidRPr="00DC7878">
        <w:rPr>
          <w:rFonts w:ascii="Calibri" w:hAnsi="Calibri" w:cs="Calibri"/>
        </w:rPr>
        <w:t xml:space="preserve">very common </w:t>
      </w:r>
      <w:r w:rsidR="00855312">
        <w:rPr>
          <w:rFonts w:ascii="Calibri" w:hAnsi="Calibri" w:cs="Calibri"/>
        </w:rPr>
        <w:t>side</w:t>
      </w:r>
      <w:r w:rsidR="00037C97">
        <w:rPr>
          <w:rFonts w:ascii="Calibri" w:hAnsi="Calibri" w:cs="Calibri"/>
        </w:rPr>
        <w:t xml:space="preserve"> </w:t>
      </w:r>
      <w:r w:rsidR="00855312">
        <w:rPr>
          <w:rFonts w:ascii="Calibri" w:hAnsi="Calibri" w:cs="Calibri"/>
        </w:rPr>
        <w:t>effects</w:t>
      </w:r>
      <w:r w:rsidR="001205BE">
        <w:rPr>
          <w:rFonts w:ascii="Calibri" w:hAnsi="Calibri" w:cs="Calibri"/>
        </w:rPr>
        <w:t xml:space="preserve"> (</w:t>
      </w:r>
      <w:r w:rsidRPr="00DC7878">
        <w:rPr>
          <w:rFonts w:ascii="Calibri" w:hAnsi="Calibri" w:cs="Calibri"/>
        </w:rPr>
        <w:t xml:space="preserve">experienced </w:t>
      </w:r>
      <w:r w:rsidR="001555E8">
        <w:rPr>
          <w:rFonts w:ascii="Calibri" w:hAnsi="Calibri" w:cs="Calibri"/>
        </w:rPr>
        <w:t xml:space="preserve">by </w:t>
      </w:r>
      <w:r w:rsidRPr="00DC7878">
        <w:rPr>
          <w:rFonts w:ascii="Calibri" w:hAnsi="Calibri" w:cs="Calibri"/>
        </w:rPr>
        <w:t>10</w:t>
      </w:r>
      <w:r w:rsidR="00D108BD">
        <w:rPr>
          <w:rFonts w:ascii="Calibri" w:hAnsi="Calibri" w:cs="Calibri"/>
        </w:rPr>
        <w:t xml:space="preserve"> percent</w:t>
      </w:r>
      <w:r w:rsidRPr="00DC7878">
        <w:rPr>
          <w:rFonts w:ascii="Calibri" w:hAnsi="Calibri" w:cs="Calibri"/>
        </w:rPr>
        <w:t xml:space="preserve"> or more of trial subjects) ranging from rash, telangiectasia, erythema, diarrhea, increased haemoglobin, decreased platelets, antidrug antibodies, headache, dizziness</w:t>
      </w:r>
      <w:r w:rsidR="001205BE">
        <w:rPr>
          <w:rFonts w:ascii="Calibri" w:hAnsi="Calibri" w:cs="Calibri"/>
        </w:rPr>
        <w:t xml:space="preserve"> and</w:t>
      </w:r>
      <w:r w:rsidR="001205BE" w:rsidRPr="00DC7878">
        <w:rPr>
          <w:rFonts w:ascii="Calibri" w:hAnsi="Calibri" w:cs="Calibri"/>
        </w:rPr>
        <w:t xml:space="preserve"> </w:t>
      </w:r>
      <w:r w:rsidRPr="00DC7878">
        <w:rPr>
          <w:rFonts w:ascii="Calibri" w:hAnsi="Calibri" w:cs="Calibri"/>
        </w:rPr>
        <w:t xml:space="preserve">epistaxis. Common side effects (experienced by 1 </w:t>
      </w:r>
      <w:r w:rsidR="001555E8">
        <w:rPr>
          <w:rFonts w:ascii="Calibri" w:hAnsi="Calibri" w:cs="Calibri"/>
        </w:rPr>
        <w:t>to</w:t>
      </w:r>
      <w:r w:rsidR="001555E8" w:rsidRPr="00DC7878">
        <w:rPr>
          <w:rFonts w:ascii="Calibri" w:hAnsi="Calibri" w:cs="Calibri"/>
        </w:rPr>
        <w:t xml:space="preserve"> </w:t>
      </w:r>
      <w:r w:rsidRPr="00DC7878">
        <w:rPr>
          <w:rFonts w:ascii="Calibri" w:hAnsi="Calibri" w:cs="Calibri"/>
        </w:rPr>
        <w:t>10</w:t>
      </w:r>
      <w:r w:rsidR="00D108BD">
        <w:rPr>
          <w:rFonts w:ascii="Calibri" w:hAnsi="Calibri" w:cs="Calibri"/>
        </w:rPr>
        <w:t xml:space="preserve"> percent</w:t>
      </w:r>
      <w:r w:rsidRPr="00DC7878">
        <w:rPr>
          <w:rFonts w:ascii="Calibri" w:hAnsi="Calibri" w:cs="Calibri"/>
        </w:rPr>
        <w:t xml:space="preserve"> of trial subjects) have been serious bleeding (e.g., gastrointestinal, intracranial haemorrhage) and severe thrombocytopenia (platelet count less than 50,000/mm3). Consequently, clinicians </w:t>
      </w:r>
      <w:r>
        <w:rPr>
          <w:rFonts w:ascii="Calibri" w:hAnsi="Calibri" w:cs="Calibri"/>
        </w:rPr>
        <w:t>were</w:t>
      </w:r>
      <w:r w:rsidRPr="00DC7878">
        <w:rPr>
          <w:rFonts w:ascii="Calibri" w:hAnsi="Calibri" w:cs="Calibri"/>
        </w:rPr>
        <w:t xml:space="preserve"> doubtful that sotatercept would be used in patients with WHO functional class II </w:t>
      </w:r>
      <w:r w:rsidR="004F7252">
        <w:rPr>
          <w:rFonts w:ascii="Calibri" w:hAnsi="Calibri" w:cs="Calibri"/>
        </w:rPr>
        <w:t xml:space="preserve">status </w:t>
      </w:r>
      <w:r w:rsidR="001205BE">
        <w:rPr>
          <w:rFonts w:ascii="Calibri" w:hAnsi="Calibri" w:cs="Calibri"/>
        </w:rPr>
        <w:t>in place of</w:t>
      </w:r>
      <w:r>
        <w:rPr>
          <w:rFonts w:ascii="Calibri" w:hAnsi="Calibri" w:cs="Calibri"/>
        </w:rPr>
        <w:t xml:space="preserve"> an ERA </w:t>
      </w:r>
      <w:r w:rsidR="00D84514">
        <w:rPr>
          <w:rFonts w:ascii="Calibri" w:hAnsi="Calibri" w:cs="Calibri"/>
        </w:rPr>
        <w:t>plus</w:t>
      </w:r>
      <w:r>
        <w:rPr>
          <w:rFonts w:ascii="Calibri" w:hAnsi="Calibri" w:cs="Calibri"/>
        </w:rPr>
        <w:t xml:space="preserve"> PDE-5i</w:t>
      </w:r>
      <w:r w:rsidRPr="00DC7878">
        <w:rPr>
          <w:rFonts w:ascii="Calibri" w:hAnsi="Calibri" w:cs="Calibri"/>
        </w:rPr>
        <w:t xml:space="preserve">.  </w:t>
      </w:r>
    </w:p>
    <w:p w14:paraId="5A0C3127" w14:textId="2362F2AB" w:rsidR="002D6252" w:rsidRDefault="00AE7BC3" w:rsidP="00060551">
      <w:pPr>
        <w:pStyle w:val="ListParagraph"/>
        <w:numPr>
          <w:ilvl w:val="0"/>
          <w:numId w:val="12"/>
        </w:numPr>
        <w:jc w:val="both"/>
        <w:rPr>
          <w:rFonts w:ascii="Calibri" w:hAnsi="Calibri" w:cs="Calibri"/>
        </w:rPr>
      </w:pPr>
      <w:r>
        <w:rPr>
          <w:rFonts w:ascii="Calibri" w:hAnsi="Calibri" w:cs="Calibri"/>
        </w:rPr>
        <w:t xml:space="preserve">Clinicians suggested </w:t>
      </w:r>
      <w:r w:rsidR="0017627A">
        <w:rPr>
          <w:rFonts w:ascii="Calibri" w:hAnsi="Calibri" w:cs="Calibri"/>
        </w:rPr>
        <w:t xml:space="preserve">sotatercept </w:t>
      </w:r>
      <w:r w:rsidR="002D6252">
        <w:rPr>
          <w:rFonts w:ascii="Calibri" w:hAnsi="Calibri" w:cs="Calibri"/>
        </w:rPr>
        <w:t xml:space="preserve">therapy </w:t>
      </w:r>
      <w:r w:rsidR="00906CE5">
        <w:rPr>
          <w:rFonts w:ascii="Calibri" w:hAnsi="Calibri" w:cs="Calibri"/>
        </w:rPr>
        <w:t>c</w:t>
      </w:r>
      <w:r w:rsidR="0017627A">
        <w:rPr>
          <w:rFonts w:ascii="Calibri" w:hAnsi="Calibri" w:cs="Calibri"/>
        </w:rPr>
        <w:t>ould be prioritised for</w:t>
      </w:r>
      <w:r w:rsidR="0017627A" w:rsidRPr="0017627A">
        <w:rPr>
          <w:rFonts w:ascii="Calibri" w:hAnsi="Calibri" w:cs="Calibri"/>
        </w:rPr>
        <w:t xml:space="preserve"> patients</w:t>
      </w:r>
      <w:r w:rsidR="0067699D">
        <w:rPr>
          <w:rFonts w:ascii="Calibri" w:hAnsi="Calibri" w:cs="Calibri"/>
        </w:rPr>
        <w:t xml:space="preserve"> </w:t>
      </w:r>
      <w:r w:rsidR="00A16EB7">
        <w:rPr>
          <w:rFonts w:ascii="Calibri" w:hAnsi="Calibri" w:cs="Calibri"/>
        </w:rPr>
        <w:t>in the following order:</w:t>
      </w:r>
      <w:r w:rsidR="00BC74B2">
        <w:rPr>
          <w:rFonts w:ascii="Calibri" w:hAnsi="Calibri" w:cs="Calibri"/>
        </w:rPr>
        <w:t xml:space="preserve"> </w:t>
      </w:r>
    </w:p>
    <w:p w14:paraId="5A82AB01" w14:textId="061CFA5A" w:rsidR="00060551" w:rsidRPr="00060551" w:rsidRDefault="00060551" w:rsidP="002D6252">
      <w:pPr>
        <w:pStyle w:val="ListParagraph"/>
        <w:ind w:left="360"/>
        <w:jc w:val="both"/>
        <w:rPr>
          <w:rFonts w:ascii="Calibri" w:hAnsi="Calibri" w:cs="Calibri"/>
        </w:rPr>
      </w:pPr>
      <w:r w:rsidRPr="00060551">
        <w:rPr>
          <w:rFonts w:ascii="Calibri" w:hAnsi="Calibri" w:cs="Calibri"/>
        </w:rPr>
        <w:t xml:space="preserve">(1) Patients on maximum tolerated triple drug therapy </w:t>
      </w:r>
      <w:r w:rsidR="00B32FCA">
        <w:rPr>
          <w:rFonts w:ascii="Calibri" w:hAnsi="Calibri" w:cs="Calibri"/>
        </w:rPr>
        <w:t xml:space="preserve">that </w:t>
      </w:r>
      <w:r w:rsidR="0069015C">
        <w:rPr>
          <w:rFonts w:ascii="Calibri" w:hAnsi="Calibri" w:cs="Calibri"/>
        </w:rPr>
        <w:t>includ</w:t>
      </w:r>
      <w:r w:rsidR="00B32FCA">
        <w:rPr>
          <w:rFonts w:ascii="Calibri" w:hAnsi="Calibri" w:cs="Calibri"/>
        </w:rPr>
        <w:t xml:space="preserve">es </w:t>
      </w:r>
      <w:r w:rsidR="0069015C">
        <w:rPr>
          <w:rFonts w:ascii="Calibri" w:hAnsi="Calibri" w:cs="Calibri"/>
        </w:rPr>
        <w:t>epoprostenol</w:t>
      </w:r>
      <w:r w:rsidR="001205BE">
        <w:rPr>
          <w:rFonts w:ascii="Calibri" w:hAnsi="Calibri" w:cs="Calibri"/>
        </w:rPr>
        <w:t>,</w:t>
      </w:r>
      <w:r w:rsidR="0069015C">
        <w:rPr>
          <w:rFonts w:ascii="Calibri" w:hAnsi="Calibri" w:cs="Calibri"/>
        </w:rPr>
        <w:t xml:space="preserve"> </w:t>
      </w:r>
      <w:r w:rsidR="000711B1">
        <w:rPr>
          <w:rFonts w:ascii="Calibri" w:hAnsi="Calibri" w:cs="Calibri"/>
        </w:rPr>
        <w:t>‘as add on’ therapy</w:t>
      </w:r>
      <w:r w:rsidR="000711B1" w:rsidRPr="00060551">
        <w:rPr>
          <w:rFonts w:ascii="Calibri" w:hAnsi="Calibri" w:cs="Calibri"/>
        </w:rPr>
        <w:t xml:space="preserve"> </w:t>
      </w:r>
      <w:r w:rsidRPr="00060551">
        <w:rPr>
          <w:rFonts w:ascii="Calibri" w:hAnsi="Calibri" w:cs="Calibri"/>
        </w:rPr>
        <w:t xml:space="preserve">who </w:t>
      </w:r>
      <w:r w:rsidR="000444E0">
        <w:rPr>
          <w:rFonts w:ascii="Calibri" w:hAnsi="Calibri" w:cs="Calibri"/>
        </w:rPr>
        <w:t xml:space="preserve">would otherwise </w:t>
      </w:r>
      <w:r w:rsidRPr="00060551">
        <w:rPr>
          <w:rFonts w:ascii="Calibri" w:hAnsi="Calibri" w:cs="Calibri"/>
        </w:rPr>
        <w:t xml:space="preserve">progress to either lung transplantation or </w:t>
      </w:r>
      <w:proofErr w:type="gramStart"/>
      <w:r w:rsidRPr="00060551">
        <w:rPr>
          <w:rFonts w:ascii="Calibri" w:hAnsi="Calibri" w:cs="Calibri"/>
        </w:rPr>
        <w:t>death;</w:t>
      </w:r>
      <w:proofErr w:type="gramEnd"/>
    </w:p>
    <w:p w14:paraId="61E72D96" w14:textId="65EB98FE" w:rsidR="00060551" w:rsidRPr="00060551" w:rsidRDefault="00060551" w:rsidP="00060551">
      <w:pPr>
        <w:pStyle w:val="ListParagraph"/>
        <w:ind w:left="360"/>
        <w:jc w:val="both"/>
        <w:rPr>
          <w:rFonts w:ascii="Calibri" w:hAnsi="Calibri" w:cs="Calibri"/>
        </w:rPr>
      </w:pPr>
      <w:r w:rsidRPr="00060551">
        <w:rPr>
          <w:rFonts w:ascii="Calibri" w:hAnsi="Calibri" w:cs="Calibri"/>
        </w:rPr>
        <w:t xml:space="preserve">(2) Patients who are receiving triple drug therapy </w:t>
      </w:r>
      <w:r w:rsidR="00C858C5">
        <w:rPr>
          <w:rFonts w:ascii="Calibri" w:hAnsi="Calibri" w:cs="Calibri"/>
        </w:rPr>
        <w:t xml:space="preserve">that </w:t>
      </w:r>
      <w:r w:rsidR="00D65219">
        <w:rPr>
          <w:rFonts w:ascii="Calibri" w:hAnsi="Calibri" w:cs="Calibri"/>
        </w:rPr>
        <w:t xml:space="preserve">includes </w:t>
      </w:r>
      <w:r w:rsidRPr="00060551">
        <w:rPr>
          <w:rFonts w:ascii="Calibri" w:hAnsi="Calibri" w:cs="Calibri"/>
        </w:rPr>
        <w:t>selexipag</w:t>
      </w:r>
      <w:r w:rsidR="00D65219">
        <w:rPr>
          <w:rFonts w:ascii="Calibri" w:hAnsi="Calibri" w:cs="Calibri"/>
        </w:rPr>
        <w:t xml:space="preserve"> due to intolerance or inability to use </w:t>
      </w:r>
      <w:proofErr w:type="gramStart"/>
      <w:r w:rsidR="00D65219">
        <w:rPr>
          <w:rFonts w:ascii="Calibri" w:hAnsi="Calibri" w:cs="Calibri"/>
        </w:rPr>
        <w:t>epoprostenol</w:t>
      </w:r>
      <w:r w:rsidRPr="00060551">
        <w:rPr>
          <w:rFonts w:ascii="Calibri" w:hAnsi="Calibri" w:cs="Calibri"/>
        </w:rPr>
        <w:t>;</w:t>
      </w:r>
      <w:proofErr w:type="gramEnd"/>
    </w:p>
    <w:p w14:paraId="211480EB" w14:textId="0236602E" w:rsidR="00A16EB7" w:rsidRDefault="00060551" w:rsidP="00060551">
      <w:pPr>
        <w:pStyle w:val="ListParagraph"/>
        <w:ind w:left="360"/>
        <w:jc w:val="both"/>
        <w:rPr>
          <w:rFonts w:ascii="Calibri" w:hAnsi="Calibri" w:cs="Calibri"/>
        </w:rPr>
      </w:pPr>
      <w:r w:rsidRPr="00060551">
        <w:rPr>
          <w:rFonts w:ascii="Calibri" w:hAnsi="Calibri" w:cs="Calibri"/>
        </w:rPr>
        <w:t xml:space="preserve">(3) Patients on dual drug therapy </w:t>
      </w:r>
      <w:r w:rsidR="005E3931">
        <w:rPr>
          <w:rFonts w:ascii="Calibri" w:hAnsi="Calibri" w:cs="Calibri"/>
        </w:rPr>
        <w:t xml:space="preserve">with </w:t>
      </w:r>
      <w:r w:rsidRPr="00060551">
        <w:rPr>
          <w:rFonts w:ascii="Calibri" w:hAnsi="Calibri" w:cs="Calibri"/>
        </w:rPr>
        <w:t xml:space="preserve">inadequate </w:t>
      </w:r>
      <w:r w:rsidR="005E3931">
        <w:rPr>
          <w:rFonts w:ascii="Calibri" w:hAnsi="Calibri" w:cs="Calibri"/>
        </w:rPr>
        <w:t xml:space="preserve">response </w:t>
      </w:r>
      <w:r w:rsidRPr="00060551">
        <w:rPr>
          <w:rFonts w:ascii="Calibri" w:hAnsi="Calibri" w:cs="Calibri"/>
        </w:rPr>
        <w:t xml:space="preserve">and where </w:t>
      </w:r>
      <w:r w:rsidR="007544E9">
        <w:rPr>
          <w:rFonts w:ascii="Calibri" w:hAnsi="Calibri" w:cs="Calibri"/>
        </w:rPr>
        <w:t>pros</w:t>
      </w:r>
      <w:r w:rsidR="002C6F6D">
        <w:rPr>
          <w:rFonts w:ascii="Calibri" w:hAnsi="Calibri" w:cs="Calibri"/>
        </w:rPr>
        <w:t xml:space="preserve">tanoids are unsuitable </w:t>
      </w:r>
      <w:r w:rsidR="004F7252">
        <w:rPr>
          <w:rFonts w:ascii="Calibri" w:hAnsi="Calibri" w:cs="Calibri"/>
        </w:rPr>
        <w:t>(</w:t>
      </w:r>
      <w:r w:rsidR="002C6F6D">
        <w:rPr>
          <w:rFonts w:ascii="Calibri" w:hAnsi="Calibri" w:cs="Calibri"/>
        </w:rPr>
        <w:t>e.g.</w:t>
      </w:r>
      <w:r w:rsidR="00D108BD">
        <w:rPr>
          <w:rFonts w:ascii="Calibri" w:hAnsi="Calibri" w:cs="Calibri"/>
        </w:rPr>
        <w:t>,</w:t>
      </w:r>
      <w:r w:rsidRPr="00060551">
        <w:rPr>
          <w:rFonts w:ascii="Calibri" w:hAnsi="Calibri" w:cs="Calibri"/>
        </w:rPr>
        <w:t xml:space="preserve"> </w:t>
      </w:r>
      <w:r w:rsidR="00A71301">
        <w:rPr>
          <w:rFonts w:ascii="Calibri" w:hAnsi="Calibri" w:cs="Calibri"/>
        </w:rPr>
        <w:t>intravenous</w:t>
      </w:r>
      <w:r w:rsidR="00A71301" w:rsidRPr="00060551">
        <w:rPr>
          <w:rFonts w:ascii="Calibri" w:hAnsi="Calibri" w:cs="Calibri"/>
        </w:rPr>
        <w:t xml:space="preserve"> </w:t>
      </w:r>
      <w:r w:rsidR="005E3931">
        <w:rPr>
          <w:rFonts w:ascii="Calibri" w:hAnsi="Calibri" w:cs="Calibri"/>
        </w:rPr>
        <w:t xml:space="preserve">or inhaled </w:t>
      </w:r>
      <w:r w:rsidRPr="00060551">
        <w:rPr>
          <w:rFonts w:ascii="Calibri" w:hAnsi="Calibri" w:cs="Calibri"/>
        </w:rPr>
        <w:t>prostacyclin is likely to pose practical difficulties in achieving compliance</w:t>
      </w:r>
      <w:r w:rsidR="002C6F6D">
        <w:rPr>
          <w:rFonts w:ascii="Calibri" w:hAnsi="Calibri" w:cs="Calibri"/>
        </w:rPr>
        <w:t xml:space="preserve">, </w:t>
      </w:r>
      <w:r w:rsidR="000A601B">
        <w:rPr>
          <w:rFonts w:ascii="Calibri" w:hAnsi="Calibri" w:cs="Calibri"/>
        </w:rPr>
        <w:t xml:space="preserve">selexipag </w:t>
      </w:r>
      <w:r w:rsidR="00B74E06">
        <w:rPr>
          <w:rFonts w:ascii="Calibri" w:hAnsi="Calibri" w:cs="Calibri"/>
        </w:rPr>
        <w:t xml:space="preserve">associated diarrhoea in patients </w:t>
      </w:r>
      <w:r w:rsidR="007E3FCC">
        <w:rPr>
          <w:rFonts w:ascii="Calibri" w:hAnsi="Calibri" w:cs="Calibri"/>
        </w:rPr>
        <w:t>with scleroderma</w:t>
      </w:r>
      <w:r w:rsidR="00417D2B">
        <w:rPr>
          <w:rFonts w:ascii="Calibri" w:hAnsi="Calibri" w:cs="Calibri"/>
        </w:rPr>
        <w:t xml:space="preserve">, </w:t>
      </w:r>
      <w:r w:rsidR="00EB1256">
        <w:rPr>
          <w:rFonts w:ascii="Calibri" w:hAnsi="Calibri" w:cs="Calibri"/>
        </w:rPr>
        <w:t xml:space="preserve">inability to </w:t>
      </w:r>
      <w:r w:rsidR="00417D2B">
        <w:rPr>
          <w:rFonts w:ascii="Calibri" w:hAnsi="Calibri" w:cs="Calibri"/>
        </w:rPr>
        <w:t xml:space="preserve">titrate </w:t>
      </w:r>
      <w:r w:rsidR="00594569">
        <w:rPr>
          <w:rFonts w:ascii="Calibri" w:hAnsi="Calibri" w:cs="Calibri"/>
        </w:rPr>
        <w:t>selexipag</w:t>
      </w:r>
      <w:r w:rsidR="00B32608">
        <w:rPr>
          <w:rFonts w:ascii="Calibri" w:hAnsi="Calibri" w:cs="Calibri"/>
        </w:rPr>
        <w:t xml:space="preserve"> </w:t>
      </w:r>
      <w:r w:rsidR="00775E65">
        <w:rPr>
          <w:rFonts w:ascii="Calibri" w:hAnsi="Calibri" w:cs="Calibri"/>
        </w:rPr>
        <w:t xml:space="preserve">doses </w:t>
      </w:r>
      <w:r w:rsidR="00EB1256">
        <w:rPr>
          <w:rFonts w:ascii="Calibri" w:hAnsi="Calibri" w:cs="Calibri"/>
        </w:rPr>
        <w:t>via telehealth</w:t>
      </w:r>
      <w:r w:rsidR="00FE65D3">
        <w:rPr>
          <w:rFonts w:ascii="Calibri" w:hAnsi="Calibri" w:cs="Calibri"/>
        </w:rPr>
        <w:t xml:space="preserve"> </w:t>
      </w:r>
      <w:r w:rsidR="003D6803">
        <w:rPr>
          <w:rFonts w:ascii="Calibri" w:hAnsi="Calibri" w:cs="Calibri"/>
        </w:rPr>
        <w:t xml:space="preserve">or to use </w:t>
      </w:r>
      <w:r w:rsidR="0069286E">
        <w:rPr>
          <w:rFonts w:ascii="Calibri" w:hAnsi="Calibri" w:cs="Calibri"/>
        </w:rPr>
        <w:t xml:space="preserve">epoprostenol </w:t>
      </w:r>
      <w:r w:rsidR="00B32608">
        <w:rPr>
          <w:rFonts w:ascii="Calibri" w:hAnsi="Calibri" w:cs="Calibri"/>
        </w:rPr>
        <w:t xml:space="preserve">due to </w:t>
      </w:r>
      <w:r w:rsidR="0095710A">
        <w:rPr>
          <w:rFonts w:ascii="Calibri" w:hAnsi="Calibri" w:cs="Calibri"/>
        </w:rPr>
        <w:t>rural/remoteness</w:t>
      </w:r>
      <w:r w:rsidR="004F7252">
        <w:rPr>
          <w:rFonts w:ascii="Calibri" w:hAnsi="Calibri" w:cs="Calibri"/>
        </w:rPr>
        <w:t>)</w:t>
      </w:r>
      <w:r w:rsidR="00151C43">
        <w:rPr>
          <w:rFonts w:ascii="Calibri" w:hAnsi="Calibri" w:cs="Calibri"/>
        </w:rPr>
        <w:t>.</w:t>
      </w:r>
    </w:p>
    <w:p w14:paraId="26C906E7" w14:textId="5592596B" w:rsidR="00056428" w:rsidRDefault="00D050DC" w:rsidP="008D62BC">
      <w:pPr>
        <w:pStyle w:val="ListParagraph"/>
        <w:widowControl w:val="0"/>
        <w:numPr>
          <w:ilvl w:val="0"/>
          <w:numId w:val="28"/>
        </w:numPr>
        <w:spacing w:before="120"/>
        <w:jc w:val="both"/>
        <w:rPr>
          <w:rFonts w:ascii="Calibri" w:hAnsi="Calibri" w:cs="Calibri"/>
        </w:rPr>
      </w:pPr>
      <w:r>
        <w:rPr>
          <w:rFonts w:ascii="Calibri" w:hAnsi="Calibri" w:cs="Calibri"/>
        </w:rPr>
        <w:t xml:space="preserve">Clinicians agreed that </w:t>
      </w:r>
      <w:r w:rsidR="00CC2CF4">
        <w:rPr>
          <w:rFonts w:ascii="Calibri" w:hAnsi="Calibri" w:cs="Calibri"/>
        </w:rPr>
        <w:t>the</w:t>
      </w:r>
      <w:r w:rsidR="005B1DE6">
        <w:rPr>
          <w:rFonts w:ascii="Calibri" w:hAnsi="Calibri" w:cs="Calibri"/>
        </w:rPr>
        <w:t xml:space="preserve">re is a large </w:t>
      </w:r>
      <w:r w:rsidR="00CC2CF4">
        <w:rPr>
          <w:rFonts w:ascii="Calibri" w:hAnsi="Calibri" w:cs="Calibri"/>
        </w:rPr>
        <w:t xml:space="preserve">group of patients not </w:t>
      </w:r>
      <w:r w:rsidR="006B363A">
        <w:rPr>
          <w:rFonts w:ascii="Calibri" w:hAnsi="Calibri" w:cs="Calibri"/>
        </w:rPr>
        <w:t xml:space="preserve">adequately </w:t>
      </w:r>
      <w:r w:rsidR="00CC2CF4">
        <w:rPr>
          <w:rFonts w:ascii="Calibri" w:hAnsi="Calibri" w:cs="Calibri"/>
        </w:rPr>
        <w:t>responding to dual therapy</w:t>
      </w:r>
      <w:r w:rsidR="005B1DE6">
        <w:rPr>
          <w:rFonts w:ascii="Calibri" w:hAnsi="Calibri" w:cs="Calibri"/>
        </w:rPr>
        <w:t xml:space="preserve">. </w:t>
      </w:r>
      <w:r w:rsidR="005B1DE6" w:rsidRPr="00816C01">
        <w:rPr>
          <w:rFonts w:ascii="Calibri" w:hAnsi="Calibri" w:cs="Calibri"/>
        </w:rPr>
        <w:t xml:space="preserve">One clinician estimated </w:t>
      </w:r>
      <w:r w:rsidR="00E81EDE">
        <w:rPr>
          <w:rFonts w:ascii="Calibri" w:hAnsi="Calibri" w:cs="Calibri"/>
        </w:rPr>
        <w:t>that</w:t>
      </w:r>
      <w:r w:rsidR="00056428">
        <w:rPr>
          <w:rFonts w:ascii="Calibri" w:hAnsi="Calibri" w:cs="Calibri"/>
        </w:rPr>
        <w:t xml:space="preserve"> </w:t>
      </w:r>
      <w:r w:rsidR="00056428" w:rsidRPr="00816C01">
        <w:rPr>
          <w:rFonts w:ascii="Calibri" w:hAnsi="Calibri" w:cs="Calibri"/>
        </w:rPr>
        <w:t>using a validated risk calculator</w:t>
      </w:r>
      <w:r w:rsidR="00C96661">
        <w:rPr>
          <w:rFonts w:ascii="Calibri" w:hAnsi="Calibri" w:cs="Calibri"/>
        </w:rPr>
        <w:t>,</w:t>
      </w:r>
      <w:r w:rsidR="00E81EDE">
        <w:rPr>
          <w:rFonts w:ascii="Calibri" w:hAnsi="Calibri" w:cs="Calibri"/>
        </w:rPr>
        <w:t xml:space="preserve"> </w:t>
      </w:r>
      <w:r w:rsidR="005B1DE6" w:rsidRPr="00816C01">
        <w:rPr>
          <w:rFonts w:ascii="Calibri" w:hAnsi="Calibri" w:cs="Calibri"/>
        </w:rPr>
        <w:t xml:space="preserve">approximately </w:t>
      </w:r>
      <w:r w:rsidR="005B1DE6" w:rsidRPr="00816C01">
        <w:rPr>
          <w:rFonts w:ascii="Calibri" w:hAnsi="Calibri" w:cs="Calibri"/>
        </w:rPr>
        <w:lastRenderedPageBreak/>
        <w:t>20</w:t>
      </w:r>
      <w:r w:rsidR="00D108BD">
        <w:rPr>
          <w:rFonts w:ascii="Calibri" w:hAnsi="Calibri" w:cs="Calibri"/>
        </w:rPr>
        <w:t> percent</w:t>
      </w:r>
      <w:r w:rsidR="005B1DE6" w:rsidRPr="00816C01">
        <w:rPr>
          <w:rFonts w:ascii="Calibri" w:hAnsi="Calibri" w:cs="Calibri"/>
        </w:rPr>
        <w:t xml:space="preserve"> of these patients would be considered to have a ‘high</w:t>
      </w:r>
      <w:r w:rsidR="00CC4D0F">
        <w:rPr>
          <w:rFonts w:ascii="Calibri" w:hAnsi="Calibri" w:cs="Calibri"/>
        </w:rPr>
        <w:t xml:space="preserve"> </w:t>
      </w:r>
      <w:r w:rsidR="005B1DE6" w:rsidRPr="00816C01">
        <w:rPr>
          <w:rFonts w:ascii="Calibri" w:hAnsi="Calibri" w:cs="Calibri"/>
        </w:rPr>
        <w:t>risk’ of mortality</w:t>
      </w:r>
      <w:r w:rsidR="00112F9C">
        <w:rPr>
          <w:rFonts w:ascii="Calibri" w:hAnsi="Calibri" w:cs="Calibri"/>
        </w:rPr>
        <w:t xml:space="preserve">, </w:t>
      </w:r>
      <w:r w:rsidR="005B1DE6" w:rsidRPr="00816C01">
        <w:rPr>
          <w:rFonts w:ascii="Calibri" w:hAnsi="Calibri" w:cs="Calibri"/>
        </w:rPr>
        <w:t>and that a</w:t>
      </w:r>
      <w:r w:rsidR="00193365">
        <w:rPr>
          <w:rFonts w:ascii="Calibri" w:hAnsi="Calibri" w:cs="Calibri"/>
        </w:rPr>
        <w:t xml:space="preserve"> further </w:t>
      </w:r>
      <w:r w:rsidR="005B1DE6" w:rsidRPr="00816C01">
        <w:rPr>
          <w:rFonts w:ascii="Calibri" w:hAnsi="Calibri" w:cs="Calibri"/>
        </w:rPr>
        <w:t>20</w:t>
      </w:r>
      <w:r w:rsidR="00D108BD">
        <w:rPr>
          <w:rFonts w:ascii="Calibri" w:hAnsi="Calibri" w:cs="Calibri"/>
        </w:rPr>
        <w:t xml:space="preserve"> percent</w:t>
      </w:r>
      <w:r w:rsidR="005B1DE6" w:rsidRPr="00816C01">
        <w:rPr>
          <w:rFonts w:ascii="Calibri" w:hAnsi="Calibri" w:cs="Calibri"/>
        </w:rPr>
        <w:t xml:space="preserve"> would be considered to have an ‘intermediate to high</w:t>
      </w:r>
      <w:r w:rsidR="00CC4D0F">
        <w:rPr>
          <w:rFonts w:ascii="Calibri" w:hAnsi="Calibri" w:cs="Calibri"/>
        </w:rPr>
        <w:t xml:space="preserve"> </w:t>
      </w:r>
      <w:r w:rsidR="005B1DE6" w:rsidRPr="00816C01">
        <w:rPr>
          <w:rFonts w:ascii="Calibri" w:hAnsi="Calibri" w:cs="Calibri"/>
        </w:rPr>
        <w:t>risk’ of mortality within the next 12 months</w:t>
      </w:r>
      <w:r w:rsidR="00C96661">
        <w:rPr>
          <w:rFonts w:ascii="Calibri" w:hAnsi="Calibri" w:cs="Calibri"/>
        </w:rPr>
        <w:t>.</w:t>
      </w:r>
      <w:r w:rsidR="00112F9C">
        <w:rPr>
          <w:rFonts w:ascii="Calibri" w:hAnsi="Calibri" w:cs="Calibri"/>
        </w:rPr>
        <w:t xml:space="preserve"> </w:t>
      </w:r>
      <w:r w:rsidR="005B1DE6" w:rsidRPr="00816C01">
        <w:rPr>
          <w:rFonts w:ascii="Calibri" w:hAnsi="Calibri" w:cs="Calibri"/>
        </w:rPr>
        <w:t>The clinician noted that these percentages may be underestimated due to the difficulty in gaining consent from various patient populations to be added to a PAH registry.</w:t>
      </w:r>
      <w:r w:rsidR="006F34B8">
        <w:rPr>
          <w:rFonts w:ascii="Calibri" w:hAnsi="Calibri" w:cs="Calibri"/>
        </w:rPr>
        <w:t xml:space="preserve"> </w:t>
      </w:r>
    </w:p>
    <w:p w14:paraId="2C33BAE9" w14:textId="044C43B5" w:rsidR="005B1DE6" w:rsidRPr="00816C01" w:rsidRDefault="008D62BC" w:rsidP="00365EE7">
      <w:pPr>
        <w:pStyle w:val="ListParagraph"/>
        <w:widowControl w:val="0"/>
        <w:numPr>
          <w:ilvl w:val="0"/>
          <w:numId w:val="28"/>
        </w:numPr>
        <w:spacing w:before="120"/>
        <w:jc w:val="both"/>
        <w:rPr>
          <w:rFonts w:ascii="Calibri" w:hAnsi="Calibri" w:cs="Calibri"/>
        </w:rPr>
      </w:pPr>
      <w:r>
        <w:rPr>
          <w:rFonts w:ascii="Calibri" w:hAnsi="Calibri" w:cs="Calibri"/>
        </w:rPr>
        <w:t xml:space="preserve">Clinicians also estimated </w:t>
      </w:r>
      <w:r w:rsidR="006F34B8" w:rsidRPr="004D631A">
        <w:rPr>
          <w:rFonts w:ascii="Calibri" w:hAnsi="Calibri" w:cs="Calibri"/>
        </w:rPr>
        <w:t>around 5</w:t>
      </w:r>
      <w:r w:rsidR="00760481">
        <w:rPr>
          <w:rFonts w:ascii="Calibri" w:hAnsi="Calibri" w:cs="Calibri"/>
        </w:rPr>
        <w:t xml:space="preserve"> to </w:t>
      </w:r>
      <w:r w:rsidR="006F34B8" w:rsidRPr="004D631A">
        <w:rPr>
          <w:rFonts w:ascii="Calibri" w:hAnsi="Calibri" w:cs="Calibri"/>
        </w:rPr>
        <w:t>10</w:t>
      </w:r>
      <w:r w:rsidR="00D108BD">
        <w:rPr>
          <w:rFonts w:ascii="Calibri" w:hAnsi="Calibri" w:cs="Calibri"/>
        </w:rPr>
        <w:t xml:space="preserve"> percent </w:t>
      </w:r>
      <w:r w:rsidR="006F34B8" w:rsidRPr="004D631A">
        <w:rPr>
          <w:rFonts w:ascii="Calibri" w:hAnsi="Calibri" w:cs="Calibri"/>
        </w:rPr>
        <w:t>of patients are intolerant of prostanoids</w:t>
      </w:r>
      <w:r>
        <w:rPr>
          <w:rFonts w:ascii="Calibri" w:hAnsi="Calibri" w:cs="Calibri"/>
        </w:rPr>
        <w:t>.</w:t>
      </w:r>
    </w:p>
    <w:p w14:paraId="71053A79" w14:textId="1E486420" w:rsidR="00756B89" w:rsidRDefault="00756B89" w:rsidP="003F2B07">
      <w:pPr>
        <w:pStyle w:val="ListParagraph"/>
        <w:numPr>
          <w:ilvl w:val="0"/>
          <w:numId w:val="12"/>
        </w:numPr>
        <w:jc w:val="both"/>
        <w:rPr>
          <w:rFonts w:ascii="Calibri" w:hAnsi="Calibri" w:cs="Calibri"/>
        </w:rPr>
      </w:pPr>
      <w:r w:rsidRPr="00816C01">
        <w:rPr>
          <w:rFonts w:ascii="Calibri" w:hAnsi="Calibri" w:cs="Calibri"/>
        </w:rPr>
        <w:t>Clinicians considered that initial uptake of sotatercept would be strong if PBS-listed because of the efficacy demonstrated in clinical trials to date</w:t>
      </w:r>
      <w:r>
        <w:rPr>
          <w:rFonts w:ascii="Calibri" w:hAnsi="Calibri" w:cs="Calibri"/>
        </w:rPr>
        <w:t xml:space="preserve"> and patient demand for a new treatment option</w:t>
      </w:r>
      <w:r w:rsidRPr="00816C01">
        <w:rPr>
          <w:rFonts w:ascii="Calibri" w:hAnsi="Calibri" w:cs="Calibri"/>
        </w:rPr>
        <w:t xml:space="preserve">, but that </w:t>
      </w:r>
      <w:r w:rsidR="00C92836">
        <w:rPr>
          <w:rFonts w:ascii="Calibri" w:hAnsi="Calibri" w:cs="Calibri"/>
        </w:rPr>
        <w:t xml:space="preserve">serious </w:t>
      </w:r>
      <w:r w:rsidRPr="00816C01">
        <w:rPr>
          <w:rFonts w:ascii="Calibri" w:hAnsi="Calibri" w:cs="Calibri"/>
        </w:rPr>
        <w:t xml:space="preserve">side effects are likely to be a deterrent to uptake of sotatercept in practice as well as a cause </w:t>
      </w:r>
      <w:r w:rsidR="00D61AFF">
        <w:rPr>
          <w:rFonts w:ascii="Calibri" w:hAnsi="Calibri" w:cs="Calibri"/>
        </w:rPr>
        <w:t xml:space="preserve">of </w:t>
      </w:r>
      <w:r w:rsidR="001525FE">
        <w:rPr>
          <w:rFonts w:ascii="Calibri" w:hAnsi="Calibri" w:cs="Calibri"/>
        </w:rPr>
        <w:t>patients</w:t>
      </w:r>
      <w:r w:rsidR="00D61AFF">
        <w:rPr>
          <w:rFonts w:ascii="Calibri" w:hAnsi="Calibri" w:cs="Calibri"/>
        </w:rPr>
        <w:t xml:space="preserve"> discontinuing this therapy</w:t>
      </w:r>
      <w:r w:rsidRPr="00816C01">
        <w:rPr>
          <w:rFonts w:ascii="Calibri" w:hAnsi="Calibri" w:cs="Calibri"/>
        </w:rPr>
        <w:t>.</w:t>
      </w:r>
    </w:p>
    <w:p w14:paraId="1B826E94" w14:textId="054355F8" w:rsidR="00EA7B89" w:rsidRDefault="00BB6965" w:rsidP="00EA7B89">
      <w:pPr>
        <w:pStyle w:val="ListParagraph"/>
        <w:numPr>
          <w:ilvl w:val="0"/>
          <w:numId w:val="12"/>
        </w:numPr>
        <w:jc w:val="both"/>
        <w:rPr>
          <w:rFonts w:ascii="Calibri" w:hAnsi="Calibri" w:cs="Calibri"/>
        </w:rPr>
      </w:pPr>
      <w:r>
        <w:rPr>
          <w:rFonts w:ascii="Calibri" w:hAnsi="Calibri" w:cs="Calibri"/>
        </w:rPr>
        <w:t>Regarding</w:t>
      </w:r>
      <w:r w:rsidR="00EA7B89">
        <w:rPr>
          <w:rFonts w:ascii="Calibri" w:hAnsi="Calibri" w:cs="Calibri"/>
        </w:rPr>
        <w:t xml:space="preserve"> the extent of replacement of PBS selexipag by sot</w:t>
      </w:r>
      <w:r w:rsidR="00037C97">
        <w:rPr>
          <w:rFonts w:ascii="Calibri" w:hAnsi="Calibri" w:cs="Calibri"/>
        </w:rPr>
        <w:t>at</w:t>
      </w:r>
      <w:r w:rsidR="00EA7B89">
        <w:rPr>
          <w:rFonts w:ascii="Calibri" w:hAnsi="Calibri" w:cs="Calibri"/>
        </w:rPr>
        <w:t>ercept, c</w:t>
      </w:r>
      <w:r w:rsidR="00EA7B89" w:rsidRPr="004D631A">
        <w:rPr>
          <w:rFonts w:ascii="Calibri" w:hAnsi="Calibri" w:cs="Calibri"/>
        </w:rPr>
        <w:t xml:space="preserve">linicians noted that selexipag </w:t>
      </w:r>
      <w:r w:rsidR="009E06EE">
        <w:rPr>
          <w:rFonts w:ascii="Calibri" w:hAnsi="Calibri" w:cs="Calibri"/>
        </w:rPr>
        <w:t>would be</w:t>
      </w:r>
      <w:r w:rsidR="009E06EE" w:rsidRPr="004D631A">
        <w:rPr>
          <w:rFonts w:ascii="Calibri" w:hAnsi="Calibri" w:cs="Calibri"/>
        </w:rPr>
        <w:t xml:space="preserve"> </w:t>
      </w:r>
      <w:r w:rsidR="009E06EE">
        <w:rPr>
          <w:rFonts w:ascii="Calibri" w:hAnsi="Calibri" w:cs="Calibri"/>
        </w:rPr>
        <w:t xml:space="preserve">often </w:t>
      </w:r>
      <w:r w:rsidR="00EA7B89" w:rsidRPr="004D631A">
        <w:rPr>
          <w:rFonts w:ascii="Calibri" w:hAnsi="Calibri" w:cs="Calibri"/>
        </w:rPr>
        <w:t xml:space="preserve">worth trialling </w:t>
      </w:r>
      <w:r w:rsidR="00EA7B89">
        <w:rPr>
          <w:rFonts w:ascii="Calibri" w:hAnsi="Calibri" w:cs="Calibri"/>
        </w:rPr>
        <w:t>prior to considering sot</w:t>
      </w:r>
      <w:r w:rsidR="00037C97">
        <w:rPr>
          <w:rFonts w:ascii="Calibri" w:hAnsi="Calibri" w:cs="Calibri"/>
        </w:rPr>
        <w:t>at</w:t>
      </w:r>
      <w:r w:rsidR="00EA7B89">
        <w:rPr>
          <w:rFonts w:ascii="Calibri" w:hAnsi="Calibri" w:cs="Calibri"/>
        </w:rPr>
        <w:t xml:space="preserve">ercept, </w:t>
      </w:r>
      <w:r w:rsidR="009E06EE">
        <w:rPr>
          <w:rFonts w:ascii="Calibri" w:hAnsi="Calibri" w:cs="Calibri"/>
        </w:rPr>
        <w:t xml:space="preserve">despite the difficulties of dose titration and side effects, </w:t>
      </w:r>
      <w:r w:rsidR="00EA7B89">
        <w:rPr>
          <w:rFonts w:ascii="Calibri" w:hAnsi="Calibri" w:cs="Calibri"/>
        </w:rPr>
        <w:t xml:space="preserve">as a patient should have </w:t>
      </w:r>
      <w:r w:rsidR="009E06EE">
        <w:rPr>
          <w:rFonts w:ascii="Calibri" w:hAnsi="Calibri" w:cs="Calibri"/>
        </w:rPr>
        <w:t>a high or intermediate-high risk assessment</w:t>
      </w:r>
      <w:r w:rsidR="00EA7B89">
        <w:rPr>
          <w:rFonts w:ascii="Calibri" w:hAnsi="Calibri" w:cs="Calibri"/>
        </w:rPr>
        <w:t xml:space="preserve"> to justify the risk of sot</w:t>
      </w:r>
      <w:r w:rsidR="00037C97">
        <w:rPr>
          <w:rFonts w:ascii="Calibri" w:hAnsi="Calibri" w:cs="Calibri"/>
        </w:rPr>
        <w:t>at</w:t>
      </w:r>
      <w:r w:rsidR="00EA7B89">
        <w:rPr>
          <w:rFonts w:ascii="Calibri" w:hAnsi="Calibri" w:cs="Calibri"/>
        </w:rPr>
        <w:t>ercept side effects versus benefits.</w:t>
      </w:r>
    </w:p>
    <w:p w14:paraId="53265437" w14:textId="6EC55F9B" w:rsidR="005D6E95" w:rsidRDefault="008A59FD" w:rsidP="00EF386A">
      <w:pPr>
        <w:pStyle w:val="ListParagraph"/>
        <w:widowControl w:val="0"/>
        <w:numPr>
          <w:ilvl w:val="0"/>
          <w:numId w:val="12"/>
        </w:numPr>
        <w:spacing w:before="120"/>
        <w:jc w:val="both"/>
        <w:rPr>
          <w:rFonts w:ascii="Calibri" w:hAnsi="Calibri" w:cs="Calibri"/>
        </w:rPr>
      </w:pPr>
      <w:r w:rsidRPr="005B1DE6">
        <w:rPr>
          <w:rFonts w:ascii="Calibri" w:hAnsi="Calibri" w:cs="Calibri"/>
        </w:rPr>
        <w:t>Clinicians noted that</w:t>
      </w:r>
      <w:r w:rsidR="00055CB1" w:rsidRPr="005B1DE6">
        <w:rPr>
          <w:rFonts w:ascii="Calibri" w:hAnsi="Calibri" w:cs="Calibri"/>
        </w:rPr>
        <w:t xml:space="preserve"> </w:t>
      </w:r>
      <w:r w:rsidR="004C3935" w:rsidRPr="005B1DE6">
        <w:rPr>
          <w:rFonts w:ascii="Calibri" w:hAnsi="Calibri" w:cs="Calibri"/>
        </w:rPr>
        <w:t xml:space="preserve">while data </w:t>
      </w:r>
      <w:r w:rsidR="0088550F" w:rsidRPr="005B1DE6">
        <w:rPr>
          <w:rFonts w:ascii="Calibri" w:hAnsi="Calibri" w:cs="Calibri"/>
        </w:rPr>
        <w:t xml:space="preserve">on switching is currently </w:t>
      </w:r>
      <w:r w:rsidR="00027803" w:rsidRPr="005B1DE6">
        <w:rPr>
          <w:rFonts w:ascii="Calibri" w:hAnsi="Calibri" w:cs="Calibri"/>
        </w:rPr>
        <w:t>limited</w:t>
      </w:r>
      <w:r w:rsidR="006B363A">
        <w:rPr>
          <w:rFonts w:ascii="Calibri" w:hAnsi="Calibri" w:cs="Calibri"/>
        </w:rPr>
        <w:t xml:space="preserve">, </w:t>
      </w:r>
      <w:r w:rsidR="00027803" w:rsidRPr="005B1DE6">
        <w:rPr>
          <w:rFonts w:ascii="Calibri" w:hAnsi="Calibri" w:cs="Calibri"/>
        </w:rPr>
        <w:t xml:space="preserve">the </w:t>
      </w:r>
      <w:r w:rsidR="006D5A96" w:rsidRPr="005B1DE6">
        <w:rPr>
          <w:rFonts w:ascii="Calibri" w:hAnsi="Calibri" w:cs="Calibri"/>
        </w:rPr>
        <w:t xml:space="preserve">flexibility </w:t>
      </w:r>
      <w:r w:rsidR="00055CB1" w:rsidRPr="005B1DE6">
        <w:rPr>
          <w:rFonts w:ascii="Calibri" w:hAnsi="Calibri" w:cs="Calibri"/>
        </w:rPr>
        <w:t>to switch between selexipag, epoprostenol and sot</w:t>
      </w:r>
      <w:r w:rsidR="00037C97">
        <w:rPr>
          <w:rFonts w:ascii="Calibri" w:hAnsi="Calibri" w:cs="Calibri"/>
        </w:rPr>
        <w:t>at</w:t>
      </w:r>
      <w:r w:rsidR="00055CB1" w:rsidRPr="005B1DE6">
        <w:rPr>
          <w:rFonts w:ascii="Calibri" w:hAnsi="Calibri" w:cs="Calibri"/>
        </w:rPr>
        <w:t>ercept</w:t>
      </w:r>
      <w:r w:rsidR="00081D71" w:rsidRPr="005B1DE6">
        <w:rPr>
          <w:rFonts w:ascii="Calibri" w:hAnsi="Calibri" w:cs="Calibri"/>
        </w:rPr>
        <w:t xml:space="preserve"> was </w:t>
      </w:r>
      <w:r w:rsidR="00EE7D1F">
        <w:rPr>
          <w:rFonts w:ascii="Calibri" w:hAnsi="Calibri" w:cs="Calibri"/>
        </w:rPr>
        <w:t xml:space="preserve">needed </w:t>
      </w:r>
      <w:r w:rsidR="00081D71" w:rsidRPr="005B1DE6">
        <w:rPr>
          <w:rFonts w:ascii="Calibri" w:hAnsi="Calibri" w:cs="Calibri"/>
        </w:rPr>
        <w:t>to preserve patient choice</w:t>
      </w:r>
      <w:r w:rsidR="005D6E95">
        <w:rPr>
          <w:rFonts w:ascii="Calibri" w:hAnsi="Calibri" w:cs="Calibri"/>
        </w:rPr>
        <w:t xml:space="preserve"> of treatment options.</w:t>
      </w:r>
    </w:p>
    <w:p w14:paraId="54AB94AD" w14:textId="24F1C11C" w:rsidR="004F4FA3" w:rsidRPr="005B1DE6" w:rsidRDefault="001D3D3A" w:rsidP="00151C43">
      <w:pPr>
        <w:pStyle w:val="ListParagraph"/>
        <w:widowControl w:val="0"/>
        <w:numPr>
          <w:ilvl w:val="0"/>
          <w:numId w:val="12"/>
        </w:numPr>
        <w:spacing w:before="120"/>
        <w:jc w:val="both"/>
        <w:rPr>
          <w:rFonts w:ascii="Calibri" w:hAnsi="Calibri" w:cs="Calibri"/>
        </w:rPr>
      </w:pPr>
      <w:r>
        <w:rPr>
          <w:rFonts w:ascii="Calibri" w:hAnsi="Calibri" w:cs="Calibri"/>
        </w:rPr>
        <w:t>Emerging treatments other than a potential oral form of sot</w:t>
      </w:r>
      <w:r w:rsidR="00037C97">
        <w:rPr>
          <w:rFonts w:ascii="Calibri" w:hAnsi="Calibri" w:cs="Calibri"/>
        </w:rPr>
        <w:t>at</w:t>
      </w:r>
      <w:r>
        <w:rPr>
          <w:rFonts w:ascii="Calibri" w:hAnsi="Calibri" w:cs="Calibri"/>
        </w:rPr>
        <w:t xml:space="preserve">ercept </w:t>
      </w:r>
      <w:r w:rsidR="00246E8B">
        <w:rPr>
          <w:rFonts w:ascii="Calibri" w:hAnsi="Calibri" w:cs="Calibri"/>
        </w:rPr>
        <w:t>were not identified</w:t>
      </w:r>
      <w:r w:rsidR="00151C43">
        <w:rPr>
          <w:rFonts w:ascii="Calibri" w:hAnsi="Calibri" w:cs="Calibri"/>
        </w:rPr>
        <w:t>.</w:t>
      </w:r>
      <w:r w:rsidR="00081D71" w:rsidRPr="005B1DE6">
        <w:rPr>
          <w:rFonts w:ascii="Calibri" w:hAnsi="Calibri" w:cs="Calibri"/>
        </w:rPr>
        <w:t xml:space="preserve"> </w:t>
      </w:r>
    </w:p>
    <w:p w14:paraId="330476D8" w14:textId="62F5C2B9" w:rsidR="00DE59CD" w:rsidRDefault="00DE59CD" w:rsidP="00683476">
      <w:pPr>
        <w:pStyle w:val="ListParagraph"/>
        <w:ind w:left="360"/>
        <w:jc w:val="both"/>
        <w:rPr>
          <w:rFonts w:ascii="Calibri" w:hAnsi="Calibri" w:cs="Calibri"/>
        </w:rPr>
      </w:pPr>
    </w:p>
    <w:p w14:paraId="2346742F" w14:textId="27EEE3EC" w:rsidR="00306F67" w:rsidRDefault="00861D74" w:rsidP="006F5D7A">
      <w:pPr>
        <w:jc w:val="both"/>
        <w:rPr>
          <w:rFonts w:ascii="Calibri" w:hAnsi="Calibri" w:cs="Calibri"/>
          <w:b/>
          <w:bCs/>
          <w:i/>
          <w:iCs/>
          <w:sz w:val="28"/>
          <w:szCs w:val="28"/>
        </w:rPr>
      </w:pPr>
      <w:r w:rsidRPr="001107DD">
        <w:rPr>
          <w:rFonts w:ascii="Calibri" w:hAnsi="Calibri" w:cs="Calibri"/>
          <w:b/>
          <w:bCs/>
          <w:i/>
          <w:iCs/>
          <w:sz w:val="28"/>
          <w:szCs w:val="28"/>
        </w:rPr>
        <w:t>Conclusion</w:t>
      </w:r>
    </w:p>
    <w:p w14:paraId="6A45B1AE" w14:textId="65913AE2" w:rsidR="007A6EBB" w:rsidRPr="007D2C5E" w:rsidRDefault="007A6EBB" w:rsidP="007A6EBB">
      <w:pPr>
        <w:jc w:val="both"/>
        <w:rPr>
          <w:rFonts w:ascii="Calibri" w:hAnsi="Calibri" w:cs="Calibri"/>
        </w:rPr>
      </w:pPr>
      <w:r w:rsidRPr="007D2C5E">
        <w:rPr>
          <w:rFonts w:ascii="Calibri" w:hAnsi="Calibri" w:cs="Calibri"/>
        </w:rPr>
        <w:t>The PBAC Chair thanked participants for their time in attending the stakeholder meeting and the advice provided.</w:t>
      </w:r>
    </w:p>
    <w:p w14:paraId="1AE24D29" w14:textId="0CFC2D25" w:rsidR="00E06DAD" w:rsidRPr="00164663" w:rsidRDefault="00E06DAD" w:rsidP="4C20B02E">
      <w:pPr>
        <w:spacing w:after="0"/>
        <w:jc w:val="both"/>
        <w:rPr>
          <w:rFonts w:ascii="Calibri" w:eastAsia="Calibri" w:hAnsi="Calibri" w:cs="Calibri"/>
        </w:rPr>
      </w:pPr>
    </w:p>
    <w:p w14:paraId="51D444D7" w14:textId="22169F51" w:rsidR="00E06DAD" w:rsidRPr="00164663" w:rsidRDefault="00E06DAD" w:rsidP="001D0FD1">
      <w:pPr>
        <w:jc w:val="both"/>
        <w:rPr>
          <w:rFonts w:ascii="Calibri" w:hAnsi="Calibri" w:cs="Calibri"/>
        </w:rPr>
      </w:pPr>
    </w:p>
    <w:sectPr w:rsidR="00E06DAD" w:rsidRPr="0016466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DBF64" w14:textId="77777777" w:rsidR="000E30F6" w:rsidRDefault="000E30F6" w:rsidP="003429A3">
      <w:pPr>
        <w:spacing w:after="0" w:line="240" w:lineRule="auto"/>
      </w:pPr>
      <w:r>
        <w:separator/>
      </w:r>
    </w:p>
  </w:endnote>
  <w:endnote w:type="continuationSeparator" w:id="0">
    <w:p w14:paraId="6C92C149" w14:textId="77777777" w:rsidR="000E30F6" w:rsidRDefault="000E30F6" w:rsidP="00342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E94D9" w14:textId="1BC9F0B1" w:rsidR="004C2B33" w:rsidRDefault="00F01039">
    <w:pPr>
      <w:pStyle w:val="Footer"/>
    </w:pPr>
    <w:r>
      <w:rPr>
        <w:noProof/>
      </w:rPr>
      <mc:AlternateContent>
        <mc:Choice Requires="wps">
          <w:drawing>
            <wp:anchor distT="0" distB="0" distL="0" distR="0" simplePos="0" relativeHeight="251674624" behindDoc="0" locked="0" layoutInCell="1" allowOverlap="1" wp14:anchorId="2D236D3A" wp14:editId="6723C677">
              <wp:simplePos x="635" y="635"/>
              <wp:positionH relativeFrom="page">
                <wp:align>center</wp:align>
              </wp:positionH>
              <wp:positionV relativeFrom="page">
                <wp:align>bottom</wp:align>
              </wp:positionV>
              <wp:extent cx="551815" cy="391160"/>
              <wp:effectExtent l="0" t="0" r="635" b="0"/>
              <wp:wrapNone/>
              <wp:docPr id="111411760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ADA8C18" w14:textId="7D3D2DD0" w:rsidR="00F01039" w:rsidRPr="00F01039" w:rsidRDefault="00F01039" w:rsidP="00F01039">
                          <w:pPr>
                            <w:spacing w:after="0"/>
                            <w:rPr>
                              <w:rFonts w:ascii="Calibri" w:eastAsia="Calibri" w:hAnsi="Calibri" w:cs="Calibri"/>
                              <w:noProof/>
                              <w:color w:val="FF0000"/>
                            </w:rPr>
                          </w:pPr>
                          <w:r w:rsidRPr="00F0103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236D3A"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0ADA8C18" w14:textId="7D3D2DD0" w:rsidR="00F01039" w:rsidRPr="00F01039" w:rsidRDefault="00F01039" w:rsidP="00F01039">
                    <w:pPr>
                      <w:spacing w:after="0"/>
                      <w:rPr>
                        <w:rFonts w:ascii="Calibri" w:eastAsia="Calibri" w:hAnsi="Calibri" w:cs="Calibri"/>
                        <w:noProof/>
                        <w:color w:val="FF0000"/>
                      </w:rPr>
                    </w:pPr>
                    <w:r w:rsidRPr="00F01039">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5FDF5" w14:textId="25EB99BE" w:rsidR="003429A3" w:rsidRDefault="00F01039">
    <w:pPr>
      <w:pStyle w:val="Footer"/>
      <w:jc w:val="center"/>
    </w:pPr>
    <w:r>
      <w:rPr>
        <w:noProof/>
      </w:rPr>
      <mc:AlternateContent>
        <mc:Choice Requires="wps">
          <w:drawing>
            <wp:anchor distT="0" distB="0" distL="0" distR="0" simplePos="0" relativeHeight="251675648" behindDoc="0" locked="0" layoutInCell="1" allowOverlap="1" wp14:anchorId="5A75CA7D" wp14:editId="5BAE1D08">
              <wp:simplePos x="914400" y="9716494"/>
              <wp:positionH relativeFrom="page">
                <wp:align>center</wp:align>
              </wp:positionH>
              <wp:positionV relativeFrom="page">
                <wp:align>bottom</wp:align>
              </wp:positionV>
              <wp:extent cx="551815" cy="391160"/>
              <wp:effectExtent l="0" t="0" r="635" b="0"/>
              <wp:wrapNone/>
              <wp:docPr id="202757602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BA69D41" w14:textId="21EB9B82" w:rsidR="00F01039" w:rsidRPr="00F01039" w:rsidRDefault="00F01039" w:rsidP="00F01039">
                          <w:pPr>
                            <w:spacing w:after="0"/>
                            <w:rPr>
                              <w:rFonts w:ascii="Calibri" w:eastAsia="Calibri" w:hAnsi="Calibri" w:cs="Calibri"/>
                              <w:noProof/>
                              <w:color w:val="FF0000"/>
                            </w:rPr>
                          </w:pPr>
                          <w:r w:rsidRPr="00F0103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75CA7D"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0.8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5BA69D41" w14:textId="21EB9B82" w:rsidR="00F01039" w:rsidRPr="00F01039" w:rsidRDefault="00F01039" w:rsidP="00F01039">
                    <w:pPr>
                      <w:spacing w:after="0"/>
                      <w:rPr>
                        <w:rFonts w:ascii="Calibri" w:eastAsia="Calibri" w:hAnsi="Calibri" w:cs="Calibri"/>
                        <w:noProof/>
                        <w:color w:val="FF0000"/>
                      </w:rPr>
                    </w:pPr>
                    <w:r w:rsidRPr="00F01039">
                      <w:rPr>
                        <w:rFonts w:ascii="Calibri" w:eastAsia="Calibri" w:hAnsi="Calibri" w:cs="Calibri"/>
                        <w:noProof/>
                        <w:color w:val="FF0000"/>
                      </w:rPr>
                      <w:t>OFFICIAL</w:t>
                    </w:r>
                  </w:p>
                </w:txbxContent>
              </v:textbox>
              <w10:wrap anchorx="page" anchory="page"/>
            </v:shape>
          </w:pict>
        </mc:Fallback>
      </mc:AlternateContent>
    </w:r>
  </w:p>
  <w:p w14:paraId="4BA69A2A" w14:textId="77777777" w:rsidR="003429A3" w:rsidRDefault="003429A3">
    <w:pPr>
      <w:pStyle w:val="Footer"/>
      <w:jc w:val="center"/>
    </w:pPr>
    <w:r>
      <w:fldChar w:fldCharType="begin"/>
    </w:r>
    <w:r>
      <w:instrText xml:space="preserve"> PAGE   \* MERGEFORMAT </w:instrText>
    </w:r>
    <w:r>
      <w:fldChar w:fldCharType="separate"/>
    </w:r>
    <w:r>
      <w:rPr>
        <w:noProof/>
      </w:rPr>
      <w:t>2</w:t>
    </w:r>
    <w:r>
      <w:rPr>
        <w:noProof/>
      </w:rPr>
      <w:fldChar w:fldCharType="end"/>
    </w:r>
  </w:p>
  <w:p w14:paraId="1A0DA286" w14:textId="77777777" w:rsidR="003429A3" w:rsidRDefault="003429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40232" w14:textId="3096AF15" w:rsidR="004C2B33" w:rsidRDefault="00F01039">
    <w:pPr>
      <w:pStyle w:val="Footer"/>
    </w:pPr>
    <w:r>
      <w:rPr>
        <w:noProof/>
      </w:rPr>
      <mc:AlternateContent>
        <mc:Choice Requires="wps">
          <w:drawing>
            <wp:anchor distT="0" distB="0" distL="0" distR="0" simplePos="0" relativeHeight="251673600" behindDoc="0" locked="0" layoutInCell="1" allowOverlap="1" wp14:anchorId="1FC78B5A" wp14:editId="4249FF25">
              <wp:simplePos x="635" y="635"/>
              <wp:positionH relativeFrom="page">
                <wp:align>center</wp:align>
              </wp:positionH>
              <wp:positionV relativeFrom="page">
                <wp:align>bottom</wp:align>
              </wp:positionV>
              <wp:extent cx="551815" cy="391160"/>
              <wp:effectExtent l="0" t="0" r="635" b="0"/>
              <wp:wrapNone/>
              <wp:docPr id="62475188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40FD97B" w14:textId="7F1714AD" w:rsidR="00F01039" w:rsidRPr="00F01039" w:rsidRDefault="00F01039" w:rsidP="00F01039">
                          <w:pPr>
                            <w:spacing w:after="0"/>
                            <w:rPr>
                              <w:rFonts w:ascii="Calibri" w:eastAsia="Calibri" w:hAnsi="Calibri" w:cs="Calibri"/>
                              <w:noProof/>
                              <w:color w:val="FF0000"/>
                            </w:rPr>
                          </w:pPr>
                          <w:r w:rsidRPr="00F0103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C78B5A"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540FD97B" w14:textId="7F1714AD" w:rsidR="00F01039" w:rsidRPr="00F01039" w:rsidRDefault="00F01039" w:rsidP="00F01039">
                    <w:pPr>
                      <w:spacing w:after="0"/>
                      <w:rPr>
                        <w:rFonts w:ascii="Calibri" w:eastAsia="Calibri" w:hAnsi="Calibri" w:cs="Calibri"/>
                        <w:noProof/>
                        <w:color w:val="FF0000"/>
                      </w:rPr>
                    </w:pPr>
                    <w:r w:rsidRPr="00F01039">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6B7F3" w14:textId="77777777" w:rsidR="000E30F6" w:rsidRDefault="000E30F6" w:rsidP="003429A3">
      <w:pPr>
        <w:spacing w:after="0" w:line="240" w:lineRule="auto"/>
      </w:pPr>
      <w:r>
        <w:separator/>
      </w:r>
    </w:p>
  </w:footnote>
  <w:footnote w:type="continuationSeparator" w:id="0">
    <w:p w14:paraId="18630B92" w14:textId="77777777" w:rsidR="000E30F6" w:rsidRDefault="000E30F6" w:rsidP="00342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DE188" w14:textId="5B26F2B2" w:rsidR="004C2B33" w:rsidRDefault="00F01039">
    <w:pPr>
      <w:pStyle w:val="Header"/>
    </w:pPr>
    <w:r>
      <w:rPr>
        <w:noProof/>
      </w:rPr>
      <mc:AlternateContent>
        <mc:Choice Requires="wps">
          <w:drawing>
            <wp:anchor distT="0" distB="0" distL="0" distR="0" simplePos="0" relativeHeight="251671552" behindDoc="0" locked="0" layoutInCell="1" allowOverlap="1" wp14:anchorId="00397707" wp14:editId="538476D4">
              <wp:simplePos x="635" y="635"/>
              <wp:positionH relativeFrom="page">
                <wp:align>center</wp:align>
              </wp:positionH>
              <wp:positionV relativeFrom="page">
                <wp:align>top</wp:align>
              </wp:positionV>
              <wp:extent cx="551815" cy="391160"/>
              <wp:effectExtent l="0" t="0" r="635" b="8890"/>
              <wp:wrapNone/>
              <wp:docPr id="29732458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A2A1BA6" w14:textId="1C738626" w:rsidR="00F01039" w:rsidRPr="00F01039" w:rsidRDefault="00F01039" w:rsidP="00F01039">
                          <w:pPr>
                            <w:spacing w:after="0"/>
                            <w:rPr>
                              <w:rFonts w:ascii="Calibri" w:eastAsia="Calibri" w:hAnsi="Calibri" w:cs="Calibri"/>
                              <w:noProof/>
                              <w:color w:val="FF0000"/>
                            </w:rPr>
                          </w:pPr>
                          <w:r w:rsidRPr="00F0103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397707"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5A2A1BA6" w14:textId="1C738626" w:rsidR="00F01039" w:rsidRPr="00F01039" w:rsidRDefault="00F01039" w:rsidP="00F01039">
                    <w:pPr>
                      <w:spacing w:after="0"/>
                      <w:rPr>
                        <w:rFonts w:ascii="Calibri" w:eastAsia="Calibri" w:hAnsi="Calibri" w:cs="Calibri"/>
                        <w:noProof/>
                        <w:color w:val="FF0000"/>
                      </w:rPr>
                    </w:pPr>
                    <w:r w:rsidRPr="00F01039">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661BF" w14:textId="05512891" w:rsidR="004C2B33" w:rsidRDefault="00F01039">
    <w:pPr>
      <w:pStyle w:val="Header"/>
    </w:pPr>
    <w:r>
      <w:rPr>
        <w:noProof/>
      </w:rPr>
      <mc:AlternateContent>
        <mc:Choice Requires="wps">
          <w:drawing>
            <wp:anchor distT="0" distB="0" distL="0" distR="0" simplePos="0" relativeHeight="251672576" behindDoc="0" locked="0" layoutInCell="1" allowOverlap="1" wp14:anchorId="158DF122" wp14:editId="2E2B1310">
              <wp:simplePos x="914400" y="453224"/>
              <wp:positionH relativeFrom="page">
                <wp:align>center</wp:align>
              </wp:positionH>
              <wp:positionV relativeFrom="page">
                <wp:align>top</wp:align>
              </wp:positionV>
              <wp:extent cx="551815" cy="391160"/>
              <wp:effectExtent l="0" t="0" r="635" b="8890"/>
              <wp:wrapNone/>
              <wp:docPr id="159790197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EB0E5D3" w14:textId="036D84C8" w:rsidR="00F01039" w:rsidRPr="00F01039" w:rsidRDefault="00F01039" w:rsidP="00F01039">
                          <w:pPr>
                            <w:spacing w:after="0"/>
                            <w:rPr>
                              <w:rFonts w:ascii="Calibri" w:eastAsia="Calibri" w:hAnsi="Calibri" w:cs="Calibri"/>
                              <w:noProof/>
                              <w:color w:val="FF0000"/>
                            </w:rPr>
                          </w:pPr>
                          <w:r w:rsidRPr="00F0103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8DF122"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fill o:detectmouseclick="t"/>
              <v:textbox style="mso-fit-shape-to-text:t" inset="0,15pt,0,0">
                <w:txbxContent>
                  <w:p w14:paraId="1EB0E5D3" w14:textId="036D84C8" w:rsidR="00F01039" w:rsidRPr="00F01039" w:rsidRDefault="00F01039" w:rsidP="00F01039">
                    <w:pPr>
                      <w:spacing w:after="0"/>
                      <w:rPr>
                        <w:rFonts w:ascii="Calibri" w:eastAsia="Calibri" w:hAnsi="Calibri" w:cs="Calibri"/>
                        <w:noProof/>
                        <w:color w:val="FF0000"/>
                      </w:rPr>
                    </w:pPr>
                    <w:r w:rsidRPr="00F01039">
                      <w:rPr>
                        <w:rFonts w:ascii="Calibri" w:eastAsia="Calibri" w:hAnsi="Calibri" w:cs="Calibri"/>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61B0E" w14:textId="1298E872" w:rsidR="004C2B33" w:rsidRDefault="00F01039">
    <w:pPr>
      <w:pStyle w:val="Header"/>
    </w:pPr>
    <w:r>
      <w:rPr>
        <w:noProof/>
      </w:rPr>
      <mc:AlternateContent>
        <mc:Choice Requires="wps">
          <w:drawing>
            <wp:anchor distT="0" distB="0" distL="0" distR="0" simplePos="0" relativeHeight="251670528" behindDoc="0" locked="0" layoutInCell="1" allowOverlap="1" wp14:anchorId="0F1A1457" wp14:editId="1D3F7208">
              <wp:simplePos x="635" y="635"/>
              <wp:positionH relativeFrom="page">
                <wp:align>center</wp:align>
              </wp:positionH>
              <wp:positionV relativeFrom="page">
                <wp:align>top</wp:align>
              </wp:positionV>
              <wp:extent cx="551815" cy="391160"/>
              <wp:effectExtent l="0" t="0" r="635" b="8890"/>
              <wp:wrapNone/>
              <wp:docPr id="3532085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E872ADC" w14:textId="32841975" w:rsidR="00F01039" w:rsidRPr="00F01039" w:rsidRDefault="00F01039" w:rsidP="00F01039">
                          <w:pPr>
                            <w:spacing w:after="0"/>
                            <w:rPr>
                              <w:rFonts w:ascii="Calibri" w:eastAsia="Calibri" w:hAnsi="Calibri" w:cs="Calibri"/>
                              <w:noProof/>
                              <w:color w:val="FF0000"/>
                            </w:rPr>
                          </w:pPr>
                          <w:r w:rsidRPr="00F0103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1A1457"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4E872ADC" w14:textId="32841975" w:rsidR="00F01039" w:rsidRPr="00F01039" w:rsidRDefault="00F01039" w:rsidP="00F01039">
                    <w:pPr>
                      <w:spacing w:after="0"/>
                      <w:rPr>
                        <w:rFonts w:ascii="Calibri" w:eastAsia="Calibri" w:hAnsi="Calibri" w:cs="Calibri"/>
                        <w:noProof/>
                        <w:color w:val="FF0000"/>
                      </w:rPr>
                    </w:pPr>
                    <w:r w:rsidRPr="00F01039">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77AE"/>
    <w:multiLevelType w:val="hybridMultilevel"/>
    <w:tmpl w:val="C964A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651E1F"/>
    <w:multiLevelType w:val="hybridMultilevel"/>
    <w:tmpl w:val="8E8E88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727907"/>
    <w:multiLevelType w:val="hybridMultilevel"/>
    <w:tmpl w:val="AC804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3355F"/>
    <w:multiLevelType w:val="hybridMultilevel"/>
    <w:tmpl w:val="73B2D9D6"/>
    <w:lvl w:ilvl="0" w:tplc="95B23B00">
      <w:start w:val="6"/>
      <w:numFmt w:val="decimal"/>
      <w:lvlText w:val="%1."/>
      <w:lvlJc w:val="left"/>
      <w:pPr>
        <w:tabs>
          <w:tab w:val="num" w:pos="720"/>
        </w:tabs>
        <w:ind w:left="720" w:hanging="360"/>
      </w:pPr>
    </w:lvl>
    <w:lvl w:ilvl="1" w:tplc="EDE6482C" w:tentative="1">
      <w:start w:val="1"/>
      <w:numFmt w:val="decimal"/>
      <w:lvlText w:val="%2."/>
      <w:lvlJc w:val="left"/>
      <w:pPr>
        <w:tabs>
          <w:tab w:val="num" w:pos="1440"/>
        </w:tabs>
        <w:ind w:left="1440" w:hanging="360"/>
      </w:pPr>
    </w:lvl>
    <w:lvl w:ilvl="2" w:tplc="42CCEF3E" w:tentative="1">
      <w:start w:val="1"/>
      <w:numFmt w:val="decimal"/>
      <w:lvlText w:val="%3."/>
      <w:lvlJc w:val="left"/>
      <w:pPr>
        <w:tabs>
          <w:tab w:val="num" w:pos="2160"/>
        </w:tabs>
        <w:ind w:left="2160" w:hanging="360"/>
      </w:pPr>
    </w:lvl>
    <w:lvl w:ilvl="3" w:tplc="DDD83CD0" w:tentative="1">
      <w:start w:val="1"/>
      <w:numFmt w:val="decimal"/>
      <w:lvlText w:val="%4."/>
      <w:lvlJc w:val="left"/>
      <w:pPr>
        <w:tabs>
          <w:tab w:val="num" w:pos="2880"/>
        </w:tabs>
        <w:ind w:left="2880" w:hanging="360"/>
      </w:pPr>
    </w:lvl>
    <w:lvl w:ilvl="4" w:tplc="6068EE10" w:tentative="1">
      <w:start w:val="1"/>
      <w:numFmt w:val="decimal"/>
      <w:lvlText w:val="%5."/>
      <w:lvlJc w:val="left"/>
      <w:pPr>
        <w:tabs>
          <w:tab w:val="num" w:pos="3600"/>
        </w:tabs>
        <w:ind w:left="3600" w:hanging="360"/>
      </w:pPr>
    </w:lvl>
    <w:lvl w:ilvl="5" w:tplc="7474EB66" w:tentative="1">
      <w:start w:val="1"/>
      <w:numFmt w:val="decimal"/>
      <w:lvlText w:val="%6."/>
      <w:lvlJc w:val="left"/>
      <w:pPr>
        <w:tabs>
          <w:tab w:val="num" w:pos="4320"/>
        </w:tabs>
        <w:ind w:left="4320" w:hanging="360"/>
      </w:pPr>
    </w:lvl>
    <w:lvl w:ilvl="6" w:tplc="6A08400C" w:tentative="1">
      <w:start w:val="1"/>
      <w:numFmt w:val="decimal"/>
      <w:lvlText w:val="%7."/>
      <w:lvlJc w:val="left"/>
      <w:pPr>
        <w:tabs>
          <w:tab w:val="num" w:pos="5040"/>
        </w:tabs>
        <w:ind w:left="5040" w:hanging="360"/>
      </w:pPr>
    </w:lvl>
    <w:lvl w:ilvl="7" w:tplc="84066AB8" w:tentative="1">
      <w:start w:val="1"/>
      <w:numFmt w:val="decimal"/>
      <w:lvlText w:val="%8."/>
      <w:lvlJc w:val="left"/>
      <w:pPr>
        <w:tabs>
          <w:tab w:val="num" w:pos="5760"/>
        </w:tabs>
        <w:ind w:left="5760" w:hanging="360"/>
      </w:pPr>
    </w:lvl>
    <w:lvl w:ilvl="8" w:tplc="A3380B64" w:tentative="1">
      <w:start w:val="1"/>
      <w:numFmt w:val="decimal"/>
      <w:lvlText w:val="%9."/>
      <w:lvlJc w:val="left"/>
      <w:pPr>
        <w:tabs>
          <w:tab w:val="num" w:pos="6480"/>
        </w:tabs>
        <w:ind w:left="6480" w:hanging="360"/>
      </w:pPr>
    </w:lvl>
  </w:abstractNum>
  <w:abstractNum w:abstractNumId="4" w15:restartNumberingAfterBreak="0">
    <w:nsid w:val="08707083"/>
    <w:multiLevelType w:val="hybridMultilevel"/>
    <w:tmpl w:val="46B607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C35ECA"/>
    <w:multiLevelType w:val="hybridMultilevel"/>
    <w:tmpl w:val="E3E0A212"/>
    <w:lvl w:ilvl="0" w:tplc="0148A11E">
      <w:start w:val="1"/>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C577B0"/>
    <w:multiLevelType w:val="hybridMultilevel"/>
    <w:tmpl w:val="38CC52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B63115"/>
    <w:multiLevelType w:val="hybridMultilevel"/>
    <w:tmpl w:val="4D565C3E"/>
    <w:lvl w:ilvl="0" w:tplc="0148A11E">
      <w:start w:val="1"/>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CB0CD4"/>
    <w:multiLevelType w:val="hybridMultilevel"/>
    <w:tmpl w:val="C26AE238"/>
    <w:lvl w:ilvl="0" w:tplc="359869B0">
      <w:start w:val="1"/>
      <w:numFmt w:val="decimal"/>
      <w:lvlText w:val="%1."/>
      <w:lvlJc w:val="left"/>
      <w:pPr>
        <w:tabs>
          <w:tab w:val="num" w:pos="720"/>
        </w:tabs>
        <w:ind w:left="720" w:hanging="360"/>
      </w:pPr>
    </w:lvl>
    <w:lvl w:ilvl="1" w:tplc="E7D0A17A">
      <w:start w:val="1"/>
      <w:numFmt w:val="lowerLetter"/>
      <w:lvlText w:val="%2)"/>
      <w:lvlJc w:val="left"/>
      <w:pPr>
        <w:tabs>
          <w:tab w:val="num" w:pos="1440"/>
        </w:tabs>
        <w:ind w:left="1440" w:hanging="360"/>
      </w:pPr>
    </w:lvl>
    <w:lvl w:ilvl="2" w:tplc="53B47AB4" w:tentative="1">
      <w:start w:val="1"/>
      <w:numFmt w:val="decimal"/>
      <w:lvlText w:val="%3."/>
      <w:lvlJc w:val="left"/>
      <w:pPr>
        <w:tabs>
          <w:tab w:val="num" w:pos="2160"/>
        </w:tabs>
        <w:ind w:left="2160" w:hanging="360"/>
      </w:pPr>
    </w:lvl>
    <w:lvl w:ilvl="3" w:tplc="BEF2FC10" w:tentative="1">
      <w:start w:val="1"/>
      <w:numFmt w:val="decimal"/>
      <w:lvlText w:val="%4."/>
      <w:lvlJc w:val="left"/>
      <w:pPr>
        <w:tabs>
          <w:tab w:val="num" w:pos="2880"/>
        </w:tabs>
        <w:ind w:left="2880" w:hanging="360"/>
      </w:pPr>
    </w:lvl>
    <w:lvl w:ilvl="4" w:tplc="A5F67B46" w:tentative="1">
      <w:start w:val="1"/>
      <w:numFmt w:val="decimal"/>
      <w:lvlText w:val="%5."/>
      <w:lvlJc w:val="left"/>
      <w:pPr>
        <w:tabs>
          <w:tab w:val="num" w:pos="3600"/>
        </w:tabs>
        <w:ind w:left="3600" w:hanging="360"/>
      </w:pPr>
    </w:lvl>
    <w:lvl w:ilvl="5" w:tplc="ADDEC38A" w:tentative="1">
      <w:start w:val="1"/>
      <w:numFmt w:val="decimal"/>
      <w:lvlText w:val="%6."/>
      <w:lvlJc w:val="left"/>
      <w:pPr>
        <w:tabs>
          <w:tab w:val="num" w:pos="4320"/>
        </w:tabs>
        <w:ind w:left="4320" w:hanging="360"/>
      </w:pPr>
    </w:lvl>
    <w:lvl w:ilvl="6" w:tplc="3DAA1ECE" w:tentative="1">
      <w:start w:val="1"/>
      <w:numFmt w:val="decimal"/>
      <w:lvlText w:val="%7."/>
      <w:lvlJc w:val="left"/>
      <w:pPr>
        <w:tabs>
          <w:tab w:val="num" w:pos="5040"/>
        </w:tabs>
        <w:ind w:left="5040" w:hanging="360"/>
      </w:pPr>
    </w:lvl>
    <w:lvl w:ilvl="7" w:tplc="2E888FF2" w:tentative="1">
      <w:start w:val="1"/>
      <w:numFmt w:val="decimal"/>
      <w:lvlText w:val="%8."/>
      <w:lvlJc w:val="left"/>
      <w:pPr>
        <w:tabs>
          <w:tab w:val="num" w:pos="5760"/>
        </w:tabs>
        <w:ind w:left="5760" w:hanging="360"/>
      </w:pPr>
    </w:lvl>
    <w:lvl w:ilvl="8" w:tplc="E1A29046" w:tentative="1">
      <w:start w:val="1"/>
      <w:numFmt w:val="decimal"/>
      <w:lvlText w:val="%9."/>
      <w:lvlJc w:val="left"/>
      <w:pPr>
        <w:tabs>
          <w:tab w:val="num" w:pos="6480"/>
        </w:tabs>
        <w:ind w:left="6480" w:hanging="360"/>
      </w:pPr>
    </w:lvl>
  </w:abstractNum>
  <w:abstractNum w:abstractNumId="9" w15:restartNumberingAfterBreak="0">
    <w:nsid w:val="1C896BEA"/>
    <w:multiLevelType w:val="hybridMultilevel"/>
    <w:tmpl w:val="1D04766C"/>
    <w:lvl w:ilvl="0" w:tplc="A5A438F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1B0AB2"/>
    <w:multiLevelType w:val="hybridMultilevel"/>
    <w:tmpl w:val="16984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5A5BCB"/>
    <w:multiLevelType w:val="hybridMultilevel"/>
    <w:tmpl w:val="6FA8E3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725B67"/>
    <w:multiLevelType w:val="hybridMultilevel"/>
    <w:tmpl w:val="7026FDD2"/>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9695C58"/>
    <w:multiLevelType w:val="hybridMultilevel"/>
    <w:tmpl w:val="E0327C16"/>
    <w:lvl w:ilvl="0" w:tplc="D3CE1F24">
      <w:start w:val="5"/>
      <w:numFmt w:val="decimal"/>
      <w:lvlText w:val="%1."/>
      <w:lvlJc w:val="left"/>
      <w:pPr>
        <w:tabs>
          <w:tab w:val="num" w:pos="720"/>
        </w:tabs>
        <w:ind w:left="720" w:hanging="360"/>
      </w:pPr>
    </w:lvl>
    <w:lvl w:ilvl="1" w:tplc="1D78EAAE">
      <w:start w:val="1"/>
      <w:numFmt w:val="lowerLetter"/>
      <w:lvlText w:val="%2)"/>
      <w:lvlJc w:val="left"/>
      <w:pPr>
        <w:tabs>
          <w:tab w:val="num" w:pos="1440"/>
        </w:tabs>
        <w:ind w:left="1440" w:hanging="360"/>
      </w:pPr>
    </w:lvl>
    <w:lvl w:ilvl="2" w:tplc="BE066308" w:tentative="1">
      <w:start w:val="1"/>
      <w:numFmt w:val="decimal"/>
      <w:lvlText w:val="%3."/>
      <w:lvlJc w:val="left"/>
      <w:pPr>
        <w:tabs>
          <w:tab w:val="num" w:pos="2160"/>
        </w:tabs>
        <w:ind w:left="2160" w:hanging="360"/>
      </w:pPr>
    </w:lvl>
    <w:lvl w:ilvl="3" w:tplc="C8E48BAA" w:tentative="1">
      <w:start w:val="1"/>
      <w:numFmt w:val="decimal"/>
      <w:lvlText w:val="%4."/>
      <w:lvlJc w:val="left"/>
      <w:pPr>
        <w:tabs>
          <w:tab w:val="num" w:pos="2880"/>
        </w:tabs>
        <w:ind w:left="2880" w:hanging="360"/>
      </w:pPr>
    </w:lvl>
    <w:lvl w:ilvl="4" w:tplc="9356BD7A" w:tentative="1">
      <w:start w:val="1"/>
      <w:numFmt w:val="decimal"/>
      <w:lvlText w:val="%5."/>
      <w:lvlJc w:val="left"/>
      <w:pPr>
        <w:tabs>
          <w:tab w:val="num" w:pos="3600"/>
        </w:tabs>
        <w:ind w:left="3600" w:hanging="360"/>
      </w:pPr>
    </w:lvl>
    <w:lvl w:ilvl="5" w:tplc="7ACC596A" w:tentative="1">
      <w:start w:val="1"/>
      <w:numFmt w:val="decimal"/>
      <w:lvlText w:val="%6."/>
      <w:lvlJc w:val="left"/>
      <w:pPr>
        <w:tabs>
          <w:tab w:val="num" w:pos="4320"/>
        </w:tabs>
        <w:ind w:left="4320" w:hanging="360"/>
      </w:pPr>
    </w:lvl>
    <w:lvl w:ilvl="6" w:tplc="B9DCCA3C" w:tentative="1">
      <w:start w:val="1"/>
      <w:numFmt w:val="decimal"/>
      <w:lvlText w:val="%7."/>
      <w:lvlJc w:val="left"/>
      <w:pPr>
        <w:tabs>
          <w:tab w:val="num" w:pos="5040"/>
        </w:tabs>
        <w:ind w:left="5040" w:hanging="360"/>
      </w:pPr>
    </w:lvl>
    <w:lvl w:ilvl="7" w:tplc="DEE807AA" w:tentative="1">
      <w:start w:val="1"/>
      <w:numFmt w:val="decimal"/>
      <w:lvlText w:val="%8."/>
      <w:lvlJc w:val="left"/>
      <w:pPr>
        <w:tabs>
          <w:tab w:val="num" w:pos="5760"/>
        </w:tabs>
        <w:ind w:left="5760" w:hanging="360"/>
      </w:pPr>
    </w:lvl>
    <w:lvl w:ilvl="8" w:tplc="86AAD0E8" w:tentative="1">
      <w:start w:val="1"/>
      <w:numFmt w:val="decimal"/>
      <w:lvlText w:val="%9."/>
      <w:lvlJc w:val="left"/>
      <w:pPr>
        <w:tabs>
          <w:tab w:val="num" w:pos="6480"/>
        </w:tabs>
        <w:ind w:left="6480" w:hanging="360"/>
      </w:pPr>
    </w:lvl>
  </w:abstractNum>
  <w:abstractNum w:abstractNumId="14" w15:restartNumberingAfterBreak="0">
    <w:nsid w:val="362B3D4C"/>
    <w:multiLevelType w:val="hybridMultilevel"/>
    <w:tmpl w:val="8A405B6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9541AA4"/>
    <w:multiLevelType w:val="hybridMultilevel"/>
    <w:tmpl w:val="8E107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7105F8"/>
    <w:multiLevelType w:val="hybridMultilevel"/>
    <w:tmpl w:val="675EE91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86164C6"/>
    <w:multiLevelType w:val="hybridMultilevel"/>
    <w:tmpl w:val="7398E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2B426A"/>
    <w:multiLevelType w:val="hybridMultilevel"/>
    <w:tmpl w:val="5CD86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0C1DD5"/>
    <w:multiLevelType w:val="hybridMultilevel"/>
    <w:tmpl w:val="5B80D4F0"/>
    <w:lvl w:ilvl="0" w:tplc="A9721FAC">
      <w:numFmt w:val="bullet"/>
      <w:lvlText w:val="•"/>
      <w:lvlJc w:val="left"/>
      <w:pPr>
        <w:ind w:left="1440" w:hanging="720"/>
      </w:pPr>
      <w:rPr>
        <w:rFonts w:ascii="Calibri" w:eastAsiaTheme="minorHAnsi" w:hAnsi="Calibri" w:cs="Calibri" w:hint="default"/>
      </w:rPr>
    </w:lvl>
    <w:lvl w:ilvl="1" w:tplc="A0F66742">
      <w:numFmt w:val="bullet"/>
      <w:lvlText w:val=""/>
      <w:lvlJc w:val="left"/>
      <w:pPr>
        <w:ind w:left="2160" w:hanging="720"/>
      </w:pPr>
      <w:rPr>
        <w:rFonts w:ascii="Symbol" w:eastAsiaTheme="minorHAnsi" w:hAnsi="Symbol" w:cs="Calibr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24F30D3"/>
    <w:multiLevelType w:val="hybridMultilevel"/>
    <w:tmpl w:val="9D925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C04577"/>
    <w:multiLevelType w:val="hybridMultilevel"/>
    <w:tmpl w:val="78C21F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EA872C6"/>
    <w:multiLevelType w:val="hybridMultilevel"/>
    <w:tmpl w:val="C5EC7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161557D"/>
    <w:multiLevelType w:val="hybridMultilevel"/>
    <w:tmpl w:val="A5F65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4913D12"/>
    <w:multiLevelType w:val="hybridMultilevel"/>
    <w:tmpl w:val="15D625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87A3D0F"/>
    <w:multiLevelType w:val="hybridMultilevel"/>
    <w:tmpl w:val="739A47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CA936BD"/>
    <w:multiLevelType w:val="hybridMultilevel"/>
    <w:tmpl w:val="113EE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5F28EF"/>
    <w:multiLevelType w:val="hybridMultilevel"/>
    <w:tmpl w:val="1F4289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44535788">
    <w:abstractNumId w:val="1"/>
  </w:num>
  <w:num w:numId="2" w16cid:durableId="1701200132">
    <w:abstractNumId w:val="2"/>
  </w:num>
  <w:num w:numId="3" w16cid:durableId="932710809">
    <w:abstractNumId w:val="19"/>
  </w:num>
  <w:num w:numId="4" w16cid:durableId="336811572">
    <w:abstractNumId w:val="9"/>
  </w:num>
  <w:num w:numId="5" w16cid:durableId="1016231357">
    <w:abstractNumId w:val="16"/>
  </w:num>
  <w:num w:numId="6" w16cid:durableId="1969048531">
    <w:abstractNumId w:val="10"/>
  </w:num>
  <w:num w:numId="7" w16cid:durableId="1651665402">
    <w:abstractNumId w:val="22"/>
  </w:num>
  <w:num w:numId="8" w16cid:durableId="1797989074">
    <w:abstractNumId w:val="26"/>
  </w:num>
  <w:num w:numId="9" w16cid:durableId="1614554616">
    <w:abstractNumId w:val="20"/>
  </w:num>
  <w:num w:numId="10" w16cid:durableId="2063288526">
    <w:abstractNumId w:val="17"/>
  </w:num>
  <w:num w:numId="11" w16cid:durableId="401103121">
    <w:abstractNumId w:val="15"/>
  </w:num>
  <w:num w:numId="12" w16cid:durableId="2100059163">
    <w:abstractNumId w:val="11"/>
  </w:num>
  <w:num w:numId="13" w16cid:durableId="1462384522">
    <w:abstractNumId w:val="24"/>
  </w:num>
  <w:num w:numId="14" w16cid:durableId="1155873028">
    <w:abstractNumId w:val="4"/>
  </w:num>
  <w:num w:numId="15" w16cid:durableId="1607535869">
    <w:abstractNumId w:val="25"/>
  </w:num>
  <w:num w:numId="16" w16cid:durableId="1784761965">
    <w:abstractNumId w:val="27"/>
  </w:num>
  <w:num w:numId="17" w16cid:durableId="722557261">
    <w:abstractNumId w:val="7"/>
  </w:num>
  <w:num w:numId="18" w16cid:durableId="1196045187">
    <w:abstractNumId w:val="5"/>
  </w:num>
  <w:num w:numId="19" w16cid:durableId="376468521">
    <w:abstractNumId w:val="6"/>
  </w:num>
  <w:num w:numId="20" w16cid:durableId="1597471377">
    <w:abstractNumId w:val="23"/>
  </w:num>
  <w:num w:numId="21" w16cid:durableId="547767442">
    <w:abstractNumId w:val="21"/>
  </w:num>
  <w:num w:numId="22" w16cid:durableId="2131507155">
    <w:abstractNumId w:val="18"/>
  </w:num>
  <w:num w:numId="23" w16cid:durableId="1167403575">
    <w:abstractNumId w:val="14"/>
  </w:num>
  <w:num w:numId="24" w16cid:durableId="1846363150">
    <w:abstractNumId w:val="0"/>
  </w:num>
  <w:num w:numId="25" w16cid:durableId="907374940">
    <w:abstractNumId w:val="8"/>
  </w:num>
  <w:num w:numId="26" w16cid:durableId="2088917890">
    <w:abstractNumId w:val="13"/>
  </w:num>
  <w:num w:numId="27" w16cid:durableId="519704525">
    <w:abstractNumId w:val="3"/>
  </w:num>
  <w:num w:numId="28" w16cid:durableId="11752226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C5"/>
    <w:rsid w:val="000002A8"/>
    <w:rsid w:val="000003D5"/>
    <w:rsid w:val="000026F5"/>
    <w:rsid w:val="0000424D"/>
    <w:rsid w:val="000056CB"/>
    <w:rsid w:val="00007A0C"/>
    <w:rsid w:val="000117BD"/>
    <w:rsid w:val="0001210E"/>
    <w:rsid w:val="00012E9B"/>
    <w:rsid w:val="00013529"/>
    <w:rsid w:val="0001479C"/>
    <w:rsid w:val="00021948"/>
    <w:rsid w:val="00024278"/>
    <w:rsid w:val="00025FF9"/>
    <w:rsid w:val="00027803"/>
    <w:rsid w:val="00030FCC"/>
    <w:rsid w:val="0003462D"/>
    <w:rsid w:val="00037C97"/>
    <w:rsid w:val="00042C49"/>
    <w:rsid w:val="000444E0"/>
    <w:rsid w:val="00044577"/>
    <w:rsid w:val="00044EBD"/>
    <w:rsid w:val="00046551"/>
    <w:rsid w:val="00047398"/>
    <w:rsid w:val="00047B32"/>
    <w:rsid w:val="000503F3"/>
    <w:rsid w:val="00050E2C"/>
    <w:rsid w:val="000555BA"/>
    <w:rsid w:val="00055CB1"/>
    <w:rsid w:val="00056428"/>
    <w:rsid w:val="00057487"/>
    <w:rsid w:val="000579B7"/>
    <w:rsid w:val="00060551"/>
    <w:rsid w:val="00066746"/>
    <w:rsid w:val="000711B1"/>
    <w:rsid w:val="0007294F"/>
    <w:rsid w:val="00074560"/>
    <w:rsid w:val="00080FDE"/>
    <w:rsid w:val="00081D71"/>
    <w:rsid w:val="00083709"/>
    <w:rsid w:val="00087599"/>
    <w:rsid w:val="000900A7"/>
    <w:rsid w:val="000937BF"/>
    <w:rsid w:val="00093B66"/>
    <w:rsid w:val="0009404C"/>
    <w:rsid w:val="00094251"/>
    <w:rsid w:val="000A258E"/>
    <w:rsid w:val="000A601B"/>
    <w:rsid w:val="000A6B4F"/>
    <w:rsid w:val="000B700E"/>
    <w:rsid w:val="000C1D3C"/>
    <w:rsid w:val="000C2C2D"/>
    <w:rsid w:val="000C5EE4"/>
    <w:rsid w:val="000C7A6E"/>
    <w:rsid w:val="000D0F0C"/>
    <w:rsid w:val="000D2701"/>
    <w:rsid w:val="000D4E0D"/>
    <w:rsid w:val="000E2706"/>
    <w:rsid w:val="000E30F6"/>
    <w:rsid w:val="000E7A93"/>
    <w:rsid w:val="000F1E06"/>
    <w:rsid w:val="000F42BF"/>
    <w:rsid w:val="00100540"/>
    <w:rsid w:val="00101CCF"/>
    <w:rsid w:val="0010573D"/>
    <w:rsid w:val="00105998"/>
    <w:rsid w:val="001074DD"/>
    <w:rsid w:val="0011032B"/>
    <w:rsid w:val="001107DD"/>
    <w:rsid w:val="0011288A"/>
    <w:rsid w:val="00112F9C"/>
    <w:rsid w:val="001205BE"/>
    <w:rsid w:val="00120F4D"/>
    <w:rsid w:val="001232B9"/>
    <w:rsid w:val="0012343D"/>
    <w:rsid w:val="0012583E"/>
    <w:rsid w:val="00131B44"/>
    <w:rsid w:val="00141A02"/>
    <w:rsid w:val="00141C48"/>
    <w:rsid w:val="001463F9"/>
    <w:rsid w:val="0014719B"/>
    <w:rsid w:val="00147FE3"/>
    <w:rsid w:val="001501BC"/>
    <w:rsid w:val="00150D45"/>
    <w:rsid w:val="00151C43"/>
    <w:rsid w:val="001525FE"/>
    <w:rsid w:val="00154D2A"/>
    <w:rsid w:val="001550F1"/>
    <w:rsid w:val="001555E8"/>
    <w:rsid w:val="001578A2"/>
    <w:rsid w:val="00164353"/>
    <w:rsid w:val="00164663"/>
    <w:rsid w:val="00164BED"/>
    <w:rsid w:val="00164F9B"/>
    <w:rsid w:val="00165EEC"/>
    <w:rsid w:val="001668BE"/>
    <w:rsid w:val="00166AEB"/>
    <w:rsid w:val="00166BD1"/>
    <w:rsid w:val="00167743"/>
    <w:rsid w:val="00171C42"/>
    <w:rsid w:val="0017260E"/>
    <w:rsid w:val="0017627A"/>
    <w:rsid w:val="00186484"/>
    <w:rsid w:val="00186B67"/>
    <w:rsid w:val="00187DB8"/>
    <w:rsid w:val="001915D7"/>
    <w:rsid w:val="00191F63"/>
    <w:rsid w:val="00191FCC"/>
    <w:rsid w:val="00193365"/>
    <w:rsid w:val="00194067"/>
    <w:rsid w:val="0019745F"/>
    <w:rsid w:val="001A158E"/>
    <w:rsid w:val="001A1FA7"/>
    <w:rsid w:val="001A67B6"/>
    <w:rsid w:val="001A7349"/>
    <w:rsid w:val="001B42A4"/>
    <w:rsid w:val="001C1795"/>
    <w:rsid w:val="001C3C70"/>
    <w:rsid w:val="001C4C35"/>
    <w:rsid w:val="001C5AC7"/>
    <w:rsid w:val="001C74A0"/>
    <w:rsid w:val="001D0FD1"/>
    <w:rsid w:val="001D3D3A"/>
    <w:rsid w:val="001D520D"/>
    <w:rsid w:val="001D6709"/>
    <w:rsid w:val="001E2523"/>
    <w:rsid w:val="001E28D0"/>
    <w:rsid w:val="001F2150"/>
    <w:rsid w:val="001F2F97"/>
    <w:rsid w:val="001F395A"/>
    <w:rsid w:val="001F408B"/>
    <w:rsid w:val="001F609B"/>
    <w:rsid w:val="001F7F3C"/>
    <w:rsid w:val="00200DA5"/>
    <w:rsid w:val="00201F1D"/>
    <w:rsid w:val="00203039"/>
    <w:rsid w:val="002117E7"/>
    <w:rsid w:val="00217B81"/>
    <w:rsid w:val="002222D1"/>
    <w:rsid w:val="00222DC6"/>
    <w:rsid w:val="002309C5"/>
    <w:rsid w:val="00232CDD"/>
    <w:rsid w:val="0023453F"/>
    <w:rsid w:val="00234A49"/>
    <w:rsid w:val="0023767D"/>
    <w:rsid w:val="00241E33"/>
    <w:rsid w:val="0024303E"/>
    <w:rsid w:val="0024396B"/>
    <w:rsid w:val="00243F1D"/>
    <w:rsid w:val="00244B9D"/>
    <w:rsid w:val="002458C0"/>
    <w:rsid w:val="002461A4"/>
    <w:rsid w:val="00246E8B"/>
    <w:rsid w:val="00247946"/>
    <w:rsid w:val="0025184A"/>
    <w:rsid w:val="002527E0"/>
    <w:rsid w:val="0025407B"/>
    <w:rsid w:val="00255FA3"/>
    <w:rsid w:val="00256466"/>
    <w:rsid w:val="0025748C"/>
    <w:rsid w:val="00257D9F"/>
    <w:rsid w:val="00262FD5"/>
    <w:rsid w:val="00263F4F"/>
    <w:rsid w:val="00270F92"/>
    <w:rsid w:val="00272EB1"/>
    <w:rsid w:val="0027350A"/>
    <w:rsid w:val="00274B13"/>
    <w:rsid w:val="00275648"/>
    <w:rsid w:val="00280050"/>
    <w:rsid w:val="002806E8"/>
    <w:rsid w:val="002810F4"/>
    <w:rsid w:val="00283198"/>
    <w:rsid w:val="00283EAF"/>
    <w:rsid w:val="00284C7E"/>
    <w:rsid w:val="00295A63"/>
    <w:rsid w:val="002A11C7"/>
    <w:rsid w:val="002A1FE0"/>
    <w:rsid w:val="002A27B1"/>
    <w:rsid w:val="002A513B"/>
    <w:rsid w:val="002A6B40"/>
    <w:rsid w:val="002A7973"/>
    <w:rsid w:val="002B440C"/>
    <w:rsid w:val="002B538B"/>
    <w:rsid w:val="002B60B5"/>
    <w:rsid w:val="002B60E4"/>
    <w:rsid w:val="002B7BF7"/>
    <w:rsid w:val="002C37D0"/>
    <w:rsid w:val="002C3C07"/>
    <w:rsid w:val="002C49B1"/>
    <w:rsid w:val="002C57E3"/>
    <w:rsid w:val="002C6F6D"/>
    <w:rsid w:val="002C7727"/>
    <w:rsid w:val="002D35C6"/>
    <w:rsid w:val="002D3B2D"/>
    <w:rsid w:val="002D58EE"/>
    <w:rsid w:val="002D6252"/>
    <w:rsid w:val="002E6BA2"/>
    <w:rsid w:val="002F0BBD"/>
    <w:rsid w:val="002F0DD3"/>
    <w:rsid w:val="002F4376"/>
    <w:rsid w:val="002F45A8"/>
    <w:rsid w:val="002F5074"/>
    <w:rsid w:val="002F5355"/>
    <w:rsid w:val="002F60D7"/>
    <w:rsid w:val="002F797D"/>
    <w:rsid w:val="0030215C"/>
    <w:rsid w:val="00302CCF"/>
    <w:rsid w:val="00304B06"/>
    <w:rsid w:val="00304F47"/>
    <w:rsid w:val="00305E47"/>
    <w:rsid w:val="00306BDE"/>
    <w:rsid w:val="00306F67"/>
    <w:rsid w:val="0030750C"/>
    <w:rsid w:val="00310351"/>
    <w:rsid w:val="0031182F"/>
    <w:rsid w:val="00311D96"/>
    <w:rsid w:val="003168BE"/>
    <w:rsid w:val="003268AF"/>
    <w:rsid w:val="00326D64"/>
    <w:rsid w:val="00327D92"/>
    <w:rsid w:val="0033014A"/>
    <w:rsid w:val="00330B17"/>
    <w:rsid w:val="00330CA1"/>
    <w:rsid w:val="00331223"/>
    <w:rsid w:val="00335753"/>
    <w:rsid w:val="0033767F"/>
    <w:rsid w:val="003429A3"/>
    <w:rsid w:val="003508FF"/>
    <w:rsid w:val="00352FFA"/>
    <w:rsid w:val="003571F0"/>
    <w:rsid w:val="00361DE6"/>
    <w:rsid w:val="00363112"/>
    <w:rsid w:val="00365EE7"/>
    <w:rsid w:val="003747CF"/>
    <w:rsid w:val="0037702C"/>
    <w:rsid w:val="00377BC4"/>
    <w:rsid w:val="00381EFC"/>
    <w:rsid w:val="00383442"/>
    <w:rsid w:val="00385A32"/>
    <w:rsid w:val="00386D02"/>
    <w:rsid w:val="00390357"/>
    <w:rsid w:val="00392B4E"/>
    <w:rsid w:val="003933BF"/>
    <w:rsid w:val="00397A6F"/>
    <w:rsid w:val="003A0AE4"/>
    <w:rsid w:val="003A1713"/>
    <w:rsid w:val="003A1DF6"/>
    <w:rsid w:val="003A5363"/>
    <w:rsid w:val="003A58CF"/>
    <w:rsid w:val="003A5B17"/>
    <w:rsid w:val="003B1C8D"/>
    <w:rsid w:val="003B3D2D"/>
    <w:rsid w:val="003B5331"/>
    <w:rsid w:val="003C6AE3"/>
    <w:rsid w:val="003C6EB6"/>
    <w:rsid w:val="003D00CC"/>
    <w:rsid w:val="003D27B0"/>
    <w:rsid w:val="003D3DC5"/>
    <w:rsid w:val="003D6803"/>
    <w:rsid w:val="003D6DEC"/>
    <w:rsid w:val="003D7A8E"/>
    <w:rsid w:val="003E2B5C"/>
    <w:rsid w:val="003E411A"/>
    <w:rsid w:val="003F171F"/>
    <w:rsid w:val="003F19EE"/>
    <w:rsid w:val="003F638D"/>
    <w:rsid w:val="0040152C"/>
    <w:rsid w:val="00402A1E"/>
    <w:rsid w:val="00403178"/>
    <w:rsid w:val="00405310"/>
    <w:rsid w:val="0040743E"/>
    <w:rsid w:val="0040744B"/>
    <w:rsid w:val="004105D9"/>
    <w:rsid w:val="00410658"/>
    <w:rsid w:val="00413AF2"/>
    <w:rsid w:val="00417498"/>
    <w:rsid w:val="00417D2B"/>
    <w:rsid w:val="0042260A"/>
    <w:rsid w:val="004260C3"/>
    <w:rsid w:val="00430A81"/>
    <w:rsid w:val="004409DF"/>
    <w:rsid w:val="00441D3D"/>
    <w:rsid w:val="00442AD1"/>
    <w:rsid w:val="00444774"/>
    <w:rsid w:val="0044621E"/>
    <w:rsid w:val="004503F6"/>
    <w:rsid w:val="00454F59"/>
    <w:rsid w:val="004558DD"/>
    <w:rsid w:val="00455FDA"/>
    <w:rsid w:val="00456874"/>
    <w:rsid w:val="00463B1E"/>
    <w:rsid w:val="00464D11"/>
    <w:rsid w:val="00466AAD"/>
    <w:rsid w:val="00470F9C"/>
    <w:rsid w:val="00471879"/>
    <w:rsid w:val="00476E88"/>
    <w:rsid w:val="00477574"/>
    <w:rsid w:val="00484DD4"/>
    <w:rsid w:val="00485EB1"/>
    <w:rsid w:val="0049217E"/>
    <w:rsid w:val="00492B3E"/>
    <w:rsid w:val="004932BB"/>
    <w:rsid w:val="00493AED"/>
    <w:rsid w:val="00494390"/>
    <w:rsid w:val="00497BFE"/>
    <w:rsid w:val="004A7F5F"/>
    <w:rsid w:val="004B3EDE"/>
    <w:rsid w:val="004B64EC"/>
    <w:rsid w:val="004C162C"/>
    <w:rsid w:val="004C2977"/>
    <w:rsid w:val="004C2B33"/>
    <w:rsid w:val="004C3935"/>
    <w:rsid w:val="004C56FD"/>
    <w:rsid w:val="004D2014"/>
    <w:rsid w:val="004D531F"/>
    <w:rsid w:val="004D631A"/>
    <w:rsid w:val="004E1973"/>
    <w:rsid w:val="004E2028"/>
    <w:rsid w:val="004E2447"/>
    <w:rsid w:val="004E3CDE"/>
    <w:rsid w:val="004E6A92"/>
    <w:rsid w:val="004F0A65"/>
    <w:rsid w:val="004F0E0B"/>
    <w:rsid w:val="004F3734"/>
    <w:rsid w:val="004F4FA3"/>
    <w:rsid w:val="004F5C21"/>
    <w:rsid w:val="004F7252"/>
    <w:rsid w:val="00501EE1"/>
    <w:rsid w:val="00502401"/>
    <w:rsid w:val="00503B28"/>
    <w:rsid w:val="0050552A"/>
    <w:rsid w:val="0050624E"/>
    <w:rsid w:val="0051206E"/>
    <w:rsid w:val="005223DF"/>
    <w:rsid w:val="0052321C"/>
    <w:rsid w:val="00525D49"/>
    <w:rsid w:val="0052625F"/>
    <w:rsid w:val="00530865"/>
    <w:rsid w:val="00530A3D"/>
    <w:rsid w:val="00530BF3"/>
    <w:rsid w:val="005320E4"/>
    <w:rsid w:val="005333A2"/>
    <w:rsid w:val="00533CB9"/>
    <w:rsid w:val="0053608E"/>
    <w:rsid w:val="00540314"/>
    <w:rsid w:val="00540EF3"/>
    <w:rsid w:val="0054156A"/>
    <w:rsid w:val="00541B60"/>
    <w:rsid w:val="00543C99"/>
    <w:rsid w:val="0054489D"/>
    <w:rsid w:val="00544B91"/>
    <w:rsid w:val="00551408"/>
    <w:rsid w:val="00554F81"/>
    <w:rsid w:val="00555BF2"/>
    <w:rsid w:val="0055733C"/>
    <w:rsid w:val="00563470"/>
    <w:rsid w:val="005641E0"/>
    <w:rsid w:val="00567FE8"/>
    <w:rsid w:val="00571883"/>
    <w:rsid w:val="0057271A"/>
    <w:rsid w:val="00572ADF"/>
    <w:rsid w:val="00572BCA"/>
    <w:rsid w:val="0057376F"/>
    <w:rsid w:val="00576FB0"/>
    <w:rsid w:val="005815E2"/>
    <w:rsid w:val="00591BC1"/>
    <w:rsid w:val="0059318C"/>
    <w:rsid w:val="00593AD3"/>
    <w:rsid w:val="00593CAA"/>
    <w:rsid w:val="00594569"/>
    <w:rsid w:val="005976F7"/>
    <w:rsid w:val="005A0AA8"/>
    <w:rsid w:val="005A2CED"/>
    <w:rsid w:val="005A4B4C"/>
    <w:rsid w:val="005A5A53"/>
    <w:rsid w:val="005B1DE6"/>
    <w:rsid w:val="005B3313"/>
    <w:rsid w:val="005B56FB"/>
    <w:rsid w:val="005C180E"/>
    <w:rsid w:val="005C1C6C"/>
    <w:rsid w:val="005C1D18"/>
    <w:rsid w:val="005C3A38"/>
    <w:rsid w:val="005C65FE"/>
    <w:rsid w:val="005C68B8"/>
    <w:rsid w:val="005C6D1E"/>
    <w:rsid w:val="005C7423"/>
    <w:rsid w:val="005C79FE"/>
    <w:rsid w:val="005C7A96"/>
    <w:rsid w:val="005D1ECF"/>
    <w:rsid w:val="005D3AAC"/>
    <w:rsid w:val="005D572B"/>
    <w:rsid w:val="005D6E95"/>
    <w:rsid w:val="005E3931"/>
    <w:rsid w:val="005E3A89"/>
    <w:rsid w:val="005E4645"/>
    <w:rsid w:val="005E5315"/>
    <w:rsid w:val="005F007C"/>
    <w:rsid w:val="005F0BA4"/>
    <w:rsid w:val="005F1556"/>
    <w:rsid w:val="005F2F5F"/>
    <w:rsid w:val="005F7F2B"/>
    <w:rsid w:val="00601747"/>
    <w:rsid w:val="0060441B"/>
    <w:rsid w:val="00605558"/>
    <w:rsid w:val="00605D20"/>
    <w:rsid w:val="00607036"/>
    <w:rsid w:val="00613290"/>
    <w:rsid w:val="00614987"/>
    <w:rsid w:val="006178F7"/>
    <w:rsid w:val="0062062C"/>
    <w:rsid w:val="00623191"/>
    <w:rsid w:val="00623983"/>
    <w:rsid w:val="006252B0"/>
    <w:rsid w:val="00625DE8"/>
    <w:rsid w:val="006304FB"/>
    <w:rsid w:val="00631649"/>
    <w:rsid w:val="006320EC"/>
    <w:rsid w:val="0063321A"/>
    <w:rsid w:val="00634F9B"/>
    <w:rsid w:val="00635418"/>
    <w:rsid w:val="00641495"/>
    <w:rsid w:val="00655BC7"/>
    <w:rsid w:val="00657CFC"/>
    <w:rsid w:val="006604EF"/>
    <w:rsid w:val="006633FF"/>
    <w:rsid w:val="00664C8B"/>
    <w:rsid w:val="006674B6"/>
    <w:rsid w:val="0067172A"/>
    <w:rsid w:val="00674128"/>
    <w:rsid w:val="00674B4E"/>
    <w:rsid w:val="0067699D"/>
    <w:rsid w:val="00681FA1"/>
    <w:rsid w:val="00682845"/>
    <w:rsid w:val="00683468"/>
    <w:rsid w:val="00683476"/>
    <w:rsid w:val="00685F24"/>
    <w:rsid w:val="0069015C"/>
    <w:rsid w:val="0069286E"/>
    <w:rsid w:val="0069518D"/>
    <w:rsid w:val="006959E8"/>
    <w:rsid w:val="00696346"/>
    <w:rsid w:val="006A42FF"/>
    <w:rsid w:val="006A6237"/>
    <w:rsid w:val="006B02F3"/>
    <w:rsid w:val="006B0497"/>
    <w:rsid w:val="006B363A"/>
    <w:rsid w:val="006B417E"/>
    <w:rsid w:val="006B71C5"/>
    <w:rsid w:val="006C063A"/>
    <w:rsid w:val="006C211A"/>
    <w:rsid w:val="006C4933"/>
    <w:rsid w:val="006D436B"/>
    <w:rsid w:val="006D5A96"/>
    <w:rsid w:val="006D7B15"/>
    <w:rsid w:val="006E25BE"/>
    <w:rsid w:val="006E57B8"/>
    <w:rsid w:val="006F34B8"/>
    <w:rsid w:val="006F5D7A"/>
    <w:rsid w:val="006F74B7"/>
    <w:rsid w:val="006F798E"/>
    <w:rsid w:val="007024B5"/>
    <w:rsid w:val="00704AB8"/>
    <w:rsid w:val="00705A9B"/>
    <w:rsid w:val="00706138"/>
    <w:rsid w:val="007110B1"/>
    <w:rsid w:val="00711193"/>
    <w:rsid w:val="00711355"/>
    <w:rsid w:val="00712733"/>
    <w:rsid w:val="00713190"/>
    <w:rsid w:val="00717806"/>
    <w:rsid w:val="00720B0F"/>
    <w:rsid w:val="00721F01"/>
    <w:rsid w:val="00724DA2"/>
    <w:rsid w:val="00727A42"/>
    <w:rsid w:val="00727B45"/>
    <w:rsid w:val="00727F39"/>
    <w:rsid w:val="00731FAF"/>
    <w:rsid w:val="007320AB"/>
    <w:rsid w:val="0073430C"/>
    <w:rsid w:val="00735C7A"/>
    <w:rsid w:val="00740987"/>
    <w:rsid w:val="00740A66"/>
    <w:rsid w:val="00743F32"/>
    <w:rsid w:val="007444DD"/>
    <w:rsid w:val="0075057B"/>
    <w:rsid w:val="00750AD6"/>
    <w:rsid w:val="00754119"/>
    <w:rsid w:val="007544E9"/>
    <w:rsid w:val="00754616"/>
    <w:rsid w:val="00755812"/>
    <w:rsid w:val="00755A6D"/>
    <w:rsid w:val="00756B89"/>
    <w:rsid w:val="00757E4D"/>
    <w:rsid w:val="00760481"/>
    <w:rsid w:val="0076386F"/>
    <w:rsid w:val="00766CBE"/>
    <w:rsid w:val="00773362"/>
    <w:rsid w:val="007748A7"/>
    <w:rsid w:val="00775E65"/>
    <w:rsid w:val="007763B4"/>
    <w:rsid w:val="00777018"/>
    <w:rsid w:val="007773D9"/>
    <w:rsid w:val="00780CBF"/>
    <w:rsid w:val="00781AC5"/>
    <w:rsid w:val="0078510F"/>
    <w:rsid w:val="00787E67"/>
    <w:rsid w:val="007916D3"/>
    <w:rsid w:val="00794E1E"/>
    <w:rsid w:val="007956C3"/>
    <w:rsid w:val="00796B6F"/>
    <w:rsid w:val="007A4759"/>
    <w:rsid w:val="007A5E43"/>
    <w:rsid w:val="007A6EBB"/>
    <w:rsid w:val="007B1C5E"/>
    <w:rsid w:val="007B6C61"/>
    <w:rsid w:val="007C1324"/>
    <w:rsid w:val="007C1437"/>
    <w:rsid w:val="007C46EB"/>
    <w:rsid w:val="007C73CD"/>
    <w:rsid w:val="007D274F"/>
    <w:rsid w:val="007D2C5E"/>
    <w:rsid w:val="007D732E"/>
    <w:rsid w:val="007E20E2"/>
    <w:rsid w:val="007E3FCC"/>
    <w:rsid w:val="007E7144"/>
    <w:rsid w:val="007F624D"/>
    <w:rsid w:val="007F6E32"/>
    <w:rsid w:val="007F6F24"/>
    <w:rsid w:val="00803462"/>
    <w:rsid w:val="00804274"/>
    <w:rsid w:val="0080449C"/>
    <w:rsid w:val="00805F04"/>
    <w:rsid w:val="00815F44"/>
    <w:rsid w:val="00816C01"/>
    <w:rsid w:val="00820918"/>
    <w:rsid w:val="00831CAC"/>
    <w:rsid w:val="00832327"/>
    <w:rsid w:val="008339F6"/>
    <w:rsid w:val="008362CF"/>
    <w:rsid w:val="008417FE"/>
    <w:rsid w:val="008457C6"/>
    <w:rsid w:val="00846258"/>
    <w:rsid w:val="008463DF"/>
    <w:rsid w:val="00850BE8"/>
    <w:rsid w:val="00855312"/>
    <w:rsid w:val="0085702B"/>
    <w:rsid w:val="00861D74"/>
    <w:rsid w:val="00867A38"/>
    <w:rsid w:val="00870F65"/>
    <w:rsid w:val="00872770"/>
    <w:rsid w:val="00873A3A"/>
    <w:rsid w:val="00876E3B"/>
    <w:rsid w:val="00880C05"/>
    <w:rsid w:val="0088550F"/>
    <w:rsid w:val="00887069"/>
    <w:rsid w:val="0089082E"/>
    <w:rsid w:val="00891750"/>
    <w:rsid w:val="008921AD"/>
    <w:rsid w:val="0089367A"/>
    <w:rsid w:val="00894159"/>
    <w:rsid w:val="00896022"/>
    <w:rsid w:val="00896BAA"/>
    <w:rsid w:val="00897265"/>
    <w:rsid w:val="00897366"/>
    <w:rsid w:val="008A47A5"/>
    <w:rsid w:val="008A5529"/>
    <w:rsid w:val="008A59FD"/>
    <w:rsid w:val="008A5D8C"/>
    <w:rsid w:val="008A7D15"/>
    <w:rsid w:val="008B07F8"/>
    <w:rsid w:val="008B7643"/>
    <w:rsid w:val="008C2CF1"/>
    <w:rsid w:val="008C3C00"/>
    <w:rsid w:val="008C542F"/>
    <w:rsid w:val="008C6FD1"/>
    <w:rsid w:val="008D1C85"/>
    <w:rsid w:val="008D25CB"/>
    <w:rsid w:val="008D27D0"/>
    <w:rsid w:val="008D28D9"/>
    <w:rsid w:val="008D28F2"/>
    <w:rsid w:val="008D2DE6"/>
    <w:rsid w:val="008D62BC"/>
    <w:rsid w:val="008D66FE"/>
    <w:rsid w:val="008E330B"/>
    <w:rsid w:val="008F2B5F"/>
    <w:rsid w:val="008F3AEF"/>
    <w:rsid w:val="008FA89A"/>
    <w:rsid w:val="00900153"/>
    <w:rsid w:val="009059DF"/>
    <w:rsid w:val="009062D1"/>
    <w:rsid w:val="00906CE5"/>
    <w:rsid w:val="0091368D"/>
    <w:rsid w:val="00913BC9"/>
    <w:rsid w:val="00914BF3"/>
    <w:rsid w:val="00916754"/>
    <w:rsid w:val="00920A66"/>
    <w:rsid w:val="00923B4F"/>
    <w:rsid w:val="00925C91"/>
    <w:rsid w:val="009425CE"/>
    <w:rsid w:val="009426A2"/>
    <w:rsid w:val="009447A3"/>
    <w:rsid w:val="009456FD"/>
    <w:rsid w:val="0095034E"/>
    <w:rsid w:val="00950884"/>
    <w:rsid w:val="00951CBF"/>
    <w:rsid w:val="00953EB1"/>
    <w:rsid w:val="0095699B"/>
    <w:rsid w:val="00956D33"/>
    <w:rsid w:val="0095710A"/>
    <w:rsid w:val="0096183F"/>
    <w:rsid w:val="009676C2"/>
    <w:rsid w:val="00967E5A"/>
    <w:rsid w:val="00970299"/>
    <w:rsid w:val="009707DC"/>
    <w:rsid w:val="00974688"/>
    <w:rsid w:val="009767D4"/>
    <w:rsid w:val="0098107F"/>
    <w:rsid w:val="00981104"/>
    <w:rsid w:val="00983FB8"/>
    <w:rsid w:val="00985650"/>
    <w:rsid w:val="00987573"/>
    <w:rsid w:val="00987D6D"/>
    <w:rsid w:val="00991E89"/>
    <w:rsid w:val="00993FA2"/>
    <w:rsid w:val="00994C2C"/>
    <w:rsid w:val="00996DB7"/>
    <w:rsid w:val="00997F88"/>
    <w:rsid w:val="009A0253"/>
    <w:rsid w:val="009A1512"/>
    <w:rsid w:val="009A3D52"/>
    <w:rsid w:val="009A6029"/>
    <w:rsid w:val="009A7E56"/>
    <w:rsid w:val="009B028F"/>
    <w:rsid w:val="009B0AFD"/>
    <w:rsid w:val="009B1243"/>
    <w:rsid w:val="009B1FA3"/>
    <w:rsid w:val="009B5B64"/>
    <w:rsid w:val="009B6329"/>
    <w:rsid w:val="009B6690"/>
    <w:rsid w:val="009B7C16"/>
    <w:rsid w:val="009C3870"/>
    <w:rsid w:val="009C6960"/>
    <w:rsid w:val="009C747E"/>
    <w:rsid w:val="009D31A6"/>
    <w:rsid w:val="009D4902"/>
    <w:rsid w:val="009E06EE"/>
    <w:rsid w:val="009E179F"/>
    <w:rsid w:val="009E3141"/>
    <w:rsid w:val="009E3719"/>
    <w:rsid w:val="009E5786"/>
    <w:rsid w:val="009E690B"/>
    <w:rsid w:val="009E702A"/>
    <w:rsid w:val="009F2C9B"/>
    <w:rsid w:val="00A0169A"/>
    <w:rsid w:val="00A022AB"/>
    <w:rsid w:val="00A04F5F"/>
    <w:rsid w:val="00A05DDA"/>
    <w:rsid w:val="00A07068"/>
    <w:rsid w:val="00A10404"/>
    <w:rsid w:val="00A12773"/>
    <w:rsid w:val="00A13054"/>
    <w:rsid w:val="00A16EB7"/>
    <w:rsid w:val="00A17FC3"/>
    <w:rsid w:val="00A21EEC"/>
    <w:rsid w:val="00A30117"/>
    <w:rsid w:val="00A30C0A"/>
    <w:rsid w:val="00A3119B"/>
    <w:rsid w:val="00A31398"/>
    <w:rsid w:val="00A4011C"/>
    <w:rsid w:val="00A4149B"/>
    <w:rsid w:val="00A438BF"/>
    <w:rsid w:val="00A54DD8"/>
    <w:rsid w:val="00A550EA"/>
    <w:rsid w:val="00A56BD8"/>
    <w:rsid w:val="00A6336C"/>
    <w:rsid w:val="00A6524D"/>
    <w:rsid w:val="00A66DD2"/>
    <w:rsid w:val="00A71301"/>
    <w:rsid w:val="00A73E09"/>
    <w:rsid w:val="00A744C5"/>
    <w:rsid w:val="00A84D48"/>
    <w:rsid w:val="00A9018E"/>
    <w:rsid w:val="00A90870"/>
    <w:rsid w:val="00A90FFC"/>
    <w:rsid w:val="00A915AA"/>
    <w:rsid w:val="00A92FE4"/>
    <w:rsid w:val="00A940F1"/>
    <w:rsid w:val="00A96D74"/>
    <w:rsid w:val="00AA1F41"/>
    <w:rsid w:val="00AA2CAE"/>
    <w:rsid w:val="00AA32F7"/>
    <w:rsid w:val="00AA3B32"/>
    <w:rsid w:val="00AA565B"/>
    <w:rsid w:val="00AB3797"/>
    <w:rsid w:val="00AC0A40"/>
    <w:rsid w:val="00AC439F"/>
    <w:rsid w:val="00AC7303"/>
    <w:rsid w:val="00AD0842"/>
    <w:rsid w:val="00AD3D99"/>
    <w:rsid w:val="00AD3EE5"/>
    <w:rsid w:val="00AD5148"/>
    <w:rsid w:val="00AE13B5"/>
    <w:rsid w:val="00AE40E5"/>
    <w:rsid w:val="00AE4BA2"/>
    <w:rsid w:val="00AE7BC3"/>
    <w:rsid w:val="00AF02C2"/>
    <w:rsid w:val="00AF067A"/>
    <w:rsid w:val="00AF4679"/>
    <w:rsid w:val="00AF4EC1"/>
    <w:rsid w:val="00AF693E"/>
    <w:rsid w:val="00B02927"/>
    <w:rsid w:val="00B11E1E"/>
    <w:rsid w:val="00B1505E"/>
    <w:rsid w:val="00B1577B"/>
    <w:rsid w:val="00B157F6"/>
    <w:rsid w:val="00B264C6"/>
    <w:rsid w:val="00B277E5"/>
    <w:rsid w:val="00B31E92"/>
    <w:rsid w:val="00B32608"/>
    <w:rsid w:val="00B32FCA"/>
    <w:rsid w:val="00B37EBA"/>
    <w:rsid w:val="00B37EF6"/>
    <w:rsid w:val="00B43F7D"/>
    <w:rsid w:val="00B45508"/>
    <w:rsid w:val="00B459C6"/>
    <w:rsid w:val="00B46FBD"/>
    <w:rsid w:val="00B57803"/>
    <w:rsid w:val="00B57ACB"/>
    <w:rsid w:val="00B6220E"/>
    <w:rsid w:val="00B6235A"/>
    <w:rsid w:val="00B62F64"/>
    <w:rsid w:val="00B654A7"/>
    <w:rsid w:val="00B662D6"/>
    <w:rsid w:val="00B7054E"/>
    <w:rsid w:val="00B72CF4"/>
    <w:rsid w:val="00B736E5"/>
    <w:rsid w:val="00B7378B"/>
    <w:rsid w:val="00B73B4A"/>
    <w:rsid w:val="00B74E06"/>
    <w:rsid w:val="00B80058"/>
    <w:rsid w:val="00B81DFE"/>
    <w:rsid w:val="00B82246"/>
    <w:rsid w:val="00B84B92"/>
    <w:rsid w:val="00B87CE8"/>
    <w:rsid w:val="00BA1A9B"/>
    <w:rsid w:val="00BA56DC"/>
    <w:rsid w:val="00BB1DED"/>
    <w:rsid w:val="00BB5AB6"/>
    <w:rsid w:val="00BB6965"/>
    <w:rsid w:val="00BB7874"/>
    <w:rsid w:val="00BC0436"/>
    <w:rsid w:val="00BC2348"/>
    <w:rsid w:val="00BC3D67"/>
    <w:rsid w:val="00BC718A"/>
    <w:rsid w:val="00BC74B2"/>
    <w:rsid w:val="00BD3B98"/>
    <w:rsid w:val="00BD49C0"/>
    <w:rsid w:val="00BD527F"/>
    <w:rsid w:val="00BD5ACD"/>
    <w:rsid w:val="00BD6E31"/>
    <w:rsid w:val="00BE0C65"/>
    <w:rsid w:val="00BE490A"/>
    <w:rsid w:val="00BE538F"/>
    <w:rsid w:val="00BF0813"/>
    <w:rsid w:val="00BF2030"/>
    <w:rsid w:val="00C01342"/>
    <w:rsid w:val="00C06831"/>
    <w:rsid w:val="00C06890"/>
    <w:rsid w:val="00C13171"/>
    <w:rsid w:val="00C14AD7"/>
    <w:rsid w:val="00C237B4"/>
    <w:rsid w:val="00C23C83"/>
    <w:rsid w:val="00C31F0A"/>
    <w:rsid w:val="00C4037E"/>
    <w:rsid w:val="00C403BE"/>
    <w:rsid w:val="00C51899"/>
    <w:rsid w:val="00C526BC"/>
    <w:rsid w:val="00C52B46"/>
    <w:rsid w:val="00C53596"/>
    <w:rsid w:val="00C66A3B"/>
    <w:rsid w:val="00C858C5"/>
    <w:rsid w:val="00C91FE7"/>
    <w:rsid w:val="00C92836"/>
    <w:rsid w:val="00C94845"/>
    <w:rsid w:val="00C96661"/>
    <w:rsid w:val="00C97485"/>
    <w:rsid w:val="00CA007B"/>
    <w:rsid w:val="00CA0C52"/>
    <w:rsid w:val="00CA2E7A"/>
    <w:rsid w:val="00CA3EA6"/>
    <w:rsid w:val="00CB1CA8"/>
    <w:rsid w:val="00CB6F27"/>
    <w:rsid w:val="00CB7BA5"/>
    <w:rsid w:val="00CC2CF4"/>
    <w:rsid w:val="00CC41FA"/>
    <w:rsid w:val="00CC4D0F"/>
    <w:rsid w:val="00CC4D28"/>
    <w:rsid w:val="00CD0B9F"/>
    <w:rsid w:val="00CD36F1"/>
    <w:rsid w:val="00CE00DC"/>
    <w:rsid w:val="00CE3C3A"/>
    <w:rsid w:val="00CE4871"/>
    <w:rsid w:val="00CF278D"/>
    <w:rsid w:val="00CF4297"/>
    <w:rsid w:val="00CF4E60"/>
    <w:rsid w:val="00CF5C29"/>
    <w:rsid w:val="00CF66F7"/>
    <w:rsid w:val="00D050DC"/>
    <w:rsid w:val="00D051D8"/>
    <w:rsid w:val="00D06F24"/>
    <w:rsid w:val="00D07A1D"/>
    <w:rsid w:val="00D108BD"/>
    <w:rsid w:val="00D10C94"/>
    <w:rsid w:val="00D11AC7"/>
    <w:rsid w:val="00D12603"/>
    <w:rsid w:val="00D13A80"/>
    <w:rsid w:val="00D1452B"/>
    <w:rsid w:val="00D16D90"/>
    <w:rsid w:val="00D17258"/>
    <w:rsid w:val="00D2125A"/>
    <w:rsid w:val="00D22804"/>
    <w:rsid w:val="00D2389D"/>
    <w:rsid w:val="00D23C23"/>
    <w:rsid w:val="00D327D1"/>
    <w:rsid w:val="00D35633"/>
    <w:rsid w:val="00D37751"/>
    <w:rsid w:val="00D44D27"/>
    <w:rsid w:val="00D475A8"/>
    <w:rsid w:val="00D50A3E"/>
    <w:rsid w:val="00D56256"/>
    <w:rsid w:val="00D5652D"/>
    <w:rsid w:val="00D5794B"/>
    <w:rsid w:val="00D61164"/>
    <w:rsid w:val="00D61AFF"/>
    <w:rsid w:val="00D6387D"/>
    <w:rsid w:val="00D65219"/>
    <w:rsid w:val="00D65F84"/>
    <w:rsid w:val="00D679DE"/>
    <w:rsid w:val="00D725E1"/>
    <w:rsid w:val="00D72828"/>
    <w:rsid w:val="00D72E98"/>
    <w:rsid w:val="00D8220F"/>
    <w:rsid w:val="00D83D28"/>
    <w:rsid w:val="00D83FAB"/>
    <w:rsid w:val="00D84514"/>
    <w:rsid w:val="00D85930"/>
    <w:rsid w:val="00D907D4"/>
    <w:rsid w:val="00D91889"/>
    <w:rsid w:val="00D9235A"/>
    <w:rsid w:val="00D94FDE"/>
    <w:rsid w:val="00DA2DF2"/>
    <w:rsid w:val="00DA2F62"/>
    <w:rsid w:val="00DA3369"/>
    <w:rsid w:val="00DA5893"/>
    <w:rsid w:val="00DA76AC"/>
    <w:rsid w:val="00DB7232"/>
    <w:rsid w:val="00DC0330"/>
    <w:rsid w:val="00DC1AAB"/>
    <w:rsid w:val="00DC5BFD"/>
    <w:rsid w:val="00DC6FB1"/>
    <w:rsid w:val="00DC7878"/>
    <w:rsid w:val="00DD1822"/>
    <w:rsid w:val="00DD510A"/>
    <w:rsid w:val="00DE124E"/>
    <w:rsid w:val="00DE3035"/>
    <w:rsid w:val="00DE3246"/>
    <w:rsid w:val="00DE4BDF"/>
    <w:rsid w:val="00DE510C"/>
    <w:rsid w:val="00DE59CD"/>
    <w:rsid w:val="00DE7B48"/>
    <w:rsid w:val="00E00B63"/>
    <w:rsid w:val="00E0372A"/>
    <w:rsid w:val="00E067FE"/>
    <w:rsid w:val="00E06DAD"/>
    <w:rsid w:val="00E139B5"/>
    <w:rsid w:val="00E14B0E"/>
    <w:rsid w:val="00E23AD7"/>
    <w:rsid w:val="00E262E4"/>
    <w:rsid w:val="00E26EE5"/>
    <w:rsid w:val="00E279E7"/>
    <w:rsid w:val="00E4011A"/>
    <w:rsid w:val="00E453CD"/>
    <w:rsid w:val="00E45821"/>
    <w:rsid w:val="00E504CC"/>
    <w:rsid w:val="00E504F8"/>
    <w:rsid w:val="00E51860"/>
    <w:rsid w:val="00E549DF"/>
    <w:rsid w:val="00E621A9"/>
    <w:rsid w:val="00E63236"/>
    <w:rsid w:val="00E66772"/>
    <w:rsid w:val="00E71583"/>
    <w:rsid w:val="00E716EB"/>
    <w:rsid w:val="00E75792"/>
    <w:rsid w:val="00E76F4E"/>
    <w:rsid w:val="00E81EDE"/>
    <w:rsid w:val="00E822BA"/>
    <w:rsid w:val="00E831AF"/>
    <w:rsid w:val="00E84245"/>
    <w:rsid w:val="00E8479B"/>
    <w:rsid w:val="00E9178E"/>
    <w:rsid w:val="00E92B55"/>
    <w:rsid w:val="00E9313D"/>
    <w:rsid w:val="00E93399"/>
    <w:rsid w:val="00E93799"/>
    <w:rsid w:val="00EA0DF6"/>
    <w:rsid w:val="00EA4097"/>
    <w:rsid w:val="00EA7B89"/>
    <w:rsid w:val="00EB1256"/>
    <w:rsid w:val="00EB32F8"/>
    <w:rsid w:val="00EB53CF"/>
    <w:rsid w:val="00EB5B5B"/>
    <w:rsid w:val="00EC09B5"/>
    <w:rsid w:val="00EC2BDF"/>
    <w:rsid w:val="00EC3683"/>
    <w:rsid w:val="00EC7F2C"/>
    <w:rsid w:val="00ED0AD5"/>
    <w:rsid w:val="00EE46CE"/>
    <w:rsid w:val="00EE706E"/>
    <w:rsid w:val="00EE7D1F"/>
    <w:rsid w:val="00EE7E19"/>
    <w:rsid w:val="00EF0826"/>
    <w:rsid w:val="00EF3510"/>
    <w:rsid w:val="00EF5E4D"/>
    <w:rsid w:val="00EF7BDE"/>
    <w:rsid w:val="00F00DFB"/>
    <w:rsid w:val="00F01039"/>
    <w:rsid w:val="00F01652"/>
    <w:rsid w:val="00F04A67"/>
    <w:rsid w:val="00F104A7"/>
    <w:rsid w:val="00F11176"/>
    <w:rsid w:val="00F14D6C"/>
    <w:rsid w:val="00F15922"/>
    <w:rsid w:val="00F15AAC"/>
    <w:rsid w:val="00F216F7"/>
    <w:rsid w:val="00F23BA8"/>
    <w:rsid w:val="00F27BCD"/>
    <w:rsid w:val="00F31551"/>
    <w:rsid w:val="00F41FB2"/>
    <w:rsid w:val="00F46570"/>
    <w:rsid w:val="00F50D61"/>
    <w:rsid w:val="00F5469C"/>
    <w:rsid w:val="00F66081"/>
    <w:rsid w:val="00F660BB"/>
    <w:rsid w:val="00F70052"/>
    <w:rsid w:val="00F70E6F"/>
    <w:rsid w:val="00F76360"/>
    <w:rsid w:val="00F8084F"/>
    <w:rsid w:val="00F8366B"/>
    <w:rsid w:val="00F84290"/>
    <w:rsid w:val="00F852AE"/>
    <w:rsid w:val="00F8632C"/>
    <w:rsid w:val="00F8715C"/>
    <w:rsid w:val="00F926D8"/>
    <w:rsid w:val="00F96238"/>
    <w:rsid w:val="00F974B4"/>
    <w:rsid w:val="00FA14D5"/>
    <w:rsid w:val="00FA7CD6"/>
    <w:rsid w:val="00FB71F0"/>
    <w:rsid w:val="00FB77DC"/>
    <w:rsid w:val="00FC3CFC"/>
    <w:rsid w:val="00FD238D"/>
    <w:rsid w:val="00FD2F25"/>
    <w:rsid w:val="00FD39A9"/>
    <w:rsid w:val="00FD4330"/>
    <w:rsid w:val="00FD506B"/>
    <w:rsid w:val="00FD722A"/>
    <w:rsid w:val="00FE2B35"/>
    <w:rsid w:val="00FE366F"/>
    <w:rsid w:val="00FE493B"/>
    <w:rsid w:val="00FE65D3"/>
    <w:rsid w:val="00FE75D4"/>
    <w:rsid w:val="00FF249E"/>
    <w:rsid w:val="00FF6FB6"/>
    <w:rsid w:val="02A2BF3A"/>
    <w:rsid w:val="060C917C"/>
    <w:rsid w:val="062D03CE"/>
    <w:rsid w:val="06EE2D6B"/>
    <w:rsid w:val="07B761F0"/>
    <w:rsid w:val="08114B9D"/>
    <w:rsid w:val="0A070179"/>
    <w:rsid w:val="0CDC8BCA"/>
    <w:rsid w:val="0CE32D25"/>
    <w:rsid w:val="0D9A2F9E"/>
    <w:rsid w:val="0EF85FD6"/>
    <w:rsid w:val="0EFFF9D3"/>
    <w:rsid w:val="105464DA"/>
    <w:rsid w:val="11CB66AD"/>
    <w:rsid w:val="150BF8B6"/>
    <w:rsid w:val="1BC1634A"/>
    <w:rsid w:val="1BEFDB8F"/>
    <w:rsid w:val="1F18D89E"/>
    <w:rsid w:val="201F0CB0"/>
    <w:rsid w:val="20C80699"/>
    <w:rsid w:val="25118416"/>
    <w:rsid w:val="25B29E32"/>
    <w:rsid w:val="25FDD2F5"/>
    <w:rsid w:val="294F5B4D"/>
    <w:rsid w:val="296483B3"/>
    <w:rsid w:val="2E08D139"/>
    <w:rsid w:val="2E71FE30"/>
    <w:rsid w:val="2F4E2542"/>
    <w:rsid w:val="304EDD16"/>
    <w:rsid w:val="353FB501"/>
    <w:rsid w:val="37D53ECF"/>
    <w:rsid w:val="37FE6D49"/>
    <w:rsid w:val="380A771A"/>
    <w:rsid w:val="385DBFFD"/>
    <w:rsid w:val="385FF205"/>
    <w:rsid w:val="3C73EB98"/>
    <w:rsid w:val="3D656672"/>
    <w:rsid w:val="3D68781D"/>
    <w:rsid w:val="3D95ACFA"/>
    <w:rsid w:val="3FE31C84"/>
    <w:rsid w:val="4287E196"/>
    <w:rsid w:val="43D55710"/>
    <w:rsid w:val="4611885C"/>
    <w:rsid w:val="49E4BB34"/>
    <w:rsid w:val="4C20B02E"/>
    <w:rsid w:val="4DFF0967"/>
    <w:rsid w:val="4F1E2E6F"/>
    <w:rsid w:val="519F4CFD"/>
    <w:rsid w:val="52C2B8F2"/>
    <w:rsid w:val="52F67D8B"/>
    <w:rsid w:val="597B838D"/>
    <w:rsid w:val="5BEFB21A"/>
    <w:rsid w:val="5CE2DAC4"/>
    <w:rsid w:val="6036A19A"/>
    <w:rsid w:val="6139844C"/>
    <w:rsid w:val="61B91ACB"/>
    <w:rsid w:val="66283D96"/>
    <w:rsid w:val="6665E04F"/>
    <w:rsid w:val="6AD384DA"/>
    <w:rsid w:val="6B335F10"/>
    <w:rsid w:val="6C09D9E6"/>
    <w:rsid w:val="6C94A59E"/>
    <w:rsid w:val="6E763403"/>
    <w:rsid w:val="7048D66A"/>
    <w:rsid w:val="717771AA"/>
    <w:rsid w:val="719E1688"/>
    <w:rsid w:val="71A46657"/>
    <w:rsid w:val="7213C185"/>
    <w:rsid w:val="728DAC28"/>
    <w:rsid w:val="72C1BBD5"/>
    <w:rsid w:val="74021490"/>
    <w:rsid w:val="75A7C4FA"/>
    <w:rsid w:val="782507BD"/>
    <w:rsid w:val="7A04BE75"/>
    <w:rsid w:val="7BBCF9A3"/>
    <w:rsid w:val="7E879504"/>
    <w:rsid w:val="7F997EC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203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AC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81AC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81AC5"/>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81AC5"/>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81AC5"/>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781AC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81AC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81AC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81AC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AC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81AC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81AC5"/>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81AC5"/>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781AC5"/>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781AC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81AC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81AC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81AC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81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A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AC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AC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81AC5"/>
    <w:pPr>
      <w:spacing w:before="160"/>
      <w:jc w:val="center"/>
    </w:pPr>
    <w:rPr>
      <w:i/>
      <w:iCs/>
      <w:color w:val="404040" w:themeColor="text1" w:themeTint="BF"/>
    </w:rPr>
  </w:style>
  <w:style w:type="character" w:customStyle="1" w:styleId="QuoteChar">
    <w:name w:val="Quote Char"/>
    <w:basedOn w:val="DefaultParagraphFont"/>
    <w:link w:val="Quote"/>
    <w:uiPriority w:val="29"/>
    <w:rsid w:val="00781AC5"/>
    <w:rPr>
      <w:i/>
      <w:iCs/>
      <w:color w:val="404040" w:themeColor="text1" w:themeTint="BF"/>
    </w:rPr>
  </w:style>
  <w:style w:type="paragraph" w:styleId="ListParagraph">
    <w:name w:val="List Paragraph"/>
    <w:basedOn w:val="Normal"/>
    <w:uiPriority w:val="34"/>
    <w:qFormat/>
    <w:rsid w:val="00781AC5"/>
    <w:pPr>
      <w:ind w:left="720"/>
      <w:contextualSpacing/>
    </w:pPr>
  </w:style>
  <w:style w:type="character" w:styleId="IntenseEmphasis">
    <w:name w:val="Intense Emphasis"/>
    <w:basedOn w:val="DefaultParagraphFont"/>
    <w:uiPriority w:val="21"/>
    <w:qFormat/>
    <w:rsid w:val="00781AC5"/>
    <w:rPr>
      <w:i/>
      <w:iCs/>
      <w:color w:val="2E74B5" w:themeColor="accent1" w:themeShade="BF"/>
    </w:rPr>
  </w:style>
  <w:style w:type="paragraph" w:styleId="IntenseQuote">
    <w:name w:val="Intense Quote"/>
    <w:basedOn w:val="Normal"/>
    <w:next w:val="Normal"/>
    <w:link w:val="IntenseQuoteChar"/>
    <w:uiPriority w:val="30"/>
    <w:qFormat/>
    <w:rsid w:val="00781AC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81AC5"/>
    <w:rPr>
      <w:i/>
      <w:iCs/>
      <w:color w:val="2E74B5" w:themeColor="accent1" w:themeShade="BF"/>
    </w:rPr>
  </w:style>
  <w:style w:type="character" w:styleId="IntenseReference">
    <w:name w:val="Intense Reference"/>
    <w:basedOn w:val="DefaultParagraphFont"/>
    <w:uiPriority w:val="32"/>
    <w:qFormat/>
    <w:rsid w:val="00781AC5"/>
    <w:rPr>
      <w:b/>
      <w:bCs/>
      <w:smallCaps/>
      <w:color w:val="2E74B5" w:themeColor="accent1" w:themeShade="BF"/>
      <w:spacing w:val="5"/>
    </w:rPr>
  </w:style>
  <w:style w:type="paragraph" w:styleId="Header">
    <w:name w:val="header"/>
    <w:basedOn w:val="Normal"/>
    <w:link w:val="HeaderChar"/>
    <w:uiPriority w:val="99"/>
    <w:unhideWhenUsed/>
    <w:rsid w:val="00342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9A3"/>
  </w:style>
  <w:style w:type="paragraph" w:styleId="Footer">
    <w:name w:val="footer"/>
    <w:basedOn w:val="Normal"/>
    <w:link w:val="FooterChar"/>
    <w:uiPriority w:val="99"/>
    <w:unhideWhenUsed/>
    <w:rsid w:val="00342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9A3"/>
  </w:style>
  <w:style w:type="character" w:styleId="Hyperlink">
    <w:name w:val="Hyperlink"/>
    <w:basedOn w:val="DefaultParagraphFont"/>
    <w:uiPriority w:val="99"/>
    <w:unhideWhenUsed/>
    <w:rsid w:val="00DA76AC"/>
    <w:rPr>
      <w:color w:val="0563C1" w:themeColor="hyperlink"/>
      <w:u w:val="single"/>
    </w:rPr>
  </w:style>
  <w:style w:type="character" w:styleId="UnresolvedMention">
    <w:name w:val="Unresolved Mention"/>
    <w:basedOn w:val="DefaultParagraphFont"/>
    <w:uiPriority w:val="99"/>
    <w:semiHidden/>
    <w:unhideWhenUsed/>
    <w:rsid w:val="00DA76AC"/>
    <w:rPr>
      <w:color w:val="605E5C"/>
      <w:shd w:val="clear" w:color="auto" w:fill="E1DFDD"/>
    </w:rPr>
  </w:style>
  <w:style w:type="paragraph" w:styleId="Revision">
    <w:name w:val="Revision"/>
    <w:hidden/>
    <w:uiPriority w:val="99"/>
    <w:semiHidden/>
    <w:rsid w:val="00EA4097"/>
    <w:pPr>
      <w:spacing w:after="0" w:line="240" w:lineRule="auto"/>
    </w:pPr>
  </w:style>
  <w:style w:type="character" w:styleId="CommentReference">
    <w:name w:val="annotation reference"/>
    <w:basedOn w:val="DefaultParagraphFont"/>
    <w:uiPriority w:val="99"/>
    <w:semiHidden/>
    <w:unhideWhenUsed/>
    <w:rsid w:val="007A6EBB"/>
    <w:rPr>
      <w:sz w:val="16"/>
      <w:szCs w:val="16"/>
    </w:rPr>
  </w:style>
  <w:style w:type="paragraph" w:styleId="CommentText">
    <w:name w:val="annotation text"/>
    <w:basedOn w:val="Normal"/>
    <w:link w:val="CommentTextChar"/>
    <w:uiPriority w:val="99"/>
    <w:unhideWhenUsed/>
    <w:rsid w:val="007A6EBB"/>
    <w:pPr>
      <w:spacing w:line="240" w:lineRule="auto"/>
    </w:pPr>
    <w:rPr>
      <w:sz w:val="20"/>
      <w:szCs w:val="20"/>
    </w:rPr>
  </w:style>
  <w:style w:type="character" w:customStyle="1" w:styleId="CommentTextChar">
    <w:name w:val="Comment Text Char"/>
    <w:basedOn w:val="DefaultParagraphFont"/>
    <w:link w:val="CommentText"/>
    <w:uiPriority w:val="99"/>
    <w:rsid w:val="007A6EBB"/>
    <w:rPr>
      <w:sz w:val="20"/>
      <w:szCs w:val="20"/>
    </w:rPr>
  </w:style>
  <w:style w:type="paragraph" w:styleId="CommentSubject">
    <w:name w:val="annotation subject"/>
    <w:basedOn w:val="CommentText"/>
    <w:next w:val="CommentText"/>
    <w:link w:val="CommentSubjectChar"/>
    <w:uiPriority w:val="99"/>
    <w:semiHidden/>
    <w:unhideWhenUsed/>
    <w:rsid w:val="007A6EBB"/>
    <w:rPr>
      <w:b/>
      <w:bCs/>
    </w:rPr>
  </w:style>
  <w:style w:type="character" w:customStyle="1" w:styleId="CommentSubjectChar">
    <w:name w:val="Comment Subject Char"/>
    <w:basedOn w:val="CommentTextChar"/>
    <w:link w:val="CommentSubject"/>
    <w:uiPriority w:val="99"/>
    <w:semiHidden/>
    <w:rsid w:val="007A6EBB"/>
    <w:rPr>
      <w:b/>
      <w:bCs/>
      <w:sz w:val="20"/>
      <w:szCs w:val="20"/>
    </w:rPr>
  </w:style>
  <w:style w:type="paragraph" w:styleId="FootnoteText">
    <w:name w:val="footnote text"/>
    <w:basedOn w:val="Normal"/>
    <w:link w:val="FootnoteTextChar"/>
    <w:uiPriority w:val="99"/>
    <w:unhideWhenUsed/>
    <w:rsid w:val="3D68781D"/>
    <w:pPr>
      <w:spacing w:after="0" w:line="240" w:lineRule="auto"/>
    </w:pPr>
    <w:rPr>
      <w:sz w:val="20"/>
      <w:szCs w:val="20"/>
    </w:rPr>
  </w:style>
  <w:style w:type="character" w:styleId="FootnoteReference">
    <w:name w:val="footnote reference"/>
    <w:basedOn w:val="DefaultParagraphFont"/>
    <w:uiPriority w:val="99"/>
    <w:unhideWhenUsed/>
    <w:rPr>
      <w:vertAlign w:val="superscript"/>
    </w:rPr>
  </w:style>
  <w:style w:type="character" w:customStyle="1" w:styleId="FootnoteTextChar">
    <w:name w:val="Footnote Text Char"/>
    <w:basedOn w:val="DefaultParagraphFont"/>
    <w:link w:val="FootnoteText"/>
    <w:uiPriority w:val="99"/>
    <w:rsid w:val="002B60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48">
      <w:bodyDiv w:val="1"/>
      <w:marLeft w:val="0"/>
      <w:marRight w:val="0"/>
      <w:marTop w:val="0"/>
      <w:marBottom w:val="0"/>
      <w:divBdr>
        <w:top w:val="none" w:sz="0" w:space="0" w:color="auto"/>
        <w:left w:val="none" w:sz="0" w:space="0" w:color="auto"/>
        <w:bottom w:val="none" w:sz="0" w:space="0" w:color="auto"/>
        <w:right w:val="none" w:sz="0" w:space="0" w:color="auto"/>
      </w:divBdr>
    </w:div>
    <w:div w:id="129834727">
      <w:bodyDiv w:val="1"/>
      <w:marLeft w:val="0"/>
      <w:marRight w:val="0"/>
      <w:marTop w:val="0"/>
      <w:marBottom w:val="0"/>
      <w:divBdr>
        <w:top w:val="none" w:sz="0" w:space="0" w:color="auto"/>
        <w:left w:val="none" w:sz="0" w:space="0" w:color="auto"/>
        <w:bottom w:val="none" w:sz="0" w:space="0" w:color="auto"/>
        <w:right w:val="none" w:sz="0" w:space="0" w:color="auto"/>
      </w:divBdr>
      <w:divsChild>
        <w:div w:id="440565627">
          <w:marLeft w:val="720"/>
          <w:marRight w:val="0"/>
          <w:marTop w:val="0"/>
          <w:marBottom w:val="0"/>
          <w:divBdr>
            <w:top w:val="none" w:sz="0" w:space="0" w:color="auto"/>
            <w:left w:val="none" w:sz="0" w:space="0" w:color="auto"/>
            <w:bottom w:val="none" w:sz="0" w:space="0" w:color="auto"/>
            <w:right w:val="none" w:sz="0" w:space="0" w:color="auto"/>
          </w:divBdr>
        </w:div>
        <w:div w:id="1914925179">
          <w:marLeft w:val="1440"/>
          <w:marRight w:val="0"/>
          <w:marTop w:val="0"/>
          <w:marBottom w:val="0"/>
          <w:divBdr>
            <w:top w:val="none" w:sz="0" w:space="0" w:color="auto"/>
            <w:left w:val="none" w:sz="0" w:space="0" w:color="auto"/>
            <w:bottom w:val="none" w:sz="0" w:space="0" w:color="auto"/>
            <w:right w:val="none" w:sz="0" w:space="0" w:color="auto"/>
          </w:divBdr>
        </w:div>
        <w:div w:id="2113892341">
          <w:marLeft w:val="1440"/>
          <w:marRight w:val="0"/>
          <w:marTop w:val="0"/>
          <w:marBottom w:val="0"/>
          <w:divBdr>
            <w:top w:val="none" w:sz="0" w:space="0" w:color="auto"/>
            <w:left w:val="none" w:sz="0" w:space="0" w:color="auto"/>
            <w:bottom w:val="none" w:sz="0" w:space="0" w:color="auto"/>
            <w:right w:val="none" w:sz="0" w:space="0" w:color="auto"/>
          </w:divBdr>
        </w:div>
        <w:div w:id="1285695222">
          <w:marLeft w:val="1440"/>
          <w:marRight w:val="0"/>
          <w:marTop w:val="0"/>
          <w:marBottom w:val="0"/>
          <w:divBdr>
            <w:top w:val="none" w:sz="0" w:space="0" w:color="auto"/>
            <w:left w:val="none" w:sz="0" w:space="0" w:color="auto"/>
            <w:bottom w:val="none" w:sz="0" w:space="0" w:color="auto"/>
            <w:right w:val="none" w:sz="0" w:space="0" w:color="auto"/>
          </w:divBdr>
        </w:div>
        <w:div w:id="249200264">
          <w:marLeft w:val="1440"/>
          <w:marRight w:val="0"/>
          <w:marTop w:val="0"/>
          <w:marBottom w:val="0"/>
          <w:divBdr>
            <w:top w:val="none" w:sz="0" w:space="0" w:color="auto"/>
            <w:left w:val="none" w:sz="0" w:space="0" w:color="auto"/>
            <w:bottom w:val="none" w:sz="0" w:space="0" w:color="auto"/>
            <w:right w:val="none" w:sz="0" w:space="0" w:color="auto"/>
          </w:divBdr>
        </w:div>
        <w:div w:id="471019788">
          <w:marLeft w:val="1440"/>
          <w:marRight w:val="0"/>
          <w:marTop w:val="0"/>
          <w:marBottom w:val="0"/>
          <w:divBdr>
            <w:top w:val="none" w:sz="0" w:space="0" w:color="auto"/>
            <w:left w:val="none" w:sz="0" w:space="0" w:color="auto"/>
            <w:bottom w:val="none" w:sz="0" w:space="0" w:color="auto"/>
            <w:right w:val="none" w:sz="0" w:space="0" w:color="auto"/>
          </w:divBdr>
        </w:div>
        <w:div w:id="2040818939">
          <w:marLeft w:val="720"/>
          <w:marRight w:val="0"/>
          <w:marTop w:val="0"/>
          <w:marBottom w:val="0"/>
          <w:divBdr>
            <w:top w:val="none" w:sz="0" w:space="0" w:color="auto"/>
            <w:left w:val="none" w:sz="0" w:space="0" w:color="auto"/>
            <w:bottom w:val="none" w:sz="0" w:space="0" w:color="auto"/>
            <w:right w:val="none" w:sz="0" w:space="0" w:color="auto"/>
          </w:divBdr>
        </w:div>
      </w:divsChild>
    </w:div>
    <w:div w:id="385032846">
      <w:bodyDiv w:val="1"/>
      <w:marLeft w:val="0"/>
      <w:marRight w:val="0"/>
      <w:marTop w:val="0"/>
      <w:marBottom w:val="0"/>
      <w:divBdr>
        <w:top w:val="none" w:sz="0" w:space="0" w:color="auto"/>
        <w:left w:val="none" w:sz="0" w:space="0" w:color="auto"/>
        <w:bottom w:val="none" w:sz="0" w:space="0" w:color="auto"/>
        <w:right w:val="none" w:sz="0" w:space="0" w:color="auto"/>
      </w:divBdr>
    </w:div>
    <w:div w:id="1406688848">
      <w:bodyDiv w:val="1"/>
      <w:marLeft w:val="0"/>
      <w:marRight w:val="0"/>
      <w:marTop w:val="0"/>
      <w:marBottom w:val="0"/>
      <w:divBdr>
        <w:top w:val="none" w:sz="0" w:space="0" w:color="auto"/>
        <w:left w:val="none" w:sz="0" w:space="0" w:color="auto"/>
        <w:bottom w:val="none" w:sz="0" w:space="0" w:color="auto"/>
        <w:right w:val="none" w:sz="0" w:space="0" w:color="auto"/>
      </w:divBdr>
      <w:divsChild>
        <w:div w:id="1837839474">
          <w:marLeft w:val="720"/>
          <w:marRight w:val="0"/>
          <w:marTop w:val="0"/>
          <w:marBottom w:val="0"/>
          <w:divBdr>
            <w:top w:val="none" w:sz="0" w:space="0" w:color="auto"/>
            <w:left w:val="none" w:sz="0" w:space="0" w:color="auto"/>
            <w:bottom w:val="none" w:sz="0" w:space="0" w:color="auto"/>
            <w:right w:val="none" w:sz="0" w:space="0" w:color="auto"/>
          </w:divBdr>
        </w:div>
        <w:div w:id="945772781">
          <w:marLeft w:val="720"/>
          <w:marRight w:val="0"/>
          <w:marTop w:val="0"/>
          <w:marBottom w:val="0"/>
          <w:divBdr>
            <w:top w:val="none" w:sz="0" w:space="0" w:color="auto"/>
            <w:left w:val="none" w:sz="0" w:space="0" w:color="auto"/>
            <w:bottom w:val="none" w:sz="0" w:space="0" w:color="auto"/>
            <w:right w:val="none" w:sz="0" w:space="0" w:color="auto"/>
          </w:divBdr>
        </w:div>
        <w:div w:id="209848922">
          <w:marLeft w:val="720"/>
          <w:marRight w:val="0"/>
          <w:marTop w:val="0"/>
          <w:marBottom w:val="0"/>
          <w:divBdr>
            <w:top w:val="none" w:sz="0" w:space="0" w:color="auto"/>
            <w:left w:val="none" w:sz="0" w:space="0" w:color="auto"/>
            <w:bottom w:val="none" w:sz="0" w:space="0" w:color="auto"/>
            <w:right w:val="none" w:sz="0" w:space="0" w:color="auto"/>
          </w:divBdr>
        </w:div>
        <w:div w:id="1515874156">
          <w:marLeft w:val="720"/>
          <w:marRight w:val="0"/>
          <w:marTop w:val="0"/>
          <w:marBottom w:val="0"/>
          <w:divBdr>
            <w:top w:val="none" w:sz="0" w:space="0" w:color="auto"/>
            <w:left w:val="none" w:sz="0" w:space="0" w:color="auto"/>
            <w:bottom w:val="none" w:sz="0" w:space="0" w:color="auto"/>
            <w:right w:val="none" w:sz="0" w:space="0" w:color="auto"/>
          </w:divBdr>
        </w:div>
        <w:div w:id="1195459896">
          <w:marLeft w:val="1440"/>
          <w:marRight w:val="0"/>
          <w:marTop w:val="0"/>
          <w:marBottom w:val="0"/>
          <w:divBdr>
            <w:top w:val="none" w:sz="0" w:space="0" w:color="auto"/>
            <w:left w:val="none" w:sz="0" w:space="0" w:color="auto"/>
            <w:bottom w:val="none" w:sz="0" w:space="0" w:color="auto"/>
            <w:right w:val="none" w:sz="0" w:space="0" w:color="auto"/>
          </w:divBdr>
        </w:div>
        <w:div w:id="937492705">
          <w:marLeft w:val="1440"/>
          <w:marRight w:val="0"/>
          <w:marTop w:val="0"/>
          <w:marBottom w:val="0"/>
          <w:divBdr>
            <w:top w:val="none" w:sz="0" w:space="0" w:color="auto"/>
            <w:left w:val="none" w:sz="0" w:space="0" w:color="auto"/>
            <w:bottom w:val="none" w:sz="0" w:space="0" w:color="auto"/>
            <w:right w:val="none" w:sz="0" w:space="0" w:color="auto"/>
          </w:divBdr>
        </w:div>
        <w:div w:id="594940590">
          <w:marLeft w:val="1440"/>
          <w:marRight w:val="0"/>
          <w:marTop w:val="0"/>
          <w:marBottom w:val="0"/>
          <w:divBdr>
            <w:top w:val="none" w:sz="0" w:space="0" w:color="auto"/>
            <w:left w:val="none" w:sz="0" w:space="0" w:color="auto"/>
            <w:bottom w:val="none" w:sz="0" w:space="0" w:color="auto"/>
            <w:right w:val="none" w:sz="0" w:space="0" w:color="auto"/>
          </w:divBdr>
        </w:div>
        <w:div w:id="200023888">
          <w:marLeft w:val="1440"/>
          <w:marRight w:val="0"/>
          <w:marTop w:val="0"/>
          <w:marBottom w:val="0"/>
          <w:divBdr>
            <w:top w:val="none" w:sz="0" w:space="0" w:color="auto"/>
            <w:left w:val="none" w:sz="0" w:space="0" w:color="auto"/>
            <w:bottom w:val="none" w:sz="0" w:space="0" w:color="auto"/>
            <w:right w:val="none" w:sz="0" w:space="0" w:color="auto"/>
          </w:divBdr>
        </w:div>
        <w:div w:id="594704815">
          <w:marLeft w:val="1440"/>
          <w:marRight w:val="0"/>
          <w:marTop w:val="0"/>
          <w:marBottom w:val="0"/>
          <w:divBdr>
            <w:top w:val="none" w:sz="0" w:space="0" w:color="auto"/>
            <w:left w:val="none" w:sz="0" w:space="0" w:color="auto"/>
            <w:bottom w:val="none" w:sz="0" w:space="0" w:color="auto"/>
            <w:right w:val="none" w:sz="0" w:space="0" w:color="auto"/>
          </w:divBdr>
        </w:div>
      </w:divsChild>
    </w:div>
    <w:div w:id="1856965367">
      <w:bodyDiv w:val="1"/>
      <w:marLeft w:val="0"/>
      <w:marRight w:val="0"/>
      <w:marTop w:val="0"/>
      <w:marBottom w:val="0"/>
      <w:divBdr>
        <w:top w:val="none" w:sz="0" w:space="0" w:color="auto"/>
        <w:left w:val="none" w:sz="0" w:space="0" w:color="auto"/>
        <w:bottom w:val="none" w:sz="0" w:space="0" w:color="auto"/>
        <w:right w:val="none" w:sz="0" w:space="0" w:color="auto"/>
      </w:divBdr>
      <w:divsChild>
        <w:div w:id="1066877432">
          <w:marLeft w:val="446"/>
          <w:marRight w:val="0"/>
          <w:marTop w:val="0"/>
          <w:marBottom w:val="0"/>
          <w:divBdr>
            <w:top w:val="none" w:sz="0" w:space="0" w:color="auto"/>
            <w:left w:val="none" w:sz="0" w:space="0" w:color="auto"/>
            <w:bottom w:val="none" w:sz="0" w:space="0" w:color="auto"/>
            <w:right w:val="none" w:sz="0" w:space="0" w:color="auto"/>
          </w:divBdr>
        </w:div>
        <w:div w:id="41485687">
          <w:marLeft w:val="1166"/>
          <w:marRight w:val="0"/>
          <w:marTop w:val="0"/>
          <w:marBottom w:val="0"/>
          <w:divBdr>
            <w:top w:val="none" w:sz="0" w:space="0" w:color="auto"/>
            <w:left w:val="none" w:sz="0" w:space="0" w:color="auto"/>
            <w:bottom w:val="none" w:sz="0" w:space="0" w:color="auto"/>
            <w:right w:val="none" w:sz="0" w:space="0" w:color="auto"/>
          </w:divBdr>
        </w:div>
        <w:div w:id="596910551">
          <w:marLeft w:val="1166"/>
          <w:marRight w:val="0"/>
          <w:marTop w:val="0"/>
          <w:marBottom w:val="0"/>
          <w:divBdr>
            <w:top w:val="none" w:sz="0" w:space="0" w:color="auto"/>
            <w:left w:val="none" w:sz="0" w:space="0" w:color="auto"/>
            <w:bottom w:val="none" w:sz="0" w:space="0" w:color="auto"/>
            <w:right w:val="none" w:sz="0" w:space="0" w:color="auto"/>
          </w:divBdr>
        </w:div>
        <w:div w:id="748768274">
          <w:marLeft w:val="1166"/>
          <w:marRight w:val="0"/>
          <w:marTop w:val="0"/>
          <w:marBottom w:val="0"/>
          <w:divBdr>
            <w:top w:val="none" w:sz="0" w:space="0" w:color="auto"/>
            <w:left w:val="none" w:sz="0" w:space="0" w:color="auto"/>
            <w:bottom w:val="none" w:sz="0" w:space="0" w:color="auto"/>
            <w:right w:val="none" w:sz="0" w:space="0" w:color="auto"/>
          </w:divBdr>
        </w:div>
      </w:divsChild>
    </w:div>
    <w:div w:id="1903714619">
      <w:bodyDiv w:val="1"/>
      <w:marLeft w:val="0"/>
      <w:marRight w:val="0"/>
      <w:marTop w:val="0"/>
      <w:marBottom w:val="0"/>
      <w:divBdr>
        <w:top w:val="none" w:sz="0" w:space="0" w:color="auto"/>
        <w:left w:val="none" w:sz="0" w:space="0" w:color="auto"/>
        <w:bottom w:val="none" w:sz="0" w:space="0" w:color="auto"/>
        <w:right w:val="none" w:sz="0" w:space="0" w:color="auto"/>
      </w:divBdr>
      <w:divsChild>
        <w:div w:id="635961802">
          <w:marLeft w:val="720"/>
          <w:marRight w:val="0"/>
          <w:marTop w:val="0"/>
          <w:marBottom w:val="0"/>
          <w:divBdr>
            <w:top w:val="none" w:sz="0" w:space="0" w:color="auto"/>
            <w:left w:val="none" w:sz="0" w:space="0" w:color="auto"/>
            <w:bottom w:val="none" w:sz="0" w:space="0" w:color="auto"/>
            <w:right w:val="none" w:sz="0" w:space="0" w:color="auto"/>
          </w:divBdr>
        </w:div>
        <w:div w:id="1504780943">
          <w:marLeft w:val="1440"/>
          <w:marRight w:val="0"/>
          <w:marTop w:val="0"/>
          <w:marBottom w:val="0"/>
          <w:divBdr>
            <w:top w:val="none" w:sz="0" w:space="0" w:color="auto"/>
            <w:left w:val="none" w:sz="0" w:space="0" w:color="auto"/>
            <w:bottom w:val="none" w:sz="0" w:space="0" w:color="auto"/>
            <w:right w:val="none" w:sz="0" w:space="0" w:color="auto"/>
          </w:divBdr>
        </w:div>
        <w:div w:id="1912810518">
          <w:marLeft w:val="1440"/>
          <w:marRight w:val="0"/>
          <w:marTop w:val="0"/>
          <w:marBottom w:val="0"/>
          <w:divBdr>
            <w:top w:val="none" w:sz="0" w:space="0" w:color="auto"/>
            <w:left w:val="none" w:sz="0" w:space="0" w:color="auto"/>
            <w:bottom w:val="none" w:sz="0" w:space="0" w:color="auto"/>
            <w:right w:val="none" w:sz="0" w:space="0" w:color="auto"/>
          </w:divBdr>
        </w:div>
        <w:div w:id="1158111122">
          <w:marLeft w:val="1440"/>
          <w:marRight w:val="0"/>
          <w:marTop w:val="0"/>
          <w:marBottom w:val="0"/>
          <w:divBdr>
            <w:top w:val="none" w:sz="0" w:space="0" w:color="auto"/>
            <w:left w:val="none" w:sz="0" w:space="0" w:color="auto"/>
            <w:bottom w:val="none" w:sz="0" w:space="0" w:color="auto"/>
            <w:right w:val="none" w:sz="0" w:space="0" w:color="auto"/>
          </w:divBdr>
        </w:div>
        <w:div w:id="1380016447">
          <w:marLeft w:val="1440"/>
          <w:marRight w:val="0"/>
          <w:marTop w:val="0"/>
          <w:marBottom w:val="0"/>
          <w:divBdr>
            <w:top w:val="none" w:sz="0" w:space="0" w:color="auto"/>
            <w:left w:val="none" w:sz="0" w:space="0" w:color="auto"/>
            <w:bottom w:val="none" w:sz="0" w:space="0" w:color="auto"/>
            <w:right w:val="none" w:sz="0" w:space="0" w:color="auto"/>
          </w:divBdr>
        </w:div>
        <w:div w:id="1001809283">
          <w:marLeft w:val="1440"/>
          <w:marRight w:val="0"/>
          <w:marTop w:val="0"/>
          <w:marBottom w:val="0"/>
          <w:divBdr>
            <w:top w:val="none" w:sz="0" w:space="0" w:color="auto"/>
            <w:left w:val="none" w:sz="0" w:space="0" w:color="auto"/>
            <w:bottom w:val="none" w:sz="0" w:space="0" w:color="auto"/>
            <w:right w:val="none" w:sz="0" w:space="0" w:color="auto"/>
          </w:divBdr>
        </w:div>
        <w:div w:id="827208867">
          <w:marLeft w:val="720"/>
          <w:marRight w:val="0"/>
          <w:marTop w:val="0"/>
          <w:marBottom w:val="0"/>
          <w:divBdr>
            <w:top w:val="none" w:sz="0" w:space="0" w:color="auto"/>
            <w:left w:val="none" w:sz="0" w:space="0" w:color="auto"/>
            <w:bottom w:val="none" w:sz="0" w:space="0" w:color="auto"/>
            <w:right w:val="none" w:sz="0" w:space="0" w:color="auto"/>
          </w:divBdr>
        </w:div>
      </w:divsChild>
    </w:div>
    <w:div w:id="191766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F96C8-84F1-4112-ABD7-031B7205D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2020</Words>
  <Characters>11518</Characters>
  <Application>Microsoft Office Word</Application>
  <DocSecurity>0</DocSecurity>
  <Lines>95</Lines>
  <Paragraphs>27</Paragraphs>
  <ScaleCrop>false</ScaleCrop>
  <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2025-09-19T03:44:00Z</dcterms:created>
  <dcterms:modified xsi:type="dcterms:W3CDTF">2025-09-19T03:46:00Z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21af413,11b8d025,5f3e0c9a</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253cf50c,426815e0,78da5adc</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2025-09-19T03:45:01Z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52998442-655b-4565-90af-3ae8cd1ccf71</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