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995C9" w14:textId="77777777" w:rsidR="00280050" w:rsidRPr="004430F7" w:rsidRDefault="004430F7" w:rsidP="004430F7">
      <w:pPr>
        <w:pStyle w:val="Heading1"/>
        <w:keepLines w:val="0"/>
        <w:spacing w:before="0" w:after="60" w:line="240" w:lineRule="auto"/>
        <w:jc w:val="center"/>
        <w:rPr>
          <w:rFonts w:ascii="Calibri" w:eastAsia="Times New Roman" w:hAnsi="Calibri" w:cs="Calibri"/>
          <w:b/>
          <w:bCs/>
          <w:color w:val="auto"/>
          <w:kern w:val="28"/>
        </w:rPr>
      </w:pPr>
      <w:r w:rsidRPr="004430F7">
        <w:rPr>
          <w:rFonts w:ascii="Calibri" w:eastAsia="Times New Roman" w:hAnsi="Calibri" w:cs="Calibri"/>
          <w:b/>
          <w:bCs/>
          <w:color w:val="auto"/>
          <w:kern w:val="28"/>
        </w:rPr>
        <w:t xml:space="preserve">SMA </w:t>
      </w:r>
      <w:r w:rsidR="004300A3">
        <w:rPr>
          <w:rFonts w:ascii="Calibri" w:eastAsia="Times New Roman" w:hAnsi="Calibri" w:cs="Calibri"/>
          <w:b/>
          <w:bCs/>
          <w:color w:val="auto"/>
          <w:kern w:val="28"/>
        </w:rPr>
        <w:t>S</w:t>
      </w:r>
      <w:r w:rsidRPr="004430F7">
        <w:rPr>
          <w:rFonts w:ascii="Calibri" w:eastAsia="Times New Roman" w:hAnsi="Calibri" w:cs="Calibri"/>
          <w:b/>
          <w:bCs/>
          <w:color w:val="auto"/>
          <w:kern w:val="28"/>
        </w:rPr>
        <w:t>takeholder Meeting</w:t>
      </w:r>
    </w:p>
    <w:p w14:paraId="3CE3F5F8" w14:textId="77777777" w:rsidR="004430F7" w:rsidRPr="004430F7" w:rsidRDefault="004430F7" w:rsidP="00B43052">
      <w:pPr>
        <w:pStyle w:val="Heading1"/>
        <w:keepLines w:val="0"/>
        <w:spacing w:before="0" w:after="120" w:line="240" w:lineRule="auto"/>
        <w:jc w:val="center"/>
        <w:rPr>
          <w:rFonts w:ascii="Calibri" w:eastAsia="Times New Roman" w:hAnsi="Calibri" w:cs="Calibri"/>
          <w:b/>
          <w:bCs/>
          <w:color w:val="auto"/>
          <w:kern w:val="28"/>
        </w:rPr>
      </w:pPr>
      <w:r w:rsidRPr="004430F7">
        <w:rPr>
          <w:rFonts w:ascii="Calibri" w:eastAsia="Times New Roman" w:hAnsi="Calibri" w:cs="Calibri"/>
          <w:b/>
          <w:bCs/>
          <w:color w:val="auto"/>
          <w:kern w:val="28"/>
        </w:rPr>
        <w:t>Outcome Statement</w:t>
      </w:r>
    </w:p>
    <w:p w14:paraId="105FFC8B" w14:textId="77777777" w:rsidR="004430F7" w:rsidRPr="008839BA" w:rsidRDefault="004430F7" w:rsidP="008839BA">
      <w:pPr>
        <w:jc w:val="center"/>
        <w:rPr>
          <w:b/>
          <w:sz w:val="28"/>
          <w:szCs w:val="28"/>
        </w:rPr>
      </w:pPr>
      <w:r w:rsidRPr="008839BA">
        <w:rPr>
          <w:b/>
          <w:sz w:val="28"/>
          <w:szCs w:val="28"/>
        </w:rPr>
        <w:t>Monday 7 December 2020</w:t>
      </w:r>
    </w:p>
    <w:p w14:paraId="2C9B35ED" w14:textId="77777777" w:rsidR="00B43052" w:rsidRDefault="00B43052" w:rsidP="008839BA"/>
    <w:p w14:paraId="2F5F8BC6" w14:textId="676BC616" w:rsidR="004430F7" w:rsidRPr="004B3228" w:rsidRDefault="004430F7" w:rsidP="004430F7">
      <w:pPr>
        <w:pStyle w:val="Heading1"/>
        <w:keepLines w:val="0"/>
        <w:spacing w:before="0" w:after="60" w:line="240" w:lineRule="auto"/>
        <w:rPr>
          <w:rFonts w:asciiTheme="minorHAnsi" w:eastAsia="Times New Roman" w:hAnsiTheme="minorHAnsi" w:cstheme="minorHAnsi"/>
          <w:b/>
          <w:bCs/>
          <w:color w:val="auto"/>
          <w:kern w:val="28"/>
          <w:sz w:val="24"/>
          <w:szCs w:val="24"/>
        </w:rPr>
      </w:pPr>
      <w:r w:rsidRPr="004B3228">
        <w:rPr>
          <w:rFonts w:asciiTheme="minorHAnsi" w:eastAsia="Times New Roman" w:hAnsiTheme="minorHAnsi" w:cstheme="minorHAnsi"/>
          <w:b/>
          <w:bCs/>
          <w:color w:val="auto"/>
          <w:kern w:val="28"/>
          <w:sz w:val="24"/>
          <w:szCs w:val="24"/>
        </w:rPr>
        <w:t>Attendees</w:t>
      </w:r>
    </w:p>
    <w:p w14:paraId="429DD576" w14:textId="3AD38AFD" w:rsidR="008839BA" w:rsidRPr="008839BA" w:rsidRDefault="008839BA" w:rsidP="008839BA">
      <w:pPr>
        <w:pStyle w:val="CommentText"/>
        <w:rPr>
          <w:rFonts w:cs="Arial"/>
          <w:sz w:val="22"/>
          <w:szCs w:val="22"/>
        </w:rPr>
      </w:pPr>
      <w:r w:rsidRPr="008839BA">
        <w:rPr>
          <w:rFonts w:cs="Arial"/>
          <w:sz w:val="22"/>
          <w:szCs w:val="22"/>
        </w:rPr>
        <w:t>Members of the Pharmaceutical Benefits Advisory Committee (PBAC), representatives from SMA Australia, clinicians with expertise in the management of SMA, patients, carers and representatives of Biogen, Novartis, Roche, and the Department of Health were in attendance.</w:t>
      </w:r>
    </w:p>
    <w:p w14:paraId="083AC4C4" w14:textId="6E91701D" w:rsidR="00682CBF" w:rsidRPr="00682CBF" w:rsidRDefault="00682CBF" w:rsidP="008839BA">
      <w:pPr>
        <w:spacing w:after="120"/>
        <w:rPr>
          <w:rFonts w:cs="Arial"/>
          <w:sz w:val="22"/>
          <w:szCs w:val="22"/>
        </w:rPr>
      </w:pPr>
      <w:r w:rsidRPr="00682CBF">
        <w:rPr>
          <w:rFonts w:cs="Arial"/>
          <w:sz w:val="22"/>
          <w:szCs w:val="22"/>
        </w:rPr>
        <w:t>Non-departmental attendees undertook confidentiality declarations and provided conflict of interest statements.</w:t>
      </w:r>
    </w:p>
    <w:p w14:paraId="4A611080" w14:textId="77777777" w:rsidR="00682CBF" w:rsidRPr="004B3228" w:rsidRDefault="00682CBF" w:rsidP="00682CBF">
      <w:pPr>
        <w:pStyle w:val="Heading1"/>
        <w:keepLines w:val="0"/>
        <w:spacing w:before="0" w:after="60" w:line="240" w:lineRule="auto"/>
        <w:rPr>
          <w:rFonts w:asciiTheme="minorHAnsi" w:eastAsia="Times New Roman" w:hAnsiTheme="minorHAnsi" w:cstheme="minorHAnsi"/>
          <w:b/>
          <w:bCs/>
          <w:color w:val="auto"/>
          <w:kern w:val="28"/>
          <w:sz w:val="24"/>
          <w:szCs w:val="24"/>
        </w:rPr>
      </w:pPr>
      <w:r w:rsidRPr="004B3228">
        <w:rPr>
          <w:rFonts w:asciiTheme="minorHAnsi" w:eastAsia="Times New Roman" w:hAnsiTheme="minorHAnsi" w:cstheme="minorHAnsi"/>
          <w:b/>
          <w:bCs/>
          <w:color w:val="auto"/>
          <w:kern w:val="28"/>
          <w:sz w:val="24"/>
          <w:szCs w:val="24"/>
        </w:rPr>
        <w:t>Purpose of meeting</w:t>
      </w:r>
    </w:p>
    <w:p w14:paraId="08C2C888" w14:textId="4D4C945D" w:rsidR="004B3228" w:rsidRDefault="00682CBF" w:rsidP="004430F7">
      <w:pPr>
        <w:spacing w:after="120"/>
        <w:rPr>
          <w:rFonts w:asciiTheme="minorHAnsi" w:eastAsia="Times New Roman" w:hAnsiTheme="minorHAnsi" w:cstheme="minorHAnsi"/>
          <w:sz w:val="22"/>
          <w:szCs w:val="22"/>
        </w:rPr>
      </w:pPr>
      <w:r w:rsidRPr="00682CBF">
        <w:rPr>
          <w:rFonts w:asciiTheme="minorHAnsi" w:eastAsia="Times New Roman" w:hAnsiTheme="minorHAnsi" w:cstheme="minorHAnsi"/>
          <w:sz w:val="22"/>
          <w:szCs w:val="22"/>
        </w:rPr>
        <w:t xml:space="preserve">The PBAC chair outlined that the objective of the meeting was to </w:t>
      </w:r>
      <w:r w:rsidR="004B3228" w:rsidRPr="004B3228">
        <w:rPr>
          <w:rFonts w:asciiTheme="minorHAnsi" w:eastAsia="Times New Roman" w:hAnsiTheme="minorHAnsi" w:cstheme="minorHAnsi"/>
          <w:sz w:val="22"/>
          <w:szCs w:val="22"/>
        </w:rPr>
        <w:t>discuss the treatment algorithm for spinal muscular atrophy (SMA) and a decision support analysis that takes into account all the currently available clinical data and informs a “whole of disease” economic and financial analysis</w:t>
      </w:r>
      <w:r w:rsidR="004B3228">
        <w:rPr>
          <w:rFonts w:asciiTheme="minorHAnsi" w:eastAsia="Times New Roman" w:hAnsiTheme="minorHAnsi" w:cstheme="minorHAnsi"/>
          <w:sz w:val="22"/>
          <w:szCs w:val="22"/>
        </w:rPr>
        <w:t xml:space="preserve">. </w:t>
      </w:r>
    </w:p>
    <w:p w14:paraId="3393CE91" w14:textId="77777777" w:rsidR="004B3228" w:rsidRDefault="004B3228" w:rsidP="004B3228">
      <w:pPr>
        <w:pStyle w:val="Heading1"/>
        <w:keepLines w:val="0"/>
        <w:spacing w:before="0" w:after="60" w:line="240" w:lineRule="auto"/>
        <w:rPr>
          <w:rFonts w:asciiTheme="minorHAnsi" w:eastAsia="Times New Roman" w:hAnsiTheme="minorHAnsi" w:cstheme="minorHAnsi"/>
          <w:b/>
          <w:bCs/>
          <w:color w:val="auto"/>
          <w:kern w:val="28"/>
          <w:sz w:val="24"/>
          <w:szCs w:val="24"/>
        </w:rPr>
      </w:pPr>
      <w:r w:rsidRPr="004B3228">
        <w:rPr>
          <w:rFonts w:asciiTheme="minorHAnsi" w:eastAsia="Times New Roman" w:hAnsiTheme="minorHAnsi" w:cstheme="minorHAnsi"/>
          <w:b/>
          <w:bCs/>
          <w:color w:val="auto"/>
          <w:kern w:val="28"/>
          <w:sz w:val="24"/>
          <w:szCs w:val="24"/>
        </w:rPr>
        <w:t>Background</w:t>
      </w:r>
    </w:p>
    <w:p w14:paraId="66CE5283" w14:textId="77777777" w:rsidR="004B3228" w:rsidRPr="004B3228" w:rsidRDefault="004B3228" w:rsidP="004B3228">
      <w:pPr>
        <w:pStyle w:val="3-BodyText"/>
        <w:numPr>
          <w:ilvl w:val="0"/>
          <w:numId w:val="3"/>
        </w:numPr>
        <w:ind w:left="426" w:hanging="426"/>
        <w:rPr>
          <w:b/>
          <w:i/>
          <w:sz w:val="22"/>
          <w:szCs w:val="22"/>
        </w:rPr>
      </w:pPr>
      <w:r w:rsidRPr="004B3228">
        <w:rPr>
          <w:b/>
          <w:i/>
          <w:sz w:val="22"/>
          <w:szCs w:val="22"/>
        </w:rPr>
        <w:t>Review of recent developments</w:t>
      </w:r>
    </w:p>
    <w:p w14:paraId="6F433EC4" w14:textId="04C12D43" w:rsidR="009761AC" w:rsidRDefault="004B3228" w:rsidP="007E7669">
      <w:pPr>
        <w:pStyle w:val="3-BodyText"/>
        <w:numPr>
          <w:ilvl w:val="0"/>
          <w:numId w:val="0"/>
        </w:numPr>
        <w:jc w:val="left"/>
        <w:rPr>
          <w:sz w:val="22"/>
          <w:szCs w:val="22"/>
        </w:rPr>
      </w:pPr>
      <w:r w:rsidRPr="009771E5">
        <w:rPr>
          <w:sz w:val="22"/>
          <w:szCs w:val="22"/>
        </w:rPr>
        <w:t xml:space="preserve">The </w:t>
      </w:r>
      <w:r w:rsidR="009761AC" w:rsidRPr="009771E5">
        <w:rPr>
          <w:sz w:val="22"/>
          <w:szCs w:val="22"/>
        </w:rPr>
        <w:t xml:space="preserve">PBAC chair noted that the </w:t>
      </w:r>
      <w:r w:rsidRPr="009771E5">
        <w:rPr>
          <w:sz w:val="22"/>
          <w:szCs w:val="22"/>
        </w:rPr>
        <w:t>SMA</w:t>
      </w:r>
      <w:r w:rsidR="009761AC" w:rsidRPr="009771E5">
        <w:rPr>
          <w:sz w:val="22"/>
          <w:szCs w:val="22"/>
        </w:rPr>
        <w:t xml:space="preserve"> diagnosis and testing</w:t>
      </w:r>
      <w:r w:rsidRPr="009771E5">
        <w:rPr>
          <w:sz w:val="22"/>
          <w:szCs w:val="22"/>
        </w:rPr>
        <w:t xml:space="preserve"> landscape is changing</w:t>
      </w:r>
      <w:r w:rsidR="00675C61" w:rsidRPr="009771E5">
        <w:rPr>
          <w:sz w:val="22"/>
          <w:szCs w:val="22"/>
        </w:rPr>
        <w:t xml:space="preserve"> rapidly</w:t>
      </w:r>
      <w:r w:rsidR="009761AC" w:rsidRPr="009771E5">
        <w:rPr>
          <w:sz w:val="22"/>
          <w:szCs w:val="22"/>
        </w:rPr>
        <w:t xml:space="preserve">. </w:t>
      </w:r>
      <w:r w:rsidR="00675C61" w:rsidRPr="009771E5">
        <w:rPr>
          <w:sz w:val="22"/>
          <w:szCs w:val="22"/>
        </w:rPr>
        <w:t>The PBAC chair noted</w:t>
      </w:r>
      <w:r w:rsidR="009761AC" w:rsidRPr="009771E5">
        <w:rPr>
          <w:sz w:val="22"/>
          <w:szCs w:val="22"/>
        </w:rPr>
        <w:t xml:space="preserve"> that newborn screening programs</w:t>
      </w:r>
      <w:r w:rsidR="007119C7" w:rsidRPr="009771E5">
        <w:rPr>
          <w:sz w:val="22"/>
          <w:szCs w:val="22"/>
        </w:rPr>
        <w:t xml:space="preserve"> for SMA are a state responsibility </w:t>
      </w:r>
      <w:r w:rsidR="009761AC" w:rsidRPr="009771E5">
        <w:rPr>
          <w:sz w:val="22"/>
          <w:szCs w:val="22"/>
        </w:rPr>
        <w:t>a</w:t>
      </w:r>
      <w:r w:rsidR="007119C7" w:rsidRPr="009771E5">
        <w:rPr>
          <w:sz w:val="22"/>
          <w:szCs w:val="22"/>
        </w:rPr>
        <w:t>nd are</w:t>
      </w:r>
      <w:r w:rsidR="009761AC" w:rsidRPr="009771E5">
        <w:rPr>
          <w:sz w:val="22"/>
          <w:szCs w:val="22"/>
        </w:rPr>
        <w:t xml:space="preserve"> not currently </w:t>
      </w:r>
      <w:r w:rsidR="00B43052" w:rsidRPr="009771E5">
        <w:rPr>
          <w:sz w:val="22"/>
          <w:szCs w:val="22"/>
        </w:rPr>
        <w:t xml:space="preserve">routine </w:t>
      </w:r>
      <w:r w:rsidR="007119C7" w:rsidRPr="009771E5">
        <w:rPr>
          <w:sz w:val="22"/>
          <w:szCs w:val="22"/>
        </w:rPr>
        <w:t>in all states.  However, SMA Australia has submitted an application to the national bod</w:t>
      </w:r>
      <w:r w:rsidR="009771E5" w:rsidRPr="009771E5">
        <w:rPr>
          <w:sz w:val="22"/>
          <w:szCs w:val="22"/>
        </w:rPr>
        <w:t>y responsible for facilitating a co-ordinated national approach</w:t>
      </w:r>
      <w:r w:rsidR="009761AC" w:rsidRPr="009771E5">
        <w:rPr>
          <w:sz w:val="22"/>
          <w:szCs w:val="22"/>
        </w:rPr>
        <w:t>.</w:t>
      </w:r>
      <w:r w:rsidR="009761AC">
        <w:rPr>
          <w:sz w:val="22"/>
          <w:szCs w:val="22"/>
        </w:rPr>
        <w:t xml:space="preserve"> The PBAC chair noted </w:t>
      </w:r>
      <w:r w:rsidR="00284062">
        <w:rPr>
          <w:sz w:val="22"/>
          <w:szCs w:val="22"/>
        </w:rPr>
        <w:t>the potential impact of</w:t>
      </w:r>
      <w:r w:rsidR="009761AC">
        <w:rPr>
          <w:sz w:val="22"/>
          <w:szCs w:val="22"/>
        </w:rPr>
        <w:t xml:space="preserve"> </w:t>
      </w:r>
      <w:r w:rsidR="009761AC" w:rsidRPr="004B3228">
        <w:rPr>
          <w:sz w:val="22"/>
          <w:szCs w:val="22"/>
        </w:rPr>
        <w:t>preconception and early pregnancy parental carrier testing</w:t>
      </w:r>
      <w:r w:rsidR="000D5B8E">
        <w:rPr>
          <w:sz w:val="22"/>
          <w:szCs w:val="22"/>
        </w:rPr>
        <w:t xml:space="preserve"> on the future incidence of SMA</w:t>
      </w:r>
      <w:r w:rsidR="009761AC" w:rsidRPr="004B3228">
        <w:rPr>
          <w:sz w:val="22"/>
          <w:szCs w:val="22"/>
        </w:rPr>
        <w:t xml:space="preserve"> (MSAC </w:t>
      </w:r>
      <w:r w:rsidR="009761AC">
        <w:rPr>
          <w:sz w:val="22"/>
          <w:szCs w:val="22"/>
        </w:rPr>
        <w:t xml:space="preserve">application </w:t>
      </w:r>
      <w:r w:rsidR="009761AC" w:rsidRPr="004B3228">
        <w:rPr>
          <w:sz w:val="22"/>
          <w:szCs w:val="22"/>
        </w:rPr>
        <w:t>1573)</w:t>
      </w:r>
      <w:r w:rsidR="009761AC">
        <w:rPr>
          <w:sz w:val="22"/>
          <w:szCs w:val="22"/>
        </w:rPr>
        <w:t xml:space="preserve">. </w:t>
      </w:r>
    </w:p>
    <w:p w14:paraId="01CBD3CD" w14:textId="7EB829A6" w:rsidR="004B3228" w:rsidRPr="004B3228" w:rsidRDefault="00D33B7D" w:rsidP="00D33B7D">
      <w:pPr>
        <w:pStyle w:val="3-BodyText"/>
        <w:keepNext/>
        <w:keepLines/>
        <w:numPr>
          <w:ilvl w:val="0"/>
          <w:numId w:val="0"/>
        </w:numPr>
        <w:rPr>
          <w:sz w:val="22"/>
          <w:szCs w:val="22"/>
        </w:rPr>
      </w:pPr>
      <w:r>
        <w:rPr>
          <w:sz w:val="22"/>
          <w:szCs w:val="22"/>
        </w:rPr>
        <w:t>The PBAC chair also noted the</w:t>
      </w:r>
      <w:r w:rsidR="009761AC">
        <w:rPr>
          <w:sz w:val="22"/>
          <w:szCs w:val="22"/>
        </w:rPr>
        <w:t xml:space="preserve"> </w:t>
      </w:r>
      <w:r w:rsidR="004B3228" w:rsidRPr="004B3228">
        <w:rPr>
          <w:sz w:val="22"/>
          <w:szCs w:val="22"/>
        </w:rPr>
        <w:t>new</w:t>
      </w:r>
      <w:r>
        <w:rPr>
          <w:sz w:val="22"/>
          <w:szCs w:val="22"/>
        </w:rPr>
        <w:t>/recent</w:t>
      </w:r>
      <w:r w:rsidR="004B3228" w:rsidRPr="004B3228">
        <w:rPr>
          <w:sz w:val="22"/>
          <w:szCs w:val="22"/>
        </w:rPr>
        <w:t xml:space="preserve"> treatments</w:t>
      </w:r>
      <w:r>
        <w:rPr>
          <w:sz w:val="22"/>
          <w:szCs w:val="22"/>
        </w:rPr>
        <w:t xml:space="preserve"> for SMA undergoing regulatory and subsidy consideration</w:t>
      </w:r>
      <w:r w:rsidR="004B3228" w:rsidRPr="004B3228">
        <w:rPr>
          <w:sz w:val="22"/>
          <w:szCs w:val="22"/>
        </w:rPr>
        <w:t>, as outlined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HIghlights indication, TGA status, regulator and subsidy status and extra details for Nusinersen, Zolgensma and Evrysdi therapies. "/>
      </w:tblPr>
      <w:tblGrid>
        <w:gridCol w:w="1464"/>
        <w:gridCol w:w="2479"/>
        <w:gridCol w:w="1742"/>
        <w:gridCol w:w="1599"/>
        <w:gridCol w:w="1732"/>
      </w:tblGrid>
      <w:tr w:rsidR="004B3228" w:rsidRPr="00721A98" w14:paraId="10DCC79F" w14:textId="77777777" w:rsidTr="00256F9F">
        <w:trPr>
          <w:trHeight w:val="20"/>
        </w:trPr>
        <w:tc>
          <w:tcPr>
            <w:tcW w:w="784" w:type="pct"/>
            <w:shd w:val="clear" w:color="auto" w:fill="auto"/>
            <w:tcMar>
              <w:top w:w="15" w:type="dxa"/>
              <w:left w:w="103" w:type="dxa"/>
              <w:bottom w:w="0" w:type="dxa"/>
              <w:right w:w="103" w:type="dxa"/>
            </w:tcMar>
            <w:hideMark/>
          </w:tcPr>
          <w:p w14:paraId="038916D9"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b/>
                <w:bCs/>
                <w:kern w:val="24"/>
                <w:sz w:val="20"/>
                <w:szCs w:val="20"/>
                <w:lang w:eastAsia="en-AU"/>
              </w:rPr>
              <w:t>Therapy</w:t>
            </w:r>
          </w:p>
        </w:tc>
        <w:tc>
          <w:tcPr>
            <w:tcW w:w="1382" w:type="pct"/>
            <w:shd w:val="clear" w:color="auto" w:fill="auto"/>
            <w:tcMar>
              <w:top w:w="15" w:type="dxa"/>
              <w:left w:w="103" w:type="dxa"/>
              <w:bottom w:w="0" w:type="dxa"/>
              <w:right w:w="103" w:type="dxa"/>
            </w:tcMar>
            <w:hideMark/>
          </w:tcPr>
          <w:p w14:paraId="3D3E3F3A"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b/>
                <w:bCs/>
                <w:kern w:val="24"/>
                <w:sz w:val="20"/>
                <w:szCs w:val="20"/>
                <w:lang w:eastAsia="en-AU"/>
              </w:rPr>
              <w:t>Indication</w:t>
            </w:r>
          </w:p>
        </w:tc>
        <w:tc>
          <w:tcPr>
            <w:tcW w:w="973" w:type="pct"/>
            <w:shd w:val="clear" w:color="auto" w:fill="auto"/>
            <w:tcMar>
              <w:top w:w="15" w:type="dxa"/>
              <w:left w:w="103" w:type="dxa"/>
              <w:bottom w:w="0" w:type="dxa"/>
              <w:right w:w="103" w:type="dxa"/>
            </w:tcMar>
            <w:hideMark/>
          </w:tcPr>
          <w:p w14:paraId="180C6DFA"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b/>
                <w:bCs/>
                <w:kern w:val="24"/>
                <w:sz w:val="20"/>
                <w:szCs w:val="20"/>
                <w:lang w:eastAsia="en-AU"/>
              </w:rPr>
              <w:t>TGA</w:t>
            </w:r>
          </w:p>
        </w:tc>
        <w:tc>
          <w:tcPr>
            <w:tcW w:w="894" w:type="pct"/>
            <w:shd w:val="clear" w:color="auto" w:fill="auto"/>
            <w:tcMar>
              <w:top w:w="15" w:type="dxa"/>
              <w:left w:w="103" w:type="dxa"/>
              <w:bottom w:w="0" w:type="dxa"/>
              <w:right w:w="103" w:type="dxa"/>
            </w:tcMar>
            <w:hideMark/>
          </w:tcPr>
          <w:p w14:paraId="2FE3D92D"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b/>
                <w:bCs/>
                <w:kern w:val="24"/>
                <w:sz w:val="20"/>
                <w:szCs w:val="20"/>
                <w:lang w:eastAsia="en-AU"/>
              </w:rPr>
              <w:t>Regulatory and subsidy status</w:t>
            </w:r>
          </w:p>
        </w:tc>
        <w:tc>
          <w:tcPr>
            <w:tcW w:w="967" w:type="pct"/>
            <w:shd w:val="clear" w:color="auto" w:fill="auto"/>
            <w:tcMar>
              <w:top w:w="15" w:type="dxa"/>
              <w:left w:w="103" w:type="dxa"/>
              <w:bottom w:w="0" w:type="dxa"/>
              <w:right w:w="103" w:type="dxa"/>
            </w:tcMar>
            <w:hideMark/>
          </w:tcPr>
          <w:p w14:paraId="530F6684"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b/>
                <w:bCs/>
                <w:kern w:val="24"/>
                <w:sz w:val="20"/>
                <w:szCs w:val="20"/>
                <w:lang w:eastAsia="en-AU"/>
              </w:rPr>
              <w:t>Comments</w:t>
            </w:r>
          </w:p>
        </w:tc>
      </w:tr>
      <w:tr w:rsidR="004B3228" w:rsidRPr="00721A98" w14:paraId="3BAB525E" w14:textId="77777777" w:rsidTr="00256F9F">
        <w:trPr>
          <w:trHeight w:val="20"/>
        </w:trPr>
        <w:tc>
          <w:tcPr>
            <w:tcW w:w="784" w:type="pct"/>
            <w:vMerge w:val="restart"/>
            <w:shd w:val="clear" w:color="auto" w:fill="auto"/>
            <w:tcMar>
              <w:top w:w="15" w:type="dxa"/>
              <w:left w:w="103" w:type="dxa"/>
              <w:bottom w:w="0" w:type="dxa"/>
              <w:right w:w="103" w:type="dxa"/>
            </w:tcMar>
            <w:hideMark/>
          </w:tcPr>
          <w:p w14:paraId="00E2E74C" w14:textId="45063A0D" w:rsidR="004B3228" w:rsidRPr="00721A98" w:rsidRDefault="004B3228" w:rsidP="00256F9F">
            <w:pPr>
              <w:keepNext/>
              <w:keepLines/>
              <w:spacing w:after="0" w:line="240" w:lineRule="auto"/>
              <w:rPr>
                <w:rFonts w:ascii="Arial Narrow" w:eastAsia="Times New Roman" w:hAnsi="Arial Narrow" w:cs="Arial"/>
                <w:sz w:val="20"/>
                <w:szCs w:val="20"/>
                <w:lang w:eastAsia="en-AU"/>
              </w:rPr>
            </w:pPr>
            <w:proofErr w:type="spellStart"/>
            <w:r w:rsidRPr="00721A98">
              <w:rPr>
                <w:rFonts w:ascii="Arial Narrow" w:eastAsia="Times New Roman" w:hAnsi="Arial Narrow" w:cs="Arial"/>
                <w:b/>
                <w:bCs/>
                <w:kern w:val="24"/>
                <w:sz w:val="20"/>
                <w:szCs w:val="20"/>
                <w:lang w:eastAsia="en-AU"/>
              </w:rPr>
              <w:t>Nusinersen</w:t>
            </w:r>
            <w:proofErr w:type="spellEnd"/>
            <w:r w:rsidRPr="00721A98">
              <w:rPr>
                <w:rFonts w:ascii="Arial Narrow" w:eastAsia="Times New Roman" w:hAnsi="Arial Narrow" w:cs="Arial"/>
                <w:b/>
                <w:bCs/>
                <w:kern w:val="24"/>
                <w:sz w:val="20"/>
                <w:szCs w:val="20"/>
                <w:lang w:eastAsia="en-AU"/>
              </w:rPr>
              <w:t xml:space="preserve"> (</w:t>
            </w:r>
            <w:proofErr w:type="spellStart"/>
            <w:r w:rsidRPr="00721A98">
              <w:rPr>
                <w:rFonts w:ascii="Arial Narrow" w:eastAsia="Times New Roman" w:hAnsi="Arial Narrow" w:cs="Arial"/>
                <w:b/>
                <w:bCs/>
                <w:kern w:val="24"/>
                <w:sz w:val="20"/>
                <w:szCs w:val="20"/>
                <w:lang w:eastAsia="en-AU"/>
              </w:rPr>
              <w:t>Spinraza</w:t>
            </w:r>
            <w:proofErr w:type="spellEnd"/>
            <w:r w:rsidR="00F2544F" w:rsidRPr="00721A98">
              <w:rPr>
                <w:rFonts w:ascii="Arial Narrow" w:eastAsia="Times New Roman" w:hAnsi="Arial Narrow" w:cs="Arial"/>
                <w:b/>
                <w:bCs/>
                <w:kern w:val="24"/>
                <w:sz w:val="20"/>
                <w:szCs w:val="20"/>
                <w:vertAlign w:val="superscript"/>
                <w:lang w:eastAsia="en-AU"/>
              </w:rPr>
              <w:t>®</w:t>
            </w:r>
            <w:r w:rsidRPr="00721A98">
              <w:rPr>
                <w:rFonts w:ascii="Arial Narrow" w:eastAsia="Times New Roman" w:hAnsi="Arial Narrow" w:cs="Arial"/>
                <w:b/>
                <w:bCs/>
                <w:kern w:val="24"/>
                <w:sz w:val="20"/>
                <w:szCs w:val="20"/>
                <w:lang w:eastAsia="en-AU"/>
              </w:rPr>
              <w:t>, Biogen)</w:t>
            </w:r>
          </w:p>
        </w:tc>
        <w:tc>
          <w:tcPr>
            <w:tcW w:w="1382" w:type="pct"/>
            <w:shd w:val="clear" w:color="auto" w:fill="auto"/>
            <w:tcMar>
              <w:top w:w="15" w:type="dxa"/>
              <w:left w:w="103" w:type="dxa"/>
              <w:bottom w:w="0" w:type="dxa"/>
              <w:right w:w="103" w:type="dxa"/>
            </w:tcMar>
            <w:hideMark/>
          </w:tcPr>
          <w:p w14:paraId="1BCFFB7E" w14:textId="00DE269D"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 xml:space="preserve">Symptomatic types I, II and </w:t>
            </w:r>
            <w:proofErr w:type="spellStart"/>
            <w:r w:rsidRPr="00721A98">
              <w:rPr>
                <w:rFonts w:ascii="Arial Narrow" w:eastAsia="Times New Roman" w:hAnsi="Arial Narrow" w:cs="Arial"/>
                <w:kern w:val="24"/>
                <w:sz w:val="20"/>
                <w:szCs w:val="20"/>
                <w:lang w:eastAsia="en-AU"/>
              </w:rPr>
              <w:t>IIIa</w:t>
            </w:r>
            <w:proofErr w:type="spellEnd"/>
            <w:r w:rsidRPr="00721A98">
              <w:rPr>
                <w:rFonts w:ascii="Arial Narrow" w:eastAsia="Times New Roman" w:hAnsi="Arial Narrow" w:cs="Arial"/>
                <w:kern w:val="24"/>
                <w:sz w:val="20"/>
                <w:szCs w:val="20"/>
                <w:lang w:eastAsia="en-AU"/>
              </w:rPr>
              <w:t xml:space="preserve"> initiated </w:t>
            </w:r>
            <w:r w:rsidR="001234DF">
              <w:rPr>
                <w:rFonts w:ascii="Arial Narrow" w:eastAsia="Times New Roman" w:hAnsi="Arial Narrow" w:cs="Arial"/>
                <w:kern w:val="24"/>
                <w:sz w:val="20"/>
                <w:szCs w:val="20"/>
                <w:lang w:eastAsia="en-AU"/>
              </w:rPr>
              <w:t xml:space="preserve">up to and including </w:t>
            </w:r>
            <w:r w:rsidRPr="00721A98">
              <w:rPr>
                <w:rFonts w:ascii="Arial Narrow" w:eastAsia="Times New Roman" w:hAnsi="Arial Narrow" w:cs="Arial"/>
                <w:kern w:val="24"/>
                <w:sz w:val="20"/>
                <w:szCs w:val="20"/>
                <w:lang w:eastAsia="en-AU"/>
              </w:rPr>
              <w:t xml:space="preserve">18 years </w:t>
            </w:r>
          </w:p>
        </w:tc>
        <w:tc>
          <w:tcPr>
            <w:tcW w:w="973" w:type="pct"/>
            <w:shd w:val="clear" w:color="auto" w:fill="auto"/>
            <w:tcMar>
              <w:top w:w="15" w:type="dxa"/>
              <w:left w:w="103" w:type="dxa"/>
              <w:bottom w:w="0" w:type="dxa"/>
              <w:right w:w="103" w:type="dxa"/>
            </w:tcMar>
            <w:hideMark/>
          </w:tcPr>
          <w:p w14:paraId="14EFE30D"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Registered</w:t>
            </w:r>
          </w:p>
        </w:tc>
        <w:tc>
          <w:tcPr>
            <w:tcW w:w="894" w:type="pct"/>
            <w:shd w:val="clear" w:color="auto" w:fill="auto"/>
            <w:tcMar>
              <w:top w:w="15" w:type="dxa"/>
              <w:left w:w="103" w:type="dxa"/>
              <w:bottom w:w="0" w:type="dxa"/>
              <w:right w:w="103" w:type="dxa"/>
            </w:tcMar>
            <w:hideMark/>
          </w:tcPr>
          <w:p w14:paraId="51E61345"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PBS 1 June 2018</w:t>
            </w:r>
          </w:p>
        </w:tc>
        <w:tc>
          <w:tcPr>
            <w:tcW w:w="967" w:type="pct"/>
            <w:vMerge w:val="restart"/>
            <w:shd w:val="clear" w:color="auto" w:fill="auto"/>
            <w:tcMar>
              <w:top w:w="15" w:type="dxa"/>
              <w:left w:w="103" w:type="dxa"/>
              <w:bottom w:w="0" w:type="dxa"/>
              <w:right w:w="103" w:type="dxa"/>
            </w:tcMar>
            <w:hideMark/>
          </w:tcPr>
          <w:p w14:paraId="027E2057" w14:textId="60DB4CB8" w:rsidR="004B3228" w:rsidRPr="00721A98" w:rsidRDefault="004B3228" w:rsidP="00570CD9">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Intrathecal injection</w:t>
            </w:r>
            <w:r w:rsidR="006A1990">
              <w:rPr>
                <w:rFonts w:ascii="Arial Narrow" w:eastAsia="Times New Roman" w:hAnsi="Arial Narrow" w:cs="Arial"/>
                <w:kern w:val="24"/>
                <w:sz w:val="20"/>
                <w:szCs w:val="20"/>
                <w:lang w:eastAsia="en-AU"/>
              </w:rPr>
              <w:t xml:space="preserve">, loading doses followed by one dose </w:t>
            </w:r>
            <w:r w:rsidRPr="00721A98">
              <w:rPr>
                <w:rFonts w:ascii="Arial Narrow" w:eastAsia="Times New Roman" w:hAnsi="Arial Narrow" w:cs="Arial"/>
                <w:kern w:val="24"/>
                <w:sz w:val="20"/>
                <w:szCs w:val="20"/>
                <w:lang w:eastAsia="en-AU"/>
              </w:rPr>
              <w:t>ev</w:t>
            </w:r>
            <w:bookmarkStart w:id="0" w:name="_GoBack"/>
            <w:bookmarkEnd w:id="0"/>
            <w:r w:rsidRPr="00721A98">
              <w:rPr>
                <w:rFonts w:ascii="Arial Narrow" w:eastAsia="Times New Roman" w:hAnsi="Arial Narrow" w:cs="Arial"/>
                <w:kern w:val="24"/>
                <w:sz w:val="20"/>
                <w:szCs w:val="20"/>
                <w:lang w:eastAsia="en-AU"/>
              </w:rPr>
              <w:t xml:space="preserve">ery 4 months </w:t>
            </w:r>
          </w:p>
        </w:tc>
      </w:tr>
      <w:tr w:rsidR="004B3228" w:rsidRPr="00721A98" w14:paraId="05641FA5" w14:textId="77777777" w:rsidTr="00256F9F">
        <w:trPr>
          <w:trHeight w:val="20"/>
        </w:trPr>
        <w:tc>
          <w:tcPr>
            <w:tcW w:w="784" w:type="pct"/>
            <w:vMerge/>
            <w:shd w:val="clear" w:color="auto" w:fill="auto"/>
            <w:vAlign w:val="center"/>
            <w:hideMark/>
          </w:tcPr>
          <w:p w14:paraId="3683B2CC"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p>
        </w:tc>
        <w:tc>
          <w:tcPr>
            <w:tcW w:w="1382" w:type="pct"/>
            <w:shd w:val="clear" w:color="auto" w:fill="auto"/>
            <w:tcMar>
              <w:top w:w="15" w:type="dxa"/>
              <w:left w:w="103" w:type="dxa"/>
              <w:bottom w:w="0" w:type="dxa"/>
              <w:right w:w="103" w:type="dxa"/>
            </w:tcMar>
            <w:hideMark/>
          </w:tcPr>
          <w:p w14:paraId="756F13FF"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Pre-symptomatic  ≤ 2 copies of SMN2</w:t>
            </w:r>
          </w:p>
        </w:tc>
        <w:tc>
          <w:tcPr>
            <w:tcW w:w="973" w:type="pct"/>
            <w:shd w:val="clear" w:color="auto" w:fill="auto"/>
            <w:tcMar>
              <w:top w:w="15" w:type="dxa"/>
              <w:left w:w="103" w:type="dxa"/>
              <w:bottom w:w="0" w:type="dxa"/>
              <w:right w:w="103" w:type="dxa"/>
            </w:tcMar>
            <w:hideMark/>
          </w:tcPr>
          <w:p w14:paraId="415F2050"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Registered</w:t>
            </w:r>
          </w:p>
        </w:tc>
        <w:tc>
          <w:tcPr>
            <w:tcW w:w="894" w:type="pct"/>
            <w:shd w:val="clear" w:color="auto" w:fill="auto"/>
            <w:tcMar>
              <w:top w:w="15" w:type="dxa"/>
              <w:left w:w="103" w:type="dxa"/>
              <w:bottom w:w="0" w:type="dxa"/>
              <w:right w:w="103" w:type="dxa"/>
            </w:tcMar>
            <w:hideMark/>
          </w:tcPr>
          <w:p w14:paraId="79676E82"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PBS 1 December 2020</w:t>
            </w:r>
          </w:p>
        </w:tc>
        <w:tc>
          <w:tcPr>
            <w:tcW w:w="967" w:type="pct"/>
            <w:vMerge/>
            <w:shd w:val="clear" w:color="auto" w:fill="auto"/>
            <w:vAlign w:val="center"/>
            <w:hideMark/>
          </w:tcPr>
          <w:p w14:paraId="10075C14"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p>
        </w:tc>
      </w:tr>
      <w:tr w:rsidR="004B3228" w:rsidRPr="00721A98" w14:paraId="348FBADC" w14:textId="77777777" w:rsidTr="00256F9F">
        <w:trPr>
          <w:trHeight w:val="20"/>
        </w:trPr>
        <w:tc>
          <w:tcPr>
            <w:tcW w:w="784" w:type="pct"/>
            <w:vMerge/>
            <w:shd w:val="clear" w:color="auto" w:fill="auto"/>
            <w:vAlign w:val="center"/>
            <w:hideMark/>
          </w:tcPr>
          <w:p w14:paraId="6D1EAF24"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p>
        </w:tc>
        <w:tc>
          <w:tcPr>
            <w:tcW w:w="1382" w:type="pct"/>
            <w:shd w:val="clear" w:color="auto" w:fill="auto"/>
            <w:tcMar>
              <w:top w:w="15" w:type="dxa"/>
              <w:left w:w="103" w:type="dxa"/>
              <w:bottom w:w="0" w:type="dxa"/>
              <w:right w:w="103" w:type="dxa"/>
            </w:tcMar>
            <w:hideMark/>
          </w:tcPr>
          <w:p w14:paraId="4D31ECBE" w14:textId="4ED088CE" w:rsidR="004B3228" w:rsidRPr="00721A98" w:rsidRDefault="001234DF" w:rsidP="00E93B05">
            <w:pPr>
              <w:keepNext/>
              <w:keepLines/>
              <w:spacing w:after="0" w:line="240" w:lineRule="auto"/>
              <w:rPr>
                <w:rFonts w:ascii="Arial Narrow" w:eastAsia="Times New Roman" w:hAnsi="Arial Narrow" w:cs="Arial"/>
                <w:sz w:val="20"/>
                <w:szCs w:val="20"/>
                <w:lang w:eastAsia="en-AU"/>
              </w:rPr>
            </w:pPr>
            <w:r>
              <w:rPr>
                <w:rFonts w:ascii="Arial Narrow" w:eastAsia="Times New Roman" w:hAnsi="Arial Narrow" w:cs="Arial"/>
                <w:kern w:val="24"/>
                <w:sz w:val="20"/>
                <w:szCs w:val="20"/>
                <w:lang w:eastAsia="en-AU"/>
              </w:rPr>
              <w:t xml:space="preserve">Symptomatic </w:t>
            </w:r>
            <w:r w:rsidR="004B3228" w:rsidRPr="00721A98">
              <w:rPr>
                <w:rFonts w:ascii="Arial Narrow" w:eastAsia="Times New Roman" w:hAnsi="Arial Narrow" w:cs="Arial"/>
                <w:kern w:val="24"/>
                <w:sz w:val="20"/>
                <w:szCs w:val="20"/>
                <w:lang w:eastAsia="en-AU"/>
              </w:rPr>
              <w:t xml:space="preserve">Types I </w:t>
            </w:r>
            <w:r w:rsidR="00570CD9">
              <w:rPr>
                <w:rFonts w:ascii="Arial Narrow" w:eastAsia="Times New Roman" w:hAnsi="Arial Narrow" w:cs="Arial"/>
                <w:kern w:val="24"/>
                <w:sz w:val="20"/>
                <w:szCs w:val="20"/>
                <w:lang w:eastAsia="en-AU"/>
              </w:rPr>
              <w:t>to</w:t>
            </w:r>
            <w:r w:rsidR="004B3228" w:rsidRPr="00721A98">
              <w:rPr>
                <w:rFonts w:ascii="Arial Narrow" w:eastAsia="Times New Roman" w:hAnsi="Arial Narrow" w:cs="Arial"/>
                <w:kern w:val="24"/>
                <w:sz w:val="20"/>
                <w:szCs w:val="20"/>
                <w:lang w:eastAsia="en-AU"/>
              </w:rPr>
              <w:t xml:space="preserve"> III</w:t>
            </w:r>
            <w:r w:rsidR="00570CD9">
              <w:rPr>
                <w:rFonts w:ascii="Arial Narrow" w:eastAsia="Times New Roman" w:hAnsi="Arial Narrow" w:cs="Arial"/>
                <w:kern w:val="24"/>
                <w:sz w:val="20"/>
                <w:szCs w:val="20"/>
                <w:lang w:eastAsia="en-AU"/>
              </w:rPr>
              <w:t xml:space="preserve">, including paediatric Type </w:t>
            </w:r>
            <w:proofErr w:type="spellStart"/>
            <w:r w:rsidR="00570CD9">
              <w:rPr>
                <w:rFonts w:ascii="Arial Narrow" w:eastAsia="Times New Roman" w:hAnsi="Arial Narrow" w:cs="Arial"/>
                <w:kern w:val="24"/>
                <w:sz w:val="20"/>
                <w:szCs w:val="20"/>
                <w:lang w:eastAsia="en-AU"/>
              </w:rPr>
              <w:t>IIIb</w:t>
            </w:r>
            <w:proofErr w:type="spellEnd"/>
            <w:r w:rsidR="00570CD9">
              <w:rPr>
                <w:rFonts w:ascii="Arial Narrow" w:eastAsia="Times New Roman" w:hAnsi="Arial Narrow" w:cs="Arial"/>
                <w:kern w:val="24"/>
                <w:sz w:val="20"/>
                <w:szCs w:val="20"/>
                <w:lang w:eastAsia="en-AU"/>
              </w:rPr>
              <w:t xml:space="preserve"> patients, initiated regardless of age (including in adults over 18 years) </w:t>
            </w:r>
          </w:p>
        </w:tc>
        <w:tc>
          <w:tcPr>
            <w:tcW w:w="973" w:type="pct"/>
            <w:shd w:val="clear" w:color="auto" w:fill="auto"/>
            <w:tcMar>
              <w:top w:w="15" w:type="dxa"/>
              <w:left w:w="103" w:type="dxa"/>
              <w:bottom w:w="0" w:type="dxa"/>
              <w:right w:w="103" w:type="dxa"/>
            </w:tcMar>
            <w:hideMark/>
          </w:tcPr>
          <w:p w14:paraId="0F5407D3"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Registered</w:t>
            </w:r>
          </w:p>
        </w:tc>
        <w:tc>
          <w:tcPr>
            <w:tcW w:w="894" w:type="pct"/>
            <w:shd w:val="clear" w:color="auto" w:fill="auto"/>
            <w:tcMar>
              <w:top w:w="15" w:type="dxa"/>
              <w:left w:w="103" w:type="dxa"/>
              <w:bottom w:w="0" w:type="dxa"/>
              <w:right w:w="103" w:type="dxa"/>
            </w:tcMar>
            <w:hideMark/>
          </w:tcPr>
          <w:p w14:paraId="25BCD21E"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PBAC November 2020 (2nd time)</w:t>
            </w:r>
          </w:p>
        </w:tc>
        <w:tc>
          <w:tcPr>
            <w:tcW w:w="967" w:type="pct"/>
            <w:vMerge/>
            <w:shd w:val="clear" w:color="auto" w:fill="auto"/>
            <w:vAlign w:val="center"/>
            <w:hideMark/>
          </w:tcPr>
          <w:p w14:paraId="57D57FAB"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p>
        </w:tc>
      </w:tr>
      <w:tr w:rsidR="004B3228" w:rsidRPr="00721A98" w14:paraId="59967BE7" w14:textId="77777777" w:rsidTr="00256F9F">
        <w:trPr>
          <w:trHeight w:val="20"/>
        </w:trPr>
        <w:tc>
          <w:tcPr>
            <w:tcW w:w="784" w:type="pct"/>
            <w:shd w:val="clear" w:color="auto" w:fill="auto"/>
            <w:tcMar>
              <w:top w:w="15" w:type="dxa"/>
              <w:left w:w="103" w:type="dxa"/>
              <w:bottom w:w="0" w:type="dxa"/>
              <w:right w:w="103" w:type="dxa"/>
            </w:tcMar>
            <w:hideMark/>
          </w:tcPr>
          <w:p w14:paraId="09004771"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proofErr w:type="spellStart"/>
            <w:r w:rsidRPr="00721A98">
              <w:rPr>
                <w:rFonts w:ascii="Arial Narrow" w:eastAsia="Times New Roman" w:hAnsi="Arial Narrow" w:cs="Arial"/>
                <w:b/>
                <w:bCs/>
                <w:kern w:val="24"/>
                <w:sz w:val="20"/>
                <w:szCs w:val="20"/>
                <w:lang w:eastAsia="en-AU"/>
              </w:rPr>
              <w:t>Zolgensma</w:t>
            </w:r>
            <w:proofErr w:type="spellEnd"/>
            <w:r w:rsidRPr="00721A98">
              <w:rPr>
                <w:rFonts w:ascii="Arial Narrow" w:eastAsia="Times New Roman" w:hAnsi="Arial Narrow" w:cs="Arial"/>
                <w:b/>
                <w:bCs/>
                <w:kern w:val="24"/>
                <w:sz w:val="20"/>
                <w:szCs w:val="20"/>
                <w:lang w:eastAsia="en-AU"/>
              </w:rPr>
              <w:t xml:space="preserve"> </w:t>
            </w:r>
            <w:r w:rsidRPr="00721A98">
              <w:rPr>
                <w:rFonts w:ascii="Arial Narrow" w:eastAsia="Times New Roman" w:hAnsi="Arial Narrow" w:cs="Arial"/>
                <w:b/>
                <w:bCs/>
                <w:kern w:val="24"/>
                <w:sz w:val="20"/>
                <w:szCs w:val="20"/>
                <w:vertAlign w:val="superscript"/>
                <w:lang w:eastAsia="en-AU"/>
              </w:rPr>
              <w:t>®</w:t>
            </w:r>
          </w:p>
          <w:p w14:paraId="6AC17265" w14:textId="77777777" w:rsidR="004B3228" w:rsidRPr="00721A98" w:rsidRDefault="004B3228" w:rsidP="00256F9F">
            <w:pPr>
              <w:keepNext/>
              <w:keepLines/>
              <w:spacing w:after="0" w:line="240" w:lineRule="auto"/>
              <w:rPr>
                <w:rFonts w:ascii="Arial Narrow" w:eastAsia="Times New Roman" w:hAnsi="Arial Narrow" w:cs="Arial"/>
                <w:b/>
                <w:bCs/>
                <w:kern w:val="24"/>
                <w:sz w:val="20"/>
                <w:szCs w:val="20"/>
                <w:lang w:eastAsia="en-AU"/>
              </w:rPr>
            </w:pPr>
            <w:r w:rsidRPr="00721A98">
              <w:rPr>
                <w:rFonts w:ascii="Arial Narrow" w:eastAsia="Times New Roman" w:hAnsi="Arial Narrow" w:cs="Arial"/>
                <w:b/>
                <w:bCs/>
                <w:kern w:val="24"/>
                <w:sz w:val="20"/>
                <w:szCs w:val="20"/>
                <w:lang w:eastAsia="en-AU"/>
              </w:rPr>
              <w:t>(</w:t>
            </w:r>
            <w:proofErr w:type="spellStart"/>
            <w:r w:rsidRPr="00721A98">
              <w:rPr>
                <w:rFonts w:ascii="Arial Narrow" w:eastAsia="Times New Roman" w:hAnsi="Arial Narrow" w:cs="Arial"/>
                <w:b/>
                <w:bCs/>
                <w:kern w:val="24"/>
                <w:sz w:val="20"/>
                <w:szCs w:val="20"/>
                <w:lang w:eastAsia="en-AU"/>
              </w:rPr>
              <w:t>onasemnogene</w:t>
            </w:r>
            <w:proofErr w:type="spellEnd"/>
            <w:r w:rsidRPr="00721A98">
              <w:rPr>
                <w:rFonts w:ascii="Arial Narrow" w:eastAsia="Times New Roman" w:hAnsi="Arial Narrow" w:cs="Arial"/>
                <w:b/>
                <w:bCs/>
                <w:kern w:val="24"/>
                <w:sz w:val="20"/>
                <w:szCs w:val="20"/>
                <w:lang w:eastAsia="en-AU"/>
              </w:rPr>
              <w:t xml:space="preserve"> </w:t>
            </w:r>
            <w:proofErr w:type="spellStart"/>
            <w:r w:rsidRPr="00721A98">
              <w:rPr>
                <w:rFonts w:ascii="Arial Narrow" w:eastAsia="Times New Roman" w:hAnsi="Arial Narrow" w:cs="Arial"/>
                <w:b/>
                <w:bCs/>
                <w:kern w:val="24"/>
                <w:sz w:val="20"/>
                <w:szCs w:val="20"/>
                <w:lang w:eastAsia="en-AU"/>
              </w:rPr>
              <w:t>abeparvovec</w:t>
            </w:r>
            <w:proofErr w:type="spellEnd"/>
            <w:r w:rsidRPr="00721A98">
              <w:rPr>
                <w:rFonts w:ascii="Arial Narrow" w:eastAsia="Times New Roman" w:hAnsi="Arial Narrow" w:cs="Arial"/>
                <w:b/>
                <w:bCs/>
                <w:kern w:val="24"/>
                <w:sz w:val="20"/>
                <w:szCs w:val="20"/>
                <w:lang w:eastAsia="en-AU"/>
              </w:rPr>
              <w:t>, Novartis)</w:t>
            </w:r>
          </w:p>
        </w:tc>
        <w:tc>
          <w:tcPr>
            <w:tcW w:w="1382" w:type="pct"/>
            <w:shd w:val="clear" w:color="auto" w:fill="auto"/>
            <w:tcMar>
              <w:top w:w="15" w:type="dxa"/>
              <w:left w:w="103" w:type="dxa"/>
              <w:bottom w:w="0" w:type="dxa"/>
              <w:right w:w="103" w:type="dxa"/>
            </w:tcMar>
            <w:hideMark/>
          </w:tcPr>
          <w:p w14:paraId="1A4E7D50"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SMA Type I under 2 years of age</w:t>
            </w:r>
          </w:p>
        </w:tc>
        <w:tc>
          <w:tcPr>
            <w:tcW w:w="973" w:type="pct"/>
            <w:shd w:val="clear" w:color="auto" w:fill="auto"/>
            <w:tcMar>
              <w:top w:w="15" w:type="dxa"/>
              <w:left w:w="103" w:type="dxa"/>
              <w:bottom w:w="0" w:type="dxa"/>
              <w:right w:w="103" w:type="dxa"/>
            </w:tcMar>
            <w:hideMark/>
          </w:tcPr>
          <w:p w14:paraId="502A19C3"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sz w:val="20"/>
                <w:szCs w:val="20"/>
                <w:lang w:eastAsia="en-AU"/>
              </w:rPr>
              <w:t>-</w:t>
            </w:r>
          </w:p>
        </w:tc>
        <w:tc>
          <w:tcPr>
            <w:tcW w:w="894" w:type="pct"/>
            <w:shd w:val="clear" w:color="auto" w:fill="auto"/>
            <w:tcMar>
              <w:top w:w="15" w:type="dxa"/>
              <w:left w:w="103" w:type="dxa"/>
              <w:bottom w:w="0" w:type="dxa"/>
              <w:right w:w="103" w:type="dxa"/>
            </w:tcMar>
            <w:hideMark/>
          </w:tcPr>
          <w:p w14:paraId="7A2B346A"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PBAC November 2020</w:t>
            </w:r>
          </w:p>
        </w:tc>
        <w:tc>
          <w:tcPr>
            <w:tcW w:w="967" w:type="pct"/>
            <w:shd w:val="clear" w:color="auto" w:fill="auto"/>
            <w:tcMar>
              <w:top w:w="15" w:type="dxa"/>
              <w:left w:w="103" w:type="dxa"/>
              <w:bottom w:w="0" w:type="dxa"/>
              <w:right w:w="103" w:type="dxa"/>
            </w:tcMar>
            <w:hideMark/>
          </w:tcPr>
          <w:p w14:paraId="6686B9E5"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 xml:space="preserve">Single </w:t>
            </w:r>
            <w:proofErr w:type="spellStart"/>
            <w:r w:rsidRPr="00721A98">
              <w:rPr>
                <w:rFonts w:ascii="Arial Narrow" w:eastAsia="Times New Roman" w:hAnsi="Arial Narrow" w:cs="Arial"/>
                <w:kern w:val="24"/>
                <w:sz w:val="20"/>
                <w:szCs w:val="20"/>
                <w:lang w:eastAsia="en-AU"/>
              </w:rPr>
              <w:t>tx</w:t>
            </w:r>
            <w:proofErr w:type="spellEnd"/>
            <w:r w:rsidRPr="00721A98">
              <w:rPr>
                <w:rFonts w:ascii="Arial Narrow" w:eastAsia="Times New Roman" w:hAnsi="Arial Narrow" w:cs="Arial"/>
                <w:kern w:val="24"/>
                <w:sz w:val="20"/>
                <w:szCs w:val="20"/>
                <w:lang w:eastAsia="en-AU"/>
              </w:rPr>
              <w:t xml:space="preserve"> gene therapy</w:t>
            </w:r>
          </w:p>
        </w:tc>
      </w:tr>
      <w:tr w:rsidR="004B3228" w:rsidRPr="00721A98" w14:paraId="3B2472B0" w14:textId="77777777" w:rsidTr="00256F9F">
        <w:trPr>
          <w:trHeight w:val="20"/>
        </w:trPr>
        <w:tc>
          <w:tcPr>
            <w:tcW w:w="784" w:type="pct"/>
            <w:shd w:val="clear" w:color="auto" w:fill="auto"/>
            <w:tcMar>
              <w:top w:w="15" w:type="dxa"/>
              <w:left w:w="103" w:type="dxa"/>
              <w:bottom w:w="0" w:type="dxa"/>
              <w:right w:w="103" w:type="dxa"/>
            </w:tcMar>
            <w:hideMark/>
          </w:tcPr>
          <w:p w14:paraId="7D1C3477"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proofErr w:type="spellStart"/>
            <w:r w:rsidRPr="00721A98">
              <w:rPr>
                <w:rFonts w:ascii="Arial Narrow" w:eastAsia="Times New Roman" w:hAnsi="Arial Narrow" w:cs="Arial"/>
                <w:b/>
                <w:bCs/>
                <w:kern w:val="24"/>
                <w:sz w:val="20"/>
                <w:szCs w:val="20"/>
                <w:lang w:eastAsia="en-AU"/>
              </w:rPr>
              <w:t>Evrysdi</w:t>
            </w:r>
            <w:proofErr w:type="spellEnd"/>
            <w:r w:rsidRPr="00721A98">
              <w:rPr>
                <w:rFonts w:ascii="Arial Narrow" w:eastAsia="Times New Roman" w:hAnsi="Arial Narrow" w:cs="Arial"/>
                <w:b/>
                <w:bCs/>
                <w:kern w:val="24"/>
                <w:sz w:val="20"/>
                <w:szCs w:val="20"/>
                <w:vertAlign w:val="superscript"/>
                <w:lang w:eastAsia="en-AU"/>
              </w:rPr>
              <w:t>®</w:t>
            </w:r>
            <w:r w:rsidRPr="00721A98">
              <w:rPr>
                <w:rFonts w:ascii="Arial Narrow" w:eastAsia="Times New Roman" w:hAnsi="Arial Narrow" w:cs="Arial"/>
                <w:b/>
                <w:bCs/>
                <w:kern w:val="24"/>
                <w:sz w:val="20"/>
                <w:szCs w:val="20"/>
                <w:lang w:eastAsia="en-AU"/>
              </w:rPr>
              <w:t xml:space="preserve"> (</w:t>
            </w:r>
            <w:proofErr w:type="spellStart"/>
            <w:r w:rsidRPr="00721A98">
              <w:rPr>
                <w:rFonts w:ascii="Arial Narrow" w:eastAsia="Times New Roman" w:hAnsi="Arial Narrow" w:cs="Arial"/>
                <w:b/>
                <w:bCs/>
                <w:kern w:val="24"/>
                <w:sz w:val="20"/>
                <w:szCs w:val="20"/>
                <w:lang w:eastAsia="en-AU"/>
              </w:rPr>
              <w:t>risdiplam</w:t>
            </w:r>
            <w:proofErr w:type="spellEnd"/>
            <w:r w:rsidRPr="00721A98">
              <w:rPr>
                <w:rFonts w:ascii="Arial Narrow" w:eastAsia="Times New Roman" w:hAnsi="Arial Narrow" w:cs="Arial"/>
                <w:b/>
                <w:bCs/>
                <w:kern w:val="24"/>
                <w:sz w:val="20"/>
                <w:szCs w:val="20"/>
                <w:lang w:eastAsia="en-AU"/>
              </w:rPr>
              <w:t>, Roche)</w:t>
            </w:r>
          </w:p>
        </w:tc>
        <w:tc>
          <w:tcPr>
            <w:tcW w:w="1382" w:type="pct"/>
            <w:shd w:val="clear" w:color="auto" w:fill="auto"/>
            <w:tcMar>
              <w:top w:w="15" w:type="dxa"/>
              <w:left w:w="103" w:type="dxa"/>
              <w:bottom w:w="0" w:type="dxa"/>
              <w:right w:w="103" w:type="dxa"/>
            </w:tcMar>
            <w:hideMark/>
          </w:tcPr>
          <w:p w14:paraId="3E15BA7B"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SMA all types, from 2 months of age</w:t>
            </w:r>
          </w:p>
        </w:tc>
        <w:tc>
          <w:tcPr>
            <w:tcW w:w="973" w:type="pct"/>
            <w:shd w:val="clear" w:color="auto" w:fill="auto"/>
            <w:tcMar>
              <w:top w:w="15" w:type="dxa"/>
              <w:left w:w="103" w:type="dxa"/>
              <w:bottom w:w="0" w:type="dxa"/>
              <w:right w:w="103" w:type="dxa"/>
            </w:tcMar>
            <w:hideMark/>
          </w:tcPr>
          <w:p w14:paraId="629FE742"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sz w:val="20"/>
                <w:szCs w:val="20"/>
                <w:lang w:eastAsia="en-AU"/>
              </w:rPr>
              <w:t>-</w:t>
            </w:r>
          </w:p>
        </w:tc>
        <w:tc>
          <w:tcPr>
            <w:tcW w:w="894" w:type="pct"/>
            <w:shd w:val="clear" w:color="auto" w:fill="auto"/>
            <w:tcMar>
              <w:top w:w="15" w:type="dxa"/>
              <w:left w:w="103" w:type="dxa"/>
              <w:bottom w:w="0" w:type="dxa"/>
              <w:right w:w="103" w:type="dxa"/>
            </w:tcMar>
            <w:hideMark/>
          </w:tcPr>
          <w:p w14:paraId="2B77C25E"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 xml:space="preserve">- </w:t>
            </w:r>
          </w:p>
        </w:tc>
        <w:tc>
          <w:tcPr>
            <w:tcW w:w="967" w:type="pct"/>
            <w:shd w:val="clear" w:color="auto" w:fill="auto"/>
            <w:tcMar>
              <w:top w:w="15" w:type="dxa"/>
              <w:left w:w="103" w:type="dxa"/>
              <w:bottom w:w="0" w:type="dxa"/>
              <w:right w:w="103" w:type="dxa"/>
            </w:tcMar>
            <w:hideMark/>
          </w:tcPr>
          <w:p w14:paraId="2C685F80" w14:textId="77777777" w:rsidR="004B3228" w:rsidRPr="00721A98" w:rsidRDefault="004B3228" w:rsidP="00256F9F">
            <w:pPr>
              <w:keepNext/>
              <w:keepLines/>
              <w:spacing w:after="0" w:line="240" w:lineRule="auto"/>
              <w:rPr>
                <w:rFonts w:ascii="Arial Narrow" w:eastAsia="Times New Roman" w:hAnsi="Arial Narrow" w:cs="Arial"/>
                <w:sz w:val="20"/>
                <w:szCs w:val="20"/>
                <w:lang w:eastAsia="en-AU"/>
              </w:rPr>
            </w:pPr>
            <w:r w:rsidRPr="00721A98">
              <w:rPr>
                <w:rFonts w:ascii="Arial Narrow" w:eastAsia="Times New Roman" w:hAnsi="Arial Narrow" w:cs="Arial"/>
                <w:kern w:val="24"/>
                <w:sz w:val="20"/>
                <w:szCs w:val="20"/>
                <w:lang w:eastAsia="en-AU"/>
              </w:rPr>
              <w:t xml:space="preserve">Oral therapy </w:t>
            </w:r>
          </w:p>
        </w:tc>
      </w:tr>
    </w:tbl>
    <w:p w14:paraId="34C74E6E" w14:textId="77777777" w:rsidR="00FE52FB" w:rsidRDefault="00FE52FB" w:rsidP="00FE52FB">
      <w:pPr>
        <w:pStyle w:val="3-BodyText"/>
        <w:numPr>
          <w:ilvl w:val="0"/>
          <w:numId w:val="0"/>
        </w:numPr>
        <w:ind w:left="426"/>
        <w:rPr>
          <w:b/>
          <w:i/>
          <w:sz w:val="22"/>
          <w:szCs w:val="22"/>
        </w:rPr>
      </w:pPr>
    </w:p>
    <w:p w14:paraId="0050A4D4" w14:textId="5DD7A44F" w:rsidR="004B3228" w:rsidRPr="004B3228" w:rsidRDefault="004B3228" w:rsidP="004B3228">
      <w:pPr>
        <w:pStyle w:val="3-BodyText"/>
        <w:numPr>
          <w:ilvl w:val="0"/>
          <w:numId w:val="3"/>
        </w:numPr>
        <w:ind w:left="426" w:hanging="426"/>
        <w:rPr>
          <w:b/>
          <w:i/>
          <w:sz w:val="22"/>
          <w:szCs w:val="22"/>
        </w:rPr>
      </w:pPr>
      <w:r w:rsidRPr="004B3228">
        <w:rPr>
          <w:b/>
          <w:i/>
          <w:sz w:val="22"/>
          <w:szCs w:val="22"/>
        </w:rPr>
        <w:t>Current approach to PBS subsidy</w:t>
      </w:r>
    </w:p>
    <w:p w14:paraId="30D01928" w14:textId="06C2CA10" w:rsidR="004B3228" w:rsidRPr="004B3228" w:rsidRDefault="004B3228" w:rsidP="004B3228">
      <w:pPr>
        <w:pStyle w:val="3-BodyText"/>
        <w:numPr>
          <w:ilvl w:val="0"/>
          <w:numId w:val="0"/>
        </w:numPr>
        <w:rPr>
          <w:sz w:val="22"/>
          <w:szCs w:val="22"/>
        </w:rPr>
      </w:pPr>
      <w:r w:rsidRPr="004B3228">
        <w:rPr>
          <w:bCs/>
          <w:sz w:val="22"/>
          <w:szCs w:val="22"/>
        </w:rPr>
        <w:lastRenderedPageBreak/>
        <w:t>PBS submissions have been focussed on individual medicines and different segments of the SMA patient population:</w:t>
      </w:r>
    </w:p>
    <w:p w14:paraId="3A61D997" w14:textId="77777777" w:rsidR="004B3228" w:rsidRPr="004B3228" w:rsidRDefault="004B3228" w:rsidP="004B3228">
      <w:pPr>
        <w:pStyle w:val="3-BodyText"/>
        <w:numPr>
          <w:ilvl w:val="0"/>
          <w:numId w:val="4"/>
        </w:numPr>
        <w:spacing w:after="0"/>
        <w:ind w:left="714" w:hanging="357"/>
        <w:rPr>
          <w:sz w:val="22"/>
          <w:szCs w:val="22"/>
        </w:rPr>
      </w:pPr>
      <w:r w:rsidRPr="004B3228">
        <w:rPr>
          <w:sz w:val="22"/>
          <w:szCs w:val="22"/>
        </w:rPr>
        <w:t>Pre-symptomatic (with defined SMN2 copy number);</w:t>
      </w:r>
    </w:p>
    <w:p w14:paraId="56E557B6" w14:textId="50AFFD80" w:rsidR="004B3228" w:rsidRPr="004B3228" w:rsidRDefault="004B3228" w:rsidP="004B3228">
      <w:pPr>
        <w:pStyle w:val="3-BodyText"/>
        <w:numPr>
          <w:ilvl w:val="0"/>
          <w:numId w:val="4"/>
        </w:numPr>
        <w:spacing w:after="0"/>
        <w:ind w:left="714" w:hanging="357"/>
        <w:rPr>
          <w:sz w:val="22"/>
          <w:szCs w:val="22"/>
        </w:rPr>
      </w:pPr>
      <w:r w:rsidRPr="004B3228">
        <w:rPr>
          <w:sz w:val="22"/>
          <w:szCs w:val="22"/>
        </w:rPr>
        <w:t xml:space="preserve">Symptomatic </w:t>
      </w:r>
      <w:r w:rsidR="00BB34BB">
        <w:rPr>
          <w:sz w:val="22"/>
          <w:szCs w:val="22"/>
        </w:rPr>
        <w:t xml:space="preserve"> </w:t>
      </w:r>
      <w:r w:rsidRPr="004B3228">
        <w:rPr>
          <w:sz w:val="22"/>
          <w:szCs w:val="22"/>
        </w:rPr>
        <w:t xml:space="preserve">Type 0 – I; </w:t>
      </w:r>
    </w:p>
    <w:p w14:paraId="3762C380" w14:textId="77777777" w:rsidR="004B3228" w:rsidRPr="004B3228" w:rsidRDefault="004B3228" w:rsidP="004B3228">
      <w:pPr>
        <w:pStyle w:val="3-BodyText"/>
        <w:numPr>
          <w:ilvl w:val="0"/>
          <w:numId w:val="4"/>
        </w:numPr>
        <w:spacing w:after="0"/>
        <w:ind w:left="714" w:hanging="357"/>
        <w:rPr>
          <w:sz w:val="22"/>
          <w:szCs w:val="22"/>
        </w:rPr>
      </w:pPr>
      <w:r w:rsidRPr="004B3228">
        <w:rPr>
          <w:sz w:val="22"/>
          <w:szCs w:val="22"/>
        </w:rPr>
        <w:t xml:space="preserve">Symptomatic Type II and </w:t>
      </w:r>
      <w:proofErr w:type="spellStart"/>
      <w:r w:rsidRPr="004B3228">
        <w:rPr>
          <w:sz w:val="22"/>
          <w:szCs w:val="22"/>
        </w:rPr>
        <w:t>IIIa</w:t>
      </w:r>
      <w:proofErr w:type="spellEnd"/>
      <w:r w:rsidRPr="004B3228">
        <w:rPr>
          <w:sz w:val="22"/>
          <w:szCs w:val="22"/>
        </w:rPr>
        <w:t xml:space="preserve">; </w:t>
      </w:r>
    </w:p>
    <w:p w14:paraId="62F2CBEE" w14:textId="2D33C4F3" w:rsidR="004B3228" w:rsidRPr="004B3228" w:rsidRDefault="004B3228" w:rsidP="004B3228">
      <w:pPr>
        <w:pStyle w:val="3-BodyText"/>
        <w:numPr>
          <w:ilvl w:val="0"/>
          <w:numId w:val="4"/>
        </w:numPr>
        <w:spacing w:after="0"/>
        <w:ind w:left="714" w:hanging="357"/>
        <w:rPr>
          <w:sz w:val="22"/>
          <w:szCs w:val="22"/>
        </w:rPr>
      </w:pPr>
      <w:r w:rsidRPr="3633FA0B">
        <w:rPr>
          <w:sz w:val="22"/>
          <w:szCs w:val="22"/>
        </w:rPr>
        <w:t xml:space="preserve">Symptomatic Type </w:t>
      </w:r>
      <w:proofErr w:type="spellStart"/>
      <w:r w:rsidRPr="3633FA0B">
        <w:rPr>
          <w:sz w:val="22"/>
          <w:szCs w:val="22"/>
        </w:rPr>
        <w:t>IIIb</w:t>
      </w:r>
      <w:proofErr w:type="spellEnd"/>
      <w:r w:rsidRPr="3633FA0B">
        <w:rPr>
          <w:sz w:val="22"/>
          <w:szCs w:val="22"/>
        </w:rPr>
        <w:t xml:space="preserve"> (</w:t>
      </w:r>
      <w:r w:rsidR="00353BAE">
        <w:rPr>
          <w:sz w:val="22"/>
          <w:szCs w:val="22"/>
        </w:rPr>
        <w:t xml:space="preserve">symptom onset </w:t>
      </w:r>
      <w:r w:rsidRPr="3633FA0B">
        <w:rPr>
          <w:sz w:val="22"/>
          <w:szCs w:val="22"/>
        </w:rPr>
        <w:t>&gt; 3 years</w:t>
      </w:r>
      <w:r w:rsidR="007A6F6D" w:rsidRPr="3633FA0B">
        <w:rPr>
          <w:sz w:val="22"/>
          <w:szCs w:val="22"/>
        </w:rPr>
        <w:t xml:space="preserve"> to</w:t>
      </w:r>
      <w:r w:rsidRPr="3633FA0B">
        <w:rPr>
          <w:sz w:val="22"/>
          <w:szCs w:val="22"/>
        </w:rPr>
        <w:t xml:space="preserve"> 18 years</w:t>
      </w:r>
      <w:r w:rsidR="001205EF">
        <w:rPr>
          <w:sz w:val="22"/>
          <w:szCs w:val="22"/>
        </w:rPr>
        <w:t>, inclusive</w:t>
      </w:r>
      <w:r w:rsidRPr="3633FA0B">
        <w:rPr>
          <w:sz w:val="22"/>
          <w:szCs w:val="22"/>
        </w:rPr>
        <w:t>); and</w:t>
      </w:r>
    </w:p>
    <w:p w14:paraId="17865FC7" w14:textId="77777777" w:rsidR="004B3228" w:rsidRDefault="004B3228" w:rsidP="004B3228">
      <w:pPr>
        <w:pStyle w:val="3-BodyText"/>
        <w:numPr>
          <w:ilvl w:val="0"/>
          <w:numId w:val="4"/>
        </w:numPr>
        <w:ind w:left="714" w:hanging="357"/>
        <w:rPr>
          <w:sz w:val="22"/>
          <w:szCs w:val="22"/>
        </w:rPr>
      </w:pPr>
      <w:r w:rsidRPr="004B3228">
        <w:rPr>
          <w:sz w:val="22"/>
          <w:szCs w:val="22"/>
        </w:rPr>
        <w:t>Prevalent adults with Types I – III.</w:t>
      </w:r>
    </w:p>
    <w:p w14:paraId="19150181" w14:textId="4247180A" w:rsidR="009761AC" w:rsidRPr="009761AC" w:rsidRDefault="009761AC" w:rsidP="009761AC">
      <w:pPr>
        <w:pStyle w:val="3-BodyText"/>
        <w:numPr>
          <w:ilvl w:val="0"/>
          <w:numId w:val="0"/>
        </w:numPr>
        <w:rPr>
          <w:bCs/>
          <w:sz w:val="22"/>
          <w:szCs w:val="22"/>
        </w:rPr>
      </w:pPr>
      <w:r w:rsidRPr="009761AC">
        <w:rPr>
          <w:bCs/>
          <w:sz w:val="22"/>
          <w:szCs w:val="22"/>
        </w:rPr>
        <w:t>The PBAC chair noted that</w:t>
      </w:r>
      <w:r w:rsidR="00E24D67">
        <w:rPr>
          <w:bCs/>
          <w:sz w:val="22"/>
          <w:szCs w:val="22"/>
        </w:rPr>
        <w:t>,</w:t>
      </w:r>
      <w:r w:rsidRPr="009761AC">
        <w:rPr>
          <w:bCs/>
          <w:sz w:val="22"/>
          <w:szCs w:val="22"/>
        </w:rPr>
        <w:t xml:space="preserve"> with the exception of the sponsor hearing </w:t>
      </w:r>
      <w:r>
        <w:rPr>
          <w:bCs/>
          <w:sz w:val="22"/>
          <w:szCs w:val="22"/>
        </w:rPr>
        <w:t xml:space="preserve">provided </w:t>
      </w:r>
      <w:r w:rsidRPr="009761AC">
        <w:rPr>
          <w:bCs/>
          <w:sz w:val="22"/>
          <w:szCs w:val="22"/>
        </w:rPr>
        <w:t xml:space="preserve">for the November 2020 consideration of </w:t>
      </w:r>
      <w:proofErr w:type="spellStart"/>
      <w:r w:rsidRPr="009761AC">
        <w:rPr>
          <w:bCs/>
          <w:sz w:val="22"/>
          <w:szCs w:val="22"/>
        </w:rPr>
        <w:t>nusinersen</w:t>
      </w:r>
      <w:proofErr w:type="spellEnd"/>
      <w:r w:rsidRPr="009761AC">
        <w:rPr>
          <w:bCs/>
          <w:sz w:val="22"/>
          <w:szCs w:val="22"/>
        </w:rPr>
        <w:t xml:space="preserve">, the PBAC had not </w:t>
      </w:r>
      <w:r w:rsidR="00E24D67">
        <w:rPr>
          <w:bCs/>
          <w:sz w:val="22"/>
          <w:szCs w:val="22"/>
        </w:rPr>
        <w:t xml:space="preserve">yet </w:t>
      </w:r>
      <w:r w:rsidRPr="009761AC">
        <w:rPr>
          <w:bCs/>
          <w:sz w:val="22"/>
          <w:szCs w:val="22"/>
        </w:rPr>
        <w:t>had the opportunity to hear from clinicians experienced in treating adult patients with SMA.</w:t>
      </w:r>
    </w:p>
    <w:p w14:paraId="55E76BC8" w14:textId="77777777" w:rsidR="004B3228" w:rsidRPr="004B3228" w:rsidRDefault="004B3228" w:rsidP="004B3228">
      <w:pPr>
        <w:pStyle w:val="3-BodyText"/>
        <w:numPr>
          <w:ilvl w:val="0"/>
          <w:numId w:val="3"/>
        </w:numPr>
        <w:spacing w:before="240"/>
        <w:ind w:left="425" w:hanging="425"/>
        <w:rPr>
          <w:sz w:val="22"/>
          <w:szCs w:val="22"/>
        </w:rPr>
      </w:pPr>
      <w:r w:rsidRPr="004B3228">
        <w:rPr>
          <w:b/>
          <w:i/>
          <w:sz w:val="22"/>
          <w:szCs w:val="22"/>
        </w:rPr>
        <w:t>Need for a decision support analysis</w:t>
      </w:r>
    </w:p>
    <w:p w14:paraId="78E4EBC7" w14:textId="0558275A" w:rsidR="004B3228" w:rsidRPr="004B3228" w:rsidRDefault="004B3228" w:rsidP="00B43052">
      <w:pPr>
        <w:pStyle w:val="3-BodyText"/>
        <w:numPr>
          <w:ilvl w:val="0"/>
          <w:numId w:val="0"/>
        </w:numPr>
        <w:rPr>
          <w:sz w:val="22"/>
          <w:szCs w:val="22"/>
        </w:rPr>
      </w:pPr>
      <w:r>
        <w:rPr>
          <w:sz w:val="22"/>
          <w:szCs w:val="22"/>
        </w:rPr>
        <w:t>I</w:t>
      </w:r>
      <w:r w:rsidRPr="004B3228">
        <w:rPr>
          <w:sz w:val="22"/>
          <w:szCs w:val="22"/>
        </w:rPr>
        <w:t xml:space="preserve">n its November 2020 consideration of two therapies to treat SMA - </w:t>
      </w:r>
      <w:proofErr w:type="spellStart"/>
      <w:r w:rsidRPr="004B3228">
        <w:rPr>
          <w:sz w:val="22"/>
          <w:szCs w:val="22"/>
        </w:rPr>
        <w:t>onasemnogene</w:t>
      </w:r>
      <w:proofErr w:type="spellEnd"/>
      <w:r w:rsidRPr="004B3228">
        <w:rPr>
          <w:sz w:val="22"/>
          <w:szCs w:val="22"/>
        </w:rPr>
        <w:t xml:space="preserve"> </w:t>
      </w:r>
      <w:proofErr w:type="spellStart"/>
      <w:r w:rsidRPr="004B3228">
        <w:rPr>
          <w:sz w:val="22"/>
          <w:szCs w:val="22"/>
        </w:rPr>
        <w:t>abeparvovec</w:t>
      </w:r>
      <w:proofErr w:type="spellEnd"/>
      <w:r w:rsidRPr="004B3228">
        <w:rPr>
          <w:sz w:val="22"/>
          <w:szCs w:val="22"/>
        </w:rPr>
        <w:t xml:space="preserve"> and </w:t>
      </w:r>
      <w:proofErr w:type="spellStart"/>
      <w:r w:rsidRPr="004B3228">
        <w:rPr>
          <w:sz w:val="22"/>
          <w:szCs w:val="22"/>
        </w:rPr>
        <w:t>nusinersen</w:t>
      </w:r>
      <w:proofErr w:type="spellEnd"/>
      <w:r w:rsidRPr="004B3228">
        <w:rPr>
          <w:sz w:val="22"/>
          <w:szCs w:val="22"/>
        </w:rPr>
        <w:t xml:space="preserve"> - the PBAC considered</w:t>
      </w:r>
      <w:r w:rsidR="00B43052">
        <w:rPr>
          <w:sz w:val="22"/>
          <w:szCs w:val="22"/>
        </w:rPr>
        <w:t xml:space="preserve"> </w:t>
      </w:r>
      <w:r w:rsidRPr="004B3228">
        <w:rPr>
          <w:rFonts w:cs="Calibri"/>
          <w:sz w:val="22"/>
          <w:szCs w:val="22"/>
        </w:rPr>
        <w:t>an overall and holistic approach to consideration of the entire treatment algorithm and the strength of all available evidence for SMA therapies would better support its decision making</w:t>
      </w:r>
      <w:r w:rsidRPr="004B3228">
        <w:rPr>
          <w:rFonts w:cs="Calibri"/>
          <w:bCs/>
          <w:sz w:val="22"/>
          <w:szCs w:val="22"/>
        </w:rPr>
        <w:t xml:space="preserve">. </w:t>
      </w:r>
      <w:r w:rsidRPr="004B3228">
        <w:rPr>
          <w:rFonts w:cs="Calibri"/>
          <w:sz w:val="22"/>
          <w:szCs w:val="22"/>
        </w:rPr>
        <w:t xml:space="preserve"> </w:t>
      </w:r>
    </w:p>
    <w:p w14:paraId="60CBEA69" w14:textId="4DEE6576" w:rsidR="003A4F37" w:rsidRPr="00721A98" w:rsidRDefault="003A4F37" w:rsidP="003A4F37">
      <w:pPr>
        <w:pStyle w:val="3-BodyText"/>
        <w:numPr>
          <w:ilvl w:val="0"/>
          <w:numId w:val="0"/>
        </w:numPr>
        <w:rPr>
          <w:bCs/>
          <w:strike/>
          <w:sz w:val="22"/>
          <w:szCs w:val="22"/>
          <w:lang w:val="en-GB"/>
        </w:rPr>
      </w:pPr>
      <w:r>
        <w:rPr>
          <w:sz w:val="22"/>
          <w:szCs w:val="22"/>
          <w:lang w:val="en-GB"/>
        </w:rPr>
        <w:t xml:space="preserve">The PBAC chair noted the need to make decisions based on the limited evidence available for each SMA treatment, recognising that this is likely to evolve as additional evidence becomes available. </w:t>
      </w:r>
    </w:p>
    <w:p w14:paraId="146C659D" w14:textId="77777777" w:rsidR="00721A98" w:rsidRPr="00721A98" w:rsidRDefault="00721A98" w:rsidP="00721A98">
      <w:pPr>
        <w:pStyle w:val="Heading1"/>
        <w:keepLines w:val="0"/>
        <w:spacing w:before="0" w:after="60" w:line="240" w:lineRule="auto"/>
        <w:rPr>
          <w:rFonts w:asciiTheme="minorHAnsi" w:eastAsia="Times New Roman" w:hAnsiTheme="minorHAnsi" w:cstheme="minorHAnsi"/>
          <w:b/>
          <w:bCs/>
          <w:color w:val="auto"/>
          <w:kern w:val="28"/>
          <w:sz w:val="24"/>
          <w:szCs w:val="24"/>
        </w:rPr>
      </w:pPr>
      <w:r w:rsidRPr="00721A98">
        <w:rPr>
          <w:rFonts w:asciiTheme="minorHAnsi" w:eastAsia="Times New Roman" w:hAnsiTheme="minorHAnsi" w:cstheme="minorHAnsi"/>
          <w:b/>
          <w:bCs/>
          <w:color w:val="auto"/>
          <w:kern w:val="28"/>
          <w:sz w:val="24"/>
          <w:szCs w:val="24"/>
        </w:rPr>
        <w:t>Discussion</w:t>
      </w:r>
    </w:p>
    <w:p w14:paraId="339DA4B6" w14:textId="09216CA5" w:rsidR="003A4F37" w:rsidRDefault="003A4F37" w:rsidP="003F1776">
      <w:pPr>
        <w:pStyle w:val="Style1"/>
      </w:pPr>
      <w:r>
        <w:t>Pre-symptomatic patients</w:t>
      </w:r>
    </w:p>
    <w:p w14:paraId="6251BDF2" w14:textId="2A7F1F5B" w:rsidR="003A4F37" w:rsidRDefault="003A4F37" w:rsidP="004430F7">
      <w:pPr>
        <w:spacing w:after="120"/>
        <w:rPr>
          <w:rFonts w:asciiTheme="minorHAnsi" w:eastAsia="Times New Roman" w:hAnsiTheme="minorHAnsi" w:cstheme="minorHAnsi"/>
          <w:sz w:val="22"/>
          <w:szCs w:val="22"/>
          <w:u w:val="single"/>
        </w:rPr>
      </w:pPr>
      <w:r w:rsidRPr="003A4F37">
        <w:rPr>
          <w:rFonts w:asciiTheme="minorHAnsi" w:eastAsia="Times New Roman" w:hAnsiTheme="minorHAnsi" w:cstheme="minorHAnsi"/>
          <w:sz w:val="22"/>
          <w:szCs w:val="22"/>
          <w:u w:val="single"/>
        </w:rPr>
        <w:t>SMN2 copy number</w:t>
      </w:r>
    </w:p>
    <w:p w14:paraId="2C2B406A" w14:textId="31D3CE4A" w:rsidR="003A4F37" w:rsidRPr="00CE4B4F" w:rsidRDefault="002C1E6A" w:rsidP="00CE4B4F">
      <w:pPr>
        <w:pStyle w:val="ListParagraph"/>
        <w:numPr>
          <w:ilvl w:val="0"/>
          <w:numId w:val="12"/>
        </w:numPr>
        <w:spacing w:after="120"/>
        <w:rPr>
          <w:rFonts w:eastAsia="Times New Roman" w:cs="Arial"/>
          <w:snapToGrid w:val="0"/>
          <w:sz w:val="22"/>
          <w:szCs w:val="22"/>
          <w:lang w:val="en-GB" w:eastAsia="en-AU"/>
        </w:rPr>
      </w:pPr>
      <w:r w:rsidRPr="00CE4B4F">
        <w:rPr>
          <w:rFonts w:eastAsia="Times New Roman" w:cs="Arial"/>
          <w:snapToGrid w:val="0"/>
          <w:sz w:val="22"/>
          <w:szCs w:val="22"/>
          <w:lang w:val="en-GB" w:eastAsia="en-AU"/>
        </w:rPr>
        <w:t>Clinicians considered that patients with 1 to 3 copies of SMN2</w:t>
      </w:r>
      <w:r w:rsidR="007B5623" w:rsidRPr="00CE4B4F">
        <w:rPr>
          <w:rFonts w:eastAsia="Times New Roman" w:cs="Arial"/>
          <w:snapToGrid w:val="0"/>
          <w:sz w:val="22"/>
          <w:szCs w:val="22"/>
          <w:lang w:val="en-GB" w:eastAsia="en-AU"/>
        </w:rPr>
        <w:t xml:space="preserve"> </w:t>
      </w:r>
      <w:r w:rsidRPr="00CE4B4F">
        <w:rPr>
          <w:rFonts w:eastAsia="Times New Roman" w:cs="Arial"/>
          <w:snapToGrid w:val="0"/>
          <w:sz w:val="22"/>
          <w:szCs w:val="22"/>
          <w:lang w:val="en-GB" w:eastAsia="en-AU"/>
        </w:rPr>
        <w:t>should be eligible to initiate pre-symptomatic treatment</w:t>
      </w:r>
      <w:r w:rsidR="007B5623" w:rsidRPr="00CE4B4F">
        <w:rPr>
          <w:rFonts w:eastAsia="Times New Roman" w:cs="Arial"/>
          <w:snapToGrid w:val="0"/>
          <w:sz w:val="22"/>
          <w:szCs w:val="22"/>
          <w:lang w:val="en-GB" w:eastAsia="en-AU"/>
        </w:rPr>
        <w:t>, as these patients would</w:t>
      </w:r>
      <w:r w:rsidR="00C853BB" w:rsidRPr="00CE4B4F">
        <w:rPr>
          <w:rFonts w:eastAsia="Times New Roman" w:cs="Arial"/>
          <w:snapToGrid w:val="0"/>
          <w:sz w:val="22"/>
          <w:szCs w:val="22"/>
          <w:lang w:val="en-GB" w:eastAsia="en-AU"/>
        </w:rPr>
        <w:t xml:space="preserve"> have the </w:t>
      </w:r>
      <w:r w:rsidR="00CD30FA" w:rsidRPr="00CE4B4F">
        <w:rPr>
          <w:rFonts w:eastAsia="Times New Roman" w:cs="Arial"/>
          <w:snapToGrid w:val="0"/>
          <w:sz w:val="22"/>
          <w:szCs w:val="22"/>
          <w:lang w:val="en-GB" w:eastAsia="en-AU"/>
        </w:rPr>
        <w:t>most</w:t>
      </w:r>
      <w:r w:rsidR="00C853BB" w:rsidRPr="00CE4B4F">
        <w:rPr>
          <w:rFonts w:eastAsia="Times New Roman" w:cs="Arial"/>
          <w:snapToGrid w:val="0"/>
          <w:sz w:val="22"/>
          <w:szCs w:val="22"/>
          <w:lang w:val="en-GB" w:eastAsia="en-AU"/>
        </w:rPr>
        <w:t xml:space="preserve"> </w:t>
      </w:r>
      <w:r w:rsidR="00CD30FA" w:rsidRPr="00CE4B4F">
        <w:rPr>
          <w:rFonts w:eastAsia="Times New Roman" w:cs="Arial"/>
          <w:snapToGrid w:val="0"/>
          <w:sz w:val="22"/>
          <w:szCs w:val="22"/>
          <w:lang w:val="en-GB" w:eastAsia="en-AU"/>
        </w:rPr>
        <w:t>potential</w:t>
      </w:r>
      <w:r w:rsidR="00C853BB" w:rsidRPr="00CE4B4F">
        <w:rPr>
          <w:rFonts w:eastAsia="Times New Roman" w:cs="Arial"/>
          <w:snapToGrid w:val="0"/>
          <w:sz w:val="22"/>
          <w:szCs w:val="22"/>
          <w:lang w:val="en-GB" w:eastAsia="en-AU"/>
        </w:rPr>
        <w:t xml:space="preserve"> to</w:t>
      </w:r>
      <w:r w:rsidR="007B5623" w:rsidRPr="00CE4B4F">
        <w:rPr>
          <w:rFonts w:eastAsia="Times New Roman" w:cs="Arial"/>
          <w:snapToGrid w:val="0"/>
          <w:sz w:val="22"/>
          <w:szCs w:val="22"/>
          <w:lang w:val="en-GB" w:eastAsia="en-AU"/>
        </w:rPr>
        <w:t xml:space="preserve"> experience the</w:t>
      </w:r>
      <w:r w:rsidR="00BB34BB">
        <w:rPr>
          <w:rFonts w:eastAsia="Times New Roman" w:cs="Arial"/>
          <w:snapToGrid w:val="0"/>
          <w:sz w:val="22"/>
          <w:szCs w:val="22"/>
          <w:lang w:val="en-GB" w:eastAsia="en-AU"/>
        </w:rPr>
        <w:t xml:space="preserve"> most benefit in </w:t>
      </w:r>
      <w:r w:rsidR="00744E1C">
        <w:rPr>
          <w:rFonts w:eastAsia="Times New Roman" w:cs="Arial"/>
          <w:snapToGrid w:val="0"/>
          <w:sz w:val="22"/>
          <w:szCs w:val="22"/>
          <w:lang w:val="en-GB" w:eastAsia="en-AU"/>
        </w:rPr>
        <w:t>gaining and</w:t>
      </w:r>
      <w:r w:rsidR="000D5B8E">
        <w:rPr>
          <w:rFonts w:eastAsia="Times New Roman" w:cs="Arial"/>
          <w:snapToGrid w:val="0"/>
          <w:sz w:val="22"/>
          <w:szCs w:val="22"/>
          <w:lang w:val="en-GB" w:eastAsia="en-AU"/>
        </w:rPr>
        <w:t>/or</w:t>
      </w:r>
      <w:r w:rsidR="00744E1C">
        <w:rPr>
          <w:rFonts w:eastAsia="Times New Roman" w:cs="Arial"/>
          <w:snapToGrid w:val="0"/>
          <w:sz w:val="22"/>
          <w:szCs w:val="22"/>
          <w:lang w:val="en-GB" w:eastAsia="en-AU"/>
        </w:rPr>
        <w:t xml:space="preserve"> maintaining </w:t>
      </w:r>
      <w:r w:rsidR="00BB34BB">
        <w:rPr>
          <w:rFonts w:eastAsia="Times New Roman" w:cs="Arial"/>
          <w:snapToGrid w:val="0"/>
          <w:sz w:val="22"/>
          <w:szCs w:val="22"/>
          <w:lang w:val="en-GB" w:eastAsia="en-AU"/>
        </w:rPr>
        <w:t>motor function</w:t>
      </w:r>
      <w:r w:rsidRPr="00CE4B4F">
        <w:rPr>
          <w:rFonts w:eastAsia="Times New Roman" w:cs="Arial"/>
          <w:snapToGrid w:val="0"/>
          <w:sz w:val="22"/>
          <w:szCs w:val="22"/>
          <w:lang w:val="en-GB" w:eastAsia="en-AU"/>
        </w:rPr>
        <w:t xml:space="preserve">. </w:t>
      </w:r>
      <w:r w:rsidR="003A4F37" w:rsidRPr="00CE4B4F">
        <w:rPr>
          <w:rFonts w:eastAsia="Times New Roman" w:cs="Arial"/>
          <w:snapToGrid w:val="0"/>
          <w:sz w:val="22"/>
          <w:szCs w:val="22"/>
          <w:lang w:val="en-GB" w:eastAsia="en-AU"/>
        </w:rPr>
        <w:t xml:space="preserve">Clinicians noted that patients with 1-2 copies of SMN2 </w:t>
      </w:r>
      <w:r w:rsidR="00313107" w:rsidRPr="00CE4B4F">
        <w:rPr>
          <w:rFonts w:eastAsia="Times New Roman" w:cs="Arial"/>
          <w:snapToGrid w:val="0"/>
          <w:sz w:val="22"/>
          <w:szCs w:val="22"/>
          <w:lang w:val="en-GB" w:eastAsia="en-AU"/>
        </w:rPr>
        <w:t xml:space="preserve">are </w:t>
      </w:r>
      <w:r w:rsidR="003A4F37" w:rsidRPr="00CE4B4F">
        <w:rPr>
          <w:rFonts w:eastAsia="Times New Roman" w:cs="Arial"/>
          <w:snapToGrid w:val="0"/>
          <w:sz w:val="22"/>
          <w:szCs w:val="22"/>
          <w:lang w:val="en-GB" w:eastAsia="en-AU"/>
        </w:rPr>
        <w:t xml:space="preserve">most likely to be symptomatic early </w:t>
      </w:r>
      <w:r w:rsidR="00A57F94" w:rsidRPr="00CE4B4F">
        <w:rPr>
          <w:rFonts w:eastAsia="Times New Roman" w:cs="Arial"/>
          <w:snapToGrid w:val="0"/>
          <w:sz w:val="22"/>
          <w:szCs w:val="22"/>
          <w:lang w:val="en-GB" w:eastAsia="en-AU"/>
        </w:rPr>
        <w:t xml:space="preserve">in life, but </w:t>
      </w:r>
      <w:r w:rsidR="00313107" w:rsidRPr="00CE4B4F">
        <w:rPr>
          <w:rFonts w:eastAsia="Times New Roman" w:cs="Arial"/>
          <w:snapToGrid w:val="0"/>
          <w:sz w:val="22"/>
          <w:szCs w:val="22"/>
          <w:lang w:val="en-GB" w:eastAsia="en-AU"/>
        </w:rPr>
        <w:t xml:space="preserve">also </w:t>
      </w:r>
      <w:r w:rsidR="00A57F94" w:rsidRPr="00CE4B4F">
        <w:rPr>
          <w:rFonts w:eastAsia="Times New Roman" w:cs="Arial"/>
          <w:snapToGrid w:val="0"/>
          <w:sz w:val="22"/>
          <w:szCs w:val="22"/>
          <w:lang w:val="en-GB" w:eastAsia="en-AU"/>
        </w:rPr>
        <w:t xml:space="preserve">noted that patients with 3 copies of SMN2 are likely to significantly benefit from early treatment, based on outcomes seen in trials. </w:t>
      </w:r>
    </w:p>
    <w:p w14:paraId="531F32FB" w14:textId="3F1E022B" w:rsidR="003E4459" w:rsidRPr="003E4459" w:rsidRDefault="003E4459" w:rsidP="004430F7">
      <w:pPr>
        <w:spacing w:after="120"/>
        <w:rPr>
          <w:rFonts w:asciiTheme="minorHAnsi" w:eastAsia="Times New Roman" w:hAnsiTheme="minorHAnsi" w:cstheme="minorHAnsi"/>
          <w:sz w:val="22"/>
          <w:szCs w:val="22"/>
          <w:u w:val="single"/>
        </w:rPr>
      </w:pPr>
      <w:r w:rsidRPr="003E4459">
        <w:rPr>
          <w:rFonts w:asciiTheme="minorHAnsi" w:eastAsia="Times New Roman" w:hAnsiTheme="minorHAnsi" w:cstheme="minorHAnsi"/>
          <w:sz w:val="22"/>
          <w:szCs w:val="22"/>
          <w:u w:val="single"/>
        </w:rPr>
        <w:t>Should antenatal d</w:t>
      </w:r>
      <w:r>
        <w:rPr>
          <w:rFonts w:asciiTheme="minorHAnsi" w:eastAsia="Times New Roman" w:hAnsiTheme="minorHAnsi" w:cstheme="minorHAnsi"/>
          <w:sz w:val="22"/>
          <w:szCs w:val="22"/>
          <w:u w:val="single"/>
        </w:rPr>
        <w:t>iagnosis be confirmed with post</w:t>
      </w:r>
      <w:r w:rsidRPr="003E4459">
        <w:rPr>
          <w:rFonts w:asciiTheme="minorHAnsi" w:eastAsia="Times New Roman" w:hAnsiTheme="minorHAnsi" w:cstheme="minorHAnsi"/>
          <w:sz w:val="22"/>
          <w:szCs w:val="22"/>
          <w:u w:val="single"/>
        </w:rPr>
        <w:t>natal testing</w:t>
      </w:r>
      <w:r w:rsidR="00C853BB">
        <w:rPr>
          <w:rFonts w:asciiTheme="minorHAnsi" w:eastAsia="Times New Roman" w:hAnsiTheme="minorHAnsi" w:cstheme="minorHAnsi"/>
          <w:sz w:val="22"/>
          <w:szCs w:val="22"/>
          <w:u w:val="single"/>
        </w:rPr>
        <w:t xml:space="preserve"> (when accessing treatments based on genotype alone)</w:t>
      </w:r>
      <w:r w:rsidRPr="003E4459">
        <w:rPr>
          <w:rFonts w:asciiTheme="minorHAnsi" w:eastAsia="Times New Roman" w:hAnsiTheme="minorHAnsi" w:cstheme="minorHAnsi"/>
          <w:sz w:val="22"/>
          <w:szCs w:val="22"/>
          <w:u w:val="single"/>
        </w:rPr>
        <w:t>?</w:t>
      </w:r>
    </w:p>
    <w:p w14:paraId="0EF193BE" w14:textId="2ACA1EC6" w:rsidR="003E4459" w:rsidRPr="00CE4B4F" w:rsidRDefault="003E4459" w:rsidP="00CE4B4F">
      <w:pPr>
        <w:pStyle w:val="ListParagraph"/>
        <w:numPr>
          <w:ilvl w:val="0"/>
          <w:numId w:val="11"/>
        </w:numPr>
        <w:spacing w:after="120"/>
        <w:rPr>
          <w:rFonts w:eastAsia="Times New Roman" w:cs="Arial"/>
          <w:snapToGrid w:val="0"/>
          <w:sz w:val="22"/>
          <w:szCs w:val="22"/>
          <w:lang w:val="en-GB" w:eastAsia="en-AU"/>
        </w:rPr>
      </w:pPr>
      <w:r w:rsidRPr="00CE4B4F">
        <w:rPr>
          <w:rFonts w:eastAsia="Times New Roman" w:cs="Arial"/>
          <w:snapToGrid w:val="0"/>
          <w:sz w:val="22"/>
          <w:szCs w:val="22"/>
          <w:lang w:val="en-GB" w:eastAsia="en-AU"/>
        </w:rPr>
        <w:t>Clinicians considered that where a patient is diagnosed with SMA through antenatal testing there is no need to retest to confirm this diagnosis. Clinicians noted that SMA is not always detected through antenatal testing, so postnatal testing may be reasonable to confirm a negative antenatal result.</w:t>
      </w:r>
    </w:p>
    <w:p w14:paraId="55C91B7B" w14:textId="026011AC" w:rsidR="003E4459" w:rsidRDefault="003E4459" w:rsidP="004430F7">
      <w:pPr>
        <w:spacing w:after="120"/>
        <w:rPr>
          <w:rFonts w:eastAsia="Times New Roman" w:cs="Arial"/>
          <w:snapToGrid w:val="0"/>
          <w:sz w:val="22"/>
          <w:szCs w:val="22"/>
          <w:u w:val="single"/>
          <w:lang w:val="en-GB" w:eastAsia="en-AU"/>
        </w:rPr>
      </w:pPr>
      <w:r w:rsidRPr="003E4459">
        <w:rPr>
          <w:rFonts w:eastAsia="Times New Roman" w:cs="Arial"/>
          <w:snapToGrid w:val="0"/>
          <w:sz w:val="22"/>
          <w:szCs w:val="22"/>
          <w:u w:val="single"/>
          <w:lang w:val="en-GB" w:eastAsia="en-AU"/>
        </w:rPr>
        <w:t>Lines of treatment</w:t>
      </w:r>
    </w:p>
    <w:p w14:paraId="1683C021" w14:textId="77777777" w:rsidR="00FE52FB" w:rsidRDefault="00FE52FB" w:rsidP="00FE52FB">
      <w:pPr>
        <w:spacing w:after="120"/>
        <w:rPr>
          <w:rFonts w:eastAsia="Times New Roman" w:cs="Arial"/>
          <w:snapToGrid w:val="0"/>
          <w:sz w:val="22"/>
          <w:szCs w:val="22"/>
          <w:lang w:val="en-GB" w:eastAsia="en-AU"/>
        </w:rPr>
      </w:pPr>
      <w:r>
        <w:rPr>
          <w:rFonts w:eastAsia="Times New Roman" w:cs="Arial"/>
          <w:snapToGrid w:val="0"/>
          <w:sz w:val="22"/>
          <w:szCs w:val="22"/>
          <w:lang w:val="en-GB" w:eastAsia="en-AU"/>
        </w:rPr>
        <w:t>The PBAC chair noted that the intent of the discussion was not to prescribe a treatment pathway, but rather to understand the likely use in practice.</w:t>
      </w:r>
    </w:p>
    <w:p w14:paraId="0142E056" w14:textId="0AACD81D" w:rsidR="007B5623" w:rsidRPr="00CE4B4F" w:rsidRDefault="003E4459" w:rsidP="00CE4B4F">
      <w:pPr>
        <w:pStyle w:val="ListParagraph"/>
        <w:numPr>
          <w:ilvl w:val="0"/>
          <w:numId w:val="7"/>
        </w:numPr>
        <w:spacing w:after="120"/>
        <w:rPr>
          <w:rFonts w:eastAsia="Times New Roman" w:cs="Arial"/>
          <w:snapToGrid w:val="0"/>
          <w:sz w:val="22"/>
          <w:szCs w:val="22"/>
          <w:lang w:val="en-GB" w:eastAsia="en-AU"/>
        </w:rPr>
      </w:pPr>
      <w:r w:rsidRPr="00CE4B4F">
        <w:rPr>
          <w:rFonts w:eastAsia="Times New Roman" w:cs="Arial"/>
          <w:snapToGrid w:val="0"/>
          <w:sz w:val="22"/>
          <w:szCs w:val="22"/>
          <w:lang w:val="en-GB" w:eastAsia="en-AU"/>
        </w:rPr>
        <w:t>Clin</w:t>
      </w:r>
      <w:r w:rsidR="00624AF4" w:rsidRPr="00CE4B4F">
        <w:rPr>
          <w:rFonts w:eastAsia="Times New Roman" w:cs="Arial"/>
          <w:snapToGrid w:val="0"/>
          <w:sz w:val="22"/>
          <w:szCs w:val="22"/>
          <w:lang w:val="en-GB" w:eastAsia="en-AU"/>
        </w:rPr>
        <w:t>i</w:t>
      </w:r>
      <w:r w:rsidRPr="00CE4B4F">
        <w:rPr>
          <w:rFonts w:eastAsia="Times New Roman" w:cs="Arial"/>
          <w:snapToGrid w:val="0"/>
          <w:sz w:val="22"/>
          <w:szCs w:val="22"/>
          <w:lang w:val="en-GB" w:eastAsia="en-AU"/>
        </w:rPr>
        <w:t xml:space="preserve">cians noted it is difficult to establish a clear treatment </w:t>
      </w:r>
      <w:r w:rsidR="002346A2">
        <w:rPr>
          <w:rFonts w:eastAsia="Times New Roman" w:cs="Arial"/>
          <w:snapToGrid w:val="0"/>
          <w:sz w:val="22"/>
          <w:szCs w:val="22"/>
          <w:lang w:val="en-GB" w:eastAsia="en-AU"/>
        </w:rPr>
        <w:t>algorithm given the absence of</w:t>
      </w:r>
      <w:r w:rsidRPr="00CE4B4F">
        <w:rPr>
          <w:rFonts w:eastAsia="Times New Roman" w:cs="Arial"/>
          <w:snapToGrid w:val="0"/>
          <w:sz w:val="22"/>
          <w:szCs w:val="22"/>
          <w:lang w:val="en-GB" w:eastAsia="en-AU"/>
        </w:rPr>
        <w:t xml:space="preserve"> head to head trials of active treatments. Clin</w:t>
      </w:r>
      <w:r w:rsidR="00B51512" w:rsidRPr="00CE4B4F">
        <w:rPr>
          <w:rFonts w:eastAsia="Times New Roman" w:cs="Arial"/>
          <w:snapToGrid w:val="0"/>
          <w:sz w:val="22"/>
          <w:szCs w:val="22"/>
          <w:lang w:val="en-GB" w:eastAsia="en-AU"/>
        </w:rPr>
        <w:t>i</w:t>
      </w:r>
      <w:r w:rsidRPr="00CE4B4F">
        <w:rPr>
          <w:rFonts w:eastAsia="Times New Roman" w:cs="Arial"/>
          <w:snapToGrid w:val="0"/>
          <w:sz w:val="22"/>
          <w:szCs w:val="22"/>
          <w:lang w:val="en-GB" w:eastAsia="en-AU"/>
        </w:rPr>
        <w:t xml:space="preserve">cians noted that post-hoc analyses of </w:t>
      </w:r>
      <w:proofErr w:type="spellStart"/>
      <w:r w:rsidRPr="00CE4B4F">
        <w:rPr>
          <w:rFonts w:eastAsia="Times New Roman" w:cs="Arial"/>
          <w:snapToGrid w:val="0"/>
          <w:sz w:val="22"/>
          <w:szCs w:val="22"/>
          <w:lang w:val="en-GB" w:eastAsia="en-AU"/>
        </w:rPr>
        <w:t>onasemnogene</w:t>
      </w:r>
      <w:proofErr w:type="spellEnd"/>
      <w:r w:rsidRPr="00CE4B4F">
        <w:rPr>
          <w:rFonts w:eastAsia="Times New Roman" w:cs="Arial"/>
          <w:snapToGrid w:val="0"/>
          <w:sz w:val="22"/>
          <w:szCs w:val="22"/>
          <w:lang w:val="en-GB" w:eastAsia="en-AU"/>
        </w:rPr>
        <w:t xml:space="preserve"> </w:t>
      </w:r>
      <w:proofErr w:type="spellStart"/>
      <w:r w:rsidRPr="00CE4B4F">
        <w:rPr>
          <w:rFonts w:eastAsia="Times New Roman" w:cs="Arial"/>
          <w:snapToGrid w:val="0"/>
          <w:sz w:val="22"/>
          <w:szCs w:val="22"/>
          <w:lang w:val="en-GB" w:eastAsia="en-AU"/>
        </w:rPr>
        <w:t>abeparvovec</w:t>
      </w:r>
      <w:proofErr w:type="spellEnd"/>
      <w:r w:rsidRPr="00CE4B4F">
        <w:rPr>
          <w:rFonts w:eastAsia="Times New Roman" w:cs="Arial"/>
          <w:snapToGrid w:val="0"/>
          <w:sz w:val="22"/>
          <w:szCs w:val="22"/>
          <w:lang w:val="en-GB" w:eastAsia="en-AU"/>
        </w:rPr>
        <w:t xml:space="preserve"> versus </w:t>
      </w:r>
      <w:proofErr w:type="spellStart"/>
      <w:r w:rsidRPr="00CE4B4F">
        <w:rPr>
          <w:rFonts w:eastAsia="Times New Roman" w:cs="Arial"/>
          <w:snapToGrid w:val="0"/>
          <w:sz w:val="22"/>
          <w:szCs w:val="22"/>
          <w:lang w:val="en-GB" w:eastAsia="en-AU"/>
        </w:rPr>
        <w:t>nusinersen</w:t>
      </w:r>
      <w:proofErr w:type="spellEnd"/>
      <w:r w:rsidRPr="00CE4B4F">
        <w:rPr>
          <w:rFonts w:eastAsia="Times New Roman" w:cs="Arial"/>
          <w:snapToGrid w:val="0"/>
          <w:sz w:val="22"/>
          <w:szCs w:val="22"/>
          <w:lang w:val="en-GB" w:eastAsia="en-AU"/>
        </w:rPr>
        <w:t xml:space="preserve"> have been presented in various </w:t>
      </w:r>
      <w:r w:rsidR="00F615D9" w:rsidRPr="00CE4B4F">
        <w:rPr>
          <w:rFonts w:eastAsia="Times New Roman" w:cs="Arial"/>
          <w:snapToGrid w:val="0"/>
          <w:sz w:val="22"/>
          <w:szCs w:val="22"/>
          <w:lang w:val="en-GB" w:eastAsia="en-AU"/>
        </w:rPr>
        <w:t>fora</w:t>
      </w:r>
      <w:r w:rsidRPr="00CE4B4F">
        <w:rPr>
          <w:rFonts w:eastAsia="Times New Roman" w:cs="Arial"/>
          <w:snapToGrid w:val="0"/>
          <w:sz w:val="22"/>
          <w:szCs w:val="22"/>
          <w:lang w:val="en-GB" w:eastAsia="en-AU"/>
        </w:rPr>
        <w:t xml:space="preserve"> and </w:t>
      </w:r>
      <w:r w:rsidR="00F615D9" w:rsidRPr="00CE4B4F">
        <w:rPr>
          <w:rFonts w:eastAsia="Times New Roman" w:cs="Arial"/>
          <w:snapToGrid w:val="0"/>
          <w:sz w:val="22"/>
          <w:szCs w:val="22"/>
          <w:lang w:val="en-GB" w:eastAsia="en-AU"/>
        </w:rPr>
        <w:t xml:space="preserve">do not show a clear efficacy advantage for either treatment. </w:t>
      </w:r>
      <w:r w:rsidR="007B5623" w:rsidRPr="00CE4B4F">
        <w:rPr>
          <w:rFonts w:eastAsia="Times New Roman" w:cs="Arial"/>
          <w:snapToGrid w:val="0"/>
          <w:sz w:val="22"/>
          <w:szCs w:val="22"/>
          <w:lang w:val="en-GB" w:eastAsia="en-AU"/>
        </w:rPr>
        <w:t xml:space="preserve">However, clinicians noted that the evidence for </w:t>
      </w:r>
      <w:proofErr w:type="spellStart"/>
      <w:r w:rsidR="007B5623" w:rsidRPr="00CE4B4F">
        <w:rPr>
          <w:rFonts w:eastAsia="Times New Roman" w:cs="Arial"/>
          <w:snapToGrid w:val="0"/>
          <w:sz w:val="22"/>
          <w:szCs w:val="22"/>
          <w:lang w:val="en-GB" w:eastAsia="en-AU"/>
        </w:rPr>
        <w:t>onasemnogene</w:t>
      </w:r>
      <w:proofErr w:type="spellEnd"/>
      <w:r w:rsidR="007B5623" w:rsidRPr="00CE4B4F">
        <w:rPr>
          <w:rFonts w:eastAsia="Times New Roman" w:cs="Arial"/>
          <w:snapToGrid w:val="0"/>
          <w:sz w:val="22"/>
          <w:szCs w:val="22"/>
          <w:lang w:val="en-GB" w:eastAsia="en-AU"/>
        </w:rPr>
        <w:t xml:space="preserve"> </w:t>
      </w:r>
      <w:proofErr w:type="spellStart"/>
      <w:r w:rsidR="007B5623" w:rsidRPr="00CE4B4F">
        <w:rPr>
          <w:rFonts w:eastAsia="Times New Roman" w:cs="Arial"/>
          <w:snapToGrid w:val="0"/>
          <w:sz w:val="22"/>
          <w:szCs w:val="22"/>
          <w:lang w:val="en-GB" w:eastAsia="en-AU"/>
        </w:rPr>
        <w:t>abeparvovec</w:t>
      </w:r>
      <w:proofErr w:type="spellEnd"/>
      <w:r w:rsidR="007B5623" w:rsidRPr="00CE4B4F">
        <w:rPr>
          <w:rFonts w:eastAsia="Times New Roman" w:cs="Arial"/>
          <w:snapToGrid w:val="0"/>
          <w:sz w:val="22"/>
          <w:szCs w:val="22"/>
          <w:lang w:val="en-GB" w:eastAsia="en-AU"/>
        </w:rPr>
        <w:t xml:space="preserve"> is in fewer patients and as a new treatment, has limited long-term follow-up in terms of both safety and effectiveness. </w:t>
      </w:r>
      <w:proofErr w:type="spellStart"/>
      <w:r w:rsidR="007B5623" w:rsidRPr="00CE4B4F">
        <w:rPr>
          <w:rFonts w:eastAsia="Times New Roman" w:cs="Arial"/>
          <w:snapToGrid w:val="0"/>
          <w:sz w:val="22"/>
          <w:szCs w:val="22"/>
          <w:lang w:val="en-GB" w:eastAsia="en-AU"/>
        </w:rPr>
        <w:t>Risdiplam</w:t>
      </w:r>
      <w:proofErr w:type="spellEnd"/>
      <w:r w:rsidR="007B5623" w:rsidRPr="00CE4B4F">
        <w:rPr>
          <w:rFonts w:eastAsia="Times New Roman" w:cs="Arial"/>
          <w:snapToGrid w:val="0"/>
          <w:sz w:val="22"/>
          <w:szCs w:val="22"/>
          <w:lang w:val="en-GB" w:eastAsia="en-AU"/>
        </w:rPr>
        <w:t xml:space="preserve"> is behind </w:t>
      </w:r>
      <w:r w:rsidR="007B5623" w:rsidRPr="00CE4B4F">
        <w:rPr>
          <w:rFonts w:eastAsia="Times New Roman" w:cs="Arial"/>
          <w:snapToGrid w:val="0"/>
          <w:sz w:val="22"/>
          <w:szCs w:val="22"/>
          <w:lang w:val="en-GB" w:eastAsia="en-AU"/>
        </w:rPr>
        <w:lastRenderedPageBreak/>
        <w:t xml:space="preserve">both </w:t>
      </w:r>
      <w:proofErr w:type="spellStart"/>
      <w:r w:rsidR="007B5623" w:rsidRPr="00CE4B4F">
        <w:rPr>
          <w:rFonts w:eastAsia="Times New Roman" w:cs="Arial"/>
          <w:snapToGrid w:val="0"/>
          <w:sz w:val="22"/>
          <w:szCs w:val="22"/>
          <w:lang w:val="en-GB" w:eastAsia="en-AU"/>
        </w:rPr>
        <w:t>onasemnogene</w:t>
      </w:r>
      <w:proofErr w:type="spellEnd"/>
      <w:r w:rsidR="007B5623" w:rsidRPr="00CE4B4F">
        <w:rPr>
          <w:rFonts w:eastAsia="Times New Roman" w:cs="Arial"/>
          <w:snapToGrid w:val="0"/>
          <w:sz w:val="22"/>
          <w:szCs w:val="22"/>
          <w:lang w:val="en-GB" w:eastAsia="en-AU"/>
        </w:rPr>
        <w:t xml:space="preserve"> </w:t>
      </w:r>
      <w:proofErr w:type="spellStart"/>
      <w:r w:rsidR="007B5623" w:rsidRPr="00CE4B4F">
        <w:rPr>
          <w:rFonts w:eastAsia="Times New Roman" w:cs="Arial"/>
          <w:snapToGrid w:val="0"/>
          <w:sz w:val="22"/>
          <w:szCs w:val="22"/>
          <w:lang w:val="en-GB" w:eastAsia="en-AU"/>
        </w:rPr>
        <w:t>abeparvovec</w:t>
      </w:r>
      <w:proofErr w:type="spellEnd"/>
      <w:r w:rsidR="007B5623" w:rsidRPr="00CE4B4F">
        <w:rPr>
          <w:rFonts w:eastAsia="Times New Roman" w:cs="Arial"/>
          <w:snapToGrid w:val="0"/>
          <w:sz w:val="22"/>
          <w:szCs w:val="22"/>
          <w:lang w:val="en-GB" w:eastAsia="en-AU"/>
        </w:rPr>
        <w:t xml:space="preserve"> and </w:t>
      </w:r>
      <w:proofErr w:type="spellStart"/>
      <w:r w:rsidR="007B5623" w:rsidRPr="00CE4B4F">
        <w:rPr>
          <w:rFonts w:eastAsia="Times New Roman" w:cs="Arial"/>
          <w:snapToGrid w:val="0"/>
          <w:sz w:val="22"/>
          <w:szCs w:val="22"/>
          <w:lang w:val="en-GB" w:eastAsia="en-AU"/>
        </w:rPr>
        <w:t>nusinersen</w:t>
      </w:r>
      <w:proofErr w:type="spellEnd"/>
      <w:r w:rsidR="007B5623" w:rsidRPr="00CE4B4F">
        <w:rPr>
          <w:rFonts w:eastAsia="Times New Roman" w:cs="Arial"/>
          <w:snapToGrid w:val="0"/>
          <w:sz w:val="22"/>
          <w:szCs w:val="22"/>
          <w:lang w:val="en-GB" w:eastAsia="en-AU"/>
        </w:rPr>
        <w:t xml:space="preserve"> in terms of its stage of clinical development.</w:t>
      </w:r>
    </w:p>
    <w:p w14:paraId="3A92B1AD" w14:textId="259DC36D" w:rsidR="003E4459" w:rsidRPr="00CE4B4F" w:rsidRDefault="00B905B1" w:rsidP="00CE4B4F">
      <w:pPr>
        <w:pStyle w:val="ListParagraph"/>
        <w:numPr>
          <w:ilvl w:val="0"/>
          <w:numId w:val="7"/>
        </w:numPr>
        <w:spacing w:after="120"/>
        <w:rPr>
          <w:rFonts w:eastAsia="Times New Roman" w:cs="Arial"/>
          <w:snapToGrid w:val="0"/>
          <w:sz w:val="22"/>
          <w:szCs w:val="22"/>
          <w:lang w:val="en-GB" w:eastAsia="en-AU"/>
        </w:rPr>
      </w:pPr>
      <w:r>
        <w:rPr>
          <w:rFonts w:eastAsia="Times New Roman" w:cs="Arial"/>
          <w:snapToGrid w:val="0"/>
          <w:sz w:val="22"/>
          <w:szCs w:val="22"/>
          <w:lang w:val="en-GB" w:eastAsia="en-AU"/>
        </w:rPr>
        <w:t>Clinicians noted t</w:t>
      </w:r>
      <w:r w:rsidR="0023551D" w:rsidRPr="00CE4B4F">
        <w:rPr>
          <w:rFonts w:eastAsia="Times New Roman" w:cs="Arial"/>
          <w:snapToGrid w:val="0"/>
          <w:sz w:val="22"/>
          <w:szCs w:val="22"/>
          <w:lang w:val="en-GB" w:eastAsia="en-AU"/>
        </w:rPr>
        <w:t>he mod</w:t>
      </w:r>
      <w:r w:rsidR="00313107">
        <w:rPr>
          <w:rFonts w:eastAsia="Times New Roman" w:cs="Arial"/>
          <w:snapToGrid w:val="0"/>
          <w:sz w:val="22"/>
          <w:szCs w:val="22"/>
          <w:lang w:val="en-GB" w:eastAsia="en-AU"/>
        </w:rPr>
        <w:t>e</w:t>
      </w:r>
      <w:r w:rsidR="00F615D9" w:rsidRPr="00CE4B4F">
        <w:rPr>
          <w:rFonts w:eastAsia="Times New Roman" w:cs="Arial"/>
          <w:snapToGrid w:val="0"/>
          <w:sz w:val="22"/>
          <w:szCs w:val="22"/>
          <w:lang w:val="en-GB" w:eastAsia="en-AU"/>
        </w:rPr>
        <w:t xml:space="preserve"> of administration is </w:t>
      </w:r>
      <w:r w:rsidR="007B5623">
        <w:rPr>
          <w:rFonts w:eastAsia="Times New Roman" w:cs="Arial"/>
          <w:snapToGrid w:val="0"/>
          <w:sz w:val="22"/>
          <w:szCs w:val="22"/>
          <w:lang w:val="en-GB" w:eastAsia="en-AU"/>
        </w:rPr>
        <w:t xml:space="preserve">also </w:t>
      </w:r>
      <w:r w:rsidR="00F615D9" w:rsidRPr="00CE4B4F">
        <w:rPr>
          <w:rFonts w:eastAsia="Times New Roman" w:cs="Arial"/>
          <w:snapToGrid w:val="0"/>
          <w:sz w:val="22"/>
          <w:szCs w:val="22"/>
          <w:lang w:val="en-GB" w:eastAsia="en-AU"/>
        </w:rPr>
        <w:t xml:space="preserve">a factor in considering the most appropriate treatment for </w:t>
      </w:r>
      <w:r w:rsidR="007B5623">
        <w:rPr>
          <w:rFonts w:eastAsia="Times New Roman" w:cs="Arial"/>
          <w:snapToGrid w:val="0"/>
          <w:sz w:val="22"/>
          <w:szCs w:val="22"/>
          <w:lang w:val="en-GB" w:eastAsia="en-AU"/>
        </w:rPr>
        <w:t xml:space="preserve">particular </w:t>
      </w:r>
      <w:r w:rsidR="00F615D9" w:rsidRPr="00CE4B4F">
        <w:rPr>
          <w:rFonts w:eastAsia="Times New Roman" w:cs="Arial"/>
          <w:snapToGrid w:val="0"/>
          <w:sz w:val="22"/>
          <w:szCs w:val="22"/>
          <w:lang w:val="en-GB" w:eastAsia="en-AU"/>
        </w:rPr>
        <w:t xml:space="preserve">patients. </w:t>
      </w:r>
      <w:proofErr w:type="spellStart"/>
      <w:r w:rsidR="002346A2" w:rsidRPr="00152972">
        <w:rPr>
          <w:rFonts w:eastAsia="Times New Roman" w:cs="Arial"/>
          <w:snapToGrid w:val="0"/>
          <w:sz w:val="22"/>
          <w:szCs w:val="22"/>
          <w:lang w:val="en-GB" w:eastAsia="en-AU"/>
        </w:rPr>
        <w:t>Risdiplam</w:t>
      </w:r>
      <w:proofErr w:type="spellEnd"/>
      <w:r w:rsidR="002346A2" w:rsidRPr="00152972">
        <w:rPr>
          <w:rFonts w:eastAsia="Times New Roman" w:cs="Arial"/>
          <w:snapToGrid w:val="0"/>
          <w:sz w:val="22"/>
          <w:szCs w:val="22"/>
          <w:lang w:val="en-GB" w:eastAsia="en-AU"/>
        </w:rPr>
        <w:t xml:space="preserve"> has the advantage of oral administration</w:t>
      </w:r>
      <w:r w:rsidR="002346A2">
        <w:rPr>
          <w:rFonts w:eastAsia="Times New Roman" w:cs="Arial"/>
          <w:snapToGrid w:val="0"/>
          <w:sz w:val="22"/>
          <w:szCs w:val="22"/>
          <w:lang w:val="en-GB" w:eastAsia="en-AU"/>
        </w:rPr>
        <w:t>, and t</w:t>
      </w:r>
      <w:r w:rsidR="00F615D9" w:rsidRPr="00CE4B4F">
        <w:rPr>
          <w:rFonts w:eastAsia="Times New Roman" w:cs="Arial"/>
          <w:snapToGrid w:val="0"/>
          <w:sz w:val="22"/>
          <w:szCs w:val="22"/>
          <w:lang w:val="en-GB" w:eastAsia="en-AU"/>
        </w:rPr>
        <w:t>he once</w:t>
      </w:r>
      <w:r w:rsidR="0023551D" w:rsidRPr="00CE4B4F">
        <w:rPr>
          <w:rFonts w:eastAsia="Times New Roman" w:cs="Arial"/>
          <w:snapToGrid w:val="0"/>
          <w:sz w:val="22"/>
          <w:szCs w:val="22"/>
          <w:lang w:val="en-GB" w:eastAsia="en-AU"/>
        </w:rPr>
        <w:t>-</w:t>
      </w:r>
      <w:r w:rsidR="00F615D9" w:rsidRPr="00CE4B4F">
        <w:rPr>
          <w:rFonts w:eastAsia="Times New Roman" w:cs="Arial"/>
          <w:snapToGrid w:val="0"/>
          <w:sz w:val="22"/>
          <w:szCs w:val="22"/>
          <w:lang w:val="en-GB" w:eastAsia="en-AU"/>
        </w:rPr>
        <w:t xml:space="preserve">off administration of </w:t>
      </w:r>
      <w:proofErr w:type="spellStart"/>
      <w:r w:rsidR="00F615D9" w:rsidRPr="00CE4B4F">
        <w:rPr>
          <w:rFonts w:eastAsia="Times New Roman" w:cs="Arial"/>
          <w:snapToGrid w:val="0"/>
          <w:sz w:val="22"/>
          <w:szCs w:val="22"/>
          <w:lang w:val="en-GB" w:eastAsia="en-AU"/>
        </w:rPr>
        <w:t>onasemnogene</w:t>
      </w:r>
      <w:proofErr w:type="spellEnd"/>
      <w:r w:rsidR="00F615D9" w:rsidRPr="00CE4B4F">
        <w:rPr>
          <w:rFonts w:eastAsia="Times New Roman" w:cs="Arial"/>
          <w:snapToGrid w:val="0"/>
          <w:sz w:val="22"/>
          <w:szCs w:val="22"/>
          <w:lang w:val="en-GB" w:eastAsia="en-AU"/>
        </w:rPr>
        <w:t xml:space="preserve"> </w:t>
      </w:r>
      <w:proofErr w:type="spellStart"/>
      <w:r w:rsidR="00F615D9" w:rsidRPr="00CE4B4F">
        <w:rPr>
          <w:rFonts w:eastAsia="Times New Roman" w:cs="Arial"/>
          <w:snapToGrid w:val="0"/>
          <w:sz w:val="22"/>
          <w:szCs w:val="22"/>
          <w:lang w:val="en-GB" w:eastAsia="en-AU"/>
        </w:rPr>
        <w:t>abeparvovec</w:t>
      </w:r>
      <w:proofErr w:type="spellEnd"/>
      <w:r w:rsidR="00F615D9" w:rsidRPr="00CE4B4F">
        <w:rPr>
          <w:rFonts w:eastAsia="Times New Roman" w:cs="Arial"/>
          <w:snapToGrid w:val="0"/>
          <w:sz w:val="22"/>
          <w:szCs w:val="22"/>
          <w:lang w:val="en-GB" w:eastAsia="en-AU"/>
        </w:rPr>
        <w:t xml:space="preserve"> has advantages over the ongoing intrathecal administration of </w:t>
      </w:r>
      <w:proofErr w:type="spellStart"/>
      <w:r w:rsidR="00F615D9" w:rsidRPr="00CE4B4F">
        <w:rPr>
          <w:rFonts w:eastAsia="Times New Roman" w:cs="Arial"/>
          <w:snapToGrid w:val="0"/>
          <w:sz w:val="22"/>
          <w:szCs w:val="22"/>
          <w:lang w:val="en-GB" w:eastAsia="en-AU"/>
        </w:rPr>
        <w:t>nusinersen</w:t>
      </w:r>
      <w:proofErr w:type="spellEnd"/>
      <w:r w:rsidR="00F615D9" w:rsidRPr="00CE4B4F">
        <w:rPr>
          <w:rFonts w:eastAsia="Times New Roman" w:cs="Arial"/>
          <w:snapToGrid w:val="0"/>
          <w:sz w:val="22"/>
          <w:szCs w:val="22"/>
          <w:lang w:val="en-GB" w:eastAsia="en-AU"/>
        </w:rPr>
        <w:t xml:space="preserve">.  </w:t>
      </w:r>
    </w:p>
    <w:p w14:paraId="4F4AE48F" w14:textId="409722AF" w:rsidR="002346A2" w:rsidRDefault="002346A2" w:rsidP="00CE4B4F">
      <w:pPr>
        <w:pStyle w:val="ListParagraph"/>
        <w:numPr>
          <w:ilvl w:val="0"/>
          <w:numId w:val="7"/>
        </w:numPr>
        <w:spacing w:after="120"/>
        <w:rPr>
          <w:rFonts w:eastAsia="Times New Roman" w:cs="Arial"/>
          <w:snapToGrid w:val="0"/>
          <w:sz w:val="22"/>
          <w:szCs w:val="22"/>
          <w:lang w:val="en-GB" w:eastAsia="en-AU"/>
        </w:rPr>
      </w:pPr>
      <w:r>
        <w:rPr>
          <w:rFonts w:eastAsia="Times New Roman" w:cs="Arial"/>
          <w:snapToGrid w:val="0"/>
          <w:sz w:val="22"/>
          <w:szCs w:val="22"/>
          <w:lang w:val="en-GB" w:eastAsia="en-AU"/>
        </w:rPr>
        <w:t>Clinicians and consumers considered that patient preferences should also be taken into account when selecting a treatment, with consumers emphasising the importance of having choices.</w:t>
      </w:r>
      <w:r w:rsidR="00E45751" w:rsidRPr="00E45751">
        <w:rPr>
          <w:rFonts w:eastAsia="Times New Roman" w:cs="Arial"/>
          <w:snapToGrid w:val="0"/>
          <w:sz w:val="22"/>
          <w:szCs w:val="22"/>
          <w:lang w:val="en-GB" w:eastAsia="en-AU"/>
        </w:rPr>
        <w:t xml:space="preserve"> </w:t>
      </w:r>
      <w:r w:rsidR="00E45751">
        <w:rPr>
          <w:rFonts w:eastAsia="Times New Roman" w:cs="Arial"/>
          <w:snapToGrid w:val="0"/>
          <w:sz w:val="22"/>
          <w:szCs w:val="22"/>
          <w:lang w:val="en-GB" w:eastAsia="en-AU"/>
        </w:rPr>
        <w:t>Contraindications also need to be taken into account.</w:t>
      </w:r>
      <w:r w:rsidR="00B905B1">
        <w:rPr>
          <w:rFonts w:eastAsia="Times New Roman" w:cs="Arial"/>
          <w:snapToGrid w:val="0"/>
          <w:sz w:val="22"/>
          <w:szCs w:val="22"/>
          <w:lang w:val="en-GB" w:eastAsia="en-AU"/>
        </w:rPr>
        <w:t xml:space="preserve"> For some families, </w:t>
      </w:r>
      <w:proofErr w:type="spellStart"/>
      <w:r w:rsidR="00B905B1">
        <w:rPr>
          <w:rFonts w:eastAsia="Times New Roman" w:cs="Arial"/>
          <w:snapToGrid w:val="0"/>
          <w:sz w:val="22"/>
          <w:szCs w:val="22"/>
          <w:lang w:val="en-GB" w:eastAsia="en-AU"/>
        </w:rPr>
        <w:t>onasemnogene</w:t>
      </w:r>
      <w:proofErr w:type="spellEnd"/>
      <w:r w:rsidR="00B905B1">
        <w:rPr>
          <w:rFonts w:eastAsia="Times New Roman" w:cs="Arial"/>
          <w:snapToGrid w:val="0"/>
          <w:sz w:val="22"/>
          <w:szCs w:val="22"/>
          <w:lang w:val="en-GB" w:eastAsia="en-AU"/>
        </w:rPr>
        <w:t xml:space="preserve"> was preferred on </w:t>
      </w:r>
      <w:r w:rsidR="007747DB">
        <w:rPr>
          <w:rFonts w:eastAsia="Times New Roman" w:cs="Arial"/>
          <w:snapToGrid w:val="0"/>
          <w:sz w:val="22"/>
          <w:szCs w:val="22"/>
          <w:lang w:val="en-GB" w:eastAsia="en-AU"/>
        </w:rPr>
        <w:t xml:space="preserve">the </w:t>
      </w:r>
      <w:r w:rsidR="00B905B1">
        <w:rPr>
          <w:rFonts w:eastAsia="Times New Roman" w:cs="Arial"/>
          <w:snapToGrid w:val="0"/>
          <w:sz w:val="22"/>
          <w:szCs w:val="22"/>
          <w:lang w:val="en-GB" w:eastAsia="en-AU"/>
        </w:rPr>
        <w:t xml:space="preserve">basis it is a single replacement treatment, whereas other families indicated a preference for </w:t>
      </w:r>
      <w:proofErr w:type="spellStart"/>
      <w:r w:rsidR="00B905B1">
        <w:rPr>
          <w:rFonts w:eastAsia="Times New Roman" w:cs="Arial"/>
          <w:snapToGrid w:val="0"/>
          <w:sz w:val="22"/>
          <w:szCs w:val="22"/>
          <w:lang w:val="en-GB" w:eastAsia="en-AU"/>
        </w:rPr>
        <w:t>risdiplam</w:t>
      </w:r>
      <w:proofErr w:type="spellEnd"/>
      <w:r w:rsidR="00B905B1">
        <w:rPr>
          <w:rFonts w:eastAsia="Times New Roman" w:cs="Arial"/>
          <w:snapToGrid w:val="0"/>
          <w:sz w:val="22"/>
          <w:szCs w:val="22"/>
          <w:lang w:val="en-GB" w:eastAsia="en-AU"/>
        </w:rPr>
        <w:t xml:space="preserve"> stating “it provides what my child needs on ongoing daily basis”.</w:t>
      </w:r>
    </w:p>
    <w:p w14:paraId="2DD02F02" w14:textId="38C3EC3E" w:rsidR="002346A2" w:rsidRDefault="002346A2" w:rsidP="00CE4B4F">
      <w:pPr>
        <w:pStyle w:val="ListParagraph"/>
        <w:numPr>
          <w:ilvl w:val="0"/>
          <w:numId w:val="7"/>
        </w:numPr>
        <w:spacing w:after="120"/>
        <w:rPr>
          <w:rFonts w:eastAsia="Times New Roman" w:cs="Arial"/>
          <w:snapToGrid w:val="0"/>
          <w:sz w:val="22"/>
          <w:szCs w:val="22"/>
          <w:lang w:val="en-GB" w:eastAsia="en-AU"/>
        </w:rPr>
      </w:pPr>
      <w:r>
        <w:rPr>
          <w:rFonts w:eastAsia="Times New Roman" w:cs="Arial"/>
          <w:snapToGrid w:val="0"/>
          <w:sz w:val="22"/>
          <w:szCs w:val="22"/>
          <w:lang w:val="en-GB" w:eastAsia="en-AU"/>
        </w:rPr>
        <w:t>C</w:t>
      </w:r>
      <w:r w:rsidRPr="003C11EE">
        <w:rPr>
          <w:rFonts w:eastAsia="Times New Roman" w:cs="Arial"/>
          <w:snapToGrid w:val="0"/>
          <w:sz w:val="22"/>
          <w:szCs w:val="22"/>
          <w:lang w:val="en-GB" w:eastAsia="en-AU"/>
        </w:rPr>
        <w:t>linicians considered that initiation of treatment as early as possible, ideally pre-symptomatically</w:t>
      </w:r>
      <w:r>
        <w:rPr>
          <w:rFonts w:eastAsia="Times New Roman" w:cs="Arial"/>
          <w:snapToGrid w:val="0"/>
          <w:sz w:val="22"/>
          <w:szCs w:val="22"/>
          <w:lang w:val="en-GB" w:eastAsia="en-AU"/>
        </w:rPr>
        <w:t>,</w:t>
      </w:r>
      <w:r w:rsidRPr="003C11EE">
        <w:rPr>
          <w:rFonts w:eastAsia="Times New Roman" w:cs="Arial"/>
          <w:snapToGrid w:val="0"/>
          <w:sz w:val="22"/>
          <w:szCs w:val="22"/>
          <w:lang w:val="en-GB" w:eastAsia="en-AU"/>
        </w:rPr>
        <w:t xml:space="preserve"> is a more important factor than which of the available treatments are selected.</w:t>
      </w:r>
    </w:p>
    <w:p w14:paraId="73E3A5F0" w14:textId="1829E678" w:rsidR="00C853BB" w:rsidRDefault="00C853BB" w:rsidP="00CE4B4F">
      <w:pPr>
        <w:pStyle w:val="ListParagraph"/>
        <w:numPr>
          <w:ilvl w:val="0"/>
          <w:numId w:val="10"/>
        </w:numPr>
        <w:spacing w:after="120"/>
        <w:rPr>
          <w:rFonts w:eastAsia="Times New Roman" w:cs="Arial"/>
          <w:snapToGrid w:val="0"/>
          <w:sz w:val="22"/>
          <w:szCs w:val="22"/>
          <w:lang w:val="en-GB" w:eastAsia="en-AU"/>
        </w:rPr>
      </w:pPr>
      <w:r>
        <w:rPr>
          <w:rFonts w:eastAsia="Times New Roman" w:cs="Arial"/>
          <w:snapToGrid w:val="0"/>
          <w:sz w:val="22"/>
          <w:szCs w:val="22"/>
          <w:lang w:val="en-GB" w:eastAsia="en-AU"/>
        </w:rPr>
        <w:t xml:space="preserve">Access to pre-symptomatic treatment relies on early diagnosis and </w:t>
      </w:r>
      <w:proofErr w:type="spellStart"/>
      <w:r>
        <w:rPr>
          <w:rFonts w:eastAsia="Times New Roman" w:cs="Arial"/>
          <w:snapToGrid w:val="0"/>
          <w:sz w:val="22"/>
          <w:szCs w:val="22"/>
          <w:lang w:val="en-GB" w:eastAsia="en-AU"/>
        </w:rPr>
        <w:t>newborn</w:t>
      </w:r>
      <w:proofErr w:type="spellEnd"/>
      <w:r>
        <w:rPr>
          <w:rFonts w:eastAsia="Times New Roman" w:cs="Arial"/>
          <w:snapToGrid w:val="0"/>
          <w:sz w:val="22"/>
          <w:szCs w:val="22"/>
          <w:lang w:val="en-GB" w:eastAsia="en-AU"/>
        </w:rPr>
        <w:t xml:space="preserve"> screening, access to which </w:t>
      </w:r>
      <w:r w:rsidR="00313107">
        <w:rPr>
          <w:rFonts w:eastAsia="Times New Roman" w:cs="Arial"/>
          <w:snapToGrid w:val="0"/>
          <w:sz w:val="22"/>
          <w:szCs w:val="22"/>
          <w:lang w:val="en-GB" w:eastAsia="en-AU"/>
        </w:rPr>
        <w:t>is</w:t>
      </w:r>
      <w:r>
        <w:rPr>
          <w:rFonts w:eastAsia="Times New Roman" w:cs="Arial"/>
          <w:snapToGrid w:val="0"/>
          <w:sz w:val="22"/>
          <w:szCs w:val="22"/>
          <w:lang w:val="en-GB" w:eastAsia="en-AU"/>
        </w:rPr>
        <w:t xml:space="preserve"> inconsistent</w:t>
      </w:r>
      <w:r w:rsidR="00675C61">
        <w:rPr>
          <w:rFonts w:eastAsia="Times New Roman" w:cs="Arial"/>
          <w:snapToGrid w:val="0"/>
          <w:sz w:val="22"/>
          <w:szCs w:val="22"/>
          <w:lang w:val="en-GB" w:eastAsia="en-AU"/>
        </w:rPr>
        <w:t xml:space="preserve"> between s</w:t>
      </w:r>
      <w:r>
        <w:rPr>
          <w:rFonts w:eastAsia="Times New Roman" w:cs="Arial"/>
          <w:snapToGrid w:val="0"/>
          <w:sz w:val="22"/>
          <w:szCs w:val="22"/>
          <w:lang w:val="en-GB" w:eastAsia="en-AU"/>
        </w:rPr>
        <w:t xml:space="preserve">tates and </w:t>
      </w:r>
      <w:r w:rsidR="00675C61">
        <w:rPr>
          <w:rFonts w:eastAsia="Times New Roman" w:cs="Arial"/>
          <w:snapToGrid w:val="0"/>
          <w:sz w:val="22"/>
          <w:szCs w:val="22"/>
          <w:lang w:val="en-GB" w:eastAsia="en-AU"/>
        </w:rPr>
        <w:t>t</w:t>
      </w:r>
      <w:r>
        <w:rPr>
          <w:rFonts w:eastAsia="Times New Roman" w:cs="Arial"/>
          <w:snapToGrid w:val="0"/>
          <w:sz w:val="22"/>
          <w:szCs w:val="22"/>
          <w:lang w:val="en-GB" w:eastAsia="en-AU"/>
        </w:rPr>
        <w:t xml:space="preserve">erritories. </w:t>
      </w:r>
      <w:r w:rsidR="00E45751">
        <w:rPr>
          <w:rFonts w:eastAsia="Times New Roman" w:cs="Arial"/>
          <w:snapToGrid w:val="0"/>
          <w:sz w:val="22"/>
          <w:szCs w:val="22"/>
          <w:lang w:val="en-GB" w:eastAsia="en-AU"/>
        </w:rPr>
        <w:t xml:space="preserve">Consumers </w:t>
      </w:r>
      <w:r w:rsidR="00B905B1">
        <w:rPr>
          <w:rFonts w:eastAsia="Times New Roman" w:cs="Arial"/>
          <w:snapToGrid w:val="0"/>
          <w:sz w:val="22"/>
          <w:szCs w:val="22"/>
          <w:lang w:val="en-GB" w:eastAsia="en-AU"/>
        </w:rPr>
        <w:t xml:space="preserve">and clinicians </w:t>
      </w:r>
      <w:r w:rsidR="00E45751">
        <w:rPr>
          <w:rFonts w:eastAsia="Times New Roman" w:cs="Arial"/>
          <w:snapToGrid w:val="0"/>
          <w:sz w:val="22"/>
          <w:szCs w:val="22"/>
          <w:lang w:val="en-GB" w:eastAsia="en-AU"/>
        </w:rPr>
        <w:t xml:space="preserve">expressed frustration that there is no standard pathway for diagnosis across </w:t>
      </w:r>
      <w:r w:rsidR="00675C61">
        <w:rPr>
          <w:rFonts w:eastAsia="Times New Roman" w:cs="Arial"/>
          <w:snapToGrid w:val="0"/>
          <w:sz w:val="22"/>
          <w:szCs w:val="22"/>
          <w:lang w:val="en-GB" w:eastAsia="en-AU"/>
        </w:rPr>
        <w:t>Australia</w:t>
      </w:r>
      <w:r w:rsidR="00E45751">
        <w:rPr>
          <w:rFonts w:eastAsia="Times New Roman" w:cs="Arial"/>
          <w:snapToGrid w:val="0"/>
          <w:sz w:val="22"/>
          <w:szCs w:val="22"/>
          <w:lang w:val="en-GB" w:eastAsia="en-AU"/>
        </w:rPr>
        <w:t>.</w:t>
      </w:r>
    </w:p>
    <w:p w14:paraId="2F48654B" w14:textId="504F5FED" w:rsidR="002346A2" w:rsidRPr="00CE4B4F" w:rsidRDefault="00B51512" w:rsidP="00CE4B4F">
      <w:pPr>
        <w:pStyle w:val="ListParagraph"/>
        <w:numPr>
          <w:ilvl w:val="0"/>
          <w:numId w:val="10"/>
        </w:numPr>
        <w:spacing w:after="120"/>
        <w:rPr>
          <w:rFonts w:eastAsia="Times New Roman" w:cs="Arial"/>
          <w:snapToGrid w:val="0"/>
          <w:sz w:val="22"/>
          <w:szCs w:val="22"/>
          <w:lang w:val="en-GB" w:eastAsia="en-AU"/>
        </w:rPr>
      </w:pPr>
      <w:r w:rsidRPr="00CE4B4F">
        <w:rPr>
          <w:rFonts w:eastAsia="Times New Roman" w:cs="Arial"/>
          <w:snapToGrid w:val="0"/>
          <w:sz w:val="22"/>
          <w:szCs w:val="22"/>
          <w:lang w:val="en-GB" w:eastAsia="en-AU"/>
        </w:rPr>
        <w:t>Clin</w:t>
      </w:r>
      <w:r w:rsidR="00624AF4" w:rsidRPr="00CE4B4F">
        <w:rPr>
          <w:rFonts w:eastAsia="Times New Roman" w:cs="Arial"/>
          <w:snapToGrid w:val="0"/>
          <w:sz w:val="22"/>
          <w:szCs w:val="22"/>
          <w:lang w:val="en-GB" w:eastAsia="en-AU"/>
        </w:rPr>
        <w:t>i</w:t>
      </w:r>
      <w:r w:rsidRPr="00CE4B4F">
        <w:rPr>
          <w:rFonts w:eastAsia="Times New Roman" w:cs="Arial"/>
          <w:snapToGrid w:val="0"/>
          <w:sz w:val="22"/>
          <w:szCs w:val="22"/>
          <w:lang w:val="en-GB" w:eastAsia="en-AU"/>
        </w:rPr>
        <w:t xml:space="preserve">cians </w:t>
      </w:r>
      <w:r w:rsidR="009E277F" w:rsidRPr="00CE4B4F">
        <w:rPr>
          <w:rFonts w:eastAsia="Times New Roman" w:cs="Arial"/>
          <w:snapToGrid w:val="0"/>
          <w:sz w:val="22"/>
          <w:szCs w:val="22"/>
          <w:lang w:val="en-GB" w:eastAsia="en-AU"/>
        </w:rPr>
        <w:t xml:space="preserve">stated that </w:t>
      </w:r>
      <w:r w:rsidRPr="00CE4B4F">
        <w:rPr>
          <w:rFonts w:eastAsia="Times New Roman" w:cs="Arial"/>
          <w:snapToGrid w:val="0"/>
          <w:sz w:val="22"/>
          <w:szCs w:val="22"/>
          <w:lang w:val="en-GB" w:eastAsia="en-AU"/>
        </w:rPr>
        <w:t xml:space="preserve">in considering which treatment to use, a whole of health approach is necessary, including consideration of </w:t>
      </w:r>
      <w:r w:rsidR="00675C61">
        <w:rPr>
          <w:rFonts w:eastAsia="Times New Roman" w:cs="Arial"/>
          <w:snapToGrid w:val="0"/>
          <w:sz w:val="22"/>
          <w:szCs w:val="22"/>
          <w:lang w:val="en-GB" w:eastAsia="en-AU"/>
        </w:rPr>
        <w:t xml:space="preserve">the </w:t>
      </w:r>
      <w:r w:rsidRPr="00CE4B4F">
        <w:rPr>
          <w:rFonts w:eastAsia="Times New Roman" w:cs="Arial"/>
          <w:snapToGrid w:val="0"/>
          <w:sz w:val="22"/>
          <w:szCs w:val="22"/>
          <w:lang w:val="en-GB" w:eastAsia="en-AU"/>
        </w:rPr>
        <w:t xml:space="preserve">availability of </w:t>
      </w:r>
      <w:proofErr w:type="spellStart"/>
      <w:r w:rsidRPr="00CE4B4F">
        <w:rPr>
          <w:rFonts w:eastAsia="Times New Roman" w:cs="Arial"/>
          <w:snapToGrid w:val="0"/>
          <w:sz w:val="22"/>
          <w:szCs w:val="22"/>
          <w:lang w:val="en-GB" w:eastAsia="en-AU"/>
        </w:rPr>
        <w:t>newborn</w:t>
      </w:r>
      <w:proofErr w:type="spellEnd"/>
      <w:r w:rsidRPr="00CE4B4F">
        <w:rPr>
          <w:rFonts w:eastAsia="Times New Roman" w:cs="Arial"/>
          <w:snapToGrid w:val="0"/>
          <w:sz w:val="22"/>
          <w:szCs w:val="22"/>
          <w:lang w:val="en-GB" w:eastAsia="en-AU"/>
        </w:rPr>
        <w:t xml:space="preserve"> screening, family preferences and access to services and diagnosis. </w:t>
      </w:r>
    </w:p>
    <w:p w14:paraId="572CE23D" w14:textId="7752E46A" w:rsidR="004818AE" w:rsidRPr="00CE4B4F" w:rsidRDefault="00624AF4" w:rsidP="00CE4B4F">
      <w:pPr>
        <w:pStyle w:val="ListParagraph"/>
        <w:numPr>
          <w:ilvl w:val="0"/>
          <w:numId w:val="8"/>
        </w:numPr>
        <w:spacing w:after="120"/>
        <w:rPr>
          <w:rFonts w:eastAsia="Times New Roman" w:cs="Arial"/>
          <w:snapToGrid w:val="0"/>
          <w:sz w:val="22"/>
          <w:szCs w:val="22"/>
          <w:lang w:val="en-GB" w:eastAsia="en-AU"/>
        </w:rPr>
      </w:pPr>
      <w:r w:rsidRPr="00CE4B4F">
        <w:rPr>
          <w:rFonts w:eastAsia="Times New Roman" w:cs="Arial"/>
          <w:snapToGrid w:val="0"/>
          <w:sz w:val="22"/>
          <w:szCs w:val="22"/>
          <w:lang w:val="en-GB" w:eastAsia="en-AU"/>
        </w:rPr>
        <w:t xml:space="preserve">Overall, </w:t>
      </w:r>
      <w:r w:rsidR="00313107">
        <w:rPr>
          <w:rFonts w:eastAsia="Times New Roman" w:cs="Arial"/>
          <w:snapToGrid w:val="0"/>
          <w:sz w:val="22"/>
          <w:szCs w:val="22"/>
          <w:lang w:val="en-GB" w:eastAsia="en-AU"/>
        </w:rPr>
        <w:t>consumer</w:t>
      </w:r>
      <w:r w:rsidR="00313107" w:rsidRPr="00CE4B4F">
        <w:rPr>
          <w:rFonts w:eastAsia="Times New Roman" w:cs="Arial"/>
          <w:snapToGrid w:val="0"/>
          <w:sz w:val="22"/>
          <w:szCs w:val="22"/>
          <w:lang w:val="en-GB" w:eastAsia="en-AU"/>
        </w:rPr>
        <w:t xml:space="preserve">s </w:t>
      </w:r>
      <w:r w:rsidRPr="00CE4B4F">
        <w:rPr>
          <w:rFonts w:eastAsia="Times New Roman" w:cs="Arial"/>
          <w:snapToGrid w:val="0"/>
          <w:sz w:val="22"/>
          <w:szCs w:val="22"/>
          <w:lang w:val="en-GB" w:eastAsia="en-AU"/>
        </w:rPr>
        <w:t xml:space="preserve">and clinicians agreed that rather than accessing treatments in a cascade, </w:t>
      </w:r>
      <w:r w:rsidR="00313107">
        <w:rPr>
          <w:rFonts w:eastAsia="Times New Roman" w:cs="Arial"/>
          <w:snapToGrid w:val="0"/>
          <w:sz w:val="22"/>
          <w:szCs w:val="22"/>
          <w:lang w:val="en-GB" w:eastAsia="en-AU"/>
        </w:rPr>
        <w:t>it would be preferable</w:t>
      </w:r>
      <w:r w:rsidRPr="00CE4B4F">
        <w:rPr>
          <w:rFonts w:eastAsia="Times New Roman" w:cs="Arial"/>
          <w:snapToGrid w:val="0"/>
          <w:sz w:val="22"/>
          <w:szCs w:val="22"/>
          <w:lang w:val="en-GB" w:eastAsia="en-AU"/>
        </w:rPr>
        <w:t xml:space="preserve"> to have early access to all treatments and the ability to choose the most suitable treatment based on individual preferences and circumstances.</w:t>
      </w:r>
      <w:r w:rsidR="004818AE" w:rsidRPr="00CE4B4F">
        <w:rPr>
          <w:rFonts w:eastAsia="Times New Roman" w:cs="Arial"/>
          <w:snapToGrid w:val="0"/>
          <w:sz w:val="22"/>
          <w:szCs w:val="22"/>
          <w:lang w:val="en-GB" w:eastAsia="en-AU"/>
        </w:rPr>
        <w:t xml:space="preserve"> </w:t>
      </w:r>
    </w:p>
    <w:p w14:paraId="36B2F34B" w14:textId="5BB081E5" w:rsidR="00624AF4" w:rsidRPr="00E12921" w:rsidRDefault="00624AF4" w:rsidP="004430F7">
      <w:pPr>
        <w:spacing w:after="120"/>
        <w:rPr>
          <w:rFonts w:eastAsia="Times New Roman" w:cs="Arial"/>
          <w:snapToGrid w:val="0"/>
          <w:sz w:val="22"/>
          <w:szCs w:val="22"/>
          <w:u w:val="single"/>
          <w:lang w:val="en-GB" w:eastAsia="en-AU"/>
        </w:rPr>
      </w:pPr>
      <w:r w:rsidRPr="00E12921">
        <w:rPr>
          <w:rFonts w:eastAsia="Times New Roman" w:cs="Arial"/>
          <w:snapToGrid w:val="0"/>
          <w:sz w:val="22"/>
          <w:szCs w:val="22"/>
          <w:u w:val="single"/>
          <w:lang w:val="en-GB" w:eastAsia="en-AU"/>
        </w:rPr>
        <w:t>Treatment failure</w:t>
      </w:r>
    </w:p>
    <w:p w14:paraId="02DC0B14" w14:textId="77777777" w:rsidR="00C853BB" w:rsidRDefault="00624AF4" w:rsidP="004430F7">
      <w:pPr>
        <w:spacing w:after="120"/>
        <w:rPr>
          <w:rFonts w:eastAsia="Times New Roman" w:cs="Arial"/>
          <w:snapToGrid w:val="0"/>
          <w:sz w:val="22"/>
          <w:szCs w:val="22"/>
          <w:lang w:val="en-GB" w:eastAsia="en-AU"/>
        </w:rPr>
      </w:pPr>
      <w:r>
        <w:rPr>
          <w:rFonts w:eastAsia="Times New Roman" w:cs="Arial"/>
          <w:snapToGrid w:val="0"/>
          <w:sz w:val="22"/>
          <w:szCs w:val="22"/>
          <w:lang w:val="en-GB" w:eastAsia="en-AU"/>
        </w:rPr>
        <w:t>The PBAC chair requested advice regarding the approach to treatment following deterioration in the patient’s condition, or</w:t>
      </w:r>
      <w:r w:rsidR="003B0A9C">
        <w:rPr>
          <w:rFonts w:eastAsia="Times New Roman" w:cs="Arial"/>
          <w:snapToGrid w:val="0"/>
          <w:sz w:val="22"/>
          <w:szCs w:val="22"/>
          <w:lang w:val="en-GB" w:eastAsia="en-AU"/>
        </w:rPr>
        <w:t xml:space="preserve"> clear</w:t>
      </w:r>
      <w:r>
        <w:rPr>
          <w:rFonts w:eastAsia="Times New Roman" w:cs="Arial"/>
          <w:snapToGrid w:val="0"/>
          <w:sz w:val="22"/>
          <w:szCs w:val="22"/>
          <w:lang w:val="en-GB" w:eastAsia="en-AU"/>
        </w:rPr>
        <w:t xml:space="preserve"> failure to </w:t>
      </w:r>
      <w:r w:rsidR="003B0A9C">
        <w:rPr>
          <w:rFonts w:eastAsia="Times New Roman" w:cs="Arial"/>
          <w:snapToGrid w:val="0"/>
          <w:sz w:val="22"/>
          <w:szCs w:val="22"/>
          <w:lang w:val="en-GB" w:eastAsia="en-AU"/>
        </w:rPr>
        <w:t xml:space="preserve">respond to treatment. </w:t>
      </w:r>
    </w:p>
    <w:p w14:paraId="00FECFBD" w14:textId="5AA4643C" w:rsidR="00CD30FA" w:rsidRPr="00CE4B4F" w:rsidRDefault="00CD30FA" w:rsidP="00CE4B4F">
      <w:pPr>
        <w:pStyle w:val="ListParagraph"/>
        <w:numPr>
          <w:ilvl w:val="0"/>
          <w:numId w:val="13"/>
        </w:numPr>
        <w:spacing w:after="120"/>
        <w:rPr>
          <w:rFonts w:eastAsia="Times New Roman" w:cs="Arial"/>
          <w:snapToGrid w:val="0"/>
          <w:sz w:val="22"/>
          <w:szCs w:val="22"/>
          <w:lang w:val="en-GB" w:eastAsia="en-AU"/>
        </w:rPr>
      </w:pPr>
      <w:r w:rsidRPr="00CE4B4F">
        <w:rPr>
          <w:rFonts w:eastAsia="Times New Roman" w:cs="Arial"/>
          <w:snapToGrid w:val="0"/>
          <w:sz w:val="22"/>
          <w:szCs w:val="22"/>
          <w:lang w:val="en-GB" w:eastAsia="en-AU"/>
        </w:rPr>
        <w:t xml:space="preserve">Clinicians considered that while patients are continuing to make progress (e.g. in motor milestones, feeding, respiratory function), even where delayed, this should not be considered treatment failure. </w:t>
      </w:r>
    </w:p>
    <w:p w14:paraId="4A89745D" w14:textId="531905A5" w:rsidR="00313107" w:rsidRDefault="003B0A9C" w:rsidP="00B43052">
      <w:pPr>
        <w:pStyle w:val="ListParagraph"/>
        <w:numPr>
          <w:ilvl w:val="0"/>
          <w:numId w:val="15"/>
        </w:numPr>
        <w:ind w:left="709" w:hanging="283"/>
        <w:rPr>
          <w:rFonts w:eastAsia="Times New Roman" w:cs="Arial"/>
          <w:snapToGrid w:val="0"/>
          <w:sz w:val="22"/>
          <w:szCs w:val="22"/>
          <w:lang w:val="en-GB" w:eastAsia="en-AU"/>
        </w:rPr>
      </w:pPr>
      <w:r w:rsidRPr="00CE4B4F">
        <w:rPr>
          <w:rFonts w:eastAsia="Times New Roman" w:cs="Arial"/>
          <w:snapToGrid w:val="0"/>
          <w:sz w:val="22"/>
          <w:szCs w:val="22"/>
          <w:lang w:val="en-GB" w:eastAsia="en-AU"/>
        </w:rPr>
        <w:t xml:space="preserve">Clinicians noted that pre-symptomatic treatment of patients means that treatment failure is difficult to distinguish as patients may be responding to treatment </w:t>
      </w:r>
      <w:r w:rsidR="00313107">
        <w:rPr>
          <w:rFonts w:eastAsia="Times New Roman" w:cs="Arial"/>
          <w:snapToGrid w:val="0"/>
          <w:sz w:val="22"/>
          <w:szCs w:val="22"/>
          <w:lang w:val="en-GB" w:eastAsia="en-AU"/>
        </w:rPr>
        <w:t xml:space="preserve">despite </w:t>
      </w:r>
      <w:r w:rsidRPr="00CE4B4F">
        <w:rPr>
          <w:rFonts w:eastAsia="Times New Roman" w:cs="Arial"/>
          <w:snapToGrid w:val="0"/>
          <w:sz w:val="22"/>
          <w:szCs w:val="22"/>
          <w:lang w:val="en-GB" w:eastAsia="en-AU"/>
        </w:rPr>
        <w:t xml:space="preserve">motor milestones </w:t>
      </w:r>
      <w:r w:rsidR="00313107">
        <w:rPr>
          <w:rFonts w:eastAsia="Times New Roman" w:cs="Arial"/>
          <w:snapToGrid w:val="0"/>
          <w:sz w:val="22"/>
          <w:szCs w:val="22"/>
          <w:lang w:val="en-GB" w:eastAsia="en-AU"/>
        </w:rPr>
        <w:t xml:space="preserve">not being achieved at </w:t>
      </w:r>
      <w:r w:rsidR="0023551D" w:rsidRPr="00CE4B4F">
        <w:rPr>
          <w:rFonts w:eastAsia="Times New Roman" w:cs="Arial"/>
          <w:snapToGrid w:val="0"/>
          <w:sz w:val="22"/>
          <w:szCs w:val="22"/>
          <w:lang w:val="en-GB" w:eastAsia="en-AU"/>
        </w:rPr>
        <w:t xml:space="preserve">what would be considered </w:t>
      </w:r>
      <w:r w:rsidRPr="00CE4B4F">
        <w:rPr>
          <w:rFonts w:eastAsia="Times New Roman" w:cs="Arial"/>
          <w:snapToGrid w:val="0"/>
          <w:sz w:val="22"/>
          <w:szCs w:val="22"/>
          <w:lang w:val="en-GB" w:eastAsia="en-AU"/>
        </w:rPr>
        <w:t xml:space="preserve">a normal timeline. </w:t>
      </w:r>
      <w:r w:rsidRPr="005F7640">
        <w:rPr>
          <w:rFonts w:eastAsia="Times New Roman" w:cs="Arial"/>
          <w:snapToGrid w:val="0"/>
          <w:sz w:val="22"/>
          <w:szCs w:val="22"/>
          <w:lang w:val="en-GB" w:eastAsia="en-AU"/>
        </w:rPr>
        <w:t xml:space="preserve">Clinicians considered that </w:t>
      </w:r>
      <w:r w:rsidR="00B43052">
        <w:rPr>
          <w:rFonts w:eastAsia="Times New Roman" w:cs="Arial"/>
          <w:snapToGrid w:val="0"/>
          <w:sz w:val="22"/>
          <w:szCs w:val="22"/>
          <w:lang w:val="en-GB" w:eastAsia="en-AU"/>
        </w:rPr>
        <w:t xml:space="preserve">only regression in milestones should </w:t>
      </w:r>
      <w:r w:rsidR="00CD30FA">
        <w:rPr>
          <w:rFonts w:eastAsia="Times New Roman" w:cs="Arial"/>
          <w:snapToGrid w:val="0"/>
          <w:sz w:val="22"/>
          <w:szCs w:val="22"/>
          <w:lang w:val="en-GB" w:eastAsia="en-AU"/>
        </w:rPr>
        <w:t xml:space="preserve">be considered treatment failure. </w:t>
      </w:r>
    </w:p>
    <w:p w14:paraId="01A92DFE" w14:textId="3912F67F" w:rsidR="00E65A68" w:rsidRPr="00CE4B4F" w:rsidRDefault="00E65A68" w:rsidP="00CE4B4F">
      <w:pPr>
        <w:pStyle w:val="ListParagraph"/>
        <w:numPr>
          <w:ilvl w:val="0"/>
          <w:numId w:val="15"/>
        </w:numPr>
        <w:ind w:left="709" w:hanging="283"/>
        <w:rPr>
          <w:snapToGrid w:val="0"/>
          <w:sz w:val="22"/>
          <w:szCs w:val="22"/>
          <w:lang w:val="en-GB" w:eastAsia="en-AU"/>
        </w:rPr>
      </w:pPr>
      <w:r w:rsidRPr="00CE4B4F">
        <w:rPr>
          <w:snapToGrid w:val="0"/>
          <w:sz w:val="22"/>
          <w:szCs w:val="22"/>
          <w:lang w:val="en-GB" w:eastAsia="en-AU"/>
        </w:rPr>
        <w:t xml:space="preserve">Clinicians reported that patients may sometimes require </w:t>
      </w:r>
      <w:r w:rsidR="00744E1C">
        <w:rPr>
          <w:snapToGrid w:val="0"/>
          <w:sz w:val="22"/>
          <w:szCs w:val="22"/>
          <w:lang w:val="en-GB" w:eastAsia="en-AU"/>
        </w:rPr>
        <w:t xml:space="preserve">temporary </w:t>
      </w:r>
      <w:r w:rsidRPr="00CE4B4F">
        <w:rPr>
          <w:snapToGrid w:val="0"/>
          <w:sz w:val="22"/>
          <w:szCs w:val="22"/>
          <w:lang w:val="en-GB" w:eastAsia="en-AU"/>
        </w:rPr>
        <w:t xml:space="preserve">ventilation for an extended time following viral illness, but that this should not be considered a treatment failure.  </w:t>
      </w:r>
    </w:p>
    <w:p w14:paraId="4166EEEB" w14:textId="1514D0B0" w:rsidR="00CD30FA" w:rsidRPr="00CE4B4F" w:rsidRDefault="00CD30FA" w:rsidP="00CE4B4F">
      <w:pPr>
        <w:pStyle w:val="ListParagraph"/>
        <w:numPr>
          <w:ilvl w:val="0"/>
          <w:numId w:val="15"/>
        </w:numPr>
        <w:ind w:left="709" w:hanging="283"/>
        <w:rPr>
          <w:rFonts w:eastAsia="Times New Roman" w:cs="Arial"/>
          <w:snapToGrid w:val="0"/>
          <w:sz w:val="22"/>
          <w:szCs w:val="22"/>
          <w:lang w:val="en-GB" w:eastAsia="en-AU"/>
        </w:rPr>
      </w:pPr>
      <w:r w:rsidRPr="00CE4B4F">
        <w:rPr>
          <w:rFonts w:eastAsia="Times New Roman" w:cs="Arial"/>
          <w:snapToGrid w:val="0"/>
          <w:sz w:val="22"/>
          <w:szCs w:val="22"/>
          <w:lang w:val="en-GB" w:eastAsia="en-AU"/>
        </w:rPr>
        <w:t>In the event of treatment failure, c</w:t>
      </w:r>
      <w:r w:rsidR="00C853BB" w:rsidRPr="00CE4B4F">
        <w:rPr>
          <w:rFonts w:eastAsia="Times New Roman" w:cs="Arial"/>
          <w:snapToGrid w:val="0"/>
          <w:sz w:val="22"/>
          <w:szCs w:val="22"/>
          <w:lang w:val="en-GB" w:eastAsia="en-AU"/>
        </w:rPr>
        <w:t xml:space="preserve">onsumers </w:t>
      </w:r>
      <w:r w:rsidRPr="00CE4B4F">
        <w:rPr>
          <w:rFonts w:eastAsia="Times New Roman" w:cs="Arial"/>
          <w:snapToGrid w:val="0"/>
          <w:sz w:val="22"/>
          <w:szCs w:val="22"/>
          <w:lang w:val="en-GB" w:eastAsia="en-AU"/>
        </w:rPr>
        <w:t xml:space="preserve">expressed a preference </w:t>
      </w:r>
      <w:r w:rsidR="00E45751" w:rsidRPr="00CE4B4F">
        <w:rPr>
          <w:rFonts w:eastAsia="Times New Roman" w:cs="Arial"/>
          <w:snapToGrid w:val="0"/>
          <w:sz w:val="22"/>
          <w:szCs w:val="22"/>
          <w:lang w:val="en-GB" w:eastAsia="en-AU"/>
        </w:rPr>
        <w:t xml:space="preserve">to have the option of adding </w:t>
      </w:r>
      <w:r w:rsidR="003B0A9C" w:rsidRPr="00CE4B4F">
        <w:rPr>
          <w:rFonts w:eastAsia="Times New Roman" w:cs="Arial"/>
          <w:snapToGrid w:val="0"/>
          <w:sz w:val="22"/>
          <w:szCs w:val="22"/>
          <w:lang w:val="en-GB" w:eastAsia="en-AU"/>
        </w:rPr>
        <w:t>a</w:t>
      </w:r>
      <w:r w:rsidR="00E45751" w:rsidRPr="00CE4B4F">
        <w:rPr>
          <w:rFonts w:eastAsia="Times New Roman" w:cs="Arial"/>
          <w:snapToGrid w:val="0"/>
          <w:sz w:val="22"/>
          <w:szCs w:val="22"/>
          <w:lang w:val="en-GB" w:eastAsia="en-AU"/>
        </w:rPr>
        <w:t xml:space="preserve"> second</w:t>
      </w:r>
      <w:r w:rsidR="003B0A9C" w:rsidRPr="00CE4B4F">
        <w:rPr>
          <w:rFonts w:eastAsia="Times New Roman" w:cs="Arial"/>
          <w:snapToGrid w:val="0"/>
          <w:sz w:val="22"/>
          <w:szCs w:val="22"/>
          <w:lang w:val="en-GB" w:eastAsia="en-AU"/>
        </w:rPr>
        <w:t xml:space="preserve"> treatment, but noted that </w:t>
      </w:r>
      <w:r w:rsidR="005F7640" w:rsidRPr="00CE4B4F">
        <w:rPr>
          <w:rFonts w:eastAsia="Times New Roman" w:cs="Arial"/>
          <w:snapToGrid w:val="0"/>
          <w:sz w:val="22"/>
          <w:szCs w:val="22"/>
          <w:lang w:val="en-GB" w:eastAsia="en-AU"/>
        </w:rPr>
        <w:t>decision</w:t>
      </w:r>
      <w:r w:rsidR="003B0A9C" w:rsidRPr="00CE4B4F">
        <w:rPr>
          <w:rFonts w:eastAsia="Times New Roman" w:cs="Arial"/>
          <w:snapToGrid w:val="0"/>
          <w:sz w:val="22"/>
          <w:szCs w:val="22"/>
          <w:lang w:val="en-GB" w:eastAsia="en-AU"/>
        </w:rPr>
        <w:t xml:space="preserve"> would need to be based on evidence. </w:t>
      </w:r>
    </w:p>
    <w:p w14:paraId="1D741BAA" w14:textId="27874A65" w:rsidR="00624AF4" w:rsidRDefault="003B0A9C" w:rsidP="00CE4B4F">
      <w:pPr>
        <w:pStyle w:val="ListParagraph"/>
        <w:numPr>
          <w:ilvl w:val="0"/>
          <w:numId w:val="15"/>
        </w:numPr>
        <w:ind w:left="709" w:hanging="283"/>
        <w:rPr>
          <w:rFonts w:eastAsia="Times New Roman" w:cs="Arial"/>
          <w:snapToGrid w:val="0"/>
          <w:sz w:val="22"/>
          <w:szCs w:val="22"/>
          <w:lang w:val="en-GB" w:eastAsia="en-AU"/>
        </w:rPr>
      </w:pPr>
      <w:r>
        <w:rPr>
          <w:rFonts w:eastAsia="Times New Roman" w:cs="Arial"/>
          <w:snapToGrid w:val="0"/>
          <w:sz w:val="22"/>
          <w:szCs w:val="22"/>
          <w:lang w:val="en-GB" w:eastAsia="en-AU"/>
        </w:rPr>
        <w:t>Clin</w:t>
      </w:r>
      <w:r w:rsidR="005F7640">
        <w:rPr>
          <w:rFonts w:eastAsia="Times New Roman" w:cs="Arial"/>
          <w:snapToGrid w:val="0"/>
          <w:sz w:val="22"/>
          <w:szCs w:val="22"/>
          <w:lang w:val="en-GB" w:eastAsia="en-AU"/>
        </w:rPr>
        <w:t>i</w:t>
      </w:r>
      <w:r>
        <w:rPr>
          <w:rFonts w:eastAsia="Times New Roman" w:cs="Arial"/>
          <w:snapToGrid w:val="0"/>
          <w:sz w:val="22"/>
          <w:szCs w:val="22"/>
          <w:lang w:val="en-GB" w:eastAsia="en-AU"/>
        </w:rPr>
        <w:t>cians noted that there is no evidence that</w:t>
      </w:r>
      <w:r w:rsidR="00CD30FA">
        <w:rPr>
          <w:rFonts w:eastAsia="Times New Roman" w:cs="Arial"/>
          <w:snapToGrid w:val="0"/>
          <w:sz w:val="22"/>
          <w:szCs w:val="22"/>
          <w:lang w:val="en-GB" w:eastAsia="en-AU"/>
        </w:rPr>
        <w:t xml:space="preserve"> </w:t>
      </w:r>
      <w:r w:rsidR="00E45751">
        <w:rPr>
          <w:rFonts w:eastAsia="Times New Roman" w:cs="Arial"/>
          <w:snapToGrid w:val="0"/>
          <w:sz w:val="22"/>
          <w:szCs w:val="22"/>
          <w:lang w:val="en-GB" w:eastAsia="en-AU"/>
        </w:rPr>
        <w:t>concomitant therapy</w:t>
      </w:r>
      <w:r>
        <w:rPr>
          <w:rFonts w:eastAsia="Times New Roman" w:cs="Arial"/>
          <w:snapToGrid w:val="0"/>
          <w:sz w:val="22"/>
          <w:szCs w:val="22"/>
          <w:lang w:val="en-GB" w:eastAsia="en-AU"/>
        </w:rPr>
        <w:t xml:space="preserve"> </w:t>
      </w:r>
      <w:r w:rsidR="00CD30FA">
        <w:rPr>
          <w:rFonts w:eastAsia="Times New Roman" w:cs="Arial"/>
          <w:snapToGrid w:val="0"/>
          <w:sz w:val="22"/>
          <w:szCs w:val="22"/>
          <w:lang w:val="en-GB" w:eastAsia="en-AU"/>
        </w:rPr>
        <w:t xml:space="preserve">(whether in sequence or </w:t>
      </w:r>
      <w:r w:rsidR="00E45751">
        <w:rPr>
          <w:rFonts w:eastAsia="Times New Roman" w:cs="Arial"/>
          <w:snapToGrid w:val="0"/>
          <w:sz w:val="22"/>
          <w:szCs w:val="22"/>
          <w:lang w:val="en-GB" w:eastAsia="en-AU"/>
        </w:rPr>
        <w:t xml:space="preserve">in </w:t>
      </w:r>
      <w:r w:rsidR="00CD30FA">
        <w:rPr>
          <w:rFonts w:eastAsia="Times New Roman" w:cs="Arial"/>
          <w:snapToGrid w:val="0"/>
          <w:sz w:val="22"/>
          <w:szCs w:val="22"/>
          <w:lang w:val="en-GB" w:eastAsia="en-AU"/>
        </w:rPr>
        <w:t>combin</w:t>
      </w:r>
      <w:r w:rsidR="00E45751">
        <w:rPr>
          <w:rFonts w:eastAsia="Times New Roman" w:cs="Arial"/>
          <w:snapToGrid w:val="0"/>
          <w:sz w:val="22"/>
          <w:szCs w:val="22"/>
          <w:lang w:val="en-GB" w:eastAsia="en-AU"/>
        </w:rPr>
        <w:t>ation</w:t>
      </w:r>
      <w:r w:rsidR="00CD30FA">
        <w:rPr>
          <w:rFonts w:eastAsia="Times New Roman" w:cs="Arial"/>
          <w:snapToGrid w:val="0"/>
          <w:sz w:val="22"/>
          <w:szCs w:val="22"/>
          <w:lang w:val="en-GB" w:eastAsia="en-AU"/>
        </w:rPr>
        <w:t xml:space="preserve">) </w:t>
      </w:r>
      <w:r>
        <w:rPr>
          <w:rFonts w:eastAsia="Times New Roman" w:cs="Arial"/>
          <w:snapToGrid w:val="0"/>
          <w:sz w:val="22"/>
          <w:szCs w:val="22"/>
          <w:lang w:val="en-GB" w:eastAsia="en-AU"/>
        </w:rPr>
        <w:t>is associated with additional benefit</w:t>
      </w:r>
      <w:r w:rsidR="00E45751">
        <w:rPr>
          <w:rFonts w:eastAsia="Times New Roman" w:cs="Arial"/>
          <w:snapToGrid w:val="0"/>
          <w:sz w:val="22"/>
          <w:szCs w:val="22"/>
          <w:lang w:val="en-GB" w:eastAsia="en-AU"/>
        </w:rPr>
        <w:t xml:space="preserve">s, </w:t>
      </w:r>
      <w:r w:rsidR="00B905B1">
        <w:rPr>
          <w:rFonts w:eastAsia="Times New Roman" w:cs="Arial"/>
          <w:snapToGrid w:val="0"/>
          <w:sz w:val="22"/>
          <w:szCs w:val="22"/>
          <w:lang w:val="en-GB" w:eastAsia="en-AU"/>
        </w:rPr>
        <w:t xml:space="preserve">and </w:t>
      </w:r>
      <w:r w:rsidR="00E45751">
        <w:rPr>
          <w:rFonts w:eastAsia="Times New Roman" w:cs="Arial"/>
          <w:snapToGrid w:val="0"/>
          <w:sz w:val="22"/>
          <w:szCs w:val="22"/>
          <w:lang w:val="en-GB" w:eastAsia="en-AU"/>
        </w:rPr>
        <w:t xml:space="preserve">considered that concomitant therapy may be associated with </w:t>
      </w:r>
      <w:r>
        <w:rPr>
          <w:rFonts w:eastAsia="Times New Roman" w:cs="Arial"/>
          <w:snapToGrid w:val="0"/>
          <w:sz w:val="22"/>
          <w:szCs w:val="22"/>
          <w:lang w:val="en-GB" w:eastAsia="en-AU"/>
        </w:rPr>
        <w:t>safety concerns</w:t>
      </w:r>
      <w:r w:rsidR="005A3F26">
        <w:rPr>
          <w:rFonts w:eastAsia="Times New Roman" w:cs="Arial"/>
          <w:snapToGrid w:val="0"/>
          <w:sz w:val="22"/>
          <w:szCs w:val="22"/>
          <w:lang w:val="en-GB" w:eastAsia="en-AU"/>
        </w:rPr>
        <w:t xml:space="preserve">. </w:t>
      </w:r>
      <w:r w:rsidR="005F7640" w:rsidDel="00CD30FA">
        <w:rPr>
          <w:rFonts w:eastAsia="Times New Roman" w:cs="Arial"/>
          <w:snapToGrid w:val="0"/>
          <w:sz w:val="22"/>
          <w:szCs w:val="22"/>
          <w:lang w:val="en-GB" w:eastAsia="en-AU"/>
        </w:rPr>
        <w:t xml:space="preserve">Clinicians noted that there is only </w:t>
      </w:r>
      <w:r w:rsidR="00675C61">
        <w:rPr>
          <w:rFonts w:eastAsia="Times New Roman" w:cs="Arial"/>
          <w:snapToGrid w:val="0"/>
          <w:sz w:val="22"/>
          <w:szCs w:val="22"/>
          <w:lang w:val="en-GB" w:eastAsia="en-AU"/>
        </w:rPr>
        <w:t>very limited</w:t>
      </w:r>
      <w:r w:rsidR="005F7640" w:rsidDel="00CD30FA">
        <w:rPr>
          <w:rFonts w:eastAsia="Times New Roman" w:cs="Arial"/>
          <w:snapToGrid w:val="0"/>
          <w:sz w:val="22"/>
          <w:szCs w:val="22"/>
          <w:lang w:val="en-GB" w:eastAsia="en-AU"/>
        </w:rPr>
        <w:t xml:space="preserve"> evidence in patients who received multiple SMA treatments and the onus is on sponsors to </w:t>
      </w:r>
      <w:r w:rsidR="00E45751">
        <w:rPr>
          <w:rFonts w:eastAsia="Times New Roman" w:cs="Arial"/>
          <w:snapToGrid w:val="0"/>
          <w:sz w:val="22"/>
          <w:szCs w:val="22"/>
          <w:lang w:val="en-GB" w:eastAsia="en-AU"/>
        </w:rPr>
        <w:t>provide such evidence</w:t>
      </w:r>
      <w:r w:rsidR="005F7640" w:rsidDel="00CD30FA">
        <w:rPr>
          <w:rFonts w:eastAsia="Times New Roman" w:cs="Arial"/>
          <w:snapToGrid w:val="0"/>
          <w:sz w:val="22"/>
          <w:szCs w:val="22"/>
          <w:lang w:val="en-GB" w:eastAsia="en-AU"/>
        </w:rPr>
        <w:t>.</w:t>
      </w:r>
    </w:p>
    <w:p w14:paraId="248A78C8" w14:textId="6373BA9A" w:rsidR="00A57F94" w:rsidRDefault="00A57F94" w:rsidP="003F1776">
      <w:pPr>
        <w:pStyle w:val="Style1"/>
      </w:pPr>
      <w:r>
        <w:lastRenderedPageBreak/>
        <w:t>Symptomatic patients</w:t>
      </w:r>
    </w:p>
    <w:p w14:paraId="69CA924A" w14:textId="7F5AAE6B" w:rsidR="00A57F94" w:rsidRPr="00CE4B4F" w:rsidRDefault="005A3F26" w:rsidP="00CE4B4F">
      <w:pPr>
        <w:pStyle w:val="ListParagraph"/>
        <w:numPr>
          <w:ilvl w:val="0"/>
          <w:numId w:val="17"/>
        </w:numPr>
        <w:spacing w:after="120"/>
        <w:rPr>
          <w:rFonts w:asciiTheme="minorHAnsi" w:eastAsia="Times New Roman" w:hAnsiTheme="minorHAnsi" w:cstheme="minorHAnsi"/>
          <w:sz w:val="22"/>
          <w:szCs w:val="22"/>
        </w:rPr>
      </w:pPr>
      <w:r w:rsidRPr="00CE4B4F">
        <w:rPr>
          <w:rFonts w:asciiTheme="minorHAnsi" w:eastAsia="Times New Roman" w:hAnsiTheme="minorHAnsi" w:cstheme="minorHAnsi"/>
          <w:sz w:val="22"/>
          <w:szCs w:val="22"/>
        </w:rPr>
        <w:t>Consumers and r</w:t>
      </w:r>
      <w:r w:rsidR="000F0D6D" w:rsidRPr="00CE4B4F">
        <w:rPr>
          <w:rFonts w:asciiTheme="minorHAnsi" w:eastAsia="Times New Roman" w:hAnsiTheme="minorHAnsi" w:cstheme="minorHAnsi"/>
          <w:sz w:val="22"/>
          <w:szCs w:val="22"/>
        </w:rPr>
        <w:t xml:space="preserve">epresentatives from SMA Australia </w:t>
      </w:r>
      <w:r>
        <w:rPr>
          <w:rFonts w:asciiTheme="minorHAnsi" w:eastAsia="Times New Roman" w:hAnsiTheme="minorHAnsi" w:cstheme="minorHAnsi"/>
          <w:sz w:val="22"/>
          <w:szCs w:val="22"/>
        </w:rPr>
        <w:t>outlined the</w:t>
      </w:r>
      <w:r w:rsidRPr="00CE4B4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high</w:t>
      </w:r>
      <w:r w:rsidRPr="00CE4B4F">
        <w:rPr>
          <w:rFonts w:asciiTheme="minorHAnsi" w:eastAsia="Times New Roman" w:hAnsiTheme="minorHAnsi" w:cstheme="minorHAnsi"/>
          <w:sz w:val="22"/>
          <w:szCs w:val="22"/>
        </w:rPr>
        <w:t xml:space="preserve"> demand for treatments for </w:t>
      </w:r>
      <w:r w:rsidR="00A57F94" w:rsidRPr="00CE4B4F">
        <w:rPr>
          <w:rFonts w:asciiTheme="minorHAnsi" w:eastAsia="Times New Roman" w:hAnsiTheme="minorHAnsi" w:cstheme="minorHAnsi"/>
          <w:sz w:val="22"/>
          <w:szCs w:val="22"/>
        </w:rPr>
        <w:t>adults with SMA</w:t>
      </w:r>
      <w:r w:rsidRPr="00CE4B4F">
        <w:rPr>
          <w:rFonts w:asciiTheme="minorHAnsi" w:eastAsia="Times New Roman" w:hAnsiTheme="minorHAnsi" w:cstheme="minorHAnsi"/>
          <w:sz w:val="22"/>
          <w:szCs w:val="22"/>
        </w:rPr>
        <w:t xml:space="preserve">. </w:t>
      </w:r>
    </w:p>
    <w:p w14:paraId="161105A5" w14:textId="4C0B1280" w:rsidR="00120215" w:rsidRDefault="005A3F26" w:rsidP="00CE4B4F">
      <w:pPr>
        <w:pStyle w:val="ListParagraph"/>
        <w:numPr>
          <w:ilvl w:val="0"/>
          <w:numId w:val="16"/>
        </w:numPr>
        <w:spacing w:after="12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current restriction for </w:t>
      </w:r>
      <w:proofErr w:type="spellStart"/>
      <w:r>
        <w:rPr>
          <w:rFonts w:asciiTheme="minorHAnsi" w:eastAsia="Times New Roman" w:hAnsiTheme="minorHAnsi" w:cstheme="minorHAnsi"/>
          <w:sz w:val="22"/>
          <w:szCs w:val="22"/>
        </w:rPr>
        <w:t>nusinersen</w:t>
      </w:r>
      <w:proofErr w:type="spellEnd"/>
      <w:r>
        <w:rPr>
          <w:rFonts w:asciiTheme="minorHAnsi" w:eastAsia="Times New Roman" w:hAnsiTheme="minorHAnsi" w:cstheme="minorHAnsi"/>
          <w:sz w:val="22"/>
          <w:szCs w:val="22"/>
        </w:rPr>
        <w:t xml:space="preserve"> requires patients to have experienced symptom onset prior to 3 years of age</w:t>
      </w:r>
      <w:r w:rsidR="00BB5967">
        <w:rPr>
          <w:rFonts w:asciiTheme="minorHAnsi" w:eastAsia="Times New Roman" w:hAnsiTheme="minorHAnsi" w:cstheme="minorHAnsi"/>
          <w:sz w:val="22"/>
          <w:szCs w:val="22"/>
        </w:rPr>
        <w:t xml:space="preserve"> and to commence treatment </w:t>
      </w:r>
      <w:r w:rsidR="001932DF">
        <w:rPr>
          <w:rFonts w:asciiTheme="minorHAnsi" w:eastAsia="Times New Roman" w:hAnsiTheme="minorHAnsi" w:cstheme="minorHAnsi"/>
          <w:sz w:val="22"/>
          <w:szCs w:val="22"/>
        </w:rPr>
        <w:t>up to an</w:t>
      </w:r>
      <w:r w:rsidR="00616595">
        <w:rPr>
          <w:rFonts w:asciiTheme="minorHAnsi" w:eastAsia="Times New Roman" w:hAnsiTheme="minorHAnsi" w:cstheme="minorHAnsi"/>
          <w:sz w:val="22"/>
          <w:szCs w:val="22"/>
        </w:rPr>
        <w:t>d including</w:t>
      </w:r>
      <w:r w:rsidR="00BB5967">
        <w:rPr>
          <w:rFonts w:asciiTheme="minorHAnsi" w:eastAsia="Times New Roman" w:hAnsiTheme="minorHAnsi" w:cstheme="minorHAnsi"/>
          <w:sz w:val="22"/>
          <w:szCs w:val="22"/>
        </w:rPr>
        <w:t xml:space="preserve"> 18 years of age</w:t>
      </w:r>
      <w:r>
        <w:rPr>
          <w:rFonts w:asciiTheme="minorHAnsi" w:eastAsia="Times New Roman" w:hAnsiTheme="minorHAnsi" w:cstheme="minorHAnsi"/>
          <w:sz w:val="22"/>
          <w:szCs w:val="22"/>
        </w:rPr>
        <w:t xml:space="preserve">. </w:t>
      </w:r>
      <w:r w:rsidR="000F0D6D" w:rsidRPr="00CE4B4F">
        <w:rPr>
          <w:rFonts w:asciiTheme="minorHAnsi" w:eastAsia="Times New Roman" w:hAnsiTheme="minorHAnsi" w:cstheme="minorHAnsi"/>
          <w:sz w:val="22"/>
          <w:szCs w:val="22"/>
        </w:rPr>
        <w:t>Clinicians</w:t>
      </w:r>
      <w:r w:rsidR="00BB5967">
        <w:rPr>
          <w:rFonts w:asciiTheme="minorHAnsi" w:eastAsia="Times New Roman" w:hAnsiTheme="minorHAnsi" w:cstheme="minorHAnsi"/>
          <w:sz w:val="22"/>
          <w:szCs w:val="22"/>
        </w:rPr>
        <w:t xml:space="preserve"> treating adult patients</w:t>
      </w:r>
      <w:r w:rsidR="000F0D6D" w:rsidRPr="00CE4B4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considered th</w:t>
      </w:r>
      <w:r w:rsidR="00BB5967">
        <w:rPr>
          <w:rFonts w:asciiTheme="minorHAnsi" w:eastAsia="Times New Roman" w:hAnsiTheme="minorHAnsi" w:cstheme="minorHAnsi"/>
          <w:sz w:val="22"/>
          <w:szCs w:val="22"/>
        </w:rPr>
        <w:t>e requirement to have symptoms before age 3</w:t>
      </w:r>
      <w:r>
        <w:rPr>
          <w:rFonts w:asciiTheme="minorHAnsi" w:eastAsia="Times New Roman" w:hAnsiTheme="minorHAnsi" w:cstheme="minorHAnsi"/>
          <w:sz w:val="22"/>
          <w:szCs w:val="22"/>
        </w:rPr>
        <w:t xml:space="preserve"> </w:t>
      </w:r>
      <w:r w:rsidR="000F0D6D" w:rsidRPr="00CE4B4F">
        <w:rPr>
          <w:rFonts w:asciiTheme="minorHAnsi" w:eastAsia="Times New Roman" w:hAnsiTheme="minorHAnsi" w:cstheme="minorHAnsi"/>
          <w:sz w:val="22"/>
          <w:szCs w:val="22"/>
        </w:rPr>
        <w:t xml:space="preserve">  arbitrary</w:t>
      </w:r>
      <w:r w:rsidR="00120215">
        <w:rPr>
          <w:rFonts w:asciiTheme="minorHAnsi" w:eastAsia="Times New Roman" w:hAnsiTheme="minorHAnsi" w:cstheme="minorHAnsi"/>
          <w:sz w:val="22"/>
          <w:szCs w:val="22"/>
        </w:rPr>
        <w:t>,</w:t>
      </w:r>
      <w:r w:rsidR="000F0D6D" w:rsidRPr="00CE4B4F">
        <w:rPr>
          <w:rFonts w:asciiTheme="minorHAnsi" w:eastAsia="Times New Roman" w:hAnsiTheme="minorHAnsi" w:cstheme="minorHAnsi"/>
          <w:sz w:val="22"/>
          <w:szCs w:val="22"/>
        </w:rPr>
        <w:t xml:space="preserve"> and </w:t>
      </w:r>
      <w:r w:rsidR="00120215">
        <w:rPr>
          <w:rFonts w:asciiTheme="minorHAnsi" w:eastAsia="Times New Roman" w:hAnsiTheme="minorHAnsi" w:cstheme="minorHAnsi"/>
          <w:sz w:val="22"/>
          <w:szCs w:val="22"/>
        </w:rPr>
        <w:t xml:space="preserve">that </w:t>
      </w:r>
      <w:r w:rsidR="000F0D6D" w:rsidRPr="00CE4B4F">
        <w:rPr>
          <w:rFonts w:asciiTheme="minorHAnsi" w:eastAsia="Times New Roman" w:hAnsiTheme="minorHAnsi" w:cstheme="minorHAnsi"/>
          <w:sz w:val="22"/>
          <w:szCs w:val="22"/>
        </w:rPr>
        <w:t xml:space="preserve">the duration </w:t>
      </w:r>
      <w:r w:rsidR="00120215">
        <w:rPr>
          <w:rFonts w:asciiTheme="minorHAnsi" w:eastAsia="Times New Roman" w:hAnsiTheme="minorHAnsi" w:cstheme="minorHAnsi"/>
          <w:sz w:val="22"/>
          <w:szCs w:val="22"/>
        </w:rPr>
        <w:t>of</w:t>
      </w:r>
      <w:r w:rsidR="00120215" w:rsidRPr="00CE4B4F">
        <w:rPr>
          <w:rFonts w:asciiTheme="minorHAnsi" w:eastAsia="Times New Roman" w:hAnsiTheme="minorHAnsi" w:cstheme="minorHAnsi"/>
          <w:sz w:val="22"/>
          <w:szCs w:val="22"/>
        </w:rPr>
        <w:t xml:space="preserve"> </w:t>
      </w:r>
      <w:r w:rsidR="000F0D6D" w:rsidRPr="00CE4B4F">
        <w:rPr>
          <w:rFonts w:asciiTheme="minorHAnsi" w:eastAsia="Times New Roman" w:hAnsiTheme="minorHAnsi" w:cstheme="minorHAnsi"/>
          <w:sz w:val="22"/>
          <w:szCs w:val="22"/>
        </w:rPr>
        <w:t>symptoms would be a better predictor of treatment outcomes</w:t>
      </w:r>
      <w:r w:rsidR="00BB5967">
        <w:rPr>
          <w:rFonts w:asciiTheme="minorHAnsi" w:eastAsia="Times New Roman" w:hAnsiTheme="minorHAnsi" w:cstheme="minorHAnsi"/>
          <w:sz w:val="22"/>
          <w:szCs w:val="22"/>
        </w:rPr>
        <w:t xml:space="preserve"> for adult patients</w:t>
      </w:r>
      <w:r w:rsidR="000F0D6D" w:rsidRPr="00CE4B4F">
        <w:rPr>
          <w:rFonts w:asciiTheme="minorHAnsi" w:eastAsia="Times New Roman" w:hAnsiTheme="minorHAnsi" w:cstheme="minorHAnsi"/>
          <w:sz w:val="22"/>
          <w:szCs w:val="22"/>
        </w:rPr>
        <w:t xml:space="preserve">. </w:t>
      </w:r>
    </w:p>
    <w:p w14:paraId="2714B7C2" w14:textId="47990048" w:rsidR="000F0D6D" w:rsidRPr="00CE4B4F" w:rsidRDefault="004818AE" w:rsidP="00CE4B4F">
      <w:pPr>
        <w:pStyle w:val="ListParagraph"/>
        <w:numPr>
          <w:ilvl w:val="0"/>
          <w:numId w:val="16"/>
        </w:numPr>
        <w:spacing w:after="120"/>
        <w:rPr>
          <w:rFonts w:asciiTheme="minorHAnsi" w:eastAsia="Times New Roman" w:hAnsiTheme="minorHAnsi" w:cstheme="minorHAnsi"/>
          <w:sz w:val="22"/>
          <w:szCs w:val="22"/>
        </w:rPr>
      </w:pPr>
      <w:r w:rsidRPr="00CE4B4F">
        <w:rPr>
          <w:rFonts w:asciiTheme="minorHAnsi" w:eastAsia="Times New Roman" w:hAnsiTheme="minorHAnsi" w:cstheme="minorHAnsi"/>
          <w:sz w:val="22"/>
          <w:szCs w:val="22"/>
        </w:rPr>
        <w:t>Clin</w:t>
      </w:r>
      <w:r w:rsidR="00E65A68" w:rsidRPr="00CE4B4F">
        <w:rPr>
          <w:rFonts w:asciiTheme="minorHAnsi" w:eastAsia="Times New Roman" w:hAnsiTheme="minorHAnsi" w:cstheme="minorHAnsi"/>
          <w:sz w:val="22"/>
          <w:szCs w:val="22"/>
        </w:rPr>
        <w:t>i</w:t>
      </w:r>
      <w:r w:rsidRPr="00CE4B4F">
        <w:rPr>
          <w:rFonts w:asciiTheme="minorHAnsi" w:eastAsia="Times New Roman" w:hAnsiTheme="minorHAnsi" w:cstheme="minorHAnsi"/>
          <w:sz w:val="22"/>
          <w:szCs w:val="22"/>
        </w:rPr>
        <w:t>cians noted that the critical need is in patients with Type 3</w:t>
      </w:r>
      <w:r w:rsidR="00292174" w:rsidRPr="00CE4B4F">
        <w:rPr>
          <w:rFonts w:asciiTheme="minorHAnsi" w:eastAsia="Times New Roman" w:hAnsiTheme="minorHAnsi" w:cstheme="minorHAnsi"/>
          <w:sz w:val="22"/>
          <w:szCs w:val="22"/>
        </w:rPr>
        <w:t>a</w:t>
      </w:r>
      <w:r w:rsidRPr="00CE4B4F">
        <w:rPr>
          <w:rFonts w:asciiTheme="minorHAnsi" w:eastAsia="Times New Roman" w:hAnsiTheme="minorHAnsi" w:cstheme="minorHAnsi"/>
          <w:sz w:val="22"/>
          <w:szCs w:val="22"/>
        </w:rPr>
        <w:t xml:space="preserve"> and 3b SMA, with </w:t>
      </w:r>
      <w:r w:rsidR="00292174" w:rsidRPr="00CE4B4F">
        <w:rPr>
          <w:rFonts w:asciiTheme="minorHAnsi" w:eastAsia="Times New Roman" w:hAnsiTheme="minorHAnsi" w:cstheme="minorHAnsi"/>
          <w:sz w:val="22"/>
          <w:szCs w:val="22"/>
        </w:rPr>
        <w:t xml:space="preserve">the </w:t>
      </w:r>
      <w:r w:rsidRPr="00CE4B4F">
        <w:rPr>
          <w:rFonts w:asciiTheme="minorHAnsi" w:eastAsia="Times New Roman" w:hAnsiTheme="minorHAnsi" w:cstheme="minorHAnsi"/>
          <w:sz w:val="22"/>
          <w:szCs w:val="22"/>
        </w:rPr>
        <w:t xml:space="preserve">most clinically meaningful improvements likely to be in patients with </w:t>
      </w:r>
      <w:r w:rsidR="005A3F26">
        <w:rPr>
          <w:rFonts w:asciiTheme="minorHAnsi" w:eastAsia="Times New Roman" w:hAnsiTheme="minorHAnsi" w:cstheme="minorHAnsi"/>
          <w:sz w:val="22"/>
          <w:szCs w:val="22"/>
        </w:rPr>
        <w:t xml:space="preserve">Type </w:t>
      </w:r>
      <w:r w:rsidRPr="00CE4B4F">
        <w:rPr>
          <w:rFonts w:asciiTheme="minorHAnsi" w:eastAsia="Times New Roman" w:hAnsiTheme="minorHAnsi" w:cstheme="minorHAnsi"/>
          <w:sz w:val="22"/>
          <w:szCs w:val="22"/>
        </w:rPr>
        <w:t>3</w:t>
      </w:r>
      <w:r w:rsidR="00292174" w:rsidRPr="00CE4B4F">
        <w:rPr>
          <w:rFonts w:asciiTheme="minorHAnsi" w:eastAsia="Times New Roman" w:hAnsiTheme="minorHAnsi" w:cstheme="minorHAnsi"/>
          <w:sz w:val="22"/>
          <w:szCs w:val="22"/>
        </w:rPr>
        <w:t>b</w:t>
      </w:r>
      <w:r w:rsidR="005A3F26">
        <w:rPr>
          <w:rFonts w:asciiTheme="minorHAnsi" w:eastAsia="Times New Roman" w:hAnsiTheme="minorHAnsi" w:cstheme="minorHAnsi"/>
          <w:sz w:val="22"/>
          <w:szCs w:val="22"/>
        </w:rPr>
        <w:t xml:space="preserve"> SMA</w:t>
      </w:r>
      <w:r w:rsidR="00292174" w:rsidRPr="00CE4B4F">
        <w:rPr>
          <w:rFonts w:asciiTheme="minorHAnsi" w:eastAsia="Times New Roman" w:hAnsiTheme="minorHAnsi" w:cstheme="minorHAnsi"/>
          <w:sz w:val="22"/>
          <w:szCs w:val="22"/>
        </w:rPr>
        <w:t>.</w:t>
      </w:r>
    </w:p>
    <w:p w14:paraId="30BE9601" w14:textId="2FAA8C63" w:rsidR="000714E5" w:rsidRPr="00CE4B4F" w:rsidRDefault="005A3F26" w:rsidP="00CE4B4F">
      <w:pPr>
        <w:pStyle w:val="ListParagraph"/>
        <w:numPr>
          <w:ilvl w:val="0"/>
          <w:numId w:val="16"/>
        </w:numPr>
        <w:spacing w:after="120"/>
        <w:rPr>
          <w:rFonts w:asciiTheme="minorHAnsi" w:eastAsia="Times New Roman" w:hAnsiTheme="minorHAnsi" w:cstheme="minorHAnsi"/>
          <w:sz w:val="22"/>
          <w:szCs w:val="22"/>
        </w:rPr>
      </w:pPr>
      <w:r w:rsidRPr="00CE4B4F">
        <w:rPr>
          <w:rFonts w:asciiTheme="minorHAnsi" w:eastAsia="Times New Roman" w:hAnsiTheme="minorHAnsi" w:cstheme="minorHAnsi"/>
          <w:sz w:val="22"/>
          <w:szCs w:val="22"/>
        </w:rPr>
        <w:t xml:space="preserve">Consumers </w:t>
      </w:r>
      <w:r w:rsidR="00292174" w:rsidRPr="00CE4B4F">
        <w:rPr>
          <w:rFonts w:asciiTheme="minorHAnsi" w:eastAsia="Times New Roman" w:hAnsiTheme="minorHAnsi" w:cstheme="minorHAnsi"/>
          <w:sz w:val="22"/>
          <w:szCs w:val="22"/>
        </w:rPr>
        <w:t xml:space="preserve">and clinicians </w:t>
      </w:r>
      <w:r w:rsidR="00675C61">
        <w:rPr>
          <w:rFonts w:asciiTheme="minorHAnsi" w:eastAsia="Times New Roman" w:hAnsiTheme="minorHAnsi" w:cstheme="minorHAnsi"/>
          <w:sz w:val="22"/>
          <w:szCs w:val="22"/>
        </w:rPr>
        <w:t>outlin</w:t>
      </w:r>
      <w:r w:rsidR="00292174" w:rsidRPr="00CE4B4F">
        <w:rPr>
          <w:rFonts w:asciiTheme="minorHAnsi" w:eastAsia="Times New Roman" w:hAnsiTheme="minorHAnsi" w:cstheme="minorHAnsi"/>
          <w:sz w:val="22"/>
          <w:szCs w:val="22"/>
        </w:rPr>
        <w:t>ed that adult</w:t>
      </w:r>
      <w:r w:rsidR="00120215" w:rsidRPr="00CE4B4F">
        <w:rPr>
          <w:rFonts w:asciiTheme="minorHAnsi" w:eastAsia="Times New Roman" w:hAnsiTheme="minorHAnsi" w:cstheme="minorHAnsi"/>
          <w:sz w:val="22"/>
          <w:szCs w:val="22"/>
        </w:rPr>
        <w:t>s</w:t>
      </w:r>
      <w:r w:rsidR="00292174" w:rsidRPr="00CE4B4F">
        <w:rPr>
          <w:rFonts w:asciiTheme="minorHAnsi" w:eastAsia="Times New Roman" w:hAnsiTheme="minorHAnsi" w:cstheme="minorHAnsi"/>
          <w:sz w:val="22"/>
          <w:szCs w:val="22"/>
        </w:rPr>
        <w:t xml:space="preserve"> have different </w:t>
      </w:r>
      <w:r w:rsidR="00120215" w:rsidRPr="00CE4B4F">
        <w:rPr>
          <w:rFonts w:asciiTheme="minorHAnsi" w:eastAsia="Times New Roman" w:hAnsiTheme="minorHAnsi" w:cstheme="minorHAnsi"/>
          <w:sz w:val="22"/>
          <w:szCs w:val="22"/>
        </w:rPr>
        <w:t xml:space="preserve">treatment </w:t>
      </w:r>
      <w:r w:rsidR="00292174" w:rsidRPr="00CE4B4F">
        <w:rPr>
          <w:rFonts w:asciiTheme="minorHAnsi" w:eastAsia="Times New Roman" w:hAnsiTheme="minorHAnsi" w:cstheme="minorHAnsi"/>
          <w:sz w:val="22"/>
          <w:szCs w:val="22"/>
        </w:rPr>
        <w:t xml:space="preserve">goals </w:t>
      </w:r>
      <w:r w:rsidR="00120215" w:rsidRPr="00CE4B4F">
        <w:rPr>
          <w:rFonts w:asciiTheme="minorHAnsi" w:eastAsia="Times New Roman" w:hAnsiTheme="minorHAnsi" w:cstheme="minorHAnsi"/>
          <w:sz w:val="22"/>
          <w:szCs w:val="22"/>
        </w:rPr>
        <w:t>than</w:t>
      </w:r>
      <w:r w:rsidR="00292174" w:rsidRPr="00CE4B4F">
        <w:rPr>
          <w:rFonts w:asciiTheme="minorHAnsi" w:eastAsia="Times New Roman" w:hAnsiTheme="minorHAnsi" w:cstheme="minorHAnsi"/>
          <w:sz w:val="22"/>
          <w:szCs w:val="22"/>
        </w:rPr>
        <w:t xml:space="preserve"> paediatric patients. Major factors for adults </w:t>
      </w:r>
      <w:r w:rsidR="00120215" w:rsidRPr="00CE4B4F">
        <w:rPr>
          <w:rFonts w:asciiTheme="minorHAnsi" w:eastAsia="Times New Roman" w:hAnsiTheme="minorHAnsi" w:cstheme="minorHAnsi"/>
          <w:sz w:val="22"/>
          <w:szCs w:val="22"/>
        </w:rPr>
        <w:t>include</w:t>
      </w:r>
      <w:r w:rsidR="00292174" w:rsidRPr="00CE4B4F">
        <w:rPr>
          <w:rFonts w:asciiTheme="minorHAnsi" w:eastAsia="Times New Roman" w:hAnsiTheme="minorHAnsi" w:cstheme="minorHAnsi"/>
          <w:sz w:val="22"/>
          <w:szCs w:val="22"/>
        </w:rPr>
        <w:t xml:space="preserve">: the ability to continue in employment, ability to continue caring for dependents, maintaining independence and maintaining respiratory function. It was </w:t>
      </w:r>
      <w:r w:rsidR="00120215" w:rsidRPr="00CE4B4F">
        <w:rPr>
          <w:rFonts w:asciiTheme="minorHAnsi" w:eastAsia="Times New Roman" w:hAnsiTheme="minorHAnsi" w:cstheme="minorHAnsi"/>
          <w:sz w:val="22"/>
          <w:szCs w:val="22"/>
        </w:rPr>
        <w:t xml:space="preserve">also </w:t>
      </w:r>
      <w:r w:rsidR="00292174" w:rsidRPr="00CE4B4F">
        <w:rPr>
          <w:rFonts w:asciiTheme="minorHAnsi" w:eastAsia="Times New Roman" w:hAnsiTheme="minorHAnsi" w:cstheme="minorHAnsi"/>
          <w:sz w:val="22"/>
          <w:szCs w:val="22"/>
        </w:rPr>
        <w:t>noted that measur</w:t>
      </w:r>
      <w:r w:rsidR="00120215" w:rsidRPr="00CE4B4F">
        <w:rPr>
          <w:rFonts w:asciiTheme="minorHAnsi" w:eastAsia="Times New Roman" w:hAnsiTheme="minorHAnsi" w:cstheme="minorHAnsi"/>
          <w:sz w:val="22"/>
          <w:szCs w:val="22"/>
        </w:rPr>
        <w:t>ement of treatment</w:t>
      </w:r>
      <w:r w:rsidR="00292174" w:rsidRPr="00CE4B4F">
        <w:rPr>
          <w:rFonts w:asciiTheme="minorHAnsi" w:eastAsia="Times New Roman" w:hAnsiTheme="minorHAnsi" w:cstheme="minorHAnsi"/>
          <w:sz w:val="22"/>
          <w:szCs w:val="22"/>
        </w:rPr>
        <w:t xml:space="preserve"> outcomes i</w:t>
      </w:r>
      <w:r w:rsidR="000714E5" w:rsidRPr="00CE4B4F">
        <w:rPr>
          <w:rFonts w:asciiTheme="minorHAnsi" w:eastAsia="Times New Roman" w:hAnsiTheme="minorHAnsi" w:cstheme="minorHAnsi"/>
          <w:sz w:val="22"/>
          <w:szCs w:val="22"/>
        </w:rPr>
        <w:t>s</w:t>
      </w:r>
      <w:r w:rsidR="00292174" w:rsidRPr="00CE4B4F">
        <w:rPr>
          <w:rFonts w:asciiTheme="minorHAnsi" w:eastAsia="Times New Roman" w:hAnsiTheme="minorHAnsi" w:cstheme="minorHAnsi"/>
          <w:sz w:val="22"/>
          <w:szCs w:val="22"/>
        </w:rPr>
        <w:t xml:space="preserve"> different </w:t>
      </w:r>
      <w:r w:rsidR="00120215" w:rsidRPr="00CE4B4F">
        <w:rPr>
          <w:rFonts w:asciiTheme="minorHAnsi" w:eastAsia="Times New Roman" w:hAnsiTheme="minorHAnsi" w:cstheme="minorHAnsi"/>
          <w:sz w:val="22"/>
          <w:szCs w:val="22"/>
        </w:rPr>
        <w:t xml:space="preserve">in adults compared with </w:t>
      </w:r>
      <w:r w:rsidR="00292174" w:rsidRPr="00CE4B4F">
        <w:rPr>
          <w:rFonts w:asciiTheme="minorHAnsi" w:eastAsia="Times New Roman" w:hAnsiTheme="minorHAnsi" w:cstheme="minorHAnsi"/>
          <w:sz w:val="22"/>
          <w:szCs w:val="22"/>
        </w:rPr>
        <w:t>paediatric p</w:t>
      </w:r>
      <w:r w:rsidR="00120215" w:rsidRPr="00CE4B4F">
        <w:rPr>
          <w:rFonts w:asciiTheme="minorHAnsi" w:eastAsia="Times New Roman" w:hAnsiTheme="minorHAnsi" w:cstheme="minorHAnsi"/>
          <w:sz w:val="22"/>
          <w:szCs w:val="22"/>
        </w:rPr>
        <w:t>atients</w:t>
      </w:r>
      <w:r w:rsidR="00292174" w:rsidRPr="00CE4B4F">
        <w:rPr>
          <w:rFonts w:asciiTheme="minorHAnsi" w:eastAsia="Times New Roman" w:hAnsiTheme="minorHAnsi" w:cstheme="minorHAnsi"/>
          <w:sz w:val="22"/>
          <w:szCs w:val="22"/>
        </w:rPr>
        <w:t>. Treatment in adults is focused on preventing progression rather than achievement of milestones. Researchers are working to include measurement of patient reported outcomes in addition to motor assessments</w:t>
      </w:r>
      <w:r w:rsidR="007119C7">
        <w:rPr>
          <w:rFonts w:asciiTheme="minorHAnsi" w:eastAsia="Times New Roman" w:hAnsiTheme="minorHAnsi" w:cstheme="minorHAnsi"/>
          <w:sz w:val="22"/>
          <w:szCs w:val="22"/>
        </w:rPr>
        <w:t xml:space="preserve"> in future assessments of SMA therapies</w:t>
      </w:r>
      <w:r w:rsidR="00292174" w:rsidRPr="00CE4B4F">
        <w:rPr>
          <w:rFonts w:asciiTheme="minorHAnsi" w:eastAsia="Times New Roman" w:hAnsiTheme="minorHAnsi" w:cstheme="minorHAnsi"/>
          <w:sz w:val="22"/>
          <w:szCs w:val="22"/>
        </w:rPr>
        <w:t xml:space="preserve">. </w:t>
      </w:r>
    </w:p>
    <w:p w14:paraId="28CC0C0F" w14:textId="57654870" w:rsidR="00292174" w:rsidRDefault="000714E5" w:rsidP="00CE4B4F">
      <w:pPr>
        <w:pStyle w:val="ListParagraph"/>
        <w:numPr>
          <w:ilvl w:val="0"/>
          <w:numId w:val="16"/>
        </w:numPr>
        <w:spacing w:after="120"/>
        <w:rPr>
          <w:sz w:val="22"/>
          <w:szCs w:val="22"/>
        </w:rPr>
      </w:pPr>
      <w:r w:rsidRPr="00675C61">
        <w:rPr>
          <w:sz w:val="22"/>
          <w:szCs w:val="22"/>
        </w:rPr>
        <w:t>K</w:t>
      </w:r>
      <w:r w:rsidR="00292174" w:rsidRPr="00675C61" w:rsidDel="00120215">
        <w:rPr>
          <w:sz w:val="22"/>
          <w:szCs w:val="22"/>
        </w:rPr>
        <w:t xml:space="preserve">nowledge that the disease is progressive results in a high and ongoing burden on </w:t>
      </w:r>
      <w:r w:rsidRPr="00675C61">
        <w:rPr>
          <w:sz w:val="22"/>
          <w:szCs w:val="22"/>
        </w:rPr>
        <w:t xml:space="preserve">patient </w:t>
      </w:r>
      <w:r w:rsidR="00292174" w:rsidRPr="00675C61" w:rsidDel="00120215">
        <w:rPr>
          <w:sz w:val="22"/>
          <w:szCs w:val="22"/>
        </w:rPr>
        <w:t>mental health.</w:t>
      </w:r>
    </w:p>
    <w:p w14:paraId="7792EF3B" w14:textId="77777777" w:rsidR="007119C7" w:rsidRPr="00CE4B4F" w:rsidRDefault="007119C7" w:rsidP="007119C7">
      <w:pPr>
        <w:pStyle w:val="ListParagraph"/>
        <w:numPr>
          <w:ilvl w:val="0"/>
          <w:numId w:val="16"/>
        </w:numPr>
        <w:spacing w:after="120"/>
        <w:rPr>
          <w:rFonts w:asciiTheme="minorHAnsi" w:eastAsia="Times New Roman" w:hAnsiTheme="minorHAnsi" w:cstheme="minorHAnsi"/>
          <w:sz w:val="22"/>
          <w:szCs w:val="22"/>
        </w:rPr>
      </w:pPr>
      <w:r w:rsidRPr="00CE4B4F">
        <w:rPr>
          <w:rFonts w:asciiTheme="minorHAnsi" w:eastAsia="Times New Roman" w:hAnsiTheme="minorHAnsi" w:cstheme="minorHAnsi"/>
          <w:sz w:val="22"/>
          <w:szCs w:val="22"/>
        </w:rPr>
        <w:t>Clinicians stated th</w:t>
      </w:r>
      <w:r>
        <w:rPr>
          <w:rFonts w:asciiTheme="minorHAnsi" w:eastAsia="Times New Roman" w:hAnsiTheme="minorHAnsi" w:cstheme="minorHAnsi"/>
          <w:sz w:val="22"/>
          <w:szCs w:val="22"/>
        </w:rPr>
        <w:t>at</w:t>
      </w:r>
      <w:r w:rsidRPr="00CE4B4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longer-term data regarding the effectiveness and durability of the effect of </w:t>
      </w:r>
      <w:proofErr w:type="spellStart"/>
      <w:r>
        <w:rPr>
          <w:rFonts w:asciiTheme="minorHAnsi" w:eastAsia="Times New Roman" w:hAnsiTheme="minorHAnsi" w:cstheme="minorHAnsi"/>
          <w:sz w:val="22"/>
          <w:szCs w:val="22"/>
        </w:rPr>
        <w:t>nusinersen</w:t>
      </w:r>
      <w:proofErr w:type="spellEnd"/>
      <w:r>
        <w:rPr>
          <w:rFonts w:asciiTheme="minorHAnsi" w:eastAsia="Times New Roman" w:hAnsiTheme="minorHAnsi" w:cstheme="minorHAnsi"/>
          <w:sz w:val="22"/>
          <w:szCs w:val="22"/>
        </w:rPr>
        <w:t xml:space="preserve"> in adults is becoming available </w:t>
      </w:r>
      <w:r w:rsidRPr="00CE4B4F">
        <w:rPr>
          <w:rFonts w:asciiTheme="minorHAnsi" w:eastAsia="Times New Roman" w:hAnsiTheme="minorHAnsi" w:cstheme="minorHAnsi"/>
          <w:sz w:val="22"/>
          <w:szCs w:val="22"/>
        </w:rPr>
        <w:t xml:space="preserve">from international </w:t>
      </w:r>
      <w:r>
        <w:rPr>
          <w:rFonts w:asciiTheme="minorHAnsi" w:eastAsia="Times New Roman" w:hAnsiTheme="minorHAnsi" w:cstheme="minorHAnsi"/>
          <w:sz w:val="22"/>
          <w:szCs w:val="22"/>
        </w:rPr>
        <w:t>registries and observational studies</w:t>
      </w:r>
      <w:r w:rsidRPr="00CE4B4F">
        <w:rPr>
          <w:rFonts w:asciiTheme="minorHAnsi" w:eastAsia="Times New Roman" w:hAnsiTheme="minorHAnsi" w:cstheme="minorHAnsi"/>
          <w:sz w:val="22"/>
          <w:szCs w:val="22"/>
        </w:rPr>
        <w:t xml:space="preserve">. </w:t>
      </w:r>
    </w:p>
    <w:p w14:paraId="2E19ED63" w14:textId="20BBEF86" w:rsidR="00292174" w:rsidRDefault="0009351B" w:rsidP="00CE4B4F">
      <w:pPr>
        <w:pStyle w:val="ListParagraph"/>
        <w:numPr>
          <w:ilvl w:val="0"/>
          <w:numId w:val="16"/>
        </w:numPr>
        <w:spacing w:after="120"/>
        <w:rPr>
          <w:rFonts w:asciiTheme="minorHAnsi" w:eastAsia="Times New Roman" w:hAnsiTheme="minorHAnsi" w:cstheme="minorHAnsi"/>
          <w:sz w:val="22"/>
          <w:szCs w:val="22"/>
        </w:rPr>
      </w:pPr>
      <w:r w:rsidRPr="00CE4B4F">
        <w:rPr>
          <w:rFonts w:asciiTheme="minorHAnsi" w:eastAsia="Times New Roman" w:hAnsiTheme="minorHAnsi" w:cstheme="minorHAnsi"/>
          <w:sz w:val="22"/>
          <w:szCs w:val="22"/>
        </w:rPr>
        <w:t xml:space="preserve">Clinicians noted that there is an SMA registry currently collecting data on </w:t>
      </w:r>
      <w:r w:rsidR="000714E5">
        <w:rPr>
          <w:rFonts w:asciiTheme="minorHAnsi" w:eastAsia="Times New Roman" w:hAnsiTheme="minorHAnsi" w:cstheme="minorHAnsi"/>
          <w:sz w:val="22"/>
          <w:szCs w:val="22"/>
        </w:rPr>
        <w:t xml:space="preserve">around </w:t>
      </w:r>
      <w:r w:rsidRPr="00CE4B4F">
        <w:rPr>
          <w:rFonts w:asciiTheme="minorHAnsi" w:eastAsia="Times New Roman" w:hAnsiTheme="minorHAnsi" w:cstheme="minorHAnsi"/>
          <w:sz w:val="22"/>
          <w:szCs w:val="22"/>
        </w:rPr>
        <w:t xml:space="preserve">60 </w:t>
      </w:r>
      <w:r w:rsidR="00744E1C" w:rsidRPr="00CE4B4F">
        <w:rPr>
          <w:rFonts w:asciiTheme="minorHAnsi" w:eastAsia="Times New Roman" w:hAnsiTheme="minorHAnsi" w:cstheme="minorHAnsi"/>
          <w:sz w:val="22"/>
          <w:szCs w:val="22"/>
        </w:rPr>
        <w:t xml:space="preserve">adult </w:t>
      </w:r>
      <w:r w:rsidRPr="00CE4B4F">
        <w:rPr>
          <w:rFonts w:asciiTheme="minorHAnsi" w:eastAsia="Times New Roman" w:hAnsiTheme="minorHAnsi" w:cstheme="minorHAnsi"/>
          <w:sz w:val="22"/>
          <w:szCs w:val="22"/>
        </w:rPr>
        <w:t>patients with SMA in Australia</w:t>
      </w:r>
      <w:r w:rsidR="005A3F26">
        <w:rPr>
          <w:rFonts w:asciiTheme="minorHAnsi" w:eastAsia="Times New Roman" w:hAnsiTheme="minorHAnsi" w:cstheme="minorHAnsi"/>
          <w:sz w:val="22"/>
          <w:szCs w:val="22"/>
        </w:rPr>
        <w:t>. This is</w:t>
      </w:r>
      <w:r w:rsidRPr="00CE4B4F">
        <w:rPr>
          <w:rFonts w:asciiTheme="minorHAnsi" w:eastAsia="Times New Roman" w:hAnsiTheme="minorHAnsi" w:cstheme="minorHAnsi"/>
          <w:sz w:val="22"/>
          <w:szCs w:val="22"/>
        </w:rPr>
        <w:t xml:space="preserve"> part of an international registry </w:t>
      </w:r>
      <w:r w:rsidR="00120215">
        <w:rPr>
          <w:rFonts w:asciiTheme="minorHAnsi" w:eastAsia="Times New Roman" w:hAnsiTheme="minorHAnsi" w:cstheme="minorHAnsi"/>
          <w:sz w:val="22"/>
          <w:szCs w:val="22"/>
        </w:rPr>
        <w:t xml:space="preserve">aiming </w:t>
      </w:r>
      <w:r w:rsidRPr="00CE4B4F">
        <w:rPr>
          <w:rFonts w:asciiTheme="minorHAnsi" w:eastAsia="Times New Roman" w:hAnsiTheme="minorHAnsi" w:cstheme="minorHAnsi"/>
          <w:sz w:val="22"/>
          <w:szCs w:val="22"/>
        </w:rPr>
        <w:t xml:space="preserve">to provide aggregate post-market data. </w:t>
      </w:r>
      <w:r w:rsidR="00B43052">
        <w:rPr>
          <w:rFonts w:asciiTheme="minorHAnsi" w:eastAsia="Times New Roman" w:hAnsiTheme="minorHAnsi" w:cstheme="minorHAnsi"/>
          <w:sz w:val="22"/>
          <w:szCs w:val="22"/>
        </w:rPr>
        <w:t xml:space="preserve">Long-term registries may better </w:t>
      </w:r>
      <w:r w:rsidR="002E4276">
        <w:rPr>
          <w:rFonts w:asciiTheme="minorHAnsi" w:eastAsia="Times New Roman" w:hAnsiTheme="minorHAnsi" w:cstheme="minorHAnsi"/>
          <w:sz w:val="22"/>
          <w:szCs w:val="22"/>
        </w:rPr>
        <w:t>demonstrat</w:t>
      </w:r>
      <w:r w:rsidR="00B43052">
        <w:rPr>
          <w:rFonts w:asciiTheme="minorHAnsi" w:eastAsia="Times New Roman" w:hAnsiTheme="minorHAnsi" w:cstheme="minorHAnsi"/>
          <w:sz w:val="22"/>
          <w:szCs w:val="22"/>
        </w:rPr>
        <w:t xml:space="preserve">e the </w:t>
      </w:r>
      <w:r w:rsidRPr="00CE4B4F">
        <w:rPr>
          <w:rFonts w:asciiTheme="minorHAnsi" w:eastAsia="Times New Roman" w:hAnsiTheme="minorHAnsi" w:cstheme="minorHAnsi"/>
          <w:sz w:val="22"/>
          <w:szCs w:val="22"/>
        </w:rPr>
        <w:t xml:space="preserve">gradual </w:t>
      </w:r>
      <w:r w:rsidR="00B43052">
        <w:rPr>
          <w:rFonts w:asciiTheme="minorHAnsi" w:eastAsia="Times New Roman" w:hAnsiTheme="minorHAnsi" w:cstheme="minorHAnsi"/>
          <w:sz w:val="22"/>
          <w:szCs w:val="22"/>
        </w:rPr>
        <w:t xml:space="preserve">changes in </w:t>
      </w:r>
      <w:r w:rsidR="00E65A68" w:rsidRPr="00CE4B4F">
        <w:rPr>
          <w:rFonts w:asciiTheme="minorHAnsi" w:eastAsia="Times New Roman" w:hAnsiTheme="minorHAnsi" w:cstheme="minorHAnsi"/>
          <w:sz w:val="22"/>
          <w:szCs w:val="22"/>
        </w:rPr>
        <w:t>strength</w:t>
      </w:r>
      <w:r w:rsidRPr="00CE4B4F">
        <w:rPr>
          <w:rFonts w:asciiTheme="minorHAnsi" w:eastAsia="Times New Roman" w:hAnsiTheme="minorHAnsi" w:cstheme="minorHAnsi"/>
          <w:sz w:val="22"/>
          <w:szCs w:val="22"/>
        </w:rPr>
        <w:t xml:space="preserve"> and function </w:t>
      </w:r>
      <w:r w:rsidR="002E4276">
        <w:rPr>
          <w:rFonts w:asciiTheme="minorHAnsi" w:eastAsia="Times New Roman" w:hAnsiTheme="minorHAnsi" w:cstheme="minorHAnsi"/>
          <w:sz w:val="22"/>
          <w:szCs w:val="22"/>
        </w:rPr>
        <w:t xml:space="preserve">that occur </w:t>
      </w:r>
      <w:r w:rsidR="00B43052">
        <w:rPr>
          <w:rFonts w:asciiTheme="minorHAnsi" w:eastAsia="Times New Roman" w:hAnsiTheme="minorHAnsi" w:cstheme="minorHAnsi"/>
          <w:sz w:val="22"/>
          <w:szCs w:val="22"/>
        </w:rPr>
        <w:t>in adults with SMA</w:t>
      </w:r>
      <w:r w:rsidR="002E4276">
        <w:rPr>
          <w:rFonts w:asciiTheme="minorHAnsi" w:eastAsia="Times New Roman" w:hAnsiTheme="minorHAnsi" w:cstheme="minorHAnsi"/>
          <w:sz w:val="22"/>
          <w:szCs w:val="22"/>
        </w:rPr>
        <w:t>,</w:t>
      </w:r>
      <w:r w:rsidR="00B43052">
        <w:rPr>
          <w:rFonts w:asciiTheme="minorHAnsi" w:eastAsia="Times New Roman" w:hAnsiTheme="minorHAnsi" w:cstheme="minorHAnsi"/>
          <w:sz w:val="22"/>
          <w:szCs w:val="22"/>
        </w:rPr>
        <w:t xml:space="preserve"> </w:t>
      </w:r>
      <w:r w:rsidR="002E4276">
        <w:rPr>
          <w:rFonts w:asciiTheme="minorHAnsi" w:eastAsia="Times New Roman" w:hAnsiTheme="minorHAnsi" w:cstheme="minorHAnsi"/>
          <w:sz w:val="22"/>
          <w:szCs w:val="22"/>
        </w:rPr>
        <w:t>which</w:t>
      </w:r>
      <w:r w:rsidRPr="00CE4B4F">
        <w:rPr>
          <w:rFonts w:asciiTheme="minorHAnsi" w:eastAsia="Times New Roman" w:hAnsiTheme="minorHAnsi" w:cstheme="minorHAnsi"/>
          <w:sz w:val="22"/>
          <w:szCs w:val="22"/>
        </w:rPr>
        <w:t xml:space="preserve"> </w:t>
      </w:r>
      <w:r w:rsidR="00B43052">
        <w:rPr>
          <w:rFonts w:asciiTheme="minorHAnsi" w:eastAsia="Times New Roman" w:hAnsiTheme="minorHAnsi" w:cstheme="minorHAnsi"/>
          <w:sz w:val="22"/>
          <w:szCs w:val="22"/>
        </w:rPr>
        <w:t>may not be</w:t>
      </w:r>
      <w:r w:rsidRPr="00CE4B4F">
        <w:rPr>
          <w:rFonts w:asciiTheme="minorHAnsi" w:eastAsia="Times New Roman" w:hAnsiTheme="minorHAnsi" w:cstheme="minorHAnsi"/>
          <w:sz w:val="22"/>
          <w:szCs w:val="22"/>
        </w:rPr>
        <w:t xml:space="preserve"> </w:t>
      </w:r>
      <w:r w:rsidR="002E4276">
        <w:rPr>
          <w:rFonts w:asciiTheme="minorHAnsi" w:eastAsia="Times New Roman" w:hAnsiTheme="minorHAnsi" w:cstheme="minorHAnsi"/>
          <w:sz w:val="22"/>
          <w:szCs w:val="22"/>
        </w:rPr>
        <w:t>shown</w:t>
      </w:r>
      <w:r w:rsidRPr="00CE4B4F">
        <w:rPr>
          <w:rFonts w:asciiTheme="minorHAnsi" w:eastAsia="Times New Roman" w:hAnsiTheme="minorHAnsi" w:cstheme="minorHAnsi"/>
          <w:sz w:val="22"/>
          <w:szCs w:val="22"/>
        </w:rPr>
        <w:t xml:space="preserve"> in trials </w:t>
      </w:r>
      <w:r w:rsidR="002E4276">
        <w:rPr>
          <w:rFonts w:asciiTheme="minorHAnsi" w:eastAsia="Times New Roman" w:hAnsiTheme="minorHAnsi" w:cstheme="minorHAnsi"/>
          <w:sz w:val="22"/>
          <w:szCs w:val="22"/>
        </w:rPr>
        <w:t xml:space="preserve">of shorter duration. </w:t>
      </w:r>
    </w:p>
    <w:p w14:paraId="0B6D7A50" w14:textId="440DF512" w:rsidR="007119C7" w:rsidRDefault="007119C7" w:rsidP="008839BA"/>
    <w:p w14:paraId="667F8A14" w14:textId="3AB8D0BB" w:rsidR="007119C7" w:rsidRPr="007747DB" w:rsidRDefault="007119C7" w:rsidP="007747DB">
      <w:r>
        <w:t xml:space="preserve">Of the three therapy sponsors, Biogen, Novartis and Roche, who attended the meeting, only </w:t>
      </w:r>
      <w:r w:rsidR="00E93B05">
        <w:t xml:space="preserve">Biogen </w:t>
      </w:r>
      <w:r>
        <w:t>made a statement and that was to request PBAC to support the funding of its therapy for adult patients</w:t>
      </w:r>
      <w:r w:rsidR="00D256BF">
        <w:t xml:space="preserve">. Biogen </w:t>
      </w:r>
      <w:r w:rsidR="00175031">
        <w:t>acknowledg</w:t>
      </w:r>
      <w:r w:rsidR="00B33B71">
        <w:t>ed</w:t>
      </w:r>
      <w:r w:rsidR="00175031">
        <w:t xml:space="preserve"> the </w:t>
      </w:r>
      <w:r w:rsidR="00370BD5">
        <w:t xml:space="preserve">potential </w:t>
      </w:r>
      <w:r w:rsidR="00175031">
        <w:t>challenge</w:t>
      </w:r>
      <w:r w:rsidR="00B33B71">
        <w:t>s</w:t>
      </w:r>
      <w:r w:rsidR="00175031">
        <w:t xml:space="preserve"> of </w:t>
      </w:r>
      <w:r w:rsidR="00B33B71">
        <w:t xml:space="preserve">taking </w:t>
      </w:r>
      <w:r w:rsidR="00370BD5">
        <w:t>the “whole of disease” approach</w:t>
      </w:r>
      <w:r w:rsidR="00A8315A">
        <w:t>,</w:t>
      </w:r>
      <w:r w:rsidR="00B33B71">
        <w:t xml:space="preserve"> however the </w:t>
      </w:r>
      <w:r w:rsidR="004F2E57">
        <w:t>S</w:t>
      </w:r>
      <w:r w:rsidR="00B33B71">
        <w:t xml:space="preserve">ponsor </w:t>
      </w:r>
      <w:r w:rsidR="00E93B05">
        <w:t>wa</w:t>
      </w:r>
      <w:r w:rsidR="00D256BF">
        <w:t xml:space="preserve">s supportive </w:t>
      </w:r>
      <w:r w:rsidR="00B33B71">
        <w:t xml:space="preserve">of </w:t>
      </w:r>
      <w:r w:rsidR="00B83371">
        <w:t>an evidence based review of the therapies in SMA</w:t>
      </w:r>
      <w:r>
        <w:t>. The therapy sponsors made no other contribution to the discussion.</w:t>
      </w:r>
    </w:p>
    <w:p w14:paraId="24E5CE0C" w14:textId="77777777" w:rsidR="007119C7" w:rsidRDefault="007119C7" w:rsidP="008839BA"/>
    <w:p w14:paraId="5C6186B4" w14:textId="68DA9728" w:rsidR="00120215" w:rsidRPr="00721A98" w:rsidRDefault="00120215" w:rsidP="00120215">
      <w:pPr>
        <w:pStyle w:val="Heading1"/>
        <w:keepLines w:val="0"/>
        <w:spacing w:before="0" w:after="60" w:line="240" w:lineRule="auto"/>
        <w:rPr>
          <w:rFonts w:asciiTheme="minorHAnsi" w:eastAsia="Times New Roman" w:hAnsiTheme="minorHAnsi" w:cstheme="minorHAnsi"/>
          <w:b/>
          <w:bCs/>
          <w:color w:val="auto"/>
          <w:kern w:val="28"/>
          <w:sz w:val="24"/>
          <w:szCs w:val="24"/>
        </w:rPr>
      </w:pPr>
      <w:r>
        <w:rPr>
          <w:rFonts w:asciiTheme="minorHAnsi" w:eastAsia="Times New Roman" w:hAnsiTheme="minorHAnsi" w:cstheme="minorHAnsi"/>
          <w:b/>
          <w:bCs/>
          <w:color w:val="auto"/>
          <w:kern w:val="28"/>
          <w:sz w:val="24"/>
          <w:szCs w:val="24"/>
        </w:rPr>
        <w:t>Conclusion</w:t>
      </w:r>
    </w:p>
    <w:p w14:paraId="688C9196" w14:textId="54793329" w:rsidR="00156EBF" w:rsidRPr="00945CEA" w:rsidRDefault="00156EBF" w:rsidP="004430F7">
      <w:pPr>
        <w:spacing w:after="120"/>
        <w:rPr>
          <w:rFonts w:eastAsia="Times New Roman" w:cs="Arial"/>
          <w:snapToGrid w:val="0"/>
          <w:lang w:val="en-GB" w:eastAsia="en-AU"/>
        </w:rPr>
      </w:pPr>
      <w:r w:rsidRPr="00945CEA">
        <w:rPr>
          <w:rFonts w:eastAsia="Times New Roman" w:cs="Arial"/>
          <w:snapToGrid w:val="0"/>
          <w:lang w:val="en-GB" w:eastAsia="en-AU"/>
        </w:rPr>
        <w:t xml:space="preserve">The PBAC </w:t>
      </w:r>
      <w:r w:rsidR="00945CEA">
        <w:rPr>
          <w:rFonts w:eastAsia="Times New Roman" w:cs="Arial"/>
          <w:snapToGrid w:val="0"/>
          <w:lang w:val="en-GB" w:eastAsia="en-AU"/>
        </w:rPr>
        <w:t>C</w:t>
      </w:r>
      <w:r w:rsidRPr="00945CEA">
        <w:rPr>
          <w:rFonts w:eastAsia="Times New Roman" w:cs="Arial"/>
          <w:snapToGrid w:val="0"/>
          <w:lang w:val="en-GB" w:eastAsia="en-AU"/>
        </w:rPr>
        <w:t xml:space="preserve">hair thanked </w:t>
      </w:r>
      <w:r w:rsidR="00B078F7" w:rsidRPr="00945CEA">
        <w:rPr>
          <w:rFonts w:eastAsia="Times New Roman" w:cs="Arial"/>
          <w:snapToGrid w:val="0"/>
          <w:lang w:val="en-GB" w:eastAsia="en-AU"/>
        </w:rPr>
        <w:t>stakeholders for their time and helpful inputs into the discussion.</w:t>
      </w:r>
    </w:p>
    <w:p w14:paraId="66CEB426" w14:textId="2E8EB368" w:rsidR="00945CEA" w:rsidRDefault="00945CEA" w:rsidP="00945CEA">
      <w:pPr>
        <w:rPr>
          <w:rFonts w:ascii="Times New Roman" w:hAnsi="Times New Roman"/>
        </w:rPr>
      </w:pPr>
      <w:r>
        <w:t>The Chair also thanked the consumer representatives for their personal contributions, and appreciated their perspectives being articulated in this forum.</w:t>
      </w:r>
    </w:p>
    <w:p w14:paraId="79C01469" w14:textId="77777777" w:rsidR="00945CEA" w:rsidRPr="003A4F37" w:rsidRDefault="00945CEA" w:rsidP="004430F7">
      <w:pPr>
        <w:spacing w:after="120"/>
        <w:rPr>
          <w:rFonts w:eastAsia="Times New Roman" w:cs="Arial"/>
          <w:snapToGrid w:val="0"/>
          <w:sz w:val="22"/>
          <w:szCs w:val="22"/>
          <w:lang w:val="en-GB" w:eastAsia="en-AU"/>
        </w:rPr>
      </w:pPr>
    </w:p>
    <w:sectPr w:rsidR="00945CEA" w:rsidRPr="003A4F3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6C5A8E" w16cid:durableId="23CE9548"/>
  <w16cid:commentId w16cid:paraId="68588521" w16cid:durableId="23CD249F"/>
  <w16cid:commentId w16cid:paraId="232DCD6D" w16cid:durableId="23CE95AF"/>
  <w16cid:commentId w16cid:paraId="4EEB7B59" w16cid:durableId="23CD24A7"/>
  <w16cid:commentId w16cid:paraId="28526AD7" w16cid:durableId="610C8506"/>
  <w16cid:commentId w16cid:paraId="5C4F9058" w16cid:durableId="23CE96CA"/>
  <w16cid:commentId w16cid:paraId="4694F0A0" w16cid:durableId="23CE977F"/>
  <w16cid:commentId w16cid:paraId="1AB43A8B" w16cid:durableId="23CE97BC"/>
  <w16cid:commentId w16cid:paraId="5212EADE" w16cid:durableId="23CD2460"/>
  <w16cid:commentId w16cid:paraId="4D7E16A2" w16cid:durableId="23CD26F9"/>
  <w16cid:commentId w16cid:paraId="518F158A" w16cid:durableId="23D4DF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72CB7" w14:textId="77777777" w:rsidR="008C2AE2" w:rsidRDefault="008C2AE2" w:rsidP="008E1CFE">
      <w:pPr>
        <w:spacing w:after="0" w:line="240" w:lineRule="auto"/>
      </w:pPr>
      <w:r>
        <w:separator/>
      </w:r>
    </w:p>
  </w:endnote>
  <w:endnote w:type="continuationSeparator" w:id="0">
    <w:p w14:paraId="4D946A5B" w14:textId="77777777" w:rsidR="008C2AE2" w:rsidRDefault="008C2AE2" w:rsidP="008E1CFE">
      <w:pPr>
        <w:spacing w:after="0" w:line="240" w:lineRule="auto"/>
      </w:pPr>
      <w:r>
        <w:continuationSeparator/>
      </w:r>
    </w:p>
  </w:endnote>
  <w:endnote w:type="continuationNotice" w:id="1">
    <w:p w14:paraId="738F7444" w14:textId="77777777" w:rsidR="008C2AE2" w:rsidRDefault="008C2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12EB" w14:textId="77777777" w:rsidR="008E3DA6" w:rsidRDefault="008E3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27A0" w14:textId="77777777" w:rsidR="008E3DA6" w:rsidRDefault="008E3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A63E" w14:textId="77777777" w:rsidR="008E3DA6" w:rsidRDefault="008E3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3F5CE" w14:textId="77777777" w:rsidR="008C2AE2" w:rsidRDefault="008C2AE2" w:rsidP="008E1CFE">
      <w:pPr>
        <w:spacing w:after="0" w:line="240" w:lineRule="auto"/>
      </w:pPr>
      <w:r>
        <w:separator/>
      </w:r>
    </w:p>
  </w:footnote>
  <w:footnote w:type="continuationSeparator" w:id="0">
    <w:p w14:paraId="7B5C5E4F" w14:textId="77777777" w:rsidR="008C2AE2" w:rsidRDefault="008C2AE2" w:rsidP="008E1CFE">
      <w:pPr>
        <w:spacing w:after="0" w:line="240" w:lineRule="auto"/>
      </w:pPr>
      <w:r>
        <w:continuationSeparator/>
      </w:r>
    </w:p>
  </w:footnote>
  <w:footnote w:type="continuationNotice" w:id="1">
    <w:p w14:paraId="4E47654F" w14:textId="77777777" w:rsidR="008C2AE2" w:rsidRDefault="008C2A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9A84" w14:textId="77777777" w:rsidR="008E3DA6" w:rsidRDefault="008E3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DE6C0" w14:textId="77777777" w:rsidR="008E3DA6" w:rsidRDefault="008E3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C972" w14:textId="77777777" w:rsidR="008E3DA6" w:rsidRDefault="008E3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F5F"/>
    <w:multiLevelType w:val="hybridMultilevel"/>
    <w:tmpl w:val="C4244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2D83"/>
    <w:multiLevelType w:val="hybridMultilevel"/>
    <w:tmpl w:val="AAB4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17EB7"/>
    <w:multiLevelType w:val="hybridMultilevel"/>
    <w:tmpl w:val="3446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1B327C"/>
    <w:multiLevelType w:val="hybridMultilevel"/>
    <w:tmpl w:val="DA7E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994213"/>
    <w:multiLevelType w:val="hybridMultilevel"/>
    <w:tmpl w:val="75329AC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25D50DB"/>
    <w:multiLevelType w:val="hybridMultilevel"/>
    <w:tmpl w:val="832CA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CA2B38"/>
    <w:multiLevelType w:val="hybridMultilevel"/>
    <w:tmpl w:val="72D48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B81F40"/>
    <w:multiLevelType w:val="hybridMultilevel"/>
    <w:tmpl w:val="3CD8B312"/>
    <w:lvl w:ilvl="0" w:tplc="3B405B26">
      <w:start w:val="1"/>
      <w:numFmt w:val="bullet"/>
      <w:lvlText w:val=""/>
      <w:lvlJc w:val="left"/>
      <w:pPr>
        <w:tabs>
          <w:tab w:val="num" w:pos="720"/>
        </w:tabs>
        <w:ind w:left="720" w:hanging="360"/>
      </w:pPr>
      <w:rPr>
        <w:rFonts w:ascii="Symbol" w:hAnsi="Symbol" w:hint="default"/>
        <w:strike w:val="0"/>
      </w:rPr>
    </w:lvl>
    <w:lvl w:ilvl="1" w:tplc="3682A082">
      <w:start w:val="1"/>
      <w:numFmt w:val="bullet"/>
      <w:lvlText w:val=""/>
      <w:lvlJc w:val="left"/>
      <w:pPr>
        <w:tabs>
          <w:tab w:val="num" w:pos="1440"/>
        </w:tabs>
        <w:ind w:left="1440" w:hanging="360"/>
      </w:pPr>
      <w:rPr>
        <w:rFonts w:ascii="Symbol" w:hAnsi="Symbol" w:hint="default"/>
      </w:rPr>
    </w:lvl>
    <w:lvl w:ilvl="2" w:tplc="03BA5F70" w:tentative="1">
      <w:start w:val="1"/>
      <w:numFmt w:val="bullet"/>
      <w:lvlText w:val=""/>
      <w:lvlJc w:val="left"/>
      <w:pPr>
        <w:tabs>
          <w:tab w:val="num" w:pos="2160"/>
        </w:tabs>
        <w:ind w:left="2160" w:hanging="360"/>
      </w:pPr>
      <w:rPr>
        <w:rFonts w:ascii="Symbol" w:hAnsi="Symbol" w:hint="default"/>
      </w:rPr>
    </w:lvl>
    <w:lvl w:ilvl="3" w:tplc="B77CC3C0" w:tentative="1">
      <w:start w:val="1"/>
      <w:numFmt w:val="bullet"/>
      <w:lvlText w:val=""/>
      <w:lvlJc w:val="left"/>
      <w:pPr>
        <w:tabs>
          <w:tab w:val="num" w:pos="2880"/>
        </w:tabs>
        <w:ind w:left="2880" w:hanging="360"/>
      </w:pPr>
      <w:rPr>
        <w:rFonts w:ascii="Symbol" w:hAnsi="Symbol" w:hint="default"/>
      </w:rPr>
    </w:lvl>
    <w:lvl w:ilvl="4" w:tplc="44E2E2BC" w:tentative="1">
      <w:start w:val="1"/>
      <w:numFmt w:val="bullet"/>
      <w:lvlText w:val=""/>
      <w:lvlJc w:val="left"/>
      <w:pPr>
        <w:tabs>
          <w:tab w:val="num" w:pos="3600"/>
        </w:tabs>
        <w:ind w:left="3600" w:hanging="360"/>
      </w:pPr>
      <w:rPr>
        <w:rFonts w:ascii="Symbol" w:hAnsi="Symbol" w:hint="default"/>
      </w:rPr>
    </w:lvl>
    <w:lvl w:ilvl="5" w:tplc="FA1461EE" w:tentative="1">
      <w:start w:val="1"/>
      <w:numFmt w:val="bullet"/>
      <w:lvlText w:val=""/>
      <w:lvlJc w:val="left"/>
      <w:pPr>
        <w:tabs>
          <w:tab w:val="num" w:pos="4320"/>
        </w:tabs>
        <w:ind w:left="4320" w:hanging="360"/>
      </w:pPr>
      <w:rPr>
        <w:rFonts w:ascii="Symbol" w:hAnsi="Symbol" w:hint="default"/>
      </w:rPr>
    </w:lvl>
    <w:lvl w:ilvl="6" w:tplc="43184E90" w:tentative="1">
      <w:start w:val="1"/>
      <w:numFmt w:val="bullet"/>
      <w:lvlText w:val=""/>
      <w:lvlJc w:val="left"/>
      <w:pPr>
        <w:tabs>
          <w:tab w:val="num" w:pos="5040"/>
        </w:tabs>
        <w:ind w:left="5040" w:hanging="360"/>
      </w:pPr>
      <w:rPr>
        <w:rFonts w:ascii="Symbol" w:hAnsi="Symbol" w:hint="default"/>
      </w:rPr>
    </w:lvl>
    <w:lvl w:ilvl="7" w:tplc="6E427D18" w:tentative="1">
      <w:start w:val="1"/>
      <w:numFmt w:val="bullet"/>
      <w:lvlText w:val=""/>
      <w:lvlJc w:val="left"/>
      <w:pPr>
        <w:tabs>
          <w:tab w:val="num" w:pos="5760"/>
        </w:tabs>
        <w:ind w:left="5760" w:hanging="360"/>
      </w:pPr>
      <w:rPr>
        <w:rFonts w:ascii="Symbol" w:hAnsi="Symbol" w:hint="default"/>
      </w:rPr>
    </w:lvl>
    <w:lvl w:ilvl="8" w:tplc="8BAEF37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9061DB6"/>
    <w:multiLevelType w:val="hybridMultilevel"/>
    <w:tmpl w:val="F73EC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220B39"/>
    <w:multiLevelType w:val="hybridMultilevel"/>
    <w:tmpl w:val="589CD38C"/>
    <w:lvl w:ilvl="0" w:tplc="21D08FBC">
      <w:start w:val="1"/>
      <w:numFmt w:val="lowerLetter"/>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6105B6"/>
    <w:multiLevelType w:val="hybridMultilevel"/>
    <w:tmpl w:val="B056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EA6FB6"/>
    <w:multiLevelType w:val="hybridMultilevel"/>
    <w:tmpl w:val="573880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AB32C2C"/>
    <w:multiLevelType w:val="hybridMultilevel"/>
    <w:tmpl w:val="B242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9400F0"/>
    <w:multiLevelType w:val="hybridMultilevel"/>
    <w:tmpl w:val="5F747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6B21F2"/>
    <w:multiLevelType w:val="hybridMultilevel"/>
    <w:tmpl w:val="37202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EA009A0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5"/>
  </w:num>
  <w:num w:numId="3">
    <w:abstractNumId w:val="9"/>
  </w:num>
  <w:num w:numId="4">
    <w:abstractNumId w:val="7"/>
  </w:num>
  <w:num w:numId="5">
    <w:abstractNumId w:val="15"/>
  </w:num>
  <w:num w:numId="6">
    <w:abstractNumId w:val="5"/>
  </w:num>
  <w:num w:numId="7">
    <w:abstractNumId w:val="10"/>
  </w:num>
  <w:num w:numId="8">
    <w:abstractNumId w:val="1"/>
  </w:num>
  <w:num w:numId="9">
    <w:abstractNumId w:val="0"/>
  </w:num>
  <w:num w:numId="10">
    <w:abstractNumId w:val="6"/>
  </w:num>
  <w:num w:numId="11">
    <w:abstractNumId w:val="8"/>
  </w:num>
  <w:num w:numId="12">
    <w:abstractNumId w:val="13"/>
  </w:num>
  <w:num w:numId="13">
    <w:abstractNumId w:val="14"/>
  </w:num>
  <w:num w:numId="14">
    <w:abstractNumId w:val="3"/>
  </w:num>
  <w:num w:numId="15">
    <w:abstractNumId w:val="1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F7"/>
    <w:rsid w:val="000714E5"/>
    <w:rsid w:val="0007173C"/>
    <w:rsid w:val="0009351B"/>
    <w:rsid w:val="000A26CC"/>
    <w:rsid w:val="000D5B8E"/>
    <w:rsid w:val="000F0D6D"/>
    <w:rsid w:val="000F1624"/>
    <w:rsid w:val="000F1FB1"/>
    <w:rsid w:val="00111494"/>
    <w:rsid w:val="00120215"/>
    <w:rsid w:val="001205EF"/>
    <w:rsid w:val="001234DF"/>
    <w:rsid w:val="00141189"/>
    <w:rsid w:val="001553B0"/>
    <w:rsid w:val="00156EBF"/>
    <w:rsid w:val="00160498"/>
    <w:rsid w:val="0017025A"/>
    <w:rsid w:val="00175031"/>
    <w:rsid w:val="0018748A"/>
    <w:rsid w:val="001932DF"/>
    <w:rsid w:val="001C1778"/>
    <w:rsid w:val="001F74FC"/>
    <w:rsid w:val="001F7603"/>
    <w:rsid w:val="00217CBD"/>
    <w:rsid w:val="002346A2"/>
    <w:rsid w:val="0023551D"/>
    <w:rsid w:val="00237C05"/>
    <w:rsid w:val="0025775D"/>
    <w:rsid w:val="00257D12"/>
    <w:rsid w:val="00280050"/>
    <w:rsid w:val="00281028"/>
    <w:rsid w:val="00284062"/>
    <w:rsid w:val="00292174"/>
    <w:rsid w:val="002B42F2"/>
    <w:rsid w:val="002C1E6A"/>
    <w:rsid w:val="002C3E96"/>
    <w:rsid w:val="002D3449"/>
    <w:rsid w:val="002D6083"/>
    <w:rsid w:val="002E1FC3"/>
    <w:rsid w:val="002E4276"/>
    <w:rsid w:val="002E5F56"/>
    <w:rsid w:val="00302605"/>
    <w:rsid w:val="00313107"/>
    <w:rsid w:val="003424A7"/>
    <w:rsid w:val="00353BAE"/>
    <w:rsid w:val="00370BD5"/>
    <w:rsid w:val="00390773"/>
    <w:rsid w:val="00395A61"/>
    <w:rsid w:val="003A4F37"/>
    <w:rsid w:val="003B0A9C"/>
    <w:rsid w:val="003D6AEC"/>
    <w:rsid w:val="003E4459"/>
    <w:rsid w:val="003E5DE6"/>
    <w:rsid w:val="003F1776"/>
    <w:rsid w:val="003F316D"/>
    <w:rsid w:val="004214D8"/>
    <w:rsid w:val="004300A3"/>
    <w:rsid w:val="0043361D"/>
    <w:rsid w:val="00434D60"/>
    <w:rsid w:val="004430F7"/>
    <w:rsid w:val="00445A9A"/>
    <w:rsid w:val="00453D61"/>
    <w:rsid w:val="004818AE"/>
    <w:rsid w:val="004A0829"/>
    <w:rsid w:val="004A39BD"/>
    <w:rsid w:val="004B3228"/>
    <w:rsid w:val="004C1614"/>
    <w:rsid w:val="004F2E57"/>
    <w:rsid w:val="004F5687"/>
    <w:rsid w:val="00502FFD"/>
    <w:rsid w:val="00533A57"/>
    <w:rsid w:val="005428B2"/>
    <w:rsid w:val="00560CB8"/>
    <w:rsid w:val="00566BEA"/>
    <w:rsid w:val="0057024D"/>
    <w:rsid w:val="00570CD9"/>
    <w:rsid w:val="00584F8B"/>
    <w:rsid w:val="00586C61"/>
    <w:rsid w:val="005A3F26"/>
    <w:rsid w:val="005E776B"/>
    <w:rsid w:val="005F2713"/>
    <w:rsid w:val="005F7640"/>
    <w:rsid w:val="00616595"/>
    <w:rsid w:val="00623908"/>
    <w:rsid w:val="00624AF4"/>
    <w:rsid w:val="00655320"/>
    <w:rsid w:val="006749AB"/>
    <w:rsid w:val="00675C61"/>
    <w:rsid w:val="00682CBF"/>
    <w:rsid w:val="0069434A"/>
    <w:rsid w:val="006A1990"/>
    <w:rsid w:val="006B3588"/>
    <w:rsid w:val="00702649"/>
    <w:rsid w:val="007119C7"/>
    <w:rsid w:val="00715B9A"/>
    <w:rsid w:val="00721A98"/>
    <w:rsid w:val="00744E1C"/>
    <w:rsid w:val="007747DB"/>
    <w:rsid w:val="00797E73"/>
    <w:rsid w:val="007A6F6D"/>
    <w:rsid w:val="007B5623"/>
    <w:rsid w:val="007E267A"/>
    <w:rsid w:val="007E7669"/>
    <w:rsid w:val="00804C24"/>
    <w:rsid w:val="00842E52"/>
    <w:rsid w:val="00863A4F"/>
    <w:rsid w:val="00874488"/>
    <w:rsid w:val="008750BE"/>
    <w:rsid w:val="00882715"/>
    <w:rsid w:val="008839BA"/>
    <w:rsid w:val="00896D0E"/>
    <w:rsid w:val="008C2AE2"/>
    <w:rsid w:val="008E1CFE"/>
    <w:rsid w:val="008E3DA6"/>
    <w:rsid w:val="00901C62"/>
    <w:rsid w:val="00920E0B"/>
    <w:rsid w:val="00945CEA"/>
    <w:rsid w:val="009736C4"/>
    <w:rsid w:val="00976043"/>
    <w:rsid w:val="009761AC"/>
    <w:rsid w:val="009771E5"/>
    <w:rsid w:val="009778AC"/>
    <w:rsid w:val="00992B2B"/>
    <w:rsid w:val="009D1E7F"/>
    <w:rsid w:val="009E05AF"/>
    <w:rsid w:val="009E277F"/>
    <w:rsid w:val="009E5819"/>
    <w:rsid w:val="00A57F94"/>
    <w:rsid w:val="00A8315A"/>
    <w:rsid w:val="00AA0B4F"/>
    <w:rsid w:val="00AE2087"/>
    <w:rsid w:val="00B078F7"/>
    <w:rsid w:val="00B327CF"/>
    <w:rsid w:val="00B33B71"/>
    <w:rsid w:val="00B36594"/>
    <w:rsid w:val="00B43052"/>
    <w:rsid w:val="00B51512"/>
    <w:rsid w:val="00B618F9"/>
    <w:rsid w:val="00B71894"/>
    <w:rsid w:val="00B75EC7"/>
    <w:rsid w:val="00B83371"/>
    <w:rsid w:val="00B905B1"/>
    <w:rsid w:val="00BA7287"/>
    <w:rsid w:val="00BB34BB"/>
    <w:rsid w:val="00BB5967"/>
    <w:rsid w:val="00BC0B0E"/>
    <w:rsid w:val="00C204DF"/>
    <w:rsid w:val="00C4265B"/>
    <w:rsid w:val="00C460DA"/>
    <w:rsid w:val="00C777CC"/>
    <w:rsid w:val="00C853BB"/>
    <w:rsid w:val="00C93C4B"/>
    <w:rsid w:val="00CD30FA"/>
    <w:rsid w:val="00CE440B"/>
    <w:rsid w:val="00CE4B4F"/>
    <w:rsid w:val="00D20F40"/>
    <w:rsid w:val="00D21798"/>
    <w:rsid w:val="00D24366"/>
    <w:rsid w:val="00D256BF"/>
    <w:rsid w:val="00D33B7D"/>
    <w:rsid w:val="00D36F6C"/>
    <w:rsid w:val="00D47FE6"/>
    <w:rsid w:val="00D853C8"/>
    <w:rsid w:val="00D86EBF"/>
    <w:rsid w:val="00DE1390"/>
    <w:rsid w:val="00E12921"/>
    <w:rsid w:val="00E24D67"/>
    <w:rsid w:val="00E45751"/>
    <w:rsid w:val="00E65A68"/>
    <w:rsid w:val="00E753D6"/>
    <w:rsid w:val="00E82C8B"/>
    <w:rsid w:val="00E85EC3"/>
    <w:rsid w:val="00E93B05"/>
    <w:rsid w:val="00EC65AD"/>
    <w:rsid w:val="00ED2367"/>
    <w:rsid w:val="00EF6406"/>
    <w:rsid w:val="00F016DE"/>
    <w:rsid w:val="00F14D6C"/>
    <w:rsid w:val="00F2544F"/>
    <w:rsid w:val="00F31C77"/>
    <w:rsid w:val="00F60EBC"/>
    <w:rsid w:val="00F615D9"/>
    <w:rsid w:val="00F87166"/>
    <w:rsid w:val="00FA721D"/>
    <w:rsid w:val="00FE52FB"/>
    <w:rsid w:val="1072CF1B"/>
    <w:rsid w:val="3633FA0B"/>
    <w:rsid w:val="73327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958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CC"/>
    <w:rPr>
      <w:rFonts w:ascii="Calibri" w:hAnsi="Calibri"/>
    </w:rPr>
  </w:style>
  <w:style w:type="paragraph" w:styleId="Heading1">
    <w:name w:val="heading 1"/>
    <w:basedOn w:val="Normal"/>
    <w:next w:val="Normal"/>
    <w:link w:val="Heading1Char"/>
    <w:qFormat/>
    <w:rsid w:val="00443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430F7"/>
    <w:pPr>
      <w:keepNext/>
      <w:spacing w:before="240" w:after="60" w:line="240" w:lineRule="auto"/>
      <w:outlineLvl w:val="1"/>
    </w:pPr>
    <w:rPr>
      <w:rFonts w:ascii="Arial" w:eastAsia="Times New Roman"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0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430F7"/>
    <w:rPr>
      <w:rFonts w:ascii="Arial" w:eastAsia="Times New Roman" w:hAnsi="Arial" w:cs="Arial"/>
      <w:b/>
      <w:bCs/>
      <w:iCs/>
      <w:szCs w:val="28"/>
    </w:rPr>
  </w:style>
  <w:style w:type="character" w:styleId="Emphasis">
    <w:name w:val="Emphasis"/>
    <w:basedOn w:val="DefaultParagraphFont"/>
    <w:uiPriority w:val="20"/>
    <w:qFormat/>
    <w:rsid w:val="00566BEA"/>
    <w:rPr>
      <w:i/>
      <w:iCs/>
    </w:rPr>
  </w:style>
  <w:style w:type="paragraph" w:customStyle="1" w:styleId="2-SectionHeading">
    <w:name w:val="2-Section Heading"/>
    <w:qFormat/>
    <w:rsid w:val="004B3228"/>
    <w:pPr>
      <w:keepNext/>
      <w:numPr>
        <w:numId w:val="2"/>
      </w:numPr>
      <w:spacing w:before="240" w:after="120" w:line="240" w:lineRule="auto"/>
      <w:ind w:left="360" w:hanging="360"/>
      <w:outlineLvl w:val="0"/>
    </w:pPr>
    <w:rPr>
      <w:rFonts w:ascii="Calibri" w:eastAsia="Times New Roman" w:hAnsi="Calibri" w:cs="Arial"/>
      <w:b/>
      <w:snapToGrid w:val="0"/>
      <w:sz w:val="32"/>
      <w:szCs w:val="32"/>
      <w:lang w:eastAsia="en-AU"/>
    </w:rPr>
  </w:style>
  <w:style w:type="paragraph" w:customStyle="1" w:styleId="3-BodyText">
    <w:name w:val="3-Body Text"/>
    <w:basedOn w:val="ListParagraph"/>
    <w:link w:val="3-BodyTextChar"/>
    <w:qFormat/>
    <w:rsid w:val="004B3228"/>
    <w:pPr>
      <w:numPr>
        <w:ilvl w:val="1"/>
        <w:numId w:val="2"/>
      </w:numPr>
      <w:spacing w:after="120" w:line="240" w:lineRule="auto"/>
      <w:contextualSpacing w:val="0"/>
      <w:jc w:val="both"/>
    </w:pPr>
    <w:rPr>
      <w:rFonts w:eastAsia="Times New Roman" w:cs="Arial"/>
      <w:snapToGrid w:val="0"/>
      <w:lang w:eastAsia="en-AU"/>
    </w:rPr>
  </w:style>
  <w:style w:type="character" w:customStyle="1" w:styleId="3-BodyTextChar">
    <w:name w:val="3-Body Text Char"/>
    <w:basedOn w:val="DefaultParagraphFont"/>
    <w:link w:val="3-BodyText"/>
    <w:rsid w:val="004B3228"/>
    <w:rPr>
      <w:rFonts w:ascii="Calibri" w:eastAsia="Times New Roman" w:hAnsi="Calibri" w:cs="Arial"/>
      <w:snapToGrid w:val="0"/>
      <w:lang w:eastAsia="en-AU"/>
    </w:rPr>
  </w:style>
  <w:style w:type="paragraph" w:styleId="ListParagraph">
    <w:name w:val="List Paragraph"/>
    <w:basedOn w:val="Normal"/>
    <w:uiPriority w:val="34"/>
    <w:qFormat/>
    <w:rsid w:val="004B3228"/>
    <w:pPr>
      <w:ind w:left="720"/>
      <w:contextualSpacing/>
    </w:pPr>
  </w:style>
  <w:style w:type="character" w:styleId="CommentReference">
    <w:name w:val="annotation reference"/>
    <w:basedOn w:val="DefaultParagraphFont"/>
    <w:uiPriority w:val="99"/>
    <w:semiHidden/>
    <w:unhideWhenUsed/>
    <w:rsid w:val="004B3228"/>
    <w:rPr>
      <w:sz w:val="16"/>
      <w:szCs w:val="16"/>
    </w:rPr>
  </w:style>
  <w:style w:type="paragraph" w:styleId="CommentText">
    <w:name w:val="annotation text"/>
    <w:basedOn w:val="Normal"/>
    <w:link w:val="CommentTextChar"/>
    <w:uiPriority w:val="99"/>
    <w:unhideWhenUsed/>
    <w:rsid w:val="004B3228"/>
    <w:pPr>
      <w:spacing w:line="240" w:lineRule="auto"/>
    </w:pPr>
    <w:rPr>
      <w:sz w:val="20"/>
      <w:szCs w:val="20"/>
    </w:rPr>
  </w:style>
  <w:style w:type="character" w:customStyle="1" w:styleId="CommentTextChar">
    <w:name w:val="Comment Text Char"/>
    <w:basedOn w:val="DefaultParagraphFont"/>
    <w:link w:val="CommentText"/>
    <w:uiPriority w:val="99"/>
    <w:rsid w:val="004B322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B3228"/>
    <w:rPr>
      <w:b/>
      <w:bCs/>
    </w:rPr>
  </w:style>
  <w:style w:type="character" w:customStyle="1" w:styleId="CommentSubjectChar">
    <w:name w:val="Comment Subject Char"/>
    <w:basedOn w:val="CommentTextChar"/>
    <w:link w:val="CommentSubject"/>
    <w:uiPriority w:val="99"/>
    <w:semiHidden/>
    <w:rsid w:val="004B3228"/>
    <w:rPr>
      <w:rFonts w:ascii="Calibri" w:hAnsi="Calibri"/>
      <w:b/>
      <w:bCs/>
      <w:sz w:val="20"/>
      <w:szCs w:val="20"/>
    </w:rPr>
  </w:style>
  <w:style w:type="paragraph" w:styleId="BalloonText">
    <w:name w:val="Balloon Text"/>
    <w:basedOn w:val="Normal"/>
    <w:link w:val="BalloonTextChar"/>
    <w:uiPriority w:val="99"/>
    <w:semiHidden/>
    <w:unhideWhenUsed/>
    <w:rsid w:val="004B3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228"/>
    <w:rPr>
      <w:rFonts w:ascii="Segoe UI" w:hAnsi="Segoe UI" w:cs="Segoe UI"/>
      <w:sz w:val="18"/>
      <w:szCs w:val="18"/>
    </w:rPr>
  </w:style>
  <w:style w:type="paragraph" w:styleId="Header">
    <w:name w:val="header"/>
    <w:basedOn w:val="Normal"/>
    <w:link w:val="HeaderChar"/>
    <w:uiPriority w:val="99"/>
    <w:unhideWhenUsed/>
    <w:rsid w:val="008E1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CFE"/>
    <w:rPr>
      <w:rFonts w:ascii="Calibri" w:hAnsi="Calibri"/>
    </w:rPr>
  </w:style>
  <w:style w:type="paragraph" w:styleId="Footer">
    <w:name w:val="footer"/>
    <w:basedOn w:val="Normal"/>
    <w:link w:val="FooterChar"/>
    <w:uiPriority w:val="99"/>
    <w:unhideWhenUsed/>
    <w:rsid w:val="008E1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CFE"/>
    <w:rPr>
      <w:rFonts w:ascii="Calibri" w:hAnsi="Calibri"/>
    </w:rPr>
  </w:style>
  <w:style w:type="paragraph" w:customStyle="1" w:styleId="Style1">
    <w:name w:val="Style1"/>
    <w:basedOn w:val="Heading2"/>
    <w:link w:val="Style1Char"/>
    <w:qFormat/>
    <w:rsid w:val="003F1776"/>
    <w:rPr>
      <w:rFonts w:asciiTheme="minorHAnsi" w:hAnsiTheme="minorHAnsi"/>
      <w:i/>
      <w:sz w:val="22"/>
    </w:rPr>
  </w:style>
  <w:style w:type="character" w:customStyle="1" w:styleId="Style1Char">
    <w:name w:val="Style1 Char"/>
    <w:basedOn w:val="Heading2Char"/>
    <w:link w:val="Style1"/>
    <w:rsid w:val="003F1776"/>
    <w:rPr>
      <w:rFonts w:asciiTheme="minorHAnsi" w:eastAsia="Times New Roman" w:hAnsiTheme="minorHAnsi" w:cs="Arial"/>
      <w:b/>
      <w:bCs/>
      <w:i/>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9370">
      <w:bodyDiv w:val="1"/>
      <w:marLeft w:val="0"/>
      <w:marRight w:val="0"/>
      <w:marTop w:val="0"/>
      <w:marBottom w:val="0"/>
      <w:divBdr>
        <w:top w:val="none" w:sz="0" w:space="0" w:color="auto"/>
        <w:left w:val="none" w:sz="0" w:space="0" w:color="auto"/>
        <w:bottom w:val="none" w:sz="0" w:space="0" w:color="auto"/>
        <w:right w:val="none" w:sz="0" w:space="0" w:color="auto"/>
      </w:divBdr>
    </w:div>
    <w:div w:id="210379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9678-CCBF-427F-8065-D03355E5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2021-03-23T02:57:00Z</dcterms:created>
  <dcterms:modified xsi:type="dcterms:W3CDTF">2021-03-23T03:59:00Z</dcterms:modified>
</cp:coreProperties>
</file>