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ECEE6" w14:textId="39EBDEE4" w:rsidR="00405078" w:rsidRPr="00D0545F" w:rsidRDefault="002240D9" w:rsidP="008464AD">
      <w:pPr>
        <w:pStyle w:val="Heading1"/>
        <w:jc w:val="center"/>
      </w:pPr>
      <w:proofErr w:type="spellStart"/>
      <w:r>
        <w:t>Semaglutide</w:t>
      </w:r>
      <w:proofErr w:type="spellEnd"/>
      <w:r>
        <w:t xml:space="preserve"> </w:t>
      </w:r>
      <w:r w:rsidR="008464AD">
        <w:t>S</w:t>
      </w:r>
      <w:r>
        <w:t>takeholder</w:t>
      </w:r>
      <w:r w:rsidR="00B6550E">
        <w:t xml:space="preserve"> </w:t>
      </w:r>
      <w:r w:rsidR="008464AD">
        <w:t>M</w:t>
      </w:r>
      <w:r w:rsidR="00B6550E">
        <w:t>eeting</w:t>
      </w:r>
      <w:r w:rsidR="008464AD">
        <w:t xml:space="preserve"> </w:t>
      </w:r>
      <w:r w:rsidR="008464AD">
        <w:br/>
        <w:t>O</w:t>
      </w:r>
      <w:r w:rsidR="0014149B" w:rsidRPr="00D0545F">
        <w:t xml:space="preserve">utcome </w:t>
      </w:r>
      <w:r w:rsidR="008464AD">
        <w:t>S</w:t>
      </w:r>
      <w:r w:rsidR="0014149B" w:rsidRPr="00D0545F">
        <w:t>tatement</w:t>
      </w:r>
    </w:p>
    <w:p w14:paraId="74DAC32B" w14:textId="0C883905" w:rsidR="0014149B" w:rsidRPr="008464AD" w:rsidRDefault="008464AD" w:rsidP="000F0C34">
      <w:pPr>
        <w:tabs>
          <w:tab w:val="left" w:pos="12900"/>
        </w:tabs>
        <w:spacing w:before="240"/>
        <w:jc w:val="center"/>
        <w:rPr>
          <w:rFonts w:cs="Arial"/>
          <w:b/>
          <w:bCs/>
          <w:sz w:val="28"/>
          <w:szCs w:val="28"/>
        </w:rPr>
      </w:pPr>
      <w:r w:rsidRPr="008464AD">
        <w:rPr>
          <w:rFonts w:cs="Arial"/>
          <w:b/>
          <w:bCs/>
          <w:sz w:val="28"/>
          <w:szCs w:val="28"/>
        </w:rPr>
        <w:t xml:space="preserve">Thursday </w:t>
      </w:r>
      <w:r w:rsidR="00405078" w:rsidRPr="008464AD">
        <w:rPr>
          <w:rFonts w:cs="Arial"/>
          <w:b/>
          <w:bCs/>
          <w:sz w:val="28"/>
          <w:szCs w:val="28"/>
        </w:rPr>
        <w:t>2</w:t>
      </w:r>
      <w:r w:rsidR="002240D9" w:rsidRPr="008464AD">
        <w:rPr>
          <w:rFonts w:cs="Arial"/>
          <w:b/>
          <w:bCs/>
          <w:sz w:val="28"/>
          <w:szCs w:val="28"/>
        </w:rPr>
        <w:t xml:space="preserve">6 August </w:t>
      </w:r>
      <w:r w:rsidR="00405078" w:rsidRPr="008464AD">
        <w:rPr>
          <w:rFonts w:cs="Arial"/>
          <w:b/>
          <w:bCs/>
          <w:sz w:val="28"/>
          <w:szCs w:val="28"/>
        </w:rPr>
        <w:t>20</w:t>
      </w:r>
      <w:r w:rsidR="00B6550E" w:rsidRPr="008464AD">
        <w:rPr>
          <w:rFonts w:cs="Arial"/>
          <w:b/>
          <w:bCs/>
          <w:sz w:val="28"/>
          <w:szCs w:val="28"/>
        </w:rPr>
        <w:t>21</w:t>
      </w:r>
    </w:p>
    <w:p w14:paraId="104434DB" w14:textId="77777777" w:rsidR="0014149B" w:rsidRPr="00D0545F" w:rsidRDefault="0014149B" w:rsidP="00564C85">
      <w:pPr>
        <w:pStyle w:val="Heading2"/>
      </w:pPr>
      <w:r w:rsidRPr="00D0545F">
        <w:t>Attendees</w:t>
      </w:r>
    </w:p>
    <w:p w14:paraId="20163ED1" w14:textId="4B583BF7" w:rsidR="008464AD" w:rsidRPr="0021250C" w:rsidRDefault="0021250C" w:rsidP="00E955CC">
      <w:pPr>
        <w:jc w:val="both"/>
        <w:rPr>
          <w:rFonts w:cs="Arial"/>
        </w:rPr>
      </w:pPr>
      <w:r>
        <w:rPr>
          <w:rFonts w:cs="Arial"/>
        </w:rPr>
        <w:t xml:space="preserve">Members of the Pharmaceutical Benefits Advisory Committee (PBAC), </w:t>
      </w:r>
      <w:r w:rsidR="00F23DDD">
        <w:rPr>
          <w:rFonts w:cs="Arial"/>
        </w:rPr>
        <w:t xml:space="preserve">clinicians with expertise in the management of overweight and obesity, </w:t>
      </w:r>
      <w:r w:rsidR="00BF1F01">
        <w:rPr>
          <w:rFonts w:cs="Arial"/>
        </w:rPr>
        <w:t xml:space="preserve">including </w:t>
      </w:r>
      <w:r w:rsidR="00E4387D">
        <w:rPr>
          <w:rFonts w:cs="Arial"/>
        </w:rPr>
        <w:t xml:space="preserve">a </w:t>
      </w:r>
      <w:r w:rsidR="00BF1F01">
        <w:t>Staff Specialist in Endocrinology, Royal North Shore Hospital,</w:t>
      </w:r>
      <w:r w:rsidR="0076584B">
        <w:t xml:space="preserve"> representatives from the Obesity Collective,</w:t>
      </w:r>
      <w:r w:rsidR="0076584B" w:rsidRPr="00F319A7">
        <w:rPr>
          <w:rFonts w:cs="Arial"/>
        </w:rPr>
        <w:t xml:space="preserve"> </w:t>
      </w:r>
      <w:r w:rsidR="00FA10F2" w:rsidRPr="00F319A7">
        <w:rPr>
          <w:rFonts w:cs="Arial"/>
        </w:rPr>
        <w:t xml:space="preserve">consumer </w:t>
      </w:r>
      <w:r w:rsidR="00F319A7" w:rsidRPr="00F319A7">
        <w:rPr>
          <w:rFonts w:cs="Arial"/>
        </w:rPr>
        <w:t>group</w:t>
      </w:r>
      <w:r w:rsidR="0076584B">
        <w:rPr>
          <w:rFonts w:cs="Arial"/>
        </w:rPr>
        <w:t>s,</w:t>
      </w:r>
      <w:r w:rsidR="00F23DDD" w:rsidRPr="00F319A7">
        <w:rPr>
          <w:rFonts w:cs="Arial"/>
        </w:rPr>
        <w:t xml:space="preserve"> Novo</w:t>
      </w:r>
      <w:r w:rsidR="00440419" w:rsidRPr="00F319A7">
        <w:rPr>
          <w:rFonts w:cs="Arial"/>
        </w:rPr>
        <w:t> </w:t>
      </w:r>
      <w:r w:rsidR="00F23DDD" w:rsidRPr="00F319A7">
        <w:rPr>
          <w:rFonts w:cs="Arial"/>
        </w:rPr>
        <w:t>Nordisk Pharmaceuticals</w:t>
      </w:r>
      <w:r w:rsidR="008B1927" w:rsidRPr="00F319A7">
        <w:rPr>
          <w:rFonts w:cs="Arial"/>
        </w:rPr>
        <w:t>, and the Department of Health</w:t>
      </w:r>
      <w:r w:rsidR="008B1927">
        <w:rPr>
          <w:rFonts w:cs="Arial"/>
        </w:rPr>
        <w:t xml:space="preserve"> were in attendance. </w:t>
      </w:r>
    </w:p>
    <w:p w14:paraId="2723FD01" w14:textId="3071D31B" w:rsidR="003C770B" w:rsidRDefault="0090538C" w:rsidP="00E955CC">
      <w:pPr>
        <w:jc w:val="both"/>
        <w:rPr>
          <w:rFonts w:cs="Arial"/>
        </w:rPr>
      </w:pPr>
      <w:r>
        <w:rPr>
          <w:rFonts w:cs="Arial"/>
        </w:rPr>
        <w:t>Non-departmental a</w:t>
      </w:r>
      <w:r w:rsidR="003C770B">
        <w:rPr>
          <w:rFonts w:cs="Arial"/>
        </w:rPr>
        <w:t>ttendees undertook confidentiality declarations and provided conflict of interest statements.</w:t>
      </w:r>
    </w:p>
    <w:p w14:paraId="2AADE2FC" w14:textId="77777777" w:rsidR="00564C85" w:rsidRDefault="00564C85" w:rsidP="00564C85">
      <w:pPr>
        <w:pStyle w:val="Heading2"/>
      </w:pPr>
      <w:r>
        <w:t>Purpose of meeting</w:t>
      </w:r>
    </w:p>
    <w:p w14:paraId="5561A03A" w14:textId="77777777" w:rsidR="005C4705" w:rsidRPr="005C4705" w:rsidRDefault="0090538C" w:rsidP="00E955CC">
      <w:pPr>
        <w:jc w:val="both"/>
        <w:rPr>
          <w:rFonts w:cs="Arial"/>
        </w:rPr>
      </w:pPr>
      <w:r w:rsidRPr="005C4705">
        <w:rPr>
          <w:rFonts w:cs="Arial"/>
        </w:rPr>
        <w:t>The PBAC Chair outlined th</w:t>
      </w:r>
      <w:r w:rsidR="005C4705" w:rsidRPr="005C4705">
        <w:rPr>
          <w:rFonts w:cs="Arial"/>
        </w:rPr>
        <w:t>at the objective of the stakeholder meeting was to</w:t>
      </w:r>
      <w:r w:rsidR="00BB3723" w:rsidRPr="005C4705">
        <w:rPr>
          <w:rFonts w:cs="Arial"/>
        </w:rPr>
        <w:t xml:space="preserve"> discuss</w:t>
      </w:r>
      <w:r w:rsidRPr="005C4705">
        <w:rPr>
          <w:rFonts w:cs="Arial"/>
        </w:rPr>
        <w:t>:</w:t>
      </w:r>
      <w:r w:rsidR="005C4705" w:rsidRPr="005C4705">
        <w:rPr>
          <w:rFonts w:cs="Arial"/>
        </w:rPr>
        <w:t xml:space="preserve"> </w:t>
      </w:r>
    </w:p>
    <w:p w14:paraId="7292F1E0" w14:textId="277074AE" w:rsidR="009D4FDF" w:rsidRPr="00CF28DB" w:rsidRDefault="00A25DC0" w:rsidP="009D4FDF">
      <w:pPr>
        <w:pStyle w:val="ListParagraph"/>
        <w:numPr>
          <w:ilvl w:val="0"/>
          <w:numId w:val="8"/>
        </w:numPr>
        <w:ind w:left="426" w:hanging="426"/>
        <w:jc w:val="both"/>
        <w:rPr>
          <w:rFonts w:cs="Arial"/>
        </w:rPr>
      </w:pPr>
      <w:r w:rsidRPr="000776B1">
        <w:rPr>
          <w:rFonts w:cs="Arial"/>
        </w:rPr>
        <w:t>T</w:t>
      </w:r>
      <w:r w:rsidR="009D4FDF" w:rsidRPr="000776B1">
        <w:rPr>
          <w:rFonts w:cs="Arial"/>
        </w:rPr>
        <w:t xml:space="preserve">he burden of disease of overweight and obesity, and </w:t>
      </w:r>
      <w:r w:rsidR="009D4FDF" w:rsidRPr="00CF28DB">
        <w:rPr>
          <w:rFonts w:cs="Arial"/>
        </w:rPr>
        <w:t>the nature of these conditions.</w:t>
      </w:r>
    </w:p>
    <w:p w14:paraId="20E3735A" w14:textId="4650486A" w:rsidR="009D4FDF" w:rsidRPr="000776B1" w:rsidRDefault="00A25DC0" w:rsidP="009D4FDF">
      <w:pPr>
        <w:pStyle w:val="ListParagraph"/>
        <w:numPr>
          <w:ilvl w:val="0"/>
          <w:numId w:val="8"/>
        </w:numPr>
        <w:ind w:left="426" w:hanging="426"/>
        <w:jc w:val="both"/>
        <w:rPr>
          <w:rFonts w:cs="Arial"/>
        </w:rPr>
      </w:pPr>
      <w:r w:rsidRPr="000776B1">
        <w:rPr>
          <w:rFonts w:cs="Arial"/>
        </w:rPr>
        <w:t>The</w:t>
      </w:r>
      <w:r w:rsidR="009D4FDF" w:rsidRPr="000776B1">
        <w:rPr>
          <w:rFonts w:cs="Arial"/>
        </w:rPr>
        <w:t xml:space="preserve"> population suitable for pharmacotherapy/</w:t>
      </w:r>
      <w:proofErr w:type="spellStart"/>
      <w:r w:rsidR="009D4FDF" w:rsidRPr="000776B1">
        <w:rPr>
          <w:rFonts w:cs="Arial"/>
        </w:rPr>
        <w:t>semaglutide</w:t>
      </w:r>
      <w:proofErr w:type="spellEnd"/>
      <w:r w:rsidR="005C353B" w:rsidRPr="000776B1">
        <w:rPr>
          <w:rFonts w:cs="Arial"/>
        </w:rPr>
        <w:t>.</w:t>
      </w:r>
    </w:p>
    <w:p w14:paraId="62E83C82" w14:textId="10F6E88C" w:rsidR="009D4FDF" w:rsidRPr="00CF28DB" w:rsidRDefault="009D4FDF" w:rsidP="009D4FDF">
      <w:pPr>
        <w:pStyle w:val="ListParagraph"/>
        <w:numPr>
          <w:ilvl w:val="0"/>
          <w:numId w:val="8"/>
        </w:numPr>
        <w:ind w:left="426" w:hanging="426"/>
        <w:jc w:val="both"/>
        <w:rPr>
          <w:rFonts w:cs="Arial"/>
        </w:rPr>
      </w:pPr>
      <w:r w:rsidRPr="000776B1">
        <w:rPr>
          <w:rFonts w:cs="Arial"/>
        </w:rPr>
        <w:t xml:space="preserve">Which clinical measure should be used in criteria (e.g. BMI, or other) </w:t>
      </w:r>
      <w:r w:rsidRPr="00CF28DB">
        <w:rPr>
          <w:rFonts w:cs="Arial"/>
        </w:rPr>
        <w:t>– what is clinically meaningful, well known to prescribers and easy to implement?</w:t>
      </w:r>
    </w:p>
    <w:p w14:paraId="24542C3C" w14:textId="2911B5A2" w:rsidR="009D4FDF" w:rsidRPr="00CF28DB" w:rsidRDefault="009D4FDF" w:rsidP="009D4FDF">
      <w:pPr>
        <w:pStyle w:val="ListParagraph"/>
        <w:numPr>
          <w:ilvl w:val="0"/>
          <w:numId w:val="8"/>
        </w:numPr>
        <w:ind w:left="426" w:hanging="426"/>
        <w:jc w:val="both"/>
        <w:rPr>
          <w:rFonts w:cs="Arial"/>
        </w:rPr>
      </w:pPr>
      <w:r w:rsidRPr="00CF28DB">
        <w:rPr>
          <w:rFonts w:cs="Arial"/>
        </w:rPr>
        <w:t>What should</w:t>
      </w:r>
      <w:r w:rsidR="00A21EDB" w:rsidRPr="00CF28DB">
        <w:rPr>
          <w:rFonts w:cs="Arial"/>
        </w:rPr>
        <w:t xml:space="preserve"> be</w:t>
      </w:r>
      <w:r w:rsidRPr="00CF28DB">
        <w:rPr>
          <w:rFonts w:cs="Arial"/>
        </w:rPr>
        <w:t xml:space="preserve"> the clinical criteria for PBS Initiation and Continuation?</w:t>
      </w:r>
    </w:p>
    <w:p w14:paraId="2DB3A6D9" w14:textId="73C1C40C" w:rsidR="009D4FDF" w:rsidRPr="00CF28DB" w:rsidRDefault="009D4FDF" w:rsidP="009D4FDF">
      <w:pPr>
        <w:pStyle w:val="ListParagraph"/>
        <w:numPr>
          <w:ilvl w:val="0"/>
          <w:numId w:val="8"/>
        </w:numPr>
        <w:ind w:left="426" w:hanging="426"/>
        <w:jc w:val="both"/>
        <w:rPr>
          <w:rFonts w:cs="Arial"/>
        </w:rPr>
      </w:pPr>
      <w:r w:rsidRPr="00CF28DB">
        <w:rPr>
          <w:rFonts w:cs="Arial"/>
        </w:rPr>
        <w:t xml:space="preserve">Which </w:t>
      </w:r>
      <w:proofErr w:type="gramStart"/>
      <w:r w:rsidRPr="00CF28DB">
        <w:rPr>
          <w:rFonts w:cs="Arial"/>
        </w:rPr>
        <w:t>prescribers</w:t>
      </w:r>
      <w:proofErr w:type="gramEnd"/>
      <w:r w:rsidRPr="00CF28DB">
        <w:rPr>
          <w:rFonts w:cs="Arial"/>
        </w:rPr>
        <w:t xml:space="preserve"> types should be eligible to prescribe PBS </w:t>
      </w:r>
      <w:proofErr w:type="spellStart"/>
      <w:r w:rsidRPr="00CF28DB">
        <w:rPr>
          <w:rFonts w:cs="Arial"/>
        </w:rPr>
        <w:t>semaglutide</w:t>
      </w:r>
      <w:proofErr w:type="spellEnd"/>
      <w:r w:rsidRPr="00CF28DB">
        <w:rPr>
          <w:rFonts w:cs="Arial"/>
        </w:rPr>
        <w:t>?</w:t>
      </w:r>
      <w:r w:rsidRPr="000776B1">
        <w:rPr>
          <w:rFonts w:cs="Arial"/>
        </w:rPr>
        <w:t xml:space="preserve"> Should there be </w:t>
      </w:r>
      <w:r w:rsidRPr="00CF28DB">
        <w:rPr>
          <w:rFonts w:cs="Arial"/>
        </w:rPr>
        <w:t>different prescribing authority for PBS Initiation versus Continuation?</w:t>
      </w:r>
    </w:p>
    <w:p w14:paraId="1453929B" w14:textId="33A99DE8" w:rsidR="009D4FDF" w:rsidRPr="000776B1" w:rsidRDefault="009D4FDF" w:rsidP="009D4FDF">
      <w:pPr>
        <w:pStyle w:val="ListParagraph"/>
        <w:numPr>
          <w:ilvl w:val="0"/>
          <w:numId w:val="8"/>
        </w:numPr>
        <w:ind w:left="426" w:hanging="426"/>
        <w:jc w:val="both"/>
        <w:rPr>
          <w:rFonts w:cs="Arial"/>
        </w:rPr>
      </w:pPr>
      <w:r w:rsidRPr="00CF28DB">
        <w:rPr>
          <w:rFonts w:cs="Arial"/>
        </w:rPr>
        <w:t>What other</w:t>
      </w:r>
      <w:r w:rsidR="00A25DC0" w:rsidRPr="00CF28DB">
        <w:rPr>
          <w:rFonts w:cs="Arial"/>
        </w:rPr>
        <w:t xml:space="preserve"> </w:t>
      </w:r>
      <w:r w:rsidRPr="00CF28DB">
        <w:rPr>
          <w:rFonts w:cs="Arial"/>
        </w:rPr>
        <w:t xml:space="preserve">therapy should precede pharmacotherapy (diet, exercise, behavioural therapy etc), and how </w:t>
      </w:r>
      <w:r w:rsidR="00A25DC0" w:rsidRPr="000776B1">
        <w:rPr>
          <w:rFonts w:cs="Arial"/>
        </w:rPr>
        <w:t xml:space="preserve">should </w:t>
      </w:r>
      <w:r w:rsidRPr="000776B1">
        <w:rPr>
          <w:rFonts w:cs="Arial"/>
        </w:rPr>
        <w:t>a reasonable trial of these prior to progressing to drug treatment</w:t>
      </w:r>
      <w:r w:rsidR="00A25DC0" w:rsidRPr="000776B1">
        <w:rPr>
          <w:rFonts w:cs="Arial"/>
        </w:rPr>
        <w:t xml:space="preserve"> be defined</w:t>
      </w:r>
      <w:r w:rsidRPr="000776B1">
        <w:rPr>
          <w:rFonts w:cs="Arial"/>
        </w:rPr>
        <w:t>?</w:t>
      </w:r>
    </w:p>
    <w:p w14:paraId="66D2BD64" w14:textId="0D1B8DB9" w:rsidR="009D4FDF" w:rsidRPr="000776B1" w:rsidRDefault="009D4FDF" w:rsidP="009D4FDF">
      <w:pPr>
        <w:pStyle w:val="ListParagraph"/>
        <w:numPr>
          <w:ilvl w:val="0"/>
          <w:numId w:val="8"/>
        </w:numPr>
        <w:ind w:left="426" w:hanging="426"/>
        <w:jc w:val="both"/>
        <w:rPr>
          <w:rFonts w:cs="Arial"/>
        </w:rPr>
      </w:pPr>
      <w:r w:rsidRPr="000776B1">
        <w:rPr>
          <w:rFonts w:cs="Arial"/>
        </w:rPr>
        <w:t xml:space="preserve">What is the goal of treatment? </w:t>
      </w:r>
      <w:r w:rsidR="00A21EDB" w:rsidRPr="00CF28DB">
        <w:rPr>
          <w:rFonts w:cs="Arial"/>
        </w:rPr>
        <w:t xml:space="preserve">Quality of life </w:t>
      </w:r>
      <w:r w:rsidRPr="00CF28DB">
        <w:rPr>
          <w:rFonts w:cs="Arial"/>
        </w:rPr>
        <w:t>gains from weight loss or improved long-term health outcomes / reduction in comorbidities, or both?</w:t>
      </w:r>
    </w:p>
    <w:p w14:paraId="64012BAF" w14:textId="58BF0CFA" w:rsidR="00C12A44" w:rsidRPr="00C12A44" w:rsidRDefault="009D4FDF" w:rsidP="00C12A44">
      <w:pPr>
        <w:jc w:val="both"/>
        <w:rPr>
          <w:rFonts w:cs="Arial"/>
        </w:rPr>
      </w:pPr>
      <w:r w:rsidRPr="00A21EDB">
        <w:rPr>
          <w:rFonts w:cs="Arial"/>
        </w:rPr>
        <w:t>T</w:t>
      </w:r>
      <w:r w:rsidR="00C12A44" w:rsidRPr="00A21EDB">
        <w:rPr>
          <w:rFonts w:cs="Arial"/>
        </w:rPr>
        <w:t>he discussion was expected to be around pharmacotherapy</w:t>
      </w:r>
      <w:r w:rsidR="00C12A44">
        <w:rPr>
          <w:rFonts w:cs="Arial"/>
        </w:rPr>
        <w:t xml:space="preserve"> generally, as well as </w:t>
      </w:r>
      <w:proofErr w:type="spellStart"/>
      <w:r w:rsidR="00C12A44">
        <w:rPr>
          <w:rFonts w:cs="Arial"/>
        </w:rPr>
        <w:t>semaglutide</w:t>
      </w:r>
      <w:proofErr w:type="spellEnd"/>
      <w:r w:rsidR="00C12A44">
        <w:rPr>
          <w:rFonts w:cs="Arial"/>
        </w:rPr>
        <w:t xml:space="preserve"> specifically. </w:t>
      </w:r>
    </w:p>
    <w:p w14:paraId="4971CBF3" w14:textId="77777777" w:rsidR="00564C85" w:rsidRDefault="00564C85" w:rsidP="00564C85">
      <w:pPr>
        <w:pStyle w:val="Heading2"/>
      </w:pPr>
      <w:r>
        <w:t>Background</w:t>
      </w:r>
    </w:p>
    <w:p w14:paraId="3F1A61B0" w14:textId="07C717F6" w:rsidR="002F76BC" w:rsidRDefault="002F76BC" w:rsidP="003034FD">
      <w:pPr>
        <w:jc w:val="both"/>
      </w:pPr>
      <w:r>
        <w:t>Overweight and obesity has a high public health burden in Australia, affecting an estimated 2 in 3 Australian</w:t>
      </w:r>
      <w:r w:rsidR="00843E52">
        <w:t>s</w:t>
      </w:r>
      <w:r>
        <w:t xml:space="preserve"> aged 18 and over, or around 12.5 million adults. In 2015, 8.4% of the total disease burden in Australia was due to overweight and obesity, and it is the leading risk factor contributing to non-fatal disease burden. </w:t>
      </w:r>
      <w:r w:rsidR="008760BC">
        <w:t xml:space="preserve">Having </w:t>
      </w:r>
      <w:r>
        <w:t xml:space="preserve">overweight or </w:t>
      </w:r>
      <w:r w:rsidR="00D33723">
        <w:t xml:space="preserve">living with obesity </w:t>
      </w:r>
      <w:r>
        <w:t xml:space="preserve">increases a person’s likelihood of developing many chronic conditions, </w:t>
      </w:r>
      <w:r w:rsidRPr="002976EE">
        <w:t xml:space="preserve">such as cardiovascular disease, </w:t>
      </w:r>
      <w:r w:rsidR="00BF1F01" w:rsidRPr="002976EE">
        <w:t>diabetes,</w:t>
      </w:r>
      <w:r w:rsidR="00BF1F01">
        <w:t xml:space="preserve"> </w:t>
      </w:r>
      <w:r w:rsidRPr="002976EE">
        <w:t>asthma, back problems, chronic kidney disease, dementia, and some cancers</w:t>
      </w:r>
      <w:r>
        <w:t xml:space="preserve">. In addition, when examining all causes of death, it is associated with a higher death rate (Australian Institute of Health and Welfare, </w:t>
      </w:r>
      <w:hyperlink r:id="rId8" w:history="1">
        <w:r w:rsidRPr="002976EE">
          <w:rPr>
            <w:rStyle w:val="Hyperlink"/>
            <w:i/>
            <w:iCs/>
          </w:rPr>
          <w:t>Australia’s health 2020</w:t>
        </w:r>
      </w:hyperlink>
      <w:r>
        <w:t>)</w:t>
      </w:r>
      <w:r w:rsidR="00D33723">
        <w:t>, as is being below a healthy weight range</w:t>
      </w:r>
      <w:r>
        <w:t>.</w:t>
      </w:r>
    </w:p>
    <w:p w14:paraId="2F86D7F9" w14:textId="7EBA5E99" w:rsidR="00A8260F" w:rsidRDefault="002976EE" w:rsidP="00A8260F">
      <w:pPr>
        <w:jc w:val="both"/>
      </w:pPr>
      <w:r>
        <w:lastRenderedPageBreak/>
        <w:t>There are currently no therapies for overweight or obesity on the Pharmaceutical Benefits Scheme</w:t>
      </w:r>
      <w:r w:rsidR="00A8260F">
        <w:t xml:space="preserve"> (PBS)</w:t>
      </w:r>
      <w:r>
        <w:t>.</w:t>
      </w:r>
      <w:r>
        <w:rPr>
          <w:rStyle w:val="FootnoteReference"/>
        </w:rPr>
        <w:footnoteReference w:id="1"/>
      </w:r>
      <w:r w:rsidR="00A8260F">
        <w:t xml:space="preserve"> </w:t>
      </w:r>
      <w:proofErr w:type="spellStart"/>
      <w:r w:rsidR="00A8260F">
        <w:t>Semaglutide</w:t>
      </w:r>
      <w:proofErr w:type="spellEnd"/>
      <w:r w:rsidR="00A8260F">
        <w:t xml:space="preserve"> for weight management was accepted for evaluation by the </w:t>
      </w:r>
      <w:r w:rsidR="00A8260F" w:rsidRPr="00C86CA0">
        <w:t xml:space="preserve">Therapeutic Goods Administration in March 2021, and an application for PBS listing is </w:t>
      </w:r>
      <w:r w:rsidR="00440419" w:rsidRPr="00C86CA0">
        <w:t>expected</w:t>
      </w:r>
      <w:r w:rsidR="00A8260F" w:rsidRPr="00C86CA0">
        <w:t xml:space="preserve">. The PBAC convened a stakeholder meeting due to the high public health burden, and to help inform its future consideration of issues </w:t>
      </w:r>
      <w:r w:rsidR="00091B85" w:rsidRPr="00C86CA0">
        <w:t>relating to the proposed PBS population and health outcomes</w:t>
      </w:r>
      <w:r w:rsidR="00A21EDB" w:rsidRPr="00C86CA0">
        <w:t xml:space="preserve"> to be </w:t>
      </w:r>
      <w:r w:rsidR="00D1205A" w:rsidRPr="00C86CA0">
        <w:t>valued</w:t>
      </w:r>
      <w:r w:rsidR="00091B85" w:rsidRPr="00C86CA0">
        <w:t>.</w:t>
      </w:r>
    </w:p>
    <w:p w14:paraId="3D3CDB25" w14:textId="22D6A1F0" w:rsidR="00D44577" w:rsidRPr="002976EE" w:rsidRDefault="00091B85" w:rsidP="0049429A">
      <w:pPr>
        <w:jc w:val="both"/>
      </w:pPr>
      <w:proofErr w:type="spellStart"/>
      <w:r>
        <w:t>Semaglutide</w:t>
      </w:r>
      <w:proofErr w:type="spellEnd"/>
      <w:r>
        <w:t xml:space="preserve"> is a g</w:t>
      </w:r>
      <w:r w:rsidRPr="00091B85">
        <w:t>lucagon-</w:t>
      </w:r>
      <w:r w:rsidR="00737AFE">
        <w:t>l</w:t>
      </w:r>
      <w:r w:rsidRPr="00091B85">
        <w:t xml:space="preserve">ike </w:t>
      </w:r>
      <w:r w:rsidR="00737AFE">
        <w:t>p</w:t>
      </w:r>
      <w:r w:rsidRPr="00091B85">
        <w:t xml:space="preserve">eptide-1 </w:t>
      </w:r>
      <w:r w:rsidR="00737AFE">
        <w:t>r</w:t>
      </w:r>
      <w:r w:rsidRPr="00091B85">
        <w:t xml:space="preserve">eceptor </w:t>
      </w:r>
      <w:r w:rsidR="00737AFE">
        <w:t>a</w:t>
      </w:r>
      <w:r w:rsidRPr="00091B85">
        <w:t>gonist</w:t>
      </w:r>
      <w:r>
        <w:t xml:space="preserve"> </w:t>
      </w:r>
      <w:r w:rsidR="00D44577">
        <w:t xml:space="preserve">and is </w:t>
      </w:r>
      <w:r>
        <w:t xml:space="preserve">currently available </w:t>
      </w:r>
      <w:r w:rsidR="00D44577">
        <w:t>on the PBS as an Authority Required (Streamlined) benefit for type 2 diabetes</w:t>
      </w:r>
      <w:r w:rsidR="000776B1">
        <w:t xml:space="preserve">, for which it </w:t>
      </w:r>
      <w:r w:rsidR="00D44577">
        <w:t xml:space="preserve">is administered as a once weekly injection in doses of up to 1 mg per week. </w:t>
      </w:r>
      <w:proofErr w:type="spellStart"/>
      <w:r w:rsidR="00D44577">
        <w:t>Semaglutide</w:t>
      </w:r>
      <w:proofErr w:type="spellEnd"/>
      <w:r w:rsidR="00D44577">
        <w:t xml:space="preserve"> for weight management is expected to be delivered as a weekly 2.</w:t>
      </w:r>
      <w:r w:rsidR="00AF274A">
        <w:t>4</w:t>
      </w:r>
      <w:r w:rsidR="00D44577">
        <w:t xml:space="preserve"> mg injection. The sponsor’s trial program includes the </w:t>
      </w:r>
      <w:proofErr w:type="spellStart"/>
      <w:r w:rsidR="00D44577" w:rsidRPr="00D44577">
        <w:t>Semaglutide</w:t>
      </w:r>
      <w:proofErr w:type="spellEnd"/>
      <w:r w:rsidR="00D44577" w:rsidRPr="00D44577">
        <w:t xml:space="preserve"> Treatment Effect in People with obesity</w:t>
      </w:r>
      <w:r w:rsidR="00D44577">
        <w:t xml:space="preserve"> (STEP) program (</w:t>
      </w:r>
      <w:r w:rsidR="000734D0">
        <w:t xml:space="preserve">including </w:t>
      </w:r>
      <w:r w:rsidR="00D44577">
        <w:t>STEP 1-8) and</w:t>
      </w:r>
      <w:r w:rsidR="00C12A44">
        <w:t xml:space="preserve"> the</w:t>
      </w:r>
      <w:r w:rsidR="00D44577">
        <w:t xml:space="preserve"> </w:t>
      </w:r>
      <w:proofErr w:type="spellStart"/>
      <w:r w:rsidR="00D44577" w:rsidRPr="00D44577">
        <w:t>Semaglutide</w:t>
      </w:r>
      <w:proofErr w:type="spellEnd"/>
      <w:r w:rsidR="00D44577" w:rsidRPr="00D44577">
        <w:t xml:space="preserve"> Effects on Heart Disease and Stroke in Patients </w:t>
      </w:r>
      <w:proofErr w:type="gramStart"/>
      <w:r w:rsidR="00D44577" w:rsidRPr="00D44577">
        <w:t>With</w:t>
      </w:r>
      <w:proofErr w:type="gramEnd"/>
      <w:r w:rsidR="00D44577" w:rsidRPr="00D44577">
        <w:t xml:space="preserve"> Overweight or Obesity</w:t>
      </w:r>
      <w:r w:rsidR="00D44577">
        <w:t xml:space="preserve"> (SELECT)</w:t>
      </w:r>
      <w:r w:rsidR="00C12A44">
        <w:t xml:space="preserve"> trial</w:t>
      </w:r>
      <w:r w:rsidR="00D44577">
        <w:t>.</w:t>
      </w:r>
    </w:p>
    <w:p w14:paraId="7E043A64" w14:textId="77777777" w:rsidR="00564C85" w:rsidRDefault="00564C85" w:rsidP="00564C85">
      <w:pPr>
        <w:pStyle w:val="Heading2"/>
      </w:pPr>
      <w:r>
        <w:t>Discussion and outcomes</w:t>
      </w:r>
    </w:p>
    <w:p w14:paraId="465C8EDE" w14:textId="642BCC78" w:rsidR="00930D0E" w:rsidRPr="005D4FA7" w:rsidRDefault="00930D0E" w:rsidP="00C12A44">
      <w:pPr>
        <w:pStyle w:val="Heading3"/>
      </w:pPr>
      <w:r w:rsidRPr="005D4FA7">
        <w:t>Burden of disease of and population suitable for pharmacotherapy</w:t>
      </w:r>
    </w:p>
    <w:p w14:paraId="75DC6621" w14:textId="47CC3543" w:rsidR="007B57B3" w:rsidRPr="00131283" w:rsidRDefault="00DA3316" w:rsidP="00BE678A">
      <w:pPr>
        <w:pStyle w:val="ListParagraph"/>
        <w:numPr>
          <w:ilvl w:val="0"/>
          <w:numId w:val="8"/>
        </w:numPr>
        <w:ind w:left="426" w:hanging="426"/>
        <w:jc w:val="both"/>
        <w:rPr>
          <w:rFonts w:ascii="Calibri" w:hAnsi="Calibri" w:cs="Calibri"/>
          <w:lang w:eastAsia="en-AU"/>
        </w:rPr>
      </w:pPr>
      <w:r w:rsidRPr="00131283">
        <w:rPr>
          <w:rFonts w:ascii="Calibri" w:hAnsi="Calibri" w:cs="Calibri"/>
          <w:lang w:eastAsia="en-AU"/>
        </w:rPr>
        <w:t>Stakeholders noted</w:t>
      </w:r>
      <w:r w:rsidR="005D4FA7" w:rsidRPr="00131283">
        <w:rPr>
          <w:rFonts w:ascii="Calibri" w:hAnsi="Calibri" w:cs="Calibri"/>
          <w:lang w:eastAsia="en-AU"/>
        </w:rPr>
        <w:t xml:space="preserve"> the</w:t>
      </w:r>
      <w:r w:rsidRPr="00131283">
        <w:rPr>
          <w:rFonts w:ascii="Calibri" w:hAnsi="Calibri" w:cs="Calibri"/>
          <w:lang w:eastAsia="en-AU"/>
        </w:rPr>
        <w:t xml:space="preserve"> </w:t>
      </w:r>
      <w:r w:rsidR="007B57B3" w:rsidRPr="00131283">
        <w:rPr>
          <w:rFonts w:ascii="Calibri" w:hAnsi="Calibri" w:cs="Calibri"/>
          <w:lang w:eastAsia="en-AU"/>
        </w:rPr>
        <w:t xml:space="preserve">large </w:t>
      </w:r>
      <w:r w:rsidR="005D4FA7" w:rsidRPr="00131283">
        <w:rPr>
          <w:rFonts w:ascii="Calibri" w:hAnsi="Calibri" w:cs="Calibri"/>
          <w:lang w:eastAsia="en-AU"/>
        </w:rPr>
        <w:t xml:space="preserve">number of people affected by overweight and obesity in Australia, and the </w:t>
      </w:r>
      <w:r w:rsidR="007B57B3" w:rsidRPr="00131283">
        <w:rPr>
          <w:rFonts w:ascii="Calibri" w:hAnsi="Calibri" w:cs="Calibri"/>
          <w:lang w:eastAsia="en-AU"/>
        </w:rPr>
        <w:t xml:space="preserve">broad population </w:t>
      </w:r>
      <w:r w:rsidR="005D4FA7" w:rsidRPr="00131283">
        <w:rPr>
          <w:rFonts w:ascii="Calibri" w:hAnsi="Calibri" w:cs="Calibri"/>
          <w:lang w:eastAsia="en-AU"/>
        </w:rPr>
        <w:t xml:space="preserve">eligible for </w:t>
      </w:r>
      <w:proofErr w:type="spellStart"/>
      <w:r w:rsidR="005D4FA7" w:rsidRPr="00131283">
        <w:rPr>
          <w:rFonts w:ascii="Calibri" w:hAnsi="Calibri" w:cs="Calibri"/>
          <w:lang w:eastAsia="en-AU"/>
        </w:rPr>
        <w:t>semaglutide</w:t>
      </w:r>
      <w:proofErr w:type="spellEnd"/>
      <w:r w:rsidR="005D4FA7" w:rsidRPr="00131283">
        <w:rPr>
          <w:rFonts w:ascii="Calibri" w:hAnsi="Calibri" w:cs="Calibri"/>
          <w:lang w:eastAsia="en-AU"/>
        </w:rPr>
        <w:t xml:space="preserve"> </w:t>
      </w:r>
      <w:r w:rsidR="007B57B3" w:rsidRPr="00131283">
        <w:rPr>
          <w:rFonts w:ascii="Calibri" w:hAnsi="Calibri" w:cs="Calibri"/>
          <w:lang w:eastAsia="en-AU"/>
        </w:rPr>
        <w:t>in the STEP program</w:t>
      </w:r>
      <w:r w:rsidR="005D4FA7" w:rsidRPr="00131283">
        <w:rPr>
          <w:rFonts w:ascii="Calibri" w:hAnsi="Calibri" w:cs="Calibri"/>
          <w:lang w:eastAsia="en-AU"/>
        </w:rPr>
        <w:t>.</w:t>
      </w:r>
      <w:r w:rsidR="00131283" w:rsidRPr="00131283">
        <w:rPr>
          <w:rFonts w:ascii="Calibri" w:hAnsi="Calibri" w:cs="Calibri"/>
          <w:lang w:eastAsia="en-AU"/>
        </w:rPr>
        <w:t xml:space="preserve"> </w:t>
      </w:r>
      <w:r w:rsidR="005D4FA7" w:rsidRPr="00131283">
        <w:rPr>
          <w:rFonts w:ascii="Calibri" w:hAnsi="Calibri" w:cs="Calibri"/>
          <w:lang w:eastAsia="en-AU"/>
        </w:rPr>
        <w:t xml:space="preserve">The PBAC Chair explained that it was likely that the </w:t>
      </w:r>
      <w:r w:rsidR="007B57B3" w:rsidRPr="00131283">
        <w:rPr>
          <w:rFonts w:ascii="Calibri" w:hAnsi="Calibri" w:cs="Calibri"/>
          <w:lang w:eastAsia="en-AU"/>
        </w:rPr>
        <w:t>sponsor</w:t>
      </w:r>
      <w:r w:rsidR="005D4FA7" w:rsidRPr="00131283">
        <w:rPr>
          <w:rFonts w:ascii="Calibri" w:hAnsi="Calibri" w:cs="Calibri"/>
          <w:lang w:eastAsia="en-AU"/>
        </w:rPr>
        <w:t>,</w:t>
      </w:r>
      <w:r w:rsidR="007B57B3" w:rsidRPr="00131283">
        <w:rPr>
          <w:rFonts w:ascii="Calibri" w:hAnsi="Calibri" w:cs="Calibri"/>
          <w:lang w:eastAsia="en-AU"/>
        </w:rPr>
        <w:t xml:space="preserve"> and </w:t>
      </w:r>
      <w:r w:rsidR="00860481" w:rsidRPr="00131283">
        <w:rPr>
          <w:rFonts w:ascii="Calibri" w:hAnsi="Calibri" w:cs="Calibri"/>
          <w:lang w:eastAsia="en-AU"/>
        </w:rPr>
        <w:t>the</w:t>
      </w:r>
      <w:r w:rsidR="007B57B3" w:rsidRPr="00131283">
        <w:rPr>
          <w:rFonts w:ascii="Calibri" w:hAnsi="Calibri" w:cs="Calibri"/>
          <w:lang w:eastAsia="en-AU"/>
        </w:rPr>
        <w:t xml:space="preserve"> PBAC</w:t>
      </w:r>
      <w:r w:rsidR="00860481" w:rsidRPr="00131283">
        <w:rPr>
          <w:rFonts w:ascii="Calibri" w:hAnsi="Calibri" w:cs="Calibri"/>
          <w:lang w:eastAsia="en-AU"/>
        </w:rPr>
        <w:t>,</w:t>
      </w:r>
      <w:r w:rsidR="007B57B3" w:rsidRPr="00131283">
        <w:rPr>
          <w:rFonts w:ascii="Calibri" w:hAnsi="Calibri" w:cs="Calibri"/>
          <w:lang w:eastAsia="en-AU"/>
        </w:rPr>
        <w:t xml:space="preserve"> will need to </w:t>
      </w:r>
      <w:r w:rsidR="00860481" w:rsidRPr="00131283">
        <w:rPr>
          <w:rFonts w:ascii="Calibri" w:hAnsi="Calibri" w:cs="Calibri"/>
          <w:lang w:eastAsia="en-AU"/>
        </w:rPr>
        <w:t>define</w:t>
      </w:r>
      <w:r w:rsidR="007B57B3" w:rsidRPr="00131283">
        <w:rPr>
          <w:rFonts w:ascii="Calibri" w:hAnsi="Calibri" w:cs="Calibri"/>
          <w:lang w:eastAsia="en-AU"/>
        </w:rPr>
        <w:t xml:space="preserve"> a </w:t>
      </w:r>
      <w:r w:rsidR="005D4FA7" w:rsidRPr="00131283">
        <w:rPr>
          <w:rFonts w:ascii="Calibri" w:hAnsi="Calibri" w:cs="Calibri"/>
          <w:lang w:eastAsia="en-AU"/>
        </w:rPr>
        <w:t xml:space="preserve">PBS </w:t>
      </w:r>
      <w:r w:rsidR="007B57B3" w:rsidRPr="00131283">
        <w:rPr>
          <w:rFonts w:ascii="Calibri" w:hAnsi="Calibri" w:cs="Calibri"/>
          <w:lang w:eastAsia="en-AU"/>
        </w:rPr>
        <w:t xml:space="preserve">population </w:t>
      </w:r>
      <w:r w:rsidR="00860481" w:rsidRPr="00131283">
        <w:rPr>
          <w:rFonts w:ascii="Calibri" w:hAnsi="Calibri" w:cs="Calibri"/>
          <w:lang w:eastAsia="en-AU"/>
        </w:rPr>
        <w:t>of patients who</w:t>
      </w:r>
      <w:r w:rsidR="005D4FA7" w:rsidRPr="00131283">
        <w:rPr>
          <w:rFonts w:ascii="Calibri" w:hAnsi="Calibri" w:cs="Calibri"/>
          <w:lang w:eastAsia="en-AU"/>
        </w:rPr>
        <w:t xml:space="preserve"> will see the most benefit, </w:t>
      </w:r>
      <w:r w:rsidR="00860481" w:rsidRPr="00131283">
        <w:rPr>
          <w:rFonts w:ascii="Calibri" w:hAnsi="Calibri" w:cs="Calibri"/>
          <w:lang w:eastAsia="en-AU"/>
        </w:rPr>
        <w:t>sustain that benefit, and adhere to treatment (in order to be cost-effective at the price proposed by the sponsor).</w:t>
      </w:r>
    </w:p>
    <w:p w14:paraId="6D432F1C" w14:textId="779BC395" w:rsidR="00D33723" w:rsidRDefault="00D33723" w:rsidP="00D33723">
      <w:pPr>
        <w:pStyle w:val="ListParagraph"/>
        <w:numPr>
          <w:ilvl w:val="0"/>
          <w:numId w:val="8"/>
        </w:numPr>
        <w:ind w:left="426" w:hanging="426"/>
        <w:jc w:val="both"/>
        <w:rPr>
          <w:rFonts w:ascii="Calibri" w:hAnsi="Calibri" w:cs="Calibri"/>
          <w:lang w:eastAsia="en-AU"/>
        </w:rPr>
      </w:pPr>
      <w:r>
        <w:rPr>
          <w:rFonts w:ascii="Calibri" w:hAnsi="Calibri" w:cs="Calibri"/>
          <w:lang w:eastAsia="en-AU"/>
        </w:rPr>
        <w:t>Stakeholders discussed the significant heterogeneity</w:t>
      </w:r>
      <w:r>
        <w:rPr>
          <w:rStyle w:val="FootnoteReference"/>
          <w:rFonts w:ascii="Calibri" w:hAnsi="Calibri" w:cs="Calibri"/>
          <w:lang w:eastAsia="en-AU"/>
        </w:rPr>
        <w:footnoteReference w:id="2"/>
      </w:r>
      <w:r>
        <w:rPr>
          <w:rFonts w:ascii="Calibri" w:hAnsi="Calibri" w:cs="Calibri"/>
          <w:lang w:eastAsia="en-AU"/>
        </w:rPr>
        <w:t xml:space="preserve"> of obesity and how it is essential that a person-centred approach to treatment is available. This would involve a thorough intake assessment that would cover the possibility of eating disorders, mental health conditions, experience of trauma (including childhood trauma), metabolic and/or hormonal conditions, other physical conditions, as well as what the patient knows about what has worked well for them in the past, and what their current situation is regarding other social determinants of health.</w:t>
      </w:r>
    </w:p>
    <w:p w14:paraId="535848F6" w14:textId="76734069" w:rsidR="00860481" w:rsidRPr="00834859" w:rsidRDefault="00860481" w:rsidP="00BE678A">
      <w:pPr>
        <w:pStyle w:val="ListParagraph"/>
        <w:numPr>
          <w:ilvl w:val="0"/>
          <w:numId w:val="8"/>
        </w:numPr>
        <w:ind w:left="426" w:hanging="426"/>
        <w:jc w:val="both"/>
        <w:rPr>
          <w:rFonts w:ascii="Calibri" w:hAnsi="Calibri" w:cs="Calibri"/>
          <w:lang w:eastAsia="en-AU"/>
        </w:rPr>
      </w:pPr>
      <w:r w:rsidRPr="00834859">
        <w:rPr>
          <w:rFonts w:ascii="Calibri" w:hAnsi="Calibri" w:cs="Calibri"/>
          <w:lang w:eastAsia="en-AU"/>
        </w:rPr>
        <w:t xml:space="preserve">Stakeholders </w:t>
      </w:r>
      <w:r w:rsidR="00D33723">
        <w:rPr>
          <w:rFonts w:ascii="Calibri" w:hAnsi="Calibri" w:cs="Calibri"/>
          <w:lang w:eastAsia="en-AU"/>
        </w:rPr>
        <w:t xml:space="preserve">also </w:t>
      </w:r>
      <w:r w:rsidRPr="00834859">
        <w:rPr>
          <w:rFonts w:ascii="Calibri" w:hAnsi="Calibri" w:cs="Calibri"/>
          <w:lang w:eastAsia="en-AU"/>
        </w:rPr>
        <w:t>discussed the range of measures available to health care professionals in managing overweight and obesity, including lifestyle interventions</w:t>
      </w:r>
      <w:r w:rsidR="00822569">
        <w:rPr>
          <w:rFonts w:ascii="Calibri" w:hAnsi="Calibri" w:cs="Calibri"/>
          <w:lang w:eastAsia="en-AU"/>
        </w:rPr>
        <w:t xml:space="preserve"> </w:t>
      </w:r>
      <w:r w:rsidR="008760BC">
        <w:rPr>
          <w:rFonts w:ascii="Calibri" w:hAnsi="Calibri" w:cs="Calibri"/>
          <w:lang w:eastAsia="en-AU"/>
        </w:rPr>
        <w:t>(defined as</w:t>
      </w:r>
      <w:r w:rsidRPr="00834859">
        <w:rPr>
          <w:rFonts w:ascii="Calibri" w:hAnsi="Calibri" w:cs="Calibri"/>
          <w:lang w:eastAsia="en-AU"/>
        </w:rPr>
        <w:t xml:space="preserve"> </w:t>
      </w:r>
      <w:r w:rsidR="008760BC">
        <w:rPr>
          <w:rFonts w:ascii="Calibri" w:hAnsi="Calibri" w:cs="Calibri"/>
          <w:lang w:eastAsia="en-AU"/>
        </w:rPr>
        <w:t xml:space="preserve">healthy </w:t>
      </w:r>
      <w:r w:rsidRPr="00834859">
        <w:rPr>
          <w:rFonts w:ascii="Calibri" w:hAnsi="Calibri" w:cs="Calibri"/>
          <w:lang w:eastAsia="en-AU"/>
        </w:rPr>
        <w:t>nutrition, exercise</w:t>
      </w:r>
      <w:r w:rsidR="008760BC">
        <w:rPr>
          <w:rFonts w:ascii="Calibri" w:hAnsi="Calibri" w:cs="Calibri"/>
          <w:lang w:eastAsia="en-AU"/>
        </w:rPr>
        <w:t xml:space="preserve"> +/- behavioural therapies) </w:t>
      </w:r>
      <w:r w:rsidR="00843E52">
        <w:rPr>
          <w:rFonts w:ascii="Calibri" w:hAnsi="Calibri" w:cs="Calibri"/>
          <w:lang w:eastAsia="en-AU"/>
        </w:rPr>
        <w:t xml:space="preserve">either </w:t>
      </w:r>
      <w:r w:rsidR="008760BC">
        <w:rPr>
          <w:rFonts w:ascii="Calibri" w:hAnsi="Calibri" w:cs="Calibri"/>
          <w:lang w:eastAsia="en-AU"/>
        </w:rPr>
        <w:t>alone</w:t>
      </w:r>
      <w:r w:rsidRPr="00834859">
        <w:rPr>
          <w:rFonts w:ascii="Calibri" w:hAnsi="Calibri" w:cs="Calibri"/>
          <w:lang w:eastAsia="en-AU"/>
        </w:rPr>
        <w:t>,</w:t>
      </w:r>
      <w:r w:rsidR="008760BC">
        <w:rPr>
          <w:rFonts w:ascii="Calibri" w:hAnsi="Calibri" w:cs="Calibri"/>
          <w:lang w:eastAsia="en-AU"/>
        </w:rPr>
        <w:t xml:space="preserve"> or in conjunction with </w:t>
      </w:r>
      <w:r w:rsidRPr="00834859">
        <w:rPr>
          <w:rFonts w:ascii="Calibri" w:hAnsi="Calibri" w:cs="Calibri"/>
          <w:lang w:eastAsia="en-AU"/>
        </w:rPr>
        <w:t xml:space="preserve">pharmacotherapy </w:t>
      </w:r>
      <w:r w:rsidR="00F312AE">
        <w:rPr>
          <w:rFonts w:ascii="Calibri" w:hAnsi="Calibri" w:cs="Calibri"/>
          <w:lang w:eastAsia="en-AU"/>
        </w:rPr>
        <w:t>or</w:t>
      </w:r>
      <w:r w:rsidR="00F312AE" w:rsidRPr="00834859">
        <w:rPr>
          <w:rFonts w:ascii="Calibri" w:hAnsi="Calibri" w:cs="Calibri"/>
          <w:lang w:eastAsia="en-AU"/>
        </w:rPr>
        <w:t xml:space="preserve"> </w:t>
      </w:r>
      <w:r w:rsidRPr="00834859">
        <w:rPr>
          <w:rFonts w:ascii="Calibri" w:hAnsi="Calibri" w:cs="Calibri"/>
          <w:lang w:eastAsia="en-AU"/>
        </w:rPr>
        <w:t>bariatric surgery</w:t>
      </w:r>
      <w:r w:rsidR="00F312AE">
        <w:rPr>
          <w:rFonts w:ascii="Calibri" w:hAnsi="Calibri" w:cs="Calibri"/>
          <w:lang w:eastAsia="en-AU"/>
        </w:rPr>
        <w:t xml:space="preserve"> (which is a step-wise approach in chronic disease management)</w:t>
      </w:r>
      <w:r w:rsidRPr="00834859">
        <w:rPr>
          <w:rFonts w:ascii="Calibri" w:hAnsi="Calibri" w:cs="Calibri"/>
          <w:lang w:eastAsia="en-AU"/>
        </w:rPr>
        <w:t xml:space="preserve">. It was commented that </w:t>
      </w:r>
      <w:proofErr w:type="spellStart"/>
      <w:r w:rsidRPr="00834859">
        <w:rPr>
          <w:rFonts w:ascii="Calibri" w:hAnsi="Calibri" w:cs="Calibri"/>
          <w:lang w:eastAsia="en-AU"/>
        </w:rPr>
        <w:t>semaglutide</w:t>
      </w:r>
      <w:proofErr w:type="spellEnd"/>
      <w:r w:rsidRPr="00834859">
        <w:rPr>
          <w:rFonts w:ascii="Calibri" w:hAnsi="Calibri" w:cs="Calibri"/>
          <w:lang w:eastAsia="en-AU"/>
        </w:rPr>
        <w:t xml:space="preserve"> would be a useful addition to the </w:t>
      </w:r>
      <w:r w:rsidR="00F312AE">
        <w:rPr>
          <w:rFonts w:ascii="Calibri" w:hAnsi="Calibri" w:cs="Calibri"/>
          <w:lang w:eastAsia="en-AU"/>
        </w:rPr>
        <w:t xml:space="preserve">therapeutic </w:t>
      </w:r>
      <w:r w:rsidRPr="00834859">
        <w:rPr>
          <w:rFonts w:ascii="Calibri" w:hAnsi="Calibri" w:cs="Calibri"/>
          <w:lang w:eastAsia="en-AU"/>
        </w:rPr>
        <w:t>armamentarium.</w:t>
      </w:r>
    </w:p>
    <w:p w14:paraId="6830E73E" w14:textId="189BE429" w:rsidR="00860481" w:rsidRPr="00834859" w:rsidRDefault="00860481" w:rsidP="00BE678A">
      <w:pPr>
        <w:pStyle w:val="ListParagraph"/>
        <w:numPr>
          <w:ilvl w:val="0"/>
          <w:numId w:val="8"/>
        </w:numPr>
        <w:ind w:left="426" w:hanging="426"/>
        <w:jc w:val="both"/>
        <w:rPr>
          <w:rFonts w:ascii="Calibri" w:hAnsi="Calibri" w:cs="Calibri"/>
          <w:lang w:eastAsia="en-AU"/>
        </w:rPr>
      </w:pPr>
      <w:r w:rsidRPr="00834859">
        <w:rPr>
          <w:rFonts w:ascii="Calibri" w:hAnsi="Calibri" w:cs="Calibri"/>
          <w:lang w:eastAsia="en-AU"/>
        </w:rPr>
        <w:t xml:space="preserve">It was observed </w:t>
      </w:r>
      <w:r w:rsidR="00131283">
        <w:rPr>
          <w:rFonts w:ascii="Calibri" w:hAnsi="Calibri" w:cs="Calibri"/>
          <w:lang w:eastAsia="en-AU"/>
        </w:rPr>
        <w:t>there are populations</w:t>
      </w:r>
      <w:r w:rsidRPr="00834859">
        <w:rPr>
          <w:rFonts w:ascii="Calibri" w:hAnsi="Calibri" w:cs="Calibri"/>
          <w:lang w:eastAsia="en-AU"/>
        </w:rPr>
        <w:t xml:space="preserve"> in different settings </w:t>
      </w:r>
      <w:r w:rsidR="00131283">
        <w:rPr>
          <w:rFonts w:ascii="Calibri" w:hAnsi="Calibri" w:cs="Calibri"/>
          <w:lang w:eastAsia="en-AU"/>
        </w:rPr>
        <w:t>that may be suitable for</w:t>
      </w:r>
      <w:r w:rsidRPr="00834859">
        <w:rPr>
          <w:rFonts w:ascii="Calibri" w:hAnsi="Calibri" w:cs="Calibri"/>
          <w:lang w:eastAsia="en-AU"/>
        </w:rPr>
        <w:t xml:space="preserve"> pharmacotherapy:</w:t>
      </w:r>
    </w:p>
    <w:p w14:paraId="4FB55341" w14:textId="1A81A057" w:rsidR="00860481" w:rsidRPr="00834859" w:rsidRDefault="00860481" w:rsidP="00BE678A">
      <w:pPr>
        <w:pStyle w:val="ListParagraph"/>
        <w:numPr>
          <w:ilvl w:val="1"/>
          <w:numId w:val="8"/>
        </w:numPr>
        <w:jc w:val="both"/>
        <w:rPr>
          <w:rFonts w:ascii="Calibri" w:hAnsi="Calibri" w:cs="Calibri"/>
          <w:lang w:eastAsia="en-AU"/>
        </w:rPr>
      </w:pPr>
      <w:r w:rsidRPr="00834859">
        <w:rPr>
          <w:rFonts w:ascii="Calibri" w:hAnsi="Calibri" w:cs="Calibri"/>
          <w:lang w:eastAsia="en-AU"/>
        </w:rPr>
        <w:t>In general practice</w:t>
      </w:r>
      <w:r w:rsidR="00C86CA0">
        <w:rPr>
          <w:rFonts w:ascii="Calibri" w:hAnsi="Calibri" w:cs="Calibri"/>
          <w:lang w:eastAsia="en-AU"/>
        </w:rPr>
        <w:t>, and other specialist or hospital-based weight loss and metabolic clinics</w:t>
      </w:r>
      <w:r w:rsidRPr="00834859">
        <w:rPr>
          <w:rFonts w:ascii="Calibri" w:hAnsi="Calibri" w:cs="Calibri"/>
          <w:lang w:eastAsia="en-AU"/>
        </w:rPr>
        <w:t xml:space="preserve">, patients typically arrive having not responded to several attempts at weight loss, </w:t>
      </w:r>
      <w:r w:rsidR="00AC68B8">
        <w:rPr>
          <w:rFonts w:ascii="Calibri" w:hAnsi="Calibri" w:cs="Calibri"/>
          <w:lang w:eastAsia="en-AU"/>
        </w:rPr>
        <w:t xml:space="preserve">noting that not all of these will have been health interventions as many people try a range of commercial weight loss </w:t>
      </w:r>
      <w:r w:rsidR="00AC68B8">
        <w:rPr>
          <w:rFonts w:ascii="Calibri" w:hAnsi="Calibri" w:cs="Calibri"/>
          <w:lang w:eastAsia="en-AU"/>
        </w:rPr>
        <w:lastRenderedPageBreak/>
        <w:t xml:space="preserve">approaches, </w:t>
      </w:r>
      <w:r w:rsidR="00B04525">
        <w:rPr>
          <w:rFonts w:ascii="Calibri" w:hAnsi="Calibri" w:cs="Calibri"/>
          <w:lang w:eastAsia="en-AU"/>
        </w:rPr>
        <w:t xml:space="preserve">and they are </w:t>
      </w:r>
      <w:r w:rsidRPr="00834859">
        <w:rPr>
          <w:rFonts w:ascii="Calibri" w:hAnsi="Calibri" w:cs="Calibri"/>
          <w:lang w:eastAsia="en-AU"/>
        </w:rPr>
        <w:t>wanting to lose</w:t>
      </w:r>
      <w:r w:rsidR="00C67979" w:rsidRPr="00834859">
        <w:rPr>
          <w:rFonts w:ascii="Calibri" w:hAnsi="Calibri" w:cs="Calibri"/>
          <w:lang w:eastAsia="en-AU"/>
        </w:rPr>
        <w:t xml:space="preserve"> weight and maintain weigh</w:t>
      </w:r>
      <w:r w:rsidR="00FA10F2">
        <w:rPr>
          <w:rFonts w:ascii="Calibri" w:hAnsi="Calibri" w:cs="Calibri"/>
          <w:lang w:eastAsia="en-AU"/>
        </w:rPr>
        <w:t>t</w:t>
      </w:r>
      <w:r w:rsidR="00C67979" w:rsidRPr="00834859">
        <w:rPr>
          <w:rFonts w:ascii="Calibri" w:hAnsi="Calibri" w:cs="Calibri"/>
          <w:lang w:eastAsia="en-AU"/>
        </w:rPr>
        <w:t xml:space="preserve"> loss in the longer term.</w:t>
      </w:r>
    </w:p>
    <w:p w14:paraId="4184FAF6" w14:textId="3E7AE8B7" w:rsidR="00C67979" w:rsidRPr="00834859" w:rsidRDefault="00C67979" w:rsidP="00BE678A">
      <w:pPr>
        <w:pStyle w:val="ListParagraph"/>
        <w:numPr>
          <w:ilvl w:val="1"/>
          <w:numId w:val="8"/>
        </w:numPr>
        <w:jc w:val="both"/>
        <w:rPr>
          <w:rFonts w:ascii="Calibri" w:hAnsi="Calibri" w:cs="Calibri"/>
          <w:lang w:eastAsia="en-AU"/>
        </w:rPr>
      </w:pPr>
      <w:r w:rsidRPr="00834859">
        <w:rPr>
          <w:rFonts w:ascii="Calibri" w:hAnsi="Calibri" w:cs="Calibri"/>
          <w:lang w:eastAsia="en-AU"/>
        </w:rPr>
        <w:t>In hospital and other specialist settings, patients can</w:t>
      </w:r>
      <w:r w:rsidR="00C86CA0">
        <w:rPr>
          <w:rFonts w:ascii="Calibri" w:hAnsi="Calibri" w:cs="Calibri"/>
          <w:lang w:eastAsia="en-AU"/>
        </w:rPr>
        <w:t xml:space="preserve"> also</w:t>
      </w:r>
      <w:r w:rsidRPr="00834859">
        <w:rPr>
          <w:rFonts w:ascii="Calibri" w:hAnsi="Calibri" w:cs="Calibri"/>
          <w:lang w:eastAsia="en-AU"/>
        </w:rPr>
        <w:t xml:space="preserve"> require short term weight loss in order to be </w:t>
      </w:r>
      <w:r w:rsidR="00131283">
        <w:rPr>
          <w:rFonts w:ascii="Calibri" w:hAnsi="Calibri" w:cs="Calibri"/>
          <w:lang w:eastAsia="en-AU"/>
        </w:rPr>
        <w:t>eligible</w:t>
      </w:r>
      <w:r w:rsidRPr="00834859">
        <w:rPr>
          <w:rFonts w:ascii="Calibri" w:hAnsi="Calibri" w:cs="Calibri"/>
          <w:lang w:eastAsia="en-AU"/>
        </w:rPr>
        <w:t xml:space="preserve"> for transplant or other surgery </w:t>
      </w:r>
      <w:r w:rsidR="00131283">
        <w:rPr>
          <w:rFonts w:ascii="Calibri" w:hAnsi="Calibri" w:cs="Calibri"/>
          <w:lang w:eastAsia="en-AU"/>
        </w:rPr>
        <w:t>(</w:t>
      </w:r>
      <w:r w:rsidR="00B04525">
        <w:rPr>
          <w:rFonts w:ascii="Calibri" w:hAnsi="Calibri" w:cs="Calibri"/>
          <w:lang w:eastAsia="en-AU"/>
        </w:rPr>
        <w:t>i</w:t>
      </w:r>
      <w:r w:rsidRPr="00834859">
        <w:rPr>
          <w:rFonts w:ascii="Calibri" w:hAnsi="Calibri" w:cs="Calibri"/>
          <w:lang w:eastAsia="en-AU"/>
        </w:rPr>
        <w:t xml:space="preserve">t was noted that State/Territory funding </w:t>
      </w:r>
      <w:r w:rsidR="00FA0079">
        <w:rPr>
          <w:rFonts w:ascii="Calibri" w:hAnsi="Calibri" w:cs="Calibri"/>
          <w:lang w:eastAsia="en-AU"/>
        </w:rPr>
        <w:t xml:space="preserve">to support weight loss </w:t>
      </w:r>
      <w:r w:rsidR="00561F54">
        <w:rPr>
          <w:rFonts w:ascii="Calibri" w:hAnsi="Calibri" w:cs="Calibri"/>
          <w:lang w:eastAsia="en-AU"/>
        </w:rPr>
        <w:t xml:space="preserve">in such circumstances </w:t>
      </w:r>
      <w:r w:rsidRPr="00834859">
        <w:rPr>
          <w:rFonts w:ascii="Calibri" w:hAnsi="Calibri" w:cs="Calibri"/>
          <w:lang w:eastAsia="en-AU"/>
        </w:rPr>
        <w:t>may be available for these patients</w:t>
      </w:r>
      <w:r w:rsidR="00561F54">
        <w:rPr>
          <w:rFonts w:ascii="Calibri" w:hAnsi="Calibri" w:cs="Calibri"/>
          <w:lang w:eastAsia="en-AU"/>
        </w:rPr>
        <w:t xml:space="preserve"> via alternative means</w:t>
      </w:r>
      <w:r w:rsidRPr="00834859">
        <w:rPr>
          <w:rFonts w:ascii="Calibri" w:hAnsi="Calibri" w:cs="Calibri"/>
          <w:lang w:eastAsia="en-AU"/>
        </w:rPr>
        <w:t>.</w:t>
      </w:r>
      <w:r w:rsidR="00131283">
        <w:rPr>
          <w:rFonts w:ascii="Calibri" w:hAnsi="Calibri" w:cs="Calibri"/>
          <w:lang w:eastAsia="en-AU"/>
        </w:rPr>
        <w:t>)</w:t>
      </w:r>
    </w:p>
    <w:p w14:paraId="05C1CFF3" w14:textId="4DCFA730" w:rsidR="0044584A" w:rsidRPr="00001A19" w:rsidRDefault="00131283" w:rsidP="00BE678A">
      <w:pPr>
        <w:pStyle w:val="ListParagraph"/>
        <w:numPr>
          <w:ilvl w:val="0"/>
          <w:numId w:val="8"/>
        </w:numPr>
        <w:ind w:left="426" w:hanging="426"/>
        <w:jc w:val="both"/>
        <w:rPr>
          <w:rFonts w:ascii="Calibri" w:hAnsi="Calibri" w:cs="Calibri"/>
          <w:color w:val="244061" w:themeColor="accent1" w:themeShade="80"/>
          <w:lang w:eastAsia="en-AU"/>
        </w:rPr>
      </w:pPr>
      <w:r>
        <w:rPr>
          <w:rFonts w:ascii="Calibri" w:hAnsi="Calibri" w:cs="Calibri"/>
          <w:lang w:eastAsia="en-AU"/>
        </w:rPr>
        <w:t xml:space="preserve">Stakeholders </w:t>
      </w:r>
      <w:r w:rsidR="00B04525">
        <w:rPr>
          <w:rFonts w:ascii="Calibri" w:hAnsi="Calibri" w:cs="Calibri"/>
          <w:lang w:eastAsia="en-AU"/>
        </w:rPr>
        <w:t>agreed</w:t>
      </w:r>
      <w:r>
        <w:rPr>
          <w:rFonts w:ascii="Calibri" w:hAnsi="Calibri" w:cs="Calibri"/>
          <w:lang w:eastAsia="en-AU"/>
        </w:rPr>
        <w:t xml:space="preserve"> that there were substantial barriers to accessing bariatric surgery, </w:t>
      </w:r>
      <w:r w:rsidR="00561F54">
        <w:rPr>
          <w:rFonts w:ascii="Calibri" w:hAnsi="Calibri" w:cs="Calibri"/>
          <w:lang w:eastAsia="en-AU"/>
        </w:rPr>
        <w:t xml:space="preserve">which is well documented as the most effective anti-obesity therapy which is currently available. The issue of inequity was raised given that bariatric surgery </w:t>
      </w:r>
      <w:r>
        <w:rPr>
          <w:rFonts w:ascii="Calibri" w:hAnsi="Calibri" w:cs="Calibri"/>
          <w:lang w:eastAsia="en-AU"/>
        </w:rPr>
        <w:t xml:space="preserve">is primarily delivered in </w:t>
      </w:r>
      <w:r w:rsidR="00AC68B8">
        <w:rPr>
          <w:rFonts w:ascii="Calibri" w:hAnsi="Calibri" w:cs="Calibri"/>
          <w:lang w:eastAsia="en-AU"/>
        </w:rPr>
        <w:t xml:space="preserve">private </w:t>
      </w:r>
      <w:r>
        <w:rPr>
          <w:rFonts w:ascii="Calibri" w:hAnsi="Calibri" w:cs="Calibri"/>
          <w:lang w:eastAsia="en-AU"/>
        </w:rPr>
        <w:t>hospitals</w:t>
      </w:r>
      <w:r w:rsidR="00561F54">
        <w:rPr>
          <w:rFonts w:ascii="Calibri" w:hAnsi="Calibri" w:cs="Calibri"/>
          <w:lang w:eastAsia="en-AU"/>
        </w:rPr>
        <w:t xml:space="preserve">, with </w:t>
      </w:r>
      <w:r w:rsidR="00935F1D">
        <w:rPr>
          <w:rFonts w:ascii="Calibri" w:hAnsi="Calibri" w:cs="Calibri"/>
          <w:lang w:eastAsia="en-AU"/>
        </w:rPr>
        <w:t>less than</w:t>
      </w:r>
      <w:r w:rsidR="00561F54">
        <w:rPr>
          <w:rFonts w:ascii="Calibri" w:hAnsi="Calibri" w:cs="Calibri"/>
          <w:lang w:eastAsia="en-AU"/>
        </w:rPr>
        <w:t xml:space="preserve"> 10%</w:t>
      </w:r>
      <w:r w:rsidR="00935F1D">
        <w:rPr>
          <w:rStyle w:val="FootnoteReference"/>
          <w:rFonts w:ascii="Calibri" w:hAnsi="Calibri" w:cs="Calibri"/>
          <w:lang w:eastAsia="en-AU"/>
        </w:rPr>
        <w:footnoteReference w:id="3"/>
      </w:r>
      <w:r w:rsidR="00561F54">
        <w:rPr>
          <w:rFonts w:ascii="Calibri" w:hAnsi="Calibri" w:cs="Calibri"/>
          <w:lang w:eastAsia="en-AU"/>
        </w:rPr>
        <w:t xml:space="preserve"> being delivered in public hospitals due to</w:t>
      </w:r>
      <w:r w:rsidR="00D94781">
        <w:rPr>
          <w:rFonts w:ascii="Calibri" w:hAnsi="Calibri" w:cs="Calibri"/>
          <w:lang w:eastAsia="en-AU"/>
        </w:rPr>
        <w:t xml:space="preserve"> </w:t>
      </w:r>
      <w:r w:rsidR="00561F54">
        <w:rPr>
          <w:rFonts w:ascii="Calibri" w:hAnsi="Calibri" w:cs="Calibri"/>
          <w:lang w:eastAsia="en-AU"/>
        </w:rPr>
        <w:t>long</w:t>
      </w:r>
      <w:r w:rsidR="00DC784E">
        <w:rPr>
          <w:rFonts w:ascii="Calibri" w:hAnsi="Calibri" w:cs="Calibri"/>
          <w:lang w:eastAsia="en-AU"/>
        </w:rPr>
        <w:t xml:space="preserve"> waiting times</w:t>
      </w:r>
      <w:r w:rsidR="00AC68B8">
        <w:rPr>
          <w:rFonts w:ascii="Calibri" w:hAnsi="Calibri" w:cs="Calibri"/>
          <w:lang w:eastAsia="en-AU"/>
        </w:rPr>
        <w:t xml:space="preserve"> for public services</w:t>
      </w:r>
      <w:r w:rsidR="00DC784E">
        <w:rPr>
          <w:rFonts w:ascii="Calibri" w:hAnsi="Calibri" w:cs="Calibri"/>
          <w:lang w:eastAsia="en-AU"/>
        </w:rPr>
        <w:t xml:space="preserve">, </w:t>
      </w:r>
      <w:r w:rsidR="00561F54">
        <w:rPr>
          <w:rFonts w:ascii="Calibri" w:hAnsi="Calibri" w:cs="Calibri"/>
          <w:lang w:eastAsia="en-AU"/>
        </w:rPr>
        <w:t xml:space="preserve">limited staff and resources </w:t>
      </w:r>
      <w:r w:rsidR="00DC784E">
        <w:rPr>
          <w:rFonts w:ascii="Calibri" w:hAnsi="Calibri" w:cs="Calibri"/>
          <w:lang w:eastAsia="en-AU"/>
        </w:rPr>
        <w:t>and lack of</w:t>
      </w:r>
      <w:r w:rsidR="00561F54">
        <w:rPr>
          <w:rFonts w:ascii="Calibri" w:hAnsi="Calibri" w:cs="Calibri"/>
          <w:lang w:eastAsia="en-AU"/>
        </w:rPr>
        <w:t>/insufficient</w:t>
      </w:r>
      <w:r w:rsidR="00DC784E">
        <w:rPr>
          <w:rFonts w:ascii="Calibri" w:hAnsi="Calibri" w:cs="Calibri"/>
          <w:lang w:eastAsia="en-AU"/>
        </w:rPr>
        <w:t xml:space="preserve"> </w:t>
      </w:r>
      <w:r w:rsidR="00561F54">
        <w:rPr>
          <w:rFonts w:ascii="Calibri" w:hAnsi="Calibri" w:cs="Calibri"/>
          <w:lang w:eastAsia="en-AU"/>
        </w:rPr>
        <w:t>provision of public</w:t>
      </w:r>
      <w:r w:rsidR="00AC68B8">
        <w:rPr>
          <w:rFonts w:ascii="Calibri" w:hAnsi="Calibri" w:cs="Calibri"/>
          <w:lang w:eastAsia="en-AU"/>
        </w:rPr>
        <w:t xml:space="preserve"> </w:t>
      </w:r>
      <w:r w:rsidR="00DC784E">
        <w:rPr>
          <w:rFonts w:ascii="Calibri" w:hAnsi="Calibri" w:cs="Calibri"/>
          <w:lang w:eastAsia="en-AU"/>
        </w:rPr>
        <w:t>services in regional and remote areas</w:t>
      </w:r>
      <w:r w:rsidR="000D4D7F">
        <w:rPr>
          <w:rFonts w:ascii="Calibri" w:hAnsi="Calibri" w:cs="Calibri"/>
          <w:lang w:eastAsia="en-AU"/>
        </w:rPr>
        <w:t>, where there is high need</w:t>
      </w:r>
      <w:r w:rsidR="00DC784E">
        <w:rPr>
          <w:rFonts w:ascii="Calibri" w:hAnsi="Calibri" w:cs="Calibri"/>
          <w:lang w:eastAsia="en-AU"/>
        </w:rPr>
        <w:t xml:space="preserve">. Stakeholders did not consider that bariatric surgery would be the therapy most likely to be replaced in practice by </w:t>
      </w:r>
      <w:proofErr w:type="spellStart"/>
      <w:r w:rsidR="00DC784E">
        <w:rPr>
          <w:rFonts w:ascii="Calibri" w:hAnsi="Calibri" w:cs="Calibri"/>
          <w:lang w:eastAsia="en-AU"/>
        </w:rPr>
        <w:t>semaglutide</w:t>
      </w:r>
      <w:proofErr w:type="spellEnd"/>
      <w:r w:rsidR="00CC0968">
        <w:rPr>
          <w:rFonts w:ascii="Calibri" w:hAnsi="Calibri" w:cs="Calibri"/>
          <w:lang w:eastAsia="en-AU"/>
        </w:rPr>
        <w:t xml:space="preserve"> (although </w:t>
      </w:r>
      <w:r w:rsidR="00B04525">
        <w:rPr>
          <w:rFonts w:ascii="Calibri" w:hAnsi="Calibri" w:cs="Calibri"/>
          <w:lang w:eastAsia="en-AU"/>
        </w:rPr>
        <w:t xml:space="preserve">some noted the rapidly growing </w:t>
      </w:r>
      <w:r w:rsidR="00CC0968">
        <w:rPr>
          <w:rFonts w:ascii="Calibri" w:hAnsi="Calibri" w:cs="Calibri"/>
          <w:lang w:eastAsia="en-AU"/>
        </w:rPr>
        <w:t xml:space="preserve">proportion </w:t>
      </w:r>
      <w:r w:rsidR="00B04525">
        <w:rPr>
          <w:rFonts w:ascii="Calibri" w:hAnsi="Calibri" w:cs="Calibri"/>
          <w:lang w:eastAsia="en-AU"/>
        </w:rPr>
        <w:t>of Australians with</w:t>
      </w:r>
      <w:r w:rsidR="00CC0968">
        <w:rPr>
          <w:rFonts w:ascii="Calibri" w:hAnsi="Calibri" w:cs="Calibri"/>
          <w:lang w:eastAsia="en-AU"/>
        </w:rPr>
        <w:t xml:space="preserve"> </w:t>
      </w:r>
      <w:r w:rsidR="00653A13">
        <w:rPr>
          <w:rFonts w:ascii="Calibri" w:hAnsi="Calibri" w:cs="Calibri"/>
          <w:lang w:eastAsia="en-AU"/>
        </w:rPr>
        <w:t xml:space="preserve">severe </w:t>
      </w:r>
      <w:r w:rsidR="00CC0968">
        <w:rPr>
          <w:rFonts w:ascii="Calibri" w:hAnsi="Calibri" w:cs="Calibri"/>
          <w:lang w:eastAsia="en-AU"/>
        </w:rPr>
        <w:t>obesity</w:t>
      </w:r>
      <w:r w:rsidR="00FA0079">
        <w:rPr>
          <w:rFonts w:ascii="Calibri" w:hAnsi="Calibri" w:cs="Calibri"/>
          <w:lang w:eastAsia="en-AU"/>
        </w:rPr>
        <w:t xml:space="preserve"> who would be potentially eligible for bariatric surgery</w:t>
      </w:r>
      <w:r w:rsidR="00CC0968">
        <w:rPr>
          <w:rFonts w:ascii="Calibri" w:hAnsi="Calibri" w:cs="Calibri"/>
          <w:lang w:eastAsia="en-AU"/>
        </w:rPr>
        <w:t>).</w:t>
      </w:r>
      <w:r w:rsidR="00DC784E">
        <w:rPr>
          <w:rFonts w:ascii="Calibri" w:hAnsi="Calibri" w:cs="Calibri"/>
          <w:lang w:eastAsia="en-AU"/>
        </w:rPr>
        <w:t xml:space="preserve"> Rather, it was expected to be </w:t>
      </w:r>
      <w:r w:rsidR="00B04525">
        <w:rPr>
          <w:rFonts w:ascii="Calibri" w:hAnsi="Calibri" w:cs="Calibri"/>
          <w:lang w:eastAsia="en-AU"/>
        </w:rPr>
        <w:t xml:space="preserve">used largely as </w:t>
      </w:r>
      <w:r w:rsidR="00DC784E">
        <w:rPr>
          <w:rFonts w:ascii="Calibri" w:hAnsi="Calibri" w:cs="Calibri"/>
          <w:lang w:eastAsia="en-AU"/>
        </w:rPr>
        <w:t xml:space="preserve">an add-on therapy to other </w:t>
      </w:r>
      <w:r w:rsidR="005713D7">
        <w:rPr>
          <w:rFonts w:ascii="Calibri" w:hAnsi="Calibri" w:cs="Calibri"/>
          <w:lang w:eastAsia="en-AU"/>
        </w:rPr>
        <w:t>lifestyle</w:t>
      </w:r>
      <w:r w:rsidR="00DC784E">
        <w:rPr>
          <w:rFonts w:ascii="Calibri" w:hAnsi="Calibri" w:cs="Calibri"/>
          <w:lang w:eastAsia="en-AU"/>
        </w:rPr>
        <w:t xml:space="preserve"> interventions</w:t>
      </w:r>
      <w:r w:rsidR="005713D7">
        <w:rPr>
          <w:rFonts w:ascii="Calibri" w:hAnsi="Calibri" w:cs="Calibri"/>
          <w:lang w:eastAsia="en-AU"/>
        </w:rPr>
        <w:t xml:space="preserve"> as outlined above</w:t>
      </w:r>
      <w:r w:rsidR="00B04525">
        <w:rPr>
          <w:rFonts w:ascii="Calibri" w:hAnsi="Calibri" w:cs="Calibri"/>
          <w:lang w:eastAsia="en-AU"/>
        </w:rPr>
        <w:t xml:space="preserve">. </w:t>
      </w:r>
    </w:p>
    <w:p w14:paraId="3B9984D4" w14:textId="41B55398" w:rsidR="00131283" w:rsidRPr="00DC784E" w:rsidRDefault="00B04525" w:rsidP="00BE678A">
      <w:pPr>
        <w:pStyle w:val="ListParagraph"/>
        <w:numPr>
          <w:ilvl w:val="0"/>
          <w:numId w:val="8"/>
        </w:numPr>
        <w:ind w:left="426" w:hanging="426"/>
        <w:jc w:val="both"/>
        <w:rPr>
          <w:rFonts w:ascii="Calibri" w:hAnsi="Calibri" w:cs="Calibri"/>
          <w:color w:val="244061" w:themeColor="accent1" w:themeShade="80"/>
          <w:lang w:eastAsia="en-AU"/>
        </w:rPr>
      </w:pPr>
      <w:r>
        <w:rPr>
          <w:rFonts w:ascii="Calibri" w:hAnsi="Calibri" w:cs="Calibri"/>
          <w:lang w:eastAsia="en-AU"/>
        </w:rPr>
        <w:t xml:space="preserve">Some comments suggested that </w:t>
      </w:r>
      <w:r w:rsidR="0044584A">
        <w:rPr>
          <w:rFonts w:ascii="Calibri" w:hAnsi="Calibri" w:cs="Calibri"/>
          <w:lang w:eastAsia="en-AU"/>
        </w:rPr>
        <w:t>highest clinical need</w:t>
      </w:r>
      <w:r>
        <w:rPr>
          <w:rFonts w:ascii="Calibri" w:hAnsi="Calibri" w:cs="Calibri"/>
          <w:lang w:eastAsia="en-AU"/>
        </w:rPr>
        <w:t xml:space="preserve"> would be </w:t>
      </w:r>
      <w:r w:rsidR="00DC784E">
        <w:rPr>
          <w:rFonts w:ascii="Calibri" w:hAnsi="Calibri" w:cs="Calibri"/>
          <w:lang w:eastAsia="en-AU"/>
        </w:rPr>
        <w:t>in patients who are at the more severe end of the overweight</w:t>
      </w:r>
      <w:r w:rsidR="00674BAA">
        <w:rPr>
          <w:rFonts w:ascii="Calibri" w:hAnsi="Calibri" w:cs="Calibri"/>
          <w:lang w:eastAsia="en-AU"/>
        </w:rPr>
        <w:t>/obesity</w:t>
      </w:r>
      <w:r w:rsidR="00DC784E">
        <w:rPr>
          <w:rFonts w:ascii="Calibri" w:hAnsi="Calibri" w:cs="Calibri"/>
          <w:lang w:eastAsia="en-AU"/>
        </w:rPr>
        <w:t xml:space="preserve"> spectrum</w:t>
      </w:r>
      <w:r>
        <w:rPr>
          <w:rFonts w:ascii="Calibri" w:hAnsi="Calibri" w:cs="Calibri"/>
          <w:lang w:eastAsia="en-AU"/>
        </w:rPr>
        <w:t>, while other comments suggested that pharmacological treatment should take place earlier in the disease course before weight-related complications arise.</w:t>
      </w:r>
      <w:r w:rsidR="00674BAA">
        <w:rPr>
          <w:rFonts w:ascii="Calibri" w:hAnsi="Calibri" w:cs="Calibri"/>
          <w:lang w:eastAsia="en-AU"/>
        </w:rPr>
        <w:t xml:space="preserve"> Reference to Padwal et al</w:t>
      </w:r>
      <w:r w:rsidR="00D94781">
        <w:rPr>
          <w:rStyle w:val="FootnoteReference"/>
          <w:rFonts w:ascii="Calibri" w:hAnsi="Calibri" w:cs="Calibri"/>
          <w:lang w:eastAsia="en-AU"/>
        </w:rPr>
        <w:footnoteReference w:id="4"/>
      </w:r>
      <w:r w:rsidR="00674BAA">
        <w:rPr>
          <w:rFonts w:ascii="Calibri" w:hAnsi="Calibri" w:cs="Calibri"/>
          <w:lang w:eastAsia="en-AU"/>
        </w:rPr>
        <w:t xml:space="preserve"> looking at </w:t>
      </w:r>
      <w:r w:rsidR="00822569">
        <w:rPr>
          <w:rFonts w:ascii="Calibri" w:hAnsi="Calibri" w:cs="Calibri"/>
          <w:lang w:eastAsia="en-AU"/>
        </w:rPr>
        <w:t xml:space="preserve">the United States </w:t>
      </w:r>
      <w:r w:rsidR="00822569" w:rsidRPr="00822569">
        <w:rPr>
          <w:rFonts w:ascii="Calibri" w:hAnsi="Calibri" w:cs="Calibri"/>
          <w:lang w:eastAsia="en-AU"/>
        </w:rPr>
        <w:t>National Health and Human Nutrition Examination Surveys</w:t>
      </w:r>
      <w:r w:rsidR="00822569" w:rsidRPr="00822569" w:rsidDel="00822569">
        <w:rPr>
          <w:rFonts w:ascii="Calibri" w:hAnsi="Calibri" w:cs="Calibri"/>
          <w:lang w:eastAsia="en-AU"/>
        </w:rPr>
        <w:t xml:space="preserve"> </w:t>
      </w:r>
      <w:r w:rsidR="00822569">
        <w:rPr>
          <w:rFonts w:ascii="Calibri" w:hAnsi="Calibri" w:cs="Calibri"/>
          <w:lang w:eastAsia="en-AU"/>
        </w:rPr>
        <w:t xml:space="preserve">and </w:t>
      </w:r>
      <w:r w:rsidR="00822569" w:rsidRPr="00822569">
        <w:rPr>
          <w:rFonts w:ascii="Calibri" w:hAnsi="Calibri" w:cs="Calibri"/>
          <w:lang w:eastAsia="en-AU"/>
        </w:rPr>
        <w:t>Edmonton obesity staging system</w:t>
      </w:r>
      <w:r w:rsidR="00822569">
        <w:rPr>
          <w:rFonts w:ascii="Calibri" w:hAnsi="Calibri" w:cs="Calibri"/>
          <w:lang w:eastAsia="en-AU"/>
        </w:rPr>
        <w:t xml:space="preserve"> data</w:t>
      </w:r>
      <w:r w:rsidR="00822569" w:rsidRPr="00822569" w:rsidDel="00822569">
        <w:rPr>
          <w:rFonts w:ascii="Calibri" w:hAnsi="Calibri" w:cs="Calibri"/>
          <w:lang w:eastAsia="en-AU"/>
        </w:rPr>
        <w:t xml:space="preserve"> </w:t>
      </w:r>
      <w:r w:rsidR="00674BAA">
        <w:rPr>
          <w:rFonts w:ascii="Calibri" w:hAnsi="Calibri" w:cs="Calibri"/>
          <w:lang w:eastAsia="en-AU"/>
        </w:rPr>
        <w:t>was discussed during the meeting, as a source that identifies which groups of patients are likely to benefit the most from anti-obesity therapy from a morbidity and mortality perspective.</w:t>
      </w:r>
    </w:p>
    <w:p w14:paraId="2BD52C92" w14:textId="792727C6" w:rsidR="00DC784E" w:rsidRPr="00DC784E" w:rsidRDefault="00DC784E" w:rsidP="00BE678A">
      <w:pPr>
        <w:pStyle w:val="ListParagraph"/>
        <w:numPr>
          <w:ilvl w:val="0"/>
          <w:numId w:val="8"/>
        </w:numPr>
        <w:ind w:left="426" w:hanging="426"/>
        <w:jc w:val="both"/>
        <w:rPr>
          <w:rFonts w:ascii="Calibri" w:hAnsi="Calibri" w:cs="Calibri"/>
          <w:color w:val="244061" w:themeColor="accent1" w:themeShade="80"/>
          <w:lang w:eastAsia="en-AU"/>
        </w:rPr>
      </w:pPr>
      <w:r>
        <w:rPr>
          <w:rFonts w:ascii="Calibri" w:hAnsi="Calibri" w:cs="Calibri"/>
          <w:lang w:eastAsia="en-AU"/>
        </w:rPr>
        <w:t xml:space="preserve">It was noted that patients </w:t>
      </w:r>
      <w:r w:rsidR="00B04525">
        <w:rPr>
          <w:rFonts w:ascii="Calibri" w:hAnsi="Calibri" w:cs="Calibri"/>
          <w:lang w:eastAsia="en-AU"/>
        </w:rPr>
        <w:t>treated in Australia</w:t>
      </w:r>
      <w:r w:rsidR="002B7405">
        <w:rPr>
          <w:rFonts w:ascii="Calibri" w:hAnsi="Calibri" w:cs="Calibri"/>
          <w:lang w:eastAsia="en-AU"/>
        </w:rPr>
        <w:t>n clinical practice</w:t>
      </w:r>
      <w:r w:rsidR="00B04525">
        <w:rPr>
          <w:rFonts w:ascii="Calibri" w:hAnsi="Calibri" w:cs="Calibri"/>
          <w:lang w:eastAsia="en-AU"/>
        </w:rPr>
        <w:t xml:space="preserve"> may be </w:t>
      </w:r>
      <w:r>
        <w:rPr>
          <w:rFonts w:ascii="Calibri" w:hAnsi="Calibri" w:cs="Calibri"/>
          <w:lang w:eastAsia="en-AU"/>
        </w:rPr>
        <w:t>less healthy and</w:t>
      </w:r>
      <w:r w:rsidR="00B04525">
        <w:rPr>
          <w:rFonts w:ascii="Calibri" w:hAnsi="Calibri" w:cs="Calibri"/>
          <w:lang w:eastAsia="en-AU"/>
        </w:rPr>
        <w:t xml:space="preserve"> certainly</w:t>
      </w:r>
      <w:r>
        <w:rPr>
          <w:rFonts w:ascii="Calibri" w:hAnsi="Calibri" w:cs="Calibri"/>
          <w:lang w:eastAsia="en-AU"/>
        </w:rPr>
        <w:t xml:space="preserve"> less supported than those </w:t>
      </w:r>
      <w:r w:rsidR="00B04525">
        <w:rPr>
          <w:rFonts w:ascii="Calibri" w:hAnsi="Calibri" w:cs="Calibri"/>
          <w:lang w:eastAsia="en-AU"/>
        </w:rPr>
        <w:t>receiving therapy</w:t>
      </w:r>
      <w:r>
        <w:rPr>
          <w:rFonts w:ascii="Calibri" w:hAnsi="Calibri" w:cs="Calibri"/>
          <w:lang w:eastAsia="en-AU"/>
        </w:rPr>
        <w:t xml:space="preserve"> in the structured and controlled environment of the sponsor’s trial program. </w:t>
      </w:r>
      <w:r w:rsidR="00A80C3B">
        <w:rPr>
          <w:rFonts w:ascii="Calibri" w:hAnsi="Calibri" w:cs="Calibri"/>
          <w:lang w:eastAsia="en-AU"/>
        </w:rPr>
        <w:t>For example, patients in the Australian population may have additional comorbidities, which were excluded in the trial.</w:t>
      </w:r>
    </w:p>
    <w:p w14:paraId="5C0C09EB" w14:textId="018E73DC" w:rsidR="00DC784E" w:rsidRPr="00131283" w:rsidRDefault="00DC784E" w:rsidP="00BE678A">
      <w:pPr>
        <w:pStyle w:val="ListParagraph"/>
        <w:numPr>
          <w:ilvl w:val="0"/>
          <w:numId w:val="8"/>
        </w:numPr>
        <w:ind w:left="426" w:hanging="426"/>
        <w:jc w:val="both"/>
        <w:rPr>
          <w:rFonts w:ascii="Calibri" w:hAnsi="Calibri" w:cs="Calibri"/>
          <w:color w:val="244061" w:themeColor="accent1" w:themeShade="80"/>
          <w:lang w:eastAsia="en-AU"/>
        </w:rPr>
      </w:pPr>
      <w:r>
        <w:rPr>
          <w:rFonts w:ascii="Calibri" w:hAnsi="Calibri" w:cs="Calibri"/>
          <w:lang w:eastAsia="en-AU"/>
        </w:rPr>
        <w:t>Stakeholders considered that there were different goals of treatment in different populations</w:t>
      </w:r>
      <w:r w:rsidR="00951A52">
        <w:rPr>
          <w:rFonts w:ascii="Calibri" w:hAnsi="Calibri" w:cs="Calibri"/>
          <w:lang w:eastAsia="en-AU"/>
        </w:rPr>
        <w:t>/</w:t>
      </w:r>
      <w:r>
        <w:rPr>
          <w:rFonts w:ascii="Calibri" w:hAnsi="Calibri" w:cs="Calibri"/>
          <w:lang w:eastAsia="en-AU"/>
        </w:rPr>
        <w:t xml:space="preserve">clinical settings. </w:t>
      </w:r>
    </w:p>
    <w:p w14:paraId="1768512E" w14:textId="77777777" w:rsidR="0051472D" w:rsidRPr="00930D0E" w:rsidRDefault="0051472D" w:rsidP="00BE678A">
      <w:pPr>
        <w:pStyle w:val="Heading3"/>
        <w:jc w:val="both"/>
        <w:rPr>
          <w:bCs w:val="0"/>
        </w:rPr>
      </w:pPr>
      <w:r w:rsidRPr="00951A52">
        <w:t>Goals of pharmacological treatment</w:t>
      </w:r>
    </w:p>
    <w:p w14:paraId="02A00617" w14:textId="6454C163" w:rsidR="005C15AC" w:rsidRDefault="00BC4F48" w:rsidP="00BE678A">
      <w:pPr>
        <w:numPr>
          <w:ilvl w:val="0"/>
          <w:numId w:val="12"/>
        </w:numPr>
        <w:shd w:val="clear" w:color="auto" w:fill="FFFFFF"/>
        <w:spacing w:after="0"/>
        <w:ind w:left="360"/>
        <w:jc w:val="both"/>
      </w:pPr>
      <w:r>
        <w:t>As noted above, f</w:t>
      </w:r>
      <w:r w:rsidR="00FA10F2">
        <w:t>or</w:t>
      </w:r>
      <w:r w:rsidR="005C15AC">
        <w:t xml:space="preserve"> some patients, the goal of pharmacological therapy would be</w:t>
      </w:r>
      <w:r w:rsidR="00FA10F2">
        <w:t xml:space="preserve"> to achieve short term weight loss (e.g. pre-transplant), but for the majority, the goal would be to achieve sustained weight loss, in order to reduce the likelihood of developing a range of comorbidities, such as micro/macrovascular </w:t>
      </w:r>
      <w:r w:rsidR="006F48F9">
        <w:t xml:space="preserve">disease </w:t>
      </w:r>
      <w:r w:rsidR="00FA10F2">
        <w:t>complications</w:t>
      </w:r>
      <w:r w:rsidR="006F48F9">
        <w:t xml:space="preserve"> from type</w:t>
      </w:r>
      <w:r w:rsidR="00B3160D">
        <w:t> </w:t>
      </w:r>
      <w:r w:rsidR="006F48F9">
        <w:t>2</w:t>
      </w:r>
      <w:r w:rsidR="00B3160D">
        <w:t> </w:t>
      </w:r>
      <w:r w:rsidR="006F48F9">
        <w:t>diabetes</w:t>
      </w:r>
      <w:r w:rsidR="00FA10F2">
        <w:t xml:space="preserve">, </w:t>
      </w:r>
      <w:r w:rsidR="00B3160D">
        <w:t xml:space="preserve">cardiovascular disease, </w:t>
      </w:r>
      <w:r w:rsidR="00A80C3B">
        <w:t>prevention of progression from pre</w:t>
      </w:r>
      <w:r w:rsidR="00147FF4">
        <w:t>-</w:t>
      </w:r>
      <w:r w:rsidR="00A80C3B">
        <w:t>diabetes to diabetes</w:t>
      </w:r>
      <w:r w:rsidR="0092573B">
        <w:t xml:space="preserve">, sleep apnoea and </w:t>
      </w:r>
      <w:r w:rsidR="00FA10F2">
        <w:t>chronic kidney disease.</w:t>
      </w:r>
    </w:p>
    <w:p w14:paraId="6B57EB39" w14:textId="72DA98D7" w:rsidR="00674BAA" w:rsidRDefault="00FA10F2" w:rsidP="004E0E2E">
      <w:pPr>
        <w:numPr>
          <w:ilvl w:val="0"/>
          <w:numId w:val="15"/>
        </w:numPr>
        <w:shd w:val="clear" w:color="auto" w:fill="FFFFFF"/>
        <w:spacing w:after="0"/>
        <w:ind w:left="360"/>
        <w:jc w:val="both"/>
      </w:pPr>
      <w:r>
        <w:lastRenderedPageBreak/>
        <w:t xml:space="preserve">From a patient perspective, other important goals include improved quality of life, particularly with respect to mental wellbeing </w:t>
      </w:r>
      <w:r w:rsidR="000079A4">
        <w:t>since</w:t>
      </w:r>
      <w:r>
        <w:t xml:space="preserve"> the psychological burden of repeated non-response to weight loss interventions can become </w:t>
      </w:r>
      <w:r w:rsidR="00B04525">
        <w:t xml:space="preserve">very </w:t>
      </w:r>
      <w:r>
        <w:t xml:space="preserve">challenging over time. </w:t>
      </w:r>
      <w:r w:rsidR="000079A4">
        <w:t>It was commented that it could be further damaging to some patients if pharmacotherapy became ‘yet another tried and failed’ attempt at weight loss,</w:t>
      </w:r>
      <w:r w:rsidR="00674BAA">
        <w:t xml:space="preserve"> which was a seg</w:t>
      </w:r>
      <w:r w:rsidR="002B7850">
        <w:t>ue</w:t>
      </w:r>
      <w:r w:rsidR="00674BAA">
        <w:t xml:space="preserve"> to the issue of stigma and shame many people with overweight/obesity experience. It was suggested, as per the World Obesity Federation recommendations, that terminology is important</w:t>
      </w:r>
      <w:r w:rsidR="00013C76">
        <w:t xml:space="preserve">, for example, the </w:t>
      </w:r>
      <w:r w:rsidR="00674BAA">
        <w:t xml:space="preserve">use of “responder” vs “non responder” to therapy </w:t>
      </w:r>
      <w:r w:rsidR="00013C76">
        <w:t xml:space="preserve">should </w:t>
      </w:r>
      <w:r w:rsidR="00674BAA">
        <w:t xml:space="preserve">be adopted instead of “success” vs “fail” therapy.  </w:t>
      </w:r>
    </w:p>
    <w:p w14:paraId="72AD496E" w14:textId="7472552D" w:rsidR="004E0E2E" w:rsidRDefault="00A838A1" w:rsidP="004E0E2E">
      <w:pPr>
        <w:numPr>
          <w:ilvl w:val="0"/>
          <w:numId w:val="15"/>
        </w:numPr>
        <w:shd w:val="clear" w:color="auto" w:fill="FFFFFF"/>
        <w:spacing w:after="0"/>
        <w:ind w:left="360"/>
        <w:jc w:val="both"/>
      </w:pPr>
      <w:r>
        <w:t>S</w:t>
      </w:r>
      <w:r w:rsidR="000079A4">
        <w:t xml:space="preserve">takeholders agreed that it was therefore important to target treatment towards patients who would be most likely to achieve sustained weight loss. In terms of quality of life, some concerns were also raised with respect to the burden of weekly </w:t>
      </w:r>
      <w:proofErr w:type="spellStart"/>
      <w:r w:rsidR="00365C1E">
        <w:t>semaglutide</w:t>
      </w:r>
      <w:proofErr w:type="spellEnd"/>
      <w:r w:rsidR="00365C1E">
        <w:t xml:space="preserve"> </w:t>
      </w:r>
      <w:r w:rsidR="000079A4">
        <w:t xml:space="preserve">injections and the experience of gastrointestinal adverse events (AEs) in the key </w:t>
      </w:r>
      <w:r w:rsidR="00365C1E">
        <w:t xml:space="preserve">clinical </w:t>
      </w:r>
      <w:r w:rsidR="000079A4">
        <w:t xml:space="preserve">trials. However, the clinical viewpoint was that a weekly injection is tolerated for many </w:t>
      </w:r>
      <w:r w:rsidR="00BC4F48">
        <w:t>medicines such as insulin</w:t>
      </w:r>
      <w:r w:rsidR="00B24E39">
        <w:t xml:space="preserve">, some other </w:t>
      </w:r>
      <w:proofErr w:type="spellStart"/>
      <w:r w:rsidR="00B24E39">
        <w:t>hypoglycemic</w:t>
      </w:r>
      <w:proofErr w:type="spellEnd"/>
      <w:r w:rsidR="00B24E39">
        <w:t xml:space="preserve"> agents</w:t>
      </w:r>
      <w:r w:rsidR="00E05A3B">
        <w:t>, migraine therapy</w:t>
      </w:r>
      <w:r w:rsidR="00B24E39">
        <w:t xml:space="preserve"> and </w:t>
      </w:r>
      <w:r w:rsidR="00BC4F48">
        <w:t xml:space="preserve">anticoagulants, </w:t>
      </w:r>
      <w:r w:rsidR="00D1205A">
        <w:t>and should not be a substantial deterrent to uptake and adherence to treatment</w:t>
      </w:r>
      <w:r w:rsidR="00BC4F48">
        <w:t>.</w:t>
      </w:r>
      <w:r w:rsidR="004E0E2E">
        <w:t xml:space="preserve"> </w:t>
      </w:r>
      <w:r>
        <w:t>However, t</w:t>
      </w:r>
      <w:r w:rsidR="004E0E2E">
        <w:t xml:space="preserve">here was no discussion about the potential impact of </w:t>
      </w:r>
      <w:r w:rsidR="002F0609">
        <w:t>gastrointestinal</w:t>
      </w:r>
      <w:r w:rsidR="004E0E2E">
        <w:t xml:space="preserve"> AEs on the long-term compliance with the medication regime. </w:t>
      </w:r>
    </w:p>
    <w:p w14:paraId="308E8B6D" w14:textId="4511810A" w:rsidR="000079A4" w:rsidRDefault="00BF1F01" w:rsidP="00BE678A">
      <w:pPr>
        <w:numPr>
          <w:ilvl w:val="0"/>
          <w:numId w:val="12"/>
        </w:numPr>
        <w:shd w:val="clear" w:color="auto" w:fill="FFFFFF"/>
        <w:spacing w:after="0"/>
        <w:ind w:left="360"/>
        <w:jc w:val="both"/>
      </w:pPr>
      <w:r w:rsidRPr="00BF1F01">
        <w:t xml:space="preserve">Some stakeholders raised the importance of nutritional guidance, alongside use of </w:t>
      </w:r>
      <w:proofErr w:type="spellStart"/>
      <w:r w:rsidRPr="00BF1F01">
        <w:t>semaglutide</w:t>
      </w:r>
      <w:proofErr w:type="spellEnd"/>
      <w:r w:rsidRPr="00BF1F01">
        <w:t>, to attain optimal health outcomes</w:t>
      </w:r>
      <w:r>
        <w:t>.</w:t>
      </w:r>
    </w:p>
    <w:p w14:paraId="2C19C0BD" w14:textId="60CAE8DF" w:rsidR="000C5412" w:rsidRDefault="00365C1E" w:rsidP="00BE678A">
      <w:pPr>
        <w:numPr>
          <w:ilvl w:val="0"/>
          <w:numId w:val="12"/>
        </w:numPr>
        <w:shd w:val="clear" w:color="auto" w:fill="FFFFFF"/>
        <w:spacing w:after="0"/>
        <w:ind w:left="360"/>
        <w:jc w:val="both"/>
      </w:pPr>
      <w:r>
        <w:t xml:space="preserve">There was also some discussion around the degree of </w:t>
      </w:r>
      <w:r w:rsidR="00103A82">
        <w:t xml:space="preserve">sustained </w:t>
      </w:r>
      <w:r>
        <w:t>weight loss required to achieve a reduction in the risk of developing long term complications</w:t>
      </w:r>
      <w:r w:rsidR="00B561FF">
        <w:t>, which was generally considered to be around 10%.</w:t>
      </w:r>
    </w:p>
    <w:p w14:paraId="78C2BA19" w14:textId="437C8329" w:rsidR="000C5412" w:rsidRPr="00313EBB" w:rsidRDefault="000C5412" w:rsidP="00BE678A">
      <w:pPr>
        <w:numPr>
          <w:ilvl w:val="0"/>
          <w:numId w:val="12"/>
        </w:numPr>
        <w:shd w:val="clear" w:color="auto" w:fill="FFFFFF"/>
        <w:spacing w:after="0"/>
        <w:ind w:left="360"/>
        <w:jc w:val="both"/>
      </w:pPr>
      <w:r>
        <w:t xml:space="preserve">Patients with </w:t>
      </w:r>
      <w:r w:rsidR="003542E8">
        <w:t xml:space="preserve">very </w:t>
      </w:r>
      <w:r>
        <w:t>high BMI</w:t>
      </w:r>
      <w:r w:rsidR="003542E8">
        <w:t xml:space="preserve"> </w:t>
      </w:r>
      <w:r>
        <w:t>(e.g. 50</w:t>
      </w:r>
      <w:r w:rsidR="00CA11F4">
        <w:t xml:space="preserve"> kg/m</w:t>
      </w:r>
      <w:r w:rsidR="00CA11F4">
        <w:rPr>
          <w:vertAlign w:val="superscript"/>
        </w:rPr>
        <w:t>2</w:t>
      </w:r>
      <w:r w:rsidR="00CA11F4">
        <w:t xml:space="preserve"> or greater</w:t>
      </w:r>
      <w:r>
        <w:t xml:space="preserve">), or older patients with overweight and obesity may already have established complications and comorbidities, and thus it </w:t>
      </w:r>
      <w:r w:rsidRPr="00313EBB">
        <w:t xml:space="preserve">was suggested that the goal of treatment </w:t>
      </w:r>
      <w:r w:rsidR="0064606B" w:rsidRPr="00313EBB">
        <w:t>might</w:t>
      </w:r>
      <w:r w:rsidRPr="00313EBB">
        <w:t xml:space="preserve"> also be to see an amelioration in comorbidities</w:t>
      </w:r>
      <w:r w:rsidR="007939C7">
        <w:t xml:space="preserve"> or slowing of deterioration</w:t>
      </w:r>
      <w:r w:rsidRPr="00313EBB">
        <w:t xml:space="preserve"> (</w:t>
      </w:r>
      <w:r w:rsidR="009E2F1D" w:rsidRPr="00313EBB">
        <w:t>m</w:t>
      </w:r>
      <w:r w:rsidRPr="00313EBB">
        <w:t xml:space="preserve">oreover, </w:t>
      </w:r>
      <w:r w:rsidR="002F0609">
        <w:t xml:space="preserve">some stakeholders considered that </w:t>
      </w:r>
      <w:r w:rsidRPr="00313EBB">
        <w:t>the weight loss required to see risk reductions in patients with a very high BMI may be greater than 15%).</w:t>
      </w:r>
    </w:p>
    <w:p w14:paraId="4349401B" w14:textId="0C3E95F7" w:rsidR="00365C1E" w:rsidRPr="00313EBB" w:rsidRDefault="00365C1E" w:rsidP="00BE678A">
      <w:pPr>
        <w:numPr>
          <w:ilvl w:val="0"/>
          <w:numId w:val="12"/>
        </w:numPr>
        <w:shd w:val="clear" w:color="auto" w:fill="FFFFFF"/>
        <w:spacing w:after="0"/>
        <w:ind w:left="360"/>
        <w:jc w:val="both"/>
      </w:pPr>
      <w:r w:rsidRPr="00313EBB">
        <w:t>Stakeholders</w:t>
      </w:r>
      <w:r w:rsidR="00BE678A" w:rsidRPr="00313EBB">
        <w:t xml:space="preserve"> </w:t>
      </w:r>
      <w:r w:rsidRPr="00313EBB">
        <w:t xml:space="preserve">noted that </w:t>
      </w:r>
      <w:bookmarkStart w:id="0" w:name="_Hlk87368993"/>
      <w:r w:rsidRPr="00313EBB">
        <w:t xml:space="preserve">no </w:t>
      </w:r>
      <w:r w:rsidR="003542E8" w:rsidRPr="00313EBB">
        <w:t xml:space="preserve">trial </w:t>
      </w:r>
      <w:proofErr w:type="spellStart"/>
      <w:r w:rsidR="003542E8" w:rsidRPr="00313EBB">
        <w:t>data</w:t>
      </w:r>
      <w:proofErr w:type="spellEnd"/>
      <w:r w:rsidR="003542E8" w:rsidRPr="00313EBB">
        <w:t xml:space="preserve"> </w:t>
      </w:r>
      <w:r w:rsidR="003542E8">
        <w:t xml:space="preserve">for </w:t>
      </w:r>
      <w:r w:rsidRPr="00313EBB">
        <w:t>long-term</w:t>
      </w:r>
      <w:r w:rsidR="003542E8">
        <w:t xml:space="preserve"> benefits for weight loss</w:t>
      </w:r>
      <w:r w:rsidRPr="00313EBB">
        <w:t xml:space="preserve"> </w:t>
      </w:r>
      <w:r w:rsidR="003542E8">
        <w:t>are</w:t>
      </w:r>
      <w:r w:rsidR="003542E8" w:rsidRPr="00313EBB">
        <w:t xml:space="preserve"> </w:t>
      </w:r>
      <w:r w:rsidRPr="00313EBB">
        <w:t>currently available</w:t>
      </w:r>
      <w:r w:rsidR="00843E52">
        <w:t>,</w:t>
      </w:r>
      <w:r w:rsidR="00D36C5F" w:rsidRPr="00D36C5F">
        <w:t xml:space="preserve"> </w:t>
      </w:r>
      <w:bookmarkEnd w:id="0"/>
      <w:r w:rsidR="002F0609">
        <w:t>al</w:t>
      </w:r>
      <w:r w:rsidR="00D36C5F">
        <w:t>though ongoing studies to address this are underway</w:t>
      </w:r>
      <w:r w:rsidRPr="00313EBB">
        <w:t xml:space="preserve">. Therefore, </w:t>
      </w:r>
      <w:bookmarkStart w:id="1" w:name="_Hlk87368967"/>
      <w:r w:rsidRPr="00313EBB">
        <w:t xml:space="preserve">the sponsor commented that some extrapolation of benefits will be required in </w:t>
      </w:r>
      <w:r w:rsidR="00476E87" w:rsidRPr="00313EBB">
        <w:t xml:space="preserve">the economic evaluation for </w:t>
      </w:r>
      <w:proofErr w:type="spellStart"/>
      <w:r w:rsidR="00476E87" w:rsidRPr="00313EBB">
        <w:t>semaglutide</w:t>
      </w:r>
      <w:proofErr w:type="spellEnd"/>
      <w:r w:rsidR="00476E87" w:rsidRPr="00313EBB">
        <w:t>.</w:t>
      </w:r>
    </w:p>
    <w:bookmarkEnd w:id="1"/>
    <w:p w14:paraId="7E937006" w14:textId="6603532C" w:rsidR="00930D0E" w:rsidRPr="00AA3B82" w:rsidRDefault="00930D0E" w:rsidP="00BE678A">
      <w:pPr>
        <w:pStyle w:val="Heading3"/>
        <w:jc w:val="both"/>
      </w:pPr>
      <w:r w:rsidRPr="00313EBB">
        <w:t>Potential initiation</w:t>
      </w:r>
      <w:r w:rsidRPr="00AA3B82">
        <w:t xml:space="preserve"> and continuation criteria</w:t>
      </w:r>
    </w:p>
    <w:p w14:paraId="236B71AB" w14:textId="7FEF5F4E" w:rsidR="0022617F" w:rsidRDefault="00D34C35" w:rsidP="00BE678A">
      <w:pPr>
        <w:numPr>
          <w:ilvl w:val="0"/>
          <w:numId w:val="12"/>
        </w:numPr>
        <w:shd w:val="clear" w:color="auto" w:fill="FFFFFF"/>
        <w:spacing w:after="0"/>
        <w:ind w:left="360"/>
        <w:jc w:val="both"/>
      </w:pPr>
      <w:r>
        <w:t>S</w:t>
      </w:r>
      <w:r w:rsidR="0022617F">
        <w:t>takeholders also discussed the PBS initiation and continuation criteria</w:t>
      </w:r>
      <w:r>
        <w:t xml:space="preserve"> (to reflect the population suitable for therapy and the expected health outcomes to be purchased).</w:t>
      </w:r>
    </w:p>
    <w:p w14:paraId="124FE400" w14:textId="327BB175" w:rsidR="001E12F8" w:rsidRDefault="001E12F8" w:rsidP="00BE678A">
      <w:pPr>
        <w:numPr>
          <w:ilvl w:val="0"/>
          <w:numId w:val="12"/>
        </w:numPr>
        <w:shd w:val="clear" w:color="auto" w:fill="FFFFFF"/>
        <w:spacing w:after="0"/>
        <w:ind w:left="360"/>
        <w:jc w:val="both"/>
      </w:pPr>
      <w:r>
        <w:t>Some clinician stakeholders, particularly in general practice</w:t>
      </w:r>
      <w:r w:rsidR="00C7349B">
        <w:t xml:space="preserve"> and endocrinology</w:t>
      </w:r>
      <w:r>
        <w:t xml:space="preserve">, </w:t>
      </w:r>
      <w:r w:rsidR="00750C03">
        <w:t xml:space="preserve">expressed </w:t>
      </w:r>
      <w:r>
        <w:t xml:space="preserve">that they would like the option </w:t>
      </w:r>
      <w:r w:rsidR="00C17E37">
        <w:t xml:space="preserve">for GPs </w:t>
      </w:r>
      <w:r>
        <w:t xml:space="preserve">to offer </w:t>
      </w:r>
      <w:r w:rsidR="00750C03">
        <w:t xml:space="preserve">and prescribe </w:t>
      </w:r>
      <w:proofErr w:type="spellStart"/>
      <w:r>
        <w:t>semaglutide</w:t>
      </w:r>
      <w:proofErr w:type="spellEnd"/>
      <w:r>
        <w:t xml:space="preserve"> to suitable patients </w:t>
      </w:r>
      <w:r w:rsidR="00750C03">
        <w:t>where clinically indicated, given that primary care is often the first point of contact with the Australian healthcare system. GPs have extensive and well published experience in chronic disease management and often have the infrastructure in place to offer the multidisciplinary care required for the long</w:t>
      </w:r>
      <w:r w:rsidR="00147FF4">
        <w:t>-</w:t>
      </w:r>
      <w:r w:rsidR="00750C03">
        <w:t>term management of a chronic dis</w:t>
      </w:r>
      <w:r w:rsidR="00147FF4">
        <w:t>e</w:t>
      </w:r>
      <w:r w:rsidR="00750C03">
        <w:t>ase.</w:t>
      </w:r>
      <w:r>
        <w:t xml:space="preserve"> </w:t>
      </w:r>
      <w:r w:rsidR="00750C03">
        <w:t>T</w:t>
      </w:r>
      <w:r w:rsidR="007A3159">
        <w:t xml:space="preserve">hey </w:t>
      </w:r>
      <w:r>
        <w:t>considered that the key clinical trial</w:t>
      </w:r>
      <w:r w:rsidR="0092573B">
        <w:t xml:space="preserve">s </w:t>
      </w:r>
      <w:r w:rsidR="00776271">
        <w:t>would provide a strong evidence base for informing PBS eligibility.</w:t>
      </w:r>
    </w:p>
    <w:p w14:paraId="1960EBBD" w14:textId="772226B0" w:rsidR="0092573B" w:rsidRDefault="0092573B" w:rsidP="00BE678A">
      <w:pPr>
        <w:numPr>
          <w:ilvl w:val="0"/>
          <w:numId w:val="12"/>
        </w:numPr>
        <w:shd w:val="clear" w:color="auto" w:fill="FFFFFF"/>
        <w:spacing w:after="0"/>
        <w:ind w:left="360"/>
        <w:jc w:val="both"/>
      </w:pPr>
      <w:r w:rsidRPr="00001A19">
        <w:t xml:space="preserve">Specifically, it was noted that participants in the STEP trials had a mean BMI of </w:t>
      </w:r>
      <w:r w:rsidR="003B2C33">
        <w:t xml:space="preserve">over </w:t>
      </w:r>
      <w:r w:rsidRPr="00001A19">
        <w:t>35</w:t>
      </w:r>
      <w:r w:rsidR="00CA11F4">
        <w:t xml:space="preserve"> kg/m</w:t>
      </w:r>
      <w:r w:rsidR="00CA11F4">
        <w:rPr>
          <w:vertAlign w:val="superscript"/>
        </w:rPr>
        <w:t>2</w:t>
      </w:r>
      <w:r w:rsidRPr="00001A19">
        <w:t xml:space="preserve"> or more, and </w:t>
      </w:r>
      <w:r w:rsidR="003B2C33">
        <w:t>between 44%-90%</w:t>
      </w:r>
      <w:r w:rsidR="00D34C35" w:rsidRPr="00001A19">
        <w:t xml:space="preserve"> </w:t>
      </w:r>
      <w:r w:rsidRPr="00001A19">
        <w:t xml:space="preserve">of </w:t>
      </w:r>
      <w:r w:rsidR="00F529A2" w:rsidRPr="00001A19">
        <w:t>participants</w:t>
      </w:r>
      <w:r w:rsidRPr="00001A19">
        <w:t xml:space="preserve"> had two or more co-morbidities</w:t>
      </w:r>
      <w:r w:rsidR="003B2C33">
        <w:t xml:space="preserve"> </w:t>
      </w:r>
      <w:r w:rsidR="003B2C33">
        <w:lastRenderedPageBreak/>
        <w:t>across the trials</w:t>
      </w:r>
      <w:r w:rsidRPr="00001A19">
        <w:t xml:space="preserve">, including, hypertension, </w:t>
      </w:r>
      <w:r w:rsidR="00D34C35" w:rsidRPr="00001A19">
        <w:t xml:space="preserve">coronary artery disease, </w:t>
      </w:r>
      <w:r w:rsidRPr="00001A19">
        <w:t xml:space="preserve">pre-diabetes, hyperlipidaemia, asthma. It was also noted that </w:t>
      </w:r>
      <w:r w:rsidR="003B2C33">
        <w:t xml:space="preserve">close to </w:t>
      </w:r>
      <w:r w:rsidRPr="00001A19">
        <w:t>50</w:t>
      </w:r>
      <w:r w:rsidR="00D34C35" w:rsidRPr="00001A19">
        <w:t>%</w:t>
      </w:r>
      <w:r w:rsidRPr="00001A19">
        <w:t xml:space="preserve"> of </w:t>
      </w:r>
      <w:r w:rsidR="00F529A2" w:rsidRPr="00001A19">
        <w:t>participants</w:t>
      </w:r>
      <w:r w:rsidRPr="00001A19">
        <w:t xml:space="preserve"> had pre-diabetes.</w:t>
      </w:r>
    </w:p>
    <w:p w14:paraId="6D0E916D" w14:textId="455EEA50" w:rsidR="00F529A2" w:rsidRDefault="00F529A2" w:rsidP="00BE678A">
      <w:pPr>
        <w:numPr>
          <w:ilvl w:val="0"/>
          <w:numId w:val="12"/>
        </w:numPr>
        <w:shd w:val="clear" w:color="auto" w:fill="FFFFFF"/>
        <w:spacing w:after="0"/>
        <w:ind w:left="360"/>
        <w:jc w:val="both"/>
      </w:pPr>
      <w:r>
        <w:t xml:space="preserve">In terms of continuation with therapy, stakeholders agreed that patients should be assessed for response </w:t>
      </w:r>
      <w:proofErr w:type="gramStart"/>
      <w:r>
        <w:t>in order to</w:t>
      </w:r>
      <w:proofErr w:type="gramEnd"/>
      <w:r>
        <w:t xml:space="preserve"> continue treatment.</w:t>
      </w:r>
      <w:r w:rsidR="00D34C35">
        <w:t xml:space="preserve"> Response was variously suggested to include a percentage weight loss, improved quality of life, and possibly in some cases, an improvement in comorbidities.</w:t>
      </w:r>
      <w:r w:rsidR="008D34C5">
        <w:t xml:space="preserve"> However, it was noted that the dosing regimen required a period of titration, and patients would need 12-14</w:t>
      </w:r>
      <w:r w:rsidR="00D34C35">
        <w:t> </w:t>
      </w:r>
      <w:r w:rsidR="008D34C5">
        <w:t xml:space="preserve">weeks at a stable dose, </w:t>
      </w:r>
      <w:r w:rsidR="00CA11F4">
        <w:t>so</w:t>
      </w:r>
      <w:r w:rsidR="008D34C5">
        <w:t xml:space="preserve"> </w:t>
      </w:r>
      <w:r w:rsidR="00D34C35">
        <w:t xml:space="preserve">assessment </w:t>
      </w:r>
      <w:r w:rsidR="00CA11F4">
        <w:t>for continuation should not be conducted</w:t>
      </w:r>
      <w:r w:rsidR="008D34C5">
        <w:t xml:space="preserve"> earlier than 20 weeks</w:t>
      </w:r>
      <w:r w:rsidR="00D34C35">
        <w:t>.</w:t>
      </w:r>
    </w:p>
    <w:p w14:paraId="4B943B60" w14:textId="20CAD073" w:rsidR="008D34C5" w:rsidRDefault="008D34C5" w:rsidP="008646F3">
      <w:pPr>
        <w:numPr>
          <w:ilvl w:val="0"/>
          <w:numId w:val="12"/>
        </w:numPr>
        <w:shd w:val="clear" w:color="auto" w:fill="FFFFFF"/>
        <w:spacing w:after="0"/>
        <w:ind w:left="360"/>
        <w:jc w:val="both"/>
      </w:pPr>
      <w:bookmarkStart w:id="2" w:name="_Hlk87368591"/>
      <w:r>
        <w:t xml:space="preserve">The PBAC Chair queried whether </w:t>
      </w:r>
      <w:proofErr w:type="spellStart"/>
      <w:r>
        <w:t>semaglutide</w:t>
      </w:r>
      <w:proofErr w:type="spellEnd"/>
      <w:r>
        <w:t xml:space="preserve"> would potentially be a lifelong treatment. Some stakeholders considered that if a patient achieved weight loss, and then ceased therapy, </w:t>
      </w:r>
      <w:r w:rsidR="00D34C35">
        <w:t>they would likely put</w:t>
      </w:r>
      <w:r w:rsidR="000F0C34">
        <w:t xml:space="preserve"> weight back on due to metabolic adaptation. Therefore, it may be appropriate for patients to continue with treatment if responding, and only cease therapy if no response achieved or weight loss not maintained</w:t>
      </w:r>
      <w:bookmarkEnd w:id="2"/>
      <w:r w:rsidR="000F0C34">
        <w:t>.</w:t>
      </w:r>
    </w:p>
    <w:p w14:paraId="42AFADDA" w14:textId="0CFE1816" w:rsidR="00750C03" w:rsidRPr="00E4387D" w:rsidRDefault="00D34C35" w:rsidP="00750C03">
      <w:pPr>
        <w:numPr>
          <w:ilvl w:val="0"/>
          <w:numId w:val="15"/>
        </w:numPr>
        <w:shd w:val="clear" w:color="auto" w:fill="FFFFFF"/>
        <w:spacing w:after="0"/>
        <w:ind w:left="360"/>
        <w:jc w:val="both"/>
      </w:pPr>
      <w:r w:rsidRPr="00624B29">
        <w:t>S</w:t>
      </w:r>
      <w:r w:rsidR="000F0C34" w:rsidRPr="00624B29">
        <w:t xml:space="preserve">takeholders considered that many patients present for treatment in general practice following </w:t>
      </w:r>
      <w:r w:rsidR="006D12E7">
        <w:t>multiple</w:t>
      </w:r>
      <w:r w:rsidR="000F0C34" w:rsidRPr="00624B29">
        <w:t xml:space="preserve"> prior attempts at weight loss</w:t>
      </w:r>
      <w:r w:rsidR="000F0C34" w:rsidRPr="00D34C35">
        <w:t>.</w:t>
      </w:r>
      <w:r w:rsidR="00C47F3E">
        <w:t xml:space="preserve"> </w:t>
      </w:r>
      <w:r w:rsidR="003D22A9">
        <w:t xml:space="preserve">Some stakeholders </w:t>
      </w:r>
      <w:r w:rsidR="007D5625">
        <w:t>considered</w:t>
      </w:r>
      <w:r w:rsidR="00C47F3E">
        <w:t xml:space="preserve"> </w:t>
      </w:r>
      <w:r w:rsidR="003D22A9">
        <w:t xml:space="preserve">it </w:t>
      </w:r>
      <w:r w:rsidR="00C47F3E">
        <w:t xml:space="preserve">unlikely that results from previous attempts </w:t>
      </w:r>
      <w:r w:rsidR="003D22A9">
        <w:t>would</w:t>
      </w:r>
      <w:r w:rsidR="00C47F3E">
        <w:t xml:space="preserve"> be a good indicator of future results</w:t>
      </w:r>
      <w:r w:rsidR="003D22A9">
        <w:t>, and i</w:t>
      </w:r>
      <w:r w:rsidR="00750C03" w:rsidRPr="00E4387D">
        <w:t xml:space="preserve">t was suggested that concurrently co-prescribing </w:t>
      </w:r>
      <w:proofErr w:type="spellStart"/>
      <w:r w:rsidR="00750C03" w:rsidRPr="00E4387D">
        <w:t>semaglutide</w:t>
      </w:r>
      <w:proofErr w:type="spellEnd"/>
      <w:r w:rsidR="00750C03" w:rsidRPr="00E4387D">
        <w:t xml:space="preserve"> with healthy lifestyle changes would be </w:t>
      </w:r>
      <w:r w:rsidR="00D73117">
        <w:t>essential</w:t>
      </w:r>
      <w:r w:rsidR="00750C03" w:rsidRPr="00E4387D">
        <w:t xml:space="preserve">. </w:t>
      </w:r>
    </w:p>
    <w:p w14:paraId="01499411" w14:textId="416E6278" w:rsidR="00930D0E" w:rsidRPr="001D4539" w:rsidRDefault="00930D0E" w:rsidP="008646F3">
      <w:pPr>
        <w:pStyle w:val="Heading3"/>
        <w:jc w:val="both"/>
      </w:pPr>
      <w:r w:rsidRPr="001D4539">
        <w:t>Prescriber types</w:t>
      </w:r>
    </w:p>
    <w:p w14:paraId="71C76D39" w14:textId="1C426BB6" w:rsidR="001D4539" w:rsidRDefault="001D4539" w:rsidP="008646F3">
      <w:pPr>
        <w:numPr>
          <w:ilvl w:val="0"/>
          <w:numId w:val="12"/>
        </w:numPr>
        <w:shd w:val="clear" w:color="auto" w:fill="FFFFFF"/>
        <w:spacing w:after="0"/>
        <w:ind w:left="360"/>
        <w:jc w:val="both"/>
      </w:pPr>
      <w:r>
        <w:t xml:space="preserve">Stakeholders noted that equity of access to specialised overweight and obesity care is </w:t>
      </w:r>
      <w:r w:rsidR="00563D4A">
        <w:t>currently</w:t>
      </w:r>
      <w:r>
        <w:t xml:space="preserve"> an issue in Australia both in terms of waiting times for</w:t>
      </w:r>
      <w:r w:rsidR="00563D4A">
        <w:t xml:space="preserve"> bariatric</w:t>
      </w:r>
      <w:r>
        <w:t xml:space="preserve"> services </w:t>
      </w:r>
      <w:r w:rsidR="004D47F7">
        <w:t xml:space="preserve">and metabolic clinics, </w:t>
      </w:r>
      <w:r>
        <w:t xml:space="preserve">and distance to services for rural and remote communities (although some telehealth services </w:t>
      </w:r>
      <w:r w:rsidR="004D47F7">
        <w:t xml:space="preserve">currently </w:t>
      </w:r>
      <w:r>
        <w:t>exist).</w:t>
      </w:r>
    </w:p>
    <w:p w14:paraId="0538BEA0" w14:textId="57BF13BC" w:rsidR="001D4539" w:rsidRDefault="001D4539" w:rsidP="008646F3">
      <w:pPr>
        <w:numPr>
          <w:ilvl w:val="0"/>
          <w:numId w:val="12"/>
        </w:numPr>
        <w:shd w:val="clear" w:color="auto" w:fill="FFFFFF"/>
        <w:spacing w:after="0"/>
        <w:ind w:left="360"/>
        <w:jc w:val="both"/>
      </w:pPr>
      <w:r>
        <w:t xml:space="preserve">Stakeholders were generally in agreement that restricting </w:t>
      </w:r>
      <w:proofErr w:type="spellStart"/>
      <w:r>
        <w:t>semaglutide</w:t>
      </w:r>
      <w:proofErr w:type="spellEnd"/>
      <w:r>
        <w:t xml:space="preserve"> prescribing to specialist services would result in similar issues</w:t>
      </w:r>
      <w:r w:rsidR="004D47F7">
        <w:t xml:space="preserve"> of inequity of access and prolonged waiting periods resulting in worsening of obesity and its associated health sequelae</w:t>
      </w:r>
      <w:r>
        <w:t>, and that positioning the therapy only in specialist settings would not allow it to reach all patients expected to benefit from treatment.</w:t>
      </w:r>
      <w:r w:rsidR="007D5625">
        <w:t xml:space="preserve"> However, the benefit of consumers being able to receive weight management care from people with specialist training in the area was highlighted by the consumer stakeholder. Many consumers may experience sub-optimal care in the format of incomplete or out of date advice from generalist clinicians. It may </w:t>
      </w:r>
      <w:r w:rsidR="00C718AA">
        <w:t xml:space="preserve">be </w:t>
      </w:r>
      <w:r w:rsidR="007D5625">
        <w:t xml:space="preserve">appropriate for prescribers to undertake regular contemporary training specifically </w:t>
      </w:r>
      <w:proofErr w:type="gramStart"/>
      <w:r w:rsidR="007D5625">
        <w:t>in the area of</w:t>
      </w:r>
      <w:proofErr w:type="gramEnd"/>
      <w:r w:rsidR="007D5625">
        <w:t xml:space="preserve"> weight management.</w:t>
      </w:r>
    </w:p>
    <w:p w14:paraId="563D4143" w14:textId="3B4471B3" w:rsidR="001D4539" w:rsidRDefault="00563D4A" w:rsidP="008646F3">
      <w:pPr>
        <w:numPr>
          <w:ilvl w:val="0"/>
          <w:numId w:val="12"/>
        </w:numPr>
        <w:shd w:val="clear" w:color="auto" w:fill="FFFFFF"/>
        <w:spacing w:after="0"/>
        <w:ind w:left="360"/>
        <w:jc w:val="both"/>
      </w:pPr>
      <w:r>
        <w:t>Some stakeholders noted that weight management services include nurse-led care models with holistic, multi-faceted approaches, and regular contact (e.g. fortnightly).</w:t>
      </w:r>
      <w:r w:rsidR="002B7850">
        <w:t xml:space="preserve"> </w:t>
      </w:r>
      <w:r w:rsidR="001D4539">
        <w:t>From a clinical perspective, it was noted that patients achieve optimal outcomes when they have an ongoing relationship with a health care professional. From a patient perspective, it was noted that patients value a continuing connection with a single health care provider who is adequately trained in weight management.</w:t>
      </w:r>
    </w:p>
    <w:p w14:paraId="1C6BCAB5" w14:textId="3A957325" w:rsidR="001D4539" w:rsidRDefault="00573BCB" w:rsidP="008646F3">
      <w:pPr>
        <w:numPr>
          <w:ilvl w:val="0"/>
          <w:numId w:val="12"/>
        </w:numPr>
        <w:shd w:val="clear" w:color="auto" w:fill="FFFFFF"/>
        <w:spacing w:after="0"/>
        <w:ind w:left="360"/>
        <w:jc w:val="both"/>
      </w:pPr>
      <w:r>
        <w:t xml:space="preserve">The discussion considered </w:t>
      </w:r>
      <w:r w:rsidR="00C76787">
        <w:t>it may</w:t>
      </w:r>
      <w:r w:rsidR="00563D4A">
        <w:t xml:space="preserve"> be appropriate to </w:t>
      </w:r>
      <w:r>
        <w:t>restrict</w:t>
      </w:r>
      <w:r w:rsidR="00563D4A">
        <w:t xml:space="preserve"> </w:t>
      </w:r>
      <w:proofErr w:type="spellStart"/>
      <w:r>
        <w:t>semaglutide</w:t>
      </w:r>
      <w:proofErr w:type="spellEnd"/>
      <w:r>
        <w:t xml:space="preserve"> </w:t>
      </w:r>
      <w:r w:rsidR="00563D4A">
        <w:t>prescribing to those</w:t>
      </w:r>
      <w:r>
        <w:t xml:space="preserve"> (in general practice or otherwise) with </w:t>
      </w:r>
      <w:proofErr w:type="gramStart"/>
      <w:r w:rsidR="00CC0968">
        <w:t xml:space="preserve">particular </w:t>
      </w:r>
      <w:r>
        <w:t>qualifications</w:t>
      </w:r>
      <w:proofErr w:type="gramEnd"/>
      <w:r>
        <w:t xml:space="preserve"> or certifications in weight management (e.g. SCOPE certification from the World Obesity Federation</w:t>
      </w:r>
      <w:r w:rsidR="00D86740">
        <w:t>)</w:t>
      </w:r>
      <w:r>
        <w:t>.</w:t>
      </w:r>
      <w:r w:rsidR="00C86CA0">
        <w:t xml:space="preserve"> </w:t>
      </w:r>
      <w:r w:rsidR="00C86CA0" w:rsidRPr="00C86CA0">
        <w:t>Concern was raised that this may cause issues for equitable access.</w:t>
      </w:r>
    </w:p>
    <w:p w14:paraId="2F8E311B" w14:textId="77777777" w:rsidR="00930D0E" w:rsidRPr="00221B82" w:rsidRDefault="00930D0E" w:rsidP="008646F3">
      <w:pPr>
        <w:pStyle w:val="Heading2"/>
        <w:jc w:val="both"/>
      </w:pPr>
      <w:r w:rsidRPr="00221B82">
        <w:lastRenderedPageBreak/>
        <w:t xml:space="preserve">Conclusion </w:t>
      </w:r>
    </w:p>
    <w:p w14:paraId="4452C437" w14:textId="5BB83B89" w:rsidR="00930D0E" w:rsidRPr="00221B82" w:rsidRDefault="00930D0E" w:rsidP="008646F3">
      <w:pPr>
        <w:jc w:val="both"/>
      </w:pPr>
      <w:r w:rsidRPr="00221B82">
        <w:t>The PBAC Chair thanked participants for their time in attending the stakeholder meeting and the advice provided.</w:t>
      </w:r>
    </w:p>
    <w:p w14:paraId="26612D1F" w14:textId="7D672565" w:rsidR="00221B82" w:rsidRPr="00221B82" w:rsidRDefault="00221B82" w:rsidP="008646F3">
      <w:pPr>
        <w:jc w:val="both"/>
      </w:pPr>
      <w:r w:rsidRPr="00221B82">
        <w:t xml:space="preserve">The sponsor indicated its intention to use the advice provided to inform a future submission for listing </w:t>
      </w:r>
      <w:proofErr w:type="spellStart"/>
      <w:r w:rsidRPr="00221B82">
        <w:t>semaglutide</w:t>
      </w:r>
      <w:proofErr w:type="spellEnd"/>
      <w:r w:rsidRPr="00221B82">
        <w:t xml:space="preserve"> on the PBS.</w:t>
      </w:r>
    </w:p>
    <w:sectPr w:rsidR="00221B82" w:rsidRPr="00221B82" w:rsidSect="00BE678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7AC19" w14:textId="77777777" w:rsidR="005B704B" w:rsidRDefault="005B704B" w:rsidP="002B62B4">
      <w:pPr>
        <w:spacing w:after="0"/>
      </w:pPr>
      <w:r>
        <w:separator/>
      </w:r>
    </w:p>
  </w:endnote>
  <w:endnote w:type="continuationSeparator" w:id="0">
    <w:p w14:paraId="404EB285" w14:textId="77777777" w:rsidR="005B704B" w:rsidRDefault="005B704B" w:rsidP="002B62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20040"/>
      <w:docPartObj>
        <w:docPartGallery w:val="Page Numbers (Bottom of Page)"/>
        <w:docPartUnique/>
      </w:docPartObj>
    </w:sdtPr>
    <w:sdtEndPr>
      <w:rPr>
        <w:noProof/>
      </w:rPr>
    </w:sdtEndPr>
    <w:sdtContent>
      <w:p w14:paraId="4B136FC8" w14:textId="555FB158" w:rsidR="00573BCB" w:rsidRDefault="00573BCB">
        <w:pPr>
          <w:pStyle w:val="Footer"/>
          <w:jc w:val="right"/>
        </w:pPr>
        <w:r>
          <w:fldChar w:fldCharType="begin"/>
        </w:r>
        <w:r>
          <w:instrText xml:space="preserve"> PAGE   \* MERGEFORMAT </w:instrText>
        </w:r>
        <w:r>
          <w:fldChar w:fldCharType="separate"/>
        </w:r>
        <w:r w:rsidR="003268E5">
          <w:rPr>
            <w:noProof/>
          </w:rPr>
          <w:t>6</w:t>
        </w:r>
        <w:r>
          <w:rPr>
            <w:noProof/>
          </w:rPr>
          <w:fldChar w:fldCharType="end"/>
        </w:r>
      </w:p>
    </w:sdtContent>
  </w:sdt>
  <w:p w14:paraId="3B52CC25" w14:textId="77777777" w:rsidR="00573BCB" w:rsidRDefault="00573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AAFFA" w14:textId="77777777" w:rsidR="005B704B" w:rsidRDefault="005B704B" w:rsidP="002B62B4">
      <w:pPr>
        <w:spacing w:after="0"/>
      </w:pPr>
      <w:r>
        <w:separator/>
      </w:r>
    </w:p>
  </w:footnote>
  <w:footnote w:type="continuationSeparator" w:id="0">
    <w:p w14:paraId="3F3D4B24" w14:textId="77777777" w:rsidR="005B704B" w:rsidRDefault="005B704B" w:rsidP="002B62B4">
      <w:pPr>
        <w:spacing w:after="0"/>
      </w:pPr>
      <w:r>
        <w:continuationSeparator/>
      </w:r>
    </w:p>
  </w:footnote>
  <w:footnote w:id="1">
    <w:p w14:paraId="3574A7A8" w14:textId="143DDED9" w:rsidR="00573BCB" w:rsidRDefault="00573BCB">
      <w:pPr>
        <w:pStyle w:val="FootnoteText"/>
      </w:pPr>
      <w:r>
        <w:rPr>
          <w:rStyle w:val="FootnoteReference"/>
        </w:rPr>
        <w:footnoteRef/>
      </w:r>
      <w:r>
        <w:t xml:space="preserve"> Orlistat is available as an Authority Required benefit for obesity on the Repatriation Pharmaceutical Benefits Scheme only.</w:t>
      </w:r>
    </w:p>
  </w:footnote>
  <w:footnote w:id="2">
    <w:p w14:paraId="457325C1" w14:textId="27833EB0" w:rsidR="00D33723" w:rsidRPr="00895BEC" w:rsidRDefault="00D33723" w:rsidP="00D33723">
      <w:pPr>
        <w:pStyle w:val="FootnoteText"/>
      </w:pPr>
      <w:r>
        <w:rPr>
          <w:rStyle w:val="FootnoteReference"/>
        </w:rPr>
        <w:footnoteRef/>
      </w:r>
      <w:r>
        <w:t xml:space="preserve"> </w:t>
      </w:r>
      <w:r w:rsidR="00895BEC">
        <w:t xml:space="preserve">Ian J. </w:t>
      </w:r>
      <w:proofErr w:type="spellStart"/>
      <w:r w:rsidR="00895BEC">
        <w:t>Neeland</w:t>
      </w:r>
      <w:proofErr w:type="spellEnd"/>
      <w:r w:rsidR="00895BEC">
        <w:t xml:space="preserve">, Paul Poirier, and Jean-Pierre </w:t>
      </w:r>
      <w:proofErr w:type="spellStart"/>
      <w:r w:rsidR="00895BEC">
        <w:t>Despr</w:t>
      </w:r>
      <w:r w:rsidR="00895BEC">
        <w:rPr>
          <w:rFonts w:cstheme="minorHAnsi"/>
        </w:rPr>
        <w:t>é</w:t>
      </w:r>
      <w:r w:rsidR="00895BEC">
        <w:t>s</w:t>
      </w:r>
      <w:proofErr w:type="spellEnd"/>
      <w:r w:rsidR="00895BEC">
        <w:t>, “</w:t>
      </w:r>
      <w:r w:rsidR="00895BEC" w:rsidRPr="00895BEC">
        <w:t>Cardiovascular and Metabolic Heterogeneity of Obesity</w:t>
      </w:r>
      <w:r w:rsidR="00895BEC">
        <w:t xml:space="preserve">: </w:t>
      </w:r>
      <w:r w:rsidR="00895BEC" w:rsidRPr="00895BEC">
        <w:t>Clinical Challenges and Implications for Management</w:t>
      </w:r>
      <w:r w:rsidR="00895BEC">
        <w:t xml:space="preserve">”, </w:t>
      </w:r>
      <w:r w:rsidR="00895BEC">
        <w:rPr>
          <w:i/>
          <w:iCs/>
        </w:rPr>
        <w:t xml:space="preserve">Circulation </w:t>
      </w:r>
      <w:r w:rsidR="00895BEC">
        <w:t xml:space="preserve">137, no. 13 (2018): </w:t>
      </w:r>
      <w:r w:rsidR="00895BEC" w:rsidRPr="00895BEC">
        <w:t>1391–1406</w:t>
      </w:r>
      <w:r w:rsidR="00895BEC">
        <w:t xml:space="preserve">, </w:t>
      </w:r>
      <w:hyperlink r:id="rId1" w:history="1">
        <w:r w:rsidR="00895BEC" w:rsidRPr="00706E9A">
          <w:rPr>
            <w:rStyle w:val="Hyperlink"/>
          </w:rPr>
          <w:t>https://doi.org/10.1161/CIRCULATIONAHA.117.029617</w:t>
        </w:r>
      </w:hyperlink>
      <w:r w:rsidR="00895BEC">
        <w:t>.</w:t>
      </w:r>
    </w:p>
  </w:footnote>
  <w:footnote w:id="3">
    <w:p w14:paraId="7351581B" w14:textId="5B14CE12" w:rsidR="00935F1D" w:rsidRDefault="00935F1D">
      <w:pPr>
        <w:pStyle w:val="FootnoteText"/>
      </w:pPr>
      <w:r>
        <w:rPr>
          <w:rStyle w:val="FootnoteReference"/>
        </w:rPr>
        <w:footnoteRef/>
      </w:r>
      <w:r>
        <w:t xml:space="preserve"> Backman B, Brown D, Cottrell J, Campbell A, Clancy W, Halim Shah Y J, Chadwick C, </w:t>
      </w:r>
      <w:proofErr w:type="spellStart"/>
      <w:r>
        <w:t>Budin</w:t>
      </w:r>
      <w:proofErr w:type="spellEnd"/>
      <w:r>
        <w:t xml:space="preserve"> A, </w:t>
      </w:r>
      <w:proofErr w:type="spellStart"/>
      <w:r>
        <w:t>MacCormick</w:t>
      </w:r>
      <w:proofErr w:type="spellEnd"/>
      <w:r>
        <w:t xml:space="preserve"> A, </w:t>
      </w:r>
      <w:proofErr w:type="spellStart"/>
      <w:r>
        <w:t>Caterson</w:t>
      </w:r>
      <w:proofErr w:type="spellEnd"/>
      <w:r>
        <w:t xml:space="preserve"> I and Brown W. The Bariatric Surgery Registry Annual Report, 2020. Monash University, Department of Epidemiology and Preventive Medicine. August 2020, Report No. 8</w:t>
      </w:r>
    </w:p>
  </w:footnote>
  <w:footnote w:id="4">
    <w:p w14:paraId="0E26765A" w14:textId="04AACADF" w:rsidR="00D94781" w:rsidRPr="00D94781" w:rsidRDefault="00D94781">
      <w:pPr>
        <w:pStyle w:val="FootnoteText"/>
      </w:pPr>
      <w:r>
        <w:rPr>
          <w:rStyle w:val="FootnoteReference"/>
        </w:rPr>
        <w:footnoteRef/>
      </w:r>
      <w:r>
        <w:t xml:space="preserve"> </w:t>
      </w:r>
      <w:r w:rsidRPr="00D94781">
        <w:t xml:space="preserve">Raj S. Padwal, Nicholas M. </w:t>
      </w:r>
      <w:proofErr w:type="spellStart"/>
      <w:r w:rsidRPr="00D94781">
        <w:t>Pajewski</w:t>
      </w:r>
      <w:proofErr w:type="spellEnd"/>
      <w:r w:rsidRPr="00D94781">
        <w:t>, David B. Allison and Arya M. Sharma</w:t>
      </w:r>
      <w:r>
        <w:t>, “</w:t>
      </w:r>
      <w:r w:rsidRPr="00D94781">
        <w:t>Using the Edmonton obesity staging system to predict mortality in a population-representative cohort of people with overweight and obesity</w:t>
      </w:r>
      <w:r>
        <w:t xml:space="preserve">”, </w:t>
      </w:r>
      <w:r w:rsidRPr="00822569">
        <w:rPr>
          <w:i/>
          <w:iCs/>
        </w:rPr>
        <w:t>Canadian Medical Association Journal</w:t>
      </w:r>
      <w:r>
        <w:rPr>
          <w:i/>
          <w:iCs/>
        </w:rPr>
        <w:t xml:space="preserve"> </w:t>
      </w:r>
      <w:r w:rsidR="00822569">
        <w:t xml:space="preserve">183, no. 14 (October 2011): </w:t>
      </w:r>
      <w:r w:rsidR="00822569" w:rsidRPr="00822569">
        <w:t>E1059-E1066</w:t>
      </w:r>
      <w:r w:rsidR="00822569">
        <w:t xml:space="preserve">, </w:t>
      </w:r>
      <w:hyperlink r:id="rId2" w:history="1">
        <w:r w:rsidR="00822569" w:rsidRPr="00706E9A">
          <w:rPr>
            <w:rStyle w:val="Hyperlink"/>
          </w:rPr>
          <w:t>https://doi.org/10.1503/cmaj.110387</w:t>
        </w:r>
      </w:hyperlink>
      <w:r w:rsidR="0082256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13D34"/>
    <w:multiLevelType w:val="hybridMultilevel"/>
    <w:tmpl w:val="5282C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3C478E"/>
    <w:multiLevelType w:val="hybridMultilevel"/>
    <w:tmpl w:val="DA38522C"/>
    <w:lvl w:ilvl="0" w:tplc="CB226BA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3302EC"/>
    <w:multiLevelType w:val="hybridMultilevel"/>
    <w:tmpl w:val="B3B00158"/>
    <w:lvl w:ilvl="0" w:tplc="1452D95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C20C24"/>
    <w:multiLevelType w:val="hybridMultilevel"/>
    <w:tmpl w:val="83FE2A82"/>
    <w:lvl w:ilvl="0" w:tplc="1452D95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9161F0"/>
    <w:multiLevelType w:val="hybridMultilevel"/>
    <w:tmpl w:val="7EF85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E48CF"/>
    <w:multiLevelType w:val="hybridMultilevel"/>
    <w:tmpl w:val="87DEE516"/>
    <w:lvl w:ilvl="0" w:tplc="37BC8838">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885E65"/>
    <w:multiLevelType w:val="hybridMultilevel"/>
    <w:tmpl w:val="C36C9DA4"/>
    <w:lvl w:ilvl="0" w:tplc="1338C616">
      <w:start w:val="1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317477"/>
    <w:multiLevelType w:val="hybridMultilevel"/>
    <w:tmpl w:val="BA7469F6"/>
    <w:lvl w:ilvl="0" w:tplc="0C09000F">
      <w:start w:val="1"/>
      <w:numFmt w:val="decimal"/>
      <w:lvlText w:val="%1."/>
      <w:lvlJc w:val="left"/>
      <w:pPr>
        <w:ind w:left="805" w:hanging="360"/>
      </w:pPr>
    </w:lvl>
    <w:lvl w:ilvl="1" w:tplc="0C090019" w:tentative="1">
      <w:start w:val="1"/>
      <w:numFmt w:val="lowerLetter"/>
      <w:lvlText w:val="%2."/>
      <w:lvlJc w:val="left"/>
      <w:pPr>
        <w:ind w:left="1525" w:hanging="360"/>
      </w:pPr>
    </w:lvl>
    <w:lvl w:ilvl="2" w:tplc="0C09001B" w:tentative="1">
      <w:start w:val="1"/>
      <w:numFmt w:val="lowerRoman"/>
      <w:lvlText w:val="%3."/>
      <w:lvlJc w:val="right"/>
      <w:pPr>
        <w:ind w:left="2245" w:hanging="180"/>
      </w:pPr>
    </w:lvl>
    <w:lvl w:ilvl="3" w:tplc="0C09000F" w:tentative="1">
      <w:start w:val="1"/>
      <w:numFmt w:val="decimal"/>
      <w:lvlText w:val="%4."/>
      <w:lvlJc w:val="left"/>
      <w:pPr>
        <w:ind w:left="2965" w:hanging="360"/>
      </w:pPr>
    </w:lvl>
    <w:lvl w:ilvl="4" w:tplc="0C090019" w:tentative="1">
      <w:start w:val="1"/>
      <w:numFmt w:val="lowerLetter"/>
      <w:lvlText w:val="%5."/>
      <w:lvlJc w:val="left"/>
      <w:pPr>
        <w:ind w:left="3685" w:hanging="360"/>
      </w:pPr>
    </w:lvl>
    <w:lvl w:ilvl="5" w:tplc="0C09001B" w:tentative="1">
      <w:start w:val="1"/>
      <w:numFmt w:val="lowerRoman"/>
      <w:lvlText w:val="%6."/>
      <w:lvlJc w:val="right"/>
      <w:pPr>
        <w:ind w:left="4405" w:hanging="180"/>
      </w:pPr>
    </w:lvl>
    <w:lvl w:ilvl="6" w:tplc="0C09000F" w:tentative="1">
      <w:start w:val="1"/>
      <w:numFmt w:val="decimal"/>
      <w:lvlText w:val="%7."/>
      <w:lvlJc w:val="left"/>
      <w:pPr>
        <w:ind w:left="5125" w:hanging="360"/>
      </w:pPr>
    </w:lvl>
    <w:lvl w:ilvl="7" w:tplc="0C090019" w:tentative="1">
      <w:start w:val="1"/>
      <w:numFmt w:val="lowerLetter"/>
      <w:lvlText w:val="%8."/>
      <w:lvlJc w:val="left"/>
      <w:pPr>
        <w:ind w:left="5845" w:hanging="360"/>
      </w:pPr>
    </w:lvl>
    <w:lvl w:ilvl="8" w:tplc="0C09001B" w:tentative="1">
      <w:start w:val="1"/>
      <w:numFmt w:val="lowerRoman"/>
      <w:lvlText w:val="%9."/>
      <w:lvlJc w:val="right"/>
      <w:pPr>
        <w:ind w:left="6565" w:hanging="180"/>
      </w:pPr>
    </w:lvl>
  </w:abstractNum>
  <w:abstractNum w:abstractNumId="8" w15:restartNumberingAfterBreak="0">
    <w:nsid w:val="4ACC44EB"/>
    <w:multiLevelType w:val="hybridMultilevel"/>
    <w:tmpl w:val="5CA485DC"/>
    <w:lvl w:ilvl="0" w:tplc="1452D95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375C1A"/>
    <w:multiLevelType w:val="hybridMultilevel"/>
    <w:tmpl w:val="95543FFC"/>
    <w:lvl w:ilvl="0" w:tplc="F0B28D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9F2482B"/>
    <w:multiLevelType w:val="hybridMultilevel"/>
    <w:tmpl w:val="A5449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4D033C"/>
    <w:multiLevelType w:val="multilevel"/>
    <w:tmpl w:val="EAAA2A3E"/>
    <w:lvl w:ilvl="0">
      <w:start w:val="1"/>
      <w:numFmt w:val="decimal"/>
      <w:pStyle w:val="PBACHeading1"/>
      <w:lvlText w:val="%1"/>
      <w:lvlJc w:val="left"/>
      <w:pPr>
        <w:ind w:left="1288"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611347"/>
    <w:multiLevelType w:val="hybridMultilevel"/>
    <w:tmpl w:val="7A08210E"/>
    <w:lvl w:ilvl="0" w:tplc="6194FB7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11"/>
  </w:num>
  <w:num w:numId="5">
    <w:abstractNumId w:val="2"/>
  </w:num>
  <w:num w:numId="6">
    <w:abstractNumId w:val="8"/>
  </w:num>
  <w:num w:numId="7">
    <w:abstractNumId w:val="10"/>
  </w:num>
  <w:num w:numId="8">
    <w:abstractNumId w:val="1"/>
  </w:num>
  <w:num w:numId="9">
    <w:abstractNumId w:val="9"/>
  </w:num>
  <w:num w:numId="10">
    <w:abstractNumId w:val="12"/>
  </w:num>
  <w:num w:numId="11">
    <w:abstractNumId w:val="5"/>
  </w:num>
  <w:num w:numId="12">
    <w:abstractNumId w:val="4"/>
  </w:num>
  <w:num w:numId="13">
    <w:abstractNumId w:val="6"/>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EDF"/>
    <w:rsid w:val="00001A19"/>
    <w:rsid w:val="00003743"/>
    <w:rsid w:val="000079A4"/>
    <w:rsid w:val="00013C76"/>
    <w:rsid w:val="000154AF"/>
    <w:rsid w:val="0002289C"/>
    <w:rsid w:val="0004224D"/>
    <w:rsid w:val="000538AD"/>
    <w:rsid w:val="00067456"/>
    <w:rsid w:val="000705D1"/>
    <w:rsid w:val="000734D0"/>
    <w:rsid w:val="0007736F"/>
    <w:rsid w:val="000776B1"/>
    <w:rsid w:val="00091B85"/>
    <w:rsid w:val="000939E7"/>
    <w:rsid w:val="000A5877"/>
    <w:rsid w:val="000C5412"/>
    <w:rsid w:val="000D2A3E"/>
    <w:rsid w:val="000D4D7F"/>
    <w:rsid w:val="000F0C34"/>
    <w:rsid w:val="000F49D9"/>
    <w:rsid w:val="00103A82"/>
    <w:rsid w:val="00122CC3"/>
    <w:rsid w:val="00131283"/>
    <w:rsid w:val="0014149B"/>
    <w:rsid w:val="00146CBC"/>
    <w:rsid w:val="00147FF4"/>
    <w:rsid w:val="0016722D"/>
    <w:rsid w:val="0017553F"/>
    <w:rsid w:val="0017572B"/>
    <w:rsid w:val="0018148B"/>
    <w:rsid w:val="00181E58"/>
    <w:rsid w:val="00191F37"/>
    <w:rsid w:val="001B05BC"/>
    <w:rsid w:val="001B3443"/>
    <w:rsid w:val="001C4577"/>
    <w:rsid w:val="001D4539"/>
    <w:rsid w:val="001E12F8"/>
    <w:rsid w:val="002105B0"/>
    <w:rsid w:val="0021250C"/>
    <w:rsid w:val="00213026"/>
    <w:rsid w:val="00221B82"/>
    <w:rsid w:val="002240D9"/>
    <w:rsid w:val="0022617F"/>
    <w:rsid w:val="00226488"/>
    <w:rsid w:val="00235247"/>
    <w:rsid w:val="002476A5"/>
    <w:rsid w:val="0025629F"/>
    <w:rsid w:val="00257D28"/>
    <w:rsid w:val="00265205"/>
    <w:rsid w:val="002655A0"/>
    <w:rsid w:val="00265902"/>
    <w:rsid w:val="00280A83"/>
    <w:rsid w:val="00294F9B"/>
    <w:rsid w:val="002976EE"/>
    <w:rsid w:val="002A37DA"/>
    <w:rsid w:val="002B62B4"/>
    <w:rsid w:val="002B7405"/>
    <w:rsid w:val="002B7850"/>
    <w:rsid w:val="002D4997"/>
    <w:rsid w:val="002E089C"/>
    <w:rsid w:val="002E2AAC"/>
    <w:rsid w:val="002E6B28"/>
    <w:rsid w:val="002F0609"/>
    <w:rsid w:val="002F3AE3"/>
    <w:rsid w:val="002F76BC"/>
    <w:rsid w:val="0030252B"/>
    <w:rsid w:val="003034FD"/>
    <w:rsid w:val="0030486C"/>
    <w:rsid w:val="0030786C"/>
    <w:rsid w:val="00313EBB"/>
    <w:rsid w:val="0032120A"/>
    <w:rsid w:val="00322954"/>
    <w:rsid w:val="003268E5"/>
    <w:rsid w:val="00333A40"/>
    <w:rsid w:val="0034537C"/>
    <w:rsid w:val="003542E8"/>
    <w:rsid w:val="00357D21"/>
    <w:rsid w:val="00365C1E"/>
    <w:rsid w:val="003951B1"/>
    <w:rsid w:val="003964EF"/>
    <w:rsid w:val="003A6F51"/>
    <w:rsid w:val="003B2C33"/>
    <w:rsid w:val="003B7069"/>
    <w:rsid w:val="003C3C45"/>
    <w:rsid w:val="003C770B"/>
    <w:rsid w:val="003D17F9"/>
    <w:rsid w:val="003D22A9"/>
    <w:rsid w:val="003E7597"/>
    <w:rsid w:val="00401E4B"/>
    <w:rsid w:val="00402382"/>
    <w:rsid w:val="004027A4"/>
    <w:rsid w:val="00405078"/>
    <w:rsid w:val="004173DD"/>
    <w:rsid w:val="00425949"/>
    <w:rsid w:val="004329A8"/>
    <w:rsid w:val="004368DC"/>
    <w:rsid w:val="00440419"/>
    <w:rsid w:val="00441D2F"/>
    <w:rsid w:val="0044584A"/>
    <w:rsid w:val="00445D66"/>
    <w:rsid w:val="004606C5"/>
    <w:rsid w:val="004678EC"/>
    <w:rsid w:val="00474896"/>
    <w:rsid w:val="00476C9E"/>
    <w:rsid w:val="00476E87"/>
    <w:rsid w:val="00477BEE"/>
    <w:rsid w:val="004867E2"/>
    <w:rsid w:val="00487EDF"/>
    <w:rsid w:val="0049429A"/>
    <w:rsid w:val="004B1E2F"/>
    <w:rsid w:val="004C0852"/>
    <w:rsid w:val="004C2962"/>
    <w:rsid w:val="004D47F7"/>
    <w:rsid w:val="004E0E2E"/>
    <w:rsid w:val="004E26DB"/>
    <w:rsid w:val="00500CC4"/>
    <w:rsid w:val="00501D01"/>
    <w:rsid w:val="005072C5"/>
    <w:rsid w:val="0050742B"/>
    <w:rsid w:val="00511023"/>
    <w:rsid w:val="0051472D"/>
    <w:rsid w:val="00520F5C"/>
    <w:rsid w:val="005326C8"/>
    <w:rsid w:val="005341E4"/>
    <w:rsid w:val="005559D6"/>
    <w:rsid w:val="00561F54"/>
    <w:rsid w:val="00563D4A"/>
    <w:rsid w:val="00564C85"/>
    <w:rsid w:val="005713D7"/>
    <w:rsid w:val="00573BCB"/>
    <w:rsid w:val="005A5A1A"/>
    <w:rsid w:val="005A5CB7"/>
    <w:rsid w:val="005B704B"/>
    <w:rsid w:val="005C15AC"/>
    <w:rsid w:val="005C353B"/>
    <w:rsid w:val="005C4705"/>
    <w:rsid w:val="005D4874"/>
    <w:rsid w:val="005D4FA7"/>
    <w:rsid w:val="005D6DB7"/>
    <w:rsid w:val="00600125"/>
    <w:rsid w:val="006069A5"/>
    <w:rsid w:val="00624B29"/>
    <w:rsid w:val="006263EE"/>
    <w:rsid w:val="0064606B"/>
    <w:rsid w:val="00653A13"/>
    <w:rsid w:val="00671A57"/>
    <w:rsid w:val="00674BAA"/>
    <w:rsid w:val="00687411"/>
    <w:rsid w:val="006874FC"/>
    <w:rsid w:val="00687FD1"/>
    <w:rsid w:val="00694A0C"/>
    <w:rsid w:val="00695B7C"/>
    <w:rsid w:val="006A1F43"/>
    <w:rsid w:val="006B2F26"/>
    <w:rsid w:val="006D12E7"/>
    <w:rsid w:val="006E529D"/>
    <w:rsid w:val="006F1C69"/>
    <w:rsid w:val="006F48F9"/>
    <w:rsid w:val="006F67E4"/>
    <w:rsid w:val="007001A0"/>
    <w:rsid w:val="00710D97"/>
    <w:rsid w:val="00713EB3"/>
    <w:rsid w:val="007140EE"/>
    <w:rsid w:val="00737AFE"/>
    <w:rsid w:val="00750C03"/>
    <w:rsid w:val="00751BF3"/>
    <w:rsid w:val="0076584B"/>
    <w:rsid w:val="00765FF0"/>
    <w:rsid w:val="00776271"/>
    <w:rsid w:val="007821B9"/>
    <w:rsid w:val="007906E6"/>
    <w:rsid w:val="00793944"/>
    <w:rsid w:val="007939C7"/>
    <w:rsid w:val="007A3159"/>
    <w:rsid w:val="007B57B3"/>
    <w:rsid w:val="007B6858"/>
    <w:rsid w:val="007C1515"/>
    <w:rsid w:val="007D5625"/>
    <w:rsid w:val="007E1E06"/>
    <w:rsid w:val="007F1125"/>
    <w:rsid w:val="007F13B1"/>
    <w:rsid w:val="007F3E01"/>
    <w:rsid w:val="00805D15"/>
    <w:rsid w:val="00822569"/>
    <w:rsid w:val="008264EB"/>
    <w:rsid w:val="00834859"/>
    <w:rsid w:val="008373EA"/>
    <w:rsid w:val="00843E52"/>
    <w:rsid w:val="008464AD"/>
    <w:rsid w:val="00860481"/>
    <w:rsid w:val="008646F3"/>
    <w:rsid w:val="00871E07"/>
    <w:rsid w:val="008760BC"/>
    <w:rsid w:val="00890EC0"/>
    <w:rsid w:val="0089120A"/>
    <w:rsid w:val="008948B9"/>
    <w:rsid w:val="00895BEC"/>
    <w:rsid w:val="008A2ABE"/>
    <w:rsid w:val="008B1927"/>
    <w:rsid w:val="008C5A37"/>
    <w:rsid w:val="008D1EBB"/>
    <w:rsid w:val="008D34C5"/>
    <w:rsid w:val="008D5807"/>
    <w:rsid w:val="008E7D78"/>
    <w:rsid w:val="00900FB0"/>
    <w:rsid w:val="0090538C"/>
    <w:rsid w:val="00916E30"/>
    <w:rsid w:val="0092573B"/>
    <w:rsid w:val="00930327"/>
    <w:rsid w:val="00930D0E"/>
    <w:rsid w:val="00932595"/>
    <w:rsid w:val="00935F1D"/>
    <w:rsid w:val="00951A52"/>
    <w:rsid w:val="0095550F"/>
    <w:rsid w:val="00965A18"/>
    <w:rsid w:val="00972454"/>
    <w:rsid w:val="00987E7F"/>
    <w:rsid w:val="009A37FA"/>
    <w:rsid w:val="009B47FF"/>
    <w:rsid w:val="009B64B3"/>
    <w:rsid w:val="009C09D8"/>
    <w:rsid w:val="009C3C81"/>
    <w:rsid w:val="009D397B"/>
    <w:rsid w:val="009D4FDF"/>
    <w:rsid w:val="009D56C5"/>
    <w:rsid w:val="009D77A1"/>
    <w:rsid w:val="009E2F1D"/>
    <w:rsid w:val="009F5FD3"/>
    <w:rsid w:val="009F67D9"/>
    <w:rsid w:val="00A01136"/>
    <w:rsid w:val="00A117C7"/>
    <w:rsid w:val="00A21EDB"/>
    <w:rsid w:val="00A2357F"/>
    <w:rsid w:val="00A23DCB"/>
    <w:rsid w:val="00A25DC0"/>
    <w:rsid w:val="00A44C99"/>
    <w:rsid w:val="00A4512D"/>
    <w:rsid w:val="00A57432"/>
    <w:rsid w:val="00A705AF"/>
    <w:rsid w:val="00A75864"/>
    <w:rsid w:val="00A80AD3"/>
    <w:rsid w:val="00A80C3B"/>
    <w:rsid w:val="00A8260F"/>
    <w:rsid w:val="00A838A1"/>
    <w:rsid w:val="00A83B2F"/>
    <w:rsid w:val="00AA3B82"/>
    <w:rsid w:val="00AB0EB8"/>
    <w:rsid w:val="00AC2B9F"/>
    <w:rsid w:val="00AC68B8"/>
    <w:rsid w:val="00AD3FCB"/>
    <w:rsid w:val="00AE7258"/>
    <w:rsid w:val="00AF274A"/>
    <w:rsid w:val="00B04525"/>
    <w:rsid w:val="00B248DB"/>
    <w:rsid w:val="00B24E39"/>
    <w:rsid w:val="00B3160D"/>
    <w:rsid w:val="00B42851"/>
    <w:rsid w:val="00B561FF"/>
    <w:rsid w:val="00B6550E"/>
    <w:rsid w:val="00B670CB"/>
    <w:rsid w:val="00B954F8"/>
    <w:rsid w:val="00BA74E0"/>
    <w:rsid w:val="00BB0493"/>
    <w:rsid w:val="00BB3723"/>
    <w:rsid w:val="00BC3A3F"/>
    <w:rsid w:val="00BC4F48"/>
    <w:rsid w:val="00BE5CBD"/>
    <w:rsid w:val="00BE678A"/>
    <w:rsid w:val="00BF1F01"/>
    <w:rsid w:val="00BF39FB"/>
    <w:rsid w:val="00BF6634"/>
    <w:rsid w:val="00C12A44"/>
    <w:rsid w:val="00C17E37"/>
    <w:rsid w:val="00C244A0"/>
    <w:rsid w:val="00C26A3C"/>
    <w:rsid w:val="00C41681"/>
    <w:rsid w:val="00C4327E"/>
    <w:rsid w:val="00C47F3E"/>
    <w:rsid w:val="00C5449D"/>
    <w:rsid w:val="00C6088D"/>
    <w:rsid w:val="00C65265"/>
    <w:rsid w:val="00C66A86"/>
    <w:rsid w:val="00C67979"/>
    <w:rsid w:val="00C7113E"/>
    <w:rsid w:val="00C718AA"/>
    <w:rsid w:val="00C73335"/>
    <w:rsid w:val="00C7349B"/>
    <w:rsid w:val="00C76787"/>
    <w:rsid w:val="00C77B92"/>
    <w:rsid w:val="00C86CA0"/>
    <w:rsid w:val="00C929ED"/>
    <w:rsid w:val="00C9315B"/>
    <w:rsid w:val="00CA11F4"/>
    <w:rsid w:val="00CA4CAC"/>
    <w:rsid w:val="00CB4E3E"/>
    <w:rsid w:val="00CB5B1A"/>
    <w:rsid w:val="00CC0968"/>
    <w:rsid w:val="00CC75D6"/>
    <w:rsid w:val="00CE56ED"/>
    <w:rsid w:val="00CF10B7"/>
    <w:rsid w:val="00CF28DB"/>
    <w:rsid w:val="00CF4E81"/>
    <w:rsid w:val="00D004C9"/>
    <w:rsid w:val="00D0545F"/>
    <w:rsid w:val="00D1205A"/>
    <w:rsid w:val="00D146BA"/>
    <w:rsid w:val="00D245D3"/>
    <w:rsid w:val="00D32C6B"/>
    <w:rsid w:val="00D33723"/>
    <w:rsid w:val="00D34C35"/>
    <w:rsid w:val="00D36C5F"/>
    <w:rsid w:val="00D44577"/>
    <w:rsid w:val="00D52169"/>
    <w:rsid w:val="00D526E8"/>
    <w:rsid w:val="00D54C86"/>
    <w:rsid w:val="00D707CE"/>
    <w:rsid w:val="00D73117"/>
    <w:rsid w:val="00D864CD"/>
    <w:rsid w:val="00D86740"/>
    <w:rsid w:val="00D94781"/>
    <w:rsid w:val="00D95BE4"/>
    <w:rsid w:val="00D97EC6"/>
    <w:rsid w:val="00DA3316"/>
    <w:rsid w:val="00DA7156"/>
    <w:rsid w:val="00DB0CF6"/>
    <w:rsid w:val="00DB1E66"/>
    <w:rsid w:val="00DB2C6C"/>
    <w:rsid w:val="00DB5A66"/>
    <w:rsid w:val="00DC784E"/>
    <w:rsid w:val="00DD0E06"/>
    <w:rsid w:val="00DD3F96"/>
    <w:rsid w:val="00DF2F3E"/>
    <w:rsid w:val="00E05A3B"/>
    <w:rsid w:val="00E11C7D"/>
    <w:rsid w:val="00E41F4B"/>
    <w:rsid w:val="00E430DF"/>
    <w:rsid w:val="00E4387D"/>
    <w:rsid w:val="00E62181"/>
    <w:rsid w:val="00E73D82"/>
    <w:rsid w:val="00E7771F"/>
    <w:rsid w:val="00E94CCD"/>
    <w:rsid w:val="00E955CC"/>
    <w:rsid w:val="00EC08F3"/>
    <w:rsid w:val="00ED7FB3"/>
    <w:rsid w:val="00EF597C"/>
    <w:rsid w:val="00F04CA8"/>
    <w:rsid w:val="00F10199"/>
    <w:rsid w:val="00F15C79"/>
    <w:rsid w:val="00F23DDD"/>
    <w:rsid w:val="00F312AE"/>
    <w:rsid w:val="00F319A7"/>
    <w:rsid w:val="00F32740"/>
    <w:rsid w:val="00F435C0"/>
    <w:rsid w:val="00F529A2"/>
    <w:rsid w:val="00F73A44"/>
    <w:rsid w:val="00F77183"/>
    <w:rsid w:val="00F80ED9"/>
    <w:rsid w:val="00F820C8"/>
    <w:rsid w:val="00F97889"/>
    <w:rsid w:val="00FA0079"/>
    <w:rsid w:val="00FA10F2"/>
    <w:rsid w:val="00FA217C"/>
    <w:rsid w:val="00FA653C"/>
    <w:rsid w:val="00FB15F0"/>
    <w:rsid w:val="00FB49C7"/>
    <w:rsid w:val="00FE4078"/>
    <w:rsid w:val="00FF21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AE31D"/>
  <w15:docId w15:val="{AC58F291-434A-9C4D-BDC2-830C0FF4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36F"/>
    <w:pPr>
      <w:spacing w:after="120"/>
    </w:pPr>
    <w:rPr>
      <w:rFonts w:asciiTheme="minorHAnsi" w:hAnsiTheme="minorHAnsi"/>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564C85"/>
    <w:pPr>
      <w:keepNext/>
      <w:spacing w:before="240" w:after="60"/>
      <w:outlineLvl w:val="1"/>
    </w:pPr>
    <w:rPr>
      <w:rFonts w:ascii="Arial" w:hAnsi="Arial" w:cs="Arial"/>
      <w:b/>
      <w:bCs/>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D95BE4"/>
    <w:pPr>
      <w:keepNext/>
      <w:spacing w:before="240" w:after="60"/>
      <w:outlineLvl w:val="3"/>
    </w:pPr>
    <w:rPr>
      <w:rFonts w:ascii="Arial" w:hAnsi="Arial"/>
      <w:bCs/>
      <w:i/>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CommentReference">
    <w:name w:val="annotation reference"/>
    <w:basedOn w:val="DefaultParagraphFont"/>
    <w:rsid w:val="005072C5"/>
    <w:rPr>
      <w:sz w:val="16"/>
      <w:szCs w:val="16"/>
    </w:rPr>
  </w:style>
  <w:style w:type="paragraph" w:styleId="CommentText">
    <w:name w:val="annotation text"/>
    <w:basedOn w:val="Normal"/>
    <w:link w:val="CommentTextChar"/>
    <w:rsid w:val="005072C5"/>
    <w:rPr>
      <w:sz w:val="20"/>
      <w:szCs w:val="20"/>
    </w:rPr>
  </w:style>
  <w:style w:type="character" w:customStyle="1" w:styleId="CommentTextChar">
    <w:name w:val="Comment Text Char"/>
    <w:basedOn w:val="DefaultParagraphFont"/>
    <w:link w:val="CommentText"/>
    <w:rsid w:val="005072C5"/>
    <w:rPr>
      <w:lang w:eastAsia="en-US"/>
    </w:rPr>
  </w:style>
  <w:style w:type="paragraph" w:styleId="CommentSubject">
    <w:name w:val="annotation subject"/>
    <w:basedOn w:val="CommentText"/>
    <w:next w:val="CommentText"/>
    <w:link w:val="CommentSubjectChar"/>
    <w:rsid w:val="005072C5"/>
    <w:rPr>
      <w:b/>
      <w:bCs/>
    </w:rPr>
  </w:style>
  <w:style w:type="character" w:customStyle="1" w:styleId="CommentSubjectChar">
    <w:name w:val="Comment Subject Char"/>
    <w:basedOn w:val="CommentTextChar"/>
    <w:link w:val="CommentSubject"/>
    <w:rsid w:val="005072C5"/>
    <w:rPr>
      <w:b/>
      <w:bCs/>
      <w:lang w:eastAsia="en-US"/>
    </w:rPr>
  </w:style>
  <w:style w:type="paragraph" w:styleId="BalloonText">
    <w:name w:val="Balloon Text"/>
    <w:basedOn w:val="Normal"/>
    <w:link w:val="BalloonTextChar"/>
    <w:rsid w:val="005072C5"/>
    <w:rPr>
      <w:rFonts w:ascii="Tahoma" w:hAnsi="Tahoma" w:cs="Tahoma"/>
      <w:sz w:val="16"/>
      <w:szCs w:val="16"/>
    </w:rPr>
  </w:style>
  <w:style w:type="character" w:customStyle="1" w:styleId="BalloonTextChar">
    <w:name w:val="Balloon Text Char"/>
    <w:basedOn w:val="DefaultParagraphFont"/>
    <w:link w:val="BalloonText"/>
    <w:rsid w:val="005072C5"/>
    <w:rPr>
      <w:rFonts w:ascii="Tahoma" w:hAnsi="Tahoma" w:cs="Tahoma"/>
      <w:sz w:val="16"/>
      <w:szCs w:val="16"/>
      <w:lang w:eastAsia="en-US"/>
    </w:rPr>
  </w:style>
  <w:style w:type="paragraph" w:styleId="FootnoteText">
    <w:name w:val="footnote text"/>
    <w:basedOn w:val="Normal"/>
    <w:link w:val="FootnoteTextChar"/>
    <w:rsid w:val="002B62B4"/>
    <w:rPr>
      <w:sz w:val="20"/>
      <w:szCs w:val="20"/>
    </w:rPr>
  </w:style>
  <w:style w:type="character" w:customStyle="1" w:styleId="FootnoteTextChar">
    <w:name w:val="Footnote Text Char"/>
    <w:basedOn w:val="DefaultParagraphFont"/>
    <w:link w:val="FootnoteText"/>
    <w:rsid w:val="002B62B4"/>
    <w:rPr>
      <w:lang w:eastAsia="en-US"/>
    </w:rPr>
  </w:style>
  <w:style w:type="character" w:styleId="FootnoteReference">
    <w:name w:val="footnote reference"/>
    <w:basedOn w:val="DefaultParagraphFont"/>
    <w:rsid w:val="002B62B4"/>
    <w:rPr>
      <w:vertAlign w:val="superscript"/>
    </w:rPr>
  </w:style>
  <w:style w:type="character" w:styleId="Hyperlink">
    <w:name w:val="Hyperlink"/>
    <w:basedOn w:val="DefaultParagraphFont"/>
    <w:rsid w:val="002B62B4"/>
    <w:rPr>
      <w:color w:val="0000FF" w:themeColor="hyperlink"/>
      <w:u w:val="single"/>
    </w:rPr>
  </w:style>
  <w:style w:type="character" w:styleId="FollowedHyperlink">
    <w:name w:val="FollowedHyperlink"/>
    <w:basedOn w:val="DefaultParagraphFont"/>
    <w:rsid w:val="002B62B4"/>
    <w:rPr>
      <w:color w:val="800080" w:themeColor="followedHyperlink"/>
      <w:u w:val="single"/>
    </w:rPr>
  </w:style>
  <w:style w:type="paragraph" w:customStyle="1" w:styleId="PBACHeading1">
    <w:name w:val="PBAC Heading 1"/>
    <w:qFormat/>
    <w:rsid w:val="0007736F"/>
    <w:pPr>
      <w:numPr>
        <w:numId w:val="4"/>
      </w:numPr>
      <w:outlineLvl w:val="0"/>
    </w:pPr>
    <w:rPr>
      <w:rFonts w:ascii="Arial" w:hAnsi="Arial" w:cs="Arial"/>
      <w:b/>
      <w:snapToGrid w:val="0"/>
      <w:sz w:val="22"/>
      <w:szCs w:val="22"/>
      <w:lang w:eastAsia="en-US"/>
    </w:rPr>
  </w:style>
  <w:style w:type="paragraph" w:styleId="Header">
    <w:name w:val="header"/>
    <w:basedOn w:val="Normal"/>
    <w:link w:val="HeaderChar"/>
    <w:rsid w:val="007F13B1"/>
    <w:pPr>
      <w:tabs>
        <w:tab w:val="center" w:pos="4513"/>
        <w:tab w:val="right" w:pos="9026"/>
      </w:tabs>
      <w:spacing w:after="0"/>
    </w:pPr>
  </w:style>
  <w:style w:type="character" w:customStyle="1" w:styleId="HeaderChar">
    <w:name w:val="Header Char"/>
    <w:basedOn w:val="DefaultParagraphFont"/>
    <w:link w:val="Header"/>
    <w:rsid w:val="007F13B1"/>
    <w:rPr>
      <w:rFonts w:asciiTheme="minorHAnsi" w:hAnsiTheme="minorHAnsi"/>
      <w:sz w:val="24"/>
      <w:szCs w:val="24"/>
      <w:lang w:eastAsia="en-US"/>
    </w:rPr>
  </w:style>
  <w:style w:type="paragraph" w:styleId="Footer">
    <w:name w:val="footer"/>
    <w:basedOn w:val="Normal"/>
    <w:link w:val="FooterChar"/>
    <w:uiPriority w:val="99"/>
    <w:rsid w:val="007F13B1"/>
    <w:pPr>
      <w:tabs>
        <w:tab w:val="center" w:pos="4513"/>
        <w:tab w:val="right" w:pos="9026"/>
      </w:tabs>
      <w:spacing w:after="0"/>
    </w:pPr>
  </w:style>
  <w:style w:type="character" w:customStyle="1" w:styleId="FooterChar">
    <w:name w:val="Footer Char"/>
    <w:basedOn w:val="DefaultParagraphFont"/>
    <w:link w:val="Footer"/>
    <w:uiPriority w:val="99"/>
    <w:rsid w:val="007F13B1"/>
    <w:rPr>
      <w:rFonts w:asciiTheme="minorHAnsi" w:hAnsiTheme="minorHAnsi"/>
      <w:sz w:val="24"/>
      <w:szCs w:val="24"/>
      <w:lang w:eastAsia="en-US"/>
    </w:rPr>
  </w:style>
  <w:style w:type="paragraph" w:customStyle="1" w:styleId="Table">
    <w:name w:val="Table"/>
    <w:basedOn w:val="Normal"/>
    <w:link w:val="TableChar"/>
    <w:qFormat/>
    <w:rsid w:val="00FB15F0"/>
    <w:pPr>
      <w:spacing w:after="0"/>
    </w:pPr>
    <w:rPr>
      <w:rFonts w:ascii="Candara" w:eastAsiaTheme="majorEastAsia" w:hAnsi="Candara" w:cstheme="majorBidi"/>
      <w:sz w:val="20"/>
      <w:szCs w:val="22"/>
      <w:lang w:bidi="en-US"/>
    </w:rPr>
  </w:style>
  <w:style w:type="character" w:customStyle="1" w:styleId="TableChar">
    <w:name w:val="Table Char"/>
    <w:basedOn w:val="DefaultParagraphFont"/>
    <w:link w:val="Table"/>
    <w:locked/>
    <w:rsid w:val="00FB15F0"/>
    <w:rPr>
      <w:rFonts w:ascii="Candara" w:eastAsiaTheme="majorEastAsia" w:hAnsi="Candara" w:cstheme="majorBidi"/>
      <w:szCs w:val="22"/>
      <w:lang w:eastAsia="en-US" w:bidi="en-US"/>
    </w:rPr>
  </w:style>
  <w:style w:type="table" w:styleId="TableGrid">
    <w:name w:val="Table Grid"/>
    <w:aliases w:val="Summary box,Table Gridbeth,Dossier table,Summary Table,MSD Table Grid"/>
    <w:basedOn w:val="TableNormal"/>
    <w:uiPriority w:val="39"/>
    <w:rsid w:val="00FB15F0"/>
    <w:rPr>
      <w:rFonts w:ascii="Candara" w:eastAsiaTheme="majorEastAsia" w:hAnsi="Candara"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UnresolvedMention1">
    <w:name w:val="Unresolved Mention1"/>
    <w:basedOn w:val="DefaultParagraphFont"/>
    <w:uiPriority w:val="99"/>
    <w:semiHidden/>
    <w:unhideWhenUsed/>
    <w:rsid w:val="002976EE"/>
    <w:rPr>
      <w:color w:val="605E5C"/>
      <w:shd w:val="clear" w:color="auto" w:fill="E1DFDD"/>
    </w:rPr>
  </w:style>
  <w:style w:type="paragraph" w:styleId="Revision">
    <w:name w:val="Revision"/>
    <w:hidden/>
    <w:uiPriority w:val="99"/>
    <w:semiHidden/>
    <w:rsid w:val="000F49D9"/>
    <w:rPr>
      <w:rFonts w:asciiTheme="minorHAnsi" w:hAnsiTheme="minorHAnsi"/>
      <w:sz w:val="24"/>
      <w:szCs w:val="24"/>
      <w:lang w:eastAsia="en-US"/>
    </w:rPr>
  </w:style>
  <w:style w:type="character" w:styleId="UnresolvedMention">
    <w:name w:val="Unresolved Mention"/>
    <w:basedOn w:val="DefaultParagraphFont"/>
    <w:uiPriority w:val="99"/>
    <w:semiHidden/>
    <w:unhideWhenUsed/>
    <w:rsid w:val="00895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91423">
      <w:bodyDiv w:val="1"/>
      <w:marLeft w:val="0"/>
      <w:marRight w:val="0"/>
      <w:marTop w:val="0"/>
      <w:marBottom w:val="0"/>
      <w:divBdr>
        <w:top w:val="none" w:sz="0" w:space="0" w:color="auto"/>
        <w:left w:val="none" w:sz="0" w:space="0" w:color="auto"/>
        <w:bottom w:val="none" w:sz="0" w:space="0" w:color="auto"/>
        <w:right w:val="none" w:sz="0" w:space="0" w:color="auto"/>
      </w:divBdr>
    </w:div>
    <w:div w:id="339820882">
      <w:bodyDiv w:val="1"/>
      <w:marLeft w:val="0"/>
      <w:marRight w:val="0"/>
      <w:marTop w:val="0"/>
      <w:marBottom w:val="0"/>
      <w:divBdr>
        <w:top w:val="none" w:sz="0" w:space="0" w:color="auto"/>
        <w:left w:val="none" w:sz="0" w:space="0" w:color="auto"/>
        <w:bottom w:val="none" w:sz="0" w:space="0" w:color="auto"/>
        <w:right w:val="none" w:sz="0" w:space="0" w:color="auto"/>
      </w:divBdr>
    </w:div>
    <w:div w:id="368338572">
      <w:bodyDiv w:val="1"/>
      <w:marLeft w:val="0"/>
      <w:marRight w:val="0"/>
      <w:marTop w:val="0"/>
      <w:marBottom w:val="0"/>
      <w:divBdr>
        <w:top w:val="none" w:sz="0" w:space="0" w:color="auto"/>
        <w:left w:val="none" w:sz="0" w:space="0" w:color="auto"/>
        <w:bottom w:val="none" w:sz="0" w:space="0" w:color="auto"/>
        <w:right w:val="none" w:sz="0" w:space="0" w:color="auto"/>
      </w:divBdr>
    </w:div>
    <w:div w:id="560673878">
      <w:bodyDiv w:val="1"/>
      <w:marLeft w:val="0"/>
      <w:marRight w:val="0"/>
      <w:marTop w:val="0"/>
      <w:marBottom w:val="0"/>
      <w:divBdr>
        <w:top w:val="none" w:sz="0" w:space="0" w:color="auto"/>
        <w:left w:val="none" w:sz="0" w:space="0" w:color="auto"/>
        <w:bottom w:val="none" w:sz="0" w:space="0" w:color="auto"/>
        <w:right w:val="none" w:sz="0" w:space="0" w:color="auto"/>
      </w:divBdr>
    </w:div>
    <w:div w:id="775754522">
      <w:bodyDiv w:val="1"/>
      <w:marLeft w:val="0"/>
      <w:marRight w:val="0"/>
      <w:marTop w:val="0"/>
      <w:marBottom w:val="0"/>
      <w:divBdr>
        <w:top w:val="none" w:sz="0" w:space="0" w:color="auto"/>
        <w:left w:val="none" w:sz="0" w:space="0" w:color="auto"/>
        <w:bottom w:val="none" w:sz="0" w:space="0" w:color="auto"/>
        <w:right w:val="none" w:sz="0" w:space="0" w:color="auto"/>
      </w:divBdr>
    </w:div>
    <w:div w:id="944270813">
      <w:bodyDiv w:val="1"/>
      <w:marLeft w:val="0"/>
      <w:marRight w:val="0"/>
      <w:marTop w:val="0"/>
      <w:marBottom w:val="0"/>
      <w:divBdr>
        <w:top w:val="none" w:sz="0" w:space="0" w:color="auto"/>
        <w:left w:val="none" w:sz="0" w:space="0" w:color="auto"/>
        <w:bottom w:val="none" w:sz="0" w:space="0" w:color="auto"/>
        <w:right w:val="none" w:sz="0" w:space="0" w:color="auto"/>
      </w:divBdr>
    </w:div>
    <w:div w:id="1050961664">
      <w:bodyDiv w:val="1"/>
      <w:marLeft w:val="0"/>
      <w:marRight w:val="0"/>
      <w:marTop w:val="0"/>
      <w:marBottom w:val="0"/>
      <w:divBdr>
        <w:top w:val="none" w:sz="0" w:space="0" w:color="auto"/>
        <w:left w:val="none" w:sz="0" w:space="0" w:color="auto"/>
        <w:bottom w:val="none" w:sz="0" w:space="0" w:color="auto"/>
        <w:right w:val="none" w:sz="0" w:space="0" w:color="auto"/>
      </w:divBdr>
    </w:div>
    <w:div w:id="1236161550">
      <w:bodyDiv w:val="1"/>
      <w:marLeft w:val="0"/>
      <w:marRight w:val="0"/>
      <w:marTop w:val="0"/>
      <w:marBottom w:val="0"/>
      <w:divBdr>
        <w:top w:val="none" w:sz="0" w:space="0" w:color="auto"/>
        <w:left w:val="none" w:sz="0" w:space="0" w:color="auto"/>
        <w:bottom w:val="none" w:sz="0" w:space="0" w:color="auto"/>
        <w:right w:val="none" w:sz="0" w:space="0" w:color="auto"/>
      </w:divBdr>
    </w:div>
    <w:div w:id="1501895544">
      <w:bodyDiv w:val="1"/>
      <w:marLeft w:val="0"/>
      <w:marRight w:val="0"/>
      <w:marTop w:val="0"/>
      <w:marBottom w:val="0"/>
      <w:divBdr>
        <w:top w:val="none" w:sz="0" w:space="0" w:color="auto"/>
        <w:left w:val="none" w:sz="0" w:space="0" w:color="auto"/>
        <w:bottom w:val="none" w:sz="0" w:space="0" w:color="auto"/>
        <w:right w:val="none" w:sz="0" w:space="0" w:color="auto"/>
      </w:divBdr>
    </w:div>
    <w:div w:id="1582831923">
      <w:bodyDiv w:val="1"/>
      <w:marLeft w:val="0"/>
      <w:marRight w:val="0"/>
      <w:marTop w:val="0"/>
      <w:marBottom w:val="0"/>
      <w:divBdr>
        <w:top w:val="none" w:sz="0" w:space="0" w:color="auto"/>
        <w:left w:val="none" w:sz="0" w:space="0" w:color="auto"/>
        <w:bottom w:val="none" w:sz="0" w:space="0" w:color="auto"/>
        <w:right w:val="none" w:sz="0" w:space="0" w:color="auto"/>
      </w:divBdr>
    </w:div>
    <w:div w:id="1659991199">
      <w:bodyDiv w:val="1"/>
      <w:marLeft w:val="0"/>
      <w:marRight w:val="0"/>
      <w:marTop w:val="0"/>
      <w:marBottom w:val="0"/>
      <w:divBdr>
        <w:top w:val="none" w:sz="0" w:space="0" w:color="auto"/>
        <w:left w:val="none" w:sz="0" w:space="0" w:color="auto"/>
        <w:bottom w:val="none" w:sz="0" w:space="0" w:color="auto"/>
        <w:right w:val="none" w:sz="0" w:space="0" w:color="auto"/>
      </w:divBdr>
    </w:div>
    <w:div w:id="1724910399">
      <w:bodyDiv w:val="1"/>
      <w:marLeft w:val="0"/>
      <w:marRight w:val="0"/>
      <w:marTop w:val="0"/>
      <w:marBottom w:val="0"/>
      <w:divBdr>
        <w:top w:val="none" w:sz="0" w:space="0" w:color="auto"/>
        <w:left w:val="none" w:sz="0" w:space="0" w:color="auto"/>
        <w:bottom w:val="none" w:sz="0" w:space="0" w:color="auto"/>
        <w:right w:val="none" w:sz="0" w:space="0" w:color="auto"/>
      </w:divBdr>
    </w:div>
    <w:div w:id="180959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w.gov.au/reports/australias-health/overweight-and-obesi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503/cmaj.110387" TargetMode="External"/><Relationship Id="rId1" Type="http://schemas.openxmlformats.org/officeDocument/2006/relationships/hyperlink" Target="https://doi.org/10.1161/CIRCULATIONAHA.117.029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0A78E-C057-46B5-8AFD-68BF0CF8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6</Pages>
  <Words>2301</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Wilson</dc:creator>
  <cp:lastModifiedBy>BOJADZISKI, Jan-Marie</cp:lastModifiedBy>
  <cp:revision>9</cp:revision>
  <dcterms:created xsi:type="dcterms:W3CDTF">2021-11-08T23:46:00Z</dcterms:created>
  <dcterms:modified xsi:type="dcterms:W3CDTF">2021-11-16T03:08:00Z</dcterms:modified>
</cp:coreProperties>
</file>