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6D6EC7" w:rsidRDefault="00D04CF6" w:rsidP="000B27F9">
      <w:pPr>
        <w:pStyle w:val="Heading1"/>
      </w:pPr>
      <w:r>
        <w:t>7</w:t>
      </w:r>
      <w:r w:rsidR="0004240E" w:rsidRPr="006D6EC7">
        <w:t>.</w:t>
      </w:r>
      <w:r>
        <w:t>3</w:t>
      </w:r>
      <w:r w:rsidR="007C0F57" w:rsidRPr="006D6EC7">
        <w:tab/>
      </w:r>
      <w:r w:rsidR="00D90985" w:rsidRPr="00D90985">
        <w:t>ERLOTINIB,</w:t>
      </w:r>
      <w:r w:rsidR="00D90985">
        <w:t xml:space="preserve"> </w:t>
      </w:r>
      <w:r w:rsidR="00D90985" w:rsidRPr="00D90985">
        <w:t>25 mg tablet, 30, 100 mg tablet, 30 and 150 mg tablet, 30,</w:t>
      </w:r>
      <w:r w:rsidR="00D90985">
        <w:t xml:space="preserve"> </w:t>
      </w:r>
      <w:proofErr w:type="spellStart"/>
      <w:r w:rsidR="00D90985" w:rsidRPr="00D90985">
        <w:t>Tarceva</w:t>
      </w:r>
      <w:proofErr w:type="spellEnd"/>
      <w:r w:rsidR="00D90985" w:rsidRPr="00D90985">
        <w:t>®</w:t>
      </w:r>
      <w:r w:rsidR="00D90985">
        <w:t xml:space="preserve">, </w:t>
      </w:r>
      <w:r w:rsidR="00D90985" w:rsidRPr="00D90985">
        <w:t>Roche Products Pty Limited</w:t>
      </w:r>
      <w:r w:rsidR="0004240E" w:rsidRPr="006D6EC7">
        <w:t>.</w:t>
      </w:r>
    </w:p>
    <w:p w:rsidR="008D447E" w:rsidRPr="006D6EC7" w:rsidRDefault="008D447E" w:rsidP="006D1FD1">
      <w:pPr>
        <w:tabs>
          <w:tab w:val="left" w:pos="1134"/>
        </w:tabs>
        <w:ind w:left="709"/>
        <w:rPr>
          <w:rFonts w:ascii="Arial" w:hAnsi="Arial"/>
          <w:b/>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97EBF" w:rsidRPr="00882085">
        <w:rPr>
          <w:rFonts w:ascii="Arial" w:hAnsi="Arial"/>
          <w:b/>
          <w:sz w:val="22"/>
          <w:szCs w:val="22"/>
        </w:rPr>
        <w:t>a</w:t>
      </w:r>
      <w:r w:rsidR="0004240E" w:rsidRPr="00882085">
        <w:rPr>
          <w:rFonts w:ascii="Arial" w:hAnsi="Arial"/>
          <w:b/>
          <w:sz w:val="22"/>
          <w:szCs w:val="22"/>
        </w:rPr>
        <w:t>pplication</w:t>
      </w:r>
    </w:p>
    <w:p w:rsidR="006A12A5" w:rsidRPr="00882085" w:rsidRDefault="006A12A5" w:rsidP="006D1FD1">
      <w:pPr>
        <w:tabs>
          <w:tab w:val="left" w:pos="1134"/>
        </w:tabs>
        <w:ind w:left="709"/>
        <w:rPr>
          <w:rFonts w:ascii="Arial" w:hAnsi="Arial"/>
          <w:sz w:val="22"/>
          <w:szCs w:val="22"/>
        </w:rPr>
      </w:pPr>
    </w:p>
    <w:p w:rsidR="0065112C" w:rsidRDefault="00D90985" w:rsidP="00D90985">
      <w:pPr>
        <w:pStyle w:val="ListParagraph"/>
        <w:numPr>
          <w:ilvl w:val="1"/>
          <w:numId w:val="25"/>
        </w:numPr>
        <w:jc w:val="both"/>
        <w:rPr>
          <w:rFonts w:ascii="Arial" w:hAnsi="Arial"/>
          <w:sz w:val="22"/>
          <w:szCs w:val="22"/>
        </w:rPr>
      </w:pPr>
      <w:r w:rsidRPr="00D90985">
        <w:rPr>
          <w:rFonts w:ascii="Arial" w:hAnsi="Arial"/>
          <w:sz w:val="22"/>
          <w:szCs w:val="22"/>
        </w:rPr>
        <w:t xml:space="preserve">The current last-line PBS restriction for </w:t>
      </w:r>
      <w:proofErr w:type="spellStart"/>
      <w:r w:rsidRPr="00D90985">
        <w:rPr>
          <w:rFonts w:ascii="Arial" w:hAnsi="Arial"/>
          <w:sz w:val="22"/>
          <w:szCs w:val="22"/>
        </w:rPr>
        <w:t>erlotinib</w:t>
      </w:r>
      <w:proofErr w:type="spellEnd"/>
      <w:r w:rsidRPr="00D90985">
        <w:rPr>
          <w:rFonts w:ascii="Arial" w:hAnsi="Arial"/>
          <w:sz w:val="22"/>
          <w:szCs w:val="22"/>
        </w:rPr>
        <w:t xml:space="preserve"> is for patients with non-small cell lung cancer (NSCLC) who are not selected on the basis of epidermal growth factor re</w:t>
      </w:r>
      <w:r w:rsidR="0074584D">
        <w:rPr>
          <w:rFonts w:ascii="Arial" w:hAnsi="Arial"/>
          <w:sz w:val="22"/>
          <w:szCs w:val="22"/>
        </w:rPr>
        <w:t>ceptor (EGFR) mutation testing.</w:t>
      </w:r>
    </w:p>
    <w:p w:rsidR="0065112C" w:rsidRDefault="0065112C" w:rsidP="0065112C">
      <w:pPr>
        <w:pStyle w:val="ListParagraph"/>
        <w:jc w:val="both"/>
        <w:rPr>
          <w:rFonts w:ascii="Arial" w:hAnsi="Arial"/>
          <w:sz w:val="22"/>
          <w:szCs w:val="22"/>
        </w:rPr>
      </w:pPr>
    </w:p>
    <w:p w:rsidR="00E16910" w:rsidRPr="00882085" w:rsidRDefault="00D90985" w:rsidP="00D90985">
      <w:pPr>
        <w:pStyle w:val="ListParagraph"/>
        <w:numPr>
          <w:ilvl w:val="1"/>
          <w:numId w:val="25"/>
        </w:numPr>
        <w:jc w:val="both"/>
        <w:rPr>
          <w:rFonts w:ascii="Arial" w:hAnsi="Arial"/>
          <w:sz w:val="22"/>
          <w:szCs w:val="22"/>
        </w:rPr>
      </w:pPr>
      <w:r w:rsidRPr="00D90985">
        <w:rPr>
          <w:rFonts w:ascii="Arial" w:hAnsi="Arial"/>
          <w:sz w:val="22"/>
          <w:szCs w:val="22"/>
        </w:rPr>
        <w:t xml:space="preserve">The PBAC requested </w:t>
      </w:r>
      <w:r w:rsidR="0065112C">
        <w:rPr>
          <w:rFonts w:ascii="Arial" w:hAnsi="Arial"/>
          <w:sz w:val="22"/>
          <w:szCs w:val="22"/>
        </w:rPr>
        <w:t xml:space="preserve">that the sponsor make a submission to establish the </w:t>
      </w:r>
      <w:r w:rsidR="0065112C" w:rsidRPr="00D90985">
        <w:rPr>
          <w:rFonts w:ascii="Arial" w:hAnsi="Arial"/>
          <w:sz w:val="22"/>
          <w:szCs w:val="22"/>
        </w:rPr>
        <w:t>effectiveness</w:t>
      </w:r>
      <w:r w:rsidRPr="00D90985">
        <w:rPr>
          <w:rFonts w:ascii="Arial" w:hAnsi="Arial"/>
          <w:sz w:val="22"/>
          <w:szCs w:val="22"/>
        </w:rPr>
        <w:t xml:space="preserve"> and cost effectiveness of </w:t>
      </w:r>
      <w:proofErr w:type="spellStart"/>
      <w:r w:rsidRPr="00D90985">
        <w:rPr>
          <w:rFonts w:ascii="Arial" w:hAnsi="Arial"/>
          <w:sz w:val="22"/>
          <w:szCs w:val="22"/>
        </w:rPr>
        <w:t>erlotinib</w:t>
      </w:r>
      <w:proofErr w:type="spellEnd"/>
      <w:r w:rsidRPr="00D90985">
        <w:rPr>
          <w:rFonts w:ascii="Arial" w:hAnsi="Arial"/>
          <w:sz w:val="22"/>
          <w:szCs w:val="22"/>
        </w:rPr>
        <w:t xml:space="preserve"> in the population defined by this restriction.</w:t>
      </w:r>
    </w:p>
    <w:p w:rsidR="006A12A5" w:rsidRPr="006D1FD1" w:rsidRDefault="006A12A5" w:rsidP="006D1FD1">
      <w:pPr>
        <w:tabs>
          <w:tab w:val="left" w:pos="1134"/>
        </w:tabs>
        <w:ind w:left="709"/>
        <w:rPr>
          <w:rFonts w:ascii="Arial" w:hAnsi="Arial"/>
          <w:sz w:val="22"/>
          <w:szCs w:val="22"/>
        </w:rPr>
      </w:pPr>
    </w:p>
    <w:p w:rsidR="00614159" w:rsidRPr="00671269"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71269" w:rsidRPr="00671269" w:rsidRDefault="00671269" w:rsidP="006D1FD1">
      <w:pPr>
        <w:tabs>
          <w:tab w:val="left" w:pos="1134"/>
        </w:tabs>
        <w:ind w:left="709"/>
        <w:rPr>
          <w:rFonts w:ascii="Arial" w:hAnsi="Arial"/>
          <w:sz w:val="22"/>
          <w:szCs w:val="22"/>
        </w:rPr>
      </w:pPr>
    </w:p>
    <w:tbl>
      <w:tblPr>
        <w:tblW w:w="8647" w:type="dxa"/>
        <w:tblInd w:w="817" w:type="dxa"/>
        <w:tblLayout w:type="fixed"/>
        <w:tblLook w:val="0000" w:firstRow="0" w:lastRow="0" w:firstColumn="0" w:lastColumn="0" w:noHBand="0" w:noVBand="0"/>
        <w:tblDescription w:val="requested listing"/>
      </w:tblPr>
      <w:tblGrid>
        <w:gridCol w:w="3402"/>
        <w:gridCol w:w="709"/>
        <w:gridCol w:w="709"/>
        <w:gridCol w:w="1701"/>
        <w:gridCol w:w="1134"/>
        <w:gridCol w:w="992"/>
      </w:tblGrid>
      <w:tr w:rsidR="00671269" w:rsidRPr="00671269" w:rsidTr="00671269">
        <w:trPr>
          <w:cantSplit/>
          <w:trHeight w:val="509"/>
        </w:trPr>
        <w:tc>
          <w:tcPr>
            <w:tcW w:w="3402" w:type="dxa"/>
            <w:tcBorders>
              <w:bottom w:val="single" w:sz="4" w:space="0" w:color="auto"/>
            </w:tcBorders>
          </w:tcPr>
          <w:p w:rsidR="00671269" w:rsidRPr="00671269" w:rsidRDefault="00671269" w:rsidP="00671269">
            <w:pPr>
              <w:keepNext/>
              <w:keepLines/>
              <w:rPr>
                <w:rFonts w:ascii="Arial" w:eastAsia="SimSun" w:hAnsi="Arial" w:cs="Arial"/>
                <w:sz w:val="22"/>
                <w:szCs w:val="22"/>
              </w:rPr>
            </w:pPr>
            <w:r w:rsidRPr="00671269">
              <w:rPr>
                <w:rFonts w:ascii="Arial" w:eastAsia="SimSun" w:hAnsi="Arial" w:cs="Arial"/>
                <w:sz w:val="22"/>
                <w:szCs w:val="22"/>
              </w:rPr>
              <w:t>Name, Restriction,</w:t>
            </w:r>
            <w:r>
              <w:rPr>
                <w:rFonts w:ascii="Arial" w:eastAsia="SimSun" w:hAnsi="Arial" w:cs="Arial"/>
                <w:sz w:val="22"/>
                <w:szCs w:val="22"/>
              </w:rPr>
              <w:t xml:space="preserve"> </w:t>
            </w:r>
            <w:r w:rsidRPr="00671269">
              <w:rPr>
                <w:rFonts w:ascii="Arial" w:eastAsia="SimSun" w:hAnsi="Arial" w:cs="Arial"/>
                <w:sz w:val="22"/>
                <w:szCs w:val="22"/>
              </w:rPr>
              <w:t>Manner of administration and form</w:t>
            </w:r>
          </w:p>
        </w:tc>
        <w:tc>
          <w:tcPr>
            <w:tcW w:w="709" w:type="dxa"/>
            <w:tcBorders>
              <w:bottom w:val="single" w:sz="4" w:space="0" w:color="auto"/>
            </w:tcBorders>
          </w:tcPr>
          <w:p w:rsidR="00671269" w:rsidRPr="00671269" w:rsidRDefault="00671269" w:rsidP="00671269">
            <w:pPr>
              <w:keepNext/>
              <w:keepLines/>
              <w:ind w:left="-108"/>
              <w:rPr>
                <w:rFonts w:ascii="Arial" w:eastAsia="SimSun" w:hAnsi="Arial" w:cs="Arial"/>
                <w:sz w:val="22"/>
                <w:szCs w:val="22"/>
              </w:rPr>
            </w:pPr>
            <w:r w:rsidRPr="00671269">
              <w:rPr>
                <w:rFonts w:ascii="Arial" w:eastAsia="SimSun" w:hAnsi="Arial" w:cs="Arial"/>
                <w:sz w:val="22"/>
                <w:szCs w:val="22"/>
              </w:rPr>
              <w:t>Max</w:t>
            </w:r>
          </w:p>
          <w:p w:rsidR="00671269" w:rsidRPr="00671269" w:rsidRDefault="00671269" w:rsidP="00671269">
            <w:pPr>
              <w:keepNext/>
              <w:keepLines/>
              <w:ind w:left="-108"/>
              <w:rPr>
                <w:rFonts w:ascii="Arial" w:eastAsia="SimSun" w:hAnsi="Arial" w:cs="Arial"/>
                <w:sz w:val="22"/>
                <w:szCs w:val="22"/>
              </w:rPr>
            </w:pPr>
            <w:proofErr w:type="spellStart"/>
            <w:r w:rsidRPr="00671269">
              <w:rPr>
                <w:rFonts w:ascii="Arial" w:eastAsia="SimSun" w:hAnsi="Arial" w:cs="Arial"/>
                <w:sz w:val="22"/>
                <w:szCs w:val="22"/>
              </w:rPr>
              <w:t>Qty</w:t>
            </w:r>
            <w:proofErr w:type="spellEnd"/>
          </w:p>
        </w:tc>
        <w:tc>
          <w:tcPr>
            <w:tcW w:w="709" w:type="dxa"/>
            <w:tcBorders>
              <w:bottom w:val="single" w:sz="4" w:space="0" w:color="auto"/>
            </w:tcBorders>
          </w:tcPr>
          <w:p w:rsidR="00671269" w:rsidRPr="00671269" w:rsidRDefault="00671269" w:rsidP="00671269">
            <w:pPr>
              <w:keepNext/>
              <w:keepLines/>
              <w:ind w:left="-108"/>
              <w:rPr>
                <w:rFonts w:ascii="Arial" w:eastAsia="SimSun" w:hAnsi="Arial" w:cs="Arial"/>
                <w:sz w:val="22"/>
                <w:szCs w:val="22"/>
              </w:rPr>
            </w:pPr>
            <w:r w:rsidRPr="00671269">
              <w:rPr>
                <w:rFonts w:ascii="Arial" w:eastAsia="SimSun" w:hAnsi="Arial" w:cs="Arial"/>
                <w:sz w:val="22"/>
                <w:szCs w:val="22"/>
              </w:rPr>
              <w:t>№.of</w:t>
            </w:r>
          </w:p>
          <w:p w:rsidR="00671269" w:rsidRPr="00671269" w:rsidRDefault="00671269" w:rsidP="00671269">
            <w:pPr>
              <w:keepNext/>
              <w:keepLines/>
              <w:ind w:left="-108"/>
              <w:rPr>
                <w:rFonts w:ascii="Arial" w:eastAsia="SimSun" w:hAnsi="Arial" w:cs="Arial"/>
                <w:sz w:val="22"/>
                <w:szCs w:val="22"/>
              </w:rPr>
            </w:pPr>
            <w:proofErr w:type="spellStart"/>
            <w:r w:rsidRPr="00671269">
              <w:rPr>
                <w:rFonts w:ascii="Arial" w:eastAsia="SimSun" w:hAnsi="Arial" w:cs="Arial"/>
                <w:sz w:val="22"/>
                <w:szCs w:val="22"/>
              </w:rPr>
              <w:t>Rpts</w:t>
            </w:r>
            <w:proofErr w:type="spellEnd"/>
          </w:p>
        </w:tc>
        <w:tc>
          <w:tcPr>
            <w:tcW w:w="1701" w:type="dxa"/>
            <w:tcBorders>
              <w:bottom w:val="single" w:sz="4" w:space="0" w:color="auto"/>
            </w:tcBorders>
          </w:tcPr>
          <w:p w:rsidR="00671269" w:rsidRPr="00671269" w:rsidRDefault="00671269" w:rsidP="00671269">
            <w:pPr>
              <w:keepNext/>
              <w:keepLines/>
              <w:ind w:left="-108" w:right="-108"/>
              <w:rPr>
                <w:rFonts w:ascii="Arial" w:eastAsia="SimSun" w:hAnsi="Arial" w:cs="Arial"/>
                <w:sz w:val="22"/>
                <w:szCs w:val="22"/>
              </w:rPr>
            </w:pPr>
          </w:p>
        </w:tc>
        <w:tc>
          <w:tcPr>
            <w:tcW w:w="2126" w:type="dxa"/>
            <w:gridSpan w:val="2"/>
            <w:tcBorders>
              <w:bottom w:val="single" w:sz="4" w:space="0" w:color="auto"/>
            </w:tcBorders>
          </w:tcPr>
          <w:p w:rsidR="00671269" w:rsidRPr="00671269" w:rsidRDefault="00671269" w:rsidP="00671269">
            <w:pPr>
              <w:keepNext/>
              <w:keepLines/>
              <w:rPr>
                <w:rFonts w:ascii="Arial" w:eastAsia="SimSun" w:hAnsi="Arial" w:cs="Arial"/>
                <w:sz w:val="22"/>
                <w:szCs w:val="22"/>
                <w:lang w:val="fr-FR"/>
              </w:rPr>
            </w:pPr>
            <w:r w:rsidRPr="00671269">
              <w:rPr>
                <w:rFonts w:ascii="Arial" w:eastAsia="SimSun" w:hAnsi="Arial" w:cs="Arial"/>
                <w:sz w:val="22"/>
                <w:szCs w:val="22"/>
              </w:rPr>
              <w:t>Proprietary Name and Manufacturer</w:t>
            </w:r>
          </w:p>
        </w:tc>
      </w:tr>
      <w:tr w:rsidR="00671269" w:rsidRPr="00671269" w:rsidTr="00671269">
        <w:trPr>
          <w:cantSplit/>
          <w:trHeight w:val="624"/>
        </w:trPr>
        <w:tc>
          <w:tcPr>
            <w:tcW w:w="3402" w:type="dxa"/>
          </w:tcPr>
          <w:p w:rsidR="00671269" w:rsidRPr="00671269" w:rsidRDefault="00671269" w:rsidP="00671269">
            <w:pPr>
              <w:keepNext/>
              <w:keepLines/>
              <w:ind w:left="-108"/>
              <w:rPr>
                <w:rFonts w:ascii="Arial" w:eastAsia="SimSun" w:hAnsi="Arial" w:cs="Arial"/>
                <w:sz w:val="22"/>
                <w:szCs w:val="22"/>
              </w:rPr>
            </w:pPr>
            <w:proofErr w:type="spellStart"/>
            <w:r w:rsidRPr="00671269">
              <w:rPr>
                <w:rFonts w:ascii="Arial" w:eastAsia="SimSun" w:hAnsi="Arial" w:cs="Arial"/>
                <w:smallCaps/>
                <w:sz w:val="22"/>
                <w:szCs w:val="22"/>
              </w:rPr>
              <w:t>Erlotinib</w:t>
            </w:r>
            <w:proofErr w:type="spellEnd"/>
          </w:p>
          <w:p w:rsidR="00671269" w:rsidRPr="00671269" w:rsidRDefault="00671269" w:rsidP="00671269">
            <w:pPr>
              <w:keepNext/>
              <w:keepLines/>
              <w:ind w:left="-108"/>
              <w:rPr>
                <w:rFonts w:ascii="Arial" w:eastAsia="SimSun" w:hAnsi="Arial" w:cs="Arial"/>
                <w:sz w:val="22"/>
                <w:szCs w:val="22"/>
              </w:rPr>
            </w:pPr>
            <w:r w:rsidRPr="00671269">
              <w:rPr>
                <w:rFonts w:ascii="Arial" w:eastAsia="SimSun" w:hAnsi="Arial" w:cs="Arial"/>
                <w:sz w:val="22"/>
                <w:szCs w:val="22"/>
              </w:rPr>
              <w:t>Tablet 25 mg (as hydrochloride)</w:t>
            </w:r>
          </w:p>
        </w:tc>
        <w:tc>
          <w:tcPr>
            <w:tcW w:w="709" w:type="dxa"/>
          </w:tcPr>
          <w:p w:rsidR="00671269" w:rsidRPr="00671269" w:rsidRDefault="00671269" w:rsidP="00671269">
            <w:pPr>
              <w:keepNext/>
              <w:keepLines/>
              <w:ind w:left="-108"/>
              <w:jc w:val="center"/>
              <w:rPr>
                <w:rFonts w:ascii="Arial" w:eastAsia="SimSun" w:hAnsi="Arial" w:cs="Arial"/>
                <w:sz w:val="22"/>
                <w:szCs w:val="22"/>
              </w:rPr>
            </w:pPr>
          </w:p>
          <w:p w:rsidR="00671269" w:rsidRPr="00671269" w:rsidRDefault="00671269" w:rsidP="00671269">
            <w:pPr>
              <w:keepNext/>
              <w:keepLines/>
              <w:ind w:left="-108"/>
              <w:jc w:val="center"/>
              <w:rPr>
                <w:rFonts w:ascii="Arial" w:eastAsia="SimSun" w:hAnsi="Arial" w:cs="Arial"/>
                <w:sz w:val="22"/>
                <w:szCs w:val="22"/>
              </w:rPr>
            </w:pPr>
            <w:r w:rsidRPr="00671269">
              <w:rPr>
                <w:rFonts w:ascii="Arial" w:eastAsia="SimSun" w:hAnsi="Arial" w:cs="Arial"/>
                <w:sz w:val="22"/>
                <w:szCs w:val="22"/>
              </w:rPr>
              <w:t>30</w:t>
            </w:r>
          </w:p>
        </w:tc>
        <w:tc>
          <w:tcPr>
            <w:tcW w:w="709" w:type="dxa"/>
          </w:tcPr>
          <w:p w:rsidR="00671269" w:rsidRPr="00671269" w:rsidRDefault="00671269" w:rsidP="00671269">
            <w:pPr>
              <w:keepNext/>
              <w:keepLines/>
              <w:ind w:left="-108"/>
              <w:jc w:val="center"/>
              <w:rPr>
                <w:rFonts w:ascii="Arial" w:eastAsia="SimSun" w:hAnsi="Arial" w:cs="Arial"/>
                <w:sz w:val="22"/>
                <w:szCs w:val="22"/>
              </w:rPr>
            </w:pPr>
          </w:p>
          <w:p w:rsidR="00671269" w:rsidRPr="00671269" w:rsidRDefault="00671269" w:rsidP="00671269">
            <w:pPr>
              <w:keepNext/>
              <w:keepLines/>
              <w:ind w:left="-108"/>
              <w:jc w:val="center"/>
              <w:rPr>
                <w:rFonts w:ascii="Arial" w:eastAsia="SimSun" w:hAnsi="Arial" w:cs="Arial"/>
                <w:sz w:val="22"/>
                <w:szCs w:val="22"/>
              </w:rPr>
            </w:pPr>
            <w:r w:rsidRPr="00671269">
              <w:rPr>
                <w:rFonts w:ascii="Arial" w:eastAsia="SimSun" w:hAnsi="Arial" w:cs="Arial"/>
                <w:sz w:val="22"/>
                <w:szCs w:val="22"/>
              </w:rPr>
              <w:t>3</w:t>
            </w:r>
          </w:p>
        </w:tc>
        <w:tc>
          <w:tcPr>
            <w:tcW w:w="1701" w:type="dxa"/>
          </w:tcPr>
          <w:p w:rsidR="00671269" w:rsidRPr="00671269" w:rsidRDefault="00671269" w:rsidP="00671269">
            <w:pPr>
              <w:keepNext/>
              <w:keepLines/>
              <w:ind w:left="-108"/>
              <w:jc w:val="center"/>
              <w:rPr>
                <w:rFonts w:ascii="Arial" w:eastAsia="SimSun" w:hAnsi="Arial" w:cs="Arial"/>
                <w:sz w:val="22"/>
                <w:szCs w:val="22"/>
              </w:rPr>
            </w:pPr>
          </w:p>
        </w:tc>
        <w:tc>
          <w:tcPr>
            <w:tcW w:w="1134" w:type="dxa"/>
          </w:tcPr>
          <w:p w:rsidR="00671269" w:rsidRPr="00671269" w:rsidRDefault="00671269" w:rsidP="00671269">
            <w:pPr>
              <w:keepNext/>
              <w:keepLines/>
              <w:rPr>
                <w:rFonts w:ascii="Arial" w:eastAsia="SimSun" w:hAnsi="Arial" w:cs="Arial"/>
                <w:sz w:val="22"/>
                <w:szCs w:val="22"/>
              </w:rPr>
            </w:pPr>
            <w:proofErr w:type="spellStart"/>
            <w:r w:rsidRPr="00671269">
              <w:rPr>
                <w:rFonts w:ascii="Arial" w:eastAsia="SimSun" w:hAnsi="Arial" w:cs="Arial"/>
                <w:sz w:val="22"/>
                <w:szCs w:val="22"/>
              </w:rPr>
              <w:t>Tarceva</w:t>
            </w:r>
            <w:proofErr w:type="spellEnd"/>
          </w:p>
        </w:tc>
        <w:tc>
          <w:tcPr>
            <w:tcW w:w="992" w:type="dxa"/>
          </w:tcPr>
          <w:p w:rsidR="00671269" w:rsidRPr="00671269" w:rsidRDefault="00671269" w:rsidP="00671269">
            <w:pPr>
              <w:keepNext/>
              <w:keepLines/>
              <w:rPr>
                <w:rFonts w:ascii="Arial" w:eastAsia="SimSun" w:hAnsi="Arial" w:cs="Arial"/>
                <w:sz w:val="22"/>
                <w:szCs w:val="22"/>
              </w:rPr>
            </w:pPr>
            <w:r w:rsidRPr="00671269">
              <w:rPr>
                <w:rFonts w:ascii="Arial" w:eastAsia="SimSun" w:hAnsi="Arial" w:cs="Arial"/>
                <w:sz w:val="22"/>
                <w:szCs w:val="22"/>
              </w:rPr>
              <w:t>Roche</w:t>
            </w:r>
          </w:p>
        </w:tc>
      </w:tr>
      <w:tr w:rsidR="00671269" w:rsidRPr="00671269" w:rsidTr="00671269">
        <w:trPr>
          <w:cantSplit/>
          <w:trHeight w:val="624"/>
        </w:trPr>
        <w:tc>
          <w:tcPr>
            <w:tcW w:w="3402" w:type="dxa"/>
          </w:tcPr>
          <w:p w:rsidR="00671269" w:rsidRPr="00671269" w:rsidRDefault="00671269" w:rsidP="00671269">
            <w:pPr>
              <w:keepNext/>
              <w:keepLines/>
              <w:ind w:left="-108"/>
              <w:rPr>
                <w:rFonts w:ascii="Arial" w:eastAsia="SimSun" w:hAnsi="Arial" w:cs="Arial"/>
                <w:sz w:val="22"/>
                <w:szCs w:val="22"/>
              </w:rPr>
            </w:pPr>
            <w:proofErr w:type="spellStart"/>
            <w:r w:rsidRPr="00671269">
              <w:rPr>
                <w:rFonts w:ascii="Arial" w:eastAsia="SimSun" w:hAnsi="Arial" w:cs="Arial"/>
                <w:smallCaps/>
                <w:sz w:val="22"/>
                <w:szCs w:val="22"/>
              </w:rPr>
              <w:t>Erlotinib</w:t>
            </w:r>
            <w:proofErr w:type="spellEnd"/>
          </w:p>
          <w:p w:rsidR="00671269" w:rsidRPr="00671269" w:rsidRDefault="00671269" w:rsidP="00671269">
            <w:pPr>
              <w:keepNext/>
              <w:keepLines/>
              <w:ind w:left="-108"/>
              <w:rPr>
                <w:rFonts w:ascii="Arial" w:eastAsia="SimSun" w:hAnsi="Arial" w:cs="Arial"/>
                <w:sz w:val="22"/>
                <w:szCs w:val="22"/>
              </w:rPr>
            </w:pPr>
            <w:r w:rsidRPr="00671269">
              <w:rPr>
                <w:rFonts w:ascii="Arial" w:eastAsia="SimSun" w:hAnsi="Arial" w:cs="Arial"/>
                <w:sz w:val="22"/>
                <w:szCs w:val="22"/>
              </w:rPr>
              <w:t>Tablet 100 mg (as hydrochloride)</w:t>
            </w:r>
          </w:p>
        </w:tc>
        <w:tc>
          <w:tcPr>
            <w:tcW w:w="709" w:type="dxa"/>
          </w:tcPr>
          <w:p w:rsidR="00671269" w:rsidRPr="00671269" w:rsidRDefault="00671269" w:rsidP="00671269">
            <w:pPr>
              <w:keepNext/>
              <w:keepLines/>
              <w:ind w:left="-108"/>
              <w:jc w:val="center"/>
              <w:rPr>
                <w:rFonts w:ascii="Arial" w:eastAsia="SimSun" w:hAnsi="Arial" w:cs="Arial"/>
                <w:sz w:val="22"/>
                <w:szCs w:val="22"/>
              </w:rPr>
            </w:pPr>
          </w:p>
          <w:p w:rsidR="00671269" w:rsidRPr="00671269" w:rsidRDefault="00671269" w:rsidP="00671269">
            <w:pPr>
              <w:keepNext/>
              <w:keepLines/>
              <w:ind w:left="-108"/>
              <w:jc w:val="center"/>
              <w:rPr>
                <w:rFonts w:ascii="Arial" w:eastAsia="SimSun" w:hAnsi="Arial" w:cs="Arial"/>
                <w:sz w:val="22"/>
                <w:szCs w:val="22"/>
              </w:rPr>
            </w:pPr>
            <w:r w:rsidRPr="00671269">
              <w:rPr>
                <w:rFonts w:ascii="Arial" w:eastAsia="SimSun" w:hAnsi="Arial" w:cs="Arial"/>
                <w:sz w:val="22"/>
                <w:szCs w:val="22"/>
              </w:rPr>
              <w:t>30</w:t>
            </w:r>
          </w:p>
        </w:tc>
        <w:tc>
          <w:tcPr>
            <w:tcW w:w="709" w:type="dxa"/>
          </w:tcPr>
          <w:p w:rsidR="00671269" w:rsidRPr="00671269" w:rsidRDefault="00671269" w:rsidP="00671269">
            <w:pPr>
              <w:keepNext/>
              <w:keepLines/>
              <w:ind w:left="-108"/>
              <w:jc w:val="center"/>
              <w:rPr>
                <w:rFonts w:ascii="Arial" w:eastAsia="SimSun" w:hAnsi="Arial" w:cs="Arial"/>
                <w:sz w:val="22"/>
                <w:szCs w:val="22"/>
              </w:rPr>
            </w:pPr>
          </w:p>
          <w:p w:rsidR="00671269" w:rsidRPr="00671269" w:rsidRDefault="00671269" w:rsidP="00671269">
            <w:pPr>
              <w:keepNext/>
              <w:keepLines/>
              <w:ind w:left="-108"/>
              <w:jc w:val="center"/>
              <w:rPr>
                <w:rFonts w:ascii="Arial" w:eastAsia="SimSun" w:hAnsi="Arial" w:cs="Arial"/>
                <w:sz w:val="22"/>
                <w:szCs w:val="22"/>
              </w:rPr>
            </w:pPr>
            <w:r w:rsidRPr="00671269">
              <w:rPr>
                <w:rFonts w:ascii="Arial" w:eastAsia="SimSun" w:hAnsi="Arial" w:cs="Arial"/>
                <w:sz w:val="22"/>
                <w:szCs w:val="22"/>
              </w:rPr>
              <w:t>3</w:t>
            </w:r>
          </w:p>
        </w:tc>
        <w:tc>
          <w:tcPr>
            <w:tcW w:w="1701" w:type="dxa"/>
          </w:tcPr>
          <w:p w:rsidR="00671269" w:rsidRPr="00671269" w:rsidRDefault="00671269" w:rsidP="00671269">
            <w:pPr>
              <w:keepNext/>
              <w:keepLines/>
              <w:ind w:left="-108"/>
              <w:jc w:val="center"/>
              <w:rPr>
                <w:rFonts w:ascii="Arial" w:eastAsia="SimSun" w:hAnsi="Arial" w:cs="Arial"/>
                <w:sz w:val="22"/>
                <w:szCs w:val="22"/>
              </w:rPr>
            </w:pPr>
          </w:p>
        </w:tc>
        <w:tc>
          <w:tcPr>
            <w:tcW w:w="1134" w:type="dxa"/>
          </w:tcPr>
          <w:p w:rsidR="00671269" w:rsidRPr="00671269" w:rsidRDefault="00671269" w:rsidP="00671269">
            <w:pPr>
              <w:keepNext/>
              <w:keepLines/>
              <w:rPr>
                <w:rFonts w:ascii="Arial" w:eastAsia="SimSun" w:hAnsi="Arial" w:cs="Arial"/>
                <w:sz w:val="22"/>
                <w:szCs w:val="22"/>
              </w:rPr>
            </w:pPr>
            <w:proofErr w:type="spellStart"/>
            <w:r w:rsidRPr="00671269">
              <w:rPr>
                <w:rFonts w:ascii="Arial" w:eastAsia="SimSun" w:hAnsi="Arial" w:cs="Arial"/>
                <w:sz w:val="22"/>
                <w:szCs w:val="22"/>
              </w:rPr>
              <w:t>Tarceva</w:t>
            </w:r>
            <w:proofErr w:type="spellEnd"/>
          </w:p>
        </w:tc>
        <w:tc>
          <w:tcPr>
            <w:tcW w:w="992" w:type="dxa"/>
          </w:tcPr>
          <w:p w:rsidR="00671269" w:rsidRPr="00671269" w:rsidRDefault="00671269" w:rsidP="00671269">
            <w:pPr>
              <w:keepNext/>
              <w:keepLines/>
              <w:rPr>
                <w:rFonts w:ascii="Arial" w:eastAsia="SimSun" w:hAnsi="Arial" w:cs="Arial"/>
                <w:sz w:val="22"/>
                <w:szCs w:val="22"/>
              </w:rPr>
            </w:pPr>
            <w:r w:rsidRPr="00671269">
              <w:rPr>
                <w:rFonts w:ascii="Arial" w:eastAsia="SimSun" w:hAnsi="Arial" w:cs="Arial"/>
                <w:sz w:val="22"/>
                <w:szCs w:val="22"/>
              </w:rPr>
              <w:t>Roche</w:t>
            </w:r>
          </w:p>
        </w:tc>
      </w:tr>
      <w:tr w:rsidR="00671269" w:rsidRPr="00671269" w:rsidTr="00671269">
        <w:trPr>
          <w:cantSplit/>
          <w:trHeight w:val="624"/>
        </w:trPr>
        <w:tc>
          <w:tcPr>
            <w:tcW w:w="3402" w:type="dxa"/>
          </w:tcPr>
          <w:p w:rsidR="00671269" w:rsidRPr="00671269" w:rsidRDefault="00671269" w:rsidP="00671269">
            <w:pPr>
              <w:keepNext/>
              <w:keepLines/>
              <w:ind w:left="-108"/>
              <w:rPr>
                <w:rFonts w:ascii="Arial" w:eastAsia="SimSun" w:hAnsi="Arial" w:cs="Arial"/>
                <w:sz w:val="22"/>
                <w:szCs w:val="22"/>
              </w:rPr>
            </w:pPr>
            <w:proofErr w:type="spellStart"/>
            <w:r w:rsidRPr="00671269">
              <w:rPr>
                <w:rFonts w:ascii="Arial" w:eastAsia="SimSun" w:hAnsi="Arial" w:cs="Arial"/>
                <w:smallCaps/>
                <w:sz w:val="22"/>
                <w:szCs w:val="22"/>
              </w:rPr>
              <w:t>Erlotinib</w:t>
            </w:r>
            <w:proofErr w:type="spellEnd"/>
          </w:p>
          <w:p w:rsidR="00671269" w:rsidRPr="00671269" w:rsidRDefault="00671269" w:rsidP="00671269">
            <w:pPr>
              <w:keepNext/>
              <w:keepLines/>
              <w:ind w:left="-108"/>
              <w:rPr>
                <w:rFonts w:ascii="Arial" w:eastAsia="SimSun" w:hAnsi="Arial" w:cs="Arial"/>
                <w:sz w:val="22"/>
                <w:szCs w:val="22"/>
              </w:rPr>
            </w:pPr>
            <w:r w:rsidRPr="00671269">
              <w:rPr>
                <w:rFonts w:ascii="Arial" w:eastAsia="SimSun" w:hAnsi="Arial" w:cs="Arial"/>
                <w:sz w:val="22"/>
                <w:szCs w:val="22"/>
              </w:rPr>
              <w:t>Tablet 150 mg (as hydrochloride)</w:t>
            </w:r>
          </w:p>
        </w:tc>
        <w:tc>
          <w:tcPr>
            <w:tcW w:w="709" w:type="dxa"/>
          </w:tcPr>
          <w:p w:rsidR="00671269" w:rsidRPr="00671269" w:rsidRDefault="00671269" w:rsidP="00671269">
            <w:pPr>
              <w:keepNext/>
              <w:keepLines/>
              <w:ind w:left="-108"/>
              <w:jc w:val="center"/>
              <w:rPr>
                <w:rFonts w:ascii="Arial" w:eastAsia="SimSun" w:hAnsi="Arial" w:cs="Arial"/>
                <w:sz w:val="22"/>
                <w:szCs w:val="22"/>
              </w:rPr>
            </w:pPr>
          </w:p>
          <w:p w:rsidR="00671269" w:rsidRPr="00671269" w:rsidRDefault="00671269" w:rsidP="00671269">
            <w:pPr>
              <w:keepNext/>
              <w:keepLines/>
              <w:ind w:left="-108"/>
              <w:jc w:val="center"/>
              <w:rPr>
                <w:rFonts w:ascii="Arial" w:eastAsia="SimSun" w:hAnsi="Arial" w:cs="Arial"/>
                <w:sz w:val="22"/>
                <w:szCs w:val="22"/>
              </w:rPr>
            </w:pPr>
            <w:r w:rsidRPr="00671269">
              <w:rPr>
                <w:rFonts w:ascii="Arial" w:eastAsia="SimSun" w:hAnsi="Arial" w:cs="Arial"/>
                <w:sz w:val="22"/>
                <w:szCs w:val="22"/>
              </w:rPr>
              <w:t>30</w:t>
            </w:r>
          </w:p>
        </w:tc>
        <w:tc>
          <w:tcPr>
            <w:tcW w:w="709" w:type="dxa"/>
          </w:tcPr>
          <w:p w:rsidR="00671269" w:rsidRPr="00671269" w:rsidRDefault="00671269" w:rsidP="00671269">
            <w:pPr>
              <w:keepNext/>
              <w:keepLines/>
              <w:ind w:left="-108"/>
              <w:jc w:val="center"/>
              <w:rPr>
                <w:rFonts w:ascii="Arial" w:eastAsia="SimSun" w:hAnsi="Arial" w:cs="Arial"/>
                <w:sz w:val="22"/>
                <w:szCs w:val="22"/>
              </w:rPr>
            </w:pPr>
          </w:p>
          <w:p w:rsidR="00671269" w:rsidRPr="00671269" w:rsidRDefault="00671269" w:rsidP="00671269">
            <w:pPr>
              <w:keepNext/>
              <w:keepLines/>
              <w:ind w:left="-108"/>
              <w:jc w:val="center"/>
              <w:rPr>
                <w:rFonts w:ascii="Arial" w:eastAsia="SimSun" w:hAnsi="Arial" w:cs="Arial"/>
                <w:sz w:val="22"/>
                <w:szCs w:val="22"/>
              </w:rPr>
            </w:pPr>
            <w:r w:rsidRPr="00671269">
              <w:rPr>
                <w:rFonts w:ascii="Arial" w:eastAsia="SimSun" w:hAnsi="Arial" w:cs="Arial"/>
                <w:sz w:val="22"/>
                <w:szCs w:val="22"/>
              </w:rPr>
              <w:t>3</w:t>
            </w:r>
          </w:p>
        </w:tc>
        <w:tc>
          <w:tcPr>
            <w:tcW w:w="1701" w:type="dxa"/>
          </w:tcPr>
          <w:p w:rsidR="00671269" w:rsidRPr="00671269" w:rsidRDefault="00671269" w:rsidP="00671269">
            <w:pPr>
              <w:keepNext/>
              <w:keepLines/>
              <w:ind w:left="-108"/>
              <w:jc w:val="center"/>
              <w:rPr>
                <w:rFonts w:ascii="Arial" w:eastAsia="SimSun" w:hAnsi="Arial" w:cs="Arial"/>
                <w:sz w:val="22"/>
                <w:szCs w:val="22"/>
              </w:rPr>
            </w:pPr>
          </w:p>
        </w:tc>
        <w:tc>
          <w:tcPr>
            <w:tcW w:w="1134" w:type="dxa"/>
          </w:tcPr>
          <w:p w:rsidR="00671269" w:rsidRPr="00671269" w:rsidRDefault="00671269" w:rsidP="00671269">
            <w:pPr>
              <w:keepNext/>
              <w:keepLines/>
              <w:rPr>
                <w:rFonts w:ascii="Arial" w:eastAsia="SimSun" w:hAnsi="Arial" w:cs="Arial"/>
                <w:sz w:val="22"/>
                <w:szCs w:val="22"/>
              </w:rPr>
            </w:pPr>
            <w:proofErr w:type="spellStart"/>
            <w:r w:rsidRPr="00671269">
              <w:rPr>
                <w:rFonts w:ascii="Arial" w:eastAsia="SimSun" w:hAnsi="Arial" w:cs="Arial"/>
                <w:sz w:val="22"/>
                <w:szCs w:val="22"/>
              </w:rPr>
              <w:t>Tarceva</w:t>
            </w:r>
            <w:proofErr w:type="spellEnd"/>
          </w:p>
        </w:tc>
        <w:tc>
          <w:tcPr>
            <w:tcW w:w="992" w:type="dxa"/>
          </w:tcPr>
          <w:p w:rsidR="00671269" w:rsidRPr="00671269" w:rsidRDefault="00671269" w:rsidP="00671269">
            <w:pPr>
              <w:keepNext/>
              <w:keepLines/>
              <w:rPr>
                <w:rFonts w:ascii="Arial" w:eastAsia="SimSun" w:hAnsi="Arial" w:cs="Arial"/>
                <w:sz w:val="22"/>
                <w:szCs w:val="22"/>
              </w:rPr>
            </w:pPr>
            <w:r w:rsidRPr="00671269">
              <w:rPr>
                <w:rFonts w:ascii="Arial" w:eastAsia="SimSun" w:hAnsi="Arial" w:cs="Arial"/>
                <w:sz w:val="22"/>
                <w:szCs w:val="22"/>
              </w:rPr>
              <w:t>Roche</w:t>
            </w:r>
          </w:p>
        </w:tc>
      </w:tr>
    </w:tbl>
    <w:p w:rsidR="00EA66FE" w:rsidRPr="00EA66FE" w:rsidRDefault="00D90985" w:rsidP="00EA66FE">
      <w:pPr>
        <w:pStyle w:val="ListParagraph"/>
        <w:numPr>
          <w:ilvl w:val="1"/>
          <w:numId w:val="25"/>
        </w:numPr>
        <w:jc w:val="both"/>
        <w:rPr>
          <w:rFonts w:ascii="Arial" w:hAnsi="Arial" w:cs="Arial"/>
          <w:sz w:val="22"/>
          <w:szCs w:val="22"/>
        </w:rPr>
      </w:pPr>
      <w:r w:rsidRPr="00D90985">
        <w:rPr>
          <w:rFonts w:ascii="Arial" w:hAnsi="Arial" w:cs="Arial"/>
          <w:sz w:val="22"/>
          <w:szCs w:val="22"/>
        </w:rPr>
        <w:t>Initial treatment:</w:t>
      </w:r>
    </w:p>
    <w:tbl>
      <w:tblPr>
        <w:tblW w:w="4651" w:type="pct"/>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Description w:val="restriction for erlotinib"/>
      </w:tblPr>
      <w:tblGrid>
        <w:gridCol w:w="2319"/>
        <w:gridCol w:w="6181"/>
      </w:tblGrid>
      <w:tr w:rsidR="00D90985" w:rsidRPr="00D90985" w:rsidTr="00D90985">
        <w:tc>
          <w:tcPr>
            <w:tcW w:w="1360" w:type="pct"/>
            <w:tcBorders>
              <w:top w:val="single" w:sz="4" w:space="0" w:color="auto"/>
              <w:left w:val="single" w:sz="4" w:space="0" w:color="auto"/>
              <w:bottom w:val="single" w:sz="4" w:space="0" w:color="auto"/>
              <w:right w:val="single" w:sz="4" w:space="0" w:color="auto"/>
            </w:tcBorders>
            <w:vAlign w:val="center"/>
            <w:hideMark/>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Severity</w:t>
            </w:r>
          </w:p>
        </w:tc>
        <w:tc>
          <w:tcPr>
            <w:tcW w:w="3640"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Stage IIIB (locally advanced) or Stage IV (metastatic)</w:t>
            </w:r>
          </w:p>
        </w:tc>
      </w:tr>
      <w:tr w:rsidR="00D90985" w:rsidRPr="00D90985" w:rsidTr="00D90985">
        <w:tc>
          <w:tcPr>
            <w:tcW w:w="1360" w:type="pct"/>
            <w:tcBorders>
              <w:top w:val="single" w:sz="4" w:space="0" w:color="auto"/>
              <w:left w:val="single" w:sz="4" w:space="0" w:color="auto"/>
              <w:bottom w:val="single" w:sz="4" w:space="0" w:color="auto"/>
              <w:right w:val="single" w:sz="4" w:space="0" w:color="auto"/>
            </w:tcBorders>
            <w:vAlign w:val="center"/>
            <w:hideMark/>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Condition/Indication:</w:t>
            </w:r>
          </w:p>
        </w:tc>
        <w:tc>
          <w:tcPr>
            <w:tcW w:w="3640"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Non-small-cell lung cancer (NSCLC).</w:t>
            </w:r>
          </w:p>
        </w:tc>
      </w:tr>
      <w:tr w:rsidR="00D90985" w:rsidRPr="00D90985" w:rsidTr="00D90985">
        <w:tc>
          <w:tcPr>
            <w:tcW w:w="1360" w:type="pct"/>
            <w:tcBorders>
              <w:top w:val="single" w:sz="4" w:space="0" w:color="auto"/>
              <w:left w:val="single" w:sz="4" w:space="0" w:color="auto"/>
              <w:bottom w:val="single" w:sz="4" w:space="0" w:color="auto"/>
              <w:right w:val="single" w:sz="4" w:space="0" w:color="auto"/>
            </w:tcBorders>
            <w:vAlign w:val="center"/>
            <w:hideMark/>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Treatment Phase:</w:t>
            </w:r>
          </w:p>
        </w:tc>
        <w:tc>
          <w:tcPr>
            <w:tcW w:w="3640"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Initial treatment</w:t>
            </w:r>
          </w:p>
        </w:tc>
      </w:tr>
      <w:tr w:rsidR="00D90985" w:rsidRPr="00D90985" w:rsidTr="00D90985">
        <w:tc>
          <w:tcPr>
            <w:tcW w:w="1360" w:type="pct"/>
            <w:tcBorders>
              <w:top w:val="single" w:sz="4" w:space="0" w:color="auto"/>
              <w:left w:val="single" w:sz="4" w:space="0" w:color="auto"/>
              <w:bottom w:val="single" w:sz="4" w:space="0" w:color="auto"/>
              <w:right w:val="single" w:sz="4" w:space="0" w:color="auto"/>
            </w:tcBorders>
            <w:vAlign w:val="center"/>
            <w:hideMark/>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Restriction:</w:t>
            </w:r>
          </w:p>
        </w:tc>
        <w:tc>
          <w:tcPr>
            <w:tcW w:w="3640"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Section 85 - Authority Required</w:t>
            </w:r>
          </w:p>
        </w:tc>
      </w:tr>
      <w:tr w:rsidR="00D90985" w:rsidRPr="00D90985" w:rsidTr="00D90985">
        <w:tc>
          <w:tcPr>
            <w:tcW w:w="1360" w:type="pct"/>
            <w:tcBorders>
              <w:top w:val="single" w:sz="4" w:space="0" w:color="auto"/>
              <w:left w:val="single" w:sz="4" w:space="0" w:color="auto"/>
              <w:bottom w:val="single" w:sz="4" w:space="0" w:color="auto"/>
              <w:right w:val="single" w:sz="4" w:space="0" w:color="auto"/>
            </w:tcBorders>
            <w:vAlign w:val="center"/>
            <w:hideMark/>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Treatment criteria:</w:t>
            </w:r>
          </w:p>
        </w:tc>
        <w:tc>
          <w:tcPr>
            <w:tcW w:w="3640"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 xml:space="preserve">The patient must be undergoing monotherapy for the condition; </w:t>
            </w:r>
          </w:p>
          <w:p w:rsidR="00D90985" w:rsidRPr="002F5F7F" w:rsidRDefault="00D90985" w:rsidP="00D90985">
            <w:pPr>
              <w:rPr>
                <w:rFonts w:ascii="Arial" w:hAnsi="Arial" w:cs="Arial"/>
                <w:sz w:val="20"/>
                <w:szCs w:val="20"/>
              </w:rPr>
            </w:pPr>
            <w:r w:rsidRPr="002F5F7F">
              <w:rPr>
                <w:rFonts w:ascii="Arial" w:hAnsi="Arial" w:cs="Arial"/>
                <w:sz w:val="20"/>
                <w:szCs w:val="20"/>
              </w:rPr>
              <w:t>AND</w:t>
            </w:r>
          </w:p>
          <w:p w:rsidR="00D90985" w:rsidRPr="002F5F7F" w:rsidRDefault="00D90985" w:rsidP="00D90985">
            <w:pPr>
              <w:rPr>
                <w:rFonts w:ascii="Arial" w:hAnsi="Arial" w:cs="Arial"/>
                <w:sz w:val="20"/>
                <w:szCs w:val="20"/>
              </w:rPr>
            </w:pPr>
            <w:r w:rsidRPr="002F5F7F">
              <w:rPr>
                <w:rFonts w:ascii="Arial" w:hAnsi="Arial" w:cs="Arial"/>
                <w:sz w:val="20"/>
                <w:szCs w:val="20"/>
              </w:rPr>
              <w:t>The patient must have previously been treated with platinum-based chemotherapy</w:t>
            </w:r>
          </w:p>
        </w:tc>
      </w:tr>
      <w:tr w:rsidR="00D90985" w:rsidRPr="00D90985" w:rsidTr="00D90985">
        <w:tc>
          <w:tcPr>
            <w:tcW w:w="1364"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Clinical criteria:</w:t>
            </w:r>
          </w:p>
        </w:tc>
        <w:tc>
          <w:tcPr>
            <w:tcW w:w="3636"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trike/>
                <w:sz w:val="20"/>
                <w:szCs w:val="20"/>
              </w:rPr>
            </w:pPr>
            <w:r w:rsidRPr="002F5F7F">
              <w:rPr>
                <w:rFonts w:ascii="Arial" w:hAnsi="Arial" w:cs="Arial"/>
                <w:strike/>
                <w:sz w:val="20"/>
                <w:szCs w:val="20"/>
              </w:rPr>
              <w:t>The condition must be non-squamous, OR</w:t>
            </w:r>
          </w:p>
          <w:p w:rsidR="00D90985" w:rsidRPr="002F5F7F" w:rsidRDefault="00D90985" w:rsidP="00D90985">
            <w:pPr>
              <w:rPr>
                <w:rFonts w:ascii="Arial" w:hAnsi="Arial" w:cs="Arial"/>
                <w:strike/>
                <w:sz w:val="20"/>
                <w:szCs w:val="20"/>
              </w:rPr>
            </w:pPr>
            <w:r w:rsidRPr="002F5F7F">
              <w:rPr>
                <w:rFonts w:ascii="Arial" w:hAnsi="Arial" w:cs="Arial"/>
                <w:strike/>
                <w:sz w:val="20"/>
                <w:szCs w:val="20"/>
              </w:rPr>
              <w:t>The condition must be not otherwise specified (NOS);</w:t>
            </w:r>
          </w:p>
          <w:p w:rsidR="00D90985" w:rsidRPr="002F5F7F" w:rsidRDefault="00D90985" w:rsidP="00D90985">
            <w:pPr>
              <w:rPr>
                <w:rFonts w:ascii="Arial" w:hAnsi="Arial" w:cs="Arial"/>
                <w:strike/>
                <w:sz w:val="20"/>
                <w:szCs w:val="20"/>
              </w:rPr>
            </w:pPr>
            <w:r w:rsidRPr="002F5F7F">
              <w:rPr>
                <w:rFonts w:ascii="Arial" w:hAnsi="Arial" w:cs="Arial"/>
                <w:strike/>
                <w:sz w:val="20"/>
                <w:szCs w:val="20"/>
              </w:rPr>
              <w:t>AND</w:t>
            </w:r>
          </w:p>
          <w:p w:rsidR="00D90985" w:rsidRPr="002F5F7F" w:rsidRDefault="00D90985" w:rsidP="00D90985">
            <w:pPr>
              <w:rPr>
                <w:rFonts w:ascii="Arial" w:hAnsi="Arial" w:cs="Arial"/>
                <w:sz w:val="20"/>
                <w:szCs w:val="20"/>
              </w:rPr>
            </w:pPr>
            <w:r w:rsidRPr="002F5F7F">
              <w:rPr>
                <w:rFonts w:ascii="Arial" w:hAnsi="Arial" w:cs="Arial"/>
                <w:sz w:val="20"/>
                <w:szCs w:val="20"/>
              </w:rPr>
              <w:t>The patient must have a WHO performance status of 3 or less</w:t>
            </w:r>
          </w:p>
          <w:p w:rsidR="00D90985" w:rsidRPr="002F5F7F" w:rsidRDefault="00D90985" w:rsidP="00D90985">
            <w:pPr>
              <w:rPr>
                <w:rFonts w:ascii="Arial" w:hAnsi="Arial" w:cs="Arial"/>
                <w:sz w:val="20"/>
                <w:szCs w:val="20"/>
              </w:rPr>
            </w:pPr>
            <w:r w:rsidRPr="002F5F7F">
              <w:rPr>
                <w:rFonts w:ascii="Arial" w:hAnsi="Arial" w:cs="Arial"/>
                <w:sz w:val="20"/>
                <w:szCs w:val="20"/>
              </w:rPr>
              <w:t>AND</w:t>
            </w:r>
          </w:p>
          <w:p w:rsidR="00D90985" w:rsidRPr="002F5F7F" w:rsidRDefault="00D90985" w:rsidP="00D90985">
            <w:pPr>
              <w:rPr>
                <w:rFonts w:ascii="Arial" w:hAnsi="Arial" w:cs="Arial"/>
                <w:sz w:val="20"/>
                <w:szCs w:val="20"/>
              </w:rPr>
            </w:pPr>
            <w:r w:rsidRPr="002F5F7F">
              <w:rPr>
                <w:rFonts w:ascii="Arial" w:hAnsi="Arial" w:cs="Arial"/>
                <w:sz w:val="20"/>
                <w:szCs w:val="20"/>
              </w:rPr>
              <w:t xml:space="preserve">The condition must have progressed following treatment with </w:t>
            </w:r>
            <w:proofErr w:type="spellStart"/>
            <w:r w:rsidRPr="002F5F7F">
              <w:rPr>
                <w:rFonts w:ascii="Arial" w:hAnsi="Arial" w:cs="Arial"/>
                <w:sz w:val="20"/>
                <w:szCs w:val="20"/>
              </w:rPr>
              <w:t>docetaxel</w:t>
            </w:r>
            <w:proofErr w:type="spellEnd"/>
            <w:r w:rsidRPr="002F5F7F">
              <w:rPr>
                <w:rFonts w:ascii="Arial" w:hAnsi="Arial" w:cs="Arial"/>
                <w:sz w:val="20"/>
                <w:szCs w:val="20"/>
              </w:rPr>
              <w:t xml:space="preserve"> or </w:t>
            </w:r>
            <w:proofErr w:type="spellStart"/>
            <w:r w:rsidRPr="002F5F7F">
              <w:rPr>
                <w:rFonts w:ascii="Arial" w:hAnsi="Arial" w:cs="Arial"/>
                <w:sz w:val="20"/>
                <w:szCs w:val="20"/>
              </w:rPr>
              <w:t>pemetrexed</w:t>
            </w:r>
            <w:proofErr w:type="spellEnd"/>
            <w:r w:rsidRPr="002F5F7F">
              <w:rPr>
                <w:rFonts w:ascii="Arial" w:hAnsi="Arial" w:cs="Arial"/>
                <w:sz w:val="20"/>
                <w:szCs w:val="20"/>
              </w:rPr>
              <w:t>, OR</w:t>
            </w:r>
          </w:p>
          <w:p w:rsidR="00D90985" w:rsidRPr="002F5F7F" w:rsidRDefault="00D90985" w:rsidP="00D90985">
            <w:pPr>
              <w:rPr>
                <w:rFonts w:ascii="Arial" w:hAnsi="Arial" w:cs="Arial"/>
                <w:sz w:val="20"/>
                <w:szCs w:val="20"/>
              </w:rPr>
            </w:pPr>
            <w:r w:rsidRPr="002F5F7F">
              <w:rPr>
                <w:rFonts w:ascii="Arial" w:hAnsi="Arial" w:cs="Arial"/>
                <w:sz w:val="20"/>
                <w:szCs w:val="20"/>
              </w:rPr>
              <w:t xml:space="preserve">The patient must have a contraindication or intolerance to treatment with treatment with </w:t>
            </w:r>
            <w:proofErr w:type="spellStart"/>
            <w:r w:rsidRPr="002F5F7F">
              <w:rPr>
                <w:rFonts w:ascii="Arial" w:hAnsi="Arial" w:cs="Arial"/>
                <w:sz w:val="20"/>
                <w:szCs w:val="20"/>
              </w:rPr>
              <w:t>docetaxel</w:t>
            </w:r>
            <w:proofErr w:type="spellEnd"/>
            <w:r w:rsidRPr="002F5F7F">
              <w:rPr>
                <w:rFonts w:ascii="Arial" w:hAnsi="Arial" w:cs="Arial"/>
                <w:sz w:val="20"/>
                <w:szCs w:val="20"/>
              </w:rPr>
              <w:t xml:space="preserve"> and </w:t>
            </w:r>
            <w:proofErr w:type="spellStart"/>
            <w:r w:rsidRPr="002F5F7F">
              <w:rPr>
                <w:rFonts w:ascii="Arial" w:hAnsi="Arial" w:cs="Arial"/>
                <w:sz w:val="20"/>
                <w:szCs w:val="20"/>
              </w:rPr>
              <w:t>pemetrexed</w:t>
            </w:r>
            <w:proofErr w:type="spellEnd"/>
          </w:p>
          <w:p w:rsidR="00D90985" w:rsidRPr="002F5F7F" w:rsidRDefault="00D90985" w:rsidP="00D90985">
            <w:pPr>
              <w:rPr>
                <w:rFonts w:ascii="Arial" w:hAnsi="Arial" w:cs="Arial"/>
                <w:sz w:val="20"/>
                <w:szCs w:val="20"/>
              </w:rPr>
            </w:pPr>
            <w:r w:rsidRPr="002F5F7F">
              <w:rPr>
                <w:rFonts w:ascii="Arial" w:hAnsi="Arial" w:cs="Arial"/>
                <w:sz w:val="20"/>
                <w:szCs w:val="20"/>
              </w:rPr>
              <w:t>AND</w:t>
            </w:r>
          </w:p>
          <w:p w:rsidR="00D90985" w:rsidRPr="002F5F7F" w:rsidRDefault="00D90985" w:rsidP="00D90985">
            <w:pPr>
              <w:rPr>
                <w:rFonts w:ascii="Arial" w:hAnsi="Arial" w:cs="Arial"/>
                <w:sz w:val="20"/>
                <w:szCs w:val="20"/>
              </w:rPr>
            </w:pPr>
            <w:r w:rsidRPr="002F5F7F">
              <w:rPr>
                <w:rFonts w:ascii="Arial" w:hAnsi="Arial" w:cs="Arial"/>
                <w:sz w:val="20"/>
                <w:szCs w:val="20"/>
              </w:rPr>
              <w:t xml:space="preserve">The patient must not be able to receive further chemotherapy subsidised by the PBS or from other sources following treatment with </w:t>
            </w:r>
            <w:proofErr w:type="spellStart"/>
            <w:r w:rsidRPr="002F5F7F">
              <w:rPr>
                <w:rFonts w:ascii="Arial" w:hAnsi="Arial" w:cs="Arial"/>
                <w:sz w:val="20"/>
                <w:szCs w:val="20"/>
              </w:rPr>
              <w:t>erlotinib</w:t>
            </w:r>
            <w:proofErr w:type="spellEnd"/>
          </w:p>
        </w:tc>
      </w:tr>
      <w:tr w:rsidR="00D90985" w:rsidRPr="00D90985" w:rsidTr="00D90985">
        <w:tc>
          <w:tcPr>
            <w:tcW w:w="1364"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Population criteria:</w:t>
            </w:r>
          </w:p>
        </w:tc>
        <w:tc>
          <w:tcPr>
            <w:tcW w:w="3636"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The patient must have a wild type epidermal growth factor receptor (EGFR) gene; OR</w:t>
            </w:r>
          </w:p>
          <w:p w:rsidR="00D90985" w:rsidRPr="002F5F7F" w:rsidRDefault="00D90985" w:rsidP="0023522D">
            <w:pPr>
              <w:rPr>
                <w:rFonts w:ascii="Arial" w:hAnsi="Arial" w:cs="Arial"/>
                <w:sz w:val="20"/>
                <w:szCs w:val="20"/>
              </w:rPr>
            </w:pPr>
            <w:r w:rsidRPr="002F5F7F">
              <w:rPr>
                <w:rFonts w:ascii="Arial" w:hAnsi="Arial" w:cs="Arial"/>
                <w:sz w:val="20"/>
                <w:szCs w:val="20"/>
              </w:rPr>
              <w:t xml:space="preserve">The patient must have </w:t>
            </w:r>
            <w:r w:rsidR="0023522D" w:rsidRPr="002F5F7F">
              <w:rPr>
                <w:rFonts w:ascii="Arial" w:hAnsi="Arial" w:cs="Arial"/>
                <w:sz w:val="20"/>
                <w:szCs w:val="20"/>
              </w:rPr>
              <w:t>an</w:t>
            </w:r>
            <w:r w:rsidRPr="002F5F7F">
              <w:rPr>
                <w:rFonts w:ascii="Arial" w:hAnsi="Arial" w:cs="Arial"/>
                <w:sz w:val="20"/>
                <w:szCs w:val="20"/>
              </w:rPr>
              <w:t xml:space="preserve"> epidermal growth factor receptor (EGFR)</w:t>
            </w:r>
            <w:r w:rsidR="0023522D" w:rsidRPr="002F5F7F">
              <w:rPr>
                <w:rFonts w:ascii="Arial" w:hAnsi="Arial" w:cs="Arial"/>
                <w:sz w:val="20"/>
                <w:szCs w:val="20"/>
              </w:rPr>
              <w:t xml:space="preserve"> </w:t>
            </w:r>
            <w:r w:rsidRPr="002F5F7F">
              <w:rPr>
                <w:rFonts w:ascii="Arial" w:hAnsi="Arial" w:cs="Arial"/>
                <w:sz w:val="20"/>
                <w:szCs w:val="20"/>
              </w:rPr>
              <w:t>gene of unknown type.</w:t>
            </w:r>
          </w:p>
        </w:tc>
      </w:tr>
      <w:tr w:rsidR="00D90985" w:rsidRPr="00D90985" w:rsidTr="00D90985">
        <w:tc>
          <w:tcPr>
            <w:tcW w:w="1364"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Prescriber Instructions:</w:t>
            </w:r>
          </w:p>
        </w:tc>
        <w:tc>
          <w:tcPr>
            <w:tcW w:w="3636"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The authority application must be made in writing and must include:</w:t>
            </w:r>
          </w:p>
          <w:p w:rsidR="00D90985" w:rsidRPr="002F5F7F" w:rsidRDefault="00D90985" w:rsidP="00D90985">
            <w:pPr>
              <w:rPr>
                <w:rFonts w:ascii="Arial" w:hAnsi="Arial" w:cs="Arial"/>
                <w:sz w:val="20"/>
                <w:szCs w:val="20"/>
              </w:rPr>
            </w:pPr>
            <w:r w:rsidRPr="002F5F7F">
              <w:rPr>
                <w:rFonts w:ascii="Arial" w:hAnsi="Arial" w:cs="Arial"/>
                <w:sz w:val="20"/>
                <w:szCs w:val="20"/>
              </w:rPr>
              <w:t>(1) a completed authority prescription form; and</w:t>
            </w:r>
          </w:p>
          <w:p w:rsidR="00D90985" w:rsidRPr="002F5F7F" w:rsidRDefault="00D90985" w:rsidP="00D90985">
            <w:pPr>
              <w:rPr>
                <w:rFonts w:ascii="Arial" w:hAnsi="Arial" w:cs="Arial"/>
                <w:sz w:val="20"/>
                <w:szCs w:val="20"/>
              </w:rPr>
            </w:pPr>
            <w:r w:rsidRPr="002F5F7F">
              <w:rPr>
                <w:rFonts w:ascii="Arial" w:hAnsi="Arial" w:cs="Arial"/>
                <w:sz w:val="20"/>
                <w:szCs w:val="20"/>
              </w:rPr>
              <w:t xml:space="preserve">(2) a completed Non-Small Cell Lung Cancer </w:t>
            </w:r>
            <w:proofErr w:type="spellStart"/>
            <w:r w:rsidRPr="002F5F7F">
              <w:rPr>
                <w:rFonts w:ascii="Arial" w:hAnsi="Arial" w:cs="Arial"/>
                <w:sz w:val="20"/>
                <w:szCs w:val="20"/>
              </w:rPr>
              <w:t>erlotinib</w:t>
            </w:r>
            <w:proofErr w:type="spellEnd"/>
            <w:r w:rsidRPr="002F5F7F">
              <w:rPr>
                <w:rFonts w:ascii="Arial" w:hAnsi="Arial" w:cs="Arial"/>
                <w:sz w:val="20"/>
                <w:szCs w:val="20"/>
              </w:rPr>
              <w:t xml:space="preserve"> Authority Application Supporting Information Form, which includes:</w:t>
            </w:r>
          </w:p>
          <w:p w:rsidR="00D90985" w:rsidRPr="002F5F7F" w:rsidRDefault="00D90985" w:rsidP="00D90985">
            <w:pPr>
              <w:ind w:left="317"/>
              <w:rPr>
                <w:rFonts w:ascii="Arial" w:hAnsi="Arial" w:cs="Arial"/>
                <w:sz w:val="20"/>
                <w:szCs w:val="20"/>
              </w:rPr>
            </w:pPr>
            <w:proofErr w:type="spellStart"/>
            <w:r w:rsidRPr="002F5F7F">
              <w:rPr>
                <w:rFonts w:ascii="Arial" w:hAnsi="Arial" w:cs="Arial"/>
                <w:sz w:val="20"/>
                <w:szCs w:val="20"/>
              </w:rPr>
              <w:t>i</w:t>
            </w:r>
            <w:proofErr w:type="spellEnd"/>
            <w:r w:rsidRPr="002F5F7F">
              <w:rPr>
                <w:rFonts w:ascii="Arial" w:hAnsi="Arial" w:cs="Arial"/>
                <w:sz w:val="20"/>
                <w:szCs w:val="20"/>
              </w:rPr>
              <w:t>. Evidence that the patient has been treated with platinum-based chemotherapy AND</w:t>
            </w:r>
          </w:p>
          <w:p w:rsidR="00D90985" w:rsidRPr="002F5F7F" w:rsidRDefault="00D90985" w:rsidP="00D90985">
            <w:pPr>
              <w:ind w:left="317"/>
              <w:rPr>
                <w:rFonts w:ascii="Arial" w:hAnsi="Arial" w:cs="Arial"/>
                <w:sz w:val="20"/>
                <w:szCs w:val="20"/>
              </w:rPr>
            </w:pPr>
            <w:r w:rsidRPr="002F5F7F">
              <w:rPr>
                <w:rFonts w:ascii="Arial" w:hAnsi="Arial" w:cs="Arial"/>
                <w:sz w:val="20"/>
                <w:szCs w:val="20"/>
              </w:rPr>
              <w:t xml:space="preserve">ii. Evidence that disease progression has occurred following </w:t>
            </w:r>
            <w:r w:rsidRPr="002F5F7F">
              <w:rPr>
                <w:rFonts w:ascii="Arial" w:hAnsi="Arial" w:cs="Arial"/>
                <w:sz w:val="20"/>
                <w:szCs w:val="20"/>
              </w:rPr>
              <w:lastRenderedPageBreak/>
              <w:t>treatment</w:t>
            </w:r>
            <w:r w:rsidR="0023522D" w:rsidRPr="002F5F7F">
              <w:rPr>
                <w:rFonts w:ascii="Arial" w:hAnsi="Arial" w:cs="Arial"/>
                <w:sz w:val="20"/>
                <w:szCs w:val="20"/>
              </w:rPr>
              <w:t xml:space="preserve"> with </w:t>
            </w:r>
            <w:proofErr w:type="spellStart"/>
            <w:r w:rsidR="0023522D" w:rsidRPr="002F5F7F">
              <w:rPr>
                <w:rFonts w:ascii="Arial" w:hAnsi="Arial" w:cs="Arial"/>
                <w:sz w:val="20"/>
                <w:szCs w:val="20"/>
              </w:rPr>
              <w:t>docetaxel</w:t>
            </w:r>
            <w:proofErr w:type="spellEnd"/>
            <w:r w:rsidR="0023522D" w:rsidRPr="002F5F7F">
              <w:rPr>
                <w:rFonts w:ascii="Arial" w:hAnsi="Arial" w:cs="Arial"/>
                <w:sz w:val="20"/>
                <w:szCs w:val="20"/>
              </w:rPr>
              <w:t xml:space="preserve"> or </w:t>
            </w:r>
            <w:proofErr w:type="spellStart"/>
            <w:r w:rsidR="0023522D" w:rsidRPr="002F5F7F">
              <w:rPr>
                <w:rFonts w:ascii="Arial" w:hAnsi="Arial" w:cs="Arial"/>
                <w:sz w:val="20"/>
                <w:szCs w:val="20"/>
              </w:rPr>
              <w:t>pemetrexed</w:t>
            </w:r>
            <w:proofErr w:type="spellEnd"/>
            <w:r w:rsidR="0023522D" w:rsidRPr="002F5F7F">
              <w:rPr>
                <w:rFonts w:ascii="Arial" w:hAnsi="Arial" w:cs="Arial"/>
                <w:sz w:val="20"/>
                <w:szCs w:val="20"/>
              </w:rPr>
              <w:t xml:space="preserve">. In patients in whom </w:t>
            </w:r>
            <w:proofErr w:type="spellStart"/>
            <w:r w:rsidRPr="002F5F7F">
              <w:rPr>
                <w:rFonts w:ascii="Arial" w:hAnsi="Arial" w:cs="Arial"/>
                <w:sz w:val="20"/>
                <w:szCs w:val="20"/>
              </w:rPr>
              <w:t>docetaxel</w:t>
            </w:r>
            <w:proofErr w:type="spellEnd"/>
            <w:r w:rsidRPr="002F5F7F">
              <w:rPr>
                <w:rFonts w:ascii="Arial" w:hAnsi="Arial" w:cs="Arial"/>
                <w:sz w:val="20"/>
                <w:szCs w:val="20"/>
              </w:rPr>
              <w:t xml:space="preserve"> or </w:t>
            </w:r>
            <w:proofErr w:type="spellStart"/>
            <w:r w:rsidRPr="002F5F7F">
              <w:rPr>
                <w:rFonts w:ascii="Arial" w:hAnsi="Arial" w:cs="Arial"/>
                <w:sz w:val="20"/>
                <w:szCs w:val="20"/>
              </w:rPr>
              <w:t>pemetrexed</w:t>
            </w:r>
            <w:proofErr w:type="spellEnd"/>
            <w:r w:rsidRPr="002F5F7F">
              <w:rPr>
                <w:rFonts w:ascii="Arial" w:hAnsi="Arial" w:cs="Arial"/>
                <w:sz w:val="20"/>
                <w:szCs w:val="20"/>
              </w:rPr>
              <w:t xml:space="preserve"> is contraindicated or cannot be tolerated the prescriber must state the reasons for intolerance or the contraindication;</w:t>
            </w:r>
          </w:p>
          <w:p w:rsidR="00D90985" w:rsidRPr="002F5F7F" w:rsidRDefault="00D90985" w:rsidP="00D90985">
            <w:pPr>
              <w:ind w:left="317"/>
              <w:rPr>
                <w:rFonts w:ascii="Arial" w:hAnsi="Arial" w:cs="Arial"/>
                <w:sz w:val="20"/>
                <w:szCs w:val="20"/>
              </w:rPr>
            </w:pPr>
            <w:r w:rsidRPr="002F5F7F">
              <w:rPr>
                <w:rFonts w:ascii="Arial" w:hAnsi="Arial" w:cs="Arial"/>
                <w:sz w:val="20"/>
                <w:szCs w:val="20"/>
              </w:rPr>
              <w:t>iii. A declaration from the prescriber that the patient has exhausted all opportunities for treatment with chemotherapy either on the PBS, through special access schemes or in a clinical trial.</w:t>
            </w:r>
          </w:p>
          <w:p w:rsidR="00D90985" w:rsidRPr="002F5F7F" w:rsidRDefault="00D90985" w:rsidP="00D90985">
            <w:pPr>
              <w:rPr>
                <w:rFonts w:ascii="Arial" w:hAnsi="Arial" w:cs="Arial"/>
                <w:sz w:val="20"/>
                <w:szCs w:val="20"/>
              </w:rPr>
            </w:pPr>
            <w:r w:rsidRPr="002F5F7F">
              <w:rPr>
                <w:rFonts w:ascii="Arial" w:hAnsi="Arial" w:cs="Arial"/>
                <w:sz w:val="20"/>
                <w:szCs w:val="20"/>
              </w:rPr>
              <w:t xml:space="preserve">(3) </w:t>
            </w:r>
            <w:proofErr w:type="gramStart"/>
            <w:r w:rsidRPr="002F5F7F">
              <w:rPr>
                <w:rFonts w:ascii="Arial" w:hAnsi="Arial" w:cs="Arial"/>
                <w:sz w:val="20"/>
                <w:szCs w:val="20"/>
              </w:rPr>
              <w:t>a</w:t>
            </w:r>
            <w:proofErr w:type="gramEnd"/>
            <w:r w:rsidRPr="002F5F7F">
              <w:rPr>
                <w:rFonts w:ascii="Arial" w:hAnsi="Arial" w:cs="Arial"/>
                <w:sz w:val="20"/>
                <w:szCs w:val="20"/>
              </w:rPr>
              <w:t xml:space="preserve"> signed patient acknowledgement.</w:t>
            </w:r>
          </w:p>
        </w:tc>
      </w:tr>
    </w:tbl>
    <w:p w:rsidR="00D90985" w:rsidRPr="006D1FD1" w:rsidRDefault="00D90985" w:rsidP="006D1FD1">
      <w:pPr>
        <w:tabs>
          <w:tab w:val="left" w:pos="1134"/>
        </w:tabs>
        <w:ind w:left="709"/>
        <w:rPr>
          <w:rFonts w:ascii="Arial" w:hAnsi="Arial" w:cs="Arial"/>
          <w:sz w:val="22"/>
          <w:szCs w:val="22"/>
        </w:rPr>
      </w:pPr>
      <w:bookmarkStart w:id="0" w:name="_Ref371512493"/>
      <w:bookmarkStart w:id="1" w:name="_Toc371603484"/>
    </w:p>
    <w:bookmarkEnd w:id="0"/>
    <w:p w:rsidR="00D90985" w:rsidRPr="00D90985" w:rsidRDefault="00D90985" w:rsidP="00D90985">
      <w:pPr>
        <w:pStyle w:val="ListParagraph"/>
        <w:numPr>
          <w:ilvl w:val="1"/>
          <w:numId w:val="25"/>
        </w:numPr>
        <w:jc w:val="both"/>
        <w:rPr>
          <w:rFonts w:ascii="Arial" w:hAnsi="Arial" w:cs="Arial"/>
          <w:sz w:val="22"/>
          <w:szCs w:val="22"/>
        </w:rPr>
      </w:pPr>
      <w:r w:rsidRPr="00D90985">
        <w:rPr>
          <w:rFonts w:ascii="Arial" w:hAnsi="Arial" w:cs="Arial"/>
          <w:sz w:val="22"/>
          <w:szCs w:val="22"/>
        </w:rPr>
        <w:t>Continuing treatment</w:t>
      </w:r>
      <w:bookmarkEnd w:id="1"/>
      <w:r>
        <w:rPr>
          <w:rFonts w:ascii="Arial" w:hAnsi="Arial" w:cs="Arial"/>
          <w:sz w:val="22"/>
          <w:szCs w:val="22"/>
        </w:rPr>
        <w:t>:</w:t>
      </w:r>
    </w:p>
    <w:tbl>
      <w:tblPr>
        <w:tblW w:w="4662" w:type="pct"/>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Description w:val="restriction for erlotinib"/>
      </w:tblPr>
      <w:tblGrid>
        <w:gridCol w:w="2312"/>
        <w:gridCol w:w="6208"/>
      </w:tblGrid>
      <w:tr w:rsidR="00D90985" w:rsidRPr="00D90985" w:rsidTr="00D90985">
        <w:tc>
          <w:tcPr>
            <w:tcW w:w="1357" w:type="pct"/>
            <w:tcBorders>
              <w:top w:val="single" w:sz="4" w:space="0" w:color="auto"/>
              <w:left w:val="single" w:sz="4" w:space="0" w:color="auto"/>
              <w:bottom w:val="single" w:sz="4" w:space="0" w:color="auto"/>
              <w:right w:val="single" w:sz="4" w:space="0" w:color="auto"/>
            </w:tcBorders>
            <w:vAlign w:val="center"/>
            <w:hideMark/>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Severity</w:t>
            </w:r>
          </w:p>
        </w:tc>
        <w:tc>
          <w:tcPr>
            <w:tcW w:w="3643"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Stage IIIB (locally advanced) or Stage IV (metastatic)</w:t>
            </w:r>
          </w:p>
        </w:tc>
      </w:tr>
      <w:tr w:rsidR="00D90985" w:rsidRPr="00D90985" w:rsidTr="00D90985">
        <w:tc>
          <w:tcPr>
            <w:tcW w:w="1357" w:type="pct"/>
            <w:tcBorders>
              <w:top w:val="single" w:sz="4" w:space="0" w:color="auto"/>
              <w:left w:val="single" w:sz="4" w:space="0" w:color="auto"/>
              <w:bottom w:val="single" w:sz="4" w:space="0" w:color="auto"/>
              <w:right w:val="single" w:sz="4" w:space="0" w:color="auto"/>
            </w:tcBorders>
            <w:vAlign w:val="center"/>
            <w:hideMark/>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Condition/Indication:</w:t>
            </w:r>
          </w:p>
        </w:tc>
        <w:tc>
          <w:tcPr>
            <w:tcW w:w="3643"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Non-small-cell lung cancer (NSCLC).</w:t>
            </w:r>
          </w:p>
        </w:tc>
      </w:tr>
      <w:tr w:rsidR="00D90985" w:rsidRPr="00D90985" w:rsidTr="00D90985">
        <w:tc>
          <w:tcPr>
            <w:tcW w:w="1357" w:type="pct"/>
            <w:tcBorders>
              <w:top w:val="single" w:sz="4" w:space="0" w:color="auto"/>
              <w:left w:val="single" w:sz="4" w:space="0" w:color="auto"/>
              <w:bottom w:val="single" w:sz="4" w:space="0" w:color="auto"/>
              <w:right w:val="single" w:sz="4" w:space="0" w:color="auto"/>
            </w:tcBorders>
            <w:vAlign w:val="center"/>
            <w:hideMark/>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Treatment Phase:</w:t>
            </w:r>
          </w:p>
        </w:tc>
        <w:tc>
          <w:tcPr>
            <w:tcW w:w="3643"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Continuing treatment</w:t>
            </w:r>
          </w:p>
        </w:tc>
      </w:tr>
      <w:tr w:rsidR="00D90985" w:rsidRPr="00D90985" w:rsidTr="00D90985">
        <w:tc>
          <w:tcPr>
            <w:tcW w:w="1357" w:type="pct"/>
            <w:tcBorders>
              <w:top w:val="single" w:sz="4" w:space="0" w:color="auto"/>
              <w:left w:val="single" w:sz="4" w:space="0" w:color="auto"/>
              <w:bottom w:val="single" w:sz="4" w:space="0" w:color="auto"/>
              <w:right w:val="single" w:sz="4" w:space="0" w:color="auto"/>
            </w:tcBorders>
            <w:vAlign w:val="center"/>
            <w:hideMark/>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Restriction:</w:t>
            </w:r>
          </w:p>
        </w:tc>
        <w:tc>
          <w:tcPr>
            <w:tcW w:w="3643"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Section 85 - Authority Required</w:t>
            </w:r>
          </w:p>
        </w:tc>
      </w:tr>
      <w:tr w:rsidR="00D90985" w:rsidRPr="00D90985" w:rsidTr="00D90985">
        <w:tc>
          <w:tcPr>
            <w:tcW w:w="1357" w:type="pct"/>
            <w:tcBorders>
              <w:top w:val="single" w:sz="4" w:space="0" w:color="auto"/>
              <w:left w:val="single" w:sz="4" w:space="0" w:color="auto"/>
              <w:bottom w:val="single" w:sz="4" w:space="0" w:color="auto"/>
              <w:right w:val="single" w:sz="4" w:space="0" w:color="auto"/>
            </w:tcBorders>
            <w:vAlign w:val="center"/>
            <w:hideMark/>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Treatment criteria:</w:t>
            </w:r>
          </w:p>
        </w:tc>
        <w:tc>
          <w:tcPr>
            <w:tcW w:w="3643"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 xml:space="preserve">The patient must be undergoing monotherapy for the condition; </w:t>
            </w:r>
          </w:p>
          <w:p w:rsidR="00D90985" w:rsidRPr="002F5F7F" w:rsidRDefault="00D90985" w:rsidP="00D90985">
            <w:pPr>
              <w:rPr>
                <w:rFonts w:ascii="Arial" w:hAnsi="Arial" w:cs="Arial"/>
                <w:sz w:val="20"/>
                <w:szCs w:val="20"/>
              </w:rPr>
            </w:pPr>
            <w:r w:rsidRPr="002F5F7F">
              <w:rPr>
                <w:rFonts w:ascii="Arial" w:hAnsi="Arial" w:cs="Arial"/>
                <w:sz w:val="20"/>
                <w:szCs w:val="20"/>
              </w:rPr>
              <w:t>AND</w:t>
            </w:r>
          </w:p>
          <w:p w:rsidR="00D90985" w:rsidRPr="002F5F7F" w:rsidRDefault="00D90985" w:rsidP="00D90985">
            <w:pPr>
              <w:rPr>
                <w:rFonts w:ascii="Arial" w:hAnsi="Arial" w:cs="Arial"/>
                <w:sz w:val="20"/>
                <w:szCs w:val="20"/>
              </w:rPr>
            </w:pPr>
            <w:r w:rsidRPr="002F5F7F">
              <w:rPr>
                <w:rFonts w:ascii="Arial" w:hAnsi="Arial" w:cs="Arial"/>
                <w:sz w:val="20"/>
                <w:szCs w:val="20"/>
              </w:rPr>
              <w:t xml:space="preserve">The patient must have previously been issued with an authority prescription for </w:t>
            </w:r>
            <w:proofErr w:type="spellStart"/>
            <w:r w:rsidRPr="002F5F7F">
              <w:rPr>
                <w:rFonts w:ascii="Arial" w:hAnsi="Arial" w:cs="Arial"/>
                <w:sz w:val="20"/>
                <w:szCs w:val="20"/>
              </w:rPr>
              <w:t>erlotinib</w:t>
            </w:r>
            <w:proofErr w:type="spellEnd"/>
            <w:r w:rsidRPr="002F5F7F">
              <w:rPr>
                <w:rFonts w:ascii="Arial" w:hAnsi="Arial" w:cs="Arial"/>
                <w:sz w:val="20"/>
                <w:szCs w:val="20"/>
              </w:rPr>
              <w:t xml:space="preserve">. </w:t>
            </w:r>
          </w:p>
        </w:tc>
      </w:tr>
      <w:tr w:rsidR="00D90985" w:rsidRPr="00D90985" w:rsidTr="00D90985">
        <w:tc>
          <w:tcPr>
            <w:tcW w:w="1357"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Clinical criteria:</w:t>
            </w:r>
          </w:p>
        </w:tc>
        <w:tc>
          <w:tcPr>
            <w:tcW w:w="3643"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The patient must not have progressive disease.</w:t>
            </w:r>
          </w:p>
        </w:tc>
      </w:tr>
      <w:tr w:rsidR="00D90985" w:rsidRPr="00D90985" w:rsidTr="00D90985">
        <w:tc>
          <w:tcPr>
            <w:tcW w:w="1357"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Population criteria:</w:t>
            </w:r>
          </w:p>
        </w:tc>
        <w:tc>
          <w:tcPr>
            <w:tcW w:w="3643"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The patient must have a wild type epidermal growth factor receptor (EGFR) gene; OR</w:t>
            </w:r>
          </w:p>
          <w:p w:rsidR="00D90985" w:rsidRPr="002F5F7F" w:rsidRDefault="00D90985" w:rsidP="0023522D">
            <w:pPr>
              <w:rPr>
                <w:rFonts w:ascii="Arial" w:hAnsi="Arial" w:cs="Arial"/>
                <w:sz w:val="20"/>
                <w:szCs w:val="20"/>
              </w:rPr>
            </w:pPr>
            <w:r w:rsidRPr="002F5F7F">
              <w:rPr>
                <w:rFonts w:ascii="Arial" w:hAnsi="Arial" w:cs="Arial"/>
                <w:sz w:val="20"/>
                <w:szCs w:val="20"/>
              </w:rPr>
              <w:t>The patient must have a</w:t>
            </w:r>
            <w:r w:rsidR="0023522D" w:rsidRPr="002F5F7F">
              <w:rPr>
                <w:rFonts w:ascii="Arial" w:hAnsi="Arial" w:cs="Arial"/>
                <w:sz w:val="20"/>
                <w:szCs w:val="20"/>
              </w:rPr>
              <w:t>n</w:t>
            </w:r>
            <w:r w:rsidRPr="002F5F7F">
              <w:rPr>
                <w:rFonts w:ascii="Arial" w:hAnsi="Arial" w:cs="Arial"/>
                <w:sz w:val="20"/>
                <w:szCs w:val="20"/>
              </w:rPr>
              <w:t xml:space="preserve"> epidermal growth factor receptor (EGFR)</w:t>
            </w:r>
            <w:r w:rsidR="0023522D" w:rsidRPr="002F5F7F">
              <w:rPr>
                <w:rFonts w:ascii="Arial" w:hAnsi="Arial" w:cs="Arial"/>
                <w:sz w:val="20"/>
                <w:szCs w:val="20"/>
              </w:rPr>
              <w:t xml:space="preserve"> </w:t>
            </w:r>
            <w:r w:rsidRPr="002F5F7F">
              <w:rPr>
                <w:rFonts w:ascii="Arial" w:hAnsi="Arial" w:cs="Arial"/>
                <w:sz w:val="20"/>
                <w:szCs w:val="20"/>
              </w:rPr>
              <w:t>gene of unknown type.</w:t>
            </w:r>
          </w:p>
        </w:tc>
      </w:tr>
      <w:tr w:rsidR="00D90985" w:rsidRPr="00D90985" w:rsidTr="00D90985">
        <w:tc>
          <w:tcPr>
            <w:tcW w:w="1357"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tabs>
                <w:tab w:val="left" w:pos="2835"/>
              </w:tabs>
              <w:rPr>
                <w:rFonts w:ascii="Arial" w:hAnsi="Arial" w:cs="Arial"/>
                <w:b/>
                <w:sz w:val="20"/>
                <w:szCs w:val="20"/>
              </w:rPr>
            </w:pPr>
            <w:r w:rsidRPr="002F5F7F">
              <w:rPr>
                <w:rFonts w:ascii="Arial" w:hAnsi="Arial" w:cs="Arial"/>
                <w:b/>
                <w:sz w:val="20"/>
                <w:szCs w:val="20"/>
              </w:rPr>
              <w:t>Prescriber Instructions:</w:t>
            </w:r>
          </w:p>
        </w:tc>
        <w:tc>
          <w:tcPr>
            <w:tcW w:w="3643" w:type="pct"/>
            <w:tcBorders>
              <w:top w:val="single" w:sz="4" w:space="0" w:color="auto"/>
              <w:left w:val="single" w:sz="4" w:space="0" w:color="auto"/>
              <w:bottom w:val="single" w:sz="4" w:space="0" w:color="auto"/>
              <w:right w:val="single" w:sz="4" w:space="0" w:color="auto"/>
            </w:tcBorders>
            <w:vAlign w:val="center"/>
          </w:tcPr>
          <w:p w:rsidR="00D90985" w:rsidRPr="002F5F7F" w:rsidRDefault="00D90985" w:rsidP="00D90985">
            <w:pPr>
              <w:rPr>
                <w:rFonts w:ascii="Arial" w:hAnsi="Arial" w:cs="Arial"/>
                <w:sz w:val="20"/>
                <w:szCs w:val="20"/>
              </w:rPr>
            </w:pPr>
            <w:r w:rsidRPr="002F5F7F">
              <w:rPr>
                <w:rFonts w:ascii="Arial" w:hAnsi="Arial" w:cs="Arial"/>
                <w:sz w:val="20"/>
                <w:szCs w:val="20"/>
              </w:rPr>
              <w:t>The authority application must be made in writing and must include:</w:t>
            </w:r>
          </w:p>
          <w:p w:rsidR="00D90985" w:rsidRPr="002F5F7F" w:rsidRDefault="00D90985" w:rsidP="00D90985">
            <w:pPr>
              <w:rPr>
                <w:rFonts w:ascii="Arial" w:hAnsi="Arial" w:cs="Arial"/>
                <w:sz w:val="20"/>
                <w:szCs w:val="20"/>
              </w:rPr>
            </w:pPr>
            <w:r w:rsidRPr="002F5F7F">
              <w:rPr>
                <w:rFonts w:ascii="Arial" w:hAnsi="Arial" w:cs="Arial"/>
                <w:sz w:val="20"/>
                <w:szCs w:val="20"/>
              </w:rPr>
              <w:t>(1) a completed authority prescription form; and</w:t>
            </w:r>
          </w:p>
          <w:p w:rsidR="00D90985" w:rsidRPr="002F5F7F" w:rsidRDefault="00D90985" w:rsidP="00D90985">
            <w:pPr>
              <w:rPr>
                <w:rFonts w:ascii="Arial" w:hAnsi="Arial" w:cs="Arial"/>
                <w:sz w:val="20"/>
                <w:szCs w:val="20"/>
              </w:rPr>
            </w:pPr>
            <w:r w:rsidRPr="002F5F7F">
              <w:rPr>
                <w:rFonts w:ascii="Arial" w:hAnsi="Arial" w:cs="Arial"/>
                <w:sz w:val="20"/>
                <w:szCs w:val="20"/>
              </w:rPr>
              <w:t xml:space="preserve">(2) a completed Non-Small Cell Lung Cancer </w:t>
            </w:r>
            <w:proofErr w:type="spellStart"/>
            <w:r w:rsidRPr="002F5F7F">
              <w:rPr>
                <w:rFonts w:ascii="Arial" w:hAnsi="Arial" w:cs="Arial"/>
                <w:sz w:val="20"/>
                <w:szCs w:val="20"/>
              </w:rPr>
              <w:t>erlotinib</w:t>
            </w:r>
            <w:proofErr w:type="spellEnd"/>
            <w:r w:rsidRPr="002F5F7F">
              <w:rPr>
                <w:rFonts w:ascii="Arial" w:hAnsi="Arial" w:cs="Arial"/>
                <w:sz w:val="20"/>
                <w:szCs w:val="20"/>
              </w:rPr>
              <w:t xml:space="preserve"> Authority Application Supporting Information Form, which includes:</w:t>
            </w:r>
          </w:p>
          <w:p w:rsidR="00D90985" w:rsidRPr="002F5F7F" w:rsidRDefault="00D90985" w:rsidP="00D90985">
            <w:pPr>
              <w:ind w:left="317"/>
              <w:rPr>
                <w:rFonts w:ascii="Arial" w:hAnsi="Arial" w:cs="Arial"/>
                <w:sz w:val="20"/>
                <w:szCs w:val="20"/>
              </w:rPr>
            </w:pPr>
            <w:proofErr w:type="spellStart"/>
            <w:r w:rsidRPr="002F5F7F">
              <w:rPr>
                <w:rFonts w:ascii="Arial" w:hAnsi="Arial" w:cs="Arial"/>
                <w:sz w:val="20"/>
                <w:szCs w:val="20"/>
              </w:rPr>
              <w:t>i</w:t>
            </w:r>
            <w:proofErr w:type="spellEnd"/>
            <w:r w:rsidRPr="002F5F7F">
              <w:rPr>
                <w:rFonts w:ascii="Arial" w:hAnsi="Arial" w:cs="Arial"/>
                <w:sz w:val="20"/>
                <w:szCs w:val="20"/>
              </w:rPr>
              <w:t>. Evidence that the patient has been treated with platinum-based chemotherapy AND</w:t>
            </w:r>
          </w:p>
          <w:p w:rsidR="00D90985" w:rsidRPr="002F5F7F" w:rsidRDefault="00D90985" w:rsidP="00D90985">
            <w:pPr>
              <w:ind w:left="317"/>
              <w:rPr>
                <w:rFonts w:ascii="Arial" w:hAnsi="Arial" w:cs="Arial"/>
                <w:sz w:val="20"/>
                <w:szCs w:val="20"/>
              </w:rPr>
            </w:pPr>
            <w:r w:rsidRPr="002F5F7F">
              <w:rPr>
                <w:rFonts w:ascii="Arial" w:hAnsi="Arial" w:cs="Arial"/>
                <w:sz w:val="20"/>
                <w:szCs w:val="20"/>
              </w:rPr>
              <w:t>ii. Evidence that disease progression has occurred following treatment</w:t>
            </w:r>
            <w:r w:rsidR="0023522D" w:rsidRPr="002F5F7F">
              <w:rPr>
                <w:rFonts w:ascii="Arial" w:hAnsi="Arial" w:cs="Arial"/>
                <w:sz w:val="20"/>
                <w:szCs w:val="20"/>
              </w:rPr>
              <w:t xml:space="preserve"> with </w:t>
            </w:r>
            <w:proofErr w:type="spellStart"/>
            <w:r w:rsidR="0023522D" w:rsidRPr="002F5F7F">
              <w:rPr>
                <w:rFonts w:ascii="Arial" w:hAnsi="Arial" w:cs="Arial"/>
                <w:sz w:val="20"/>
                <w:szCs w:val="20"/>
              </w:rPr>
              <w:t>docetaxel</w:t>
            </w:r>
            <w:proofErr w:type="spellEnd"/>
            <w:r w:rsidR="0023522D" w:rsidRPr="002F5F7F">
              <w:rPr>
                <w:rFonts w:ascii="Arial" w:hAnsi="Arial" w:cs="Arial"/>
                <w:sz w:val="20"/>
                <w:szCs w:val="20"/>
              </w:rPr>
              <w:t xml:space="preserve"> or </w:t>
            </w:r>
            <w:proofErr w:type="spellStart"/>
            <w:r w:rsidR="0023522D" w:rsidRPr="002F5F7F">
              <w:rPr>
                <w:rFonts w:ascii="Arial" w:hAnsi="Arial" w:cs="Arial"/>
                <w:sz w:val="20"/>
                <w:szCs w:val="20"/>
              </w:rPr>
              <w:t>pemetrexed</w:t>
            </w:r>
            <w:proofErr w:type="spellEnd"/>
            <w:r w:rsidR="0023522D" w:rsidRPr="002F5F7F">
              <w:rPr>
                <w:rFonts w:ascii="Arial" w:hAnsi="Arial" w:cs="Arial"/>
                <w:sz w:val="20"/>
                <w:szCs w:val="20"/>
              </w:rPr>
              <w:t xml:space="preserve">. </w:t>
            </w:r>
            <w:r w:rsidRPr="002F5F7F">
              <w:rPr>
                <w:rFonts w:ascii="Arial" w:hAnsi="Arial" w:cs="Arial"/>
                <w:sz w:val="20"/>
                <w:szCs w:val="20"/>
              </w:rPr>
              <w:t xml:space="preserve">In patients in whom </w:t>
            </w:r>
            <w:proofErr w:type="spellStart"/>
            <w:r w:rsidRPr="002F5F7F">
              <w:rPr>
                <w:rFonts w:ascii="Arial" w:hAnsi="Arial" w:cs="Arial"/>
                <w:sz w:val="20"/>
                <w:szCs w:val="20"/>
              </w:rPr>
              <w:t>docetaxel</w:t>
            </w:r>
            <w:proofErr w:type="spellEnd"/>
            <w:r w:rsidRPr="002F5F7F">
              <w:rPr>
                <w:rFonts w:ascii="Arial" w:hAnsi="Arial" w:cs="Arial"/>
                <w:sz w:val="20"/>
                <w:szCs w:val="20"/>
              </w:rPr>
              <w:t xml:space="preserve"> or </w:t>
            </w:r>
            <w:proofErr w:type="spellStart"/>
            <w:r w:rsidRPr="002F5F7F">
              <w:rPr>
                <w:rFonts w:ascii="Arial" w:hAnsi="Arial" w:cs="Arial"/>
                <w:sz w:val="20"/>
                <w:szCs w:val="20"/>
              </w:rPr>
              <w:t>pemetrexed</w:t>
            </w:r>
            <w:proofErr w:type="spellEnd"/>
            <w:r w:rsidRPr="002F5F7F">
              <w:rPr>
                <w:rFonts w:ascii="Arial" w:hAnsi="Arial" w:cs="Arial"/>
                <w:sz w:val="20"/>
                <w:szCs w:val="20"/>
              </w:rPr>
              <w:t xml:space="preserve"> is contraindicated or cannot be tolerated the prescriber must state the reasons for intolerance or the contraindication;</w:t>
            </w:r>
          </w:p>
          <w:p w:rsidR="00D90985" w:rsidRPr="002F5F7F" w:rsidRDefault="00D90985" w:rsidP="00D90985">
            <w:pPr>
              <w:ind w:left="317"/>
              <w:rPr>
                <w:rFonts w:ascii="Arial" w:hAnsi="Arial" w:cs="Arial"/>
                <w:sz w:val="20"/>
                <w:szCs w:val="20"/>
              </w:rPr>
            </w:pPr>
            <w:r w:rsidRPr="002F5F7F">
              <w:rPr>
                <w:rFonts w:ascii="Arial" w:hAnsi="Arial" w:cs="Arial"/>
                <w:sz w:val="20"/>
                <w:szCs w:val="20"/>
              </w:rPr>
              <w:t>iii. A declaration from the prescriber that the patient has exhausted all opportunities for treatment with chemotherapy either on the PBS, through special access schemes or in a clinical trial.</w:t>
            </w:r>
          </w:p>
          <w:p w:rsidR="00D90985" w:rsidRPr="002F5F7F" w:rsidRDefault="00D90985" w:rsidP="00D90985">
            <w:pPr>
              <w:rPr>
                <w:rFonts w:ascii="Arial" w:hAnsi="Arial" w:cs="Arial"/>
                <w:sz w:val="20"/>
                <w:szCs w:val="20"/>
              </w:rPr>
            </w:pPr>
            <w:r w:rsidRPr="002F5F7F">
              <w:rPr>
                <w:rFonts w:ascii="Arial" w:hAnsi="Arial" w:cs="Arial"/>
                <w:sz w:val="20"/>
                <w:szCs w:val="20"/>
              </w:rPr>
              <w:t xml:space="preserve">(3) </w:t>
            </w:r>
            <w:proofErr w:type="gramStart"/>
            <w:r w:rsidRPr="002F5F7F">
              <w:rPr>
                <w:rFonts w:ascii="Arial" w:hAnsi="Arial" w:cs="Arial"/>
                <w:sz w:val="20"/>
                <w:szCs w:val="20"/>
              </w:rPr>
              <w:t>a</w:t>
            </w:r>
            <w:proofErr w:type="gramEnd"/>
            <w:r w:rsidRPr="002F5F7F">
              <w:rPr>
                <w:rFonts w:ascii="Arial" w:hAnsi="Arial" w:cs="Arial"/>
                <w:sz w:val="20"/>
                <w:szCs w:val="20"/>
              </w:rPr>
              <w:t xml:space="preserve"> signed patient acknowledgement.</w:t>
            </w:r>
          </w:p>
        </w:tc>
      </w:tr>
    </w:tbl>
    <w:p w:rsidR="00E16910" w:rsidRPr="00882085" w:rsidRDefault="00E16910" w:rsidP="00882085">
      <w:pPr>
        <w:pStyle w:val="ListParagraph"/>
        <w:jc w:val="both"/>
        <w:rPr>
          <w:rFonts w:ascii="Arial" w:hAnsi="Arial"/>
          <w:sz w:val="22"/>
          <w:szCs w:val="22"/>
        </w:rPr>
      </w:pPr>
    </w:p>
    <w:p w:rsidR="00196307" w:rsidRPr="00882085" w:rsidRDefault="00F554AC" w:rsidP="00F554AC">
      <w:pPr>
        <w:pStyle w:val="ListParagraph"/>
        <w:numPr>
          <w:ilvl w:val="1"/>
          <w:numId w:val="25"/>
        </w:numPr>
        <w:jc w:val="both"/>
        <w:rPr>
          <w:rFonts w:ascii="Arial" w:hAnsi="Arial"/>
          <w:sz w:val="22"/>
          <w:szCs w:val="22"/>
        </w:rPr>
      </w:pPr>
      <w:r w:rsidRPr="00F554AC">
        <w:rPr>
          <w:rFonts w:ascii="Arial" w:hAnsi="Arial"/>
          <w:sz w:val="22"/>
          <w:szCs w:val="22"/>
        </w:rPr>
        <w:t xml:space="preserve">The submission proposes some changes to the wording of the Section 85 Authority Required listing for the last-line </w:t>
      </w:r>
      <w:proofErr w:type="spellStart"/>
      <w:r w:rsidRPr="00F554AC">
        <w:rPr>
          <w:rFonts w:ascii="Arial" w:hAnsi="Arial"/>
          <w:sz w:val="22"/>
          <w:szCs w:val="22"/>
        </w:rPr>
        <w:t>erlotinib</w:t>
      </w:r>
      <w:proofErr w:type="spellEnd"/>
      <w:r w:rsidRPr="00F554AC">
        <w:rPr>
          <w:rFonts w:ascii="Arial" w:hAnsi="Arial"/>
          <w:sz w:val="22"/>
          <w:szCs w:val="22"/>
        </w:rPr>
        <w:t xml:space="preserve"> treatment of EGFR wild-type or unknown </w:t>
      </w:r>
      <w:proofErr w:type="gramStart"/>
      <w:r w:rsidRPr="00F554AC">
        <w:rPr>
          <w:rFonts w:ascii="Arial" w:hAnsi="Arial"/>
          <w:sz w:val="22"/>
          <w:szCs w:val="22"/>
        </w:rPr>
        <w:t>locally</w:t>
      </w:r>
      <w:proofErr w:type="gramEnd"/>
      <w:r w:rsidRPr="00F554AC">
        <w:rPr>
          <w:rFonts w:ascii="Arial" w:hAnsi="Arial"/>
          <w:sz w:val="22"/>
          <w:szCs w:val="22"/>
        </w:rPr>
        <w:t xml:space="preserve"> advanced or metastatic NSCLC as implemented following the PBAC recommendation made out-of-session between the July and November </w:t>
      </w:r>
      <w:r w:rsidR="00D04CF6">
        <w:rPr>
          <w:rFonts w:ascii="Arial" w:hAnsi="Arial"/>
          <w:sz w:val="22"/>
          <w:szCs w:val="22"/>
        </w:rPr>
        <w:t xml:space="preserve">PBAC </w:t>
      </w:r>
      <w:r w:rsidRPr="00F554AC">
        <w:rPr>
          <w:rFonts w:ascii="Arial" w:hAnsi="Arial"/>
          <w:sz w:val="22"/>
          <w:szCs w:val="22"/>
        </w:rPr>
        <w:t>2013 meetings.</w:t>
      </w:r>
    </w:p>
    <w:p w:rsidR="002F5F7F" w:rsidRDefault="002F5F7F">
      <w:pPr>
        <w:rPr>
          <w:rFonts w:ascii="Arial" w:hAnsi="Arial"/>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6D1FD1">
      <w:pPr>
        <w:tabs>
          <w:tab w:val="left" w:pos="1134"/>
        </w:tabs>
        <w:ind w:left="709"/>
        <w:rPr>
          <w:rFonts w:ascii="Arial" w:hAnsi="Arial"/>
          <w:sz w:val="22"/>
          <w:szCs w:val="22"/>
        </w:rPr>
      </w:pPr>
    </w:p>
    <w:p w:rsidR="006B0D94" w:rsidRPr="00882085" w:rsidRDefault="00AC2EC6" w:rsidP="005D2EB0">
      <w:pPr>
        <w:pStyle w:val="ListParagraph"/>
        <w:numPr>
          <w:ilvl w:val="1"/>
          <w:numId w:val="25"/>
        </w:numPr>
        <w:jc w:val="both"/>
        <w:rPr>
          <w:rFonts w:ascii="Arial" w:hAnsi="Arial"/>
          <w:sz w:val="22"/>
          <w:szCs w:val="22"/>
        </w:rPr>
      </w:pPr>
      <w:proofErr w:type="spellStart"/>
      <w:r>
        <w:rPr>
          <w:rFonts w:ascii="Arial" w:hAnsi="Arial"/>
          <w:sz w:val="22"/>
          <w:szCs w:val="22"/>
        </w:rPr>
        <w:t>E</w:t>
      </w:r>
      <w:r w:rsidR="005D2EB0">
        <w:rPr>
          <w:rFonts w:ascii="Arial" w:hAnsi="Arial"/>
          <w:sz w:val="22"/>
          <w:szCs w:val="22"/>
        </w:rPr>
        <w:t>rlotinib</w:t>
      </w:r>
      <w:proofErr w:type="spellEnd"/>
      <w:r w:rsidR="005D2EB0">
        <w:rPr>
          <w:rFonts w:ascii="Arial" w:hAnsi="Arial"/>
          <w:sz w:val="22"/>
          <w:szCs w:val="22"/>
        </w:rPr>
        <w:t xml:space="preserve"> was registered by the </w:t>
      </w:r>
      <w:r w:rsidR="006B0D94" w:rsidRPr="00882085">
        <w:rPr>
          <w:rFonts w:ascii="Arial" w:hAnsi="Arial"/>
          <w:sz w:val="22"/>
          <w:szCs w:val="22"/>
        </w:rPr>
        <w:t xml:space="preserve">TGA </w:t>
      </w:r>
      <w:r w:rsidR="005D2EB0">
        <w:rPr>
          <w:rFonts w:ascii="Arial" w:hAnsi="Arial"/>
          <w:sz w:val="22"/>
          <w:szCs w:val="22"/>
        </w:rPr>
        <w:t>for the treatment of patients with locally advanced or metastatic NSCLC after failure of prior chemotherapy.</w:t>
      </w:r>
    </w:p>
    <w:p w:rsidR="006B0D94" w:rsidRPr="00882085" w:rsidRDefault="006B0D94" w:rsidP="00882085">
      <w:pPr>
        <w:pStyle w:val="ListParagraph"/>
        <w:jc w:val="both"/>
        <w:rPr>
          <w:rFonts w:ascii="Arial" w:hAnsi="Arial"/>
          <w:sz w:val="22"/>
          <w:szCs w:val="22"/>
        </w:rPr>
      </w:pPr>
    </w:p>
    <w:p w:rsidR="00326E79" w:rsidRPr="00882085" w:rsidRDefault="005D2EB0" w:rsidP="00882085">
      <w:pPr>
        <w:pStyle w:val="ListParagraph"/>
        <w:numPr>
          <w:ilvl w:val="1"/>
          <w:numId w:val="25"/>
        </w:numPr>
        <w:jc w:val="both"/>
        <w:rPr>
          <w:rFonts w:ascii="Arial" w:hAnsi="Arial"/>
          <w:sz w:val="22"/>
          <w:szCs w:val="22"/>
        </w:rPr>
      </w:pPr>
      <w:proofErr w:type="spellStart"/>
      <w:r>
        <w:rPr>
          <w:rFonts w:ascii="Arial" w:hAnsi="Arial"/>
          <w:sz w:val="22"/>
          <w:szCs w:val="22"/>
        </w:rPr>
        <w:t>Erlotinib</w:t>
      </w:r>
      <w:proofErr w:type="spellEnd"/>
      <w:r>
        <w:rPr>
          <w:rFonts w:ascii="Arial" w:hAnsi="Arial"/>
          <w:sz w:val="22"/>
          <w:szCs w:val="22"/>
        </w:rPr>
        <w:t xml:space="preserve"> has </w:t>
      </w:r>
      <w:r w:rsidR="00DA7D57">
        <w:rPr>
          <w:rFonts w:ascii="Arial" w:hAnsi="Arial"/>
          <w:sz w:val="22"/>
          <w:szCs w:val="22"/>
        </w:rPr>
        <w:t>been considered by the PBAC for this indication on six occasions, four between March 2006 and March 2008, and twice in 2013: at the July 2013 PBAC meeting and the subsequent out-of-session consideration.</w:t>
      </w:r>
    </w:p>
    <w:p w:rsidR="006A12A5" w:rsidRPr="00882085" w:rsidRDefault="006A12A5" w:rsidP="00882085">
      <w:pPr>
        <w:pStyle w:val="ListParagraph"/>
        <w:jc w:val="both"/>
        <w:rPr>
          <w:rFonts w:ascii="Arial" w:hAnsi="Arial"/>
          <w:sz w:val="22"/>
          <w:szCs w:val="22"/>
        </w:rPr>
      </w:pPr>
    </w:p>
    <w:p w:rsidR="00DA7D57" w:rsidRPr="00DA7D57" w:rsidRDefault="00DA7D57" w:rsidP="00DA7D57">
      <w:pPr>
        <w:pStyle w:val="ListParagraph"/>
        <w:numPr>
          <w:ilvl w:val="1"/>
          <w:numId w:val="25"/>
        </w:numPr>
        <w:jc w:val="both"/>
        <w:rPr>
          <w:rFonts w:ascii="Arial" w:hAnsi="Arial"/>
          <w:sz w:val="22"/>
          <w:szCs w:val="22"/>
        </w:rPr>
      </w:pPr>
      <w:proofErr w:type="spellStart"/>
      <w:r w:rsidRPr="00DA7D57">
        <w:rPr>
          <w:rFonts w:ascii="Arial" w:hAnsi="Arial"/>
          <w:sz w:val="22"/>
          <w:szCs w:val="22"/>
        </w:rPr>
        <w:t>Erlotinib</w:t>
      </w:r>
      <w:proofErr w:type="spellEnd"/>
      <w:r w:rsidRPr="00DA7D57">
        <w:rPr>
          <w:rFonts w:ascii="Arial" w:hAnsi="Arial"/>
          <w:sz w:val="22"/>
          <w:szCs w:val="22"/>
        </w:rPr>
        <w:t xml:space="preserve"> was first recommended by the March 2008 PBAC meeting for PBS listing as second-line therapy without reference to EGFR mutation status.</w:t>
      </w:r>
    </w:p>
    <w:p w:rsidR="00DA7D57" w:rsidRPr="00DA7D57" w:rsidRDefault="00DA7D57" w:rsidP="00DA7D57">
      <w:pPr>
        <w:pStyle w:val="ListParagraph"/>
        <w:jc w:val="both"/>
        <w:rPr>
          <w:rFonts w:ascii="Arial" w:hAnsi="Arial"/>
          <w:sz w:val="22"/>
          <w:szCs w:val="22"/>
        </w:rPr>
      </w:pPr>
    </w:p>
    <w:p w:rsidR="00DA7D57" w:rsidRPr="00DA7D57" w:rsidRDefault="00DA7D57" w:rsidP="00DA7D57">
      <w:pPr>
        <w:pStyle w:val="ListParagraph"/>
        <w:numPr>
          <w:ilvl w:val="1"/>
          <w:numId w:val="25"/>
        </w:numPr>
        <w:jc w:val="both"/>
        <w:rPr>
          <w:rFonts w:ascii="Arial" w:hAnsi="Arial"/>
          <w:sz w:val="22"/>
          <w:szCs w:val="22"/>
        </w:rPr>
      </w:pPr>
      <w:r w:rsidRPr="00DA7D57">
        <w:rPr>
          <w:rFonts w:ascii="Arial" w:hAnsi="Arial"/>
          <w:sz w:val="22"/>
          <w:szCs w:val="22"/>
        </w:rPr>
        <w:t xml:space="preserve">The July 2013 PBAC meeting deferred a decision in relation to the first-line use of </w:t>
      </w:r>
      <w:proofErr w:type="spellStart"/>
      <w:r w:rsidRPr="00DA7D57">
        <w:rPr>
          <w:rFonts w:ascii="Arial" w:hAnsi="Arial"/>
          <w:sz w:val="22"/>
          <w:szCs w:val="22"/>
        </w:rPr>
        <w:t>erlotinib</w:t>
      </w:r>
      <w:proofErr w:type="spellEnd"/>
      <w:r w:rsidRPr="00DA7D57">
        <w:rPr>
          <w:rFonts w:ascii="Arial" w:hAnsi="Arial"/>
          <w:sz w:val="22"/>
          <w:szCs w:val="22"/>
        </w:rPr>
        <w:t xml:space="preserve"> in EGFR-positive patients, but foreshadowed its intention to replace the existing </w:t>
      </w:r>
      <w:proofErr w:type="spellStart"/>
      <w:r w:rsidRPr="00DA7D57">
        <w:rPr>
          <w:rFonts w:ascii="Arial" w:hAnsi="Arial"/>
          <w:sz w:val="22"/>
          <w:szCs w:val="22"/>
        </w:rPr>
        <w:t>erlotinib</w:t>
      </w:r>
      <w:proofErr w:type="spellEnd"/>
      <w:r w:rsidRPr="00DA7D57">
        <w:rPr>
          <w:rFonts w:ascii="Arial" w:hAnsi="Arial"/>
          <w:sz w:val="22"/>
          <w:szCs w:val="22"/>
        </w:rPr>
        <w:t xml:space="preserve"> restriction with one which limits eligibility to </w:t>
      </w:r>
      <w:proofErr w:type="spellStart"/>
      <w:r w:rsidRPr="00DA7D57">
        <w:rPr>
          <w:rFonts w:ascii="Arial" w:hAnsi="Arial"/>
          <w:sz w:val="22"/>
          <w:szCs w:val="22"/>
        </w:rPr>
        <w:t>erlotinib</w:t>
      </w:r>
      <w:proofErr w:type="spellEnd"/>
      <w:r w:rsidRPr="00DA7D57">
        <w:rPr>
          <w:rFonts w:ascii="Arial" w:hAnsi="Arial"/>
          <w:sz w:val="22"/>
          <w:szCs w:val="22"/>
        </w:rPr>
        <w:t xml:space="preserve"> to those patients with an EGFR mutation, but which makes no reference to any line of therapy.</w:t>
      </w:r>
    </w:p>
    <w:p w:rsidR="00DA7D57" w:rsidRPr="00DA7D57" w:rsidRDefault="00DA7D57" w:rsidP="00DA7D57">
      <w:pPr>
        <w:pStyle w:val="ListParagraph"/>
        <w:jc w:val="both"/>
        <w:rPr>
          <w:rFonts w:ascii="Arial" w:hAnsi="Arial"/>
          <w:sz w:val="22"/>
          <w:szCs w:val="22"/>
        </w:rPr>
      </w:pPr>
    </w:p>
    <w:p w:rsidR="00C35996" w:rsidRPr="008D447E" w:rsidRDefault="00DA7D57" w:rsidP="00DA7D57">
      <w:pPr>
        <w:pStyle w:val="ListParagraph"/>
        <w:numPr>
          <w:ilvl w:val="1"/>
          <w:numId w:val="25"/>
        </w:numPr>
        <w:jc w:val="both"/>
        <w:rPr>
          <w:rFonts w:ascii="Arial" w:hAnsi="Arial"/>
          <w:sz w:val="22"/>
          <w:szCs w:val="22"/>
        </w:rPr>
      </w:pPr>
      <w:r>
        <w:rPr>
          <w:rFonts w:ascii="Arial" w:hAnsi="Arial"/>
          <w:sz w:val="22"/>
          <w:szCs w:val="22"/>
        </w:rPr>
        <w:t>The</w:t>
      </w:r>
      <w:r w:rsidRPr="00DA7D57">
        <w:rPr>
          <w:rFonts w:ascii="Arial" w:hAnsi="Arial"/>
          <w:sz w:val="22"/>
          <w:szCs w:val="22"/>
        </w:rPr>
        <w:t xml:space="preserve"> subsequent out-of-session consideration by PBAC recommended adding the foreshadowed </w:t>
      </w:r>
      <w:proofErr w:type="spellStart"/>
      <w:r w:rsidRPr="00DA7D57">
        <w:rPr>
          <w:rFonts w:ascii="Arial" w:hAnsi="Arial"/>
          <w:sz w:val="22"/>
          <w:szCs w:val="22"/>
        </w:rPr>
        <w:t>erlotinib</w:t>
      </w:r>
      <w:proofErr w:type="spellEnd"/>
      <w:r w:rsidRPr="00DA7D57">
        <w:rPr>
          <w:rFonts w:ascii="Arial" w:hAnsi="Arial"/>
          <w:sz w:val="22"/>
          <w:szCs w:val="22"/>
        </w:rPr>
        <w:t xml:space="preserve"> restriction which limits eligibility to </w:t>
      </w:r>
      <w:proofErr w:type="spellStart"/>
      <w:r w:rsidRPr="00DA7D57">
        <w:rPr>
          <w:rFonts w:ascii="Arial" w:hAnsi="Arial"/>
          <w:sz w:val="22"/>
          <w:szCs w:val="22"/>
        </w:rPr>
        <w:t>erlotinib</w:t>
      </w:r>
      <w:proofErr w:type="spellEnd"/>
      <w:r w:rsidRPr="00DA7D57">
        <w:rPr>
          <w:rFonts w:ascii="Arial" w:hAnsi="Arial"/>
          <w:sz w:val="22"/>
          <w:szCs w:val="22"/>
        </w:rPr>
        <w:t xml:space="preserve"> to those patients with an EGFR mutation without reference to any line of therapy. It also recommended tightening the existing restriction without reference to EGFR mutation status from second-line to last-line (i.e. those patients who have exhausted all opportunities for treatment with chemotherapy), whilst requiring a major submission to be presented to assess the effectiveness and cost effectiveness of </w:t>
      </w:r>
      <w:proofErr w:type="spellStart"/>
      <w:r w:rsidRPr="00DA7D57">
        <w:rPr>
          <w:rFonts w:ascii="Arial" w:hAnsi="Arial"/>
          <w:sz w:val="22"/>
          <w:szCs w:val="22"/>
        </w:rPr>
        <w:t>erlotinib</w:t>
      </w:r>
      <w:proofErr w:type="spellEnd"/>
      <w:r w:rsidRPr="00DA7D57">
        <w:rPr>
          <w:rFonts w:ascii="Arial" w:hAnsi="Arial"/>
          <w:sz w:val="22"/>
          <w:szCs w:val="22"/>
        </w:rPr>
        <w:t xml:space="preserve"> in the last-line setting for patients with wild-type of unknown EGFR status as an alternative to </w:t>
      </w:r>
      <w:r w:rsidR="0065112C">
        <w:rPr>
          <w:rFonts w:ascii="Arial" w:hAnsi="Arial"/>
          <w:sz w:val="22"/>
          <w:szCs w:val="22"/>
        </w:rPr>
        <w:t>best supportive care (</w:t>
      </w:r>
      <w:r w:rsidRPr="00DA7D57">
        <w:rPr>
          <w:rFonts w:ascii="Arial" w:hAnsi="Arial"/>
          <w:sz w:val="22"/>
          <w:szCs w:val="22"/>
        </w:rPr>
        <w:t>BSC</w:t>
      </w:r>
      <w:r w:rsidR="0065112C">
        <w:rPr>
          <w:rFonts w:ascii="Arial" w:hAnsi="Arial"/>
          <w:sz w:val="22"/>
          <w:szCs w:val="22"/>
        </w:rPr>
        <w:t>)</w:t>
      </w:r>
      <w:r w:rsidRPr="00DA7D57">
        <w:rPr>
          <w:rFonts w:ascii="Arial" w:hAnsi="Arial"/>
          <w:sz w:val="22"/>
          <w:szCs w:val="22"/>
        </w:rPr>
        <w:t>.</w:t>
      </w:r>
    </w:p>
    <w:p w:rsidR="006A12A5" w:rsidRPr="002D3845" w:rsidRDefault="006A12A5" w:rsidP="006D1FD1">
      <w:pPr>
        <w:tabs>
          <w:tab w:val="left" w:pos="1134"/>
        </w:tabs>
        <w:ind w:left="709"/>
        <w:rPr>
          <w:rFonts w:ascii="Arial" w:hAnsi="Arial"/>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6D1FD1">
      <w:pPr>
        <w:tabs>
          <w:tab w:val="left" w:pos="1134"/>
        </w:tabs>
        <w:ind w:left="709"/>
        <w:rPr>
          <w:rFonts w:ascii="Arial" w:hAnsi="Arial"/>
          <w:sz w:val="22"/>
          <w:szCs w:val="22"/>
        </w:rPr>
      </w:pPr>
    </w:p>
    <w:p w:rsidR="00DA7D57" w:rsidRPr="00DA7D57" w:rsidRDefault="00DA7D57" w:rsidP="00DA7D57">
      <w:pPr>
        <w:pStyle w:val="ListParagraph"/>
        <w:numPr>
          <w:ilvl w:val="1"/>
          <w:numId w:val="25"/>
        </w:numPr>
        <w:jc w:val="both"/>
        <w:rPr>
          <w:rFonts w:ascii="Arial" w:hAnsi="Arial"/>
          <w:sz w:val="22"/>
          <w:szCs w:val="22"/>
        </w:rPr>
      </w:pPr>
      <w:r w:rsidRPr="00DA7D57">
        <w:rPr>
          <w:rFonts w:ascii="Arial" w:hAnsi="Arial"/>
          <w:sz w:val="22"/>
          <w:szCs w:val="22"/>
        </w:rPr>
        <w:t xml:space="preserve">65% of patients with NSCLC have advanced stage disease at the time of diagnosis. Patients with non-squamous or not otherwise specified (NOS) NSCLC are eligible for </w:t>
      </w:r>
      <w:r w:rsidR="00ED3EC7">
        <w:rPr>
          <w:rFonts w:ascii="Arial" w:hAnsi="Arial"/>
          <w:sz w:val="22"/>
          <w:szCs w:val="22"/>
        </w:rPr>
        <w:t>MBS-</w:t>
      </w:r>
      <w:r w:rsidRPr="00DA7D57">
        <w:rPr>
          <w:rFonts w:ascii="Arial" w:hAnsi="Arial"/>
          <w:sz w:val="22"/>
          <w:szCs w:val="22"/>
        </w:rPr>
        <w:t>funded tests to determine EGFR mutation status. About 15% of these patients exhibit mutations of the EGFR, and are eligible for a TKI.</w:t>
      </w:r>
    </w:p>
    <w:p w:rsidR="00DA7D57" w:rsidRPr="00DA7D57" w:rsidRDefault="00DA7D57" w:rsidP="00DA7D57">
      <w:pPr>
        <w:pStyle w:val="ListParagraph"/>
        <w:jc w:val="both"/>
        <w:rPr>
          <w:rFonts w:ascii="Arial" w:hAnsi="Arial"/>
          <w:sz w:val="22"/>
          <w:szCs w:val="22"/>
        </w:rPr>
      </w:pPr>
    </w:p>
    <w:p w:rsidR="006A12A5" w:rsidRPr="00882085" w:rsidRDefault="00DA7D57" w:rsidP="00DA7D57">
      <w:pPr>
        <w:pStyle w:val="ListParagraph"/>
        <w:numPr>
          <w:ilvl w:val="1"/>
          <w:numId w:val="25"/>
        </w:numPr>
        <w:jc w:val="both"/>
        <w:rPr>
          <w:rFonts w:ascii="Arial" w:hAnsi="Arial"/>
          <w:sz w:val="22"/>
          <w:szCs w:val="22"/>
        </w:rPr>
      </w:pPr>
      <w:r w:rsidRPr="00DA7D57">
        <w:rPr>
          <w:rFonts w:ascii="Arial" w:hAnsi="Arial"/>
          <w:sz w:val="22"/>
          <w:szCs w:val="22"/>
        </w:rPr>
        <w:t xml:space="preserve">Patients with squamous NSCLC (approximately 35% of NSCLC patients) are not tested for EGFR mutation status because activating EGFR mutations are </w:t>
      </w:r>
      <w:r w:rsidR="0067364D">
        <w:rPr>
          <w:rFonts w:ascii="Arial" w:hAnsi="Arial"/>
          <w:sz w:val="22"/>
          <w:szCs w:val="22"/>
        </w:rPr>
        <w:t xml:space="preserve">very </w:t>
      </w:r>
      <w:r w:rsidRPr="00DA7D57">
        <w:rPr>
          <w:rFonts w:ascii="Arial" w:hAnsi="Arial"/>
          <w:sz w:val="22"/>
          <w:szCs w:val="22"/>
        </w:rPr>
        <w:t>rare in this histology subgroup. NSCLC patients with squamous histology generally have more aggressive disease, with rapid deterioration of performance status and poor survival and have fewer treatment options.</w:t>
      </w:r>
    </w:p>
    <w:p w:rsidR="00C35996" w:rsidRPr="00882085" w:rsidRDefault="00C35996" w:rsidP="00882085">
      <w:pPr>
        <w:pStyle w:val="ListParagraph"/>
        <w:jc w:val="both"/>
        <w:rPr>
          <w:rFonts w:ascii="Arial" w:hAnsi="Arial"/>
          <w:sz w:val="22"/>
          <w:szCs w:val="22"/>
        </w:rPr>
      </w:pPr>
    </w:p>
    <w:p w:rsidR="006A12A5" w:rsidRPr="00882085" w:rsidRDefault="00DA7D57" w:rsidP="002D3845">
      <w:pPr>
        <w:pStyle w:val="ListParagraph"/>
        <w:numPr>
          <w:ilvl w:val="1"/>
          <w:numId w:val="25"/>
        </w:numPr>
        <w:jc w:val="both"/>
        <w:rPr>
          <w:rFonts w:ascii="Arial" w:hAnsi="Arial"/>
          <w:sz w:val="22"/>
          <w:szCs w:val="22"/>
        </w:rPr>
      </w:pPr>
      <w:r>
        <w:rPr>
          <w:rFonts w:ascii="Arial" w:hAnsi="Arial"/>
          <w:sz w:val="22"/>
          <w:szCs w:val="22"/>
        </w:rPr>
        <w:t>The s</w:t>
      </w:r>
      <w:r w:rsidR="006A12A5" w:rsidRPr="00882085">
        <w:rPr>
          <w:rFonts w:ascii="Arial" w:hAnsi="Arial"/>
          <w:sz w:val="22"/>
          <w:szCs w:val="22"/>
        </w:rPr>
        <w:t>ubmission</w:t>
      </w:r>
      <w:r>
        <w:rPr>
          <w:rFonts w:ascii="Arial" w:hAnsi="Arial"/>
          <w:sz w:val="22"/>
          <w:szCs w:val="22"/>
        </w:rPr>
        <w:t xml:space="preserve"> </w:t>
      </w:r>
      <w:r w:rsidR="00ED3EC7">
        <w:rPr>
          <w:rFonts w:ascii="Arial" w:hAnsi="Arial"/>
          <w:sz w:val="22"/>
          <w:szCs w:val="22"/>
        </w:rPr>
        <w:t>proposed</w:t>
      </w:r>
      <w:r>
        <w:rPr>
          <w:rFonts w:ascii="Arial" w:hAnsi="Arial"/>
          <w:sz w:val="22"/>
          <w:szCs w:val="22"/>
        </w:rPr>
        <w:t xml:space="preserve"> that, as last-line therapy, </w:t>
      </w:r>
      <w:proofErr w:type="spellStart"/>
      <w:r>
        <w:rPr>
          <w:rFonts w:ascii="Arial" w:hAnsi="Arial"/>
          <w:sz w:val="22"/>
          <w:szCs w:val="22"/>
        </w:rPr>
        <w:t>erlotinib</w:t>
      </w:r>
      <w:proofErr w:type="spellEnd"/>
      <w:r>
        <w:rPr>
          <w:rFonts w:ascii="Arial" w:hAnsi="Arial"/>
          <w:sz w:val="22"/>
          <w:szCs w:val="22"/>
        </w:rPr>
        <w:t xml:space="preserve"> i</w:t>
      </w:r>
      <w:r w:rsidR="006A12A5" w:rsidRPr="00882085">
        <w:rPr>
          <w:rFonts w:ascii="Arial" w:hAnsi="Arial"/>
          <w:sz w:val="22"/>
          <w:szCs w:val="22"/>
        </w:rPr>
        <w:t xml:space="preserve">s </w:t>
      </w:r>
      <w:r w:rsidR="002D3845">
        <w:rPr>
          <w:rFonts w:ascii="Arial" w:hAnsi="Arial"/>
          <w:sz w:val="22"/>
          <w:szCs w:val="22"/>
        </w:rPr>
        <w:t xml:space="preserve">intended to be retained for </w:t>
      </w:r>
      <w:r w:rsidR="002D3845" w:rsidRPr="002D3845">
        <w:rPr>
          <w:rFonts w:ascii="Arial" w:hAnsi="Arial"/>
          <w:sz w:val="22"/>
          <w:szCs w:val="22"/>
        </w:rPr>
        <w:t>patients who have exhausted all chemotherapy options</w:t>
      </w:r>
      <w:r w:rsidR="00ED3EC7">
        <w:rPr>
          <w:rFonts w:ascii="Arial" w:hAnsi="Arial"/>
          <w:sz w:val="22"/>
          <w:szCs w:val="22"/>
        </w:rPr>
        <w:t>. This patient group</w:t>
      </w:r>
      <w:r w:rsidR="002D3845" w:rsidRPr="002D3845">
        <w:rPr>
          <w:rFonts w:ascii="Arial" w:hAnsi="Arial"/>
          <w:sz w:val="22"/>
          <w:szCs w:val="22"/>
        </w:rPr>
        <w:t xml:space="preserve"> essentially comprises untested patients with squamous NSCLC (who would predominantly be EGFR wild type) and tested patients with non-squamous/NOS NSCLC (who would be EGFR wild type because patients with EGFR mutations would have already been treated with a TKI).</w:t>
      </w:r>
      <w:r w:rsidR="002D3845">
        <w:rPr>
          <w:rFonts w:ascii="Arial" w:hAnsi="Arial"/>
          <w:sz w:val="22"/>
          <w:szCs w:val="22"/>
        </w:rPr>
        <w:t xml:space="preserve"> </w:t>
      </w:r>
      <w:r w:rsidR="002D3845" w:rsidRPr="002D3845">
        <w:rPr>
          <w:rFonts w:ascii="Arial" w:hAnsi="Arial"/>
          <w:sz w:val="22"/>
          <w:szCs w:val="22"/>
        </w:rPr>
        <w:t xml:space="preserve">The </w:t>
      </w:r>
      <w:r w:rsidR="002D3845">
        <w:rPr>
          <w:rFonts w:ascii="Arial" w:hAnsi="Arial"/>
          <w:sz w:val="22"/>
          <w:szCs w:val="22"/>
        </w:rPr>
        <w:t xml:space="preserve">request was considered in the context of </w:t>
      </w:r>
      <w:r w:rsidR="002D3845" w:rsidRPr="002D3845">
        <w:rPr>
          <w:rFonts w:ascii="Arial" w:hAnsi="Arial"/>
          <w:sz w:val="22"/>
          <w:szCs w:val="22"/>
        </w:rPr>
        <w:t>the PBAC’s recent recommendation to align the current restriction</w:t>
      </w:r>
      <w:r w:rsidR="002D3845">
        <w:rPr>
          <w:rFonts w:ascii="Arial" w:hAnsi="Arial"/>
          <w:sz w:val="22"/>
          <w:szCs w:val="22"/>
        </w:rPr>
        <w:t>s</w:t>
      </w:r>
      <w:r w:rsidR="002D3845" w:rsidRPr="002D3845">
        <w:rPr>
          <w:rFonts w:ascii="Arial" w:hAnsi="Arial"/>
          <w:sz w:val="22"/>
          <w:szCs w:val="22"/>
        </w:rPr>
        <w:t xml:space="preserve"> for </w:t>
      </w:r>
      <w:r w:rsidR="002D3845">
        <w:rPr>
          <w:rFonts w:ascii="Arial" w:hAnsi="Arial"/>
          <w:sz w:val="22"/>
          <w:szCs w:val="22"/>
        </w:rPr>
        <w:t>tyrosine kinase inhibitors (</w:t>
      </w:r>
      <w:r w:rsidR="002D3845" w:rsidRPr="002D3845">
        <w:rPr>
          <w:rFonts w:ascii="Arial" w:hAnsi="Arial"/>
          <w:sz w:val="22"/>
          <w:szCs w:val="22"/>
        </w:rPr>
        <w:t>TKIs)</w:t>
      </w:r>
      <w:r w:rsidR="002D3845">
        <w:rPr>
          <w:rFonts w:ascii="Arial" w:hAnsi="Arial"/>
          <w:sz w:val="22"/>
          <w:szCs w:val="22"/>
        </w:rPr>
        <w:t xml:space="preserve">, including a </w:t>
      </w:r>
      <w:r w:rsidR="002D3845" w:rsidRPr="002D3845">
        <w:rPr>
          <w:rFonts w:ascii="Arial" w:hAnsi="Arial"/>
          <w:sz w:val="22"/>
          <w:szCs w:val="22"/>
        </w:rPr>
        <w:t>requirement for an EGFR mutation and no specification of any line of therapy.</w:t>
      </w:r>
    </w:p>
    <w:p w:rsidR="006A12A5" w:rsidRPr="00882085" w:rsidRDefault="006A12A5" w:rsidP="006D1FD1">
      <w:pPr>
        <w:tabs>
          <w:tab w:val="left" w:pos="1134"/>
        </w:tabs>
        <w:ind w:left="709"/>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2D3845" w:rsidRDefault="005A3173" w:rsidP="006D1FD1">
      <w:pPr>
        <w:tabs>
          <w:tab w:val="left" w:pos="1134"/>
        </w:tabs>
        <w:ind w:left="709"/>
        <w:rPr>
          <w:rFonts w:ascii="Arial" w:hAnsi="Arial"/>
          <w:sz w:val="22"/>
          <w:szCs w:val="22"/>
        </w:rPr>
      </w:pPr>
    </w:p>
    <w:p w:rsidR="00C35996" w:rsidRPr="00882085" w:rsidRDefault="0039732E" w:rsidP="002D3845">
      <w:pPr>
        <w:pStyle w:val="ListParagraph"/>
        <w:numPr>
          <w:ilvl w:val="1"/>
          <w:numId w:val="25"/>
        </w:numPr>
        <w:jc w:val="both"/>
        <w:rPr>
          <w:rFonts w:ascii="Arial" w:hAnsi="Arial"/>
          <w:sz w:val="22"/>
          <w:szCs w:val="22"/>
        </w:rPr>
      </w:pPr>
      <w:r>
        <w:rPr>
          <w:rFonts w:ascii="Arial" w:hAnsi="Arial"/>
          <w:sz w:val="22"/>
          <w:szCs w:val="22"/>
        </w:rPr>
        <w:t>The submission nominated b</w:t>
      </w:r>
      <w:r w:rsidRPr="002D3845">
        <w:rPr>
          <w:rFonts w:ascii="Arial" w:hAnsi="Arial"/>
          <w:sz w:val="22"/>
          <w:szCs w:val="22"/>
        </w:rPr>
        <w:t>est supportive care (BSC)</w:t>
      </w:r>
      <w:r>
        <w:rPr>
          <w:rFonts w:ascii="Arial" w:hAnsi="Arial"/>
          <w:sz w:val="22"/>
          <w:szCs w:val="22"/>
        </w:rPr>
        <w:t xml:space="preserve"> as the comparator. The PBAC considered this to be appropriate</w:t>
      </w:r>
      <w:r w:rsidR="002D3845" w:rsidRPr="002D3845">
        <w:rPr>
          <w:rFonts w:ascii="Arial" w:hAnsi="Arial"/>
          <w:sz w:val="22"/>
          <w:szCs w:val="22"/>
        </w:rPr>
        <w:t>.</w:t>
      </w:r>
    </w:p>
    <w:p w:rsidR="00DF26A7" w:rsidRPr="008D447E" w:rsidRDefault="00DF26A7" w:rsidP="008D447E">
      <w:pPr>
        <w:pStyle w:val="ListParagraph"/>
        <w:jc w:val="both"/>
        <w:rPr>
          <w:rFonts w:ascii="Arial" w:hAnsi="Arial"/>
          <w:sz w:val="22"/>
          <w:szCs w:val="22"/>
        </w:rPr>
      </w:pPr>
    </w:p>
    <w:p w:rsidR="000B558D" w:rsidRPr="00882085" w:rsidRDefault="005A3173" w:rsidP="00882085">
      <w:pPr>
        <w:pStyle w:val="Header"/>
        <w:tabs>
          <w:tab w:val="clear" w:pos="4153"/>
          <w:tab w:val="clear" w:pos="8306"/>
        </w:tabs>
        <w:jc w:val="both"/>
        <w:rPr>
          <w:rFonts w:ascii="Arial" w:hAnsi="Arial"/>
          <w:b/>
          <w:sz w:val="22"/>
          <w:szCs w:val="22"/>
        </w:rPr>
      </w:pPr>
      <w:r w:rsidRPr="00882085">
        <w:rPr>
          <w:rFonts w:ascii="Arial" w:hAnsi="Arial"/>
          <w:b/>
          <w:sz w:val="22"/>
          <w:szCs w:val="22"/>
        </w:rPr>
        <w:t>6</w:t>
      </w:r>
      <w:r w:rsidRPr="00882085">
        <w:rPr>
          <w:rFonts w:ascii="Arial" w:hAnsi="Arial"/>
          <w:b/>
          <w:sz w:val="22"/>
          <w:szCs w:val="22"/>
        </w:rPr>
        <w:tab/>
      </w:r>
      <w:r w:rsidR="000B558D" w:rsidRPr="00882085">
        <w:rPr>
          <w:rFonts w:ascii="Arial" w:hAnsi="Arial"/>
          <w:b/>
          <w:sz w:val="22"/>
          <w:szCs w:val="22"/>
        </w:rPr>
        <w:t>PBAC consideration of the evidence</w:t>
      </w:r>
    </w:p>
    <w:p w:rsidR="006A12A5" w:rsidRPr="00671269" w:rsidRDefault="006A12A5" w:rsidP="006D1FD1">
      <w:pPr>
        <w:tabs>
          <w:tab w:val="left" w:pos="1134"/>
        </w:tabs>
        <w:ind w:left="709"/>
        <w:rPr>
          <w:rFonts w:ascii="Arial" w:hAnsi="Arial"/>
          <w:sz w:val="22"/>
          <w:szCs w:val="22"/>
        </w:rPr>
      </w:pPr>
    </w:p>
    <w:p w:rsidR="003324AD" w:rsidRDefault="003324AD" w:rsidP="00882085">
      <w:pPr>
        <w:jc w:val="both"/>
        <w:rPr>
          <w:rFonts w:ascii="Arial" w:hAnsi="Arial"/>
          <w:b/>
          <w:i/>
          <w:sz w:val="22"/>
          <w:szCs w:val="22"/>
        </w:rPr>
      </w:pPr>
      <w:r>
        <w:rPr>
          <w:rFonts w:ascii="Arial" w:hAnsi="Arial"/>
          <w:b/>
          <w:i/>
          <w:sz w:val="22"/>
          <w:szCs w:val="22"/>
        </w:rPr>
        <w:t>Consumer comments and sponsor hearing</w:t>
      </w:r>
    </w:p>
    <w:p w:rsidR="003324AD" w:rsidRPr="0074584D" w:rsidRDefault="003324AD" w:rsidP="00882085">
      <w:pPr>
        <w:jc w:val="both"/>
        <w:rPr>
          <w:rFonts w:ascii="Arial" w:hAnsi="Arial"/>
          <w:i/>
          <w:sz w:val="22"/>
          <w:szCs w:val="22"/>
        </w:rPr>
      </w:pPr>
    </w:p>
    <w:p w:rsidR="003324AD" w:rsidRDefault="003324AD" w:rsidP="003324AD">
      <w:pPr>
        <w:pStyle w:val="ListParagraph"/>
        <w:numPr>
          <w:ilvl w:val="1"/>
          <w:numId w:val="26"/>
        </w:numPr>
        <w:ind w:left="709" w:hanging="709"/>
        <w:jc w:val="both"/>
        <w:rPr>
          <w:rFonts w:ascii="Arial" w:hAnsi="Arial"/>
          <w:sz w:val="22"/>
          <w:szCs w:val="22"/>
        </w:rPr>
      </w:pPr>
      <w:r w:rsidRPr="003324AD">
        <w:rPr>
          <w:rFonts w:ascii="Arial" w:hAnsi="Arial"/>
          <w:sz w:val="22"/>
          <w:szCs w:val="22"/>
        </w:rPr>
        <w:t xml:space="preserve">The PBAC noted the input from three health care professionals and one organisation via the Consumer Comments facility on the PBS website. Most comments described a range of benefits of retaining the last-line listing of </w:t>
      </w:r>
      <w:proofErr w:type="spellStart"/>
      <w:r w:rsidRPr="003324AD">
        <w:rPr>
          <w:rFonts w:ascii="Arial" w:hAnsi="Arial"/>
          <w:sz w:val="22"/>
          <w:szCs w:val="22"/>
        </w:rPr>
        <w:t>erlotinib</w:t>
      </w:r>
      <w:proofErr w:type="spellEnd"/>
      <w:r w:rsidRPr="003324AD">
        <w:rPr>
          <w:rFonts w:ascii="Arial" w:hAnsi="Arial"/>
          <w:sz w:val="22"/>
          <w:szCs w:val="22"/>
        </w:rPr>
        <w:t xml:space="preserve"> including prolonging disease stabilisation and overall survival and maintaining quality of life. The PBAC particularly noted a letter from the Medical Oncologists Group of Australia (MOGA), which indicated that its PBAC Medical Oncology Advisory Committee would not recommend the use of </w:t>
      </w:r>
      <w:proofErr w:type="spellStart"/>
      <w:r w:rsidRPr="003324AD">
        <w:rPr>
          <w:rFonts w:ascii="Arial" w:hAnsi="Arial"/>
          <w:sz w:val="22"/>
          <w:szCs w:val="22"/>
        </w:rPr>
        <w:t>erlotinib</w:t>
      </w:r>
      <w:proofErr w:type="spellEnd"/>
      <w:r w:rsidRPr="003324AD">
        <w:rPr>
          <w:rFonts w:ascii="Arial" w:hAnsi="Arial"/>
          <w:sz w:val="22"/>
          <w:szCs w:val="22"/>
        </w:rPr>
        <w:t xml:space="preserve"> in patients with EGFR-wild-type NSCLC, and would </w:t>
      </w:r>
      <w:r w:rsidRPr="003324AD">
        <w:rPr>
          <w:rFonts w:ascii="Arial" w:hAnsi="Arial"/>
          <w:sz w:val="22"/>
          <w:szCs w:val="22"/>
        </w:rPr>
        <w:lastRenderedPageBreak/>
        <w:t>instead support the use of appropriate effective targeted therapies for specific subsets of patients with NSCLC, and cancer in general.</w:t>
      </w:r>
    </w:p>
    <w:p w:rsidR="00A02FAA" w:rsidRDefault="00A02FAA" w:rsidP="00A02FAA">
      <w:pPr>
        <w:pStyle w:val="ListParagraph"/>
        <w:ind w:left="709"/>
        <w:jc w:val="both"/>
        <w:rPr>
          <w:rFonts w:ascii="Arial" w:hAnsi="Arial"/>
          <w:sz w:val="22"/>
          <w:szCs w:val="22"/>
        </w:rPr>
      </w:pPr>
    </w:p>
    <w:p w:rsidR="00A02FAA" w:rsidRDefault="00CF3FD2" w:rsidP="003324AD">
      <w:pPr>
        <w:pStyle w:val="ListParagraph"/>
        <w:numPr>
          <w:ilvl w:val="1"/>
          <w:numId w:val="26"/>
        </w:numPr>
        <w:ind w:left="709" w:hanging="709"/>
        <w:jc w:val="both"/>
        <w:rPr>
          <w:rFonts w:ascii="Arial" w:hAnsi="Arial"/>
          <w:sz w:val="22"/>
          <w:szCs w:val="22"/>
        </w:rPr>
      </w:pPr>
      <w:r>
        <w:rPr>
          <w:rFonts w:ascii="Arial" w:hAnsi="Arial"/>
          <w:sz w:val="22"/>
          <w:szCs w:val="22"/>
        </w:rPr>
        <w:t>T</w:t>
      </w:r>
      <w:r w:rsidR="00A02FAA">
        <w:rPr>
          <w:rFonts w:ascii="Arial" w:hAnsi="Arial"/>
          <w:sz w:val="22"/>
          <w:szCs w:val="22"/>
        </w:rPr>
        <w:t>here was no hearing for this item.</w:t>
      </w:r>
    </w:p>
    <w:p w:rsidR="003324AD" w:rsidRPr="0074584D" w:rsidRDefault="003324AD" w:rsidP="00882085">
      <w:pPr>
        <w:jc w:val="both"/>
        <w:rPr>
          <w:rFonts w:ascii="Arial" w:hAnsi="Arial"/>
          <w:i/>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6D1FD1">
      <w:pPr>
        <w:tabs>
          <w:tab w:val="left" w:pos="1134"/>
        </w:tabs>
        <w:ind w:left="709"/>
        <w:rPr>
          <w:rFonts w:ascii="Arial" w:hAnsi="Arial"/>
          <w:sz w:val="22"/>
          <w:szCs w:val="22"/>
        </w:rPr>
      </w:pPr>
    </w:p>
    <w:p w:rsidR="00DB6F13" w:rsidRDefault="00DB6F13" w:rsidP="00882085">
      <w:pPr>
        <w:pStyle w:val="ListParagraph"/>
        <w:numPr>
          <w:ilvl w:val="1"/>
          <w:numId w:val="26"/>
        </w:numPr>
        <w:ind w:left="709" w:hanging="709"/>
        <w:jc w:val="both"/>
        <w:rPr>
          <w:rFonts w:ascii="Arial" w:hAnsi="Arial"/>
          <w:sz w:val="22"/>
          <w:szCs w:val="22"/>
        </w:rPr>
      </w:pPr>
      <w:r>
        <w:rPr>
          <w:rFonts w:ascii="Arial" w:hAnsi="Arial"/>
          <w:sz w:val="22"/>
          <w:szCs w:val="22"/>
        </w:rPr>
        <w:t>The submission relies on the BR.21 trial and associated subgroup analyses.</w:t>
      </w:r>
    </w:p>
    <w:p w:rsidR="00C9099B" w:rsidRDefault="00C9099B" w:rsidP="00C9099B">
      <w:pPr>
        <w:pStyle w:val="ListParagraph"/>
        <w:ind w:left="709"/>
        <w:jc w:val="both"/>
        <w:rPr>
          <w:rFonts w:ascii="Arial" w:hAnsi="Arial"/>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linical trials"/>
      </w:tblPr>
      <w:tblGrid>
        <w:gridCol w:w="940"/>
        <w:gridCol w:w="5155"/>
        <w:gridCol w:w="2268"/>
      </w:tblGrid>
      <w:tr w:rsidR="00DB6F13" w:rsidRPr="00DB6F13" w:rsidTr="00DB6F13">
        <w:tc>
          <w:tcPr>
            <w:tcW w:w="940" w:type="dxa"/>
          </w:tcPr>
          <w:p w:rsidR="00DB6F13" w:rsidRPr="00DB6F13" w:rsidRDefault="00DB6F13" w:rsidP="00DB6F13">
            <w:pPr>
              <w:rPr>
                <w:rFonts w:ascii="Arial" w:hAnsi="Arial" w:cs="Arial"/>
                <w:sz w:val="22"/>
                <w:szCs w:val="22"/>
              </w:rPr>
            </w:pPr>
            <w:r w:rsidRPr="00DB6F13">
              <w:rPr>
                <w:rFonts w:ascii="Arial" w:hAnsi="Arial" w:cs="Arial"/>
                <w:sz w:val="22"/>
                <w:szCs w:val="22"/>
              </w:rPr>
              <w:t>Trial ID</w:t>
            </w:r>
          </w:p>
        </w:tc>
        <w:tc>
          <w:tcPr>
            <w:tcW w:w="5155" w:type="dxa"/>
          </w:tcPr>
          <w:p w:rsidR="00DB6F13" w:rsidRPr="00DB6F13" w:rsidRDefault="00DB6F13" w:rsidP="00DB6F13">
            <w:pPr>
              <w:rPr>
                <w:rFonts w:ascii="Arial" w:hAnsi="Arial" w:cs="Arial"/>
                <w:sz w:val="22"/>
                <w:szCs w:val="22"/>
              </w:rPr>
            </w:pPr>
            <w:r w:rsidRPr="00DB6F13">
              <w:rPr>
                <w:rFonts w:ascii="Arial" w:hAnsi="Arial" w:cs="Arial"/>
                <w:sz w:val="22"/>
                <w:szCs w:val="22"/>
              </w:rPr>
              <w:t>Protocol title/ Publication title</w:t>
            </w:r>
          </w:p>
        </w:tc>
        <w:tc>
          <w:tcPr>
            <w:tcW w:w="2268" w:type="dxa"/>
          </w:tcPr>
          <w:p w:rsidR="00DB6F13" w:rsidRPr="00DB6F13" w:rsidRDefault="00DB6F13" w:rsidP="00DB6F13">
            <w:pPr>
              <w:rPr>
                <w:rFonts w:ascii="Arial" w:hAnsi="Arial" w:cs="Arial"/>
                <w:sz w:val="22"/>
                <w:szCs w:val="22"/>
              </w:rPr>
            </w:pPr>
            <w:r w:rsidRPr="00DB6F13">
              <w:rPr>
                <w:rFonts w:ascii="Arial" w:hAnsi="Arial" w:cs="Arial"/>
                <w:sz w:val="22"/>
                <w:szCs w:val="22"/>
              </w:rPr>
              <w:t>Publication citation</w:t>
            </w:r>
          </w:p>
        </w:tc>
      </w:tr>
      <w:tr w:rsidR="00DB6F13" w:rsidRPr="00DB6F13" w:rsidTr="00DB6F13">
        <w:tc>
          <w:tcPr>
            <w:tcW w:w="940" w:type="dxa"/>
          </w:tcPr>
          <w:p w:rsidR="00DB6F13" w:rsidRPr="00DB6F13" w:rsidRDefault="00DB6F13" w:rsidP="00DB6F13">
            <w:pPr>
              <w:rPr>
                <w:rFonts w:ascii="Arial" w:hAnsi="Arial" w:cs="Arial"/>
                <w:sz w:val="22"/>
                <w:szCs w:val="22"/>
              </w:rPr>
            </w:pPr>
            <w:r w:rsidRPr="00DB6F13">
              <w:rPr>
                <w:rFonts w:ascii="Arial" w:hAnsi="Arial" w:cs="Arial"/>
                <w:sz w:val="22"/>
                <w:szCs w:val="22"/>
              </w:rPr>
              <w:t>BR.21</w:t>
            </w:r>
          </w:p>
        </w:tc>
        <w:tc>
          <w:tcPr>
            <w:tcW w:w="5155" w:type="dxa"/>
          </w:tcPr>
          <w:p w:rsidR="00DB6F13" w:rsidRDefault="00DB6F13" w:rsidP="00DB6F13">
            <w:pPr>
              <w:pStyle w:val="ListParagraph"/>
              <w:numPr>
                <w:ilvl w:val="0"/>
                <w:numId w:val="30"/>
              </w:numPr>
              <w:ind w:left="228" w:hanging="218"/>
              <w:rPr>
                <w:rFonts w:ascii="Arial" w:hAnsi="Arial" w:cs="Arial"/>
                <w:sz w:val="22"/>
                <w:szCs w:val="22"/>
              </w:rPr>
            </w:pPr>
            <w:r w:rsidRPr="00DB6F13">
              <w:rPr>
                <w:rFonts w:ascii="Arial" w:hAnsi="Arial" w:cs="Arial"/>
                <w:sz w:val="22"/>
                <w:szCs w:val="22"/>
              </w:rPr>
              <w:t>Protocol BR.21: A randomized, placebo-controlled study of OSI-774 (</w:t>
            </w:r>
            <w:proofErr w:type="spellStart"/>
            <w:r w:rsidRPr="00DB6F13">
              <w:rPr>
                <w:rFonts w:ascii="Arial" w:hAnsi="Arial" w:cs="Arial"/>
                <w:sz w:val="22"/>
                <w:szCs w:val="22"/>
              </w:rPr>
              <w:t>Tarceva</w:t>
            </w:r>
            <w:proofErr w:type="spellEnd"/>
            <w:r w:rsidRPr="00DB6F13">
              <w:rPr>
                <w:vertAlign w:val="superscript"/>
              </w:rPr>
              <w:sym w:font="Symbol" w:char="F0D4"/>
            </w:r>
            <w:r w:rsidRPr="00DB6F13">
              <w:rPr>
                <w:rFonts w:ascii="Arial" w:hAnsi="Arial" w:cs="Arial"/>
                <w:sz w:val="22"/>
                <w:szCs w:val="22"/>
              </w:rPr>
              <w:t>) in patients with incurable stage IIIB/IV non-small cell lung cancer who have failed standard therapy for a</w:t>
            </w:r>
            <w:r w:rsidR="0023522D">
              <w:rPr>
                <w:rFonts w:ascii="Arial" w:hAnsi="Arial" w:cs="Arial"/>
                <w:sz w:val="22"/>
                <w:szCs w:val="22"/>
              </w:rPr>
              <w:t xml:space="preserve">dvanced or metastatic disease. </w:t>
            </w:r>
            <w:r w:rsidRPr="00DB6F13">
              <w:rPr>
                <w:rFonts w:ascii="Arial" w:hAnsi="Arial" w:cs="Arial"/>
                <w:sz w:val="22"/>
                <w:szCs w:val="22"/>
              </w:rPr>
              <w:t>Research Report BR.21/June 15, 2004.</w:t>
            </w:r>
          </w:p>
          <w:p w:rsidR="00DB6F13" w:rsidRDefault="00DB6F13" w:rsidP="00DB6F13">
            <w:pPr>
              <w:pStyle w:val="ListParagraph"/>
              <w:numPr>
                <w:ilvl w:val="0"/>
                <w:numId w:val="30"/>
              </w:numPr>
              <w:ind w:left="228" w:hanging="218"/>
              <w:rPr>
                <w:rFonts w:ascii="Arial" w:hAnsi="Arial" w:cs="Arial"/>
                <w:sz w:val="22"/>
                <w:szCs w:val="22"/>
              </w:rPr>
            </w:pPr>
            <w:r w:rsidRPr="00DB6F13">
              <w:rPr>
                <w:rFonts w:ascii="Arial" w:hAnsi="Arial" w:cs="Arial"/>
                <w:sz w:val="22"/>
                <w:szCs w:val="22"/>
              </w:rPr>
              <w:t xml:space="preserve">Main publication: Shepherd FA </w:t>
            </w:r>
            <w:r w:rsidRPr="00DB6F13">
              <w:rPr>
                <w:rFonts w:ascii="Arial" w:hAnsi="Arial" w:cs="Arial"/>
                <w:i/>
                <w:sz w:val="22"/>
                <w:szCs w:val="22"/>
              </w:rPr>
              <w:t>et al</w:t>
            </w:r>
            <w:r w:rsidRPr="00DB6F13">
              <w:rPr>
                <w:rFonts w:ascii="Arial" w:hAnsi="Arial" w:cs="Arial"/>
                <w:sz w:val="22"/>
                <w:szCs w:val="22"/>
              </w:rPr>
              <w:t xml:space="preserve">. </w:t>
            </w:r>
            <w:proofErr w:type="spellStart"/>
            <w:r w:rsidRPr="00DB6F13">
              <w:rPr>
                <w:rFonts w:ascii="Arial" w:hAnsi="Arial" w:cs="Arial"/>
                <w:sz w:val="22"/>
                <w:szCs w:val="22"/>
              </w:rPr>
              <w:t>Erlotinib</w:t>
            </w:r>
            <w:proofErr w:type="spellEnd"/>
            <w:r w:rsidRPr="00DB6F13">
              <w:rPr>
                <w:rFonts w:ascii="Arial" w:hAnsi="Arial" w:cs="Arial"/>
                <w:sz w:val="22"/>
                <w:szCs w:val="22"/>
              </w:rPr>
              <w:t xml:space="preserve"> in previously treated non-small-cell lung cancer.</w:t>
            </w:r>
          </w:p>
          <w:p w:rsidR="00317F9E" w:rsidRDefault="00DB6F13" w:rsidP="00DB6F13">
            <w:pPr>
              <w:pStyle w:val="ListParagraph"/>
              <w:numPr>
                <w:ilvl w:val="0"/>
                <w:numId w:val="30"/>
              </w:numPr>
              <w:ind w:left="228" w:hanging="218"/>
              <w:rPr>
                <w:rFonts w:ascii="Arial" w:hAnsi="Arial" w:cs="Arial"/>
                <w:sz w:val="22"/>
                <w:szCs w:val="22"/>
              </w:rPr>
            </w:pPr>
            <w:r w:rsidRPr="00DB6F13">
              <w:rPr>
                <w:rFonts w:ascii="Arial" w:hAnsi="Arial" w:cs="Arial"/>
                <w:sz w:val="22"/>
                <w:szCs w:val="22"/>
              </w:rPr>
              <w:t>Publication of subgroup analyses:</w:t>
            </w:r>
          </w:p>
          <w:p w:rsidR="00317F9E" w:rsidRPr="00317F9E" w:rsidRDefault="00DB6F13" w:rsidP="00317F9E">
            <w:pPr>
              <w:pStyle w:val="ListParagraph"/>
              <w:numPr>
                <w:ilvl w:val="0"/>
                <w:numId w:val="30"/>
              </w:numPr>
              <w:ind w:left="511" w:hanging="283"/>
              <w:rPr>
                <w:rFonts w:ascii="Arial" w:hAnsi="Arial" w:cs="Arial"/>
                <w:sz w:val="22"/>
                <w:szCs w:val="22"/>
              </w:rPr>
            </w:pPr>
            <w:proofErr w:type="spellStart"/>
            <w:r w:rsidRPr="00317F9E">
              <w:rPr>
                <w:rFonts w:ascii="Arial" w:hAnsi="Arial" w:cs="Arial"/>
                <w:sz w:val="22"/>
                <w:szCs w:val="22"/>
              </w:rPr>
              <w:t>Tsao</w:t>
            </w:r>
            <w:proofErr w:type="spellEnd"/>
            <w:r w:rsidRPr="00317F9E">
              <w:rPr>
                <w:rFonts w:ascii="Arial" w:hAnsi="Arial" w:cs="Arial"/>
                <w:sz w:val="22"/>
                <w:szCs w:val="22"/>
              </w:rPr>
              <w:t xml:space="preserve"> M-S </w:t>
            </w:r>
            <w:r w:rsidRPr="00317F9E">
              <w:rPr>
                <w:rFonts w:ascii="Arial" w:hAnsi="Arial" w:cs="Arial"/>
                <w:i/>
                <w:sz w:val="22"/>
                <w:szCs w:val="22"/>
              </w:rPr>
              <w:t>et al.</w:t>
            </w:r>
            <w:r w:rsidRPr="00317F9E">
              <w:rPr>
                <w:rFonts w:ascii="Arial" w:hAnsi="Arial" w:cs="Arial"/>
                <w:sz w:val="22"/>
                <w:szCs w:val="22"/>
              </w:rPr>
              <w:t xml:space="preserve"> </w:t>
            </w:r>
            <w:proofErr w:type="spellStart"/>
            <w:r w:rsidRPr="00317F9E">
              <w:rPr>
                <w:rFonts w:ascii="Arial" w:hAnsi="Arial" w:cs="Arial"/>
                <w:sz w:val="22"/>
                <w:szCs w:val="22"/>
              </w:rPr>
              <w:t>Erlotinib</w:t>
            </w:r>
            <w:proofErr w:type="spellEnd"/>
            <w:r w:rsidRPr="00317F9E">
              <w:rPr>
                <w:rFonts w:ascii="Arial" w:hAnsi="Arial" w:cs="Arial"/>
                <w:sz w:val="22"/>
                <w:szCs w:val="22"/>
              </w:rPr>
              <w:t xml:space="preserve"> in lung cancer - molecular and clinical predictors of outcome.</w:t>
            </w:r>
          </w:p>
          <w:p w:rsidR="00317F9E" w:rsidRPr="00317F9E" w:rsidRDefault="00DB6F13" w:rsidP="00317F9E">
            <w:pPr>
              <w:pStyle w:val="ListParagraph"/>
              <w:numPr>
                <w:ilvl w:val="0"/>
                <w:numId w:val="30"/>
              </w:numPr>
              <w:ind w:left="511" w:hanging="283"/>
              <w:rPr>
                <w:rFonts w:ascii="Arial" w:hAnsi="Arial" w:cs="Arial"/>
                <w:sz w:val="22"/>
                <w:szCs w:val="22"/>
              </w:rPr>
            </w:pPr>
            <w:r w:rsidRPr="00317F9E">
              <w:rPr>
                <w:rFonts w:ascii="Arial" w:hAnsi="Arial" w:cs="Arial"/>
                <w:sz w:val="22"/>
                <w:szCs w:val="22"/>
              </w:rPr>
              <w:t xml:space="preserve">Zhu CQ </w:t>
            </w:r>
            <w:r w:rsidRPr="00317F9E">
              <w:rPr>
                <w:rFonts w:ascii="Arial" w:hAnsi="Arial" w:cs="Arial"/>
                <w:i/>
                <w:sz w:val="22"/>
                <w:szCs w:val="22"/>
              </w:rPr>
              <w:t xml:space="preserve">et al. </w:t>
            </w:r>
            <w:r w:rsidRPr="00317F9E">
              <w:rPr>
                <w:rFonts w:ascii="Arial" w:hAnsi="Arial" w:cs="Arial"/>
                <w:sz w:val="22"/>
                <w:szCs w:val="22"/>
              </w:rPr>
              <w:t xml:space="preserve">Role of KRAS and EGFR as biomarkers of response to </w:t>
            </w:r>
            <w:proofErr w:type="spellStart"/>
            <w:r w:rsidRPr="00317F9E">
              <w:rPr>
                <w:rFonts w:ascii="Arial" w:hAnsi="Arial" w:cs="Arial"/>
                <w:sz w:val="22"/>
                <w:szCs w:val="22"/>
              </w:rPr>
              <w:t>erlotinib</w:t>
            </w:r>
            <w:proofErr w:type="spellEnd"/>
            <w:r w:rsidRPr="00317F9E">
              <w:rPr>
                <w:rFonts w:ascii="Arial" w:hAnsi="Arial" w:cs="Arial"/>
                <w:sz w:val="22"/>
                <w:szCs w:val="22"/>
              </w:rPr>
              <w:t xml:space="preserve"> in National Cancer Institute of Canada Clinical Trials Group Study BR.21.</w:t>
            </w:r>
          </w:p>
          <w:p w:rsidR="00DB6F13" w:rsidRPr="00317F9E" w:rsidRDefault="00DB6F13" w:rsidP="00DB6F13">
            <w:pPr>
              <w:pStyle w:val="ListParagraph"/>
              <w:numPr>
                <w:ilvl w:val="0"/>
                <w:numId w:val="30"/>
              </w:numPr>
              <w:ind w:left="228" w:hanging="218"/>
              <w:rPr>
                <w:rFonts w:ascii="Arial" w:hAnsi="Arial" w:cs="Arial"/>
                <w:sz w:val="22"/>
                <w:szCs w:val="22"/>
              </w:rPr>
            </w:pPr>
            <w:r w:rsidRPr="00317F9E">
              <w:rPr>
                <w:rFonts w:ascii="Arial" w:hAnsi="Arial" w:cs="Arial"/>
                <w:sz w:val="22"/>
                <w:szCs w:val="22"/>
              </w:rPr>
              <w:t>Two further unpublished subgroup analyses.</w:t>
            </w:r>
          </w:p>
        </w:tc>
        <w:tc>
          <w:tcPr>
            <w:tcW w:w="2268" w:type="dxa"/>
          </w:tcPr>
          <w:p w:rsidR="00DB6F13" w:rsidRPr="00317F9E" w:rsidRDefault="00DB6F13" w:rsidP="00DB6F13">
            <w:pPr>
              <w:rPr>
                <w:rFonts w:ascii="Arial" w:hAnsi="Arial" w:cs="Arial"/>
                <w:i/>
                <w:sz w:val="28"/>
                <w:szCs w:val="28"/>
              </w:rPr>
            </w:pPr>
          </w:p>
          <w:p w:rsidR="00DB6F13" w:rsidRPr="00DB6F13" w:rsidRDefault="00DB6F13" w:rsidP="00DB6F13">
            <w:pPr>
              <w:rPr>
                <w:rFonts w:ascii="Arial" w:hAnsi="Arial" w:cs="Arial"/>
                <w:i/>
                <w:sz w:val="22"/>
                <w:szCs w:val="22"/>
              </w:rPr>
            </w:pPr>
          </w:p>
          <w:p w:rsidR="00DB6F13" w:rsidRPr="00DB6F13" w:rsidRDefault="00DB6F13" w:rsidP="00DB6F13">
            <w:pPr>
              <w:rPr>
                <w:rFonts w:ascii="Arial" w:hAnsi="Arial" w:cs="Arial"/>
                <w:i/>
                <w:sz w:val="22"/>
                <w:szCs w:val="22"/>
              </w:rPr>
            </w:pPr>
          </w:p>
          <w:p w:rsidR="00DB6F13" w:rsidRPr="00DB6F13" w:rsidRDefault="00DB6F13" w:rsidP="00DB6F13">
            <w:pPr>
              <w:rPr>
                <w:rFonts w:ascii="Arial" w:hAnsi="Arial" w:cs="Arial"/>
                <w:i/>
                <w:sz w:val="22"/>
                <w:szCs w:val="22"/>
              </w:rPr>
            </w:pPr>
          </w:p>
          <w:p w:rsidR="00DB6F13" w:rsidRPr="00DB6F13" w:rsidRDefault="00DB6F13" w:rsidP="00DB6F13">
            <w:pPr>
              <w:rPr>
                <w:rFonts w:ascii="Arial" w:hAnsi="Arial" w:cs="Arial"/>
                <w:i/>
                <w:sz w:val="22"/>
                <w:szCs w:val="22"/>
              </w:rPr>
            </w:pPr>
          </w:p>
          <w:p w:rsidR="00DB6F13" w:rsidRPr="00DB6F13" w:rsidRDefault="00DB6F13" w:rsidP="00DB6F13">
            <w:pPr>
              <w:rPr>
                <w:rFonts w:ascii="Arial" w:hAnsi="Arial" w:cs="Arial"/>
                <w:i/>
                <w:sz w:val="22"/>
                <w:szCs w:val="22"/>
              </w:rPr>
            </w:pPr>
          </w:p>
          <w:p w:rsidR="00DB6F13" w:rsidRDefault="00DB6F13" w:rsidP="00DB6F13">
            <w:pPr>
              <w:rPr>
                <w:rFonts w:ascii="Arial" w:hAnsi="Arial" w:cs="Arial"/>
                <w:sz w:val="22"/>
                <w:szCs w:val="22"/>
              </w:rPr>
            </w:pPr>
            <w:r w:rsidRPr="00DB6F13">
              <w:rPr>
                <w:rFonts w:ascii="Arial" w:hAnsi="Arial" w:cs="Arial"/>
                <w:i/>
                <w:sz w:val="22"/>
                <w:szCs w:val="22"/>
              </w:rPr>
              <w:t xml:space="preserve">N </w:t>
            </w:r>
            <w:proofErr w:type="spellStart"/>
            <w:r w:rsidRPr="00DB6F13">
              <w:rPr>
                <w:rFonts w:ascii="Arial" w:hAnsi="Arial" w:cs="Arial"/>
                <w:i/>
                <w:sz w:val="22"/>
                <w:szCs w:val="22"/>
              </w:rPr>
              <w:t>Engl</w:t>
            </w:r>
            <w:proofErr w:type="spellEnd"/>
            <w:r w:rsidRPr="00DB6F13">
              <w:rPr>
                <w:rFonts w:ascii="Arial" w:hAnsi="Arial" w:cs="Arial"/>
                <w:i/>
                <w:sz w:val="22"/>
                <w:szCs w:val="22"/>
              </w:rPr>
              <w:t xml:space="preserve"> J Med </w:t>
            </w:r>
            <w:r w:rsidRPr="00DB6F13">
              <w:rPr>
                <w:rFonts w:ascii="Arial" w:hAnsi="Arial" w:cs="Arial"/>
                <w:sz w:val="22"/>
                <w:szCs w:val="22"/>
              </w:rPr>
              <w:t>2005; 353: 123-32</w:t>
            </w:r>
          </w:p>
          <w:p w:rsidR="00DB6F13" w:rsidRPr="00DB6F13" w:rsidRDefault="00DB6F13" w:rsidP="00DB6F13">
            <w:pPr>
              <w:rPr>
                <w:rFonts w:ascii="Arial" w:hAnsi="Arial" w:cs="Arial"/>
                <w:sz w:val="22"/>
                <w:szCs w:val="22"/>
              </w:rPr>
            </w:pPr>
          </w:p>
          <w:p w:rsidR="00DB6F13" w:rsidRDefault="00DB6F13" w:rsidP="00DB6F13">
            <w:pPr>
              <w:rPr>
                <w:rFonts w:ascii="Arial" w:hAnsi="Arial" w:cs="Arial"/>
                <w:sz w:val="22"/>
                <w:szCs w:val="22"/>
              </w:rPr>
            </w:pPr>
            <w:r w:rsidRPr="00DB6F13">
              <w:rPr>
                <w:rFonts w:ascii="Arial" w:hAnsi="Arial" w:cs="Arial"/>
                <w:i/>
                <w:sz w:val="22"/>
                <w:szCs w:val="22"/>
              </w:rPr>
              <w:t xml:space="preserve">N </w:t>
            </w:r>
            <w:proofErr w:type="spellStart"/>
            <w:r w:rsidRPr="00DB6F13">
              <w:rPr>
                <w:rFonts w:ascii="Arial" w:hAnsi="Arial" w:cs="Arial"/>
                <w:i/>
                <w:sz w:val="22"/>
                <w:szCs w:val="22"/>
              </w:rPr>
              <w:t>Engl</w:t>
            </w:r>
            <w:proofErr w:type="spellEnd"/>
            <w:r w:rsidRPr="00DB6F13">
              <w:rPr>
                <w:rFonts w:ascii="Arial" w:hAnsi="Arial" w:cs="Arial"/>
                <w:i/>
                <w:sz w:val="22"/>
                <w:szCs w:val="22"/>
              </w:rPr>
              <w:t xml:space="preserve"> J Med </w:t>
            </w:r>
            <w:r w:rsidRPr="00DB6F13">
              <w:rPr>
                <w:rFonts w:ascii="Arial" w:hAnsi="Arial" w:cs="Arial"/>
                <w:sz w:val="22"/>
                <w:szCs w:val="22"/>
              </w:rPr>
              <w:t>2005;</w:t>
            </w:r>
            <w:r w:rsidRPr="00DB6F13">
              <w:rPr>
                <w:rFonts w:ascii="Arial" w:hAnsi="Arial" w:cs="Arial"/>
                <w:i/>
                <w:sz w:val="22"/>
                <w:szCs w:val="22"/>
              </w:rPr>
              <w:t xml:space="preserve"> </w:t>
            </w:r>
            <w:r w:rsidRPr="00DB6F13">
              <w:rPr>
                <w:rFonts w:ascii="Arial" w:hAnsi="Arial" w:cs="Arial"/>
                <w:sz w:val="22"/>
                <w:szCs w:val="22"/>
              </w:rPr>
              <w:t>353: 133-44</w:t>
            </w:r>
          </w:p>
          <w:p w:rsidR="00DB6F13" w:rsidRPr="00DB6F13" w:rsidRDefault="0023522D" w:rsidP="00DB6F13">
            <w:pPr>
              <w:rPr>
                <w:rFonts w:ascii="Arial" w:hAnsi="Arial" w:cs="Arial"/>
                <w:i/>
                <w:sz w:val="22"/>
                <w:szCs w:val="22"/>
              </w:rPr>
            </w:pPr>
            <w:r w:rsidRPr="00DB6F13">
              <w:rPr>
                <w:rFonts w:ascii="Arial" w:hAnsi="Arial" w:cs="Arial"/>
                <w:i/>
                <w:sz w:val="22"/>
                <w:szCs w:val="22"/>
              </w:rPr>
              <w:t xml:space="preserve">J </w:t>
            </w:r>
            <w:proofErr w:type="spellStart"/>
            <w:r w:rsidRPr="00DB6F13">
              <w:rPr>
                <w:rFonts w:ascii="Arial" w:hAnsi="Arial" w:cs="Arial"/>
                <w:i/>
                <w:sz w:val="22"/>
                <w:szCs w:val="22"/>
              </w:rPr>
              <w:t>Clin</w:t>
            </w:r>
            <w:proofErr w:type="spellEnd"/>
            <w:r w:rsidRPr="00DB6F13">
              <w:rPr>
                <w:rFonts w:ascii="Arial" w:hAnsi="Arial" w:cs="Arial"/>
                <w:i/>
                <w:sz w:val="22"/>
                <w:szCs w:val="22"/>
              </w:rPr>
              <w:t xml:space="preserve"> </w:t>
            </w:r>
            <w:proofErr w:type="spellStart"/>
            <w:r w:rsidRPr="00DB6F13">
              <w:rPr>
                <w:rFonts w:ascii="Arial" w:hAnsi="Arial" w:cs="Arial"/>
                <w:i/>
                <w:sz w:val="22"/>
                <w:szCs w:val="22"/>
              </w:rPr>
              <w:t>Oncol</w:t>
            </w:r>
            <w:proofErr w:type="spellEnd"/>
            <w:r w:rsidRPr="00DB6F13">
              <w:rPr>
                <w:rFonts w:ascii="Arial" w:hAnsi="Arial" w:cs="Arial"/>
                <w:i/>
                <w:sz w:val="22"/>
                <w:szCs w:val="22"/>
              </w:rPr>
              <w:t xml:space="preserve"> </w:t>
            </w:r>
            <w:r w:rsidR="00DB6F13" w:rsidRPr="00DB6F13">
              <w:rPr>
                <w:rFonts w:ascii="Arial" w:hAnsi="Arial" w:cs="Arial"/>
                <w:sz w:val="22"/>
                <w:szCs w:val="22"/>
              </w:rPr>
              <w:t>2008</w:t>
            </w:r>
            <w:r w:rsidR="00DB6F13">
              <w:rPr>
                <w:rFonts w:ascii="Arial" w:hAnsi="Arial" w:cs="Arial"/>
                <w:sz w:val="22"/>
                <w:szCs w:val="22"/>
              </w:rPr>
              <w:t>; 26: 4268-</w:t>
            </w:r>
            <w:r w:rsidR="00DB6F13" w:rsidRPr="00DB6F13">
              <w:rPr>
                <w:rFonts w:ascii="Arial" w:hAnsi="Arial" w:cs="Arial"/>
                <w:sz w:val="22"/>
                <w:szCs w:val="22"/>
              </w:rPr>
              <w:t>75.</w:t>
            </w:r>
          </w:p>
        </w:tc>
      </w:tr>
    </w:tbl>
    <w:p w:rsidR="00DB6F13" w:rsidRPr="00DB6F13" w:rsidRDefault="00DB6F13" w:rsidP="00DB6F13">
      <w:pPr>
        <w:ind w:left="709"/>
        <w:rPr>
          <w:rFonts w:ascii="Arial" w:hAnsi="Arial" w:cs="Arial"/>
          <w:sz w:val="22"/>
          <w:szCs w:val="22"/>
        </w:rPr>
      </w:pPr>
      <w:r w:rsidRPr="00DB6F13">
        <w:rPr>
          <w:rFonts w:ascii="Arial" w:hAnsi="Arial" w:cs="Arial"/>
          <w:sz w:val="22"/>
          <w:szCs w:val="22"/>
        </w:rPr>
        <w:t>Source: Table B.2.3, p8 of Section B of the submission.</w:t>
      </w:r>
    </w:p>
    <w:p w:rsidR="00F03EC4" w:rsidRPr="00F03EC4" w:rsidRDefault="00F03EC4" w:rsidP="00F03EC4">
      <w:pPr>
        <w:pStyle w:val="ListParagraph"/>
        <w:ind w:left="709"/>
        <w:jc w:val="both"/>
        <w:rPr>
          <w:rFonts w:ascii="Arial" w:hAnsi="Arial" w:cs="Arial"/>
          <w:snapToGrid w:val="0"/>
          <w:sz w:val="22"/>
          <w:szCs w:val="22"/>
        </w:rPr>
      </w:pPr>
    </w:p>
    <w:p w:rsidR="001632F1" w:rsidRPr="001632F1" w:rsidRDefault="00EB6D24" w:rsidP="001632F1">
      <w:pPr>
        <w:pStyle w:val="ListParagraph"/>
        <w:numPr>
          <w:ilvl w:val="1"/>
          <w:numId w:val="26"/>
        </w:numPr>
        <w:ind w:left="709" w:hanging="709"/>
        <w:jc w:val="both"/>
        <w:rPr>
          <w:rFonts w:ascii="Arial" w:hAnsi="Arial" w:cs="Arial"/>
          <w:snapToGrid w:val="0"/>
          <w:sz w:val="22"/>
          <w:szCs w:val="22"/>
        </w:rPr>
      </w:pPr>
      <w:r w:rsidRPr="00EB6D24">
        <w:rPr>
          <w:rFonts w:ascii="Arial" w:hAnsi="Arial" w:cs="Arial"/>
          <w:sz w:val="22"/>
          <w:szCs w:val="22"/>
        </w:rPr>
        <w:t xml:space="preserve">The PBAC agreed that the relevant population for use of </w:t>
      </w:r>
      <w:proofErr w:type="spellStart"/>
      <w:r w:rsidRPr="00EB6D24">
        <w:rPr>
          <w:rFonts w:ascii="Arial" w:hAnsi="Arial" w:cs="Arial"/>
          <w:sz w:val="22"/>
          <w:szCs w:val="22"/>
        </w:rPr>
        <w:t>erlotinib</w:t>
      </w:r>
      <w:proofErr w:type="spellEnd"/>
      <w:r w:rsidR="0039732E">
        <w:rPr>
          <w:rFonts w:ascii="Arial" w:hAnsi="Arial" w:cs="Arial"/>
          <w:sz w:val="22"/>
          <w:szCs w:val="22"/>
        </w:rPr>
        <w:t xml:space="preserve"> (</w:t>
      </w:r>
      <w:r w:rsidRPr="00EB6D24">
        <w:rPr>
          <w:rFonts w:ascii="Arial" w:hAnsi="Arial" w:cs="Arial"/>
          <w:sz w:val="22"/>
          <w:szCs w:val="22"/>
        </w:rPr>
        <w:t>i.e. after all chemotherapy options are exhausted</w:t>
      </w:r>
      <w:r w:rsidR="0039732E">
        <w:rPr>
          <w:rFonts w:ascii="Arial" w:hAnsi="Arial" w:cs="Arial"/>
          <w:sz w:val="22"/>
          <w:szCs w:val="22"/>
        </w:rPr>
        <w:t>)</w:t>
      </w:r>
      <w:r w:rsidRPr="00EB6D24">
        <w:rPr>
          <w:rFonts w:ascii="Arial" w:hAnsi="Arial" w:cs="Arial"/>
          <w:sz w:val="22"/>
          <w:szCs w:val="22"/>
        </w:rPr>
        <w:t xml:space="preserve"> </w:t>
      </w:r>
      <w:r w:rsidR="0039732E">
        <w:rPr>
          <w:rFonts w:ascii="Arial" w:hAnsi="Arial" w:cs="Arial"/>
          <w:sz w:val="22"/>
          <w:szCs w:val="22"/>
        </w:rPr>
        <w:t>is</w:t>
      </w:r>
      <w:r w:rsidRPr="00EB6D24">
        <w:rPr>
          <w:rFonts w:ascii="Arial" w:hAnsi="Arial" w:cs="Arial"/>
          <w:sz w:val="22"/>
          <w:szCs w:val="22"/>
        </w:rPr>
        <w:t xml:space="preserve"> essentially those with EGFR wild type tumours (whether tested non-squamous or not otherwise specified NSCLC or untested squamous NSCLC). This is the consequence of the previous </w:t>
      </w:r>
      <w:proofErr w:type="spellStart"/>
      <w:r w:rsidRPr="00EB6D24">
        <w:rPr>
          <w:rFonts w:ascii="Arial" w:hAnsi="Arial" w:cs="Arial"/>
          <w:sz w:val="22"/>
          <w:szCs w:val="22"/>
        </w:rPr>
        <w:t>erlotinib</w:t>
      </w:r>
      <w:proofErr w:type="spellEnd"/>
      <w:r w:rsidRPr="00EB6D24">
        <w:rPr>
          <w:rFonts w:ascii="Arial" w:hAnsi="Arial" w:cs="Arial"/>
          <w:sz w:val="22"/>
          <w:szCs w:val="22"/>
        </w:rPr>
        <w:t xml:space="preserve"> PBS restriction for later line therapy of advanced NSCLC without reference to EGFR mutation status being overtaken by more recent PBS restrictions for an episode of TKI therapy of EGFR mutation-positive advanced NSCLC without reference to any line of therapy.</w:t>
      </w:r>
    </w:p>
    <w:p w:rsidR="001632F1" w:rsidRPr="001632F1" w:rsidRDefault="001632F1" w:rsidP="001632F1">
      <w:pPr>
        <w:pStyle w:val="ListParagraph"/>
        <w:ind w:left="709"/>
        <w:jc w:val="both"/>
        <w:rPr>
          <w:rFonts w:ascii="Arial" w:hAnsi="Arial" w:cs="Arial"/>
          <w:snapToGrid w:val="0"/>
          <w:sz w:val="22"/>
          <w:szCs w:val="22"/>
        </w:rPr>
      </w:pPr>
    </w:p>
    <w:p w:rsidR="001632F1" w:rsidRDefault="00AE52F5" w:rsidP="001632F1">
      <w:pPr>
        <w:pStyle w:val="ListParagraph"/>
        <w:numPr>
          <w:ilvl w:val="1"/>
          <w:numId w:val="26"/>
        </w:numPr>
        <w:ind w:left="709" w:hanging="709"/>
        <w:jc w:val="both"/>
        <w:rPr>
          <w:rFonts w:ascii="Arial" w:hAnsi="Arial" w:cs="Arial"/>
          <w:snapToGrid w:val="0"/>
          <w:sz w:val="22"/>
          <w:szCs w:val="22"/>
        </w:rPr>
      </w:pPr>
      <w:r w:rsidRPr="001632F1">
        <w:rPr>
          <w:rFonts w:ascii="Arial" w:hAnsi="Arial" w:cs="Arial"/>
          <w:sz w:val="22"/>
          <w:szCs w:val="22"/>
        </w:rPr>
        <w:t xml:space="preserve">The </w:t>
      </w:r>
      <w:r w:rsidR="00EB6D24" w:rsidRPr="001632F1">
        <w:rPr>
          <w:rFonts w:ascii="Arial" w:hAnsi="Arial" w:cs="Arial"/>
          <w:sz w:val="22"/>
          <w:szCs w:val="22"/>
        </w:rPr>
        <w:t xml:space="preserve">PBAC therefore </w:t>
      </w:r>
      <w:r w:rsidRPr="001632F1">
        <w:rPr>
          <w:rFonts w:ascii="Arial" w:hAnsi="Arial" w:cs="Arial"/>
          <w:sz w:val="22"/>
          <w:szCs w:val="22"/>
        </w:rPr>
        <w:t xml:space="preserve">agreed with </w:t>
      </w:r>
      <w:r w:rsidR="00EB6D24" w:rsidRPr="001632F1">
        <w:rPr>
          <w:rFonts w:ascii="Arial" w:hAnsi="Arial" w:cs="Arial"/>
          <w:sz w:val="22"/>
          <w:szCs w:val="22"/>
        </w:rPr>
        <w:t>ESC that</w:t>
      </w:r>
      <w:r w:rsidR="00D6372F" w:rsidRPr="001632F1">
        <w:rPr>
          <w:rFonts w:ascii="Arial" w:hAnsi="Arial" w:cs="Arial"/>
          <w:sz w:val="22"/>
          <w:szCs w:val="22"/>
        </w:rPr>
        <w:t xml:space="preserve"> </w:t>
      </w:r>
      <w:r w:rsidR="00D6372F" w:rsidRPr="001632F1">
        <w:rPr>
          <w:rFonts w:ascii="Arial" w:hAnsi="Arial" w:cs="Arial"/>
          <w:snapToGrid w:val="0"/>
          <w:sz w:val="22"/>
          <w:szCs w:val="22"/>
        </w:rPr>
        <w:t>the participants in the BR.21 randomised trial do not represent patients managed in modern day clinical practice. In particular, this trial was undertaken in an era where EGFR (and ALK) status was not known, and NSCLC was classified differently. Further</w:t>
      </w:r>
      <w:r w:rsidR="00EB6D24" w:rsidRPr="001632F1">
        <w:rPr>
          <w:rFonts w:ascii="Arial" w:hAnsi="Arial" w:cs="Arial"/>
          <w:sz w:val="22"/>
          <w:szCs w:val="22"/>
        </w:rPr>
        <w:t>, d</w:t>
      </w:r>
      <w:r w:rsidR="00F03EC4" w:rsidRPr="001632F1">
        <w:rPr>
          <w:rFonts w:ascii="Arial" w:hAnsi="Arial" w:cs="Arial"/>
          <w:sz w:val="22"/>
          <w:szCs w:val="22"/>
        </w:rPr>
        <w:t xml:space="preserve">espite the assurances conveyed from </w:t>
      </w:r>
      <w:r w:rsidR="00D6372F" w:rsidRPr="001632F1">
        <w:rPr>
          <w:rFonts w:ascii="Arial" w:hAnsi="Arial" w:cs="Arial"/>
          <w:sz w:val="22"/>
          <w:szCs w:val="22"/>
        </w:rPr>
        <w:t xml:space="preserve">the trial’s </w:t>
      </w:r>
      <w:r w:rsidR="00F03EC4" w:rsidRPr="001632F1">
        <w:rPr>
          <w:rFonts w:ascii="Arial" w:hAnsi="Arial" w:cs="Arial"/>
          <w:sz w:val="22"/>
          <w:szCs w:val="22"/>
        </w:rPr>
        <w:t>principal investigator by the pre-subcommittee response (PSCR),</w:t>
      </w:r>
      <w:r w:rsidR="00F03EC4" w:rsidRPr="001632F1">
        <w:rPr>
          <w:rFonts w:ascii="Arial" w:hAnsi="Arial" w:cs="Arial"/>
          <w:snapToGrid w:val="0"/>
          <w:sz w:val="22"/>
          <w:szCs w:val="22"/>
        </w:rPr>
        <w:t xml:space="preserve"> </w:t>
      </w:r>
      <w:r w:rsidR="00D6372F" w:rsidRPr="001632F1">
        <w:rPr>
          <w:rFonts w:ascii="Arial" w:hAnsi="Arial" w:cs="Arial"/>
          <w:snapToGrid w:val="0"/>
          <w:sz w:val="22"/>
          <w:szCs w:val="22"/>
        </w:rPr>
        <w:t xml:space="preserve">the trial participants </w:t>
      </w:r>
      <w:r w:rsidR="00F03EC4" w:rsidRPr="001632F1">
        <w:rPr>
          <w:rFonts w:ascii="Arial" w:hAnsi="Arial" w:cs="Arial"/>
          <w:snapToGrid w:val="0"/>
          <w:sz w:val="22"/>
          <w:szCs w:val="22"/>
        </w:rPr>
        <w:t>do not meet the PBS restriction of having exhausted all chemotherapy options</w:t>
      </w:r>
      <w:r w:rsidR="0039732E" w:rsidRPr="001632F1">
        <w:rPr>
          <w:rFonts w:ascii="Arial" w:hAnsi="Arial" w:cs="Arial"/>
          <w:snapToGrid w:val="0"/>
          <w:sz w:val="22"/>
          <w:szCs w:val="22"/>
        </w:rPr>
        <w:t xml:space="preserve"> and are therefore</w:t>
      </w:r>
      <w:r w:rsidR="00F03EC4" w:rsidRPr="001632F1">
        <w:rPr>
          <w:rFonts w:ascii="Arial" w:hAnsi="Arial" w:cs="Arial"/>
          <w:snapToGrid w:val="0"/>
          <w:sz w:val="22"/>
          <w:szCs w:val="22"/>
        </w:rPr>
        <w:t xml:space="preserve"> only suitable for BSC. </w:t>
      </w:r>
      <w:r w:rsidR="00D6372F" w:rsidRPr="001632F1">
        <w:rPr>
          <w:rFonts w:ascii="Arial" w:hAnsi="Arial" w:cs="Arial"/>
          <w:snapToGrid w:val="0"/>
          <w:sz w:val="22"/>
          <w:szCs w:val="22"/>
        </w:rPr>
        <w:t xml:space="preserve">This is because </w:t>
      </w:r>
      <w:r w:rsidR="00AE4FBD">
        <w:rPr>
          <w:rFonts w:ascii="Arial" w:hAnsi="Arial" w:cs="Arial"/>
          <w:noProof/>
          <w:snapToGrid w:val="0"/>
          <w:color w:val="000000"/>
          <w:sz w:val="22"/>
          <w:szCs w:val="22"/>
          <w:highlight w:val="black"/>
        </w:rPr>
        <w:t>''''''</w:t>
      </w:r>
      <w:r w:rsidR="00F03EC4" w:rsidRPr="001632F1">
        <w:rPr>
          <w:rFonts w:ascii="Arial" w:hAnsi="Arial" w:cs="Arial"/>
          <w:snapToGrid w:val="0"/>
          <w:sz w:val="22"/>
          <w:szCs w:val="22"/>
        </w:rPr>
        <w:t xml:space="preserve">% </w:t>
      </w:r>
      <w:r w:rsidR="00D6372F" w:rsidRPr="001632F1">
        <w:rPr>
          <w:rFonts w:ascii="Arial" w:hAnsi="Arial" w:cs="Arial"/>
          <w:snapToGrid w:val="0"/>
          <w:sz w:val="22"/>
          <w:szCs w:val="22"/>
        </w:rPr>
        <w:t xml:space="preserve">of trial participants </w:t>
      </w:r>
      <w:r w:rsidR="00F03EC4" w:rsidRPr="001632F1">
        <w:rPr>
          <w:rFonts w:ascii="Arial" w:hAnsi="Arial" w:cs="Arial"/>
          <w:snapToGrid w:val="0"/>
          <w:sz w:val="22"/>
          <w:szCs w:val="22"/>
        </w:rPr>
        <w:t xml:space="preserve">received subsequent anticancer therapy comprising chemotherapy, EGFR inhibitors and/or radiation therapy. </w:t>
      </w:r>
      <w:r w:rsidR="00AE4FBD">
        <w:rPr>
          <w:rFonts w:ascii="Arial" w:hAnsi="Arial" w:cs="Arial"/>
          <w:noProof/>
          <w:snapToGrid w:val="0"/>
          <w:color w:val="000000"/>
          <w:sz w:val="22"/>
          <w:szCs w:val="22"/>
          <w:highlight w:val="black"/>
        </w:rPr>
        <w:t>''''''</w:t>
      </w:r>
      <w:r w:rsidR="00F03EC4" w:rsidRPr="001632F1">
        <w:rPr>
          <w:rFonts w:ascii="Arial" w:hAnsi="Arial" w:cs="Arial"/>
          <w:snapToGrid w:val="0"/>
          <w:sz w:val="22"/>
          <w:szCs w:val="22"/>
        </w:rPr>
        <w:t xml:space="preserve">% of patients had only one prior chemotherapy regimen. </w:t>
      </w:r>
      <w:r w:rsidR="006265F8" w:rsidRPr="001632F1">
        <w:rPr>
          <w:rFonts w:ascii="Arial" w:hAnsi="Arial" w:cs="Arial"/>
          <w:snapToGrid w:val="0"/>
          <w:sz w:val="22"/>
          <w:szCs w:val="22"/>
        </w:rPr>
        <w:t xml:space="preserve"> </w:t>
      </w:r>
      <w:r w:rsidR="00F03EC4" w:rsidRPr="001632F1">
        <w:rPr>
          <w:rFonts w:ascii="Arial" w:hAnsi="Arial" w:cs="Arial"/>
          <w:snapToGrid w:val="0"/>
          <w:sz w:val="22"/>
          <w:szCs w:val="22"/>
        </w:rPr>
        <w:t>The PBAC noted the more detailed description of the trial population provided in the pre-PBAC response</w:t>
      </w:r>
      <w:r w:rsidR="00D6372F" w:rsidRPr="001632F1">
        <w:rPr>
          <w:rFonts w:ascii="Arial" w:hAnsi="Arial" w:cs="Arial"/>
          <w:snapToGrid w:val="0"/>
          <w:sz w:val="22"/>
          <w:szCs w:val="22"/>
        </w:rPr>
        <w:t xml:space="preserve"> did not change this conclusion</w:t>
      </w:r>
      <w:r w:rsidR="00F03EC4" w:rsidRPr="001632F1">
        <w:rPr>
          <w:rFonts w:ascii="Arial" w:hAnsi="Arial" w:cs="Arial"/>
          <w:snapToGrid w:val="0"/>
          <w:sz w:val="22"/>
          <w:szCs w:val="22"/>
        </w:rPr>
        <w:t>.</w:t>
      </w:r>
    </w:p>
    <w:p w:rsidR="001632F1" w:rsidRPr="001632F1" w:rsidRDefault="001632F1" w:rsidP="001632F1">
      <w:pPr>
        <w:pStyle w:val="ListParagraph"/>
        <w:rPr>
          <w:rFonts w:ascii="Arial" w:hAnsi="Arial"/>
          <w:sz w:val="22"/>
          <w:szCs w:val="22"/>
        </w:rPr>
      </w:pPr>
    </w:p>
    <w:p w:rsidR="001632F1" w:rsidRPr="001632F1" w:rsidRDefault="00EB6D24" w:rsidP="001632F1">
      <w:pPr>
        <w:pStyle w:val="ListParagraph"/>
        <w:numPr>
          <w:ilvl w:val="1"/>
          <w:numId w:val="26"/>
        </w:numPr>
        <w:ind w:left="709" w:hanging="709"/>
        <w:jc w:val="both"/>
        <w:rPr>
          <w:rFonts w:ascii="Arial" w:hAnsi="Arial" w:cs="Arial"/>
          <w:snapToGrid w:val="0"/>
          <w:sz w:val="22"/>
          <w:szCs w:val="22"/>
        </w:rPr>
      </w:pPr>
      <w:r w:rsidRPr="001632F1">
        <w:rPr>
          <w:rFonts w:ascii="Arial" w:hAnsi="Arial"/>
          <w:sz w:val="22"/>
          <w:szCs w:val="22"/>
        </w:rPr>
        <w:t>The PBAC considered that a</w:t>
      </w:r>
      <w:r w:rsidR="00F03EC4" w:rsidRPr="001632F1">
        <w:rPr>
          <w:rFonts w:ascii="Arial" w:hAnsi="Arial"/>
          <w:sz w:val="22"/>
          <w:szCs w:val="22"/>
        </w:rPr>
        <w:t>ny concern regarding the representativeness of the broader BR.21 sample to the relevant PBS population (exhausting all chemotherapy options) applies equally to any of these subgroup analyses drawn from BR.21, published or otherwise.</w:t>
      </w:r>
      <w:r w:rsidR="00920B8E" w:rsidRPr="001632F1">
        <w:rPr>
          <w:rFonts w:ascii="Arial" w:hAnsi="Arial"/>
          <w:sz w:val="22"/>
          <w:szCs w:val="22"/>
        </w:rPr>
        <w:t xml:space="preserve"> </w:t>
      </w:r>
      <w:r w:rsidR="006265F8" w:rsidRPr="001632F1">
        <w:rPr>
          <w:rFonts w:ascii="Arial" w:hAnsi="Arial"/>
          <w:sz w:val="22"/>
          <w:szCs w:val="22"/>
        </w:rPr>
        <w:t xml:space="preserve"> </w:t>
      </w:r>
      <w:r w:rsidR="006F7F1E" w:rsidRPr="001632F1">
        <w:rPr>
          <w:rFonts w:ascii="Arial" w:hAnsi="Arial"/>
          <w:sz w:val="22"/>
          <w:szCs w:val="22"/>
        </w:rPr>
        <w:t xml:space="preserve">The two published retrospective exploratory subgroup </w:t>
      </w:r>
      <w:r w:rsidR="006F7F1E" w:rsidRPr="001632F1">
        <w:rPr>
          <w:rFonts w:ascii="Arial" w:hAnsi="Arial"/>
          <w:sz w:val="22"/>
          <w:szCs w:val="22"/>
        </w:rPr>
        <w:lastRenderedPageBreak/>
        <w:t>analyses according to EGFR status were interpreted with caution; for example less than 30% of the ITT population had a biopsy sample suitable for later EGFR testing.</w:t>
      </w:r>
    </w:p>
    <w:p w:rsidR="001632F1" w:rsidRPr="001632F1" w:rsidRDefault="001632F1" w:rsidP="001632F1">
      <w:pPr>
        <w:pStyle w:val="ListParagraph"/>
        <w:rPr>
          <w:rFonts w:ascii="Arial" w:hAnsi="Arial"/>
          <w:sz w:val="22"/>
          <w:szCs w:val="22"/>
        </w:rPr>
      </w:pPr>
    </w:p>
    <w:p w:rsidR="00F03EC4" w:rsidRPr="001632F1" w:rsidRDefault="00D6372F" w:rsidP="001632F1">
      <w:pPr>
        <w:pStyle w:val="ListParagraph"/>
        <w:numPr>
          <w:ilvl w:val="1"/>
          <w:numId w:val="26"/>
        </w:numPr>
        <w:ind w:left="709" w:hanging="709"/>
        <w:jc w:val="both"/>
        <w:rPr>
          <w:rFonts w:ascii="Arial" w:hAnsi="Arial" w:cs="Arial"/>
          <w:snapToGrid w:val="0"/>
          <w:sz w:val="22"/>
          <w:szCs w:val="22"/>
        </w:rPr>
      </w:pPr>
      <w:r w:rsidRPr="001632F1">
        <w:rPr>
          <w:rFonts w:ascii="Arial" w:hAnsi="Arial"/>
          <w:sz w:val="22"/>
          <w:szCs w:val="22"/>
        </w:rPr>
        <w:t>The PSCR presented baseline data by treatment arm for both unpublished subgroups</w:t>
      </w:r>
      <w:r w:rsidR="00CF3FD2" w:rsidRPr="001632F1">
        <w:rPr>
          <w:rFonts w:ascii="Arial" w:hAnsi="Arial"/>
          <w:sz w:val="22"/>
          <w:szCs w:val="22"/>
        </w:rPr>
        <w:t>. There were</w:t>
      </w:r>
      <w:r w:rsidRPr="001632F1">
        <w:rPr>
          <w:rFonts w:ascii="Arial" w:hAnsi="Arial"/>
          <w:sz w:val="22"/>
          <w:szCs w:val="22"/>
        </w:rPr>
        <w:t xml:space="preserve"> no large imbalances across arms for the parameters reported, but the possibility of residual confounding</w:t>
      </w:r>
      <w:r w:rsidR="00CF3FD2" w:rsidRPr="001632F1">
        <w:rPr>
          <w:rFonts w:ascii="Arial" w:hAnsi="Arial"/>
          <w:sz w:val="22"/>
          <w:szCs w:val="22"/>
        </w:rPr>
        <w:t xml:space="preserve"> could not be excluded</w:t>
      </w:r>
      <w:r w:rsidRPr="001632F1">
        <w:rPr>
          <w:rFonts w:ascii="Arial" w:hAnsi="Arial"/>
          <w:sz w:val="22"/>
          <w:szCs w:val="22"/>
        </w:rPr>
        <w:t xml:space="preserve">. </w:t>
      </w:r>
      <w:r w:rsidR="006265F8" w:rsidRPr="001632F1">
        <w:rPr>
          <w:rFonts w:ascii="Arial" w:hAnsi="Arial"/>
          <w:sz w:val="22"/>
          <w:szCs w:val="22"/>
        </w:rPr>
        <w:t xml:space="preserve"> </w:t>
      </w:r>
      <w:r w:rsidR="00920B8E" w:rsidRPr="001632F1">
        <w:rPr>
          <w:rFonts w:ascii="Arial" w:hAnsi="Arial"/>
          <w:sz w:val="22"/>
          <w:szCs w:val="22"/>
        </w:rPr>
        <w:t xml:space="preserve">The </w:t>
      </w:r>
      <w:r w:rsidR="0039732E" w:rsidRPr="001632F1">
        <w:rPr>
          <w:rFonts w:ascii="Arial" w:hAnsi="Arial"/>
          <w:sz w:val="22"/>
          <w:szCs w:val="22"/>
        </w:rPr>
        <w:t xml:space="preserve">PBAC considered that the </w:t>
      </w:r>
      <w:r w:rsidR="00920B8E" w:rsidRPr="001632F1">
        <w:rPr>
          <w:rFonts w:ascii="Arial" w:hAnsi="Arial"/>
          <w:sz w:val="22"/>
          <w:szCs w:val="22"/>
        </w:rPr>
        <w:t xml:space="preserve">relevance of the </w:t>
      </w:r>
      <w:r w:rsidR="00F03EC4" w:rsidRPr="001632F1">
        <w:rPr>
          <w:rFonts w:ascii="Arial" w:hAnsi="Arial"/>
          <w:sz w:val="22"/>
          <w:szCs w:val="22"/>
        </w:rPr>
        <w:t xml:space="preserve">EGFR wild type or “unknown” </w:t>
      </w:r>
      <w:r w:rsidR="00920B8E" w:rsidRPr="001632F1">
        <w:rPr>
          <w:rFonts w:ascii="Arial" w:hAnsi="Arial"/>
          <w:sz w:val="22"/>
          <w:szCs w:val="22"/>
        </w:rPr>
        <w:t xml:space="preserve">unpublished </w:t>
      </w:r>
      <w:r w:rsidR="00F03EC4" w:rsidRPr="001632F1">
        <w:rPr>
          <w:rFonts w:ascii="Arial" w:hAnsi="Arial"/>
          <w:sz w:val="22"/>
          <w:szCs w:val="22"/>
        </w:rPr>
        <w:t xml:space="preserve">subgroup (comprising 93% of the ITT population) is limited because of the large proportion of “unknown” patients </w:t>
      </w:r>
      <w:r w:rsidR="00920B8E" w:rsidRPr="001632F1">
        <w:rPr>
          <w:rFonts w:ascii="Arial" w:hAnsi="Arial"/>
          <w:sz w:val="22"/>
          <w:szCs w:val="22"/>
        </w:rPr>
        <w:t xml:space="preserve">who </w:t>
      </w:r>
      <w:r w:rsidR="00F03EC4" w:rsidRPr="001632F1">
        <w:rPr>
          <w:rFonts w:ascii="Arial" w:hAnsi="Arial"/>
          <w:sz w:val="22"/>
          <w:szCs w:val="22"/>
        </w:rPr>
        <w:t>were not subsequently tested for EGFR mutations (primarily due to lack of sample availability). These untested patients would include patients with EGFR mutations. In Australian clinical practice, however, untested patients would primarily have squamous disease; &gt;99% of whom would have EGFR wild type disease. The</w:t>
      </w:r>
      <w:r w:rsidR="0039732E" w:rsidRPr="001632F1">
        <w:rPr>
          <w:rFonts w:ascii="Arial" w:hAnsi="Arial"/>
          <w:sz w:val="22"/>
          <w:szCs w:val="22"/>
        </w:rPr>
        <w:t xml:space="preserve"> PBAC therefore considered that the</w:t>
      </w:r>
      <w:r w:rsidR="00F03EC4" w:rsidRPr="001632F1">
        <w:rPr>
          <w:rFonts w:ascii="Arial" w:hAnsi="Arial"/>
          <w:sz w:val="22"/>
          <w:szCs w:val="22"/>
        </w:rPr>
        <w:t>se patients are not “unknown” as such.</w:t>
      </w:r>
      <w:r w:rsidR="00920B8E" w:rsidRPr="001632F1">
        <w:rPr>
          <w:rFonts w:ascii="Arial" w:hAnsi="Arial"/>
          <w:sz w:val="22"/>
          <w:szCs w:val="22"/>
        </w:rPr>
        <w:t xml:space="preserve"> </w:t>
      </w:r>
      <w:r w:rsidRPr="001632F1">
        <w:rPr>
          <w:rFonts w:ascii="Arial" w:hAnsi="Arial"/>
          <w:sz w:val="22"/>
          <w:szCs w:val="22"/>
        </w:rPr>
        <w:t>Of th</w:t>
      </w:r>
      <w:r w:rsidR="00920B8E" w:rsidRPr="001632F1">
        <w:rPr>
          <w:rFonts w:ascii="Arial" w:hAnsi="Arial"/>
          <w:sz w:val="22"/>
          <w:szCs w:val="22"/>
        </w:rPr>
        <w:t xml:space="preserve">e </w:t>
      </w:r>
      <w:r w:rsidRPr="001632F1">
        <w:rPr>
          <w:rFonts w:ascii="Arial" w:hAnsi="Arial"/>
          <w:sz w:val="22"/>
          <w:szCs w:val="22"/>
        </w:rPr>
        <w:t>two</w:t>
      </w:r>
      <w:r w:rsidR="00CF3FD2" w:rsidRPr="001632F1">
        <w:rPr>
          <w:rFonts w:ascii="Arial" w:hAnsi="Arial"/>
          <w:sz w:val="22"/>
          <w:szCs w:val="22"/>
        </w:rPr>
        <w:t xml:space="preserve"> populations</w:t>
      </w:r>
      <w:r w:rsidRPr="001632F1">
        <w:rPr>
          <w:rFonts w:ascii="Arial" w:hAnsi="Arial"/>
          <w:sz w:val="22"/>
          <w:szCs w:val="22"/>
        </w:rPr>
        <w:t xml:space="preserve">, the </w:t>
      </w:r>
      <w:r w:rsidR="00920B8E" w:rsidRPr="001632F1">
        <w:rPr>
          <w:rFonts w:ascii="Arial" w:hAnsi="Arial"/>
          <w:sz w:val="22"/>
          <w:szCs w:val="22"/>
        </w:rPr>
        <w:t>s</w:t>
      </w:r>
      <w:r w:rsidR="00F03EC4" w:rsidRPr="001632F1">
        <w:rPr>
          <w:rFonts w:ascii="Arial" w:hAnsi="Arial"/>
          <w:sz w:val="22"/>
          <w:szCs w:val="22"/>
        </w:rPr>
        <w:t xml:space="preserve">quamous histology </w:t>
      </w:r>
      <w:r w:rsidR="00920B8E" w:rsidRPr="001632F1">
        <w:rPr>
          <w:rFonts w:ascii="Arial" w:hAnsi="Arial"/>
          <w:sz w:val="22"/>
          <w:szCs w:val="22"/>
        </w:rPr>
        <w:t xml:space="preserve">unpublished </w:t>
      </w:r>
      <w:r w:rsidR="00F03EC4" w:rsidRPr="001632F1">
        <w:rPr>
          <w:rFonts w:ascii="Arial" w:hAnsi="Arial"/>
          <w:sz w:val="22"/>
          <w:szCs w:val="22"/>
        </w:rPr>
        <w:t>subgroup (comprising 30% of the ITT population)</w:t>
      </w:r>
      <w:r w:rsidR="00920B8E" w:rsidRPr="001632F1">
        <w:rPr>
          <w:rFonts w:ascii="Arial" w:hAnsi="Arial"/>
          <w:sz w:val="22"/>
          <w:szCs w:val="22"/>
        </w:rPr>
        <w:t xml:space="preserve"> </w:t>
      </w:r>
      <w:r w:rsidR="0039732E" w:rsidRPr="001632F1">
        <w:rPr>
          <w:rFonts w:ascii="Arial" w:hAnsi="Arial"/>
          <w:sz w:val="22"/>
          <w:szCs w:val="22"/>
        </w:rPr>
        <w:t>was</w:t>
      </w:r>
      <w:r w:rsidR="00F03EC4" w:rsidRPr="001632F1">
        <w:rPr>
          <w:rFonts w:ascii="Arial" w:hAnsi="Arial"/>
          <w:sz w:val="22"/>
          <w:szCs w:val="22"/>
        </w:rPr>
        <w:t xml:space="preserve"> </w:t>
      </w:r>
      <w:r w:rsidR="00920B8E" w:rsidRPr="001632F1">
        <w:rPr>
          <w:rFonts w:ascii="Arial" w:hAnsi="Arial"/>
          <w:sz w:val="22"/>
          <w:szCs w:val="22"/>
        </w:rPr>
        <w:t xml:space="preserve">therefore potentially </w:t>
      </w:r>
      <w:r w:rsidR="00F03EC4" w:rsidRPr="001632F1">
        <w:rPr>
          <w:rFonts w:ascii="Arial" w:hAnsi="Arial"/>
          <w:sz w:val="22"/>
          <w:szCs w:val="22"/>
        </w:rPr>
        <w:t>more relevant</w:t>
      </w:r>
      <w:r w:rsidRPr="001632F1">
        <w:rPr>
          <w:rFonts w:ascii="Arial" w:hAnsi="Arial"/>
          <w:sz w:val="22"/>
          <w:szCs w:val="22"/>
        </w:rPr>
        <w:t xml:space="preserve"> for further analysis</w:t>
      </w:r>
      <w:r w:rsidR="00F03EC4" w:rsidRPr="001632F1">
        <w:rPr>
          <w:rFonts w:ascii="Arial" w:hAnsi="Arial"/>
          <w:sz w:val="22"/>
          <w:szCs w:val="22"/>
        </w:rPr>
        <w:t>.</w:t>
      </w:r>
    </w:p>
    <w:p w:rsidR="001632F1" w:rsidRPr="00F03EC4" w:rsidRDefault="001632F1" w:rsidP="00F03EC4">
      <w:pPr>
        <w:pStyle w:val="ListParagraph"/>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effectiveness</w:t>
      </w:r>
    </w:p>
    <w:p w:rsidR="005A3173" w:rsidRPr="00882085" w:rsidRDefault="005A3173" w:rsidP="006D1FD1">
      <w:pPr>
        <w:tabs>
          <w:tab w:val="left" w:pos="1134"/>
        </w:tabs>
        <w:ind w:left="709"/>
        <w:rPr>
          <w:rFonts w:ascii="Arial" w:hAnsi="Arial"/>
          <w:sz w:val="22"/>
          <w:szCs w:val="22"/>
        </w:rPr>
      </w:pPr>
    </w:p>
    <w:p w:rsidR="00D7347E" w:rsidRPr="00081494" w:rsidRDefault="00DB6BE0" w:rsidP="00081494">
      <w:pPr>
        <w:jc w:val="both"/>
        <w:rPr>
          <w:rFonts w:ascii="Arial" w:hAnsi="Arial"/>
          <w:sz w:val="22"/>
          <w:szCs w:val="22"/>
        </w:rPr>
      </w:pPr>
      <w:r>
        <w:rPr>
          <w:rFonts w:ascii="Arial" w:hAnsi="Arial"/>
          <w:sz w:val="22"/>
          <w:szCs w:val="22"/>
        </w:rPr>
        <w:t xml:space="preserve">The progression-free survival and overall survival results from the BR.21 trial for the intention-to-treat population </w:t>
      </w:r>
      <w:r w:rsidR="00AE4FBD">
        <w:rPr>
          <w:rFonts w:ascii="Arial" w:hAnsi="Arial"/>
          <w:noProof/>
          <w:color w:val="000000"/>
          <w:sz w:val="22"/>
          <w:szCs w:val="22"/>
          <w:highlight w:val="black"/>
        </w:rPr>
        <w:t>''''''''' '''''''' '''''''''' ''''''''''''''''''''''''''''''' ''''''''''''''''''''''''''''''''' ''''''''''''''''''''''' ''''''''''''''''''''</w:t>
      </w:r>
      <w:r>
        <w:rPr>
          <w:rFonts w:ascii="Arial" w:hAnsi="Arial"/>
          <w:sz w:val="22"/>
          <w:szCs w:val="22"/>
        </w:rPr>
        <w:t xml:space="preserve"> are summarised in the table below.</w:t>
      </w:r>
    </w:p>
    <w:tbl>
      <w:tblPr>
        <w:tblW w:w="455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overall survival results and quality of life data"/>
      </w:tblPr>
      <w:tblGrid>
        <w:gridCol w:w="1987"/>
        <w:gridCol w:w="1135"/>
        <w:gridCol w:w="998"/>
        <w:gridCol w:w="1276"/>
        <w:gridCol w:w="993"/>
        <w:gridCol w:w="1135"/>
        <w:gridCol w:w="894"/>
      </w:tblGrid>
      <w:tr w:rsidR="00DB6BE0" w:rsidRPr="00DB6BE0" w:rsidTr="00DB6BE0">
        <w:tc>
          <w:tcPr>
            <w:tcW w:w="1180" w:type="pct"/>
            <w:vMerge w:val="restart"/>
            <w:shd w:val="clear" w:color="auto" w:fill="auto"/>
          </w:tcPr>
          <w:p w:rsidR="00DB6BE0" w:rsidRPr="002F5F7F" w:rsidRDefault="00DB6BE0" w:rsidP="00DB6BE0">
            <w:pPr>
              <w:keepNext/>
              <w:rPr>
                <w:rFonts w:ascii="Arial" w:hAnsi="Arial" w:cs="Arial"/>
                <w:b/>
                <w:sz w:val="20"/>
                <w:szCs w:val="20"/>
              </w:rPr>
            </w:pPr>
            <w:r w:rsidRPr="002F5F7F">
              <w:rPr>
                <w:rFonts w:ascii="Arial" w:hAnsi="Arial" w:cs="Arial"/>
                <w:b/>
                <w:sz w:val="20"/>
                <w:szCs w:val="20"/>
              </w:rPr>
              <w:t>Variable</w:t>
            </w:r>
          </w:p>
        </w:tc>
        <w:tc>
          <w:tcPr>
            <w:tcW w:w="1267" w:type="pct"/>
            <w:gridSpan w:val="2"/>
          </w:tcPr>
          <w:p w:rsidR="00DB6BE0" w:rsidRPr="002F5F7F" w:rsidRDefault="00DB6BE0" w:rsidP="00DB6BE0">
            <w:pPr>
              <w:keepNext/>
              <w:jc w:val="center"/>
              <w:rPr>
                <w:rFonts w:ascii="Arial" w:hAnsi="Arial" w:cs="Arial"/>
                <w:b/>
                <w:sz w:val="20"/>
                <w:szCs w:val="20"/>
              </w:rPr>
            </w:pPr>
            <w:r w:rsidRPr="002F5F7F">
              <w:rPr>
                <w:rFonts w:ascii="Arial" w:hAnsi="Arial" w:cs="Arial"/>
                <w:b/>
                <w:sz w:val="20"/>
                <w:szCs w:val="20"/>
              </w:rPr>
              <w:t>ITT</w:t>
            </w:r>
          </w:p>
        </w:tc>
        <w:tc>
          <w:tcPr>
            <w:tcW w:w="1348" w:type="pct"/>
            <w:gridSpan w:val="2"/>
          </w:tcPr>
          <w:p w:rsidR="00DB6BE0" w:rsidRPr="002F5F7F" w:rsidRDefault="00DB6BE0" w:rsidP="00DB6BE0">
            <w:pPr>
              <w:keepNext/>
              <w:jc w:val="center"/>
              <w:rPr>
                <w:rFonts w:ascii="Arial" w:hAnsi="Arial" w:cs="Arial"/>
                <w:b/>
                <w:sz w:val="20"/>
                <w:szCs w:val="20"/>
              </w:rPr>
            </w:pPr>
            <w:r w:rsidRPr="002F5F7F">
              <w:rPr>
                <w:rFonts w:ascii="Arial" w:hAnsi="Arial" w:cs="Arial"/>
                <w:b/>
                <w:sz w:val="20"/>
                <w:szCs w:val="20"/>
              </w:rPr>
              <w:t>EGFR wild type or unknown subgroup</w:t>
            </w:r>
          </w:p>
        </w:tc>
        <w:tc>
          <w:tcPr>
            <w:tcW w:w="1205" w:type="pct"/>
            <w:gridSpan w:val="2"/>
            <w:shd w:val="clear" w:color="auto" w:fill="auto"/>
          </w:tcPr>
          <w:p w:rsidR="00DB6BE0" w:rsidRPr="002F5F7F" w:rsidRDefault="00DB6BE0" w:rsidP="00DB6BE0">
            <w:pPr>
              <w:keepNext/>
              <w:jc w:val="center"/>
              <w:rPr>
                <w:rFonts w:ascii="Arial" w:hAnsi="Arial" w:cs="Arial"/>
                <w:b/>
                <w:sz w:val="20"/>
                <w:szCs w:val="20"/>
              </w:rPr>
            </w:pPr>
            <w:r w:rsidRPr="002F5F7F">
              <w:rPr>
                <w:rFonts w:ascii="Arial" w:hAnsi="Arial" w:cs="Arial"/>
                <w:b/>
                <w:sz w:val="20"/>
                <w:szCs w:val="20"/>
              </w:rPr>
              <w:t>Squamous subgroup</w:t>
            </w:r>
          </w:p>
        </w:tc>
      </w:tr>
      <w:tr w:rsidR="00DB6BE0" w:rsidRPr="00DB6BE0" w:rsidTr="00DB6BE0">
        <w:trPr>
          <w:trHeight w:val="279"/>
        </w:trPr>
        <w:tc>
          <w:tcPr>
            <w:tcW w:w="1180" w:type="pct"/>
            <w:vMerge/>
            <w:shd w:val="clear" w:color="auto" w:fill="auto"/>
          </w:tcPr>
          <w:p w:rsidR="00DB6BE0" w:rsidRPr="002F5F7F" w:rsidRDefault="00DB6BE0" w:rsidP="00DB6BE0">
            <w:pPr>
              <w:keepNext/>
              <w:rPr>
                <w:rFonts w:ascii="Arial" w:hAnsi="Arial" w:cs="Arial"/>
                <w:b/>
                <w:sz w:val="20"/>
                <w:szCs w:val="20"/>
              </w:rPr>
            </w:pPr>
          </w:p>
        </w:tc>
        <w:tc>
          <w:tcPr>
            <w:tcW w:w="674" w:type="pct"/>
          </w:tcPr>
          <w:p w:rsidR="00DB6BE0" w:rsidRPr="002F5F7F" w:rsidRDefault="00DB6BE0" w:rsidP="00DB6BE0">
            <w:pPr>
              <w:keepNext/>
              <w:spacing w:after="300"/>
              <w:contextualSpacing/>
              <w:jc w:val="center"/>
              <w:rPr>
                <w:rFonts w:ascii="Arial" w:hAnsi="Arial" w:cs="Arial"/>
                <w:b/>
                <w:sz w:val="20"/>
                <w:szCs w:val="20"/>
              </w:rPr>
            </w:pPr>
            <w:proofErr w:type="spellStart"/>
            <w:r w:rsidRPr="002F5F7F">
              <w:rPr>
                <w:rFonts w:ascii="Arial" w:hAnsi="Arial" w:cs="Arial"/>
                <w:b/>
                <w:sz w:val="20"/>
                <w:szCs w:val="20"/>
              </w:rPr>
              <w:t>Erlotinib</w:t>
            </w:r>
            <w:proofErr w:type="spellEnd"/>
          </w:p>
        </w:tc>
        <w:tc>
          <w:tcPr>
            <w:tcW w:w="593" w:type="pct"/>
          </w:tcPr>
          <w:p w:rsidR="00DB6BE0" w:rsidRPr="002F5F7F" w:rsidRDefault="00DB6BE0" w:rsidP="00DB6BE0">
            <w:pPr>
              <w:keepNext/>
              <w:spacing w:after="300"/>
              <w:contextualSpacing/>
              <w:jc w:val="center"/>
              <w:rPr>
                <w:rFonts w:ascii="Arial" w:hAnsi="Arial" w:cs="Arial"/>
                <w:b/>
                <w:sz w:val="20"/>
                <w:szCs w:val="20"/>
              </w:rPr>
            </w:pPr>
            <w:r w:rsidRPr="002F5F7F">
              <w:rPr>
                <w:rFonts w:ascii="Arial" w:hAnsi="Arial" w:cs="Arial"/>
                <w:b/>
                <w:sz w:val="20"/>
                <w:szCs w:val="20"/>
              </w:rPr>
              <w:t>BSC</w:t>
            </w:r>
          </w:p>
        </w:tc>
        <w:tc>
          <w:tcPr>
            <w:tcW w:w="758" w:type="pct"/>
          </w:tcPr>
          <w:p w:rsidR="00DB6BE0" w:rsidRPr="002F5F7F" w:rsidRDefault="00DB6BE0" w:rsidP="00DB6BE0">
            <w:pPr>
              <w:keepNext/>
              <w:spacing w:after="300"/>
              <w:contextualSpacing/>
              <w:jc w:val="center"/>
              <w:rPr>
                <w:rFonts w:ascii="Arial" w:hAnsi="Arial" w:cs="Arial"/>
                <w:b/>
                <w:sz w:val="20"/>
                <w:szCs w:val="20"/>
              </w:rPr>
            </w:pPr>
            <w:proofErr w:type="spellStart"/>
            <w:r w:rsidRPr="002F5F7F">
              <w:rPr>
                <w:rFonts w:ascii="Arial" w:hAnsi="Arial" w:cs="Arial"/>
                <w:b/>
                <w:sz w:val="20"/>
                <w:szCs w:val="20"/>
              </w:rPr>
              <w:t>Erlotinib</w:t>
            </w:r>
            <w:proofErr w:type="spellEnd"/>
          </w:p>
        </w:tc>
        <w:tc>
          <w:tcPr>
            <w:tcW w:w="590" w:type="pct"/>
          </w:tcPr>
          <w:p w:rsidR="00DB6BE0" w:rsidRPr="002F5F7F" w:rsidRDefault="00DB6BE0" w:rsidP="00DB6BE0">
            <w:pPr>
              <w:keepNext/>
              <w:spacing w:after="300"/>
              <w:contextualSpacing/>
              <w:jc w:val="center"/>
              <w:rPr>
                <w:rFonts w:ascii="Arial" w:hAnsi="Arial" w:cs="Arial"/>
                <w:b/>
                <w:sz w:val="20"/>
                <w:szCs w:val="20"/>
              </w:rPr>
            </w:pPr>
            <w:r w:rsidRPr="002F5F7F">
              <w:rPr>
                <w:rFonts w:ascii="Arial" w:hAnsi="Arial" w:cs="Arial"/>
                <w:b/>
                <w:sz w:val="20"/>
                <w:szCs w:val="20"/>
              </w:rPr>
              <w:t>BSC</w:t>
            </w:r>
          </w:p>
        </w:tc>
        <w:tc>
          <w:tcPr>
            <w:tcW w:w="674" w:type="pct"/>
            <w:shd w:val="clear" w:color="auto" w:fill="auto"/>
          </w:tcPr>
          <w:p w:rsidR="00DB6BE0" w:rsidRPr="002F5F7F" w:rsidRDefault="00DB6BE0" w:rsidP="00DB6BE0">
            <w:pPr>
              <w:keepNext/>
              <w:spacing w:after="300"/>
              <w:contextualSpacing/>
              <w:jc w:val="center"/>
              <w:rPr>
                <w:rFonts w:ascii="Arial" w:hAnsi="Arial" w:cs="Arial"/>
                <w:b/>
                <w:sz w:val="20"/>
                <w:szCs w:val="20"/>
              </w:rPr>
            </w:pPr>
            <w:proofErr w:type="spellStart"/>
            <w:r w:rsidRPr="002F5F7F">
              <w:rPr>
                <w:rFonts w:ascii="Arial" w:hAnsi="Arial" w:cs="Arial"/>
                <w:b/>
                <w:sz w:val="20"/>
                <w:szCs w:val="20"/>
              </w:rPr>
              <w:t>Erlotinib</w:t>
            </w:r>
            <w:proofErr w:type="spellEnd"/>
          </w:p>
        </w:tc>
        <w:tc>
          <w:tcPr>
            <w:tcW w:w="531" w:type="pct"/>
            <w:shd w:val="clear" w:color="auto" w:fill="auto"/>
          </w:tcPr>
          <w:p w:rsidR="00DB6BE0" w:rsidRPr="002F5F7F" w:rsidRDefault="00DB6BE0" w:rsidP="00DB6BE0">
            <w:pPr>
              <w:keepNext/>
              <w:spacing w:after="300"/>
              <w:contextualSpacing/>
              <w:jc w:val="center"/>
              <w:rPr>
                <w:rFonts w:ascii="Arial" w:hAnsi="Arial" w:cs="Arial"/>
                <w:b/>
                <w:sz w:val="20"/>
                <w:szCs w:val="20"/>
              </w:rPr>
            </w:pPr>
            <w:r w:rsidRPr="002F5F7F">
              <w:rPr>
                <w:rFonts w:ascii="Arial" w:hAnsi="Arial" w:cs="Arial"/>
                <w:b/>
                <w:sz w:val="20"/>
                <w:szCs w:val="20"/>
              </w:rPr>
              <w:t>BSC</w:t>
            </w:r>
          </w:p>
        </w:tc>
      </w:tr>
      <w:tr w:rsidR="00DB6BE0" w:rsidRPr="00DB6BE0" w:rsidTr="00DB6BE0">
        <w:tc>
          <w:tcPr>
            <w:tcW w:w="1180" w:type="pct"/>
            <w:shd w:val="clear" w:color="auto" w:fill="D9D9D9"/>
          </w:tcPr>
          <w:p w:rsidR="00DB6BE0" w:rsidRPr="002F5F7F" w:rsidRDefault="00DB6BE0" w:rsidP="00DB6BE0">
            <w:pPr>
              <w:rPr>
                <w:rFonts w:ascii="Arial" w:hAnsi="Arial" w:cs="Arial"/>
                <w:b/>
                <w:bCs/>
                <w:sz w:val="20"/>
                <w:szCs w:val="20"/>
              </w:rPr>
            </w:pPr>
            <w:r w:rsidRPr="002F5F7F">
              <w:rPr>
                <w:rFonts w:ascii="Arial" w:hAnsi="Arial" w:cs="Arial"/>
                <w:b/>
                <w:bCs/>
                <w:sz w:val="20"/>
                <w:szCs w:val="20"/>
              </w:rPr>
              <w:t>OS (months)</w:t>
            </w:r>
          </w:p>
        </w:tc>
        <w:tc>
          <w:tcPr>
            <w:tcW w:w="674" w:type="pct"/>
            <w:shd w:val="clear" w:color="auto" w:fill="D9D9D9"/>
          </w:tcPr>
          <w:p w:rsidR="00DB6BE0" w:rsidRPr="002F5F7F" w:rsidRDefault="00DB6BE0" w:rsidP="00DB6BE0">
            <w:pPr>
              <w:keepNext/>
              <w:spacing w:after="300"/>
              <w:contextualSpacing/>
              <w:jc w:val="center"/>
              <w:rPr>
                <w:rFonts w:ascii="Arial" w:hAnsi="Arial" w:cs="Arial"/>
                <w:sz w:val="20"/>
                <w:szCs w:val="20"/>
              </w:rPr>
            </w:pPr>
            <w:r w:rsidRPr="002F5F7F">
              <w:rPr>
                <w:rFonts w:ascii="Arial" w:hAnsi="Arial" w:cs="Arial"/>
                <w:sz w:val="20"/>
                <w:szCs w:val="20"/>
              </w:rPr>
              <w:t>(n=488)</w:t>
            </w:r>
          </w:p>
        </w:tc>
        <w:tc>
          <w:tcPr>
            <w:tcW w:w="593" w:type="pct"/>
            <w:shd w:val="clear" w:color="auto" w:fill="D9D9D9"/>
          </w:tcPr>
          <w:p w:rsidR="00DB6BE0" w:rsidRPr="002F5F7F" w:rsidRDefault="00DB6BE0" w:rsidP="00DB6BE0">
            <w:pPr>
              <w:keepNext/>
              <w:spacing w:after="300"/>
              <w:contextualSpacing/>
              <w:jc w:val="center"/>
              <w:rPr>
                <w:rFonts w:ascii="Arial" w:hAnsi="Arial" w:cs="Arial"/>
                <w:sz w:val="20"/>
                <w:szCs w:val="20"/>
              </w:rPr>
            </w:pPr>
            <w:r w:rsidRPr="002F5F7F">
              <w:rPr>
                <w:rFonts w:ascii="Arial" w:hAnsi="Arial" w:cs="Arial"/>
                <w:sz w:val="20"/>
                <w:szCs w:val="20"/>
              </w:rPr>
              <w:t>(n=243)</w:t>
            </w:r>
          </w:p>
        </w:tc>
        <w:tc>
          <w:tcPr>
            <w:tcW w:w="758" w:type="pct"/>
            <w:shd w:val="clear" w:color="auto" w:fill="D9D9D9"/>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90" w:type="pct"/>
            <w:shd w:val="clear" w:color="auto" w:fill="D9D9D9"/>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674" w:type="pct"/>
            <w:shd w:val="clear" w:color="auto" w:fill="D9D9D9"/>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31" w:type="pct"/>
            <w:shd w:val="clear" w:color="auto" w:fill="D9D9D9"/>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B6BE0" w:rsidRPr="00DB6BE0" w:rsidTr="00DB6BE0">
        <w:tc>
          <w:tcPr>
            <w:tcW w:w="1180" w:type="pct"/>
            <w:shd w:val="clear" w:color="auto" w:fill="auto"/>
          </w:tcPr>
          <w:p w:rsidR="00DB6BE0" w:rsidRPr="002F5F7F" w:rsidRDefault="00DB6BE0" w:rsidP="00DB6BE0">
            <w:pPr>
              <w:spacing w:after="300"/>
              <w:contextualSpacing/>
              <w:rPr>
                <w:rFonts w:ascii="Arial" w:hAnsi="Arial" w:cs="Arial"/>
                <w:bCs/>
                <w:sz w:val="20"/>
                <w:szCs w:val="20"/>
              </w:rPr>
            </w:pPr>
            <w:r w:rsidRPr="002F5F7F">
              <w:rPr>
                <w:rFonts w:ascii="Arial" w:hAnsi="Arial" w:cs="Arial"/>
                <w:bCs/>
                <w:sz w:val="20"/>
                <w:szCs w:val="20"/>
              </w:rPr>
              <w:t>Median</w:t>
            </w:r>
          </w:p>
        </w:tc>
        <w:tc>
          <w:tcPr>
            <w:tcW w:w="674" w:type="pct"/>
          </w:tcPr>
          <w:p w:rsidR="00DB6BE0" w:rsidRPr="002F5F7F" w:rsidRDefault="00DB6BE0" w:rsidP="00DB6BE0">
            <w:pPr>
              <w:keepNext/>
              <w:spacing w:after="300"/>
              <w:contextualSpacing/>
              <w:jc w:val="center"/>
              <w:rPr>
                <w:rFonts w:ascii="Arial" w:hAnsi="Arial" w:cs="Arial"/>
                <w:bCs/>
                <w:sz w:val="20"/>
                <w:szCs w:val="20"/>
              </w:rPr>
            </w:pPr>
            <w:r w:rsidRPr="002F5F7F">
              <w:rPr>
                <w:rFonts w:ascii="Arial" w:hAnsi="Arial" w:cs="Arial"/>
                <w:bCs/>
                <w:sz w:val="20"/>
                <w:szCs w:val="20"/>
              </w:rPr>
              <w:t>6.7</w:t>
            </w:r>
          </w:p>
        </w:tc>
        <w:tc>
          <w:tcPr>
            <w:tcW w:w="593" w:type="pct"/>
          </w:tcPr>
          <w:p w:rsidR="00DB6BE0" w:rsidRPr="002F5F7F" w:rsidRDefault="00DB6BE0" w:rsidP="00DB6BE0">
            <w:pPr>
              <w:keepNext/>
              <w:spacing w:after="300"/>
              <w:contextualSpacing/>
              <w:jc w:val="center"/>
              <w:rPr>
                <w:rFonts w:ascii="Arial" w:hAnsi="Arial" w:cs="Arial"/>
                <w:bCs/>
                <w:sz w:val="20"/>
                <w:szCs w:val="20"/>
              </w:rPr>
            </w:pPr>
            <w:r w:rsidRPr="002F5F7F">
              <w:rPr>
                <w:rFonts w:ascii="Arial" w:hAnsi="Arial" w:cs="Arial"/>
                <w:bCs/>
                <w:sz w:val="20"/>
                <w:szCs w:val="20"/>
              </w:rPr>
              <w:t>4.7</w:t>
            </w:r>
          </w:p>
        </w:tc>
        <w:tc>
          <w:tcPr>
            <w:tcW w:w="758" w:type="pct"/>
          </w:tcPr>
          <w:p w:rsidR="00DB6BE0" w:rsidRPr="00AE4FBD" w:rsidRDefault="00AE4FBD" w:rsidP="00DB6BE0">
            <w:pPr>
              <w:keepNext/>
              <w:spacing w:after="300"/>
              <w:contextualSpacing/>
              <w:jc w:val="center"/>
              <w:rPr>
                <w:rFonts w:ascii="Arial" w:hAnsi="Arial" w:cs="Arial"/>
                <w:bCs/>
                <w:sz w:val="20"/>
                <w:szCs w:val="20"/>
                <w:highlight w:val="black"/>
              </w:rPr>
            </w:pPr>
            <w:r>
              <w:rPr>
                <w:rFonts w:ascii="Arial" w:hAnsi="Arial" w:cs="Arial"/>
                <w:bCs/>
                <w:noProof/>
                <w:color w:val="000000"/>
                <w:sz w:val="20"/>
                <w:szCs w:val="20"/>
                <w:highlight w:val="black"/>
              </w:rPr>
              <w:t>''''''''</w:t>
            </w:r>
          </w:p>
        </w:tc>
        <w:tc>
          <w:tcPr>
            <w:tcW w:w="590" w:type="pct"/>
          </w:tcPr>
          <w:p w:rsidR="00DB6BE0" w:rsidRPr="00AE4FBD" w:rsidRDefault="00AE4FBD" w:rsidP="00DB6BE0">
            <w:pPr>
              <w:keepNext/>
              <w:spacing w:after="300"/>
              <w:contextualSpacing/>
              <w:jc w:val="center"/>
              <w:rPr>
                <w:rFonts w:ascii="Arial" w:hAnsi="Arial" w:cs="Arial"/>
                <w:bCs/>
                <w:sz w:val="20"/>
                <w:szCs w:val="20"/>
                <w:highlight w:val="black"/>
              </w:rPr>
            </w:pPr>
            <w:r>
              <w:rPr>
                <w:rFonts w:ascii="Arial" w:hAnsi="Arial" w:cs="Arial"/>
                <w:bCs/>
                <w:noProof/>
                <w:color w:val="000000"/>
                <w:sz w:val="20"/>
                <w:szCs w:val="20"/>
                <w:highlight w:val="black"/>
              </w:rPr>
              <w:t>''''''''</w:t>
            </w:r>
          </w:p>
        </w:tc>
        <w:tc>
          <w:tcPr>
            <w:tcW w:w="674" w:type="pct"/>
            <w:shd w:val="clear" w:color="auto" w:fill="auto"/>
          </w:tcPr>
          <w:p w:rsidR="00DB6BE0" w:rsidRPr="00AE4FBD" w:rsidRDefault="00AE4FBD" w:rsidP="00DB6BE0">
            <w:pPr>
              <w:keepNext/>
              <w:spacing w:after="300"/>
              <w:contextualSpacing/>
              <w:jc w:val="center"/>
              <w:rPr>
                <w:rFonts w:ascii="Arial" w:hAnsi="Arial" w:cs="Arial"/>
                <w:bCs/>
                <w:sz w:val="20"/>
                <w:szCs w:val="20"/>
                <w:highlight w:val="black"/>
              </w:rPr>
            </w:pPr>
            <w:r>
              <w:rPr>
                <w:rFonts w:ascii="Arial" w:hAnsi="Arial" w:cs="Arial"/>
                <w:bCs/>
                <w:noProof/>
                <w:color w:val="000000"/>
                <w:sz w:val="20"/>
                <w:szCs w:val="20"/>
                <w:highlight w:val="black"/>
              </w:rPr>
              <w:t>'''''''</w:t>
            </w:r>
          </w:p>
        </w:tc>
        <w:tc>
          <w:tcPr>
            <w:tcW w:w="531" w:type="pct"/>
            <w:shd w:val="clear" w:color="auto" w:fill="auto"/>
          </w:tcPr>
          <w:p w:rsidR="00DB6BE0" w:rsidRPr="00AE4FBD" w:rsidRDefault="00AE4FBD" w:rsidP="00DB6BE0">
            <w:pPr>
              <w:keepNext/>
              <w:spacing w:after="300"/>
              <w:contextualSpacing/>
              <w:jc w:val="center"/>
              <w:rPr>
                <w:rFonts w:ascii="Arial" w:hAnsi="Arial" w:cs="Arial"/>
                <w:bCs/>
                <w:sz w:val="20"/>
                <w:szCs w:val="20"/>
                <w:highlight w:val="black"/>
              </w:rPr>
            </w:pPr>
            <w:r>
              <w:rPr>
                <w:rFonts w:ascii="Arial" w:hAnsi="Arial" w:cs="Arial"/>
                <w:bCs/>
                <w:noProof/>
                <w:color w:val="000000"/>
                <w:sz w:val="20"/>
                <w:szCs w:val="20"/>
                <w:highlight w:val="black"/>
              </w:rPr>
              <w:t>''''''''</w:t>
            </w:r>
          </w:p>
        </w:tc>
      </w:tr>
      <w:tr w:rsidR="00DB6BE0" w:rsidRPr="00DB6BE0" w:rsidTr="00DB6BE0">
        <w:tc>
          <w:tcPr>
            <w:tcW w:w="1180" w:type="pct"/>
            <w:shd w:val="clear" w:color="auto" w:fill="auto"/>
          </w:tcPr>
          <w:p w:rsidR="00DB6BE0" w:rsidRPr="002F5F7F" w:rsidRDefault="00DB6BE0" w:rsidP="00DB6BE0">
            <w:pPr>
              <w:spacing w:after="300"/>
              <w:contextualSpacing/>
              <w:rPr>
                <w:rFonts w:ascii="Arial" w:hAnsi="Arial" w:cs="Arial"/>
                <w:bCs/>
                <w:sz w:val="20"/>
                <w:szCs w:val="20"/>
                <w:vertAlign w:val="superscript"/>
              </w:rPr>
            </w:pPr>
            <w:r w:rsidRPr="002F5F7F">
              <w:rPr>
                <w:rFonts w:ascii="Arial" w:hAnsi="Arial" w:cs="Arial"/>
                <w:bCs/>
                <w:sz w:val="20"/>
                <w:szCs w:val="20"/>
              </w:rPr>
              <w:t>Difference</w:t>
            </w:r>
          </w:p>
        </w:tc>
        <w:tc>
          <w:tcPr>
            <w:tcW w:w="1267" w:type="pct"/>
            <w:gridSpan w:val="2"/>
          </w:tcPr>
          <w:p w:rsidR="00DB6BE0" w:rsidRPr="002F5F7F" w:rsidRDefault="00DB6BE0" w:rsidP="00DB6BE0">
            <w:pPr>
              <w:keepNext/>
              <w:spacing w:after="300"/>
              <w:contextualSpacing/>
              <w:jc w:val="center"/>
              <w:rPr>
                <w:rFonts w:ascii="Arial" w:hAnsi="Arial" w:cs="Arial"/>
                <w:sz w:val="20"/>
                <w:szCs w:val="20"/>
              </w:rPr>
            </w:pPr>
            <w:r w:rsidRPr="002F5F7F">
              <w:rPr>
                <w:rFonts w:ascii="Arial" w:hAnsi="Arial" w:cs="Arial"/>
                <w:sz w:val="20"/>
                <w:szCs w:val="20"/>
              </w:rPr>
              <w:t>2.0</w:t>
            </w:r>
          </w:p>
        </w:tc>
        <w:tc>
          <w:tcPr>
            <w:tcW w:w="1348" w:type="pct"/>
            <w:gridSpan w:val="2"/>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1205" w:type="pct"/>
            <w:gridSpan w:val="2"/>
            <w:shd w:val="clear" w:color="auto" w:fill="auto"/>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B6BE0" w:rsidRPr="00DB6BE0" w:rsidTr="00DB6BE0">
        <w:tc>
          <w:tcPr>
            <w:tcW w:w="1180" w:type="pct"/>
            <w:shd w:val="clear" w:color="auto" w:fill="auto"/>
          </w:tcPr>
          <w:p w:rsidR="00DB6BE0" w:rsidRPr="002F5F7F" w:rsidRDefault="00DB6BE0" w:rsidP="00DB6BE0">
            <w:pPr>
              <w:spacing w:after="300"/>
              <w:contextualSpacing/>
              <w:rPr>
                <w:rFonts w:ascii="Arial" w:hAnsi="Arial" w:cs="Arial"/>
                <w:bCs/>
                <w:sz w:val="20"/>
                <w:szCs w:val="20"/>
              </w:rPr>
            </w:pPr>
            <w:r w:rsidRPr="002F5F7F">
              <w:rPr>
                <w:rFonts w:ascii="Arial" w:hAnsi="Arial" w:cs="Arial"/>
                <w:bCs/>
                <w:sz w:val="20"/>
                <w:szCs w:val="20"/>
              </w:rPr>
              <w:t>Truncated mean</w:t>
            </w:r>
          </w:p>
        </w:tc>
        <w:tc>
          <w:tcPr>
            <w:tcW w:w="674" w:type="pct"/>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93" w:type="pct"/>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58" w:type="pct"/>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90" w:type="pct"/>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674" w:type="pct"/>
            <w:shd w:val="clear" w:color="auto" w:fill="auto"/>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31" w:type="pct"/>
            <w:shd w:val="clear" w:color="auto" w:fill="auto"/>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B6BE0" w:rsidRPr="00DB6BE0" w:rsidTr="00DB6BE0">
        <w:tc>
          <w:tcPr>
            <w:tcW w:w="1180" w:type="pct"/>
            <w:shd w:val="clear" w:color="auto" w:fill="auto"/>
          </w:tcPr>
          <w:p w:rsidR="00DB6BE0" w:rsidRPr="002F5F7F" w:rsidRDefault="00DB6BE0" w:rsidP="00DB6BE0">
            <w:pPr>
              <w:spacing w:after="300"/>
              <w:contextualSpacing/>
              <w:rPr>
                <w:rFonts w:ascii="Arial" w:hAnsi="Arial" w:cs="Arial"/>
                <w:bCs/>
                <w:sz w:val="20"/>
                <w:szCs w:val="20"/>
                <w:vertAlign w:val="superscript"/>
              </w:rPr>
            </w:pPr>
            <w:r w:rsidRPr="002F5F7F">
              <w:rPr>
                <w:rFonts w:ascii="Arial" w:hAnsi="Arial" w:cs="Arial"/>
                <w:bCs/>
                <w:sz w:val="20"/>
                <w:szCs w:val="20"/>
              </w:rPr>
              <w:t>Difference</w:t>
            </w:r>
          </w:p>
        </w:tc>
        <w:tc>
          <w:tcPr>
            <w:tcW w:w="1267" w:type="pct"/>
            <w:gridSpan w:val="2"/>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1348" w:type="pct"/>
            <w:gridSpan w:val="2"/>
          </w:tcPr>
          <w:p w:rsidR="00DB6BE0" w:rsidRPr="007F20C2" w:rsidRDefault="007F20C2"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1205" w:type="pct"/>
            <w:gridSpan w:val="2"/>
            <w:shd w:val="clear" w:color="auto" w:fill="auto"/>
          </w:tcPr>
          <w:p w:rsidR="00DB6BE0" w:rsidRPr="007F20C2" w:rsidRDefault="007F20C2"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B6BE0" w:rsidRPr="00DB6BE0" w:rsidTr="00DB6BE0">
        <w:tc>
          <w:tcPr>
            <w:tcW w:w="1180" w:type="pct"/>
            <w:shd w:val="clear" w:color="auto" w:fill="auto"/>
          </w:tcPr>
          <w:p w:rsidR="00DB6BE0" w:rsidRPr="002F5F7F" w:rsidRDefault="00DB6BE0" w:rsidP="00DB6BE0">
            <w:pPr>
              <w:spacing w:after="300"/>
              <w:contextualSpacing/>
              <w:rPr>
                <w:rFonts w:ascii="Arial" w:hAnsi="Arial" w:cs="Arial"/>
                <w:bCs/>
                <w:sz w:val="20"/>
                <w:szCs w:val="20"/>
              </w:rPr>
            </w:pPr>
            <w:r w:rsidRPr="002F5F7F">
              <w:rPr>
                <w:rFonts w:ascii="Arial" w:hAnsi="Arial" w:cs="Arial"/>
                <w:bCs/>
                <w:sz w:val="20"/>
                <w:szCs w:val="20"/>
              </w:rPr>
              <w:t>HR (95% CI)</w:t>
            </w:r>
          </w:p>
        </w:tc>
        <w:tc>
          <w:tcPr>
            <w:tcW w:w="1267" w:type="pct"/>
            <w:gridSpan w:val="2"/>
          </w:tcPr>
          <w:p w:rsidR="00DB6BE0" w:rsidRPr="002F5F7F" w:rsidRDefault="00DB6BE0" w:rsidP="00DB6BE0">
            <w:pPr>
              <w:keepNext/>
              <w:spacing w:after="300"/>
              <w:contextualSpacing/>
              <w:jc w:val="center"/>
              <w:rPr>
                <w:rFonts w:ascii="Arial" w:hAnsi="Arial" w:cs="Arial"/>
                <w:sz w:val="20"/>
                <w:szCs w:val="20"/>
              </w:rPr>
            </w:pPr>
            <w:r w:rsidRPr="00AC2EC6">
              <w:rPr>
                <w:rFonts w:ascii="Arial" w:hAnsi="Arial" w:cs="Arial"/>
                <w:sz w:val="20"/>
                <w:szCs w:val="20"/>
              </w:rPr>
              <w:t>0.73 (0.60, 0.87)</w:t>
            </w:r>
          </w:p>
        </w:tc>
        <w:tc>
          <w:tcPr>
            <w:tcW w:w="1348" w:type="pct"/>
            <w:gridSpan w:val="2"/>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 '''''''''''''' '''''''''''''</w:t>
            </w:r>
          </w:p>
        </w:tc>
        <w:tc>
          <w:tcPr>
            <w:tcW w:w="1205" w:type="pct"/>
            <w:gridSpan w:val="2"/>
            <w:shd w:val="clear" w:color="auto" w:fill="auto"/>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 ''''''''''''''' '''''''''''''</w:t>
            </w:r>
          </w:p>
        </w:tc>
      </w:tr>
      <w:tr w:rsidR="00DB6BE0" w:rsidRPr="00DB6BE0" w:rsidTr="00DB6BE0">
        <w:tc>
          <w:tcPr>
            <w:tcW w:w="1180" w:type="pct"/>
            <w:shd w:val="clear" w:color="auto" w:fill="D9D9D9"/>
          </w:tcPr>
          <w:p w:rsidR="00DB6BE0" w:rsidRPr="002F5F7F" w:rsidRDefault="00DB6BE0" w:rsidP="00DB6BE0">
            <w:pPr>
              <w:spacing w:after="300"/>
              <w:contextualSpacing/>
              <w:rPr>
                <w:rFonts w:ascii="Arial" w:hAnsi="Arial" w:cs="Arial"/>
                <w:b/>
                <w:bCs/>
                <w:sz w:val="20"/>
                <w:szCs w:val="20"/>
              </w:rPr>
            </w:pPr>
            <w:r w:rsidRPr="002F5F7F">
              <w:rPr>
                <w:rFonts w:ascii="Arial" w:hAnsi="Arial" w:cs="Arial"/>
                <w:b/>
                <w:bCs/>
                <w:sz w:val="20"/>
                <w:szCs w:val="20"/>
              </w:rPr>
              <w:t>PFS (months)</w:t>
            </w:r>
          </w:p>
        </w:tc>
        <w:tc>
          <w:tcPr>
            <w:tcW w:w="674" w:type="pct"/>
            <w:shd w:val="clear" w:color="auto" w:fill="D9D9D9"/>
          </w:tcPr>
          <w:p w:rsidR="00DB6BE0" w:rsidRPr="002F5F7F" w:rsidRDefault="00DB6BE0" w:rsidP="00DB6BE0">
            <w:pPr>
              <w:keepNext/>
              <w:spacing w:after="300"/>
              <w:contextualSpacing/>
              <w:jc w:val="center"/>
              <w:rPr>
                <w:rFonts w:ascii="Arial" w:hAnsi="Arial" w:cs="Arial"/>
                <w:sz w:val="20"/>
                <w:szCs w:val="20"/>
              </w:rPr>
            </w:pPr>
            <w:r w:rsidRPr="002F5F7F">
              <w:rPr>
                <w:rFonts w:ascii="Arial" w:hAnsi="Arial" w:cs="Arial"/>
                <w:sz w:val="20"/>
                <w:szCs w:val="20"/>
              </w:rPr>
              <w:t>(n=488)</w:t>
            </w:r>
          </w:p>
        </w:tc>
        <w:tc>
          <w:tcPr>
            <w:tcW w:w="593" w:type="pct"/>
            <w:shd w:val="clear" w:color="auto" w:fill="D9D9D9"/>
          </w:tcPr>
          <w:p w:rsidR="00DB6BE0" w:rsidRPr="002F5F7F" w:rsidRDefault="00DB6BE0" w:rsidP="00DB6BE0">
            <w:pPr>
              <w:keepNext/>
              <w:spacing w:after="300"/>
              <w:contextualSpacing/>
              <w:jc w:val="center"/>
              <w:rPr>
                <w:rFonts w:ascii="Arial" w:hAnsi="Arial" w:cs="Arial"/>
                <w:sz w:val="20"/>
                <w:szCs w:val="20"/>
              </w:rPr>
            </w:pPr>
            <w:r w:rsidRPr="002F5F7F">
              <w:rPr>
                <w:rFonts w:ascii="Arial" w:hAnsi="Arial" w:cs="Arial"/>
                <w:sz w:val="20"/>
                <w:szCs w:val="20"/>
              </w:rPr>
              <w:t>(n=243)</w:t>
            </w:r>
          </w:p>
        </w:tc>
        <w:tc>
          <w:tcPr>
            <w:tcW w:w="758" w:type="pct"/>
            <w:shd w:val="clear" w:color="auto" w:fill="D9D9D9"/>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90" w:type="pct"/>
            <w:shd w:val="clear" w:color="auto" w:fill="D9D9D9"/>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674" w:type="pct"/>
            <w:shd w:val="clear" w:color="auto" w:fill="D9D9D9"/>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31" w:type="pct"/>
            <w:shd w:val="clear" w:color="auto" w:fill="D9D9D9"/>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B6BE0" w:rsidRPr="00DB6BE0" w:rsidTr="00DB6BE0">
        <w:tc>
          <w:tcPr>
            <w:tcW w:w="1180" w:type="pct"/>
            <w:shd w:val="clear" w:color="auto" w:fill="auto"/>
          </w:tcPr>
          <w:p w:rsidR="00DB6BE0" w:rsidRPr="002F5F7F" w:rsidRDefault="00DB6BE0" w:rsidP="00DB6BE0">
            <w:pPr>
              <w:spacing w:after="300"/>
              <w:contextualSpacing/>
              <w:rPr>
                <w:rFonts w:ascii="Arial" w:hAnsi="Arial" w:cs="Arial"/>
                <w:bCs/>
                <w:sz w:val="20"/>
                <w:szCs w:val="20"/>
              </w:rPr>
            </w:pPr>
            <w:r w:rsidRPr="002F5F7F">
              <w:rPr>
                <w:rFonts w:ascii="Arial" w:hAnsi="Arial" w:cs="Arial"/>
                <w:bCs/>
                <w:sz w:val="20"/>
                <w:szCs w:val="20"/>
              </w:rPr>
              <w:t>Median</w:t>
            </w:r>
          </w:p>
        </w:tc>
        <w:tc>
          <w:tcPr>
            <w:tcW w:w="674" w:type="pct"/>
          </w:tcPr>
          <w:p w:rsidR="00DB6BE0" w:rsidRPr="002F5F7F" w:rsidRDefault="00DB6BE0" w:rsidP="00DB6BE0">
            <w:pPr>
              <w:keepNext/>
              <w:spacing w:after="300"/>
              <w:contextualSpacing/>
              <w:jc w:val="center"/>
              <w:rPr>
                <w:rFonts w:ascii="Arial" w:hAnsi="Arial" w:cs="Arial"/>
                <w:sz w:val="20"/>
                <w:szCs w:val="20"/>
              </w:rPr>
            </w:pPr>
            <w:r w:rsidRPr="002F5F7F">
              <w:rPr>
                <w:rFonts w:ascii="Arial" w:hAnsi="Arial" w:cs="Arial"/>
                <w:sz w:val="20"/>
                <w:szCs w:val="20"/>
              </w:rPr>
              <w:t>2.2</w:t>
            </w:r>
          </w:p>
        </w:tc>
        <w:tc>
          <w:tcPr>
            <w:tcW w:w="593" w:type="pct"/>
          </w:tcPr>
          <w:p w:rsidR="00DB6BE0" w:rsidRPr="002F5F7F" w:rsidRDefault="00DB6BE0" w:rsidP="00DB6BE0">
            <w:pPr>
              <w:keepNext/>
              <w:spacing w:after="300"/>
              <w:contextualSpacing/>
              <w:jc w:val="center"/>
              <w:rPr>
                <w:rFonts w:ascii="Arial" w:hAnsi="Arial" w:cs="Arial"/>
                <w:sz w:val="20"/>
                <w:szCs w:val="20"/>
              </w:rPr>
            </w:pPr>
            <w:r w:rsidRPr="002F5F7F">
              <w:rPr>
                <w:rFonts w:ascii="Arial" w:hAnsi="Arial" w:cs="Arial"/>
                <w:sz w:val="20"/>
                <w:szCs w:val="20"/>
              </w:rPr>
              <w:t>1.8</w:t>
            </w:r>
          </w:p>
        </w:tc>
        <w:tc>
          <w:tcPr>
            <w:tcW w:w="758" w:type="pct"/>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90" w:type="pct"/>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674" w:type="pct"/>
            <w:shd w:val="clear" w:color="auto" w:fill="auto"/>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31" w:type="pct"/>
            <w:shd w:val="clear" w:color="auto" w:fill="auto"/>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B6BE0" w:rsidRPr="00DB6BE0" w:rsidTr="00DB6BE0">
        <w:tc>
          <w:tcPr>
            <w:tcW w:w="1180" w:type="pct"/>
            <w:shd w:val="clear" w:color="auto" w:fill="auto"/>
          </w:tcPr>
          <w:p w:rsidR="00DB6BE0" w:rsidRPr="002F5F7F" w:rsidRDefault="00DB6BE0" w:rsidP="00DB6BE0">
            <w:pPr>
              <w:spacing w:after="300"/>
              <w:contextualSpacing/>
              <w:rPr>
                <w:rFonts w:ascii="Arial" w:hAnsi="Arial" w:cs="Arial"/>
                <w:bCs/>
                <w:sz w:val="20"/>
                <w:szCs w:val="20"/>
              </w:rPr>
            </w:pPr>
            <w:r w:rsidRPr="002F5F7F">
              <w:rPr>
                <w:rFonts w:ascii="Arial" w:hAnsi="Arial" w:cs="Arial"/>
                <w:bCs/>
                <w:sz w:val="20"/>
                <w:szCs w:val="20"/>
              </w:rPr>
              <w:t>Difference</w:t>
            </w:r>
          </w:p>
        </w:tc>
        <w:tc>
          <w:tcPr>
            <w:tcW w:w="1267" w:type="pct"/>
            <w:gridSpan w:val="2"/>
          </w:tcPr>
          <w:p w:rsidR="00DB6BE0" w:rsidRPr="002F5F7F" w:rsidRDefault="00DB6BE0" w:rsidP="00DB6BE0">
            <w:pPr>
              <w:keepNext/>
              <w:spacing w:after="300"/>
              <w:contextualSpacing/>
              <w:jc w:val="center"/>
              <w:rPr>
                <w:rFonts w:ascii="Arial" w:hAnsi="Arial" w:cs="Arial"/>
                <w:sz w:val="20"/>
                <w:szCs w:val="20"/>
              </w:rPr>
            </w:pPr>
            <w:r w:rsidRPr="002F5F7F">
              <w:rPr>
                <w:rFonts w:ascii="Arial" w:hAnsi="Arial" w:cs="Arial"/>
                <w:sz w:val="20"/>
                <w:szCs w:val="20"/>
              </w:rPr>
              <w:t>0.4</w:t>
            </w:r>
          </w:p>
        </w:tc>
        <w:tc>
          <w:tcPr>
            <w:tcW w:w="1348" w:type="pct"/>
            <w:gridSpan w:val="2"/>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1205" w:type="pct"/>
            <w:gridSpan w:val="2"/>
            <w:shd w:val="clear" w:color="auto" w:fill="auto"/>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B6BE0" w:rsidRPr="00DB6BE0" w:rsidTr="00DB6BE0">
        <w:tc>
          <w:tcPr>
            <w:tcW w:w="1180" w:type="pct"/>
            <w:shd w:val="clear" w:color="auto" w:fill="auto"/>
          </w:tcPr>
          <w:p w:rsidR="00DB6BE0" w:rsidRPr="002F5F7F" w:rsidRDefault="00DB6BE0" w:rsidP="00DB6BE0">
            <w:pPr>
              <w:spacing w:after="300"/>
              <w:contextualSpacing/>
              <w:rPr>
                <w:rFonts w:ascii="Arial" w:hAnsi="Arial" w:cs="Arial"/>
                <w:bCs/>
                <w:sz w:val="20"/>
                <w:szCs w:val="20"/>
              </w:rPr>
            </w:pPr>
            <w:r w:rsidRPr="002F5F7F">
              <w:rPr>
                <w:rFonts w:ascii="Arial" w:hAnsi="Arial" w:cs="Arial"/>
                <w:bCs/>
                <w:sz w:val="20"/>
                <w:szCs w:val="20"/>
              </w:rPr>
              <w:t>Truncated mean</w:t>
            </w:r>
          </w:p>
        </w:tc>
        <w:tc>
          <w:tcPr>
            <w:tcW w:w="674" w:type="pct"/>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93" w:type="pct"/>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58" w:type="pct"/>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90" w:type="pct"/>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674" w:type="pct"/>
            <w:shd w:val="clear" w:color="auto" w:fill="auto"/>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31" w:type="pct"/>
            <w:shd w:val="clear" w:color="auto" w:fill="auto"/>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B6BE0" w:rsidRPr="00DB6BE0" w:rsidTr="00DB6BE0">
        <w:tc>
          <w:tcPr>
            <w:tcW w:w="1180" w:type="pct"/>
            <w:shd w:val="clear" w:color="auto" w:fill="auto"/>
          </w:tcPr>
          <w:p w:rsidR="00DB6BE0" w:rsidRPr="002F5F7F" w:rsidRDefault="00DB6BE0" w:rsidP="00DB6BE0">
            <w:pPr>
              <w:spacing w:after="300"/>
              <w:contextualSpacing/>
              <w:rPr>
                <w:rFonts w:ascii="Arial" w:hAnsi="Arial" w:cs="Arial"/>
                <w:bCs/>
                <w:sz w:val="20"/>
                <w:szCs w:val="20"/>
                <w:vertAlign w:val="superscript"/>
              </w:rPr>
            </w:pPr>
            <w:r w:rsidRPr="002F5F7F">
              <w:rPr>
                <w:rFonts w:ascii="Arial" w:hAnsi="Arial" w:cs="Arial"/>
                <w:bCs/>
                <w:sz w:val="20"/>
                <w:szCs w:val="20"/>
              </w:rPr>
              <w:t>Difference</w:t>
            </w:r>
          </w:p>
        </w:tc>
        <w:tc>
          <w:tcPr>
            <w:tcW w:w="1267" w:type="pct"/>
            <w:gridSpan w:val="2"/>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1348" w:type="pct"/>
            <w:gridSpan w:val="2"/>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1205" w:type="pct"/>
            <w:gridSpan w:val="2"/>
            <w:shd w:val="clear" w:color="auto" w:fill="auto"/>
          </w:tcPr>
          <w:p w:rsidR="00DB6BE0" w:rsidRPr="00AE4FBD" w:rsidRDefault="00AE4FBD" w:rsidP="00DB6BE0">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B6BE0" w:rsidRPr="00DB6BE0" w:rsidTr="00DB6BE0">
        <w:tc>
          <w:tcPr>
            <w:tcW w:w="1180" w:type="pct"/>
            <w:shd w:val="clear" w:color="auto" w:fill="auto"/>
          </w:tcPr>
          <w:p w:rsidR="00DB6BE0" w:rsidRPr="002F5F7F" w:rsidRDefault="00DB6BE0" w:rsidP="00DB6BE0">
            <w:pPr>
              <w:spacing w:after="300"/>
              <w:contextualSpacing/>
              <w:rPr>
                <w:rFonts w:ascii="Arial" w:hAnsi="Arial" w:cs="Arial"/>
                <w:bCs/>
                <w:sz w:val="20"/>
                <w:szCs w:val="20"/>
              </w:rPr>
            </w:pPr>
            <w:r w:rsidRPr="002F5F7F">
              <w:rPr>
                <w:rFonts w:ascii="Arial" w:hAnsi="Arial" w:cs="Arial"/>
                <w:bCs/>
                <w:sz w:val="20"/>
                <w:szCs w:val="20"/>
              </w:rPr>
              <w:t>HR (95% CI)</w:t>
            </w:r>
          </w:p>
        </w:tc>
        <w:tc>
          <w:tcPr>
            <w:tcW w:w="1267" w:type="pct"/>
            <w:gridSpan w:val="2"/>
          </w:tcPr>
          <w:p w:rsidR="00DB6BE0" w:rsidRPr="002F5F7F" w:rsidRDefault="00DB6BE0" w:rsidP="00DB6BE0">
            <w:pPr>
              <w:spacing w:after="300"/>
              <w:contextualSpacing/>
              <w:jc w:val="center"/>
              <w:rPr>
                <w:rFonts w:ascii="Arial" w:hAnsi="Arial" w:cs="Arial"/>
                <w:bCs/>
                <w:sz w:val="20"/>
                <w:szCs w:val="20"/>
              </w:rPr>
            </w:pPr>
            <w:r w:rsidRPr="002F5F7F">
              <w:rPr>
                <w:rFonts w:ascii="Arial" w:hAnsi="Arial" w:cs="Arial"/>
                <w:bCs/>
                <w:sz w:val="20"/>
                <w:szCs w:val="20"/>
              </w:rPr>
              <w:t>0.61 (0.51, 0.73)</w:t>
            </w:r>
          </w:p>
        </w:tc>
        <w:tc>
          <w:tcPr>
            <w:tcW w:w="1348" w:type="pct"/>
            <w:gridSpan w:val="2"/>
          </w:tcPr>
          <w:p w:rsidR="00DB6BE0" w:rsidRPr="00AE4FBD" w:rsidRDefault="00AE4FBD" w:rsidP="00DB6BE0">
            <w:pPr>
              <w:spacing w:after="300"/>
              <w:contextualSpacing/>
              <w:jc w:val="center"/>
              <w:rPr>
                <w:rFonts w:ascii="Arial" w:hAnsi="Arial" w:cs="Arial"/>
                <w:bCs/>
                <w:sz w:val="20"/>
                <w:szCs w:val="20"/>
                <w:highlight w:val="black"/>
              </w:rPr>
            </w:pPr>
            <w:r>
              <w:rPr>
                <w:rFonts w:ascii="Arial" w:hAnsi="Arial" w:cs="Arial"/>
                <w:bCs/>
                <w:noProof/>
                <w:color w:val="000000"/>
                <w:sz w:val="20"/>
                <w:szCs w:val="20"/>
                <w:highlight w:val="black"/>
              </w:rPr>
              <w:t>'''''''''' ''''''''''''' '''''''''''''</w:t>
            </w:r>
          </w:p>
        </w:tc>
        <w:tc>
          <w:tcPr>
            <w:tcW w:w="1205" w:type="pct"/>
            <w:gridSpan w:val="2"/>
            <w:shd w:val="clear" w:color="auto" w:fill="auto"/>
          </w:tcPr>
          <w:p w:rsidR="00DB6BE0" w:rsidRPr="00AE4FBD" w:rsidRDefault="00AE4FBD" w:rsidP="00DB6BE0">
            <w:pPr>
              <w:spacing w:after="300"/>
              <w:contextualSpacing/>
              <w:jc w:val="center"/>
              <w:rPr>
                <w:rFonts w:ascii="Arial" w:hAnsi="Arial" w:cs="Arial"/>
                <w:bCs/>
                <w:sz w:val="20"/>
                <w:szCs w:val="20"/>
                <w:highlight w:val="black"/>
              </w:rPr>
            </w:pPr>
            <w:r>
              <w:rPr>
                <w:rFonts w:ascii="Arial" w:hAnsi="Arial" w:cs="Arial"/>
                <w:bCs/>
                <w:noProof/>
                <w:color w:val="000000"/>
                <w:sz w:val="20"/>
                <w:szCs w:val="20"/>
                <w:highlight w:val="black"/>
              </w:rPr>
              <w:t>''''''''''' '''''''''''''' '''''''''''''</w:t>
            </w:r>
          </w:p>
        </w:tc>
      </w:tr>
    </w:tbl>
    <w:p w:rsidR="00DB6BE0" w:rsidRPr="00EA66FE" w:rsidRDefault="00DB6BE0" w:rsidP="00DB6BE0">
      <w:pPr>
        <w:ind w:left="709"/>
        <w:rPr>
          <w:rFonts w:ascii="Arial" w:eastAsia="SimSun" w:hAnsi="Arial" w:cs="Arial"/>
          <w:sz w:val="16"/>
          <w:szCs w:val="16"/>
        </w:rPr>
      </w:pPr>
      <w:r w:rsidRPr="00EA66FE">
        <w:rPr>
          <w:rFonts w:ascii="Arial" w:eastAsia="SimSun" w:hAnsi="Arial" w:cs="Arial"/>
          <w:sz w:val="16"/>
          <w:szCs w:val="16"/>
        </w:rPr>
        <w:t>Tests for interaction between treatment effect and subgroups: all p &gt; 0.05</w:t>
      </w:r>
    </w:p>
    <w:p w:rsidR="00DB6BE0" w:rsidRPr="00EA66FE" w:rsidRDefault="00DB6BE0" w:rsidP="00DB6BE0">
      <w:pPr>
        <w:tabs>
          <w:tab w:val="left" w:pos="1134"/>
        </w:tabs>
        <w:ind w:left="709"/>
        <w:rPr>
          <w:rFonts w:ascii="Arial" w:eastAsia="SimSun" w:hAnsi="Arial" w:cs="Arial"/>
          <w:sz w:val="16"/>
          <w:szCs w:val="16"/>
        </w:rPr>
      </w:pPr>
      <w:r w:rsidRPr="00EA66FE">
        <w:rPr>
          <w:rFonts w:ascii="Arial" w:eastAsia="SimSun" w:hAnsi="Arial" w:cs="Arial"/>
          <w:sz w:val="16"/>
          <w:szCs w:val="16"/>
        </w:rPr>
        <w:t>BSC=best supportive care; HR=hazard ratio; OS=overall survival; PFS=progression free survival</w:t>
      </w:r>
    </w:p>
    <w:p w:rsidR="002F5F7F" w:rsidRDefault="002F5F7F">
      <w:pPr>
        <w:rPr>
          <w:rFonts w:ascii="Arial" w:eastAsia="SimSun" w:hAnsi="Arial" w:cs="Arial"/>
          <w:sz w:val="22"/>
          <w:szCs w:val="22"/>
        </w:rPr>
      </w:pPr>
    </w:p>
    <w:p w:rsidR="00EB6D24" w:rsidRDefault="00EB6D24" w:rsidP="00EB6D24">
      <w:pPr>
        <w:pStyle w:val="ListParagraph"/>
        <w:numPr>
          <w:ilvl w:val="1"/>
          <w:numId w:val="26"/>
        </w:numPr>
        <w:ind w:left="709" w:hanging="709"/>
        <w:jc w:val="both"/>
        <w:rPr>
          <w:rFonts w:ascii="Arial" w:hAnsi="Arial"/>
          <w:sz w:val="22"/>
          <w:szCs w:val="22"/>
        </w:rPr>
      </w:pPr>
      <w:r w:rsidRPr="00EB6D24">
        <w:rPr>
          <w:rFonts w:ascii="Arial" w:hAnsi="Arial"/>
          <w:sz w:val="22"/>
          <w:szCs w:val="22"/>
        </w:rPr>
        <w:t xml:space="preserve">Quality of life data from </w:t>
      </w:r>
      <w:r w:rsidR="00027F7E">
        <w:rPr>
          <w:rFonts w:ascii="Arial" w:hAnsi="Arial"/>
          <w:sz w:val="22"/>
          <w:szCs w:val="22"/>
        </w:rPr>
        <w:t xml:space="preserve">the </w:t>
      </w:r>
      <w:r w:rsidRPr="00EB6D24">
        <w:rPr>
          <w:rFonts w:ascii="Arial" w:hAnsi="Arial"/>
          <w:sz w:val="22"/>
          <w:szCs w:val="22"/>
        </w:rPr>
        <w:t xml:space="preserve">BR.21 </w:t>
      </w:r>
      <w:r w:rsidR="00027F7E">
        <w:rPr>
          <w:rFonts w:ascii="Arial" w:hAnsi="Arial"/>
          <w:sz w:val="22"/>
          <w:szCs w:val="22"/>
        </w:rPr>
        <w:t xml:space="preserve">trial </w:t>
      </w:r>
      <w:r w:rsidRPr="00EB6D24">
        <w:rPr>
          <w:rFonts w:ascii="Arial" w:hAnsi="Arial"/>
          <w:sz w:val="22"/>
          <w:szCs w:val="22"/>
        </w:rPr>
        <w:t>are limited</w:t>
      </w:r>
      <w:r>
        <w:rPr>
          <w:rFonts w:ascii="Arial" w:hAnsi="Arial"/>
          <w:sz w:val="22"/>
          <w:szCs w:val="22"/>
        </w:rPr>
        <w:t>,</w:t>
      </w:r>
      <w:r w:rsidRPr="00EB6D24">
        <w:rPr>
          <w:rFonts w:ascii="Arial" w:hAnsi="Arial"/>
          <w:sz w:val="22"/>
          <w:szCs w:val="22"/>
        </w:rPr>
        <w:t xml:space="preserve"> </w:t>
      </w:r>
      <w:r>
        <w:rPr>
          <w:rFonts w:ascii="Arial" w:hAnsi="Arial"/>
          <w:sz w:val="22"/>
          <w:szCs w:val="22"/>
        </w:rPr>
        <w:t>see t</w:t>
      </w:r>
      <w:r w:rsidRPr="00EB6D24">
        <w:rPr>
          <w:rFonts w:ascii="Arial" w:hAnsi="Arial"/>
          <w:sz w:val="22"/>
          <w:szCs w:val="22"/>
        </w:rPr>
        <w:t xml:space="preserve">able </w:t>
      </w:r>
      <w:r>
        <w:rPr>
          <w:rFonts w:ascii="Arial" w:hAnsi="Arial"/>
          <w:sz w:val="22"/>
          <w:szCs w:val="22"/>
        </w:rPr>
        <w:t>below</w:t>
      </w:r>
      <w:r w:rsidRPr="00EB6D24">
        <w:rPr>
          <w:rFonts w:ascii="Arial" w:hAnsi="Arial"/>
          <w:sz w:val="22"/>
          <w:szCs w:val="22"/>
        </w:rPr>
        <w:t>.</w:t>
      </w:r>
    </w:p>
    <w:p w:rsidR="00C9099B" w:rsidRPr="00EB6D24" w:rsidRDefault="00C9099B" w:rsidP="00C9099B">
      <w:pPr>
        <w:pStyle w:val="ListParagraph"/>
        <w:ind w:left="709"/>
        <w:jc w:val="both"/>
        <w:rPr>
          <w:rFonts w:ascii="Arial" w:hAnsi="Arial"/>
          <w:sz w:val="22"/>
          <w:szCs w:val="22"/>
        </w:rPr>
      </w:pP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3"/>
        <w:gridCol w:w="1559"/>
      </w:tblGrid>
      <w:tr w:rsidR="00D87841" w:rsidRPr="00D87841" w:rsidTr="00D87841">
        <w:trPr>
          <w:trHeight w:val="279"/>
        </w:trPr>
        <w:tc>
          <w:tcPr>
            <w:tcW w:w="2882" w:type="pct"/>
            <w:shd w:val="clear" w:color="auto" w:fill="auto"/>
          </w:tcPr>
          <w:p w:rsidR="00D87841" w:rsidRPr="002F5F7F" w:rsidRDefault="00D87841" w:rsidP="00D87841">
            <w:pPr>
              <w:rPr>
                <w:rFonts w:ascii="Arial" w:hAnsi="Arial" w:cs="Arial"/>
                <w:b/>
                <w:sz w:val="20"/>
                <w:szCs w:val="20"/>
              </w:rPr>
            </w:pPr>
            <w:r w:rsidRPr="002F5F7F">
              <w:rPr>
                <w:rFonts w:ascii="Arial" w:hAnsi="Arial" w:cs="Arial"/>
                <w:b/>
                <w:sz w:val="20"/>
                <w:szCs w:val="20"/>
              </w:rPr>
              <w:t>Variable</w:t>
            </w:r>
          </w:p>
        </w:tc>
        <w:tc>
          <w:tcPr>
            <w:tcW w:w="1186" w:type="pct"/>
          </w:tcPr>
          <w:p w:rsidR="00D87841" w:rsidRPr="002F5F7F" w:rsidRDefault="00D87841" w:rsidP="00027F7E">
            <w:pPr>
              <w:rPr>
                <w:rFonts w:ascii="Arial" w:hAnsi="Arial" w:cs="Arial"/>
                <w:b/>
                <w:sz w:val="20"/>
                <w:szCs w:val="20"/>
              </w:rPr>
            </w:pPr>
            <w:proofErr w:type="spellStart"/>
            <w:r w:rsidRPr="002F5F7F">
              <w:rPr>
                <w:rFonts w:ascii="Arial" w:hAnsi="Arial" w:cs="Arial"/>
                <w:b/>
                <w:sz w:val="20"/>
                <w:szCs w:val="20"/>
              </w:rPr>
              <w:t>Erlotinib</w:t>
            </w:r>
            <w:proofErr w:type="spellEnd"/>
            <w:r w:rsidRPr="002F5F7F">
              <w:rPr>
                <w:rFonts w:ascii="Arial" w:hAnsi="Arial" w:cs="Arial"/>
                <w:b/>
                <w:sz w:val="20"/>
                <w:szCs w:val="20"/>
              </w:rPr>
              <w:t xml:space="preserve"> (N=488)</w:t>
            </w:r>
          </w:p>
        </w:tc>
        <w:tc>
          <w:tcPr>
            <w:tcW w:w="933" w:type="pct"/>
          </w:tcPr>
          <w:p w:rsidR="00D87841" w:rsidRPr="002F5F7F" w:rsidRDefault="00D87841" w:rsidP="00027F7E">
            <w:pPr>
              <w:rPr>
                <w:rFonts w:ascii="Arial" w:hAnsi="Arial" w:cs="Arial"/>
                <w:b/>
                <w:sz w:val="20"/>
                <w:szCs w:val="20"/>
              </w:rPr>
            </w:pPr>
            <w:r w:rsidRPr="002F5F7F">
              <w:rPr>
                <w:rFonts w:ascii="Arial" w:hAnsi="Arial" w:cs="Arial"/>
                <w:b/>
                <w:sz w:val="20"/>
                <w:szCs w:val="20"/>
              </w:rPr>
              <w:t>BSC (N=243)</w:t>
            </w:r>
          </w:p>
        </w:tc>
      </w:tr>
      <w:tr w:rsidR="00D87841" w:rsidRPr="00D87841" w:rsidTr="00D87841">
        <w:tc>
          <w:tcPr>
            <w:tcW w:w="2882" w:type="pct"/>
            <w:shd w:val="clear" w:color="auto" w:fill="D9D9D9"/>
          </w:tcPr>
          <w:p w:rsidR="00D87841" w:rsidRPr="002F5F7F" w:rsidRDefault="00D87841" w:rsidP="00027F7E">
            <w:pPr>
              <w:rPr>
                <w:rFonts w:ascii="Arial" w:hAnsi="Arial" w:cs="Arial"/>
                <w:b/>
                <w:bCs/>
                <w:sz w:val="20"/>
                <w:szCs w:val="20"/>
              </w:rPr>
            </w:pPr>
            <w:r w:rsidRPr="002F5F7F">
              <w:rPr>
                <w:rFonts w:ascii="Arial" w:hAnsi="Arial" w:cs="Arial"/>
                <w:b/>
                <w:bCs/>
                <w:sz w:val="20"/>
                <w:szCs w:val="20"/>
              </w:rPr>
              <w:t>Time to symptom deterioration of cough</w:t>
            </w:r>
          </w:p>
        </w:tc>
        <w:tc>
          <w:tcPr>
            <w:tcW w:w="1186" w:type="pct"/>
            <w:shd w:val="clear" w:color="auto" w:fill="D9D9D9"/>
          </w:tcPr>
          <w:p w:rsidR="00D87841" w:rsidRPr="00AE4FBD" w:rsidRDefault="00AE4FBD" w:rsidP="00027F7E">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933" w:type="pct"/>
            <w:shd w:val="clear" w:color="auto" w:fill="D9D9D9"/>
          </w:tcPr>
          <w:p w:rsidR="00D87841" w:rsidRPr="00AE4FBD" w:rsidRDefault="00AE4FBD" w:rsidP="00027F7E">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87841" w:rsidRPr="00D87841" w:rsidTr="00D87841">
        <w:tc>
          <w:tcPr>
            <w:tcW w:w="2882" w:type="pct"/>
            <w:shd w:val="clear" w:color="auto" w:fill="auto"/>
          </w:tcPr>
          <w:p w:rsidR="00D87841" w:rsidRPr="002F5F7F" w:rsidRDefault="00D87841" w:rsidP="00027F7E">
            <w:pPr>
              <w:spacing w:after="300"/>
              <w:contextualSpacing/>
              <w:rPr>
                <w:rFonts w:ascii="Arial" w:hAnsi="Arial" w:cs="Arial"/>
                <w:bCs/>
                <w:sz w:val="20"/>
                <w:szCs w:val="20"/>
              </w:rPr>
            </w:pPr>
            <w:r w:rsidRPr="002F5F7F">
              <w:rPr>
                <w:rFonts w:ascii="Arial" w:hAnsi="Arial" w:cs="Arial"/>
                <w:bCs/>
                <w:sz w:val="20"/>
                <w:szCs w:val="20"/>
              </w:rPr>
              <w:t>Median (weeks)</w:t>
            </w:r>
          </w:p>
        </w:tc>
        <w:tc>
          <w:tcPr>
            <w:tcW w:w="1186" w:type="pct"/>
          </w:tcPr>
          <w:p w:rsidR="00D87841" w:rsidRPr="00AE4FBD" w:rsidRDefault="00AE4FBD" w:rsidP="00027F7E">
            <w:pPr>
              <w:keepNext/>
              <w:spacing w:after="300"/>
              <w:contextualSpacing/>
              <w:jc w:val="center"/>
              <w:rPr>
                <w:rFonts w:ascii="Arial" w:hAnsi="Arial" w:cs="Arial"/>
                <w:bCs/>
                <w:sz w:val="20"/>
                <w:szCs w:val="20"/>
                <w:highlight w:val="black"/>
              </w:rPr>
            </w:pPr>
            <w:r>
              <w:rPr>
                <w:rFonts w:ascii="Arial" w:hAnsi="Arial" w:cs="Arial"/>
                <w:bCs/>
                <w:noProof/>
                <w:color w:val="000000"/>
                <w:sz w:val="20"/>
                <w:szCs w:val="20"/>
                <w:highlight w:val="black"/>
              </w:rPr>
              <w:t>''''''</w:t>
            </w:r>
          </w:p>
        </w:tc>
        <w:tc>
          <w:tcPr>
            <w:tcW w:w="933" w:type="pct"/>
          </w:tcPr>
          <w:p w:rsidR="00D87841" w:rsidRPr="00AE4FBD" w:rsidRDefault="00AE4FBD" w:rsidP="00027F7E">
            <w:pPr>
              <w:keepNext/>
              <w:spacing w:after="300"/>
              <w:contextualSpacing/>
              <w:jc w:val="center"/>
              <w:rPr>
                <w:rFonts w:ascii="Arial" w:hAnsi="Arial" w:cs="Arial"/>
                <w:bCs/>
                <w:sz w:val="22"/>
                <w:szCs w:val="22"/>
                <w:highlight w:val="black"/>
              </w:rPr>
            </w:pPr>
            <w:r>
              <w:rPr>
                <w:rFonts w:ascii="Arial" w:hAnsi="Arial" w:cs="Arial"/>
                <w:bCs/>
                <w:noProof/>
                <w:color w:val="000000"/>
                <w:sz w:val="22"/>
                <w:szCs w:val="22"/>
                <w:highlight w:val="black"/>
              </w:rPr>
              <w:t>''''''</w:t>
            </w:r>
          </w:p>
        </w:tc>
      </w:tr>
      <w:tr w:rsidR="00D87841" w:rsidRPr="00D87841" w:rsidTr="00D87841">
        <w:tc>
          <w:tcPr>
            <w:tcW w:w="2882" w:type="pct"/>
            <w:shd w:val="clear" w:color="auto" w:fill="auto"/>
          </w:tcPr>
          <w:p w:rsidR="00D87841" w:rsidRPr="002F5F7F" w:rsidRDefault="00D87841" w:rsidP="00027F7E">
            <w:pPr>
              <w:spacing w:after="300"/>
              <w:contextualSpacing/>
              <w:rPr>
                <w:rFonts w:ascii="Arial" w:hAnsi="Arial" w:cs="Arial"/>
                <w:bCs/>
                <w:sz w:val="20"/>
                <w:szCs w:val="20"/>
                <w:vertAlign w:val="superscript"/>
              </w:rPr>
            </w:pPr>
            <w:r w:rsidRPr="002F5F7F">
              <w:rPr>
                <w:rFonts w:ascii="Arial" w:hAnsi="Arial" w:cs="Arial"/>
                <w:bCs/>
                <w:sz w:val="20"/>
                <w:szCs w:val="20"/>
              </w:rPr>
              <w:t>Difference (weeks)</w:t>
            </w:r>
          </w:p>
        </w:tc>
        <w:tc>
          <w:tcPr>
            <w:tcW w:w="2118" w:type="pct"/>
            <w:gridSpan w:val="2"/>
          </w:tcPr>
          <w:p w:rsidR="00D87841" w:rsidRPr="00AE4FBD" w:rsidRDefault="00AE4FBD" w:rsidP="00027F7E">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87841" w:rsidRPr="00D87841" w:rsidTr="00D87841">
        <w:tc>
          <w:tcPr>
            <w:tcW w:w="2882" w:type="pct"/>
            <w:shd w:val="clear" w:color="auto" w:fill="auto"/>
          </w:tcPr>
          <w:p w:rsidR="00D87841" w:rsidRPr="002F5F7F" w:rsidRDefault="00D87841" w:rsidP="00027F7E">
            <w:pPr>
              <w:spacing w:after="300"/>
              <w:contextualSpacing/>
              <w:rPr>
                <w:rFonts w:ascii="Arial" w:hAnsi="Arial" w:cs="Arial"/>
                <w:bCs/>
                <w:sz w:val="20"/>
                <w:szCs w:val="20"/>
              </w:rPr>
            </w:pPr>
            <w:r w:rsidRPr="002F5F7F">
              <w:rPr>
                <w:rFonts w:ascii="Arial" w:hAnsi="Arial" w:cs="Arial"/>
                <w:bCs/>
                <w:sz w:val="20"/>
                <w:szCs w:val="20"/>
              </w:rPr>
              <w:t>Hazard ratio (95% CI)</w:t>
            </w:r>
          </w:p>
        </w:tc>
        <w:tc>
          <w:tcPr>
            <w:tcW w:w="2118" w:type="pct"/>
            <w:gridSpan w:val="2"/>
          </w:tcPr>
          <w:p w:rsidR="00D87841" w:rsidRPr="00AE4FBD" w:rsidRDefault="00AE4FBD" w:rsidP="00027F7E">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 '''''''''''''' '''''''''''</w:t>
            </w:r>
          </w:p>
        </w:tc>
      </w:tr>
      <w:tr w:rsidR="00D87841" w:rsidRPr="00D87841" w:rsidTr="00D87841">
        <w:tc>
          <w:tcPr>
            <w:tcW w:w="2882" w:type="pct"/>
            <w:shd w:val="clear" w:color="auto" w:fill="D9D9D9"/>
          </w:tcPr>
          <w:p w:rsidR="00D87841" w:rsidRPr="002F5F7F" w:rsidRDefault="00D87841" w:rsidP="00027F7E">
            <w:pPr>
              <w:rPr>
                <w:rFonts w:ascii="Arial" w:hAnsi="Arial" w:cs="Arial"/>
                <w:b/>
                <w:bCs/>
                <w:sz w:val="20"/>
                <w:szCs w:val="20"/>
              </w:rPr>
            </w:pPr>
            <w:r w:rsidRPr="002F5F7F">
              <w:rPr>
                <w:rFonts w:ascii="Arial" w:hAnsi="Arial" w:cs="Arial"/>
                <w:b/>
                <w:bCs/>
                <w:sz w:val="20"/>
                <w:szCs w:val="20"/>
              </w:rPr>
              <w:t>Time to symptom deterioration of dyspnoea</w:t>
            </w:r>
          </w:p>
        </w:tc>
        <w:tc>
          <w:tcPr>
            <w:tcW w:w="1186" w:type="pct"/>
            <w:shd w:val="clear" w:color="auto" w:fill="D9D9D9"/>
          </w:tcPr>
          <w:p w:rsidR="00D87841" w:rsidRPr="00AE4FBD" w:rsidRDefault="00AE4FBD" w:rsidP="00027F7E">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933" w:type="pct"/>
            <w:shd w:val="clear" w:color="auto" w:fill="D9D9D9"/>
          </w:tcPr>
          <w:p w:rsidR="00D87841" w:rsidRPr="00AE4FBD" w:rsidRDefault="00AE4FBD" w:rsidP="00027F7E">
            <w:pPr>
              <w:keepNext/>
              <w:spacing w:after="300"/>
              <w:contextualSpacing/>
              <w:jc w:val="center"/>
              <w:rPr>
                <w:rFonts w:ascii="Arial" w:hAnsi="Arial" w:cs="Arial"/>
                <w:sz w:val="22"/>
                <w:szCs w:val="22"/>
                <w:highlight w:val="black"/>
              </w:rPr>
            </w:pPr>
            <w:r>
              <w:rPr>
                <w:rFonts w:ascii="Arial" w:hAnsi="Arial" w:cs="Arial"/>
                <w:noProof/>
                <w:color w:val="000000"/>
                <w:sz w:val="22"/>
                <w:szCs w:val="22"/>
                <w:highlight w:val="black"/>
              </w:rPr>
              <w:t>'''''''''''''''''''''</w:t>
            </w:r>
          </w:p>
        </w:tc>
      </w:tr>
      <w:tr w:rsidR="00D87841" w:rsidRPr="00D87841" w:rsidTr="00D87841">
        <w:tc>
          <w:tcPr>
            <w:tcW w:w="2882" w:type="pct"/>
            <w:shd w:val="clear" w:color="auto" w:fill="auto"/>
          </w:tcPr>
          <w:p w:rsidR="00D87841" w:rsidRPr="002F5F7F" w:rsidRDefault="00D87841" w:rsidP="00027F7E">
            <w:pPr>
              <w:spacing w:after="300"/>
              <w:contextualSpacing/>
              <w:rPr>
                <w:rFonts w:ascii="Arial" w:hAnsi="Arial" w:cs="Arial"/>
                <w:bCs/>
                <w:sz w:val="20"/>
                <w:szCs w:val="20"/>
              </w:rPr>
            </w:pPr>
            <w:r w:rsidRPr="002F5F7F">
              <w:rPr>
                <w:rFonts w:ascii="Arial" w:hAnsi="Arial" w:cs="Arial"/>
                <w:bCs/>
                <w:sz w:val="20"/>
                <w:szCs w:val="20"/>
              </w:rPr>
              <w:t>Median (weeks)</w:t>
            </w:r>
          </w:p>
        </w:tc>
        <w:tc>
          <w:tcPr>
            <w:tcW w:w="1186" w:type="pct"/>
          </w:tcPr>
          <w:p w:rsidR="00D87841" w:rsidRPr="00AE4FBD" w:rsidRDefault="00AE4FBD" w:rsidP="00027F7E">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933" w:type="pct"/>
          </w:tcPr>
          <w:p w:rsidR="00D87841" w:rsidRPr="00AE4FBD" w:rsidRDefault="00AE4FBD" w:rsidP="00027F7E">
            <w:pPr>
              <w:keepNext/>
              <w:spacing w:after="300"/>
              <w:contextualSpacing/>
              <w:jc w:val="center"/>
              <w:rPr>
                <w:rFonts w:ascii="Arial" w:hAnsi="Arial" w:cs="Arial"/>
                <w:sz w:val="22"/>
                <w:szCs w:val="22"/>
                <w:highlight w:val="black"/>
              </w:rPr>
            </w:pPr>
            <w:r>
              <w:rPr>
                <w:rFonts w:ascii="Arial" w:hAnsi="Arial" w:cs="Arial"/>
                <w:noProof/>
                <w:color w:val="000000"/>
                <w:sz w:val="22"/>
                <w:szCs w:val="22"/>
                <w:highlight w:val="black"/>
              </w:rPr>
              <w:t>'''''''</w:t>
            </w:r>
          </w:p>
        </w:tc>
      </w:tr>
      <w:tr w:rsidR="00D87841" w:rsidRPr="00D87841" w:rsidTr="00D87841">
        <w:tc>
          <w:tcPr>
            <w:tcW w:w="2882" w:type="pct"/>
            <w:shd w:val="clear" w:color="auto" w:fill="auto"/>
          </w:tcPr>
          <w:p w:rsidR="00D87841" w:rsidRPr="002F5F7F" w:rsidRDefault="00D87841" w:rsidP="00027F7E">
            <w:pPr>
              <w:spacing w:after="300"/>
              <w:contextualSpacing/>
              <w:rPr>
                <w:rFonts w:ascii="Arial" w:hAnsi="Arial" w:cs="Arial"/>
                <w:bCs/>
                <w:sz w:val="20"/>
                <w:szCs w:val="20"/>
              </w:rPr>
            </w:pPr>
            <w:r w:rsidRPr="002F5F7F">
              <w:rPr>
                <w:rFonts w:ascii="Arial" w:hAnsi="Arial" w:cs="Arial"/>
                <w:bCs/>
                <w:sz w:val="20"/>
                <w:szCs w:val="20"/>
              </w:rPr>
              <w:t>Difference (weeks)</w:t>
            </w:r>
          </w:p>
        </w:tc>
        <w:tc>
          <w:tcPr>
            <w:tcW w:w="2118" w:type="pct"/>
            <w:gridSpan w:val="2"/>
          </w:tcPr>
          <w:p w:rsidR="00D87841" w:rsidRPr="00AE4FBD" w:rsidRDefault="00AE4FBD" w:rsidP="00027F7E">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87841" w:rsidRPr="00D87841" w:rsidTr="00D87841">
        <w:tc>
          <w:tcPr>
            <w:tcW w:w="2882" w:type="pct"/>
            <w:shd w:val="clear" w:color="auto" w:fill="auto"/>
          </w:tcPr>
          <w:p w:rsidR="00D87841" w:rsidRPr="002F5F7F" w:rsidRDefault="00D87841" w:rsidP="00027F7E">
            <w:pPr>
              <w:spacing w:after="300"/>
              <w:contextualSpacing/>
              <w:rPr>
                <w:rFonts w:ascii="Arial" w:hAnsi="Arial" w:cs="Arial"/>
                <w:bCs/>
                <w:sz w:val="20"/>
                <w:szCs w:val="20"/>
              </w:rPr>
            </w:pPr>
            <w:r w:rsidRPr="002F5F7F">
              <w:rPr>
                <w:rFonts w:ascii="Arial" w:hAnsi="Arial" w:cs="Arial"/>
                <w:bCs/>
                <w:sz w:val="20"/>
                <w:szCs w:val="20"/>
              </w:rPr>
              <w:t>Hazard ratio (95% CI)</w:t>
            </w:r>
          </w:p>
        </w:tc>
        <w:tc>
          <w:tcPr>
            <w:tcW w:w="2118" w:type="pct"/>
            <w:gridSpan w:val="2"/>
          </w:tcPr>
          <w:p w:rsidR="00D87841" w:rsidRPr="00AE4FBD" w:rsidRDefault="00AE4FBD" w:rsidP="00027F7E">
            <w:pPr>
              <w:spacing w:after="300"/>
              <w:contextualSpacing/>
              <w:jc w:val="center"/>
              <w:rPr>
                <w:rFonts w:ascii="Arial" w:hAnsi="Arial" w:cs="Arial"/>
                <w:bCs/>
                <w:sz w:val="20"/>
                <w:szCs w:val="20"/>
                <w:highlight w:val="black"/>
              </w:rPr>
            </w:pPr>
            <w:r>
              <w:rPr>
                <w:rFonts w:ascii="Arial" w:hAnsi="Arial" w:cs="Arial"/>
                <w:bCs/>
                <w:noProof/>
                <w:color w:val="000000"/>
                <w:sz w:val="20"/>
                <w:szCs w:val="20"/>
                <w:highlight w:val="black"/>
              </w:rPr>
              <w:t>'''''''''''' '''''''''''''' ''''''''''''</w:t>
            </w:r>
          </w:p>
        </w:tc>
      </w:tr>
      <w:tr w:rsidR="00D87841" w:rsidRPr="00D87841" w:rsidTr="00D87841">
        <w:tc>
          <w:tcPr>
            <w:tcW w:w="2882" w:type="pct"/>
            <w:shd w:val="clear" w:color="auto" w:fill="D9D9D9"/>
          </w:tcPr>
          <w:p w:rsidR="00D87841" w:rsidRPr="002F5F7F" w:rsidRDefault="00D87841" w:rsidP="00027F7E">
            <w:pPr>
              <w:rPr>
                <w:rFonts w:ascii="Arial" w:hAnsi="Arial" w:cs="Arial"/>
                <w:b/>
                <w:bCs/>
                <w:sz w:val="20"/>
                <w:szCs w:val="20"/>
              </w:rPr>
            </w:pPr>
            <w:r w:rsidRPr="002F5F7F">
              <w:rPr>
                <w:rFonts w:ascii="Arial" w:hAnsi="Arial" w:cs="Arial"/>
                <w:b/>
                <w:bCs/>
                <w:sz w:val="20"/>
                <w:szCs w:val="20"/>
              </w:rPr>
              <w:t>Time to deterioration of pain</w:t>
            </w:r>
          </w:p>
        </w:tc>
        <w:tc>
          <w:tcPr>
            <w:tcW w:w="1186" w:type="pct"/>
            <w:shd w:val="clear" w:color="auto" w:fill="D9D9D9"/>
          </w:tcPr>
          <w:p w:rsidR="00D87841" w:rsidRPr="00AE4FBD" w:rsidRDefault="00AE4FBD" w:rsidP="00027F7E">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933" w:type="pct"/>
            <w:shd w:val="clear" w:color="auto" w:fill="D9D9D9"/>
          </w:tcPr>
          <w:p w:rsidR="00D87841" w:rsidRPr="00AE4FBD" w:rsidRDefault="00AE4FBD" w:rsidP="00027F7E">
            <w:pPr>
              <w:keepNext/>
              <w:spacing w:after="300"/>
              <w:contextualSpacing/>
              <w:jc w:val="center"/>
              <w:rPr>
                <w:rFonts w:ascii="Arial" w:hAnsi="Arial" w:cs="Arial"/>
                <w:sz w:val="22"/>
                <w:szCs w:val="22"/>
                <w:highlight w:val="black"/>
              </w:rPr>
            </w:pPr>
            <w:r>
              <w:rPr>
                <w:rFonts w:ascii="Arial" w:hAnsi="Arial" w:cs="Arial"/>
                <w:noProof/>
                <w:color w:val="000000"/>
                <w:sz w:val="22"/>
                <w:szCs w:val="22"/>
                <w:highlight w:val="black"/>
              </w:rPr>
              <w:t>''''''''''''''''''</w:t>
            </w:r>
          </w:p>
        </w:tc>
      </w:tr>
      <w:tr w:rsidR="00D87841" w:rsidRPr="00D87841" w:rsidTr="00D87841">
        <w:tc>
          <w:tcPr>
            <w:tcW w:w="2882" w:type="pct"/>
            <w:shd w:val="clear" w:color="auto" w:fill="auto"/>
          </w:tcPr>
          <w:p w:rsidR="00D87841" w:rsidRPr="002F5F7F" w:rsidRDefault="00D87841" w:rsidP="00027F7E">
            <w:pPr>
              <w:spacing w:after="300"/>
              <w:contextualSpacing/>
              <w:rPr>
                <w:rFonts w:ascii="Arial" w:hAnsi="Arial" w:cs="Arial"/>
                <w:bCs/>
                <w:sz w:val="20"/>
                <w:szCs w:val="20"/>
              </w:rPr>
            </w:pPr>
            <w:r w:rsidRPr="002F5F7F">
              <w:rPr>
                <w:rFonts w:ascii="Arial" w:hAnsi="Arial" w:cs="Arial"/>
                <w:bCs/>
                <w:sz w:val="20"/>
                <w:szCs w:val="20"/>
              </w:rPr>
              <w:t>Median (weeks)</w:t>
            </w:r>
          </w:p>
        </w:tc>
        <w:tc>
          <w:tcPr>
            <w:tcW w:w="1186" w:type="pct"/>
          </w:tcPr>
          <w:p w:rsidR="00D87841" w:rsidRPr="00AE4FBD" w:rsidRDefault="00AE4FBD" w:rsidP="00027F7E">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933" w:type="pct"/>
          </w:tcPr>
          <w:p w:rsidR="00D87841" w:rsidRPr="00AE4FBD" w:rsidRDefault="00AE4FBD" w:rsidP="00027F7E">
            <w:pPr>
              <w:keepNext/>
              <w:spacing w:after="300"/>
              <w:contextualSpacing/>
              <w:jc w:val="center"/>
              <w:rPr>
                <w:rFonts w:ascii="Arial" w:hAnsi="Arial" w:cs="Arial"/>
                <w:sz w:val="22"/>
                <w:szCs w:val="22"/>
                <w:highlight w:val="black"/>
              </w:rPr>
            </w:pPr>
            <w:r>
              <w:rPr>
                <w:rFonts w:ascii="Arial" w:hAnsi="Arial" w:cs="Arial"/>
                <w:noProof/>
                <w:color w:val="000000"/>
                <w:sz w:val="22"/>
                <w:szCs w:val="22"/>
                <w:highlight w:val="black"/>
              </w:rPr>
              <w:t>''''</w:t>
            </w:r>
          </w:p>
        </w:tc>
      </w:tr>
      <w:tr w:rsidR="00D87841" w:rsidRPr="00D87841" w:rsidTr="00D87841">
        <w:tc>
          <w:tcPr>
            <w:tcW w:w="2882" w:type="pct"/>
            <w:shd w:val="clear" w:color="auto" w:fill="auto"/>
          </w:tcPr>
          <w:p w:rsidR="00D87841" w:rsidRPr="002F5F7F" w:rsidRDefault="00D87841" w:rsidP="00027F7E">
            <w:pPr>
              <w:spacing w:after="300"/>
              <w:contextualSpacing/>
              <w:rPr>
                <w:rFonts w:ascii="Arial" w:hAnsi="Arial" w:cs="Arial"/>
                <w:bCs/>
                <w:sz w:val="20"/>
                <w:szCs w:val="20"/>
              </w:rPr>
            </w:pPr>
            <w:r w:rsidRPr="002F5F7F">
              <w:rPr>
                <w:rFonts w:ascii="Arial" w:hAnsi="Arial" w:cs="Arial"/>
                <w:bCs/>
                <w:sz w:val="20"/>
                <w:szCs w:val="20"/>
              </w:rPr>
              <w:t>Difference (weeks)</w:t>
            </w:r>
          </w:p>
        </w:tc>
        <w:tc>
          <w:tcPr>
            <w:tcW w:w="2118" w:type="pct"/>
            <w:gridSpan w:val="2"/>
          </w:tcPr>
          <w:p w:rsidR="00D87841" w:rsidRPr="00AE4FBD" w:rsidRDefault="00AE4FBD" w:rsidP="00027F7E">
            <w:pPr>
              <w:keepNext/>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r>
      <w:tr w:rsidR="00D87841" w:rsidRPr="00D87841" w:rsidTr="00D87841">
        <w:tc>
          <w:tcPr>
            <w:tcW w:w="2882" w:type="pct"/>
            <w:shd w:val="clear" w:color="auto" w:fill="auto"/>
          </w:tcPr>
          <w:p w:rsidR="00D87841" w:rsidRPr="002F5F7F" w:rsidRDefault="00D87841" w:rsidP="00027F7E">
            <w:pPr>
              <w:spacing w:after="300"/>
              <w:contextualSpacing/>
              <w:rPr>
                <w:rFonts w:ascii="Arial" w:hAnsi="Arial" w:cs="Arial"/>
                <w:bCs/>
                <w:sz w:val="20"/>
                <w:szCs w:val="20"/>
              </w:rPr>
            </w:pPr>
            <w:r w:rsidRPr="002F5F7F">
              <w:rPr>
                <w:rFonts w:ascii="Arial" w:hAnsi="Arial" w:cs="Arial"/>
                <w:bCs/>
                <w:sz w:val="20"/>
                <w:szCs w:val="20"/>
              </w:rPr>
              <w:t>Hazard ratio (95% CI)</w:t>
            </w:r>
          </w:p>
        </w:tc>
        <w:tc>
          <w:tcPr>
            <w:tcW w:w="2118" w:type="pct"/>
            <w:gridSpan w:val="2"/>
          </w:tcPr>
          <w:p w:rsidR="00D87841" w:rsidRPr="00AE4FBD" w:rsidRDefault="00AE4FBD" w:rsidP="00027F7E">
            <w:pPr>
              <w:spacing w:after="300"/>
              <w:contextualSpacing/>
              <w:jc w:val="center"/>
              <w:rPr>
                <w:rFonts w:ascii="Arial" w:hAnsi="Arial" w:cs="Arial"/>
                <w:bCs/>
                <w:sz w:val="20"/>
                <w:szCs w:val="20"/>
                <w:highlight w:val="black"/>
              </w:rPr>
            </w:pPr>
            <w:r>
              <w:rPr>
                <w:rFonts w:ascii="Arial" w:hAnsi="Arial" w:cs="Arial"/>
                <w:bCs/>
                <w:noProof/>
                <w:color w:val="000000"/>
                <w:sz w:val="20"/>
                <w:szCs w:val="20"/>
                <w:highlight w:val="black"/>
              </w:rPr>
              <w:t>'''''''''' ''''''''''''' '''''''''''''</w:t>
            </w:r>
          </w:p>
        </w:tc>
      </w:tr>
    </w:tbl>
    <w:p w:rsidR="00D87841" w:rsidRPr="002F5F7F" w:rsidRDefault="00D87841" w:rsidP="006D1FD1">
      <w:pPr>
        <w:tabs>
          <w:tab w:val="left" w:pos="1134"/>
        </w:tabs>
        <w:ind w:left="709"/>
        <w:rPr>
          <w:rFonts w:ascii="Arial" w:hAnsi="Arial"/>
          <w:sz w:val="10"/>
          <w:szCs w:val="10"/>
        </w:rPr>
      </w:pPr>
    </w:p>
    <w:p w:rsidR="00C9099B" w:rsidRDefault="00C9099B" w:rsidP="00C9099B">
      <w:pPr>
        <w:pStyle w:val="ListParagraph"/>
        <w:ind w:left="709"/>
        <w:jc w:val="both"/>
        <w:rPr>
          <w:rFonts w:ascii="Arial" w:hAnsi="Arial"/>
          <w:sz w:val="22"/>
          <w:szCs w:val="22"/>
        </w:rPr>
      </w:pPr>
    </w:p>
    <w:p w:rsidR="00FE3268" w:rsidRDefault="006F7F1E" w:rsidP="00FE3268">
      <w:pPr>
        <w:pStyle w:val="ListParagraph"/>
        <w:numPr>
          <w:ilvl w:val="1"/>
          <w:numId w:val="26"/>
        </w:numPr>
        <w:jc w:val="both"/>
        <w:rPr>
          <w:rFonts w:ascii="Arial" w:hAnsi="Arial"/>
          <w:sz w:val="22"/>
          <w:szCs w:val="22"/>
        </w:rPr>
      </w:pPr>
      <w:r w:rsidRPr="00DD4835">
        <w:rPr>
          <w:rFonts w:ascii="Arial" w:hAnsi="Arial"/>
          <w:sz w:val="22"/>
          <w:szCs w:val="22"/>
        </w:rPr>
        <w:t xml:space="preserve">The PBAC considered that the extent of benefit </w:t>
      </w:r>
      <w:r w:rsidR="00DD4835">
        <w:rPr>
          <w:rFonts w:ascii="Arial" w:hAnsi="Arial"/>
          <w:sz w:val="22"/>
          <w:szCs w:val="22"/>
        </w:rPr>
        <w:t xml:space="preserve">of </w:t>
      </w:r>
      <w:proofErr w:type="spellStart"/>
      <w:r w:rsidR="00DD4835">
        <w:rPr>
          <w:rFonts w:ascii="Arial" w:hAnsi="Arial"/>
          <w:sz w:val="22"/>
          <w:szCs w:val="22"/>
        </w:rPr>
        <w:t>erlotinib</w:t>
      </w:r>
      <w:proofErr w:type="spellEnd"/>
      <w:r w:rsidR="00DD4835">
        <w:rPr>
          <w:rFonts w:ascii="Arial" w:hAnsi="Arial"/>
          <w:sz w:val="22"/>
          <w:szCs w:val="22"/>
        </w:rPr>
        <w:t xml:space="preserve"> </w:t>
      </w:r>
      <w:r w:rsidRPr="00DD4835">
        <w:rPr>
          <w:rFonts w:ascii="Arial" w:hAnsi="Arial"/>
          <w:sz w:val="22"/>
          <w:szCs w:val="22"/>
        </w:rPr>
        <w:t>over BSC</w:t>
      </w:r>
      <w:r w:rsidR="003F55E5">
        <w:rPr>
          <w:rFonts w:ascii="Arial" w:hAnsi="Arial"/>
          <w:sz w:val="22"/>
          <w:szCs w:val="22"/>
        </w:rPr>
        <w:t xml:space="preserve"> in BR.21</w:t>
      </w:r>
      <w:r w:rsidRPr="00DD4835">
        <w:rPr>
          <w:rFonts w:ascii="Arial" w:hAnsi="Arial"/>
          <w:sz w:val="22"/>
          <w:szCs w:val="22"/>
        </w:rPr>
        <w:t xml:space="preserve">, with a median PFS gain of 0.4 months, truncated mean PFS gain of </w:t>
      </w:r>
      <w:r w:rsidR="00AE4FBD">
        <w:rPr>
          <w:rFonts w:ascii="Arial" w:hAnsi="Arial"/>
          <w:noProof/>
          <w:color w:val="000000"/>
          <w:sz w:val="22"/>
          <w:szCs w:val="22"/>
          <w:highlight w:val="black"/>
        </w:rPr>
        <w:t>''''''''</w:t>
      </w:r>
      <w:r w:rsidRPr="00DD4835">
        <w:rPr>
          <w:rFonts w:ascii="Arial" w:hAnsi="Arial"/>
          <w:sz w:val="22"/>
          <w:szCs w:val="22"/>
        </w:rPr>
        <w:t xml:space="preserve"> months, and overall survival gain of </w:t>
      </w:r>
      <w:r w:rsidR="00A91F8E">
        <w:rPr>
          <w:rFonts w:ascii="Arial" w:hAnsi="Arial"/>
          <w:sz w:val="22"/>
          <w:szCs w:val="22"/>
        </w:rPr>
        <w:t xml:space="preserve">up </w:t>
      </w:r>
      <w:r w:rsidRPr="00DD4835">
        <w:rPr>
          <w:rFonts w:ascii="Arial" w:hAnsi="Arial"/>
          <w:sz w:val="22"/>
          <w:szCs w:val="22"/>
        </w:rPr>
        <w:t>to 2 months</w:t>
      </w:r>
      <w:r w:rsidR="00DD4835">
        <w:rPr>
          <w:rFonts w:ascii="Arial" w:hAnsi="Arial"/>
          <w:sz w:val="22"/>
          <w:szCs w:val="22"/>
        </w:rPr>
        <w:t>,</w:t>
      </w:r>
      <w:r w:rsidRPr="00DD4835">
        <w:rPr>
          <w:rFonts w:ascii="Arial" w:hAnsi="Arial"/>
          <w:sz w:val="22"/>
          <w:szCs w:val="22"/>
        </w:rPr>
        <w:t xml:space="preserve"> was small. </w:t>
      </w:r>
      <w:r w:rsidR="00DD4835">
        <w:rPr>
          <w:rFonts w:ascii="Arial" w:hAnsi="Arial"/>
          <w:sz w:val="22"/>
          <w:szCs w:val="22"/>
        </w:rPr>
        <w:t xml:space="preserve">The </w:t>
      </w:r>
      <w:r w:rsidR="00263622">
        <w:rPr>
          <w:rFonts w:ascii="Arial" w:hAnsi="Arial"/>
          <w:sz w:val="22"/>
          <w:szCs w:val="22"/>
        </w:rPr>
        <w:t xml:space="preserve">results for </w:t>
      </w:r>
      <w:r w:rsidR="00DD4835">
        <w:rPr>
          <w:rFonts w:ascii="Arial" w:hAnsi="Arial"/>
          <w:sz w:val="22"/>
          <w:szCs w:val="22"/>
        </w:rPr>
        <w:t xml:space="preserve">time to symptom deterioration did not support a </w:t>
      </w:r>
      <w:r w:rsidR="00263622">
        <w:rPr>
          <w:rFonts w:ascii="Arial" w:hAnsi="Arial"/>
          <w:sz w:val="22"/>
          <w:szCs w:val="22"/>
        </w:rPr>
        <w:t xml:space="preserve">clear </w:t>
      </w:r>
      <w:r w:rsidR="00DD4835">
        <w:rPr>
          <w:rFonts w:ascii="Arial" w:hAnsi="Arial"/>
          <w:sz w:val="22"/>
          <w:szCs w:val="22"/>
        </w:rPr>
        <w:t xml:space="preserve">conclusion of improved quality of life of </w:t>
      </w:r>
      <w:proofErr w:type="spellStart"/>
      <w:r w:rsidR="00DD4835">
        <w:rPr>
          <w:rFonts w:ascii="Arial" w:hAnsi="Arial"/>
          <w:sz w:val="22"/>
          <w:szCs w:val="22"/>
        </w:rPr>
        <w:t>erlotinib</w:t>
      </w:r>
      <w:proofErr w:type="spellEnd"/>
      <w:r w:rsidR="00DD4835">
        <w:rPr>
          <w:rFonts w:ascii="Arial" w:hAnsi="Arial"/>
          <w:sz w:val="22"/>
          <w:szCs w:val="22"/>
        </w:rPr>
        <w:t xml:space="preserve"> </w:t>
      </w:r>
      <w:r w:rsidR="00DD4835" w:rsidRPr="00DD4835">
        <w:rPr>
          <w:rFonts w:ascii="Arial" w:hAnsi="Arial"/>
          <w:sz w:val="22"/>
          <w:szCs w:val="22"/>
        </w:rPr>
        <w:t>over BSC</w:t>
      </w:r>
      <w:r w:rsidR="00263622">
        <w:rPr>
          <w:rFonts w:ascii="Arial" w:hAnsi="Arial"/>
          <w:sz w:val="22"/>
          <w:szCs w:val="22"/>
        </w:rPr>
        <w:t>.</w:t>
      </w:r>
      <w:r w:rsidR="00DD4835" w:rsidRPr="00DD4835">
        <w:rPr>
          <w:rFonts w:ascii="Arial" w:hAnsi="Arial"/>
          <w:sz w:val="22"/>
          <w:szCs w:val="22"/>
        </w:rPr>
        <w:t xml:space="preserve"> </w:t>
      </w:r>
      <w:r w:rsidR="003F55E5">
        <w:rPr>
          <w:rFonts w:ascii="Arial" w:hAnsi="Arial"/>
          <w:sz w:val="22"/>
          <w:szCs w:val="22"/>
        </w:rPr>
        <w:t>The PBAC further considered that t</w:t>
      </w:r>
      <w:r w:rsidRPr="00DD4835">
        <w:rPr>
          <w:rFonts w:ascii="Arial" w:hAnsi="Arial"/>
          <w:sz w:val="22"/>
          <w:szCs w:val="22"/>
        </w:rPr>
        <w:t xml:space="preserve">hese results </w:t>
      </w:r>
      <w:r w:rsidR="00DD4835">
        <w:rPr>
          <w:rFonts w:ascii="Arial" w:hAnsi="Arial"/>
          <w:sz w:val="22"/>
          <w:szCs w:val="22"/>
        </w:rPr>
        <w:t>represent</w:t>
      </w:r>
      <w:r w:rsidRPr="00DD4835">
        <w:rPr>
          <w:rFonts w:ascii="Arial" w:hAnsi="Arial"/>
          <w:sz w:val="22"/>
          <w:szCs w:val="22"/>
        </w:rPr>
        <w:t xml:space="preserve"> a best case scenario </w:t>
      </w:r>
      <w:r w:rsidR="00DD4835">
        <w:rPr>
          <w:rFonts w:ascii="Arial" w:hAnsi="Arial"/>
          <w:sz w:val="22"/>
          <w:szCs w:val="22"/>
        </w:rPr>
        <w:t>because</w:t>
      </w:r>
      <w:r w:rsidRPr="00DD4835">
        <w:rPr>
          <w:rFonts w:ascii="Arial" w:hAnsi="Arial"/>
          <w:sz w:val="22"/>
          <w:szCs w:val="22"/>
        </w:rPr>
        <w:t xml:space="preserve"> patients </w:t>
      </w:r>
      <w:r w:rsidR="00DD4835" w:rsidRPr="00DD4835">
        <w:rPr>
          <w:rFonts w:ascii="Arial" w:hAnsi="Arial"/>
          <w:sz w:val="22"/>
          <w:szCs w:val="22"/>
        </w:rPr>
        <w:t>with EGFR muta</w:t>
      </w:r>
      <w:r w:rsidR="00A85921">
        <w:rPr>
          <w:rFonts w:ascii="Arial" w:hAnsi="Arial"/>
          <w:sz w:val="22"/>
          <w:szCs w:val="22"/>
        </w:rPr>
        <w:t>tion positive</w:t>
      </w:r>
      <w:r w:rsidR="00DD4835" w:rsidRPr="00DD4835">
        <w:rPr>
          <w:rFonts w:ascii="Arial" w:hAnsi="Arial"/>
          <w:sz w:val="22"/>
          <w:szCs w:val="22"/>
        </w:rPr>
        <w:t xml:space="preserve"> tumours </w:t>
      </w:r>
      <w:r w:rsidRPr="00DD4835">
        <w:rPr>
          <w:rFonts w:ascii="Arial" w:hAnsi="Arial"/>
          <w:sz w:val="22"/>
          <w:szCs w:val="22"/>
        </w:rPr>
        <w:t xml:space="preserve">(who would be excluded </w:t>
      </w:r>
      <w:r w:rsidR="00DD4835" w:rsidRPr="00DD4835">
        <w:rPr>
          <w:rFonts w:ascii="Arial" w:hAnsi="Arial"/>
          <w:sz w:val="22"/>
          <w:szCs w:val="22"/>
        </w:rPr>
        <w:t xml:space="preserve">by the current last-line PBS restriction) cannot be excluded from these results and their retention tends to overestimate the effectiveness of </w:t>
      </w:r>
      <w:proofErr w:type="spellStart"/>
      <w:r w:rsidR="00DD4835" w:rsidRPr="00DD4835">
        <w:rPr>
          <w:rFonts w:ascii="Arial" w:hAnsi="Arial"/>
          <w:sz w:val="22"/>
          <w:szCs w:val="22"/>
        </w:rPr>
        <w:t>erlotinib</w:t>
      </w:r>
      <w:proofErr w:type="spellEnd"/>
      <w:r w:rsidR="00DD4835" w:rsidRPr="00DD4835">
        <w:rPr>
          <w:rFonts w:ascii="Arial" w:hAnsi="Arial"/>
          <w:sz w:val="22"/>
          <w:szCs w:val="22"/>
        </w:rPr>
        <w:t xml:space="preserve"> compared to </w:t>
      </w:r>
      <w:r w:rsidR="003F55E5">
        <w:rPr>
          <w:rFonts w:ascii="Arial" w:hAnsi="Arial"/>
          <w:sz w:val="22"/>
          <w:szCs w:val="22"/>
        </w:rPr>
        <w:t xml:space="preserve">its use in contemporary </w:t>
      </w:r>
      <w:r w:rsidR="00DD4835" w:rsidRPr="00DD4835">
        <w:rPr>
          <w:rFonts w:ascii="Arial" w:hAnsi="Arial"/>
          <w:sz w:val="22"/>
          <w:szCs w:val="22"/>
        </w:rPr>
        <w:t>patients who meet the current last-line PBS restriction</w:t>
      </w:r>
      <w:r w:rsidR="000B558D" w:rsidRPr="00DD4835">
        <w:rPr>
          <w:rFonts w:ascii="Arial" w:hAnsi="Arial"/>
          <w:sz w:val="22"/>
          <w:szCs w:val="22"/>
        </w:rPr>
        <w:t>.</w:t>
      </w:r>
    </w:p>
    <w:p w:rsidR="002C2DF8" w:rsidRPr="002C2DF8" w:rsidRDefault="00C2640B" w:rsidP="002C2DF8">
      <w:pPr>
        <w:ind w:left="1070"/>
        <w:jc w:val="both"/>
        <w:rPr>
          <w:rFonts w:ascii="Arial" w:hAnsi="Arial" w:cs="Arial"/>
          <w:sz w:val="22"/>
          <w:szCs w:val="22"/>
        </w:rPr>
      </w:pPr>
      <w:r>
        <w:rPr>
          <w:rFonts w:ascii="Arial" w:hAnsi="Arial"/>
          <w:sz w:val="22"/>
          <w:szCs w:val="22"/>
        </w:rPr>
        <w:t xml:space="preserve"> </w:t>
      </w:r>
    </w:p>
    <w:p w:rsidR="002F5F7F" w:rsidRDefault="002F5F7F"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Pr="00882085" w:rsidRDefault="005A3173" w:rsidP="006D1FD1">
      <w:pPr>
        <w:tabs>
          <w:tab w:val="left" w:pos="1134"/>
        </w:tabs>
        <w:ind w:left="709"/>
        <w:rPr>
          <w:rFonts w:ascii="Arial" w:hAnsi="Arial"/>
          <w:sz w:val="22"/>
          <w:szCs w:val="22"/>
        </w:rPr>
      </w:pPr>
    </w:p>
    <w:p w:rsidR="00027F7E" w:rsidRDefault="00027F7E" w:rsidP="00027F7E">
      <w:pPr>
        <w:pStyle w:val="ListParagraph"/>
        <w:numPr>
          <w:ilvl w:val="1"/>
          <w:numId w:val="26"/>
        </w:numPr>
        <w:ind w:left="709" w:hanging="709"/>
        <w:jc w:val="both"/>
        <w:rPr>
          <w:rFonts w:ascii="Arial" w:hAnsi="Arial"/>
          <w:sz w:val="22"/>
          <w:szCs w:val="22"/>
        </w:rPr>
      </w:pPr>
      <w:r w:rsidRPr="00027F7E">
        <w:rPr>
          <w:rFonts w:ascii="Arial" w:hAnsi="Arial"/>
          <w:sz w:val="22"/>
          <w:szCs w:val="22"/>
        </w:rPr>
        <w:t xml:space="preserve">Safety data from the BR.21 </w:t>
      </w:r>
      <w:r>
        <w:rPr>
          <w:rFonts w:ascii="Arial" w:hAnsi="Arial"/>
          <w:sz w:val="22"/>
          <w:szCs w:val="22"/>
        </w:rPr>
        <w:t>trial</w:t>
      </w:r>
      <w:r w:rsidRPr="00027F7E">
        <w:rPr>
          <w:rFonts w:ascii="Arial" w:hAnsi="Arial"/>
          <w:sz w:val="22"/>
          <w:szCs w:val="22"/>
        </w:rPr>
        <w:t xml:space="preserve"> were available for patients who received at least one dose of study treatment</w:t>
      </w:r>
      <w:r>
        <w:rPr>
          <w:rFonts w:ascii="Arial" w:hAnsi="Arial"/>
          <w:sz w:val="22"/>
          <w:szCs w:val="22"/>
        </w:rPr>
        <w:t xml:space="preserve">, see table </w:t>
      </w:r>
      <w:r w:rsidRPr="00027F7E">
        <w:rPr>
          <w:rFonts w:ascii="Arial" w:hAnsi="Arial"/>
          <w:sz w:val="22"/>
          <w:szCs w:val="22"/>
        </w:rPr>
        <w:t>summaris</w:t>
      </w:r>
      <w:r>
        <w:rPr>
          <w:rFonts w:ascii="Arial" w:hAnsi="Arial"/>
          <w:sz w:val="22"/>
          <w:szCs w:val="22"/>
        </w:rPr>
        <w:t>ing</w:t>
      </w:r>
      <w:r w:rsidRPr="00027F7E">
        <w:rPr>
          <w:rFonts w:ascii="Arial" w:hAnsi="Arial"/>
          <w:sz w:val="22"/>
          <w:szCs w:val="22"/>
        </w:rPr>
        <w:t xml:space="preserve"> the incidence of adverse events (AEs)</w:t>
      </w:r>
      <w:r>
        <w:rPr>
          <w:rFonts w:ascii="Arial" w:hAnsi="Arial"/>
          <w:sz w:val="22"/>
          <w:szCs w:val="22"/>
        </w:rPr>
        <w:t xml:space="preserve"> below</w:t>
      </w:r>
      <w:r w:rsidRPr="00027F7E">
        <w:rPr>
          <w:rFonts w:ascii="Arial" w:hAnsi="Arial"/>
          <w:sz w:val="22"/>
          <w:szCs w:val="22"/>
        </w:rPr>
        <w:t>.</w:t>
      </w:r>
    </w:p>
    <w:tbl>
      <w:tblPr>
        <w:tblW w:w="9072" w:type="dxa"/>
        <w:tblInd w:w="340"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3544"/>
        <w:gridCol w:w="1275"/>
        <w:gridCol w:w="709"/>
        <w:gridCol w:w="567"/>
        <w:gridCol w:w="709"/>
        <w:gridCol w:w="2268"/>
      </w:tblGrid>
      <w:tr w:rsidR="00027F7E" w:rsidRPr="00027F7E" w:rsidTr="002F5F7F">
        <w:trPr>
          <w:cantSplit/>
        </w:trPr>
        <w:tc>
          <w:tcPr>
            <w:tcW w:w="3544" w:type="dxa"/>
            <w:tcBorders>
              <w:top w:val="single" w:sz="4" w:space="0" w:color="auto"/>
              <w:bottom w:val="nil"/>
              <w:right w:val="single" w:sz="4" w:space="0" w:color="auto"/>
            </w:tcBorders>
          </w:tcPr>
          <w:p w:rsidR="00027F7E" w:rsidRPr="002F5F7F" w:rsidRDefault="00027F7E" w:rsidP="00027F7E">
            <w:pPr>
              <w:tabs>
                <w:tab w:val="left" w:pos="2835"/>
              </w:tabs>
              <w:snapToGrid w:val="0"/>
              <w:rPr>
                <w:rFonts w:ascii="Arial" w:hAnsi="Arial" w:cs="Arial"/>
                <w:b/>
                <w:bCs/>
                <w:sz w:val="20"/>
                <w:szCs w:val="20"/>
              </w:rPr>
            </w:pPr>
            <w:r w:rsidRPr="002F5F7F">
              <w:rPr>
                <w:rFonts w:ascii="Arial" w:hAnsi="Arial" w:cs="Arial"/>
                <w:b/>
                <w:bCs/>
                <w:sz w:val="20"/>
                <w:szCs w:val="20"/>
              </w:rPr>
              <w:t>Adverse event</w:t>
            </w:r>
          </w:p>
        </w:tc>
        <w:tc>
          <w:tcPr>
            <w:tcW w:w="1984" w:type="dxa"/>
            <w:gridSpan w:val="2"/>
            <w:tcBorders>
              <w:top w:val="single" w:sz="4" w:space="0" w:color="auto"/>
              <w:left w:val="nil"/>
              <w:bottom w:val="nil"/>
              <w:right w:val="single" w:sz="4" w:space="0" w:color="auto"/>
            </w:tcBorders>
          </w:tcPr>
          <w:p w:rsidR="00027F7E" w:rsidRPr="002F5F7F" w:rsidRDefault="00027F7E" w:rsidP="00027F7E">
            <w:pPr>
              <w:tabs>
                <w:tab w:val="left" w:pos="2835"/>
              </w:tabs>
              <w:snapToGrid w:val="0"/>
              <w:ind w:left="-56"/>
              <w:jc w:val="center"/>
              <w:rPr>
                <w:rFonts w:ascii="Arial" w:hAnsi="Arial" w:cs="Arial"/>
                <w:b/>
                <w:bCs/>
                <w:sz w:val="20"/>
                <w:szCs w:val="20"/>
              </w:rPr>
            </w:pPr>
            <w:proofErr w:type="spellStart"/>
            <w:r w:rsidRPr="002F5F7F">
              <w:rPr>
                <w:rFonts w:ascii="Arial" w:hAnsi="Arial" w:cs="Arial"/>
                <w:b/>
                <w:bCs/>
                <w:sz w:val="20"/>
                <w:szCs w:val="20"/>
              </w:rPr>
              <w:t>Erlotinib</w:t>
            </w:r>
            <w:proofErr w:type="spellEnd"/>
          </w:p>
          <w:p w:rsidR="00027F7E" w:rsidRPr="002F5F7F" w:rsidRDefault="00027F7E" w:rsidP="00027F7E">
            <w:pPr>
              <w:tabs>
                <w:tab w:val="left" w:pos="2835"/>
              </w:tabs>
              <w:snapToGrid w:val="0"/>
              <w:jc w:val="center"/>
              <w:rPr>
                <w:rFonts w:ascii="Arial" w:hAnsi="Arial" w:cs="Arial"/>
                <w:b/>
                <w:bCs/>
                <w:sz w:val="20"/>
                <w:szCs w:val="20"/>
              </w:rPr>
            </w:pPr>
            <w:r w:rsidRPr="002F5F7F">
              <w:rPr>
                <w:rFonts w:ascii="Arial" w:hAnsi="Arial" w:cs="Arial"/>
                <w:b/>
                <w:bCs/>
                <w:sz w:val="20"/>
                <w:szCs w:val="20"/>
              </w:rPr>
              <w:t>(N=485)</w:t>
            </w:r>
          </w:p>
        </w:tc>
        <w:tc>
          <w:tcPr>
            <w:tcW w:w="1276" w:type="dxa"/>
            <w:gridSpan w:val="2"/>
            <w:tcBorders>
              <w:top w:val="single" w:sz="4" w:space="0" w:color="auto"/>
              <w:left w:val="nil"/>
              <w:bottom w:val="nil"/>
              <w:right w:val="nil"/>
            </w:tcBorders>
          </w:tcPr>
          <w:p w:rsidR="00027F7E" w:rsidRPr="002F5F7F" w:rsidRDefault="00027F7E" w:rsidP="00027F7E">
            <w:pPr>
              <w:tabs>
                <w:tab w:val="left" w:pos="2835"/>
              </w:tabs>
              <w:snapToGrid w:val="0"/>
              <w:jc w:val="center"/>
              <w:rPr>
                <w:rFonts w:ascii="Arial" w:hAnsi="Arial" w:cs="Arial"/>
                <w:b/>
                <w:bCs/>
                <w:sz w:val="20"/>
                <w:szCs w:val="20"/>
              </w:rPr>
            </w:pPr>
            <w:r w:rsidRPr="002F5F7F">
              <w:rPr>
                <w:rFonts w:ascii="Arial" w:hAnsi="Arial" w:cs="Arial"/>
                <w:b/>
                <w:bCs/>
                <w:sz w:val="20"/>
                <w:szCs w:val="20"/>
              </w:rPr>
              <w:t>BSC</w:t>
            </w:r>
          </w:p>
          <w:p w:rsidR="00027F7E" w:rsidRPr="002F5F7F" w:rsidRDefault="00027F7E" w:rsidP="00027F7E">
            <w:pPr>
              <w:tabs>
                <w:tab w:val="left" w:pos="2835"/>
              </w:tabs>
              <w:snapToGrid w:val="0"/>
              <w:jc w:val="center"/>
              <w:rPr>
                <w:rFonts w:ascii="Arial" w:hAnsi="Arial" w:cs="Arial"/>
                <w:b/>
                <w:bCs/>
                <w:sz w:val="20"/>
                <w:szCs w:val="20"/>
              </w:rPr>
            </w:pPr>
            <w:r w:rsidRPr="002F5F7F">
              <w:rPr>
                <w:rFonts w:ascii="Arial" w:hAnsi="Arial" w:cs="Arial"/>
                <w:b/>
                <w:bCs/>
                <w:sz w:val="20"/>
                <w:szCs w:val="20"/>
              </w:rPr>
              <w:t>(N=242)</w:t>
            </w:r>
          </w:p>
        </w:tc>
        <w:tc>
          <w:tcPr>
            <w:tcW w:w="2268" w:type="dxa"/>
            <w:vMerge w:val="restart"/>
            <w:tcBorders>
              <w:top w:val="single" w:sz="4" w:space="0" w:color="auto"/>
              <w:left w:val="single" w:sz="4" w:space="0" w:color="auto"/>
              <w:bottom w:val="nil"/>
            </w:tcBorders>
          </w:tcPr>
          <w:p w:rsidR="00027F7E" w:rsidRPr="002F5F7F" w:rsidRDefault="00027F7E" w:rsidP="00027F7E">
            <w:pPr>
              <w:tabs>
                <w:tab w:val="left" w:pos="2835"/>
              </w:tabs>
              <w:snapToGrid w:val="0"/>
              <w:jc w:val="center"/>
              <w:rPr>
                <w:rFonts w:ascii="Arial" w:hAnsi="Arial" w:cs="Arial"/>
                <w:b/>
                <w:bCs/>
                <w:sz w:val="20"/>
                <w:szCs w:val="20"/>
              </w:rPr>
            </w:pPr>
            <w:r w:rsidRPr="002F5F7F">
              <w:rPr>
                <w:rFonts w:ascii="Arial" w:hAnsi="Arial" w:cs="Arial"/>
                <w:b/>
                <w:bCs/>
                <w:sz w:val="20"/>
                <w:szCs w:val="20"/>
              </w:rPr>
              <w:t>Relative risk</w:t>
            </w:r>
          </w:p>
          <w:p w:rsidR="00027F7E" w:rsidRPr="002F5F7F" w:rsidRDefault="00027F7E" w:rsidP="00027F7E">
            <w:pPr>
              <w:tabs>
                <w:tab w:val="left" w:pos="2835"/>
              </w:tabs>
              <w:snapToGrid w:val="0"/>
              <w:jc w:val="center"/>
              <w:rPr>
                <w:rFonts w:ascii="Arial" w:hAnsi="Arial" w:cs="Arial"/>
                <w:b/>
                <w:bCs/>
                <w:sz w:val="20"/>
                <w:szCs w:val="20"/>
              </w:rPr>
            </w:pPr>
            <w:r w:rsidRPr="002F5F7F">
              <w:rPr>
                <w:rFonts w:ascii="Arial" w:hAnsi="Arial" w:cs="Arial"/>
                <w:b/>
                <w:bCs/>
                <w:sz w:val="20"/>
                <w:szCs w:val="20"/>
              </w:rPr>
              <w:t>(95% CI)</w:t>
            </w:r>
          </w:p>
          <w:p w:rsidR="00027F7E" w:rsidRPr="002F5F7F" w:rsidRDefault="00027F7E" w:rsidP="00027F7E">
            <w:pPr>
              <w:tabs>
                <w:tab w:val="left" w:pos="2835"/>
              </w:tabs>
              <w:snapToGrid w:val="0"/>
              <w:jc w:val="center"/>
              <w:rPr>
                <w:rFonts w:ascii="Arial" w:hAnsi="Arial" w:cs="Arial"/>
                <w:b/>
                <w:bCs/>
                <w:sz w:val="20"/>
                <w:szCs w:val="20"/>
              </w:rPr>
            </w:pPr>
            <w:proofErr w:type="spellStart"/>
            <w:r w:rsidRPr="002F5F7F">
              <w:rPr>
                <w:rFonts w:ascii="Arial" w:hAnsi="Arial" w:cs="Arial"/>
                <w:b/>
                <w:bCs/>
                <w:sz w:val="20"/>
                <w:szCs w:val="20"/>
              </w:rPr>
              <w:t>Erlotinib</w:t>
            </w:r>
            <w:proofErr w:type="spellEnd"/>
            <w:r w:rsidRPr="002F5F7F">
              <w:rPr>
                <w:rFonts w:ascii="Arial" w:hAnsi="Arial" w:cs="Arial"/>
                <w:b/>
                <w:bCs/>
                <w:sz w:val="20"/>
                <w:szCs w:val="20"/>
              </w:rPr>
              <w:t xml:space="preserve"> vs BSC</w:t>
            </w:r>
          </w:p>
        </w:tc>
      </w:tr>
      <w:tr w:rsidR="00027F7E" w:rsidRPr="00027F7E" w:rsidTr="002F5F7F">
        <w:tc>
          <w:tcPr>
            <w:tcW w:w="3544" w:type="dxa"/>
            <w:tcBorders>
              <w:top w:val="nil"/>
              <w:bottom w:val="single" w:sz="4" w:space="0" w:color="auto"/>
              <w:right w:val="single" w:sz="4" w:space="0" w:color="auto"/>
            </w:tcBorders>
          </w:tcPr>
          <w:p w:rsidR="00027F7E" w:rsidRPr="002F5F7F" w:rsidRDefault="00027F7E" w:rsidP="00027F7E">
            <w:pPr>
              <w:jc w:val="center"/>
              <w:rPr>
                <w:rFonts w:ascii="Arial" w:hAnsi="Arial" w:cs="Arial"/>
                <w:b/>
                <w:bCs/>
                <w:sz w:val="20"/>
                <w:szCs w:val="20"/>
              </w:rPr>
            </w:pPr>
          </w:p>
        </w:tc>
        <w:tc>
          <w:tcPr>
            <w:tcW w:w="1275" w:type="dxa"/>
            <w:tcBorders>
              <w:top w:val="nil"/>
              <w:left w:val="single" w:sz="4" w:space="0" w:color="auto"/>
              <w:bottom w:val="single" w:sz="4" w:space="0" w:color="auto"/>
              <w:right w:val="nil"/>
            </w:tcBorders>
          </w:tcPr>
          <w:p w:rsidR="00027F7E" w:rsidRPr="002F5F7F" w:rsidRDefault="00027F7E" w:rsidP="00027F7E">
            <w:pPr>
              <w:spacing w:after="300"/>
              <w:ind w:right="23"/>
              <w:contextualSpacing/>
              <w:jc w:val="right"/>
              <w:rPr>
                <w:rFonts w:ascii="Arial" w:hAnsi="Arial" w:cs="Arial"/>
                <w:b/>
                <w:bCs/>
                <w:sz w:val="20"/>
                <w:szCs w:val="20"/>
              </w:rPr>
            </w:pPr>
            <w:r w:rsidRPr="002F5F7F">
              <w:rPr>
                <w:rFonts w:ascii="Arial" w:hAnsi="Arial" w:cs="Arial"/>
                <w:b/>
                <w:bCs/>
                <w:sz w:val="20"/>
                <w:szCs w:val="20"/>
              </w:rPr>
              <w:t>n</w:t>
            </w:r>
          </w:p>
        </w:tc>
        <w:tc>
          <w:tcPr>
            <w:tcW w:w="709" w:type="dxa"/>
            <w:tcBorders>
              <w:top w:val="nil"/>
              <w:left w:val="nil"/>
              <w:bottom w:val="single" w:sz="4" w:space="0" w:color="auto"/>
              <w:right w:val="single" w:sz="4" w:space="0" w:color="auto"/>
            </w:tcBorders>
          </w:tcPr>
          <w:p w:rsidR="00027F7E" w:rsidRPr="002F5F7F" w:rsidRDefault="00027F7E" w:rsidP="00027F7E">
            <w:pPr>
              <w:spacing w:after="300"/>
              <w:ind w:right="23"/>
              <w:contextualSpacing/>
              <w:rPr>
                <w:rFonts w:ascii="Arial" w:hAnsi="Arial" w:cs="Arial"/>
                <w:b/>
                <w:bCs/>
                <w:sz w:val="20"/>
                <w:szCs w:val="20"/>
              </w:rPr>
            </w:pPr>
            <w:r w:rsidRPr="002F5F7F">
              <w:rPr>
                <w:rFonts w:ascii="Arial" w:hAnsi="Arial" w:cs="Arial"/>
                <w:b/>
                <w:bCs/>
                <w:sz w:val="20"/>
                <w:szCs w:val="20"/>
              </w:rPr>
              <w:t>(%)</w:t>
            </w:r>
          </w:p>
        </w:tc>
        <w:tc>
          <w:tcPr>
            <w:tcW w:w="567" w:type="dxa"/>
            <w:tcBorders>
              <w:top w:val="nil"/>
              <w:left w:val="single" w:sz="4" w:space="0" w:color="auto"/>
              <w:bottom w:val="single" w:sz="4" w:space="0" w:color="auto"/>
              <w:right w:val="nil"/>
            </w:tcBorders>
          </w:tcPr>
          <w:p w:rsidR="00027F7E" w:rsidRPr="002F5F7F" w:rsidRDefault="00027F7E" w:rsidP="00027F7E">
            <w:pPr>
              <w:spacing w:after="300"/>
              <w:ind w:right="23"/>
              <w:contextualSpacing/>
              <w:jc w:val="right"/>
              <w:rPr>
                <w:rFonts w:ascii="Arial" w:hAnsi="Arial" w:cs="Arial"/>
                <w:b/>
                <w:bCs/>
                <w:sz w:val="20"/>
                <w:szCs w:val="20"/>
              </w:rPr>
            </w:pPr>
            <w:r w:rsidRPr="002F5F7F">
              <w:rPr>
                <w:rFonts w:ascii="Arial" w:hAnsi="Arial" w:cs="Arial"/>
                <w:b/>
                <w:bCs/>
                <w:sz w:val="20"/>
                <w:szCs w:val="20"/>
              </w:rPr>
              <w:t>n</w:t>
            </w:r>
          </w:p>
        </w:tc>
        <w:tc>
          <w:tcPr>
            <w:tcW w:w="709" w:type="dxa"/>
            <w:tcBorders>
              <w:top w:val="nil"/>
              <w:left w:val="nil"/>
              <w:bottom w:val="single" w:sz="4" w:space="0" w:color="auto"/>
              <w:right w:val="nil"/>
            </w:tcBorders>
          </w:tcPr>
          <w:p w:rsidR="00027F7E" w:rsidRPr="002F5F7F" w:rsidRDefault="00027F7E" w:rsidP="00027F7E">
            <w:pPr>
              <w:spacing w:after="300"/>
              <w:ind w:right="23"/>
              <w:contextualSpacing/>
              <w:rPr>
                <w:rFonts w:ascii="Arial" w:hAnsi="Arial" w:cs="Arial"/>
                <w:b/>
                <w:bCs/>
                <w:sz w:val="20"/>
                <w:szCs w:val="20"/>
              </w:rPr>
            </w:pPr>
            <w:r w:rsidRPr="002F5F7F">
              <w:rPr>
                <w:rFonts w:ascii="Arial" w:hAnsi="Arial" w:cs="Arial"/>
                <w:b/>
                <w:bCs/>
                <w:sz w:val="20"/>
                <w:szCs w:val="20"/>
              </w:rPr>
              <w:t>(%)</w:t>
            </w:r>
          </w:p>
        </w:tc>
        <w:tc>
          <w:tcPr>
            <w:tcW w:w="2268" w:type="dxa"/>
            <w:vMerge/>
            <w:tcBorders>
              <w:top w:val="nil"/>
              <w:left w:val="single" w:sz="4" w:space="0" w:color="auto"/>
              <w:bottom w:val="single" w:sz="4" w:space="0" w:color="auto"/>
            </w:tcBorders>
            <w:vAlign w:val="center"/>
          </w:tcPr>
          <w:p w:rsidR="00027F7E" w:rsidRPr="002F5F7F" w:rsidRDefault="00027F7E" w:rsidP="00027F7E">
            <w:pPr>
              <w:rPr>
                <w:rFonts w:ascii="Arial" w:hAnsi="Arial" w:cs="Arial"/>
                <w:b/>
                <w:bCs/>
                <w:sz w:val="20"/>
                <w:szCs w:val="20"/>
              </w:rPr>
            </w:pP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284"/>
                <w:tab w:val="left" w:pos="459"/>
                <w:tab w:val="left" w:pos="2835"/>
              </w:tabs>
              <w:rPr>
                <w:rFonts w:ascii="Arial" w:hAnsi="Arial" w:cs="Arial"/>
                <w:sz w:val="20"/>
                <w:szCs w:val="20"/>
              </w:rPr>
            </w:pPr>
            <w:r w:rsidRPr="002F5F7F">
              <w:rPr>
                <w:rFonts w:ascii="Arial" w:hAnsi="Arial" w:cs="Arial"/>
                <w:sz w:val="20"/>
                <w:szCs w:val="20"/>
              </w:rPr>
              <w:t>Patients with ≥1 AE</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bCs/>
                <w:sz w:val="20"/>
                <w:szCs w:val="20"/>
                <w:highlight w:val="black"/>
              </w:rPr>
            </w:pPr>
            <w:r>
              <w:rPr>
                <w:rFonts w:ascii="Arial" w:hAnsi="Arial" w:cs="Arial"/>
                <w:bCs/>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284"/>
                <w:tab w:val="left" w:pos="459"/>
                <w:tab w:val="left" w:pos="2835"/>
              </w:tabs>
              <w:rPr>
                <w:rFonts w:ascii="Arial" w:hAnsi="Arial" w:cs="Arial"/>
                <w:sz w:val="20"/>
                <w:szCs w:val="20"/>
              </w:rPr>
            </w:pPr>
            <w:r w:rsidRPr="002F5F7F">
              <w:rPr>
                <w:rFonts w:ascii="Arial" w:hAnsi="Arial" w:cs="Arial"/>
                <w:sz w:val="20"/>
                <w:szCs w:val="20"/>
              </w:rPr>
              <w:t>Patients with ≥1 treatment-related AE</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b/>
                <w:bCs/>
                <w:sz w:val="20"/>
                <w:szCs w:val="20"/>
                <w:highlight w:val="black"/>
              </w:rPr>
            </w:pPr>
            <w:r>
              <w:rPr>
                <w:rFonts w:ascii="Arial" w:hAnsi="Arial" w:cs="Arial"/>
                <w:b/>
                <w:bCs/>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284"/>
                <w:tab w:val="left" w:pos="459"/>
                <w:tab w:val="left" w:pos="2835"/>
              </w:tabs>
              <w:ind w:right="-157"/>
              <w:rPr>
                <w:rFonts w:ascii="Arial" w:hAnsi="Arial" w:cs="Arial"/>
                <w:sz w:val="20"/>
                <w:szCs w:val="20"/>
              </w:rPr>
            </w:pPr>
            <w:r w:rsidRPr="002F5F7F">
              <w:rPr>
                <w:rFonts w:ascii="Arial" w:hAnsi="Arial" w:cs="Arial"/>
                <w:sz w:val="20"/>
                <w:szCs w:val="20"/>
              </w:rPr>
              <w:t>AEs regardless of causality by severity</w:t>
            </w:r>
          </w:p>
        </w:tc>
        <w:tc>
          <w:tcPr>
            <w:tcW w:w="1275" w:type="dxa"/>
            <w:tcBorders>
              <w:top w:val="nil"/>
              <w:left w:val="single" w:sz="4" w:space="0" w:color="auto"/>
              <w:bottom w:val="nil"/>
              <w:right w:val="nil"/>
            </w:tcBorders>
          </w:tcPr>
          <w:p w:rsidR="00027F7E" w:rsidRPr="002F5F7F" w:rsidRDefault="00027F7E" w:rsidP="002F5F7F">
            <w:pPr>
              <w:ind w:left="-56"/>
              <w:jc w:val="center"/>
              <w:rPr>
                <w:rFonts w:ascii="Arial" w:hAnsi="Arial" w:cs="Arial"/>
                <w:sz w:val="20"/>
                <w:szCs w:val="20"/>
              </w:rPr>
            </w:pPr>
          </w:p>
        </w:tc>
        <w:tc>
          <w:tcPr>
            <w:tcW w:w="709" w:type="dxa"/>
            <w:tcBorders>
              <w:top w:val="nil"/>
              <w:left w:val="nil"/>
              <w:bottom w:val="nil"/>
              <w:right w:val="single" w:sz="4" w:space="0" w:color="auto"/>
            </w:tcBorders>
          </w:tcPr>
          <w:p w:rsidR="00027F7E" w:rsidRPr="002F5F7F" w:rsidRDefault="00027F7E" w:rsidP="002F5F7F">
            <w:pPr>
              <w:jc w:val="center"/>
              <w:rPr>
                <w:rFonts w:ascii="Arial" w:hAnsi="Arial" w:cs="Arial"/>
                <w:sz w:val="20"/>
                <w:szCs w:val="20"/>
              </w:rPr>
            </w:pPr>
          </w:p>
        </w:tc>
        <w:tc>
          <w:tcPr>
            <w:tcW w:w="567" w:type="dxa"/>
            <w:tcBorders>
              <w:top w:val="nil"/>
              <w:left w:val="single" w:sz="4" w:space="0" w:color="auto"/>
              <w:bottom w:val="nil"/>
              <w:right w:val="nil"/>
            </w:tcBorders>
          </w:tcPr>
          <w:p w:rsidR="00027F7E" w:rsidRPr="002F5F7F" w:rsidRDefault="00027F7E" w:rsidP="002F5F7F">
            <w:pPr>
              <w:spacing w:after="300"/>
              <w:contextualSpacing/>
              <w:jc w:val="center"/>
              <w:rPr>
                <w:rFonts w:ascii="Arial" w:hAnsi="Arial" w:cs="Arial"/>
                <w:sz w:val="20"/>
                <w:szCs w:val="20"/>
              </w:rPr>
            </w:pPr>
          </w:p>
        </w:tc>
        <w:tc>
          <w:tcPr>
            <w:tcW w:w="709" w:type="dxa"/>
            <w:tcBorders>
              <w:top w:val="nil"/>
              <w:left w:val="nil"/>
              <w:bottom w:val="nil"/>
              <w:right w:val="single" w:sz="4" w:space="0" w:color="auto"/>
            </w:tcBorders>
          </w:tcPr>
          <w:p w:rsidR="00027F7E" w:rsidRPr="002F5F7F" w:rsidRDefault="00027F7E" w:rsidP="002F5F7F">
            <w:pPr>
              <w:jc w:val="center"/>
              <w:rPr>
                <w:rFonts w:ascii="Arial" w:hAnsi="Arial" w:cs="Arial"/>
                <w:sz w:val="20"/>
                <w:szCs w:val="20"/>
              </w:rPr>
            </w:pPr>
          </w:p>
        </w:tc>
        <w:tc>
          <w:tcPr>
            <w:tcW w:w="2268" w:type="dxa"/>
            <w:tcBorders>
              <w:top w:val="nil"/>
              <w:left w:val="single" w:sz="4" w:space="0" w:color="auto"/>
              <w:bottom w:val="nil"/>
            </w:tcBorders>
          </w:tcPr>
          <w:p w:rsidR="00027F7E" w:rsidRPr="002F5F7F" w:rsidRDefault="00027F7E" w:rsidP="002F5F7F">
            <w:pPr>
              <w:tabs>
                <w:tab w:val="left" w:pos="653"/>
              </w:tabs>
              <w:ind w:hanging="567"/>
              <w:jc w:val="center"/>
              <w:rPr>
                <w:rFonts w:ascii="Arial" w:hAnsi="Arial" w:cs="Arial"/>
                <w:sz w:val="20"/>
                <w:szCs w:val="20"/>
                <w:highlight w:val="yellow"/>
              </w:rPr>
            </w:pP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567"/>
              </w:tabs>
              <w:ind w:left="176"/>
              <w:rPr>
                <w:rFonts w:ascii="Arial" w:hAnsi="Arial" w:cs="Arial"/>
                <w:sz w:val="20"/>
                <w:szCs w:val="20"/>
              </w:rPr>
            </w:pPr>
            <w:r w:rsidRPr="002F5F7F">
              <w:rPr>
                <w:rFonts w:ascii="Arial" w:hAnsi="Arial" w:cs="Arial"/>
                <w:sz w:val="20"/>
                <w:szCs w:val="20"/>
              </w:rPr>
              <w:t>NCI-CTC grade 1</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b/>
                <w:bCs/>
                <w:sz w:val="20"/>
                <w:szCs w:val="20"/>
                <w:highlight w:val="black"/>
              </w:rPr>
            </w:pPr>
            <w:r>
              <w:rPr>
                <w:rFonts w:ascii="Arial" w:hAnsi="Arial" w:cs="Arial"/>
                <w:b/>
                <w:bCs/>
                <w:noProof/>
                <w:color w:val="000000"/>
                <w:sz w:val="20"/>
                <w:szCs w:val="20"/>
                <w:highlight w:val="black"/>
              </w:rPr>
              <w:t>''''''''''''''''''''' '''''''''''</w:t>
            </w:r>
          </w:p>
        </w:tc>
      </w:tr>
      <w:tr w:rsidR="00027F7E" w:rsidRPr="00027F7E" w:rsidTr="00F27901">
        <w:trPr>
          <w:trHeight w:val="80"/>
        </w:trPr>
        <w:tc>
          <w:tcPr>
            <w:tcW w:w="3544" w:type="dxa"/>
            <w:tcBorders>
              <w:top w:val="nil"/>
              <w:bottom w:val="nil"/>
              <w:right w:val="single" w:sz="4" w:space="0" w:color="auto"/>
            </w:tcBorders>
          </w:tcPr>
          <w:p w:rsidR="00027F7E" w:rsidRPr="002F5F7F" w:rsidRDefault="00027F7E" w:rsidP="00027F7E">
            <w:pPr>
              <w:tabs>
                <w:tab w:val="left" w:pos="567"/>
              </w:tabs>
              <w:ind w:left="176"/>
              <w:rPr>
                <w:rFonts w:ascii="Arial" w:hAnsi="Arial" w:cs="Arial"/>
                <w:sz w:val="20"/>
                <w:szCs w:val="20"/>
              </w:rPr>
            </w:pPr>
            <w:r w:rsidRPr="002F5F7F">
              <w:rPr>
                <w:rFonts w:ascii="Arial" w:hAnsi="Arial" w:cs="Arial"/>
                <w:sz w:val="20"/>
                <w:szCs w:val="20"/>
              </w:rPr>
              <w:t>NCI-CTC grade 2</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567"/>
              </w:tabs>
              <w:ind w:left="176"/>
              <w:rPr>
                <w:rFonts w:ascii="Arial" w:hAnsi="Arial" w:cs="Arial"/>
                <w:sz w:val="20"/>
                <w:szCs w:val="20"/>
              </w:rPr>
            </w:pPr>
            <w:r w:rsidRPr="002F5F7F">
              <w:rPr>
                <w:rFonts w:ascii="Arial" w:hAnsi="Arial" w:cs="Arial"/>
                <w:sz w:val="20"/>
                <w:szCs w:val="20"/>
              </w:rPr>
              <w:t>NCI-CTC grade 3</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567"/>
              </w:tabs>
              <w:ind w:left="176"/>
              <w:rPr>
                <w:rFonts w:ascii="Arial" w:hAnsi="Arial" w:cs="Arial"/>
                <w:sz w:val="20"/>
                <w:szCs w:val="20"/>
              </w:rPr>
            </w:pPr>
            <w:r w:rsidRPr="002F5F7F">
              <w:rPr>
                <w:rFonts w:ascii="Arial" w:hAnsi="Arial" w:cs="Arial"/>
                <w:sz w:val="20"/>
                <w:szCs w:val="20"/>
              </w:rPr>
              <w:t>NCI-CTC grade 4</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284"/>
                <w:tab w:val="left" w:pos="459"/>
                <w:tab w:val="left" w:pos="2835"/>
              </w:tabs>
              <w:rPr>
                <w:rFonts w:ascii="Arial" w:hAnsi="Arial" w:cs="Arial"/>
                <w:sz w:val="20"/>
                <w:szCs w:val="20"/>
              </w:rPr>
            </w:pPr>
            <w:r w:rsidRPr="002F5F7F">
              <w:rPr>
                <w:rFonts w:ascii="Arial" w:hAnsi="Arial" w:cs="Arial"/>
                <w:sz w:val="20"/>
                <w:szCs w:val="20"/>
              </w:rPr>
              <w:t>Treatment-related AEs by severity</w:t>
            </w:r>
          </w:p>
        </w:tc>
        <w:tc>
          <w:tcPr>
            <w:tcW w:w="1275" w:type="dxa"/>
            <w:tcBorders>
              <w:top w:val="nil"/>
              <w:left w:val="single" w:sz="4" w:space="0" w:color="auto"/>
              <w:bottom w:val="nil"/>
              <w:right w:val="nil"/>
            </w:tcBorders>
          </w:tcPr>
          <w:p w:rsidR="00027F7E" w:rsidRPr="002F5F7F" w:rsidRDefault="00027F7E" w:rsidP="002F5F7F">
            <w:pPr>
              <w:spacing w:after="300"/>
              <w:ind w:left="-56"/>
              <w:contextualSpacing/>
              <w:jc w:val="center"/>
              <w:rPr>
                <w:rFonts w:ascii="Arial" w:hAnsi="Arial" w:cs="Arial"/>
                <w:sz w:val="20"/>
                <w:szCs w:val="20"/>
              </w:rPr>
            </w:pPr>
          </w:p>
        </w:tc>
        <w:tc>
          <w:tcPr>
            <w:tcW w:w="709" w:type="dxa"/>
            <w:tcBorders>
              <w:top w:val="nil"/>
              <w:left w:val="nil"/>
              <w:bottom w:val="nil"/>
              <w:right w:val="single" w:sz="4" w:space="0" w:color="auto"/>
            </w:tcBorders>
          </w:tcPr>
          <w:p w:rsidR="00027F7E" w:rsidRPr="002F5F7F" w:rsidRDefault="00027F7E" w:rsidP="002F5F7F">
            <w:pPr>
              <w:spacing w:after="300"/>
              <w:contextualSpacing/>
              <w:jc w:val="center"/>
              <w:rPr>
                <w:rFonts w:ascii="Arial" w:hAnsi="Arial" w:cs="Arial"/>
                <w:sz w:val="20"/>
                <w:szCs w:val="20"/>
              </w:rPr>
            </w:pPr>
          </w:p>
        </w:tc>
        <w:tc>
          <w:tcPr>
            <w:tcW w:w="567" w:type="dxa"/>
            <w:tcBorders>
              <w:top w:val="nil"/>
              <w:left w:val="single" w:sz="4" w:space="0" w:color="auto"/>
              <w:bottom w:val="nil"/>
              <w:right w:val="nil"/>
            </w:tcBorders>
          </w:tcPr>
          <w:p w:rsidR="00027F7E" w:rsidRPr="002F5F7F" w:rsidRDefault="00027F7E" w:rsidP="002F5F7F">
            <w:pPr>
              <w:spacing w:after="300"/>
              <w:contextualSpacing/>
              <w:jc w:val="center"/>
              <w:rPr>
                <w:rFonts w:ascii="Arial" w:hAnsi="Arial" w:cs="Arial"/>
                <w:sz w:val="20"/>
                <w:szCs w:val="20"/>
              </w:rPr>
            </w:pPr>
          </w:p>
        </w:tc>
        <w:tc>
          <w:tcPr>
            <w:tcW w:w="709" w:type="dxa"/>
            <w:tcBorders>
              <w:top w:val="nil"/>
              <w:left w:val="nil"/>
              <w:bottom w:val="nil"/>
              <w:right w:val="single" w:sz="4" w:space="0" w:color="auto"/>
            </w:tcBorders>
          </w:tcPr>
          <w:p w:rsidR="00027F7E" w:rsidRPr="002F5F7F" w:rsidRDefault="00027F7E" w:rsidP="002F5F7F">
            <w:pPr>
              <w:spacing w:after="300"/>
              <w:contextualSpacing/>
              <w:jc w:val="center"/>
              <w:rPr>
                <w:rFonts w:ascii="Arial" w:hAnsi="Arial" w:cs="Arial"/>
                <w:sz w:val="20"/>
                <w:szCs w:val="20"/>
              </w:rPr>
            </w:pPr>
          </w:p>
        </w:tc>
        <w:tc>
          <w:tcPr>
            <w:tcW w:w="2268" w:type="dxa"/>
            <w:tcBorders>
              <w:top w:val="nil"/>
              <w:left w:val="single" w:sz="4" w:space="0" w:color="auto"/>
              <w:bottom w:val="nil"/>
            </w:tcBorders>
          </w:tcPr>
          <w:p w:rsidR="00027F7E" w:rsidRPr="002F5F7F" w:rsidRDefault="00027F7E" w:rsidP="002F5F7F">
            <w:pPr>
              <w:tabs>
                <w:tab w:val="left" w:pos="653"/>
              </w:tabs>
              <w:ind w:hanging="567"/>
              <w:jc w:val="center"/>
              <w:rPr>
                <w:rFonts w:ascii="Arial" w:hAnsi="Arial" w:cs="Arial"/>
                <w:sz w:val="20"/>
                <w:szCs w:val="20"/>
              </w:rPr>
            </w:pP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567"/>
              </w:tabs>
              <w:ind w:left="176"/>
              <w:rPr>
                <w:rFonts w:ascii="Arial" w:hAnsi="Arial" w:cs="Arial"/>
                <w:sz w:val="20"/>
                <w:szCs w:val="20"/>
              </w:rPr>
            </w:pPr>
            <w:r w:rsidRPr="002F5F7F">
              <w:rPr>
                <w:rFonts w:ascii="Arial" w:hAnsi="Arial" w:cs="Arial"/>
                <w:sz w:val="20"/>
                <w:szCs w:val="20"/>
              </w:rPr>
              <w:t>NCI-CTC grade 1</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b/>
                <w:bCs/>
                <w:sz w:val="20"/>
                <w:szCs w:val="20"/>
                <w:highlight w:val="black"/>
              </w:rPr>
            </w:pPr>
            <w:r>
              <w:rPr>
                <w:rFonts w:ascii="Arial" w:hAnsi="Arial" w:cs="Arial"/>
                <w:b/>
                <w:bCs/>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567"/>
              </w:tabs>
              <w:ind w:left="176"/>
              <w:rPr>
                <w:rFonts w:ascii="Arial" w:hAnsi="Arial" w:cs="Arial"/>
                <w:sz w:val="20"/>
                <w:szCs w:val="20"/>
              </w:rPr>
            </w:pPr>
            <w:r w:rsidRPr="002F5F7F">
              <w:rPr>
                <w:rFonts w:ascii="Arial" w:hAnsi="Arial" w:cs="Arial"/>
                <w:sz w:val="20"/>
                <w:szCs w:val="20"/>
              </w:rPr>
              <w:t>NCI-CTC grade 2</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b/>
                <w:bCs/>
                <w:sz w:val="20"/>
                <w:szCs w:val="20"/>
                <w:highlight w:val="black"/>
              </w:rPr>
            </w:pPr>
            <w:r>
              <w:rPr>
                <w:rFonts w:ascii="Arial" w:hAnsi="Arial" w:cs="Arial"/>
                <w:b/>
                <w:bCs/>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567"/>
              </w:tabs>
              <w:ind w:left="176"/>
              <w:rPr>
                <w:rFonts w:ascii="Arial" w:hAnsi="Arial" w:cs="Arial"/>
                <w:sz w:val="20"/>
                <w:szCs w:val="20"/>
              </w:rPr>
            </w:pPr>
            <w:r w:rsidRPr="002F5F7F">
              <w:rPr>
                <w:rFonts w:ascii="Arial" w:hAnsi="Arial" w:cs="Arial"/>
                <w:sz w:val="20"/>
                <w:szCs w:val="20"/>
              </w:rPr>
              <w:t>NCI-CTC grade 3</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b/>
                <w:bCs/>
                <w:sz w:val="20"/>
                <w:szCs w:val="20"/>
                <w:highlight w:val="black"/>
              </w:rPr>
            </w:pPr>
            <w:r>
              <w:rPr>
                <w:rFonts w:ascii="Arial" w:hAnsi="Arial" w:cs="Arial"/>
                <w:b/>
                <w:bCs/>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567"/>
              </w:tabs>
              <w:ind w:left="176"/>
              <w:rPr>
                <w:rFonts w:ascii="Arial" w:hAnsi="Arial" w:cs="Arial"/>
                <w:sz w:val="20"/>
                <w:szCs w:val="20"/>
              </w:rPr>
            </w:pPr>
            <w:r w:rsidRPr="002F5F7F">
              <w:rPr>
                <w:rFonts w:ascii="Arial" w:hAnsi="Arial" w:cs="Arial"/>
                <w:sz w:val="20"/>
                <w:szCs w:val="20"/>
              </w:rPr>
              <w:t>NCI-CTC grade 4</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ind w:right="-56"/>
              <w:contextualSpacing/>
              <w:jc w:val="center"/>
              <w:rPr>
                <w:rFonts w:ascii="Arial" w:hAnsi="Arial" w:cs="Arial"/>
                <w:sz w:val="20"/>
                <w:szCs w:val="20"/>
                <w:highlight w:val="black"/>
              </w:rPr>
            </w:pPr>
            <w:r>
              <w:rPr>
                <w:rFonts w:ascii="Arial" w:hAnsi="Arial" w:cs="Arial"/>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284"/>
                <w:tab w:val="left" w:pos="459"/>
                <w:tab w:val="left" w:pos="2835"/>
              </w:tabs>
              <w:rPr>
                <w:rFonts w:ascii="Arial" w:hAnsi="Arial" w:cs="Arial"/>
                <w:sz w:val="20"/>
                <w:szCs w:val="20"/>
              </w:rPr>
            </w:pPr>
            <w:r w:rsidRPr="002F5F7F">
              <w:rPr>
                <w:rFonts w:ascii="Arial" w:hAnsi="Arial" w:cs="Arial"/>
                <w:sz w:val="20"/>
                <w:szCs w:val="20"/>
              </w:rPr>
              <w:t>Patients with ≥1 serious AE</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284"/>
                <w:tab w:val="left" w:pos="459"/>
                <w:tab w:val="left" w:pos="2835"/>
              </w:tabs>
              <w:rPr>
                <w:rFonts w:ascii="Arial" w:hAnsi="Arial" w:cs="Arial"/>
                <w:sz w:val="20"/>
                <w:szCs w:val="20"/>
              </w:rPr>
            </w:pPr>
            <w:r w:rsidRPr="002F5F7F">
              <w:rPr>
                <w:rFonts w:ascii="Arial" w:hAnsi="Arial" w:cs="Arial"/>
                <w:sz w:val="20"/>
                <w:szCs w:val="20"/>
              </w:rPr>
              <w:t>Patients with at ≥1 treatment-related serious AE</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b/>
                <w:bCs/>
                <w:sz w:val="20"/>
                <w:szCs w:val="20"/>
                <w:highlight w:val="black"/>
              </w:rPr>
            </w:pPr>
            <w:r>
              <w:rPr>
                <w:rFonts w:ascii="Arial" w:hAnsi="Arial" w:cs="Arial"/>
                <w:b/>
                <w:bCs/>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284"/>
                <w:tab w:val="left" w:pos="459"/>
                <w:tab w:val="left" w:pos="2835"/>
              </w:tabs>
              <w:rPr>
                <w:rFonts w:ascii="Arial" w:hAnsi="Arial" w:cs="Arial"/>
                <w:sz w:val="20"/>
                <w:szCs w:val="20"/>
              </w:rPr>
            </w:pPr>
            <w:r w:rsidRPr="002F5F7F">
              <w:rPr>
                <w:rFonts w:ascii="Arial" w:hAnsi="Arial" w:cs="Arial"/>
                <w:sz w:val="20"/>
                <w:szCs w:val="20"/>
              </w:rPr>
              <w:t>Patients who discontinued study due to treatment-related AEs</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b/>
                <w:bCs/>
                <w:sz w:val="20"/>
                <w:szCs w:val="20"/>
                <w:highlight w:val="black"/>
              </w:rPr>
            </w:pPr>
            <w:r>
              <w:rPr>
                <w:rFonts w:ascii="Arial" w:hAnsi="Arial" w:cs="Arial"/>
                <w:b/>
                <w:bCs/>
                <w:noProof/>
                <w:color w:val="000000"/>
                <w:sz w:val="20"/>
                <w:szCs w:val="20"/>
                <w:highlight w:val="black"/>
              </w:rPr>
              <w:t>'''''''''''''''''''' '''''''''''</w:t>
            </w:r>
          </w:p>
        </w:tc>
      </w:tr>
      <w:tr w:rsidR="00027F7E" w:rsidRPr="00027F7E" w:rsidTr="002F5F7F">
        <w:tc>
          <w:tcPr>
            <w:tcW w:w="3544" w:type="dxa"/>
            <w:tcBorders>
              <w:top w:val="nil"/>
              <w:bottom w:val="nil"/>
              <w:right w:val="single" w:sz="4" w:space="0" w:color="auto"/>
            </w:tcBorders>
          </w:tcPr>
          <w:p w:rsidR="00027F7E" w:rsidRPr="002F5F7F" w:rsidRDefault="00027F7E" w:rsidP="00027F7E">
            <w:pPr>
              <w:tabs>
                <w:tab w:val="left" w:pos="284"/>
                <w:tab w:val="left" w:pos="459"/>
                <w:tab w:val="left" w:pos="2835"/>
              </w:tabs>
              <w:rPr>
                <w:rFonts w:ascii="Arial" w:hAnsi="Arial" w:cs="Arial"/>
                <w:sz w:val="20"/>
                <w:szCs w:val="20"/>
              </w:rPr>
            </w:pPr>
            <w:r w:rsidRPr="002F5F7F">
              <w:rPr>
                <w:rFonts w:ascii="Arial" w:hAnsi="Arial" w:cs="Arial"/>
                <w:sz w:val="20"/>
                <w:szCs w:val="20"/>
              </w:rPr>
              <w:t>Patients who died within 30 days of last treatment dose</w:t>
            </w:r>
          </w:p>
        </w:tc>
        <w:tc>
          <w:tcPr>
            <w:tcW w:w="1275" w:type="dxa"/>
            <w:tcBorders>
              <w:top w:val="nil"/>
              <w:left w:val="single" w:sz="4" w:space="0" w:color="auto"/>
              <w:bottom w:val="nil"/>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nil"/>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nil"/>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nil"/>
            </w:tcBorders>
          </w:tcPr>
          <w:p w:rsidR="00027F7E" w:rsidRPr="00AE4FBD" w:rsidRDefault="00AE4FBD" w:rsidP="002F5F7F">
            <w:pPr>
              <w:tabs>
                <w:tab w:val="left" w:pos="653"/>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 '''''''''''</w:t>
            </w:r>
          </w:p>
        </w:tc>
      </w:tr>
      <w:tr w:rsidR="00027F7E" w:rsidRPr="00027F7E" w:rsidTr="002F5F7F">
        <w:tc>
          <w:tcPr>
            <w:tcW w:w="3544" w:type="dxa"/>
            <w:tcBorders>
              <w:top w:val="nil"/>
              <w:bottom w:val="single" w:sz="4" w:space="0" w:color="auto"/>
              <w:right w:val="single" w:sz="4" w:space="0" w:color="auto"/>
            </w:tcBorders>
          </w:tcPr>
          <w:p w:rsidR="00027F7E" w:rsidRPr="002F5F7F" w:rsidRDefault="00027F7E" w:rsidP="00027F7E">
            <w:pPr>
              <w:tabs>
                <w:tab w:val="left" w:pos="284"/>
                <w:tab w:val="left" w:pos="459"/>
                <w:tab w:val="left" w:pos="2835"/>
              </w:tabs>
              <w:rPr>
                <w:rFonts w:ascii="Arial" w:hAnsi="Arial" w:cs="Arial"/>
                <w:sz w:val="20"/>
                <w:szCs w:val="20"/>
              </w:rPr>
            </w:pPr>
            <w:r w:rsidRPr="002F5F7F">
              <w:rPr>
                <w:rFonts w:ascii="Arial" w:hAnsi="Arial" w:cs="Arial"/>
                <w:sz w:val="20"/>
                <w:szCs w:val="20"/>
              </w:rPr>
              <w:t>Patients who died due to a treatment-related AE</w:t>
            </w:r>
          </w:p>
        </w:tc>
        <w:tc>
          <w:tcPr>
            <w:tcW w:w="1275" w:type="dxa"/>
            <w:tcBorders>
              <w:top w:val="nil"/>
              <w:left w:val="single" w:sz="4" w:space="0" w:color="auto"/>
              <w:bottom w:val="single" w:sz="4" w:space="0" w:color="auto"/>
              <w:right w:val="nil"/>
            </w:tcBorders>
          </w:tcPr>
          <w:p w:rsidR="00027F7E" w:rsidRPr="00AE4FBD" w:rsidRDefault="00AE4FBD" w:rsidP="002F5F7F">
            <w:pPr>
              <w:tabs>
                <w:tab w:val="left" w:pos="2835"/>
              </w:tabs>
              <w:snapToGrid w:val="0"/>
              <w:spacing w:after="300"/>
              <w:ind w:left="-56"/>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single" w:sz="4" w:space="0" w:color="auto"/>
              <w:right w:val="single" w:sz="4" w:space="0" w:color="auto"/>
            </w:tcBorders>
          </w:tcPr>
          <w:p w:rsidR="00027F7E" w:rsidRPr="00AE4FBD" w:rsidRDefault="00AE4FBD" w:rsidP="002F5F7F">
            <w:pPr>
              <w:tabs>
                <w:tab w:val="left" w:pos="284"/>
                <w:tab w:val="left" w:pos="459"/>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567" w:type="dxa"/>
            <w:tcBorders>
              <w:top w:val="nil"/>
              <w:left w:val="single" w:sz="4" w:space="0" w:color="auto"/>
              <w:bottom w:val="single" w:sz="4" w:space="0" w:color="auto"/>
              <w:right w:val="nil"/>
            </w:tcBorders>
          </w:tcPr>
          <w:p w:rsidR="00027F7E" w:rsidRPr="00AE4FBD" w:rsidRDefault="00AE4FBD" w:rsidP="002F5F7F">
            <w:pPr>
              <w:tabs>
                <w:tab w:val="left" w:pos="2835"/>
              </w:tabs>
              <w:snapToGrid w:val="0"/>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709" w:type="dxa"/>
            <w:tcBorders>
              <w:top w:val="nil"/>
              <w:left w:val="nil"/>
              <w:bottom w:val="single" w:sz="4" w:space="0" w:color="auto"/>
              <w:right w:val="single" w:sz="4" w:space="0" w:color="auto"/>
            </w:tcBorders>
          </w:tcPr>
          <w:p w:rsidR="00027F7E" w:rsidRPr="00AE4FBD" w:rsidRDefault="00AE4FBD" w:rsidP="002F5F7F">
            <w:pPr>
              <w:tabs>
                <w:tab w:val="left" w:pos="2835"/>
              </w:tabs>
              <w:spacing w:after="300"/>
              <w:contextualSpacing/>
              <w:jc w:val="center"/>
              <w:rPr>
                <w:rFonts w:ascii="Arial" w:hAnsi="Arial" w:cs="Arial"/>
                <w:sz w:val="20"/>
                <w:szCs w:val="20"/>
                <w:highlight w:val="black"/>
              </w:rPr>
            </w:pPr>
            <w:r>
              <w:rPr>
                <w:rFonts w:ascii="Arial" w:hAnsi="Arial" w:cs="Arial"/>
                <w:noProof/>
                <w:color w:val="000000"/>
                <w:sz w:val="20"/>
                <w:szCs w:val="20"/>
                <w:highlight w:val="black"/>
              </w:rPr>
              <w:t>''''''''''''''''</w:t>
            </w:r>
          </w:p>
        </w:tc>
        <w:tc>
          <w:tcPr>
            <w:tcW w:w="2268" w:type="dxa"/>
            <w:tcBorders>
              <w:top w:val="nil"/>
              <w:left w:val="single" w:sz="4" w:space="0" w:color="auto"/>
              <w:bottom w:val="single" w:sz="4" w:space="0" w:color="auto"/>
            </w:tcBorders>
          </w:tcPr>
          <w:p w:rsidR="00027F7E" w:rsidRPr="00AE4FBD" w:rsidRDefault="00AE4FBD" w:rsidP="002F5F7F">
            <w:pPr>
              <w:tabs>
                <w:tab w:val="left" w:pos="653"/>
              </w:tabs>
              <w:spacing w:after="300"/>
              <w:ind w:right="-56"/>
              <w:contextualSpacing/>
              <w:jc w:val="center"/>
              <w:rPr>
                <w:rFonts w:ascii="Arial" w:hAnsi="Arial" w:cs="Arial"/>
                <w:sz w:val="20"/>
                <w:szCs w:val="20"/>
                <w:highlight w:val="black"/>
              </w:rPr>
            </w:pPr>
            <w:r>
              <w:rPr>
                <w:rFonts w:ascii="Arial" w:hAnsi="Arial" w:cs="Arial"/>
                <w:noProof/>
                <w:color w:val="000000"/>
                <w:sz w:val="20"/>
                <w:szCs w:val="20"/>
                <w:highlight w:val="black"/>
              </w:rPr>
              <w:t>''''''''''''''''''''''' ''''''''''''''</w:t>
            </w:r>
          </w:p>
        </w:tc>
      </w:tr>
    </w:tbl>
    <w:p w:rsidR="00027F7E" w:rsidRPr="00EA66FE" w:rsidRDefault="00027F7E" w:rsidP="00027F7E">
      <w:pPr>
        <w:ind w:left="709" w:right="91"/>
        <w:rPr>
          <w:rFonts w:ascii="Arial" w:hAnsi="Arial" w:cs="Arial"/>
          <w:sz w:val="16"/>
          <w:szCs w:val="16"/>
          <w:lang w:eastAsia="ja-JP"/>
        </w:rPr>
      </w:pPr>
      <w:r w:rsidRPr="00EA66FE">
        <w:rPr>
          <w:rFonts w:ascii="Arial" w:hAnsi="Arial" w:cs="Arial"/>
          <w:sz w:val="16"/>
          <w:szCs w:val="16"/>
          <w:lang w:eastAsia="ja-JP"/>
        </w:rPr>
        <w:t xml:space="preserve">Statistically significant differences between the treatment arms are </w:t>
      </w:r>
      <w:r w:rsidRPr="00EA66FE">
        <w:rPr>
          <w:rFonts w:ascii="Arial" w:hAnsi="Arial" w:cs="Arial"/>
          <w:b/>
          <w:bCs/>
          <w:sz w:val="16"/>
          <w:szCs w:val="16"/>
          <w:lang w:eastAsia="ja-JP"/>
        </w:rPr>
        <w:t>bolded</w:t>
      </w:r>
    </w:p>
    <w:p w:rsidR="00027F7E" w:rsidRDefault="00027F7E" w:rsidP="00027F7E">
      <w:pPr>
        <w:ind w:left="709" w:right="91"/>
        <w:rPr>
          <w:rFonts w:ascii="Arial" w:hAnsi="Arial" w:cs="Arial"/>
          <w:sz w:val="16"/>
          <w:szCs w:val="16"/>
          <w:lang w:eastAsia="ja-JP"/>
        </w:rPr>
      </w:pPr>
      <w:r w:rsidRPr="00EA66FE">
        <w:rPr>
          <w:rFonts w:ascii="Arial" w:hAnsi="Arial" w:cs="Arial"/>
          <w:sz w:val="16"/>
          <w:szCs w:val="16"/>
          <w:lang w:eastAsia="ja-JP"/>
        </w:rPr>
        <w:t>BSC = Best supportive care; AE = adverse event, CI = confidence interval, NCI-CTC = National Cancer Institute Common Toxicity Criteria</w:t>
      </w:r>
    </w:p>
    <w:p w:rsidR="00C9099B" w:rsidRPr="00EA66FE" w:rsidRDefault="00C9099B" w:rsidP="00027F7E">
      <w:pPr>
        <w:ind w:left="709" w:right="91"/>
        <w:rPr>
          <w:rFonts w:ascii="Arial" w:hAnsi="Arial" w:cs="Arial"/>
          <w:sz w:val="16"/>
          <w:szCs w:val="16"/>
          <w:lang w:eastAsia="ja-JP"/>
        </w:rPr>
      </w:pPr>
    </w:p>
    <w:p w:rsidR="00027F7E" w:rsidRPr="00027F7E" w:rsidRDefault="00027F7E" w:rsidP="0046168B">
      <w:pPr>
        <w:pStyle w:val="ListParagraph"/>
        <w:numPr>
          <w:ilvl w:val="1"/>
          <w:numId w:val="26"/>
        </w:numPr>
        <w:jc w:val="both"/>
        <w:rPr>
          <w:rFonts w:ascii="Arial" w:hAnsi="Arial"/>
          <w:sz w:val="22"/>
          <w:szCs w:val="22"/>
        </w:rPr>
      </w:pPr>
      <w:r w:rsidRPr="00027F7E">
        <w:rPr>
          <w:rFonts w:ascii="Arial" w:hAnsi="Arial"/>
          <w:sz w:val="22"/>
          <w:szCs w:val="22"/>
        </w:rPr>
        <w:t xml:space="preserve">Overall, the majority of AEs were more frequent in the </w:t>
      </w:r>
      <w:proofErr w:type="spellStart"/>
      <w:r w:rsidRPr="00027F7E">
        <w:rPr>
          <w:rFonts w:ascii="Arial" w:hAnsi="Arial"/>
          <w:sz w:val="22"/>
          <w:szCs w:val="22"/>
        </w:rPr>
        <w:t>erlotinib</w:t>
      </w:r>
      <w:proofErr w:type="spellEnd"/>
      <w:r w:rsidRPr="00027F7E">
        <w:rPr>
          <w:rFonts w:ascii="Arial" w:hAnsi="Arial"/>
          <w:sz w:val="22"/>
          <w:szCs w:val="22"/>
        </w:rPr>
        <w:t xml:space="preserve"> arm compared to the BSC arm and were consistent with the known toxicity profile of </w:t>
      </w:r>
      <w:proofErr w:type="spellStart"/>
      <w:r w:rsidRPr="00027F7E">
        <w:rPr>
          <w:rFonts w:ascii="Arial" w:hAnsi="Arial"/>
          <w:sz w:val="22"/>
          <w:szCs w:val="22"/>
        </w:rPr>
        <w:t>erlotinib</w:t>
      </w:r>
      <w:proofErr w:type="spellEnd"/>
      <w:r w:rsidRPr="00027F7E">
        <w:rPr>
          <w:rFonts w:ascii="Arial" w:hAnsi="Arial"/>
          <w:sz w:val="22"/>
          <w:szCs w:val="22"/>
        </w:rPr>
        <w:t xml:space="preserve">. The incidences of any grade AEs, which were more frequent (&gt;5% difference) in the </w:t>
      </w:r>
      <w:proofErr w:type="spellStart"/>
      <w:r w:rsidRPr="00027F7E">
        <w:rPr>
          <w:rFonts w:ascii="Arial" w:hAnsi="Arial"/>
          <w:sz w:val="22"/>
          <w:szCs w:val="22"/>
        </w:rPr>
        <w:t>erlotinib</w:t>
      </w:r>
      <w:proofErr w:type="spellEnd"/>
      <w:r w:rsidRPr="00027F7E">
        <w:rPr>
          <w:rFonts w:ascii="Arial" w:hAnsi="Arial"/>
          <w:sz w:val="22"/>
          <w:szCs w:val="22"/>
        </w:rPr>
        <w:t xml:space="preserve"> arm than in the placebo arm, are summarised below:</w:t>
      </w:r>
    </w:p>
    <w:p w:rsidR="00027F7E" w:rsidRPr="00097EBF" w:rsidRDefault="00027F7E" w:rsidP="00097EBF">
      <w:pPr>
        <w:pStyle w:val="ListParagraph"/>
        <w:numPr>
          <w:ilvl w:val="0"/>
          <w:numId w:val="32"/>
        </w:numPr>
        <w:ind w:left="1134"/>
        <w:jc w:val="both"/>
        <w:rPr>
          <w:rFonts w:ascii="Arial" w:hAnsi="Arial"/>
          <w:sz w:val="22"/>
          <w:szCs w:val="22"/>
        </w:rPr>
      </w:pPr>
      <w:r w:rsidRPr="00097EBF">
        <w:rPr>
          <w:rFonts w:ascii="Arial" w:hAnsi="Arial"/>
          <w:sz w:val="22"/>
          <w:szCs w:val="22"/>
        </w:rPr>
        <w:t xml:space="preserve">skin and subcutaneous tissue disorders: </w:t>
      </w:r>
      <w:r w:rsidR="00AE4FBD">
        <w:rPr>
          <w:rFonts w:ascii="Arial" w:hAnsi="Arial"/>
          <w:noProof/>
          <w:color w:val="000000"/>
          <w:sz w:val="22"/>
          <w:szCs w:val="22"/>
          <w:highlight w:val="black"/>
        </w:rPr>
        <w:t>''''''''''''</w:t>
      </w:r>
      <w:r w:rsidRPr="00097EBF">
        <w:rPr>
          <w:rFonts w:ascii="Arial" w:hAnsi="Arial"/>
          <w:sz w:val="22"/>
          <w:szCs w:val="22"/>
        </w:rPr>
        <w:t xml:space="preserve"> vs </w:t>
      </w:r>
      <w:r w:rsidR="00AE4FBD">
        <w:rPr>
          <w:rFonts w:ascii="Arial" w:hAnsi="Arial"/>
          <w:noProof/>
          <w:color w:val="000000"/>
          <w:sz w:val="22"/>
          <w:szCs w:val="22"/>
          <w:highlight w:val="black"/>
        </w:rPr>
        <w:t>'''''''''''</w:t>
      </w:r>
      <w:r w:rsidRPr="00097EBF">
        <w:rPr>
          <w:rFonts w:ascii="Arial" w:hAnsi="Arial"/>
          <w:sz w:val="22"/>
          <w:szCs w:val="22"/>
        </w:rPr>
        <w:t xml:space="preserve"> (rash: </w:t>
      </w:r>
      <w:r w:rsidR="00AE4FBD">
        <w:rPr>
          <w:rFonts w:ascii="Arial" w:hAnsi="Arial"/>
          <w:noProof/>
          <w:color w:val="000000"/>
          <w:sz w:val="22"/>
          <w:szCs w:val="22"/>
          <w:highlight w:val="black"/>
        </w:rPr>
        <w:t>'''''''''''</w:t>
      </w:r>
      <w:r w:rsidRPr="00097EBF">
        <w:rPr>
          <w:rFonts w:ascii="Arial" w:hAnsi="Arial"/>
          <w:sz w:val="22"/>
          <w:szCs w:val="22"/>
        </w:rPr>
        <w:t xml:space="preserve"> vs </w:t>
      </w:r>
      <w:r w:rsidR="00AE4FBD">
        <w:rPr>
          <w:rFonts w:ascii="Arial" w:hAnsi="Arial"/>
          <w:noProof/>
          <w:color w:val="000000"/>
          <w:sz w:val="22"/>
          <w:szCs w:val="22"/>
          <w:highlight w:val="black"/>
        </w:rPr>
        <w:t>'''''''''''</w:t>
      </w:r>
      <w:r w:rsidRPr="00097EBF">
        <w:rPr>
          <w:rFonts w:ascii="Arial" w:hAnsi="Arial"/>
          <w:sz w:val="22"/>
          <w:szCs w:val="22"/>
        </w:rPr>
        <w:t>);</w:t>
      </w:r>
    </w:p>
    <w:p w:rsidR="00027F7E" w:rsidRPr="00097EBF" w:rsidRDefault="00027F7E" w:rsidP="00097EBF">
      <w:pPr>
        <w:pStyle w:val="ListParagraph"/>
        <w:numPr>
          <w:ilvl w:val="0"/>
          <w:numId w:val="32"/>
        </w:numPr>
        <w:ind w:left="1134"/>
        <w:jc w:val="both"/>
        <w:rPr>
          <w:rFonts w:ascii="Arial" w:hAnsi="Arial"/>
          <w:sz w:val="22"/>
          <w:szCs w:val="22"/>
        </w:rPr>
      </w:pPr>
      <w:r w:rsidRPr="00097EBF">
        <w:rPr>
          <w:rFonts w:ascii="Arial" w:hAnsi="Arial"/>
          <w:sz w:val="22"/>
          <w:szCs w:val="22"/>
        </w:rPr>
        <w:t xml:space="preserve">gastrointestinal disorders: </w:t>
      </w:r>
      <w:r w:rsidR="00AE4FBD">
        <w:rPr>
          <w:rFonts w:ascii="Arial" w:hAnsi="Arial"/>
          <w:noProof/>
          <w:color w:val="000000"/>
          <w:sz w:val="22"/>
          <w:szCs w:val="22"/>
          <w:highlight w:val="black"/>
        </w:rPr>
        <w:t>'''''''''''</w:t>
      </w:r>
      <w:r w:rsidRPr="00097EBF">
        <w:rPr>
          <w:rFonts w:ascii="Arial" w:hAnsi="Arial"/>
          <w:sz w:val="22"/>
          <w:szCs w:val="22"/>
        </w:rPr>
        <w:t xml:space="preserve"> vs </w:t>
      </w:r>
      <w:r w:rsidR="00AE4FBD">
        <w:rPr>
          <w:rFonts w:ascii="Arial" w:hAnsi="Arial"/>
          <w:noProof/>
          <w:color w:val="000000"/>
          <w:sz w:val="22"/>
          <w:szCs w:val="22"/>
          <w:highlight w:val="black"/>
        </w:rPr>
        <w:t>''''''''''''</w:t>
      </w:r>
      <w:r w:rsidRPr="00097EBF">
        <w:rPr>
          <w:rFonts w:ascii="Arial" w:hAnsi="Arial"/>
          <w:sz w:val="22"/>
          <w:szCs w:val="22"/>
        </w:rPr>
        <w:t>;</w:t>
      </w:r>
    </w:p>
    <w:p w:rsidR="00027F7E" w:rsidRPr="00097EBF" w:rsidRDefault="00027F7E" w:rsidP="00097EBF">
      <w:pPr>
        <w:pStyle w:val="ListParagraph"/>
        <w:numPr>
          <w:ilvl w:val="0"/>
          <w:numId w:val="32"/>
        </w:numPr>
        <w:ind w:left="1134"/>
        <w:jc w:val="both"/>
        <w:rPr>
          <w:rFonts w:ascii="Arial" w:hAnsi="Arial"/>
          <w:sz w:val="22"/>
          <w:szCs w:val="22"/>
        </w:rPr>
      </w:pPr>
      <w:r w:rsidRPr="00097EBF">
        <w:rPr>
          <w:rFonts w:ascii="Arial" w:hAnsi="Arial"/>
          <w:sz w:val="22"/>
          <w:szCs w:val="22"/>
        </w:rPr>
        <w:lastRenderedPageBreak/>
        <w:t xml:space="preserve">metabolism and nutrition disorders: </w:t>
      </w:r>
      <w:r w:rsidR="00AE4FBD">
        <w:rPr>
          <w:rFonts w:ascii="Arial" w:hAnsi="Arial"/>
          <w:noProof/>
          <w:color w:val="000000"/>
          <w:sz w:val="22"/>
          <w:szCs w:val="22"/>
          <w:highlight w:val="black"/>
        </w:rPr>
        <w:t>''''''''''''</w:t>
      </w:r>
      <w:r w:rsidRPr="00097EBF">
        <w:rPr>
          <w:rFonts w:ascii="Arial" w:hAnsi="Arial"/>
          <w:sz w:val="22"/>
          <w:szCs w:val="22"/>
        </w:rPr>
        <w:t xml:space="preserve"> vs </w:t>
      </w:r>
      <w:r w:rsidR="00AE4FBD">
        <w:rPr>
          <w:rFonts w:ascii="Arial" w:hAnsi="Arial"/>
          <w:noProof/>
          <w:color w:val="000000"/>
          <w:sz w:val="22"/>
          <w:szCs w:val="22"/>
          <w:highlight w:val="black"/>
        </w:rPr>
        <w:t>'''''''''''</w:t>
      </w:r>
      <w:r w:rsidRPr="00097EBF">
        <w:rPr>
          <w:rFonts w:ascii="Arial" w:hAnsi="Arial"/>
          <w:sz w:val="22"/>
          <w:szCs w:val="22"/>
        </w:rPr>
        <w:t>;</w:t>
      </w:r>
    </w:p>
    <w:p w:rsidR="00027F7E" w:rsidRPr="00097EBF" w:rsidRDefault="00027F7E" w:rsidP="00097EBF">
      <w:pPr>
        <w:pStyle w:val="ListParagraph"/>
        <w:numPr>
          <w:ilvl w:val="0"/>
          <w:numId w:val="32"/>
        </w:numPr>
        <w:ind w:left="1134"/>
        <w:jc w:val="both"/>
        <w:rPr>
          <w:rFonts w:ascii="Arial" w:hAnsi="Arial"/>
          <w:sz w:val="22"/>
          <w:szCs w:val="22"/>
        </w:rPr>
      </w:pPr>
      <w:r w:rsidRPr="00097EBF">
        <w:rPr>
          <w:rFonts w:ascii="Arial" w:hAnsi="Arial"/>
          <w:sz w:val="22"/>
          <w:szCs w:val="22"/>
        </w:rPr>
        <w:t xml:space="preserve">infections and infestations: </w:t>
      </w:r>
      <w:r w:rsidR="00AE4FBD">
        <w:rPr>
          <w:rFonts w:ascii="Arial" w:hAnsi="Arial"/>
          <w:noProof/>
          <w:color w:val="000000"/>
          <w:sz w:val="22"/>
          <w:szCs w:val="22"/>
          <w:highlight w:val="black"/>
        </w:rPr>
        <w:t>''''''''''''</w:t>
      </w:r>
      <w:r w:rsidRPr="00097EBF">
        <w:rPr>
          <w:rFonts w:ascii="Arial" w:hAnsi="Arial"/>
          <w:sz w:val="22"/>
          <w:szCs w:val="22"/>
        </w:rPr>
        <w:t xml:space="preserve"> vs </w:t>
      </w:r>
      <w:r w:rsidR="00AE4FBD">
        <w:rPr>
          <w:rFonts w:ascii="Arial" w:hAnsi="Arial"/>
          <w:noProof/>
          <w:color w:val="000000"/>
          <w:sz w:val="22"/>
          <w:szCs w:val="22"/>
          <w:highlight w:val="black"/>
        </w:rPr>
        <w:t>''''''''''''</w:t>
      </w:r>
      <w:r w:rsidRPr="00097EBF">
        <w:rPr>
          <w:rFonts w:ascii="Arial" w:hAnsi="Arial"/>
          <w:sz w:val="22"/>
          <w:szCs w:val="22"/>
        </w:rPr>
        <w:t>; and</w:t>
      </w:r>
    </w:p>
    <w:p w:rsidR="00027F7E" w:rsidRPr="00097EBF" w:rsidRDefault="00027F7E" w:rsidP="00097EBF">
      <w:pPr>
        <w:pStyle w:val="ListParagraph"/>
        <w:numPr>
          <w:ilvl w:val="0"/>
          <w:numId w:val="32"/>
        </w:numPr>
        <w:ind w:left="1134"/>
        <w:jc w:val="both"/>
        <w:rPr>
          <w:rFonts w:ascii="Arial" w:hAnsi="Arial"/>
          <w:sz w:val="22"/>
          <w:szCs w:val="22"/>
        </w:rPr>
      </w:pPr>
      <w:proofErr w:type="gramStart"/>
      <w:r w:rsidRPr="00097EBF">
        <w:rPr>
          <w:rFonts w:ascii="Arial" w:hAnsi="Arial"/>
          <w:sz w:val="22"/>
          <w:szCs w:val="22"/>
        </w:rPr>
        <w:t>eye</w:t>
      </w:r>
      <w:proofErr w:type="gramEnd"/>
      <w:r w:rsidRPr="00097EBF">
        <w:rPr>
          <w:rFonts w:ascii="Arial" w:hAnsi="Arial"/>
          <w:sz w:val="22"/>
          <w:szCs w:val="22"/>
        </w:rPr>
        <w:t xml:space="preserve"> disorders: </w:t>
      </w:r>
      <w:r w:rsidR="00AE4FBD">
        <w:rPr>
          <w:rFonts w:ascii="Arial" w:hAnsi="Arial"/>
          <w:noProof/>
          <w:color w:val="000000"/>
          <w:sz w:val="22"/>
          <w:szCs w:val="22"/>
          <w:highlight w:val="black"/>
        </w:rPr>
        <w:t>'''''''''''</w:t>
      </w:r>
      <w:r w:rsidRPr="00097EBF">
        <w:rPr>
          <w:rFonts w:ascii="Arial" w:hAnsi="Arial"/>
          <w:sz w:val="22"/>
          <w:szCs w:val="22"/>
        </w:rPr>
        <w:t xml:space="preserve"> vs </w:t>
      </w:r>
      <w:r w:rsidR="00AE4FBD">
        <w:rPr>
          <w:rFonts w:ascii="Arial" w:hAnsi="Arial"/>
          <w:noProof/>
          <w:color w:val="000000"/>
          <w:sz w:val="22"/>
          <w:szCs w:val="22"/>
          <w:highlight w:val="black"/>
        </w:rPr>
        <w:t>''''''''</w:t>
      </w:r>
      <w:r w:rsidRPr="00097EBF">
        <w:rPr>
          <w:rFonts w:ascii="Arial" w:hAnsi="Arial"/>
          <w:sz w:val="22"/>
          <w:szCs w:val="22"/>
        </w:rPr>
        <w:t>.</w:t>
      </w:r>
    </w:p>
    <w:p w:rsidR="00027F7E" w:rsidRPr="00027F7E" w:rsidRDefault="00027F7E" w:rsidP="006D1FD1">
      <w:pPr>
        <w:ind w:left="709"/>
        <w:jc w:val="both"/>
        <w:rPr>
          <w:rFonts w:ascii="Arial" w:hAnsi="Arial"/>
          <w:sz w:val="22"/>
          <w:szCs w:val="22"/>
        </w:rPr>
      </w:pPr>
    </w:p>
    <w:p w:rsidR="00027F7E" w:rsidRDefault="00027F7E" w:rsidP="00027F7E">
      <w:pPr>
        <w:pStyle w:val="ListParagraph"/>
        <w:numPr>
          <w:ilvl w:val="1"/>
          <w:numId w:val="26"/>
        </w:numPr>
        <w:ind w:left="709" w:hanging="709"/>
        <w:jc w:val="both"/>
        <w:rPr>
          <w:rFonts w:ascii="Arial" w:hAnsi="Arial"/>
          <w:sz w:val="22"/>
          <w:szCs w:val="22"/>
        </w:rPr>
      </w:pPr>
      <w:r w:rsidRPr="00027F7E">
        <w:rPr>
          <w:rFonts w:ascii="Arial" w:hAnsi="Arial"/>
          <w:sz w:val="22"/>
          <w:szCs w:val="22"/>
        </w:rPr>
        <w:t xml:space="preserve">The incidences of Grade 3-4 AEs were higher in the </w:t>
      </w:r>
      <w:proofErr w:type="spellStart"/>
      <w:r w:rsidRPr="00027F7E">
        <w:rPr>
          <w:rFonts w:ascii="Arial" w:hAnsi="Arial"/>
          <w:sz w:val="22"/>
          <w:szCs w:val="22"/>
        </w:rPr>
        <w:t>erlotinib</w:t>
      </w:r>
      <w:proofErr w:type="spellEnd"/>
      <w:r w:rsidRPr="00027F7E">
        <w:rPr>
          <w:rFonts w:ascii="Arial" w:hAnsi="Arial"/>
          <w:sz w:val="22"/>
          <w:szCs w:val="22"/>
        </w:rPr>
        <w:t xml:space="preserve"> arm vs the BSC arm for rash (</w:t>
      </w:r>
      <w:r w:rsidR="00AE4FBD">
        <w:rPr>
          <w:rFonts w:ascii="Arial" w:hAnsi="Arial"/>
          <w:noProof/>
          <w:color w:val="000000"/>
          <w:sz w:val="22"/>
          <w:szCs w:val="22"/>
          <w:highlight w:val="black"/>
        </w:rPr>
        <w:t>''''''''</w:t>
      </w:r>
      <w:r w:rsidRPr="00027F7E">
        <w:rPr>
          <w:rFonts w:ascii="Arial" w:hAnsi="Arial"/>
          <w:sz w:val="22"/>
          <w:szCs w:val="22"/>
        </w:rPr>
        <w:t xml:space="preserve"> vs </w:t>
      </w:r>
      <w:r w:rsidR="00AE4FBD">
        <w:rPr>
          <w:rFonts w:ascii="Arial" w:hAnsi="Arial"/>
          <w:noProof/>
          <w:color w:val="000000"/>
          <w:sz w:val="22"/>
          <w:szCs w:val="22"/>
          <w:highlight w:val="black"/>
        </w:rPr>
        <w:t>'''''''''</w:t>
      </w:r>
      <w:r w:rsidRPr="00027F7E">
        <w:rPr>
          <w:rFonts w:ascii="Arial" w:hAnsi="Arial"/>
          <w:sz w:val="22"/>
          <w:szCs w:val="22"/>
        </w:rPr>
        <w:t>) and gastrointestinal disorders (</w:t>
      </w:r>
      <w:r w:rsidR="00AE4FBD">
        <w:rPr>
          <w:rFonts w:ascii="Arial" w:hAnsi="Arial"/>
          <w:noProof/>
          <w:color w:val="000000"/>
          <w:sz w:val="22"/>
          <w:szCs w:val="22"/>
          <w:highlight w:val="black"/>
        </w:rPr>
        <w:t>''''''''''''</w:t>
      </w:r>
      <w:r w:rsidRPr="00027F7E">
        <w:rPr>
          <w:rFonts w:ascii="Arial" w:hAnsi="Arial"/>
          <w:sz w:val="22"/>
          <w:szCs w:val="22"/>
        </w:rPr>
        <w:t xml:space="preserve"> vs </w:t>
      </w:r>
      <w:r w:rsidR="00AE4FBD">
        <w:rPr>
          <w:rFonts w:ascii="Arial" w:hAnsi="Arial"/>
          <w:noProof/>
          <w:color w:val="000000"/>
          <w:sz w:val="22"/>
          <w:szCs w:val="22"/>
          <w:highlight w:val="black"/>
        </w:rPr>
        <w:t>'''''''''</w:t>
      </w:r>
      <w:r w:rsidRPr="00027F7E">
        <w:rPr>
          <w:rFonts w:ascii="Arial" w:hAnsi="Arial"/>
          <w:sz w:val="22"/>
          <w:szCs w:val="22"/>
        </w:rPr>
        <w:t>).</w:t>
      </w:r>
    </w:p>
    <w:p w:rsidR="00027F7E" w:rsidRPr="00027F7E" w:rsidRDefault="00027F7E" w:rsidP="00027F7E">
      <w:pPr>
        <w:pStyle w:val="ListParagraph"/>
        <w:ind w:left="709"/>
        <w:jc w:val="both"/>
        <w:rPr>
          <w:rFonts w:ascii="Arial" w:hAnsi="Arial"/>
          <w:sz w:val="22"/>
          <w:szCs w:val="22"/>
        </w:rPr>
      </w:pPr>
    </w:p>
    <w:p w:rsidR="000B558D" w:rsidRPr="00263622" w:rsidRDefault="00263622" w:rsidP="00027F7E">
      <w:pPr>
        <w:pStyle w:val="ListParagraph"/>
        <w:numPr>
          <w:ilvl w:val="1"/>
          <w:numId w:val="26"/>
        </w:numPr>
        <w:ind w:left="709" w:hanging="709"/>
        <w:jc w:val="both"/>
        <w:rPr>
          <w:rFonts w:ascii="Arial" w:hAnsi="Arial"/>
          <w:sz w:val="22"/>
          <w:szCs w:val="22"/>
        </w:rPr>
      </w:pPr>
      <w:r w:rsidRPr="00263622">
        <w:rPr>
          <w:rFonts w:ascii="Arial" w:hAnsi="Arial"/>
          <w:sz w:val="22"/>
          <w:szCs w:val="22"/>
        </w:rPr>
        <w:t xml:space="preserve">The PBAC noted that these results in relation to elevated harms with </w:t>
      </w:r>
      <w:proofErr w:type="spellStart"/>
      <w:r w:rsidRPr="00263622">
        <w:rPr>
          <w:rFonts w:ascii="Arial" w:hAnsi="Arial"/>
          <w:sz w:val="22"/>
          <w:szCs w:val="22"/>
        </w:rPr>
        <w:t>erlotinib</w:t>
      </w:r>
      <w:proofErr w:type="spellEnd"/>
      <w:r w:rsidRPr="00263622">
        <w:rPr>
          <w:rFonts w:ascii="Arial" w:hAnsi="Arial"/>
          <w:sz w:val="22"/>
          <w:szCs w:val="22"/>
        </w:rPr>
        <w:t xml:space="preserve"> needed to be considered in the context of the evidence of small benefits and equivocal quality of life gains from small differences in time to NSCLC symptom deterioration</w:t>
      </w:r>
      <w:r w:rsidR="000B558D" w:rsidRPr="00263622">
        <w:rPr>
          <w:rFonts w:ascii="Arial" w:hAnsi="Arial"/>
          <w:sz w:val="22"/>
          <w:szCs w:val="22"/>
        </w:rPr>
        <w:t>.</w:t>
      </w:r>
    </w:p>
    <w:p w:rsidR="00FA6055" w:rsidRPr="00263622" w:rsidRDefault="00FA6055" w:rsidP="00882085">
      <w:pPr>
        <w:pStyle w:val="ListParagraph"/>
        <w:ind w:left="709"/>
        <w:jc w:val="both"/>
        <w:rPr>
          <w:rFonts w:ascii="Arial" w:hAnsi="Arial"/>
          <w:sz w:val="22"/>
          <w:szCs w:val="22"/>
        </w:rPr>
      </w:pPr>
    </w:p>
    <w:p w:rsidR="00FA6055" w:rsidRDefault="00097EBF" w:rsidP="00097EBF">
      <w:pPr>
        <w:pStyle w:val="ListParagraph"/>
        <w:numPr>
          <w:ilvl w:val="1"/>
          <w:numId w:val="26"/>
        </w:numPr>
        <w:ind w:left="709" w:hanging="709"/>
        <w:jc w:val="both"/>
        <w:rPr>
          <w:rFonts w:ascii="Arial" w:hAnsi="Arial"/>
          <w:sz w:val="22"/>
          <w:szCs w:val="22"/>
        </w:rPr>
      </w:pPr>
      <w:r w:rsidRPr="00263622">
        <w:rPr>
          <w:rFonts w:ascii="Arial" w:hAnsi="Arial"/>
          <w:sz w:val="22"/>
          <w:szCs w:val="22"/>
        </w:rPr>
        <w:t>In summary, the ITT analysis and various subgroup analyses of BR-21 suggest</w:t>
      </w:r>
      <w:r w:rsidR="000E6EF5">
        <w:rPr>
          <w:rFonts w:ascii="Arial" w:hAnsi="Arial"/>
          <w:sz w:val="22"/>
          <w:szCs w:val="22"/>
        </w:rPr>
        <w:t>ed</w:t>
      </w:r>
      <w:r w:rsidR="00263622" w:rsidRPr="00263622">
        <w:rPr>
          <w:rFonts w:ascii="Arial" w:hAnsi="Arial"/>
          <w:sz w:val="22"/>
          <w:szCs w:val="22"/>
        </w:rPr>
        <w:t>, at best,</w:t>
      </w:r>
      <w:r w:rsidRPr="00263622">
        <w:rPr>
          <w:rFonts w:ascii="Arial" w:hAnsi="Arial"/>
          <w:sz w:val="22"/>
          <w:szCs w:val="22"/>
        </w:rPr>
        <w:t xml:space="preserve"> an approximate 2-month median OS increment associated with </w:t>
      </w:r>
      <w:proofErr w:type="spellStart"/>
      <w:r w:rsidRPr="00263622">
        <w:rPr>
          <w:rFonts w:ascii="Arial" w:hAnsi="Arial"/>
          <w:sz w:val="22"/>
          <w:szCs w:val="22"/>
        </w:rPr>
        <w:t>erlotinib</w:t>
      </w:r>
      <w:proofErr w:type="spellEnd"/>
      <w:r w:rsidRPr="00263622">
        <w:rPr>
          <w:rFonts w:ascii="Arial" w:hAnsi="Arial"/>
          <w:sz w:val="22"/>
          <w:szCs w:val="22"/>
        </w:rPr>
        <w:t xml:space="preserve"> over BSC and a less favourable harm profile for </w:t>
      </w:r>
      <w:proofErr w:type="spellStart"/>
      <w:r w:rsidRPr="00263622">
        <w:rPr>
          <w:rFonts w:ascii="Arial" w:hAnsi="Arial"/>
          <w:sz w:val="22"/>
          <w:szCs w:val="22"/>
        </w:rPr>
        <w:t>erlotinib</w:t>
      </w:r>
      <w:proofErr w:type="spellEnd"/>
      <w:r w:rsidRPr="00263622">
        <w:rPr>
          <w:rFonts w:ascii="Arial" w:hAnsi="Arial"/>
          <w:sz w:val="22"/>
          <w:szCs w:val="22"/>
        </w:rPr>
        <w:t xml:space="preserve"> than BSC.</w:t>
      </w:r>
    </w:p>
    <w:p w:rsidR="00C9099B" w:rsidRPr="00263622" w:rsidRDefault="00C9099B" w:rsidP="00C9099B">
      <w:pPr>
        <w:pStyle w:val="ListParagraph"/>
        <w:ind w:left="709"/>
        <w:jc w:val="both"/>
        <w:rPr>
          <w:rFonts w:ascii="Arial" w:hAnsi="Arial"/>
          <w:sz w:val="22"/>
          <w:szCs w:val="22"/>
        </w:rPr>
      </w:pPr>
    </w:p>
    <w:p w:rsidR="005A3173" w:rsidRPr="00882085" w:rsidRDefault="005A3173" w:rsidP="002F5F7F">
      <w:pPr>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682A6C" w:rsidRDefault="00097EBF" w:rsidP="00682A6C">
      <w:pPr>
        <w:pStyle w:val="ListParagraph"/>
        <w:numPr>
          <w:ilvl w:val="1"/>
          <w:numId w:val="26"/>
        </w:numPr>
        <w:ind w:left="709" w:hanging="709"/>
        <w:jc w:val="both"/>
        <w:rPr>
          <w:rFonts w:ascii="Arial" w:hAnsi="Arial"/>
          <w:sz w:val="22"/>
          <w:szCs w:val="22"/>
        </w:rPr>
      </w:pPr>
      <w:r w:rsidRPr="00097EBF">
        <w:rPr>
          <w:rFonts w:ascii="Arial" w:hAnsi="Arial"/>
          <w:sz w:val="22"/>
          <w:szCs w:val="22"/>
        </w:rPr>
        <w:t xml:space="preserve">The submission </w:t>
      </w:r>
      <w:r w:rsidR="00CF3FD2">
        <w:rPr>
          <w:rFonts w:ascii="Arial" w:hAnsi="Arial"/>
          <w:sz w:val="22"/>
          <w:szCs w:val="22"/>
        </w:rPr>
        <w:t xml:space="preserve">claimed </w:t>
      </w:r>
      <w:r w:rsidRPr="00097EBF">
        <w:rPr>
          <w:rFonts w:ascii="Arial" w:hAnsi="Arial"/>
          <w:sz w:val="22"/>
          <w:szCs w:val="22"/>
        </w:rPr>
        <w:t xml:space="preserve">that </w:t>
      </w:r>
      <w:proofErr w:type="spellStart"/>
      <w:r w:rsidRPr="00097EBF">
        <w:rPr>
          <w:rFonts w:ascii="Arial" w:hAnsi="Arial"/>
          <w:sz w:val="22"/>
          <w:szCs w:val="22"/>
        </w:rPr>
        <w:t>erlotinib</w:t>
      </w:r>
      <w:proofErr w:type="spellEnd"/>
      <w:r w:rsidRPr="00097EBF">
        <w:rPr>
          <w:rFonts w:ascii="Arial" w:hAnsi="Arial"/>
          <w:sz w:val="22"/>
          <w:szCs w:val="22"/>
        </w:rPr>
        <w:t xml:space="preserve"> is superior in terms of comparative effectiveness and inferior in terms of comparative safety over best supportive care for the PBS population. The </w:t>
      </w:r>
      <w:r w:rsidR="000E6EF5">
        <w:rPr>
          <w:rFonts w:ascii="Arial" w:hAnsi="Arial"/>
          <w:sz w:val="22"/>
          <w:szCs w:val="22"/>
        </w:rPr>
        <w:t xml:space="preserve">PBAC considered that the </w:t>
      </w:r>
      <w:r w:rsidRPr="00097EBF">
        <w:rPr>
          <w:rFonts w:ascii="Arial" w:hAnsi="Arial"/>
          <w:sz w:val="22"/>
          <w:szCs w:val="22"/>
        </w:rPr>
        <w:t xml:space="preserve">inference of superior effectiveness </w:t>
      </w:r>
      <w:r w:rsidR="000E6EF5">
        <w:rPr>
          <w:rFonts w:ascii="Arial" w:hAnsi="Arial"/>
          <w:sz w:val="22"/>
          <w:szCs w:val="22"/>
        </w:rPr>
        <w:t>was</w:t>
      </w:r>
      <w:r w:rsidRPr="00097EBF">
        <w:rPr>
          <w:rFonts w:ascii="Arial" w:hAnsi="Arial"/>
          <w:sz w:val="22"/>
          <w:szCs w:val="22"/>
        </w:rPr>
        <w:t xml:space="preserve"> not well supported by the evidence</w:t>
      </w:r>
      <w:r>
        <w:rPr>
          <w:rFonts w:ascii="Arial" w:hAnsi="Arial"/>
          <w:sz w:val="22"/>
          <w:szCs w:val="22"/>
        </w:rPr>
        <w:t xml:space="preserve"> because t</w:t>
      </w:r>
      <w:r w:rsidRPr="00097EBF">
        <w:rPr>
          <w:rFonts w:ascii="Arial" w:hAnsi="Arial"/>
          <w:sz w:val="22"/>
          <w:szCs w:val="22"/>
        </w:rPr>
        <w:t xml:space="preserve">he </w:t>
      </w:r>
      <w:r w:rsidR="00263622">
        <w:rPr>
          <w:rFonts w:ascii="Arial" w:hAnsi="Arial"/>
          <w:sz w:val="22"/>
          <w:szCs w:val="22"/>
        </w:rPr>
        <w:t xml:space="preserve">most relevant </w:t>
      </w:r>
      <w:r w:rsidRPr="00097EBF">
        <w:rPr>
          <w:rFonts w:ascii="Arial" w:hAnsi="Arial"/>
          <w:sz w:val="22"/>
          <w:szCs w:val="22"/>
        </w:rPr>
        <w:t xml:space="preserve">evidence presented </w:t>
      </w:r>
      <w:proofErr w:type="gramStart"/>
      <w:r w:rsidR="0018546F">
        <w:rPr>
          <w:rFonts w:ascii="Arial" w:hAnsi="Arial"/>
          <w:sz w:val="22"/>
          <w:szCs w:val="22"/>
        </w:rPr>
        <w:t>are</w:t>
      </w:r>
      <w:proofErr w:type="gramEnd"/>
      <w:r w:rsidRPr="00097EBF">
        <w:rPr>
          <w:rFonts w:ascii="Arial" w:hAnsi="Arial"/>
          <w:sz w:val="22"/>
          <w:szCs w:val="22"/>
        </w:rPr>
        <w:t xml:space="preserve"> exploratory</w:t>
      </w:r>
      <w:r w:rsidR="0018546F">
        <w:rPr>
          <w:rFonts w:ascii="Arial" w:hAnsi="Arial"/>
          <w:sz w:val="22"/>
          <w:szCs w:val="22"/>
        </w:rPr>
        <w:t>, retrospective subgroup analyses</w:t>
      </w:r>
      <w:r w:rsidRPr="00097EBF">
        <w:rPr>
          <w:rFonts w:ascii="Arial" w:hAnsi="Arial"/>
          <w:sz w:val="22"/>
          <w:szCs w:val="22"/>
        </w:rPr>
        <w:t>.</w:t>
      </w:r>
      <w:r w:rsidR="0018546F">
        <w:rPr>
          <w:rFonts w:ascii="Arial" w:hAnsi="Arial"/>
          <w:sz w:val="22"/>
          <w:szCs w:val="22"/>
        </w:rPr>
        <w:t xml:space="preserve"> </w:t>
      </w:r>
      <w:r w:rsidR="00682A6C">
        <w:rPr>
          <w:rFonts w:ascii="Arial" w:hAnsi="Arial"/>
          <w:sz w:val="22"/>
          <w:szCs w:val="22"/>
        </w:rPr>
        <w:t>The PBAC further considered that t</w:t>
      </w:r>
      <w:r w:rsidR="00682A6C" w:rsidRPr="00DD4835">
        <w:rPr>
          <w:rFonts w:ascii="Arial" w:hAnsi="Arial"/>
          <w:sz w:val="22"/>
          <w:szCs w:val="22"/>
        </w:rPr>
        <w:t xml:space="preserve">hese results </w:t>
      </w:r>
      <w:r w:rsidR="00682A6C">
        <w:rPr>
          <w:rFonts w:ascii="Arial" w:hAnsi="Arial"/>
          <w:sz w:val="22"/>
          <w:szCs w:val="22"/>
        </w:rPr>
        <w:t>represent</w:t>
      </w:r>
      <w:r w:rsidR="00682A6C" w:rsidRPr="00DD4835">
        <w:rPr>
          <w:rFonts w:ascii="Arial" w:hAnsi="Arial"/>
          <w:sz w:val="22"/>
          <w:szCs w:val="22"/>
        </w:rPr>
        <w:t xml:space="preserve"> a best case scenario </w:t>
      </w:r>
      <w:r w:rsidR="00682A6C">
        <w:rPr>
          <w:rFonts w:ascii="Arial" w:hAnsi="Arial"/>
          <w:sz w:val="22"/>
          <w:szCs w:val="22"/>
        </w:rPr>
        <w:t>because</w:t>
      </w:r>
      <w:r w:rsidR="00682A6C" w:rsidRPr="00DD4835">
        <w:rPr>
          <w:rFonts w:ascii="Arial" w:hAnsi="Arial"/>
          <w:sz w:val="22"/>
          <w:szCs w:val="22"/>
        </w:rPr>
        <w:t xml:space="preserve"> patients with EGFR muta</w:t>
      </w:r>
      <w:r w:rsidR="00682A6C">
        <w:rPr>
          <w:rFonts w:ascii="Arial" w:hAnsi="Arial"/>
          <w:sz w:val="22"/>
          <w:szCs w:val="22"/>
        </w:rPr>
        <w:t>tion positive</w:t>
      </w:r>
      <w:r w:rsidR="00682A6C" w:rsidRPr="00DD4835">
        <w:rPr>
          <w:rFonts w:ascii="Arial" w:hAnsi="Arial"/>
          <w:sz w:val="22"/>
          <w:szCs w:val="22"/>
        </w:rPr>
        <w:t xml:space="preserve"> tumours (who would be excluded by the current last-line PBS restriction) cannot be excluded from these results and their retention tends to overestimate the effectiveness of </w:t>
      </w:r>
      <w:proofErr w:type="spellStart"/>
      <w:r w:rsidR="00682A6C" w:rsidRPr="00DD4835">
        <w:rPr>
          <w:rFonts w:ascii="Arial" w:hAnsi="Arial"/>
          <w:sz w:val="22"/>
          <w:szCs w:val="22"/>
        </w:rPr>
        <w:t>erlotinib</w:t>
      </w:r>
      <w:proofErr w:type="spellEnd"/>
      <w:r w:rsidR="00682A6C" w:rsidRPr="00DD4835">
        <w:rPr>
          <w:rFonts w:ascii="Arial" w:hAnsi="Arial"/>
          <w:sz w:val="22"/>
          <w:szCs w:val="22"/>
        </w:rPr>
        <w:t xml:space="preserve"> compared to </w:t>
      </w:r>
      <w:r w:rsidR="00682A6C">
        <w:rPr>
          <w:rFonts w:ascii="Arial" w:hAnsi="Arial"/>
          <w:sz w:val="22"/>
          <w:szCs w:val="22"/>
        </w:rPr>
        <w:t xml:space="preserve">its use in contemporary </w:t>
      </w:r>
      <w:r w:rsidR="00682A6C" w:rsidRPr="00DD4835">
        <w:rPr>
          <w:rFonts w:ascii="Arial" w:hAnsi="Arial"/>
          <w:sz w:val="22"/>
          <w:szCs w:val="22"/>
        </w:rPr>
        <w:t>patients who meet the current last-line PBS restriction.</w:t>
      </w:r>
    </w:p>
    <w:p w:rsidR="0093415F" w:rsidRPr="00DD4835" w:rsidRDefault="0093415F" w:rsidP="0093415F">
      <w:pPr>
        <w:pStyle w:val="ListParagraph"/>
        <w:ind w:left="709"/>
        <w:jc w:val="both"/>
        <w:rPr>
          <w:rFonts w:ascii="Arial" w:hAnsi="Arial"/>
          <w:sz w:val="22"/>
          <w:szCs w:val="22"/>
        </w:rPr>
      </w:pPr>
    </w:p>
    <w:p w:rsidR="001632F1" w:rsidRDefault="00097EBF" w:rsidP="001632F1">
      <w:pPr>
        <w:pStyle w:val="ListParagraph"/>
        <w:numPr>
          <w:ilvl w:val="1"/>
          <w:numId w:val="26"/>
        </w:numPr>
        <w:ind w:left="709" w:hanging="709"/>
        <w:jc w:val="both"/>
        <w:rPr>
          <w:rFonts w:ascii="Arial" w:hAnsi="Arial"/>
          <w:sz w:val="22"/>
          <w:szCs w:val="22"/>
        </w:rPr>
      </w:pPr>
      <w:r w:rsidRPr="00097EBF">
        <w:rPr>
          <w:rFonts w:ascii="Arial" w:hAnsi="Arial"/>
          <w:sz w:val="22"/>
          <w:szCs w:val="22"/>
        </w:rPr>
        <w:t xml:space="preserve">For the </w:t>
      </w:r>
      <w:r w:rsidR="001D1873">
        <w:rPr>
          <w:rFonts w:ascii="Arial" w:hAnsi="Arial"/>
          <w:sz w:val="22"/>
          <w:szCs w:val="22"/>
        </w:rPr>
        <w:t xml:space="preserve">unpublished </w:t>
      </w:r>
      <w:r w:rsidRPr="00097EBF">
        <w:rPr>
          <w:rFonts w:ascii="Arial" w:hAnsi="Arial"/>
          <w:sz w:val="22"/>
          <w:szCs w:val="22"/>
        </w:rPr>
        <w:t xml:space="preserve">squamous histology subgroup from the BR.21 trial, there are limitations regarding the post hoc nature of the subgroup analysis and associated potential for confounding. There </w:t>
      </w:r>
      <w:proofErr w:type="gramStart"/>
      <w:r w:rsidRPr="00097EBF">
        <w:rPr>
          <w:rFonts w:ascii="Arial" w:hAnsi="Arial"/>
          <w:sz w:val="22"/>
          <w:szCs w:val="22"/>
        </w:rPr>
        <w:t>are</w:t>
      </w:r>
      <w:proofErr w:type="gramEnd"/>
      <w:r w:rsidRPr="00097EBF">
        <w:rPr>
          <w:rFonts w:ascii="Arial" w:hAnsi="Arial"/>
          <w:sz w:val="22"/>
          <w:szCs w:val="22"/>
        </w:rPr>
        <w:t xml:space="preserve"> also applicability concerns regarding whether these patients have exhausted available active therapies, despite the assurances conveyed from the principal investigator by the PSCR; particularly as there are data from the BR.21 trial indicating post-trial chemotherapy administration.</w:t>
      </w:r>
    </w:p>
    <w:p w:rsidR="001632F1" w:rsidRPr="001632F1" w:rsidRDefault="001632F1" w:rsidP="001632F1">
      <w:pPr>
        <w:pStyle w:val="ListParagraph"/>
        <w:rPr>
          <w:rFonts w:ascii="Arial" w:hAnsi="Arial"/>
          <w:sz w:val="22"/>
          <w:szCs w:val="22"/>
        </w:rPr>
      </w:pPr>
    </w:p>
    <w:p w:rsidR="00097EBF" w:rsidRPr="001632F1" w:rsidRDefault="00097EBF" w:rsidP="001632F1">
      <w:pPr>
        <w:pStyle w:val="ListParagraph"/>
        <w:numPr>
          <w:ilvl w:val="1"/>
          <w:numId w:val="26"/>
        </w:numPr>
        <w:ind w:left="709" w:hanging="709"/>
        <w:jc w:val="both"/>
        <w:rPr>
          <w:rFonts w:ascii="Arial" w:hAnsi="Arial"/>
          <w:sz w:val="22"/>
          <w:szCs w:val="22"/>
        </w:rPr>
      </w:pPr>
      <w:r w:rsidRPr="001632F1">
        <w:rPr>
          <w:rFonts w:ascii="Arial" w:hAnsi="Arial"/>
          <w:sz w:val="22"/>
          <w:szCs w:val="22"/>
        </w:rPr>
        <w:t xml:space="preserve">There are additional concerns for the ‘ITT’ and </w:t>
      </w:r>
      <w:r w:rsidR="001D1873" w:rsidRPr="001632F1">
        <w:rPr>
          <w:rFonts w:ascii="Arial" w:hAnsi="Arial"/>
          <w:sz w:val="22"/>
          <w:szCs w:val="22"/>
        </w:rPr>
        <w:t xml:space="preserve">the unpublished </w:t>
      </w:r>
      <w:r w:rsidRPr="001632F1">
        <w:rPr>
          <w:rFonts w:ascii="Arial" w:hAnsi="Arial"/>
          <w:sz w:val="22"/>
          <w:szCs w:val="22"/>
        </w:rPr>
        <w:t>‘EGFR wild type or unknown’ populations as being not directly applicable to the intended PBS population because these populations include patients with EGFR mutations.</w:t>
      </w:r>
    </w:p>
    <w:p w:rsidR="00097EBF" w:rsidRPr="00097EBF" w:rsidRDefault="00097EBF" w:rsidP="00097EBF">
      <w:pPr>
        <w:pStyle w:val="ListParagraph"/>
        <w:rPr>
          <w:rFonts w:ascii="Arial" w:hAnsi="Arial"/>
          <w:sz w:val="22"/>
          <w:szCs w:val="22"/>
        </w:rPr>
      </w:pPr>
    </w:p>
    <w:p w:rsidR="001632F1" w:rsidRDefault="00097EBF" w:rsidP="00985E35">
      <w:pPr>
        <w:pStyle w:val="ListParagraph"/>
        <w:numPr>
          <w:ilvl w:val="1"/>
          <w:numId w:val="26"/>
        </w:numPr>
        <w:ind w:left="709" w:hanging="709"/>
        <w:jc w:val="both"/>
        <w:rPr>
          <w:rFonts w:ascii="Arial" w:hAnsi="Arial"/>
          <w:sz w:val="22"/>
          <w:szCs w:val="22"/>
        </w:rPr>
      </w:pPr>
      <w:r w:rsidRPr="00097EBF">
        <w:rPr>
          <w:rFonts w:ascii="Arial" w:hAnsi="Arial"/>
          <w:sz w:val="22"/>
          <w:szCs w:val="22"/>
        </w:rPr>
        <w:t>For the publis</w:t>
      </w:r>
      <w:r w:rsidR="001742E0">
        <w:rPr>
          <w:rFonts w:ascii="Arial" w:hAnsi="Arial"/>
          <w:sz w:val="22"/>
          <w:szCs w:val="22"/>
        </w:rPr>
        <w:t>hed post hoc analyses of the EGFR wild-</w:t>
      </w:r>
      <w:r w:rsidRPr="00097EBF">
        <w:rPr>
          <w:rFonts w:ascii="Arial" w:hAnsi="Arial"/>
          <w:sz w:val="22"/>
          <w:szCs w:val="22"/>
        </w:rPr>
        <w:t>type disease subgroup</w:t>
      </w:r>
      <w:r w:rsidR="001742E0">
        <w:rPr>
          <w:rFonts w:ascii="Arial" w:hAnsi="Arial"/>
          <w:sz w:val="22"/>
          <w:szCs w:val="22"/>
        </w:rPr>
        <w:t>s</w:t>
      </w:r>
      <w:r w:rsidRPr="00097EBF">
        <w:rPr>
          <w:rFonts w:ascii="Arial" w:hAnsi="Arial"/>
          <w:sz w:val="22"/>
          <w:szCs w:val="22"/>
        </w:rPr>
        <w:t>, (</w:t>
      </w:r>
      <w:proofErr w:type="spellStart"/>
      <w:r w:rsidRPr="00097EBF">
        <w:rPr>
          <w:rFonts w:ascii="Arial" w:hAnsi="Arial"/>
          <w:sz w:val="22"/>
          <w:szCs w:val="22"/>
        </w:rPr>
        <w:t>Tsao</w:t>
      </w:r>
      <w:proofErr w:type="spellEnd"/>
      <w:r w:rsidRPr="00097EBF">
        <w:rPr>
          <w:rFonts w:ascii="Arial" w:hAnsi="Arial"/>
          <w:sz w:val="22"/>
          <w:szCs w:val="22"/>
        </w:rPr>
        <w:t xml:space="preserve"> et al and Zhu et al), the small proportion of the BR.21 ITT population </w:t>
      </w:r>
      <w:r w:rsidR="001742E0">
        <w:rPr>
          <w:rFonts w:ascii="Arial" w:hAnsi="Arial"/>
          <w:sz w:val="22"/>
          <w:szCs w:val="22"/>
        </w:rPr>
        <w:t xml:space="preserve">able to be subsequently </w:t>
      </w:r>
      <w:r w:rsidRPr="00097EBF">
        <w:rPr>
          <w:rFonts w:ascii="Arial" w:hAnsi="Arial"/>
          <w:sz w:val="22"/>
          <w:szCs w:val="22"/>
        </w:rPr>
        <w:t>tested (for EGFR mutation status) also give</w:t>
      </w:r>
      <w:r w:rsidR="00DE3BB8">
        <w:rPr>
          <w:rFonts w:ascii="Arial" w:hAnsi="Arial"/>
          <w:sz w:val="22"/>
          <w:szCs w:val="22"/>
        </w:rPr>
        <w:t>s</w:t>
      </w:r>
      <w:r w:rsidRPr="00097EBF">
        <w:rPr>
          <w:rFonts w:ascii="Arial" w:hAnsi="Arial"/>
          <w:sz w:val="22"/>
          <w:szCs w:val="22"/>
        </w:rPr>
        <w:t xml:space="preserve"> rise to additional concerns regarding a high risk for selection bias and confounding.</w:t>
      </w:r>
    </w:p>
    <w:p w:rsidR="001632F1" w:rsidRPr="001632F1" w:rsidRDefault="001632F1" w:rsidP="001632F1">
      <w:pPr>
        <w:pStyle w:val="ListParagraph"/>
        <w:rPr>
          <w:rFonts w:ascii="Arial" w:hAnsi="Arial"/>
          <w:sz w:val="22"/>
          <w:szCs w:val="22"/>
        </w:rPr>
      </w:pPr>
    </w:p>
    <w:p w:rsidR="00F57A6D" w:rsidRPr="001632F1" w:rsidRDefault="001D1873" w:rsidP="00985E35">
      <w:pPr>
        <w:pStyle w:val="ListParagraph"/>
        <w:numPr>
          <w:ilvl w:val="1"/>
          <w:numId w:val="26"/>
        </w:numPr>
        <w:ind w:left="709" w:hanging="709"/>
        <w:jc w:val="both"/>
        <w:rPr>
          <w:rFonts w:ascii="Arial" w:hAnsi="Arial"/>
          <w:sz w:val="22"/>
          <w:szCs w:val="22"/>
        </w:rPr>
      </w:pPr>
      <w:r w:rsidRPr="001632F1">
        <w:rPr>
          <w:rFonts w:ascii="Arial" w:hAnsi="Arial"/>
          <w:sz w:val="22"/>
          <w:szCs w:val="22"/>
        </w:rPr>
        <w:t xml:space="preserve">In seeking to apply the evidence presented to patients meeting the current last-line PBS restriction, the PBAC advised that it was difficult to conclude with confidence that </w:t>
      </w:r>
      <w:proofErr w:type="spellStart"/>
      <w:r w:rsidRPr="001632F1">
        <w:rPr>
          <w:rFonts w:ascii="Arial" w:hAnsi="Arial"/>
          <w:sz w:val="22"/>
          <w:szCs w:val="22"/>
        </w:rPr>
        <w:t>erlotinib’s</w:t>
      </w:r>
      <w:proofErr w:type="spellEnd"/>
      <w:r w:rsidRPr="001632F1">
        <w:rPr>
          <w:rFonts w:ascii="Arial" w:hAnsi="Arial"/>
          <w:sz w:val="22"/>
          <w:szCs w:val="22"/>
        </w:rPr>
        <w:t xml:space="preserve"> net benefits over best supportive care would exceed its net harms</w:t>
      </w:r>
      <w:r w:rsidR="00DE3BB8" w:rsidRPr="001632F1">
        <w:rPr>
          <w:rFonts w:ascii="Arial" w:hAnsi="Arial"/>
          <w:sz w:val="22"/>
          <w:szCs w:val="22"/>
        </w:rPr>
        <w:t>.</w:t>
      </w:r>
      <w:r w:rsidR="006265F8" w:rsidRPr="001632F1">
        <w:rPr>
          <w:rFonts w:ascii="Arial" w:hAnsi="Arial"/>
          <w:sz w:val="22"/>
          <w:szCs w:val="22"/>
        </w:rPr>
        <w:t xml:space="preserve"> </w:t>
      </w:r>
    </w:p>
    <w:p w:rsidR="002F5F7F" w:rsidRDefault="002F5F7F" w:rsidP="00882085">
      <w:pPr>
        <w:ind w:left="720" w:hanging="720"/>
        <w:jc w:val="both"/>
        <w:rPr>
          <w:rFonts w:ascii="Arial" w:hAnsi="Arial"/>
          <w:b/>
          <w:i/>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5A3173" w:rsidRPr="00882085" w:rsidRDefault="005A3173" w:rsidP="00882085">
      <w:pPr>
        <w:ind w:left="720" w:hanging="720"/>
        <w:jc w:val="both"/>
        <w:rPr>
          <w:rFonts w:ascii="Arial" w:hAnsi="Arial"/>
          <w:sz w:val="22"/>
          <w:szCs w:val="22"/>
        </w:rPr>
      </w:pPr>
    </w:p>
    <w:p w:rsidR="00DE3BB8" w:rsidRPr="00DE3BB8" w:rsidRDefault="00DE3BB8" w:rsidP="00DE3BB8">
      <w:pPr>
        <w:pStyle w:val="ListParagraph"/>
        <w:numPr>
          <w:ilvl w:val="1"/>
          <w:numId w:val="26"/>
        </w:numPr>
        <w:ind w:left="709" w:hanging="709"/>
        <w:jc w:val="both"/>
        <w:rPr>
          <w:rFonts w:ascii="Arial" w:hAnsi="Arial"/>
          <w:sz w:val="22"/>
          <w:szCs w:val="22"/>
        </w:rPr>
      </w:pPr>
      <w:r w:rsidRPr="00DE3BB8">
        <w:rPr>
          <w:rFonts w:ascii="Arial" w:hAnsi="Arial"/>
          <w:sz w:val="22"/>
          <w:szCs w:val="22"/>
        </w:rPr>
        <w:t xml:space="preserve">The submission presents the cost-utility of </w:t>
      </w:r>
      <w:proofErr w:type="spellStart"/>
      <w:r w:rsidRPr="00DE3BB8">
        <w:rPr>
          <w:rFonts w:ascii="Arial" w:hAnsi="Arial"/>
          <w:sz w:val="22"/>
          <w:szCs w:val="22"/>
        </w:rPr>
        <w:t>erlotinib</w:t>
      </w:r>
      <w:proofErr w:type="spellEnd"/>
      <w:r w:rsidRPr="00DE3BB8">
        <w:rPr>
          <w:rFonts w:ascii="Arial" w:hAnsi="Arial"/>
          <w:sz w:val="22"/>
          <w:szCs w:val="22"/>
        </w:rPr>
        <w:t xml:space="preserve"> over BSC in three different patient populations, each of which accepts an improved overall survival with </w:t>
      </w:r>
      <w:proofErr w:type="spellStart"/>
      <w:r w:rsidRPr="00DE3BB8">
        <w:rPr>
          <w:rFonts w:ascii="Arial" w:hAnsi="Arial"/>
          <w:sz w:val="22"/>
          <w:szCs w:val="22"/>
        </w:rPr>
        <w:t>erlotinib</w:t>
      </w:r>
      <w:proofErr w:type="spellEnd"/>
      <w:r w:rsidRPr="00DE3BB8">
        <w:rPr>
          <w:rFonts w:ascii="Arial" w:hAnsi="Arial"/>
          <w:sz w:val="22"/>
          <w:szCs w:val="22"/>
        </w:rPr>
        <w:t>:</w:t>
      </w:r>
    </w:p>
    <w:p w:rsidR="00DE3BB8" w:rsidRPr="00DE3BB8" w:rsidRDefault="00DE3BB8" w:rsidP="00DE3BB8">
      <w:pPr>
        <w:pStyle w:val="ListParagraph"/>
        <w:numPr>
          <w:ilvl w:val="1"/>
          <w:numId w:val="33"/>
        </w:numPr>
        <w:jc w:val="both"/>
        <w:rPr>
          <w:rFonts w:ascii="Arial" w:hAnsi="Arial"/>
          <w:sz w:val="22"/>
          <w:szCs w:val="22"/>
        </w:rPr>
      </w:pPr>
      <w:r w:rsidRPr="00DE3BB8">
        <w:rPr>
          <w:rFonts w:ascii="Arial" w:hAnsi="Arial"/>
          <w:sz w:val="22"/>
          <w:szCs w:val="22"/>
        </w:rPr>
        <w:t>BR.21 ITT population;</w:t>
      </w:r>
    </w:p>
    <w:p w:rsidR="00DE3BB8" w:rsidRPr="00DE3BB8" w:rsidRDefault="00DE3BB8" w:rsidP="00DE3BB8">
      <w:pPr>
        <w:pStyle w:val="ListParagraph"/>
        <w:numPr>
          <w:ilvl w:val="1"/>
          <w:numId w:val="33"/>
        </w:numPr>
        <w:jc w:val="both"/>
        <w:rPr>
          <w:rFonts w:ascii="Arial" w:hAnsi="Arial"/>
          <w:sz w:val="22"/>
          <w:szCs w:val="22"/>
        </w:rPr>
      </w:pPr>
      <w:r w:rsidRPr="00DE3BB8">
        <w:rPr>
          <w:rFonts w:ascii="Arial" w:hAnsi="Arial"/>
          <w:sz w:val="22"/>
          <w:szCs w:val="22"/>
        </w:rPr>
        <w:t>BR.21 EGFR wild type or unknown; and</w:t>
      </w:r>
    </w:p>
    <w:p w:rsidR="00EA66FE" w:rsidRDefault="00DE3BB8" w:rsidP="002F5F7F">
      <w:pPr>
        <w:pStyle w:val="ListParagraph"/>
        <w:numPr>
          <w:ilvl w:val="1"/>
          <w:numId w:val="33"/>
        </w:numPr>
        <w:jc w:val="both"/>
        <w:rPr>
          <w:rFonts w:ascii="Arial" w:hAnsi="Arial"/>
          <w:sz w:val="22"/>
          <w:szCs w:val="22"/>
        </w:rPr>
      </w:pPr>
      <w:r w:rsidRPr="002F5F7F">
        <w:rPr>
          <w:rFonts w:ascii="Arial" w:hAnsi="Arial"/>
          <w:sz w:val="22"/>
          <w:szCs w:val="22"/>
        </w:rPr>
        <w:lastRenderedPageBreak/>
        <w:t>BR.21 squamous patients.</w:t>
      </w:r>
    </w:p>
    <w:p w:rsidR="002F5F7F" w:rsidRPr="002F5F7F" w:rsidRDefault="002F5F7F" w:rsidP="002F5F7F">
      <w:pPr>
        <w:pStyle w:val="ListParagraph"/>
        <w:ind w:left="1070"/>
        <w:jc w:val="both"/>
        <w:rPr>
          <w:rFonts w:ascii="Arial" w:hAnsi="Arial"/>
          <w:sz w:val="22"/>
          <w:szCs w:val="22"/>
        </w:rPr>
      </w:pPr>
    </w:p>
    <w:p w:rsidR="00DE3BB8" w:rsidRDefault="00DE3BB8" w:rsidP="00DE3BB8">
      <w:pPr>
        <w:pStyle w:val="ListParagraph"/>
        <w:numPr>
          <w:ilvl w:val="1"/>
          <w:numId w:val="26"/>
        </w:numPr>
        <w:ind w:left="709" w:hanging="709"/>
        <w:jc w:val="both"/>
        <w:rPr>
          <w:rFonts w:ascii="Arial" w:hAnsi="Arial"/>
          <w:sz w:val="22"/>
          <w:szCs w:val="22"/>
        </w:rPr>
      </w:pPr>
      <w:r w:rsidRPr="00DE3BB8">
        <w:rPr>
          <w:rFonts w:ascii="Arial" w:hAnsi="Arial"/>
          <w:sz w:val="22"/>
          <w:szCs w:val="22"/>
        </w:rPr>
        <w:t xml:space="preserve">The </w:t>
      </w:r>
      <w:r>
        <w:rPr>
          <w:rFonts w:ascii="Arial" w:hAnsi="Arial"/>
          <w:sz w:val="22"/>
          <w:szCs w:val="22"/>
        </w:rPr>
        <w:t xml:space="preserve">PBAC considered that the </w:t>
      </w:r>
      <w:r w:rsidRPr="00DE3BB8">
        <w:rPr>
          <w:rFonts w:ascii="Arial" w:hAnsi="Arial"/>
          <w:sz w:val="22"/>
          <w:szCs w:val="22"/>
        </w:rPr>
        <w:t>first two population groups in the model are not representative of the intended PBS population</w:t>
      </w:r>
      <w:r>
        <w:rPr>
          <w:rFonts w:ascii="Arial" w:hAnsi="Arial"/>
          <w:sz w:val="22"/>
          <w:szCs w:val="22"/>
        </w:rPr>
        <w:t xml:space="preserve"> and so considered only the third analysis</w:t>
      </w:r>
      <w:r w:rsidRPr="00DE3BB8">
        <w:rPr>
          <w:rFonts w:ascii="Arial" w:hAnsi="Arial"/>
          <w:sz w:val="22"/>
          <w:szCs w:val="22"/>
        </w:rPr>
        <w:t>.</w:t>
      </w:r>
      <w:r w:rsidR="006D1FD1">
        <w:rPr>
          <w:rFonts w:ascii="Arial" w:hAnsi="Arial"/>
          <w:sz w:val="22"/>
          <w:szCs w:val="22"/>
        </w:rPr>
        <w:t xml:space="preserve"> The following table summarises the base case and key sensitivity analyses.</w:t>
      </w:r>
    </w:p>
    <w:p w:rsidR="00C9099B" w:rsidRDefault="00C9099B">
      <w:pPr>
        <w:rPr>
          <w:rFonts w:ascii="Arial" w:hAnsi="Arial"/>
          <w:sz w:val="22"/>
          <w:szCs w:val="22"/>
        </w:rPr>
      </w:pPr>
      <w:r>
        <w:rPr>
          <w:rFonts w:ascii="Arial" w:hAnsi="Arial"/>
          <w:sz w:val="22"/>
          <w:szCs w:val="22"/>
        </w:rPr>
        <w:br w:type="page"/>
      </w:r>
    </w:p>
    <w:p w:rsidR="00EA66FE" w:rsidRPr="00DE3BB8" w:rsidRDefault="00EA66FE" w:rsidP="00EA66FE">
      <w:pPr>
        <w:pStyle w:val="ListParagraph"/>
        <w:ind w:left="709"/>
        <w:jc w:val="both"/>
        <w:rPr>
          <w:rFonts w:ascii="Arial" w:hAnsi="Arial"/>
          <w:sz w:val="22"/>
          <w:szCs w:val="22"/>
        </w:rPr>
      </w:pPr>
    </w:p>
    <w:tbl>
      <w:tblPr>
        <w:tblW w:w="4512" w:type="pct"/>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Description w:val="base case"/>
      </w:tblPr>
      <w:tblGrid>
        <w:gridCol w:w="4111"/>
        <w:gridCol w:w="1417"/>
        <w:gridCol w:w="1418"/>
        <w:gridCol w:w="1407"/>
      </w:tblGrid>
      <w:tr w:rsidR="006D1FD1" w:rsidRPr="006D1FD1" w:rsidTr="006D1FD1">
        <w:trPr>
          <w:cantSplit/>
        </w:trPr>
        <w:tc>
          <w:tcPr>
            <w:tcW w:w="4111"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pStyle w:val="ListParagraph"/>
              <w:ind w:left="360"/>
              <w:rPr>
                <w:rFonts w:ascii="Arial" w:hAnsi="Arial" w:cs="Arial"/>
                <w:b/>
                <w:sz w:val="22"/>
                <w:szCs w:val="22"/>
              </w:rPr>
            </w:pPr>
            <w:r w:rsidRPr="006D1FD1">
              <w:rPr>
                <w:rFonts w:ascii="Arial" w:hAnsi="Arial" w:cs="Arial"/>
                <w:b/>
                <w:sz w:val="22"/>
                <w:szCs w:val="22"/>
              </w:rPr>
              <w:t>Analys</w:t>
            </w:r>
            <w:r>
              <w:rPr>
                <w:rFonts w:ascii="Arial" w:hAnsi="Arial" w:cs="Arial"/>
                <w:b/>
                <w:sz w:val="22"/>
                <w:szCs w:val="22"/>
              </w:rPr>
              <w:t>i</w:t>
            </w:r>
            <w:r w:rsidRPr="006D1FD1">
              <w:rPr>
                <w:rFonts w:ascii="Arial" w:hAnsi="Arial" w:cs="Arial"/>
                <w:b/>
                <w:sz w:val="22"/>
                <w:szCs w:val="22"/>
              </w:rPr>
              <w:t>s</w:t>
            </w:r>
          </w:p>
        </w:tc>
        <w:tc>
          <w:tcPr>
            <w:tcW w:w="1417" w:type="dxa"/>
            <w:tcBorders>
              <w:top w:val="single" w:sz="4" w:space="0" w:color="auto"/>
              <w:left w:val="single" w:sz="4" w:space="0" w:color="auto"/>
              <w:bottom w:val="single" w:sz="4" w:space="0" w:color="auto"/>
              <w:right w:val="single" w:sz="4" w:space="0" w:color="auto"/>
            </w:tcBorders>
            <w:vAlign w:val="bottom"/>
          </w:tcPr>
          <w:p w:rsidR="006D1FD1" w:rsidRPr="006D1FD1" w:rsidRDefault="006D1FD1" w:rsidP="006D1FD1">
            <w:pPr>
              <w:ind w:left="-115" w:right="-115"/>
              <w:jc w:val="center"/>
              <w:rPr>
                <w:rFonts w:ascii="Arial" w:hAnsi="Arial" w:cs="Arial"/>
                <w:b/>
                <w:sz w:val="22"/>
                <w:szCs w:val="22"/>
              </w:rPr>
            </w:pPr>
            <w:r w:rsidRPr="006D1FD1">
              <w:rPr>
                <w:rFonts w:ascii="Arial" w:hAnsi="Arial" w:cs="Arial"/>
                <w:b/>
                <w:sz w:val="22"/>
                <w:szCs w:val="22"/>
              </w:rPr>
              <w:t>Incremental costs</w:t>
            </w:r>
          </w:p>
        </w:tc>
        <w:tc>
          <w:tcPr>
            <w:tcW w:w="1418" w:type="dxa"/>
            <w:tcBorders>
              <w:top w:val="single" w:sz="4" w:space="0" w:color="auto"/>
              <w:left w:val="single" w:sz="4" w:space="0" w:color="auto"/>
              <w:bottom w:val="single" w:sz="4" w:space="0" w:color="auto"/>
              <w:right w:val="single" w:sz="4" w:space="0" w:color="auto"/>
            </w:tcBorders>
            <w:vAlign w:val="bottom"/>
          </w:tcPr>
          <w:p w:rsidR="006D1FD1" w:rsidRPr="006D1FD1" w:rsidRDefault="006D1FD1" w:rsidP="006D1FD1">
            <w:pPr>
              <w:ind w:left="-115" w:right="-115"/>
              <w:jc w:val="center"/>
              <w:rPr>
                <w:rFonts w:ascii="Arial" w:hAnsi="Arial" w:cs="Arial"/>
                <w:b/>
                <w:sz w:val="22"/>
                <w:szCs w:val="22"/>
              </w:rPr>
            </w:pPr>
            <w:r w:rsidRPr="006D1FD1">
              <w:rPr>
                <w:rFonts w:ascii="Arial" w:hAnsi="Arial" w:cs="Arial"/>
                <w:b/>
                <w:sz w:val="22"/>
                <w:szCs w:val="22"/>
              </w:rPr>
              <w:t>Incremental QALYs</w:t>
            </w:r>
          </w:p>
        </w:tc>
        <w:tc>
          <w:tcPr>
            <w:tcW w:w="1407" w:type="dxa"/>
            <w:tcBorders>
              <w:top w:val="single" w:sz="4" w:space="0" w:color="auto"/>
              <w:left w:val="single" w:sz="4" w:space="0" w:color="auto"/>
              <w:bottom w:val="single" w:sz="4" w:space="0" w:color="auto"/>
              <w:right w:val="single" w:sz="4" w:space="0" w:color="auto"/>
            </w:tcBorders>
            <w:vAlign w:val="bottom"/>
          </w:tcPr>
          <w:p w:rsidR="006D1FD1" w:rsidRPr="006D1FD1" w:rsidRDefault="006D1FD1" w:rsidP="006D1FD1">
            <w:pPr>
              <w:ind w:left="-115" w:right="-125"/>
              <w:jc w:val="center"/>
              <w:rPr>
                <w:rFonts w:ascii="Arial" w:hAnsi="Arial" w:cs="Arial"/>
                <w:b/>
                <w:sz w:val="22"/>
                <w:szCs w:val="22"/>
              </w:rPr>
            </w:pPr>
            <w:r w:rsidRPr="006D1FD1">
              <w:rPr>
                <w:rFonts w:ascii="Arial" w:hAnsi="Arial" w:cs="Arial"/>
                <w:b/>
                <w:sz w:val="22"/>
                <w:szCs w:val="22"/>
              </w:rPr>
              <w:t>ICER (cost/QALY)</w:t>
            </w:r>
          </w:p>
        </w:tc>
      </w:tr>
      <w:tr w:rsidR="006D1FD1" w:rsidRPr="006D1FD1" w:rsidTr="006D1FD1">
        <w:trPr>
          <w:cantSplit/>
        </w:trPr>
        <w:tc>
          <w:tcPr>
            <w:tcW w:w="4111"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rPr>
                <w:rFonts w:ascii="Arial" w:hAnsi="Arial" w:cs="Arial"/>
                <w:sz w:val="22"/>
                <w:szCs w:val="22"/>
              </w:rPr>
            </w:pPr>
            <w:r w:rsidRPr="006D1FD1">
              <w:rPr>
                <w:rFonts w:ascii="Arial" w:hAnsi="Arial" w:cs="Arial"/>
                <w:sz w:val="22"/>
                <w:szCs w:val="22"/>
              </w:rPr>
              <w:t>Base case</w:t>
            </w:r>
          </w:p>
        </w:tc>
        <w:tc>
          <w:tcPr>
            <w:tcW w:w="141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c>
          <w:tcPr>
            <w:tcW w:w="1418"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center"/>
              <w:rPr>
                <w:rFonts w:ascii="Arial" w:hAnsi="Arial" w:cs="Arial"/>
                <w:sz w:val="22"/>
                <w:szCs w:val="22"/>
                <w:highlight w:val="black"/>
              </w:rPr>
            </w:pPr>
            <w:r>
              <w:rPr>
                <w:rFonts w:ascii="Arial" w:hAnsi="Arial" w:cs="Arial"/>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r>
      <w:tr w:rsidR="006D1FD1" w:rsidRPr="006D1FD1" w:rsidTr="006D1FD1">
        <w:trPr>
          <w:cantSplit/>
        </w:trPr>
        <w:tc>
          <w:tcPr>
            <w:tcW w:w="4111"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rPr>
                <w:rFonts w:ascii="Arial" w:hAnsi="Arial" w:cs="Arial"/>
                <w:sz w:val="22"/>
                <w:szCs w:val="22"/>
              </w:rPr>
            </w:pPr>
            <w:r w:rsidRPr="006D1FD1">
              <w:rPr>
                <w:rFonts w:ascii="Arial" w:hAnsi="Arial" w:cs="Arial"/>
                <w:sz w:val="22"/>
                <w:szCs w:val="22"/>
              </w:rPr>
              <w:t>Using utilities reported for patients receiving 3</w:t>
            </w:r>
            <w:r w:rsidRPr="006D1FD1">
              <w:rPr>
                <w:rFonts w:ascii="Arial" w:hAnsi="Arial" w:cs="Arial"/>
                <w:sz w:val="22"/>
                <w:szCs w:val="22"/>
                <w:vertAlign w:val="superscript"/>
              </w:rPr>
              <w:t>rd</w:t>
            </w:r>
            <w:r w:rsidRPr="006D1FD1">
              <w:rPr>
                <w:rFonts w:ascii="Arial" w:hAnsi="Arial" w:cs="Arial"/>
                <w:sz w:val="22"/>
                <w:szCs w:val="22"/>
              </w:rPr>
              <w:t>/4</w:t>
            </w:r>
            <w:r w:rsidRPr="006D1FD1">
              <w:rPr>
                <w:rFonts w:ascii="Arial" w:hAnsi="Arial" w:cs="Arial"/>
                <w:sz w:val="22"/>
                <w:szCs w:val="22"/>
                <w:vertAlign w:val="superscript"/>
              </w:rPr>
              <w:t>th</w:t>
            </w:r>
            <w:r w:rsidRPr="006D1FD1">
              <w:rPr>
                <w:rFonts w:ascii="Arial" w:hAnsi="Arial" w:cs="Arial"/>
                <w:sz w:val="22"/>
                <w:szCs w:val="22"/>
              </w:rPr>
              <w:t xml:space="preserve"> line treatment in </w:t>
            </w:r>
            <w:proofErr w:type="spellStart"/>
            <w:r w:rsidRPr="006D1FD1">
              <w:rPr>
                <w:rFonts w:ascii="Arial" w:hAnsi="Arial" w:cs="Arial"/>
                <w:sz w:val="22"/>
                <w:szCs w:val="22"/>
              </w:rPr>
              <w:t>Chouaid</w:t>
            </w:r>
            <w:proofErr w:type="spellEnd"/>
            <w:r w:rsidRPr="006D1FD1">
              <w:rPr>
                <w:rFonts w:ascii="Arial" w:hAnsi="Arial" w:cs="Arial"/>
                <w:sz w:val="22"/>
                <w:szCs w:val="22"/>
              </w:rPr>
              <w:t xml:space="preserve"> (2013)*</w:t>
            </w:r>
          </w:p>
        </w:tc>
        <w:tc>
          <w:tcPr>
            <w:tcW w:w="141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c>
          <w:tcPr>
            <w:tcW w:w="1418"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center"/>
              <w:rPr>
                <w:rFonts w:ascii="Arial" w:hAnsi="Arial" w:cs="Arial"/>
                <w:sz w:val="22"/>
                <w:szCs w:val="22"/>
                <w:highlight w:val="black"/>
              </w:rPr>
            </w:pPr>
            <w:r>
              <w:rPr>
                <w:rFonts w:ascii="Arial" w:hAnsi="Arial" w:cs="Arial"/>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r>
      <w:tr w:rsidR="006D1FD1" w:rsidRPr="006D1FD1" w:rsidTr="006D1FD1">
        <w:trPr>
          <w:cantSplit/>
        </w:trPr>
        <w:tc>
          <w:tcPr>
            <w:tcW w:w="4111"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rPr>
                <w:rFonts w:ascii="Arial" w:hAnsi="Arial" w:cs="Arial"/>
                <w:sz w:val="22"/>
                <w:szCs w:val="22"/>
              </w:rPr>
            </w:pPr>
            <w:r w:rsidRPr="006D1FD1">
              <w:rPr>
                <w:rFonts w:ascii="Arial" w:hAnsi="Arial" w:cs="Arial"/>
                <w:sz w:val="22"/>
                <w:szCs w:val="22"/>
              </w:rPr>
              <w:t xml:space="preserve">No utility benefit for the </w:t>
            </w:r>
            <w:proofErr w:type="spellStart"/>
            <w:r w:rsidRPr="006D1FD1">
              <w:rPr>
                <w:rFonts w:ascii="Arial" w:hAnsi="Arial" w:cs="Arial"/>
                <w:sz w:val="22"/>
                <w:szCs w:val="22"/>
              </w:rPr>
              <w:t>erlotinib</w:t>
            </w:r>
            <w:proofErr w:type="spellEnd"/>
            <w:r w:rsidRPr="006D1FD1">
              <w:rPr>
                <w:rFonts w:ascii="Arial" w:hAnsi="Arial" w:cs="Arial"/>
                <w:sz w:val="22"/>
                <w:szCs w:val="22"/>
              </w:rPr>
              <w:t xml:space="preserve"> arm in the progression-free health state**</w:t>
            </w:r>
          </w:p>
        </w:tc>
        <w:tc>
          <w:tcPr>
            <w:tcW w:w="141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c>
          <w:tcPr>
            <w:tcW w:w="1418"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center"/>
              <w:rPr>
                <w:rFonts w:ascii="Arial" w:hAnsi="Arial" w:cs="Arial"/>
                <w:sz w:val="22"/>
                <w:szCs w:val="22"/>
                <w:highlight w:val="black"/>
              </w:rPr>
            </w:pPr>
            <w:r>
              <w:rPr>
                <w:rFonts w:ascii="Arial" w:hAnsi="Arial" w:cs="Arial"/>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r>
      <w:tr w:rsidR="006D1FD1" w:rsidRPr="006D1FD1" w:rsidTr="006D1FD1">
        <w:trPr>
          <w:cantSplit/>
        </w:trPr>
        <w:tc>
          <w:tcPr>
            <w:tcW w:w="4111"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rPr>
                <w:rFonts w:ascii="Arial" w:hAnsi="Arial" w:cs="Arial"/>
                <w:sz w:val="22"/>
                <w:szCs w:val="22"/>
              </w:rPr>
            </w:pPr>
            <w:bookmarkStart w:id="2" w:name="_GoBack" w:colFirst="1" w:colLast="1"/>
            <w:r w:rsidRPr="006D1FD1">
              <w:rPr>
                <w:rFonts w:ascii="Arial" w:hAnsi="Arial" w:cs="Arial"/>
                <w:sz w:val="22"/>
                <w:szCs w:val="22"/>
              </w:rPr>
              <w:t xml:space="preserve">No utility benefit for </w:t>
            </w:r>
            <w:proofErr w:type="spellStart"/>
            <w:r w:rsidRPr="006D1FD1">
              <w:rPr>
                <w:rFonts w:ascii="Arial" w:hAnsi="Arial" w:cs="Arial"/>
                <w:sz w:val="22"/>
                <w:szCs w:val="22"/>
              </w:rPr>
              <w:t>erlotinib</w:t>
            </w:r>
            <w:proofErr w:type="spellEnd"/>
            <w:r w:rsidRPr="006D1FD1">
              <w:rPr>
                <w:rFonts w:ascii="Arial" w:hAnsi="Arial" w:cs="Arial"/>
                <w:sz w:val="22"/>
                <w:szCs w:val="22"/>
              </w:rPr>
              <w:t xml:space="preserve"> arm and using the utilities for patients receiving 3</w:t>
            </w:r>
            <w:r w:rsidRPr="006D1FD1">
              <w:rPr>
                <w:rFonts w:ascii="Arial" w:hAnsi="Arial" w:cs="Arial"/>
                <w:sz w:val="22"/>
                <w:szCs w:val="22"/>
                <w:vertAlign w:val="superscript"/>
              </w:rPr>
              <w:t>rd</w:t>
            </w:r>
            <w:r w:rsidRPr="006D1FD1">
              <w:rPr>
                <w:rFonts w:ascii="Arial" w:hAnsi="Arial" w:cs="Arial"/>
                <w:sz w:val="22"/>
                <w:szCs w:val="22"/>
              </w:rPr>
              <w:t>/4</w:t>
            </w:r>
            <w:r w:rsidRPr="006D1FD1">
              <w:rPr>
                <w:rFonts w:ascii="Arial" w:hAnsi="Arial" w:cs="Arial"/>
                <w:sz w:val="22"/>
                <w:szCs w:val="22"/>
                <w:vertAlign w:val="superscript"/>
              </w:rPr>
              <w:t>th</w:t>
            </w:r>
            <w:r w:rsidRPr="006D1FD1">
              <w:rPr>
                <w:rFonts w:ascii="Arial" w:hAnsi="Arial" w:cs="Arial"/>
                <w:sz w:val="22"/>
                <w:szCs w:val="22"/>
              </w:rPr>
              <w:t xml:space="preserve"> line treatment reported in </w:t>
            </w:r>
            <w:proofErr w:type="spellStart"/>
            <w:r w:rsidRPr="006D1FD1">
              <w:rPr>
                <w:rFonts w:ascii="Arial" w:hAnsi="Arial" w:cs="Arial"/>
                <w:sz w:val="22"/>
                <w:szCs w:val="22"/>
              </w:rPr>
              <w:t>Chouaid</w:t>
            </w:r>
            <w:proofErr w:type="spellEnd"/>
            <w:r w:rsidRPr="006D1FD1">
              <w:rPr>
                <w:rFonts w:ascii="Arial" w:hAnsi="Arial" w:cs="Arial"/>
                <w:sz w:val="22"/>
                <w:szCs w:val="22"/>
              </w:rPr>
              <w:t xml:space="preserve"> (2013)</w:t>
            </w:r>
          </w:p>
        </w:tc>
        <w:tc>
          <w:tcPr>
            <w:tcW w:w="141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c>
          <w:tcPr>
            <w:tcW w:w="1418"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center"/>
              <w:rPr>
                <w:rFonts w:ascii="Arial" w:hAnsi="Arial" w:cs="Arial"/>
                <w:sz w:val="22"/>
                <w:szCs w:val="22"/>
                <w:highlight w:val="black"/>
              </w:rPr>
            </w:pPr>
            <w:r>
              <w:rPr>
                <w:rFonts w:ascii="Arial" w:hAnsi="Arial" w:cs="Arial"/>
                <w:noProof/>
                <w:color w:val="000000"/>
                <w:sz w:val="22"/>
                <w:szCs w:val="22"/>
                <w:highlight w:val="black"/>
              </w:rPr>
              <w:t>'''''''''''''</w:t>
            </w:r>
          </w:p>
        </w:tc>
        <w:tc>
          <w:tcPr>
            <w:tcW w:w="140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r>
      <w:bookmarkEnd w:id="2"/>
      <w:tr w:rsidR="006D1FD1" w:rsidRPr="006D1FD1" w:rsidTr="006D1FD1">
        <w:trPr>
          <w:cantSplit/>
        </w:trPr>
        <w:tc>
          <w:tcPr>
            <w:tcW w:w="4111"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rPr>
                <w:rFonts w:ascii="Arial" w:hAnsi="Arial" w:cs="Arial"/>
                <w:sz w:val="22"/>
                <w:szCs w:val="22"/>
              </w:rPr>
            </w:pPr>
            <w:r w:rsidRPr="006D1FD1">
              <w:rPr>
                <w:rFonts w:ascii="Arial" w:hAnsi="Arial" w:cs="Arial"/>
                <w:sz w:val="22"/>
                <w:szCs w:val="22"/>
              </w:rPr>
              <w:t>14% hospitalised/month in the progression-free state (half of the post-progression state)</w:t>
            </w:r>
          </w:p>
        </w:tc>
        <w:tc>
          <w:tcPr>
            <w:tcW w:w="1417"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jc w:val="right"/>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jc w:val="center"/>
              <w:rPr>
                <w:rFonts w:ascii="Arial" w:hAnsi="Arial" w:cs="Arial"/>
                <w:sz w:val="22"/>
                <w:szCs w:val="22"/>
              </w:rPr>
            </w:pPr>
          </w:p>
        </w:tc>
        <w:tc>
          <w:tcPr>
            <w:tcW w:w="140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r>
      <w:tr w:rsidR="006D1FD1" w:rsidRPr="006D1FD1" w:rsidTr="006D1FD1">
        <w:trPr>
          <w:cantSplit/>
        </w:trPr>
        <w:tc>
          <w:tcPr>
            <w:tcW w:w="4111" w:type="dxa"/>
            <w:tcBorders>
              <w:top w:val="single" w:sz="4" w:space="0" w:color="auto"/>
              <w:left w:val="single" w:sz="4" w:space="0" w:color="auto"/>
              <w:bottom w:val="single" w:sz="4" w:space="0" w:color="auto"/>
              <w:right w:val="single" w:sz="4" w:space="0" w:color="auto"/>
            </w:tcBorders>
          </w:tcPr>
          <w:p w:rsidR="006D1FD1" w:rsidRPr="006D1FD1" w:rsidRDefault="006D1FD1" w:rsidP="006B18AD">
            <w:pPr>
              <w:spacing w:after="300"/>
              <w:contextualSpacing/>
              <w:rPr>
                <w:rFonts w:ascii="Arial" w:hAnsi="Arial" w:cs="Arial"/>
                <w:sz w:val="22"/>
                <w:szCs w:val="22"/>
              </w:rPr>
            </w:pPr>
            <w:r w:rsidRPr="006D1FD1">
              <w:rPr>
                <w:rFonts w:ascii="Arial" w:hAnsi="Arial" w:cs="Arial"/>
                <w:sz w:val="22"/>
                <w:szCs w:val="22"/>
              </w:rPr>
              <w:t>0.68 utility and 14% hospitalised/month for progression-free; 0.53 utility for post-progression</w:t>
            </w:r>
          </w:p>
        </w:tc>
        <w:tc>
          <w:tcPr>
            <w:tcW w:w="1417"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jc w:val="right"/>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jc w:val="center"/>
              <w:rPr>
                <w:rFonts w:ascii="Arial" w:hAnsi="Arial" w:cs="Arial"/>
                <w:sz w:val="22"/>
                <w:szCs w:val="22"/>
              </w:rPr>
            </w:pPr>
          </w:p>
        </w:tc>
        <w:tc>
          <w:tcPr>
            <w:tcW w:w="140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r>
      <w:tr w:rsidR="006D1FD1" w:rsidRPr="006D1FD1" w:rsidTr="006D1FD1">
        <w:trPr>
          <w:cantSplit/>
        </w:trPr>
        <w:tc>
          <w:tcPr>
            <w:tcW w:w="4111"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rPr>
                <w:rFonts w:ascii="Arial" w:hAnsi="Arial" w:cs="Arial"/>
                <w:sz w:val="22"/>
                <w:szCs w:val="22"/>
              </w:rPr>
            </w:pPr>
            <w:r w:rsidRPr="006D1FD1">
              <w:rPr>
                <w:rFonts w:ascii="Arial" w:hAnsi="Arial" w:cs="Arial"/>
                <w:sz w:val="22"/>
                <w:szCs w:val="22"/>
              </w:rPr>
              <w:t xml:space="preserve">As for previous AND reduce </w:t>
            </w:r>
            <w:proofErr w:type="spellStart"/>
            <w:r w:rsidRPr="006D1FD1">
              <w:rPr>
                <w:rFonts w:ascii="Arial" w:hAnsi="Arial" w:cs="Arial"/>
                <w:sz w:val="22"/>
                <w:szCs w:val="22"/>
              </w:rPr>
              <w:t>erlotinib</w:t>
            </w:r>
            <w:proofErr w:type="spellEnd"/>
            <w:r w:rsidRPr="006D1FD1">
              <w:rPr>
                <w:rFonts w:ascii="Arial" w:hAnsi="Arial" w:cs="Arial"/>
                <w:sz w:val="22"/>
                <w:szCs w:val="22"/>
              </w:rPr>
              <w:t xml:space="preserve"> price by 95%</w:t>
            </w:r>
          </w:p>
        </w:tc>
        <w:tc>
          <w:tcPr>
            <w:tcW w:w="1417"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jc w:val="right"/>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6D1FD1" w:rsidRPr="006D1FD1" w:rsidRDefault="006D1FD1" w:rsidP="006D1FD1">
            <w:pPr>
              <w:spacing w:after="300"/>
              <w:contextualSpacing/>
              <w:jc w:val="center"/>
              <w:rPr>
                <w:rFonts w:ascii="Arial" w:hAnsi="Arial" w:cs="Arial"/>
                <w:sz w:val="22"/>
                <w:szCs w:val="22"/>
              </w:rPr>
            </w:pPr>
          </w:p>
        </w:tc>
        <w:tc>
          <w:tcPr>
            <w:tcW w:w="1407" w:type="dxa"/>
            <w:tcBorders>
              <w:top w:val="single" w:sz="4" w:space="0" w:color="auto"/>
              <w:left w:val="single" w:sz="4" w:space="0" w:color="auto"/>
              <w:bottom w:val="single" w:sz="4" w:space="0" w:color="auto"/>
              <w:right w:val="single" w:sz="4" w:space="0" w:color="auto"/>
            </w:tcBorders>
          </w:tcPr>
          <w:p w:rsidR="006D1FD1" w:rsidRPr="00AE4FBD" w:rsidRDefault="00AE4FBD" w:rsidP="006D1FD1">
            <w:pPr>
              <w:spacing w:after="300"/>
              <w:contextualSpacing/>
              <w:jc w:val="right"/>
              <w:rPr>
                <w:rFonts w:ascii="Arial" w:hAnsi="Arial" w:cs="Arial"/>
                <w:sz w:val="22"/>
                <w:szCs w:val="22"/>
                <w:highlight w:val="black"/>
              </w:rPr>
            </w:pPr>
            <w:r>
              <w:rPr>
                <w:rFonts w:ascii="Arial" w:hAnsi="Arial" w:cs="Arial"/>
                <w:noProof/>
                <w:color w:val="000000"/>
                <w:sz w:val="22"/>
                <w:szCs w:val="22"/>
                <w:highlight w:val="black"/>
              </w:rPr>
              <w:t>'''''''''''''''''''''''</w:t>
            </w:r>
          </w:p>
        </w:tc>
      </w:tr>
    </w:tbl>
    <w:p w:rsidR="006D1FD1" w:rsidRPr="00AE4FBD" w:rsidRDefault="00AE4FBD" w:rsidP="006B18AD">
      <w:pPr>
        <w:ind w:left="709"/>
        <w:rPr>
          <w:rFonts w:ascii="Arial" w:hAnsi="Arial" w:cs="Arial"/>
          <w:sz w:val="16"/>
          <w:szCs w:val="16"/>
          <w:highlight w:val="black"/>
        </w:rPr>
      </w:pPr>
      <w:r>
        <w:rPr>
          <w:rFonts w:ascii="Arial" w:hAnsi="Arial" w:cs="Arial"/>
          <w:noProof/>
          <w:color w:val="000000"/>
          <w:sz w:val="16"/>
          <w:szCs w:val="16"/>
          <w:highlight w:val="black"/>
        </w:rPr>
        <w:t>'''''''''' ''''' ''''''''''' ''''''''''''' ''''''' ''''''''''''''''''''''''''''' ''''''''''''' ''''''''''''''''''''' ''''''''''''''''' ''''''' ''''''''''' '''''''' '''''''''''''''''''''''''''''''''''''' '''''''''' ''''''''''''''''''''''''''' '''''''''''''' '''''''''''''' '''''''''''''' '''''' ''''''' ''''''''''''''''''''''''' ''''' ''''''''''''''''''''' '''''''''''''''''''' ''''''''' ''''''''' '''''''''' '''''''' ''''''''''''''''''''' '''' '''''''''''''' '''''''' '''''''' ''''''''''''''''' ''''''''''''''''''' '''''' ''''''''''' ''''''''' ''''' '''''''''''''''''''' ''''' '''''''''''''''''' ''''''''''''''''</w:t>
      </w:r>
    </w:p>
    <w:p w:rsidR="006D1FD1" w:rsidRPr="00AE4FBD" w:rsidRDefault="00AE4FBD" w:rsidP="006B18AD">
      <w:pPr>
        <w:ind w:left="709"/>
        <w:rPr>
          <w:rFonts w:ascii="Arial" w:hAnsi="Arial" w:cs="Arial"/>
          <w:sz w:val="16"/>
          <w:szCs w:val="16"/>
          <w:highlight w:val="black"/>
        </w:rPr>
      </w:pPr>
      <w:r>
        <w:rPr>
          <w:rFonts w:ascii="Arial" w:hAnsi="Arial" w:cs="Arial"/>
          <w:noProof/>
          <w:color w:val="000000"/>
          <w:sz w:val="16"/>
          <w:szCs w:val="16"/>
          <w:highlight w:val="black"/>
        </w:rPr>
        <w:t>''''''''''''' ''''' ''''''''''''' '''''''''''''' ''''''' '''''''''''''''''''''''''''' ''''''''''''''''''''''' ''' ''''''''' ''''''''''' ''''''''''''''' ''''''' '''''''' '''''''''''''''''' ''''''''''' ''''''''''''''''''''''''' '''''''''' '''''''' ''''''''''' ''''''''' ''''' ''''''' ''''''''''''''''''''''''''''''''''''''''' '''''''''''''''' ''''''''''''''</w:t>
      </w:r>
    </w:p>
    <w:p w:rsidR="006D1FD1" w:rsidRPr="00AE4FBD" w:rsidRDefault="00AE4FBD" w:rsidP="006B18AD">
      <w:pPr>
        <w:ind w:left="709"/>
        <w:rPr>
          <w:rFonts w:ascii="Arial" w:hAnsi="Arial" w:cs="Arial"/>
          <w:sz w:val="16"/>
          <w:szCs w:val="16"/>
          <w:highlight w:val="black"/>
        </w:rPr>
      </w:pPr>
      <w:r>
        <w:rPr>
          <w:rFonts w:ascii="Arial" w:hAnsi="Arial" w:cs="Arial"/>
          <w:noProof/>
          <w:color w:val="000000"/>
          <w:sz w:val="16"/>
          <w:szCs w:val="16"/>
          <w:highlight w:val="black"/>
        </w:rPr>
        <w:t>''''''''''''''''''' '''''''''''''''''''''' '''''''''''''''' ''''''' ''''''''''''''''''''''''' ''''''''' '''''''''''''''''''''' '''''' ''''''''''</w:t>
      </w:r>
    </w:p>
    <w:p w:rsidR="006D1FD1" w:rsidRPr="006D1FD1" w:rsidRDefault="006D1FD1" w:rsidP="006B18AD">
      <w:pPr>
        <w:ind w:left="709"/>
        <w:jc w:val="both"/>
        <w:rPr>
          <w:rFonts w:ascii="Arial" w:hAnsi="Arial"/>
          <w:sz w:val="22"/>
          <w:szCs w:val="22"/>
        </w:rPr>
      </w:pPr>
    </w:p>
    <w:p w:rsidR="001742E0" w:rsidRPr="004B2008" w:rsidRDefault="006B18AD" w:rsidP="004B2008">
      <w:pPr>
        <w:pStyle w:val="ListParagraph"/>
        <w:numPr>
          <w:ilvl w:val="0"/>
          <w:numId w:val="42"/>
        </w:numPr>
        <w:jc w:val="both"/>
        <w:rPr>
          <w:rFonts w:ascii="Arial" w:hAnsi="Arial"/>
          <w:sz w:val="22"/>
          <w:szCs w:val="22"/>
        </w:rPr>
      </w:pPr>
      <w:r>
        <w:rPr>
          <w:rFonts w:ascii="Arial" w:hAnsi="Arial"/>
          <w:sz w:val="22"/>
          <w:szCs w:val="22"/>
        </w:rPr>
        <w:t>The PBAC concluded that</w:t>
      </w:r>
      <w:r w:rsidR="001742E0">
        <w:rPr>
          <w:rFonts w:ascii="Arial" w:hAnsi="Arial"/>
          <w:sz w:val="22"/>
          <w:szCs w:val="22"/>
        </w:rPr>
        <w:t xml:space="preserve">, even </w:t>
      </w:r>
      <w:r w:rsidR="00554215">
        <w:rPr>
          <w:rFonts w:ascii="Arial" w:hAnsi="Arial"/>
          <w:sz w:val="22"/>
          <w:szCs w:val="22"/>
        </w:rPr>
        <w:t xml:space="preserve">if it </w:t>
      </w:r>
      <w:r w:rsidR="00A02FAA">
        <w:rPr>
          <w:rFonts w:ascii="Arial" w:hAnsi="Arial"/>
          <w:sz w:val="22"/>
          <w:szCs w:val="22"/>
        </w:rPr>
        <w:t xml:space="preserve">were to </w:t>
      </w:r>
      <w:r w:rsidR="001742E0" w:rsidRPr="006B18AD">
        <w:rPr>
          <w:rFonts w:ascii="Arial" w:hAnsi="Arial"/>
          <w:sz w:val="22"/>
          <w:szCs w:val="22"/>
        </w:rPr>
        <w:t xml:space="preserve">accept the </w:t>
      </w:r>
      <w:r w:rsidR="001742E0">
        <w:rPr>
          <w:rFonts w:ascii="Arial" w:hAnsi="Arial"/>
          <w:sz w:val="22"/>
          <w:szCs w:val="22"/>
        </w:rPr>
        <w:t>claimed extent of benefit from the weak clinical evidence presented,</w:t>
      </w:r>
      <w:r>
        <w:rPr>
          <w:rFonts w:ascii="Arial" w:hAnsi="Arial"/>
          <w:sz w:val="22"/>
          <w:szCs w:val="22"/>
        </w:rPr>
        <w:t xml:space="preserve"> </w:t>
      </w:r>
      <w:r w:rsidRPr="006B18AD">
        <w:rPr>
          <w:rFonts w:ascii="Arial" w:hAnsi="Arial"/>
          <w:sz w:val="22"/>
          <w:szCs w:val="22"/>
        </w:rPr>
        <w:t xml:space="preserve">the cost-effectiveness of </w:t>
      </w:r>
      <w:proofErr w:type="spellStart"/>
      <w:r w:rsidRPr="006B18AD">
        <w:rPr>
          <w:rFonts w:ascii="Arial" w:hAnsi="Arial"/>
          <w:sz w:val="22"/>
          <w:szCs w:val="22"/>
        </w:rPr>
        <w:t>erlotinib</w:t>
      </w:r>
      <w:proofErr w:type="spellEnd"/>
      <w:r w:rsidRPr="006B18AD">
        <w:rPr>
          <w:rFonts w:ascii="Arial" w:hAnsi="Arial"/>
          <w:sz w:val="22"/>
          <w:szCs w:val="22"/>
        </w:rPr>
        <w:t xml:space="preserve"> in the last-line setting </w:t>
      </w:r>
      <w:r w:rsidR="001742E0">
        <w:rPr>
          <w:rFonts w:ascii="Arial" w:hAnsi="Arial"/>
          <w:sz w:val="22"/>
          <w:szCs w:val="22"/>
        </w:rPr>
        <w:t>is likely to be reflected by a</w:t>
      </w:r>
      <w:r w:rsidR="001742E0" w:rsidRPr="006B18AD">
        <w:rPr>
          <w:rFonts w:ascii="Arial" w:hAnsi="Arial"/>
          <w:sz w:val="22"/>
          <w:szCs w:val="22"/>
        </w:rPr>
        <w:t xml:space="preserve">n ICER </w:t>
      </w:r>
      <w:r w:rsidR="00D54980">
        <w:rPr>
          <w:rFonts w:ascii="Arial" w:hAnsi="Arial"/>
          <w:sz w:val="22"/>
          <w:szCs w:val="22"/>
        </w:rPr>
        <w:t>in the range of $75,000 - $105,000/</w:t>
      </w:r>
      <w:proofErr w:type="gramStart"/>
      <w:r w:rsidR="00D54980">
        <w:rPr>
          <w:rFonts w:ascii="Arial" w:hAnsi="Arial"/>
          <w:sz w:val="22"/>
          <w:szCs w:val="22"/>
        </w:rPr>
        <w:t xml:space="preserve">QALY </w:t>
      </w:r>
      <w:r w:rsidRPr="006B18AD">
        <w:rPr>
          <w:rFonts w:ascii="Arial" w:hAnsi="Arial"/>
          <w:sz w:val="22"/>
          <w:szCs w:val="22"/>
        </w:rPr>
        <w:t>.</w:t>
      </w:r>
      <w:proofErr w:type="gramEnd"/>
      <w:r w:rsidRPr="006B18AD">
        <w:rPr>
          <w:rFonts w:ascii="Arial" w:hAnsi="Arial"/>
          <w:sz w:val="22"/>
          <w:szCs w:val="22"/>
        </w:rPr>
        <w:t xml:space="preserve"> </w:t>
      </w:r>
      <w:r w:rsidR="006265F8">
        <w:rPr>
          <w:rFonts w:ascii="Arial" w:hAnsi="Arial"/>
          <w:sz w:val="22"/>
          <w:szCs w:val="22"/>
        </w:rPr>
        <w:t xml:space="preserve"> </w:t>
      </w:r>
      <w:r w:rsidR="001742E0">
        <w:rPr>
          <w:rFonts w:ascii="Arial" w:hAnsi="Arial"/>
          <w:sz w:val="22"/>
          <w:szCs w:val="22"/>
        </w:rPr>
        <w:t xml:space="preserve">This is based on more </w:t>
      </w:r>
      <w:r w:rsidR="00440DF6">
        <w:rPr>
          <w:rFonts w:ascii="Arial" w:hAnsi="Arial"/>
          <w:sz w:val="22"/>
          <w:szCs w:val="22"/>
        </w:rPr>
        <w:t>repre</w:t>
      </w:r>
      <w:r w:rsidR="001742E0">
        <w:rPr>
          <w:rFonts w:ascii="Arial" w:hAnsi="Arial"/>
          <w:sz w:val="22"/>
          <w:szCs w:val="22"/>
        </w:rPr>
        <w:t xml:space="preserve">sentative estimates of utilities from </w:t>
      </w:r>
      <w:proofErr w:type="spellStart"/>
      <w:r w:rsidR="001742E0">
        <w:rPr>
          <w:rFonts w:ascii="Arial" w:hAnsi="Arial"/>
          <w:sz w:val="22"/>
          <w:szCs w:val="22"/>
        </w:rPr>
        <w:t>Chouaid</w:t>
      </w:r>
      <w:proofErr w:type="spellEnd"/>
      <w:r w:rsidR="001742E0">
        <w:rPr>
          <w:rFonts w:ascii="Arial" w:hAnsi="Arial"/>
          <w:sz w:val="22"/>
          <w:szCs w:val="22"/>
        </w:rPr>
        <w:t xml:space="preserve"> (2013) and avoids </w:t>
      </w:r>
      <w:r w:rsidR="00440DF6">
        <w:rPr>
          <w:rFonts w:ascii="Arial" w:hAnsi="Arial"/>
          <w:sz w:val="22"/>
          <w:szCs w:val="22"/>
        </w:rPr>
        <w:t xml:space="preserve">the model </w:t>
      </w:r>
      <w:r w:rsidR="001742E0">
        <w:rPr>
          <w:rFonts w:ascii="Arial" w:hAnsi="Arial"/>
          <w:sz w:val="22"/>
          <w:szCs w:val="22"/>
        </w:rPr>
        <w:t xml:space="preserve">double-counting both prolonged time to progression and time before deterioration of symptoms. </w:t>
      </w:r>
      <w:r w:rsidR="006265F8">
        <w:rPr>
          <w:rFonts w:ascii="Arial" w:hAnsi="Arial"/>
          <w:sz w:val="22"/>
          <w:szCs w:val="22"/>
        </w:rPr>
        <w:t xml:space="preserve"> </w:t>
      </w:r>
      <w:r w:rsidR="001742E0">
        <w:rPr>
          <w:rFonts w:ascii="Arial" w:hAnsi="Arial"/>
          <w:sz w:val="22"/>
          <w:szCs w:val="22"/>
        </w:rPr>
        <w:t>How</w:t>
      </w:r>
      <w:r w:rsidRPr="006B18AD">
        <w:rPr>
          <w:rFonts w:ascii="Arial" w:hAnsi="Arial"/>
          <w:sz w:val="22"/>
          <w:szCs w:val="22"/>
        </w:rPr>
        <w:t>ever, th</w:t>
      </w:r>
      <w:r w:rsidR="00440DF6">
        <w:rPr>
          <w:rFonts w:ascii="Arial" w:hAnsi="Arial"/>
          <w:sz w:val="22"/>
          <w:szCs w:val="22"/>
        </w:rPr>
        <w:t>e</w:t>
      </w:r>
      <w:r w:rsidRPr="006B18AD">
        <w:rPr>
          <w:rFonts w:ascii="Arial" w:hAnsi="Arial"/>
          <w:sz w:val="22"/>
          <w:szCs w:val="22"/>
        </w:rPr>
        <w:t xml:space="preserve"> re-calculated </w:t>
      </w:r>
      <w:proofErr w:type="gramStart"/>
      <w:r w:rsidRPr="006B18AD">
        <w:rPr>
          <w:rFonts w:ascii="Arial" w:hAnsi="Arial"/>
          <w:sz w:val="22"/>
          <w:szCs w:val="22"/>
        </w:rPr>
        <w:t xml:space="preserve">ICER </w:t>
      </w:r>
      <w:r w:rsidR="001632F1">
        <w:rPr>
          <w:rFonts w:ascii="Arial" w:hAnsi="Arial"/>
          <w:sz w:val="22"/>
          <w:szCs w:val="22"/>
        </w:rPr>
        <w:t xml:space="preserve"> of</w:t>
      </w:r>
      <w:proofErr w:type="gramEnd"/>
      <w:r w:rsidR="001632F1">
        <w:rPr>
          <w:rFonts w:ascii="Arial" w:hAnsi="Arial"/>
          <w:sz w:val="22"/>
          <w:szCs w:val="22"/>
        </w:rPr>
        <w:t xml:space="preserve"> between $75,000 and $105,000 </w:t>
      </w:r>
      <w:r w:rsidRPr="006B18AD">
        <w:rPr>
          <w:rFonts w:ascii="Arial" w:hAnsi="Arial"/>
          <w:sz w:val="22"/>
          <w:szCs w:val="22"/>
        </w:rPr>
        <w:t xml:space="preserve">still does not consider a disutility associated with </w:t>
      </w:r>
      <w:proofErr w:type="spellStart"/>
      <w:r w:rsidRPr="006B18AD">
        <w:rPr>
          <w:rFonts w:ascii="Arial" w:hAnsi="Arial"/>
          <w:sz w:val="22"/>
          <w:szCs w:val="22"/>
        </w:rPr>
        <w:t>erlotinib</w:t>
      </w:r>
      <w:proofErr w:type="spellEnd"/>
      <w:r w:rsidRPr="006B18AD">
        <w:rPr>
          <w:rFonts w:ascii="Arial" w:hAnsi="Arial"/>
          <w:sz w:val="22"/>
          <w:szCs w:val="22"/>
        </w:rPr>
        <w:t>-related adverse events</w:t>
      </w:r>
      <w:r w:rsidR="00554215" w:rsidRPr="006265F8">
        <w:rPr>
          <w:rFonts w:ascii="Arial" w:hAnsi="Arial"/>
          <w:sz w:val="22"/>
          <w:szCs w:val="22"/>
        </w:rPr>
        <w:t xml:space="preserve">, which did not reflect the committee’s conclusion about the less favourable harm profile for </w:t>
      </w:r>
      <w:proofErr w:type="spellStart"/>
      <w:r w:rsidR="00554215" w:rsidRPr="006265F8">
        <w:rPr>
          <w:rFonts w:ascii="Arial" w:hAnsi="Arial"/>
          <w:sz w:val="22"/>
          <w:szCs w:val="22"/>
        </w:rPr>
        <w:t>erlotinib</w:t>
      </w:r>
      <w:proofErr w:type="spellEnd"/>
      <w:r w:rsidR="00554215" w:rsidRPr="006265F8">
        <w:rPr>
          <w:rFonts w:ascii="Arial" w:hAnsi="Arial"/>
          <w:sz w:val="22"/>
          <w:szCs w:val="22"/>
        </w:rPr>
        <w:t xml:space="preserve"> than BSC</w:t>
      </w:r>
      <w:r w:rsidRPr="006265F8">
        <w:rPr>
          <w:rFonts w:ascii="Arial" w:hAnsi="Arial"/>
          <w:sz w:val="22"/>
          <w:szCs w:val="22"/>
        </w:rPr>
        <w:t>.</w:t>
      </w:r>
      <w:r w:rsidR="00A02FAA" w:rsidRPr="006265F8">
        <w:rPr>
          <w:rFonts w:ascii="Arial" w:hAnsi="Arial"/>
          <w:sz w:val="22"/>
          <w:szCs w:val="22"/>
        </w:rPr>
        <w:t xml:space="preserve"> </w:t>
      </w:r>
      <w:r w:rsidRPr="006265F8">
        <w:rPr>
          <w:rFonts w:ascii="Arial" w:hAnsi="Arial"/>
          <w:sz w:val="22"/>
          <w:szCs w:val="22"/>
        </w:rPr>
        <w:t>Therefore, the best estimate of the ICER is likely to be even less favourable. In</w:t>
      </w:r>
      <w:r w:rsidRPr="006B18AD">
        <w:rPr>
          <w:rFonts w:ascii="Arial" w:hAnsi="Arial"/>
          <w:sz w:val="22"/>
          <w:szCs w:val="22"/>
        </w:rPr>
        <w:t xml:space="preserve"> addition, adjusting for the weak basis of the cost offset claim for hospitalisation further increase</w:t>
      </w:r>
      <w:r w:rsidR="00A02FAA">
        <w:rPr>
          <w:rFonts w:ascii="Arial" w:hAnsi="Arial"/>
          <w:sz w:val="22"/>
          <w:szCs w:val="22"/>
        </w:rPr>
        <w:t>d</w:t>
      </w:r>
      <w:r w:rsidRPr="006B18AD">
        <w:rPr>
          <w:rFonts w:ascii="Arial" w:hAnsi="Arial"/>
          <w:sz w:val="22"/>
          <w:szCs w:val="22"/>
        </w:rPr>
        <w:t xml:space="preserve"> the ICER to a new respecified base case </w:t>
      </w:r>
      <w:r w:rsidR="00C31511">
        <w:rPr>
          <w:rFonts w:ascii="Arial" w:hAnsi="Arial"/>
          <w:sz w:val="22"/>
          <w:szCs w:val="22"/>
        </w:rPr>
        <w:t>in the range $75,000 to $105,000</w:t>
      </w:r>
      <w:r w:rsidR="00A02FAA">
        <w:rPr>
          <w:rFonts w:ascii="Arial" w:hAnsi="Arial"/>
          <w:sz w:val="22"/>
          <w:szCs w:val="22"/>
        </w:rPr>
        <w:t>/</w:t>
      </w:r>
      <w:r w:rsidR="000D0CA3">
        <w:rPr>
          <w:rFonts w:ascii="Arial" w:hAnsi="Arial"/>
          <w:sz w:val="22"/>
          <w:szCs w:val="22"/>
        </w:rPr>
        <w:t>QALY</w:t>
      </w:r>
      <w:r w:rsidR="00C2640B">
        <w:rPr>
          <w:rFonts w:ascii="Arial" w:hAnsi="Arial"/>
          <w:sz w:val="22"/>
          <w:szCs w:val="22"/>
        </w:rPr>
        <w:t>.</w:t>
      </w:r>
    </w:p>
    <w:p w:rsidR="00F57A6D" w:rsidRPr="00882085" w:rsidRDefault="00F57A6D" w:rsidP="00440DF6">
      <w:pPr>
        <w:ind w:left="709"/>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097EBF" w:rsidRDefault="005A3173" w:rsidP="00440DF6">
      <w:pPr>
        <w:ind w:left="709"/>
        <w:jc w:val="both"/>
        <w:rPr>
          <w:rFonts w:ascii="Arial" w:hAnsi="Arial"/>
          <w:sz w:val="22"/>
          <w:szCs w:val="22"/>
        </w:rPr>
      </w:pPr>
    </w:p>
    <w:p w:rsidR="00614159" w:rsidRDefault="001742E0" w:rsidP="00882085">
      <w:pPr>
        <w:pStyle w:val="ListParagraph"/>
        <w:numPr>
          <w:ilvl w:val="1"/>
          <w:numId w:val="26"/>
        </w:numPr>
        <w:ind w:left="709" w:hanging="709"/>
        <w:jc w:val="both"/>
        <w:rPr>
          <w:rFonts w:ascii="Arial" w:hAnsi="Arial"/>
          <w:sz w:val="22"/>
          <w:szCs w:val="22"/>
        </w:rPr>
      </w:pPr>
      <w:r>
        <w:rPr>
          <w:rFonts w:ascii="Arial" w:hAnsi="Arial"/>
          <w:sz w:val="22"/>
          <w:szCs w:val="22"/>
        </w:rPr>
        <w:t>No estimate was provided of the financial implications of not retaining this particular restriction.</w:t>
      </w:r>
    </w:p>
    <w:p w:rsidR="00C9099B" w:rsidRPr="00882085" w:rsidRDefault="00C9099B" w:rsidP="00C9099B">
      <w:pPr>
        <w:pStyle w:val="ListParagraph"/>
        <w:ind w:left="709"/>
        <w:jc w:val="both"/>
        <w:rPr>
          <w:rFonts w:ascii="Arial" w:hAnsi="Arial"/>
          <w:sz w:val="22"/>
          <w:szCs w:val="22"/>
        </w:rPr>
      </w:pPr>
    </w:p>
    <w:p w:rsidR="00326E79" w:rsidRPr="00882085" w:rsidRDefault="00A62C1A" w:rsidP="00882085">
      <w:pPr>
        <w:pStyle w:val="ListParagraph"/>
        <w:numPr>
          <w:ilvl w:val="0"/>
          <w:numId w:val="26"/>
        </w:numPr>
        <w:jc w:val="both"/>
        <w:rPr>
          <w:rFonts w:ascii="Arial" w:hAnsi="Arial"/>
          <w:b/>
          <w:sz w:val="22"/>
          <w:szCs w:val="22"/>
        </w:rPr>
      </w:pPr>
      <w:r w:rsidRPr="00882085">
        <w:rPr>
          <w:rFonts w:ascii="Arial" w:hAnsi="Arial"/>
          <w:b/>
          <w:sz w:val="22"/>
          <w:szCs w:val="22"/>
        </w:rPr>
        <w:t xml:space="preserve">PBAC </w:t>
      </w:r>
      <w:r w:rsidR="00097EBF" w:rsidRPr="00882085">
        <w:rPr>
          <w:rFonts w:ascii="Arial" w:hAnsi="Arial"/>
          <w:b/>
          <w:sz w:val="22"/>
          <w:szCs w:val="22"/>
        </w:rPr>
        <w:t>o</w:t>
      </w:r>
      <w:r w:rsidR="00930937" w:rsidRPr="00882085">
        <w:rPr>
          <w:rFonts w:ascii="Arial" w:hAnsi="Arial"/>
          <w:b/>
          <w:sz w:val="22"/>
          <w:szCs w:val="22"/>
        </w:rPr>
        <w:t>utcome</w:t>
      </w:r>
    </w:p>
    <w:p w:rsidR="00B43E90" w:rsidRPr="00097EBF" w:rsidRDefault="00B43E90" w:rsidP="00440DF6">
      <w:pPr>
        <w:ind w:left="709"/>
        <w:jc w:val="both"/>
        <w:rPr>
          <w:rFonts w:ascii="Arial" w:hAnsi="Arial"/>
          <w:sz w:val="22"/>
          <w:szCs w:val="22"/>
        </w:rPr>
      </w:pPr>
    </w:p>
    <w:p w:rsidR="00FA6055" w:rsidRPr="00147CDF" w:rsidRDefault="00A85921" w:rsidP="00882085">
      <w:pPr>
        <w:pStyle w:val="ListParagraph"/>
        <w:numPr>
          <w:ilvl w:val="1"/>
          <w:numId w:val="26"/>
        </w:numPr>
        <w:ind w:left="709" w:hanging="709"/>
        <w:jc w:val="both"/>
        <w:rPr>
          <w:rFonts w:ascii="Arial" w:hAnsi="Arial"/>
          <w:sz w:val="22"/>
          <w:szCs w:val="22"/>
        </w:rPr>
      </w:pPr>
      <w:r w:rsidRPr="00147CDF">
        <w:rPr>
          <w:rFonts w:ascii="Arial" w:hAnsi="Arial"/>
          <w:sz w:val="22"/>
          <w:szCs w:val="22"/>
        </w:rPr>
        <w:t xml:space="preserve">The PBAC rejected the submission and recommended the deletion of the current last-line </w:t>
      </w:r>
      <w:r w:rsidR="0023522D">
        <w:rPr>
          <w:rFonts w:ascii="Arial" w:hAnsi="Arial"/>
          <w:sz w:val="22"/>
          <w:szCs w:val="22"/>
        </w:rPr>
        <w:t xml:space="preserve">PBS </w:t>
      </w:r>
      <w:r w:rsidRPr="00147CDF">
        <w:rPr>
          <w:rFonts w:ascii="Arial" w:hAnsi="Arial"/>
          <w:sz w:val="22"/>
          <w:szCs w:val="22"/>
        </w:rPr>
        <w:t xml:space="preserve">restriction of </w:t>
      </w:r>
      <w:proofErr w:type="spellStart"/>
      <w:r w:rsidRPr="00147CDF">
        <w:rPr>
          <w:rFonts w:ascii="Arial" w:hAnsi="Arial"/>
          <w:sz w:val="22"/>
          <w:szCs w:val="22"/>
        </w:rPr>
        <w:t>erlotinib</w:t>
      </w:r>
      <w:proofErr w:type="spellEnd"/>
      <w:r w:rsidRPr="00147CDF">
        <w:rPr>
          <w:rFonts w:ascii="Arial" w:hAnsi="Arial"/>
          <w:sz w:val="22"/>
          <w:szCs w:val="22"/>
        </w:rPr>
        <w:t xml:space="preserve"> because </w:t>
      </w:r>
      <w:r w:rsidR="003F55E5" w:rsidRPr="00147CDF">
        <w:rPr>
          <w:rFonts w:ascii="Arial" w:hAnsi="Arial"/>
          <w:sz w:val="22"/>
          <w:szCs w:val="22"/>
        </w:rPr>
        <w:t>of uncertain net clinical benefit and unacceptable cost-effectiveness</w:t>
      </w:r>
      <w:r w:rsidR="00FA6055" w:rsidRPr="00147CDF">
        <w:rPr>
          <w:rFonts w:ascii="Arial" w:hAnsi="Arial"/>
          <w:sz w:val="22"/>
          <w:szCs w:val="22"/>
        </w:rPr>
        <w:t>.</w:t>
      </w:r>
    </w:p>
    <w:p w:rsidR="00FA6055" w:rsidRPr="00147CDF" w:rsidRDefault="00FA6055" w:rsidP="00882085">
      <w:pPr>
        <w:pStyle w:val="ListParagraph"/>
        <w:ind w:left="709"/>
        <w:jc w:val="both"/>
        <w:rPr>
          <w:rFonts w:ascii="Arial" w:hAnsi="Arial"/>
          <w:sz w:val="22"/>
          <w:szCs w:val="22"/>
        </w:rPr>
      </w:pPr>
    </w:p>
    <w:p w:rsidR="00D45C9E" w:rsidRPr="00147CDF" w:rsidRDefault="00D45C9E" w:rsidP="00882085">
      <w:pPr>
        <w:pStyle w:val="ListParagraph"/>
        <w:numPr>
          <w:ilvl w:val="1"/>
          <w:numId w:val="26"/>
        </w:numPr>
        <w:ind w:left="709" w:hanging="709"/>
        <w:jc w:val="both"/>
        <w:rPr>
          <w:rFonts w:ascii="Arial" w:hAnsi="Arial"/>
          <w:sz w:val="22"/>
          <w:szCs w:val="22"/>
        </w:rPr>
      </w:pPr>
      <w:r w:rsidRPr="00147CDF">
        <w:rPr>
          <w:rFonts w:ascii="Arial" w:hAnsi="Arial"/>
          <w:sz w:val="22"/>
          <w:szCs w:val="22"/>
        </w:rPr>
        <w:t xml:space="preserve">The PBAC </w:t>
      </w:r>
      <w:r w:rsidR="00147CDF" w:rsidRPr="00147CDF">
        <w:rPr>
          <w:rFonts w:ascii="Arial" w:hAnsi="Arial"/>
          <w:sz w:val="22"/>
          <w:szCs w:val="22"/>
        </w:rPr>
        <w:t xml:space="preserve">recalled that it had requested </w:t>
      </w:r>
      <w:r w:rsidRPr="00147CDF">
        <w:rPr>
          <w:rFonts w:ascii="Arial" w:hAnsi="Arial"/>
          <w:sz w:val="22"/>
          <w:szCs w:val="22"/>
        </w:rPr>
        <w:t xml:space="preserve">the submission </w:t>
      </w:r>
      <w:r w:rsidR="00147CDF" w:rsidRPr="00147CDF">
        <w:rPr>
          <w:rFonts w:ascii="Arial" w:hAnsi="Arial"/>
          <w:sz w:val="22"/>
          <w:szCs w:val="22"/>
        </w:rPr>
        <w:t xml:space="preserve">in order to decide whether the evidence available supported the tighter last-line PBS restriction implemented following its out-of-session recommendation in late 2013 to list </w:t>
      </w:r>
      <w:proofErr w:type="spellStart"/>
      <w:r w:rsidR="00147CDF" w:rsidRPr="00147CDF">
        <w:rPr>
          <w:rFonts w:ascii="Arial" w:hAnsi="Arial"/>
          <w:sz w:val="22"/>
          <w:szCs w:val="22"/>
        </w:rPr>
        <w:t>erlotinib</w:t>
      </w:r>
      <w:proofErr w:type="spellEnd"/>
      <w:r w:rsidR="00147CDF" w:rsidRPr="00147CDF">
        <w:rPr>
          <w:rFonts w:ascii="Arial" w:hAnsi="Arial"/>
          <w:sz w:val="22"/>
          <w:szCs w:val="22"/>
        </w:rPr>
        <w:t xml:space="preserve"> in the PBS for </w:t>
      </w:r>
      <w:r w:rsidR="00147CDF" w:rsidRPr="00147CDF">
        <w:rPr>
          <w:rFonts w:ascii="Arial" w:hAnsi="Arial"/>
          <w:sz w:val="22"/>
          <w:szCs w:val="22"/>
        </w:rPr>
        <w:lastRenderedPageBreak/>
        <w:t xml:space="preserve">patients with advanced NSCLC and an EGFR mutation without defining </w:t>
      </w:r>
      <w:r w:rsidR="000D0CA3">
        <w:rPr>
          <w:rFonts w:ascii="Arial" w:hAnsi="Arial"/>
          <w:sz w:val="22"/>
          <w:szCs w:val="22"/>
        </w:rPr>
        <w:t xml:space="preserve">in </w:t>
      </w:r>
      <w:r w:rsidR="00147CDF" w:rsidRPr="00147CDF">
        <w:rPr>
          <w:rFonts w:ascii="Arial" w:hAnsi="Arial"/>
          <w:sz w:val="22"/>
          <w:szCs w:val="22"/>
        </w:rPr>
        <w:t>which line of therapy it should be used. The PBAC accepted that the appropriate comparator was best supportive care (BSC) in the tighter last-line restriction.</w:t>
      </w:r>
    </w:p>
    <w:p w:rsidR="00D45C9E" w:rsidRPr="00147CDF" w:rsidRDefault="00D45C9E" w:rsidP="00D45C9E">
      <w:pPr>
        <w:pStyle w:val="ListParagraph"/>
        <w:rPr>
          <w:rFonts w:ascii="Arial" w:hAnsi="Arial"/>
          <w:sz w:val="22"/>
          <w:szCs w:val="22"/>
        </w:rPr>
      </w:pPr>
    </w:p>
    <w:p w:rsidR="00D45C9E" w:rsidRPr="0023522D" w:rsidRDefault="003F55E5" w:rsidP="00882085">
      <w:pPr>
        <w:pStyle w:val="ListParagraph"/>
        <w:numPr>
          <w:ilvl w:val="1"/>
          <w:numId w:val="26"/>
        </w:numPr>
        <w:ind w:left="709" w:hanging="709"/>
        <w:jc w:val="both"/>
        <w:rPr>
          <w:rFonts w:ascii="Arial" w:hAnsi="Arial"/>
          <w:sz w:val="22"/>
          <w:szCs w:val="22"/>
        </w:rPr>
      </w:pPr>
      <w:r w:rsidRPr="00147CDF">
        <w:rPr>
          <w:rFonts w:ascii="Arial" w:hAnsi="Arial"/>
          <w:sz w:val="22"/>
          <w:szCs w:val="22"/>
        </w:rPr>
        <w:t xml:space="preserve">The PBAC considered that the primary source of evidence presented (the BR.21 trial and various post hoc subgroup analyses) did not represent patients in modern day clinical practice and tended to overestimate the extent of benefit by failing to adequately exclude patients with EGFR mutation positive tumours. The PBAC </w:t>
      </w:r>
      <w:r w:rsidRPr="00DD4835">
        <w:rPr>
          <w:rFonts w:ascii="Arial" w:hAnsi="Arial"/>
          <w:sz w:val="22"/>
          <w:szCs w:val="22"/>
        </w:rPr>
        <w:t xml:space="preserve">considered that the </w:t>
      </w:r>
      <w:r>
        <w:rPr>
          <w:rFonts w:ascii="Arial" w:hAnsi="Arial"/>
          <w:sz w:val="22"/>
          <w:szCs w:val="22"/>
        </w:rPr>
        <w:t xml:space="preserve">estimated </w:t>
      </w:r>
      <w:r w:rsidRPr="00DD4835">
        <w:rPr>
          <w:rFonts w:ascii="Arial" w:hAnsi="Arial"/>
          <w:sz w:val="22"/>
          <w:szCs w:val="22"/>
        </w:rPr>
        <w:t xml:space="preserve">extent of benefit </w:t>
      </w:r>
      <w:r>
        <w:rPr>
          <w:rFonts w:ascii="Arial" w:hAnsi="Arial"/>
          <w:sz w:val="22"/>
          <w:szCs w:val="22"/>
        </w:rPr>
        <w:t xml:space="preserve">of </w:t>
      </w:r>
      <w:proofErr w:type="spellStart"/>
      <w:r>
        <w:rPr>
          <w:rFonts w:ascii="Arial" w:hAnsi="Arial"/>
          <w:sz w:val="22"/>
          <w:szCs w:val="22"/>
        </w:rPr>
        <w:t>erlotinib</w:t>
      </w:r>
      <w:proofErr w:type="spellEnd"/>
      <w:r>
        <w:rPr>
          <w:rFonts w:ascii="Arial" w:hAnsi="Arial"/>
          <w:sz w:val="22"/>
          <w:szCs w:val="22"/>
        </w:rPr>
        <w:t xml:space="preserve"> </w:t>
      </w:r>
      <w:r w:rsidRPr="00DD4835">
        <w:rPr>
          <w:rFonts w:ascii="Arial" w:hAnsi="Arial"/>
          <w:sz w:val="22"/>
          <w:szCs w:val="22"/>
        </w:rPr>
        <w:t>over BSC</w:t>
      </w:r>
      <w:r>
        <w:rPr>
          <w:rFonts w:ascii="Arial" w:hAnsi="Arial"/>
          <w:sz w:val="22"/>
          <w:szCs w:val="22"/>
        </w:rPr>
        <w:t xml:space="preserve"> in BR.21</w:t>
      </w:r>
      <w:r w:rsidRPr="00DD4835">
        <w:rPr>
          <w:rFonts w:ascii="Arial" w:hAnsi="Arial"/>
          <w:sz w:val="22"/>
          <w:szCs w:val="22"/>
        </w:rPr>
        <w:t xml:space="preserve">, with a median PFS gain of 0.4 months, truncated mean PFS gain of </w:t>
      </w:r>
      <w:r w:rsidR="00AE4FBD">
        <w:rPr>
          <w:rFonts w:ascii="Arial" w:hAnsi="Arial"/>
          <w:noProof/>
          <w:color w:val="000000"/>
          <w:sz w:val="22"/>
          <w:szCs w:val="22"/>
          <w:highlight w:val="black"/>
        </w:rPr>
        <w:t>'''''''</w:t>
      </w:r>
      <w:r w:rsidRPr="00DD4835">
        <w:rPr>
          <w:rFonts w:ascii="Arial" w:hAnsi="Arial"/>
          <w:sz w:val="22"/>
          <w:szCs w:val="22"/>
        </w:rPr>
        <w:t xml:space="preserve"> months, and overall survival gain of </w:t>
      </w:r>
      <w:r w:rsidR="00A91F8E">
        <w:rPr>
          <w:rFonts w:ascii="Arial" w:hAnsi="Arial"/>
          <w:sz w:val="22"/>
          <w:szCs w:val="22"/>
        </w:rPr>
        <w:t xml:space="preserve">up </w:t>
      </w:r>
      <w:r w:rsidRPr="00DD4835">
        <w:rPr>
          <w:rFonts w:ascii="Arial" w:hAnsi="Arial"/>
          <w:sz w:val="22"/>
          <w:szCs w:val="22"/>
        </w:rPr>
        <w:t>to 2 months</w:t>
      </w:r>
      <w:r>
        <w:rPr>
          <w:rFonts w:ascii="Arial" w:hAnsi="Arial"/>
          <w:sz w:val="22"/>
          <w:szCs w:val="22"/>
        </w:rPr>
        <w:t>,</w:t>
      </w:r>
      <w:r w:rsidRPr="00DD4835">
        <w:rPr>
          <w:rFonts w:ascii="Arial" w:hAnsi="Arial"/>
          <w:sz w:val="22"/>
          <w:szCs w:val="22"/>
        </w:rPr>
        <w:t xml:space="preserve"> was small. </w:t>
      </w:r>
      <w:r>
        <w:rPr>
          <w:rFonts w:ascii="Arial" w:hAnsi="Arial"/>
          <w:sz w:val="22"/>
          <w:szCs w:val="22"/>
        </w:rPr>
        <w:t xml:space="preserve">The results for time to symptom deterioration did not support a clear conclusion of improved quality of life of </w:t>
      </w:r>
      <w:proofErr w:type="spellStart"/>
      <w:r>
        <w:rPr>
          <w:rFonts w:ascii="Arial" w:hAnsi="Arial"/>
          <w:sz w:val="22"/>
          <w:szCs w:val="22"/>
        </w:rPr>
        <w:t>erlotinib</w:t>
      </w:r>
      <w:proofErr w:type="spellEnd"/>
      <w:r>
        <w:rPr>
          <w:rFonts w:ascii="Arial" w:hAnsi="Arial"/>
          <w:sz w:val="22"/>
          <w:szCs w:val="22"/>
        </w:rPr>
        <w:t xml:space="preserve"> </w:t>
      </w:r>
      <w:r w:rsidRPr="00DD4835">
        <w:rPr>
          <w:rFonts w:ascii="Arial" w:hAnsi="Arial"/>
          <w:sz w:val="22"/>
          <w:szCs w:val="22"/>
        </w:rPr>
        <w:t>over BSC</w:t>
      </w:r>
      <w:r>
        <w:rPr>
          <w:rFonts w:ascii="Arial" w:hAnsi="Arial"/>
          <w:sz w:val="22"/>
          <w:szCs w:val="22"/>
        </w:rPr>
        <w:t xml:space="preserve">. By comparison, the safety data from BR.21 demonstrated </w:t>
      </w:r>
      <w:r w:rsidR="00D45C9E">
        <w:rPr>
          <w:rFonts w:ascii="Arial" w:hAnsi="Arial"/>
          <w:sz w:val="22"/>
          <w:szCs w:val="22"/>
        </w:rPr>
        <w:t xml:space="preserve">substantially more patients experiencing adverse events following </w:t>
      </w:r>
      <w:proofErr w:type="spellStart"/>
      <w:r w:rsidR="00D45C9E">
        <w:rPr>
          <w:rFonts w:ascii="Arial" w:hAnsi="Arial"/>
          <w:sz w:val="22"/>
          <w:szCs w:val="22"/>
        </w:rPr>
        <w:t>erlotinib</w:t>
      </w:r>
      <w:proofErr w:type="spellEnd"/>
      <w:r w:rsidR="00D45C9E">
        <w:rPr>
          <w:rFonts w:ascii="Arial" w:hAnsi="Arial"/>
          <w:sz w:val="22"/>
          <w:szCs w:val="22"/>
        </w:rPr>
        <w:t xml:space="preserve"> than best supportive care, particularly for treatment-related adverse events, consistent with the known</w:t>
      </w:r>
      <w:r w:rsidR="00554215">
        <w:rPr>
          <w:rFonts w:ascii="Arial" w:hAnsi="Arial"/>
          <w:sz w:val="22"/>
          <w:szCs w:val="22"/>
        </w:rPr>
        <w:t xml:space="preserve"> toxicity profile of </w:t>
      </w:r>
      <w:proofErr w:type="spellStart"/>
      <w:r w:rsidR="00554215">
        <w:rPr>
          <w:rFonts w:ascii="Arial" w:hAnsi="Arial"/>
          <w:sz w:val="22"/>
          <w:szCs w:val="22"/>
        </w:rPr>
        <w:t>erlotinib</w:t>
      </w:r>
      <w:proofErr w:type="spellEnd"/>
      <w:r w:rsidR="00554215">
        <w:rPr>
          <w:rFonts w:ascii="Arial" w:hAnsi="Arial"/>
          <w:sz w:val="22"/>
          <w:szCs w:val="22"/>
        </w:rPr>
        <w:t>.</w:t>
      </w:r>
    </w:p>
    <w:p w:rsidR="00D45C9E" w:rsidRPr="00D45C9E" w:rsidRDefault="00D45C9E" w:rsidP="00D45C9E">
      <w:pPr>
        <w:pStyle w:val="ListParagraph"/>
        <w:ind w:left="709"/>
        <w:jc w:val="both"/>
        <w:rPr>
          <w:rFonts w:ascii="Arial" w:hAnsi="Arial"/>
          <w:i/>
          <w:sz w:val="22"/>
          <w:szCs w:val="22"/>
        </w:rPr>
      </w:pPr>
    </w:p>
    <w:p w:rsidR="00A02FAA" w:rsidRDefault="00D45C9E" w:rsidP="00882085">
      <w:pPr>
        <w:pStyle w:val="ListParagraph"/>
        <w:numPr>
          <w:ilvl w:val="1"/>
          <w:numId w:val="26"/>
        </w:numPr>
        <w:ind w:left="709" w:hanging="709"/>
        <w:jc w:val="both"/>
        <w:rPr>
          <w:rFonts w:ascii="Arial" w:hAnsi="Arial"/>
          <w:sz w:val="22"/>
          <w:szCs w:val="22"/>
        </w:rPr>
      </w:pPr>
      <w:r w:rsidRPr="00A85921">
        <w:rPr>
          <w:rFonts w:ascii="Arial" w:hAnsi="Arial"/>
          <w:sz w:val="22"/>
          <w:szCs w:val="22"/>
        </w:rPr>
        <w:t>The PBAC considered that</w:t>
      </w:r>
      <w:r>
        <w:rPr>
          <w:rFonts w:ascii="Arial" w:hAnsi="Arial"/>
          <w:sz w:val="22"/>
          <w:szCs w:val="22"/>
        </w:rPr>
        <w:t xml:space="preserve">, even </w:t>
      </w:r>
      <w:r w:rsidR="00A02FAA">
        <w:rPr>
          <w:rFonts w:ascii="Arial" w:hAnsi="Arial"/>
          <w:sz w:val="22"/>
          <w:szCs w:val="22"/>
        </w:rPr>
        <w:t xml:space="preserve">were it to </w:t>
      </w:r>
      <w:r w:rsidRPr="006B18AD">
        <w:rPr>
          <w:rFonts w:ascii="Arial" w:hAnsi="Arial"/>
          <w:sz w:val="22"/>
          <w:szCs w:val="22"/>
        </w:rPr>
        <w:t xml:space="preserve">accept the </w:t>
      </w:r>
      <w:r>
        <w:rPr>
          <w:rFonts w:ascii="Arial" w:hAnsi="Arial"/>
          <w:sz w:val="22"/>
          <w:szCs w:val="22"/>
        </w:rPr>
        <w:t xml:space="preserve">claimed extent of benefit from the clinical evidence presented, </w:t>
      </w:r>
      <w:r w:rsidRPr="00A85921">
        <w:rPr>
          <w:rFonts w:ascii="Arial" w:hAnsi="Arial"/>
          <w:sz w:val="22"/>
          <w:szCs w:val="22"/>
        </w:rPr>
        <w:t xml:space="preserve">the most likely ICER at the current </w:t>
      </w:r>
      <w:proofErr w:type="spellStart"/>
      <w:r w:rsidRPr="00A85921">
        <w:rPr>
          <w:rFonts w:ascii="Arial" w:hAnsi="Arial"/>
          <w:sz w:val="22"/>
          <w:szCs w:val="22"/>
        </w:rPr>
        <w:t>erlotinib</w:t>
      </w:r>
      <w:proofErr w:type="spellEnd"/>
      <w:r w:rsidRPr="00A85921">
        <w:rPr>
          <w:rFonts w:ascii="Arial" w:hAnsi="Arial"/>
          <w:sz w:val="22"/>
          <w:szCs w:val="22"/>
        </w:rPr>
        <w:t xml:space="preserve"> price </w:t>
      </w:r>
      <w:r>
        <w:rPr>
          <w:rFonts w:ascii="Arial" w:hAnsi="Arial"/>
          <w:sz w:val="22"/>
          <w:szCs w:val="22"/>
        </w:rPr>
        <w:t xml:space="preserve">(at greater than $90,000/QALY) </w:t>
      </w:r>
      <w:r w:rsidRPr="00A85921">
        <w:rPr>
          <w:rFonts w:ascii="Arial" w:hAnsi="Arial"/>
          <w:sz w:val="22"/>
          <w:szCs w:val="22"/>
        </w:rPr>
        <w:t>was unacceptably high</w:t>
      </w:r>
      <w:r w:rsidR="00554215">
        <w:rPr>
          <w:rFonts w:ascii="Arial" w:hAnsi="Arial"/>
          <w:sz w:val="22"/>
          <w:szCs w:val="22"/>
        </w:rPr>
        <w:t>.</w:t>
      </w:r>
    </w:p>
    <w:p w:rsidR="00A02FAA" w:rsidRPr="00A02FAA" w:rsidRDefault="00A02FAA" w:rsidP="00A02FAA">
      <w:pPr>
        <w:pStyle w:val="ListParagraph"/>
        <w:rPr>
          <w:rFonts w:ascii="Arial" w:hAnsi="Arial"/>
          <w:sz w:val="22"/>
          <w:szCs w:val="22"/>
        </w:rPr>
      </w:pPr>
    </w:p>
    <w:p w:rsidR="009D3CAA" w:rsidRPr="006265F8" w:rsidRDefault="00CF3FD2" w:rsidP="00882085">
      <w:pPr>
        <w:pStyle w:val="ListParagraph"/>
        <w:numPr>
          <w:ilvl w:val="1"/>
          <w:numId w:val="26"/>
        </w:numPr>
        <w:ind w:left="709" w:hanging="709"/>
        <w:jc w:val="both"/>
        <w:rPr>
          <w:rFonts w:ascii="Arial" w:hAnsi="Arial"/>
          <w:sz w:val="22"/>
          <w:szCs w:val="22"/>
        </w:rPr>
      </w:pPr>
      <w:r>
        <w:rPr>
          <w:rFonts w:ascii="Arial" w:hAnsi="Arial"/>
          <w:sz w:val="22"/>
          <w:szCs w:val="22"/>
        </w:rPr>
        <w:t>T</w:t>
      </w:r>
      <w:r w:rsidR="00A02FAA">
        <w:rPr>
          <w:rFonts w:ascii="Arial" w:hAnsi="Arial"/>
          <w:sz w:val="22"/>
          <w:szCs w:val="22"/>
        </w:rPr>
        <w:t xml:space="preserve">he PBAC did not consider that it was appropriate to retain a listing on the PBS of a targeted therapy for a population in which the target is absent. </w:t>
      </w:r>
      <w:r w:rsidR="005F59DD">
        <w:rPr>
          <w:rFonts w:ascii="Arial" w:hAnsi="Arial"/>
          <w:sz w:val="22"/>
          <w:szCs w:val="22"/>
        </w:rPr>
        <w:t xml:space="preserve">In reaching this conclusion, the PBAC noted </w:t>
      </w:r>
      <w:r w:rsidR="00C20BE4" w:rsidRPr="001D1873">
        <w:rPr>
          <w:rFonts w:ascii="Arial" w:hAnsi="Arial"/>
          <w:sz w:val="22"/>
          <w:szCs w:val="22"/>
        </w:rPr>
        <w:t xml:space="preserve">that it was difficult to conclude with confidence that </w:t>
      </w:r>
      <w:proofErr w:type="spellStart"/>
      <w:r w:rsidR="00C20BE4" w:rsidRPr="001D1873">
        <w:rPr>
          <w:rFonts w:ascii="Arial" w:hAnsi="Arial"/>
          <w:sz w:val="22"/>
          <w:szCs w:val="22"/>
        </w:rPr>
        <w:t>erlotinib’s</w:t>
      </w:r>
      <w:proofErr w:type="spellEnd"/>
      <w:r w:rsidR="00C20BE4" w:rsidRPr="001D1873">
        <w:rPr>
          <w:rFonts w:ascii="Arial" w:hAnsi="Arial"/>
          <w:sz w:val="22"/>
          <w:szCs w:val="22"/>
        </w:rPr>
        <w:t xml:space="preserve"> net benefits over best supportive care would exceed its net harms</w:t>
      </w:r>
      <w:r w:rsidR="00554215">
        <w:rPr>
          <w:rFonts w:ascii="Arial" w:hAnsi="Arial"/>
          <w:sz w:val="22"/>
          <w:szCs w:val="22"/>
        </w:rPr>
        <w:t xml:space="preserve"> </w:t>
      </w:r>
      <w:r w:rsidR="00554215" w:rsidRPr="006265F8">
        <w:rPr>
          <w:rFonts w:ascii="Arial" w:hAnsi="Arial"/>
          <w:sz w:val="22"/>
          <w:szCs w:val="22"/>
        </w:rPr>
        <w:t>in the population identified by the current last-line restriction</w:t>
      </w:r>
      <w:r w:rsidR="00C20BE4" w:rsidRPr="006265F8">
        <w:rPr>
          <w:rFonts w:ascii="Arial" w:hAnsi="Arial"/>
          <w:sz w:val="22"/>
          <w:szCs w:val="22"/>
        </w:rPr>
        <w:t>.</w:t>
      </w:r>
    </w:p>
    <w:p w:rsidR="00326E79" w:rsidRPr="00882085" w:rsidRDefault="00326E79" w:rsidP="00882085">
      <w:pPr>
        <w:pStyle w:val="ListParagraph"/>
        <w:ind w:left="709"/>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Pr="00882085" w:rsidRDefault="009C703C" w:rsidP="00882085">
      <w:pPr>
        <w:jc w:val="both"/>
        <w:rPr>
          <w:rFonts w:ascii="Arial" w:hAnsi="Arial"/>
          <w:sz w:val="22"/>
          <w:szCs w:val="22"/>
        </w:rPr>
      </w:pPr>
      <w:r w:rsidRPr="00882085">
        <w:rPr>
          <w:rFonts w:ascii="Arial" w:hAnsi="Arial"/>
          <w:sz w:val="22"/>
          <w:szCs w:val="22"/>
        </w:rPr>
        <w:t>Rejected</w:t>
      </w:r>
    </w:p>
    <w:p w:rsidR="00E16910" w:rsidRPr="00882085" w:rsidRDefault="00E16910" w:rsidP="00440DF6">
      <w:pPr>
        <w:ind w:left="709"/>
        <w:jc w:val="both"/>
        <w:rPr>
          <w:rFonts w:ascii="Arial" w:hAnsi="Arial"/>
          <w:sz w:val="22"/>
          <w:szCs w:val="22"/>
        </w:rPr>
      </w:pPr>
    </w:p>
    <w:p w:rsidR="001632F1" w:rsidRPr="00AE4FBD" w:rsidRDefault="001632F1" w:rsidP="001632F1">
      <w:pPr>
        <w:pStyle w:val="ListParagraph"/>
        <w:ind w:left="360"/>
        <w:rPr>
          <w:rFonts w:ascii="Arial" w:hAnsi="Arial" w:cs="Arial"/>
          <w:b/>
          <w:bCs/>
          <w:sz w:val="22"/>
          <w:szCs w:val="22"/>
        </w:rPr>
      </w:pPr>
      <w:r w:rsidRPr="00AE4FBD">
        <w:rPr>
          <w:rFonts w:ascii="Arial" w:hAnsi="Arial" w:cs="Arial"/>
          <w:b/>
          <w:bCs/>
          <w:sz w:val="22"/>
          <w:szCs w:val="22"/>
        </w:rPr>
        <w:t>Con</w:t>
      </w:r>
      <w:r w:rsidR="00AE4FBD" w:rsidRPr="00AE4FBD">
        <w:rPr>
          <w:rFonts w:ascii="Arial" w:hAnsi="Arial" w:cs="Arial"/>
          <w:b/>
          <w:bCs/>
          <w:sz w:val="22"/>
          <w:szCs w:val="22"/>
        </w:rPr>
        <w:t>text for Decision</w:t>
      </w:r>
    </w:p>
    <w:p w:rsidR="001632F1" w:rsidRPr="00AE4FBD" w:rsidRDefault="001632F1" w:rsidP="001632F1">
      <w:pPr>
        <w:pStyle w:val="ListParagraph"/>
        <w:adjustRightInd w:val="0"/>
        <w:ind w:left="360"/>
        <w:rPr>
          <w:rFonts w:ascii="Arial" w:hAnsi="Arial" w:cs="Arial"/>
          <w:b/>
          <w:bCs/>
          <w:sz w:val="22"/>
          <w:szCs w:val="22"/>
        </w:rPr>
      </w:pPr>
      <w:r w:rsidRPr="00AE4FBD">
        <w:rPr>
          <w:rFonts w:ascii="Arial"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632F1" w:rsidRPr="00AE4FBD" w:rsidRDefault="001632F1" w:rsidP="001632F1">
      <w:pPr>
        <w:adjustRightInd w:val="0"/>
        <w:jc w:val="both"/>
        <w:rPr>
          <w:rFonts w:ascii="Arial" w:hAnsi="Arial" w:cs="Arial"/>
          <w:b/>
          <w:bCs/>
          <w:sz w:val="22"/>
          <w:szCs w:val="22"/>
        </w:rPr>
      </w:pPr>
    </w:p>
    <w:p w:rsidR="00977BA7" w:rsidRPr="00AE4FBD" w:rsidRDefault="00977BA7" w:rsidP="001632F1">
      <w:pPr>
        <w:pStyle w:val="ListParagraph"/>
        <w:ind w:left="360"/>
        <w:jc w:val="both"/>
        <w:rPr>
          <w:rFonts w:ascii="Arial" w:hAnsi="Arial" w:cs="Arial"/>
          <w:b/>
          <w:i/>
          <w:sz w:val="22"/>
          <w:szCs w:val="22"/>
        </w:rPr>
      </w:pPr>
      <w:r w:rsidRPr="00AE4FBD">
        <w:rPr>
          <w:rFonts w:ascii="Arial" w:hAnsi="Arial" w:cs="Arial"/>
          <w:b/>
          <w:sz w:val="22"/>
          <w:szCs w:val="22"/>
        </w:rPr>
        <w:t>Sponsor’s Comment</w:t>
      </w:r>
    </w:p>
    <w:p w:rsidR="00C730C6" w:rsidRPr="00AE4FBD" w:rsidRDefault="00C730C6" w:rsidP="00C730C6">
      <w:pPr>
        <w:ind w:left="360"/>
        <w:rPr>
          <w:rFonts w:ascii="Arial" w:hAnsi="Arial" w:cs="Arial"/>
          <w:sz w:val="22"/>
          <w:szCs w:val="22"/>
        </w:rPr>
      </w:pPr>
      <w:r w:rsidRPr="00AE4FBD">
        <w:rPr>
          <w:rFonts w:ascii="Arial" w:hAnsi="Arial" w:cs="Arial"/>
          <w:sz w:val="22"/>
          <w:szCs w:val="22"/>
        </w:rPr>
        <w:t xml:space="preserve">Testing for EGFR mutation status was not standard practice at the time the BR.21 trial was performed. Therefore, the clinical efficacy results for the EGFR wild-type/unknown and squamous subgroups are based on exploratory analyses.  However, the clinical benefit of </w:t>
      </w:r>
      <w:proofErr w:type="spellStart"/>
      <w:r w:rsidRPr="00AE4FBD">
        <w:rPr>
          <w:rFonts w:ascii="Arial" w:hAnsi="Arial" w:cs="Arial"/>
          <w:sz w:val="22"/>
          <w:szCs w:val="22"/>
        </w:rPr>
        <w:t>erlotinib</w:t>
      </w:r>
      <w:proofErr w:type="spellEnd"/>
      <w:r w:rsidRPr="00AE4FBD">
        <w:rPr>
          <w:rFonts w:ascii="Arial" w:hAnsi="Arial" w:cs="Arial"/>
          <w:sz w:val="22"/>
          <w:szCs w:val="22"/>
        </w:rPr>
        <w:t xml:space="preserve"> in the EGFR WT/Unknown and squamous subgroups was consistent with the ITT population of BR.21, and was not statistically significantly driven by EGFR mutation status, as previously accepted by the PBAC. Given that </w:t>
      </w:r>
      <w:proofErr w:type="spellStart"/>
      <w:r w:rsidRPr="00AE4FBD">
        <w:rPr>
          <w:rFonts w:ascii="Arial" w:hAnsi="Arial" w:cs="Arial"/>
          <w:sz w:val="22"/>
          <w:szCs w:val="22"/>
        </w:rPr>
        <w:t>erlotinib</w:t>
      </w:r>
      <w:proofErr w:type="spellEnd"/>
      <w:r w:rsidRPr="00AE4FBD">
        <w:rPr>
          <w:rFonts w:ascii="Arial" w:hAnsi="Arial" w:cs="Arial"/>
          <w:sz w:val="22"/>
          <w:szCs w:val="22"/>
        </w:rPr>
        <w:t xml:space="preserve"> is widely prescribed in the last-line setting, it would be unethical to generate additional, prospective, randomised clinical evidence such as the BR.21 trial.</w:t>
      </w:r>
    </w:p>
    <w:p w:rsidR="00C730C6" w:rsidRPr="00AE4FBD" w:rsidRDefault="00C730C6" w:rsidP="00C730C6">
      <w:pPr>
        <w:rPr>
          <w:rFonts w:ascii="Arial" w:hAnsi="Arial" w:cs="Arial"/>
          <w:sz w:val="22"/>
          <w:szCs w:val="22"/>
        </w:rPr>
      </w:pPr>
    </w:p>
    <w:p w:rsidR="00C730C6" w:rsidRPr="00AE4FBD" w:rsidRDefault="00C730C6" w:rsidP="00C730C6">
      <w:pPr>
        <w:ind w:left="360"/>
        <w:rPr>
          <w:rFonts w:ascii="Arial" w:hAnsi="Arial" w:cs="Arial"/>
          <w:sz w:val="22"/>
          <w:szCs w:val="22"/>
        </w:rPr>
      </w:pPr>
      <w:r w:rsidRPr="00AE4FBD">
        <w:rPr>
          <w:rFonts w:ascii="Arial" w:hAnsi="Arial" w:cs="Arial"/>
          <w:sz w:val="22"/>
          <w:szCs w:val="22"/>
        </w:rPr>
        <w:t>Roche disagrees with the assumptions used in the economic model compiled during the evaluation.</w:t>
      </w:r>
    </w:p>
    <w:p w:rsidR="00C730C6" w:rsidRPr="00AE4FBD" w:rsidRDefault="00C730C6" w:rsidP="00C730C6">
      <w:pPr>
        <w:pStyle w:val="ListParagraph"/>
        <w:ind w:left="360"/>
        <w:rPr>
          <w:rFonts w:ascii="Arial" w:hAnsi="Arial" w:cs="Arial"/>
          <w:sz w:val="22"/>
          <w:szCs w:val="22"/>
        </w:rPr>
      </w:pPr>
    </w:p>
    <w:p w:rsidR="00C730C6" w:rsidRPr="00C730C6" w:rsidRDefault="00C730C6" w:rsidP="00C730C6">
      <w:pPr>
        <w:pStyle w:val="ListParagraph"/>
        <w:ind w:left="360"/>
        <w:rPr>
          <w:rFonts w:ascii="Arial" w:hAnsi="Arial"/>
          <w:sz w:val="22"/>
          <w:szCs w:val="22"/>
        </w:rPr>
      </w:pPr>
      <w:r w:rsidRPr="00AE4FBD">
        <w:rPr>
          <w:rFonts w:ascii="Arial" w:hAnsi="Arial" w:cs="Arial"/>
          <w:sz w:val="22"/>
          <w:szCs w:val="22"/>
        </w:rPr>
        <w:t xml:space="preserve">Therefore, Roche is disappointed with the PBAC decision to remove the current last-line restriction for </w:t>
      </w:r>
      <w:proofErr w:type="spellStart"/>
      <w:r w:rsidRPr="00AE4FBD">
        <w:rPr>
          <w:rFonts w:ascii="Arial" w:hAnsi="Arial" w:cs="Arial"/>
          <w:sz w:val="22"/>
          <w:szCs w:val="22"/>
        </w:rPr>
        <w:t>erlotinib</w:t>
      </w:r>
      <w:proofErr w:type="spellEnd"/>
      <w:r w:rsidRPr="00AE4FBD">
        <w:rPr>
          <w:rFonts w:ascii="Arial" w:hAnsi="Arial" w:cs="Arial"/>
          <w:sz w:val="22"/>
          <w:szCs w:val="22"/>
        </w:rPr>
        <w:t xml:space="preserve"> from the PBS where there is a high unmet clinical need for patients who cannot tolerate any further toxic chemotherapy and best supportive care is the only alternative. Roche notes that the TGA and Australian and international treatment</w:t>
      </w:r>
      <w:r w:rsidRPr="00C730C6">
        <w:rPr>
          <w:rFonts w:ascii="Arial" w:hAnsi="Arial"/>
          <w:sz w:val="22"/>
          <w:szCs w:val="22"/>
        </w:rPr>
        <w:t xml:space="preserve"> </w:t>
      </w:r>
      <w:r w:rsidRPr="00C730C6">
        <w:rPr>
          <w:rFonts w:ascii="Arial" w:hAnsi="Arial"/>
          <w:sz w:val="22"/>
          <w:szCs w:val="22"/>
        </w:rPr>
        <w:lastRenderedPageBreak/>
        <w:t xml:space="preserve">guidelines recommend the use of </w:t>
      </w:r>
      <w:proofErr w:type="spellStart"/>
      <w:r w:rsidRPr="00C730C6">
        <w:rPr>
          <w:rFonts w:ascii="Arial" w:hAnsi="Arial"/>
          <w:sz w:val="22"/>
          <w:szCs w:val="22"/>
        </w:rPr>
        <w:t>erlotinib</w:t>
      </w:r>
      <w:proofErr w:type="spellEnd"/>
      <w:r w:rsidRPr="00C730C6">
        <w:rPr>
          <w:rFonts w:ascii="Arial" w:hAnsi="Arial"/>
          <w:sz w:val="22"/>
          <w:szCs w:val="22"/>
        </w:rPr>
        <w:t xml:space="preserve"> as a last-line treatment for all patients, regardless of EGFR mutation status. </w:t>
      </w:r>
    </w:p>
    <w:p w:rsidR="00065C35" w:rsidRDefault="00065C35" w:rsidP="00977BA7">
      <w:pPr>
        <w:pStyle w:val="ListParagraph"/>
        <w:ind w:left="360"/>
        <w:jc w:val="both"/>
        <w:rPr>
          <w:rFonts w:ascii="Arial" w:hAnsi="Arial"/>
          <w:color w:val="FF0000"/>
          <w:sz w:val="22"/>
          <w:szCs w:val="22"/>
        </w:rPr>
      </w:pPr>
    </w:p>
    <w:sectPr w:rsidR="00065C35" w:rsidSect="00653D6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C2" w:rsidRDefault="007F20C2">
      <w:r>
        <w:separator/>
      </w:r>
    </w:p>
  </w:endnote>
  <w:endnote w:type="continuationSeparator" w:id="0">
    <w:p w:rsidR="007F20C2" w:rsidRDefault="007F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2EC6" w:rsidTr="005A3173">
      <w:trPr>
        <w:trHeight w:val="151"/>
      </w:trPr>
      <w:tc>
        <w:tcPr>
          <w:tcW w:w="2250" w:type="pct"/>
          <w:tcBorders>
            <w:top w:val="nil"/>
            <w:left w:val="nil"/>
            <w:bottom w:val="single" w:sz="4" w:space="0" w:color="4F81BD"/>
            <w:right w:val="nil"/>
          </w:tcBorders>
        </w:tcPr>
        <w:p w:rsidR="00AC2EC6" w:rsidRPr="005A3173" w:rsidRDefault="00AC2EC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2EC6" w:rsidRPr="005A3173" w:rsidRDefault="00AC2EC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2EC6" w:rsidRPr="005A3173" w:rsidRDefault="00AC2EC6" w:rsidP="005A3173">
          <w:pPr>
            <w:pStyle w:val="Header"/>
            <w:spacing w:line="276" w:lineRule="auto"/>
            <w:rPr>
              <w:rFonts w:ascii="Calibri" w:eastAsia="MS Gothic" w:hAnsi="Calibri"/>
              <w:b/>
              <w:bCs/>
              <w:color w:val="4F81BD"/>
            </w:rPr>
          </w:pPr>
        </w:p>
      </w:tc>
    </w:tr>
    <w:tr w:rsidR="00AC2EC6" w:rsidTr="005A3173">
      <w:trPr>
        <w:trHeight w:val="150"/>
      </w:trPr>
      <w:tc>
        <w:tcPr>
          <w:tcW w:w="2250" w:type="pct"/>
          <w:tcBorders>
            <w:top w:val="single" w:sz="4" w:space="0" w:color="4F81BD"/>
            <w:left w:val="nil"/>
            <w:bottom w:val="nil"/>
            <w:right w:val="nil"/>
          </w:tcBorders>
        </w:tcPr>
        <w:p w:rsidR="00AC2EC6" w:rsidRPr="005A3173" w:rsidRDefault="00AC2EC6" w:rsidP="005A3173">
          <w:pPr>
            <w:pStyle w:val="Header"/>
            <w:spacing w:line="276" w:lineRule="auto"/>
            <w:rPr>
              <w:rFonts w:ascii="Calibri" w:eastAsia="MS Gothic" w:hAnsi="Calibri"/>
              <w:b/>
              <w:bCs/>
              <w:color w:val="4F81BD"/>
            </w:rPr>
          </w:pPr>
        </w:p>
      </w:tc>
      <w:tc>
        <w:tcPr>
          <w:tcW w:w="0" w:type="auto"/>
          <w:vMerge/>
          <w:vAlign w:val="center"/>
          <w:hideMark/>
        </w:tcPr>
        <w:p w:rsidR="00AC2EC6" w:rsidRPr="005A3173" w:rsidRDefault="00AC2EC6"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2EC6" w:rsidRPr="005A3173" w:rsidRDefault="00AC2EC6" w:rsidP="005A3173">
          <w:pPr>
            <w:pStyle w:val="Header"/>
            <w:spacing w:line="276" w:lineRule="auto"/>
            <w:rPr>
              <w:rFonts w:ascii="Calibri" w:eastAsia="MS Gothic" w:hAnsi="Calibri"/>
              <w:b/>
              <w:bCs/>
              <w:color w:val="4F81BD"/>
            </w:rPr>
          </w:pPr>
        </w:p>
      </w:tc>
    </w:tr>
  </w:tbl>
  <w:p w:rsidR="00AC2EC6" w:rsidRDefault="00AC2EC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AC2EC6" w:rsidRDefault="00AC2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AC2EC6" w:rsidRPr="00651169" w:rsidRDefault="00AC2EC6">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0B27F9">
          <w:rPr>
            <w:rFonts w:ascii="Arial" w:hAnsi="Arial" w:cs="Arial"/>
            <w:noProof/>
            <w:sz w:val="20"/>
            <w:szCs w:val="20"/>
          </w:rPr>
          <w:t>11</w:t>
        </w:r>
        <w:r w:rsidRPr="00651169">
          <w:rPr>
            <w:rFonts w:ascii="Arial" w:hAnsi="Arial" w:cs="Arial"/>
            <w:noProof/>
            <w:sz w:val="20"/>
            <w:szCs w:val="20"/>
          </w:rPr>
          <w:fldChar w:fldCharType="end"/>
        </w:r>
      </w:p>
    </w:sdtContent>
  </w:sdt>
  <w:p w:rsidR="00AC2EC6" w:rsidRPr="008F1434" w:rsidRDefault="00AC2EC6"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C2EC6" w:rsidTr="005A3173">
      <w:trPr>
        <w:trHeight w:val="151"/>
      </w:trPr>
      <w:tc>
        <w:tcPr>
          <w:tcW w:w="2250" w:type="pct"/>
          <w:tcBorders>
            <w:top w:val="nil"/>
            <w:left w:val="nil"/>
            <w:bottom w:val="single" w:sz="4" w:space="0" w:color="4F81BD"/>
            <w:right w:val="nil"/>
          </w:tcBorders>
        </w:tcPr>
        <w:p w:rsidR="00AC2EC6" w:rsidRPr="005A3173" w:rsidRDefault="00AC2EC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2EC6" w:rsidRPr="005A3173" w:rsidRDefault="00AC2EC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2EC6" w:rsidRPr="005A3173" w:rsidRDefault="00AC2EC6" w:rsidP="005A3173">
          <w:pPr>
            <w:pStyle w:val="Header"/>
            <w:spacing w:line="276" w:lineRule="auto"/>
            <w:rPr>
              <w:rFonts w:ascii="Calibri" w:eastAsia="MS Gothic" w:hAnsi="Calibri"/>
              <w:b/>
              <w:bCs/>
              <w:color w:val="4F81BD"/>
            </w:rPr>
          </w:pPr>
        </w:p>
      </w:tc>
    </w:tr>
    <w:tr w:rsidR="00AC2EC6" w:rsidTr="005A3173">
      <w:trPr>
        <w:trHeight w:val="150"/>
      </w:trPr>
      <w:tc>
        <w:tcPr>
          <w:tcW w:w="2250" w:type="pct"/>
          <w:tcBorders>
            <w:top w:val="single" w:sz="4" w:space="0" w:color="4F81BD"/>
            <w:left w:val="nil"/>
            <w:bottom w:val="nil"/>
            <w:right w:val="nil"/>
          </w:tcBorders>
        </w:tcPr>
        <w:p w:rsidR="00AC2EC6" w:rsidRPr="005A3173" w:rsidRDefault="00AC2EC6" w:rsidP="005A3173">
          <w:pPr>
            <w:pStyle w:val="Header"/>
            <w:spacing w:line="276" w:lineRule="auto"/>
            <w:rPr>
              <w:rFonts w:ascii="Calibri" w:eastAsia="MS Gothic" w:hAnsi="Calibri"/>
              <w:b/>
              <w:bCs/>
              <w:color w:val="4F81BD"/>
            </w:rPr>
          </w:pPr>
        </w:p>
      </w:tc>
      <w:tc>
        <w:tcPr>
          <w:tcW w:w="0" w:type="auto"/>
          <w:vMerge/>
          <w:vAlign w:val="center"/>
          <w:hideMark/>
        </w:tcPr>
        <w:p w:rsidR="00AC2EC6" w:rsidRPr="005A3173" w:rsidRDefault="00AC2EC6"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2EC6" w:rsidRPr="005A3173" w:rsidRDefault="00AC2EC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2EC6" w:rsidTr="005A3173">
      <w:trPr>
        <w:trHeight w:val="151"/>
      </w:trPr>
      <w:tc>
        <w:tcPr>
          <w:tcW w:w="2250" w:type="pct"/>
          <w:tcBorders>
            <w:top w:val="nil"/>
            <w:left w:val="nil"/>
            <w:bottom w:val="single" w:sz="4" w:space="0" w:color="4F81BD"/>
            <w:right w:val="nil"/>
          </w:tcBorders>
        </w:tcPr>
        <w:p w:rsidR="00AC2EC6" w:rsidRPr="005A3173" w:rsidRDefault="00AC2EC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2EC6" w:rsidRPr="005A3173" w:rsidRDefault="00AC2EC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2EC6" w:rsidRPr="005A3173" w:rsidRDefault="00AC2EC6" w:rsidP="005A3173">
          <w:pPr>
            <w:pStyle w:val="Header"/>
            <w:spacing w:line="276" w:lineRule="auto"/>
            <w:rPr>
              <w:rFonts w:ascii="Calibri" w:eastAsia="MS Gothic" w:hAnsi="Calibri"/>
              <w:b/>
              <w:bCs/>
              <w:color w:val="4F81BD"/>
            </w:rPr>
          </w:pPr>
        </w:p>
      </w:tc>
    </w:tr>
    <w:tr w:rsidR="00AC2EC6" w:rsidTr="005A3173">
      <w:trPr>
        <w:trHeight w:val="150"/>
      </w:trPr>
      <w:tc>
        <w:tcPr>
          <w:tcW w:w="2250" w:type="pct"/>
          <w:tcBorders>
            <w:top w:val="single" w:sz="4" w:space="0" w:color="4F81BD"/>
            <w:left w:val="nil"/>
            <w:bottom w:val="nil"/>
            <w:right w:val="nil"/>
          </w:tcBorders>
        </w:tcPr>
        <w:p w:rsidR="00AC2EC6" w:rsidRPr="005A3173" w:rsidRDefault="00AC2EC6" w:rsidP="005A3173">
          <w:pPr>
            <w:pStyle w:val="Header"/>
            <w:spacing w:line="276" w:lineRule="auto"/>
            <w:rPr>
              <w:rFonts w:ascii="Calibri" w:eastAsia="MS Gothic" w:hAnsi="Calibri"/>
              <w:b/>
              <w:bCs/>
              <w:color w:val="4F81BD"/>
            </w:rPr>
          </w:pPr>
        </w:p>
      </w:tc>
      <w:tc>
        <w:tcPr>
          <w:tcW w:w="0" w:type="auto"/>
          <w:vMerge/>
          <w:vAlign w:val="center"/>
          <w:hideMark/>
        </w:tcPr>
        <w:p w:rsidR="00AC2EC6" w:rsidRPr="005A3173" w:rsidRDefault="00AC2EC6"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2EC6" w:rsidRPr="005A3173" w:rsidRDefault="00AC2EC6" w:rsidP="005A3173">
          <w:pPr>
            <w:pStyle w:val="Header"/>
            <w:spacing w:line="276" w:lineRule="auto"/>
            <w:rPr>
              <w:rFonts w:ascii="Calibri" w:eastAsia="MS Gothic" w:hAnsi="Calibri"/>
              <w:b/>
              <w:bCs/>
              <w:color w:val="4F81BD"/>
            </w:rPr>
          </w:pPr>
        </w:p>
      </w:tc>
    </w:tr>
  </w:tbl>
  <w:p w:rsidR="00AC2EC6" w:rsidRPr="007C0F57" w:rsidRDefault="00AC2EC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sidRPr="007C0F57">
      <w:rPr>
        <w:b/>
        <w:i/>
        <w:sz w:val="20"/>
        <w:szCs w:val="20"/>
      </w:rPr>
      <w:t>BAC Meeting</w:t>
    </w:r>
  </w:p>
  <w:p w:rsidR="00AC2EC6" w:rsidRPr="007C0F57" w:rsidRDefault="00AC2EC6"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C2" w:rsidRDefault="007F20C2">
      <w:r>
        <w:separator/>
      </w:r>
    </w:p>
  </w:footnote>
  <w:footnote w:type="continuationSeparator" w:id="0">
    <w:p w:rsidR="007F20C2" w:rsidRDefault="007F2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C2EC6" w:rsidRPr="008E0D90" w:rsidTr="00A06225">
      <w:trPr>
        <w:trHeight w:val="151"/>
      </w:trPr>
      <w:tc>
        <w:tcPr>
          <w:tcW w:w="2389" w:type="pct"/>
          <w:tcBorders>
            <w:top w:val="nil"/>
            <w:left w:val="nil"/>
            <w:bottom w:val="single" w:sz="4" w:space="0" w:color="4F81BD"/>
            <w:right w:val="nil"/>
          </w:tcBorders>
        </w:tcPr>
        <w:p w:rsidR="00AC2EC6" w:rsidRPr="00A06225" w:rsidRDefault="00AC2EC6">
          <w:pPr>
            <w:pStyle w:val="Header"/>
            <w:spacing w:line="276" w:lineRule="auto"/>
            <w:rPr>
              <w:rFonts w:ascii="Cambria" w:eastAsia="MS Gothic" w:hAnsi="Cambria"/>
              <w:b/>
              <w:bCs/>
              <w:color w:val="4F81BD"/>
            </w:rPr>
          </w:pPr>
        </w:p>
      </w:tc>
      <w:tc>
        <w:tcPr>
          <w:tcW w:w="333" w:type="pct"/>
          <w:vMerge w:val="restart"/>
          <w:noWrap/>
          <w:vAlign w:val="center"/>
          <w:hideMark/>
        </w:tcPr>
        <w:p w:rsidR="00AC2EC6" w:rsidRPr="00A06225" w:rsidRDefault="00AC2EC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C2EC6" w:rsidRPr="00A06225" w:rsidRDefault="00AC2EC6">
          <w:pPr>
            <w:pStyle w:val="Header"/>
            <w:spacing w:line="276" w:lineRule="auto"/>
            <w:rPr>
              <w:rFonts w:ascii="Cambria" w:eastAsia="MS Gothic" w:hAnsi="Cambria"/>
              <w:b/>
              <w:bCs/>
              <w:color w:val="4F81BD"/>
            </w:rPr>
          </w:pPr>
        </w:p>
      </w:tc>
    </w:tr>
    <w:tr w:rsidR="00AC2EC6" w:rsidRPr="008E0D90" w:rsidTr="00A06225">
      <w:trPr>
        <w:trHeight w:val="150"/>
      </w:trPr>
      <w:tc>
        <w:tcPr>
          <w:tcW w:w="2389" w:type="pct"/>
          <w:tcBorders>
            <w:top w:val="single" w:sz="4" w:space="0" w:color="4F81BD"/>
            <w:left w:val="nil"/>
            <w:bottom w:val="nil"/>
            <w:right w:val="nil"/>
          </w:tcBorders>
        </w:tcPr>
        <w:p w:rsidR="00AC2EC6" w:rsidRPr="00A06225" w:rsidRDefault="00AC2EC6">
          <w:pPr>
            <w:pStyle w:val="Header"/>
            <w:spacing w:line="276" w:lineRule="auto"/>
            <w:rPr>
              <w:rFonts w:ascii="Cambria" w:eastAsia="MS Gothic" w:hAnsi="Cambria"/>
              <w:b/>
              <w:bCs/>
              <w:color w:val="4F81BD"/>
            </w:rPr>
          </w:pPr>
        </w:p>
      </w:tc>
      <w:tc>
        <w:tcPr>
          <w:tcW w:w="0" w:type="auto"/>
          <w:vMerge/>
          <w:vAlign w:val="center"/>
          <w:hideMark/>
        </w:tcPr>
        <w:p w:rsidR="00AC2EC6" w:rsidRPr="00A06225" w:rsidRDefault="00AC2EC6">
          <w:pPr>
            <w:rPr>
              <w:rFonts w:ascii="Cambria" w:hAnsi="Cambria"/>
              <w:color w:val="4F81BD"/>
              <w:sz w:val="22"/>
              <w:szCs w:val="22"/>
            </w:rPr>
          </w:pPr>
        </w:p>
      </w:tc>
      <w:tc>
        <w:tcPr>
          <w:tcW w:w="2278" w:type="pct"/>
          <w:tcBorders>
            <w:top w:val="single" w:sz="4" w:space="0" w:color="4F81BD"/>
            <w:left w:val="nil"/>
            <w:bottom w:val="nil"/>
            <w:right w:val="nil"/>
          </w:tcBorders>
        </w:tcPr>
        <w:p w:rsidR="00AC2EC6" w:rsidRPr="00A06225" w:rsidRDefault="00AC2EC6">
          <w:pPr>
            <w:pStyle w:val="Header"/>
            <w:spacing w:line="276" w:lineRule="auto"/>
            <w:rPr>
              <w:rFonts w:ascii="Cambria" w:eastAsia="MS Gothic" w:hAnsi="Cambria"/>
              <w:b/>
              <w:bCs/>
              <w:color w:val="4F81BD"/>
            </w:rPr>
          </w:pPr>
        </w:p>
      </w:tc>
    </w:tr>
  </w:tbl>
  <w:p w:rsidR="00AC2EC6" w:rsidRDefault="00AC2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C6" w:rsidRPr="001632F1" w:rsidRDefault="00AC2EC6" w:rsidP="001632F1">
    <w:pPr>
      <w:pStyle w:val="Header"/>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BD" w:rsidRDefault="00AE4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3">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4">
    <w:nsid w:val="0F961BD7"/>
    <w:multiLevelType w:val="hybridMultilevel"/>
    <w:tmpl w:val="68C4B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6478CD"/>
    <w:multiLevelType w:val="hybridMultilevel"/>
    <w:tmpl w:val="BA9A3A1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4412952"/>
    <w:multiLevelType w:val="hybridMultilevel"/>
    <w:tmpl w:val="CE30A68E"/>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24FE7033"/>
    <w:multiLevelType w:val="hybridMultilevel"/>
    <w:tmpl w:val="6CCAF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4D15FB"/>
    <w:multiLevelType w:val="hybridMultilevel"/>
    <w:tmpl w:val="C61A7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7">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52C22D1B"/>
    <w:multiLevelType w:val="hybridMultilevel"/>
    <w:tmpl w:val="583C6A4A"/>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23">
    <w:nsid w:val="540C105D"/>
    <w:multiLevelType w:val="hybridMultilevel"/>
    <w:tmpl w:val="18E69B26"/>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24">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7117B75"/>
    <w:multiLevelType w:val="hybridMultilevel"/>
    <w:tmpl w:val="9846350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6">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22F7644"/>
    <w:multiLevelType w:val="hybridMultilevel"/>
    <w:tmpl w:val="1F00AB3E"/>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nsid w:val="629C5809"/>
    <w:multiLevelType w:val="multilevel"/>
    <w:tmpl w:val="53240434"/>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170207"/>
    <w:multiLevelType w:val="hybridMultilevel"/>
    <w:tmpl w:val="F4F64A3C"/>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3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2">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4">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nsid w:val="74651721"/>
    <w:multiLevelType w:val="hybridMultilevel"/>
    <w:tmpl w:val="C2584AEE"/>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36">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7">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8"/>
  </w:num>
  <w:num w:numId="4">
    <w:abstractNumId w:val="0"/>
  </w:num>
  <w:num w:numId="5">
    <w:abstractNumId w:val="3"/>
  </w:num>
  <w:num w:numId="6">
    <w:abstractNumId w:val="17"/>
  </w:num>
  <w:num w:numId="7">
    <w:abstractNumId w:val="15"/>
  </w:num>
  <w:num w:numId="8">
    <w:abstractNumId w:val="2"/>
  </w:num>
  <w:num w:numId="9">
    <w:abstractNumId w:val="8"/>
  </w:num>
  <w:num w:numId="10">
    <w:abstractNumId w:val="31"/>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4"/>
  </w:num>
  <w:num w:numId="15">
    <w:abstractNumId w:val="24"/>
  </w:num>
  <w:num w:numId="16">
    <w:abstractNumId w:val="20"/>
  </w:num>
  <w:num w:numId="17">
    <w:abstractNumId w:val="36"/>
  </w:num>
  <w:num w:numId="18">
    <w:abstractNumId w:val="11"/>
  </w:num>
  <w:num w:numId="19">
    <w:abstractNumId w:val="16"/>
  </w:num>
  <w:num w:numId="20">
    <w:abstractNumId w:val="1"/>
  </w:num>
  <w:num w:numId="21">
    <w:abstractNumId w:val="29"/>
  </w:num>
  <w:num w:numId="22">
    <w:abstractNumId w:val="32"/>
  </w:num>
  <w:num w:numId="23">
    <w:abstractNumId w:val="38"/>
  </w:num>
  <w:num w:numId="24">
    <w:abstractNumId w:val="14"/>
  </w:num>
  <w:num w:numId="25">
    <w:abstractNumId w:val="37"/>
  </w:num>
  <w:num w:numId="26">
    <w:abstractNumId w:val="26"/>
  </w:num>
  <w:num w:numId="27">
    <w:abstractNumId w:val="10"/>
  </w:num>
  <w:num w:numId="28">
    <w:abstractNumId w:val="6"/>
  </w:num>
  <w:num w:numId="29">
    <w:abstractNumId w:val="21"/>
  </w:num>
  <w:num w:numId="30">
    <w:abstractNumId w:val="4"/>
  </w:num>
  <w:num w:numId="31">
    <w:abstractNumId w:val="13"/>
  </w:num>
  <w:num w:numId="32">
    <w:abstractNumId w:val="12"/>
  </w:num>
  <w:num w:numId="33">
    <w:abstractNumId w:val="28"/>
  </w:num>
  <w:num w:numId="34">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2"/>
  </w:num>
  <w:num w:numId="37">
    <w:abstractNumId w:val="23"/>
  </w:num>
  <w:num w:numId="38">
    <w:abstractNumId w:val="25"/>
  </w:num>
  <w:num w:numId="39">
    <w:abstractNumId w:val="7"/>
  </w:num>
  <w:num w:numId="40">
    <w:abstractNumId w:val="30"/>
  </w:num>
  <w:num w:numId="41">
    <w:abstractNumId w:val="23"/>
  </w:num>
  <w:num w:numId="42">
    <w:abstractNumId w:val="27"/>
  </w:num>
  <w:num w:numId="4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2D2"/>
    <w:rsid w:val="00027F7E"/>
    <w:rsid w:val="0003106B"/>
    <w:rsid w:val="000421A1"/>
    <w:rsid w:val="0004240E"/>
    <w:rsid w:val="00045E26"/>
    <w:rsid w:val="000514B5"/>
    <w:rsid w:val="00060E64"/>
    <w:rsid w:val="00065C35"/>
    <w:rsid w:val="000734A2"/>
    <w:rsid w:val="00081494"/>
    <w:rsid w:val="0008291D"/>
    <w:rsid w:val="00082B0A"/>
    <w:rsid w:val="00095D24"/>
    <w:rsid w:val="000969AD"/>
    <w:rsid w:val="00097EBF"/>
    <w:rsid w:val="000B27F9"/>
    <w:rsid w:val="000B3BDE"/>
    <w:rsid w:val="000B558D"/>
    <w:rsid w:val="000C49AB"/>
    <w:rsid w:val="000C6996"/>
    <w:rsid w:val="000D0CA3"/>
    <w:rsid w:val="000D23BA"/>
    <w:rsid w:val="000D4D8E"/>
    <w:rsid w:val="000E681E"/>
    <w:rsid w:val="000E6EF5"/>
    <w:rsid w:val="000F4E6A"/>
    <w:rsid w:val="000F6590"/>
    <w:rsid w:val="00106B03"/>
    <w:rsid w:val="001107BF"/>
    <w:rsid w:val="00112C11"/>
    <w:rsid w:val="0012417C"/>
    <w:rsid w:val="00142395"/>
    <w:rsid w:val="00142714"/>
    <w:rsid w:val="001452ED"/>
    <w:rsid w:val="00147CDF"/>
    <w:rsid w:val="0016195B"/>
    <w:rsid w:val="001632F1"/>
    <w:rsid w:val="001742E0"/>
    <w:rsid w:val="00177E6F"/>
    <w:rsid w:val="001830CE"/>
    <w:rsid w:val="0018546F"/>
    <w:rsid w:val="00195C71"/>
    <w:rsid w:val="00196307"/>
    <w:rsid w:val="001B017F"/>
    <w:rsid w:val="001B36FB"/>
    <w:rsid w:val="001B4417"/>
    <w:rsid w:val="001B5129"/>
    <w:rsid w:val="001C1195"/>
    <w:rsid w:val="001D1873"/>
    <w:rsid w:val="001E72A7"/>
    <w:rsid w:val="0021003E"/>
    <w:rsid w:val="002154BF"/>
    <w:rsid w:val="0023522D"/>
    <w:rsid w:val="002406CC"/>
    <w:rsid w:val="00263622"/>
    <w:rsid w:val="00271BA1"/>
    <w:rsid w:val="00277505"/>
    <w:rsid w:val="0029458F"/>
    <w:rsid w:val="002A3492"/>
    <w:rsid w:val="002A4960"/>
    <w:rsid w:val="002A618E"/>
    <w:rsid w:val="002B1AE6"/>
    <w:rsid w:val="002B30F8"/>
    <w:rsid w:val="002B42AD"/>
    <w:rsid w:val="002C212F"/>
    <w:rsid w:val="002C2DF8"/>
    <w:rsid w:val="002D2815"/>
    <w:rsid w:val="002D3845"/>
    <w:rsid w:val="002E3557"/>
    <w:rsid w:val="002F5F7F"/>
    <w:rsid w:val="0030510A"/>
    <w:rsid w:val="00317F9E"/>
    <w:rsid w:val="00323CF7"/>
    <w:rsid w:val="00326E79"/>
    <w:rsid w:val="003324AD"/>
    <w:rsid w:val="003367EF"/>
    <w:rsid w:val="00341AE4"/>
    <w:rsid w:val="00355AE4"/>
    <w:rsid w:val="003935B7"/>
    <w:rsid w:val="0039732E"/>
    <w:rsid w:val="003A5B4A"/>
    <w:rsid w:val="003B23C5"/>
    <w:rsid w:val="003B2A75"/>
    <w:rsid w:val="003C4268"/>
    <w:rsid w:val="003D4AC4"/>
    <w:rsid w:val="003D785B"/>
    <w:rsid w:val="003E468B"/>
    <w:rsid w:val="003E53D6"/>
    <w:rsid w:val="003F2E63"/>
    <w:rsid w:val="003F55E5"/>
    <w:rsid w:val="00440DF6"/>
    <w:rsid w:val="00447CE6"/>
    <w:rsid w:val="0046168B"/>
    <w:rsid w:val="00466ADA"/>
    <w:rsid w:val="004A5A7C"/>
    <w:rsid w:val="004B2008"/>
    <w:rsid w:val="004B4AFB"/>
    <w:rsid w:val="004B5640"/>
    <w:rsid w:val="004C1BD7"/>
    <w:rsid w:val="004C3D41"/>
    <w:rsid w:val="004C691D"/>
    <w:rsid w:val="004D0F79"/>
    <w:rsid w:val="004E692D"/>
    <w:rsid w:val="00514CD7"/>
    <w:rsid w:val="00534E2E"/>
    <w:rsid w:val="00540875"/>
    <w:rsid w:val="00544552"/>
    <w:rsid w:val="00552ACC"/>
    <w:rsid w:val="00554215"/>
    <w:rsid w:val="00581932"/>
    <w:rsid w:val="005926EC"/>
    <w:rsid w:val="005A3173"/>
    <w:rsid w:val="005A3DA3"/>
    <w:rsid w:val="005A52C4"/>
    <w:rsid w:val="005D03AB"/>
    <w:rsid w:val="005D2EB0"/>
    <w:rsid w:val="005D5017"/>
    <w:rsid w:val="005F59DD"/>
    <w:rsid w:val="00601A91"/>
    <w:rsid w:val="00602BA3"/>
    <w:rsid w:val="006043E4"/>
    <w:rsid w:val="00614159"/>
    <w:rsid w:val="0061521E"/>
    <w:rsid w:val="00617C00"/>
    <w:rsid w:val="006263BF"/>
    <w:rsid w:val="006265F8"/>
    <w:rsid w:val="00630A2C"/>
    <w:rsid w:val="00636EE9"/>
    <w:rsid w:val="0065112C"/>
    <w:rsid w:val="00651169"/>
    <w:rsid w:val="00653D69"/>
    <w:rsid w:val="00653E13"/>
    <w:rsid w:val="006634C3"/>
    <w:rsid w:val="00670A76"/>
    <w:rsid w:val="006711AA"/>
    <w:rsid w:val="00671269"/>
    <w:rsid w:val="0067364D"/>
    <w:rsid w:val="00675622"/>
    <w:rsid w:val="00682A6C"/>
    <w:rsid w:val="00683590"/>
    <w:rsid w:val="006906DB"/>
    <w:rsid w:val="006972C3"/>
    <w:rsid w:val="006A12A5"/>
    <w:rsid w:val="006B0D94"/>
    <w:rsid w:val="006B18AD"/>
    <w:rsid w:val="006B42D2"/>
    <w:rsid w:val="006B485D"/>
    <w:rsid w:val="006D1FD1"/>
    <w:rsid w:val="006D68A3"/>
    <w:rsid w:val="006D6EC7"/>
    <w:rsid w:val="006F5125"/>
    <w:rsid w:val="006F7F1E"/>
    <w:rsid w:val="00701926"/>
    <w:rsid w:val="00705C7B"/>
    <w:rsid w:val="007174BB"/>
    <w:rsid w:val="00744179"/>
    <w:rsid w:val="0074584D"/>
    <w:rsid w:val="0075429A"/>
    <w:rsid w:val="007753C2"/>
    <w:rsid w:val="007838B8"/>
    <w:rsid w:val="00790BBA"/>
    <w:rsid w:val="007C0F57"/>
    <w:rsid w:val="007C40B6"/>
    <w:rsid w:val="007C729F"/>
    <w:rsid w:val="007E1D28"/>
    <w:rsid w:val="007F20C2"/>
    <w:rsid w:val="007F2641"/>
    <w:rsid w:val="00801A2A"/>
    <w:rsid w:val="00806796"/>
    <w:rsid w:val="00843169"/>
    <w:rsid w:val="00850B3A"/>
    <w:rsid w:val="00855E02"/>
    <w:rsid w:val="00863E68"/>
    <w:rsid w:val="00882085"/>
    <w:rsid w:val="00883188"/>
    <w:rsid w:val="00897D58"/>
    <w:rsid w:val="008A4937"/>
    <w:rsid w:val="008D3044"/>
    <w:rsid w:val="008D3C82"/>
    <w:rsid w:val="008D447E"/>
    <w:rsid w:val="008D626D"/>
    <w:rsid w:val="008E3680"/>
    <w:rsid w:val="008E5870"/>
    <w:rsid w:val="008F1434"/>
    <w:rsid w:val="008F2C83"/>
    <w:rsid w:val="008F7355"/>
    <w:rsid w:val="00904EA5"/>
    <w:rsid w:val="00912F0B"/>
    <w:rsid w:val="00920B8E"/>
    <w:rsid w:val="00930937"/>
    <w:rsid w:val="0093415F"/>
    <w:rsid w:val="009602C5"/>
    <w:rsid w:val="009673A9"/>
    <w:rsid w:val="00974C21"/>
    <w:rsid w:val="00977BA7"/>
    <w:rsid w:val="00985E35"/>
    <w:rsid w:val="009B35F0"/>
    <w:rsid w:val="009C703C"/>
    <w:rsid w:val="009D3CAA"/>
    <w:rsid w:val="009F5B65"/>
    <w:rsid w:val="00A02FAA"/>
    <w:rsid w:val="00A06225"/>
    <w:rsid w:val="00A11A41"/>
    <w:rsid w:val="00A21792"/>
    <w:rsid w:val="00A37C8D"/>
    <w:rsid w:val="00A41A35"/>
    <w:rsid w:val="00A5273B"/>
    <w:rsid w:val="00A62C1A"/>
    <w:rsid w:val="00A6426D"/>
    <w:rsid w:val="00A70622"/>
    <w:rsid w:val="00A70977"/>
    <w:rsid w:val="00A8390C"/>
    <w:rsid w:val="00A85921"/>
    <w:rsid w:val="00A91F8E"/>
    <w:rsid w:val="00AA4D1C"/>
    <w:rsid w:val="00AC2EC6"/>
    <w:rsid w:val="00AC5206"/>
    <w:rsid w:val="00AC7F78"/>
    <w:rsid w:val="00AD79CC"/>
    <w:rsid w:val="00AE11A5"/>
    <w:rsid w:val="00AE4FBD"/>
    <w:rsid w:val="00AE52F5"/>
    <w:rsid w:val="00AE758B"/>
    <w:rsid w:val="00AF19A7"/>
    <w:rsid w:val="00AF68CC"/>
    <w:rsid w:val="00B12D6B"/>
    <w:rsid w:val="00B205AA"/>
    <w:rsid w:val="00B25F75"/>
    <w:rsid w:val="00B43E90"/>
    <w:rsid w:val="00B516C9"/>
    <w:rsid w:val="00B52976"/>
    <w:rsid w:val="00B56118"/>
    <w:rsid w:val="00B765E5"/>
    <w:rsid w:val="00BB69F5"/>
    <w:rsid w:val="00BC4B9A"/>
    <w:rsid w:val="00BD2EF8"/>
    <w:rsid w:val="00BE2FAD"/>
    <w:rsid w:val="00BF4CB6"/>
    <w:rsid w:val="00C12768"/>
    <w:rsid w:val="00C163FA"/>
    <w:rsid w:val="00C20BE4"/>
    <w:rsid w:val="00C2640B"/>
    <w:rsid w:val="00C31511"/>
    <w:rsid w:val="00C35996"/>
    <w:rsid w:val="00C41644"/>
    <w:rsid w:val="00C520F1"/>
    <w:rsid w:val="00C5342C"/>
    <w:rsid w:val="00C54FCE"/>
    <w:rsid w:val="00C6256A"/>
    <w:rsid w:val="00C730C6"/>
    <w:rsid w:val="00C9099B"/>
    <w:rsid w:val="00C91449"/>
    <w:rsid w:val="00C92D10"/>
    <w:rsid w:val="00C941B8"/>
    <w:rsid w:val="00CE10C4"/>
    <w:rsid w:val="00CE27B5"/>
    <w:rsid w:val="00CE3334"/>
    <w:rsid w:val="00CE6687"/>
    <w:rsid w:val="00CF0904"/>
    <w:rsid w:val="00CF3FD2"/>
    <w:rsid w:val="00D0321E"/>
    <w:rsid w:val="00D04CF6"/>
    <w:rsid w:val="00D17FF3"/>
    <w:rsid w:val="00D24459"/>
    <w:rsid w:val="00D3280C"/>
    <w:rsid w:val="00D3406A"/>
    <w:rsid w:val="00D37C96"/>
    <w:rsid w:val="00D45C9E"/>
    <w:rsid w:val="00D52B57"/>
    <w:rsid w:val="00D54980"/>
    <w:rsid w:val="00D603DF"/>
    <w:rsid w:val="00D6372F"/>
    <w:rsid w:val="00D653D1"/>
    <w:rsid w:val="00D67FAF"/>
    <w:rsid w:val="00D72721"/>
    <w:rsid w:val="00D7347E"/>
    <w:rsid w:val="00D741EB"/>
    <w:rsid w:val="00D773D5"/>
    <w:rsid w:val="00D87841"/>
    <w:rsid w:val="00D90985"/>
    <w:rsid w:val="00D91271"/>
    <w:rsid w:val="00DA4922"/>
    <w:rsid w:val="00DA4BAC"/>
    <w:rsid w:val="00DA7D57"/>
    <w:rsid w:val="00DB5FD8"/>
    <w:rsid w:val="00DB6BE0"/>
    <w:rsid w:val="00DB6F13"/>
    <w:rsid w:val="00DD4835"/>
    <w:rsid w:val="00DE3BB8"/>
    <w:rsid w:val="00DE5A82"/>
    <w:rsid w:val="00DE6D27"/>
    <w:rsid w:val="00DF217D"/>
    <w:rsid w:val="00DF26A7"/>
    <w:rsid w:val="00E16910"/>
    <w:rsid w:val="00E60EC5"/>
    <w:rsid w:val="00E65E54"/>
    <w:rsid w:val="00E7177B"/>
    <w:rsid w:val="00E80155"/>
    <w:rsid w:val="00E848C0"/>
    <w:rsid w:val="00E91B96"/>
    <w:rsid w:val="00E91C38"/>
    <w:rsid w:val="00E941A1"/>
    <w:rsid w:val="00E95CE3"/>
    <w:rsid w:val="00EA2825"/>
    <w:rsid w:val="00EA2C0C"/>
    <w:rsid w:val="00EA66FE"/>
    <w:rsid w:val="00EB5088"/>
    <w:rsid w:val="00EB6D24"/>
    <w:rsid w:val="00ED1644"/>
    <w:rsid w:val="00ED3EC7"/>
    <w:rsid w:val="00EF423D"/>
    <w:rsid w:val="00F03EC4"/>
    <w:rsid w:val="00F050BD"/>
    <w:rsid w:val="00F25578"/>
    <w:rsid w:val="00F258E5"/>
    <w:rsid w:val="00F27901"/>
    <w:rsid w:val="00F300BC"/>
    <w:rsid w:val="00F3334E"/>
    <w:rsid w:val="00F3427A"/>
    <w:rsid w:val="00F50EC4"/>
    <w:rsid w:val="00F554AC"/>
    <w:rsid w:val="00F57A6D"/>
    <w:rsid w:val="00F638CC"/>
    <w:rsid w:val="00F661C1"/>
    <w:rsid w:val="00F740D6"/>
    <w:rsid w:val="00F8247A"/>
    <w:rsid w:val="00F955A3"/>
    <w:rsid w:val="00FA2485"/>
    <w:rsid w:val="00FA5883"/>
    <w:rsid w:val="00FA6055"/>
    <w:rsid w:val="00FB322F"/>
    <w:rsid w:val="00FB442F"/>
    <w:rsid w:val="00FC05E7"/>
    <w:rsid w:val="00FC1929"/>
    <w:rsid w:val="00FC5B46"/>
    <w:rsid w:val="00FD20CA"/>
    <w:rsid w:val="00FE3268"/>
    <w:rsid w:val="00FE6E73"/>
    <w:rsid w:val="00FF1ED4"/>
    <w:rsid w:val="00FF36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C35996"/>
    <w:pPr>
      <w:ind w:left="720"/>
      <w:contextualSpacing/>
    </w:pPr>
  </w:style>
  <w:style w:type="paragraph" w:styleId="Caption">
    <w:name w:val="caption"/>
    <w:aliases w:val="Caption Char,Caption Char2 Char,Caption Char Char Char,Caption Char1 Char Char Char,Caption Char Char Char Char Char,Caption Char1 Char1 Char Char Char Char Char,Caption Char Char Char Char Char Char Char Char,Caption Char1 Char1 Char,c"/>
    <w:basedOn w:val="Normal"/>
    <w:next w:val="Normal"/>
    <w:link w:val="CaptionChar1"/>
    <w:uiPriority w:val="35"/>
    <w:unhideWhenUsed/>
    <w:qFormat/>
    <w:rsid w:val="00D90985"/>
    <w:pPr>
      <w:spacing w:after="200"/>
    </w:pPr>
    <w:rPr>
      <w:rFonts w:ascii="Cambria" w:eastAsia="MS Mincho" w:hAnsi="Cambria"/>
      <w:b/>
      <w:bCs/>
      <w:color w:val="4F81BD"/>
      <w:sz w:val="18"/>
      <w:szCs w:val="18"/>
      <w:lang w:val="en-US" w:eastAsia="en-US"/>
    </w:rPr>
  </w:style>
  <w:style w:type="character" w:customStyle="1" w:styleId="CaptionChar1">
    <w:name w:val="Caption Char1"/>
    <w:aliases w:val="Caption Char Char,Caption Char2 Char Char,Caption Char Char Char Char,Caption Char1 Char Char Char Char,Caption Char Char Char Char Char Char,Caption Char1 Char1 Char Char Char Char Char Char,Caption Char1 Char1 Char Char,c Char"/>
    <w:link w:val="Caption"/>
    <w:uiPriority w:val="35"/>
    <w:locked/>
    <w:rsid w:val="00D90985"/>
    <w:rPr>
      <w:rFonts w:ascii="Cambria" w:eastAsia="MS Mincho" w:hAnsi="Cambria"/>
      <w:b/>
      <w:bCs/>
      <w:color w:val="4F81BD"/>
      <w:sz w:val="18"/>
      <w:szCs w:val="18"/>
      <w:lang w:val="en-US" w:eastAsia="en-US"/>
    </w:rPr>
  </w:style>
  <w:style w:type="paragraph" w:customStyle="1" w:styleId="TableNotes">
    <w:name w:val="TableNotes"/>
    <w:basedOn w:val="Normal"/>
    <w:next w:val="Normal"/>
    <w:uiPriority w:val="98"/>
    <w:qFormat/>
    <w:rsid w:val="00D90985"/>
    <w:pPr>
      <w:tabs>
        <w:tab w:val="left" w:pos="1134"/>
      </w:tabs>
      <w:ind w:left="1134" w:hanging="1134"/>
    </w:pPr>
    <w:rPr>
      <w:rFonts w:ascii="Calibri" w:eastAsia="SimSun" w:hAnsi="Calibri"/>
      <w:sz w:val="18"/>
      <w:szCs w:val="18"/>
      <w:lang w:eastAsia="en-US"/>
    </w:rPr>
  </w:style>
  <w:style w:type="character" w:customStyle="1" w:styleId="ListParagraphChar">
    <w:name w:val="List Paragraph Char"/>
    <w:link w:val="ListParagraph"/>
    <w:uiPriority w:val="34"/>
    <w:rsid w:val="00F03EC4"/>
    <w:rPr>
      <w:sz w:val="24"/>
      <w:szCs w:val="24"/>
    </w:rPr>
  </w:style>
  <w:style w:type="character" w:styleId="CommentReference">
    <w:name w:val="annotation reference"/>
    <w:basedOn w:val="DefaultParagraphFont"/>
    <w:rsid w:val="000D0CA3"/>
    <w:rPr>
      <w:sz w:val="16"/>
      <w:szCs w:val="16"/>
    </w:rPr>
  </w:style>
  <w:style w:type="paragraph" w:styleId="CommentText">
    <w:name w:val="annotation text"/>
    <w:basedOn w:val="Normal"/>
    <w:link w:val="CommentTextChar"/>
    <w:rsid w:val="000D0CA3"/>
    <w:rPr>
      <w:sz w:val="20"/>
      <w:szCs w:val="20"/>
    </w:rPr>
  </w:style>
  <w:style w:type="character" w:customStyle="1" w:styleId="CommentTextChar">
    <w:name w:val="Comment Text Char"/>
    <w:basedOn w:val="DefaultParagraphFont"/>
    <w:link w:val="CommentText"/>
    <w:rsid w:val="000D0CA3"/>
  </w:style>
  <w:style w:type="paragraph" w:styleId="CommentSubject">
    <w:name w:val="annotation subject"/>
    <w:basedOn w:val="CommentText"/>
    <w:next w:val="CommentText"/>
    <w:link w:val="CommentSubjectChar"/>
    <w:rsid w:val="000D0CA3"/>
    <w:rPr>
      <w:b/>
      <w:bCs/>
    </w:rPr>
  </w:style>
  <w:style w:type="character" w:customStyle="1" w:styleId="CommentSubjectChar">
    <w:name w:val="Comment Subject Char"/>
    <w:basedOn w:val="CommentTextChar"/>
    <w:link w:val="CommentSubject"/>
    <w:rsid w:val="000D0C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C35996"/>
    <w:pPr>
      <w:ind w:left="720"/>
      <w:contextualSpacing/>
    </w:pPr>
  </w:style>
  <w:style w:type="paragraph" w:styleId="Caption">
    <w:name w:val="caption"/>
    <w:aliases w:val="Caption Char,Caption Char2 Char,Caption Char Char Char,Caption Char1 Char Char Char,Caption Char Char Char Char Char,Caption Char1 Char1 Char Char Char Char Char,Caption Char Char Char Char Char Char Char Char,Caption Char1 Char1 Char,c"/>
    <w:basedOn w:val="Normal"/>
    <w:next w:val="Normal"/>
    <w:link w:val="CaptionChar1"/>
    <w:uiPriority w:val="35"/>
    <w:unhideWhenUsed/>
    <w:qFormat/>
    <w:rsid w:val="00D90985"/>
    <w:pPr>
      <w:spacing w:after="200"/>
    </w:pPr>
    <w:rPr>
      <w:rFonts w:ascii="Cambria" w:eastAsia="MS Mincho" w:hAnsi="Cambria"/>
      <w:b/>
      <w:bCs/>
      <w:color w:val="4F81BD"/>
      <w:sz w:val="18"/>
      <w:szCs w:val="18"/>
      <w:lang w:val="en-US" w:eastAsia="en-US"/>
    </w:rPr>
  </w:style>
  <w:style w:type="character" w:customStyle="1" w:styleId="CaptionChar1">
    <w:name w:val="Caption Char1"/>
    <w:aliases w:val="Caption Char Char,Caption Char2 Char Char,Caption Char Char Char Char,Caption Char1 Char Char Char Char,Caption Char Char Char Char Char Char,Caption Char1 Char1 Char Char Char Char Char Char,Caption Char1 Char1 Char Char,c Char"/>
    <w:link w:val="Caption"/>
    <w:uiPriority w:val="35"/>
    <w:locked/>
    <w:rsid w:val="00D90985"/>
    <w:rPr>
      <w:rFonts w:ascii="Cambria" w:eastAsia="MS Mincho" w:hAnsi="Cambria"/>
      <w:b/>
      <w:bCs/>
      <w:color w:val="4F81BD"/>
      <w:sz w:val="18"/>
      <w:szCs w:val="18"/>
      <w:lang w:val="en-US" w:eastAsia="en-US"/>
    </w:rPr>
  </w:style>
  <w:style w:type="paragraph" w:customStyle="1" w:styleId="TableNotes">
    <w:name w:val="TableNotes"/>
    <w:basedOn w:val="Normal"/>
    <w:next w:val="Normal"/>
    <w:uiPriority w:val="98"/>
    <w:qFormat/>
    <w:rsid w:val="00D90985"/>
    <w:pPr>
      <w:tabs>
        <w:tab w:val="left" w:pos="1134"/>
      </w:tabs>
      <w:ind w:left="1134" w:hanging="1134"/>
    </w:pPr>
    <w:rPr>
      <w:rFonts w:ascii="Calibri" w:eastAsia="SimSun" w:hAnsi="Calibri"/>
      <w:sz w:val="18"/>
      <w:szCs w:val="18"/>
      <w:lang w:eastAsia="en-US"/>
    </w:rPr>
  </w:style>
  <w:style w:type="character" w:customStyle="1" w:styleId="ListParagraphChar">
    <w:name w:val="List Paragraph Char"/>
    <w:link w:val="ListParagraph"/>
    <w:uiPriority w:val="34"/>
    <w:rsid w:val="00F03EC4"/>
    <w:rPr>
      <w:sz w:val="24"/>
      <w:szCs w:val="24"/>
    </w:rPr>
  </w:style>
  <w:style w:type="character" w:styleId="CommentReference">
    <w:name w:val="annotation reference"/>
    <w:basedOn w:val="DefaultParagraphFont"/>
    <w:rsid w:val="000D0CA3"/>
    <w:rPr>
      <w:sz w:val="16"/>
      <w:szCs w:val="16"/>
    </w:rPr>
  </w:style>
  <w:style w:type="paragraph" w:styleId="CommentText">
    <w:name w:val="annotation text"/>
    <w:basedOn w:val="Normal"/>
    <w:link w:val="CommentTextChar"/>
    <w:rsid w:val="000D0CA3"/>
    <w:rPr>
      <w:sz w:val="20"/>
      <w:szCs w:val="20"/>
    </w:rPr>
  </w:style>
  <w:style w:type="character" w:customStyle="1" w:styleId="CommentTextChar">
    <w:name w:val="Comment Text Char"/>
    <w:basedOn w:val="DefaultParagraphFont"/>
    <w:link w:val="CommentText"/>
    <w:rsid w:val="000D0CA3"/>
  </w:style>
  <w:style w:type="paragraph" w:styleId="CommentSubject">
    <w:name w:val="annotation subject"/>
    <w:basedOn w:val="CommentText"/>
    <w:next w:val="CommentText"/>
    <w:link w:val="CommentSubjectChar"/>
    <w:rsid w:val="000D0CA3"/>
    <w:rPr>
      <w:b/>
      <w:bCs/>
    </w:rPr>
  </w:style>
  <w:style w:type="character" w:customStyle="1" w:styleId="CommentSubjectChar">
    <w:name w:val="Comment Subject Char"/>
    <w:basedOn w:val="CommentTextChar"/>
    <w:link w:val="CommentSubject"/>
    <w:rsid w:val="000D0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32">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2631271">
      <w:bodyDiv w:val="1"/>
      <w:marLeft w:val="0"/>
      <w:marRight w:val="0"/>
      <w:marTop w:val="0"/>
      <w:marBottom w:val="0"/>
      <w:divBdr>
        <w:top w:val="none" w:sz="0" w:space="0" w:color="auto"/>
        <w:left w:val="none" w:sz="0" w:space="0" w:color="auto"/>
        <w:bottom w:val="none" w:sz="0" w:space="0" w:color="auto"/>
        <w:right w:val="none" w:sz="0" w:space="0" w:color="auto"/>
      </w:divBdr>
    </w:div>
    <w:div w:id="6260736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57">
          <w:marLeft w:val="0"/>
          <w:marRight w:val="0"/>
          <w:marTop w:val="0"/>
          <w:marBottom w:val="0"/>
          <w:divBdr>
            <w:top w:val="none" w:sz="0" w:space="0" w:color="auto"/>
            <w:left w:val="none" w:sz="0" w:space="0" w:color="auto"/>
            <w:bottom w:val="none" w:sz="0" w:space="0" w:color="auto"/>
            <w:right w:val="none" w:sz="0" w:space="0" w:color="auto"/>
          </w:divBdr>
        </w:div>
        <w:div w:id="498272046">
          <w:marLeft w:val="0"/>
          <w:marRight w:val="0"/>
          <w:marTop w:val="0"/>
          <w:marBottom w:val="0"/>
          <w:divBdr>
            <w:top w:val="none" w:sz="0" w:space="0" w:color="auto"/>
            <w:left w:val="none" w:sz="0" w:space="0" w:color="auto"/>
            <w:bottom w:val="none" w:sz="0" w:space="0" w:color="auto"/>
            <w:right w:val="none" w:sz="0" w:space="0" w:color="auto"/>
          </w:divBdr>
        </w:div>
      </w:divsChild>
    </w:div>
    <w:div w:id="73746743">
      <w:bodyDiv w:val="1"/>
      <w:marLeft w:val="0"/>
      <w:marRight w:val="0"/>
      <w:marTop w:val="0"/>
      <w:marBottom w:val="0"/>
      <w:divBdr>
        <w:top w:val="none" w:sz="0" w:space="0" w:color="auto"/>
        <w:left w:val="none" w:sz="0" w:space="0" w:color="auto"/>
        <w:bottom w:val="none" w:sz="0" w:space="0" w:color="auto"/>
        <w:right w:val="none" w:sz="0" w:space="0" w:color="auto"/>
      </w:divBdr>
    </w:div>
    <w:div w:id="171338877">
      <w:bodyDiv w:val="1"/>
      <w:marLeft w:val="0"/>
      <w:marRight w:val="0"/>
      <w:marTop w:val="0"/>
      <w:marBottom w:val="0"/>
      <w:divBdr>
        <w:top w:val="none" w:sz="0" w:space="0" w:color="auto"/>
        <w:left w:val="none" w:sz="0" w:space="0" w:color="auto"/>
        <w:bottom w:val="none" w:sz="0" w:space="0" w:color="auto"/>
        <w:right w:val="none" w:sz="0" w:space="0" w:color="auto"/>
      </w:divBdr>
    </w:div>
    <w:div w:id="175196653">
      <w:bodyDiv w:val="1"/>
      <w:marLeft w:val="0"/>
      <w:marRight w:val="0"/>
      <w:marTop w:val="0"/>
      <w:marBottom w:val="0"/>
      <w:divBdr>
        <w:top w:val="none" w:sz="0" w:space="0" w:color="auto"/>
        <w:left w:val="none" w:sz="0" w:space="0" w:color="auto"/>
        <w:bottom w:val="none" w:sz="0" w:space="0" w:color="auto"/>
        <w:right w:val="none" w:sz="0" w:space="0" w:color="auto"/>
      </w:divBdr>
    </w:div>
    <w:div w:id="220026482">
      <w:bodyDiv w:val="1"/>
      <w:marLeft w:val="0"/>
      <w:marRight w:val="0"/>
      <w:marTop w:val="0"/>
      <w:marBottom w:val="0"/>
      <w:divBdr>
        <w:top w:val="none" w:sz="0" w:space="0" w:color="auto"/>
        <w:left w:val="none" w:sz="0" w:space="0" w:color="auto"/>
        <w:bottom w:val="none" w:sz="0" w:space="0" w:color="auto"/>
        <w:right w:val="none" w:sz="0" w:space="0" w:color="auto"/>
      </w:divBdr>
    </w:div>
    <w:div w:id="312298171">
      <w:bodyDiv w:val="1"/>
      <w:marLeft w:val="0"/>
      <w:marRight w:val="0"/>
      <w:marTop w:val="0"/>
      <w:marBottom w:val="0"/>
      <w:divBdr>
        <w:top w:val="none" w:sz="0" w:space="0" w:color="auto"/>
        <w:left w:val="none" w:sz="0" w:space="0" w:color="auto"/>
        <w:bottom w:val="none" w:sz="0" w:space="0" w:color="auto"/>
        <w:right w:val="none" w:sz="0" w:space="0" w:color="auto"/>
      </w:divBdr>
    </w:div>
    <w:div w:id="364407887">
      <w:bodyDiv w:val="1"/>
      <w:marLeft w:val="0"/>
      <w:marRight w:val="0"/>
      <w:marTop w:val="0"/>
      <w:marBottom w:val="0"/>
      <w:divBdr>
        <w:top w:val="none" w:sz="0" w:space="0" w:color="auto"/>
        <w:left w:val="none" w:sz="0" w:space="0" w:color="auto"/>
        <w:bottom w:val="none" w:sz="0" w:space="0" w:color="auto"/>
        <w:right w:val="none" w:sz="0" w:space="0" w:color="auto"/>
      </w:divBdr>
    </w:div>
    <w:div w:id="477068340">
      <w:bodyDiv w:val="1"/>
      <w:marLeft w:val="0"/>
      <w:marRight w:val="0"/>
      <w:marTop w:val="0"/>
      <w:marBottom w:val="0"/>
      <w:divBdr>
        <w:top w:val="none" w:sz="0" w:space="0" w:color="auto"/>
        <w:left w:val="none" w:sz="0" w:space="0" w:color="auto"/>
        <w:bottom w:val="none" w:sz="0" w:space="0" w:color="auto"/>
        <w:right w:val="none" w:sz="0" w:space="0" w:color="auto"/>
      </w:divBdr>
    </w:div>
    <w:div w:id="572591933">
      <w:bodyDiv w:val="1"/>
      <w:marLeft w:val="0"/>
      <w:marRight w:val="0"/>
      <w:marTop w:val="0"/>
      <w:marBottom w:val="0"/>
      <w:divBdr>
        <w:top w:val="none" w:sz="0" w:space="0" w:color="auto"/>
        <w:left w:val="none" w:sz="0" w:space="0" w:color="auto"/>
        <w:bottom w:val="none" w:sz="0" w:space="0" w:color="auto"/>
        <w:right w:val="none" w:sz="0" w:space="0" w:color="auto"/>
      </w:divBdr>
    </w:div>
    <w:div w:id="673606095">
      <w:bodyDiv w:val="1"/>
      <w:marLeft w:val="0"/>
      <w:marRight w:val="0"/>
      <w:marTop w:val="0"/>
      <w:marBottom w:val="0"/>
      <w:divBdr>
        <w:top w:val="none" w:sz="0" w:space="0" w:color="auto"/>
        <w:left w:val="none" w:sz="0" w:space="0" w:color="auto"/>
        <w:bottom w:val="none" w:sz="0" w:space="0" w:color="auto"/>
        <w:right w:val="none" w:sz="0" w:space="0" w:color="auto"/>
      </w:divBdr>
    </w:div>
    <w:div w:id="69889779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9898772">
      <w:bodyDiv w:val="1"/>
      <w:marLeft w:val="0"/>
      <w:marRight w:val="0"/>
      <w:marTop w:val="0"/>
      <w:marBottom w:val="0"/>
      <w:divBdr>
        <w:top w:val="none" w:sz="0" w:space="0" w:color="auto"/>
        <w:left w:val="none" w:sz="0" w:space="0" w:color="auto"/>
        <w:bottom w:val="none" w:sz="0" w:space="0" w:color="auto"/>
        <w:right w:val="none" w:sz="0" w:space="0" w:color="auto"/>
      </w:divBdr>
    </w:div>
    <w:div w:id="967511776">
      <w:bodyDiv w:val="1"/>
      <w:marLeft w:val="0"/>
      <w:marRight w:val="0"/>
      <w:marTop w:val="0"/>
      <w:marBottom w:val="0"/>
      <w:divBdr>
        <w:top w:val="none" w:sz="0" w:space="0" w:color="auto"/>
        <w:left w:val="none" w:sz="0" w:space="0" w:color="auto"/>
        <w:bottom w:val="none" w:sz="0" w:space="0" w:color="auto"/>
        <w:right w:val="none" w:sz="0" w:space="0" w:color="auto"/>
      </w:divBdr>
    </w:div>
    <w:div w:id="1162282948">
      <w:bodyDiv w:val="1"/>
      <w:marLeft w:val="0"/>
      <w:marRight w:val="0"/>
      <w:marTop w:val="0"/>
      <w:marBottom w:val="0"/>
      <w:divBdr>
        <w:top w:val="none" w:sz="0" w:space="0" w:color="auto"/>
        <w:left w:val="none" w:sz="0" w:space="0" w:color="auto"/>
        <w:bottom w:val="none" w:sz="0" w:space="0" w:color="auto"/>
        <w:right w:val="none" w:sz="0" w:space="0" w:color="auto"/>
      </w:divBdr>
    </w:div>
    <w:div w:id="1179201162">
      <w:bodyDiv w:val="1"/>
      <w:marLeft w:val="0"/>
      <w:marRight w:val="0"/>
      <w:marTop w:val="0"/>
      <w:marBottom w:val="0"/>
      <w:divBdr>
        <w:top w:val="none" w:sz="0" w:space="0" w:color="auto"/>
        <w:left w:val="none" w:sz="0" w:space="0" w:color="auto"/>
        <w:bottom w:val="none" w:sz="0" w:space="0" w:color="auto"/>
        <w:right w:val="none" w:sz="0" w:space="0" w:color="auto"/>
      </w:divBdr>
    </w:div>
    <w:div w:id="1195117727">
      <w:bodyDiv w:val="1"/>
      <w:marLeft w:val="0"/>
      <w:marRight w:val="0"/>
      <w:marTop w:val="0"/>
      <w:marBottom w:val="0"/>
      <w:divBdr>
        <w:top w:val="none" w:sz="0" w:space="0" w:color="auto"/>
        <w:left w:val="none" w:sz="0" w:space="0" w:color="auto"/>
        <w:bottom w:val="none" w:sz="0" w:space="0" w:color="auto"/>
        <w:right w:val="none" w:sz="0" w:space="0" w:color="auto"/>
      </w:divBdr>
    </w:div>
    <w:div w:id="1238400142">
      <w:bodyDiv w:val="1"/>
      <w:marLeft w:val="0"/>
      <w:marRight w:val="0"/>
      <w:marTop w:val="0"/>
      <w:marBottom w:val="0"/>
      <w:divBdr>
        <w:top w:val="none" w:sz="0" w:space="0" w:color="auto"/>
        <w:left w:val="none" w:sz="0" w:space="0" w:color="auto"/>
        <w:bottom w:val="none" w:sz="0" w:space="0" w:color="auto"/>
        <w:right w:val="none" w:sz="0" w:space="0" w:color="auto"/>
      </w:divBdr>
    </w:div>
    <w:div w:id="1249576095">
      <w:bodyDiv w:val="1"/>
      <w:marLeft w:val="0"/>
      <w:marRight w:val="0"/>
      <w:marTop w:val="0"/>
      <w:marBottom w:val="0"/>
      <w:divBdr>
        <w:top w:val="none" w:sz="0" w:space="0" w:color="auto"/>
        <w:left w:val="none" w:sz="0" w:space="0" w:color="auto"/>
        <w:bottom w:val="none" w:sz="0" w:space="0" w:color="auto"/>
        <w:right w:val="none" w:sz="0" w:space="0" w:color="auto"/>
      </w:divBdr>
    </w:div>
    <w:div w:id="1298561841">
      <w:bodyDiv w:val="1"/>
      <w:marLeft w:val="0"/>
      <w:marRight w:val="0"/>
      <w:marTop w:val="0"/>
      <w:marBottom w:val="0"/>
      <w:divBdr>
        <w:top w:val="none" w:sz="0" w:space="0" w:color="auto"/>
        <w:left w:val="none" w:sz="0" w:space="0" w:color="auto"/>
        <w:bottom w:val="none" w:sz="0" w:space="0" w:color="auto"/>
        <w:right w:val="none" w:sz="0" w:space="0" w:color="auto"/>
      </w:divBdr>
    </w:div>
    <w:div w:id="1466005637">
      <w:bodyDiv w:val="1"/>
      <w:marLeft w:val="0"/>
      <w:marRight w:val="0"/>
      <w:marTop w:val="0"/>
      <w:marBottom w:val="0"/>
      <w:divBdr>
        <w:top w:val="none" w:sz="0" w:space="0" w:color="auto"/>
        <w:left w:val="none" w:sz="0" w:space="0" w:color="auto"/>
        <w:bottom w:val="none" w:sz="0" w:space="0" w:color="auto"/>
        <w:right w:val="none" w:sz="0" w:space="0" w:color="auto"/>
      </w:divBdr>
    </w:div>
    <w:div w:id="1552499804">
      <w:bodyDiv w:val="1"/>
      <w:marLeft w:val="0"/>
      <w:marRight w:val="0"/>
      <w:marTop w:val="0"/>
      <w:marBottom w:val="0"/>
      <w:divBdr>
        <w:top w:val="none" w:sz="0" w:space="0" w:color="auto"/>
        <w:left w:val="none" w:sz="0" w:space="0" w:color="auto"/>
        <w:bottom w:val="none" w:sz="0" w:space="0" w:color="auto"/>
        <w:right w:val="none" w:sz="0" w:space="0" w:color="auto"/>
      </w:divBdr>
    </w:div>
    <w:div w:id="1654988759">
      <w:bodyDiv w:val="1"/>
      <w:marLeft w:val="0"/>
      <w:marRight w:val="0"/>
      <w:marTop w:val="0"/>
      <w:marBottom w:val="0"/>
      <w:divBdr>
        <w:top w:val="none" w:sz="0" w:space="0" w:color="auto"/>
        <w:left w:val="none" w:sz="0" w:space="0" w:color="auto"/>
        <w:bottom w:val="none" w:sz="0" w:space="0" w:color="auto"/>
        <w:right w:val="none" w:sz="0" w:space="0" w:color="auto"/>
      </w:divBdr>
    </w:div>
    <w:div w:id="166674060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1959412">
      <w:bodyDiv w:val="1"/>
      <w:marLeft w:val="0"/>
      <w:marRight w:val="0"/>
      <w:marTop w:val="0"/>
      <w:marBottom w:val="0"/>
      <w:divBdr>
        <w:top w:val="none" w:sz="0" w:space="0" w:color="auto"/>
        <w:left w:val="none" w:sz="0" w:space="0" w:color="auto"/>
        <w:bottom w:val="none" w:sz="0" w:space="0" w:color="auto"/>
        <w:right w:val="none" w:sz="0" w:space="0" w:color="auto"/>
      </w:divBdr>
    </w:div>
    <w:div w:id="1726563272">
      <w:bodyDiv w:val="1"/>
      <w:marLeft w:val="0"/>
      <w:marRight w:val="0"/>
      <w:marTop w:val="0"/>
      <w:marBottom w:val="0"/>
      <w:divBdr>
        <w:top w:val="none" w:sz="0" w:space="0" w:color="auto"/>
        <w:left w:val="none" w:sz="0" w:space="0" w:color="auto"/>
        <w:bottom w:val="none" w:sz="0" w:space="0" w:color="auto"/>
        <w:right w:val="none" w:sz="0" w:space="0" w:color="auto"/>
      </w:divBdr>
    </w:div>
    <w:div w:id="177296542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7909894">
      <w:bodyDiv w:val="1"/>
      <w:marLeft w:val="0"/>
      <w:marRight w:val="0"/>
      <w:marTop w:val="0"/>
      <w:marBottom w:val="0"/>
      <w:divBdr>
        <w:top w:val="none" w:sz="0" w:space="0" w:color="auto"/>
        <w:left w:val="none" w:sz="0" w:space="0" w:color="auto"/>
        <w:bottom w:val="none" w:sz="0" w:space="0" w:color="auto"/>
        <w:right w:val="none" w:sz="0" w:space="0" w:color="auto"/>
      </w:divBdr>
    </w:div>
    <w:div w:id="1982419567">
      <w:bodyDiv w:val="1"/>
      <w:marLeft w:val="0"/>
      <w:marRight w:val="0"/>
      <w:marTop w:val="0"/>
      <w:marBottom w:val="0"/>
      <w:divBdr>
        <w:top w:val="none" w:sz="0" w:space="0" w:color="auto"/>
        <w:left w:val="none" w:sz="0" w:space="0" w:color="auto"/>
        <w:bottom w:val="none" w:sz="0" w:space="0" w:color="auto"/>
        <w:right w:val="none" w:sz="0" w:space="0" w:color="auto"/>
      </w:divBdr>
    </w:div>
    <w:div w:id="2045590518">
      <w:bodyDiv w:val="1"/>
      <w:marLeft w:val="0"/>
      <w:marRight w:val="0"/>
      <w:marTop w:val="0"/>
      <w:marBottom w:val="0"/>
      <w:divBdr>
        <w:top w:val="none" w:sz="0" w:space="0" w:color="auto"/>
        <w:left w:val="none" w:sz="0" w:space="0" w:color="auto"/>
        <w:bottom w:val="none" w:sz="0" w:space="0" w:color="auto"/>
        <w:right w:val="none" w:sz="0" w:space="0" w:color="auto"/>
      </w:divBdr>
    </w:div>
    <w:div w:id="21015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A676-301B-46D3-B5F9-07133AF5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3990</Words>
  <Characters>24515</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2014-07-01T14:10:00Z</dcterms:created>
  <dcterms:modified xsi:type="dcterms:W3CDTF">2014-07-03T07:08:00Z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