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3C3E" w:rsidRPr="00A43C3E" w:rsidRDefault="00A43C3E" w:rsidP="00A43C3E">
      <w:pPr>
        <w:ind w:left="720" w:hanging="720"/>
        <w:rPr>
          <w:rFonts w:ascii="Arial" w:hAnsi="Arial"/>
          <w:b/>
          <w:sz w:val="28"/>
          <w:szCs w:val="28"/>
        </w:rPr>
      </w:pPr>
      <w:r>
        <w:rPr>
          <w:rFonts w:ascii="Arial" w:hAnsi="Arial"/>
          <w:b/>
          <w:sz w:val="28"/>
          <w:szCs w:val="28"/>
        </w:rPr>
        <w:t>7.1</w:t>
      </w:r>
      <w:r w:rsidR="007C0F57" w:rsidRPr="006D6EC7">
        <w:rPr>
          <w:rFonts w:ascii="Arial" w:hAnsi="Arial"/>
          <w:b/>
          <w:sz w:val="28"/>
          <w:szCs w:val="28"/>
        </w:rPr>
        <w:t xml:space="preserve"> </w:t>
      </w:r>
      <w:r w:rsidR="007C0F57" w:rsidRPr="006D6EC7">
        <w:rPr>
          <w:rFonts w:ascii="Arial" w:hAnsi="Arial"/>
          <w:b/>
          <w:sz w:val="28"/>
          <w:szCs w:val="28"/>
        </w:rPr>
        <w:tab/>
      </w:r>
      <w:r>
        <w:rPr>
          <w:rFonts w:ascii="Arial" w:hAnsi="Arial"/>
          <w:b/>
          <w:sz w:val="28"/>
          <w:szCs w:val="28"/>
        </w:rPr>
        <w:t>ADALIMUMAB</w:t>
      </w:r>
      <w:r w:rsidR="0004240E" w:rsidRPr="006D6EC7">
        <w:rPr>
          <w:rFonts w:ascii="Arial" w:hAnsi="Arial"/>
          <w:b/>
          <w:sz w:val="28"/>
          <w:szCs w:val="28"/>
        </w:rPr>
        <w:t xml:space="preserve">, </w:t>
      </w:r>
      <w:r w:rsidRPr="00A43C3E">
        <w:rPr>
          <w:rFonts w:ascii="Arial" w:hAnsi="Arial"/>
          <w:b/>
          <w:sz w:val="28"/>
          <w:szCs w:val="28"/>
        </w:rPr>
        <w:t>40 mg/0.8 mL injection,</w:t>
      </w:r>
      <w:r>
        <w:rPr>
          <w:rFonts w:ascii="Arial" w:hAnsi="Arial"/>
          <w:b/>
          <w:sz w:val="28"/>
          <w:szCs w:val="28"/>
        </w:rPr>
        <w:t xml:space="preserve"> </w:t>
      </w:r>
      <w:r w:rsidRPr="00A43C3E">
        <w:rPr>
          <w:rFonts w:ascii="Arial" w:hAnsi="Arial"/>
          <w:b/>
          <w:sz w:val="28"/>
          <w:szCs w:val="28"/>
        </w:rPr>
        <w:t>2 x 0.8 mL cartridges and 2 x 0.8 mL syringes,</w:t>
      </w:r>
      <w:r>
        <w:rPr>
          <w:rFonts w:ascii="Arial" w:hAnsi="Arial"/>
          <w:b/>
          <w:sz w:val="28"/>
          <w:szCs w:val="28"/>
        </w:rPr>
        <w:t xml:space="preserve"> </w:t>
      </w:r>
      <w:r w:rsidRPr="00A43C3E">
        <w:rPr>
          <w:rFonts w:ascii="Arial" w:hAnsi="Arial"/>
          <w:b/>
          <w:sz w:val="28"/>
          <w:szCs w:val="28"/>
        </w:rPr>
        <w:t>40 mg/0.8 mL injection, 6 x 0.8 mL cartridges and 6 x 0.8 mL syringes,</w:t>
      </w:r>
      <w:r>
        <w:rPr>
          <w:rFonts w:ascii="Arial" w:hAnsi="Arial"/>
          <w:b/>
          <w:sz w:val="28"/>
          <w:szCs w:val="28"/>
        </w:rPr>
        <w:t xml:space="preserve"> </w:t>
      </w:r>
      <w:proofErr w:type="spellStart"/>
      <w:r w:rsidRPr="00A43C3E">
        <w:rPr>
          <w:rFonts w:ascii="Arial" w:hAnsi="Arial"/>
          <w:b/>
          <w:sz w:val="28"/>
          <w:szCs w:val="28"/>
        </w:rPr>
        <w:t>Humira</w:t>
      </w:r>
      <w:proofErr w:type="spellEnd"/>
      <w:r w:rsidRPr="00A43C3E">
        <w:rPr>
          <w:rFonts w:ascii="Arial" w:hAnsi="Arial"/>
          <w:b/>
          <w:sz w:val="28"/>
          <w:szCs w:val="28"/>
          <w:vertAlign w:val="superscript"/>
        </w:rPr>
        <w:t>®</w:t>
      </w:r>
      <w:r w:rsidRPr="00A43C3E">
        <w:rPr>
          <w:rFonts w:ascii="Arial" w:hAnsi="Arial"/>
          <w:b/>
          <w:sz w:val="28"/>
          <w:szCs w:val="28"/>
        </w:rPr>
        <w:t>,</w:t>
      </w:r>
      <w:r>
        <w:rPr>
          <w:rFonts w:ascii="Arial" w:hAnsi="Arial"/>
          <w:b/>
          <w:sz w:val="28"/>
          <w:szCs w:val="28"/>
        </w:rPr>
        <w:t xml:space="preserve"> </w:t>
      </w:r>
      <w:proofErr w:type="spellStart"/>
      <w:r w:rsidRPr="00A43C3E">
        <w:rPr>
          <w:rFonts w:ascii="Arial" w:hAnsi="Arial"/>
          <w:b/>
          <w:sz w:val="28"/>
          <w:szCs w:val="28"/>
        </w:rPr>
        <w:t>AbbVie</w:t>
      </w:r>
      <w:proofErr w:type="spellEnd"/>
      <w:r w:rsidRPr="00A43C3E">
        <w:rPr>
          <w:rFonts w:ascii="Arial" w:hAnsi="Arial"/>
          <w:b/>
          <w:sz w:val="28"/>
          <w:szCs w:val="28"/>
        </w:rPr>
        <w:t xml:space="preserve"> Pty Ltd</w:t>
      </w:r>
    </w:p>
    <w:p w:rsidR="00CE10C4" w:rsidRDefault="00CE10C4" w:rsidP="00A5273B">
      <w:pPr>
        <w:rPr>
          <w:rFonts w:ascii="Arial" w:hAnsi="Arial"/>
          <w:b/>
        </w:rPr>
      </w:pPr>
    </w:p>
    <w:p w:rsidR="008D447E" w:rsidRPr="006D6EC7" w:rsidRDefault="008D447E" w:rsidP="00A5273B">
      <w:pPr>
        <w:rPr>
          <w:rFonts w:ascii="Arial" w:hAnsi="Arial"/>
          <w:b/>
        </w:rPr>
      </w:pPr>
    </w:p>
    <w:p w:rsidR="00CE10C4" w:rsidRPr="00300C63" w:rsidRDefault="00CE10C4" w:rsidP="00505097">
      <w:pPr>
        <w:pStyle w:val="ListParagraph"/>
        <w:numPr>
          <w:ilvl w:val="0"/>
          <w:numId w:val="1"/>
        </w:numPr>
        <w:jc w:val="both"/>
        <w:rPr>
          <w:rFonts w:ascii="Arial" w:hAnsi="Arial"/>
          <w:b/>
          <w:sz w:val="22"/>
          <w:szCs w:val="22"/>
        </w:rPr>
      </w:pPr>
      <w:r w:rsidRPr="00300C63">
        <w:rPr>
          <w:rFonts w:ascii="Arial" w:hAnsi="Arial"/>
          <w:b/>
          <w:sz w:val="22"/>
          <w:szCs w:val="22"/>
        </w:rPr>
        <w:t xml:space="preserve">Purpose of </w:t>
      </w:r>
      <w:r w:rsidR="0004240E" w:rsidRPr="00300C63">
        <w:rPr>
          <w:rFonts w:ascii="Arial" w:hAnsi="Arial"/>
          <w:b/>
          <w:sz w:val="22"/>
          <w:szCs w:val="22"/>
        </w:rPr>
        <w:t>Application</w:t>
      </w:r>
    </w:p>
    <w:p w:rsidR="006A12A5" w:rsidRPr="00882085" w:rsidRDefault="006A12A5" w:rsidP="00882085">
      <w:pPr>
        <w:jc w:val="both"/>
        <w:rPr>
          <w:rFonts w:ascii="Arial" w:hAnsi="Arial"/>
          <w:sz w:val="22"/>
          <w:szCs w:val="22"/>
        </w:rPr>
      </w:pPr>
    </w:p>
    <w:p w:rsidR="00A43C3E" w:rsidRPr="007D5055" w:rsidRDefault="00A43C3E" w:rsidP="00A43C3E">
      <w:pPr>
        <w:pStyle w:val="ListParagraph"/>
        <w:numPr>
          <w:ilvl w:val="1"/>
          <w:numId w:val="1"/>
        </w:numPr>
        <w:jc w:val="both"/>
        <w:rPr>
          <w:rFonts w:ascii="Arial" w:hAnsi="Arial"/>
          <w:b/>
          <w:sz w:val="22"/>
          <w:szCs w:val="22"/>
        </w:rPr>
      </w:pPr>
      <w:r w:rsidRPr="007D5055">
        <w:rPr>
          <w:rFonts w:ascii="Arial" w:hAnsi="Arial"/>
          <w:sz w:val="22"/>
          <w:szCs w:val="22"/>
        </w:rPr>
        <w:t xml:space="preserve">The major re-submission sought an Authority </w:t>
      </w:r>
      <w:proofErr w:type="gramStart"/>
      <w:r w:rsidRPr="007D5055">
        <w:rPr>
          <w:rFonts w:ascii="Arial" w:hAnsi="Arial"/>
          <w:sz w:val="22"/>
          <w:szCs w:val="22"/>
        </w:rPr>
        <w:t>Required</w:t>
      </w:r>
      <w:proofErr w:type="gramEnd"/>
      <w:r w:rsidRPr="007D5055">
        <w:rPr>
          <w:rFonts w:ascii="Arial" w:hAnsi="Arial"/>
          <w:sz w:val="22"/>
          <w:szCs w:val="22"/>
        </w:rPr>
        <w:t xml:space="preserve"> listing for the treatment of chronic refractory moderately to severely active ulcerative colitis. </w:t>
      </w:r>
    </w:p>
    <w:p w:rsidR="007D5055" w:rsidRPr="007D5055" w:rsidRDefault="007D5055" w:rsidP="007D5055">
      <w:pPr>
        <w:pStyle w:val="ListParagraph"/>
        <w:jc w:val="both"/>
        <w:rPr>
          <w:rFonts w:ascii="Arial" w:hAnsi="Arial"/>
          <w:b/>
          <w:sz w:val="22"/>
          <w:szCs w:val="22"/>
        </w:rPr>
      </w:pPr>
    </w:p>
    <w:p w:rsidR="00614159" w:rsidRPr="007D5055" w:rsidRDefault="006A12A5" w:rsidP="00505097">
      <w:pPr>
        <w:pStyle w:val="ListParagraph"/>
        <w:numPr>
          <w:ilvl w:val="0"/>
          <w:numId w:val="1"/>
        </w:numPr>
        <w:jc w:val="both"/>
        <w:rPr>
          <w:rFonts w:ascii="Arial" w:hAnsi="Arial"/>
          <w:b/>
          <w:sz w:val="22"/>
          <w:szCs w:val="22"/>
        </w:rPr>
      </w:pPr>
      <w:r w:rsidRPr="007D5055">
        <w:rPr>
          <w:rFonts w:ascii="Arial" w:hAnsi="Arial"/>
          <w:b/>
          <w:sz w:val="22"/>
          <w:szCs w:val="22"/>
        </w:rPr>
        <w:t>Requested listing</w:t>
      </w:r>
    </w:p>
    <w:p w:rsidR="006A12A5" w:rsidRPr="007D5055" w:rsidRDefault="006A12A5" w:rsidP="00882085">
      <w:pPr>
        <w:jc w:val="both"/>
        <w:rPr>
          <w:rFonts w:ascii="Arial" w:hAnsi="Arial"/>
          <w:b/>
          <w:sz w:val="22"/>
          <w:szCs w:val="22"/>
        </w:rPr>
      </w:pPr>
    </w:p>
    <w:p w:rsidR="00E16910" w:rsidRPr="007D5055" w:rsidRDefault="00A43C3E" w:rsidP="00505097">
      <w:pPr>
        <w:pStyle w:val="ListParagraph"/>
        <w:numPr>
          <w:ilvl w:val="1"/>
          <w:numId w:val="1"/>
        </w:numPr>
        <w:jc w:val="both"/>
        <w:rPr>
          <w:rFonts w:ascii="Arial" w:hAnsi="Arial"/>
          <w:sz w:val="22"/>
          <w:szCs w:val="22"/>
        </w:rPr>
      </w:pPr>
      <w:r w:rsidRPr="007D5055">
        <w:rPr>
          <w:rFonts w:ascii="Arial" w:hAnsi="Arial"/>
          <w:sz w:val="22"/>
          <w:szCs w:val="22"/>
        </w:rPr>
        <w:t xml:space="preserve">The re-submission sought the following listing: </w:t>
      </w:r>
    </w:p>
    <w:p w:rsidR="00A43C3E" w:rsidRPr="007D5055" w:rsidRDefault="00A43C3E" w:rsidP="00A43C3E">
      <w:pPr>
        <w:pStyle w:val="ListParagraph"/>
        <w:jc w:val="both"/>
        <w:rPr>
          <w:rFonts w:ascii="Arial" w:hAnsi="Arial"/>
          <w:sz w:val="22"/>
          <w:szCs w:val="22"/>
        </w:rPr>
      </w:pPr>
    </w:p>
    <w:tbl>
      <w:tblPr>
        <w:tblW w:w="4464" w:type="pct"/>
        <w:tblInd w:w="737" w:type="dxa"/>
        <w:tblCellMar>
          <w:left w:w="28" w:type="dxa"/>
          <w:right w:w="28" w:type="dxa"/>
        </w:tblCellMar>
        <w:tblLook w:val="0000" w:firstRow="0" w:lastRow="0" w:firstColumn="0" w:lastColumn="0" w:noHBand="0" w:noVBand="0"/>
      </w:tblPr>
      <w:tblGrid>
        <w:gridCol w:w="3762"/>
        <w:gridCol w:w="599"/>
        <w:gridCol w:w="895"/>
        <w:gridCol w:w="1038"/>
        <w:gridCol w:w="1330"/>
      </w:tblGrid>
      <w:tr w:rsidR="007331B8" w:rsidRPr="007D5055" w:rsidTr="007331B8">
        <w:trPr>
          <w:cantSplit/>
          <w:trHeight w:val="76"/>
        </w:trPr>
        <w:tc>
          <w:tcPr>
            <w:tcW w:w="2467" w:type="pct"/>
            <w:tcBorders>
              <w:bottom w:val="single" w:sz="4" w:space="0" w:color="auto"/>
            </w:tcBorders>
            <w:vAlign w:val="center"/>
          </w:tcPr>
          <w:p w:rsidR="007331B8" w:rsidRPr="007D5055" w:rsidRDefault="007331B8" w:rsidP="00A43C3E">
            <w:pPr>
              <w:keepNext/>
              <w:widowControl w:val="0"/>
              <w:rPr>
                <w:rFonts w:ascii="Arial Narrow" w:hAnsi="Arial Narrow"/>
                <w:snapToGrid w:val="0"/>
                <w:sz w:val="20"/>
                <w:szCs w:val="20"/>
                <w:lang w:eastAsia="en-US"/>
              </w:rPr>
            </w:pPr>
            <w:r w:rsidRPr="007D5055">
              <w:rPr>
                <w:rFonts w:ascii="Arial Narrow" w:hAnsi="Arial Narrow"/>
                <w:snapToGrid w:val="0"/>
                <w:sz w:val="20"/>
                <w:szCs w:val="20"/>
                <w:lang w:eastAsia="en-US"/>
              </w:rPr>
              <w:t>Name, Restriction,</w:t>
            </w:r>
          </w:p>
          <w:p w:rsidR="007331B8" w:rsidRPr="007D5055" w:rsidRDefault="007331B8" w:rsidP="00A43C3E">
            <w:pPr>
              <w:keepNext/>
              <w:widowControl w:val="0"/>
              <w:rPr>
                <w:rFonts w:ascii="Arial Narrow" w:hAnsi="Arial Narrow"/>
                <w:snapToGrid w:val="0"/>
                <w:sz w:val="20"/>
                <w:szCs w:val="20"/>
                <w:lang w:eastAsia="en-US"/>
              </w:rPr>
            </w:pPr>
            <w:r w:rsidRPr="007D5055">
              <w:rPr>
                <w:rFonts w:ascii="Arial Narrow" w:hAnsi="Arial Narrow"/>
                <w:snapToGrid w:val="0"/>
                <w:sz w:val="20"/>
                <w:szCs w:val="20"/>
                <w:lang w:eastAsia="en-US"/>
              </w:rPr>
              <w:t>Manner of administration and form</w:t>
            </w:r>
          </w:p>
        </w:tc>
        <w:tc>
          <w:tcPr>
            <w:tcW w:w="393" w:type="pct"/>
            <w:tcBorders>
              <w:bottom w:val="single" w:sz="4" w:space="0" w:color="auto"/>
            </w:tcBorders>
            <w:vAlign w:val="center"/>
          </w:tcPr>
          <w:p w:rsidR="007331B8" w:rsidRPr="007D5055" w:rsidRDefault="007331B8" w:rsidP="00A43C3E">
            <w:pPr>
              <w:keepNext/>
              <w:widowControl w:val="0"/>
              <w:jc w:val="center"/>
              <w:rPr>
                <w:rFonts w:ascii="Arial Narrow" w:hAnsi="Arial Narrow"/>
                <w:snapToGrid w:val="0"/>
                <w:sz w:val="20"/>
                <w:szCs w:val="20"/>
                <w:lang w:eastAsia="en-US"/>
              </w:rPr>
            </w:pPr>
            <w:r w:rsidRPr="007D5055">
              <w:rPr>
                <w:rFonts w:ascii="Arial Narrow" w:hAnsi="Arial Narrow"/>
                <w:snapToGrid w:val="0"/>
                <w:sz w:val="20"/>
                <w:szCs w:val="20"/>
                <w:lang w:eastAsia="en-US"/>
              </w:rPr>
              <w:t>Max.</w:t>
            </w:r>
          </w:p>
          <w:p w:rsidR="007331B8" w:rsidRPr="007D5055" w:rsidRDefault="007331B8" w:rsidP="00A43C3E">
            <w:pPr>
              <w:keepNext/>
              <w:widowControl w:val="0"/>
              <w:jc w:val="center"/>
              <w:rPr>
                <w:rFonts w:ascii="Arial Narrow" w:hAnsi="Arial Narrow"/>
                <w:snapToGrid w:val="0"/>
                <w:sz w:val="20"/>
                <w:szCs w:val="20"/>
                <w:lang w:eastAsia="en-US"/>
              </w:rPr>
            </w:pPr>
            <w:proofErr w:type="spellStart"/>
            <w:r w:rsidRPr="007D5055">
              <w:rPr>
                <w:rFonts w:ascii="Arial Narrow" w:hAnsi="Arial Narrow"/>
                <w:snapToGrid w:val="0"/>
                <w:sz w:val="20"/>
                <w:szCs w:val="20"/>
                <w:lang w:eastAsia="en-US"/>
              </w:rPr>
              <w:t>Qty</w:t>
            </w:r>
            <w:proofErr w:type="spellEnd"/>
          </w:p>
        </w:tc>
        <w:tc>
          <w:tcPr>
            <w:tcW w:w="587" w:type="pct"/>
            <w:tcBorders>
              <w:bottom w:val="single" w:sz="4" w:space="0" w:color="auto"/>
            </w:tcBorders>
            <w:vAlign w:val="center"/>
          </w:tcPr>
          <w:p w:rsidR="007331B8" w:rsidRPr="007D5055" w:rsidRDefault="007331B8" w:rsidP="00A43C3E">
            <w:pPr>
              <w:keepNext/>
              <w:widowControl w:val="0"/>
              <w:jc w:val="center"/>
              <w:rPr>
                <w:rFonts w:ascii="Arial Narrow" w:hAnsi="Arial Narrow"/>
                <w:snapToGrid w:val="0"/>
                <w:sz w:val="20"/>
                <w:szCs w:val="20"/>
                <w:lang w:eastAsia="en-US"/>
              </w:rPr>
            </w:pPr>
            <w:r w:rsidRPr="007D5055">
              <w:rPr>
                <w:snapToGrid w:val="0"/>
                <w:sz w:val="20"/>
                <w:szCs w:val="20"/>
                <w:lang w:eastAsia="en-US"/>
              </w:rPr>
              <w:t>№</w:t>
            </w:r>
            <w:r w:rsidRPr="007D5055">
              <w:rPr>
                <w:rFonts w:ascii="Arial Narrow" w:hAnsi="Arial Narrow"/>
                <w:snapToGrid w:val="0"/>
                <w:sz w:val="20"/>
                <w:szCs w:val="20"/>
                <w:lang w:eastAsia="en-US"/>
              </w:rPr>
              <w:t>.of</w:t>
            </w:r>
          </w:p>
          <w:p w:rsidR="007331B8" w:rsidRPr="007D5055" w:rsidRDefault="007331B8" w:rsidP="00A43C3E">
            <w:pPr>
              <w:keepNext/>
              <w:widowControl w:val="0"/>
              <w:jc w:val="center"/>
              <w:rPr>
                <w:rFonts w:ascii="Arial Narrow" w:hAnsi="Arial Narrow"/>
                <w:snapToGrid w:val="0"/>
                <w:sz w:val="20"/>
                <w:szCs w:val="20"/>
                <w:lang w:eastAsia="en-US"/>
              </w:rPr>
            </w:pPr>
            <w:proofErr w:type="spellStart"/>
            <w:r w:rsidRPr="007D5055">
              <w:rPr>
                <w:rFonts w:ascii="Arial Narrow" w:hAnsi="Arial Narrow"/>
                <w:snapToGrid w:val="0"/>
                <w:sz w:val="20"/>
                <w:szCs w:val="20"/>
                <w:lang w:eastAsia="en-US"/>
              </w:rPr>
              <w:t>Rpts</w:t>
            </w:r>
            <w:proofErr w:type="spellEnd"/>
          </w:p>
        </w:tc>
        <w:tc>
          <w:tcPr>
            <w:tcW w:w="1554" w:type="pct"/>
            <w:gridSpan w:val="2"/>
            <w:tcBorders>
              <w:bottom w:val="single" w:sz="4" w:space="0" w:color="auto"/>
            </w:tcBorders>
            <w:vAlign w:val="center"/>
          </w:tcPr>
          <w:p w:rsidR="007331B8" w:rsidRPr="007D5055" w:rsidRDefault="007331B8" w:rsidP="00A43C3E">
            <w:pPr>
              <w:keepNext/>
              <w:widowControl w:val="0"/>
              <w:jc w:val="center"/>
              <w:rPr>
                <w:rFonts w:ascii="Arial Narrow" w:hAnsi="Arial Narrow"/>
                <w:snapToGrid w:val="0"/>
                <w:sz w:val="20"/>
                <w:szCs w:val="20"/>
                <w:lang w:val="fr-FR" w:eastAsia="en-US"/>
              </w:rPr>
            </w:pPr>
            <w:r w:rsidRPr="007D5055">
              <w:rPr>
                <w:rFonts w:ascii="Arial Narrow" w:hAnsi="Arial Narrow"/>
                <w:snapToGrid w:val="0"/>
                <w:sz w:val="20"/>
                <w:szCs w:val="20"/>
                <w:lang w:eastAsia="en-US"/>
              </w:rPr>
              <w:t>Proprietary Name and Manufacturer</w:t>
            </w:r>
          </w:p>
        </w:tc>
      </w:tr>
      <w:tr w:rsidR="007331B8" w:rsidRPr="007D5055" w:rsidTr="007331B8">
        <w:trPr>
          <w:cantSplit/>
          <w:trHeight w:val="549"/>
        </w:trPr>
        <w:tc>
          <w:tcPr>
            <w:tcW w:w="2467" w:type="pct"/>
            <w:tcBorders>
              <w:top w:val="single" w:sz="4" w:space="0" w:color="auto"/>
            </w:tcBorders>
          </w:tcPr>
          <w:p w:rsidR="007331B8" w:rsidRPr="007D5055" w:rsidRDefault="007331B8" w:rsidP="00A43C3E">
            <w:pPr>
              <w:keepNext/>
              <w:widowControl w:val="0"/>
              <w:rPr>
                <w:rFonts w:ascii="Arial Narrow" w:hAnsi="Arial Narrow"/>
                <w:smallCaps/>
                <w:snapToGrid w:val="0"/>
                <w:sz w:val="20"/>
                <w:szCs w:val="20"/>
                <w:lang w:eastAsia="en-US"/>
              </w:rPr>
            </w:pPr>
            <w:proofErr w:type="spellStart"/>
            <w:r w:rsidRPr="007D5055">
              <w:rPr>
                <w:rFonts w:ascii="Arial Narrow" w:hAnsi="Arial Narrow"/>
                <w:smallCaps/>
                <w:snapToGrid w:val="0"/>
                <w:sz w:val="20"/>
                <w:szCs w:val="20"/>
                <w:lang w:eastAsia="en-US"/>
              </w:rPr>
              <w:t>Adalimumab</w:t>
            </w:r>
            <w:proofErr w:type="spellEnd"/>
          </w:p>
          <w:p w:rsidR="007331B8" w:rsidRPr="007D5055" w:rsidRDefault="007331B8" w:rsidP="00A43C3E">
            <w:pPr>
              <w:keepNext/>
              <w:widowControl w:val="0"/>
              <w:rPr>
                <w:rFonts w:ascii="Arial Narrow" w:hAnsi="Arial Narrow"/>
                <w:snapToGrid w:val="0"/>
                <w:sz w:val="20"/>
                <w:szCs w:val="20"/>
                <w:lang w:eastAsia="en-US"/>
              </w:rPr>
            </w:pPr>
            <w:r w:rsidRPr="007D5055">
              <w:rPr>
                <w:rFonts w:ascii="Arial Narrow" w:hAnsi="Arial Narrow"/>
                <w:snapToGrid w:val="0"/>
                <w:sz w:val="20"/>
                <w:szCs w:val="20"/>
                <w:lang w:eastAsia="en-US"/>
              </w:rPr>
              <w:t>40 mg in 0.8 mL injection, 2 x 0.8 mL cartridges</w:t>
            </w:r>
          </w:p>
          <w:p w:rsidR="007331B8" w:rsidRDefault="007331B8" w:rsidP="00A43C3E">
            <w:pPr>
              <w:keepNext/>
              <w:widowControl w:val="0"/>
              <w:rPr>
                <w:rFonts w:ascii="Arial Narrow" w:hAnsi="Arial Narrow"/>
                <w:snapToGrid w:val="0"/>
                <w:sz w:val="20"/>
                <w:szCs w:val="20"/>
                <w:lang w:eastAsia="en-US"/>
              </w:rPr>
            </w:pPr>
          </w:p>
          <w:p w:rsidR="007331B8" w:rsidRPr="007D5055" w:rsidRDefault="007331B8" w:rsidP="00A43C3E">
            <w:pPr>
              <w:keepNext/>
              <w:widowControl w:val="0"/>
              <w:rPr>
                <w:rFonts w:ascii="Arial Narrow" w:hAnsi="Arial Narrow"/>
                <w:snapToGrid w:val="0"/>
                <w:sz w:val="20"/>
                <w:szCs w:val="20"/>
                <w:lang w:eastAsia="en-US"/>
              </w:rPr>
            </w:pPr>
            <w:r w:rsidRPr="007D5055">
              <w:rPr>
                <w:rFonts w:ascii="Arial Narrow" w:hAnsi="Arial Narrow"/>
                <w:snapToGrid w:val="0"/>
                <w:sz w:val="20"/>
                <w:szCs w:val="20"/>
                <w:lang w:eastAsia="en-US"/>
              </w:rPr>
              <w:t>40 mg in 0.8 mL injection, 2 x 0.8 mL syringes</w:t>
            </w:r>
          </w:p>
          <w:p w:rsidR="007331B8" w:rsidRDefault="007331B8" w:rsidP="00A43C3E">
            <w:pPr>
              <w:keepNext/>
              <w:widowControl w:val="0"/>
              <w:rPr>
                <w:rFonts w:ascii="Arial Narrow" w:hAnsi="Arial Narrow"/>
                <w:snapToGrid w:val="0"/>
                <w:sz w:val="20"/>
                <w:szCs w:val="20"/>
                <w:lang w:eastAsia="en-US"/>
              </w:rPr>
            </w:pPr>
          </w:p>
          <w:p w:rsidR="007331B8" w:rsidRPr="007D5055" w:rsidRDefault="007331B8" w:rsidP="00A43C3E">
            <w:pPr>
              <w:keepNext/>
              <w:widowControl w:val="0"/>
              <w:rPr>
                <w:rFonts w:ascii="Arial Narrow" w:hAnsi="Arial Narrow"/>
                <w:snapToGrid w:val="0"/>
                <w:sz w:val="20"/>
                <w:szCs w:val="20"/>
                <w:lang w:eastAsia="en-US"/>
              </w:rPr>
            </w:pPr>
            <w:r w:rsidRPr="007D5055">
              <w:rPr>
                <w:rFonts w:ascii="Arial Narrow" w:hAnsi="Arial Narrow"/>
                <w:snapToGrid w:val="0"/>
                <w:sz w:val="20"/>
                <w:szCs w:val="20"/>
                <w:lang w:eastAsia="en-US"/>
              </w:rPr>
              <w:t>40 mg in 0.8 mL injection, 6 x 0.8 mL cartridges</w:t>
            </w:r>
          </w:p>
          <w:p w:rsidR="007331B8" w:rsidRDefault="007331B8" w:rsidP="00A43C3E">
            <w:pPr>
              <w:keepNext/>
              <w:widowControl w:val="0"/>
              <w:rPr>
                <w:rFonts w:ascii="Arial Narrow" w:hAnsi="Arial Narrow"/>
                <w:snapToGrid w:val="0"/>
                <w:sz w:val="20"/>
                <w:szCs w:val="20"/>
                <w:lang w:eastAsia="en-US"/>
              </w:rPr>
            </w:pPr>
          </w:p>
          <w:p w:rsidR="007331B8" w:rsidRPr="007D5055" w:rsidRDefault="007331B8" w:rsidP="00A43C3E">
            <w:pPr>
              <w:keepNext/>
              <w:widowControl w:val="0"/>
              <w:rPr>
                <w:rFonts w:ascii="Arial Narrow" w:hAnsi="Arial Narrow"/>
                <w:snapToGrid w:val="0"/>
                <w:sz w:val="20"/>
                <w:szCs w:val="20"/>
                <w:lang w:eastAsia="en-US"/>
              </w:rPr>
            </w:pPr>
            <w:r w:rsidRPr="007D5055">
              <w:rPr>
                <w:rFonts w:ascii="Arial Narrow" w:hAnsi="Arial Narrow"/>
                <w:snapToGrid w:val="0"/>
                <w:sz w:val="20"/>
                <w:szCs w:val="20"/>
                <w:lang w:eastAsia="en-US"/>
              </w:rPr>
              <w:t>40 mg in 0.8 mL injection, 6 x 0.8 mL syringes</w:t>
            </w:r>
          </w:p>
          <w:p w:rsidR="007331B8" w:rsidRPr="007D5055" w:rsidRDefault="007331B8" w:rsidP="00A43C3E">
            <w:pPr>
              <w:keepNext/>
              <w:widowControl w:val="0"/>
              <w:rPr>
                <w:rFonts w:ascii="Arial Narrow" w:hAnsi="Arial Narrow"/>
                <w:snapToGrid w:val="0"/>
                <w:sz w:val="12"/>
                <w:szCs w:val="12"/>
                <w:lang w:eastAsia="en-US"/>
              </w:rPr>
            </w:pPr>
          </w:p>
          <w:p w:rsidR="007331B8" w:rsidRPr="007D5055" w:rsidRDefault="007331B8" w:rsidP="00A43C3E">
            <w:pPr>
              <w:widowControl w:val="0"/>
              <w:rPr>
                <w:rFonts w:ascii="Arial Narrow" w:hAnsi="Arial Narrow" w:cs="Arial"/>
                <w:snapToGrid w:val="0"/>
                <w:sz w:val="16"/>
                <w:szCs w:val="16"/>
                <w:lang w:eastAsia="en-US"/>
              </w:rPr>
            </w:pPr>
          </w:p>
        </w:tc>
        <w:tc>
          <w:tcPr>
            <w:tcW w:w="393" w:type="pct"/>
            <w:tcBorders>
              <w:top w:val="single" w:sz="4" w:space="0" w:color="auto"/>
            </w:tcBorders>
          </w:tcPr>
          <w:p w:rsidR="007331B8" w:rsidRPr="007D5055" w:rsidRDefault="007331B8" w:rsidP="00A43C3E">
            <w:pPr>
              <w:keepNext/>
              <w:widowControl w:val="0"/>
              <w:jc w:val="center"/>
              <w:rPr>
                <w:rFonts w:ascii="Arial Narrow" w:hAnsi="Arial Narrow"/>
                <w:snapToGrid w:val="0"/>
                <w:sz w:val="20"/>
                <w:szCs w:val="20"/>
                <w:lang w:eastAsia="en-US"/>
              </w:rPr>
            </w:pPr>
          </w:p>
          <w:p w:rsidR="007331B8" w:rsidRPr="007D5055" w:rsidRDefault="007331B8" w:rsidP="00A43C3E">
            <w:pPr>
              <w:keepNext/>
              <w:widowControl w:val="0"/>
              <w:jc w:val="center"/>
              <w:rPr>
                <w:rFonts w:ascii="Arial Narrow" w:hAnsi="Arial Narrow"/>
                <w:snapToGrid w:val="0"/>
                <w:sz w:val="20"/>
                <w:szCs w:val="20"/>
                <w:lang w:eastAsia="en-US"/>
              </w:rPr>
            </w:pPr>
            <w:r w:rsidRPr="007D5055">
              <w:rPr>
                <w:rFonts w:ascii="Arial Narrow" w:hAnsi="Arial Narrow"/>
                <w:snapToGrid w:val="0"/>
                <w:sz w:val="20"/>
                <w:szCs w:val="20"/>
                <w:lang w:eastAsia="en-US"/>
              </w:rPr>
              <w:t>1</w:t>
            </w:r>
          </w:p>
          <w:p w:rsidR="007331B8" w:rsidRPr="007D5055" w:rsidRDefault="007331B8" w:rsidP="00A43C3E">
            <w:pPr>
              <w:keepNext/>
              <w:widowControl w:val="0"/>
              <w:jc w:val="center"/>
              <w:rPr>
                <w:rFonts w:ascii="Arial Narrow" w:hAnsi="Arial Narrow"/>
                <w:snapToGrid w:val="0"/>
                <w:sz w:val="20"/>
                <w:szCs w:val="20"/>
                <w:lang w:eastAsia="en-US"/>
              </w:rPr>
            </w:pPr>
          </w:p>
          <w:p w:rsidR="007331B8" w:rsidRPr="007D5055" w:rsidRDefault="007331B8" w:rsidP="00A43C3E">
            <w:pPr>
              <w:keepNext/>
              <w:widowControl w:val="0"/>
              <w:jc w:val="center"/>
              <w:rPr>
                <w:rFonts w:ascii="Arial Narrow" w:hAnsi="Arial Narrow"/>
                <w:snapToGrid w:val="0"/>
                <w:sz w:val="20"/>
                <w:szCs w:val="20"/>
                <w:lang w:eastAsia="en-US"/>
              </w:rPr>
            </w:pPr>
            <w:r w:rsidRPr="007D5055">
              <w:rPr>
                <w:rFonts w:ascii="Arial Narrow" w:hAnsi="Arial Narrow"/>
                <w:snapToGrid w:val="0"/>
                <w:sz w:val="20"/>
                <w:szCs w:val="20"/>
                <w:lang w:eastAsia="en-US"/>
              </w:rPr>
              <w:t>1</w:t>
            </w:r>
          </w:p>
          <w:p w:rsidR="007331B8" w:rsidRPr="007D5055" w:rsidRDefault="007331B8" w:rsidP="00A43C3E">
            <w:pPr>
              <w:keepNext/>
              <w:widowControl w:val="0"/>
              <w:jc w:val="center"/>
              <w:rPr>
                <w:rFonts w:ascii="Arial Narrow" w:hAnsi="Arial Narrow"/>
                <w:snapToGrid w:val="0"/>
                <w:sz w:val="20"/>
                <w:szCs w:val="20"/>
                <w:lang w:eastAsia="en-US"/>
              </w:rPr>
            </w:pPr>
          </w:p>
          <w:p w:rsidR="007331B8" w:rsidRPr="007D5055" w:rsidRDefault="007331B8" w:rsidP="00A43C3E">
            <w:pPr>
              <w:keepNext/>
              <w:widowControl w:val="0"/>
              <w:jc w:val="center"/>
              <w:rPr>
                <w:rFonts w:ascii="Arial Narrow" w:hAnsi="Arial Narrow"/>
                <w:snapToGrid w:val="0"/>
                <w:sz w:val="20"/>
                <w:szCs w:val="20"/>
                <w:lang w:eastAsia="en-US"/>
              </w:rPr>
            </w:pPr>
            <w:r w:rsidRPr="007D5055">
              <w:rPr>
                <w:rFonts w:ascii="Arial Narrow" w:hAnsi="Arial Narrow"/>
                <w:snapToGrid w:val="0"/>
                <w:sz w:val="20"/>
                <w:szCs w:val="20"/>
                <w:lang w:eastAsia="en-US"/>
              </w:rPr>
              <w:t>1</w:t>
            </w:r>
          </w:p>
          <w:p w:rsidR="007331B8" w:rsidRPr="007D5055" w:rsidRDefault="007331B8" w:rsidP="00A43C3E">
            <w:pPr>
              <w:keepNext/>
              <w:widowControl w:val="0"/>
              <w:jc w:val="center"/>
              <w:rPr>
                <w:rFonts w:ascii="Arial Narrow" w:hAnsi="Arial Narrow"/>
                <w:snapToGrid w:val="0"/>
                <w:sz w:val="20"/>
                <w:szCs w:val="20"/>
                <w:lang w:eastAsia="en-US"/>
              </w:rPr>
            </w:pPr>
          </w:p>
          <w:p w:rsidR="007331B8" w:rsidRPr="007D5055" w:rsidRDefault="007331B8" w:rsidP="00A43C3E">
            <w:pPr>
              <w:keepNext/>
              <w:widowControl w:val="0"/>
              <w:jc w:val="center"/>
              <w:rPr>
                <w:rFonts w:ascii="Arial Narrow" w:hAnsi="Arial Narrow"/>
                <w:snapToGrid w:val="0"/>
                <w:sz w:val="20"/>
                <w:szCs w:val="20"/>
                <w:lang w:eastAsia="en-US"/>
              </w:rPr>
            </w:pPr>
            <w:r w:rsidRPr="007D5055">
              <w:rPr>
                <w:rFonts w:ascii="Arial Narrow" w:hAnsi="Arial Narrow"/>
                <w:snapToGrid w:val="0"/>
                <w:sz w:val="20"/>
                <w:szCs w:val="20"/>
                <w:lang w:eastAsia="en-US"/>
              </w:rPr>
              <w:t>1</w:t>
            </w:r>
          </w:p>
        </w:tc>
        <w:tc>
          <w:tcPr>
            <w:tcW w:w="587" w:type="pct"/>
            <w:tcBorders>
              <w:top w:val="single" w:sz="4" w:space="0" w:color="auto"/>
            </w:tcBorders>
          </w:tcPr>
          <w:p w:rsidR="007331B8" w:rsidRPr="007D5055" w:rsidRDefault="007331B8" w:rsidP="00A43C3E">
            <w:pPr>
              <w:keepNext/>
              <w:widowControl w:val="0"/>
              <w:jc w:val="center"/>
              <w:rPr>
                <w:rFonts w:ascii="Arial Narrow" w:hAnsi="Arial Narrow"/>
                <w:snapToGrid w:val="0"/>
                <w:sz w:val="20"/>
                <w:szCs w:val="20"/>
                <w:lang w:eastAsia="en-US"/>
              </w:rPr>
            </w:pPr>
          </w:p>
          <w:p w:rsidR="007331B8" w:rsidRPr="007D5055" w:rsidRDefault="007331B8" w:rsidP="00A43C3E">
            <w:pPr>
              <w:keepNext/>
              <w:widowControl w:val="0"/>
              <w:jc w:val="center"/>
              <w:rPr>
                <w:rFonts w:ascii="Arial Narrow" w:hAnsi="Arial Narrow"/>
                <w:snapToGrid w:val="0"/>
                <w:sz w:val="20"/>
                <w:szCs w:val="20"/>
                <w:lang w:eastAsia="en-US"/>
              </w:rPr>
            </w:pPr>
            <w:r w:rsidRPr="007D5055">
              <w:rPr>
                <w:rFonts w:ascii="Arial Narrow" w:hAnsi="Arial Narrow"/>
                <w:snapToGrid w:val="0"/>
                <w:sz w:val="20"/>
                <w:szCs w:val="20"/>
                <w:lang w:eastAsia="en-US"/>
              </w:rPr>
              <w:t>1</w:t>
            </w:r>
          </w:p>
          <w:p w:rsidR="007331B8" w:rsidRPr="007D5055" w:rsidRDefault="007331B8" w:rsidP="00A43C3E">
            <w:pPr>
              <w:keepNext/>
              <w:widowControl w:val="0"/>
              <w:jc w:val="center"/>
              <w:rPr>
                <w:rFonts w:ascii="Arial Narrow" w:hAnsi="Arial Narrow"/>
                <w:snapToGrid w:val="0"/>
                <w:sz w:val="20"/>
                <w:szCs w:val="20"/>
                <w:lang w:eastAsia="en-US"/>
              </w:rPr>
            </w:pPr>
          </w:p>
          <w:p w:rsidR="007331B8" w:rsidRPr="007D5055" w:rsidRDefault="007331B8" w:rsidP="00A43C3E">
            <w:pPr>
              <w:keepNext/>
              <w:widowControl w:val="0"/>
              <w:jc w:val="center"/>
              <w:rPr>
                <w:rFonts w:ascii="Arial Narrow" w:hAnsi="Arial Narrow"/>
                <w:snapToGrid w:val="0"/>
                <w:sz w:val="20"/>
                <w:szCs w:val="20"/>
                <w:lang w:eastAsia="en-US"/>
              </w:rPr>
            </w:pPr>
            <w:r w:rsidRPr="007D5055">
              <w:rPr>
                <w:rFonts w:ascii="Arial Narrow" w:hAnsi="Arial Narrow"/>
                <w:snapToGrid w:val="0"/>
                <w:sz w:val="20"/>
                <w:szCs w:val="20"/>
                <w:lang w:eastAsia="en-US"/>
              </w:rPr>
              <w:t>1</w:t>
            </w:r>
          </w:p>
          <w:p w:rsidR="007331B8" w:rsidRPr="007D5055" w:rsidRDefault="007331B8" w:rsidP="00A43C3E">
            <w:pPr>
              <w:keepNext/>
              <w:widowControl w:val="0"/>
              <w:jc w:val="center"/>
              <w:rPr>
                <w:rFonts w:ascii="Arial Narrow" w:hAnsi="Arial Narrow"/>
                <w:snapToGrid w:val="0"/>
                <w:sz w:val="20"/>
                <w:szCs w:val="20"/>
                <w:lang w:eastAsia="en-US"/>
              </w:rPr>
            </w:pPr>
          </w:p>
          <w:p w:rsidR="007331B8" w:rsidRPr="007D5055" w:rsidRDefault="007331B8" w:rsidP="00A43C3E">
            <w:pPr>
              <w:keepNext/>
              <w:widowControl w:val="0"/>
              <w:jc w:val="center"/>
              <w:rPr>
                <w:rFonts w:ascii="Arial Narrow" w:hAnsi="Arial Narrow"/>
                <w:snapToGrid w:val="0"/>
                <w:sz w:val="20"/>
                <w:szCs w:val="20"/>
                <w:lang w:eastAsia="en-US"/>
              </w:rPr>
            </w:pPr>
            <w:r w:rsidRPr="007D5055">
              <w:rPr>
                <w:rFonts w:ascii="Arial Narrow" w:hAnsi="Arial Narrow"/>
                <w:snapToGrid w:val="0"/>
                <w:sz w:val="20"/>
                <w:szCs w:val="20"/>
                <w:lang w:eastAsia="en-US"/>
              </w:rPr>
              <w:t>0</w:t>
            </w:r>
          </w:p>
          <w:p w:rsidR="007331B8" w:rsidRPr="007D5055" w:rsidRDefault="007331B8" w:rsidP="00A43C3E">
            <w:pPr>
              <w:keepNext/>
              <w:widowControl w:val="0"/>
              <w:jc w:val="center"/>
              <w:rPr>
                <w:rFonts w:ascii="Arial Narrow" w:hAnsi="Arial Narrow"/>
                <w:snapToGrid w:val="0"/>
                <w:sz w:val="20"/>
                <w:szCs w:val="20"/>
                <w:lang w:eastAsia="en-US"/>
              </w:rPr>
            </w:pPr>
          </w:p>
          <w:p w:rsidR="007331B8" w:rsidRPr="007D5055" w:rsidRDefault="007331B8" w:rsidP="00A43C3E">
            <w:pPr>
              <w:keepNext/>
              <w:widowControl w:val="0"/>
              <w:jc w:val="center"/>
              <w:rPr>
                <w:rFonts w:ascii="Arial Narrow" w:hAnsi="Arial Narrow"/>
                <w:snapToGrid w:val="0"/>
                <w:sz w:val="20"/>
                <w:szCs w:val="20"/>
                <w:lang w:eastAsia="en-US"/>
              </w:rPr>
            </w:pPr>
            <w:r w:rsidRPr="007D5055">
              <w:rPr>
                <w:rFonts w:ascii="Arial Narrow" w:hAnsi="Arial Narrow"/>
                <w:snapToGrid w:val="0"/>
                <w:sz w:val="20"/>
                <w:szCs w:val="20"/>
                <w:lang w:eastAsia="en-US"/>
              </w:rPr>
              <w:t>0</w:t>
            </w:r>
          </w:p>
        </w:tc>
        <w:tc>
          <w:tcPr>
            <w:tcW w:w="681" w:type="pct"/>
            <w:tcBorders>
              <w:top w:val="single" w:sz="4" w:space="0" w:color="auto"/>
            </w:tcBorders>
          </w:tcPr>
          <w:p w:rsidR="007331B8" w:rsidRPr="007D5055" w:rsidRDefault="007331B8" w:rsidP="00A43C3E">
            <w:pPr>
              <w:keepNext/>
              <w:widowControl w:val="0"/>
              <w:jc w:val="center"/>
              <w:rPr>
                <w:rFonts w:ascii="Arial Narrow" w:hAnsi="Arial Narrow"/>
                <w:snapToGrid w:val="0"/>
                <w:sz w:val="20"/>
                <w:szCs w:val="20"/>
                <w:lang w:eastAsia="en-US"/>
              </w:rPr>
            </w:pPr>
          </w:p>
          <w:p w:rsidR="007331B8" w:rsidRPr="007D5055" w:rsidRDefault="007331B8" w:rsidP="00A43C3E">
            <w:pPr>
              <w:keepNext/>
              <w:widowControl w:val="0"/>
              <w:jc w:val="center"/>
              <w:rPr>
                <w:rFonts w:ascii="Arial Narrow" w:hAnsi="Arial Narrow"/>
                <w:snapToGrid w:val="0"/>
                <w:sz w:val="20"/>
                <w:szCs w:val="20"/>
                <w:lang w:eastAsia="en-US"/>
              </w:rPr>
            </w:pPr>
            <w:proofErr w:type="spellStart"/>
            <w:r w:rsidRPr="007D5055">
              <w:rPr>
                <w:rFonts w:ascii="Arial Narrow" w:hAnsi="Arial Narrow"/>
                <w:snapToGrid w:val="0"/>
                <w:sz w:val="20"/>
                <w:szCs w:val="20"/>
                <w:lang w:eastAsia="en-US"/>
              </w:rPr>
              <w:t>Humira</w:t>
            </w:r>
            <w:proofErr w:type="spellEnd"/>
          </w:p>
          <w:p w:rsidR="007331B8" w:rsidRPr="007D5055" w:rsidRDefault="007331B8" w:rsidP="00A43C3E">
            <w:pPr>
              <w:keepNext/>
              <w:widowControl w:val="0"/>
              <w:jc w:val="center"/>
              <w:rPr>
                <w:rFonts w:ascii="Arial Narrow" w:hAnsi="Arial Narrow"/>
                <w:snapToGrid w:val="0"/>
                <w:sz w:val="20"/>
                <w:szCs w:val="20"/>
                <w:lang w:eastAsia="en-US"/>
              </w:rPr>
            </w:pPr>
          </w:p>
          <w:p w:rsidR="007331B8" w:rsidRPr="007D5055" w:rsidRDefault="007331B8" w:rsidP="00A43C3E">
            <w:pPr>
              <w:keepNext/>
              <w:widowControl w:val="0"/>
              <w:jc w:val="center"/>
              <w:rPr>
                <w:rFonts w:ascii="Arial Narrow" w:hAnsi="Arial Narrow"/>
                <w:snapToGrid w:val="0"/>
                <w:sz w:val="20"/>
                <w:szCs w:val="20"/>
                <w:lang w:eastAsia="en-US"/>
              </w:rPr>
            </w:pPr>
            <w:proofErr w:type="spellStart"/>
            <w:r w:rsidRPr="007D5055">
              <w:rPr>
                <w:rFonts w:ascii="Arial Narrow" w:hAnsi="Arial Narrow"/>
                <w:snapToGrid w:val="0"/>
                <w:sz w:val="20"/>
                <w:szCs w:val="20"/>
                <w:lang w:eastAsia="en-US"/>
              </w:rPr>
              <w:t>Humira</w:t>
            </w:r>
            <w:proofErr w:type="spellEnd"/>
          </w:p>
          <w:p w:rsidR="007331B8" w:rsidRPr="007D5055" w:rsidRDefault="007331B8" w:rsidP="00A43C3E">
            <w:pPr>
              <w:keepNext/>
              <w:widowControl w:val="0"/>
              <w:jc w:val="center"/>
              <w:rPr>
                <w:rFonts w:ascii="Arial Narrow" w:hAnsi="Arial Narrow"/>
                <w:snapToGrid w:val="0"/>
                <w:sz w:val="20"/>
                <w:szCs w:val="20"/>
                <w:lang w:eastAsia="en-US"/>
              </w:rPr>
            </w:pPr>
          </w:p>
          <w:p w:rsidR="007331B8" w:rsidRPr="007D5055" w:rsidRDefault="007331B8" w:rsidP="00A43C3E">
            <w:pPr>
              <w:keepNext/>
              <w:widowControl w:val="0"/>
              <w:jc w:val="center"/>
              <w:rPr>
                <w:rFonts w:ascii="Arial Narrow" w:hAnsi="Arial Narrow"/>
                <w:snapToGrid w:val="0"/>
                <w:sz w:val="20"/>
                <w:szCs w:val="20"/>
                <w:lang w:eastAsia="en-US"/>
              </w:rPr>
            </w:pPr>
            <w:proofErr w:type="spellStart"/>
            <w:r w:rsidRPr="007D5055">
              <w:rPr>
                <w:rFonts w:ascii="Arial Narrow" w:hAnsi="Arial Narrow"/>
                <w:snapToGrid w:val="0"/>
                <w:sz w:val="20"/>
                <w:szCs w:val="20"/>
                <w:lang w:eastAsia="en-US"/>
              </w:rPr>
              <w:t>Humira</w:t>
            </w:r>
            <w:proofErr w:type="spellEnd"/>
          </w:p>
          <w:p w:rsidR="007331B8" w:rsidRPr="007D5055" w:rsidRDefault="007331B8" w:rsidP="00A43C3E">
            <w:pPr>
              <w:keepNext/>
              <w:widowControl w:val="0"/>
              <w:jc w:val="center"/>
              <w:rPr>
                <w:rFonts w:ascii="Arial Narrow" w:hAnsi="Arial Narrow"/>
                <w:snapToGrid w:val="0"/>
                <w:sz w:val="20"/>
                <w:szCs w:val="20"/>
                <w:lang w:eastAsia="en-US"/>
              </w:rPr>
            </w:pPr>
          </w:p>
          <w:p w:rsidR="007331B8" w:rsidRPr="007D5055" w:rsidRDefault="007331B8" w:rsidP="00A43C3E">
            <w:pPr>
              <w:keepNext/>
              <w:widowControl w:val="0"/>
              <w:jc w:val="center"/>
              <w:rPr>
                <w:rFonts w:ascii="Arial Narrow" w:hAnsi="Arial Narrow"/>
                <w:snapToGrid w:val="0"/>
                <w:sz w:val="20"/>
                <w:szCs w:val="20"/>
                <w:lang w:eastAsia="en-US"/>
              </w:rPr>
            </w:pPr>
            <w:proofErr w:type="spellStart"/>
            <w:r w:rsidRPr="007D5055">
              <w:rPr>
                <w:rFonts w:ascii="Arial Narrow" w:hAnsi="Arial Narrow"/>
                <w:snapToGrid w:val="0"/>
                <w:sz w:val="20"/>
                <w:szCs w:val="20"/>
                <w:lang w:eastAsia="en-US"/>
              </w:rPr>
              <w:t>Humira</w:t>
            </w:r>
            <w:proofErr w:type="spellEnd"/>
          </w:p>
        </w:tc>
        <w:tc>
          <w:tcPr>
            <w:tcW w:w="872" w:type="pct"/>
            <w:tcBorders>
              <w:top w:val="single" w:sz="4" w:space="0" w:color="auto"/>
            </w:tcBorders>
          </w:tcPr>
          <w:p w:rsidR="007331B8" w:rsidRPr="007D5055" w:rsidRDefault="007331B8" w:rsidP="00A43C3E">
            <w:pPr>
              <w:keepNext/>
              <w:widowControl w:val="0"/>
              <w:jc w:val="center"/>
              <w:rPr>
                <w:rFonts w:ascii="Arial Narrow" w:hAnsi="Arial Narrow"/>
                <w:snapToGrid w:val="0"/>
                <w:sz w:val="20"/>
                <w:szCs w:val="20"/>
                <w:lang w:eastAsia="en-US"/>
              </w:rPr>
            </w:pPr>
          </w:p>
          <w:p w:rsidR="007331B8" w:rsidRPr="007D5055" w:rsidRDefault="007331B8" w:rsidP="00A43C3E">
            <w:pPr>
              <w:keepNext/>
              <w:widowControl w:val="0"/>
              <w:jc w:val="center"/>
              <w:rPr>
                <w:rFonts w:ascii="Arial Narrow" w:hAnsi="Arial Narrow"/>
                <w:snapToGrid w:val="0"/>
                <w:sz w:val="20"/>
                <w:szCs w:val="20"/>
                <w:lang w:eastAsia="en-US"/>
              </w:rPr>
            </w:pPr>
            <w:proofErr w:type="spellStart"/>
            <w:r w:rsidRPr="007D5055">
              <w:rPr>
                <w:rFonts w:ascii="Arial Narrow" w:hAnsi="Arial Narrow"/>
                <w:snapToGrid w:val="0"/>
                <w:sz w:val="20"/>
                <w:szCs w:val="20"/>
                <w:lang w:eastAsia="en-US"/>
              </w:rPr>
              <w:t>AbbVie</w:t>
            </w:r>
            <w:proofErr w:type="spellEnd"/>
          </w:p>
          <w:p w:rsidR="007331B8" w:rsidRPr="007D5055" w:rsidRDefault="007331B8" w:rsidP="00A43C3E">
            <w:pPr>
              <w:keepNext/>
              <w:widowControl w:val="0"/>
              <w:jc w:val="center"/>
              <w:rPr>
                <w:rFonts w:ascii="Arial Narrow" w:hAnsi="Arial Narrow"/>
                <w:snapToGrid w:val="0"/>
                <w:sz w:val="20"/>
                <w:szCs w:val="20"/>
                <w:lang w:eastAsia="en-US"/>
              </w:rPr>
            </w:pPr>
          </w:p>
          <w:p w:rsidR="007331B8" w:rsidRPr="007D5055" w:rsidRDefault="007331B8" w:rsidP="00A43C3E">
            <w:pPr>
              <w:keepNext/>
              <w:widowControl w:val="0"/>
              <w:jc w:val="center"/>
              <w:rPr>
                <w:rFonts w:ascii="Arial Narrow" w:hAnsi="Arial Narrow"/>
                <w:snapToGrid w:val="0"/>
                <w:sz w:val="20"/>
                <w:szCs w:val="20"/>
                <w:lang w:eastAsia="en-US"/>
              </w:rPr>
            </w:pPr>
            <w:proofErr w:type="spellStart"/>
            <w:r w:rsidRPr="007D5055">
              <w:rPr>
                <w:rFonts w:ascii="Arial Narrow" w:hAnsi="Arial Narrow"/>
                <w:snapToGrid w:val="0"/>
                <w:sz w:val="20"/>
                <w:szCs w:val="20"/>
                <w:lang w:eastAsia="en-US"/>
              </w:rPr>
              <w:t>AbbVie</w:t>
            </w:r>
            <w:proofErr w:type="spellEnd"/>
          </w:p>
          <w:p w:rsidR="007331B8" w:rsidRPr="007D5055" w:rsidRDefault="007331B8" w:rsidP="00A43C3E">
            <w:pPr>
              <w:keepNext/>
              <w:widowControl w:val="0"/>
              <w:jc w:val="center"/>
              <w:rPr>
                <w:rFonts w:ascii="Arial Narrow" w:hAnsi="Arial Narrow"/>
                <w:snapToGrid w:val="0"/>
                <w:sz w:val="20"/>
                <w:szCs w:val="20"/>
                <w:lang w:eastAsia="en-US"/>
              </w:rPr>
            </w:pPr>
          </w:p>
          <w:p w:rsidR="007331B8" w:rsidRPr="007D5055" w:rsidRDefault="007331B8" w:rsidP="00A43C3E">
            <w:pPr>
              <w:keepNext/>
              <w:widowControl w:val="0"/>
              <w:jc w:val="center"/>
              <w:rPr>
                <w:rFonts w:ascii="Arial Narrow" w:hAnsi="Arial Narrow"/>
                <w:snapToGrid w:val="0"/>
                <w:sz w:val="20"/>
                <w:szCs w:val="20"/>
                <w:lang w:eastAsia="en-US"/>
              </w:rPr>
            </w:pPr>
            <w:proofErr w:type="spellStart"/>
            <w:r w:rsidRPr="007D5055">
              <w:rPr>
                <w:rFonts w:ascii="Arial Narrow" w:hAnsi="Arial Narrow"/>
                <w:snapToGrid w:val="0"/>
                <w:sz w:val="20"/>
                <w:szCs w:val="20"/>
                <w:lang w:eastAsia="en-US"/>
              </w:rPr>
              <w:t>AbbVie</w:t>
            </w:r>
            <w:proofErr w:type="spellEnd"/>
          </w:p>
          <w:p w:rsidR="007331B8" w:rsidRPr="007D5055" w:rsidRDefault="007331B8" w:rsidP="00A43C3E">
            <w:pPr>
              <w:keepNext/>
              <w:widowControl w:val="0"/>
              <w:jc w:val="center"/>
              <w:rPr>
                <w:rFonts w:ascii="Arial Narrow" w:hAnsi="Arial Narrow"/>
                <w:snapToGrid w:val="0"/>
                <w:sz w:val="20"/>
                <w:szCs w:val="20"/>
                <w:lang w:eastAsia="en-US"/>
              </w:rPr>
            </w:pPr>
          </w:p>
          <w:p w:rsidR="007331B8" w:rsidRPr="007D5055" w:rsidRDefault="007331B8" w:rsidP="00A43C3E">
            <w:pPr>
              <w:keepNext/>
              <w:widowControl w:val="0"/>
              <w:jc w:val="center"/>
              <w:rPr>
                <w:rFonts w:ascii="Arial Narrow" w:hAnsi="Arial Narrow"/>
                <w:snapToGrid w:val="0"/>
                <w:sz w:val="20"/>
                <w:szCs w:val="20"/>
                <w:lang w:eastAsia="en-US"/>
              </w:rPr>
            </w:pPr>
            <w:proofErr w:type="spellStart"/>
            <w:r w:rsidRPr="007D5055">
              <w:rPr>
                <w:rFonts w:ascii="Arial Narrow" w:hAnsi="Arial Narrow"/>
                <w:snapToGrid w:val="0"/>
                <w:sz w:val="20"/>
                <w:szCs w:val="20"/>
                <w:lang w:eastAsia="en-US"/>
              </w:rPr>
              <w:t>AbbVie</w:t>
            </w:r>
            <w:proofErr w:type="spellEnd"/>
          </w:p>
        </w:tc>
      </w:tr>
    </w:tbl>
    <w:p w:rsidR="00A43C3E" w:rsidRPr="007D5055" w:rsidRDefault="00A43C3E" w:rsidP="00A43C3E">
      <w:pPr>
        <w:pStyle w:val="ListParagraph"/>
        <w:jc w:val="both"/>
        <w:rPr>
          <w:rFonts w:ascii="Arial" w:hAnsi="Arial"/>
          <w:sz w:val="22"/>
          <w:szCs w:val="22"/>
        </w:rPr>
      </w:pPr>
    </w:p>
    <w:p w:rsidR="00A43C3E" w:rsidRPr="007D5055" w:rsidRDefault="00A43C3E" w:rsidP="00A43C3E">
      <w:pPr>
        <w:widowControl w:val="0"/>
        <w:ind w:left="709"/>
        <w:rPr>
          <w:rFonts w:ascii="Arial Narrow" w:hAnsi="Arial Narrow"/>
          <w:b/>
          <w:snapToGrid w:val="0"/>
          <w:sz w:val="20"/>
          <w:szCs w:val="20"/>
          <w:u w:val="single"/>
          <w:lang w:eastAsia="en-US"/>
        </w:rPr>
      </w:pPr>
      <w:r w:rsidRPr="007D5055">
        <w:rPr>
          <w:rFonts w:ascii="Arial Narrow" w:hAnsi="Arial Narrow"/>
          <w:b/>
          <w:snapToGrid w:val="0"/>
          <w:sz w:val="20"/>
          <w:szCs w:val="20"/>
          <w:u w:val="single"/>
          <w:lang w:eastAsia="en-US"/>
        </w:rPr>
        <w:t>Authority required (abridged version)</w:t>
      </w:r>
    </w:p>
    <w:p w:rsidR="00A43C3E" w:rsidRPr="007D5055" w:rsidRDefault="00A43C3E" w:rsidP="00A43C3E">
      <w:pPr>
        <w:widowControl w:val="0"/>
        <w:ind w:left="709"/>
        <w:rPr>
          <w:rFonts w:ascii="Arial Narrow" w:hAnsi="Arial Narrow"/>
          <w:b/>
          <w:snapToGrid w:val="0"/>
          <w:sz w:val="20"/>
          <w:szCs w:val="20"/>
          <w:lang w:eastAsia="en-US"/>
        </w:rPr>
      </w:pPr>
      <w:r w:rsidRPr="007D5055">
        <w:rPr>
          <w:rFonts w:ascii="Arial Narrow" w:hAnsi="Arial Narrow"/>
          <w:b/>
          <w:snapToGrid w:val="0"/>
          <w:sz w:val="20"/>
          <w:szCs w:val="20"/>
          <w:lang w:eastAsia="en-US"/>
        </w:rPr>
        <w:t>Initial treatment (new patients)</w:t>
      </w:r>
    </w:p>
    <w:p w:rsidR="00A43C3E" w:rsidRPr="007D5055" w:rsidRDefault="00A43C3E" w:rsidP="00A43C3E">
      <w:pPr>
        <w:widowControl w:val="0"/>
        <w:ind w:left="709"/>
        <w:jc w:val="both"/>
        <w:rPr>
          <w:rFonts w:ascii="Arial Narrow" w:hAnsi="Arial Narrow" w:cs="Arial"/>
          <w:snapToGrid w:val="0"/>
          <w:sz w:val="20"/>
          <w:szCs w:val="20"/>
          <w:lang w:eastAsia="en-US"/>
        </w:rPr>
      </w:pPr>
      <w:r w:rsidRPr="007D5055">
        <w:rPr>
          <w:rFonts w:ascii="Arial Narrow" w:hAnsi="Arial Narrow" w:cs="Arial"/>
          <w:snapToGrid w:val="0"/>
          <w:sz w:val="20"/>
          <w:szCs w:val="20"/>
          <w:lang w:eastAsia="en-US"/>
        </w:rPr>
        <w:t xml:space="preserve">Initial PBS-subsidised treatment with </w:t>
      </w:r>
      <w:proofErr w:type="spellStart"/>
      <w:r w:rsidRPr="007D5055">
        <w:rPr>
          <w:rFonts w:ascii="Arial Narrow" w:hAnsi="Arial Narrow" w:cs="Arial"/>
          <w:snapToGrid w:val="0"/>
          <w:sz w:val="20"/>
          <w:szCs w:val="20"/>
          <w:lang w:eastAsia="en-US"/>
        </w:rPr>
        <w:t>adalimumab</w:t>
      </w:r>
      <w:proofErr w:type="spellEnd"/>
      <w:r w:rsidRPr="007D5055">
        <w:rPr>
          <w:rFonts w:ascii="Arial Narrow" w:hAnsi="Arial Narrow" w:cs="Arial"/>
          <w:snapToGrid w:val="0"/>
          <w:sz w:val="20"/>
          <w:szCs w:val="20"/>
          <w:lang w:eastAsia="en-US"/>
        </w:rPr>
        <w:t xml:space="preserve"> by a gastroenterologist or a consultant physician, of a patient with moderately to severely active ulcerative colitis who satisfies the following criteria:</w:t>
      </w:r>
    </w:p>
    <w:p w:rsidR="00A43C3E" w:rsidRPr="007D5055" w:rsidRDefault="00A43C3E" w:rsidP="00505097">
      <w:pPr>
        <w:pStyle w:val="ListParagraph"/>
        <w:widowControl w:val="0"/>
        <w:numPr>
          <w:ilvl w:val="0"/>
          <w:numId w:val="7"/>
        </w:numPr>
        <w:jc w:val="both"/>
        <w:rPr>
          <w:rFonts w:ascii="Arial Narrow" w:hAnsi="Arial Narrow" w:cs="Arial"/>
          <w:snapToGrid w:val="0"/>
          <w:sz w:val="20"/>
          <w:szCs w:val="20"/>
          <w:lang w:eastAsia="en-US"/>
        </w:rPr>
      </w:pPr>
      <w:r w:rsidRPr="007D5055">
        <w:rPr>
          <w:rFonts w:ascii="Arial Narrow" w:hAnsi="Arial Narrow" w:cs="Arial"/>
          <w:snapToGrid w:val="0"/>
          <w:sz w:val="20"/>
          <w:szCs w:val="20"/>
          <w:lang w:eastAsia="en-US"/>
        </w:rPr>
        <w:t>has confirmed active ulcerative colitis as defined by standard clinical, endoscopic and/or imaging features;</w:t>
      </w:r>
    </w:p>
    <w:p w:rsidR="00A43C3E" w:rsidRPr="007D5055" w:rsidRDefault="00A43C3E" w:rsidP="00505097">
      <w:pPr>
        <w:pStyle w:val="ListParagraph"/>
        <w:widowControl w:val="0"/>
        <w:numPr>
          <w:ilvl w:val="0"/>
          <w:numId w:val="7"/>
        </w:numPr>
        <w:jc w:val="both"/>
        <w:rPr>
          <w:rFonts w:ascii="Arial Narrow" w:hAnsi="Arial Narrow" w:cs="Arial"/>
          <w:snapToGrid w:val="0"/>
          <w:sz w:val="20"/>
          <w:szCs w:val="20"/>
          <w:lang w:eastAsia="en-US"/>
        </w:rPr>
      </w:pPr>
      <w:r w:rsidRPr="007D5055">
        <w:rPr>
          <w:rFonts w:ascii="Arial Narrow" w:hAnsi="Arial Narrow" w:cs="Arial"/>
          <w:snapToGrid w:val="0"/>
          <w:sz w:val="20"/>
          <w:szCs w:val="20"/>
          <w:lang w:eastAsia="en-US"/>
        </w:rPr>
        <w:t>has signed a patient acknowledgement indicating they understand and acknowledge that PBS-subsidised treatment will cease if they do not meet the predetermined response criterion for ongoing PBS-subsidised treatment; and</w:t>
      </w:r>
    </w:p>
    <w:p w:rsidR="00A43C3E" w:rsidRPr="007D5055" w:rsidRDefault="00A43C3E" w:rsidP="00505097">
      <w:pPr>
        <w:pStyle w:val="ListParagraph"/>
        <w:widowControl w:val="0"/>
        <w:numPr>
          <w:ilvl w:val="0"/>
          <w:numId w:val="7"/>
        </w:numPr>
        <w:jc w:val="both"/>
        <w:rPr>
          <w:rFonts w:ascii="Arial Narrow" w:hAnsi="Arial Narrow" w:cs="Arial"/>
          <w:snapToGrid w:val="0"/>
          <w:sz w:val="20"/>
          <w:szCs w:val="20"/>
          <w:lang w:eastAsia="en-US"/>
        </w:rPr>
      </w:pPr>
      <w:r w:rsidRPr="007D5055">
        <w:rPr>
          <w:rFonts w:ascii="Arial Narrow" w:hAnsi="Arial Narrow" w:cs="Arial"/>
          <w:snapToGrid w:val="0"/>
          <w:sz w:val="20"/>
          <w:szCs w:val="20"/>
          <w:lang w:eastAsia="en-US"/>
        </w:rPr>
        <w:t>has failed to achieve an adequate response to prior systemic therapy, dependent, intolerant or contraindicated to prior systemic therapy, including:</w:t>
      </w:r>
    </w:p>
    <w:p w:rsidR="00A43C3E" w:rsidRPr="007D5055" w:rsidRDefault="00A43C3E" w:rsidP="00505097">
      <w:pPr>
        <w:pStyle w:val="ListParagraph"/>
        <w:widowControl w:val="0"/>
        <w:numPr>
          <w:ilvl w:val="2"/>
          <w:numId w:val="8"/>
        </w:numPr>
        <w:ind w:left="1418" w:hanging="284"/>
        <w:jc w:val="both"/>
        <w:rPr>
          <w:rFonts w:ascii="Arial Narrow" w:hAnsi="Arial Narrow" w:cs="Arial"/>
          <w:snapToGrid w:val="0"/>
          <w:sz w:val="20"/>
          <w:szCs w:val="20"/>
          <w:lang w:eastAsia="en-US"/>
        </w:rPr>
      </w:pPr>
      <w:r w:rsidRPr="007D5055">
        <w:rPr>
          <w:rFonts w:ascii="Arial Narrow" w:hAnsi="Arial Narrow" w:cs="Arial"/>
          <w:snapToGrid w:val="0"/>
          <w:sz w:val="20"/>
          <w:szCs w:val="20"/>
          <w:lang w:eastAsia="en-US"/>
        </w:rPr>
        <w:t>a tapered course of corticosteroid starting at a dose of at least 40 mg prednisolone (or equivalent) and</w:t>
      </w:r>
    </w:p>
    <w:p w:rsidR="00A43C3E" w:rsidRPr="007D5055" w:rsidRDefault="00A43C3E" w:rsidP="00505097">
      <w:pPr>
        <w:pStyle w:val="ListParagraph"/>
        <w:widowControl w:val="0"/>
        <w:numPr>
          <w:ilvl w:val="2"/>
          <w:numId w:val="8"/>
        </w:numPr>
        <w:ind w:left="1418" w:hanging="284"/>
        <w:jc w:val="both"/>
        <w:rPr>
          <w:rFonts w:ascii="Arial Narrow" w:hAnsi="Arial Narrow" w:cs="Arial"/>
          <w:snapToGrid w:val="0"/>
          <w:sz w:val="20"/>
          <w:szCs w:val="20"/>
          <w:lang w:eastAsia="en-US"/>
        </w:rPr>
      </w:pPr>
      <w:r w:rsidRPr="007D5055">
        <w:rPr>
          <w:rFonts w:ascii="Arial Narrow" w:hAnsi="Arial Narrow" w:cs="Arial"/>
          <w:snapToGrid w:val="0"/>
          <w:sz w:val="20"/>
          <w:szCs w:val="20"/>
          <w:lang w:eastAsia="en-US"/>
        </w:rPr>
        <w:t>immunosuppressive therapy including:</w:t>
      </w:r>
    </w:p>
    <w:p w:rsidR="00A43C3E" w:rsidRPr="007D5055" w:rsidRDefault="00A43C3E" w:rsidP="00A43C3E">
      <w:pPr>
        <w:widowControl w:val="0"/>
        <w:ind w:left="709"/>
        <w:contextualSpacing/>
        <w:jc w:val="both"/>
        <w:rPr>
          <w:rFonts w:ascii="Arial Narrow" w:hAnsi="Arial Narrow" w:cs="Arial"/>
          <w:snapToGrid w:val="0"/>
          <w:sz w:val="20"/>
          <w:szCs w:val="20"/>
          <w:lang w:eastAsia="en-US"/>
        </w:rPr>
      </w:pPr>
      <w:r w:rsidRPr="007D5055">
        <w:rPr>
          <w:rFonts w:ascii="Arial Narrow" w:hAnsi="Arial Narrow" w:cs="Arial"/>
          <w:snapToGrid w:val="0"/>
          <w:sz w:val="20"/>
          <w:szCs w:val="20"/>
          <w:lang w:eastAsia="en-US"/>
        </w:rPr>
        <w:tab/>
      </w:r>
      <w:r w:rsidRPr="007D5055">
        <w:rPr>
          <w:rFonts w:ascii="Arial Narrow" w:hAnsi="Arial Narrow" w:cs="Arial"/>
          <w:snapToGrid w:val="0"/>
          <w:sz w:val="20"/>
          <w:szCs w:val="20"/>
          <w:lang w:eastAsia="en-US"/>
        </w:rPr>
        <w:tab/>
        <w:t xml:space="preserve">- </w:t>
      </w:r>
      <w:proofErr w:type="gramStart"/>
      <w:r w:rsidRPr="007D5055">
        <w:rPr>
          <w:rFonts w:ascii="Arial Narrow" w:hAnsi="Arial Narrow" w:cs="Arial"/>
          <w:snapToGrid w:val="0"/>
          <w:sz w:val="20"/>
          <w:szCs w:val="20"/>
          <w:lang w:eastAsia="en-US"/>
        </w:rPr>
        <w:t>azathioprine</w:t>
      </w:r>
      <w:proofErr w:type="gramEnd"/>
      <w:r w:rsidRPr="007D5055">
        <w:rPr>
          <w:rFonts w:ascii="Arial Narrow" w:hAnsi="Arial Narrow" w:cs="Arial"/>
          <w:snapToGrid w:val="0"/>
          <w:sz w:val="20"/>
          <w:szCs w:val="20"/>
          <w:lang w:eastAsia="en-US"/>
        </w:rPr>
        <w:t xml:space="preserve"> at a dose of at least 2 mg per kg daily OR</w:t>
      </w:r>
    </w:p>
    <w:p w:rsidR="00A43C3E" w:rsidRPr="007D5055" w:rsidRDefault="00A43C3E" w:rsidP="00A43C3E">
      <w:pPr>
        <w:widowControl w:val="0"/>
        <w:ind w:left="709"/>
        <w:contextualSpacing/>
        <w:jc w:val="both"/>
        <w:rPr>
          <w:rFonts w:ascii="Arial Narrow" w:hAnsi="Arial Narrow" w:cs="Arial"/>
          <w:snapToGrid w:val="0"/>
          <w:sz w:val="20"/>
          <w:szCs w:val="20"/>
          <w:lang w:eastAsia="en-US"/>
        </w:rPr>
      </w:pPr>
      <w:r w:rsidRPr="007D5055">
        <w:rPr>
          <w:rFonts w:ascii="Arial Narrow" w:hAnsi="Arial Narrow" w:cs="Arial"/>
          <w:snapToGrid w:val="0"/>
          <w:sz w:val="20"/>
          <w:szCs w:val="20"/>
          <w:lang w:eastAsia="en-US"/>
        </w:rPr>
        <w:tab/>
      </w:r>
      <w:r w:rsidRPr="007D5055">
        <w:rPr>
          <w:rFonts w:ascii="Arial Narrow" w:hAnsi="Arial Narrow" w:cs="Arial"/>
          <w:snapToGrid w:val="0"/>
          <w:sz w:val="20"/>
          <w:szCs w:val="20"/>
          <w:lang w:eastAsia="en-US"/>
        </w:rPr>
        <w:tab/>
        <w:t>- 6-mercaptopurine at a dose of at least 1 mg per kg daily.</w:t>
      </w:r>
    </w:p>
    <w:p w:rsidR="00A43C3E" w:rsidRPr="007D5055" w:rsidRDefault="00A43C3E" w:rsidP="00A43C3E">
      <w:pPr>
        <w:widowControl w:val="0"/>
        <w:ind w:left="709"/>
        <w:jc w:val="both"/>
        <w:rPr>
          <w:rFonts w:ascii="Arial Narrow" w:hAnsi="Arial Narrow" w:cs="Arial"/>
          <w:b/>
          <w:snapToGrid w:val="0"/>
          <w:sz w:val="12"/>
          <w:szCs w:val="12"/>
          <w:u w:val="single"/>
          <w:lang w:eastAsia="en-US"/>
        </w:rPr>
      </w:pPr>
    </w:p>
    <w:p w:rsidR="00A43C3E" w:rsidRPr="007D5055" w:rsidRDefault="00A43C3E" w:rsidP="00A43C3E">
      <w:pPr>
        <w:widowControl w:val="0"/>
        <w:ind w:left="709"/>
        <w:jc w:val="both"/>
        <w:rPr>
          <w:rFonts w:ascii="Arial Narrow" w:hAnsi="Arial Narrow" w:cs="Arial"/>
          <w:snapToGrid w:val="0"/>
          <w:sz w:val="20"/>
          <w:szCs w:val="20"/>
          <w:lang w:eastAsia="en-US"/>
        </w:rPr>
      </w:pPr>
      <w:r w:rsidRPr="007D5055">
        <w:rPr>
          <w:rFonts w:ascii="Arial Narrow" w:hAnsi="Arial Narrow" w:cs="Arial"/>
          <w:snapToGrid w:val="0"/>
          <w:sz w:val="20"/>
          <w:szCs w:val="20"/>
          <w:lang w:eastAsia="en-US"/>
        </w:rPr>
        <w:t>The following initiation criterion indicates failure to achieve an adequate response to prior systemic therapy and must be demonstrated in all patients at the time of application:</w:t>
      </w:r>
    </w:p>
    <w:p w:rsidR="00A43C3E" w:rsidRPr="007D5055" w:rsidRDefault="00A43C3E" w:rsidP="00801638">
      <w:pPr>
        <w:widowControl w:val="0"/>
        <w:ind w:left="709"/>
        <w:contextualSpacing/>
        <w:jc w:val="both"/>
        <w:rPr>
          <w:rFonts w:ascii="Arial Narrow" w:hAnsi="Arial Narrow" w:cs="Arial"/>
          <w:snapToGrid w:val="0"/>
          <w:sz w:val="20"/>
          <w:szCs w:val="20"/>
          <w:lang w:eastAsia="en-US"/>
        </w:rPr>
      </w:pPr>
      <w:r w:rsidRPr="007D5055">
        <w:rPr>
          <w:rFonts w:ascii="Arial Narrow" w:hAnsi="Arial Narrow" w:cs="Arial"/>
          <w:snapToGrid w:val="0"/>
          <w:sz w:val="20"/>
          <w:szCs w:val="20"/>
          <w:lang w:eastAsia="en-US"/>
        </w:rPr>
        <w:t xml:space="preserve">(a) </w:t>
      </w:r>
      <w:proofErr w:type="gramStart"/>
      <w:r w:rsidRPr="007D5055">
        <w:rPr>
          <w:rFonts w:ascii="Arial Narrow" w:hAnsi="Arial Narrow" w:cs="Arial"/>
          <w:snapToGrid w:val="0"/>
          <w:sz w:val="20"/>
          <w:szCs w:val="20"/>
          <w:lang w:eastAsia="en-US"/>
        </w:rPr>
        <w:t>have</w:t>
      </w:r>
      <w:proofErr w:type="gramEnd"/>
      <w:r w:rsidRPr="007D5055">
        <w:rPr>
          <w:rFonts w:ascii="Arial Narrow" w:hAnsi="Arial Narrow" w:cs="Arial"/>
          <w:snapToGrid w:val="0"/>
          <w:sz w:val="20"/>
          <w:szCs w:val="20"/>
          <w:lang w:eastAsia="en-US"/>
        </w:rPr>
        <w:t xml:space="preserve"> a severity of disease activity which results in a Full Mayo Score greater than or equal to 6 as assessed.</w:t>
      </w:r>
    </w:p>
    <w:p w:rsidR="00A43C3E" w:rsidRPr="007D5055" w:rsidRDefault="00A43C3E" w:rsidP="00A43C3E">
      <w:pPr>
        <w:widowControl w:val="0"/>
        <w:ind w:left="709"/>
        <w:jc w:val="both"/>
        <w:rPr>
          <w:rFonts w:ascii="Arial Narrow" w:hAnsi="Arial Narrow" w:cs="Arial"/>
          <w:snapToGrid w:val="0"/>
          <w:sz w:val="12"/>
          <w:szCs w:val="12"/>
          <w:lang w:eastAsia="en-US"/>
        </w:rPr>
      </w:pPr>
    </w:p>
    <w:p w:rsidR="00A43C3E" w:rsidRPr="007D5055" w:rsidRDefault="00A43C3E" w:rsidP="00A43C3E">
      <w:pPr>
        <w:widowControl w:val="0"/>
        <w:ind w:left="709"/>
        <w:jc w:val="both"/>
        <w:rPr>
          <w:rFonts w:ascii="Arial Narrow" w:hAnsi="Arial Narrow" w:cs="Arial"/>
          <w:snapToGrid w:val="0"/>
          <w:sz w:val="20"/>
          <w:szCs w:val="20"/>
          <w:lang w:eastAsia="en-US"/>
        </w:rPr>
      </w:pPr>
      <w:r w:rsidRPr="007D5055">
        <w:rPr>
          <w:rFonts w:ascii="Arial Narrow" w:hAnsi="Arial Narrow" w:cs="Arial"/>
          <w:snapToGrid w:val="0"/>
          <w:sz w:val="20"/>
          <w:szCs w:val="20"/>
          <w:lang w:eastAsia="en-US"/>
        </w:rPr>
        <w:t>A maximum of 12 weeks treatment will be authorised under this criterion.</w:t>
      </w:r>
    </w:p>
    <w:p w:rsidR="00A43C3E" w:rsidRPr="007D5055" w:rsidRDefault="00A43C3E" w:rsidP="00A43C3E">
      <w:pPr>
        <w:widowControl w:val="0"/>
        <w:ind w:left="709"/>
        <w:jc w:val="both"/>
        <w:rPr>
          <w:rFonts w:ascii="Arial Narrow" w:hAnsi="Arial Narrow" w:cs="Arial"/>
          <w:snapToGrid w:val="0"/>
          <w:sz w:val="12"/>
          <w:szCs w:val="12"/>
          <w:lang w:eastAsia="en-US"/>
        </w:rPr>
      </w:pPr>
    </w:p>
    <w:p w:rsidR="00A43C3E" w:rsidRDefault="00A43C3E" w:rsidP="00A43C3E">
      <w:pPr>
        <w:widowControl w:val="0"/>
        <w:ind w:left="709"/>
        <w:rPr>
          <w:rFonts w:ascii="Arial Narrow" w:hAnsi="Arial Narrow" w:cs="Arial"/>
          <w:snapToGrid w:val="0"/>
          <w:sz w:val="20"/>
          <w:szCs w:val="20"/>
          <w:lang w:eastAsia="en-US"/>
        </w:rPr>
      </w:pPr>
      <w:r w:rsidRPr="007D5055">
        <w:rPr>
          <w:rFonts w:ascii="Arial Narrow" w:hAnsi="Arial Narrow" w:cs="Arial"/>
          <w:snapToGrid w:val="0"/>
          <w:sz w:val="20"/>
          <w:szCs w:val="20"/>
          <w:lang w:eastAsia="en-US"/>
        </w:rPr>
        <w:t>An assessment of the patient’s response to this initial course of treatment must be made following a minimum of 8 weeks of therapy so that there is adequate time for a response to be demonstrated.</w:t>
      </w:r>
    </w:p>
    <w:p w:rsidR="007331B8" w:rsidRDefault="007331B8" w:rsidP="00A43C3E">
      <w:pPr>
        <w:widowControl w:val="0"/>
        <w:ind w:left="709"/>
        <w:rPr>
          <w:rFonts w:ascii="Arial Narrow" w:hAnsi="Arial Narrow" w:cs="Arial"/>
          <w:snapToGrid w:val="0"/>
          <w:sz w:val="20"/>
          <w:szCs w:val="20"/>
          <w:lang w:eastAsia="en-US"/>
        </w:rPr>
      </w:pPr>
    </w:p>
    <w:tbl>
      <w:tblPr>
        <w:tblW w:w="5000" w:type="pct"/>
        <w:tblInd w:w="737" w:type="dxa"/>
        <w:tblCellMar>
          <w:left w:w="28" w:type="dxa"/>
          <w:right w:w="28" w:type="dxa"/>
        </w:tblCellMar>
        <w:tblLook w:val="0000" w:firstRow="0" w:lastRow="0" w:firstColumn="0" w:lastColumn="0" w:noHBand="0" w:noVBand="0"/>
      </w:tblPr>
      <w:tblGrid>
        <w:gridCol w:w="3772"/>
        <w:gridCol w:w="601"/>
        <w:gridCol w:w="898"/>
        <w:gridCol w:w="1050"/>
        <w:gridCol w:w="1330"/>
        <w:gridCol w:w="888"/>
      </w:tblGrid>
      <w:tr w:rsidR="007331B8" w:rsidRPr="007D5055" w:rsidTr="007331B8">
        <w:trPr>
          <w:gridAfter w:val="1"/>
          <w:wAfter w:w="520" w:type="pct"/>
          <w:trHeight w:val="468"/>
        </w:trPr>
        <w:tc>
          <w:tcPr>
            <w:tcW w:w="2208" w:type="pct"/>
            <w:tcBorders>
              <w:bottom w:val="single" w:sz="4" w:space="0" w:color="auto"/>
            </w:tcBorders>
          </w:tcPr>
          <w:p w:rsidR="007331B8" w:rsidRPr="007331B8" w:rsidRDefault="007331B8" w:rsidP="007331B8">
            <w:pPr>
              <w:keepNext/>
              <w:widowControl w:val="0"/>
              <w:jc w:val="both"/>
              <w:rPr>
                <w:rFonts w:ascii="Arial Narrow" w:hAnsi="Arial Narrow" w:cs="Arial"/>
                <w:snapToGrid w:val="0"/>
                <w:sz w:val="20"/>
                <w:szCs w:val="20"/>
                <w:lang w:eastAsia="en-US"/>
              </w:rPr>
            </w:pPr>
            <w:r w:rsidRPr="007331B8">
              <w:rPr>
                <w:rFonts w:ascii="Arial Narrow" w:hAnsi="Arial Narrow" w:cs="Arial"/>
                <w:snapToGrid w:val="0"/>
                <w:sz w:val="20"/>
                <w:szCs w:val="20"/>
                <w:lang w:eastAsia="en-US"/>
              </w:rPr>
              <w:lastRenderedPageBreak/>
              <w:t>Name, Restriction,</w:t>
            </w:r>
          </w:p>
          <w:p w:rsidR="007331B8" w:rsidRPr="007D5055" w:rsidRDefault="007331B8" w:rsidP="007331B8">
            <w:pPr>
              <w:keepNext/>
              <w:widowControl w:val="0"/>
              <w:jc w:val="both"/>
              <w:rPr>
                <w:rFonts w:ascii="Arial Narrow" w:hAnsi="Arial Narrow" w:cs="Arial"/>
                <w:snapToGrid w:val="0"/>
                <w:sz w:val="20"/>
                <w:szCs w:val="20"/>
                <w:lang w:eastAsia="en-US"/>
              </w:rPr>
            </w:pPr>
            <w:r w:rsidRPr="007331B8">
              <w:rPr>
                <w:rFonts w:ascii="Arial Narrow" w:hAnsi="Arial Narrow" w:cs="Arial"/>
                <w:snapToGrid w:val="0"/>
                <w:sz w:val="20"/>
                <w:szCs w:val="20"/>
                <w:lang w:eastAsia="en-US"/>
              </w:rPr>
              <w:t>Manner of administration and form</w:t>
            </w:r>
          </w:p>
        </w:tc>
        <w:tc>
          <w:tcPr>
            <w:tcW w:w="352" w:type="pct"/>
            <w:tcBorders>
              <w:bottom w:val="single" w:sz="4" w:space="0" w:color="auto"/>
            </w:tcBorders>
          </w:tcPr>
          <w:p w:rsidR="007331B8" w:rsidRPr="007331B8" w:rsidRDefault="007331B8" w:rsidP="007331B8">
            <w:pPr>
              <w:keepNext/>
              <w:widowControl w:val="0"/>
              <w:jc w:val="center"/>
              <w:rPr>
                <w:rFonts w:ascii="Arial Narrow" w:hAnsi="Arial Narrow" w:cs="Arial"/>
                <w:snapToGrid w:val="0"/>
                <w:sz w:val="20"/>
                <w:szCs w:val="20"/>
                <w:lang w:eastAsia="en-US"/>
              </w:rPr>
            </w:pPr>
            <w:r w:rsidRPr="007331B8">
              <w:rPr>
                <w:rFonts w:ascii="Arial Narrow" w:hAnsi="Arial Narrow" w:cs="Arial"/>
                <w:snapToGrid w:val="0"/>
                <w:sz w:val="20"/>
                <w:szCs w:val="20"/>
                <w:lang w:eastAsia="en-US"/>
              </w:rPr>
              <w:t>Max.</w:t>
            </w:r>
          </w:p>
          <w:p w:rsidR="007331B8" w:rsidRPr="007D5055" w:rsidRDefault="007331B8" w:rsidP="007331B8">
            <w:pPr>
              <w:keepNext/>
              <w:widowControl w:val="0"/>
              <w:jc w:val="center"/>
              <w:rPr>
                <w:rFonts w:ascii="Arial Narrow" w:hAnsi="Arial Narrow" w:cs="Arial"/>
                <w:snapToGrid w:val="0"/>
                <w:sz w:val="20"/>
                <w:szCs w:val="20"/>
                <w:lang w:eastAsia="en-US"/>
              </w:rPr>
            </w:pPr>
            <w:proofErr w:type="spellStart"/>
            <w:r w:rsidRPr="007331B8">
              <w:rPr>
                <w:rFonts w:ascii="Arial Narrow" w:hAnsi="Arial Narrow" w:cs="Arial"/>
                <w:snapToGrid w:val="0"/>
                <w:sz w:val="20"/>
                <w:szCs w:val="20"/>
                <w:lang w:eastAsia="en-US"/>
              </w:rPr>
              <w:t>Qty</w:t>
            </w:r>
            <w:proofErr w:type="spellEnd"/>
          </w:p>
        </w:tc>
        <w:tc>
          <w:tcPr>
            <w:tcW w:w="526" w:type="pct"/>
            <w:tcBorders>
              <w:bottom w:val="single" w:sz="4" w:space="0" w:color="auto"/>
            </w:tcBorders>
          </w:tcPr>
          <w:p w:rsidR="007331B8" w:rsidRPr="007331B8" w:rsidRDefault="007331B8" w:rsidP="007331B8">
            <w:pPr>
              <w:keepNext/>
              <w:widowControl w:val="0"/>
              <w:jc w:val="center"/>
              <w:rPr>
                <w:rFonts w:ascii="Arial Narrow" w:hAnsi="Arial Narrow" w:cs="Arial"/>
                <w:snapToGrid w:val="0"/>
                <w:sz w:val="20"/>
                <w:szCs w:val="20"/>
                <w:lang w:eastAsia="en-US"/>
              </w:rPr>
            </w:pPr>
            <w:r w:rsidRPr="007331B8">
              <w:rPr>
                <w:snapToGrid w:val="0"/>
                <w:sz w:val="20"/>
                <w:szCs w:val="20"/>
                <w:lang w:eastAsia="en-US"/>
              </w:rPr>
              <w:t>№</w:t>
            </w:r>
            <w:r w:rsidRPr="007331B8">
              <w:rPr>
                <w:rFonts w:ascii="Arial Narrow" w:hAnsi="Arial Narrow" w:cs="Arial"/>
                <w:snapToGrid w:val="0"/>
                <w:sz w:val="20"/>
                <w:szCs w:val="20"/>
                <w:lang w:eastAsia="en-US"/>
              </w:rPr>
              <w:t>.of</w:t>
            </w:r>
          </w:p>
          <w:p w:rsidR="007331B8" w:rsidRPr="007D5055" w:rsidRDefault="007331B8" w:rsidP="007331B8">
            <w:pPr>
              <w:keepNext/>
              <w:widowControl w:val="0"/>
              <w:jc w:val="center"/>
              <w:rPr>
                <w:rFonts w:ascii="Arial Narrow" w:hAnsi="Arial Narrow" w:cs="Arial"/>
                <w:snapToGrid w:val="0"/>
                <w:sz w:val="20"/>
                <w:szCs w:val="20"/>
                <w:lang w:eastAsia="en-US"/>
              </w:rPr>
            </w:pPr>
            <w:proofErr w:type="spellStart"/>
            <w:r w:rsidRPr="007331B8">
              <w:rPr>
                <w:rFonts w:ascii="Arial Narrow" w:hAnsi="Arial Narrow" w:cs="Arial"/>
                <w:snapToGrid w:val="0"/>
                <w:sz w:val="20"/>
                <w:szCs w:val="20"/>
                <w:lang w:eastAsia="en-US"/>
              </w:rPr>
              <w:t>Rpts</w:t>
            </w:r>
            <w:proofErr w:type="spellEnd"/>
          </w:p>
        </w:tc>
        <w:tc>
          <w:tcPr>
            <w:tcW w:w="1394" w:type="pct"/>
            <w:gridSpan w:val="2"/>
            <w:tcBorders>
              <w:bottom w:val="single" w:sz="4" w:space="0" w:color="auto"/>
            </w:tcBorders>
          </w:tcPr>
          <w:p w:rsidR="007331B8" w:rsidRPr="007D5055" w:rsidRDefault="007331B8" w:rsidP="007331B8">
            <w:pPr>
              <w:keepNext/>
              <w:widowControl w:val="0"/>
              <w:jc w:val="center"/>
              <w:rPr>
                <w:rFonts w:ascii="Arial Narrow" w:hAnsi="Arial Narrow" w:cs="Arial"/>
                <w:snapToGrid w:val="0"/>
                <w:sz w:val="20"/>
                <w:szCs w:val="20"/>
                <w:lang w:val="fr-FR" w:eastAsia="en-US"/>
              </w:rPr>
            </w:pPr>
            <w:r w:rsidRPr="007331B8">
              <w:rPr>
                <w:rFonts w:ascii="Arial Narrow" w:hAnsi="Arial Narrow" w:cs="Arial"/>
                <w:snapToGrid w:val="0"/>
                <w:sz w:val="20"/>
                <w:szCs w:val="20"/>
                <w:lang w:eastAsia="en-US"/>
              </w:rPr>
              <w:t>Proprietary Name and Manufacturer</w:t>
            </w:r>
          </w:p>
        </w:tc>
      </w:tr>
      <w:tr w:rsidR="007331B8" w:rsidRPr="007D5055" w:rsidTr="007331B8">
        <w:trPr>
          <w:gridAfter w:val="1"/>
          <w:wAfter w:w="520" w:type="pct"/>
          <w:trHeight w:val="844"/>
        </w:trPr>
        <w:tc>
          <w:tcPr>
            <w:tcW w:w="2208" w:type="pct"/>
            <w:tcBorders>
              <w:top w:val="single" w:sz="4" w:space="0" w:color="auto"/>
            </w:tcBorders>
          </w:tcPr>
          <w:p w:rsidR="007331B8" w:rsidRPr="007331B8" w:rsidRDefault="007331B8" w:rsidP="007331B8">
            <w:pPr>
              <w:keepNext/>
              <w:widowControl w:val="0"/>
              <w:rPr>
                <w:rFonts w:ascii="Arial Narrow" w:hAnsi="Arial Narrow" w:cs="Arial"/>
                <w:snapToGrid w:val="0"/>
                <w:sz w:val="20"/>
                <w:szCs w:val="20"/>
                <w:lang w:eastAsia="en-US"/>
              </w:rPr>
            </w:pPr>
            <w:proofErr w:type="spellStart"/>
            <w:r w:rsidRPr="007331B8">
              <w:rPr>
                <w:rFonts w:ascii="Arial Narrow" w:hAnsi="Arial Narrow" w:cs="Arial"/>
                <w:smallCaps/>
                <w:snapToGrid w:val="0"/>
                <w:sz w:val="20"/>
                <w:szCs w:val="20"/>
                <w:lang w:eastAsia="en-US"/>
              </w:rPr>
              <w:t>Adalimumab</w:t>
            </w:r>
            <w:proofErr w:type="spellEnd"/>
            <w:r w:rsidRPr="007331B8">
              <w:rPr>
                <w:rFonts w:ascii="Arial Narrow" w:hAnsi="Arial Narrow" w:cs="Arial"/>
                <w:snapToGrid w:val="0"/>
                <w:sz w:val="20"/>
                <w:szCs w:val="20"/>
                <w:lang w:eastAsia="en-US"/>
              </w:rPr>
              <w:t xml:space="preserve"> </w:t>
            </w:r>
          </w:p>
          <w:p w:rsidR="007331B8" w:rsidRPr="007331B8" w:rsidRDefault="007331B8" w:rsidP="007331B8">
            <w:pPr>
              <w:keepNext/>
              <w:widowControl w:val="0"/>
              <w:rPr>
                <w:rFonts w:ascii="Arial Narrow" w:hAnsi="Arial Narrow" w:cs="Arial"/>
                <w:snapToGrid w:val="0"/>
                <w:sz w:val="20"/>
                <w:szCs w:val="20"/>
                <w:lang w:eastAsia="en-US"/>
              </w:rPr>
            </w:pPr>
            <w:r w:rsidRPr="007331B8">
              <w:rPr>
                <w:rFonts w:ascii="Arial Narrow" w:hAnsi="Arial Narrow" w:cs="Arial"/>
                <w:snapToGrid w:val="0"/>
                <w:sz w:val="20"/>
                <w:szCs w:val="20"/>
                <w:lang w:eastAsia="en-US"/>
              </w:rPr>
              <w:t>40 mg in 0.8 mL injection, 2 x 0.8 mL cartridges</w:t>
            </w:r>
          </w:p>
          <w:p w:rsidR="007331B8" w:rsidRDefault="007331B8" w:rsidP="007331B8">
            <w:pPr>
              <w:keepNext/>
              <w:widowControl w:val="0"/>
              <w:rPr>
                <w:rFonts w:ascii="Arial Narrow" w:hAnsi="Arial Narrow" w:cs="Arial"/>
                <w:snapToGrid w:val="0"/>
                <w:sz w:val="20"/>
                <w:szCs w:val="20"/>
                <w:lang w:eastAsia="en-US"/>
              </w:rPr>
            </w:pPr>
          </w:p>
          <w:p w:rsidR="007331B8" w:rsidRPr="007331B8" w:rsidRDefault="007331B8" w:rsidP="007331B8">
            <w:pPr>
              <w:keepNext/>
              <w:widowControl w:val="0"/>
              <w:rPr>
                <w:rFonts w:ascii="Arial Narrow" w:hAnsi="Arial Narrow" w:cs="Arial"/>
                <w:snapToGrid w:val="0"/>
                <w:sz w:val="20"/>
                <w:szCs w:val="20"/>
                <w:lang w:eastAsia="en-US"/>
              </w:rPr>
            </w:pPr>
            <w:r w:rsidRPr="007331B8">
              <w:rPr>
                <w:rFonts w:ascii="Arial Narrow" w:hAnsi="Arial Narrow" w:cs="Arial"/>
                <w:snapToGrid w:val="0"/>
                <w:sz w:val="20"/>
                <w:szCs w:val="20"/>
                <w:lang w:eastAsia="en-US"/>
              </w:rPr>
              <w:t>40 mg in 0.8 mL injection, 2 x 0.8 mL syringes</w:t>
            </w:r>
          </w:p>
          <w:p w:rsidR="007331B8" w:rsidRPr="007331B8" w:rsidRDefault="007331B8" w:rsidP="007331B8">
            <w:pPr>
              <w:keepNext/>
              <w:widowControl w:val="0"/>
              <w:rPr>
                <w:rFonts w:ascii="Arial Narrow" w:hAnsi="Arial Narrow" w:cs="Arial"/>
                <w:snapToGrid w:val="0"/>
                <w:sz w:val="12"/>
                <w:szCs w:val="12"/>
                <w:lang w:eastAsia="en-US"/>
              </w:rPr>
            </w:pPr>
          </w:p>
          <w:p w:rsidR="007331B8" w:rsidRPr="007D5055" w:rsidRDefault="007331B8" w:rsidP="007331B8">
            <w:pPr>
              <w:keepNext/>
              <w:widowControl w:val="0"/>
              <w:rPr>
                <w:rFonts w:ascii="Arial Narrow" w:hAnsi="Arial Narrow" w:cs="Arial"/>
                <w:snapToGrid w:val="0"/>
                <w:sz w:val="20"/>
                <w:szCs w:val="20"/>
                <w:lang w:eastAsia="en-US"/>
              </w:rPr>
            </w:pPr>
          </w:p>
        </w:tc>
        <w:tc>
          <w:tcPr>
            <w:tcW w:w="352" w:type="pct"/>
            <w:tcBorders>
              <w:top w:val="single" w:sz="4" w:space="0" w:color="auto"/>
            </w:tcBorders>
          </w:tcPr>
          <w:p w:rsidR="007331B8" w:rsidRPr="007D5055" w:rsidRDefault="007331B8" w:rsidP="007331B8">
            <w:pPr>
              <w:keepNext/>
              <w:widowControl w:val="0"/>
              <w:jc w:val="center"/>
              <w:rPr>
                <w:rFonts w:ascii="Arial Narrow" w:hAnsi="Arial Narrow" w:cs="Arial"/>
                <w:snapToGrid w:val="0"/>
                <w:sz w:val="20"/>
                <w:szCs w:val="20"/>
                <w:lang w:eastAsia="en-US"/>
              </w:rPr>
            </w:pPr>
          </w:p>
          <w:p w:rsidR="007331B8" w:rsidRPr="007331B8" w:rsidRDefault="007331B8" w:rsidP="007331B8">
            <w:pPr>
              <w:keepNext/>
              <w:widowControl w:val="0"/>
              <w:jc w:val="center"/>
              <w:rPr>
                <w:rFonts w:ascii="Arial Narrow" w:hAnsi="Arial Narrow" w:cs="Arial"/>
                <w:snapToGrid w:val="0"/>
                <w:sz w:val="20"/>
                <w:szCs w:val="20"/>
                <w:lang w:eastAsia="en-US"/>
              </w:rPr>
            </w:pPr>
            <w:r w:rsidRPr="007331B8">
              <w:rPr>
                <w:rFonts w:ascii="Arial Narrow" w:hAnsi="Arial Narrow" w:cs="Arial"/>
                <w:snapToGrid w:val="0"/>
                <w:sz w:val="20"/>
                <w:szCs w:val="20"/>
                <w:lang w:eastAsia="en-US"/>
              </w:rPr>
              <w:t>1</w:t>
            </w:r>
          </w:p>
          <w:p w:rsidR="007331B8" w:rsidRPr="007331B8" w:rsidRDefault="007331B8" w:rsidP="007331B8">
            <w:pPr>
              <w:keepNext/>
              <w:widowControl w:val="0"/>
              <w:jc w:val="center"/>
              <w:rPr>
                <w:rFonts w:ascii="Arial Narrow" w:hAnsi="Arial Narrow" w:cs="Arial"/>
                <w:snapToGrid w:val="0"/>
                <w:sz w:val="20"/>
                <w:szCs w:val="20"/>
                <w:lang w:eastAsia="en-US"/>
              </w:rPr>
            </w:pPr>
          </w:p>
          <w:p w:rsidR="007331B8" w:rsidRPr="007D5055" w:rsidRDefault="007331B8" w:rsidP="007331B8">
            <w:pPr>
              <w:keepNext/>
              <w:widowControl w:val="0"/>
              <w:jc w:val="center"/>
              <w:rPr>
                <w:rFonts w:ascii="Arial Narrow" w:hAnsi="Arial Narrow" w:cs="Arial"/>
                <w:snapToGrid w:val="0"/>
                <w:sz w:val="20"/>
                <w:szCs w:val="20"/>
                <w:lang w:eastAsia="en-US"/>
              </w:rPr>
            </w:pPr>
            <w:r w:rsidRPr="007331B8">
              <w:rPr>
                <w:rFonts w:ascii="Arial Narrow" w:hAnsi="Arial Narrow" w:cs="Arial"/>
                <w:snapToGrid w:val="0"/>
                <w:sz w:val="20"/>
                <w:szCs w:val="20"/>
                <w:lang w:eastAsia="en-US"/>
              </w:rPr>
              <w:t>1</w:t>
            </w:r>
          </w:p>
        </w:tc>
        <w:tc>
          <w:tcPr>
            <w:tcW w:w="526" w:type="pct"/>
            <w:tcBorders>
              <w:top w:val="single" w:sz="4" w:space="0" w:color="auto"/>
            </w:tcBorders>
          </w:tcPr>
          <w:p w:rsidR="007331B8" w:rsidRPr="007D5055" w:rsidRDefault="007331B8" w:rsidP="007331B8">
            <w:pPr>
              <w:keepNext/>
              <w:widowControl w:val="0"/>
              <w:jc w:val="center"/>
              <w:rPr>
                <w:rFonts w:ascii="Arial Narrow" w:hAnsi="Arial Narrow" w:cs="Arial"/>
                <w:snapToGrid w:val="0"/>
                <w:sz w:val="20"/>
                <w:szCs w:val="20"/>
                <w:lang w:eastAsia="en-US"/>
              </w:rPr>
            </w:pPr>
          </w:p>
          <w:p w:rsidR="007331B8" w:rsidRPr="007331B8" w:rsidRDefault="007331B8" w:rsidP="007331B8">
            <w:pPr>
              <w:keepNext/>
              <w:widowControl w:val="0"/>
              <w:jc w:val="center"/>
              <w:rPr>
                <w:rFonts w:ascii="Arial Narrow" w:hAnsi="Arial Narrow" w:cs="Arial"/>
                <w:snapToGrid w:val="0"/>
                <w:sz w:val="20"/>
                <w:szCs w:val="20"/>
                <w:lang w:eastAsia="en-US"/>
              </w:rPr>
            </w:pPr>
            <w:r w:rsidRPr="007331B8">
              <w:rPr>
                <w:rFonts w:ascii="Arial Narrow" w:hAnsi="Arial Narrow" w:cs="Arial"/>
                <w:snapToGrid w:val="0"/>
                <w:sz w:val="20"/>
                <w:szCs w:val="20"/>
                <w:lang w:eastAsia="en-US"/>
              </w:rPr>
              <w:t>5</w:t>
            </w:r>
          </w:p>
          <w:p w:rsidR="007331B8" w:rsidRPr="007331B8" w:rsidRDefault="007331B8" w:rsidP="007331B8">
            <w:pPr>
              <w:keepNext/>
              <w:widowControl w:val="0"/>
              <w:jc w:val="center"/>
              <w:rPr>
                <w:rFonts w:ascii="Arial Narrow" w:hAnsi="Arial Narrow" w:cs="Arial"/>
                <w:snapToGrid w:val="0"/>
                <w:sz w:val="20"/>
                <w:szCs w:val="20"/>
                <w:lang w:eastAsia="en-US"/>
              </w:rPr>
            </w:pPr>
          </w:p>
          <w:p w:rsidR="007331B8" w:rsidRPr="007D5055" w:rsidRDefault="007331B8" w:rsidP="007331B8">
            <w:pPr>
              <w:keepNext/>
              <w:widowControl w:val="0"/>
              <w:jc w:val="center"/>
              <w:rPr>
                <w:rFonts w:ascii="Arial Narrow" w:hAnsi="Arial Narrow" w:cs="Arial"/>
                <w:snapToGrid w:val="0"/>
                <w:sz w:val="20"/>
                <w:szCs w:val="20"/>
                <w:lang w:eastAsia="en-US"/>
              </w:rPr>
            </w:pPr>
            <w:r w:rsidRPr="007331B8">
              <w:rPr>
                <w:rFonts w:ascii="Arial Narrow" w:hAnsi="Arial Narrow" w:cs="Arial"/>
                <w:snapToGrid w:val="0"/>
                <w:sz w:val="20"/>
                <w:szCs w:val="20"/>
                <w:lang w:eastAsia="en-US"/>
              </w:rPr>
              <w:t>5</w:t>
            </w:r>
          </w:p>
        </w:tc>
        <w:tc>
          <w:tcPr>
            <w:tcW w:w="615" w:type="pct"/>
            <w:tcBorders>
              <w:top w:val="single" w:sz="4" w:space="0" w:color="auto"/>
            </w:tcBorders>
          </w:tcPr>
          <w:p w:rsidR="007331B8" w:rsidRPr="007D5055" w:rsidRDefault="007331B8" w:rsidP="007331B8">
            <w:pPr>
              <w:keepNext/>
              <w:widowControl w:val="0"/>
              <w:jc w:val="center"/>
              <w:rPr>
                <w:rFonts w:ascii="Arial Narrow" w:hAnsi="Arial Narrow" w:cs="Arial"/>
                <w:snapToGrid w:val="0"/>
                <w:sz w:val="20"/>
                <w:szCs w:val="20"/>
                <w:lang w:eastAsia="en-US"/>
              </w:rPr>
            </w:pPr>
          </w:p>
          <w:p w:rsidR="007331B8" w:rsidRPr="007331B8" w:rsidRDefault="007331B8" w:rsidP="007331B8">
            <w:pPr>
              <w:keepNext/>
              <w:widowControl w:val="0"/>
              <w:jc w:val="center"/>
              <w:rPr>
                <w:rFonts w:ascii="Arial Narrow" w:hAnsi="Arial Narrow" w:cs="Arial"/>
                <w:snapToGrid w:val="0"/>
                <w:sz w:val="20"/>
                <w:szCs w:val="20"/>
                <w:lang w:eastAsia="en-US"/>
              </w:rPr>
            </w:pPr>
            <w:proofErr w:type="spellStart"/>
            <w:r w:rsidRPr="007331B8">
              <w:rPr>
                <w:rFonts w:ascii="Arial Narrow" w:hAnsi="Arial Narrow" w:cs="Arial"/>
                <w:snapToGrid w:val="0"/>
                <w:sz w:val="20"/>
                <w:szCs w:val="20"/>
                <w:lang w:eastAsia="en-US"/>
              </w:rPr>
              <w:t>Humira</w:t>
            </w:r>
            <w:proofErr w:type="spellEnd"/>
          </w:p>
          <w:p w:rsidR="007331B8" w:rsidRPr="007331B8" w:rsidRDefault="007331B8" w:rsidP="007331B8">
            <w:pPr>
              <w:keepNext/>
              <w:widowControl w:val="0"/>
              <w:jc w:val="center"/>
              <w:rPr>
                <w:rFonts w:ascii="Arial Narrow" w:hAnsi="Arial Narrow" w:cs="Arial"/>
                <w:snapToGrid w:val="0"/>
                <w:sz w:val="20"/>
                <w:szCs w:val="20"/>
                <w:lang w:eastAsia="en-US"/>
              </w:rPr>
            </w:pPr>
          </w:p>
          <w:p w:rsidR="007331B8" w:rsidRPr="007D5055" w:rsidRDefault="007331B8" w:rsidP="007331B8">
            <w:pPr>
              <w:keepNext/>
              <w:widowControl w:val="0"/>
              <w:jc w:val="center"/>
              <w:rPr>
                <w:rFonts w:ascii="Arial Narrow" w:hAnsi="Arial Narrow" w:cs="Arial"/>
                <w:snapToGrid w:val="0"/>
                <w:sz w:val="20"/>
                <w:szCs w:val="20"/>
                <w:lang w:eastAsia="en-US"/>
              </w:rPr>
            </w:pPr>
            <w:proofErr w:type="spellStart"/>
            <w:r w:rsidRPr="007331B8">
              <w:rPr>
                <w:rFonts w:ascii="Arial Narrow" w:hAnsi="Arial Narrow" w:cs="Arial"/>
                <w:snapToGrid w:val="0"/>
                <w:sz w:val="20"/>
                <w:szCs w:val="20"/>
                <w:lang w:eastAsia="en-US"/>
              </w:rPr>
              <w:t>Humira</w:t>
            </w:r>
            <w:proofErr w:type="spellEnd"/>
          </w:p>
        </w:tc>
        <w:tc>
          <w:tcPr>
            <w:tcW w:w="779" w:type="pct"/>
            <w:tcBorders>
              <w:top w:val="single" w:sz="4" w:space="0" w:color="auto"/>
            </w:tcBorders>
          </w:tcPr>
          <w:p w:rsidR="007331B8" w:rsidRPr="007D5055" w:rsidRDefault="007331B8" w:rsidP="007331B8">
            <w:pPr>
              <w:keepNext/>
              <w:widowControl w:val="0"/>
              <w:jc w:val="center"/>
              <w:rPr>
                <w:rFonts w:ascii="Arial Narrow" w:hAnsi="Arial Narrow" w:cs="Arial"/>
                <w:snapToGrid w:val="0"/>
                <w:sz w:val="20"/>
                <w:szCs w:val="20"/>
                <w:lang w:eastAsia="en-US"/>
              </w:rPr>
            </w:pPr>
          </w:p>
          <w:p w:rsidR="007331B8" w:rsidRPr="007331B8" w:rsidRDefault="007331B8" w:rsidP="007331B8">
            <w:pPr>
              <w:keepNext/>
              <w:widowControl w:val="0"/>
              <w:jc w:val="center"/>
              <w:rPr>
                <w:rFonts w:ascii="Arial Narrow" w:hAnsi="Arial Narrow" w:cs="Arial"/>
                <w:snapToGrid w:val="0"/>
                <w:sz w:val="20"/>
                <w:szCs w:val="20"/>
                <w:lang w:eastAsia="en-US"/>
              </w:rPr>
            </w:pPr>
            <w:proofErr w:type="spellStart"/>
            <w:r w:rsidRPr="007331B8">
              <w:rPr>
                <w:rFonts w:ascii="Arial Narrow" w:hAnsi="Arial Narrow" w:cs="Arial"/>
                <w:snapToGrid w:val="0"/>
                <w:sz w:val="20"/>
                <w:szCs w:val="20"/>
                <w:lang w:eastAsia="en-US"/>
              </w:rPr>
              <w:t>AbbVie</w:t>
            </w:r>
            <w:proofErr w:type="spellEnd"/>
          </w:p>
          <w:p w:rsidR="007331B8" w:rsidRPr="007331B8" w:rsidRDefault="007331B8" w:rsidP="007331B8">
            <w:pPr>
              <w:keepNext/>
              <w:widowControl w:val="0"/>
              <w:jc w:val="center"/>
              <w:rPr>
                <w:rFonts w:ascii="Arial Narrow" w:hAnsi="Arial Narrow" w:cs="Arial"/>
                <w:snapToGrid w:val="0"/>
                <w:sz w:val="20"/>
                <w:szCs w:val="20"/>
                <w:lang w:eastAsia="en-US"/>
              </w:rPr>
            </w:pPr>
          </w:p>
          <w:p w:rsidR="007331B8" w:rsidRPr="007D5055" w:rsidRDefault="007331B8" w:rsidP="007331B8">
            <w:pPr>
              <w:keepNext/>
              <w:widowControl w:val="0"/>
              <w:jc w:val="center"/>
              <w:rPr>
                <w:rFonts w:ascii="Arial Narrow" w:hAnsi="Arial Narrow" w:cs="Arial"/>
                <w:snapToGrid w:val="0"/>
                <w:sz w:val="20"/>
                <w:szCs w:val="20"/>
                <w:lang w:eastAsia="en-US"/>
              </w:rPr>
            </w:pPr>
            <w:proofErr w:type="spellStart"/>
            <w:r w:rsidRPr="007331B8">
              <w:rPr>
                <w:rFonts w:ascii="Arial Narrow" w:hAnsi="Arial Narrow" w:cs="Arial"/>
                <w:snapToGrid w:val="0"/>
                <w:sz w:val="20"/>
                <w:szCs w:val="20"/>
                <w:lang w:eastAsia="en-US"/>
              </w:rPr>
              <w:t>AbbVie</w:t>
            </w:r>
            <w:proofErr w:type="spellEnd"/>
          </w:p>
          <w:p w:rsidR="007331B8" w:rsidRPr="007D5055" w:rsidRDefault="007331B8" w:rsidP="007331B8">
            <w:pPr>
              <w:keepNext/>
              <w:widowControl w:val="0"/>
              <w:jc w:val="center"/>
              <w:rPr>
                <w:rFonts w:ascii="Arial Narrow" w:hAnsi="Arial Narrow" w:cs="Arial"/>
                <w:snapToGrid w:val="0"/>
                <w:sz w:val="20"/>
                <w:szCs w:val="20"/>
                <w:lang w:eastAsia="en-US"/>
              </w:rPr>
            </w:pPr>
          </w:p>
        </w:tc>
      </w:tr>
      <w:tr w:rsidR="00A43C3E" w:rsidRPr="007D5055" w:rsidTr="007331B8">
        <w:trPr>
          <w:cantSplit/>
          <w:trHeight w:val="123"/>
        </w:trPr>
        <w:tc>
          <w:tcPr>
            <w:tcW w:w="5000" w:type="pct"/>
            <w:gridSpan w:val="6"/>
            <w:vAlign w:val="center"/>
          </w:tcPr>
          <w:p w:rsidR="00A43C3E" w:rsidRPr="007D5055" w:rsidRDefault="00A43C3E" w:rsidP="00A43C3E">
            <w:pPr>
              <w:widowControl w:val="0"/>
              <w:rPr>
                <w:rFonts w:ascii="Arial Narrow" w:hAnsi="Arial Narrow"/>
                <w:b/>
                <w:snapToGrid w:val="0"/>
                <w:sz w:val="20"/>
                <w:szCs w:val="20"/>
                <w:lang w:eastAsia="en-US"/>
              </w:rPr>
            </w:pPr>
            <w:r w:rsidRPr="007D5055">
              <w:rPr>
                <w:rFonts w:ascii="Arial Narrow" w:hAnsi="Arial Narrow"/>
                <w:b/>
                <w:snapToGrid w:val="0"/>
                <w:sz w:val="20"/>
                <w:szCs w:val="20"/>
                <w:lang w:eastAsia="en-US"/>
              </w:rPr>
              <w:t>Continuing treatment of moderate-to-severely active ulcerative colitis</w:t>
            </w:r>
          </w:p>
        </w:tc>
      </w:tr>
      <w:tr w:rsidR="00A43C3E" w:rsidRPr="00A43C3E" w:rsidTr="007331B8">
        <w:trPr>
          <w:trHeight w:val="360"/>
        </w:trPr>
        <w:tc>
          <w:tcPr>
            <w:tcW w:w="5000" w:type="pct"/>
            <w:gridSpan w:val="6"/>
            <w:vAlign w:val="center"/>
          </w:tcPr>
          <w:p w:rsidR="00A43C3E" w:rsidRPr="007D5055" w:rsidRDefault="00A43C3E" w:rsidP="00A43C3E">
            <w:pPr>
              <w:widowControl w:val="0"/>
              <w:rPr>
                <w:rFonts w:ascii="Arial Narrow" w:hAnsi="Arial Narrow"/>
                <w:snapToGrid w:val="0"/>
                <w:sz w:val="20"/>
                <w:szCs w:val="20"/>
                <w:lang w:eastAsia="en-US"/>
              </w:rPr>
            </w:pPr>
            <w:r w:rsidRPr="007D5055">
              <w:rPr>
                <w:rFonts w:ascii="Arial Narrow" w:hAnsi="Arial Narrow"/>
                <w:snapToGrid w:val="0"/>
                <w:sz w:val="20"/>
                <w:szCs w:val="20"/>
                <w:lang w:eastAsia="en-US"/>
              </w:rPr>
              <w:t xml:space="preserve">Continuing PBS-subsidised treatment with </w:t>
            </w:r>
            <w:proofErr w:type="spellStart"/>
            <w:r w:rsidRPr="007D5055">
              <w:rPr>
                <w:rFonts w:ascii="Arial Narrow" w:hAnsi="Arial Narrow"/>
                <w:snapToGrid w:val="0"/>
                <w:sz w:val="20"/>
                <w:szCs w:val="20"/>
                <w:lang w:eastAsia="en-US"/>
              </w:rPr>
              <w:t>adalimumab</w:t>
            </w:r>
            <w:proofErr w:type="spellEnd"/>
            <w:r w:rsidRPr="007D5055">
              <w:rPr>
                <w:rFonts w:ascii="Arial Narrow" w:hAnsi="Arial Narrow"/>
                <w:snapToGrid w:val="0"/>
                <w:sz w:val="20"/>
                <w:szCs w:val="20"/>
                <w:lang w:eastAsia="en-US"/>
              </w:rPr>
              <w:t xml:space="preserve"> by a gastroenterologist, a consultant physician or other consultant physician in consultation with a gastroenterologist, of a patient aged 18 years or older who:</w:t>
            </w:r>
          </w:p>
          <w:p w:rsidR="00A43C3E" w:rsidRPr="007D5055" w:rsidRDefault="00A43C3E" w:rsidP="00505097">
            <w:pPr>
              <w:widowControl w:val="0"/>
              <w:numPr>
                <w:ilvl w:val="0"/>
                <w:numId w:val="9"/>
              </w:numPr>
              <w:contextualSpacing/>
              <w:jc w:val="both"/>
              <w:rPr>
                <w:rFonts w:ascii="Arial Narrow" w:hAnsi="Arial Narrow"/>
                <w:snapToGrid w:val="0"/>
                <w:sz w:val="20"/>
                <w:szCs w:val="20"/>
                <w:lang w:eastAsia="en-US"/>
              </w:rPr>
            </w:pPr>
            <w:r w:rsidRPr="007D5055">
              <w:rPr>
                <w:rFonts w:ascii="Arial Narrow" w:hAnsi="Arial Narrow"/>
                <w:snapToGrid w:val="0"/>
                <w:sz w:val="20"/>
                <w:szCs w:val="20"/>
                <w:lang w:eastAsia="en-US"/>
              </w:rPr>
              <w:t>has a documented history of moderately to severely active ulcerative colitis; or</w:t>
            </w:r>
          </w:p>
          <w:p w:rsidR="00A43C3E" w:rsidRPr="007D5055" w:rsidRDefault="00A43C3E" w:rsidP="00505097">
            <w:pPr>
              <w:widowControl w:val="0"/>
              <w:numPr>
                <w:ilvl w:val="0"/>
                <w:numId w:val="9"/>
              </w:numPr>
              <w:contextualSpacing/>
              <w:jc w:val="both"/>
              <w:rPr>
                <w:rFonts w:ascii="Arial Narrow" w:hAnsi="Arial Narrow"/>
                <w:snapToGrid w:val="0"/>
                <w:sz w:val="20"/>
                <w:szCs w:val="20"/>
                <w:lang w:eastAsia="en-US"/>
              </w:rPr>
            </w:pPr>
            <w:proofErr w:type="gramStart"/>
            <w:r w:rsidRPr="007D5055">
              <w:rPr>
                <w:rFonts w:ascii="Arial Narrow" w:hAnsi="Arial Narrow"/>
                <w:snapToGrid w:val="0"/>
                <w:sz w:val="20"/>
                <w:szCs w:val="20"/>
                <w:lang w:eastAsia="en-US"/>
              </w:rPr>
              <w:t>has</w:t>
            </w:r>
            <w:proofErr w:type="gramEnd"/>
            <w:r w:rsidRPr="007D5055">
              <w:rPr>
                <w:rFonts w:ascii="Arial Narrow" w:hAnsi="Arial Narrow"/>
                <w:snapToGrid w:val="0"/>
                <w:sz w:val="20"/>
                <w:szCs w:val="20"/>
                <w:lang w:eastAsia="en-US"/>
              </w:rPr>
              <w:t xml:space="preserve"> demonstrated or sustained an adequate response to treatment with </w:t>
            </w:r>
            <w:proofErr w:type="spellStart"/>
            <w:r w:rsidRPr="007D5055">
              <w:rPr>
                <w:rFonts w:ascii="Arial Narrow" w:hAnsi="Arial Narrow"/>
                <w:snapToGrid w:val="0"/>
                <w:sz w:val="20"/>
                <w:szCs w:val="20"/>
                <w:lang w:eastAsia="en-US"/>
              </w:rPr>
              <w:t>adalimumab</w:t>
            </w:r>
            <w:proofErr w:type="spellEnd"/>
            <w:r w:rsidRPr="007D5055">
              <w:rPr>
                <w:rFonts w:ascii="Arial Narrow" w:hAnsi="Arial Narrow"/>
                <w:snapToGrid w:val="0"/>
                <w:sz w:val="20"/>
                <w:szCs w:val="20"/>
                <w:lang w:eastAsia="en-US"/>
              </w:rPr>
              <w:t>.</w:t>
            </w:r>
          </w:p>
          <w:p w:rsidR="00A43C3E" w:rsidRPr="007D5055" w:rsidRDefault="00A43C3E" w:rsidP="00A43C3E">
            <w:pPr>
              <w:widowControl w:val="0"/>
              <w:rPr>
                <w:rFonts w:ascii="Arial Narrow" w:hAnsi="Arial Narrow"/>
                <w:snapToGrid w:val="0"/>
                <w:sz w:val="12"/>
                <w:szCs w:val="12"/>
                <w:lang w:eastAsia="en-US"/>
              </w:rPr>
            </w:pPr>
          </w:p>
          <w:p w:rsidR="00A43C3E" w:rsidRPr="007D5055" w:rsidRDefault="00A43C3E" w:rsidP="00A43C3E">
            <w:pPr>
              <w:widowControl w:val="0"/>
              <w:rPr>
                <w:rFonts w:ascii="Arial Narrow" w:hAnsi="Arial Narrow"/>
                <w:snapToGrid w:val="0"/>
                <w:sz w:val="20"/>
                <w:szCs w:val="20"/>
                <w:lang w:eastAsia="en-US"/>
              </w:rPr>
            </w:pPr>
            <w:r w:rsidRPr="007D5055">
              <w:rPr>
                <w:rFonts w:ascii="Arial Narrow" w:hAnsi="Arial Narrow"/>
                <w:snapToGrid w:val="0"/>
                <w:sz w:val="20"/>
                <w:szCs w:val="20"/>
                <w:lang w:eastAsia="en-US"/>
              </w:rPr>
              <w:t xml:space="preserve">An adequate response to </w:t>
            </w:r>
            <w:proofErr w:type="spellStart"/>
            <w:r w:rsidRPr="007D5055">
              <w:rPr>
                <w:rFonts w:ascii="Arial Narrow" w:hAnsi="Arial Narrow"/>
                <w:snapToGrid w:val="0"/>
                <w:sz w:val="20"/>
                <w:szCs w:val="20"/>
                <w:lang w:eastAsia="en-US"/>
              </w:rPr>
              <w:t>adalimumab</w:t>
            </w:r>
            <w:proofErr w:type="spellEnd"/>
            <w:r w:rsidRPr="007D5055">
              <w:rPr>
                <w:rFonts w:ascii="Arial Narrow" w:hAnsi="Arial Narrow"/>
                <w:snapToGrid w:val="0"/>
                <w:sz w:val="20"/>
                <w:szCs w:val="20"/>
                <w:lang w:eastAsia="en-US"/>
              </w:rPr>
              <w:t xml:space="preserve"> treatment is defined as:</w:t>
            </w:r>
          </w:p>
          <w:p w:rsidR="00A43C3E" w:rsidRPr="007D5055" w:rsidRDefault="00A43C3E" w:rsidP="00505097">
            <w:pPr>
              <w:widowControl w:val="0"/>
              <w:numPr>
                <w:ilvl w:val="0"/>
                <w:numId w:val="10"/>
              </w:numPr>
              <w:contextualSpacing/>
              <w:jc w:val="both"/>
              <w:rPr>
                <w:rFonts w:ascii="Arial Narrow" w:hAnsi="Arial Narrow"/>
                <w:snapToGrid w:val="0"/>
                <w:sz w:val="20"/>
                <w:szCs w:val="20"/>
                <w:lang w:eastAsia="en-US"/>
              </w:rPr>
            </w:pPr>
            <w:r w:rsidRPr="007D5055">
              <w:rPr>
                <w:rFonts w:ascii="Arial Narrow" w:hAnsi="Arial Narrow"/>
                <w:snapToGrid w:val="0"/>
                <w:sz w:val="20"/>
                <w:szCs w:val="20"/>
                <w:lang w:eastAsia="en-US"/>
              </w:rPr>
              <w:t>decrease in partial Mayo Score of ≥ 2 points; or</w:t>
            </w:r>
          </w:p>
          <w:p w:rsidR="00A43C3E" w:rsidRPr="007D5055" w:rsidRDefault="00A43C3E" w:rsidP="00505097">
            <w:pPr>
              <w:widowControl w:val="0"/>
              <w:numPr>
                <w:ilvl w:val="0"/>
                <w:numId w:val="10"/>
              </w:numPr>
              <w:contextualSpacing/>
              <w:jc w:val="both"/>
              <w:rPr>
                <w:rFonts w:ascii="Arial Narrow" w:hAnsi="Arial Narrow"/>
                <w:snapToGrid w:val="0"/>
                <w:sz w:val="20"/>
                <w:szCs w:val="20"/>
                <w:lang w:eastAsia="en-US"/>
              </w:rPr>
            </w:pPr>
            <w:proofErr w:type="gramStart"/>
            <w:r w:rsidRPr="007D5055">
              <w:rPr>
                <w:rFonts w:ascii="Arial Narrow" w:hAnsi="Arial Narrow"/>
                <w:snapToGrid w:val="0"/>
                <w:sz w:val="20"/>
                <w:szCs w:val="20"/>
                <w:lang w:eastAsia="en-US"/>
              </w:rPr>
              <w:t>decrease</w:t>
            </w:r>
            <w:proofErr w:type="gramEnd"/>
            <w:r w:rsidRPr="007D5055">
              <w:rPr>
                <w:rFonts w:ascii="Arial Narrow" w:hAnsi="Arial Narrow"/>
                <w:snapToGrid w:val="0"/>
                <w:sz w:val="20"/>
                <w:szCs w:val="20"/>
                <w:lang w:eastAsia="en-US"/>
              </w:rPr>
              <w:t xml:space="preserve"> in full Mayo Score of ≥ 3 points.</w:t>
            </w:r>
          </w:p>
          <w:p w:rsidR="00A43C3E" w:rsidRPr="007D5055" w:rsidRDefault="00A43C3E" w:rsidP="00A43C3E">
            <w:pPr>
              <w:widowControl w:val="0"/>
              <w:jc w:val="both"/>
              <w:rPr>
                <w:rFonts w:ascii="Arial Narrow" w:hAnsi="Arial Narrow"/>
                <w:snapToGrid w:val="0"/>
                <w:sz w:val="12"/>
                <w:szCs w:val="12"/>
                <w:lang w:eastAsia="en-US"/>
              </w:rPr>
            </w:pPr>
          </w:p>
          <w:p w:rsidR="00A43C3E" w:rsidRPr="00A43C3E" w:rsidRDefault="00A43C3E" w:rsidP="00A43C3E">
            <w:pPr>
              <w:widowControl w:val="0"/>
              <w:jc w:val="both"/>
              <w:rPr>
                <w:rFonts w:ascii="Arial Narrow" w:hAnsi="Arial Narrow"/>
                <w:snapToGrid w:val="0"/>
                <w:sz w:val="20"/>
                <w:szCs w:val="20"/>
                <w:lang w:eastAsia="en-US"/>
              </w:rPr>
            </w:pPr>
            <w:r w:rsidRPr="007D5055">
              <w:rPr>
                <w:rFonts w:ascii="Arial Narrow" w:hAnsi="Arial Narrow"/>
                <w:snapToGrid w:val="0"/>
                <w:sz w:val="20"/>
                <w:szCs w:val="20"/>
                <w:lang w:eastAsia="en-US"/>
              </w:rPr>
              <w:t>The assessment of the patient’s response to a continuing course of therapy must be made within the 4 weeks prior to completion of that course and posted Medicare Australia no less than 2 weeks prior to the date the next dose is scheduled, in order to ensure continuity of treatment for those patients who meet the continuation criterion.</w:t>
            </w:r>
          </w:p>
        </w:tc>
      </w:tr>
    </w:tbl>
    <w:p w:rsidR="00A43C3E" w:rsidRPr="00276ACA" w:rsidRDefault="00A43C3E" w:rsidP="00276ACA">
      <w:pPr>
        <w:jc w:val="both"/>
        <w:rPr>
          <w:rFonts w:ascii="Arial" w:hAnsi="Arial"/>
          <w:sz w:val="22"/>
          <w:szCs w:val="22"/>
        </w:rPr>
      </w:pPr>
    </w:p>
    <w:p w:rsidR="00A43C3E" w:rsidRPr="00A43C3E" w:rsidRDefault="00A43C3E" w:rsidP="00A43C3E">
      <w:pPr>
        <w:pStyle w:val="ListParagraph"/>
        <w:jc w:val="both"/>
        <w:rPr>
          <w:rFonts w:ascii="Arial" w:hAnsi="Arial"/>
          <w:sz w:val="22"/>
          <w:szCs w:val="22"/>
        </w:rPr>
      </w:pPr>
    </w:p>
    <w:p w:rsidR="00196307" w:rsidRPr="007D5055" w:rsidRDefault="00276ACA" w:rsidP="00505097">
      <w:pPr>
        <w:pStyle w:val="ListParagraph"/>
        <w:numPr>
          <w:ilvl w:val="1"/>
          <w:numId w:val="1"/>
        </w:numPr>
        <w:jc w:val="both"/>
        <w:rPr>
          <w:rFonts w:ascii="Arial" w:hAnsi="Arial"/>
          <w:sz w:val="22"/>
          <w:szCs w:val="22"/>
        </w:rPr>
      </w:pPr>
      <w:r w:rsidRPr="007D5055">
        <w:rPr>
          <w:rFonts w:ascii="Arial" w:hAnsi="Arial"/>
          <w:sz w:val="22"/>
          <w:szCs w:val="22"/>
        </w:rPr>
        <w:t>L</w:t>
      </w:r>
      <w:r w:rsidR="008E3680" w:rsidRPr="007D5055">
        <w:rPr>
          <w:rFonts w:ascii="Arial" w:hAnsi="Arial"/>
          <w:sz w:val="22"/>
          <w:szCs w:val="22"/>
        </w:rPr>
        <w:t xml:space="preserve">isting </w:t>
      </w:r>
      <w:r w:rsidRPr="007D5055">
        <w:rPr>
          <w:rFonts w:ascii="Arial" w:hAnsi="Arial"/>
          <w:sz w:val="22"/>
          <w:szCs w:val="22"/>
        </w:rPr>
        <w:t xml:space="preserve">was requested on a cost-utility basis </w:t>
      </w:r>
      <w:r w:rsidR="008E3680" w:rsidRPr="007D5055">
        <w:rPr>
          <w:rFonts w:ascii="Arial" w:hAnsi="Arial"/>
          <w:sz w:val="22"/>
          <w:szCs w:val="22"/>
        </w:rPr>
        <w:t xml:space="preserve">compared with </w:t>
      </w:r>
      <w:r w:rsidRPr="007D5055">
        <w:rPr>
          <w:rFonts w:ascii="Arial" w:hAnsi="Arial"/>
          <w:sz w:val="22"/>
          <w:szCs w:val="22"/>
        </w:rPr>
        <w:t xml:space="preserve">best supportive care. </w:t>
      </w:r>
    </w:p>
    <w:p w:rsidR="00614159" w:rsidRDefault="00614159" w:rsidP="00882085">
      <w:pPr>
        <w:jc w:val="both"/>
        <w:rPr>
          <w:rFonts w:ascii="Arial" w:hAnsi="Arial"/>
          <w:b/>
          <w:sz w:val="22"/>
          <w:szCs w:val="22"/>
        </w:rPr>
      </w:pPr>
    </w:p>
    <w:p w:rsidR="00BB7EC3" w:rsidRPr="00BB7EC3" w:rsidRDefault="00BB7EC3" w:rsidP="00BB7EC3">
      <w:pPr>
        <w:pStyle w:val="ListParagraph"/>
        <w:ind w:left="709"/>
        <w:jc w:val="both"/>
        <w:rPr>
          <w:rFonts w:ascii="Arial" w:hAnsi="Arial"/>
          <w:i/>
          <w:sz w:val="22"/>
          <w:szCs w:val="22"/>
        </w:rPr>
      </w:pPr>
      <w:r>
        <w:rPr>
          <w:rFonts w:ascii="Arial" w:hAnsi="Arial"/>
          <w:i/>
          <w:sz w:val="22"/>
          <w:szCs w:val="22"/>
        </w:rPr>
        <w:t>For more detail on PBAC’s view, see section 7 “PBAC outcome”</w:t>
      </w:r>
    </w:p>
    <w:p w:rsidR="00BB7EC3" w:rsidRPr="00882085" w:rsidRDefault="00BB7EC3" w:rsidP="00882085">
      <w:pPr>
        <w:jc w:val="both"/>
        <w:rPr>
          <w:rFonts w:ascii="Arial" w:hAnsi="Arial"/>
          <w:b/>
          <w:sz w:val="22"/>
          <w:szCs w:val="22"/>
        </w:rPr>
      </w:pPr>
    </w:p>
    <w:p w:rsidR="00CE10C4" w:rsidRPr="00882085" w:rsidRDefault="00CE10C4" w:rsidP="00505097">
      <w:pPr>
        <w:pStyle w:val="ListParagraph"/>
        <w:numPr>
          <w:ilvl w:val="0"/>
          <w:numId w:val="1"/>
        </w:numPr>
        <w:jc w:val="both"/>
        <w:rPr>
          <w:rFonts w:ascii="Arial" w:hAnsi="Arial"/>
          <w:sz w:val="22"/>
          <w:szCs w:val="22"/>
        </w:rPr>
      </w:pPr>
      <w:r w:rsidRPr="00882085">
        <w:rPr>
          <w:rFonts w:ascii="Arial" w:hAnsi="Arial"/>
          <w:b/>
          <w:sz w:val="22"/>
          <w:szCs w:val="22"/>
        </w:rPr>
        <w:t>Background</w:t>
      </w:r>
    </w:p>
    <w:p w:rsidR="006A12A5" w:rsidRPr="00882085" w:rsidRDefault="006A12A5" w:rsidP="00882085">
      <w:pPr>
        <w:jc w:val="both"/>
        <w:rPr>
          <w:rFonts w:ascii="Arial" w:hAnsi="Arial"/>
          <w:sz w:val="22"/>
          <w:szCs w:val="22"/>
        </w:rPr>
      </w:pPr>
    </w:p>
    <w:p w:rsidR="00276ACA" w:rsidRPr="007D5055" w:rsidRDefault="00276ACA" w:rsidP="00505097">
      <w:pPr>
        <w:pStyle w:val="ListParagraph"/>
        <w:numPr>
          <w:ilvl w:val="1"/>
          <w:numId w:val="1"/>
        </w:numPr>
        <w:jc w:val="both"/>
        <w:rPr>
          <w:rFonts w:ascii="Arial" w:hAnsi="Arial"/>
          <w:sz w:val="22"/>
          <w:szCs w:val="22"/>
        </w:rPr>
      </w:pPr>
      <w:proofErr w:type="spellStart"/>
      <w:r w:rsidRPr="007D5055">
        <w:rPr>
          <w:rFonts w:ascii="Arial" w:hAnsi="Arial"/>
          <w:sz w:val="22"/>
          <w:szCs w:val="22"/>
        </w:rPr>
        <w:t>Adalimumab</w:t>
      </w:r>
      <w:proofErr w:type="spellEnd"/>
      <w:r w:rsidRPr="007D5055">
        <w:rPr>
          <w:rFonts w:ascii="Arial" w:hAnsi="Arial"/>
          <w:sz w:val="22"/>
          <w:szCs w:val="22"/>
        </w:rPr>
        <w:t xml:space="preserve"> was approved by the TGA for the treatment of moderately to severely active ulcerative colitis in adult patients in July 2013. The extended TGA-registration now includes the following: </w:t>
      </w:r>
    </w:p>
    <w:p w:rsidR="00276ACA" w:rsidRPr="007D5055" w:rsidRDefault="00276ACA" w:rsidP="00276ACA">
      <w:pPr>
        <w:pStyle w:val="ListParagraph"/>
        <w:jc w:val="both"/>
        <w:rPr>
          <w:rFonts w:ascii="Arial" w:hAnsi="Arial"/>
          <w:sz w:val="22"/>
          <w:szCs w:val="22"/>
        </w:rPr>
      </w:pPr>
    </w:p>
    <w:p w:rsidR="006B0D94" w:rsidRPr="007D5055" w:rsidRDefault="00276ACA" w:rsidP="00276ACA">
      <w:pPr>
        <w:pStyle w:val="ListParagraph"/>
        <w:ind w:left="1134"/>
        <w:jc w:val="both"/>
        <w:rPr>
          <w:rFonts w:ascii="Arial" w:hAnsi="Arial"/>
          <w:b/>
          <w:color w:val="FF00FF"/>
          <w:sz w:val="22"/>
          <w:szCs w:val="22"/>
        </w:rPr>
      </w:pPr>
      <w:r w:rsidRPr="007D5055">
        <w:rPr>
          <w:rFonts w:ascii="Arial" w:hAnsi="Arial"/>
          <w:sz w:val="22"/>
          <w:szCs w:val="22"/>
        </w:rPr>
        <w:t>“</w:t>
      </w:r>
      <w:proofErr w:type="spellStart"/>
      <w:r w:rsidRPr="007D5055">
        <w:rPr>
          <w:rFonts w:ascii="Arial" w:hAnsi="Arial"/>
          <w:sz w:val="20"/>
          <w:szCs w:val="20"/>
        </w:rPr>
        <w:t>Adalimumab</w:t>
      </w:r>
      <w:proofErr w:type="spellEnd"/>
      <w:r w:rsidRPr="007D5055">
        <w:rPr>
          <w:rFonts w:ascii="Arial" w:hAnsi="Arial"/>
          <w:sz w:val="20"/>
          <w:szCs w:val="20"/>
        </w:rPr>
        <w:t xml:space="preserve"> is indicated for patients who have had an inadequate response to conventional therapy or who are intolerant to or have medical contraindications for such therapies. Patients should show a clinical response within 8 weeks for treatment to continue treatment beyond that time (see CLINICAL TRIALS).”</w:t>
      </w:r>
      <w:r w:rsidRPr="007D5055">
        <w:rPr>
          <w:rFonts w:ascii="Arial" w:hAnsi="Arial"/>
          <w:sz w:val="22"/>
          <w:szCs w:val="22"/>
        </w:rPr>
        <w:t xml:space="preserve"> </w:t>
      </w:r>
    </w:p>
    <w:p w:rsidR="00276ACA" w:rsidRPr="007D5055" w:rsidRDefault="00276ACA" w:rsidP="007930A1">
      <w:pPr>
        <w:jc w:val="both"/>
        <w:rPr>
          <w:rFonts w:ascii="Arial" w:hAnsi="Arial"/>
          <w:sz w:val="22"/>
          <w:szCs w:val="22"/>
        </w:rPr>
      </w:pPr>
    </w:p>
    <w:p w:rsidR="007D5055" w:rsidRPr="007D5055" w:rsidRDefault="00276ACA" w:rsidP="007D5055">
      <w:pPr>
        <w:pStyle w:val="ListParagraph"/>
        <w:numPr>
          <w:ilvl w:val="1"/>
          <w:numId w:val="1"/>
        </w:numPr>
        <w:jc w:val="both"/>
        <w:rPr>
          <w:rFonts w:ascii="Arial" w:hAnsi="Arial"/>
          <w:sz w:val="22"/>
          <w:szCs w:val="22"/>
        </w:rPr>
      </w:pPr>
      <w:proofErr w:type="spellStart"/>
      <w:r w:rsidRPr="007D5055">
        <w:rPr>
          <w:rFonts w:ascii="Arial" w:hAnsi="Arial"/>
          <w:sz w:val="22"/>
          <w:szCs w:val="22"/>
        </w:rPr>
        <w:t>Adalimumab</w:t>
      </w:r>
      <w:proofErr w:type="spellEnd"/>
      <w:r w:rsidRPr="007D5055">
        <w:rPr>
          <w:rFonts w:ascii="Arial" w:hAnsi="Arial"/>
          <w:sz w:val="22"/>
          <w:szCs w:val="22"/>
        </w:rPr>
        <w:t xml:space="preserve"> is currently listed on the PBS for the treatment of severe active rheumatoid arthritis, severe active psoriatic arthritis, active ankylosing spondylitis, </w:t>
      </w:r>
      <w:r w:rsidR="004C7C40" w:rsidRPr="00C354E1">
        <w:rPr>
          <w:rFonts w:ascii="Arial" w:hAnsi="Arial"/>
          <w:sz w:val="22"/>
          <w:szCs w:val="22"/>
        </w:rPr>
        <w:t>severe active juvenile idiopathic arthritis,</w:t>
      </w:r>
      <w:r w:rsidR="004C7C40">
        <w:rPr>
          <w:rFonts w:ascii="Arial" w:hAnsi="Arial"/>
          <w:sz w:val="22"/>
          <w:szCs w:val="22"/>
        </w:rPr>
        <w:t xml:space="preserve"> </w:t>
      </w:r>
      <w:r w:rsidRPr="007D5055">
        <w:rPr>
          <w:rFonts w:ascii="Arial" w:hAnsi="Arial"/>
          <w:sz w:val="22"/>
          <w:szCs w:val="22"/>
        </w:rPr>
        <w:t>severe refractory Crohn disease</w:t>
      </w:r>
      <w:r w:rsidR="00025E51">
        <w:rPr>
          <w:rFonts w:ascii="Arial" w:hAnsi="Arial"/>
          <w:sz w:val="22"/>
          <w:szCs w:val="22"/>
        </w:rPr>
        <w:t>,</w:t>
      </w:r>
      <w:r w:rsidRPr="007D5055">
        <w:rPr>
          <w:rFonts w:ascii="Arial" w:hAnsi="Arial"/>
          <w:sz w:val="22"/>
          <w:szCs w:val="22"/>
        </w:rPr>
        <w:t xml:space="preserve"> </w:t>
      </w:r>
      <w:r w:rsidR="004C7C40">
        <w:rPr>
          <w:rFonts w:ascii="Arial" w:hAnsi="Arial"/>
          <w:sz w:val="22"/>
          <w:szCs w:val="22"/>
        </w:rPr>
        <w:t>fistulising Crohn disease</w:t>
      </w:r>
      <w:r w:rsidR="004C7C40" w:rsidRPr="007D5055">
        <w:rPr>
          <w:rFonts w:ascii="Arial" w:hAnsi="Arial"/>
          <w:sz w:val="22"/>
          <w:szCs w:val="22"/>
        </w:rPr>
        <w:t xml:space="preserve"> </w:t>
      </w:r>
      <w:r w:rsidRPr="007D5055">
        <w:rPr>
          <w:rFonts w:ascii="Arial" w:hAnsi="Arial"/>
          <w:sz w:val="22"/>
          <w:szCs w:val="22"/>
        </w:rPr>
        <w:t>and severe chronic plaque psoriasis.</w:t>
      </w:r>
    </w:p>
    <w:p w:rsidR="007930A1" w:rsidRPr="007D5055" w:rsidRDefault="007D5055" w:rsidP="007D5055">
      <w:pPr>
        <w:pStyle w:val="ListParagraph"/>
        <w:jc w:val="both"/>
        <w:rPr>
          <w:rFonts w:ascii="Arial" w:hAnsi="Arial"/>
          <w:sz w:val="22"/>
          <w:szCs w:val="22"/>
        </w:rPr>
      </w:pPr>
      <w:r w:rsidRPr="007D5055">
        <w:rPr>
          <w:rFonts w:ascii="Arial" w:hAnsi="Arial"/>
          <w:sz w:val="22"/>
          <w:szCs w:val="22"/>
        </w:rPr>
        <w:t xml:space="preserve"> </w:t>
      </w:r>
    </w:p>
    <w:p w:rsidR="00276ACA" w:rsidRPr="007D5055" w:rsidRDefault="007930A1" w:rsidP="00276ACA">
      <w:pPr>
        <w:pStyle w:val="ListParagraph"/>
        <w:numPr>
          <w:ilvl w:val="1"/>
          <w:numId w:val="1"/>
        </w:numPr>
        <w:jc w:val="both"/>
        <w:rPr>
          <w:rFonts w:ascii="Arial" w:hAnsi="Arial"/>
          <w:sz w:val="22"/>
          <w:szCs w:val="22"/>
        </w:rPr>
      </w:pPr>
      <w:r w:rsidRPr="007D5055">
        <w:rPr>
          <w:rFonts w:ascii="Arial" w:hAnsi="Arial"/>
          <w:sz w:val="22"/>
          <w:szCs w:val="22"/>
        </w:rPr>
        <w:t>The PBAC ha</w:t>
      </w:r>
      <w:r w:rsidR="004E668A" w:rsidRPr="007D5055">
        <w:rPr>
          <w:rFonts w:ascii="Arial" w:hAnsi="Arial"/>
          <w:sz w:val="22"/>
          <w:szCs w:val="22"/>
        </w:rPr>
        <w:t>d</w:t>
      </w:r>
      <w:r w:rsidRPr="007D5055">
        <w:rPr>
          <w:rFonts w:ascii="Arial" w:hAnsi="Arial"/>
          <w:sz w:val="22"/>
          <w:szCs w:val="22"/>
        </w:rPr>
        <w:t xml:space="preserve"> previously considered </w:t>
      </w:r>
      <w:proofErr w:type="spellStart"/>
      <w:r w:rsidRPr="007D5055">
        <w:rPr>
          <w:rFonts w:ascii="Arial" w:hAnsi="Arial"/>
          <w:sz w:val="22"/>
          <w:szCs w:val="22"/>
        </w:rPr>
        <w:t>adalimumab</w:t>
      </w:r>
      <w:proofErr w:type="spellEnd"/>
      <w:r w:rsidRPr="007D5055">
        <w:rPr>
          <w:rFonts w:ascii="Arial" w:hAnsi="Arial"/>
          <w:sz w:val="22"/>
          <w:szCs w:val="22"/>
        </w:rPr>
        <w:t xml:space="preserve"> for the treatment of moderately to severely active ulcerative colitis</w:t>
      </w:r>
      <w:r w:rsidR="00C82474" w:rsidRPr="007D5055">
        <w:rPr>
          <w:rFonts w:ascii="Arial" w:hAnsi="Arial"/>
          <w:sz w:val="22"/>
          <w:szCs w:val="22"/>
        </w:rPr>
        <w:t xml:space="preserve"> once.</w:t>
      </w:r>
      <w:r w:rsidR="004E668A" w:rsidRPr="007D5055">
        <w:rPr>
          <w:rFonts w:ascii="Arial" w:hAnsi="Arial"/>
          <w:sz w:val="22"/>
          <w:szCs w:val="22"/>
        </w:rPr>
        <w:t xml:space="preserve"> </w:t>
      </w:r>
      <w:r w:rsidR="00C82474" w:rsidRPr="007D5055">
        <w:rPr>
          <w:rFonts w:ascii="Arial" w:hAnsi="Arial" w:cs="Arial"/>
          <w:sz w:val="22"/>
          <w:szCs w:val="22"/>
        </w:rPr>
        <w:t>I</w:t>
      </w:r>
      <w:r w:rsidR="004E668A" w:rsidRPr="007D5055">
        <w:rPr>
          <w:rFonts w:ascii="Arial" w:hAnsi="Arial" w:cs="Arial"/>
          <w:sz w:val="22"/>
          <w:szCs w:val="22"/>
        </w:rPr>
        <w:t>n November 2013</w:t>
      </w:r>
      <w:r w:rsidR="00C82474" w:rsidRPr="007D5055">
        <w:rPr>
          <w:rFonts w:ascii="Arial" w:hAnsi="Arial" w:cs="Arial"/>
          <w:sz w:val="22"/>
          <w:szCs w:val="22"/>
        </w:rPr>
        <w:t>,</w:t>
      </w:r>
      <w:r w:rsidR="004E668A" w:rsidRPr="007D5055">
        <w:rPr>
          <w:rFonts w:ascii="Arial" w:hAnsi="Arial" w:cs="Arial"/>
          <w:sz w:val="22"/>
          <w:szCs w:val="22"/>
        </w:rPr>
        <w:t xml:space="preserve"> </w:t>
      </w:r>
      <w:r w:rsidR="00C82474" w:rsidRPr="007D5055">
        <w:rPr>
          <w:rFonts w:ascii="Arial" w:hAnsi="Arial" w:cs="Arial"/>
          <w:sz w:val="22"/>
          <w:szCs w:val="22"/>
        </w:rPr>
        <w:t>t</w:t>
      </w:r>
      <w:r w:rsidR="004E668A" w:rsidRPr="007D5055">
        <w:rPr>
          <w:rFonts w:ascii="Arial" w:hAnsi="Arial" w:cs="Arial"/>
          <w:sz w:val="22"/>
          <w:szCs w:val="22"/>
        </w:rPr>
        <w:t>he PBAC</w:t>
      </w:r>
      <w:r w:rsidR="004E668A" w:rsidRPr="007D5055">
        <w:rPr>
          <w:rFonts w:ascii="Arial" w:hAnsi="Arial" w:cs="Arial"/>
          <w:b/>
          <w:sz w:val="22"/>
          <w:szCs w:val="22"/>
        </w:rPr>
        <w:t xml:space="preserve"> </w:t>
      </w:r>
      <w:r w:rsidR="004E668A" w:rsidRPr="007D5055">
        <w:rPr>
          <w:rFonts w:ascii="Arial" w:hAnsi="Arial" w:cs="Arial"/>
          <w:sz w:val="22"/>
          <w:szCs w:val="22"/>
        </w:rPr>
        <w:t xml:space="preserve">rejected </w:t>
      </w:r>
      <w:r w:rsidR="00C82474" w:rsidRPr="007D5055">
        <w:rPr>
          <w:rFonts w:ascii="Arial" w:hAnsi="Arial" w:cs="Arial"/>
          <w:sz w:val="22"/>
          <w:szCs w:val="22"/>
        </w:rPr>
        <w:t>a</w:t>
      </w:r>
      <w:r w:rsidR="004E668A" w:rsidRPr="007D5055">
        <w:rPr>
          <w:rFonts w:ascii="Arial" w:hAnsi="Arial" w:cs="Arial"/>
          <w:sz w:val="22"/>
          <w:szCs w:val="22"/>
        </w:rPr>
        <w:t xml:space="preserve"> submission on the grounds that the cost-effectiveness of </w:t>
      </w:r>
      <w:proofErr w:type="spellStart"/>
      <w:r w:rsidR="004E668A" w:rsidRPr="007D5055">
        <w:rPr>
          <w:rFonts w:ascii="Arial" w:hAnsi="Arial" w:cs="Arial"/>
          <w:sz w:val="22"/>
          <w:szCs w:val="22"/>
        </w:rPr>
        <w:t>adalimumab</w:t>
      </w:r>
      <w:proofErr w:type="spellEnd"/>
      <w:r w:rsidR="004E668A" w:rsidRPr="007D5055">
        <w:rPr>
          <w:rFonts w:ascii="Arial" w:hAnsi="Arial" w:cs="Arial"/>
          <w:sz w:val="22"/>
          <w:szCs w:val="22"/>
        </w:rPr>
        <w:t xml:space="preserve"> was not able to be estimated by the economic analysis presented in the submission (paragraph 7.1, Nov 2013 PBAC minutes). </w:t>
      </w:r>
    </w:p>
    <w:p w:rsidR="00BB7EC3" w:rsidRDefault="00BB7EC3" w:rsidP="00385EF3">
      <w:pPr>
        <w:jc w:val="both"/>
        <w:rPr>
          <w:rFonts w:ascii="Arial" w:hAnsi="Arial"/>
          <w:b/>
          <w:sz w:val="22"/>
          <w:szCs w:val="22"/>
        </w:rPr>
      </w:pPr>
    </w:p>
    <w:p w:rsidR="007D5055" w:rsidRPr="00385EF3" w:rsidRDefault="007D5055" w:rsidP="00385EF3">
      <w:pPr>
        <w:jc w:val="both"/>
        <w:rPr>
          <w:rFonts w:ascii="Arial" w:hAnsi="Arial"/>
          <w:b/>
          <w:sz w:val="22"/>
          <w:szCs w:val="22"/>
        </w:rPr>
      </w:pPr>
    </w:p>
    <w:p w:rsidR="00CE10C4" w:rsidRPr="00882085" w:rsidRDefault="00CE10C4" w:rsidP="00505097">
      <w:pPr>
        <w:pStyle w:val="ListParagraph"/>
        <w:numPr>
          <w:ilvl w:val="0"/>
          <w:numId w:val="1"/>
        </w:numPr>
        <w:jc w:val="both"/>
        <w:rPr>
          <w:rFonts w:ascii="Arial" w:hAnsi="Arial"/>
          <w:b/>
          <w:sz w:val="22"/>
          <w:szCs w:val="22"/>
        </w:rPr>
      </w:pPr>
      <w:r w:rsidRPr="00882085">
        <w:rPr>
          <w:rFonts w:ascii="Arial" w:hAnsi="Arial"/>
          <w:b/>
          <w:sz w:val="22"/>
          <w:szCs w:val="22"/>
        </w:rPr>
        <w:t>Clinical place for the proposed ther</w:t>
      </w:r>
      <w:r w:rsidR="006A12A5" w:rsidRPr="00882085">
        <w:rPr>
          <w:rFonts w:ascii="Arial" w:hAnsi="Arial"/>
          <w:b/>
          <w:sz w:val="22"/>
          <w:szCs w:val="22"/>
        </w:rPr>
        <w:t>apy</w:t>
      </w:r>
    </w:p>
    <w:p w:rsidR="00C35996" w:rsidRPr="008053EA" w:rsidRDefault="008E3680" w:rsidP="008053EA">
      <w:pPr>
        <w:jc w:val="both"/>
        <w:rPr>
          <w:rFonts w:ascii="Arial" w:hAnsi="Arial"/>
          <w:sz w:val="22"/>
          <w:szCs w:val="22"/>
        </w:rPr>
      </w:pPr>
      <w:r w:rsidRPr="00882085">
        <w:rPr>
          <w:rFonts w:ascii="Arial" w:hAnsi="Arial"/>
          <w:sz w:val="22"/>
          <w:szCs w:val="22"/>
        </w:rPr>
        <w:t xml:space="preserve"> </w:t>
      </w:r>
    </w:p>
    <w:p w:rsidR="008053EA" w:rsidRPr="007D5055" w:rsidRDefault="008053EA" w:rsidP="00505097">
      <w:pPr>
        <w:pStyle w:val="ListParagraph"/>
        <w:numPr>
          <w:ilvl w:val="1"/>
          <w:numId w:val="1"/>
        </w:numPr>
        <w:jc w:val="both"/>
        <w:rPr>
          <w:rFonts w:ascii="Arial" w:hAnsi="Arial"/>
          <w:sz w:val="22"/>
          <w:szCs w:val="22"/>
        </w:rPr>
      </w:pPr>
      <w:proofErr w:type="spellStart"/>
      <w:r w:rsidRPr="007D5055">
        <w:rPr>
          <w:rFonts w:ascii="Arial" w:hAnsi="Arial"/>
          <w:sz w:val="22"/>
          <w:szCs w:val="22"/>
        </w:rPr>
        <w:t>Adalimumab</w:t>
      </w:r>
      <w:proofErr w:type="spellEnd"/>
      <w:r w:rsidRPr="007D5055">
        <w:rPr>
          <w:rFonts w:ascii="Arial" w:hAnsi="Arial"/>
          <w:sz w:val="22"/>
          <w:szCs w:val="22"/>
        </w:rPr>
        <w:t xml:space="preserve"> is intended for use in adult patients with moderately to severely active ulcerative colitis who have not responded to, are contraindicated or intolerant of conventional therapies. </w:t>
      </w:r>
    </w:p>
    <w:p w:rsidR="006A12A5" w:rsidRPr="008053EA" w:rsidRDefault="00C35996" w:rsidP="008053EA">
      <w:pPr>
        <w:pStyle w:val="ListParagraph"/>
        <w:jc w:val="both"/>
        <w:rPr>
          <w:rFonts w:ascii="Arial" w:hAnsi="Arial"/>
          <w:sz w:val="22"/>
          <w:szCs w:val="22"/>
        </w:rPr>
      </w:pPr>
      <w:r w:rsidRPr="00882085">
        <w:rPr>
          <w:rFonts w:ascii="Arial" w:hAnsi="Arial"/>
          <w:sz w:val="22"/>
          <w:szCs w:val="22"/>
        </w:rPr>
        <w:tab/>
      </w:r>
    </w:p>
    <w:p w:rsidR="00BB7EC3" w:rsidRPr="00BB7EC3" w:rsidRDefault="00BB7EC3" w:rsidP="00BB7EC3">
      <w:pPr>
        <w:pStyle w:val="ListParagraph"/>
        <w:ind w:left="709"/>
        <w:jc w:val="both"/>
        <w:rPr>
          <w:rFonts w:ascii="Arial" w:hAnsi="Arial"/>
          <w:i/>
          <w:sz w:val="22"/>
          <w:szCs w:val="22"/>
        </w:rPr>
      </w:pPr>
      <w:r>
        <w:rPr>
          <w:rFonts w:ascii="Arial" w:hAnsi="Arial"/>
          <w:i/>
          <w:sz w:val="22"/>
          <w:szCs w:val="22"/>
        </w:rPr>
        <w:t>For more detail on PBAC’s view, see section 7 “PBAC outcome”</w:t>
      </w:r>
    </w:p>
    <w:p w:rsidR="00BB7EC3" w:rsidRDefault="00BB7EC3" w:rsidP="00882085">
      <w:pPr>
        <w:pStyle w:val="Header"/>
        <w:tabs>
          <w:tab w:val="clear" w:pos="4153"/>
          <w:tab w:val="clear" w:pos="8306"/>
        </w:tabs>
        <w:jc w:val="both"/>
        <w:rPr>
          <w:rFonts w:ascii="Arial" w:hAnsi="Arial"/>
          <w:sz w:val="22"/>
          <w:szCs w:val="22"/>
        </w:rPr>
      </w:pPr>
    </w:p>
    <w:p w:rsidR="00C82474" w:rsidRPr="00882085" w:rsidRDefault="00C82474" w:rsidP="00882085">
      <w:pPr>
        <w:pStyle w:val="Header"/>
        <w:tabs>
          <w:tab w:val="clear" w:pos="4153"/>
          <w:tab w:val="clear" w:pos="8306"/>
        </w:tabs>
        <w:jc w:val="both"/>
        <w:rPr>
          <w:rFonts w:ascii="Arial" w:hAnsi="Arial"/>
          <w:sz w:val="22"/>
          <w:szCs w:val="22"/>
        </w:rPr>
      </w:pPr>
    </w:p>
    <w:p w:rsidR="005A3173" w:rsidRPr="00882085" w:rsidRDefault="005A3173" w:rsidP="00505097">
      <w:pPr>
        <w:pStyle w:val="Header"/>
        <w:numPr>
          <w:ilvl w:val="0"/>
          <w:numId w:val="1"/>
        </w:numPr>
        <w:tabs>
          <w:tab w:val="clear" w:pos="4153"/>
          <w:tab w:val="clear" w:pos="8306"/>
        </w:tabs>
        <w:jc w:val="both"/>
        <w:rPr>
          <w:rFonts w:ascii="Arial" w:hAnsi="Arial"/>
          <w:b/>
          <w:sz w:val="22"/>
          <w:szCs w:val="22"/>
        </w:rPr>
      </w:pPr>
      <w:r w:rsidRPr="00882085">
        <w:rPr>
          <w:rFonts w:ascii="Arial" w:hAnsi="Arial"/>
          <w:b/>
          <w:sz w:val="22"/>
          <w:szCs w:val="22"/>
        </w:rPr>
        <w:t>Comparator</w:t>
      </w:r>
    </w:p>
    <w:p w:rsidR="005A3173" w:rsidRPr="00882085" w:rsidRDefault="005A3173" w:rsidP="00882085">
      <w:pPr>
        <w:pStyle w:val="Header"/>
        <w:tabs>
          <w:tab w:val="clear" w:pos="4153"/>
          <w:tab w:val="clear" w:pos="8306"/>
        </w:tabs>
        <w:jc w:val="both"/>
        <w:rPr>
          <w:rFonts w:ascii="Arial" w:hAnsi="Arial"/>
          <w:b/>
          <w:sz w:val="22"/>
          <w:szCs w:val="22"/>
        </w:rPr>
      </w:pPr>
    </w:p>
    <w:p w:rsidR="00C73DC1" w:rsidRPr="007D5055" w:rsidRDefault="008053EA" w:rsidP="00C73DC1">
      <w:pPr>
        <w:pStyle w:val="ListParagraph"/>
        <w:numPr>
          <w:ilvl w:val="1"/>
          <w:numId w:val="1"/>
        </w:numPr>
        <w:jc w:val="both"/>
        <w:rPr>
          <w:rFonts w:ascii="Arial" w:hAnsi="Arial"/>
          <w:i/>
          <w:sz w:val="22"/>
          <w:szCs w:val="22"/>
        </w:rPr>
      </w:pPr>
      <w:r w:rsidRPr="007D5055">
        <w:rPr>
          <w:rFonts w:ascii="Arial" w:hAnsi="Arial"/>
          <w:sz w:val="22"/>
          <w:szCs w:val="22"/>
        </w:rPr>
        <w:t>The main comparator in the re-submission remained best supportive care, which was accepted by PBAC in November 2013 as appropriate.</w:t>
      </w:r>
      <w:r w:rsidR="00C73DC1" w:rsidRPr="007D5055">
        <w:rPr>
          <w:rFonts w:ascii="Arial" w:hAnsi="Arial"/>
          <w:sz w:val="22"/>
          <w:szCs w:val="22"/>
        </w:rPr>
        <w:t xml:space="preserve">  The ESC noted that infliximab was recommended for PBS listing for moderate to severe ulcerative colitis in March 2014 but that the recommendation is yet to become effective.  Should the infliximab recommendation become effective, the ESC considered that infliximab would be the most appropriate </w:t>
      </w:r>
      <w:proofErr w:type="gramStart"/>
      <w:r w:rsidR="00C73DC1" w:rsidRPr="007D5055">
        <w:rPr>
          <w:rFonts w:ascii="Arial" w:hAnsi="Arial"/>
          <w:sz w:val="22"/>
          <w:szCs w:val="22"/>
        </w:rPr>
        <w:t>comparator.</w:t>
      </w:r>
      <w:proofErr w:type="gramEnd"/>
      <w:r w:rsidR="00C73DC1" w:rsidRPr="007D5055">
        <w:rPr>
          <w:rFonts w:ascii="Arial" w:hAnsi="Arial"/>
          <w:i/>
          <w:sz w:val="22"/>
          <w:szCs w:val="22"/>
        </w:rPr>
        <w:t xml:space="preserve">  </w:t>
      </w:r>
    </w:p>
    <w:p w:rsidR="00BB7EC3" w:rsidRDefault="00BB7EC3" w:rsidP="008D447E">
      <w:pPr>
        <w:pStyle w:val="ListParagraph"/>
        <w:jc w:val="both"/>
        <w:rPr>
          <w:rFonts w:ascii="Arial" w:hAnsi="Arial"/>
          <w:sz w:val="22"/>
          <w:szCs w:val="22"/>
        </w:rPr>
      </w:pPr>
    </w:p>
    <w:p w:rsidR="00BB7EC3" w:rsidRPr="00BB7EC3" w:rsidRDefault="00BB7EC3" w:rsidP="00BB7EC3">
      <w:pPr>
        <w:pStyle w:val="ListParagraph"/>
        <w:ind w:left="709"/>
        <w:jc w:val="both"/>
        <w:rPr>
          <w:rFonts w:ascii="Arial" w:hAnsi="Arial"/>
          <w:i/>
          <w:sz w:val="22"/>
          <w:szCs w:val="22"/>
        </w:rPr>
      </w:pPr>
      <w:r>
        <w:rPr>
          <w:rFonts w:ascii="Arial" w:hAnsi="Arial"/>
          <w:i/>
          <w:sz w:val="22"/>
          <w:szCs w:val="22"/>
        </w:rPr>
        <w:t>For more detail on PBAC’s view, see section 7 “PBAC outcome”</w:t>
      </w:r>
    </w:p>
    <w:p w:rsidR="00C82474" w:rsidRDefault="00C82474" w:rsidP="008D447E">
      <w:pPr>
        <w:pStyle w:val="ListParagraph"/>
        <w:jc w:val="both"/>
        <w:rPr>
          <w:rFonts w:ascii="Arial" w:hAnsi="Arial"/>
          <w:sz w:val="22"/>
          <w:szCs w:val="22"/>
        </w:rPr>
      </w:pPr>
    </w:p>
    <w:p w:rsidR="00DF26A7" w:rsidRPr="001C16D7" w:rsidRDefault="00DF26A7" w:rsidP="001C16D7">
      <w:pPr>
        <w:jc w:val="both"/>
        <w:rPr>
          <w:rFonts w:ascii="Arial" w:hAnsi="Arial"/>
          <w:sz w:val="22"/>
          <w:szCs w:val="22"/>
        </w:rPr>
      </w:pPr>
    </w:p>
    <w:p w:rsidR="000B558D" w:rsidRPr="00882085" w:rsidRDefault="0072062B" w:rsidP="00505097">
      <w:pPr>
        <w:pStyle w:val="Header"/>
        <w:numPr>
          <w:ilvl w:val="0"/>
          <w:numId w:val="1"/>
        </w:numPr>
        <w:tabs>
          <w:tab w:val="clear" w:pos="4153"/>
          <w:tab w:val="clear" w:pos="8306"/>
        </w:tabs>
        <w:jc w:val="both"/>
        <w:rPr>
          <w:rFonts w:ascii="Arial" w:hAnsi="Arial"/>
          <w:b/>
          <w:sz w:val="22"/>
          <w:szCs w:val="22"/>
        </w:rPr>
      </w:pPr>
      <w:r>
        <w:rPr>
          <w:rFonts w:ascii="Arial" w:hAnsi="Arial"/>
          <w:b/>
          <w:sz w:val="22"/>
          <w:szCs w:val="22"/>
        </w:rPr>
        <w:t>C</w:t>
      </w:r>
      <w:r w:rsidR="000B558D" w:rsidRPr="00882085">
        <w:rPr>
          <w:rFonts w:ascii="Arial" w:hAnsi="Arial"/>
          <w:b/>
          <w:sz w:val="22"/>
          <w:szCs w:val="22"/>
        </w:rPr>
        <w:t>onsideration of the evidence</w:t>
      </w:r>
    </w:p>
    <w:p w:rsidR="006A12A5" w:rsidRDefault="006A12A5" w:rsidP="00882085">
      <w:pPr>
        <w:jc w:val="both"/>
        <w:rPr>
          <w:rFonts w:ascii="Arial" w:hAnsi="Arial"/>
          <w:b/>
          <w:sz w:val="22"/>
          <w:szCs w:val="22"/>
        </w:rPr>
      </w:pPr>
    </w:p>
    <w:p w:rsidR="00BB7EC3" w:rsidRPr="00BB7EC3" w:rsidRDefault="00BB7EC3" w:rsidP="00BB7EC3">
      <w:pPr>
        <w:jc w:val="both"/>
        <w:rPr>
          <w:rFonts w:ascii="Arial" w:hAnsi="Arial"/>
          <w:b/>
          <w:i/>
          <w:sz w:val="22"/>
          <w:szCs w:val="22"/>
        </w:rPr>
      </w:pPr>
      <w:r w:rsidRPr="00BB7EC3">
        <w:rPr>
          <w:rFonts w:ascii="Arial" w:hAnsi="Arial"/>
          <w:b/>
          <w:i/>
          <w:sz w:val="22"/>
          <w:szCs w:val="22"/>
        </w:rPr>
        <w:t>Sponsor hearing</w:t>
      </w:r>
    </w:p>
    <w:p w:rsidR="00BB7EC3" w:rsidRPr="001123CB" w:rsidRDefault="00BB7EC3" w:rsidP="001123CB">
      <w:pPr>
        <w:jc w:val="both"/>
        <w:rPr>
          <w:rFonts w:ascii="Arial" w:hAnsi="Arial"/>
          <w:color w:val="FF00FF"/>
          <w:sz w:val="22"/>
          <w:szCs w:val="22"/>
        </w:rPr>
      </w:pPr>
    </w:p>
    <w:p w:rsidR="00BB7EC3" w:rsidRPr="001123CB" w:rsidRDefault="00BB7EC3" w:rsidP="00505097">
      <w:pPr>
        <w:pStyle w:val="ListParagraph"/>
        <w:numPr>
          <w:ilvl w:val="1"/>
          <w:numId w:val="1"/>
        </w:numPr>
        <w:ind w:left="709" w:hanging="709"/>
        <w:jc w:val="both"/>
        <w:rPr>
          <w:rFonts w:ascii="Arial" w:hAnsi="Arial"/>
          <w:sz w:val="22"/>
          <w:szCs w:val="22"/>
        </w:rPr>
      </w:pPr>
      <w:r w:rsidRPr="001123CB">
        <w:rPr>
          <w:rFonts w:ascii="Arial" w:hAnsi="Arial"/>
          <w:sz w:val="22"/>
          <w:szCs w:val="22"/>
        </w:rPr>
        <w:t>There was no hearing for this item.</w:t>
      </w:r>
    </w:p>
    <w:p w:rsidR="00BB7EC3" w:rsidRDefault="00BB7EC3" w:rsidP="00BB7EC3">
      <w:pPr>
        <w:pStyle w:val="ListParagraph"/>
        <w:ind w:left="709"/>
        <w:jc w:val="both"/>
        <w:rPr>
          <w:rFonts w:ascii="Arial" w:hAnsi="Arial"/>
          <w:sz w:val="22"/>
          <w:szCs w:val="22"/>
        </w:rPr>
      </w:pPr>
    </w:p>
    <w:p w:rsidR="00BB7EC3" w:rsidRPr="00BB7EC3" w:rsidRDefault="00BB7EC3" w:rsidP="00BB7EC3">
      <w:pPr>
        <w:jc w:val="both"/>
        <w:rPr>
          <w:rFonts w:ascii="Arial" w:hAnsi="Arial"/>
          <w:b/>
          <w:i/>
          <w:sz w:val="22"/>
          <w:szCs w:val="22"/>
        </w:rPr>
      </w:pPr>
      <w:r w:rsidRPr="00BB7EC3">
        <w:rPr>
          <w:rFonts w:ascii="Arial" w:hAnsi="Arial"/>
          <w:b/>
          <w:i/>
          <w:sz w:val="22"/>
          <w:szCs w:val="22"/>
        </w:rPr>
        <w:t>Consumer comments</w:t>
      </w:r>
    </w:p>
    <w:p w:rsidR="00BB7EC3" w:rsidRDefault="00BB7EC3" w:rsidP="00BB7EC3">
      <w:pPr>
        <w:pStyle w:val="ListParagraph"/>
        <w:ind w:left="709"/>
        <w:jc w:val="both"/>
        <w:rPr>
          <w:rFonts w:ascii="Arial" w:hAnsi="Arial"/>
          <w:sz w:val="22"/>
          <w:szCs w:val="22"/>
        </w:rPr>
      </w:pPr>
    </w:p>
    <w:p w:rsidR="00720A4B" w:rsidRPr="00771E4C" w:rsidRDefault="00BB7EC3" w:rsidP="00720A4B">
      <w:pPr>
        <w:pStyle w:val="ListParagraph"/>
        <w:numPr>
          <w:ilvl w:val="1"/>
          <w:numId w:val="1"/>
        </w:numPr>
        <w:ind w:left="709" w:hanging="709"/>
        <w:jc w:val="both"/>
        <w:rPr>
          <w:rFonts w:ascii="Arial" w:hAnsi="Arial"/>
          <w:sz w:val="22"/>
          <w:szCs w:val="22"/>
        </w:rPr>
      </w:pPr>
      <w:r w:rsidRPr="00771E4C">
        <w:rPr>
          <w:rFonts w:ascii="Arial" w:hAnsi="Arial"/>
          <w:sz w:val="22"/>
          <w:szCs w:val="22"/>
        </w:rPr>
        <w:t>The PBAC noted and welcom</w:t>
      </w:r>
      <w:r w:rsidR="00720A4B" w:rsidRPr="00771E4C">
        <w:rPr>
          <w:rFonts w:ascii="Arial" w:hAnsi="Arial"/>
          <w:sz w:val="22"/>
          <w:szCs w:val="22"/>
        </w:rPr>
        <w:t>ed the input from individuals (12), health care professionals (4</w:t>
      </w:r>
      <w:r w:rsidRPr="00771E4C">
        <w:rPr>
          <w:rFonts w:ascii="Arial" w:hAnsi="Arial"/>
          <w:sz w:val="22"/>
          <w:szCs w:val="22"/>
        </w:rPr>
        <w:t xml:space="preserve">) and organisations (1) via the Consumer Comments facility on the PBS website.  The comments described a range of benefits of treatment </w:t>
      </w:r>
      <w:r w:rsidR="00720A4B" w:rsidRPr="00771E4C">
        <w:rPr>
          <w:rFonts w:ascii="Arial" w:hAnsi="Arial"/>
          <w:sz w:val="22"/>
          <w:szCs w:val="22"/>
        </w:rPr>
        <w:t xml:space="preserve">and improvements in quality of life </w:t>
      </w:r>
      <w:r w:rsidRPr="00771E4C">
        <w:rPr>
          <w:rFonts w:ascii="Arial" w:hAnsi="Arial"/>
          <w:sz w:val="22"/>
          <w:szCs w:val="22"/>
        </w:rPr>
        <w:t xml:space="preserve">with </w:t>
      </w:r>
      <w:proofErr w:type="spellStart"/>
      <w:r w:rsidR="00720A4B" w:rsidRPr="00771E4C">
        <w:rPr>
          <w:rFonts w:ascii="Arial" w:hAnsi="Arial"/>
          <w:sz w:val="22"/>
          <w:szCs w:val="22"/>
        </w:rPr>
        <w:t>adalimumab</w:t>
      </w:r>
      <w:proofErr w:type="spellEnd"/>
      <w:r w:rsidR="00720A4B" w:rsidRPr="00771E4C">
        <w:rPr>
          <w:rFonts w:ascii="Arial" w:hAnsi="Arial"/>
          <w:sz w:val="22"/>
          <w:szCs w:val="22"/>
        </w:rPr>
        <w:t>, including the following:</w:t>
      </w:r>
      <w:r w:rsidRPr="00771E4C">
        <w:rPr>
          <w:rFonts w:ascii="Arial" w:hAnsi="Arial"/>
          <w:sz w:val="22"/>
          <w:szCs w:val="22"/>
        </w:rPr>
        <w:t xml:space="preserve"> </w:t>
      </w:r>
    </w:p>
    <w:p w:rsidR="00720A4B" w:rsidRPr="00771E4C" w:rsidRDefault="00720A4B" w:rsidP="00720A4B">
      <w:pPr>
        <w:pStyle w:val="ListParagraph"/>
        <w:numPr>
          <w:ilvl w:val="0"/>
          <w:numId w:val="28"/>
        </w:numPr>
        <w:ind w:left="993" w:hanging="284"/>
        <w:jc w:val="both"/>
        <w:rPr>
          <w:rFonts w:ascii="Arial" w:hAnsi="Arial"/>
          <w:sz w:val="22"/>
          <w:szCs w:val="22"/>
        </w:rPr>
      </w:pPr>
      <w:r w:rsidRPr="00771E4C">
        <w:rPr>
          <w:rFonts w:ascii="Arial" w:hAnsi="Arial"/>
          <w:sz w:val="22"/>
          <w:szCs w:val="22"/>
        </w:rPr>
        <w:t>Less time spent in hospitals;</w:t>
      </w:r>
    </w:p>
    <w:p w:rsidR="00771E4C" w:rsidRPr="00771E4C" w:rsidRDefault="00771E4C" w:rsidP="00720A4B">
      <w:pPr>
        <w:pStyle w:val="ListParagraph"/>
        <w:numPr>
          <w:ilvl w:val="0"/>
          <w:numId w:val="28"/>
        </w:numPr>
        <w:ind w:left="993" w:hanging="284"/>
        <w:jc w:val="both"/>
        <w:rPr>
          <w:rFonts w:ascii="Arial" w:hAnsi="Arial"/>
          <w:sz w:val="22"/>
          <w:szCs w:val="22"/>
        </w:rPr>
      </w:pPr>
      <w:r w:rsidRPr="00771E4C">
        <w:rPr>
          <w:rFonts w:ascii="Arial" w:hAnsi="Arial"/>
          <w:sz w:val="22"/>
          <w:szCs w:val="22"/>
        </w:rPr>
        <w:t>Avoidance of surgery (3 episodes per patient) and associated  complications, including adhesions/</w:t>
      </w:r>
      <w:proofErr w:type="spellStart"/>
      <w:r w:rsidRPr="00771E4C">
        <w:rPr>
          <w:rFonts w:ascii="Arial" w:hAnsi="Arial"/>
          <w:sz w:val="22"/>
          <w:szCs w:val="22"/>
        </w:rPr>
        <w:t>pouchitis</w:t>
      </w:r>
      <w:proofErr w:type="spellEnd"/>
      <w:r w:rsidRPr="00771E4C">
        <w:rPr>
          <w:rFonts w:ascii="Arial" w:hAnsi="Arial"/>
          <w:sz w:val="22"/>
          <w:szCs w:val="22"/>
        </w:rPr>
        <w:t xml:space="preserve">; </w:t>
      </w:r>
    </w:p>
    <w:p w:rsidR="00771E4C" w:rsidRPr="00771E4C" w:rsidRDefault="00771E4C" w:rsidP="00720A4B">
      <w:pPr>
        <w:pStyle w:val="ListParagraph"/>
        <w:numPr>
          <w:ilvl w:val="0"/>
          <w:numId w:val="28"/>
        </w:numPr>
        <w:ind w:left="993" w:hanging="284"/>
        <w:jc w:val="both"/>
        <w:rPr>
          <w:rFonts w:ascii="Arial" w:hAnsi="Arial"/>
          <w:sz w:val="22"/>
          <w:szCs w:val="22"/>
        </w:rPr>
      </w:pPr>
      <w:r w:rsidRPr="00771E4C">
        <w:rPr>
          <w:rFonts w:ascii="Arial" w:hAnsi="Arial"/>
          <w:sz w:val="22"/>
          <w:szCs w:val="22"/>
        </w:rPr>
        <w:t>Avoidance of side-effects associated with corticosteroid use;</w:t>
      </w:r>
    </w:p>
    <w:p w:rsidR="00771E4C" w:rsidRPr="00771E4C" w:rsidRDefault="00771E4C" w:rsidP="00720A4B">
      <w:pPr>
        <w:pStyle w:val="ListParagraph"/>
        <w:numPr>
          <w:ilvl w:val="0"/>
          <w:numId w:val="28"/>
        </w:numPr>
        <w:ind w:left="993" w:hanging="284"/>
        <w:jc w:val="both"/>
        <w:rPr>
          <w:rFonts w:ascii="Arial" w:hAnsi="Arial"/>
          <w:sz w:val="22"/>
          <w:szCs w:val="22"/>
        </w:rPr>
      </w:pPr>
      <w:r w:rsidRPr="00771E4C">
        <w:rPr>
          <w:rFonts w:ascii="Arial" w:hAnsi="Arial"/>
          <w:sz w:val="22"/>
          <w:szCs w:val="22"/>
        </w:rPr>
        <w:t>Increasing the available treatment options once corticosteroid therapy has failed or is inadequate;</w:t>
      </w:r>
    </w:p>
    <w:p w:rsidR="00720A4B" w:rsidRPr="00771E4C" w:rsidRDefault="00720A4B" w:rsidP="00720A4B">
      <w:pPr>
        <w:pStyle w:val="ListParagraph"/>
        <w:numPr>
          <w:ilvl w:val="0"/>
          <w:numId w:val="28"/>
        </w:numPr>
        <w:ind w:left="993" w:hanging="284"/>
        <w:jc w:val="both"/>
        <w:rPr>
          <w:rFonts w:ascii="Arial" w:hAnsi="Arial"/>
          <w:sz w:val="22"/>
          <w:szCs w:val="22"/>
        </w:rPr>
      </w:pPr>
      <w:r w:rsidRPr="00771E4C">
        <w:rPr>
          <w:rFonts w:ascii="Arial" w:hAnsi="Arial"/>
          <w:sz w:val="22"/>
          <w:szCs w:val="22"/>
        </w:rPr>
        <w:t>Attainment of disease control and remission;</w:t>
      </w:r>
    </w:p>
    <w:p w:rsidR="00720A4B" w:rsidRPr="00771E4C" w:rsidRDefault="00720A4B" w:rsidP="00720A4B">
      <w:pPr>
        <w:pStyle w:val="ListParagraph"/>
        <w:numPr>
          <w:ilvl w:val="0"/>
          <w:numId w:val="28"/>
        </w:numPr>
        <w:ind w:left="993" w:hanging="284"/>
        <w:jc w:val="both"/>
        <w:rPr>
          <w:rFonts w:ascii="Arial" w:hAnsi="Arial"/>
          <w:sz w:val="22"/>
          <w:szCs w:val="22"/>
        </w:rPr>
      </w:pPr>
      <w:r w:rsidRPr="00771E4C">
        <w:rPr>
          <w:rFonts w:ascii="Arial" w:hAnsi="Arial"/>
          <w:sz w:val="22"/>
          <w:szCs w:val="22"/>
        </w:rPr>
        <w:t>Improved ability to work, less sick leave;</w:t>
      </w:r>
    </w:p>
    <w:p w:rsidR="00720A4B" w:rsidRPr="00771E4C" w:rsidRDefault="00720A4B" w:rsidP="00720A4B">
      <w:pPr>
        <w:pStyle w:val="ListParagraph"/>
        <w:numPr>
          <w:ilvl w:val="0"/>
          <w:numId w:val="28"/>
        </w:numPr>
        <w:ind w:left="993" w:hanging="284"/>
        <w:jc w:val="both"/>
        <w:rPr>
          <w:rFonts w:ascii="Arial" w:hAnsi="Arial"/>
          <w:sz w:val="22"/>
          <w:szCs w:val="22"/>
        </w:rPr>
      </w:pPr>
      <w:r w:rsidRPr="00771E4C">
        <w:rPr>
          <w:rFonts w:ascii="Arial" w:hAnsi="Arial"/>
          <w:sz w:val="22"/>
          <w:szCs w:val="22"/>
        </w:rPr>
        <w:t>Increased energy to look after family;</w:t>
      </w:r>
    </w:p>
    <w:p w:rsidR="00720A4B" w:rsidRPr="00771E4C" w:rsidRDefault="00720A4B" w:rsidP="00720A4B">
      <w:pPr>
        <w:pStyle w:val="ListParagraph"/>
        <w:numPr>
          <w:ilvl w:val="0"/>
          <w:numId w:val="28"/>
        </w:numPr>
        <w:ind w:left="993" w:hanging="284"/>
        <w:jc w:val="both"/>
        <w:rPr>
          <w:rFonts w:ascii="Arial" w:hAnsi="Arial"/>
          <w:sz w:val="22"/>
          <w:szCs w:val="22"/>
        </w:rPr>
      </w:pPr>
      <w:r w:rsidRPr="00771E4C">
        <w:rPr>
          <w:rFonts w:ascii="Arial" w:hAnsi="Arial"/>
          <w:sz w:val="22"/>
          <w:szCs w:val="22"/>
        </w:rPr>
        <w:t>Facilitating a normal social life which was not possible before treatment;</w:t>
      </w:r>
    </w:p>
    <w:p w:rsidR="00720A4B" w:rsidRPr="00771E4C" w:rsidRDefault="00720A4B" w:rsidP="00720A4B">
      <w:pPr>
        <w:pStyle w:val="ListParagraph"/>
        <w:numPr>
          <w:ilvl w:val="0"/>
          <w:numId w:val="28"/>
        </w:numPr>
        <w:ind w:left="993" w:hanging="284"/>
        <w:jc w:val="both"/>
        <w:rPr>
          <w:rFonts w:ascii="Arial" w:hAnsi="Arial"/>
          <w:sz w:val="22"/>
          <w:szCs w:val="22"/>
        </w:rPr>
      </w:pPr>
      <w:r w:rsidRPr="00771E4C">
        <w:rPr>
          <w:rFonts w:ascii="Arial" w:hAnsi="Arial"/>
          <w:sz w:val="22"/>
          <w:szCs w:val="22"/>
        </w:rPr>
        <w:t>Less stress and less anxiety around potential of “losing bowel’ and having to undergo major surgery with long term emotional and physical impact;</w:t>
      </w:r>
    </w:p>
    <w:p w:rsidR="00720A4B" w:rsidRPr="00771E4C" w:rsidRDefault="00720A4B" w:rsidP="00720A4B">
      <w:pPr>
        <w:pStyle w:val="ListParagraph"/>
        <w:numPr>
          <w:ilvl w:val="0"/>
          <w:numId w:val="28"/>
        </w:numPr>
        <w:ind w:left="993" w:hanging="284"/>
        <w:jc w:val="both"/>
        <w:rPr>
          <w:rFonts w:ascii="Arial" w:hAnsi="Arial"/>
          <w:sz w:val="22"/>
          <w:szCs w:val="22"/>
        </w:rPr>
      </w:pPr>
      <w:r w:rsidRPr="00771E4C">
        <w:rPr>
          <w:rFonts w:ascii="Arial" w:hAnsi="Arial"/>
          <w:sz w:val="22"/>
          <w:szCs w:val="22"/>
        </w:rPr>
        <w:t>Improved financial position by taking financial pressure off families;</w:t>
      </w:r>
    </w:p>
    <w:p w:rsidR="00720A4B" w:rsidRPr="00771E4C" w:rsidRDefault="00720A4B" w:rsidP="00720A4B">
      <w:pPr>
        <w:pStyle w:val="ListParagraph"/>
        <w:numPr>
          <w:ilvl w:val="0"/>
          <w:numId w:val="28"/>
        </w:numPr>
        <w:ind w:left="993" w:hanging="284"/>
        <w:jc w:val="both"/>
        <w:rPr>
          <w:rFonts w:ascii="Arial" w:hAnsi="Arial"/>
          <w:sz w:val="22"/>
          <w:szCs w:val="22"/>
        </w:rPr>
      </w:pPr>
      <w:r w:rsidRPr="00771E4C">
        <w:rPr>
          <w:rFonts w:ascii="Arial" w:hAnsi="Arial"/>
          <w:sz w:val="22"/>
          <w:szCs w:val="22"/>
        </w:rPr>
        <w:t xml:space="preserve">Reassurance </w:t>
      </w:r>
      <w:r w:rsidR="00960F3A">
        <w:rPr>
          <w:rFonts w:ascii="Arial" w:hAnsi="Arial"/>
          <w:sz w:val="22"/>
          <w:szCs w:val="22"/>
        </w:rPr>
        <w:t>about</w:t>
      </w:r>
      <w:r w:rsidRPr="00771E4C">
        <w:rPr>
          <w:rFonts w:ascii="Arial" w:hAnsi="Arial"/>
          <w:sz w:val="22"/>
          <w:szCs w:val="22"/>
        </w:rPr>
        <w:t xml:space="preserve"> supply</w:t>
      </w:r>
      <w:r w:rsidR="00960F3A">
        <w:rPr>
          <w:rFonts w:ascii="Arial" w:hAnsi="Arial"/>
          <w:sz w:val="22"/>
          <w:szCs w:val="22"/>
        </w:rPr>
        <w:t>,</w:t>
      </w:r>
      <w:r w:rsidR="007D5055">
        <w:rPr>
          <w:rFonts w:ascii="Arial" w:hAnsi="Arial"/>
          <w:sz w:val="22"/>
          <w:szCs w:val="22"/>
        </w:rPr>
        <w:t xml:space="preserve"> th</w:t>
      </w:r>
      <w:r w:rsidRPr="00771E4C">
        <w:rPr>
          <w:rFonts w:ascii="Arial" w:hAnsi="Arial"/>
          <w:sz w:val="22"/>
          <w:szCs w:val="22"/>
        </w:rPr>
        <w:t>ough not having to rely on a sponsor compassionate access program;</w:t>
      </w:r>
      <w:r w:rsidR="00771E4C" w:rsidRPr="00771E4C">
        <w:rPr>
          <w:rFonts w:ascii="Arial" w:hAnsi="Arial"/>
          <w:sz w:val="22"/>
          <w:szCs w:val="22"/>
        </w:rPr>
        <w:t xml:space="preserve"> and</w:t>
      </w:r>
    </w:p>
    <w:p w:rsidR="00720A4B" w:rsidRPr="00771E4C" w:rsidRDefault="00720A4B" w:rsidP="00720A4B">
      <w:pPr>
        <w:pStyle w:val="ListParagraph"/>
        <w:numPr>
          <w:ilvl w:val="0"/>
          <w:numId w:val="28"/>
        </w:numPr>
        <w:ind w:left="993" w:hanging="284"/>
        <w:jc w:val="both"/>
        <w:rPr>
          <w:rFonts w:ascii="Arial" w:hAnsi="Arial"/>
          <w:sz w:val="22"/>
          <w:szCs w:val="22"/>
        </w:rPr>
      </w:pPr>
      <w:r w:rsidRPr="00771E4C">
        <w:rPr>
          <w:rFonts w:ascii="Arial" w:hAnsi="Arial"/>
          <w:sz w:val="22"/>
          <w:szCs w:val="22"/>
        </w:rPr>
        <w:t>Increased equity in access</w:t>
      </w:r>
      <w:r w:rsidR="00771E4C" w:rsidRPr="00771E4C">
        <w:rPr>
          <w:rFonts w:ascii="Arial" w:hAnsi="Arial"/>
          <w:sz w:val="22"/>
          <w:szCs w:val="22"/>
        </w:rPr>
        <w:t>.</w:t>
      </w:r>
    </w:p>
    <w:p w:rsidR="00BB7EC3" w:rsidRPr="00720A4B" w:rsidRDefault="00BB7EC3" w:rsidP="00720A4B">
      <w:pPr>
        <w:jc w:val="both"/>
        <w:rPr>
          <w:rFonts w:ascii="Arial" w:hAnsi="Arial"/>
          <w:color w:val="FF00FF"/>
          <w:sz w:val="22"/>
          <w:szCs w:val="22"/>
        </w:rPr>
      </w:pPr>
    </w:p>
    <w:p w:rsidR="00BB7EC3" w:rsidRPr="00771E4C" w:rsidRDefault="00BB7EC3" w:rsidP="00505097">
      <w:pPr>
        <w:pStyle w:val="ListParagraph"/>
        <w:numPr>
          <w:ilvl w:val="1"/>
          <w:numId w:val="1"/>
        </w:numPr>
        <w:ind w:left="709" w:hanging="709"/>
        <w:jc w:val="both"/>
        <w:rPr>
          <w:rFonts w:ascii="Arial" w:hAnsi="Arial"/>
          <w:sz w:val="22"/>
          <w:szCs w:val="22"/>
        </w:rPr>
      </w:pPr>
      <w:r w:rsidRPr="00771E4C">
        <w:rPr>
          <w:rFonts w:ascii="Arial" w:hAnsi="Arial"/>
          <w:sz w:val="22"/>
          <w:szCs w:val="22"/>
        </w:rPr>
        <w:t xml:space="preserve">The PBAC </w:t>
      </w:r>
      <w:r w:rsidR="00960F3A">
        <w:rPr>
          <w:rFonts w:ascii="Arial" w:hAnsi="Arial"/>
          <w:sz w:val="22"/>
          <w:szCs w:val="22"/>
        </w:rPr>
        <w:t xml:space="preserve">also </w:t>
      </w:r>
      <w:r w:rsidRPr="00771E4C">
        <w:rPr>
          <w:rFonts w:ascii="Arial" w:hAnsi="Arial"/>
          <w:sz w:val="22"/>
          <w:szCs w:val="22"/>
        </w:rPr>
        <w:t xml:space="preserve">noted the </w:t>
      </w:r>
      <w:r w:rsidR="00771E4C" w:rsidRPr="00771E4C">
        <w:rPr>
          <w:rFonts w:ascii="Arial" w:hAnsi="Arial"/>
          <w:sz w:val="22"/>
          <w:szCs w:val="22"/>
        </w:rPr>
        <w:t>support for listing from the Gut Foundation.</w:t>
      </w:r>
      <w:r w:rsidRPr="00771E4C">
        <w:rPr>
          <w:rFonts w:ascii="Arial" w:hAnsi="Arial"/>
          <w:sz w:val="22"/>
          <w:szCs w:val="22"/>
        </w:rPr>
        <w:t xml:space="preserve"> </w:t>
      </w:r>
    </w:p>
    <w:p w:rsidR="002B1AE6" w:rsidRPr="00744EF3" w:rsidRDefault="002B1AE6" w:rsidP="00882085">
      <w:pPr>
        <w:jc w:val="both"/>
        <w:rPr>
          <w:rFonts w:ascii="Arial" w:hAnsi="Arial"/>
          <w:b/>
          <w:sz w:val="22"/>
          <w:szCs w:val="22"/>
        </w:rPr>
      </w:pPr>
    </w:p>
    <w:p w:rsidR="00BB7EC3" w:rsidRPr="00744EF3" w:rsidRDefault="00BB7EC3" w:rsidP="00BB7EC3">
      <w:pPr>
        <w:pStyle w:val="ListParagraph"/>
        <w:ind w:left="709"/>
        <w:jc w:val="both"/>
        <w:rPr>
          <w:rFonts w:ascii="Arial" w:hAnsi="Arial"/>
          <w:i/>
          <w:sz w:val="22"/>
          <w:szCs w:val="22"/>
        </w:rPr>
      </w:pPr>
      <w:r w:rsidRPr="00744EF3">
        <w:rPr>
          <w:rFonts w:ascii="Arial" w:hAnsi="Arial"/>
          <w:i/>
          <w:sz w:val="22"/>
          <w:szCs w:val="22"/>
        </w:rPr>
        <w:t>For more detail on PBAC’s view, see section 7 “PBAC outcome”</w:t>
      </w:r>
    </w:p>
    <w:p w:rsidR="00BB7EC3" w:rsidRPr="00882085" w:rsidRDefault="00BB7EC3" w:rsidP="00BB7EC3">
      <w:pPr>
        <w:ind w:left="709"/>
        <w:jc w:val="both"/>
        <w:rPr>
          <w:rFonts w:ascii="Arial" w:hAnsi="Arial"/>
          <w:b/>
          <w:sz w:val="22"/>
          <w:szCs w:val="22"/>
        </w:rPr>
      </w:pPr>
    </w:p>
    <w:p w:rsidR="00B43E90" w:rsidRPr="00882085" w:rsidRDefault="00B43E90" w:rsidP="00882085">
      <w:pPr>
        <w:jc w:val="both"/>
        <w:rPr>
          <w:rFonts w:ascii="Arial" w:hAnsi="Arial"/>
          <w:b/>
          <w:i/>
          <w:sz w:val="22"/>
          <w:szCs w:val="22"/>
        </w:rPr>
      </w:pPr>
      <w:r w:rsidRPr="00882085">
        <w:rPr>
          <w:rFonts w:ascii="Arial" w:hAnsi="Arial"/>
          <w:b/>
          <w:i/>
          <w:sz w:val="22"/>
          <w:szCs w:val="22"/>
        </w:rPr>
        <w:t>Clinical trials</w:t>
      </w:r>
    </w:p>
    <w:p w:rsidR="002B1AE6" w:rsidRPr="00882085" w:rsidRDefault="002B1AE6" w:rsidP="00882085">
      <w:pPr>
        <w:jc w:val="both"/>
        <w:rPr>
          <w:rFonts w:ascii="Arial" w:hAnsi="Arial"/>
          <w:sz w:val="22"/>
          <w:szCs w:val="22"/>
        </w:rPr>
      </w:pPr>
    </w:p>
    <w:p w:rsidR="00744EF3" w:rsidRPr="007D5055" w:rsidRDefault="00744EF3" w:rsidP="00505097">
      <w:pPr>
        <w:pStyle w:val="ListParagraph"/>
        <w:numPr>
          <w:ilvl w:val="1"/>
          <w:numId w:val="1"/>
        </w:numPr>
        <w:ind w:left="709" w:hanging="709"/>
        <w:jc w:val="both"/>
        <w:rPr>
          <w:rFonts w:ascii="Arial" w:hAnsi="Arial"/>
          <w:sz w:val="22"/>
          <w:szCs w:val="22"/>
        </w:rPr>
      </w:pPr>
      <w:r w:rsidRPr="007D5055">
        <w:rPr>
          <w:rFonts w:ascii="Arial" w:hAnsi="Arial"/>
          <w:sz w:val="22"/>
          <w:szCs w:val="22"/>
        </w:rPr>
        <w:t>The two trials (M06-826 and M06-827</w:t>
      </w:r>
      <w:r w:rsidR="007930A1" w:rsidRPr="007D5055">
        <w:rPr>
          <w:rFonts w:ascii="Arial" w:hAnsi="Arial"/>
          <w:sz w:val="22"/>
          <w:szCs w:val="22"/>
        </w:rPr>
        <w:t>)</w:t>
      </w:r>
      <w:r w:rsidRPr="007D5055">
        <w:rPr>
          <w:rFonts w:ascii="Arial" w:hAnsi="Arial"/>
          <w:sz w:val="22"/>
          <w:szCs w:val="22"/>
        </w:rPr>
        <w:t xml:space="preserve">, hereafter referred to as ULTRA I and II respectively) </w:t>
      </w:r>
      <w:r w:rsidR="00C82474" w:rsidRPr="007D5055">
        <w:rPr>
          <w:rFonts w:ascii="Arial" w:hAnsi="Arial"/>
          <w:sz w:val="22"/>
          <w:szCs w:val="22"/>
        </w:rPr>
        <w:t xml:space="preserve">relied upon </w:t>
      </w:r>
      <w:r w:rsidRPr="007D5055">
        <w:rPr>
          <w:rFonts w:ascii="Arial" w:hAnsi="Arial"/>
          <w:sz w:val="22"/>
          <w:szCs w:val="22"/>
        </w:rPr>
        <w:t>in the re</w:t>
      </w:r>
      <w:r w:rsidR="00C82474" w:rsidRPr="007D5055">
        <w:rPr>
          <w:rFonts w:ascii="Arial" w:hAnsi="Arial"/>
          <w:sz w:val="22"/>
          <w:szCs w:val="22"/>
        </w:rPr>
        <w:t>-</w:t>
      </w:r>
      <w:r w:rsidRPr="007D5055">
        <w:rPr>
          <w:rFonts w:ascii="Arial" w:hAnsi="Arial"/>
          <w:sz w:val="22"/>
          <w:szCs w:val="22"/>
        </w:rPr>
        <w:t>submission are the same as in the previous submission. A literature search identified a new paper by Suzuki</w:t>
      </w:r>
      <w:r w:rsidR="008B4B6A" w:rsidRPr="007D5055">
        <w:rPr>
          <w:rFonts w:ascii="Arial" w:hAnsi="Arial"/>
          <w:sz w:val="22"/>
          <w:szCs w:val="22"/>
        </w:rPr>
        <w:t xml:space="preserve"> et al.</w:t>
      </w:r>
      <w:r w:rsidRPr="007D5055">
        <w:rPr>
          <w:rFonts w:ascii="Arial" w:hAnsi="Arial"/>
          <w:sz w:val="22"/>
          <w:szCs w:val="22"/>
        </w:rPr>
        <w:t xml:space="preserve"> </w:t>
      </w:r>
      <w:r w:rsidR="008B4B6A" w:rsidRPr="007D5055">
        <w:rPr>
          <w:rFonts w:ascii="Arial" w:hAnsi="Arial"/>
          <w:sz w:val="22"/>
          <w:szCs w:val="22"/>
        </w:rPr>
        <w:t>(</w:t>
      </w:r>
      <w:r w:rsidRPr="007D5055">
        <w:rPr>
          <w:rFonts w:ascii="Arial" w:hAnsi="Arial"/>
          <w:sz w:val="22"/>
          <w:szCs w:val="22"/>
        </w:rPr>
        <w:t>2014</w:t>
      </w:r>
      <w:r w:rsidR="008B4B6A" w:rsidRPr="007D5055">
        <w:rPr>
          <w:rFonts w:ascii="Arial" w:hAnsi="Arial"/>
          <w:sz w:val="22"/>
          <w:szCs w:val="22"/>
        </w:rPr>
        <w:t>)</w:t>
      </w:r>
      <w:r w:rsidRPr="007D5055">
        <w:rPr>
          <w:rFonts w:ascii="Arial" w:hAnsi="Arial"/>
          <w:sz w:val="22"/>
          <w:szCs w:val="22"/>
        </w:rPr>
        <w:t xml:space="preserve"> which was excluded by the re-submission inappropriately. </w:t>
      </w:r>
    </w:p>
    <w:p w:rsidR="00744EF3" w:rsidRPr="007D5055" w:rsidRDefault="00744EF3" w:rsidP="00744EF3">
      <w:pPr>
        <w:pStyle w:val="ListParagraph"/>
        <w:ind w:left="709"/>
        <w:jc w:val="both"/>
        <w:rPr>
          <w:rFonts w:ascii="Arial" w:hAnsi="Arial"/>
          <w:sz w:val="22"/>
          <w:szCs w:val="22"/>
        </w:rPr>
      </w:pPr>
    </w:p>
    <w:p w:rsidR="00744EF3" w:rsidRPr="007D5055" w:rsidRDefault="00744EF3" w:rsidP="00213333">
      <w:pPr>
        <w:pStyle w:val="ListParagraph"/>
        <w:numPr>
          <w:ilvl w:val="1"/>
          <w:numId w:val="1"/>
        </w:numPr>
        <w:jc w:val="both"/>
        <w:rPr>
          <w:rFonts w:ascii="Arial" w:hAnsi="Arial"/>
          <w:sz w:val="22"/>
          <w:szCs w:val="22"/>
        </w:rPr>
      </w:pPr>
      <w:r w:rsidRPr="007331B8">
        <w:rPr>
          <w:rFonts w:ascii="Arial" w:hAnsi="Arial"/>
          <w:sz w:val="22"/>
          <w:szCs w:val="22"/>
        </w:rPr>
        <w:lastRenderedPageBreak/>
        <w:t xml:space="preserve">The Suzuki </w:t>
      </w:r>
      <w:r w:rsidR="008B4B6A" w:rsidRPr="007331B8">
        <w:rPr>
          <w:rFonts w:ascii="Arial" w:hAnsi="Arial"/>
          <w:sz w:val="22"/>
          <w:szCs w:val="22"/>
        </w:rPr>
        <w:t>(</w:t>
      </w:r>
      <w:r w:rsidRPr="007331B8">
        <w:rPr>
          <w:rFonts w:ascii="Arial" w:hAnsi="Arial"/>
          <w:sz w:val="22"/>
          <w:szCs w:val="22"/>
        </w:rPr>
        <w:t>2014</w:t>
      </w:r>
      <w:r w:rsidR="008B4B6A" w:rsidRPr="007331B8">
        <w:rPr>
          <w:rFonts w:ascii="Arial" w:hAnsi="Arial"/>
          <w:sz w:val="22"/>
          <w:szCs w:val="22"/>
        </w:rPr>
        <w:t>)</w:t>
      </w:r>
      <w:r w:rsidRPr="007331B8">
        <w:rPr>
          <w:rFonts w:ascii="Arial" w:hAnsi="Arial"/>
          <w:sz w:val="22"/>
          <w:szCs w:val="22"/>
        </w:rPr>
        <w:t xml:space="preserve"> study was excluded from the re-submission due to the patients being Japanese and the results generally confirming those of the key </w:t>
      </w:r>
      <w:r w:rsidR="00BF639F" w:rsidRPr="007331B8">
        <w:rPr>
          <w:rFonts w:ascii="Arial" w:hAnsi="Arial"/>
          <w:sz w:val="22"/>
          <w:szCs w:val="22"/>
        </w:rPr>
        <w:t>trials. The re-submission argued</w:t>
      </w:r>
      <w:r w:rsidRPr="007331B8">
        <w:rPr>
          <w:rFonts w:ascii="Arial" w:hAnsi="Arial"/>
          <w:sz w:val="22"/>
          <w:szCs w:val="22"/>
        </w:rPr>
        <w:t xml:space="preserve"> that </w:t>
      </w:r>
      <w:r w:rsidR="00BF639F" w:rsidRPr="007331B8">
        <w:rPr>
          <w:rFonts w:ascii="Arial" w:hAnsi="Arial"/>
          <w:sz w:val="22"/>
          <w:szCs w:val="22"/>
        </w:rPr>
        <w:t>the Japanese population provided</w:t>
      </w:r>
      <w:r w:rsidRPr="007331B8">
        <w:rPr>
          <w:rFonts w:ascii="Arial" w:hAnsi="Arial"/>
          <w:sz w:val="22"/>
          <w:szCs w:val="22"/>
        </w:rPr>
        <w:t xml:space="preserve"> limited applicability to the Australian treatment setting.</w:t>
      </w:r>
      <w:r w:rsidRPr="007D5055">
        <w:rPr>
          <w:rFonts w:ascii="Arial" w:hAnsi="Arial"/>
          <w:sz w:val="22"/>
          <w:szCs w:val="22"/>
        </w:rPr>
        <w:t xml:space="preserve"> The reasons for excluding the Suzuki </w:t>
      </w:r>
      <w:r w:rsidR="008B4B6A" w:rsidRPr="007D5055">
        <w:rPr>
          <w:rFonts w:ascii="Arial" w:hAnsi="Arial"/>
          <w:sz w:val="22"/>
          <w:szCs w:val="22"/>
        </w:rPr>
        <w:t>(</w:t>
      </w:r>
      <w:r w:rsidRPr="007D5055">
        <w:rPr>
          <w:rFonts w:ascii="Arial" w:hAnsi="Arial"/>
          <w:sz w:val="22"/>
          <w:szCs w:val="22"/>
        </w:rPr>
        <w:t>2</w:t>
      </w:r>
      <w:r w:rsidR="00BF639F" w:rsidRPr="007D5055">
        <w:rPr>
          <w:rFonts w:ascii="Arial" w:hAnsi="Arial"/>
          <w:sz w:val="22"/>
          <w:szCs w:val="22"/>
        </w:rPr>
        <w:t>014</w:t>
      </w:r>
      <w:r w:rsidR="008B4B6A" w:rsidRPr="007D5055">
        <w:rPr>
          <w:rFonts w:ascii="Arial" w:hAnsi="Arial"/>
          <w:sz w:val="22"/>
          <w:szCs w:val="22"/>
        </w:rPr>
        <w:t>)</w:t>
      </w:r>
      <w:r w:rsidR="00BF639F" w:rsidRPr="007D5055">
        <w:rPr>
          <w:rFonts w:ascii="Arial" w:hAnsi="Arial"/>
          <w:sz w:val="22"/>
          <w:szCs w:val="22"/>
        </w:rPr>
        <w:t xml:space="preserve"> trial in the re-submission we</w:t>
      </w:r>
      <w:r w:rsidRPr="007D5055">
        <w:rPr>
          <w:rFonts w:ascii="Arial" w:hAnsi="Arial"/>
          <w:sz w:val="22"/>
          <w:szCs w:val="22"/>
        </w:rPr>
        <w:t xml:space="preserve">re inappropriate. It would have been more appropriate to include this trial and perform meta-analyses including and excluding this trial.  During the evaluation, an analysis of the efficacy including and excluding the Suzuki 2014 data was performed. </w:t>
      </w:r>
      <w:r w:rsidR="00213333" w:rsidRPr="007D5055">
        <w:rPr>
          <w:rFonts w:ascii="Arial" w:hAnsi="Arial"/>
          <w:sz w:val="22"/>
          <w:szCs w:val="22"/>
        </w:rPr>
        <w:t xml:space="preserve">The ESC agreed with this approach. </w:t>
      </w:r>
    </w:p>
    <w:p w:rsidR="00744EF3" w:rsidRPr="007D5055" w:rsidRDefault="00744EF3" w:rsidP="00744EF3">
      <w:pPr>
        <w:pStyle w:val="ListParagraph"/>
        <w:jc w:val="both"/>
        <w:rPr>
          <w:rFonts w:ascii="Arial" w:hAnsi="Arial"/>
          <w:sz w:val="22"/>
          <w:szCs w:val="22"/>
        </w:rPr>
      </w:pPr>
    </w:p>
    <w:p w:rsidR="000B558D" w:rsidRPr="007D5055" w:rsidRDefault="00744EF3" w:rsidP="00505097">
      <w:pPr>
        <w:pStyle w:val="ListParagraph"/>
        <w:numPr>
          <w:ilvl w:val="1"/>
          <w:numId w:val="1"/>
        </w:numPr>
        <w:ind w:left="709" w:hanging="709"/>
        <w:jc w:val="both"/>
        <w:rPr>
          <w:rFonts w:ascii="Arial" w:hAnsi="Arial"/>
          <w:sz w:val="22"/>
          <w:szCs w:val="22"/>
        </w:rPr>
      </w:pPr>
      <w:r w:rsidRPr="007D5055">
        <w:rPr>
          <w:rFonts w:ascii="Arial" w:hAnsi="Arial"/>
          <w:sz w:val="22"/>
          <w:szCs w:val="22"/>
        </w:rPr>
        <w:t>The re-submission also provided</w:t>
      </w:r>
      <w:r w:rsidR="007930A1" w:rsidRPr="007D5055">
        <w:rPr>
          <w:rFonts w:ascii="Arial" w:hAnsi="Arial"/>
          <w:sz w:val="22"/>
          <w:szCs w:val="22"/>
        </w:rPr>
        <w:t xml:space="preserve"> a sponsor commissioned, unpublished </w:t>
      </w:r>
      <w:r w:rsidR="007331B8" w:rsidRPr="007D5055">
        <w:rPr>
          <w:rFonts w:ascii="Arial" w:hAnsi="Arial"/>
          <w:sz w:val="22"/>
          <w:szCs w:val="22"/>
        </w:rPr>
        <w:t>evaluation</w:t>
      </w:r>
      <w:r w:rsidR="007930A1" w:rsidRPr="007D5055">
        <w:rPr>
          <w:rFonts w:ascii="Arial" w:hAnsi="Arial"/>
          <w:sz w:val="22"/>
          <w:szCs w:val="22"/>
        </w:rPr>
        <w:t xml:space="preserve"> report,</w:t>
      </w:r>
      <w:r w:rsidR="008B6EB1">
        <w:rPr>
          <w:rFonts w:ascii="Arial" w:hAnsi="Arial"/>
          <w:sz w:val="22"/>
          <w:szCs w:val="22"/>
        </w:rPr>
        <w:t xml:space="preserve"> </w:t>
      </w:r>
      <w:r w:rsidR="008B6EB1" w:rsidRPr="008B6EB1">
        <w:rPr>
          <w:rFonts w:ascii="Arial" w:hAnsi="Arial"/>
          <w:i/>
          <w:sz w:val="22"/>
          <w:szCs w:val="22"/>
        </w:rPr>
        <w:t>(REDACTED</w:t>
      </w:r>
      <w:r w:rsidR="008B6EB1">
        <w:rPr>
          <w:rFonts w:ascii="Arial" w:hAnsi="Arial"/>
          <w:i/>
          <w:sz w:val="22"/>
          <w:szCs w:val="22"/>
        </w:rPr>
        <w:t xml:space="preserve">) </w:t>
      </w:r>
      <w:r w:rsidR="007930A1" w:rsidRPr="007224F1">
        <w:rPr>
          <w:rFonts w:ascii="Arial" w:hAnsi="Arial"/>
          <w:sz w:val="22"/>
          <w:szCs w:val="22"/>
        </w:rPr>
        <w:t>contained in Attachment 8 of the July 2014 major submission)</w:t>
      </w:r>
      <w:r w:rsidR="008B4B6A" w:rsidRPr="007331B8">
        <w:rPr>
          <w:rFonts w:ascii="Arial" w:hAnsi="Arial"/>
          <w:sz w:val="22"/>
          <w:szCs w:val="22"/>
        </w:rPr>
        <w:t>,</w:t>
      </w:r>
      <w:r w:rsidRPr="007D5055">
        <w:rPr>
          <w:rFonts w:ascii="Arial" w:hAnsi="Arial"/>
          <w:sz w:val="22"/>
          <w:szCs w:val="22"/>
        </w:rPr>
        <w:t xml:space="preserve"> which critiqued network meta-analyses reports that include the pivotal </w:t>
      </w:r>
      <w:proofErr w:type="spellStart"/>
      <w:r w:rsidRPr="007D5055">
        <w:rPr>
          <w:rFonts w:ascii="Arial" w:hAnsi="Arial"/>
          <w:sz w:val="22"/>
          <w:szCs w:val="22"/>
        </w:rPr>
        <w:t>adalimumab</w:t>
      </w:r>
      <w:proofErr w:type="spellEnd"/>
      <w:r w:rsidRPr="007D5055">
        <w:rPr>
          <w:rFonts w:ascii="Arial" w:hAnsi="Arial"/>
          <w:sz w:val="22"/>
          <w:szCs w:val="22"/>
        </w:rPr>
        <w:t xml:space="preserve"> trials (ULTRA I and II) and infliximab trials (ACT I and II) for the treatment of ulcerative colitis</w:t>
      </w:r>
      <w:r w:rsidR="00E93F3C" w:rsidRPr="007D5055">
        <w:rPr>
          <w:rFonts w:ascii="Arial" w:hAnsi="Arial"/>
          <w:sz w:val="22"/>
          <w:szCs w:val="22"/>
        </w:rPr>
        <w:t>.</w:t>
      </w:r>
      <w:r w:rsidRPr="007D5055">
        <w:rPr>
          <w:rFonts w:ascii="Arial" w:hAnsi="Arial"/>
          <w:color w:val="BFBFBF" w:themeColor="background1" w:themeShade="BF"/>
          <w:sz w:val="22"/>
          <w:szCs w:val="22"/>
        </w:rPr>
        <w:t xml:space="preserve"> </w:t>
      </w:r>
    </w:p>
    <w:p w:rsidR="00BC6DB0" w:rsidRPr="00744EF3" w:rsidRDefault="00BC6DB0" w:rsidP="00BC6DB0">
      <w:pPr>
        <w:pStyle w:val="ListParagraph"/>
        <w:ind w:left="709"/>
        <w:jc w:val="both"/>
        <w:rPr>
          <w:rFonts w:ascii="Arial" w:hAnsi="Arial"/>
          <w:sz w:val="22"/>
          <w:szCs w:val="22"/>
        </w:rPr>
      </w:pPr>
    </w:p>
    <w:p w:rsidR="00BC6DB0" w:rsidRPr="007D5055" w:rsidRDefault="00BC6DB0" w:rsidP="00BC6DB0">
      <w:pPr>
        <w:pStyle w:val="ListParagraph"/>
        <w:numPr>
          <w:ilvl w:val="1"/>
          <w:numId w:val="1"/>
        </w:numPr>
        <w:ind w:left="709" w:hanging="709"/>
        <w:jc w:val="both"/>
        <w:rPr>
          <w:rFonts w:ascii="Arial" w:hAnsi="Arial"/>
          <w:sz w:val="22"/>
          <w:szCs w:val="22"/>
        </w:rPr>
      </w:pPr>
      <w:r w:rsidRPr="007D5055">
        <w:rPr>
          <w:rFonts w:ascii="Arial" w:hAnsi="Arial"/>
          <w:sz w:val="22"/>
          <w:szCs w:val="22"/>
        </w:rPr>
        <w:t>The table below summarises the studies presented in the submission:</w:t>
      </w:r>
      <w:r w:rsidR="00D82BA9" w:rsidRPr="007D5055">
        <w:rPr>
          <w:rFonts w:ascii="Arial" w:hAnsi="Arial"/>
          <w:sz w:val="22"/>
          <w:szCs w:val="22"/>
        </w:rPr>
        <w:t xml:space="preserve"> </w:t>
      </w:r>
    </w:p>
    <w:p w:rsidR="007D5055" w:rsidRPr="007D5055" w:rsidRDefault="007D5055" w:rsidP="007D5055">
      <w:pPr>
        <w:jc w:val="both"/>
        <w:rPr>
          <w:rFonts w:ascii="Arial" w:hAnsi="Arial"/>
          <w:sz w:val="22"/>
          <w:szCs w:val="22"/>
        </w:rPr>
      </w:pPr>
    </w:p>
    <w:p w:rsidR="00BC6DB0" w:rsidRPr="007D5055" w:rsidRDefault="00BC6DB0" w:rsidP="00584667">
      <w:pPr>
        <w:keepNext/>
        <w:ind w:left="709"/>
        <w:jc w:val="both"/>
        <w:rPr>
          <w:rFonts w:ascii="Arial Narrow" w:hAnsi="Arial Narrow" w:cs="Arial"/>
          <w:b/>
          <w:snapToGrid w:val="0"/>
          <w:sz w:val="20"/>
          <w:szCs w:val="16"/>
          <w:lang w:eastAsia="en-US"/>
        </w:rPr>
      </w:pPr>
      <w:bookmarkStart w:id="0" w:name="_Toc153967325"/>
      <w:bookmarkStart w:id="1" w:name="_Toc154198904"/>
      <w:bookmarkStart w:id="2" w:name="_Toc154222832"/>
      <w:r w:rsidRPr="007D5055">
        <w:rPr>
          <w:rFonts w:ascii="Arial Narrow" w:hAnsi="Arial Narrow" w:cs="Arial"/>
          <w:b/>
          <w:snapToGrid w:val="0"/>
          <w:sz w:val="20"/>
          <w:szCs w:val="16"/>
          <w:lang w:eastAsia="en-US"/>
        </w:rPr>
        <w:t xml:space="preserve">Trials, associated reports and meta-analyses presented in the </w:t>
      </w:r>
      <w:bookmarkEnd w:id="0"/>
      <w:bookmarkEnd w:id="1"/>
      <w:bookmarkEnd w:id="2"/>
      <w:r w:rsidRPr="007D5055">
        <w:rPr>
          <w:rFonts w:ascii="Arial Narrow" w:hAnsi="Arial Narrow" w:cs="Arial"/>
          <w:b/>
          <w:snapToGrid w:val="0"/>
          <w:sz w:val="20"/>
          <w:szCs w:val="16"/>
          <w:lang w:eastAsia="en-US"/>
        </w:rPr>
        <w:t xml:space="preserve">evaluation of </w:t>
      </w:r>
      <w:proofErr w:type="spellStart"/>
      <w:r w:rsidRPr="007D5055">
        <w:rPr>
          <w:rFonts w:ascii="Arial Narrow" w:hAnsi="Arial Narrow" w:cs="Arial"/>
          <w:b/>
          <w:snapToGrid w:val="0"/>
          <w:sz w:val="20"/>
          <w:szCs w:val="16"/>
          <w:lang w:eastAsia="en-US"/>
        </w:rPr>
        <w:t>adalimumab</w:t>
      </w:r>
      <w:proofErr w:type="spellEnd"/>
      <w:r w:rsidRPr="007D5055">
        <w:rPr>
          <w:rFonts w:ascii="Arial Narrow" w:hAnsi="Arial Narrow" w:cs="Arial"/>
          <w:b/>
          <w:snapToGrid w:val="0"/>
          <w:sz w:val="20"/>
          <w:szCs w:val="16"/>
          <w:lang w:eastAsia="en-US"/>
        </w:rPr>
        <w:t xml:space="preserve"> and infliximab</w:t>
      </w:r>
    </w:p>
    <w:tbl>
      <w:tblPr>
        <w:tblW w:w="7796"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43"/>
        <w:gridCol w:w="3827"/>
        <w:gridCol w:w="2126"/>
      </w:tblGrid>
      <w:tr w:rsidR="00BC6DB0" w:rsidRPr="007D5055">
        <w:trPr>
          <w:cantSplit/>
          <w:tblHeader/>
        </w:trPr>
        <w:tc>
          <w:tcPr>
            <w:tcW w:w="1843" w:type="dxa"/>
            <w:tcBorders>
              <w:top w:val="single" w:sz="4" w:space="0" w:color="auto"/>
              <w:left w:val="single" w:sz="4" w:space="0" w:color="auto"/>
              <w:bottom w:val="single" w:sz="4" w:space="0" w:color="auto"/>
              <w:right w:val="single" w:sz="4" w:space="0" w:color="auto"/>
            </w:tcBorders>
          </w:tcPr>
          <w:p w:rsidR="00BC6DB0" w:rsidRPr="007D5055" w:rsidRDefault="00BC6DB0" w:rsidP="00B44D55">
            <w:pPr>
              <w:widowControl w:val="0"/>
              <w:rPr>
                <w:rFonts w:ascii="Arial Narrow" w:hAnsi="Arial Narrow" w:cs="Arial"/>
                <w:b/>
                <w:snapToGrid w:val="0"/>
                <w:sz w:val="20"/>
                <w:szCs w:val="20"/>
              </w:rPr>
            </w:pPr>
            <w:r w:rsidRPr="007D5055">
              <w:rPr>
                <w:rFonts w:ascii="Arial Narrow" w:hAnsi="Arial Narrow" w:cs="Arial"/>
                <w:b/>
                <w:snapToGrid w:val="0"/>
                <w:sz w:val="20"/>
                <w:szCs w:val="20"/>
              </w:rPr>
              <w:t>Trial ID/First Author</w:t>
            </w:r>
          </w:p>
        </w:tc>
        <w:tc>
          <w:tcPr>
            <w:tcW w:w="3827" w:type="dxa"/>
            <w:tcBorders>
              <w:top w:val="single" w:sz="4" w:space="0" w:color="auto"/>
              <w:left w:val="single" w:sz="4" w:space="0" w:color="auto"/>
              <w:bottom w:val="single" w:sz="4" w:space="0" w:color="auto"/>
              <w:right w:val="single" w:sz="4" w:space="0" w:color="auto"/>
            </w:tcBorders>
          </w:tcPr>
          <w:p w:rsidR="00BC6DB0" w:rsidRPr="007D5055" w:rsidRDefault="00BC6DB0" w:rsidP="00D82BA9">
            <w:pPr>
              <w:widowControl w:val="0"/>
              <w:jc w:val="center"/>
              <w:rPr>
                <w:rFonts w:ascii="Arial Narrow" w:hAnsi="Arial Narrow" w:cs="Arial"/>
                <w:b/>
                <w:snapToGrid w:val="0"/>
                <w:sz w:val="20"/>
                <w:szCs w:val="20"/>
              </w:rPr>
            </w:pPr>
            <w:r w:rsidRPr="007D5055">
              <w:rPr>
                <w:rFonts w:ascii="Arial Narrow" w:hAnsi="Arial Narrow" w:cs="Arial"/>
                <w:b/>
                <w:snapToGrid w:val="0"/>
                <w:sz w:val="20"/>
                <w:szCs w:val="20"/>
              </w:rPr>
              <w:t>Protocol title/publication title</w:t>
            </w:r>
          </w:p>
        </w:tc>
        <w:tc>
          <w:tcPr>
            <w:tcW w:w="2126" w:type="dxa"/>
            <w:tcBorders>
              <w:top w:val="single" w:sz="4" w:space="0" w:color="auto"/>
              <w:left w:val="single" w:sz="4" w:space="0" w:color="auto"/>
              <w:bottom w:val="single" w:sz="4" w:space="0" w:color="auto"/>
              <w:right w:val="single" w:sz="4" w:space="0" w:color="auto"/>
            </w:tcBorders>
          </w:tcPr>
          <w:p w:rsidR="00BC6DB0" w:rsidRPr="007D5055" w:rsidRDefault="00BC6DB0" w:rsidP="00BC6DB0">
            <w:pPr>
              <w:widowControl w:val="0"/>
              <w:jc w:val="center"/>
              <w:rPr>
                <w:rFonts w:ascii="Arial Narrow" w:hAnsi="Arial Narrow" w:cs="Arial"/>
                <w:b/>
                <w:snapToGrid w:val="0"/>
                <w:sz w:val="20"/>
                <w:szCs w:val="20"/>
              </w:rPr>
            </w:pPr>
            <w:r w:rsidRPr="007D5055">
              <w:rPr>
                <w:rFonts w:ascii="Arial Narrow" w:hAnsi="Arial Narrow" w:cs="Arial"/>
                <w:b/>
                <w:snapToGrid w:val="0"/>
                <w:sz w:val="20"/>
                <w:szCs w:val="20"/>
              </w:rPr>
              <w:t>Publication citation</w:t>
            </w:r>
          </w:p>
        </w:tc>
      </w:tr>
      <w:tr w:rsidR="00BC6DB0" w:rsidRPr="007D5055">
        <w:trPr>
          <w:cantSplit/>
        </w:trPr>
        <w:tc>
          <w:tcPr>
            <w:tcW w:w="7796" w:type="dxa"/>
            <w:gridSpan w:val="3"/>
            <w:tcBorders>
              <w:top w:val="single" w:sz="4" w:space="0" w:color="auto"/>
              <w:left w:val="single" w:sz="4" w:space="0" w:color="auto"/>
              <w:bottom w:val="single" w:sz="4" w:space="0" w:color="auto"/>
              <w:right w:val="single" w:sz="4" w:space="0" w:color="auto"/>
            </w:tcBorders>
          </w:tcPr>
          <w:p w:rsidR="00BC6DB0" w:rsidRPr="007D5055" w:rsidRDefault="00BC6DB0" w:rsidP="00BC6DB0">
            <w:pPr>
              <w:widowControl w:val="0"/>
              <w:jc w:val="both"/>
              <w:rPr>
                <w:rFonts w:ascii="Arial Narrow" w:hAnsi="Arial Narrow" w:cs="Arial"/>
                <w:b/>
                <w:snapToGrid w:val="0"/>
                <w:sz w:val="20"/>
                <w:szCs w:val="20"/>
              </w:rPr>
            </w:pPr>
            <w:proofErr w:type="spellStart"/>
            <w:r w:rsidRPr="007D5055">
              <w:rPr>
                <w:rFonts w:ascii="Arial Narrow" w:hAnsi="Arial Narrow" w:cs="Arial"/>
                <w:b/>
                <w:snapToGrid w:val="0"/>
                <w:sz w:val="20"/>
                <w:szCs w:val="20"/>
              </w:rPr>
              <w:t>Adalimumab</w:t>
            </w:r>
            <w:proofErr w:type="spellEnd"/>
            <w:r w:rsidRPr="007D5055">
              <w:rPr>
                <w:rFonts w:ascii="Arial Narrow" w:hAnsi="Arial Narrow" w:cs="Arial"/>
                <w:b/>
                <w:snapToGrid w:val="0"/>
                <w:sz w:val="20"/>
                <w:szCs w:val="20"/>
              </w:rPr>
              <w:t xml:space="preserve"> trials</w:t>
            </w:r>
          </w:p>
        </w:tc>
      </w:tr>
      <w:tr w:rsidR="00BC6DB0" w:rsidRPr="007D5055">
        <w:trPr>
          <w:cantSplit/>
          <w:trHeight w:val="803"/>
        </w:trPr>
        <w:tc>
          <w:tcPr>
            <w:tcW w:w="1843" w:type="dxa"/>
            <w:tcBorders>
              <w:top w:val="single" w:sz="4" w:space="0" w:color="auto"/>
              <w:left w:val="single" w:sz="4" w:space="0" w:color="auto"/>
              <w:bottom w:val="nil"/>
              <w:right w:val="single" w:sz="4" w:space="0" w:color="auto"/>
            </w:tcBorders>
          </w:tcPr>
          <w:p w:rsidR="00BC6DB0" w:rsidRPr="007D5055" w:rsidRDefault="00BC6DB0" w:rsidP="00BC6DB0">
            <w:pPr>
              <w:widowControl w:val="0"/>
              <w:jc w:val="both"/>
              <w:rPr>
                <w:rFonts w:ascii="Arial Narrow" w:hAnsi="Arial Narrow" w:cs="Arial"/>
                <w:snapToGrid w:val="0"/>
                <w:sz w:val="20"/>
                <w:szCs w:val="20"/>
              </w:rPr>
            </w:pPr>
            <w:r w:rsidRPr="007D5055">
              <w:rPr>
                <w:rFonts w:ascii="Arial Narrow" w:hAnsi="Arial Narrow" w:cs="Arial"/>
                <w:snapToGrid w:val="0"/>
                <w:sz w:val="20"/>
                <w:szCs w:val="20"/>
              </w:rPr>
              <w:t>ULTRA I</w:t>
            </w:r>
          </w:p>
        </w:tc>
        <w:tc>
          <w:tcPr>
            <w:tcW w:w="3827" w:type="dxa"/>
            <w:tcBorders>
              <w:top w:val="single" w:sz="4" w:space="0" w:color="auto"/>
              <w:left w:val="single" w:sz="4" w:space="0" w:color="auto"/>
              <w:bottom w:val="nil"/>
              <w:right w:val="single" w:sz="4" w:space="0" w:color="auto"/>
            </w:tcBorders>
          </w:tcPr>
          <w:p w:rsidR="00BC6DB0" w:rsidRPr="007D5055" w:rsidRDefault="00BC6DB0" w:rsidP="00BC6DB0">
            <w:pPr>
              <w:widowControl w:val="0"/>
              <w:rPr>
                <w:rFonts w:ascii="Arial Narrow" w:hAnsi="Arial Narrow" w:cs="Arial"/>
                <w:snapToGrid w:val="0"/>
                <w:sz w:val="20"/>
                <w:szCs w:val="20"/>
                <w:lang w:eastAsia="en-US"/>
              </w:rPr>
            </w:pPr>
            <w:r w:rsidRPr="007D5055">
              <w:rPr>
                <w:rFonts w:ascii="Arial Narrow" w:hAnsi="Arial Narrow" w:cs="Arial"/>
                <w:snapToGrid w:val="0"/>
                <w:sz w:val="20"/>
                <w:szCs w:val="20"/>
                <w:lang w:eastAsia="en-US"/>
              </w:rPr>
              <w:t xml:space="preserve">Study of the human anti-TNF monoclonal antibody </w:t>
            </w:r>
            <w:proofErr w:type="spellStart"/>
            <w:r w:rsidRPr="007D5055">
              <w:rPr>
                <w:rFonts w:ascii="Arial Narrow" w:hAnsi="Arial Narrow" w:cs="Arial"/>
                <w:snapToGrid w:val="0"/>
                <w:sz w:val="20"/>
                <w:szCs w:val="20"/>
                <w:lang w:eastAsia="en-US"/>
              </w:rPr>
              <w:t>adalimumab</w:t>
            </w:r>
            <w:proofErr w:type="spellEnd"/>
            <w:r w:rsidRPr="007D5055">
              <w:rPr>
                <w:rFonts w:ascii="Arial Narrow" w:hAnsi="Arial Narrow" w:cs="Arial"/>
                <w:snapToGrid w:val="0"/>
                <w:sz w:val="20"/>
                <w:szCs w:val="20"/>
                <w:lang w:eastAsia="en-US"/>
              </w:rPr>
              <w:t xml:space="preserve"> for the induction of clinical remission in subjects with moderately to severely active ulcerative colitis.</w:t>
            </w:r>
          </w:p>
          <w:p w:rsidR="00B44D55" w:rsidRPr="007D5055" w:rsidRDefault="00B44D55" w:rsidP="00BC6DB0">
            <w:pPr>
              <w:widowControl w:val="0"/>
              <w:rPr>
                <w:rFonts w:ascii="Arial Narrow" w:hAnsi="Arial Narrow" w:cs="Arial"/>
                <w:snapToGrid w:val="0"/>
                <w:sz w:val="20"/>
                <w:szCs w:val="20"/>
                <w:lang w:eastAsia="en-US"/>
              </w:rPr>
            </w:pPr>
          </w:p>
        </w:tc>
        <w:tc>
          <w:tcPr>
            <w:tcW w:w="2126" w:type="dxa"/>
            <w:tcBorders>
              <w:top w:val="single" w:sz="4" w:space="0" w:color="auto"/>
              <w:left w:val="single" w:sz="4" w:space="0" w:color="auto"/>
              <w:bottom w:val="nil"/>
              <w:right w:val="single" w:sz="4" w:space="0" w:color="auto"/>
            </w:tcBorders>
          </w:tcPr>
          <w:p w:rsidR="00BC6DB0" w:rsidRPr="007D5055" w:rsidRDefault="00BC6DB0" w:rsidP="00BC6DB0">
            <w:pPr>
              <w:widowControl w:val="0"/>
              <w:rPr>
                <w:rFonts w:ascii="Arial Narrow" w:hAnsi="Arial Narrow" w:cs="Arial"/>
                <w:snapToGrid w:val="0"/>
                <w:sz w:val="20"/>
                <w:szCs w:val="20"/>
                <w:lang w:eastAsia="en-US"/>
              </w:rPr>
            </w:pPr>
            <w:r w:rsidRPr="007D5055">
              <w:rPr>
                <w:rFonts w:ascii="Arial Narrow" w:hAnsi="Arial Narrow" w:cs="Arial"/>
                <w:snapToGrid w:val="0"/>
                <w:sz w:val="20"/>
                <w:szCs w:val="20"/>
                <w:lang w:eastAsia="en-US"/>
              </w:rPr>
              <w:t>Internal report. 16 Mar 2012</w:t>
            </w:r>
          </w:p>
          <w:p w:rsidR="00BC6DB0" w:rsidRPr="007D5055" w:rsidRDefault="00BC6DB0" w:rsidP="00BC6DB0">
            <w:pPr>
              <w:widowControl w:val="0"/>
              <w:rPr>
                <w:rFonts w:ascii="Arial Narrow" w:hAnsi="Arial Narrow" w:cs="Arial"/>
                <w:snapToGrid w:val="0"/>
                <w:sz w:val="20"/>
                <w:szCs w:val="20"/>
                <w:lang w:eastAsia="en-US"/>
              </w:rPr>
            </w:pPr>
          </w:p>
          <w:p w:rsidR="00BC6DB0" w:rsidRPr="007D5055" w:rsidRDefault="00BC6DB0" w:rsidP="00BC6DB0">
            <w:pPr>
              <w:widowControl w:val="0"/>
              <w:rPr>
                <w:rFonts w:ascii="Arial Narrow" w:hAnsi="Arial Narrow" w:cs="Arial"/>
                <w:snapToGrid w:val="0"/>
                <w:sz w:val="20"/>
                <w:szCs w:val="20"/>
              </w:rPr>
            </w:pPr>
          </w:p>
        </w:tc>
      </w:tr>
      <w:tr w:rsidR="00BC6DB0" w:rsidRPr="007D5055">
        <w:trPr>
          <w:cantSplit/>
          <w:trHeight w:val="802"/>
        </w:trPr>
        <w:tc>
          <w:tcPr>
            <w:tcW w:w="1843" w:type="dxa"/>
            <w:tcBorders>
              <w:top w:val="nil"/>
              <w:left w:val="single" w:sz="4" w:space="0" w:color="auto"/>
              <w:bottom w:val="single" w:sz="4" w:space="0" w:color="auto"/>
              <w:right w:val="single" w:sz="4" w:space="0" w:color="auto"/>
            </w:tcBorders>
          </w:tcPr>
          <w:p w:rsidR="00BC6DB0" w:rsidRPr="007D5055" w:rsidRDefault="00BC6DB0" w:rsidP="00BC6DB0">
            <w:pPr>
              <w:widowControl w:val="0"/>
              <w:jc w:val="both"/>
              <w:rPr>
                <w:rFonts w:ascii="Arial Narrow" w:hAnsi="Arial Narrow" w:cs="Arial"/>
                <w:snapToGrid w:val="0"/>
                <w:sz w:val="20"/>
                <w:szCs w:val="20"/>
              </w:rPr>
            </w:pPr>
            <w:proofErr w:type="spellStart"/>
            <w:r w:rsidRPr="007D5055">
              <w:rPr>
                <w:rFonts w:ascii="Arial Narrow" w:hAnsi="Arial Narrow" w:cs="Arial"/>
                <w:snapToGrid w:val="0"/>
                <w:sz w:val="20"/>
                <w:szCs w:val="20"/>
              </w:rPr>
              <w:t>Reinisch</w:t>
            </w:r>
            <w:proofErr w:type="spellEnd"/>
            <w:r w:rsidRPr="007D5055">
              <w:rPr>
                <w:rFonts w:ascii="Arial Narrow" w:hAnsi="Arial Narrow" w:cs="Arial"/>
                <w:snapToGrid w:val="0"/>
                <w:sz w:val="20"/>
                <w:szCs w:val="20"/>
              </w:rPr>
              <w:t xml:space="preserve"> W,</w:t>
            </w:r>
          </w:p>
        </w:tc>
        <w:tc>
          <w:tcPr>
            <w:tcW w:w="3827" w:type="dxa"/>
            <w:tcBorders>
              <w:top w:val="nil"/>
              <w:left w:val="single" w:sz="4" w:space="0" w:color="auto"/>
              <w:bottom w:val="single" w:sz="4" w:space="0" w:color="auto"/>
              <w:right w:val="single" w:sz="4" w:space="0" w:color="auto"/>
            </w:tcBorders>
          </w:tcPr>
          <w:p w:rsidR="00BC6DB0" w:rsidRPr="007D5055" w:rsidRDefault="00BC6DB0" w:rsidP="00BC6DB0">
            <w:pPr>
              <w:widowControl w:val="0"/>
              <w:rPr>
                <w:rFonts w:ascii="Arial Narrow" w:hAnsi="Arial Narrow" w:cs="Arial"/>
                <w:snapToGrid w:val="0"/>
                <w:sz w:val="20"/>
                <w:szCs w:val="20"/>
                <w:lang w:eastAsia="en-US"/>
              </w:rPr>
            </w:pPr>
            <w:proofErr w:type="spellStart"/>
            <w:r w:rsidRPr="007D5055">
              <w:rPr>
                <w:rFonts w:ascii="Arial Narrow" w:hAnsi="Arial Narrow" w:cs="Arial"/>
                <w:snapToGrid w:val="0"/>
                <w:sz w:val="20"/>
                <w:szCs w:val="20"/>
                <w:lang w:eastAsia="en-US"/>
              </w:rPr>
              <w:t>Adalimumab</w:t>
            </w:r>
            <w:proofErr w:type="spellEnd"/>
            <w:r w:rsidRPr="007D5055">
              <w:rPr>
                <w:rFonts w:ascii="Arial Narrow" w:hAnsi="Arial Narrow" w:cs="Arial"/>
                <w:snapToGrid w:val="0"/>
                <w:sz w:val="20"/>
                <w:szCs w:val="20"/>
                <w:lang w:eastAsia="en-US"/>
              </w:rPr>
              <w:t xml:space="preserve"> for induction of clinical remission in moderately to severely active ulcerative colitis: results of a randomised controlled trial.</w:t>
            </w:r>
          </w:p>
        </w:tc>
        <w:tc>
          <w:tcPr>
            <w:tcW w:w="2126" w:type="dxa"/>
            <w:tcBorders>
              <w:top w:val="nil"/>
              <w:left w:val="single" w:sz="4" w:space="0" w:color="auto"/>
              <w:bottom w:val="single" w:sz="4" w:space="0" w:color="auto"/>
              <w:right w:val="single" w:sz="4" w:space="0" w:color="auto"/>
            </w:tcBorders>
          </w:tcPr>
          <w:p w:rsidR="00BC6DB0" w:rsidRPr="007D5055" w:rsidRDefault="00BC6DB0" w:rsidP="00BC6DB0">
            <w:pPr>
              <w:widowControl w:val="0"/>
              <w:rPr>
                <w:rFonts w:ascii="Arial Narrow" w:hAnsi="Arial Narrow" w:cs="Arial"/>
                <w:snapToGrid w:val="0"/>
                <w:sz w:val="20"/>
                <w:szCs w:val="20"/>
                <w:lang w:eastAsia="en-US"/>
              </w:rPr>
            </w:pPr>
            <w:r w:rsidRPr="007D5055">
              <w:rPr>
                <w:rFonts w:ascii="Arial Narrow" w:hAnsi="Arial Narrow" w:cs="Arial"/>
                <w:i/>
                <w:snapToGrid w:val="0"/>
                <w:sz w:val="20"/>
                <w:szCs w:val="20"/>
                <w:lang w:eastAsia="en-US"/>
              </w:rPr>
              <w:t>Gut.</w:t>
            </w:r>
            <w:r w:rsidRPr="007D5055">
              <w:rPr>
                <w:rFonts w:ascii="Arial Narrow" w:hAnsi="Arial Narrow" w:cs="Arial"/>
                <w:snapToGrid w:val="0"/>
                <w:sz w:val="20"/>
                <w:szCs w:val="20"/>
                <w:lang w:eastAsia="en-US"/>
              </w:rPr>
              <w:t xml:space="preserve"> 2011;60(6):780-787</w:t>
            </w:r>
          </w:p>
        </w:tc>
      </w:tr>
      <w:tr w:rsidR="00D82BA9" w:rsidRPr="007D5055">
        <w:trPr>
          <w:cantSplit/>
          <w:trHeight w:val="803"/>
        </w:trPr>
        <w:tc>
          <w:tcPr>
            <w:tcW w:w="1843" w:type="dxa"/>
            <w:tcBorders>
              <w:top w:val="single" w:sz="4" w:space="0" w:color="auto"/>
              <w:left w:val="single" w:sz="4" w:space="0" w:color="auto"/>
              <w:bottom w:val="nil"/>
              <w:right w:val="single" w:sz="4" w:space="0" w:color="auto"/>
            </w:tcBorders>
          </w:tcPr>
          <w:p w:rsidR="00D82BA9" w:rsidRPr="007D5055" w:rsidRDefault="00D82BA9" w:rsidP="00BC6DB0">
            <w:pPr>
              <w:widowControl w:val="0"/>
              <w:jc w:val="both"/>
              <w:rPr>
                <w:rFonts w:ascii="Arial Narrow" w:hAnsi="Arial Narrow" w:cs="Arial"/>
                <w:snapToGrid w:val="0"/>
                <w:sz w:val="20"/>
                <w:szCs w:val="20"/>
              </w:rPr>
            </w:pPr>
            <w:r w:rsidRPr="007D5055">
              <w:rPr>
                <w:rFonts w:ascii="Arial Narrow" w:hAnsi="Arial Narrow" w:cs="Arial"/>
                <w:snapToGrid w:val="0"/>
                <w:sz w:val="20"/>
                <w:szCs w:val="20"/>
              </w:rPr>
              <w:t>ULTRA II</w:t>
            </w:r>
          </w:p>
        </w:tc>
        <w:tc>
          <w:tcPr>
            <w:tcW w:w="3827" w:type="dxa"/>
            <w:tcBorders>
              <w:top w:val="single" w:sz="4" w:space="0" w:color="auto"/>
              <w:left w:val="single" w:sz="4" w:space="0" w:color="auto"/>
              <w:bottom w:val="nil"/>
              <w:right w:val="single" w:sz="4" w:space="0" w:color="auto"/>
            </w:tcBorders>
          </w:tcPr>
          <w:p w:rsidR="00D82BA9" w:rsidRPr="007D5055" w:rsidRDefault="00D82BA9" w:rsidP="00D82BA9">
            <w:pPr>
              <w:widowControl w:val="0"/>
              <w:rPr>
                <w:rFonts w:ascii="Arial Narrow" w:hAnsi="Arial Narrow" w:cs="Arial"/>
                <w:snapToGrid w:val="0"/>
                <w:sz w:val="20"/>
                <w:szCs w:val="20"/>
                <w:lang w:eastAsia="en-US"/>
              </w:rPr>
            </w:pPr>
            <w:r w:rsidRPr="007D5055">
              <w:rPr>
                <w:rFonts w:ascii="Arial Narrow" w:hAnsi="Arial Narrow" w:cs="Arial"/>
                <w:snapToGrid w:val="0"/>
                <w:sz w:val="20"/>
                <w:szCs w:val="20"/>
                <w:lang w:eastAsia="en-US"/>
              </w:rPr>
              <w:t xml:space="preserve">Study of the human anti-TNF monoclonal antibody </w:t>
            </w:r>
            <w:proofErr w:type="spellStart"/>
            <w:r w:rsidRPr="007D5055">
              <w:rPr>
                <w:rFonts w:ascii="Arial Narrow" w:hAnsi="Arial Narrow" w:cs="Arial"/>
                <w:snapToGrid w:val="0"/>
                <w:sz w:val="20"/>
                <w:szCs w:val="20"/>
                <w:lang w:eastAsia="en-US"/>
              </w:rPr>
              <w:t>adalimumab</w:t>
            </w:r>
            <w:proofErr w:type="spellEnd"/>
            <w:r w:rsidRPr="007D5055">
              <w:rPr>
                <w:rFonts w:ascii="Arial Narrow" w:hAnsi="Arial Narrow" w:cs="Arial"/>
                <w:snapToGrid w:val="0"/>
                <w:sz w:val="20"/>
                <w:szCs w:val="20"/>
                <w:lang w:eastAsia="en-US"/>
              </w:rPr>
              <w:t xml:space="preserve"> for the induction and maintenance of clinical remission in subjects with moderately to severely active ulcerative colitis.</w:t>
            </w:r>
          </w:p>
          <w:p w:rsidR="00B44D55" w:rsidRPr="007D5055" w:rsidRDefault="00B44D55" w:rsidP="00D82BA9">
            <w:pPr>
              <w:widowControl w:val="0"/>
              <w:rPr>
                <w:rFonts w:ascii="Arial Narrow" w:hAnsi="Arial Narrow" w:cs="Arial"/>
                <w:snapToGrid w:val="0"/>
                <w:sz w:val="20"/>
                <w:szCs w:val="20"/>
                <w:lang w:eastAsia="en-US"/>
              </w:rPr>
            </w:pPr>
          </w:p>
        </w:tc>
        <w:tc>
          <w:tcPr>
            <w:tcW w:w="2126" w:type="dxa"/>
            <w:tcBorders>
              <w:top w:val="single" w:sz="4" w:space="0" w:color="auto"/>
              <w:left w:val="single" w:sz="4" w:space="0" w:color="auto"/>
              <w:bottom w:val="nil"/>
              <w:right w:val="single" w:sz="4" w:space="0" w:color="auto"/>
            </w:tcBorders>
          </w:tcPr>
          <w:p w:rsidR="00D82BA9" w:rsidRPr="007D5055" w:rsidRDefault="00D82BA9" w:rsidP="00BC6DB0">
            <w:pPr>
              <w:widowControl w:val="0"/>
              <w:rPr>
                <w:rFonts w:ascii="Arial Narrow" w:hAnsi="Arial Narrow" w:cs="Arial"/>
                <w:snapToGrid w:val="0"/>
                <w:sz w:val="20"/>
                <w:szCs w:val="20"/>
                <w:lang w:eastAsia="en-US"/>
              </w:rPr>
            </w:pPr>
            <w:r w:rsidRPr="007D5055">
              <w:rPr>
                <w:rFonts w:ascii="Arial Narrow" w:hAnsi="Arial Narrow" w:cs="Arial"/>
                <w:snapToGrid w:val="0"/>
                <w:sz w:val="20"/>
                <w:szCs w:val="20"/>
                <w:lang w:eastAsia="en-US"/>
              </w:rPr>
              <w:t>Internal report. 16 Mar 2012</w:t>
            </w:r>
          </w:p>
          <w:p w:rsidR="00D82BA9" w:rsidRPr="007D5055" w:rsidRDefault="00D82BA9" w:rsidP="00BC6DB0">
            <w:pPr>
              <w:widowControl w:val="0"/>
              <w:rPr>
                <w:rFonts w:ascii="Arial Narrow" w:hAnsi="Arial Narrow" w:cs="Arial"/>
                <w:snapToGrid w:val="0"/>
                <w:sz w:val="20"/>
                <w:szCs w:val="20"/>
                <w:lang w:eastAsia="en-US"/>
              </w:rPr>
            </w:pPr>
          </w:p>
          <w:p w:rsidR="00D82BA9" w:rsidRPr="007D5055" w:rsidRDefault="00D82BA9" w:rsidP="00BC6DB0">
            <w:pPr>
              <w:widowControl w:val="0"/>
              <w:rPr>
                <w:rFonts w:ascii="Arial Narrow" w:hAnsi="Arial Narrow" w:cs="Arial"/>
                <w:sz w:val="20"/>
                <w:szCs w:val="20"/>
              </w:rPr>
            </w:pPr>
          </w:p>
        </w:tc>
      </w:tr>
      <w:tr w:rsidR="00D82BA9" w:rsidRPr="007D5055">
        <w:trPr>
          <w:cantSplit/>
          <w:trHeight w:val="624"/>
        </w:trPr>
        <w:tc>
          <w:tcPr>
            <w:tcW w:w="1843" w:type="dxa"/>
            <w:tcBorders>
              <w:top w:val="nil"/>
              <w:left w:val="single" w:sz="4" w:space="0" w:color="auto"/>
              <w:bottom w:val="single" w:sz="4" w:space="0" w:color="auto"/>
              <w:right w:val="single" w:sz="4" w:space="0" w:color="auto"/>
            </w:tcBorders>
          </w:tcPr>
          <w:p w:rsidR="00D82BA9" w:rsidRPr="007D5055" w:rsidRDefault="00D82BA9" w:rsidP="00BC6DB0">
            <w:pPr>
              <w:widowControl w:val="0"/>
              <w:jc w:val="both"/>
              <w:rPr>
                <w:rFonts w:ascii="Arial Narrow" w:hAnsi="Arial Narrow" w:cs="Arial"/>
                <w:snapToGrid w:val="0"/>
                <w:sz w:val="20"/>
                <w:szCs w:val="20"/>
              </w:rPr>
            </w:pPr>
            <w:proofErr w:type="spellStart"/>
            <w:r w:rsidRPr="007D5055">
              <w:rPr>
                <w:rFonts w:ascii="Arial Narrow" w:hAnsi="Arial Narrow" w:cs="Arial"/>
                <w:snapToGrid w:val="0"/>
                <w:sz w:val="20"/>
                <w:szCs w:val="20"/>
              </w:rPr>
              <w:t>Sandborn</w:t>
            </w:r>
            <w:proofErr w:type="spellEnd"/>
            <w:r w:rsidRPr="007D5055">
              <w:rPr>
                <w:rFonts w:ascii="Arial Narrow" w:hAnsi="Arial Narrow" w:cs="Arial"/>
                <w:snapToGrid w:val="0"/>
                <w:sz w:val="20"/>
                <w:szCs w:val="20"/>
              </w:rPr>
              <w:t xml:space="preserve"> WJ</w:t>
            </w:r>
          </w:p>
        </w:tc>
        <w:tc>
          <w:tcPr>
            <w:tcW w:w="3827" w:type="dxa"/>
            <w:tcBorders>
              <w:top w:val="nil"/>
              <w:left w:val="single" w:sz="4" w:space="0" w:color="auto"/>
              <w:bottom w:val="single" w:sz="4" w:space="0" w:color="auto"/>
              <w:right w:val="single" w:sz="4" w:space="0" w:color="auto"/>
            </w:tcBorders>
          </w:tcPr>
          <w:p w:rsidR="00D82BA9" w:rsidRPr="007D5055" w:rsidRDefault="00D82BA9" w:rsidP="00BC6DB0">
            <w:pPr>
              <w:widowControl w:val="0"/>
              <w:rPr>
                <w:rFonts w:ascii="Arial Narrow" w:hAnsi="Arial Narrow" w:cs="Arial"/>
                <w:snapToGrid w:val="0"/>
                <w:sz w:val="20"/>
                <w:szCs w:val="20"/>
                <w:lang w:eastAsia="en-US"/>
              </w:rPr>
            </w:pPr>
            <w:proofErr w:type="spellStart"/>
            <w:r w:rsidRPr="007D5055">
              <w:rPr>
                <w:rFonts w:ascii="Arial Narrow" w:hAnsi="Arial Narrow" w:cs="Arial"/>
                <w:snapToGrid w:val="0"/>
                <w:sz w:val="20"/>
                <w:szCs w:val="20"/>
                <w:lang w:eastAsia="en-US"/>
              </w:rPr>
              <w:t>Adalimumab</w:t>
            </w:r>
            <w:proofErr w:type="spellEnd"/>
            <w:r w:rsidRPr="007D5055">
              <w:rPr>
                <w:rFonts w:ascii="Arial Narrow" w:hAnsi="Arial Narrow" w:cs="Arial"/>
                <w:snapToGrid w:val="0"/>
                <w:sz w:val="20"/>
                <w:szCs w:val="20"/>
                <w:lang w:eastAsia="en-US"/>
              </w:rPr>
              <w:t xml:space="preserve"> induces and maintains clinical remission in patients with moderate to severe ulcerative colitis.</w:t>
            </w:r>
          </w:p>
        </w:tc>
        <w:tc>
          <w:tcPr>
            <w:tcW w:w="2126" w:type="dxa"/>
            <w:tcBorders>
              <w:top w:val="nil"/>
              <w:left w:val="single" w:sz="4" w:space="0" w:color="auto"/>
              <w:bottom w:val="single" w:sz="4" w:space="0" w:color="auto"/>
              <w:right w:val="single" w:sz="4" w:space="0" w:color="auto"/>
            </w:tcBorders>
          </w:tcPr>
          <w:p w:rsidR="00D82BA9" w:rsidRPr="007D5055" w:rsidRDefault="00D82BA9" w:rsidP="00BC6DB0">
            <w:pPr>
              <w:widowControl w:val="0"/>
              <w:rPr>
                <w:rFonts w:ascii="Arial Narrow" w:hAnsi="Arial Narrow" w:cs="Arial"/>
                <w:snapToGrid w:val="0"/>
                <w:sz w:val="20"/>
                <w:szCs w:val="20"/>
                <w:lang w:eastAsia="en-US"/>
              </w:rPr>
            </w:pPr>
            <w:r w:rsidRPr="007D5055">
              <w:rPr>
                <w:rFonts w:ascii="Arial Narrow" w:hAnsi="Arial Narrow" w:cs="Arial"/>
                <w:i/>
                <w:snapToGrid w:val="0"/>
                <w:sz w:val="20"/>
                <w:szCs w:val="20"/>
                <w:lang w:eastAsia="en-US"/>
              </w:rPr>
              <w:t>Gastroenterology</w:t>
            </w:r>
            <w:r w:rsidRPr="007D5055">
              <w:rPr>
                <w:rFonts w:ascii="Arial Narrow" w:hAnsi="Arial Narrow" w:cs="Arial"/>
                <w:snapToGrid w:val="0"/>
                <w:sz w:val="20"/>
                <w:szCs w:val="20"/>
                <w:lang w:eastAsia="en-US"/>
              </w:rPr>
              <w:t>. 2012;142(2):257-65[e1-3]</w:t>
            </w:r>
          </w:p>
        </w:tc>
      </w:tr>
      <w:tr w:rsidR="007930A1" w:rsidRPr="007D5055">
        <w:trPr>
          <w:cantSplit/>
          <w:trHeight w:val="624"/>
        </w:trPr>
        <w:tc>
          <w:tcPr>
            <w:tcW w:w="1843" w:type="dxa"/>
            <w:tcBorders>
              <w:top w:val="single" w:sz="4" w:space="0" w:color="auto"/>
              <w:left w:val="single" w:sz="4" w:space="0" w:color="auto"/>
              <w:bottom w:val="nil"/>
              <w:right w:val="single" w:sz="4" w:space="0" w:color="auto"/>
            </w:tcBorders>
          </w:tcPr>
          <w:p w:rsidR="006F1A06" w:rsidRPr="007D5055" w:rsidRDefault="006F1A06" w:rsidP="00BC6DB0">
            <w:pPr>
              <w:widowControl w:val="0"/>
              <w:jc w:val="both"/>
              <w:rPr>
                <w:rFonts w:ascii="Arial Narrow" w:hAnsi="Arial Narrow" w:cs="Arial"/>
                <w:snapToGrid w:val="0"/>
                <w:sz w:val="20"/>
                <w:szCs w:val="20"/>
              </w:rPr>
            </w:pPr>
            <w:r w:rsidRPr="007D5055">
              <w:rPr>
                <w:rFonts w:ascii="Arial Narrow" w:hAnsi="Arial Narrow" w:cs="Arial"/>
                <w:snapToGrid w:val="0"/>
                <w:sz w:val="20"/>
                <w:szCs w:val="20"/>
              </w:rPr>
              <w:t>M10-447</w:t>
            </w:r>
          </w:p>
          <w:p w:rsidR="007930A1" w:rsidRPr="007D5055" w:rsidRDefault="007930A1" w:rsidP="00BC6DB0">
            <w:pPr>
              <w:widowControl w:val="0"/>
              <w:jc w:val="both"/>
              <w:rPr>
                <w:rFonts w:ascii="Arial Narrow" w:hAnsi="Arial Narrow" w:cs="Arial"/>
                <w:snapToGrid w:val="0"/>
                <w:sz w:val="20"/>
                <w:szCs w:val="20"/>
              </w:rPr>
            </w:pPr>
          </w:p>
        </w:tc>
        <w:tc>
          <w:tcPr>
            <w:tcW w:w="3827" w:type="dxa"/>
            <w:tcBorders>
              <w:top w:val="single" w:sz="4" w:space="0" w:color="auto"/>
              <w:left w:val="single" w:sz="4" w:space="0" w:color="auto"/>
              <w:bottom w:val="nil"/>
              <w:right w:val="single" w:sz="4" w:space="0" w:color="auto"/>
            </w:tcBorders>
          </w:tcPr>
          <w:p w:rsidR="007930A1" w:rsidRPr="007D5055" w:rsidRDefault="006F1A06" w:rsidP="00BC6DB0">
            <w:pPr>
              <w:widowControl w:val="0"/>
              <w:rPr>
                <w:rFonts w:ascii="Arial Narrow" w:hAnsi="Arial Narrow" w:cs="Arial"/>
                <w:snapToGrid w:val="0"/>
                <w:sz w:val="20"/>
                <w:szCs w:val="20"/>
                <w:lang w:eastAsia="en-US"/>
              </w:rPr>
            </w:pPr>
            <w:r w:rsidRPr="007D5055">
              <w:rPr>
                <w:rFonts w:ascii="Arial Narrow" w:hAnsi="Arial Narrow" w:cs="Arial"/>
                <w:snapToGrid w:val="0"/>
                <w:sz w:val="20"/>
                <w:szCs w:val="20"/>
                <w:lang w:eastAsia="en-US"/>
              </w:rPr>
              <w:t xml:space="preserve">A 52 week, phase 2/3, randomised, double blind study to evaluate the efficacy, safety and pharmacokinetics of </w:t>
            </w:r>
            <w:proofErr w:type="spellStart"/>
            <w:r w:rsidRPr="007D5055">
              <w:rPr>
                <w:rFonts w:ascii="Arial Narrow" w:hAnsi="Arial Narrow" w:cs="Arial"/>
                <w:snapToGrid w:val="0"/>
                <w:sz w:val="20"/>
                <w:szCs w:val="20"/>
                <w:lang w:eastAsia="en-US"/>
              </w:rPr>
              <w:t>adalimumab</w:t>
            </w:r>
            <w:proofErr w:type="spellEnd"/>
            <w:r w:rsidRPr="007D5055">
              <w:rPr>
                <w:rFonts w:ascii="Arial Narrow" w:hAnsi="Arial Narrow" w:cs="Arial"/>
                <w:snapToGrid w:val="0"/>
                <w:sz w:val="20"/>
                <w:szCs w:val="20"/>
                <w:lang w:eastAsia="en-US"/>
              </w:rPr>
              <w:t xml:space="preserve"> for induction and maintenance treatment in anti-TNF-naïve Japanese patients with ulcerative colitis who are refractory to corticosteroids, </w:t>
            </w:r>
            <w:proofErr w:type="spellStart"/>
            <w:r w:rsidRPr="007D5055">
              <w:rPr>
                <w:rFonts w:ascii="Arial Narrow" w:hAnsi="Arial Narrow" w:cs="Arial"/>
                <w:snapToGrid w:val="0"/>
                <w:sz w:val="20"/>
                <w:szCs w:val="20"/>
                <w:lang w:eastAsia="en-US"/>
              </w:rPr>
              <w:t>immunomodulators</w:t>
            </w:r>
            <w:proofErr w:type="spellEnd"/>
            <w:r w:rsidRPr="007D5055">
              <w:rPr>
                <w:rFonts w:ascii="Arial Narrow" w:hAnsi="Arial Narrow" w:cs="Arial"/>
                <w:snapToGrid w:val="0"/>
                <w:sz w:val="20"/>
                <w:szCs w:val="20"/>
                <w:lang w:eastAsia="en-US"/>
              </w:rPr>
              <w:t>, or both.</w:t>
            </w:r>
          </w:p>
          <w:p w:rsidR="006F1A06" w:rsidRPr="007D5055" w:rsidRDefault="006F1A06" w:rsidP="00BC6DB0">
            <w:pPr>
              <w:widowControl w:val="0"/>
              <w:rPr>
                <w:rFonts w:ascii="Arial Narrow" w:hAnsi="Arial Narrow" w:cs="Arial"/>
                <w:snapToGrid w:val="0"/>
                <w:sz w:val="20"/>
                <w:szCs w:val="20"/>
                <w:lang w:eastAsia="en-US"/>
              </w:rPr>
            </w:pPr>
          </w:p>
        </w:tc>
        <w:tc>
          <w:tcPr>
            <w:tcW w:w="2126" w:type="dxa"/>
            <w:tcBorders>
              <w:top w:val="single" w:sz="4" w:space="0" w:color="auto"/>
              <w:left w:val="single" w:sz="4" w:space="0" w:color="auto"/>
              <w:bottom w:val="nil"/>
              <w:right w:val="single" w:sz="4" w:space="0" w:color="auto"/>
            </w:tcBorders>
          </w:tcPr>
          <w:p w:rsidR="007930A1" w:rsidRPr="007D5055" w:rsidRDefault="006F1A06" w:rsidP="00BC6DB0">
            <w:pPr>
              <w:widowControl w:val="0"/>
              <w:rPr>
                <w:rFonts w:ascii="Arial Narrow" w:hAnsi="Arial Narrow" w:cs="Arial"/>
                <w:snapToGrid w:val="0"/>
                <w:sz w:val="20"/>
                <w:szCs w:val="20"/>
                <w:lang w:eastAsia="en-US"/>
              </w:rPr>
            </w:pPr>
            <w:r w:rsidRPr="007D5055">
              <w:rPr>
                <w:rFonts w:ascii="Arial Narrow" w:hAnsi="Arial Narrow" w:cs="Arial"/>
                <w:snapToGrid w:val="0"/>
                <w:sz w:val="20"/>
                <w:szCs w:val="20"/>
                <w:lang w:eastAsia="en-US"/>
              </w:rPr>
              <w:t>NCT00853099</w:t>
            </w:r>
          </w:p>
        </w:tc>
      </w:tr>
      <w:tr w:rsidR="007930A1" w:rsidRPr="007D5055">
        <w:trPr>
          <w:cantSplit/>
          <w:trHeight w:val="624"/>
        </w:trPr>
        <w:tc>
          <w:tcPr>
            <w:tcW w:w="1843" w:type="dxa"/>
            <w:tcBorders>
              <w:top w:val="nil"/>
              <w:left w:val="single" w:sz="4" w:space="0" w:color="auto"/>
              <w:bottom w:val="single" w:sz="4" w:space="0" w:color="auto"/>
              <w:right w:val="single" w:sz="4" w:space="0" w:color="auto"/>
            </w:tcBorders>
          </w:tcPr>
          <w:p w:rsidR="007930A1" w:rsidRPr="007D5055" w:rsidRDefault="006F1A06" w:rsidP="00BC6DB0">
            <w:pPr>
              <w:widowControl w:val="0"/>
              <w:jc w:val="both"/>
              <w:rPr>
                <w:rFonts w:ascii="Arial Narrow" w:hAnsi="Arial Narrow" w:cs="Arial"/>
                <w:snapToGrid w:val="0"/>
                <w:sz w:val="20"/>
                <w:szCs w:val="20"/>
              </w:rPr>
            </w:pPr>
            <w:r w:rsidRPr="007D5055">
              <w:rPr>
                <w:rFonts w:ascii="Arial Narrow" w:hAnsi="Arial Narrow" w:cs="Arial"/>
                <w:snapToGrid w:val="0"/>
                <w:sz w:val="20"/>
                <w:szCs w:val="20"/>
              </w:rPr>
              <w:t>Suzuki Y</w:t>
            </w:r>
          </w:p>
        </w:tc>
        <w:tc>
          <w:tcPr>
            <w:tcW w:w="3827" w:type="dxa"/>
            <w:tcBorders>
              <w:top w:val="nil"/>
              <w:left w:val="single" w:sz="4" w:space="0" w:color="auto"/>
              <w:bottom w:val="single" w:sz="4" w:space="0" w:color="auto"/>
              <w:right w:val="single" w:sz="4" w:space="0" w:color="auto"/>
            </w:tcBorders>
          </w:tcPr>
          <w:p w:rsidR="007930A1" w:rsidRPr="007D5055" w:rsidRDefault="006F1A06" w:rsidP="00BC6DB0">
            <w:pPr>
              <w:widowControl w:val="0"/>
              <w:rPr>
                <w:rFonts w:ascii="Arial Narrow" w:hAnsi="Arial Narrow" w:cs="Arial"/>
                <w:snapToGrid w:val="0"/>
                <w:sz w:val="20"/>
                <w:szCs w:val="20"/>
                <w:lang w:eastAsia="en-US"/>
              </w:rPr>
            </w:pPr>
            <w:r w:rsidRPr="007D5055">
              <w:rPr>
                <w:rFonts w:ascii="Arial Narrow" w:hAnsi="Arial Narrow" w:cs="Arial"/>
                <w:snapToGrid w:val="0"/>
                <w:sz w:val="20"/>
                <w:szCs w:val="20"/>
                <w:lang w:eastAsia="en-US"/>
              </w:rPr>
              <w:t xml:space="preserve">Efficacy and safety of </w:t>
            </w:r>
            <w:proofErr w:type="spellStart"/>
            <w:r w:rsidRPr="007D5055">
              <w:rPr>
                <w:rFonts w:ascii="Arial Narrow" w:hAnsi="Arial Narrow" w:cs="Arial"/>
                <w:snapToGrid w:val="0"/>
                <w:sz w:val="20"/>
                <w:szCs w:val="20"/>
                <w:lang w:eastAsia="en-US"/>
              </w:rPr>
              <w:t>adalimumab</w:t>
            </w:r>
            <w:proofErr w:type="spellEnd"/>
            <w:r w:rsidRPr="007D5055">
              <w:rPr>
                <w:rFonts w:ascii="Arial Narrow" w:hAnsi="Arial Narrow" w:cs="Arial"/>
                <w:snapToGrid w:val="0"/>
                <w:sz w:val="20"/>
                <w:szCs w:val="20"/>
                <w:lang w:eastAsia="en-US"/>
              </w:rPr>
              <w:t xml:space="preserve"> in Japanese patients with moderately to severely active ulcerative colitis.</w:t>
            </w:r>
          </w:p>
        </w:tc>
        <w:tc>
          <w:tcPr>
            <w:tcW w:w="2126" w:type="dxa"/>
            <w:tcBorders>
              <w:top w:val="nil"/>
              <w:left w:val="single" w:sz="4" w:space="0" w:color="auto"/>
              <w:bottom w:val="single" w:sz="4" w:space="0" w:color="auto"/>
              <w:right w:val="single" w:sz="4" w:space="0" w:color="auto"/>
            </w:tcBorders>
          </w:tcPr>
          <w:p w:rsidR="007930A1" w:rsidRPr="007D5055" w:rsidRDefault="006F1A06" w:rsidP="00BC6DB0">
            <w:pPr>
              <w:widowControl w:val="0"/>
              <w:rPr>
                <w:rFonts w:ascii="Arial Narrow" w:hAnsi="Arial Narrow" w:cs="Arial"/>
                <w:snapToGrid w:val="0"/>
                <w:sz w:val="20"/>
                <w:szCs w:val="20"/>
                <w:lang w:eastAsia="en-US"/>
              </w:rPr>
            </w:pPr>
            <w:r w:rsidRPr="007D5055">
              <w:rPr>
                <w:rFonts w:ascii="Arial Narrow" w:hAnsi="Arial Narrow" w:cs="Arial"/>
                <w:i/>
                <w:snapToGrid w:val="0"/>
                <w:sz w:val="20"/>
                <w:szCs w:val="20"/>
                <w:lang w:eastAsia="en-US"/>
              </w:rPr>
              <w:t xml:space="preserve">J </w:t>
            </w:r>
            <w:proofErr w:type="spellStart"/>
            <w:r w:rsidRPr="007D5055">
              <w:rPr>
                <w:rFonts w:ascii="Arial Narrow" w:hAnsi="Arial Narrow" w:cs="Arial"/>
                <w:i/>
                <w:snapToGrid w:val="0"/>
                <w:sz w:val="20"/>
                <w:szCs w:val="20"/>
                <w:lang w:eastAsia="en-US"/>
              </w:rPr>
              <w:t>Gastroenterol</w:t>
            </w:r>
            <w:proofErr w:type="spellEnd"/>
            <w:r w:rsidRPr="007D5055">
              <w:rPr>
                <w:rFonts w:ascii="Arial Narrow" w:hAnsi="Arial Narrow" w:cs="Arial"/>
                <w:i/>
                <w:snapToGrid w:val="0"/>
                <w:sz w:val="20"/>
                <w:szCs w:val="20"/>
                <w:lang w:eastAsia="en-US"/>
              </w:rPr>
              <w:t>.</w:t>
            </w:r>
            <w:r w:rsidRPr="007D5055">
              <w:rPr>
                <w:rFonts w:ascii="Arial Narrow" w:hAnsi="Arial Narrow" w:cs="Arial"/>
                <w:snapToGrid w:val="0"/>
                <w:sz w:val="20"/>
                <w:szCs w:val="20"/>
                <w:lang w:eastAsia="en-US"/>
              </w:rPr>
              <w:t xml:space="preserve">  2014; 49(2):283-94.</w:t>
            </w:r>
          </w:p>
        </w:tc>
      </w:tr>
      <w:tr w:rsidR="00BC6DB0" w:rsidRPr="007D5055">
        <w:trPr>
          <w:cantSplit/>
        </w:trPr>
        <w:tc>
          <w:tcPr>
            <w:tcW w:w="7796" w:type="dxa"/>
            <w:gridSpan w:val="3"/>
            <w:tcBorders>
              <w:top w:val="single" w:sz="4" w:space="0" w:color="auto"/>
              <w:left w:val="single" w:sz="4" w:space="0" w:color="auto"/>
              <w:bottom w:val="single" w:sz="4" w:space="0" w:color="auto"/>
              <w:right w:val="single" w:sz="4" w:space="0" w:color="auto"/>
            </w:tcBorders>
          </w:tcPr>
          <w:p w:rsidR="00BC6DB0" w:rsidRPr="007D5055" w:rsidRDefault="00BC6DB0" w:rsidP="00BC6DB0">
            <w:pPr>
              <w:widowControl w:val="0"/>
              <w:jc w:val="both"/>
              <w:rPr>
                <w:rFonts w:ascii="Arial Narrow" w:hAnsi="Arial Narrow" w:cs="Arial"/>
                <w:b/>
                <w:bCs/>
                <w:snapToGrid w:val="0"/>
                <w:sz w:val="20"/>
                <w:szCs w:val="20"/>
              </w:rPr>
            </w:pPr>
            <w:r w:rsidRPr="007D5055">
              <w:rPr>
                <w:rFonts w:ascii="Arial Narrow" w:hAnsi="Arial Narrow" w:cs="Arial"/>
                <w:b/>
                <w:bCs/>
                <w:snapToGrid w:val="0"/>
                <w:sz w:val="20"/>
                <w:szCs w:val="20"/>
              </w:rPr>
              <w:t>Infliximab trials</w:t>
            </w:r>
          </w:p>
        </w:tc>
      </w:tr>
      <w:tr w:rsidR="00D82BA9" w:rsidRPr="007D5055">
        <w:trPr>
          <w:cantSplit/>
          <w:trHeight w:val="765"/>
        </w:trPr>
        <w:tc>
          <w:tcPr>
            <w:tcW w:w="1843" w:type="dxa"/>
            <w:tcBorders>
              <w:top w:val="single" w:sz="4" w:space="0" w:color="auto"/>
              <w:left w:val="single" w:sz="4" w:space="0" w:color="auto"/>
              <w:bottom w:val="nil"/>
              <w:right w:val="single" w:sz="4" w:space="0" w:color="auto"/>
            </w:tcBorders>
          </w:tcPr>
          <w:p w:rsidR="00D82BA9" w:rsidRPr="007D5055" w:rsidRDefault="00D82BA9" w:rsidP="00D82BA9">
            <w:pPr>
              <w:widowControl w:val="0"/>
              <w:rPr>
                <w:rFonts w:ascii="Arial Narrow" w:hAnsi="Arial Narrow" w:cs="Arial"/>
                <w:snapToGrid w:val="0"/>
                <w:sz w:val="20"/>
                <w:szCs w:val="20"/>
              </w:rPr>
            </w:pPr>
            <w:r w:rsidRPr="007D5055">
              <w:rPr>
                <w:rFonts w:ascii="Arial Narrow" w:hAnsi="Arial Narrow" w:cs="Arial"/>
                <w:snapToGrid w:val="0"/>
                <w:sz w:val="20"/>
                <w:szCs w:val="20"/>
              </w:rPr>
              <w:t>ACT I, ACT II</w:t>
            </w:r>
          </w:p>
          <w:p w:rsidR="00D82BA9" w:rsidRPr="007D5055" w:rsidRDefault="00D82BA9" w:rsidP="00D82BA9">
            <w:pPr>
              <w:widowControl w:val="0"/>
              <w:rPr>
                <w:rFonts w:ascii="Arial Narrow" w:hAnsi="Arial Narrow" w:cs="Arial"/>
                <w:snapToGrid w:val="0"/>
                <w:sz w:val="20"/>
                <w:szCs w:val="20"/>
              </w:rPr>
            </w:pPr>
          </w:p>
          <w:p w:rsidR="00D82BA9" w:rsidRPr="007D5055" w:rsidRDefault="00D82BA9" w:rsidP="00D82BA9">
            <w:pPr>
              <w:widowControl w:val="0"/>
              <w:rPr>
                <w:rFonts w:ascii="Arial Narrow" w:hAnsi="Arial Narrow" w:cs="Arial"/>
                <w:snapToGrid w:val="0"/>
                <w:sz w:val="20"/>
                <w:szCs w:val="20"/>
              </w:rPr>
            </w:pPr>
            <w:proofErr w:type="spellStart"/>
            <w:r w:rsidRPr="007D5055">
              <w:rPr>
                <w:rFonts w:ascii="Arial Narrow" w:hAnsi="Arial Narrow" w:cs="Arial"/>
                <w:snapToGrid w:val="0"/>
                <w:sz w:val="20"/>
                <w:szCs w:val="20"/>
              </w:rPr>
              <w:t>Rutgeerts</w:t>
            </w:r>
            <w:proofErr w:type="spellEnd"/>
            <w:r w:rsidRPr="007D5055">
              <w:rPr>
                <w:rFonts w:ascii="Arial Narrow" w:hAnsi="Arial Narrow" w:cs="Arial"/>
                <w:snapToGrid w:val="0"/>
                <w:sz w:val="20"/>
                <w:szCs w:val="20"/>
              </w:rPr>
              <w:t xml:space="preserve"> P</w:t>
            </w:r>
          </w:p>
        </w:tc>
        <w:tc>
          <w:tcPr>
            <w:tcW w:w="3827" w:type="dxa"/>
            <w:tcBorders>
              <w:top w:val="single" w:sz="4" w:space="0" w:color="auto"/>
              <w:left w:val="single" w:sz="4" w:space="0" w:color="auto"/>
              <w:bottom w:val="nil"/>
              <w:right w:val="single" w:sz="4" w:space="0" w:color="auto"/>
            </w:tcBorders>
          </w:tcPr>
          <w:p w:rsidR="00D82BA9" w:rsidRPr="007D5055" w:rsidRDefault="00D82BA9" w:rsidP="00BC6DB0">
            <w:pPr>
              <w:widowControl w:val="0"/>
              <w:rPr>
                <w:rFonts w:ascii="Arial Narrow" w:hAnsi="Arial Narrow" w:cs="Arial"/>
                <w:snapToGrid w:val="0"/>
                <w:sz w:val="20"/>
                <w:szCs w:val="20"/>
                <w:lang w:eastAsia="en-US"/>
              </w:rPr>
            </w:pPr>
          </w:p>
          <w:p w:rsidR="00D82BA9" w:rsidRPr="007D5055" w:rsidRDefault="00D82BA9" w:rsidP="00BC6DB0">
            <w:pPr>
              <w:widowControl w:val="0"/>
              <w:rPr>
                <w:rFonts w:ascii="Arial Narrow" w:hAnsi="Arial Narrow" w:cs="Arial"/>
                <w:snapToGrid w:val="0"/>
                <w:sz w:val="20"/>
                <w:szCs w:val="20"/>
                <w:lang w:eastAsia="en-US"/>
              </w:rPr>
            </w:pPr>
          </w:p>
          <w:p w:rsidR="00D82BA9" w:rsidRPr="007D5055" w:rsidRDefault="00D82BA9" w:rsidP="00BC6DB0">
            <w:pPr>
              <w:widowControl w:val="0"/>
              <w:rPr>
                <w:rFonts w:ascii="Arial Narrow" w:hAnsi="Arial Narrow" w:cs="Arial"/>
                <w:snapToGrid w:val="0"/>
                <w:sz w:val="20"/>
                <w:szCs w:val="20"/>
                <w:lang w:eastAsia="en-US"/>
              </w:rPr>
            </w:pPr>
            <w:r w:rsidRPr="007D5055">
              <w:rPr>
                <w:rFonts w:ascii="Arial Narrow" w:hAnsi="Arial Narrow" w:cs="Arial"/>
                <w:snapToGrid w:val="0"/>
                <w:sz w:val="20"/>
                <w:szCs w:val="20"/>
                <w:lang w:eastAsia="en-US"/>
              </w:rPr>
              <w:t xml:space="preserve">Infliximab for induction and maintenance therapy for ulcerative colitis. </w:t>
            </w:r>
          </w:p>
          <w:p w:rsidR="00D82BA9" w:rsidRPr="007D5055" w:rsidRDefault="00D82BA9" w:rsidP="00BC6DB0">
            <w:pPr>
              <w:widowControl w:val="0"/>
              <w:rPr>
                <w:rFonts w:ascii="Arial Narrow" w:hAnsi="Arial Narrow" w:cs="Arial"/>
                <w:snapToGrid w:val="0"/>
                <w:sz w:val="20"/>
                <w:szCs w:val="20"/>
              </w:rPr>
            </w:pPr>
          </w:p>
        </w:tc>
        <w:tc>
          <w:tcPr>
            <w:tcW w:w="2126" w:type="dxa"/>
            <w:tcBorders>
              <w:top w:val="single" w:sz="4" w:space="0" w:color="auto"/>
              <w:left w:val="single" w:sz="4" w:space="0" w:color="auto"/>
              <w:bottom w:val="nil"/>
              <w:right w:val="single" w:sz="4" w:space="0" w:color="auto"/>
            </w:tcBorders>
          </w:tcPr>
          <w:p w:rsidR="00D82BA9" w:rsidRPr="007D5055" w:rsidRDefault="00D82BA9" w:rsidP="00BC6DB0">
            <w:pPr>
              <w:widowControl w:val="0"/>
              <w:rPr>
                <w:rFonts w:ascii="Arial Narrow" w:hAnsi="Arial Narrow" w:cs="Arial"/>
                <w:i/>
                <w:snapToGrid w:val="0"/>
                <w:sz w:val="20"/>
                <w:szCs w:val="20"/>
                <w:lang w:eastAsia="en-US"/>
              </w:rPr>
            </w:pPr>
          </w:p>
          <w:p w:rsidR="00D82BA9" w:rsidRPr="007D5055" w:rsidRDefault="00D82BA9" w:rsidP="00BC6DB0">
            <w:pPr>
              <w:widowControl w:val="0"/>
              <w:rPr>
                <w:rFonts w:ascii="Arial Narrow" w:hAnsi="Arial Narrow" w:cs="Arial"/>
                <w:i/>
                <w:snapToGrid w:val="0"/>
                <w:sz w:val="20"/>
                <w:szCs w:val="20"/>
                <w:lang w:eastAsia="en-US"/>
              </w:rPr>
            </w:pPr>
          </w:p>
          <w:p w:rsidR="00D82BA9" w:rsidRPr="007D5055" w:rsidRDefault="00D82BA9" w:rsidP="00BC6DB0">
            <w:pPr>
              <w:widowControl w:val="0"/>
              <w:rPr>
                <w:rFonts w:ascii="Arial Narrow" w:hAnsi="Arial Narrow" w:cs="Arial"/>
                <w:snapToGrid w:val="0"/>
                <w:sz w:val="20"/>
                <w:szCs w:val="20"/>
                <w:lang w:eastAsia="en-US"/>
              </w:rPr>
            </w:pPr>
            <w:r w:rsidRPr="007D5055">
              <w:rPr>
                <w:rFonts w:ascii="Arial Narrow" w:hAnsi="Arial Narrow" w:cs="Arial"/>
                <w:i/>
                <w:snapToGrid w:val="0"/>
                <w:sz w:val="20"/>
                <w:szCs w:val="20"/>
                <w:lang w:eastAsia="en-US"/>
              </w:rPr>
              <w:t>New England Journal of Medicine</w:t>
            </w:r>
            <w:r w:rsidRPr="007D5055">
              <w:rPr>
                <w:rFonts w:ascii="Arial Narrow" w:hAnsi="Arial Narrow" w:cs="Arial"/>
                <w:snapToGrid w:val="0"/>
                <w:sz w:val="20"/>
                <w:szCs w:val="20"/>
                <w:lang w:eastAsia="en-US"/>
              </w:rPr>
              <w:t>. 2005;353(23):2462-2476</w:t>
            </w:r>
          </w:p>
          <w:p w:rsidR="00D82BA9" w:rsidRPr="007D5055" w:rsidRDefault="00D82BA9" w:rsidP="00BC6DB0">
            <w:pPr>
              <w:widowControl w:val="0"/>
              <w:rPr>
                <w:rFonts w:ascii="Arial Narrow" w:hAnsi="Arial Narrow" w:cs="Arial"/>
                <w:snapToGrid w:val="0"/>
                <w:sz w:val="20"/>
                <w:szCs w:val="20"/>
              </w:rPr>
            </w:pPr>
          </w:p>
        </w:tc>
      </w:tr>
      <w:tr w:rsidR="00D82BA9" w:rsidRPr="007D5055">
        <w:trPr>
          <w:cantSplit/>
          <w:trHeight w:val="765"/>
        </w:trPr>
        <w:tc>
          <w:tcPr>
            <w:tcW w:w="1843" w:type="dxa"/>
            <w:tcBorders>
              <w:top w:val="nil"/>
              <w:left w:val="single" w:sz="4" w:space="0" w:color="auto"/>
              <w:bottom w:val="nil"/>
              <w:right w:val="single" w:sz="4" w:space="0" w:color="auto"/>
            </w:tcBorders>
          </w:tcPr>
          <w:p w:rsidR="00D82BA9" w:rsidRPr="007D5055" w:rsidRDefault="00D82BA9" w:rsidP="00BC6DB0">
            <w:pPr>
              <w:widowControl w:val="0"/>
              <w:rPr>
                <w:rFonts w:ascii="Arial Narrow" w:hAnsi="Arial Narrow" w:cs="Arial"/>
                <w:snapToGrid w:val="0"/>
                <w:sz w:val="20"/>
                <w:szCs w:val="20"/>
              </w:rPr>
            </w:pPr>
            <w:proofErr w:type="spellStart"/>
            <w:r w:rsidRPr="00E65309">
              <w:rPr>
                <w:rFonts w:ascii="Arial Narrow" w:hAnsi="Arial Narrow" w:cs="Arial"/>
                <w:snapToGrid w:val="0"/>
                <w:sz w:val="20"/>
                <w:szCs w:val="20"/>
              </w:rPr>
              <w:lastRenderedPageBreak/>
              <w:t>Feagan</w:t>
            </w:r>
            <w:proofErr w:type="spellEnd"/>
            <w:r w:rsidRPr="00E65309">
              <w:rPr>
                <w:rFonts w:ascii="Arial Narrow" w:hAnsi="Arial Narrow" w:cs="Arial"/>
                <w:snapToGrid w:val="0"/>
                <w:sz w:val="20"/>
                <w:szCs w:val="20"/>
              </w:rPr>
              <w:t xml:space="preserve"> BG</w:t>
            </w:r>
          </w:p>
        </w:tc>
        <w:tc>
          <w:tcPr>
            <w:tcW w:w="3827" w:type="dxa"/>
            <w:tcBorders>
              <w:top w:val="nil"/>
              <w:left w:val="single" w:sz="4" w:space="0" w:color="auto"/>
              <w:bottom w:val="nil"/>
              <w:right w:val="single" w:sz="4" w:space="0" w:color="auto"/>
            </w:tcBorders>
          </w:tcPr>
          <w:p w:rsidR="00D82BA9" w:rsidRPr="007D5055" w:rsidRDefault="00D82BA9" w:rsidP="00BC6DB0">
            <w:pPr>
              <w:widowControl w:val="0"/>
              <w:rPr>
                <w:rFonts w:ascii="Arial Narrow" w:hAnsi="Arial Narrow" w:cs="Arial"/>
                <w:snapToGrid w:val="0"/>
                <w:sz w:val="20"/>
                <w:szCs w:val="20"/>
                <w:lang w:eastAsia="en-US"/>
              </w:rPr>
            </w:pPr>
            <w:r w:rsidRPr="00E65309">
              <w:rPr>
                <w:rFonts w:ascii="Arial Narrow" w:hAnsi="Arial Narrow" w:cs="Arial"/>
                <w:snapToGrid w:val="0"/>
                <w:sz w:val="20"/>
                <w:szCs w:val="20"/>
                <w:lang w:eastAsia="en-US"/>
              </w:rPr>
              <w:t>The effects of infliximab therapy on health-related quality of life in ulcerative colitis patients.</w:t>
            </w:r>
          </w:p>
        </w:tc>
        <w:tc>
          <w:tcPr>
            <w:tcW w:w="2126" w:type="dxa"/>
            <w:tcBorders>
              <w:top w:val="nil"/>
              <w:left w:val="single" w:sz="4" w:space="0" w:color="auto"/>
              <w:bottom w:val="nil"/>
              <w:right w:val="single" w:sz="4" w:space="0" w:color="auto"/>
            </w:tcBorders>
          </w:tcPr>
          <w:p w:rsidR="00D82BA9" w:rsidRPr="00E65309" w:rsidRDefault="00D82BA9" w:rsidP="00D82BA9">
            <w:pPr>
              <w:widowControl w:val="0"/>
              <w:rPr>
                <w:rFonts w:ascii="Arial Narrow" w:hAnsi="Arial Narrow" w:cs="Arial"/>
                <w:i/>
                <w:snapToGrid w:val="0"/>
                <w:sz w:val="20"/>
                <w:szCs w:val="20"/>
                <w:lang w:eastAsia="en-US"/>
              </w:rPr>
            </w:pPr>
            <w:r w:rsidRPr="00E65309">
              <w:rPr>
                <w:rFonts w:ascii="Arial Narrow" w:hAnsi="Arial Narrow" w:cs="Arial"/>
                <w:i/>
                <w:snapToGrid w:val="0"/>
                <w:sz w:val="20"/>
                <w:szCs w:val="20"/>
                <w:lang w:eastAsia="en-US"/>
              </w:rPr>
              <w:t>American Journal of Gastroenterology. 2007;102(4):</w:t>
            </w:r>
          </w:p>
          <w:p w:rsidR="00D82BA9" w:rsidRPr="007D5055" w:rsidRDefault="00D82BA9" w:rsidP="00D82BA9">
            <w:pPr>
              <w:widowControl w:val="0"/>
              <w:rPr>
                <w:rFonts w:ascii="Arial Narrow" w:hAnsi="Arial Narrow" w:cs="Arial"/>
                <w:i/>
                <w:snapToGrid w:val="0"/>
                <w:sz w:val="20"/>
                <w:szCs w:val="20"/>
                <w:lang w:eastAsia="en-US"/>
              </w:rPr>
            </w:pPr>
            <w:r w:rsidRPr="00E65309">
              <w:rPr>
                <w:rFonts w:ascii="Arial Narrow" w:hAnsi="Arial Narrow" w:cs="Arial"/>
                <w:i/>
                <w:snapToGrid w:val="0"/>
                <w:sz w:val="20"/>
                <w:szCs w:val="20"/>
                <w:lang w:eastAsia="en-US"/>
              </w:rPr>
              <w:t>794-802</w:t>
            </w:r>
          </w:p>
        </w:tc>
      </w:tr>
      <w:tr w:rsidR="00D82BA9" w:rsidRPr="007D5055">
        <w:trPr>
          <w:cantSplit/>
          <w:trHeight w:val="765"/>
        </w:trPr>
        <w:tc>
          <w:tcPr>
            <w:tcW w:w="1843" w:type="dxa"/>
            <w:tcBorders>
              <w:top w:val="nil"/>
              <w:left w:val="single" w:sz="4" w:space="0" w:color="auto"/>
              <w:bottom w:val="single" w:sz="4" w:space="0" w:color="auto"/>
              <w:right w:val="single" w:sz="4" w:space="0" w:color="auto"/>
            </w:tcBorders>
          </w:tcPr>
          <w:p w:rsidR="00D82BA9" w:rsidRPr="007D5055" w:rsidRDefault="00D82BA9" w:rsidP="00BC6DB0">
            <w:pPr>
              <w:widowControl w:val="0"/>
              <w:rPr>
                <w:rFonts w:ascii="Arial Narrow" w:hAnsi="Arial Narrow" w:cs="Arial"/>
                <w:snapToGrid w:val="0"/>
                <w:sz w:val="20"/>
                <w:szCs w:val="20"/>
              </w:rPr>
            </w:pPr>
            <w:proofErr w:type="spellStart"/>
            <w:r w:rsidRPr="00E65309">
              <w:rPr>
                <w:rFonts w:ascii="Arial Narrow" w:hAnsi="Arial Narrow" w:cs="Arial"/>
                <w:snapToGrid w:val="0"/>
                <w:sz w:val="20"/>
                <w:szCs w:val="20"/>
              </w:rPr>
              <w:t>Sandborn</w:t>
            </w:r>
            <w:proofErr w:type="spellEnd"/>
            <w:r w:rsidRPr="00E65309">
              <w:rPr>
                <w:rFonts w:ascii="Arial Narrow" w:hAnsi="Arial Narrow" w:cs="Arial"/>
                <w:snapToGrid w:val="0"/>
                <w:sz w:val="20"/>
                <w:szCs w:val="20"/>
              </w:rPr>
              <w:t xml:space="preserve"> WJ</w:t>
            </w:r>
          </w:p>
        </w:tc>
        <w:tc>
          <w:tcPr>
            <w:tcW w:w="3827" w:type="dxa"/>
            <w:tcBorders>
              <w:top w:val="nil"/>
              <w:left w:val="single" w:sz="4" w:space="0" w:color="auto"/>
              <w:bottom w:val="single" w:sz="4" w:space="0" w:color="auto"/>
              <w:right w:val="single" w:sz="4" w:space="0" w:color="auto"/>
            </w:tcBorders>
          </w:tcPr>
          <w:p w:rsidR="00D82BA9" w:rsidRPr="007D5055" w:rsidRDefault="00D82BA9" w:rsidP="00BC6DB0">
            <w:pPr>
              <w:widowControl w:val="0"/>
              <w:rPr>
                <w:rFonts w:ascii="Arial Narrow" w:hAnsi="Arial Narrow" w:cs="Arial"/>
                <w:snapToGrid w:val="0"/>
                <w:sz w:val="20"/>
                <w:szCs w:val="20"/>
                <w:lang w:eastAsia="en-US"/>
              </w:rPr>
            </w:pPr>
            <w:r w:rsidRPr="00E65309">
              <w:rPr>
                <w:rFonts w:ascii="Arial Narrow" w:hAnsi="Arial Narrow" w:cs="Arial"/>
                <w:snapToGrid w:val="0"/>
                <w:sz w:val="20"/>
                <w:szCs w:val="20"/>
                <w:lang w:eastAsia="en-US"/>
              </w:rPr>
              <w:t>Colectomy rate comparison after treatment of ulcerative colitis with placebo or infliximab.</w:t>
            </w:r>
          </w:p>
        </w:tc>
        <w:tc>
          <w:tcPr>
            <w:tcW w:w="2126" w:type="dxa"/>
            <w:tcBorders>
              <w:top w:val="nil"/>
              <w:left w:val="single" w:sz="4" w:space="0" w:color="auto"/>
              <w:bottom w:val="single" w:sz="4" w:space="0" w:color="auto"/>
              <w:right w:val="single" w:sz="4" w:space="0" w:color="auto"/>
            </w:tcBorders>
          </w:tcPr>
          <w:p w:rsidR="00D82BA9" w:rsidRPr="007D5055" w:rsidRDefault="00D82BA9" w:rsidP="00BC6DB0">
            <w:pPr>
              <w:widowControl w:val="0"/>
              <w:rPr>
                <w:rFonts w:ascii="Arial Narrow" w:hAnsi="Arial Narrow" w:cs="Arial"/>
                <w:i/>
                <w:snapToGrid w:val="0"/>
                <w:sz w:val="20"/>
                <w:szCs w:val="20"/>
                <w:lang w:eastAsia="en-US"/>
              </w:rPr>
            </w:pPr>
            <w:r w:rsidRPr="00E65309">
              <w:rPr>
                <w:rFonts w:ascii="Arial Narrow" w:hAnsi="Arial Narrow" w:cs="Arial"/>
                <w:i/>
                <w:snapToGrid w:val="0"/>
                <w:sz w:val="20"/>
                <w:szCs w:val="20"/>
                <w:lang w:eastAsia="en-US"/>
              </w:rPr>
              <w:t>Gastroenterology. 2009;137(4):1250-1260</w:t>
            </w:r>
          </w:p>
        </w:tc>
      </w:tr>
      <w:tr w:rsidR="00BC6DB0" w:rsidRPr="007D5055">
        <w:trPr>
          <w:cantSplit/>
        </w:trPr>
        <w:tc>
          <w:tcPr>
            <w:tcW w:w="7796" w:type="dxa"/>
            <w:gridSpan w:val="3"/>
            <w:tcBorders>
              <w:top w:val="single" w:sz="4" w:space="0" w:color="auto"/>
              <w:left w:val="single" w:sz="4" w:space="0" w:color="auto"/>
              <w:bottom w:val="single" w:sz="4" w:space="0" w:color="auto"/>
              <w:right w:val="single" w:sz="4" w:space="0" w:color="auto"/>
            </w:tcBorders>
          </w:tcPr>
          <w:p w:rsidR="00BC6DB0" w:rsidRPr="007D5055" w:rsidRDefault="00BC6DB0" w:rsidP="00BC6DB0">
            <w:pPr>
              <w:widowControl w:val="0"/>
              <w:rPr>
                <w:rFonts w:ascii="Arial Narrow" w:hAnsi="Arial Narrow" w:cs="Arial"/>
                <w:b/>
                <w:snapToGrid w:val="0"/>
                <w:sz w:val="20"/>
                <w:szCs w:val="20"/>
              </w:rPr>
            </w:pPr>
            <w:r w:rsidRPr="007331B8">
              <w:rPr>
                <w:rFonts w:ascii="Arial Narrow" w:hAnsi="Arial Narrow" w:cs="Arial"/>
                <w:b/>
                <w:snapToGrid w:val="0"/>
                <w:sz w:val="20"/>
                <w:szCs w:val="20"/>
              </w:rPr>
              <w:t>Meta-analyses and indirect comparisons</w:t>
            </w:r>
          </w:p>
        </w:tc>
      </w:tr>
      <w:tr w:rsidR="00BC6DB0" w:rsidRPr="007D5055">
        <w:trPr>
          <w:cantSplit/>
        </w:trPr>
        <w:tc>
          <w:tcPr>
            <w:tcW w:w="1843" w:type="dxa"/>
            <w:tcBorders>
              <w:top w:val="single" w:sz="4" w:space="0" w:color="auto"/>
              <w:left w:val="single" w:sz="4" w:space="0" w:color="auto"/>
              <w:bottom w:val="single" w:sz="4" w:space="0" w:color="auto"/>
              <w:right w:val="single" w:sz="4" w:space="0" w:color="auto"/>
            </w:tcBorders>
          </w:tcPr>
          <w:p w:rsidR="00BC6DB0" w:rsidRPr="007D5055" w:rsidRDefault="00D82BA9" w:rsidP="00D82BA9">
            <w:pPr>
              <w:widowControl w:val="0"/>
              <w:rPr>
                <w:rFonts w:ascii="Arial Narrow" w:hAnsi="Arial Narrow" w:cs="Arial"/>
                <w:snapToGrid w:val="0"/>
                <w:sz w:val="20"/>
                <w:szCs w:val="20"/>
              </w:rPr>
            </w:pPr>
            <w:r w:rsidRPr="007331B8">
              <w:rPr>
                <w:rFonts w:ascii="Arial Narrow" w:hAnsi="Arial Narrow" w:cs="Arial"/>
                <w:snapToGrid w:val="0"/>
                <w:sz w:val="20"/>
                <w:szCs w:val="20"/>
              </w:rPr>
              <w:t>Chen</w:t>
            </w:r>
            <w:r w:rsidR="00BC6DB0" w:rsidRPr="007331B8">
              <w:rPr>
                <w:rFonts w:ascii="Arial Narrow" w:hAnsi="Arial Narrow" w:cs="Arial"/>
                <w:snapToGrid w:val="0"/>
                <w:sz w:val="20"/>
                <w:szCs w:val="20"/>
              </w:rPr>
              <w:t xml:space="preserve"> </w:t>
            </w:r>
          </w:p>
        </w:tc>
        <w:tc>
          <w:tcPr>
            <w:tcW w:w="3827" w:type="dxa"/>
            <w:tcBorders>
              <w:top w:val="single" w:sz="4" w:space="0" w:color="auto"/>
              <w:left w:val="single" w:sz="4" w:space="0" w:color="auto"/>
              <w:bottom w:val="single" w:sz="4" w:space="0" w:color="auto"/>
              <w:right w:val="single" w:sz="4" w:space="0" w:color="auto"/>
            </w:tcBorders>
          </w:tcPr>
          <w:p w:rsidR="00BC6DB0" w:rsidRPr="007D5055" w:rsidRDefault="00BC6DB0" w:rsidP="00BC6DB0">
            <w:pPr>
              <w:widowControl w:val="0"/>
              <w:rPr>
                <w:rFonts w:ascii="Arial Narrow" w:hAnsi="Arial Narrow" w:cs="Arial"/>
                <w:snapToGrid w:val="0"/>
                <w:sz w:val="20"/>
                <w:szCs w:val="20"/>
                <w:lang w:eastAsia="en-US"/>
              </w:rPr>
            </w:pPr>
            <w:r w:rsidRPr="007331B8">
              <w:rPr>
                <w:rFonts w:ascii="Arial Narrow" w:hAnsi="Arial Narrow" w:cs="Arial"/>
                <w:snapToGrid w:val="0"/>
                <w:sz w:val="20"/>
                <w:szCs w:val="20"/>
                <w:lang w:eastAsia="en-US"/>
              </w:rPr>
              <w:t xml:space="preserve">Efficacy of infliximab and </w:t>
            </w:r>
            <w:proofErr w:type="spellStart"/>
            <w:r w:rsidRPr="007331B8">
              <w:rPr>
                <w:rFonts w:ascii="Arial Narrow" w:hAnsi="Arial Narrow" w:cs="Arial"/>
                <w:snapToGrid w:val="0"/>
                <w:sz w:val="20"/>
                <w:szCs w:val="20"/>
                <w:lang w:eastAsia="en-US"/>
              </w:rPr>
              <w:t>adalimumab</w:t>
            </w:r>
            <w:proofErr w:type="spellEnd"/>
            <w:r w:rsidRPr="007331B8">
              <w:rPr>
                <w:rFonts w:ascii="Arial Narrow" w:hAnsi="Arial Narrow" w:cs="Arial"/>
                <w:snapToGrid w:val="0"/>
                <w:sz w:val="20"/>
                <w:szCs w:val="20"/>
                <w:lang w:eastAsia="en-US"/>
              </w:rPr>
              <w:t xml:space="preserve"> for the treatment of ulcerative colitis – an indirect comparison of RCT evidence. </w:t>
            </w:r>
          </w:p>
        </w:tc>
        <w:tc>
          <w:tcPr>
            <w:tcW w:w="2126" w:type="dxa"/>
            <w:tcBorders>
              <w:top w:val="single" w:sz="4" w:space="0" w:color="auto"/>
              <w:left w:val="single" w:sz="4" w:space="0" w:color="auto"/>
              <w:bottom w:val="single" w:sz="4" w:space="0" w:color="auto"/>
              <w:right w:val="single" w:sz="4" w:space="0" w:color="auto"/>
            </w:tcBorders>
          </w:tcPr>
          <w:p w:rsidR="00D82BA9" w:rsidRPr="007331B8" w:rsidRDefault="00BC6DB0" w:rsidP="00BC6DB0">
            <w:pPr>
              <w:widowControl w:val="0"/>
              <w:jc w:val="both"/>
              <w:rPr>
                <w:rFonts w:ascii="Arial Narrow" w:hAnsi="Arial Narrow" w:cs="Arial"/>
                <w:snapToGrid w:val="0"/>
                <w:sz w:val="20"/>
                <w:szCs w:val="20"/>
                <w:lang w:eastAsia="en-US"/>
              </w:rPr>
            </w:pPr>
            <w:r w:rsidRPr="007331B8">
              <w:rPr>
                <w:rFonts w:ascii="Arial Narrow" w:hAnsi="Arial Narrow" w:cs="Arial"/>
                <w:i/>
                <w:snapToGrid w:val="0"/>
                <w:sz w:val="20"/>
                <w:szCs w:val="20"/>
                <w:lang w:eastAsia="en-US"/>
              </w:rPr>
              <w:t>United European Gastroenterology Journal</w:t>
            </w:r>
            <w:r w:rsidRPr="007331B8">
              <w:rPr>
                <w:rFonts w:ascii="Arial Narrow" w:hAnsi="Arial Narrow" w:cs="Arial"/>
                <w:snapToGrid w:val="0"/>
                <w:sz w:val="20"/>
                <w:szCs w:val="20"/>
                <w:lang w:eastAsia="en-US"/>
              </w:rPr>
              <w:t>. 2013;1(1S):A224</w:t>
            </w:r>
            <w:r w:rsidR="00D82BA9" w:rsidRPr="007331B8">
              <w:t xml:space="preserve"> </w:t>
            </w:r>
            <w:r w:rsidR="00D82BA9" w:rsidRPr="007331B8">
              <w:rPr>
                <w:rFonts w:ascii="Arial Narrow" w:hAnsi="Arial Narrow"/>
                <w:sz w:val="20"/>
                <w:szCs w:val="20"/>
              </w:rPr>
              <w:t>[</w:t>
            </w:r>
            <w:r w:rsidR="00D82BA9" w:rsidRPr="007331B8">
              <w:rPr>
                <w:rFonts w:ascii="Arial Narrow" w:hAnsi="Arial Narrow" w:cs="Arial"/>
                <w:snapToGrid w:val="0"/>
                <w:sz w:val="20"/>
                <w:szCs w:val="20"/>
                <w:lang w:eastAsia="en-US"/>
              </w:rPr>
              <w:t>Abstract]</w:t>
            </w:r>
          </w:p>
          <w:p w:rsidR="00BC6DB0" w:rsidRPr="007D5055" w:rsidRDefault="00D82BA9" w:rsidP="00BC6DB0">
            <w:pPr>
              <w:widowControl w:val="0"/>
              <w:jc w:val="both"/>
              <w:rPr>
                <w:rFonts w:ascii="Arial Narrow" w:hAnsi="Arial Narrow" w:cs="Arial"/>
                <w:snapToGrid w:val="0"/>
                <w:sz w:val="20"/>
                <w:szCs w:val="20"/>
              </w:rPr>
            </w:pPr>
            <w:r w:rsidRPr="007D5055">
              <w:rPr>
                <w:rFonts w:ascii="Arial Narrow" w:hAnsi="Arial Narrow" w:cs="Arial"/>
                <w:snapToGrid w:val="0"/>
                <w:sz w:val="20"/>
                <w:szCs w:val="20"/>
                <w:lang w:eastAsia="en-US"/>
              </w:rPr>
              <w:t xml:space="preserve"> </w:t>
            </w:r>
          </w:p>
        </w:tc>
      </w:tr>
      <w:tr w:rsidR="00BC6DB0" w:rsidRPr="007D5055">
        <w:trPr>
          <w:cantSplit/>
        </w:trPr>
        <w:tc>
          <w:tcPr>
            <w:tcW w:w="1843" w:type="dxa"/>
            <w:tcBorders>
              <w:top w:val="single" w:sz="4" w:space="0" w:color="auto"/>
              <w:left w:val="single" w:sz="4" w:space="0" w:color="auto"/>
              <w:bottom w:val="single" w:sz="4" w:space="0" w:color="auto"/>
              <w:right w:val="single" w:sz="4" w:space="0" w:color="auto"/>
            </w:tcBorders>
          </w:tcPr>
          <w:p w:rsidR="00BC6DB0" w:rsidRPr="007D5055" w:rsidRDefault="00BC6DB0" w:rsidP="00D82BA9">
            <w:pPr>
              <w:widowControl w:val="0"/>
              <w:jc w:val="both"/>
              <w:rPr>
                <w:rFonts w:ascii="Arial Narrow" w:hAnsi="Arial Narrow" w:cs="Arial"/>
                <w:snapToGrid w:val="0"/>
                <w:sz w:val="20"/>
                <w:szCs w:val="20"/>
              </w:rPr>
            </w:pPr>
            <w:proofErr w:type="spellStart"/>
            <w:r w:rsidRPr="007331B8">
              <w:rPr>
                <w:rFonts w:ascii="Arial Narrow" w:hAnsi="Arial Narrow" w:cs="Arial"/>
                <w:snapToGrid w:val="0"/>
                <w:sz w:val="20"/>
                <w:szCs w:val="20"/>
              </w:rPr>
              <w:t>Danese</w:t>
            </w:r>
            <w:proofErr w:type="spellEnd"/>
          </w:p>
        </w:tc>
        <w:tc>
          <w:tcPr>
            <w:tcW w:w="3827" w:type="dxa"/>
            <w:tcBorders>
              <w:top w:val="single" w:sz="4" w:space="0" w:color="auto"/>
              <w:left w:val="single" w:sz="4" w:space="0" w:color="auto"/>
              <w:bottom w:val="single" w:sz="4" w:space="0" w:color="auto"/>
              <w:right w:val="single" w:sz="4" w:space="0" w:color="auto"/>
            </w:tcBorders>
          </w:tcPr>
          <w:p w:rsidR="00BC6DB0" w:rsidRPr="007331B8" w:rsidRDefault="00BC6DB0" w:rsidP="00BC6DB0">
            <w:pPr>
              <w:widowControl w:val="0"/>
              <w:rPr>
                <w:rFonts w:ascii="Arial Narrow" w:hAnsi="Arial Narrow" w:cs="Arial"/>
                <w:snapToGrid w:val="0"/>
                <w:sz w:val="20"/>
                <w:szCs w:val="20"/>
                <w:lang w:eastAsia="en-US"/>
              </w:rPr>
            </w:pPr>
            <w:r w:rsidRPr="007331B8">
              <w:rPr>
                <w:rFonts w:ascii="Arial Narrow" w:hAnsi="Arial Narrow" w:cs="Arial"/>
                <w:snapToGrid w:val="0"/>
                <w:sz w:val="20"/>
                <w:szCs w:val="20"/>
                <w:lang w:eastAsia="en-US"/>
              </w:rPr>
              <w:t xml:space="preserve">Biological agents for moderately-to-severely active ulcerative colitis in adults: a network meta-analysis of randomized controlled trials. </w:t>
            </w:r>
          </w:p>
          <w:p w:rsidR="00D82BA9" w:rsidRPr="007D5055" w:rsidRDefault="00D82BA9" w:rsidP="00BC6DB0">
            <w:pPr>
              <w:widowControl w:val="0"/>
              <w:rPr>
                <w:rFonts w:ascii="Arial Narrow" w:hAnsi="Arial Narrow" w:cs="Arial"/>
                <w:snapToGrid w:val="0"/>
                <w:sz w:val="20"/>
                <w:szCs w:val="20"/>
                <w:lang w:eastAsia="en-US"/>
              </w:rPr>
            </w:pPr>
          </w:p>
        </w:tc>
        <w:tc>
          <w:tcPr>
            <w:tcW w:w="2126" w:type="dxa"/>
            <w:tcBorders>
              <w:top w:val="single" w:sz="4" w:space="0" w:color="auto"/>
              <w:left w:val="single" w:sz="4" w:space="0" w:color="auto"/>
              <w:bottom w:val="single" w:sz="4" w:space="0" w:color="auto"/>
              <w:right w:val="single" w:sz="4" w:space="0" w:color="auto"/>
            </w:tcBorders>
          </w:tcPr>
          <w:p w:rsidR="00BC6DB0" w:rsidRPr="007D5055" w:rsidRDefault="00BC6DB0" w:rsidP="00BC6DB0">
            <w:pPr>
              <w:widowControl w:val="0"/>
              <w:rPr>
                <w:rFonts w:ascii="Arial Narrow" w:hAnsi="Arial Narrow" w:cs="Arial"/>
                <w:snapToGrid w:val="0"/>
                <w:sz w:val="20"/>
                <w:szCs w:val="20"/>
              </w:rPr>
            </w:pPr>
            <w:r w:rsidRPr="007331B8">
              <w:rPr>
                <w:rFonts w:ascii="Arial Narrow" w:hAnsi="Arial Narrow" w:cs="Arial"/>
                <w:i/>
                <w:snapToGrid w:val="0"/>
                <w:sz w:val="20"/>
                <w:szCs w:val="20"/>
                <w:lang w:eastAsia="en-US"/>
              </w:rPr>
              <w:t>European Crohn’s and Colitis Organisation</w:t>
            </w:r>
            <w:r w:rsidRPr="007331B8">
              <w:rPr>
                <w:rFonts w:ascii="Arial Narrow" w:hAnsi="Arial Narrow" w:cs="Arial"/>
                <w:snapToGrid w:val="0"/>
                <w:sz w:val="20"/>
                <w:szCs w:val="20"/>
                <w:lang w:eastAsia="en-US"/>
              </w:rPr>
              <w:t>. 2014:P547</w:t>
            </w:r>
            <w:r w:rsidR="00D82BA9" w:rsidRPr="007331B8">
              <w:rPr>
                <w:rFonts w:ascii="Arial Narrow" w:hAnsi="Arial Narrow" w:cs="Arial"/>
                <w:snapToGrid w:val="0"/>
                <w:sz w:val="20"/>
                <w:szCs w:val="20"/>
                <w:lang w:eastAsia="en-US"/>
              </w:rPr>
              <w:t xml:space="preserve">  [Abstract]</w:t>
            </w:r>
          </w:p>
        </w:tc>
      </w:tr>
      <w:tr w:rsidR="00BC6DB0" w:rsidRPr="007D5055">
        <w:trPr>
          <w:cantSplit/>
        </w:trPr>
        <w:tc>
          <w:tcPr>
            <w:tcW w:w="1843" w:type="dxa"/>
            <w:tcBorders>
              <w:top w:val="single" w:sz="4" w:space="0" w:color="auto"/>
              <w:left w:val="single" w:sz="4" w:space="0" w:color="auto"/>
              <w:bottom w:val="single" w:sz="4" w:space="0" w:color="auto"/>
              <w:right w:val="single" w:sz="4" w:space="0" w:color="auto"/>
            </w:tcBorders>
          </w:tcPr>
          <w:p w:rsidR="00BC6DB0" w:rsidRPr="007D5055" w:rsidRDefault="00BC6DB0" w:rsidP="00D82BA9">
            <w:pPr>
              <w:widowControl w:val="0"/>
              <w:rPr>
                <w:rFonts w:ascii="Arial Narrow" w:hAnsi="Arial Narrow" w:cs="Arial"/>
                <w:snapToGrid w:val="0"/>
                <w:sz w:val="20"/>
                <w:szCs w:val="20"/>
              </w:rPr>
            </w:pPr>
            <w:r w:rsidRPr="007331B8">
              <w:rPr>
                <w:rFonts w:ascii="Arial Narrow" w:hAnsi="Arial Narrow" w:cs="Arial"/>
                <w:snapToGrid w:val="0"/>
                <w:sz w:val="20"/>
                <w:szCs w:val="20"/>
              </w:rPr>
              <w:t xml:space="preserve">Liu </w:t>
            </w:r>
          </w:p>
        </w:tc>
        <w:tc>
          <w:tcPr>
            <w:tcW w:w="3827" w:type="dxa"/>
            <w:tcBorders>
              <w:top w:val="single" w:sz="4" w:space="0" w:color="auto"/>
              <w:left w:val="single" w:sz="4" w:space="0" w:color="auto"/>
              <w:bottom w:val="single" w:sz="4" w:space="0" w:color="auto"/>
              <w:right w:val="single" w:sz="4" w:space="0" w:color="auto"/>
            </w:tcBorders>
          </w:tcPr>
          <w:p w:rsidR="00BC6DB0" w:rsidRPr="007D5055" w:rsidRDefault="00BC6DB0" w:rsidP="00BC6DB0">
            <w:pPr>
              <w:widowControl w:val="0"/>
              <w:rPr>
                <w:rFonts w:ascii="Arial Narrow" w:hAnsi="Arial Narrow" w:cs="Arial"/>
                <w:snapToGrid w:val="0"/>
                <w:sz w:val="20"/>
                <w:szCs w:val="20"/>
                <w:lang w:val="es-ES_tradnl" w:eastAsia="en-US"/>
              </w:rPr>
            </w:pPr>
            <w:r w:rsidRPr="007331B8">
              <w:rPr>
                <w:rFonts w:ascii="Arial Narrow" w:hAnsi="Arial Narrow" w:cs="Arial"/>
                <w:snapToGrid w:val="0"/>
                <w:sz w:val="20"/>
                <w:szCs w:val="20"/>
                <w:lang w:eastAsia="en-US"/>
              </w:rPr>
              <w:t xml:space="preserve">Indirect comparison of </w:t>
            </w:r>
            <w:proofErr w:type="spellStart"/>
            <w:r w:rsidRPr="007331B8">
              <w:rPr>
                <w:rFonts w:ascii="Arial Narrow" w:hAnsi="Arial Narrow" w:cs="Arial"/>
                <w:snapToGrid w:val="0"/>
                <w:sz w:val="20"/>
                <w:szCs w:val="20"/>
                <w:lang w:eastAsia="en-US"/>
              </w:rPr>
              <w:t>adalimumab</w:t>
            </w:r>
            <w:proofErr w:type="spellEnd"/>
            <w:r w:rsidRPr="007331B8">
              <w:rPr>
                <w:rFonts w:ascii="Arial Narrow" w:hAnsi="Arial Narrow" w:cs="Arial"/>
                <w:snapToGrid w:val="0"/>
                <w:sz w:val="20"/>
                <w:szCs w:val="20"/>
                <w:lang w:eastAsia="en-US"/>
              </w:rPr>
              <w:t xml:space="preserve"> and infliximab in ulcerative colitis: cost per remitter analysis. </w:t>
            </w:r>
          </w:p>
        </w:tc>
        <w:tc>
          <w:tcPr>
            <w:tcW w:w="2126" w:type="dxa"/>
            <w:tcBorders>
              <w:top w:val="single" w:sz="4" w:space="0" w:color="auto"/>
              <w:left w:val="single" w:sz="4" w:space="0" w:color="auto"/>
              <w:bottom w:val="single" w:sz="4" w:space="0" w:color="auto"/>
              <w:right w:val="single" w:sz="4" w:space="0" w:color="auto"/>
            </w:tcBorders>
          </w:tcPr>
          <w:p w:rsidR="00BC6DB0" w:rsidRPr="007331B8" w:rsidRDefault="00BC6DB0" w:rsidP="00D82BA9">
            <w:pPr>
              <w:widowControl w:val="0"/>
              <w:rPr>
                <w:rFonts w:ascii="Arial Narrow" w:hAnsi="Arial Narrow" w:cs="Arial"/>
                <w:snapToGrid w:val="0"/>
                <w:sz w:val="20"/>
                <w:szCs w:val="20"/>
                <w:lang w:eastAsia="en-US"/>
              </w:rPr>
            </w:pPr>
            <w:r w:rsidRPr="007331B8">
              <w:rPr>
                <w:rFonts w:ascii="Arial Narrow" w:hAnsi="Arial Narrow" w:cs="Arial"/>
                <w:i/>
                <w:snapToGrid w:val="0"/>
                <w:sz w:val="20"/>
                <w:szCs w:val="20"/>
                <w:lang w:eastAsia="en-US"/>
              </w:rPr>
              <w:t>American Journal of Gastroenterology</w:t>
            </w:r>
            <w:r w:rsidRPr="007331B8">
              <w:rPr>
                <w:rFonts w:ascii="Arial Narrow" w:hAnsi="Arial Narrow" w:cs="Arial"/>
                <w:snapToGrid w:val="0"/>
                <w:sz w:val="20"/>
                <w:szCs w:val="20"/>
                <w:lang w:eastAsia="en-US"/>
              </w:rPr>
              <w:t>. 2013;108(1S): S520</w:t>
            </w:r>
            <w:r w:rsidR="00D82BA9" w:rsidRPr="007331B8">
              <w:rPr>
                <w:rFonts w:ascii="Arial Narrow" w:hAnsi="Arial Narrow" w:cs="Arial"/>
                <w:snapToGrid w:val="0"/>
                <w:sz w:val="20"/>
                <w:szCs w:val="20"/>
                <w:lang w:eastAsia="en-US"/>
              </w:rPr>
              <w:t xml:space="preserve"> [Abstract]</w:t>
            </w:r>
          </w:p>
          <w:p w:rsidR="00D82BA9" w:rsidRPr="007D5055" w:rsidRDefault="00D82BA9" w:rsidP="00D82BA9">
            <w:pPr>
              <w:widowControl w:val="0"/>
              <w:rPr>
                <w:rFonts w:ascii="Arial Narrow" w:hAnsi="Arial Narrow" w:cs="Arial"/>
                <w:snapToGrid w:val="0"/>
                <w:sz w:val="20"/>
                <w:szCs w:val="20"/>
              </w:rPr>
            </w:pPr>
          </w:p>
        </w:tc>
      </w:tr>
      <w:tr w:rsidR="00BC6DB0" w:rsidRPr="007D5055">
        <w:trPr>
          <w:cantSplit/>
        </w:trPr>
        <w:tc>
          <w:tcPr>
            <w:tcW w:w="1843" w:type="dxa"/>
            <w:tcBorders>
              <w:top w:val="single" w:sz="4" w:space="0" w:color="auto"/>
              <w:left w:val="single" w:sz="4" w:space="0" w:color="auto"/>
              <w:bottom w:val="single" w:sz="4" w:space="0" w:color="auto"/>
              <w:right w:val="single" w:sz="4" w:space="0" w:color="auto"/>
            </w:tcBorders>
          </w:tcPr>
          <w:p w:rsidR="00BC6DB0" w:rsidRPr="007D5055" w:rsidRDefault="00BC6DB0" w:rsidP="00D82BA9">
            <w:pPr>
              <w:widowControl w:val="0"/>
              <w:rPr>
                <w:rFonts w:ascii="Arial Narrow" w:hAnsi="Arial Narrow" w:cs="Arial"/>
                <w:snapToGrid w:val="0"/>
                <w:sz w:val="20"/>
                <w:szCs w:val="20"/>
              </w:rPr>
            </w:pPr>
            <w:proofErr w:type="spellStart"/>
            <w:r w:rsidRPr="007331B8">
              <w:rPr>
                <w:rFonts w:ascii="Arial Narrow" w:hAnsi="Arial Narrow" w:cs="Arial"/>
                <w:snapToGrid w:val="0"/>
                <w:sz w:val="20"/>
                <w:szCs w:val="20"/>
              </w:rPr>
              <w:t>Stidham</w:t>
            </w:r>
            <w:proofErr w:type="spellEnd"/>
          </w:p>
        </w:tc>
        <w:tc>
          <w:tcPr>
            <w:tcW w:w="3827" w:type="dxa"/>
            <w:tcBorders>
              <w:top w:val="single" w:sz="4" w:space="0" w:color="auto"/>
              <w:left w:val="single" w:sz="4" w:space="0" w:color="auto"/>
              <w:bottom w:val="single" w:sz="4" w:space="0" w:color="auto"/>
              <w:right w:val="single" w:sz="4" w:space="0" w:color="auto"/>
            </w:tcBorders>
          </w:tcPr>
          <w:p w:rsidR="00BC6DB0" w:rsidRPr="002B7FBB" w:rsidRDefault="00BC6DB0" w:rsidP="00BC6DB0">
            <w:pPr>
              <w:widowControl w:val="0"/>
              <w:rPr>
                <w:rFonts w:ascii="Arial Narrow" w:hAnsi="Arial Narrow" w:cs="Arial"/>
                <w:snapToGrid w:val="0"/>
                <w:sz w:val="20"/>
                <w:szCs w:val="20"/>
                <w:lang w:eastAsia="en-US"/>
              </w:rPr>
            </w:pPr>
            <w:r w:rsidRPr="007331B8">
              <w:rPr>
                <w:rFonts w:ascii="Arial Narrow" w:hAnsi="Arial Narrow" w:cs="Arial"/>
                <w:snapToGrid w:val="0"/>
                <w:sz w:val="20"/>
                <w:szCs w:val="20"/>
                <w:lang w:eastAsia="en-US"/>
              </w:rPr>
              <w:t xml:space="preserve">Systematic review with network meta-analysis: the efficacy of anti-tumour necrosis factor-alpha agents for the treatment of ulcerative colitis. </w:t>
            </w:r>
          </w:p>
          <w:p w:rsidR="00D82BA9" w:rsidRPr="007D5055" w:rsidRDefault="00D82BA9" w:rsidP="00BC6DB0">
            <w:pPr>
              <w:widowControl w:val="0"/>
              <w:rPr>
                <w:rFonts w:ascii="Arial Narrow" w:hAnsi="Arial Narrow" w:cs="Arial"/>
                <w:snapToGrid w:val="0"/>
                <w:sz w:val="20"/>
                <w:szCs w:val="20"/>
                <w:lang w:eastAsia="en-US"/>
              </w:rPr>
            </w:pPr>
          </w:p>
        </w:tc>
        <w:tc>
          <w:tcPr>
            <w:tcW w:w="2126" w:type="dxa"/>
            <w:tcBorders>
              <w:top w:val="single" w:sz="4" w:space="0" w:color="auto"/>
              <w:left w:val="single" w:sz="4" w:space="0" w:color="auto"/>
              <w:bottom w:val="single" w:sz="4" w:space="0" w:color="auto"/>
              <w:right w:val="single" w:sz="4" w:space="0" w:color="auto"/>
            </w:tcBorders>
          </w:tcPr>
          <w:p w:rsidR="00BC6DB0" w:rsidRPr="007D5055" w:rsidRDefault="00BC6DB0" w:rsidP="00BC6DB0">
            <w:pPr>
              <w:widowControl w:val="0"/>
              <w:rPr>
                <w:rFonts w:ascii="Arial Narrow" w:hAnsi="Arial Narrow" w:cs="Arial"/>
                <w:snapToGrid w:val="0"/>
                <w:sz w:val="20"/>
                <w:szCs w:val="20"/>
              </w:rPr>
            </w:pPr>
            <w:r w:rsidRPr="007331B8">
              <w:rPr>
                <w:rFonts w:ascii="Arial Narrow" w:hAnsi="Arial Narrow" w:cs="Arial"/>
                <w:i/>
                <w:snapToGrid w:val="0"/>
                <w:sz w:val="20"/>
                <w:szCs w:val="20"/>
                <w:lang w:eastAsia="en-US"/>
              </w:rPr>
              <w:t>Alimentary Pharmacology and Therapeutics</w:t>
            </w:r>
            <w:r w:rsidRPr="007331B8">
              <w:rPr>
                <w:rFonts w:ascii="Arial Narrow" w:hAnsi="Arial Narrow" w:cs="Arial"/>
                <w:snapToGrid w:val="0"/>
                <w:sz w:val="20"/>
                <w:szCs w:val="20"/>
                <w:lang w:eastAsia="en-US"/>
              </w:rPr>
              <w:t>. 2014;39:660-671</w:t>
            </w:r>
          </w:p>
        </w:tc>
      </w:tr>
      <w:tr w:rsidR="00BC6DB0" w:rsidRPr="007D5055">
        <w:trPr>
          <w:cantSplit/>
        </w:trPr>
        <w:tc>
          <w:tcPr>
            <w:tcW w:w="1843" w:type="dxa"/>
            <w:tcBorders>
              <w:top w:val="single" w:sz="4" w:space="0" w:color="auto"/>
              <w:left w:val="single" w:sz="4" w:space="0" w:color="auto"/>
              <w:bottom w:val="single" w:sz="4" w:space="0" w:color="auto"/>
              <w:right w:val="single" w:sz="4" w:space="0" w:color="auto"/>
            </w:tcBorders>
          </w:tcPr>
          <w:p w:rsidR="00BC6DB0" w:rsidRPr="007D5055" w:rsidRDefault="00BC6DB0" w:rsidP="00D82BA9">
            <w:pPr>
              <w:keepNext/>
              <w:widowControl w:val="0"/>
              <w:rPr>
                <w:rFonts w:ascii="Arial Narrow" w:hAnsi="Arial Narrow" w:cs="Arial"/>
                <w:snapToGrid w:val="0"/>
                <w:sz w:val="20"/>
                <w:szCs w:val="20"/>
              </w:rPr>
            </w:pPr>
            <w:proofErr w:type="spellStart"/>
            <w:r w:rsidRPr="007331B8">
              <w:rPr>
                <w:rFonts w:ascii="Arial Narrow" w:hAnsi="Arial Narrow" w:cs="Arial"/>
                <w:snapToGrid w:val="0"/>
                <w:sz w:val="20"/>
                <w:szCs w:val="20"/>
              </w:rPr>
              <w:t>Thorlund</w:t>
            </w:r>
            <w:proofErr w:type="spellEnd"/>
          </w:p>
        </w:tc>
        <w:tc>
          <w:tcPr>
            <w:tcW w:w="3827" w:type="dxa"/>
            <w:tcBorders>
              <w:top w:val="single" w:sz="4" w:space="0" w:color="auto"/>
              <w:left w:val="single" w:sz="4" w:space="0" w:color="auto"/>
              <w:bottom w:val="single" w:sz="4" w:space="0" w:color="auto"/>
              <w:right w:val="single" w:sz="4" w:space="0" w:color="auto"/>
            </w:tcBorders>
          </w:tcPr>
          <w:p w:rsidR="00BC6DB0" w:rsidRPr="007D5055" w:rsidRDefault="00BC6DB0" w:rsidP="00BC6DB0">
            <w:pPr>
              <w:keepNext/>
              <w:widowControl w:val="0"/>
              <w:rPr>
                <w:rFonts w:ascii="Arial Narrow" w:hAnsi="Arial Narrow" w:cs="Arial"/>
                <w:snapToGrid w:val="0"/>
                <w:sz w:val="20"/>
                <w:szCs w:val="20"/>
                <w:lang w:eastAsia="en-US"/>
              </w:rPr>
            </w:pPr>
            <w:proofErr w:type="spellStart"/>
            <w:r w:rsidRPr="007331B8">
              <w:rPr>
                <w:rFonts w:ascii="Arial Narrow" w:hAnsi="Arial Narrow" w:cs="Arial"/>
                <w:snapToGrid w:val="0"/>
                <w:sz w:val="20"/>
                <w:szCs w:val="20"/>
                <w:lang w:eastAsia="en-US"/>
              </w:rPr>
              <w:t>Adalimumab</w:t>
            </w:r>
            <w:proofErr w:type="spellEnd"/>
            <w:r w:rsidRPr="007331B8">
              <w:rPr>
                <w:rFonts w:ascii="Arial Narrow" w:hAnsi="Arial Narrow" w:cs="Arial"/>
                <w:snapToGrid w:val="0"/>
                <w:sz w:val="20"/>
                <w:szCs w:val="20"/>
                <w:lang w:eastAsia="en-US"/>
              </w:rPr>
              <w:t xml:space="preserve"> versus infliximab for the treatment of moderate to severe ulcerative colitis in adult patients native to anti-TNF therapy: an indirect treatment comparison meta-analysis. </w:t>
            </w:r>
          </w:p>
        </w:tc>
        <w:tc>
          <w:tcPr>
            <w:tcW w:w="2126" w:type="dxa"/>
            <w:tcBorders>
              <w:top w:val="single" w:sz="4" w:space="0" w:color="auto"/>
              <w:left w:val="single" w:sz="4" w:space="0" w:color="auto"/>
              <w:bottom w:val="single" w:sz="4" w:space="0" w:color="auto"/>
              <w:right w:val="single" w:sz="4" w:space="0" w:color="auto"/>
            </w:tcBorders>
          </w:tcPr>
          <w:p w:rsidR="00BC6DB0" w:rsidRPr="007331B8" w:rsidRDefault="00BC6DB0" w:rsidP="00BC6DB0">
            <w:pPr>
              <w:keepNext/>
              <w:widowControl w:val="0"/>
              <w:rPr>
                <w:rFonts w:ascii="Arial Narrow" w:hAnsi="Arial Narrow" w:cs="Arial"/>
                <w:snapToGrid w:val="0"/>
                <w:sz w:val="20"/>
                <w:szCs w:val="20"/>
                <w:lang w:eastAsia="en-US"/>
              </w:rPr>
            </w:pPr>
            <w:r w:rsidRPr="007331B8">
              <w:rPr>
                <w:rFonts w:ascii="Arial Narrow" w:hAnsi="Arial Narrow" w:cs="Arial"/>
                <w:i/>
                <w:snapToGrid w:val="0"/>
                <w:sz w:val="20"/>
                <w:szCs w:val="20"/>
                <w:lang w:eastAsia="en-US"/>
              </w:rPr>
              <w:t>Journal of Crohn’s and Colitis</w:t>
            </w:r>
            <w:r w:rsidRPr="007331B8">
              <w:rPr>
                <w:rFonts w:ascii="Arial Narrow" w:hAnsi="Arial Narrow" w:cs="Arial"/>
                <w:snapToGrid w:val="0"/>
                <w:sz w:val="20"/>
                <w:szCs w:val="20"/>
                <w:lang w:eastAsia="en-US"/>
              </w:rPr>
              <w:t>. 2014. Available from: dx.doi.org/</w:t>
            </w:r>
          </w:p>
          <w:p w:rsidR="00BC6DB0" w:rsidRPr="007D5055" w:rsidRDefault="00BC6DB0" w:rsidP="00BC6DB0">
            <w:pPr>
              <w:keepNext/>
              <w:widowControl w:val="0"/>
              <w:rPr>
                <w:rFonts w:ascii="Arial Narrow" w:hAnsi="Arial Narrow" w:cs="Arial"/>
                <w:snapToGrid w:val="0"/>
                <w:sz w:val="20"/>
                <w:szCs w:val="20"/>
              </w:rPr>
            </w:pPr>
            <w:r w:rsidRPr="007331B8">
              <w:rPr>
                <w:rFonts w:ascii="Arial Narrow" w:hAnsi="Arial Narrow" w:cs="Arial"/>
                <w:snapToGrid w:val="0"/>
                <w:sz w:val="20"/>
                <w:szCs w:val="20"/>
                <w:lang w:eastAsia="en-US"/>
              </w:rPr>
              <w:t>10.1016/j.crohns.2014.01.010</w:t>
            </w:r>
          </w:p>
        </w:tc>
      </w:tr>
    </w:tbl>
    <w:p w:rsidR="00BC6DB0" w:rsidRPr="007D5055" w:rsidRDefault="00BC6DB0" w:rsidP="00584667">
      <w:pPr>
        <w:widowControl w:val="0"/>
        <w:ind w:firstLine="720"/>
        <w:jc w:val="both"/>
        <w:rPr>
          <w:rFonts w:ascii="Arial Narrow" w:hAnsi="Arial Narrow" w:cs="Arial"/>
          <w:snapToGrid w:val="0"/>
          <w:sz w:val="18"/>
          <w:szCs w:val="20"/>
          <w:lang w:eastAsia="en-US"/>
        </w:rPr>
      </w:pPr>
      <w:r w:rsidRPr="007D5055">
        <w:rPr>
          <w:rFonts w:ascii="Arial Narrow" w:hAnsi="Arial Narrow" w:cs="Arial"/>
          <w:snapToGrid w:val="0"/>
          <w:sz w:val="18"/>
          <w:szCs w:val="20"/>
          <w:lang w:eastAsia="en-US"/>
        </w:rPr>
        <w:t>Source: Attachment 8 of the re-submission</w:t>
      </w:r>
    </w:p>
    <w:p w:rsidR="00BC6DB0" w:rsidRPr="00D82BA9" w:rsidRDefault="00BC6DB0" w:rsidP="00584667">
      <w:pPr>
        <w:widowControl w:val="0"/>
        <w:ind w:left="709"/>
        <w:jc w:val="both"/>
        <w:rPr>
          <w:rFonts w:ascii="Arial Narrow" w:hAnsi="Arial Narrow" w:cs="Arial"/>
          <w:snapToGrid w:val="0"/>
          <w:sz w:val="18"/>
          <w:szCs w:val="20"/>
          <w:lang w:eastAsia="en-US"/>
        </w:rPr>
      </w:pPr>
      <w:r w:rsidRPr="007D5055">
        <w:rPr>
          <w:rFonts w:ascii="Arial Narrow" w:hAnsi="Arial Narrow" w:cs="Arial"/>
          <w:snapToGrid w:val="0"/>
          <w:sz w:val="18"/>
          <w:szCs w:val="20"/>
          <w:lang w:eastAsia="en-US"/>
        </w:rPr>
        <w:t xml:space="preserve">AE = adverse events; C = comparable; </w:t>
      </w:r>
      <w:proofErr w:type="spellStart"/>
      <w:r w:rsidRPr="007D5055">
        <w:rPr>
          <w:rFonts w:ascii="Arial Narrow" w:hAnsi="Arial Narrow" w:cs="Arial"/>
          <w:snapToGrid w:val="0"/>
          <w:sz w:val="18"/>
          <w:szCs w:val="20"/>
          <w:lang w:eastAsia="en-US"/>
        </w:rPr>
        <w:t>QoL</w:t>
      </w:r>
      <w:proofErr w:type="spellEnd"/>
      <w:r w:rsidRPr="007D5055">
        <w:rPr>
          <w:rFonts w:ascii="Arial Narrow" w:hAnsi="Arial Narrow" w:cs="Arial"/>
          <w:snapToGrid w:val="0"/>
          <w:sz w:val="18"/>
          <w:szCs w:val="20"/>
          <w:lang w:eastAsia="en-US"/>
        </w:rPr>
        <w:t xml:space="preserve"> = quality of life; RCT = randomised controlled trial; TNF = tumour necrosis factor</w:t>
      </w:r>
    </w:p>
    <w:p w:rsidR="00140753" w:rsidRPr="008B4B6A" w:rsidRDefault="00140753" w:rsidP="008B4B6A">
      <w:pPr>
        <w:jc w:val="both"/>
        <w:rPr>
          <w:rFonts w:ascii="Arial" w:hAnsi="Arial"/>
          <w:i/>
          <w:sz w:val="22"/>
          <w:szCs w:val="22"/>
        </w:rPr>
      </w:pPr>
    </w:p>
    <w:p w:rsidR="00BB7EC3" w:rsidRPr="00BB7EC3" w:rsidRDefault="00BB7EC3" w:rsidP="00BB7EC3">
      <w:pPr>
        <w:pStyle w:val="ListParagraph"/>
        <w:ind w:left="709"/>
        <w:jc w:val="both"/>
        <w:rPr>
          <w:rFonts w:ascii="Arial" w:hAnsi="Arial"/>
          <w:i/>
          <w:sz w:val="22"/>
          <w:szCs w:val="22"/>
        </w:rPr>
      </w:pPr>
      <w:r>
        <w:rPr>
          <w:rFonts w:ascii="Arial" w:hAnsi="Arial"/>
          <w:i/>
          <w:sz w:val="22"/>
          <w:szCs w:val="22"/>
        </w:rPr>
        <w:t>For more detail on PBAC’s view, see section 7 “PBAC outcome”</w:t>
      </w:r>
    </w:p>
    <w:p w:rsidR="004F126B" w:rsidRDefault="004F126B" w:rsidP="004F126B">
      <w:pPr>
        <w:rPr>
          <w:rFonts w:ascii="Arial" w:hAnsi="Arial"/>
          <w:sz w:val="22"/>
          <w:szCs w:val="22"/>
        </w:rPr>
      </w:pPr>
    </w:p>
    <w:p w:rsidR="005A3173" w:rsidRPr="004F126B" w:rsidRDefault="005A3173" w:rsidP="004F126B">
      <w:pPr>
        <w:rPr>
          <w:rFonts w:ascii="Arial" w:hAnsi="Arial"/>
          <w:sz w:val="22"/>
          <w:szCs w:val="22"/>
        </w:rPr>
      </w:pPr>
      <w:r w:rsidRPr="00882085">
        <w:rPr>
          <w:rFonts w:ascii="Arial" w:hAnsi="Arial"/>
          <w:b/>
          <w:i/>
          <w:sz w:val="22"/>
          <w:szCs w:val="22"/>
        </w:rPr>
        <w:t>Comparative effectiveness</w:t>
      </w:r>
    </w:p>
    <w:p w:rsidR="005A3173" w:rsidRPr="00882085" w:rsidRDefault="005A3173" w:rsidP="00882085">
      <w:pPr>
        <w:jc w:val="both"/>
        <w:rPr>
          <w:rFonts w:ascii="Arial" w:hAnsi="Arial"/>
          <w:sz w:val="22"/>
          <w:szCs w:val="22"/>
        </w:rPr>
      </w:pPr>
    </w:p>
    <w:p w:rsidR="005B5C4C" w:rsidRPr="00CE662A" w:rsidRDefault="00AE459E" w:rsidP="0099113F">
      <w:pPr>
        <w:jc w:val="both"/>
        <w:rPr>
          <w:rFonts w:ascii="Arial" w:hAnsi="Arial" w:cs="Arial"/>
          <w:sz w:val="22"/>
          <w:szCs w:val="22"/>
          <w:u w:val="single"/>
        </w:rPr>
      </w:pPr>
      <w:proofErr w:type="spellStart"/>
      <w:r w:rsidRPr="00CE662A">
        <w:rPr>
          <w:rFonts w:ascii="Arial" w:hAnsi="Arial" w:cs="Arial"/>
          <w:sz w:val="22"/>
          <w:szCs w:val="22"/>
          <w:u w:val="single"/>
        </w:rPr>
        <w:t>Adalimumab</w:t>
      </w:r>
      <w:proofErr w:type="spellEnd"/>
      <w:r w:rsidRPr="00CE662A">
        <w:rPr>
          <w:rFonts w:ascii="Arial" w:hAnsi="Arial" w:cs="Arial"/>
          <w:sz w:val="22"/>
          <w:szCs w:val="22"/>
          <w:u w:val="single"/>
        </w:rPr>
        <w:t xml:space="preserve"> versus placebo</w:t>
      </w:r>
    </w:p>
    <w:p w:rsidR="00E75C0A" w:rsidRPr="007D5055" w:rsidRDefault="00E75C0A" w:rsidP="0099113F">
      <w:pPr>
        <w:pStyle w:val="ListParagraph"/>
        <w:numPr>
          <w:ilvl w:val="1"/>
          <w:numId w:val="1"/>
        </w:numPr>
        <w:ind w:left="709" w:hanging="709"/>
        <w:jc w:val="both"/>
        <w:rPr>
          <w:rFonts w:ascii="Arial" w:hAnsi="Arial"/>
          <w:b/>
          <w:color w:val="8064A2" w:themeColor="accent4"/>
          <w:sz w:val="22"/>
          <w:szCs w:val="22"/>
        </w:rPr>
      </w:pPr>
      <w:r w:rsidRPr="007D5055">
        <w:rPr>
          <w:rFonts w:ascii="Arial" w:hAnsi="Arial"/>
          <w:sz w:val="22"/>
          <w:szCs w:val="22"/>
        </w:rPr>
        <w:t xml:space="preserve">The results for the comparative effectiveness of the ULTRA I and II trials, when compared to placebo, were unchanged from the previous submission. The PBAC had previously considered that </w:t>
      </w:r>
      <w:proofErr w:type="spellStart"/>
      <w:r w:rsidRPr="007D5055">
        <w:rPr>
          <w:rFonts w:ascii="Arial" w:hAnsi="Arial"/>
          <w:sz w:val="22"/>
          <w:szCs w:val="22"/>
        </w:rPr>
        <w:t>adalimumab</w:t>
      </w:r>
      <w:proofErr w:type="spellEnd"/>
      <w:r w:rsidRPr="007D5055">
        <w:rPr>
          <w:rFonts w:ascii="Arial" w:hAnsi="Arial"/>
          <w:sz w:val="22"/>
          <w:szCs w:val="22"/>
        </w:rPr>
        <w:t xml:space="preserve"> treatment is associated with a real but modest clinical benefit, noting that approximately 50% of patients treated with </w:t>
      </w:r>
      <w:proofErr w:type="spellStart"/>
      <w:r w:rsidRPr="007D5055">
        <w:rPr>
          <w:rFonts w:ascii="Arial" w:hAnsi="Arial"/>
          <w:sz w:val="22"/>
          <w:szCs w:val="22"/>
        </w:rPr>
        <w:t>adalimumab</w:t>
      </w:r>
      <w:proofErr w:type="spellEnd"/>
      <w:r w:rsidRPr="007D5055">
        <w:rPr>
          <w:rFonts w:ascii="Arial" w:hAnsi="Arial"/>
          <w:sz w:val="22"/>
          <w:szCs w:val="22"/>
        </w:rPr>
        <w:t xml:space="preserve"> respond (at week 8), while less than 20% achieve remission. </w:t>
      </w:r>
    </w:p>
    <w:p w:rsidR="00AE459E" w:rsidRPr="007D5055" w:rsidRDefault="00AE459E" w:rsidP="00AE459E">
      <w:pPr>
        <w:jc w:val="both"/>
        <w:rPr>
          <w:rFonts w:ascii="Arial" w:hAnsi="Arial"/>
          <w:sz w:val="22"/>
          <w:szCs w:val="22"/>
        </w:rPr>
      </w:pPr>
    </w:p>
    <w:p w:rsidR="00E75C0A" w:rsidRPr="007D5055" w:rsidRDefault="00E75C0A" w:rsidP="00E75C0A">
      <w:pPr>
        <w:pStyle w:val="ListParagraph"/>
        <w:numPr>
          <w:ilvl w:val="1"/>
          <w:numId w:val="1"/>
        </w:numPr>
        <w:jc w:val="both"/>
        <w:rPr>
          <w:rFonts w:ascii="Arial" w:hAnsi="Arial"/>
          <w:sz w:val="22"/>
          <w:szCs w:val="22"/>
        </w:rPr>
      </w:pPr>
      <w:r w:rsidRPr="007D5055">
        <w:rPr>
          <w:rFonts w:ascii="Arial" w:hAnsi="Arial"/>
          <w:sz w:val="22"/>
          <w:szCs w:val="22"/>
        </w:rPr>
        <w:t xml:space="preserve">During the evaluation, meta-analyses of the effectiveness of </w:t>
      </w:r>
      <w:proofErr w:type="spellStart"/>
      <w:r w:rsidRPr="007D5055">
        <w:rPr>
          <w:rFonts w:ascii="Arial" w:hAnsi="Arial"/>
          <w:sz w:val="22"/>
          <w:szCs w:val="22"/>
        </w:rPr>
        <w:t>adalimumab</w:t>
      </w:r>
      <w:proofErr w:type="spellEnd"/>
      <w:r w:rsidRPr="007D5055">
        <w:rPr>
          <w:rFonts w:ascii="Arial" w:hAnsi="Arial"/>
          <w:sz w:val="22"/>
          <w:szCs w:val="22"/>
        </w:rPr>
        <w:t xml:space="preserve"> were performed using the ULTRA trials and the Suzuki (2014) trial. The results were compared to the results of the meta-analyses of the ULTRA trials alone (see Table below). </w:t>
      </w:r>
    </w:p>
    <w:p w:rsidR="00E75C0A" w:rsidRPr="007D5055" w:rsidRDefault="00E75C0A" w:rsidP="00E75C0A">
      <w:pPr>
        <w:pStyle w:val="ListParagraph"/>
        <w:jc w:val="both"/>
        <w:rPr>
          <w:rFonts w:ascii="Arial" w:hAnsi="Arial"/>
          <w:sz w:val="22"/>
          <w:szCs w:val="22"/>
        </w:rPr>
      </w:pPr>
    </w:p>
    <w:p w:rsidR="00E75C0A" w:rsidRPr="007D5055" w:rsidRDefault="00E75C0A" w:rsidP="00584667">
      <w:pPr>
        <w:widowControl w:val="0"/>
        <w:ind w:firstLine="720"/>
        <w:jc w:val="both"/>
        <w:rPr>
          <w:rFonts w:ascii="Arial" w:hAnsi="Arial" w:cs="Arial"/>
          <w:b/>
          <w:snapToGrid w:val="0"/>
          <w:color w:val="FF00FF"/>
          <w:sz w:val="22"/>
          <w:szCs w:val="22"/>
          <w:lang w:eastAsia="en-US"/>
        </w:rPr>
      </w:pPr>
      <w:r w:rsidRPr="007D5055">
        <w:rPr>
          <w:rFonts w:ascii="Arial Narrow" w:hAnsi="Arial Narrow" w:cs="Arial"/>
          <w:b/>
          <w:snapToGrid w:val="0"/>
          <w:sz w:val="20"/>
          <w:szCs w:val="16"/>
          <w:lang w:eastAsia="en-US"/>
        </w:rPr>
        <w:t>Results and meta-analyses of outcomes – ULTRA I and II and Suzuki 2014</w:t>
      </w:r>
    </w:p>
    <w:tbl>
      <w:tblPr>
        <w:tblW w:w="4534" w:type="pct"/>
        <w:tblInd w:w="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420"/>
        <w:gridCol w:w="1419"/>
        <w:gridCol w:w="1279"/>
        <w:gridCol w:w="1419"/>
        <w:gridCol w:w="1277"/>
        <w:gridCol w:w="982"/>
      </w:tblGrid>
      <w:tr w:rsidR="00584667" w:rsidRPr="007D5055">
        <w:trPr>
          <w:tblHeader/>
        </w:trPr>
        <w:tc>
          <w:tcPr>
            <w:tcW w:w="911" w:type="pct"/>
            <w:tcBorders>
              <w:bottom w:val="single" w:sz="4" w:space="0" w:color="auto"/>
            </w:tcBorders>
            <w:vAlign w:val="center"/>
          </w:tcPr>
          <w:p w:rsidR="00E75C0A" w:rsidRPr="007D5055" w:rsidRDefault="00E75C0A" w:rsidP="00E75C0A">
            <w:pPr>
              <w:widowControl w:val="0"/>
              <w:jc w:val="both"/>
              <w:rPr>
                <w:rFonts w:ascii="Arial Narrow" w:hAnsi="Arial Narrow" w:cs="Arial"/>
                <w:b/>
                <w:snapToGrid w:val="0"/>
                <w:sz w:val="20"/>
                <w:szCs w:val="20"/>
                <w:lang w:eastAsia="en-US"/>
              </w:rPr>
            </w:pPr>
            <w:r w:rsidRPr="007D5055">
              <w:rPr>
                <w:rFonts w:ascii="Arial Narrow" w:hAnsi="Arial Narrow" w:cs="Arial"/>
                <w:b/>
                <w:snapToGrid w:val="0"/>
                <w:sz w:val="20"/>
                <w:szCs w:val="20"/>
                <w:lang w:eastAsia="en-US"/>
              </w:rPr>
              <w:t>Trial ID</w:t>
            </w:r>
          </w:p>
        </w:tc>
        <w:tc>
          <w:tcPr>
            <w:tcW w:w="910" w:type="pct"/>
            <w:tcBorders>
              <w:bottom w:val="single" w:sz="4" w:space="0" w:color="auto"/>
            </w:tcBorders>
            <w:vAlign w:val="center"/>
          </w:tcPr>
          <w:p w:rsidR="00E75C0A" w:rsidRPr="007D5055" w:rsidRDefault="00E75C0A" w:rsidP="00E75C0A">
            <w:pPr>
              <w:widowControl w:val="0"/>
              <w:jc w:val="center"/>
              <w:rPr>
                <w:rFonts w:ascii="Arial Narrow" w:hAnsi="Arial Narrow" w:cs="Arial"/>
                <w:b/>
                <w:snapToGrid w:val="0"/>
                <w:sz w:val="20"/>
                <w:szCs w:val="20"/>
                <w:lang w:eastAsia="en-US"/>
              </w:rPr>
            </w:pPr>
            <w:proofErr w:type="spellStart"/>
            <w:r w:rsidRPr="007D5055">
              <w:rPr>
                <w:rFonts w:ascii="Arial Narrow" w:hAnsi="Arial Narrow" w:cs="Arial"/>
                <w:b/>
                <w:snapToGrid w:val="0"/>
                <w:sz w:val="20"/>
                <w:szCs w:val="20"/>
                <w:lang w:eastAsia="en-US"/>
              </w:rPr>
              <w:t>Adalimumab</w:t>
            </w:r>
            <w:proofErr w:type="spellEnd"/>
          </w:p>
        </w:tc>
        <w:tc>
          <w:tcPr>
            <w:tcW w:w="820" w:type="pct"/>
            <w:tcBorders>
              <w:bottom w:val="single" w:sz="4" w:space="0" w:color="auto"/>
            </w:tcBorders>
            <w:vAlign w:val="center"/>
          </w:tcPr>
          <w:p w:rsidR="00E75C0A" w:rsidRPr="007D5055" w:rsidRDefault="00E75C0A" w:rsidP="00E75C0A">
            <w:pPr>
              <w:widowControl w:val="0"/>
              <w:jc w:val="center"/>
              <w:rPr>
                <w:rFonts w:ascii="Arial Narrow" w:hAnsi="Arial Narrow" w:cs="Arial"/>
                <w:b/>
                <w:snapToGrid w:val="0"/>
                <w:sz w:val="20"/>
                <w:szCs w:val="20"/>
                <w:lang w:eastAsia="en-US"/>
              </w:rPr>
            </w:pPr>
            <w:r w:rsidRPr="007D5055">
              <w:rPr>
                <w:rFonts w:ascii="Arial Narrow" w:hAnsi="Arial Narrow" w:cs="Arial"/>
                <w:b/>
                <w:snapToGrid w:val="0"/>
                <w:sz w:val="20"/>
                <w:szCs w:val="20"/>
                <w:lang w:eastAsia="en-US"/>
              </w:rPr>
              <w:t>Placebo</w:t>
            </w:r>
          </w:p>
        </w:tc>
        <w:tc>
          <w:tcPr>
            <w:tcW w:w="910" w:type="pct"/>
            <w:tcBorders>
              <w:bottom w:val="single" w:sz="4" w:space="0" w:color="auto"/>
            </w:tcBorders>
            <w:vAlign w:val="center"/>
          </w:tcPr>
          <w:p w:rsidR="00E75C0A" w:rsidRPr="007D5055" w:rsidRDefault="00E75C0A" w:rsidP="00E75C0A">
            <w:pPr>
              <w:widowControl w:val="0"/>
              <w:jc w:val="center"/>
              <w:rPr>
                <w:rFonts w:ascii="Arial Narrow" w:hAnsi="Arial Narrow" w:cs="Arial"/>
                <w:b/>
                <w:snapToGrid w:val="0"/>
                <w:sz w:val="20"/>
                <w:szCs w:val="20"/>
                <w:lang w:eastAsia="en-US"/>
              </w:rPr>
            </w:pPr>
            <w:r w:rsidRPr="007D5055">
              <w:rPr>
                <w:rFonts w:ascii="Arial Narrow" w:hAnsi="Arial Narrow" w:cs="Arial"/>
                <w:b/>
                <w:snapToGrid w:val="0"/>
                <w:sz w:val="20"/>
                <w:szCs w:val="20"/>
                <w:lang w:eastAsia="en-US"/>
              </w:rPr>
              <w:t>ARD (95% CI)</w:t>
            </w:r>
          </w:p>
        </w:tc>
        <w:tc>
          <w:tcPr>
            <w:tcW w:w="819" w:type="pct"/>
            <w:tcBorders>
              <w:bottom w:val="single" w:sz="4" w:space="0" w:color="auto"/>
            </w:tcBorders>
            <w:vAlign w:val="center"/>
          </w:tcPr>
          <w:p w:rsidR="00E75C0A" w:rsidRPr="007D5055" w:rsidRDefault="00E75C0A" w:rsidP="00E75C0A">
            <w:pPr>
              <w:widowControl w:val="0"/>
              <w:jc w:val="center"/>
              <w:rPr>
                <w:rFonts w:ascii="Arial Narrow" w:hAnsi="Arial Narrow" w:cs="Arial"/>
                <w:b/>
                <w:snapToGrid w:val="0"/>
                <w:sz w:val="20"/>
                <w:szCs w:val="20"/>
                <w:lang w:eastAsia="en-US"/>
              </w:rPr>
            </w:pPr>
            <w:r w:rsidRPr="007D5055">
              <w:rPr>
                <w:rFonts w:ascii="Arial Narrow" w:hAnsi="Arial Narrow" w:cs="Arial"/>
                <w:b/>
                <w:snapToGrid w:val="0"/>
                <w:sz w:val="20"/>
                <w:szCs w:val="20"/>
                <w:lang w:eastAsia="en-US"/>
              </w:rPr>
              <w:t>RR (95% CI)</w:t>
            </w:r>
          </w:p>
        </w:tc>
        <w:tc>
          <w:tcPr>
            <w:tcW w:w="631" w:type="pct"/>
            <w:tcBorders>
              <w:bottom w:val="single" w:sz="4" w:space="0" w:color="auto"/>
            </w:tcBorders>
            <w:vAlign w:val="center"/>
          </w:tcPr>
          <w:p w:rsidR="00E75C0A" w:rsidRPr="007D5055" w:rsidRDefault="00E75C0A" w:rsidP="00E75C0A">
            <w:pPr>
              <w:widowControl w:val="0"/>
              <w:jc w:val="center"/>
              <w:rPr>
                <w:rFonts w:ascii="Arial Narrow" w:hAnsi="Arial Narrow" w:cs="Arial"/>
                <w:b/>
                <w:i/>
                <w:snapToGrid w:val="0"/>
                <w:sz w:val="20"/>
                <w:szCs w:val="20"/>
                <w:lang w:eastAsia="en-US"/>
              </w:rPr>
            </w:pPr>
            <w:r w:rsidRPr="007D5055">
              <w:rPr>
                <w:rFonts w:ascii="Arial Narrow" w:hAnsi="Arial Narrow" w:cs="Arial"/>
                <w:b/>
                <w:i/>
                <w:snapToGrid w:val="0"/>
                <w:sz w:val="20"/>
                <w:szCs w:val="20"/>
                <w:lang w:eastAsia="en-US"/>
              </w:rPr>
              <w:t>NNT (95% CI)</w:t>
            </w:r>
          </w:p>
        </w:tc>
      </w:tr>
      <w:tr w:rsidR="00E75C0A" w:rsidRPr="007D5055">
        <w:tc>
          <w:tcPr>
            <w:tcW w:w="4369" w:type="pct"/>
            <w:gridSpan w:val="5"/>
            <w:vAlign w:val="center"/>
          </w:tcPr>
          <w:p w:rsidR="00E75C0A" w:rsidRPr="007D5055" w:rsidRDefault="00E75C0A" w:rsidP="00E75C0A">
            <w:pPr>
              <w:widowControl w:val="0"/>
              <w:jc w:val="both"/>
              <w:rPr>
                <w:rFonts w:ascii="Arial Narrow" w:hAnsi="Arial Narrow" w:cs="Arial"/>
                <w:b/>
                <w:snapToGrid w:val="0"/>
                <w:sz w:val="20"/>
                <w:szCs w:val="20"/>
                <w:lang w:eastAsia="en-US"/>
              </w:rPr>
            </w:pPr>
            <w:r w:rsidRPr="007D5055">
              <w:rPr>
                <w:rFonts w:ascii="Arial Narrow" w:hAnsi="Arial Narrow" w:cs="Arial"/>
                <w:b/>
                <w:snapToGrid w:val="0"/>
                <w:sz w:val="20"/>
                <w:szCs w:val="20"/>
                <w:lang w:eastAsia="en-US"/>
              </w:rPr>
              <w:t>Clinical remission at 8 weeks</w:t>
            </w:r>
          </w:p>
        </w:tc>
        <w:tc>
          <w:tcPr>
            <w:tcW w:w="631" w:type="pct"/>
            <w:vAlign w:val="center"/>
          </w:tcPr>
          <w:p w:rsidR="00E75C0A" w:rsidRPr="007D5055" w:rsidRDefault="00E75C0A" w:rsidP="00E75C0A">
            <w:pPr>
              <w:widowControl w:val="0"/>
              <w:jc w:val="both"/>
              <w:rPr>
                <w:rFonts w:ascii="Arial Narrow" w:hAnsi="Arial Narrow" w:cs="Arial"/>
                <w:b/>
                <w:i/>
                <w:snapToGrid w:val="0"/>
                <w:sz w:val="20"/>
                <w:szCs w:val="20"/>
                <w:lang w:eastAsia="en-US"/>
              </w:rPr>
            </w:pPr>
          </w:p>
        </w:tc>
      </w:tr>
      <w:tr w:rsidR="00584667" w:rsidRPr="007D5055">
        <w:tc>
          <w:tcPr>
            <w:tcW w:w="911" w:type="pct"/>
            <w:vAlign w:val="center"/>
          </w:tcPr>
          <w:p w:rsidR="00E75C0A" w:rsidRPr="007D5055" w:rsidRDefault="00E75C0A" w:rsidP="00E75C0A">
            <w:pPr>
              <w:widowControl w:val="0"/>
              <w:jc w:val="both"/>
              <w:rPr>
                <w:rFonts w:ascii="Arial Narrow" w:hAnsi="Arial Narrow" w:cs="Arial"/>
                <w:snapToGrid w:val="0"/>
                <w:sz w:val="20"/>
                <w:szCs w:val="20"/>
                <w:lang w:eastAsia="en-US"/>
              </w:rPr>
            </w:pPr>
            <w:r w:rsidRPr="007D5055">
              <w:rPr>
                <w:rFonts w:ascii="Arial Narrow" w:hAnsi="Arial Narrow" w:cs="Arial"/>
                <w:snapToGrid w:val="0"/>
                <w:sz w:val="20"/>
                <w:szCs w:val="20"/>
                <w:lang w:eastAsia="en-US"/>
              </w:rPr>
              <w:t>ULTRA I</w:t>
            </w:r>
          </w:p>
        </w:tc>
        <w:tc>
          <w:tcPr>
            <w:tcW w:w="910" w:type="pct"/>
            <w:vAlign w:val="center"/>
          </w:tcPr>
          <w:p w:rsidR="00E75C0A" w:rsidRPr="007D5055" w:rsidRDefault="00E75C0A" w:rsidP="00E75C0A">
            <w:pPr>
              <w:widowControl w:val="0"/>
              <w:jc w:val="center"/>
              <w:rPr>
                <w:rFonts w:ascii="Arial Narrow" w:hAnsi="Arial Narrow" w:cs="Arial"/>
                <w:snapToGrid w:val="0"/>
                <w:sz w:val="20"/>
                <w:szCs w:val="20"/>
                <w:lang w:eastAsia="en-US"/>
              </w:rPr>
            </w:pPr>
            <w:r w:rsidRPr="007D5055">
              <w:rPr>
                <w:rFonts w:ascii="Arial Narrow" w:hAnsi="Arial Narrow" w:cs="Arial"/>
                <w:snapToGrid w:val="0"/>
                <w:sz w:val="20"/>
                <w:szCs w:val="20"/>
                <w:lang w:eastAsia="en-US"/>
              </w:rPr>
              <w:t>24/130 (18.5%)</w:t>
            </w:r>
          </w:p>
        </w:tc>
        <w:tc>
          <w:tcPr>
            <w:tcW w:w="820" w:type="pct"/>
            <w:vAlign w:val="center"/>
          </w:tcPr>
          <w:p w:rsidR="00E75C0A" w:rsidRPr="007D5055" w:rsidRDefault="00E75C0A" w:rsidP="00E75C0A">
            <w:pPr>
              <w:widowControl w:val="0"/>
              <w:jc w:val="center"/>
              <w:rPr>
                <w:rFonts w:ascii="Arial Narrow" w:hAnsi="Arial Narrow" w:cs="Arial"/>
                <w:snapToGrid w:val="0"/>
                <w:sz w:val="20"/>
                <w:szCs w:val="20"/>
                <w:lang w:eastAsia="en-US"/>
              </w:rPr>
            </w:pPr>
            <w:r w:rsidRPr="007D5055">
              <w:rPr>
                <w:rFonts w:ascii="Arial Narrow" w:hAnsi="Arial Narrow" w:cs="Arial"/>
                <w:snapToGrid w:val="0"/>
                <w:sz w:val="20"/>
                <w:szCs w:val="20"/>
                <w:lang w:eastAsia="en-US"/>
              </w:rPr>
              <w:t>12/130(9.2%)</w:t>
            </w:r>
          </w:p>
        </w:tc>
        <w:tc>
          <w:tcPr>
            <w:tcW w:w="910" w:type="pct"/>
            <w:vAlign w:val="center"/>
          </w:tcPr>
          <w:p w:rsidR="00E75C0A" w:rsidRPr="007D5055" w:rsidRDefault="00E75C0A" w:rsidP="00E75C0A">
            <w:pPr>
              <w:widowControl w:val="0"/>
              <w:jc w:val="center"/>
              <w:rPr>
                <w:rFonts w:ascii="Arial Narrow" w:hAnsi="Arial Narrow" w:cs="Arial"/>
                <w:snapToGrid w:val="0"/>
                <w:sz w:val="20"/>
                <w:szCs w:val="20"/>
                <w:lang w:eastAsia="en-US"/>
              </w:rPr>
            </w:pPr>
            <w:r w:rsidRPr="007D5055">
              <w:rPr>
                <w:rFonts w:ascii="Arial Narrow" w:hAnsi="Arial Narrow" w:cs="Arial"/>
                <w:snapToGrid w:val="0"/>
                <w:sz w:val="20"/>
                <w:szCs w:val="20"/>
                <w:lang w:eastAsia="en-US"/>
              </w:rPr>
              <w:t>9.2 (0.9, 17.6)</w:t>
            </w:r>
          </w:p>
        </w:tc>
        <w:tc>
          <w:tcPr>
            <w:tcW w:w="819" w:type="pct"/>
            <w:vAlign w:val="center"/>
          </w:tcPr>
          <w:p w:rsidR="00E75C0A" w:rsidRPr="007D5055" w:rsidRDefault="00E75C0A" w:rsidP="00E75C0A">
            <w:pPr>
              <w:widowControl w:val="0"/>
              <w:jc w:val="center"/>
              <w:rPr>
                <w:rFonts w:ascii="Arial Narrow" w:hAnsi="Arial Narrow" w:cs="Arial"/>
                <w:b/>
                <w:snapToGrid w:val="0"/>
                <w:sz w:val="20"/>
                <w:szCs w:val="20"/>
                <w:lang w:eastAsia="en-US"/>
              </w:rPr>
            </w:pPr>
            <w:r w:rsidRPr="007D5055">
              <w:rPr>
                <w:rFonts w:ascii="Arial Narrow" w:hAnsi="Arial Narrow" w:cs="Arial"/>
                <w:b/>
                <w:snapToGrid w:val="0"/>
                <w:sz w:val="20"/>
                <w:szCs w:val="20"/>
                <w:lang w:eastAsia="en-US"/>
              </w:rPr>
              <w:t>2.0 (1.1, 3.8)</w:t>
            </w:r>
          </w:p>
        </w:tc>
        <w:tc>
          <w:tcPr>
            <w:tcW w:w="631" w:type="pct"/>
            <w:vAlign w:val="center"/>
          </w:tcPr>
          <w:p w:rsidR="00E75C0A" w:rsidRPr="007D5055" w:rsidRDefault="00E75C0A" w:rsidP="00E75C0A">
            <w:pPr>
              <w:widowControl w:val="0"/>
              <w:jc w:val="center"/>
              <w:rPr>
                <w:rFonts w:ascii="Arial Narrow" w:hAnsi="Arial Narrow" w:cs="Arial"/>
                <w:i/>
                <w:snapToGrid w:val="0"/>
                <w:sz w:val="20"/>
                <w:szCs w:val="20"/>
                <w:lang w:eastAsia="en-US"/>
              </w:rPr>
            </w:pPr>
            <w:r w:rsidRPr="007D5055">
              <w:rPr>
                <w:rFonts w:ascii="Arial Narrow" w:hAnsi="Arial Narrow" w:cs="Arial"/>
                <w:i/>
                <w:snapToGrid w:val="0"/>
                <w:sz w:val="20"/>
                <w:szCs w:val="20"/>
                <w:lang w:eastAsia="en-US"/>
              </w:rPr>
              <w:t>11 (6, 111)</w:t>
            </w:r>
          </w:p>
        </w:tc>
      </w:tr>
      <w:tr w:rsidR="00584667" w:rsidRPr="007D5055">
        <w:tc>
          <w:tcPr>
            <w:tcW w:w="911" w:type="pct"/>
            <w:vAlign w:val="center"/>
          </w:tcPr>
          <w:p w:rsidR="00E75C0A" w:rsidRPr="007D5055" w:rsidRDefault="00E75C0A" w:rsidP="00E75C0A">
            <w:pPr>
              <w:widowControl w:val="0"/>
              <w:jc w:val="both"/>
              <w:rPr>
                <w:rFonts w:ascii="Arial Narrow" w:hAnsi="Arial Narrow" w:cs="Arial"/>
                <w:snapToGrid w:val="0"/>
                <w:sz w:val="20"/>
                <w:szCs w:val="20"/>
                <w:lang w:eastAsia="en-US"/>
              </w:rPr>
            </w:pPr>
            <w:r w:rsidRPr="007D5055">
              <w:rPr>
                <w:rFonts w:ascii="Arial Narrow" w:hAnsi="Arial Narrow" w:cs="Arial"/>
                <w:snapToGrid w:val="0"/>
                <w:sz w:val="20"/>
                <w:szCs w:val="20"/>
                <w:lang w:eastAsia="en-US"/>
              </w:rPr>
              <w:t>ULTRA II</w:t>
            </w:r>
          </w:p>
        </w:tc>
        <w:tc>
          <w:tcPr>
            <w:tcW w:w="910" w:type="pct"/>
            <w:vAlign w:val="center"/>
          </w:tcPr>
          <w:p w:rsidR="00E75C0A" w:rsidRPr="007D5055" w:rsidRDefault="00E75C0A" w:rsidP="00E75C0A">
            <w:pPr>
              <w:widowControl w:val="0"/>
              <w:jc w:val="center"/>
              <w:rPr>
                <w:rFonts w:ascii="Arial Narrow" w:hAnsi="Arial Narrow" w:cs="Arial"/>
                <w:snapToGrid w:val="0"/>
                <w:sz w:val="20"/>
                <w:szCs w:val="20"/>
                <w:lang w:eastAsia="en-US"/>
              </w:rPr>
            </w:pPr>
            <w:r w:rsidRPr="007D5055">
              <w:rPr>
                <w:rFonts w:ascii="Arial Narrow" w:hAnsi="Arial Narrow" w:cs="Arial"/>
                <w:snapToGrid w:val="0"/>
                <w:sz w:val="20"/>
                <w:szCs w:val="20"/>
                <w:lang w:eastAsia="en-US"/>
              </w:rPr>
              <w:t>41/248 (16.5%)</w:t>
            </w:r>
          </w:p>
        </w:tc>
        <w:tc>
          <w:tcPr>
            <w:tcW w:w="820" w:type="pct"/>
            <w:vAlign w:val="center"/>
          </w:tcPr>
          <w:p w:rsidR="00E75C0A" w:rsidRPr="007D5055" w:rsidRDefault="00E75C0A" w:rsidP="00E75C0A">
            <w:pPr>
              <w:widowControl w:val="0"/>
              <w:jc w:val="center"/>
              <w:rPr>
                <w:rFonts w:ascii="Arial Narrow" w:hAnsi="Arial Narrow" w:cs="Arial"/>
                <w:snapToGrid w:val="0"/>
                <w:sz w:val="20"/>
                <w:szCs w:val="20"/>
                <w:lang w:eastAsia="en-US"/>
              </w:rPr>
            </w:pPr>
            <w:r w:rsidRPr="007D5055">
              <w:rPr>
                <w:rFonts w:ascii="Arial Narrow" w:hAnsi="Arial Narrow" w:cs="Arial"/>
                <w:snapToGrid w:val="0"/>
                <w:sz w:val="20"/>
                <w:szCs w:val="20"/>
                <w:lang w:eastAsia="en-US"/>
              </w:rPr>
              <w:t>23/246 (9.3%)</w:t>
            </w:r>
          </w:p>
        </w:tc>
        <w:tc>
          <w:tcPr>
            <w:tcW w:w="910" w:type="pct"/>
            <w:vAlign w:val="center"/>
          </w:tcPr>
          <w:p w:rsidR="00E75C0A" w:rsidRPr="007D5055" w:rsidRDefault="00E75C0A" w:rsidP="00E75C0A">
            <w:pPr>
              <w:widowControl w:val="0"/>
              <w:jc w:val="center"/>
              <w:rPr>
                <w:rFonts w:ascii="Arial Narrow" w:hAnsi="Arial Narrow" w:cs="Arial"/>
                <w:snapToGrid w:val="0"/>
                <w:sz w:val="20"/>
                <w:szCs w:val="20"/>
                <w:lang w:eastAsia="en-US"/>
              </w:rPr>
            </w:pPr>
            <w:r w:rsidRPr="007D5055">
              <w:rPr>
                <w:rFonts w:ascii="Arial Narrow" w:hAnsi="Arial Narrow" w:cs="Arial"/>
                <w:snapToGrid w:val="0"/>
                <w:sz w:val="20"/>
                <w:szCs w:val="20"/>
                <w:lang w:eastAsia="en-US"/>
              </w:rPr>
              <w:t>7.2 (1.3, 13.1)</w:t>
            </w:r>
          </w:p>
        </w:tc>
        <w:tc>
          <w:tcPr>
            <w:tcW w:w="819" w:type="pct"/>
            <w:vAlign w:val="center"/>
          </w:tcPr>
          <w:p w:rsidR="00E75C0A" w:rsidRPr="007D5055" w:rsidRDefault="00E75C0A" w:rsidP="00E75C0A">
            <w:pPr>
              <w:widowControl w:val="0"/>
              <w:jc w:val="center"/>
              <w:rPr>
                <w:rFonts w:ascii="Arial Narrow" w:hAnsi="Arial Narrow" w:cs="Arial"/>
                <w:b/>
                <w:snapToGrid w:val="0"/>
                <w:sz w:val="20"/>
                <w:szCs w:val="20"/>
                <w:lang w:eastAsia="en-US"/>
              </w:rPr>
            </w:pPr>
            <w:r w:rsidRPr="007D5055">
              <w:rPr>
                <w:rFonts w:ascii="Arial Narrow" w:hAnsi="Arial Narrow" w:cs="Arial"/>
                <w:b/>
                <w:snapToGrid w:val="0"/>
                <w:sz w:val="20"/>
                <w:szCs w:val="20"/>
                <w:lang w:eastAsia="en-US"/>
              </w:rPr>
              <w:t>1.8 (1.1, 2.9)</w:t>
            </w:r>
          </w:p>
        </w:tc>
        <w:tc>
          <w:tcPr>
            <w:tcW w:w="631" w:type="pct"/>
            <w:vAlign w:val="center"/>
          </w:tcPr>
          <w:p w:rsidR="00E75C0A" w:rsidRPr="007D5055" w:rsidRDefault="00E75C0A" w:rsidP="00E75C0A">
            <w:pPr>
              <w:widowControl w:val="0"/>
              <w:jc w:val="center"/>
              <w:rPr>
                <w:rFonts w:ascii="Arial Narrow" w:hAnsi="Arial Narrow" w:cs="Arial"/>
                <w:i/>
                <w:snapToGrid w:val="0"/>
                <w:sz w:val="20"/>
                <w:szCs w:val="20"/>
                <w:lang w:eastAsia="en-US"/>
              </w:rPr>
            </w:pPr>
            <w:r w:rsidRPr="007D5055">
              <w:rPr>
                <w:rFonts w:ascii="Arial Narrow" w:hAnsi="Arial Narrow" w:cs="Arial"/>
                <w:i/>
                <w:snapToGrid w:val="0"/>
                <w:sz w:val="20"/>
                <w:szCs w:val="20"/>
                <w:lang w:eastAsia="en-US"/>
              </w:rPr>
              <w:t>14 (8, 77)</w:t>
            </w:r>
          </w:p>
        </w:tc>
      </w:tr>
      <w:tr w:rsidR="00584667" w:rsidRPr="007D5055">
        <w:tc>
          <w:tcPr>
            <w:tcW w:w="911" w:type="pct"/>
            <w:vAlign w:val="center"/>
          </w:tcPr>
          <w:p w:rsidR="00E75C0A" w:rsidRPr="007D5055" w:rsidRDefault="00E75C0A" w:rsidP="00E75C0A">
            <w:pPr>
              <w:widowControl w:val="0"/>
              <w:jc w:val="both"/>
              <w:rPr>
                <w:rFonts w:ascii="Arial Narrow" w:hAnsi="Arial Narrow" w:cs="Arial"/>
                <w:i/>
                <w:snapToGrid w:val="0"/>
                <w:sz w:val="20"/>
                <w:szCs w:val="20"/>
                <w:lang w:eastAsia="en-US"/>
              </w:rPr>
            </w:pPr>
            <w:r w:rsidRPr="007D5055">
              <w:rPr>
                <w:rFonts w:ascii="Arial Narrow" w:hAnsi="Arial Narrow" w:cs="Arial"/>
                <w:i/>
                <w:snapToGrid w:val="0"/>
                <w:sz w:val="20"/>
                <w:szCs w:val="20"/>
                <w:lang w:eastAsia="en-US"/>
              </w:rPr>
              <w:lastRenderedPageBreak/>
              <w:t>Suzuki 2014</w:t>
            </w:r>
          </w:p>
        </w:tc>
        <w:tc>
          <w:tcPr>
            <w:tcW w:w="910" w:type="pct"/>
            <w:vAlign w:val="center"/>
          </w:tcPr>
          <w:p w:rsidR="00E75C0A" w:rsidRPr="007D5055" w:rsidRDefault="00E75C0A" w:rsidP="00E75C0A">
            <w:pPr>
              <w:widowControl w:val="0"/>
              <w:jc w:val="center"/>
              <w:rPr>
                <w:rFonts w:ascii="Arial Narrow" w:hAnsi="Arial Narrow" w:cs="Arial"/>
                <w:i/>
                <w:snapToGrid w:val="0"/>
                <w:sz w:val="20"/>
                <w:szCs w:val="20"/>
                <w:lang w:eastAsia="en-US"/>
              </w:rPr>
            </w:pPr>
            <w:r w:rsidRPr="007D5055">
              <w:rPr>
                <w:rFonts w:ascii="Arial Narrow" w:hAnsi="Arial Narrow" w:cs="Arial"/>
                <w:i/>
                <w:snapToGrid w:val="0"/>
                <w:sz w:val="20"/>
                <w:szCs w:val="20"/>
                <w:lang w:eastAsia="en-US"/>
              </w:rPr>
              <w:t>9/90 (10.0%)</w:t>
            </w:r>
          </w:p>
        </w:tc>
        <w:tc>
          <w:tcPr>
            <w:tcW w:w="820" w:type="pct"/>
            <w:vAlign w:val="center"/>
          </w:tcPr>
          <w:p w:rsidR="00E75C0A" w:rsidRPr="007D5055" w:rsidRDefault="00E75C0A" w:rsidP="00E75C0A">
            <w:pPr>
              <w:widowControl w:val="0"/>
              <w:jc w:val="center"/>
              <w:rPr>
                <w:rFonts w:ascii="Arial Narrow" w:hAnsi="Arial Narrow" w:cs="Arial"/>
                <w:i/>
                <w:snapToGrid w:val="0"/>
                <w:sz w:val="20"/>
                <w:szCs w:val="20"/>
                <w:lang w:eastAsia="en-US"/>
              </w:rPr>
            </w:pPr>
            <w:r w:rsidRPr="007D5055">
              <w:rPr>
                <w:rFonts w:ascii="Arial Narrow" w:hAnsi="Arial Narrow" w:cs="Arial"/>
                <w:i/>
                <w:snapToGrid w:val="0"/>
                <w:sz w:val="20"/>
                <w:szCs w:val="20"/>
                <w:lang w:eastAsia="en-US"/>
              </w:rPr>
              <w:t>11/96 (11.5%)</w:t>
            </w:r>
          </w:p>
        </w:tc>
        <w:tc>
          <w:tcPr>
            <w:tcW w:w="910" w:type="pct"/>
            <w:vAlign w:val="center"/>
          </w:tcPr>
          <w:p w:rsidR="00E75C0A" w:rsidRPr="007D5055" w:rsidRDefault="00E75C0A" w:rsidP="00E75C0A">
            <w:pPr>
              <w:widowControl w:val="0"/>
              <w:jc w:val="center"/>
              <w:rPr>
                <w:rFonts w:ascii="Arial Narrow" w:hAnsi="Arial Narrow" w:cs="Arial"/>
                <w:i/>
                <w:snapToGrid w:val="0"/>
                <w:sz w:val="20"/>
                <w:szCs w:val="20"/>
                <w:lang w:eastAsia="en-US"/>
              </w:rPr>
            </w:pPr>
            <w:r w:rsidRPr="007D5055">
              <w:rPr>
                <w:rFonts w:ascii="Arial Narrow" w:hAnsi="Arial Narrow" w:cs="Arial"/>
                <w:i/>
                <w:snapToGrid w:val="0"/>
                <w:sz w:val="20"/>
                <w:szCs w:val="20"/>
                <w:lang w:eastAsia="en-US"/>
              </w:rPr>
              <w:t>-1.5 (-10.3, 7.4)</w:t>
            </w:r>
          </w:p>
        </w:tc>
        <w:tc>
          <w:tcPr>
            <w:tcW w:w="819" w:type="pct"/>
            <w:vAlign w:val="center"/>
          </w:tcPr>
          <w:p w:rsidR="00E75C0A" w:rsidRPr="007D5055" w:rsidRDefault="00E75C0A" w:rsidP="00E75C0A">
            <w:pPr>
              <w:widowControl w:val="0"/>
              <w:jc w:val="center"/>
              <w:rPr>
                <w:rFonts w:ascii="Arial Narrow" w:hAnsi="Arial Narrow" w:cs="Arial"/>
                <w:i/>
                <w:snapToGrid w:val="0"/>
                <w:sz w:val="20"/>
                <w:szCs w:val="20"/>
                <w:lang w:eastAsia="en-US"/>
              </w:rPr>
            </w:pPr>
            <w:r w:rsidRPr="007D5055">
              <w:rPr>
                <w:rFonts w:ascii="Arial Narrow" w:hAnsi="Arial Narrow" w:cs="Arial"/>
                <w:i/>
                <w:snapToGrid w:val="0"/>
                <w:sz w:val="20"/>
                <w:szCs w:val="20"/>
                <w:lang w:eastAsia="en-US"/>
              </w:rPr>
              <w:t>0.9 (0.4, 2.0)</w:t>
            </w:r>
          </w:p>
        </w:tc>
        <w:tc>
          <w:tcPr>
            <w:tcW w:w="631" w:type="pct"/>
            <w:vAlign w:val="center"/>
          </w:tcPr>
          <w:p w:rsidR="00E75C0A" w:rsidRPr="007D5055" w:rsidRDefault="00E75C0A" w:rsidP="00E75C0A">
            <w:pPr>
              <w:widowControl w:val="0"/>
              <w:jc w:val="center"/>
              <w:rPr>
                <w:rFonts w:ascii="Arial Narrow" w:hAnsi="Arial Narrow" w:cs="Arial"/>
                <w:i/>
                <w:snapToGrid w:val="0"/>
                <w:sz w:val="20"/>
                <w:szCs w:val="20"/>
                <w:lang w:eastAsia="en-US"/>
              </w:rPr>
            </w:pPr>
            <w:r w:rsidRPr="007D5055">
              <w:rPr>
                <w:rFonts w:ascii="Arial Narrow" w:hAnsi="Arial Narrow" w:cs="Arial"/>
                <w:i/>
                <w:snapToGrid w:val="0"/>
                <w:sz w:val="20"/>
                <w:szCs w:val="20"/>
                <w:lang w:eastAsia="en-US"/>
              </w:rPr>
              <w:t>-69 (NE)</w:t>
            </w:r>
          </w:p>
        </w:tc>
      </w:tr>
      <w:tr w:rsidR="00E75C0A" w:rsidRPr="007D5055">
        <w:tc>
          <w:tcPr>
            <w:tcW w:w="2641" w:type="pct"/>
            <w:gridSpan w:val="3"/>
            <w:vAlign w:val="center"/>
          </w:tcPr>
          <w:p w:rsidR="00E75C0A" w:rsidRPr="007D5055" w:rsidRDefault="00E75C0A" w:rsidP="00E75C0A">
            <w:pPr>
              <w:widowControl w:val="0"/>
              <w:jc w:val="both"/>
              <w:rPr>
                <w:rFonts w:ascii="Arial Narrow" w:hAnsi="Arial Narrow" w:cs="Arial"/>
                <w:snapToGrid w:val="0"/>
                <w:sz w:val="20"/>
                <w:szCs w:val="20"/>
                <w:lang w:eastAsia="en-US"/>
              </w:rPr>
            </w:pPr>
            <w:r w:rsidRPr="007D5055">
              <w:rPr>
                <w:rFonts w:ascii="Arial Narrow" w:hAnsi="Arial Narrow" w:cs="Arial"/>
                <w:snapToGrid w:val="0"/>
                <w:sz w:val="20"/>
                <w:szCs w:val="20"/>
                <w:lang w:eastAsia="en-US"/>
              </w:rPr>
              <w:t>Meta-analysis of ULTRA I and II only (I</w:t>
            </w:r>
            <w:r w:rsidRPr="007D5055">
              <w:rPr>
                <w:rFonts w:ascii="Arial Narrow" w:hAnsi="Arial Narrow" w:cs="Arial"/>
                <w:snapToGrid w:val="0"/>
                <w:sz w:val="20"/>
                <w:szCs w:val="20"/>
                <w:vertAlign w:val="superscript"/>
                <w:lang w:eastAsia="en-US"/>
              </w:rPr>
              <w:t>2</w:t>
            </w:r>
            <w:r w:rsidRPr="007D5055">
              <w:rPr>
                <w:rFonts w:ascii="Arial Narrow" w:hAnsi="Arial Narrow" w:cs="Arial"/>
                <w:snapToGrid w:val="0"/>
                <w:sz w:val="20"/>
                <w:szCs w:val="20"/>
                <w:lang w:eastAsia="en-US"/>
              </w:rPr>
              <w:t xml:space="preserve"> = 0%)</w:t>
            </w:r>
          </w:p>
        </w:tc>
        <w:tc>
          <w:tcPr>
            <w:tcW w:w="910" w:type="pct"/>
            <w:vAlign w:val="center"/>
          </w:tcPr>
          <w:p w:rsidR="00E75C0A" w:rsidRPr="007D5055" w:rsidRDefault="00E75C0A" w:rsidP="00E75C0A">
            <w:pPr>
              <w:widowControl w:val="0"/>
              <w:jc w:val="center"/>
              <w:rPr>
                <w:rFonts w:ascii="Arial Narrow" w:hAnsi="Arial Narrow" w:cs="Arial"/>
                <w:snapToGrid w:val="0"/>
                <w:sz w:val="20"/>
                <w:szCs w:val="20"/>
                <w:lang w:eastAsia="en-US"/>
              </w:rPr>
            </w:pPr>
            <w:r w:rsidRPr="007D5055">
              <w:rPr>
                <w:rFonts w:ascii="Arial Narrow" w:hAnsi="Arial Narrow" w:cs="Arial"/>
                <w:snapToGrid w:val="0"/>
                <w:sz w:val="20"/>
                <w:szCs w:val="20"/>
                <w:lang w:eastAsia="en-US"/>
              </w:rPr>
              <w:t>8.2 (3.0, 13.0)</w:t>
            </w:r>
          </w:p>
        </w:tc>
        <w:tc>
          <w:tcPr>
            <w:tcW w:w="819" w:type="pct"/>
            <w:vAlign w:val="center"/>
          </w:tcPr>
          <w:p w:rsidR="00E75C0A" w:rsidRPr="007D5055" w:rsidRDefault="00E75C0A" w:rsidP="00E75C0A">
            <w:pPr>
              <w:widowControl w:val="0"/>
              <w:jc w:val="center"/>
              <w:rPr>
                <w:rFonts w:ascii="Arial Narrow" w:hAnsi="Arial Narrow" w:cs="Arial"/>
                <w:b/>
                <w:snapToGrid w:val="0"/>
                <w:sz w:val="20"/>
                <w:szCs w:val="20"/>
                <w:lang w:eastAsia="en-US"/>
              </w:rPr>
            </w:pPr>
            <w:r w:rsidRPr="007D5055">
              <w:rPr>
                <w:rFonts w:ascii="Arial Narrow" w:hAnsi="Arial Narrow" w:cs="Arial"/>
                <w:b/>
                <w:snapToGrid w:val="0"/>
                <w:sz w:val="20"/>
                <w:szCs w:val="20"/>
                <w:lang w:eastAsia="en-US"/>
              </w:rPr>
              <w:t>1.9 (1.3, 2.7)</w:t>
            </w:r>
          </w:p>
        </w:tc>
        <w:tc>
          <w:tcPr>
            <w:tcW w:w="631" w:type="pct"/>
            <w:vAlign w:val="center"/>
          </w:tcPr>
          <w:p w:rsidR="00E75C0A" w:rsidRPr="007D5055" w:rsidRDefault="00E75C0A" w:rsidP="00E75C0A">
            <w:pPr>
              <w:widowControl w:val="0"/>
              <w:jc w:val="center"/>
              <w:rPr>
                <w:rFonts w:ascii="Arial Narrow" w:hAnsi="Arial Narrow" w:cs="Arial"/>
                <w:i/>
                <w:snapToGrid w:val="0"/>
                <w:sz w:val="20"/>
                <w:szCs w:val="20"/>
                <w:lang w:eastAsia="en-US"/>
              </w:rPr>
            </w:pPr>
            <w:r w:rsidRPr="007D5055">
              <w:rPr>
                <w:rFonts w:ascii="Arial Narrow" w:hAnsi="Arial Narrow" w:cs="Arial"/>
                <w:i/>
                <w:snapToGrid w:val="0"/>
                <w:sz w:val="20"/>
                <w:szCs w:val="20"/>
                <w:lang w:eastAsia="en-US"/>
              </w:rPr>
              <w:t>12 (8, 33)</w:t>
            </w:r>
          </w:p>
        </w:tc>
      </w:tr>
      <w:tr w:rsidR="00E75C0A" w:rsidRPr="007D5055">
        <w:tc>
          <w:tcPr>
            <w:tcW w:w="2641" w:type="pct"/>
            <w:gridSpan w:val="3"/>
            <w:vAlign w:val="center"/>
          </w:tcPr>
          <w:p w:rsidR="00E75C0A" w:rsidRPr="007D5055" w:rsidRDefault="00E75C0A" w:rsidP="00E75C0A">
            <w:pPr>
              <w:widowControl w:val="0"/>
              <w:jc w:val="both"/>
              <w:rPr>
                <w:rFonts w:ascii="Arial Narrow" w:hAnsi="Arial Narrow" w:cs="Arial"/>
                <w:i/>
                <w:snapToGrid w:val="0"/>
                <w:sz w:val="20"/>
                <w:szCs w:val="20"/>
                <w:lang w:eastAsia="en-US"/>
              </w:rPr>
            </w:pPr>
            <w:r w:rsidRPr="007D5055">
              <w:rPr>
                <w:rFonts w:ascii="Arial Narrow" w:hAnsi="Arial Narrow" w:cs="Arial"/>
                <w:i/>
                <w:snapToGrid w:val="0"/>
                <w:sz w:val="20"/>
                <w:szCs w:val="20"/>
                <w:lang w:eastAsia="en-US"/>
              </w:rPr>
              <w:t>Meta-analysis of ULTRA I and II and Suzuki (I</w:t>
            </w:r>
            <w:r w:rsidRPr="007D5055">
              <w:rPr>
                <w:rFonts w:ascii="Arial Narrow" w:hAnsi="Arial Narrow" w:cs="Arial"/>
                <w:i/>
                <w:snapToGrid w:val="0"/>
                <w:sz w:val="20"/>
                <w:szCs w:val="20"/>
                <w:vertAlign w:val="superscript"/>
                <w:lang w:eastAsia="en-US"/>
              </w:rPr>
              <w:t>2</w:t>
            </w:r>
            <w:r w:rsidRPr="007D5055">
              <w:rPr>
                <w:rFonts w:ascii="Arial Narrow" w:hAnsi="Arial Narrow" w:cs="Arial"/>
                <w:i/>
                <w:snapToGrid w:val="0"/>
                <w:sz w:val="20"/>
                <w:szCs w:val="20"/>
                <w:lang w:eastAsia="en-US"/>
              </w:rPr>
              <w:t xml:space="preserve"> = 25%)</w:t>
            </w:r>
          </w:p>
        </w:tc>
        <w:tc>
          <w:tcPr>
            <w:tcW w:w="910" w:type="pct"/>
            <w:vAlign w:val="center"/>
          </w:tcPr>
          <w:p w:rsidR="00E75C0A" w:rsidRPr="007D5055" w:rsidRDefault="00E75C0A" w:rsidP="00E75C0A">
            <w:pPr>
              <w:widowControl w:val="0"/>
              <w:jc w:val="both"/>
              <w:rPr>
                <w:rFonts w:ascii="Arial Narrow" w:hAnsi="Arial Narrow" w:cs="Arial"/>
                <w:i/>
                <w:snapToGrid w:val="0"/>
                <w:sz w:val="20"/>
                <w:szCs w:val="20"/>
                <w:lang w:eastAsia="en-US"/>
              </w:rPr>
            </w:pPr>
          </w:p>
        </w:tc>
        <w:tc>
          <w:tcPr>
            <w:tcW w:w="819" w:type="pct"/>
            <w:vAlign w:val="center"/>
          </w:tcPr>
          <w:p w:rsidR="00E75C0A" w:rsidRPr="007D5055" w:rsidRDefault="00E75C0A" w:rsidP="00E75C0A">
            <w:pPr>
              <w:widowControl w:val="0"/>
              <w:jc w:val="center"/>
              <w:rPr>
                <w:rFonts w:ascii="Arial Narrow" w:hAnsi="Arial Narrow" w:cs="Arial"/>
                <w:i/>
                <w:snapToGrid w:val="0"/>
                <w:sz w:val="20"/>
                <w:szCs w:val="20"/>
                <w:lang w:eastAsia="en-US"/>
              </w:rPr>
            </w:pPr>
            <w:r w:rsidRPr="007D5055">
              <w:rPr>
                <w:rFonts w:ascii="Arial Narrow" w:hAnsi="Arial Narrow" w:cs="Arial"/>
                <w:i/>
                <w:snapToGrid w:val="0"/>
                <w:sz w:val="20"/>
                <w:szCs w:val="20"/>
                <w:lang w:eastAsia="en-US"/>
              </w:rPr>
              <w:t>1.6 (1.0, 2.4)</w:t>
            </w:r>
          </w:p>
        </w:tc>
        <w:tc>
          <w:tcPr>
            <w:tcW w:w="631" w:type="pct"/>
            <w:vAlign w:val="center"/>
          </w:tcPr>
          <w:p w:rsidR="00E75C0A" w:rsidRPr="007D5055" w:rsidRDefault="00E75C0A" w:rsidP="00E75C0A">
            <w:pPr>
              <w:widowControl w:val="0"/>
              <w:jc w:val="both"/>
              <w:rPr>
                <w:rFonts w:ascii="Arial Narrow" w:hAnsi="Arial Narrow" w:cs="Arial"/>
                <w:i/>
                <w:snapToGrid w:val="0"/>
                <w:sz w:val="20"/>
                <w:szCs w:val="20"/>
                <w:lang w:eastAsia="en-US"/>
              </w:rPr>
            </w:pPr>
          </w:p>
        </w:tc>
      </w:tr>
      <w:tr w:rsidR="00E75C0A" w:rsidRPr="007D5055">
        <w:tc>
          <w:tcPr>
            <w:tcW w:w="5000" w:type="pct"/>
            <w:gridSpan w:val="6"/>
            <w:vAlign w:val="center"/>
          </w:tcPr>
          <w:p w:rsidR="00E75C0A" w:rsidRPr="007D5055" w:rsidRDefault="00E75C0A" w:rsidP="00E75C0A">
            <w:pPr>
              <w:widowControl w:val="0"/>
              <w:jc w:val="both"/>
              <w:rPr>
                <w:rFonts w:ascii="Arial Narrow" w:hAnsi="Arial Narrow" w:cs="Arial"/>
                <w:b/>
                <w:i/>
                <w:snapToGrid w:val="0"/>
                <w:sz w:val="20"/>
                <w:szCs w:val="20"/>
                <w:lang w:eastAsia="en-US"/>
              </w:rPr>
            </w:pPr>
            <w:r w:rsidRPr="007D5055">
              <w:rPr>
                <w:rFonts w:ascii="Arial Narrow" w:hAnsi="Arial Narrow" w:cs="Arial"/>
                <w:b/>
                <w:snapToGrid w:val="0"/>
                <w:sz w:val="20"/>
                <w:szCs w:val="20"/>
                <w:lang w:eastAsia="en-US"/>
              </w:rPr>
              <w:t>Clinical response at 8 weeks</w:t>
            </w:r>
          </w:p>
        </w:tc>
      </w:tr>
      <w:tr w:rsidR="00584667" w:rsidRPr="007D5055">
        <w:tc>
          <w:tcPr>
            <w:tcW w:w="911" w:type="pct"/>
            <w:vAlign w:val="center"/>
          </w:tcPr>
          <w:p w:rsidR="00E75C0A" w:rsidRPr="007D5055" w:rsidRDefault="00E75C0A" w:rsidP="00E75C0A">
            <w:pPr>
              <w:widowControl w:val="0"/>
              <w:jc w:val="both"/>
              <w:rPr>
                <w:rFonts w:ascii="Arial Narrow" w:hAnsi="Arial Narrow" w:cs="Arial"/>
                <w:snapToGrid w:val="0"/>
                <w:sz w:val="20"/>
                <w:szCs w:val="20"/>
                <w:lang w:eastAsia="en-US"/>
              </w:rPr>
            </w:pPr>
            <w:r w:rsidRPr="007D5055">
              <w:rPr>
                <w:rFonts w:ascii="Arial Narrow" w:hAnsi="Arial Narrow" w:cs="Arial"/>
                <w:snapToGrid w:val="0"/>
                <w:sz w:val="20"/>
                <w:szCs w:val="20"/>
                <w:lang w:eastAsia="en-US"/>
              </w:rPr>
              <w:t>ULTRA I</w:t>
            </w:r>
          </w:p>
        </w:tc>
        <w:tc>
          <w:tcPr>
            <w:tcW w:w="910" w:type="pct"/>
            <w:vAlign w:val="center"/>
          </w:tcPr>
          <w:p w:rsidR="00E75C0A" w:rsidRPr="007D5055" w:rsidRDefault="00E75C0A" w:rsidP="00E75C0A">
            <w:pPr>
              <w:widowControl w:val="0"/>
              <w:jc w:val="center"/>
              <w:rPr>
                <w:rFonts w:ascii="Arial Narrow" w:hAnsi="Arial Narrow" w:cs="Arial"/>
                <w:snapToGrid w:val="0"/>
                <w:sz w:val="20"/>
                <w:szCs w:val="20"/>
                <w:lang w:eastAsia="en-US"/>
              </w:rPr>
            </w:pPr>
            <w:r w:rsidRPr="007D5055">
              <w:rPr>
                <w:rFonts w:ascii="Arial Narrow" w:hAnsi="Arial Narrow" w:cs="Arial"/>
                <w:snapToGrid w:val="0"/>
                <w:sz w:val="20"/>
                <w:szCs w:val="20"/>
                <w:lang w:eastAsia="en-US"/>
              </w:rPr>
              <w:t>71/130 (54.6%)</w:t>
            </w:r>
          </w:p>
        </w:tc>
        <w:tc>
          <w:tcPr>
            <w:tcW w:w="820" w:type="pct"/>
            <w:vAlign w:val="center"/>
          </w:tcPr>
          <w:p w:rsidR="00E75C0A" w:rsidRPr="007D5055" w:rsidRDefault="00E75C0A" w:rsidP="00E75C0A">
            <w:pPr>
              <w:widowControl w:val="0"/>
              <w:jc w:val="center"/>
              <w:rPr>
                <w:rFonts w:ascii="Arial Narrow" w:hAnsi="Arial Narrow" w:cs="Arial"/>
                <w:snapToGrid w:val="0"/>
                <w:sz w:val="20"/>
                <w:szCs w:val="20"/>
                <w:lang w:eastAsia="en-US"/>
              </w:rPr>
            </w:pPr>
            <w:r w:rsidRPr="007D5055">
              <w:rPr>
                <w:rFonts w:ascii="Arial Narrow" w:hAnsi="Arial Narrow" w:cs="Arial"/>
                <w:snapToGrid w:val="0"/>
                <w:sz w:val="20"/>
                <w:szCs w:val="20"/>
                <w:lang w:eastAsia="en-US"/>
              </w:rPr>
              <w:t>58/130 (44.6%)</w:t>
            </w:r>
          </w:p>
        </w:tc>
        <w:tc>
          <w:tcPr>
            <w:tcW w:w="910" w:type="pct"/>
            <w:vAlign w:val="center"/>
          </w:tcPr>
          <w:p w:rsidR="00E75C0A" w:rsidRPr="007D5055" w:rsidRDefault="00E75C0A" w:rsidP="00E75C0A">
            <w:pPr>
              <w:widowControl w:val="0"/>
              <w:jc w:val="center"/>
              <w:rPr>
                <w:rFonts w:ascii="Arial Narrow" w:hAnsi="Arial Narrow" w:cs="Arial"/>
                <w:snapToGrid w:val="0"/>
                <w:sz w:val="20"/>
                <w:szCs w:val="20"/>
                <w:lang w:eastAsia="en-US"/>
              </w:rPr>
            </w:pPr>
            <w:r w:rsidRPr="007D5055">
              <w:rPr>
                <w:rFonts w:ascii="Arial Narrow" w:hAnsi="Arial Narrow" w:cs="Arial"/>
                <w:snapToGrid w:val="0"/>
                <w:sz w:val="20"/>
                <w:szCs w:val="20"/>
                <w:lang w:eastAsia="en-US"/>
              </w:rPr>
              <w:t>10.0 (-2.1, 22.1)</w:t>
            </w:r>
          </w:p>
        </w:tc>
        <w:tc>
          <w:tcPr>
            <w:tcW w:w="819" w:type="pct"/>
            <w:vAlign w:val="center"/>
          </w:tcPr>
          <w:p w:rsidR="00E75C0A" w:rsidRPr="007D5055" w:rsidRDefault="00E75C0A" w:rsidP="00E75C0A">
            <w:pPr>
              <w:widowControl w:val="0"/>
              <w:jc w:val="center"/>
              <w:rPr>
                <w:rFonts w:ascii="Arial Narrow" w:hAnsi="Arial Narrow" w:cs="Arial"/>
                <w:snapToGrid w:val="0"/>
                <w:sz w:val="20"/>
                <w:szCs w:val="20"/>
                <w:lang w:eastAsia="en-US"/>
              </w:rPr>
            </w:pPr>
            <w:r w:rsidRPr="007D5055">
              <w:rPr>
                <w:rFonts w:ascii="Arial Narrow" w:hAnsi="Arial Narrow" w:cs="Arial"/>
                <w:snapToGrid w:val="0"/>
                <w:sz w:val="20"/>
                <w:szCs w:val="20"/>
                <w:lang w:eastAsia="en-US"/>
              </w:rPr>
              <w:t>1.2 (1.0, 1.6)</w:t>
            </w:r>
          </w:p>
        </w:tc>
        <w:tc>
          <w:tcPr>
            <w:tcW w:w="631" w:type="pct"/>
            <w:vAlign w:val="center"/>
          </w:tcPr>
          <w:p w:rsidR="00E75C0A" w:rsidRPr="007D5055" w:rsidRDefault="00E75C0A" w:rsidP="00E75C0A">
            <w:pPr>
              <w:widowControl w:val="0"/>
              <w:jc w:val="center"/>
              <w:rPr>
                <w:rFonts w:ascii="Arial Narrow" w:hAnsi="Arial Narrow" w:cs="Arial"/>
                <w:i/>
                <w:snapToGrid w:val="0"/>
                <w:sz w:val="20"/>
                <w:szCs w:val="20"/>
                <w:lang w:eastAsia="en-US"/>
              </w:rPr>
            </w:pPr>
            <w:r w:rsidRPr="007D5055">
              <w:rPr>
                <w:rFonts w:ascii="Arial Narrow" w:hAnsi="Arial Narrow" w:cs="Arial"/>
                <w:i/>
                <w:snapToGrid w:val="0"/>
                <w:sz w:val="20"/>
                <w:szCs w:val="20"/>
                <w:lang w:eastAsia="en-US"/>
              </w:rPr>
              <w:t>10 (NE)</w:t>
            </w:r>
          </w:p>
        </w:tc>
      </w:tr>
      <w:tr w:rsidR="00584667" w:rsidRPr="007D5055">
        <w:tc>
          <w:tcPr>
            <w:tcW w:w="911" w:type="pct"/>
            <w:vAlign w:val="center"/>
          </w:tcPr>
          <w:p w:rsidR="00E75C0A" w:rsidRPr="007D5055" w:rsidRDefault="00E75C0A" w:rsidP="00E75C0A">
            <w:pPr>
              <w:widowControl w:val="0"/>
              <w:jc w:val="both"/>
              <w:rPr>
                <w:rFonts w:ascii="Arial Narrow" w:hAnsi="Arial Narrow" w:cs="Arial"/>
                <w:snapToGrid w:val="0"/>
                <w:sz w:val="20"/>
                <w:szCs w:val="20"/>
                <w:lang w:eastAsia="en-US"/>
              </w:rPr>
            </w:pPr>
            <w:r w:rsidRPr="007D5055">
              <w:rPr>
                <w:rFonts w:ascii="Arial Narrow" w:hAnsi="Arial Narrow" w:cs="Arial"/>
                <w:snapToGrid w:val="0"/>
                <w:sz w:val="20"/>
                <w:szCs w:val="20"/>
                <w:lang w:eastAsia="en-US"/>
              </w:rPr>
              <w:t>ULTRA II</w:t>
            </w:r>
          </w:p>
        </w:tc>
        <w:tc>
          <w:tcPr>
            <w:tcW w:w="910" w:type="pct"/>
            <w:vAlign w:val="center"/>
          </w:tcPr>
          <w:p w:rsidR="00E75C0A" w:rsidRPr="007D5055" w:rsidRDefault="00E75C0A" w:rsidP="00E75C0A">
            <w:pPr>
              <w:widowControl w:val="0"/>
              <w:jc w:val="center"/>
              <w:rPr>
                <w:rFonts w:ascii="Arial Narrow" w:hAnsi="Arial Narrow" w:cs="Arial"/>
                <w:snapToGrid w:val="0"/>
                <w:sz w:val="20"/>
                <w:szCs w:val="20"/>
                <w:lang w:eastAsia="en-US"/>
              </w:rPr>
            </w:pPr>
            <w:r w:rsidRPr="007D5055">
              <w:rPr>
                <w:rFonts w:ascii="Arial Narrow" w:hAnsi="Arial Narrow" w:cs="Arial"/>
                <w:snapToGrid w:val="0"/>
                <w:sz w:val="20"/>
                <w:szCs w:val="20"/>
                <w:lang w:eastAsia="en-US"/>
              </w:rPr>
              <w:t>125/248 (50.4%)</w:t>
            </w:r>
          </w:p>
        </w:tc>
        <w:tc>
          <w:tcPr>
            <w:tcW w:w="820" w:type="pct"/>
            <w:vAlign w:val="center"/>
          </w:tcPr>
          <w:p w:rsidR="00E75C0A" w:rsidRPr="007D5055" w:rsidRDefault="00E75C0A" w:rsidP="00E75C0A">
            <w:pPr>
              <w:widowControl w:val="0"/>
              <w:jc w:val="center"/>
              <w:rPr>
                <w:rFonts w:ascii="Arial Narrow" w:hAnsi="Arial Narrow" w:cs="Arial"/>
                <w:snapToGrid w:val="0"/>
                <w:sz w:val="20"/>
                <w:szCs w:val="20"/>
                <w:lang w:eastAsia="en-US"/>
              </w:rPr>
            </w:pPr>
            <w:r w:rsidRPr="007D5055">
              <w:rPr>
                <w:rFonts w:ascii="Arial Narrow" w:hAnsi="Arial Narrow" w:cs="Arial"/>
                <w:snapToGrid w:val="0"/>
                <w:sz w:val="20"/>
                <w:szCs w:val="20"/>
                <w:lang w:eastAsia="en-US"/>
              </w:rPr>
              <w:t>85/246 (34.6%)</w:t>
            </w:r>
          </w:p>
        </w:tc>
        <w:tc>
          <w:tcPr>
            <w:tcW w:w="910" w:type="pct"/>
            <w:vAlign w:val="center"/>
          </w:tcPr>
          <w:p w:rsidR="00E75C0A" w:rsidRPr="007D5055" w:rsidRDefault="00E75C0A" w:rsidP="00E75C0A">
            <w:pPr>
              <w:widowControl w:val="0"/>
              <w:jc w:val="center"/>
              <w:rPr>
                <w:rFonts w:ascii="Arial Narrow" w:hAnsi="Arial Narrow" w:cs="Arial"/>
                <w:snapToGrid w:val="0"/>
                <w:sz w:val="20"/>
                <w:szCs w:val="20"/>
                <w:lang w:eastAsia="en-US"/>
              </w:rPr>
            </w:pPr>
            <w:r w:rsidRPr="007D5055">
              <w:rPr>
                <w:rFonts w:ascii="Arial Narrow" w:hAnsi="Arial Narrow" w:cs="Arial"/>
                <w:snapToGrid w:val="0"/>
                <w:sz w:val="20"/>
                <w:szCs w:val="20"/>
                <w:lang w:eastAsia="en-US"/>
              </w:rPr>
              <w:t>16.0 (7.0, 24.0)</w:t>
            </w:r>
          </w:p>
        </w:tc>
        <w:tc>
          <w:tcPr>
            <w:tcW w:w="819" w:type="pct"/>
            <w:vAlign w:val="center"/>
          </w:tcPr>
          <w:p w:rsidR="00E75C0A" w:rsidRPr="007D5055" w:rsidRDefault="00E75C0A" w:rsidP="00E75C0A">
            <w:pPr>
              <w:widowControl w:val="0"/>
              <w:jc w:val="center"/>
              <w:rPr>
                <w:rFonts w:ascii="Arial Narrow" w:hAnsi="Arial Narrow" w:cs="Arial"/>
                <w:b/>
                <w:snapToGrid w:val="0"/>
                <w:sz w:val="20"/>
                <w:szCs w:val="20"/>
                <w:lang w:eastAsia="en-US"/>
              </w:rPr>
            </w:pPr>
            <w:r w:rsidRPr="007D5055">
              <w:rPr>
                <w:rFonts w:ascii="Arial Narrow" w:hAnsi="Arial Narrow" w:cs="Arial"/>
                <w:b/>
                <w:snapToGrid w:val="0"/>
                <w:sz w:val="20"/>
                <w:szCs w:val="20"/>
                <w:lang w:eastAsia="en-US"/>
              </w:rPr>
              <w:t>1.5 (1.2, 1.8)</w:t>
            </w:r>
          </w:p>
        </w:tc>
        <w:tc>
          <w:tcPr>
            <w:tcW w:w="631" w:type="pct"/>
            <w:vAlign w:val="center"/>
          </w:tcPr>
          <w:p w:rsidR="00E75C0A" w:rsidRPr="007D5055" w:rsidRDefault="00E75C0A" w:rsidP="00E75C0A">
            <w:pPr>
              <w:widowControl w:val="0"/>
              <w:jc w:val="center"/>
              <w:rPr>
                <w:rFonts w:ascii="Arial Narrow" w:hAnsi="Arial Narrow" w:cs="Arial"/>
                <w:i/>
                <w:snapToGrid w:val="0"/>
                <w:sz w:val="20"/>
                <w:szCs w:val="20"/>
                <w:lang w:eastAsia="en-US"/>
              </w:rPr>
            </w:pPr>
            <w:r w:rsidRPr="007D5055">
              <w:rPr>
                <w:rFonts w:ascii="Arial Narrow" w:hAnsi="Arial Narrow" w:cs="Arial"/>
                <w:i/>
                <w:snapToGrid w:val="0"/>
                <w:sz w:val="20"/>
                <w:szCs w:val="20"/>
                <w:lang w:eastAsia="en-US"/>
              </w:rPr>
              <w:t>6 (4, 14)</w:t>
            </w:r>
          </w:p>
        </w:tc>
      </w:tr>
      <w:tr w:rsidR="00584667" w:rsidRPr="007D5055">
        <w:tc>
          <w:tcPr>
            <w:tcW w:w="911" w:type="pct"/>
            <w:vAlign w:val="center"/>
          </w:tcPr>
          <w:p w:rsidR="00E75C0A" w:rsidRPr="007D5055" w:rsidRDefault="00E75C0A" w:rsidP="00E75C0A">
            <w:pPr>
              <w:widowControl w:val="0"/>
              <w:jc w:val="both"/>
              <w:rPr>
                <w:rFonts w:ascii="Arial Narrow" w:hAnsi="Arial Narrow" w:cs="Arial"/>
                <w:i/>
                <w:snapToGrid w:val="0"/>
                <w:sz w:val="20"/>
                <w:szCs w:val="20"/>
                <w:lang w:eastAsia="en-US"/>
              </w:rPr>
            </w:pPr>
            <w:r w:rsidRPr="007D5055">
              <w:rPr>
                <w:rFonts w:ascii="Arial Narrow" w:hAnsi="Arial Narrow" w:cs="Arial"/>
                <w:i/>
                <w:snapToGrid w:val="0"/>
                <w:sz w:val="20"/>
                <w:szCs w:val="20"/>
                <w:lang w:eastAsia="en-US"/>
              </w:rPr>
              <w:t>Suzuki 2014</w:t>
            </w:r>
          </w:p>
        </w:tc>
        <w:tc>
          <w:tcPr>
            <w:tcW w:w="910" w:type="pct"/>
            <w:vAlign w:val="center"/>
          </w:tcPr>
          <w:p w:rsidR="00E75C0A" w:rsidRPr="007D5055" w:rsidRDefault="00E75C0A" w:rsidP="00E75C0A">
            <w:pPr>
              <w:widowControl w:val="0"/>
              <w:jc w:val="center"/>
              <w:rPr>
                <w:rFonts w:ascii="Arial Narrow" w:hAnsi="Arial Narrow" w:cs="Arial"/>
                <w:i/>
                <w:snapToGrid w:val="0"/>
                <w:sz w:val="20"/>
                <w:szCs w:val="20"/>
                <w:lang w:eastAsia="en-US"/>
              </w:rPr>
            </w:pPr>
            <w:r w:rsidRPr="007D5055">
              <w:rPr>
                <w:rFonts w:ascii="Arial Narrow" w:hAnsi="Arial Narrow" w:cs="Arial"/>
                <w:i/>
                <w:snapToGrid w:val="0"/>
                <w:sz w:val="20"/>
                <w:szCs w:val="20"/>
                <w:lang w:eastAsia="en-US"/>
              </w:rPr>
              <w:t>45/90 (50.0%)</w:t>
            </w:r>
          </w:p>
        </w:tc>
        <w:tc>
          <w:tcPr>
            <w:tcW w:w="820" w:type="pct"/>
            <w:vAlign w:val="center"/>
          </w:tcPr>
          <w:p w:rsidR="00E75C0A" w:rsidRPr="007D5055" w:rsidRDefault="00E75C0A" w:rsidP="00E75C0A">
            <w:pPr>
              <w:widowControl w:val="0"/>
              <w:jc w:val="center"/>
              <w:rPr>
                <w:rFonts w:ascii="Arial Narrow" w:hAnsi="Arial Narrow" w:cs="Arial"/>
                <w:i/>
                <w:snapToGrid w:val="0"/>
                <w:sz w:val="20"/>
                <w:szCs w:val="20"/>
                <w:lang w:eastAsia="en-US"/>
              </w:rPr>
            </w:pPr>
            <w:r w:rsidRPr="007D5055">
              <w:rPr>
                <w:rFonts w:ascii="Arial Narrow" w:hAnsi="Arial Narrow" w:cs="Arial"/>
                <w:i/>
                <w:snapToGrid w:val="0"/>
                <w:sz w:val="20"/>
                <w:szCs w:val="20"/>
                <w:lang w:eastAsia="en-US"/>
              </w:rPr>
              <w:t>34/96 (35.4%)</w:t>
            </w:r>
          </w:p>
        </w:tc>
        <w:tc>
          <w:tcPr>
            <w:tcW w:w="910" w:type="pct"/>
            <w:vAlign w:val="center"/>
          </w:tcPr>
          <w:p w:rsidR="00E75C0A" w:rsidRPr="007D5055" w:rsidRDefault="00E75C0A" w:rsidP="00E75C0A">
            <w:pPr>
              <w:widowControl w:val="0"/>
              <w:jc w:val="center"/>
              <w:rPr>
                <w:rFonts w:ascii="Arial Narrow" w:hAnsi="Arial Narrow" w:cs="Arial"/>
                <w:i/>
                <w:snapToGrid w:val="0"/>
                <w:sz w:val="20"/>
                <w:szCs w:val="20"/>
                <w:lang w:eastAsia="en-US"/>
              </w:rPr>
            </w:pPr>
            <w:r w:rsidRPr="007D5055">
              <w:rPr>
                <w:rFonts w:ascii="Arial Narrow" w:hAnsi="Arial Narrow" w:cs="Arial"/>
                <w:i/>
                <w:snapToGrid w:val="0"/>
                <w:sz w:val="20"/>
                <w:szCs w:val="20"/>
                <w:lang w:eastAsia="en-US"/>
              </w:rPr>
              <w:t>14.6 (0.5, 28.7)</w:t>
            </w:r>
          </w:p>
        </w:tc>
        <w:tc>
          <w:tcPr>
            <w:tcW w:w="819" w:type="pct"/>
            <w:vAlign w:val="center"/>
          </w:tcPr>
          <w:p w:rsidR="00E75C0A" w:rsidRPr="007D5055" w:rsidRDefault="00E75C0A" w:rsidP="00E75C0A">
            <w:pPr>
              <w:widowControl w:val="0"/>
              <w:jc w:val="center"/>
              <w:rPr>
                <w:rFonts w:ascii="Arial Narrow" w:hAnsi="Arial Narrow" w:cs="Arial"/>
                <w:i/>
                <w:snapToGrid w:val="0"/>
                <w:sz w:val="20"/>
                <w:szCs w:val="20"/>
                <w:lang w:eastAsia="en-US"/>
              </w:rPr>
            </w:pPr>
            <w:r w:rsidRPr="007D5055">
              <w:rPr>
                <w:rFonts w:ascii="Arial Narrow" w:hAnsi="Arial Narrow" w:cs="Arial"/>
                <w:i/>
                <w:snapToGrid w:val="0"/>
                <w:sz w:val="20"/>
                <w:szCs w:val="20"/>
                <w:lang w:eastAsia="en-US"/>
              </w:rPr>
              <w:t>1.4 (1.0, 2.0)</w:t>
            </w:r>
          </w:p>
        </w:tc>
        <w:tc>
          <w:tcPr>
            <w:tcW w:w="631" w:type="pct"/>
            <w:vAlign w:val="center"/>
          </w:tcPr>
          <w:p w:rsidR="00E75C0A" w:rsidRPr="007D5055" w:rsidRDefault="00E75C0A" w:rsidP="00E75C0A">
            <w:pPr>
              <w:widowControl w:val="0"/>
              <w:jc w:val="center"/>
              <w:rPr>
                <w:rFonts w:ascii="Arial Narrow" w:hAnsi="Arial Narrow" w:cs="Arial"/>
                <w:i/>
                <w:snapToGrid w:val="0"/>
                <w:sz w:val="20"/>
                <w:szCs w:val="20"/>
                <w:lang w:eastAsia="en-US"/>
              </w:rPr>
            </w:pPr>
            <w:r w:rsidRPr="007D5055">
              <w:rPr>
                <w:rFonts w:ascii="Arial Narrow" w:hAnsi="Arial Narrow" w:cs="Arial"/>
                <w:i/>
                <w:snapToGrid w:val="0"/>
                <w:sz w:val="20"/>
                <w:szCs w:val="20"/>
                <w:lang w:eastAsia="en-US"/>
              </w:rPr>
              <w:t>7 (3, 200)</w:t>
            </w:r>
          </w:p>
        </w:tc>
      </w:tr>
      <w:tr w:rsidR="00E75C0A" w:rsidRPr="007D5055">
        <w:tc>
          <w:tcPr>
            <w:tcW w:w="2641" w:type="pct"/>
            <w:gridSpan w:val="3"/>
            <w:vAlign w:val="center"/>
          </w:tcPr>
          <w:p w:rsidR="00E75C0A" w:rsidRPr="007D5055" w:rsidRDefault="00E75C0A" w:rsidP="00E75C0A">
            <w:pPr>
              <w:widowControl w:val="0"/>
              <w:jc w:val="both"/>
              <w:rPr>
                <w:rFonts w:ascii="Arial Narrow" w:hAnsi="Arial Narrow" w:cs="Arial"/>
                <w:snapToGrid w:val="0"/>
                <w:sz w:val="20"/>
                <w:szCs w:val="20"/>
                <w:lang w:eastAsia="en-US"/>
              </w:rPr>
            </w:pPr>
            <w:r w:rsidRPr="007D5055">
              <w:rPr>
                <w:rFonts w:ascii="Arial Narrow" w:hAnsi="Arial Narrow" w:cs="Arial"/>
                <w:snapToGrid w:val="0"/>
                <w:sz w:val="20"/>
                <w:szCs w:val="20"/>
                <w:lang w:eastAsia="en-US"/>
              </w:rPr>
              <w:t>Meta-analysis of ULTRA I and II only (I</w:t>
            </w:r>
            <w:r w:rsidRPr="007D5055">
              <w:rPr>
                <w:rFonts w:ascii="Arial Narrow" w:hAnsi="Arial Narrow" w:cs="Arial"/>
                <w:snapToGrid w:val="0"/>
                <w:sz w:val="20"/>
                <w:szCs w:val="20"/>
                <w:vertAlign w:val="superscript"/>
                <w:lang w:eastAsia="en-US"/>
              </w:rPr>
              <w:t>2</w:t>
            </w:r>
            <w:r w:rsidRPr="007D5055">
              <w:rPr>
                <w:rFonts w:ascii="Arial Narrow" w:hAnsi="Arial Narrow" w:cs="Arial"/>
                <w:snapToGrid w:val="0"/>
                <w:sz w:val="20"/>
                <w:szCs w:val="20"/>
                <w:lang w:eastAsia="en-US"/>
              </w:rPr>
              <w:t xml:space="preserve"> = 11%) </w:t>
            </w:r>
          </w:p>
        </w:tc>
        <w:tc>
          <w:tcPr>
            <w:tcW w:w="910" w:type="pct"/>
            <w:vAlign w:val="center"/>
          </w:tcPr>
          <w:p w:rsidR="00E75C0A" w:rsidRPr="007D5055" w:rsidRDefault="00E75C0A" w:rsidP="00E75C0A">
            <w:pPr>
              <w:widowControl w:val="0"/>
              <w:jc w:val="center"/>
              <w:rPr>
                <w:rFonts w:ascii="Arial Narrow" w:hAnsi="Arial Narrow" w:cs="Arial"/>
                <w:snapToGrid w:val="0"/>
                <w:sz w:val="20"/>
                <w:szCs w:val="20"/>
                <w:lang w:eastAsia="en-US"/>
              </w:rPr>
            </w:pPr>
            <w:r w:rsidRPr="007D5055">
              <w:rPr>
                <w:rFonts w:ascii="Arial Narrow" w:hAnsi="Arial Narrow" w:cs="Arial"/>
                <w:snapToGrid w:val="0"/>
                <w:sz w:val="20"/>
                <w:szCs w:val="20"/>
                <w:lang w:eastAsia="en-US"/>
              </w:rPr>
              <w:t>13.9 (7.0, 21.0)</w:t>
            </w:r>
          </w:p>
        </w:tc>
        <w:tc>
          <w:tcPr>
            <w:tcW w:w="819" w:type="pct"/>
            <w:vAlign w:val="center"/>
          </w:tcPr>
          <w:p w:rsidR="00E75C0A" w:rsidRPr="007D5055" w:rsidRDefault="00E75C0A" w:rsidP="00E75C0A">
            <w:pPr>
              <w:widowControl w:val="0"/>
              <w:jc w:val="center"/>
              <w:rPr>
                <w:rFonts w:ascii="Arial Narrow" w:hAnsi="Arial Narrow" w:cs="Arial"/>
                <w:b/>
                <w:snapToGrid w:val="0"/>
                <w:sz w:val="20"/>
                <w:szCs w:val="20"/>
                <w:lang w:eastAsia="en-US"/>
              </w:rPr>
            </w:pPr>
            <w:r w:rsidRPr="007D5055">
              <w:rPr>
                <w:rFonts w:ascii="Arial Narrow" w:hAnsi="Arial Narrow" w:cs="Arial"/>
                <w:b/>
                <w:snapToGrid w:val="0"/>
                <w:sz w:val="20"/>
                <w:szCs w:val="20"/>
                <w:lang w:eastAsia="en-US"/>
              </w:rPr>
              <w:t>1.4 (1.2, 1.6)</w:t>
            </w:r>
          </w:p>
        </w:tc>
        <w:tc>
          <w:tcPr>
            <w:tcW w:w="631" w:type="pct"/>
            <w:vAlign w:val="center"/>
          </w:tcPr>
          <w:p w:rsidR="00E75C0A" w:rsidRPr="007D5055" w:rsidRDefault="00E75C0A" w:rsidP="00E75C0A">
            <w:pPr>
              <w:widowControl w:val="0"/>
              <w:jc w:val="center"/>
              <w:rPr>
                <w:rFonts w:ascii="Arial Narrow" w:hAnsi="Arial Narrow" w:cs="Arial"/>
                <w:i/>
                <w:snapToGrid w:val="0"/>
                <w:sz w:val="20"/>
                <w:szCs w:val="20"/>
                <w:lang w:eastAsia="en-US"/>
              </w:rPr>
            </w:pPr>
            <w:r w:rsidRPr="007D5055">
              <w:rPr>
                <w:rFonts w:ascii="Arial Narrow" w:hAnsi="Arial Narrow" w:cs="Arial"/>
                <w:i/>
                <w:snapToGrid w:val="0"/>
                <w:sz w:val="20"/>
                <w:szCs w:val="20"/>
                <w:lang w:eastAsia="en-US"/>
              </w:rPr>
              <w:t>7 (5, 15)</w:t>
            </w:r>
          </w:p>
        </w:tc>
      </w:tr>
      <w:tr w:rsidR="00E75C0A" w:rsidRPr="007D5055">
        <w:tc>
          <w:tcPr>
            <w:tcW w:w="2641" w:type="pct"/>
            <w:gridSpan w:val="3"/>
            <w:vAlign w:val="center"/>
          </w:tcPr>
          <w:p w:rsidR="00E75C0A" w:rsidRPr="007D5055" w:rsidRDefault="00E75C0A" w:rsidP="00E75C0A">
            <w:pPr>
              <w:widowControl w:val="0"/>
              <w:jc w:val="both"/>
              <w:rPr>
                <w:rFonts w:ascii="Arial Narrow" w:hAnsi="Arial Narrow" w:cs="Arial"/>
                <w:i/>
                <w:snapToGrid w:val="0"/>
                <w:sz w:val="20"/>
                <w:szCs w:val="20"/>
                <w:lang w:eastAsia="en-US"/>
              </w:rPr>
            </w:pPr>
            <w:r w:rsidRPr="007D5055">
              <w:rPr>
                <w:rFonts w:ascii="Arial Narrow" w:hAnsi="Arial Narrow" w:cs="Arial"/>
                <w:i/>
                <w:snapToGrid w:val="0"/>
                <w:sz w:val="20"/>
                <w:szCs w:val="20"/>
                <w:lang w:eastAsia="en-US"/>
              </w:rPr>
              <w:t>Meta-analysis of ULTRA I and II and Suzuki (I</w:t>
            </w:r>
            <w:r w:rsidRPr="007D5055">
              <w:rPr>
                <w:rFonts w:ascii="Arial Narrow" w:hAnsi="Arial Narrow" w:cs="Arial"/>
                <w:i/>
                <w:snapToGrid w:val="0"/>
                <w:sz w:val="20"/>
                <w:szCs w:val="20"/>
                <w:vertAlign w:val="superscript"/>
                <w:lang w:eastAsia="en-US"/>
              </w:rPr>
              <w:t>2</w:t>
            </w:r>
            <w:r w:rsidRPr="007D5055">
              <w:rPr>
                <w:rFonts w:ascii="Arial Narrow" w:hAnsi="Arial Narrow" w:cs="Arial"/>
                <w:i/>
                <w:snapToGrid w:val="0"/>
                <w:sz w:val="20"/>
                <w:szCs w:val="20"/>
                <w:lang w:eastAsia="en-US"/>
              </w:rPr>
              <w:t xml:space="preserve"> = 0%)</w:t>
            </w:r>
          </w:p>
        </w:tc>
        <w:tc>
          <w:tcPr>
            <w:tcW w:w="910" w:type="pct"/>
            <w:vAlign w:val="center"/>
          </w:tcPr>
          <w:p w:rsidR="00E75C0A" w:rsidRPr="007D5055" w:rsidRDefault="00E75C0A" w:rsidP="00E75C0A">
            <w:pPr>
              <w:widowControl w:val="0"/>
              <w:jc w:val="both"/>
              <w:rPr>
                <w:rFonts w:ascii="Arial Narrow" w:hAnsi="Arial Narrow" w:cs="Arial"/>
                <w:i/>
                <w:snapToGrid w:val="0"/>
                <w:sz w:val="20"/>
                <w:szCs w:val="20"/>
                <w:lang w:eastAsia="en-US"/>
              </w:rPr>
            </w:pPr>
          </w:p>
        </w:tc>
        <w:tc>
          <w:tcPr>
            <w:tcW w:w="819" w:type="pct"/>
            <w:vAlign w:val="center"/>
          </w:tcPr>
          <w:p w:rsidR="00E75C0A" w:rsidRPr="007D5055" w:rsidRDefault="00E75C0A" w:rsidP="00E75C0A">
            <w:pPr>
              <w:widowControl w:val="0"/>
              <w:jc w:val="center"/>
              <w:rPr>
                <w:rFonts w:ascii="Arial Narrow" w:hAnsi="Arial Narrow" w:cs="Arial"/>
                <w:b/>
                <w:i/>
                <w:snapToGrid w:val="0"/>
                <w:sz w:val="20"/>
                <w:szCs w:val="20"/>
                <w:lang w:eastAsia="en-US"/>
              </w:rPr>
            </w:pPr>
            <w:r w:rsidRPr="007D5055">
              <w:rPr>
                <w:rFonts w:ascii="Arial Narrow" w:hAnsi="Arial Narrow" w:cs="Arial"/>
                <w:b/>
                <w:i/>
                <w:snapToGrid w:val="0"/>
                <w:sz w:val="20"/>
                <w:szCs w:val="20"/>
                <w:lang w:eastAsia="en-US"/>
              </w:rPr>
              <w:t>1.4 (1.2, 1.6)</w:t>
            </w:r>
          </w:p>
        </w:tc>
        <w:tc>
          <w:tcPr>
            <w:tcW w:w="631" w:type="pct"/>
            <w:vAlign w:val="center"/>
          </w:tcPr>
          <w:p w:rsidR="00E75C0A" w:rsidRPr="007D5055" w:rsidRDefault="00E75C0A" w:rsidP="00E75C0A">
            <w:pPr>
              <w:widowControl w:val="0"/>
              <w:jc w:val="both"/>
              <w:rPr>
                <w:rFonts w:ascii="Arial Narrow" w:hAnsi="Arial Narrow" w:cs="Arial"/>
                <w:i/>
                <w:snapToGrid w:val="0"/>
                <w:sz w:val="20"/>
                <w:szCs w:val="20"/>
                <w:lang w:eastAsia="en-US"/>
              </w:rPr>
            </w:pPr>
          </w:p>
        </w:tc>
      </w:tr>
      <w:tr w:rsidR="00E75C0A" w:rsidRPr="007D5055">
        <w:tc>
          <w:tcPr>
            <w:tcW w:w="4369" w:type="pct"/>
            <w:gridSpan w:val="5"/>
            <w:vAlign w:val="center"/>
          </w:tcPr>
          <w:p w:rsidR="00E75C0A" w:rsidRPr="007D5055" w:rsidRDefault="00E75C0A" w:rsidP="00E75C0A">
            <w:pPr>
              <w:widowControl w:val="0"/>
              <w:jc w:val="both"/>
              <w:rPr>
                <w:rFonts w:ascii="Arial Narrow" w:hAnsi="Arial Narrow" w:cs="Arial"/>
                <w:b/>
                <w:snapToGrid w:val="0"/>
                <w:sz w:val="20"/>
                <w:szCs w:val="20"/>
                <w:lang w:eastAsia="en-US"/>
              </w:rPr>
            </w:pPr>
            <w:r w:rsidRPr="007D5055">
              <w:rPr>
                <w:rFonts w:ascii="Arial Narrow" w:hAnsi="Arial Narrow" w:cs="Arial"/>
                <w:b/>
                <w:snapToGrid w:val="0"/>
                <w:sz w:val="20"/>
                <w:szCs w:val="20"/>
                <w:lang w:eastAsia="en-US"/>
              </w:rPr>
              <w:t xml:space="preserve">Clinical remission at 52 weeks </w:t>
            </w:r>
          </w:p>
        </w:tc>
        <w:tc>
          <w:tcPr>
            <w:tcW w:w="631" w:type="pct"/>
            <w:vAlign w:val="center"/>
          </w:tcPr>
          <w:p w:rsidR="00E75C0A" w:rsidRPr="007D5055" w:rsidRDefault="00E75C0A" w:rsidP="00E75C0A">
            <w:pPr>
              <w:widowControl w:val="0"/>
              <w:jc w:val="both"/>
              <w:rPr>
                <w:rFonts w:ascii="Arial Narrow" w:hAnsi="Arial Narrow" w:cs="Arial"/>
                <w:i/>
                <w:snapToGrid w:val="0"/>
                <w:sz w:val="20"/>
                <w:szCs w:val="20"/>
                <w:lang w:eastAsia="en-US"/>
              </w:rPr>
            </w:pPr>
          </w:p>
        </w:tc>
      </w:tr>
      <w:tr w:rsidR="00584667" w:rsidRPr="007D5055">
        <w:tc>
          <w:tcPr>
            <w:tcW w:w="911" w:type="pct"/>
            <w:vAlign w:val="center"/>
          </w:tcPr>
          <w:p w:rsidR="00E75C0A" w:rsidRPr="007D5055" w:rsidRDefault="00E75C0A" w:rsidP="00E75C0A">
            <w:pPr>
              <w:widowControl w:val="0"/>
              <w:jc w:val="both"/>
              <w:rPr>
                <w:rFonts w:ascii="Arial Narrow" w:hAnsi="Arial Narrow" w:cs="Arial"/>
                <w:snapToGrid w:val="0"/>
                <w:sz w:val="20"/>
                <w:szCs w:val="20"/>
                <w:lang w:eastAsia="en-US"/>
              </w:rPr>
            </w:pPr>
            <w:r w:rsidRPr="007D5055">
              <w:rPr>
                <w:rFonts w:ascii="Arial Narrow" w:hAnsi="Arial Narrow" w:cs="Arial"/>
                <w:snapToGrid w:val="0"/>
                <w:sz w:val="20"/>
                <w:szCs w:val="20"/>
                <w:lang w:eastAsia="en-US"/>
              </w:rPr>
              <w:t>ULTRA II</w:t>
            </w:r>
          </w:p>
        </w:tc>
        <w:tc>
          <w:tcPr>
            <w:tcW w:w="910" w:type="pct"/>
            <w:vAlign w:val="center"/>
          </w:tcPr>
          <w:p w:rsidR="00E75C0A" w:rsidRPr="007D5055" w:rsidRDefault="00E75C0A" w:rsidP="00E75C0A">
            <w:pPr>
              <w:widowControl w:val="0"/>
              <w:jc w:val="center"/>
              <w:rPr>
                <w:rFonts w:ascii="Arial Narrow" w:hAnsi="Arial Narrow" w:cs="Arial"/>
                <w:snapToGrid w:val="0"/>
                <w:sz w:val="20"/>
                <w:szCs w:val="20"/>
                <w:lang w:eastAsia="en-US"/>
              </w:rPr>
            </w:pPr>
            <w:r w:rsidRPr="007D5055">
              <w:rPr>
                <w:rFonts w:ascii="Arial Narrow" w:hAnsi="Arial Narrow" w:cs="Arial"/>
                <w:snapToGrid w:val="0"/>
                <w:sz w:val="20"/>
                <w:szCs w:val="20"/>
                <w:lang w:eastAsia="en-US"/>
              </w:rPr>
              <w:t>43/248 (17.3%)</w:t>
            </w:r>
          </w:p>
        </w:tc>
        <w:tc>
          <w:tcPr>
            <w:tcW w:w="820" w:type="pct"/>
            <w:vAlign w:val="center"/>
          </w:tcPr>
          <w:p w:rsidR="00E75C0A" w:rsidRPr="007D5055" w:rsidRDefault="00E75C0A" w:rsidP="00E75C0A">
            <w:pPr>
              <w:widowControl w:val="0"/>
              <w:jc w:val="center"/>
              <w:rPr>
                <w:rFonts w:ascii="Arial Narrow" w:hAnsi="Arial Narrow" w:cs="Arial"/>
                <w:snapToGrid w:val="0"/>
                <w:sz w:val="20"/>
                <w:szCs w:val="20"/>
                <w:lang w:eastAsia="en-US"/>
              </w:rPr>
            </w:pPr>
            <w:r w:rsidRPr="007D5055">
              <w:rPr>
                <w:rFonts w:ascii="Arial Narrow" w:hAnsi="Arial Narrow" w:cs="Arial"/>
                <w:snapToGrid w:val="0"/>
                <w:sz w:val="20"/>
                <w:szCs w:val="20"/>
                <w:lang w:eastAsia="en-US"/>
              </w:rPr>
              <w:t>21/246 (8.5%)</w:t>
            </w:r>
          </w:p>
        </w:tc>
        <w:tc>
          <w:tcPr>
            <w:tcW w:w="910" w:type="pct"/>
            <w:vAlign w:val="center"/>
          </w:tcPr>
          <w:p w:rsidR="00E75C0A" w:rsidRPr="007D5055" w:rsidRDefault="00E75C0A" w:rsidP="00E75C0A">
            <w:pPr>
              <w:widowControl w:val="0"/>
              <w:jc w:val="center"/>
              <w:rPr>
                <w:rFonts w:ascii="Arial Narrow" w:hAnsi="Arial Narrow" w:cs="Arial"/>
                <w:snapToGrid w:val="0"/>
                <w:sz w:val="20"/>
                <w:szCs w:val="20"/>
                <w:lang w:eastAsia="en-US"/>
              </w:rPr>
            </w:pPr>
            <w:r w:rsidRPr="007D5055">
              <w:rPr>
                <w:rFonts w:ascii="Arial Narrow" w:hAnsi="Arial Narrow" w:cs="Arial"/>
                <w:snapToGrid w:val="0"/>
                <w:sz w:val="20"/>
                <w:szCs w:val="20"/>
                <w:lang w:eastAsia="en-US"/>
              </w:rPr>
              <w:t>8.8 (2.9, 14.7)</w:t>
            </w:r>
          </w:p>
        </w:tc>
        <w:tc>
          <w:tcPr>
            <w:tcW w:w="819" w:type="pct"/>
            <w:vAlign w:val="center"/>
          </w:tcPr>
          <w:p w:rsidR="00E75C0A" w:rsidRPr="007D5055" w:rsidRDefault="00E75C0A" w:rsidP="00E75C0A">
            <w:pPr>
              <w:widowControl w:val="0"/>
              <w:jc w:val="center"/>
              <w:rPr>
                <w:rFonts w:ascii="Arial Narrow" w:hAnsi="Arial Narrow" w:cs="Arial"/>
                <w:b/>
                <w:snapToGrid w:val="0"/>
                <w:sz w:val="20"/>
                <w:szCs w:val="20"/>
                <w:lang w:eastAsia="en-US"/>
              </w:rPr>
            </w:pPr>
            <w:r w:rsidRPr="007D5055">
              <w:rPr>
                <w:rFonts w:ascii="Arial Narrow" w:hAnsi="Arial Narrow" w:cs="Arial"/>
                <w:b/>
                <w:snapToGrid w:val="0"/>
                <w:sz w:val="20"/>
                <w:szCs w:val="20"/>
                <w:lang w:eastAsia="en-US"/>
              </w:rPr>
              <w:t>2.0 (1.2, 3.3)</w:t>
            </w:r>
          </w:p>
        </w:tc>
        <w:tc>
          <w:tcPr>
            <w:tcW w:w="631" w:type="pct"/>
            <w:vAlign w:val="center"/>
          </w:tcPr>
          <w:p w:rsidR="00E75C0A" w:rsidRPr="007D5055" w:rsidRDefault="00E75C0A" w:rsidP="00E75C0A">
            <w:pPr>
              <w:widowControl w:val="0"/>
              <w:jc w:val="center"/>
              <w:rPr>
                <w:rFonts w:ascii="Arial Narrow" w:hAnsi="Arial Narrow" w:cs="Arial"/>
                <w:i/>
                <w:snapToGrid w:val="0"/>
                <w:sz w:val="20"/>
                <w:szCs w:val="20"/>
                <w:lang w:eastAsia="en-US"/>
              </w:rPr>
            </w:pPr>
            <w:r w:rsidRPr="007D5055">
              <w:rPr>
                <w:rFonts w:ascii="Arial Narrow" w:hAnsi="Arial Narrow" w:cs="Arial"/>
                <w:i/>
                <w:snapToGrid w:val="0"/>
                <w:sz w:val="20"/>
                <w:szCs w:val="20"/>
                <w:lang w:eastAsia="en-US"/>
              </w:rPr>
              <w:t>11 (7, 34)</w:t>
            </w:r>
          </w:p>
        </w:tc>
      </w:tr>
      <w:tr w:rsidR="00584667" w:rsidRPr="007D5055">
        <w:tc>
          <w:tcPr>
            <w:tcW w:w="911" w:type="pct"/>
            <w:vAlign w:val="center"/>
          </w:tcPr>
          <w:p w:rsidR="00E75C0A" w:rsidRPr="007D5055" w:rsidRDefault="00E75C0A" w:rsidP="00E75C0A">
            <w:pPr>
              <w:widowControl w:val="0"/>
              <w:jc w:val="both"/>
              <w:rPr>
                <w:rFonts w:ascii="Arial Narrow" w:hAnsi="Arial Narrow" w:cs="Arial"/>
                <w:i/>
                <w:snapToGrid w:val="0"/>
                <w:sz w:val="20"/>
                <w:szCs w:val="20"/>
                <w:lang w:eastAsia="en-US"/>
              </w:rPr>
            </w:pPr>
            <w:r w:rsidRPr="007D5055">
              <w:rPr>
                <w:rFonts w:ascii="Arial Narrow" w:hAnsi="Arial Narrow" w:cs="Arial"/>
                <w:i/>
                <w:snapToGrid w:val="0"/>
                <w:sz w:val="20"/>
                <w:szCs w:val="20"/>
                <w:lang w:eastAsia="en-US"/>
              </w:rPr>
              <w:t>Suzuki 2014</w:t>
            </w:r>
          </w:p>
        </w:tc>
        <w:tc>
          <w:tcPr>
            <w:tcW w:w="910" w:type="pct"/>
            <w:vAlign w:val="center"/>
          </w:tcPr>
          <w:p w:rsidR="00E75C0A" w:rsidRPr="007D5055" w:rsidRDefault="00E75C0A" w:rsidP="00E75C0A">
            <w:pPr>
              <w:widowControl w:val="0"/>
              <w:jc w:val="center"/>
              <w:rPr>
                <w:rFonts w:ascii="Arial Narrow" w:hAnsi="Arial Narrow" w:cs="Arial"/>
                <w:i/>
                <w:snapToGrid w:val="0"/>
                <w:sz w:val="20"/>
                <w:szCs w:val="20"/>
                <w:lang w:eastAsia="en-US"/>
              </w:rPr>
            </w:pPr>
            <w:r w:rsidRPr="007D5055">
              <w:rPr>
                <w:rFonts w:ascii="Arial Narrow" w:hAnsi="Arial Narrow" w:cs="Arial"/>
                <w:i/>
                <w:snapToGrid w:val="0"/>
                <w:sz w:val="20"/>
                <w:szCs w:val="20"/>
                <w:lang w:eastAsia="en-US"/>
              </w:rPr>
              <w:t>18/90 (20.0%)</w:t>
            </w:r>
          </w:p>
        </w:tc>
        <w:tc>
          <w:tcPr>
            <w:tcW w:w="820" w:type="pct"/>
            <w:vAlign w:val="center"/>
          </w:tcPr>
          <w:p w:rsidR="00E75C0A" w:rsidRPr="007D5055" w:rsidRDefault="00E75C0A" w:rsidP="00E75C0A">
            <w:pPr>
              <w:widowControl w:val="0"/>
              <w:jc w:val="center"/>
              <w:rPr>
                <w:rFonts w:ascii="Arial Narrow" w:hAnsi="Arial Narrow" w:cs="Arial"/>
                <w:i/>
                <w:snapToGrid w:val="0"/>
                <w:sz w:val="20"/>
                <w:szCs w:val="20"/>
                <w:lang w:eastAsia="en-US"/>
              </w:rPr>
            </w:pPr>
            <w:r w:rsidRPr="007D5055">
              <w:rPr>
                <w:rFonts w:ascii="Arial Narrow" w:hAnsi="Arial Narrow" w:cs="Arial"/>
                <w:i/>
                <w:snapToGrid w:val="0"/>
                <w:sz w:val="20"/>
                <w:szCs w:val="20"/>
                <w:lang w:eastAsia="en-US"/>
              </w:rPr>
              <w:t>7/96 (7.3%)</w:t>
            </w:r>
          </w:p>
        </w:tc>
        <w:tc>
          <w:tcPr>
            <w:tcW w:w="910" w:type="pct"/>
            <w:vAlign w:val="center"/>
          </w:tcPr>
          <w:p w:rsidR="00E75C0A" w:rsidRPr="007D5055" w:rsidRDefault="00E75C0A" w:rsidP="00E75C0A">
            <w:pPr>
              <w:widowControl w:val="0"/>
              <w:jc w:val="center"/>
              <w:rPr>
                <w:rFonts w:ascii="Arial Narrow" w:hAnsi="Arial Narrow" w:cs="Arial"/>
                <w:i/>
                <w:snapToGrid w:val="0"/>
                <w:sz w:val="20"/>
                <w:szCs w:val="20"/>
                <w:lang w:eastAsia="en-US"/>
              </w:rPr>
            </w:pPr>
            <w:r w:rsidRPr="007D5055">
              <w:rPr>
                <w:rFonts w:ascii="Arial Narrow" w:hAnsi="Arial Narrow" w:cs="Arial"/>
                <w:i/>
                <w:snapToGrid w:val="0"/>
                <w:sz w:val="20"/>
                <w:szCs w:val="20"/>
                <w:lang w:eastAsia="en-US"/>
              </w:rPr>
              <w:t>12.7 (2.9, 22.5)</w:t>
            </w:r>
          </w:p>
        </w:tc>
        <w:tc>
          <w:tcPr>
            <w:tcW w:w="819" w:type="pct"/>
            <w:vAlign w:val="center"/>
          </w:tcPr>
          <w:p w:rsidR="00E75C0A" w:rsidRPr="007D5055" w:rsidRDefault="00E75C0A" w:rsidP="00E75C0A">
            <w:pPr>
              <w:widowControl w:val="0"/>
              <w:jc w:val="center"/>
              <w:rPr>
                <w:rFonts w:ascii="Arial Narrow" w:hAnsi="Arial Narrow" w:cs="Arial"/>
                <w:b/>
                <w:i/>
                <w:snapToGrid w:val="0"/>
                <w:sz w:val="20"/>
                <w:szCs w:val="20"/>
                <w:lang w:eastAsia="en-US"/>
              </w:rPr>
            </w:pPr>
            <w:r w:rsidRPr="007D5055">
              <w:rPr>
                <w:rFonts w:ascii="Arial Narrow" w:hAnsi="Arial Narrow" w:cs="Arial"/>
                <w:b/>
                <w:i/>
                <w:snapToGrid w:val="0"/>
                <w:sz w:val="20"/>
                <w:szCs w:val="20"/>
                <w:lang w:eastAsia="en-US"/>
              </w:rPr>
              <w:t>2.7 (1.2, 6.3)</w:t>
            </w:r>
          </w:p>
        </w:tc>
        <w:tc>
          <w:tcPr>
            <w:tcW w:w="631" w:type="pct"/>
            <w:vAlign w:val="center"/>
          </w:tcPr>
          <w:p w:rsidR="00E75C0A" w:rsidRPr="007D5055" w:rsidRDefault="00E75C0A" w:rsidP="00E75C0A">
            <w:pPr>
              <w:widowControl w:val="0"/>
              <w:jc w:val="center"/>
              <w:rPr>
                <w:rFonts w:ascii="Arial Narrow" w:hAnsi="Arial Narrow" w:cs="Arial"/>
                <w:i/>
                <w:snapToGrid w:val="0"/>
                <w:sz w:val="20"/>
                <w:szCs w:val="20"/>
                <w:lang w:eastAsia="en-US"/>
              </w:rPr>
            </w:pPr>
            <w:r w:rsidRPr="007D5055">
              <w:rPr>
                <w:rFonts w:ascii="Arial Narrow" w:hAnsi="Arial Narrow" w:cs="Arial"/>
                <w:i/>
                <w:snapToGrid w:val="0"/>
                <w:sz w:val="20"/>
                <w:szCs w:val="20"/>
                <w:lang w:eastAsia="en-US"/>
              </w:rPr>
              <w:t>8 (4, 34)</w:t>
            </w:r>
          </w:p>
        </w:tc>
      </w:tr>
      <w:tr w:rsidR="00E75C0A" w:rsidRPr="007D5055">
        <w:tc>
          <w:tcPr>
            <w:tcW w:w="2641" w:type="pct"/>
            <w:gridSpan w:val="3"/>
            <w:vAlign w:val="center"/>
          </w:tcPr>
          <w:p w:rsidR="00E75C0A" w:rsidRPr="007D5055" w:rsidRDefault="00E75C0A" w:rsidP="00E75C0A">
            <w:pPr>
              <w:widowControl w:val="0"/>
              <w:jc w:val="both"/>
              <w:rPr>
                <w:rFonts w:ascii="Arial Narrow" w:hAnsi="Arial Narrow" w:cs="Arial"/>
                <w:i/>
                <w:snapToGrid w:val="0"/>
                <w:sz w:val="20"/>
                <w:szCs w:val="20"/>
                <w:lang w:eastAsia="en-US"/>
              </w:rPr>
            </w:pPr>
            <w:r w:rsidRPr="007D5055">
              <w:rPr>
                <w:rFonts w:ascii="Arial Narrow" w:hAnsi="Arial Narrow" w:cs="Arial"/>
                <w:i/>
                <w:snapToGrid w:val="0"/>
                <w:sz w:val="20"/>
                <w:szCs w:val="20"/>
                <w:lang w:eastAsia="en-US"/>
              </w:rPr>
              <w:t>Meta-analysis of ULTRA II and Suzuki (I</w:t>
            </w:r>
            <w:r w:rsidRPr="007D5055">
              <w:rPr>
                <w:rFonts w:ascii="Arial Narrow" w:hAnsi="Arial Narrow" w:cs="Arial"/>
                <w:i/>
                <w:snapToGrid w:val="0"/>
                <w:sz w:val="20"/>
                <w:szCs w:val="20"/>
                <w:vertAlign w:val="superscript"/>
                <w:lang w:eastAsia="en-US"/>
              </w:rPr>
              <w:t>2</w:t>
            </w:r>
            <w:r w:rsidRPr="007D5055">
              <w:rPr>
                <w:rFonts w:ascii="Arial Narrow" w:hAnsi="Arial Narrow" w:cs="Arial"/>
                <w:i/>
                <w:snapToGrid w:val="0"/>
                <w:sz w:val="20"/>
                <w:szCs w:val="20"/>
                <w:lang w:eastAsia="en-US"/>
              </w:rPr>
              <w:t xml:space="preserve"> = 0%)</w:t>
            </w:r>
          </w:p>
        </w:tc>
        <w:tc>
          <w:tcPr>
            <w:tcW w:w="910" w:type="pct"/>
            <w:vAlign w:val="center"/>
          </w:tcPr>
          <w:p w:rsidR="00E75C0A" w:rsidRPr="007D5055" w:rsidRDefault="00E75C0A" w:rsidP="00E75C0A">
            <w:pPr>
              <w:widowControl w:val="0"/>
              <w:jc w:val="center"/>
              <w:rPr>
                <w:rFonts w:ascii="Arial Narrow" w:hAnsi="Arial Narrow" w:cs="Arial"/>
                <w:i/>
                <w:snapToGrid w:val="0"/>
                <w:sz w:val="20"/>
                <w:szCs w:val="20"/>
                <w:lang w:eastAsia="en-US"/>
              </w:rPr>
            </w:pPr>
          </w:p>
        </w:tc>
        <w:tc>
          <w:tcPr>
            <w:tcW w:w="819" w:type="pct"/>
            <w:vAlign w:val="center"/>
          </w:tcPr>
          <w:p w:rsidR="00E75C0A" w:rsidRPr="007D5055" w:rsidRDefault="00E75C0A" w:rsidP="00E75C0A">
            <w:pPr>
              <w:widowControl w:val="0"/>
              <w:jc w:val="center"/>
              <w:rPr>
                <w:rFonts w:ascii="Arial Narrow" w:hAnsi="Arial Narrow" w:cs="Arial"/>
                <w:b/>
                <w:i/>
                <w:snapToGrid w:val="0"/>
                <w:sz w:val="20"/>
                <w:szCs w:val="20"/>
                <w:lang w:eastAsia="en-US"/>
              </w:rPr>
            </w:pPr>
            <w:r w:rsidRPr="007D5055">
              <w:rPr>
                <w:rFonts w:ascii="Arial Narrow" w:hAnsi="Arial Narrow" w:cs="Arial"/>
                <w:b/>
                <w:i/>
                <w:snapToGrid w:val="0"/>
                <w:sz w:val="20"/>
                <w:szCs w:val="20"/>
                <w:lang w:eastAsia="en-US"/>
              </w:rPr>
              <w:t>2.2 (1.4, 3.4)</w:t>
            </w:r>
          </w:p>
        </w:tc>
        <w:tc>
          <w:tcPr>
            <w:tcW w:w="631" w:type="pct"/>
            <w:vAlign w:val="center"/>
          </w:tcPr>
          <w:p w:rsidR="00E75C0A" w:rsidRPr="007D5055" w:rsidRDefault="00E75C0A" w:rsidP="00E75C0A">
            <w:pPr>
              <w:widowControl w:val="0"/>
              <w:jc w:val="center"/>
              <w:rPr>
                <w:rFonts w:ascii="Arial Narrow" w:hAnsi="Arial Narrow" w:cs="Arial"/>
                <w:i/>
                <w:snapToGrid w:val="0"/>
                <w:sz w:val="20"/>
                <w:szCs w:val="20"/>
                <w:lang w:eastAsia="en-US"/>
              </w:rPr>
            </w:pPr>
          </w:p>
        </w:tc>
      </w:tr>
      <w:tr w:rsidR="00E75C0A" w:rsidRPr="007D5055">
        <w:tc>
          <w:tcPr>
            <w:tcW w:w="5000" w:type="pct"/>
            <w:gridSpan w:val="6"/>
            <w:vAlign w:val="center"/>
          </w:tcPr>
          <w:p w:rsidR="00E75C0A" w:rsidRPr="007D5055" w:rsidRDefault="00E75C0A" w:rsidP="00E75C0A">
            <w:pPr>
              <w:widowControl w:val="0"/>
              <w:jc w:val="both"/>
              <w:rPr>
                <w:rFonts w:ascii="Arial Narrow" w:hAnsi="Arial Narrow" w:cs="Arial"/>
                <w:b/>
                <w:i/>
                <w:snapToGrid w:val="0"/>
                <w:sz w:val="20"/>
                <w:szCs w:val="20"/>
                <w:lang w:eastAsia="en-US"/>
              </w:rPr>
            </w:pPr>
            <w:r w:rsidRPr="007D5055">
              <w:rPr>
                <w:rFonts w:ascii="Arial Narrow" w:hAnsi="Arial Narrow" w:cs="Arial"/>
                <w:b/>
                <w:snapToGrid w:val="0"/>
                <w:sz w:val="20"/>
                <w:szCs w:val="20"/>
                <w:lang w:eastAsia="en-US"/>
              </w:rPr>
              <w:t>Clinical response at 52 weeks</w:t>
            </w:r>
          </w:p>
        </w:tc>
      </w:tr>
      <w:tr w:rsidR="00584667" w:rsidRPr="007D5055">
        <w:tc>
          <w:tcPr>
            <w:tcW w:w="911" w:type="pct"/>
            <w:vAlign w:val="center"/>
          </w:tcPr>
          <w:p w:rsidR="00E75C0A" w:rsidRPr="007D5055" w:rsidRDefault="00E75C0A" w:rsidP="00E75C0A">
            <w:pPr>
              <w:widowControl w:val="0"/>
              <w:jc w:val="both"/>
              <w:rPr>
                <w:rFonts w:ascii="Arial Narrow" w:hAnsi="Arial Narrow" w:cs="Arial"/>
                <w:snapToGrid w:val="0"/>
                <w:sz w:val="20"/>
                <w:szCs w:val="20"/>
                <w:lang w:eastAsia="en-US"/>
              </w:rPr>
            </w:pPr>
            <w:r w:rsidRPr="007D5055">
              <w:rPr>
                <w:rFonts w:ascii="Arial Narrow" w:hAnsi="Arial Narrow" w:cs="Arial"/>
                <w:snapToGrid w:val="0"/>
                <w:sz w:val="20"/>
                <w:szCs w:val="20"/>
                <w:lang w:eastAsia="en-US"/>
              </w:rPr>
              <w:t>ULTRA II</w:t>
            </w:r>
          </w:p>
        </w:tc>
        <w:tc>
          <w:tcPr>
            <w:tcW w:w="910" w:type="pct"/>
            <w:vAlign w:val="center"/>
          </w:tcPr>
          <w:p w:rsidR="00E75C0A" w:rsidRPr="007D5055" w:rsidRDefault="00E75C0A" w:rsidP="00E75C0A">
            <w:pPr>
              <w:widowControl w:val="0"/>
              <w:jc w:val="center"/>
              <w:rPr>
                <w:rFonts w:ascii="Arial Narrow" w:hAnsi="Arial Narrow" w:cs="Arial"/>
                <w:snapToGrid w:val="0"/>
                <w:sz w:val="20"/>
                <w:szCs w:val="20"/>
                <w:lang w:eastAsia="en-US"/>
              </w:rPr>
            </w:pPr>
            <w:r w:rsidRPr="007D5055">
              <w:rPr>
                <w:rFonts w:ascii="Arial Narrow" w:hAnsi="Arial Narrow" w:cs="Arial"/>
                <w:snapToGrid w:val="0"/>
                <w:sz w:val="20"/>
                <w:szCs w:val="20"/>
                <w:lang w:eastAsia="en-US"/>
              </w:rPr>
              <w:t>75/248 (30.2%)</w:t>
            </w:r>
          </w:p>
        </w:tc>
        <w:tc>
          <w:tcPr>
            <w:tcW w:w="820" w:type="pct"/>
            <w:vAlign w:val="center"/>
          </w:tcPr>
          <w:p w:rsidR="00E75C0A" w:rsidRPr="007D5055" w:rsidRDefault="00E75C0A" w:rsidP="00E75C0A">
            <w:pPr>
              <w:widowControl w:val="0"/>
              <w:jc w:val="center"/>
              <w:rPr>
                <w:rFonts w:ascii="Arial Narrow" w:hAnsi="Arial Narrow" w:cs="Arial"/>
                <w:snapToGrid w:val="0"/>
                <w:sz w:val="20"/>
                <w:szCs w:val="20"/>
                <w:lang w:eastAsia="en-US"/>
              </w:rPr>
            </w:pPr>
            <w:r w:rsidRPr="007D5055">
              <w:rPr>
                <w:rFonts w:ascii="Arial Narrow" w:hAnsi="Arial Narrow" w:cs="Arial"/>
                <w:snapToGrid w:val="0"/>
                <w:sz w:val="20"/>
                <w:szCs w:val="20"/>
                <w:lang w:eastAsia="en-US"/>
              </w:rPr>
              <w:t>45/246 (18.3%)</w:t>
            </w:r>
          </w:p>
        </w:tc>
        <w:tc>
          <w:tcPr>
            <w:tcW w:w="910" w:type="pct"/>
            <w:vAlign w:val="center"/>
          </w:tcPr>
          <w:p w:rsidR="00E75C0A" w:rsidRPr="007D5055" w:rsidRDefault="00E75C0A" w:rsidP="00E75C0A">
            <w:pPr>
              <w:widowControl w:val="0"/>
              <w:jc w:val="center"/>
              <w:rPr>
                <w:rFonts w:ascii="Arial Narrow" w:hAnsi="Arial Narrow" w:cs="Arial"/>
                <w:snapToGrid w:val="0"/>
                <w:sz w:val="20"/>
                <w:szCs w:val="20"/>
                <w:lang w:eastAsia="en-US"/>
              </w:rPr>
            </w:pPr>
            <w:r w:rsidRPr="007D5055">
              <w:rPr>
                <w:rFonts w:ascii="Arial Narrow" w:hAnsi="Arial Narrow" w:cs="Arial"/>
                <w:snapToGrid w:val="0"/>
                <w:sz w:val="20"/>
                <w:szCs w:val="20"/>
                <w:lang w:eastAsia="en-US"/>
              </w:rPr>
              <w:t>11.9 (4.5, 19.4)</w:t>
            </w:r>
          </w:p>
        </w:tc>
        <w:tc>
          <w:tcPr>
            <w:tcW w:w="819" w:type="pct"/>
            <w:vAlign w:val="center"/>
          </w:tcPr>
          <w:p w:rsidR="00E75C0A" w:rsidRPr="007D5055" w:rsidRDefault="00E75C0A" w:rsidP="00E75C0A">
            <w:pPr>
              <w:widowControl w:val="0"/>
              <w:jc w:val="center"/>
              <w:rPr>
                <w:rFonts w:ascii="Arial Narrow" w:hAnsi="Arial Narrow" w:cs="Arial"/>
                <w:b/>
                <w:snapToGrid w:val="0"/>
                <w:sz w:val="20"/>
                <w:szCs w:val="20"/>
                <w:lang w:eastAsia="en-US"/>
              </w:rPr>
            </w:pPr>
            <w:r w:rsidRPr="007D5055">
              <w:rPr>
                <w:rFonts w:ascii="Arial Narrow" w:hAnsi="Arial Narrow" w:cs="Arial"/>
                <w:b/>
                <w:snapToGrid w:val="0"/>
                <w:sz w:val="20"/>
                <w:szCs w:val="20"/>
                <w:lang w:eastAsia="en-US"/>
              </w:rPr>
              <w:t>1.7 (1.2, 2.3)</w:t>
            </w:r>
          </w:p>
        </w:tc>
        <w:tc>
          <w:tcPr>
            <w:tcW w:w="631" w:type="pct"/>
            <w:vAlign w:val="center"/>
          </w:tcPr>
          <w:p w:rsidR="00E75C0A" w:rsidRPr="007D5055" w:rsidRDefault="00E75C0A" w:rsidP="00E75C0A">
            <w:pPr>
              <w:widowControl w:val="0"/>
              <w:jc w:val="center"/>
              <w:rPr>
                <w:rFonts w:ascii="Arial Narrow" w:hAnsi="Arial Narrow" w:cs="Arial"/>
                <w:i/>
                <w:snapToGrid w:val="0"/>
                <w:sz w:val="20"/>
                <w:szCs w:val="20"/>
                <w:lang w:eastAsia="en-US"/>
              </w:rPr>
            </w:pPr>
            <w:r w:rsidRPr="007D5055">
              <w:rPr>
                <w:rFonts w:ascii="Arial Narrow" w:hAnsi="Arial Narrow" w:cs="Arial"/>
                <w:i/>
                <w:snapToGrid w:val="0"/>
                <w:sz w:val="20"/>
                <w:szCs w:val="20"/>
                <w:lang w:eastAsia="en-US"/>
              </w:rPr>
              <w:t>8 (5, 22)</w:t>
            </w:r>
          </w:p>
        </w:tc>
      </w:tr>
      <w:tr w:rsidR="00584667" w:rsidRPr="007D5055">
        <w:tc>
          <w:tcPr>
            <w:tcW w:w="911" w:type="pct"/>
            <w:vAlign w:val="center"/>
          </w:tcPr>
          <w:p w:rsidR="00E75C0A" w:rsidRPr="007D5055" w:rsidRDefault="00E75C0A" w:rsidP="00E75C0A">
            <w:pPr>
              <w:widowControl w:val="0"/>
              <w:jc w:val="both"/>
              <w:rPr>
                <w:rFonts w:ascii="Arial Narrow" w:hAnsi="Arial Narrow" w:cs="Arial"/>
                <w:i/>
                <w:snapToGrid w:val="0"/>
                <w:sz w:val="20"/>
                <w:szCs w:val="20"/>
                <w:lang w:eastAsia="en-US"/>
              </w:rPr>
            </w:pPr>
            <w:r w:rsidRPr="007D5055">
              <w:rPr>
                <w:rFonts w:ascii="Arial Narrow" w:hAnsi="Arial Narrow" w:cs="Arial"/>
                <w:i/>
                <w:snapToGrid w:val="0"/>
                <w:sz w:val="20"/>
                <w:szCs w:val="20"/>
                <w:lang w:eastAsia="en-US"/>
              </w:rPr>
              <w:t>Suzuki 2014</w:t>
            </w:r>
          </w:p>
        </w:tc>
        <w:tc>
          <w:tcPr>
            <w:tcW w:w="910" w:type="pct"/>
            <w:vAlign w:val="center"/>
          </w:tcPr>
          <w:p w:rsidR="00E75C0A" w:rsidRPr="007D5055" w:rsidRDefault="00E75C0A" w:rsidP="00E75C0A">
            <w:pPr>
              <w:widowControl w:val="0"/>
              <w:jc w:val="center"/>
              <w:rPr>
                <w:rFonts w:ascii="Arial Narrow" w:hAnsi="Arial Narrow" w:cs="Arial"/>
                <w:i/>
                <w:snapToGrid w:val="0"/>
                <w:sz w:val="20"/>
                <w:szCs w:val="20"/>
                <w:lang w:eastAsia="en-US"/>
              </w:rPr>
            </w:pPr>
            <w:r w:rsidRPr="007D5055">
              <w:rPr>
                <w:rFonts w:ascii="Arial Narrow" w:hAnsi="Arial Narrow" w:cs="Arial"/>
                <w:i/>
                <w:snapToGrid w:val="0"/>
                <w:sz w:val="20"/>
                <w:szCs w:val="20"/>
                <w:lang w:eastAsia="en-US"/>
              </w:rPr>
              <w:t>28/90 (31.1%)</w:t>
            </w:r>
          </w:p>
        </w:tc>
        <w:tc>
          <w:tcPr>
            <w:tcW w:w="820" w:type="pct"/>
            <w:vAlign w:val="center"/>
          </w:tcPr>
          <w:p w:rsidR="00E75C0A" w:rsidRPr="007D5055" w:rsidRDefault="00E75C0A" w:rsidP="00E75C0A">
            <w:pPr>
              <w:widowControl w:val="0"/>
              <w:jc w:val="center"/>
              <w:rPr>
                <w:rFonts w:ascii="Arial Narrow" w:hAnsi="Arial Narrow" w:cs="Arial"/>
                <w:i/>
                <w:snapToGrid w:val="0"/>
                <w:sz w:val="20"/>
                <w:szCs w:val="20"/>
                <w:lang w:eastAsia="en-US"/>
              </w:rPr>
            </w:pPr>
            <w:r w:rsidRPr="007D5055">
              <w:rPr>
                <w:rFonts w:ascii="Arial Narrow" w:hAnsi="Arial Narrow" w:cs="Arial"/>
                <w:i/>
                <w:snapToGrid w:val="0"/>
                <w:sz w:val="20"/>
                <w:szCs w:val="20"/>
                <w:lang w:eastAsia="en-US"/>
              </w:rPr>
              <w:t>17/96 (17.7%)</w:t>
            </w:r>
          </w:p>
        </w:tc>
        <w:tc>
          <w:tcPr>
            <w:tcW w:w="910" w:type="pct"/>
            <w:vAlign w:val="center"/>
          </w:tcPr>
          <w:p w:rsidR="00E75C0A" w:rsidRPr="007D5055" w:rsidRDefault="00E75C0A" w:rsidP="00E75C0A">
            <w:pPr>
              <w:widowControl w:val="0"/>
              <w:jc w:val="center"/>
              <w:rPr>
                <w:rFonts w:ascii="Arial Narrow" w:hAnsi="Arial Narrow" w:cs="Arial"/>
                <w:i/>
                <w:snapToGrid w:val="0"/>
                <w:sz w:val="20"/>
                <w:szCs w:val="20"/>
                <w:lang w:eastAsia="en-US"/>
              </w:rPr>
            </w:pPr>
            <w:r w:rsidRPr="007D5055">
              <w:rPr>
                <w:rFonts w:ascii="Arial Narrow" w:hAnsi="Arial Narrow" w:cs="Arial"/>
                <w:i/>
                <w:snapToGrid w:val="0"/>
                <w:sz w:val="20"/>
                <w:szCs w:val="20"/>
                <w:lang w:eastAsia="en-US"/>
              </w:rPr>
              <w:t>13.4 (1.2, 25.6)</w:t>
            </w:r>
          </w:p>
        </w:tc>
        <w:tc>
          <w:tcPr>
            <w:tcW w:w="819" w:type="pct"/>
            <w:vAlign w:val="center"/>
          </w:tcPr>
          <w:p w:rsidR="00E75C0A" w:rsidRPr="007D5055" w:rsidRDefault="00E75C0A" w:rsidP="00E75C0A">
            <w:pPr>
              <w:widowControl w:val="0"/>
              <w:jc w:val="center"/>
              <w:rPr>
                <w:rFonts w:ascii="Arial Narrow" w:hAnsi="Arial Narrow" w:cs="Arial"/>
                <w:i/>
                <w:snapToGrid w:val="0"/>
                <w:sz w:val="20"/>
                <w:szCs w:val="20"/>
                <w:lang w:eastAsia="en-US"/>
              </w:rPr>
            </w:pPr>
            <w:r w:rsidRPr="007D5055">
              <w:rPr>
                <w:rFonts w:ascii="Arial Narrow" w:hAnsi="Arial Narrow" w:cs="Arial"/>
                <w:i/>
                <w:snapToGrid w:val="0"/>
                <w:sz w:val="20"/>
                <w:szCs w:val="20"/>
                <w:lang w:eastAsia="en-US"/>
              </w:rPr>
              <w:t>1.8 (1.0, 3.0)</w:t>
            </w:r>
          </w:p>
        </w:tc>
        <w:tc>
          <w:tcPr>
            <w:tcW w:w="631" w:type="pct"/>
            <w:vAlign w:val="center"/>
          </w:tcPr>
          <w:p w:rsidR="00E75C0A" w:rsidRPr="007D5055" w:rsidRDefault="00E75C0A" w:rsidP="00E75C0A">
            <w:pPr>
              <w:widowControl w:val="0"/>
              <w:jc w:val="center"/>
              <w:rPr>
                <w:rFonts w:ascii="Arial Narrow" w:hAnsi="Arial Narrow" w:cs="Arial"/>
                <w:i/>
                <w:snapToGrid w:val="0"/>
                <w:sz w:val="20"/>
                <w:szCs w:val="20"/>
                <w:lang w:eastAsia="en-US"/>
              </w:rPr>
            </w:pPr>
            <w:r w:rsidRPr="007D5055">
              <w:rPr>
                <w:rFonts w:ascii="Arial Narrow" w:hAnsi="Arial Narrow" w:cs="Arial"/>
                <w:i/>
                <w:snapToGrid w:val="0"/>
                <w:sz w:val="20"/>
                <w:szCs w:val="20"/>
                <w:lang w:eastAsia="en-US"/>
              </w:rPr>
              <w:t>7 (4, 83)</w:t>
            </w:r>
          </w:p>
        </w:tc>
      </w:tr>
      <w:tr w:rsidR="00E75C0A" w:rsidRPr="007D5055">
        <w:tc>
          <w:tcPr>
            <w:tcW w:w="2641" w:type="pct"/>
            <w:gridSpan w:val="3"/>
            <w:vAlign w:val="center"/>
          </w:tcPr>
          <w:p w:rsidR="00E75C0A" w:rsidRPr="007D5055" w:rsidRDefault="00E75C0A" w:rsidP="00E75C0A">
            <w:pPr>
              <w:widowControl w:val="0"/>
              <w:jc w:val="both"/>
              <w:rPr>
                <w:rFonts w:ascii="Arial Narrow" w:hAnsi="Arial Narrow" w:cs="Arial"/>
                <w:i/>
                <w:snapToGrid w:val="0"/>
                <w:sz w:val="20"/>
                <w:szCs w:val="20"/>
                <w:lang w:eastAsia="en-US"/>
              </w:rPr>
            </w:pPr>
            <w:r w:rsidRPr="007D5055">
              <w:rPr>
                <w:rFonts w:ascii="Arial Narrow" w:hAnsi="Arial Narrow" w:cs="Arial"/>
                <w:i/>
                <w:snapToGrid w:val="0"/>
                <w:sz w:val="20"/>
                <w:szCs w:val="20"/>
                <w:lang w:eastAsia="en-US"/>
              </w:rPr>
              <w:t>Meta-analysis of ULTRA II and Suzuki (I</w:t>
            </w:r>
            <w:r w:rsidRPr="007D5055">
              <w:rPr>
                <w:rFonts w:ascii="Arial Narrow" w:hAnsi="Arial Narrow" w:cs="Arial"/>
                <w:i/>
                <w:snapToGrid w:val="0"/>
                <w:sz w:val="20"/>
                <w:szCs w:val="20"/>
                <w:vertAlign w:val="superscript"/>
                <w:lang w:eastAsia="en-US"/>
              </w:rPr>
              <w:t>2</w:t>
            </w:r>
            <w:r w:rsidRPr="007D5055">
              <w:rPr>
                <w:rFonts w:ascii="Arial Narrow" w:hAnsi="Arial Narrow" w:cs="Arial"/>
                <w:i/>
                <w:snapToGrid w:val="0"/>
                <w:sz w:val="20"/>
                <w:szCs w:val="20"/>
                <w:lang w:eastAsia="en-US"/>
              </w:rPr>
              <w:t xml:space="preserve"> = 0%)</w:t>
            </w:r>
          </w:p>
        </w:tc>
        <w:tc>
          <w:tcPr>
            <w:tcW w:w="910" w:type="pct"/>
            <w:vAlign w:val="center"/>
          </w:tcPr>
          <w:p w:rsidR="00E75C0A" w:rsidRPr="007D5055" w:rsidRDefault="00E75C0A" w:rsidP="00E75C0A">
            <w:pPr>
              <w:widowControl w:val="0"/>
              <w:jc w:val="center"/>
              <w:rPr>
                <w:rFonts w:ascii="Arial Narrow" w:hAnsi="Arial Narrow" w:cs="Arial"/>
                <w:i/>
                <w:snapToGrid w:val="0"/>
                <w:sz w:val="20"/>
                <w:szCs w:val="20"/>
                <w:lang w:eastAsia="en-US"/>
              </w:rPr>
            </w:pPr>
          </w:p>
        </w:tc>
        <w:tc>
          <w:tcPr>
            <w:tcW w:w="819" w:type="pct"/>
            <w:vAlign w:val="center"/>
          </w:tcPr>
          <w:p w:rsidR="00E75C0A" w:rsidRPr="007D5055" w:rsidRDefault="00E75C0A" w:rsidP="00E75C0A">
            <w:pPr>
              <w:widowControl w:val="0"/>
              <w:jc w:val="center"/>
              <w:rPr>
                <w:rFonts w:ascii="Arial Narrow" w:hAnsi="Arial Narrow" w:cs="Arial"/>
                <w:b/>
                <w:i/>
                <w:snapToGrid w:val="0"/>
                <w:sz w:val="20"/>
                <w:szCs w:val="20"/>
                <w:lang w:eastAsia="en-US"/>
              </w:rPr>
            </w:pPr>
            <w:r w:rsidRPr="007D5055">
              <w:rPr>
                <w:rFonts w:ascii="Arial Narrow" w:hAnsi="Arial Narrow" w:cs="Arial"/>
                <w:b/>
                <w:i/>
                <w:snapToGrid w:val="0"/>
                <w:sz w:val="20"/>
                <w:szCs w:val="20"/>
                <w:lang w:eastAsia="en-US"/>
              </w:rPr>
              <w:t>1.7 (1.3, 2.2)</w:t>
            </w:r>
          </w:p>
        </w:tc>
        <w:tc>
          <w:tcPr>
            <w:tcW w:w="631" w:type="pct"/>
            <w:vAlign w:val="center"/>
          </w:tcPr>
          <w:p w:rsidR="00E75C0A" w:rsidRPr="007D5055" w:rsidRDefault="00E75C0A" w:rsidP="00E75C0A">
            <w:pPr>
              <w:widowControl w:val="0"/>
              <w:jc w:val="center"/>
              <w:rPr>
                <w:rFonts w:ascii="Arial Narrow" w:hAnsi="Arial Narrow" w:cs="Arial"/>
                <w:i/>
                <w:snapToGrid w:val="0"/>
                <w:sz w:val="20"/>
                <w:szCs w:val="20"/>
                <w:lang w:eastAsia="en-US"/>
              </w:rPr>
            </w:pPr>
          </w:p>
        </w:tc>
      </w:tr>
    </w:tbl>
    <w:p w:rsidR="00E75C0A" w:rsidRPr="007D5055" w:rsidRDefault="00E75C0A" w:rsidP="00584667">
      <w:pPr>
        <w:widowControl w:val="0"/>
        <w:ind w:left="720"/>
        <w:jc w:val="both"/>
        <w:rPr>
          <w:rFonts w:ascii="Arial Narrow" w:hAnsi="Arial Narrow" w:cs="Arial"/>
          <w:snapToGrid w:val="0"/>
          <w:sz w:val="18"/>
          <w:szCs w:val="20"/>
          <w:lang w:eastAsia="en-US"/>
        </w:rPr>
      </w:pPr>
      <w:r w:rsidRPr="007D5055">
        <w:rPr>
          <w:rFonts w:ascii="Arial Narrow" w:hAnsi="Arial Narrow" w:cs="Arial"/>
          <w:snapToGrid w:val="0"/>
          <w:sz w:val="18"/>
          <w:szCs w:val="20"/>
          <w:lang w:eastAsia="en-US"/>
        </w:rPr>
        <w:t>Source: Tables B-18 to B-19 and Figures B-5 to B-6, pp115-116 of the re-submission; Table 35, p225 of CSR ULTRA I. Table 14.2_11.1, p763 of CSR ULTRA I; Table 14.2_12.1; p766 of CSR ULTRA I; Suzuki 2014</w:t>
      </w:r>
    </w:p>
    <w:p w:rsidR="00E75C0A" w:rsidRPr="00E75C0A" w:rsidRDefault="00E75C0A" w:rsidP="00584667">
      <w:pPr>
        <w:widowControl w:val="0"/>
        <w:ind w:left="720"/>
        <w:jc w:val="both"/>
        <w:rPr>
          <w:rFonts w:ascii="Arial Narrow" w:hAnsi="Arial Narrow" w:cs="Arial"/>
          <w:snapToGrid w:val="0"/>
          <w:sz w:val="18"/>
          <w:szCs w:val="20"/>
          <w:lang w:eastAsia="en-US"/>
        </w:rPr>
      </w:pPr>
      <w:r w:rsidRPr="007D5055">
        <w:rPr>
          <w:rFonts w:ascii="Arial Narrow" w:hAnsi="Arial Narrow" w:cs="Arial"/>
          <w:snapToGrid w:val="0"/>
          <w:sz w:val="18"/>
          <w:szCs w:val="20"/>
          <w:lang w:eastAsia="en-US"/>
        </w:rPr>
        <w:t xml:space="preserve">ARD = absolute risk difference; CI = confidence interval; NE = not estimable; NNT = number needed to treat; RR = relative risk; </w:t>
      </w:r>
      <w:r w:rsidRPr="007D5055">
        <w:rPr>
          <w:rFonts w:ascii="Arial Narrow" w:hAnsi="Arial Narrow" w:cs="Arial"/>
          <w:b/>
          <w:snapToGrid w:val="0"/>
          <w:sz w:val="18"/>
          <w:szCs w:val="20"/>
          <w:lang w:eastAsia="en-US"/>
        </w:rPr>
        <w:t>Bold</w:t>
      </w:r>
      <w:r w:rsidRPr="007D5055">
        <w:rPr>
          <w:rFonts w:ascii="Arial Narrow" w:hAnsi="Arial Narrow" w:cs="Arial"/>
          <w:snapToGrid w:val="0"/>
          <w:sz w:val="18"/>
          <w:szCs w:val="20"/>
          <w:lang w:eastAsia="en-US"/>
        </w:rPr>
        <w:t xml:space="preserve"> = statistically significant result; </w:t>
      </w:r>
      <w:r w:rsidRPr="007D5055">
        <w:rPr>
          <w:rFonts w:ascii="Arial Narrow" w:hAnsi="Arial Narrow" w:cs="Arial"/>
          <w:i/>
          <w:snapToGrid w:val="0"/>
          <w:sz w:val="18"/>
          <w:szCs w:val="20"/>
          <w:lang w:eastAsia="en-US"/>
        </w:rPr>
        <w:t>Italics</w:t>
      </w:r>
      <w:r w:rsidRPr="007D5055">
        <w:rPr>
          <w:rFonts w:ascii="Arial Narrow" w:hAnsi="Arial Narrow" w:cs="Arial"/>
          <w:snapToGrid w:val="0"/>
          <w:sz w:val="18"/>
          <w:szCs w:val="20"/>
          <w:lang w:eastAsia="en-US"/>
        </w:rPr>
        <w:t xml:space="preserve"> = calculated during evaluation</w:t>
      </w:r>
    </w:p>
    <w:p w:rsidR="00E75C0A" w:rsidRPr="00E75C0A" w:rsidRDefault="00E75C0A" w:rsidP="00E75C0A">
      <w:pPr>
        <w:jc w:val="both"/>
        <w:rPr>
          <w:rFonts w:ascii="Arial" w:hAnsi="Arial"/>
          <w:sz w:val="22"/>
          <w:szCs w:val="22"/>
        </w:rPr>
      </w:pPr>
    </w:p>
    <w:p w:rsidR="00E75C0A" w:rsidRDefault="00E75C0A" w:rsidP="00E75C0A">
      <w:pPr>
        <w:pStyle w:val="ListParagraph"/>
        <w:numPr>
          <w:ilvl w:val="1"/>
          <w:numId w:val="1"/>
        </w:numPr>
        <w:jc w:val="both"/>
        <w:rPr>
          <w:rFonts w:ascii="Arial" w:hAnsi="Arial"/>
          <w:sz w:val="22"/>
          <w:szCs w:val="22"/>
        </w:rPr>
      </w:pPr>
      <w:r w:rsidRPr="007D5055">
        <w:rPr>
          <w:rFonts w:ascii="Arial" w:hAnsi="Arial"/>
          <w:sz w:val="22"/>
          <w:szCs w:val="22"/>
        </w:rPr>
        <w:t xml:space="preserve">Including data from the Suzuki (2014) trial in the meta-analyses of clinical outcomes supported the results of the ULTRA trials in suggesting that </w:t>
      </w:r>
      <w:proofErr w:type="spellStart"/>
      <w:r w:rsidRPr="007D5055">
        <w:rPr>
          <w:rFonts w:ascii="Arial" w:hAnsi="Arial"/>
          <w:sz w:val="22"/>
          <w:szCs w:val="22"/>
        </w:rPr>
        <w:t>adalimumab</w:t>
      </w:r>
      <w:proofErr w:type="spellEnd"/>
      <w:r w:rsidRPr="007D5055">
        <w:rPr>
          <w:rFonts w:ascii="Arial" w:hAnsi="Arial"/>
          <w:sz w:val="22"/>
          <w:szCs w:val="22"/>
        </w:rPr>
        <w:t xml:space="preserve"> is superior to placebo. </w:t>
      </w:r>
      <w:r w:rsidR="00D872C8">
        <w:rPr>
          <w:rFonts w:ascii="Arial" w:hAnsi="Arial"/>
          <w:sz w:val="22"/>
          <w:szCs w:val="22"/>
        </w:rPr>
        <w:t xml:space="preserve"> </w:t>
      </w:r>
      <w:r w:rsidRPr="007D5055">
        <w:rPr>
          <w:rFonts w:ascii="Arial" w:hAnsi="Arial"/>
          <w:sz w:val="22"/>
          <w:szCs w:val="22"/>
        </w:rPr>
        <w:t xml:space="preserve">The </w:t>
      </w:r>
      <w:r w:rsidR="0099113F" w:rsidRPr="007D5055">
        <w:rPr>
          <w:rFonts w:ascii="Arial" w:hAnsi="Arial"/>
          <w:sz w:val="22"/>
          <w:szCs w:val="22"/>
        </w:rPr>
        <w:t xml:space="preserve">ESC </w:t>
      </w:r>
      <w:r w:rsidRPr="007D5055">
        <w:rPr>
          <w:rFonts w:ascii="Arial" w:hAnsi="Arial"/>
          <w:sz w:val="22"/>
          <w:szCs w:val="22"/>
        </w:rPr>
        <w:t xml:space="preserve">noted that the inclusion of Suzuki (2014) results did not substantially alter the interpretation of the results. </w:t>
      </w:r>
    </w:p>
    <w:p w:rsidR="007D5055" w:rsidRPr="007D5055" w:rsidRDefault="007D5055" w:rsidP="007D5055">
      <w:pPr>
        <w:pStyle w:val="ListParagraph"/>
        <w:jc w:val="both"/>
        <w:rPr>
          <w:rFonts w:ascii="Arial" w:hAnsi="Arial"/>
          <w:sz w:val="22"/>
          <w:szCs w:val="22"/>
        </w:rPr>
      </w:pPr>
    </w:p>
    <w:p w:rsidR="00D371A9" w:rsidRPr="00BD2955" w:rsidRDefault="00D371A9" w:rsidP="005B5C4C">
      <w:pPr>
        <w:jc w:val="both"/>
        <w:rPr>
          <w:rFonts w:ascii="Arial" w:hAnsi="Arial" w:cs="Arial"/>
          <w:sz w:val="22"/>
          <w:szCs w:val="22"/>
          <w:u w:val="single"/>
        </w:rPr>
      </w:pPr>
      <w:proofErr w:type="spellStart"/>
      <w:r w:rsidRPr="00BD2955">
        <w:rPr>
          <w:rFonts w:ascii="Arial" w:hAnsi="Arial" w:cs="Arial"/>
          <w:sz w:val="22"/>
          <w:szCs w:val="22"/>
          <w:u w:val="single"/>
        </w:rPr>
        <w:t>Adalimumab</w:t>
      </w:r>
      <w:proofErr w:type="spellEnd"/>
      <w:r w:rsidRPr="00BD2955">
        <w:rPr>
          <w:rFonts w:ascii="Arial" w:hAnsi="Arial" w:cs="Arial"/>
          <w:sz w:val="22"/>
          <w:szCs w:val="22"/>
          <w:u w:val="single"/>
        </w:rPr>
        <w:t xml:space="preserve"> versus infliximab </w:t>
      </w:r>
    </w:p>
    <w:p w:rsidR="00F57294" w:rsidRPr="008B6EB1" w:rsidRDefault="00D371A9" w:rsidP="00D371A9">
      <w:pPr>
        <w:pStyle w:val="ListParagraph"/>
        <w:numPr>
          <w:ilvl w:val="1"/>
          <w:numId w:val="1"/>
        </w:numPr>
        <w:jc w:val="both"/>
        <w:rPr>
          <w:rFonts w:ascii="Arial" w:hAnsi="Arial"/>
          <w:sz w:val="22"/>
          <w:szCs w:val="22"/>
        </w:rPr>
      </w:pPr>
      <w:r w:rsidRPr="008B6EB1">
        <w:rPr>
          <w:rFonts w:ascii="Arial" w:hAnsi="Arial"/>
          <w:sz w:val="22"/>
          <w:szCs w:val="22"/>
        </w:rPr>
        <w:t xml:space="preserve">The table below summarises the results of the indirect comparison between </w:t>
      </w:r>
      <w:proofErr w:type="spellStart"/>
      <w:r w:rsidRPr="008B6EB1">
        <w:rPr>
          <w:rFonts w:ascii="Arial" w:hAnsi="Arial"/>
          <w:sz w:val="22"/>
          <w:szCs w:val="22"/>
        </w:rPr>
        <w:t>adalimumab</w:t>
      </w:r>
      <w:proofErr w:type="spellEnd"/>
      <w:r w:rsidRPr="008B6EB1">
        <w:rPr>
          <w:rFonts w:ascii="Arial" w:hAnsi="Arial"/>
          <w:sz w:val="22"/>
          <w:szCs w:val="22"/>
        </w:rPr>
        <w:t xml:space="preserve"> and infliximab using placebo as a common comparator, as presented by </w:t>
      </w:r>
      <w:r w:rsidR="008B6EB1" w:rsidRPr="008B6EB1">
        <w:rPr>
          <w:rFonts w:ascii="Arial" w:hAnsi="Arial"/>
          <w:i/>
          <w:sz w:val="22"/>
          <w:szCs w:val="22"/>
        </w:rPr>
        <w:t>(REDACTED</w:t>
      </w:r>
      <w:r w:rsidR="008B6EB1">
        <w:rPr>
          <w:rFonts w:ascii="Arial" w:hAnsi="Arial"/>
          <w:i/>
          <w:sz w:val="22"/>
          <w:szCs w:val="22"/>
        </w:rPr>
        <w:t>)</w:t>
      </w:r>
    </w:p>
    <w:p w:rsidR="008B6EB1" w:rsidRPr="008B6EB1" w:rsidRDefault="008B6EB1" w:rsidP="008B6EB1">
      <w:pPr>
        <w:pStyle w:val="ListParagraph"/>
        <w:jc w:val="both"/>
        <w:rPr>
          <w:rFonts w:ascii="Arial" w:hAnsi="Arial"/>
          <w:sz w:val="22"/>
          <w:szCs w:val="22"/>
        </w:rPr>
      </w:pPr>
    </w:p>
    <w:p w:rsidR="00D371A9" w:rsidRPr="00BD2955" w:rsidRDefault="00D371A9" w:rsidP="005B5C4C">
      <w:pPr>
        <w:keepNext/>
        <w:widowControl w:val="0"/>
        <w:ind w:firstLine="720"/>
        <w:jc w:val="both"/>
        <w:rPr>
          <w:rFonts w:ascii="Arial Narrow" w:hAnsi="Arial Narrow" w:cs="Arial"/>
          <w:b/>
          <w:snapToGrid w:val="0"/>
          <w:sz w:val="20"/>
          <w:szCs w:val="16"/>
          <w:lang w:eastAsia="en-US"/>
        </w:rPr>
      </w:pPr>
      <w:r w:rsidRPr="00BD2955">
        <w:rPr>
          <w:rFonts w:ascii="Arial Narrow" w:hAnsi="Arial Narrow" w:cs="Arial"/>
          <w:b/>
          <w:snapToGrid w:val="0"/>
          <w:sz w:val="20"/>
          <w:szCs w:val="16"/>
          <w:lang w:eastAsia="en-US"/>
        </w:rPr>
        <w:t xml:space="preserve">Summary of comparative benefits for </w:t>
      </w:r>
      <w:proofErr w:type="spellStart"/>
      <w:r w:rsidRPr="00BD2955">
        <w:rPr>
          <w:rFonts w:ascii="Arial Narrow" w:hAnsi="Arial Narrow" w:cs="Arial"/>
          <w:b/>
          <w:snapToGrid w:val="0"/>
          <w:sz w:val="20"/>
          <w:szCs w:val="16"/>
          <w:lang w:eastAsia="en-US"/>
        </w:rPr>
        <w:t>adalimumab</w:t>
      </w:r>
      <w:proofErr w:type="spellEnd"/>
      <w:r w:rsidRPr="00BD2955">
        <w:rPr>
          <w:rFonts w:ascii="Arial Narrow" w:hAnsi="Arial Narrow" w:cs="Arial"/>
          <w:b/>
          <w:snapToGrid w:val="0"/>
          <w:sz w:val="20"/>
          <w:szCs w:val="16"/>
          <w:lang w:eastAsia="en-US"/>
        </w:rPr>
        <w:t xml:space="preserve"> and infliximab – indirect comparison </w:t>
      </w:r>
    </w:p>
    <w:tbl>
      <w:tblPr>
        <w:tblStyle w:val="TableGrid"/>
        <w:tblW w:w="4585" w:type="pct"/>
        <w:tblInd w:w="737" w:type="dxa"/>
        <w:tblLayout w:type="fixed"/>
        <w:tblCellMar>
          <w:left w:w="28" w:type="dxa"/>
          <w:right w:w="28" w:type="dxa"/>
        </w:tblCellMar>
        <w:tblLook w:val="04A0" w:firstRow="1" w:lastRow="0" w:firstColumn="1" w:lastColumn="0" w:noHBand="0" w:noVBand="1"/>
        <w:tblDescription w:val="Summary of comparative benefits for adalimumab and infliximab – indirect comparison"/>
      </w:tblPr>
      <w:tblGrid>
        <w:gridCol w:w="709"/>
        <w:gridCol w:w="849"/>
        <w:gridCol w:w="850"/>
        <w:gridCol w:w="711"/>
        <w:gridCol w:w="1701"/>
        <w:gridCol w:w="709"/>
        <w:gridCol w:w="711"/>
        <w:gridCol w:w="708"/>
        <w:gridCol w:w="882"/>
      </w:tblGrid>
      <w:tr w:rsidR="005B5C4C" w:rsidRPr="005F51FE" w:rsidTr="008B6EB1">
        <w:trPr>
          <w:cantSplit/>
          <w:trHeight w:val="150"/>
          <w:tblHeader/>
        </w:trPr>
        <w:tc>
          <w:tcPr>
            <w:tcW w:w="453" w:type="pct"/>
            <w:vMerge w:val="restart"/>
            <w:shd w:val="clear" w:color="auto" w:fill="auto"/>
            <w:vAlign w:val="center"/>
          </w:tcPr>
          <w:p w:rsidR="00D371A9" w:rsidRPr="002B7FBB" w:rsidRDefault="00D371A9" w:rsidP="00D371A9">
            <w:pPr>
              <w:keepNext/>
              <w:widowControl w:val="0"/>
              <w:jc w:val="both"/>
              <w:rPr>
                <w:rFonts w:ascii="Arial Narrow" w:hAnsi="Arial Narrow" w:cs="Arial"/>
                <w:b/>
                <w:snapToGrid w:val="0"/>
                <w:color w:val="000000"/>
                <w:sz w:val="20"/>
                <w:szCs w:val="18"/>
                <w:lang w:eastAsia="en-US"/>
              </w:rPr>
            </w:pPr>
            <w:r w:rsidRPr="00BD2955">
              <w:rPr>
                <w:rFonts w:ascii="Arial Narrow" w:hAnsi="Arial Narrow" w:cs="Arial"/>
                <w:b/>
                <w:snapToGrid w:val="0"/>
                <w:color w:val="000000"/>
                <w:sz w:val="20"/>
                <w:szCs w:val="18"/>
                <w:lang w:eastAsia="en-US"/>
              </w:rPr>
              <w:t>Trial</w:t>
            </w:r>
          </w:p>
        </w:tc>
        <w:tc>
          <w:tcPr>
            <w:tcW w:w="542" w:type="pct"/>
            <w:vMerge w:val="restart"/>
            <w:vAlign w:val="center"/>
          </w:tcPr>
          <w:p w:rsidR="00D371A9" w:rsidRPr="002B7FBB" w:rsidRDefault="00D371A9" w:rsidP="00D371A9">
            <w:pPr>
              <w:keepNext/>
              <w:widowControl w:val="0"/>
              <w:jc w:val="center"/>
              <w:rPr>
                <w:rFonts w:ascii="Arial Narrow" w:hAnsi="Arial Narrow" w:cs="Arial"/>
                <w:b/>
                <w:snapToGrid w:val="0"/>
                <w:color w:val="000000"/>
                <w:sz w:val="20"/>
                <w:szCs w:val="18"/>
                <w:lang w:eastAsia="en-US"/>
              </w:rPr>
            </w:pPr>
            <w:r w:rsidRPr="00BD2955">
              <w:rPr>
                <w:rFonts w:ascii="Arial Narrow" w:hAnsi="Arial Narrow" w:cs="Arial"/>
                <w:b/>
                <w:snapToGrid w:val="0"/>
                <w:color w:val="000000"/>
                <w:sz w:val="20"/>
                <w:szCs w:val="18"/>
                <w:lang w:eastAsia="en-US"/>
              </w:rPr>
              <w:t>ADA</w:t>
            </w:r>
          </w:p>
        </w:tc>
        <w:tc>
          <w:tcPr>
            <w:tcW w:w="543" w:type="pct"/>
            <w:vMerge w:val="restart"/>
            <w:vAlign w:val="center"/>
          </w:tcPr>
          <w:p w:rsidR="00D371A9" w:rsidRPr="002B7FBB" w:rsidRDefault="00D371A9" w:rsidP="00D371A9">
            <w:pPr>
              <w:keepNext/>
              <w:widowControl w:val="0"/>
              <w:jc w:val="center"/>
              <w:rPr>
                <w:rFonts w:ascii="Arial Narrow" w:hAnsi="Arial Narrow" w:cs="Arial"/>
                <w:b/>
                <w:snapToGrid w:val="0"/>
                <w:color w:val="000000"/>
                <w:sz w:val="20"/>
                <w:szCs w:val="18"/>
                <w:lang w:eastAsia="en-US"/>
              </w:rPr>
            </w:pPr>
            <w:r w:rsidRPr="00BD2955">
              <w:rPr>
                <w:rFonts w:ascii="Arial Narrow" w:hAnsi="Arial Narrow" w:cs="Arial"/>
                <w:b/>
                <w:snapToGrid w:val="0"/>
                <w:color w:val="000000"/>
                <w:sz w:val="20"/>
                <w:szCs w:val="18"/>
                <w:lang w:eastAsia="en-US"/>
              </w:rPr>
              <w:t>PBO</w:t>
            </w:r>
          </w:p>
        </w:tc>
        <w:tc>
          <w:tcPr>
            <w:tcW w:w="454" w:type="pct"/>
            <w:vMerge w:val="restart"/>
            <w:vAlign w:val="center"/>
          </w:tcPr>
          <w:p w:rsidR="00D371A9" w:rsidRPr="002B7FBB" w:rsidRDefault="00D371A9" w:rsidP="00D371A9">
            <w:pPr>
              <w:keepNext/>
              <w:widowControl w:val="0"/>
              <w:jc w:val="center"/>
              <w:rPr>
                <w:rFonts w:ascii="Arial Narrow" w:hAnsi="Arial Narrow" w:cs="Arial"/>
                <w:b/>
                <w:snapToGrid w:val="0"/>
                <w:color w:val="000000"/>
                <w:sz w:val="20"/>
                <w:szCs w:val="18"/>
                <w:lang w:eastAsia="en-US"/>
              </w:rPr>
            </w:pPr>
            <w:r w:rsidRPr="00BD2955">
              <w:rPr>
                <w:rFonts w:ascii="Arial Narrow" w:hAnsi="Arial Narrow" w:cs="Arial"/>
                <w:b/>
                <w:snapToGrid w:val="0"/>
                <w:color w:val="000000"/>
                <w:sz w:val="20"/>
                <w:szCs w:val="18"/>
                <w:lang w:eastAsia="en-US"/>
              </w:rPr>
              <w:t>IFX</w:t>
            </w:r>
          </w:p>
        </w:tc>
        <w:tc>
          <w:tcPr>
            <w:tcW w:w="1086" w:type="pct"/>
            <w:vMerge w:val="restart"/>
            <w:vAlign w:val="center"/>
          </w:tcPr>
          <w:p w:rsidR="00D371A9" w:rsidRPr="00BD2955" w:rsidRDefault="00D371A9" w:rsidP="00D371A9">
            <w:pPr>
              <w:keepNext/>
              <w:widowControl w:val="0"/>
              <w:jc w:val="center"/>
              <w:rPr>
                <w:rFonts w:ascii="Arial Narrow" w:hAnsi="Arial Narrow" w:cs="Arial"/>
                <w:b/>
                <w:snapToGrid w:val="0"/>
                <w:color w:val="000000"/>
                <w:sz w:val="20"/>
                <w:szCs w:val="18"/>
                <w:lang w:eastAsia="en-US"/>
              </w:rPr>
            </w:pPr>
            <w:r w:rsidRPr="00BD2955">
              <w:rPr>
                <w:rFonts w:ascii="Arial Narrow" w:hAnsi="Arial Narrow" w:cs="Arial"/>
                <w:b/>
                <w:snapToGrid w:val="0"/>
                <w:color w:val="000000"/>
                <w:sz w:val="20"/>
                <w:szCs w:val="18"/>
                <w:lang w:eastAsia="en-US"/>
              </w:rPr>
              <w:t>OR</w:t>
            </w:r>
          </w:p>
          <w:p w:rsidR="00D371A9" w:rsidRPr="002B7FBB" w:rsidRDefault="00D371A9" w:rsidP="00D371A9">
            <w:pPr>
              <w:keepNext/>
              <w:widowControl w:val="0"/>
              <w:jc w:val="center"/>
              <w:rPr>
                <w:rFonts w:ascii="Arial Narrow" w:hAnsi="Arial Narrow" w:cs="Arial"/>
                <w:b/>
                <w:snapToGrid w:val="0"/>
                <w:color w:val="000000"/>
                <w:sz w:val="20"/>
                <w:szCs w:val="18"/>
                <w:lang w:eastAsia="en-US"/>
              </w:rPr>
            </w:pPr>
            <w:r w:rsidRPr="00BD2955">
              <w:rPr>
                <w:rFonts w:ascii="Arial Narrow" w:hAnsi="Arial Narrow" w:cs="Arial"/>
                <w:b/>
                <w:snapToGrid w:val="0"/>
                <w:color w:val="000000"/>
                <w:sz w:val="20"/>
                <w:szCs w:val="18"/>
                <w:lang w:eastAsia="en-US"/>
              </w:rPr>
              <w:t xml:space="preserve">(95% </w:t>
            </w:r>
            <w:proofErr w:type="spellStart"/>
            <w:r w:rsidRPr="00BD2955">
              <w:rPr>
                <w:rFonts w:ascii="Arial Narrow" w:hAnsi="Arial Narrow" w:cs="Arial"/>
                <w:b/>
                <w:snapToGrid w:val="0"/>
                <w:color w:val="000000"/>
                <w:sz w:val="20"/>
                <w:szCs w:val="18"/>
                <w:lang w:eastAsia="en-US"/>
              </w:rPr>
              <w:t>CrI</w:t>
            </w:r>
            <w:proofErr w:type="spellEnd"/>
            <w:r w:rsidRPr="00BD2955">
              <w:rPr>
                <w:rFonts w:ascii="Arial Narrow" w:hAnsi="Arial Narrow" w:cs="Arial"/>
                <w:b/>
                <w:snapToGrid w:val="0"/>
                <w:color w:val="000000"/>
                <w:sz w:val="20"/>
                <w:szCs w:val="18"/>
                <w:lang w:eastAsia="en-US"/>
              </w:rPr>
              <w:t>)</w:t>
            </w:r>
          </w:p>
        </w:tc>
        <w:tc>
          <w:tcPr>
            <w:tcW w:w="1359" w:type="pct"/>
            <w:gridSpan w:val="3"/>
            <w:vAlign w:val="center"/>
          </w:tcPr>
          <w:p w:rsidR="00D371A9" w:rsidRPr="002B7FBB" w:rsidRDefault="00D371A9" w:rsidP="00D371A9">
            <w:pPr>
              <w:keepNext/>
              <w:widowControl w:val="0"/>
              <w:jc w:val="center"/>
              <w:rPr>
                <w:rFonts w:ascii="Arial Narrow" w:hAnsi="Arial Narrow" w:cs="Arial"/>
                <w:b/>
                <w:snapToGrid w:val="0"/>
                <w:color w:val="000000"/>
                <w:sz w:val="20"/>
                <w:szCs w:val="18"/>
                <w:lang w:eastAsia="en-US"/>
              </w:rPr>
            </w:pPr>
            <w:r w:rsidRPr="00BD2955">
              <w:rPr>
                <w:rFonts w:ascii="Arial Narrow" w:hAnsi="Arial Narrow" w:cs="Arial"/>
                <w:b/>
                <w:snapToGrid w:val="0"/>
                <w:color w:val="000000"/>
                <w:sz w:val="20"/>
                <w:szCs w:val="18"/>
                <w:lang w:eastAsia="en-US"/>
              </w:rPr>
              <w:t xml:space="preserve">Event rate/100 patients </w:t>
            </w:r>
            <w:r w:rsidRPr="00BD2955">
              <w:rPr>
                <w:rFonts w:ascii="Arial Narrow" w:hAnsi="Arial Narrow" w:cs="Arial"/>
                <w:b/>
                <w:snapToGrid w:val="0"/>
                <w:color w:val="000000"/>
                <w:sz w:val="20"/>
                <w:szCs w:val="18"/>
                <w:vertAlign w:val="superscript"/>
                <w:lang w:eastAsia="en-US"/>
              </w:rPr>
              <w:t>c</w:t>
            </w:r>
            <w:r w:rsidRPr="00BD2955">
              <w:rPr>
                <w:rFonts w:ascii="Arial Narrow" w:hAnsi="Arial Narrow" w:cs="Arial"/>
                <w:b/>
                <w:snapToGrid w:val="0"/>
                <w:color w:val="000000"/>
                <w:sz w:val="20"/>
                <w:szCs w:val="18"/>
                <w:lang w:eastAsia="en-US"/>
              </w:rPr>
              <w:t xml:space="preserve"> </w:t>
            </w:r>
          </w:p>
        </w:tc>
        <w:tc>
          <w:tcPr>
            <w:tcW w:w="563" w:type="pct"/>
            <w:vMerge w:val="restart"/>
            <w:vAlign w:val="center"/>
          </w:tcPr>
          <w:p w:rsidR="00D371A9" w:rsidRPr="00BD2955" w:rsidRDefault="00D371A9" w:rsidP="00D371A9">
            <w:pPr>
              <w:keepNext/>
              <w:widowControl w:val="0"/>
              <w:jc w:val="center"/>
              <w:rPr>
                <w:rFonts w:ascii="Arial Narrow" w:hAnsi="Arial Narrow" w:cs="Arial"/>
                <w:b/>
                <w:snapToGrid w:val="0"/>
                <w:color w:val="000000"/>
                <w:sz w:val="20"/>
                <w:szCs w:val="18"/>
                <w:lang w:eastAsia="en-US"/>
              </w:rPr>
            </w:pPr>
            <w:r w:rsidRPr="00BD2955">
              <w:rPr>
                <w:rFonts w:ascii="Arial Narrow" w:hAnsi="Arial Narrow" w:cs="Arial"/>
                <w:b/>
                <w:snapToGrid w:val="0"/>
                <w:color w:val="000000"/>
                <w:sz w:val="20"/>
                <w:szCs w:val="18"/>
                <w:lang w:eastAsia="en-US"/>
              </w:rPr>
              <w:t xml:space="preserve">RD </w:t>
            </w:r>
            <w:r w:rsidRPr="00BD2955">
              <w:rPr>
                <w:rFonts w:ascii="Arial Narrow" w:hAnsi="Arial Narrow" w:cs="Arial"/>
                <w:b/>
                <w:snapToGrid w:val="0"/>
                <w:color w:val="000000"/>
                <w:sz w:val="20"/>
                <w:szCs w:val="18"/>
                <w:vertAlign w:val="superscript"/>
                <w:lang w:eastAsia="en-US"/>
              </w:rPr>
              <w:t>d</w:t>
            </w:r>
          </w:p>
          <w:p w:rsidR="00D371A9" w:rsidRPr="002B7FBB" w:rsidRDefault="00D371A9" w:rsidP="00D371A9">
            <w:pPr>
              <w:keepNext/>
              <w:widowControl w:val="0"/>
              <w:jc w:val="center"/>
              <w:rPr>
                <w:rFonts w:ascii="Arial Narrow" w:hAnsi="Arial Narrow" w:cs="Arial"/>
                <w:b/>
                <w:snapToGrid w:val="0"/>
                <w:color w:val="000000"/>
                <w:sz w:val="20"/>
                <w:szCs w:val="18"/>
                <w:lang w:eastAsia="en-US"/>
              </w:rPr>
            </w:pPr>
            <w:r w:rsidRPr="00BD2955">
              <w:rPr>
                <w:rFonts w:ascii="Arial Narrow" w:hAnsi="Arial Narrow" w:cs="Arial"/>
                <w:b/>
                <w:snapToGrid w:val="0"/>
                <w:color w:val="000000"/>
                <w:sz w:val="20"/>
                <w:szCs w:val="18"/>
                <w:lang w:eastAsia="en-US"/>
              </w:rPr>
              <w:t>(95% CI)</w:t>
            </w:r>
          </w:p>
        </w:tc>
      </w:tr>
      <w:tr w:rsidR="005B5C4C" w:rsidRPr="005F51FE" w:rsidTr="008B6EB1">
        <w:trPr>
          <w:cantSplit/>
          <w:trHeight w:val="149"/>
          <w:tblHeader/>
        </w:trPr>
        <w:tc>
          <w:tcPr>
            <w:tcW w:w="453" w:type="pct"/>
            <w:vMerge/>
            <w:tcBorders>
              <w:bottom w:val="single" w:sz="4" w:space="0" w:color="auto"/>
            </w:tcBorders>
            <w:shd w:val="clear" w:color="auto" w:fill="auto"/>
            <w:vAlign w:val="center"/>
          </w:tcPr>
          <w:p w:rsidR="00D371A9" w:rsidRPr="002B7FBB" w:rsidRDefault="00D371A9" w:rsidP="00D371A9">
            <w:pPr>
              <w:keepNext/>
              <w:widowControl w:val="0"/>
              <w:jc w:val="both"/>
              <w:rPr>
                <w:rFonts w:ascii="Arial Narrow" w:hAnsi="Arial Narrow" w:cs="Arial"/>
                <w:b/>
                <w:snapToGrid w:val="0"/>
                <w:color w:val="000000"/>
                <w:sz w:val="20"/>
                <w:szCs w:val="18"/>
                <w:lang w:eastAsia="en-US"/>
              </w:rPr>
            </w:pPr>
          </w:p>
        </w:tc>
        <w:tc>
          <w:tcPr>
            <w:tcW w:w="542" w:type="pct"/>
            <w:vMerge/>
            <w:tcBorders>
              <w:bottom w:val="single" w:sz="4" w:space="0" w:color="auto"/>
            </w:tcBorders>
            <w:vAlign w:val="center"/>
          </w:tcPr>
          <w:p w:rsidR="00D371A9" w:rsidRPr="002B7FBB" w:rsidRDefault="00D371A9" w:rsidP="00D371A9">
            <w:pPr>
              <w:keepNext/>
              <w:widowControl w:val="0"/>
              <w:jc w:val="center"/>
              <w:rPr>
                <w:rFonts w:ascii="Arial Narrow" w:hAnsi="Arial Narrow" w:cs="Arial"/>
                <w:b/>
                <w:snapToGrid w:val="0"/>
                <w:color w:val="000000"/>
                <w:sz w:val="20"/>
                <w:szCs w:val="18"/>
                <w:lang w:eastAsia="en-US"/>
              </w:rPr>
            </w:pPr>
          </w:p>
        </w:tc>
        <w:tc>
          <w:tcPr>
            <w:tcW w:w="543" w:type="pct"/>
            <w:vMerge/>
            <w:tcBorders>
              <w:bottom w:val="single" w:sz="4" w:space="0" w:color="auto"/>
            </w:tcBorders>
            <w:vAlign w:val="center"/>
          </w:tcPr>
          <w:p w:rsidR="00D371A9" w:rsidRPr="002B7FBB" w:rsidRDefault="00D371A9" w:rsidP="00D371A9">
            <w:pPr>
              <w:keepNext/>
              <w:widowControl w:val="0"/>
              <w:jc w:val="center"/>
              <w:rPr>
                <w:rFonts w:ascii="Arial Narrow" w:hAnsi="Arial Narrow" w:cs="Arial"/>
                <w:b/>
                <w:snapToGrid w:val="0"/>
                <w:color w:val="000000"/>
                <w:sz w:val="20"/>
                <w:szCs w:val="18"/>
                <w:lang w:eastAsia="en-US"/>
              </w:rPr>
            </w:pPr>
          </w:p>
        </w:tc>
        <w:tc>
          <w:tcPr>
            <w:tcW w:w="454" w:type="pct"/>
            <w:vMerge/>
            <w:tcBorders>
              <w:bottom w:val="single" w:sz="4" w:space="0" w:color="auto"/>
            </w:tcBorders>
            <w:vAlign w:val="center"/>
          </w:tcPr>
          <w:p w:rsidR="00D371A9" w:rsidRPr="002B7FBB" w:rsidRDefault="00D371A9" w:rsidP="00D371A9">
            <w:pPr>
              <w:keepNext/>
              <w:widowControl w:val="0"/>
              <w:jc w:val="center"/>
              <w:rPr>
                <w:rFonts w:ascii="Arial Narrow" w:hAnsi="Arial Narrow" w:cs="Arial"/>
                <w:b/>
                <w:snapToGrid w:val="0"/>
                <w:color w:val="000000"/>
                <w:sz w:val="20"/>
                <w:szCs w:val="18"/>
                <w:lang w:eastAsia="en-US"/>
              </w:rPr>
            </w:pPr>
          </w:p>
        </w:tc>
        <w:tc>
          <w:tcPr>
            <w:tcW w:w="1086" w:type="pct"/>
            <w:vMerge/>
            <w:tcBorders>
              <w:bottom w:val="single" w:sz="4" w:space="0" w:color="auto"/>
            </w:tcBorders>
            <w:vAlign w:val="center"/>
          </w:tcPr>
          <w:p w:rsidR="00D371A9" w:rsidRPr="002B7FBB" w:rsidRDefault="00D371A9" w:rsidP="00D371A9">
            <w:pPr>
              <w:keepNext/>
              <w:widowControl w:val="0"/>
              <w:jc w:val="center"/>
              <w:rPr>
                <w:rFonts w:ascii="Arial Narrow" w:hAnsi="Arial Narrow" w:cs="Arial"/>
                <w:b/>
                <w:snapToGrid w:val="0"/>
                <w:color w:val="000000"/>
                <w:sz w:val="20"/>
                <w:szCs w:val="18"/>
                <w:lang w:eastAsia="en-US"/>
              </w:rPr>
            </w:pPr>
          </w:p>
        </w:tc>
        <w:tc>
          <w:tcPr>
            <w:tcW w:w="453" w:type="pct"/>
            <w:tcBorders>
              <w:bottom w:val="single" w:sz="4" w:space="0" w:color="auto"/>
            </w:tcBorders>
            <w:vAlign w:val="center"/>
          </w:tcPr>
          <w:p w:rsidR="00D371A9" w:rsidRPr="002B7FBB" w:rsidRDefault="00D371A9" w:rsidP="00D371A9">
            <w:pPr>
              <w:keepNext/>
              <w:widowControl w:val="0"/>
              <w:jc w:val="center"/>
              <w:rPr>
                <w:rFonts w:ascii="Arial Narrow" w:hAnsi="Arial Narrow" w:cs="Arial"/>
                <w:b/>
                <w:snapToGrid w:val="0"/>
                <w:color w:val="000000"/>
                <w:sz w:val="20"/>
                <w:szCs w:val="18"/>
                <w:lang w:eastAsia="en-US"/>
              </w:rPr>
            </w:pPr>
            <w:r w:rsidRPr="00BD2955">
              <w:rPr>
                <w:rFonts w:ascii="Arial Narrow" w:hAnsi="Arial Narrow" w:cs="Arial"/>
                <w:b/>
                <w:snapToGrid w:val="0"/>
                <w:color w:val="000000"/>
                <w:sz w:val="20"/>
                <w:szCs w:val="18"/>
                <w:lang w:eastAsia="en-US"/>
              </w:rPr>
              <w:t>ADA</w:t>
            </w:r>
          </w:p>
        </w:tc>
        <w:tc>
          <w:tcPr>
            <w:tcW w:w="454" w:type="pct"/>
            <w:tcBorders>
              <w:bottom w:val="single" w:sz="4" w:space="0" w:color="auto"/>
            </w:tcBorders>
            <w:vAlign w:val="center"/>
          </w:tcPr>
          <w:p w:rsidR="00D371A9" w:rsidRPr="002B7FBB" w:rsidRDefault="00D371A9" w:rsidP="00D371A9">
            <w:pPr>
              <w:keepNext/>
              <w:widowControl w:val="0"/>
              <w:jc w:val="center"/>
              <w:rPr>
                <w:rFonts w:ascii="Arial Narrow" w:hAnsi="Arial Narrow" w:cs="Arial"/>
                <w:b/>
                <w:snapToGrid w:val="0"/>
                <w:color w:val="000000"/>
                <w:sz w:val="20"/>
                <w:szCs w:val="18"/>
                <w:lang w:eastAsia="en-US"/>
              </w:rPr>
            </w:pPr>
            <w:r w:rsidRPr="00BD2955">
              <w:rPr>
                <w:rFonts w:ascii="Arial Narrow" w:hAnsi="Arial Narrow" w:cs="Arial"/>
                <w:b/>
                <w:snapToGrid w:val="0"/>
                <w:color w:val="000000"/>
                <w:sz w:val="20"/>
                <w:szCs w:val="18"/>
                <w:lang w:eastAsia="en-US"/>
              </w:rPr>
              <w:t>PBO</w:t>
            </w:r>
          </w:p>
        </w:tc>
        <w:tc>
          <w:tcPr>
            <w:tcW w:w="452" w:type="pct"/>
            <w:tcBorders>
              <w:bottom w:val="single" w:sz="4" w:space="0" w:color="auto"/>
            </w:tcBorders>
            <w:vAlign w:val="center"/>
          </w:tcPr>
          <w:p w:rsidR="00D371A9" w:rsidRPr="002B7FBB" w:rsidRDefault="008B6EB1" w:rsidP="00D371A9">
            <w:pPr>
              <w:keepNext/>
              <w:widowControl w:val="0"/>
              <w:jc w:val="center"/>
              <w:rPr>
                <w:rFonts w:ascii="Arial Narrow" w:hAnsi="Arial Narrow" w:cs="Arial"/>
                <w:b/>
                <w:snapToGrid w:val="0"/>
                <w:color w:val="000000"/>
                <w:sz w:val="20"/>
                <w:szCs w:val="18"/>
                <w:highlight w:val="black"/>
                <w:lang w:eastAsia="en-US"/>
              </w:rPr>
            </w:pPr>
            <w:r>
              <w:rPr>
                <w:rFonts w:ascii="Arial Narrow" w:hAnsi="Arial Narrow" w:cs="Arial"/>
                <w:i/>
                <w:snapToGrid w:val="0"/>
                <w:color w:val="000000"/>
                <w:sz w:val="20"/>
                <w:szCs w:val="18"/>
                <w:lang w:eastAsia="en-US"/>
              </w:rPr>
              <w:t>(REDACTED)</w:t>
            </w:r>
          </w:p>
        </w:tc>
        <w:tc>
          <w:tcPr>
            <w:tcW w:w="563" w:type="pct"/>
            <w:vMerge/>
            <w:tcBorders>
              <w:bottom w:val="single" w:sz="4" w:space="0" w:color="auto"/>
            </w:tcBorders>
            <w:vAlign w:val="center"/>
          </w:tcPr>
          <w:p w:rsidR="00D371A9" w:rsidRPr="002B7FBB" w:rsidRDefault="00D371A9" w:rsidP="00D371A9">
            <w:pPr>
              <w:keepNext/>
              <w:widowControl w:val="0"/>
              <w:jc w:val="center"/>
              <w:rPr>
                <w:rFonts w:ascii="Arial Narrow" w:hAnsi="Arial Narrow" w:cs="Arial"/>
                <w:b/>
                <w:snapToGrid w:val="0"/>
                <w:color w:val="000000"/>
                <w:sz w:val="20"/>
                <w:szCs w:val="18"/>
                <w:lang w:eastAsia="en-US"/>
              </w:rPr>
            </w:pPr>
          </w:p>
        </w:tc>
      </w:tr>
      <w:tr w:rsidR="00D371A9" w:rsidRPr="005F51FE">
        <w:tc>
          <w:tcPr>
            <w:tcW w:w="5000" w:type="pct"/>
            <w:gridSpan w:val="9"/>
            <w:tcBorders>
              <w:top w:val="single" w:sz="4" w:space="0" w:color="auto"/>
            </w:tcBorders>
            <w:shd w:val="clear" w:color="auto" w:fill="auto"/>
            <w:vAlign w:val="center"/>
          </w:tcPr>
          <w:p w:rsidR="00D371A9" w:rsidRPr="002B7FBB" w:rsidRDefault="00D371A9" w:rsidP="00D371A9">
            <w:pPr>
              <w:keepNext/>
              <w:widowControl w:val="0"/>
              <w:jc w:val="both"/>
              <w:rPr>
                <w:rFonts w:ascii="Arial Narrow" w:hAnsi="Arial Narrow" w:cs="Arial"/>
                <w:b/>
                <w:snapToGrid w:val="0"/>
                <w:color w:val="000000"/>
                <w:sz w:val="20"/>
                <w:szCs w:val="18"/>
                <w:lang w:eastAsia="en-US"/>
              </w:rPr>
            </w:pPr>
            <w:r w:rsidRPr="00BD2955">
              <w:rPr>
                <w:rFonts w:ascii="Arial Narrow" w:hAnsi="Arial Narrow" w:cs="Arial"/>
                <w:b/>
                <w:snapToGrid w:val="0"/>
                <w:color w:val="000000"/>
                <w:sz w:val="20"/>
                <w:szCs w:val="18"/>
                <w:lang w:eastAsia="en-US"/>
              </w:rPr>
              <w:t>Clinical remission at 8 weeks</w:t>
            </w:r>
          </w:p>
        </w:tc>
      </w:tr>
      <w:tr w:rsidR="008B6EB1" w:rsidRPr="005F51FE" w:rsidTr="008B6EB1">
        <w:tc>
          <w:tcPr>
            <w:tcW w:w="453" w:type="pct"/>
            <w:shd w:val="clear" w:color="auto" w:fill="auto"/>
            <w:vAlign w:val="center"/>
          </w:tcPr>
          <w:p w:rsidR="008B6EB1" w:rsidRPr="002B7FBB" w:rsidRDefault="008B6EB1" w:rsidP="00D371A9">
            <w:pPr>
              <w:keepNext/>
              <w:widowControl w:val="0"/>
              <w:jc w:val="both"/>
              <w:rPr>
                <w:rFonts w:ascii="Arial Narrow" w:hAnsi="Arial Narrow" w:cs="Arial"/>
                <w:snapToGrid w:val="0"/>
                <w:color w:val="000000"/>
                <w:sz w:val="20"/>
                <w:szCs w:val="18"/>
                <w:lang w:eastAsia="en-US"/>
              </w:rPr>
            </w:pPr>
            <w:r w:rsidRPr="00BD2955">
              <w:rPr>
                <w:rFonts w:ascii="Arial Narrow" w:hAnsi="Arial Narrow" w:cs="Arial"/>
                <w:snapToGrid w:val="0"/>
                <w:color w:val="000000"/>
                <w:sz w:val="20"/>
                <w:szCs w:val="18"/>
                <w:lang w:eastAsia="en-US"/>
              </w:rPr>
              <w:t xml:space="preserve">ADA </w:t>
            </w:r>
            <w:r w:rsidRPr="00BD2955">
              <w:rPr>
                <w:rFonts w:ascii="Arial Narrow" w:hAnsi="Arial Narrow" w:cs="Arial"/>
                <w:snapToGrid w:val="0"/>
                <w:color w:val="000000"/>
                <w:sz w:val="20"/>
                <w:szCs w:val="18"/>
                <w:vertAlign w:val="superscript"/>
                <w:lang w:eastAsia="en-US"/>
              </w:rPr>
              <w:t>a</w:t>
            </w:r>
          </w:p>
        </w:tc>
        <w:tc>
          <w:tcPr>
            <w:tcW w:w="542" w:type="pct"/>
          </w:tcPr>
          <w:p w:rsidR="008B6EB1" w:rsidRDefault="008B6EB1">
            <w:r w:rsidRPr="00DC7B09">
              <w:rPr>
                <w:rFonts w:ascii="Arial Narrow" w:hAnsi="Arial Narrow" w:cs="Arial"/>
                <w:i/>
                <w:snapToGrid w:val="0"/>
                <w:color w:val="000000"/>
                <w:sz w:val="20"/>
                <w:szCs w:val="18"/>
                <w:lang w:eastAsia="en-US"/>
              </w:rPr>
              <w:t>(REDACTED)</w:t>
            </w:r>
          </w:p>
        </w:tc>
        <w:tc>
          <w:tcPr>
            <w:tcW w:w="543" w:type="pct"/>
          </w:tcPr>
          <w:p w:rsidR="008B6EB1" w:rsidRDefault="008B6EB1">
            <w:r w:rsidRPr="00DC7B09">
              <w:rPr>
                <w:rFonts w:ascii="Arial Narrow" w:hAnsi="Arial Narrow" w:cs="Arial"/>
                <w:i/>
                <w:snapToGrid w:val="0"/>
                <w:color w:val="000000"/>
                <w:sz w:val="20"/>
                <w:szCs w:val="18"/>
                <w:lang w:eastAsia="en-US"/>
              </w:rPr>
              <w:t>(REDACTED)</w:t>
            </w:r>
          </w:p>
        </w:tc>
        <w:tc>
          <w:tcPr>
            <w:tcW w:w="454" w:type="pct"/>
          </w:tcPr>
          <w:p w:rsidR="008B6EB1" w:rsidRDefault="008B6EB1">
            <w:r w:rsidRPr="00DC7B09">
              <w:rPr>
                <w:rFonts w:ascii="Arial Narrow" w:hAnsi="Arial Narrow" w:cs="Arial"/>
                <w:i/>
                <w:snapToGrid w:val="0"/>
                <w:color w:val="000000"/>
                <w:sz w:val="20"/>
                <w:szCs w:val="18"/>
                <w:lang w:eastAsia="en-US"/>
              </w:rPr>
              <w:t>(REDACTED)</w:t>
            </w:r>
          </w:p>
        </w:tc>
        <w:tc>
          <w:tcPr>
            <w:tcW w:w="1086" w:type="pct"/>
          </w:tcPr>
          <w:p w:rsidR="008B6EB1" w:rsidRDefault="008B6EB1">
            <w:r w:rsidRPr="00DC7B09">
              <w:rPr>
                <w:rFonts w:ascii="Arial Narrow" w:hAnsi="Arial Narrow" w:cs="Arial"/>
                <w:i/>
                <w:snapToGrid w:val="0"/>
                <w:color w:val="000000"/>
                <w:sz w:val="20"/>
                <w:szCs w:val="18"/>
                <w:lang w:eastAsia="en-US"/>
              </w:rPr>
              <w:t>(REDACTED)</w:t>
            </w:r>
          </w:p>
        </w:tc>
        <w:tc>
          <w:tcPr>
            <w:tcW w:w="453" w:type="pct"/>
          </w:tcPr>
          <w:p w:rsidR="008B6EB1" w:rsidRDefault="008B6EB1">
            <w:r w:rsidRPr="00DC7B09">
              <w:rPr>
                <w:rFonts w:ascii="Arial Narrow" w:hAnsi="Arial Narrow" w:cs="Arial"/>
                <w:i/>
                <w:snapToGrid w:val="0"/>
                <w:color w:val="000000"/>
                <w:sz w:val="20"/>
                <w:szCs w:val="18"/>
                <w:lang w:eastAsia="en-US"/>
              </w:rPr>
              <w:t>(REDACTED)</w:t>
            </w:r>
          </w:p>
        </w:tc>
        <w:tc>
          <w:tcPr>
            <w:tcW w:w="454" w:type="pct"/>
          </w:tcPr>
          <w:p w:rsidR="008B6EB1" w:rsidRDefault="008B6EB1">
            <w:r w:rsidRPr="00DC7B09">
              <w:rPr>
                <w:rFonts w:ascii="Arial Narrow" w:hAnsi="Arial Narrow" w:cs="Arial"/>
                <w:i/>
                <w:snapToGrid w:val="0"/>
                <w:color w:val="000000"/>
                <w:sz w:val="20"/>
                <w:szCs w:val="18"/>
                <w:lang w:eastAsia="en-US"/>
              </w:rPr>
              <w:t>(REDACTED)</w:t>
            </w:r>
          </w:p>
        </w:tc>
        <w:tc>
          <w:tcPr>
            <w:tcW w:w="452" w:type="pct"/>
            <w:vAlign w:val="center"/>
          </w:tcPr>
          <w:p w:rsidR="008B6EB1" w:rsidRPr="002B7FBB" w:rsidRDefault="008B6EB1" w:rsidP="00D371A9">
            <w:pPr>
              <w:keepNext/>
              <w:widowControl w:val="0"/>
              <w:jc w:val="center"/>
              <w:rPr>
                <w:rFonts w:ascii="Arial Narrow" w:hAnsi="Arial Narrow" w:cs="Arial"/>
                <w:snapToGrid w:val="0"/>
                <w:color w:val="000000"/>
                <w:sz w:val="20"/>
                <w:szCs w:val="18"/>
                <w:lang w:eastAsia="en-US"/>
              </w:rPr>
            </w:pPr>
          </w:p>
        </w:tc>
        <w:tc>
          <w:tcPr>
            <w:tcW w:w="563" w:type="pct"/>
            <w:vMerge w:val="restart"/>
            <w:vAlign w:val="center"/>
          </w:tcPr>
          <w:p w:rsidR="008B6EB1" w:rsidRPr="002B7FBB" w:rsidRDefault="008B6EB1" w:rsidP="00D371A9">
            <w:pPr>
              <w:keepNext/>
              <w:widowControl w:val="0"/>
              <w:jc w:val="center"/>
              <w:rPr>
                <w:rFonts w:ascii="Arial Narrow" w:hAnsi="Arial Narrow" w:cs="Arial"/>
                <w:i/>
                <w:snapToGrid w:val="0"/>
                <w:color w:val="000000"/>
                <w:sz w:val="20"/>
                <w:szCs w:val="18"/>
                <w:highlight w:val="black"/>
                <w:lang w:eastAsia="en-US"/>
              </w:rPr>
            </w:pPr>
            <w:r>
              <w:rPr>
                <w:rFonts w:ascii="Arial Narrow" w:hAnsi="Arial Narrow" w:cs="Arial"/>
                <w:i/>
                <w:snapToGrid w:val="0"/>
                <w:color w:val="000000"/>
                <w:sz w:val="20"/>
                <w:szCs w:val="18"/>
                <w:lang w:eastAsia="en-US"/>
              </w:rPr>
              <w:t>(REDACTED)</w:t>
            </w:r>
          </w:p>
        </w:tc>
      </w:tr>
      <w:tr w:rsidR="008B6EB1" w:rsidRPr="005F51FE" w:rsidTr="00B117DC">
        <w:tc>
          <w:tcPr>
            <w:tcW w:w="453" w:type="pct"/>
            <w:shd w:val="clear" w:color="auto" w:fill="auto"/>
            <w:vAlign w:val="center"/>
          </w:tcPr>
          <w:p w:rsidR="008B6EB1" w:rsidRPr="002B7FBB" w:rsidRDefault="008B6EB1" w:rsidP="00D371A9">
            <w:pPr>
              <w:widowControl w:val="0"/>
              <w:jc w:val="both"/>
              <w:rPr>
                <w:rFonts w:ascii="Arial Narrow" w:hAnsi="Arial Narrow" w:cs="Arial"/>
                <w:snapToGrid w:val="0"/>
                <w:color w:val="000000"/>
                <w:sz w:val="20"/>
                <w:szCs w:val="18"/>
                <w:lang w:eastAsia="en-US"/>
              </w:rPr>
            </w:pPr>
            <w:r w:rsidRPr="00BD2955">
              <w:rPr>
                <w:rFonts w:ascii="Arial Narrow" w:hAnsi="Arial Narrow" w:cs="Arial"/>
                <w:snapToGrid w:val="0"/>
                <w:color w:val="000000"/>
                <w:sz w:val="20"/>
                <w:szCs w:val="18"/>
                <w:lang w:eastAsia="en-US"/>
              </w:rPr>
              <w:t xml:space="preserve">IFX </w:t>
            </w:r>
            <w:r w:rsidRPr="00BD2955">
              <w:rPr>
                <w:rFonts w:ascii="Arial Narrow" w:hAnsi="Arial Narrow" w:cs="Arial"/>
                <w:snapToGrid w:val="0"/>
                <w:color w:val="000000"/>
                <w:sz w:val="20"/>
                <w:szCs w:val="18"/>
                <w:vertAlign w:val="superscript"/>
                <w:lang w:eastAsia="en-US"/>
              </w:rPr>
              <w:t>b</w:t>
            </w:r>
          </w:p>
        </w:tc>
        <w:tc>
          <w:tcPr>
            <w:tcW w:w="542" w:type="pct"/>
            <w:vAlign w:val="center"/>
          </w:tcPr>
          <w:p w:rsidR="008B6EB1" w:rsidRPr="002B7FBB" w:rsidRDefault="008B6EB1" w:rsidP="00D371A9">
            <w:pPr>
              <w:widowControl w:val="0"/>
              <w:jc w:val="center"/>
              <w:rPr>
                <w:rFonts w:ascii="Arial Narrow" w:hAnsi="Arial Narrow" w:cs="Arial"/>
                <w:snapToGrid w:val="0"/>
                <w:color w:val="000000"/>
                <w:sz w:val="20"/>
                <w:szCs w:val="18"/>
                <w:lang w:eastAsia="en-US"/>
              </w:rPr>
            </w:pPr>
          </w:p>
        </w:tc>
        <w:tc>
          <w:tcPr>
            <w:tcW w:w="543" w:type="pct"/>
          </w:tcPr>
          <w:p w:rsidR="008B6EB1" w:rsidRDefault="008B6EB1">
            <w:r w:rsidRPr="00FC23F5">
              <w:rPr>
                <w:rFonts w:ascii="Arial Narrow" w:hAnsi="Arial Narrow" w:cs="Arial"/>
                <w:i/>
                <w:snapToGrid w:val="0"/>
                <w:color w:val="000000"/>
                <w:sz w:val="20"/>
                <w:szCs w:val="18"/>
                <w:lang w:eastAsia="en-US"/>
              </w:rPr>
              <w:t>(REDACTED)</w:t>
            </w:r>
          </w:p>
        </w:tc>
        <w:tc>
          <w:tcPr>
            <w:tcW w:w="454" w:type="pct"/>
          </w:tcPr>
          <w:p w:rsidR="008B6EB1" w:rsidRDefault="008B6EB1">
            <w:r w:rsidRPr="00FC23F5">
              <w:rPr>
                <w:rFonts w:ascii="Arial Narrow" w:hAnsi="Arial Narrow" w:cs="Arial"/>
                <w:i/>
                <w:snapToGrid w:val="0"/>
                <w:color w:val="000000"/>
                <w:sz w:val="20"/>
                <w:szCs w:val="18"/>
                <w:lang w:eastAsia="en-US"/>
              </w:rPr>
              <w:t>(REDACTED)</w:t>
            </w:r>
          </w:p>
        </w:tc>
        <w:tc>
          <w:tcPr>
            <w:tcW w:w="1086" w:type="pct"/>
          </w:tcPr>
          <w:p w:rsidR="008B6EB1" w:rsidRDefault="008B6EB1">
            <w:r w:rsidRPr="00FC23F5">
              <w:rPr>
                <w:rFonts w:ascii="Arial Narrow" w:hAnsi="Arial Narrow" w:cs="Arial"/>
                <w:i/>
                <w:snapToGrid w:val="0"/>
                <w:color w:val="000000"/>
                <w:sz w:val="20"/>
                <w:szCs w:val="18"/>
                <w:lang w:eastAsia="en-US"/>
              </w:rPr>
              <w:t>(REDACTED)</w:t>
            </w:r>
          </w:p>
        </w:tc>
        <w:tc>
          <w:tcPr>
            <w:tcW w:w="453" w:type="pct"/>
            <w:vAlign w:val="center"/>
          </w:tcPr>
          <w:p w:rsidR="008B6EB1" w:rsidRPr="002B7FBB" w:rsidRDefault="008B6EB1" w:rsidP="00D371A9">
            <w:pPr>
              <w:widowControl w:val="0"/>
              <w:jc w:val="center"/>
              <w:rPr>
                <w:rFonts w:ascii="Arial Narrow" w:hAnsi="Arial Narrow" w:cs="Arial"/>
                <w:snapToGrid w:val="0"/>
                <w:color w:val="000000"/>
                <w:sz w:val="20"/>
                <w:szCs w:val="18"/>
                <w:lang w:eastAsia="en-US"/>
              </w:rPr>
            </w:pPr>
          </w:p>
        </w:tc>
        <w:tc>
          <w:tcPr>
            <w:tcW w:w="454" w:type="pct"/>
          </w:tcPr>
          <w:p w:rsidR="008B6EB1" w:rsidRDefault="008B6EB1">
            <w:r w:rsidRPr="00012347">
              <w:rPr>
                <w:rFonts w:ascii="Arial Narrow" w:hAnsi="Arial Narrow" w:cs="Arial"/>
                <w:i/>
                <w:snapToGrid w:val="0"/>
                <w:color w:val="000000"/>
                <w:sz w:val="20"/>
                <w:szCs w:val="18"/>
                <w:lang w:eastAsia="en-US"/>
              </w:rPr>
              <w:t>(REDACTED)</w:t>
            </w:r>
          </w:p>
        </w:tc>
        <w:tc>
          <w:tcPr>
            <w:tcW w:w="452" w:type="pct"/>
          </w:tcPr>
          <w:p w:rsidR="008B6EB1" w:rsidRDefault="008B6EB1">
            <w:r w:rsidRPr="00012347">
              <w:rPr>
                <w:rFonts w:ascii="Arial Narrow" w:hAnsi="Arial Narrow" w:cs="Arial"/>
                <w:i/>
                <w:snapToGrid w:val="0"/>
                <w:color w:val="000000"/>
                <w:sz w:val="20"/>
                <w:szCs w:val="18"/>
                <w:lang w:eastAsia="en-US"/>
              </w:rPr>
              <w:t>(REDACTED)</w:t>
            </w:r>
          </w:p>
        </w:tc>
        <w:tc>
          <w:tcPr>
            <w:tcW w:w="563" w:type="pct"/>
            <w:vMerge/>
            <w:vAlign w:val="center"/>
          </w:tcPr>
          <w:p w:rsidR="008B6EB1" w:rsidRPr="002B7FBB" w:rsidRDefault="008B6EB1" w:rsidP="00D371A9">
            <w:pPr>
              <w:widowControl w:val="0"/>
              <w:jc w:val="center"/>
              <w:rPr>
                <w:rFonts w:ascii="Arial Narrow" w:hAnsi="Arial Narrow" w:cs="Arial"/>
                <w:snapToGrid w:val="0"/>
                <w:color w:val="000000"/>
                <w:sz w:val="20"/>
                <w:szCs w:val="18"/>
                <w:lang w:eastAsia="en-US"/>
              </w:rPr>
            </w:pPr>
          </w:p>
        </w:tc>
      </w:tr>
      <w:tr w:rsidR="00D371A9" w:rsidRPr="005F51FE" w:rsidTr="00D872C8">
        <w:tc>
          <w:tcPr>
            <w:tcW w:w="1992" w:type="pct"/>
            <w:gridSpan w:val="4"/>
            <w:tcBorders>
              <w:bottom w:val="single" w:sz="4" w:space="0" w:color="auto"/>
            </w:tcBorders>
            <w:shd w:val="clear" w:color="auto" w:fill="auto"/>
            <w:vAlign w:val="center"/>
          </w:tcPr>
          <w:p w:rsidR="00D371A9" w:rsidRPr="002B7FBB" w:rsidRDefault="00D371A9" w:rsidP="008B6EB1">
            <w:pPr>
              <w:widowControl w:val="0"/>
              <w:jc w:val="both"/>
              <w:rPr>
                <w:rFonts w:ascii="Arial Narrow" w:hAnsi="Arial Narrow" w:cs="Arial"/>
                <w:i/>
                <w:snapToGrid w:val="0"/>
                <w:color w:val="000000"/>
                <w:sz w:val="20"/>
                <w:szCs w:val="18"/>
                <w:lang w:eastAsia="en-US"/>
              </w:rPr>
            </w:pPr>
            <w:r w:rsidRPr="007224F1">
              <w:rPr>
                <w:rFonts w:ascii="Arial Narrow" w:hAnsi="Arial Narrow" w:cs="Arial"/>
                <w:i/>
                <w:snapToGrid w:val="0"/>
                <w:color w:val="000000"/>
                <w:sz w:val="20"/>
                <w:szCs w:val="18"/>
                <w:lang w:eastAsia="en-US"/>
              </w:rPr>
              <w:t>Indirect comparison</w:t>
            </w:r>
            <w:r w:rsidR="008B6EB1">
              <w:rPr>
                <w:rFonts w:ascii="Arial Narrow" w:hAnsi="Arial Narrow" w:cs="Arial"/>
                <w:i/>
                <w:snapToGrid w:val="0"/>
                <w:color w:val="000000"/>
                <w:sz w:val="20"/>
                <w:szCs w:val="18"/>
                <w:lang w:eastAsia="en-US"/>
              </w:rPr>
              <w:t xml:space="preserve"> </w:t>
            </w:r>
          </w:p>
        </w:tc>
        <w:tc>
          <w:tcPr>
            <w:tcW w:w="1086" w:type="pct"/>
            <w:tcBorders>
              <w:bottom w:val="single" w:sz="4" w:space="0" w:color="auto"/>
            </w:tcBorders>
            <w:vAlign w:val="center"/>
          </w:tcPr>
          <w:p w:rsidR="00D371A9" w:rsidRPr="002B7FBB" w:rsidRDefault="008B6EB1" w:rsidP="008B6EB1">
            <w:pPr>
              <w:widowControl w:val="0"/>
              <w:rPr>
                <w:rFonts w:ascii="Arial Narrow" w:hAnsi="Arial Narrow" w:cs="Arial"/>
                <w:snapToGrid w:val="0"/>
                <w:color w:val="000000"/>
                <w:sz w:val="20"/>
                <w:szCs w:val="18"/>
                <w:highlight w:val="black"/>
                <w:lang w:eastAsia="en-US"/>
              </w:rPr>
            </w:pPr>
            <w:r>
              <w:rPr>
                <w:rFonts w:ascii="Arial Narrow" w:hAnsi="Arial Narrow" w:cs="Arial"/>
                <w:i/>
                <w:snapToGrid w:val="0"/>
                <w:color w:val="000000"/>
                <w:sz w:val="20"/>
                <w:szCs w:val="18"/>
                <w:lang w:eastAsia="en-US"/>
              </w:rPr>
              <w:t>(REDACTED)</w:t>
            </w:r>
          </w:p>
        </w:tc>
        <w:tc>
          <w:tcPr>
            <w:tcW w:w="1359" w:type="pct"/>
            <w:gridSpan w:val="3"/>
            <w:tcBorders>
              <w:bottom w:val="single" w:sz="4" w:space="0" w:color="auto"/>
            </w:tcBorders>
            <w:shd w:val="clear" w:color="auto" w:fill="auto"/>
            <w:vAlign w:val="center"/>
          </w:tcPr>
          <w:p w:rsidR="00D371A9" w:rsidRPr="002B7FBB" w:rsidRDefault="00D371A9" w:rsidP="00D371A9">
            <w:pPr>
              <w:widowControl w:val="0"/>
              <w:jc w:val="center"/>
              <w:rPr>
                <w:rFonts w:ascii="Arial Narrow" w:hAnsi="Arial Narrow" w:cs="Arial"/>
                <w:i/>
                <w:snapToGrid w:val="0"/>
                <w:color w:val="000000"/>
                <w:sz w:val="20"/>
                <w:szCs w:val="18"/>
                <w:lang w:eastAsia="en-US"/>
              </w:rPr>
            </w:pPr>
          </w:p>
        </w:tc>
        <w:tc>
          <w:tcPr>
            <w:tcW w:w="563" w:type="pct"/>
            <w:vMerge/>
            <w:tcBorders>
              <w:bottom w:val="single" w:sz="4" w:space="0" w:color="auto"/>
            </w:tcBorders>
            <w:vAlign w:val="center"/>
          </w:tcPr>
          <w:p w:rsidR="00D371A9" w:rsidRPr="002B7FBB" w:rsidRDefault="00D371A9" w:rsidP="00D371A9">
            <w:pPr>
              <w:widowControl w:val="0"/>
              <w:jc w:val="center"/>
              <w:rPr>
                <w:rFonts w:ascii="Arial Narrow" w:hAnsi="Arial Narrow" w:cs="Arial"/>
                <w:b/>
                <w:i/>
                <w:snapToGrid w:val="0"/>
                <w:color w:val="000000"/>
                <w:sz w:val="20"/>
                <w:szCs w:val="18"/>
                <w:lang w:eastAsia="en-US"/>
              </w:rPr>
            </w:pPr>
          </w:p>
        </w:tc>
      </w:tr>
      <w:tr w:rsidR="00D371A9" w:rsidRPr="005F51FE">
        <w:tc>
          <w:tcPr>
            <w:tcW w:w="5000" w:type="pct"/>
            <w:gridSpan w:val="9"/>
            <w:tcBorders>
              <w:top w:val="single" w:sz="4" w:space="0" w:color="auto"/>
            </w:tcBorders>
            <w:shd w:val="clear" w:color="auto" w:fill="auto"/>
            <w:vAlign w:val="center"/>
          </w:tcPr>
          <w:p w:rsidR="00D371A9" w:rsidRPr="002B7FBB" w:rsidRDefault="00D371A9" w:rsidP="00D371A9">
            <w:pPr>
              <w:widowControl w:val="0"/>
              <w:jc w:val="both"/>
              <w:rPr>
                <w:rFonts w:ascii="Arial Narrow" w:hAnsi="Arial Narrow" w:cs="Arial"/>
                <w:b/>
                <w:snapToGrid w:val="0"/>
                <w:color w:val="000000"/>
                <w:sz w:val="20"/>
                <w:szCs w:val="18"/>
                <w:lang w:eastAsia="en-US"/>
              </w:rPr>
            </w:pPr>
            <w:r w:rsidRPr="00BD2955">
              <w:rPr>
                <w:rFonts w:ascii="Arial Narrow" w:hAnsi="Arial Narrow" w:cs="Arial"/>
                <w:b/>
                <w:snapToGrid w:val="0"/>
                <w:color w:val="000000"/>
                <w:sz w:val="20"/>
                <w:szCs w:val="18"/>
                <w:lang w:eastAsia="en-US"/>
              </w:rPr>
              <w:t>Clinical response at 8 weeks</w:t>
            </w:r>
          </w:p>
        </w:tc>
      </w:tr>
      <w:tr w:rsidR="008B6EB1" w:rsidRPr="005F51FE" w:rsidTr="0098471B">
        <w:tc>
          <w:tcPr>
            <w:tcW w:w="453" w:type="pct"/>
            <w:shd w:val="clear" w:color="auto" w:fill="auto"/>
            <w:vAlign w:val="center"/>
          </w:tcPr>
          <w:p w:rsidR="008B6EB1" w:rsidRPr="002B7FBB" w:rsidRDefault="008B6EB1" w:rsidP="00D371A9">
            <w:pPr>
              <w:widowControl w:val="0"/>
              <w:jc w:val="both"/>
              <w:rPr>
                <w:rFonts w:ascii="Arial Narrow" w:hAnsi="Arial Narrow" w:cs="Arial"/>
                <w:snapToGrid w:val="0"/>
                <w:color w:val="000000"/>
                <w:sz w:val="20"/>
                <w:szCs w:val="18"/>
                <w:lang w:eastAsia="en-US"/>
              </w:rPr>
            </w:pPr>
            <w:r w:rsidRPr="00BD2955">
              <w:rPr>
                <w:rFonts w:ascii="Arial Narrow" w:hAnsi="Arial Narrow" w:cs="Arial"/>
                <w:snapToGrid w:val="0"/>
                <w:color w:val="000000"/>
                <w:sz w:val="20"/>
                <w:szCs w:val="18"/>
                <w:lang w:eastAsia="en-US"/>
              </w:rPr>
              <w:t xml:space="preserve">ADA </w:t>
            </w:r>
            <w:r w:rsidRPr="00BD2955">
              <w:rPr>
                <w:rFonts w:ascii="Arial Narrow" w:hAnsi="Arial Narrow" w:cs="Arial"/>
                <w:snapToGrid w:val="0"/>
                <w:color w:val="000000"/>
                <w:sz w:val="20"/>
                <w:szCs w:val="18"/>
                <w:vertAlign w:val="superscript"/>
                <w:lang w:eastAsia="en-US"/>
              </w:rPr>
              <w:t>a</w:t>
            </w:r>
          </w:p>
        </w:tc>
        <w:tc>
          <w:tcPr>
            <w:tcW w:w="542" w:type="pct"/>
          </w:tcPr>
          <w:p w:rsidR="008B6EB1" w:rsidRDefault="008B6EB1">
            <w:r w:rsidRPr="00127582">
              <w:rPr>
                <w:rFonts w:ascii="Arial Narrow" w:hAnsi="Arial Narrow" w:cs="Arial"/>
                <w:i/>
                <w:snapToGrid w:val="0"/>
                <w:color w:val="000000"/>
                <w:sz w:val="20"/>
                <w:szCs w:val="18"/>
                <w:lang w:eastAsia="en-US"/>
              </w:rPr>
              <w:t>(REDACTED)</w:t>
            </w:r>
          </w:p>
        </w:tc>
        <w:tc>
          <w:tcPr>
            <w:tcW w:w="543" w:type="pct"/>
          </w:tcPr>
          <w:p w:rsidR="008B6EB1" w:rsidRDefault="008B6EB1">
            <w:r w:rsidRPr="00127582">
              <w:rPr>
                <w:rFonts w:ascii="Arial Narrow" w:hAnsi="Arial Narrow" w:cs="Arial"/>
                <w:i/>
                <w:snapToGrid w:val="0"/>
                <w:color w:val="000000"/>
                <w:sz w:val="20"/>
                <w:szCs w:val="18"/>
                <w:lang w:eastAsia="en-US"/>
              </w:rPr>
              <w:t>(REDACTED)</w:t>
            </w:r>
          </w:p>
        </w:tc>
        <w:tc>
          <w:tcPr>
            <w:tcW w:w="454" w:type="pct"/>
          </w:tcPr>
          <w:p w:rsidR="008B6EB1" w:rsidRDefault="008B6EB1">
            <w:r w:rsidRPr="00127582">
              <w:rPr>
                <w:rFonts w:ascii="Arial Narrow" w:hAnsi="Arial Narrow" w:cs="Arial"/>
                <w:i/>
                <w:snapToGrid w:val="0"/>
                <w:color w:val="000000"/>
                <w:sz w:val="20"/>
                <w:szCs w:val="18"/>
                <w:lang w:eastAsia="en-US"/>
              </w:rPr>
              <w:t>(REDACTED)</w:t>
            </w:r>
          </w:p>
        </w:tc>
        <w:tc>
          <w:tcPr>
            <w:tcW w:w="1086" w:type="pct"/>
          </w:tcPr>
          <w:p w:rsidR="008B6EB1" w:rsidRDefault="008B6EB1">
            <w:r w:rsidRPr="00127582">
              <w:rPr>
                <w:rFonts w:ascii="Arial Narrow" w:hAnsi="Arial Narrow" w:cs="Arial"/>
                <w:i/>
                <w:snapToGrid w:val="0"/>
                <w:color w:val="000000"/>
                <w:sz w:val="20"/>
                <w:szCs w:val="18"/>
                <w:lang w:eastAsia="en-US"/>
              </w:rPr>
              <w:t>(REDACTED)</w:t>
            </w:r>
          </w:p>
        </w:tc>
        <w:tc>
          <w:tcPr>
            <w:tcW w:w="453" w:type="pct"/>
          </w:tcPr>
          <w:p w:rsidR="008B6EB1" w:rsidRDefault="008B6EB1">
            <w:r w:rsidRPr="00127582">
              <w:rPr>
                <w:rFonts w:ascii="Arial Narrow" w:hAnsi="Arial Narrow" w:cs="Arial"/>
                <w:i/>
                <w:snapToGrid w:val="0"/>
                <w:color w:val="000000"/>
                <w:sz w:val="20"/>
                <w:szCs w:val="18"/>
                <w:lang w:eastAsia="en-US"/>
              </w:rPr>
              <w:t>(REDACTED)</w:t>
            </w:r>
          </w:p>
        </w:tc>
        <w:tc>
          <w:tcPr>
            <w:tcW w:w="454" w:type="pct"/>
          </w:tcPr>
          <w:p w:rsidR="008B6EB1" w:rsidRDefault="008B6EB1">
            <w:r w:rsidRPr="00127582">
              <w:rPr>
                <w:rFonts w:ascii="Arial Narrow" w:hAnsi="Arial Narrow" w:cs="Arial"/>
                <w:i/>
                <w:snapToGrid w:val="0"/>
                <w:color w:val="000000"/>
                <w:sz w:val="20"/>
                <w:szCs w:val="18"/>
                <w:lang w:eastAsia="en-US"/>
              </w:rPr>
              <w:t>(REDACTED)</w:t>
            </w:r>
          </w:p>
        </w:tc>
        <w:tc>
          <w:tcPr>
            <w:tcW w:w="452" w:type="pct"/>
            <w:vAlign w:val="center"/>
          </w:tcPr>
          <w:p w:rsidR="008B6EB1" w:rsidRPr="002B7FBB" w:rsidRDefault="008B6EB1" w:rsidP="00D371A9">
            <w:pPr>
              <w:widowControl w:val="0"/>
              <w:jc w:val="both"/>
              <w:rPr>
                <w:rFonts w:ascii="Arial Narrow" w:hAnsi="Arial Narrow" w:cs="Arial"/>
                <w:snapToGrid w:val="0"/>
                <w:color w:val="000000"/>
                <w:sz w:val="20"/>
                <w:szCs w:val="18"/>
                <w:lang w:eastAsia="en-US"/>
              </w:rPr>
            </w:pPr>
          </w:p>
        </w:tc>
        <w:tc>
          <w:tcPr>
            <w:tcW w:w="563" w:type="pct"/>
            <w:vMerge w:val="restart"/>
            <w:vAlign w:val="center"/>
          </w:tcPr>
          <w:p w:rsidR="008B6EB1" w:rsidRPr="002B7FBB" w:rsidRDefault="008B6EB1" w:rsidP="00D371A9">
            <w:pPr>
              <w:widowControl w:val="0"/>
              <w:jc w:val="center"/>
              <w:rPr>
                <w:rFonts w:ascii="Arial Narrow" w:hAnsi="Arial Narrow" w:cs="Arial"/>
                <w:i/>
                <w:snapToGrid w:val="0"/>
                <w:color w:val="000000"/>
                <w:sz w:val="20"/>
                <w:szCs w:val="18"/>
                <w:highlight w:val="black"/>
                <w:lang w:eastAsia="en-US"/>
              </w:rPr>
            </w:pPr>
            <w:r>
              <w:rPr>
                <w:rFonts w:ascii="Arial Narrow" w:hAnsi="Arial Narrow" w:cs="Arial"/>
                <w:i/>
                <w:snapToGrid w:val="0"/>
                <w:color w:val="000000"/>
                <w:sz w:val="20"/>
                <w:szCs w:val="18"/>
                <w:lang w:eastAsia="en-US"/>
              </w:rPr>
              <w:t>(REDACTED)</w:t>
            </w:r>
          </w:p>
        </w:tc>
      </w:tr>
      <w:tr w:rsidR="008B6EB1" w:rsidRPr="005F51FE" w:rsidTr="00235554">
        <w:tc>
          <w:tcPr>
            <w:tcW w:w="453" w:type="pct"/>
            <w:shd w:val="clear" w:color="auto" w:fill="auto"/>
            <w:vAlign w:val="center"/>
          </w:tcPr>
          <w:p w:rsidR="008B6EB1" w:rsidRPr="002B7FBB" w:rsidRDefault="008B6EB1" w:rsidP="00D371A9">
            <w:pPr>
              <w:widowControl w:val="0"/>
              <w:jc w:val="both"/>
              <w:rPr>
                <w:rFonts w:ascii="Arial Narrow" w:hAnsi="Arial Narrow" w:cs="Arial"/>
                <w:snapToGrid w:val="0"/>
                <w:color w:val="000000"/>
                <w:sz w:val="20"/>
                <w:szCs w:val="18"/>
                <w:lang w:eastAsia="en-US"/>
              </w:rPr>
            </w:pPr>
            <w:r w:rsidRPr="00BD2955">
              <w:rPr>
                <w:rFonts w:ascii="Arial Narrow" w:hAnsi="Arial Narrow" w:cs="Arial"/>
                <w:snapToGrid w:val="0"/>
                <w:color w:val="000000"/>
                <w:sz w:val="20"/>
                <w:szCs w:val="18"/>
                <w:lang w:eastAsia="en-US"/>
              </w:rPr>
              <w:t xml:space="preserve">IFX </w:t>
            </w:r>
            <w:r w:rsidRPr="00BD2955">
              <w:rPr>
                <w:rFonts w:ascii="Arial Narrow" w:hAnsi="Arial Narrow" w:cs="Arial"/>
                <w:snapToGrid w:val="0"/>
                <w:color w:val="000000"/>
                <w:sz w:val="20"/>
                <w:szCs w:val="18"/>
                <w:vertAlign w:val="superscript"/>
                <w:lang w:eastAsia="en-US"/>
              </w:rPr>
              <w:t>b</w:t>
            </w:r>
          </w:p>
        </w:tc>
        <w:tc>
          <w:tcPr>
            <w:tcW w:w="542" w:type="pct"/>
            <w:vAlign w:val="center"/>
          </w:tcPr>
          <w:p w:rsidR="008B6EB1" w:rsidRPr="002B7FBB" w:rsidRDefault="008B6EB1" w:rsidP="00D371A9">
            <w:pPr>
              <w:widowControl w:val="0"/>
              <w:jc w:val="center"/>
              <w:rPr>
                <w:rFonts w:ascii="Arial Narrow" w:hAnsi="Arial Narrow" w:cs="Arial"/>
                <w:snapToGrid w:val="0"/>
                <w:color w:val="000000"/>
                <w:sz w:val="20"/>
                <w:szCs w:val="18"/>
                <w:lang w:eastAsia="en-US"/>
              </w:rPr>
            </w:pPr>
          </w:p>
        </w:tc>
        <w:tc>
          <w:tcPr>
            <w:tcW w:w="543" w:type="pct"/>
          </w:tcPr>
          <w:p w:rsidR="008B6EB1" w:rsidRDefault="008B6EB1">
            <w:r w:rsidRPr="00E130A6">
              <w:rPr>
                <w:rFonts w:ascii="Arial Narrow" w:hAnsi="Arial Narrow" w:cs="Arial"/>
                <w:i/>
                <w:snapToGrid w:val="0"/>
                <w:color w:val="000000"/>
                <w:sz w:val="20"/>
                <w:szCs w:val="18"/>
                <w:lang w:eastAsia="en-US"/>
              </w:rPr>
              <w:t>(REDACTED)</w:t>
            </w:r>
          </w:p>
        </w:tc>
        <w:tc>
          <w:tcPr>
            <w:tcW w:w="454" w:type="pct"/>
          </w:tcPr>
          <w:p w:rsidR="008B6EB1" w:rsidRDefault="008B6EB1">
            <w:r w:rsidRPr="00E130A6">
              <w:rPr>
                <w:rFonts w:ascii="Arial Narrow" w:hAnsi="Arial Narrow" w:cs="Arial"/>
                <w:i/>
                <w:snapToGrid w:val="0"/>
                <w:color w:val="000000"/>
                <w:sz w:val="20"/>
                <w:szCs w:val="18"/>
                <w:lang w:eastAsia="en-US"/>
              </w:rPr>
              <w:t>(REDACTED)</w:t>
            </w:r>
          </w:p>
        </w:tc>
        <w:tc>
          <w:tcPr>
            <w:tcW w:w="1086" w:type="pct"/>
          </w:tcPr>
          <w:p w:rsidR="008B6EB1" w:rsidRDefault="008B6EB1">
            <w:r w:rsidRPr="00E130A6">
              <w:rPr>
                <w:rFonts w:ascii="Arial Narrow" w:hAnsi="Arial Narrow" w:cs="Arial"/>
                <w:i/>
                <w:snapToGrid w:val="0"/>
                <w:color w:val="000000"/>
                <w:sz w:val="20"/>
                <w:szCs w:val="18"/>
                <w:lang w:eastAsia="en-US"/>
              </w:rPr>
              <w:t>(REDACTED)</w:t>
            </w:r>
          </w:p>
        </w:tc>
        <w:tc>
          <w:tcPr>
            <w:tcW w:w="453" w:type="pct"/>
            <w:vAlign w:val="center"/>
          </w:tcPr>
          <w:p w:rsidR="008B6EB1" w:rsidRPr="002B7FBB" w:rsidRDefault="008B6EB1" w:rsidP="00D371A9">
            <w:pPr>
              <w:widowControl w:val="0"/>
              <w:jc w:val="center"/>
              <w:rPr>
                <w:rFonts w:ascii="Arial Narrow" w:hAnsi="Arial Narrow" w:cs="Arial"/>
                <w:snapToGrid w:val="0"/>
                <w:color w:val="000000"/>
                <w:sz w:val="20"/>
                <w:szCs w:val="18"/>
                <w:lang w:eastAsia="en-US"/>
              </w:rPr>
            </w:pPr>
          </w:p>
        </w:tc>
        <w:tc>
          <w:tcPr>
            <w:tcW w:w="454" w:type="pct"/>
          </w:tcPr>
          <w:p w:rsidR="008B6EB1" w:rsidRDefault="008B6EB1">
            <w:r w:rsidRPr="006718F9">
              <w:rPr>
                <w:rFonts w:ascii="Arial Narrow" w:hAnsi="Arial Narrow" w:cs="Arial"/>
                <w:i/>
                <w:snapToGrid w:val="0"/>
                <w:color w:val="000000"/>
                <w:sz w:val="20"/>
                <w:szCs w:val="18"/>
                <w:lang w:eastAsia="en-US"/>
              </w:rPr>
              <w:t>(REDACTED)</w:t>
            </w:r>
          </w:p>
        </w:tc>
        <w:tc>
          <w:tcPr>
            <w:tcW w:w="452" w:type="pct"/>
          </w:tcPr>
          <w:p w:rsidR="008B6EB1" w:rsidRDefault="008B6EB1">
            <w:r w:rsidRPr="006718F9">
              <w:rPr>
                <w:rFonts w:ascii="Arial Narrow" w:hAnsi="Arial Narrow" w:cs="Arial"/>
                <w:i/>
                <w:snapToGrid w:val="0"/>
                <w:color w:val="000000"/>
                <w:sz w:val="20"/>
                <w:szCs w:val="18"/>
                <w:lang w:eastAsia="en-US"/>
              </w:rPr>
              <w:t>(REDACTED)</w:t>
            </w:r>
          </w:p>
        </w:tc>
        <w:tc>
          <w:tcPr>
            <w:tcW w:w="563" w:type="pct"/>
            <w:vMerge/>
            <w:vAlign w:val="center"/>
          </w:tcPr>
          <w:p w:rsidR="008B6EB1" w:rsidRPr="002B7FBB" w:rsidRDefault="008B6EB1" w:rsidP="00D371A9">
            <w:pPr>
              <w:widowControl w:val="0"/>
              <w:jc w:val="center"/>
              <w:rPr>
                <w:rFonts w:ascii="Arial Narrow" w:hAnsi="Arial Narrow" w:cs="Arial"/>
                <w:b/>
                <w:snapToGrid w:val="0"/>
                <w:color w:val="000000"/>
                <w:sz w:val="20"/>
                <w:szCs w:val="18"/>
                <w:lang w:eastAsia="en-US"/>
              </w:rPr>
            </w:pPr>
          </w:p>
        </w:tc>
      </w:tr>
      <w:tr w:rsidR="00D371A9" w:rsidRPr="005F51FE" w:rsidTr="00D872C8">
        <w:tc>
          <w:tcPr>
            <w:tcW w:w="1992" w:type="pct"/>
            <w:gridSpan w:val="4"/>
            <w:tcBorders>
              <w:bottom w:val="single" w:sz="4" w:space="0" w:color="auto"/>
            </w:tcBorders>
            <w:shd w:val="clear" w:color="auto" w:fill="auto"/>
            <w:vAlign w:val="center"/>
          </w:tcPr>
          <w:p w:rsidR="00D371A9" w:rsidRPr="002B7FBB" w:rsidRDefault="00D371A9" w:rsidP="00D371A9">
            <w:pPr>
              <w:widowControl w:val="0"/>
              <w:jc w:val="both"/>
              <w:rPr>
                <w:rFonts w:ascii="Arial Narrow" w:hAnsi="Arial Narrow" w:cs="Arial"/>
                <w:i/>
                <w:snapToGrid w:val="0"/>
                <w:color w:val="000000"/>
                <w:sz w:val="20"/>
                <w:szCs w:val="18"/>
                <w:lang w:eastAsia="en-US"/>
              </w:rPr>
            </w:pPr>
            <w:r w:rsidRPr="007224F1">
              <w:rPr>
                <w:rFonts w:ascii="Arial Narrow" w:hAnsi="Arial Narrow" w:cs="Arial"/>
                <w:i/>
                <w:snapToGrid w:val="0"/>
                <w:color w:val="000000"/>
                <w:sz w:val="20"/>
                <w:szCs w:val="18"/>
                <w:lang w:eastAsia="en-US"/>
              </w:rPr>
              <w:t>Indirect comparison</w:t>
            </w:r>
          </w:p>
        </w:tc>
        <w:tc>
          <w:tcPr>
            <w:tcW w:w="1086" w:type="pct"/>
            <w:tcBorders>
              <w:bottom w:val="single" w:sz="4" w:space="0" w:color="auto"/>
            </w:tcBorders>
            <w:vAlign w:val="center"/>
          </w:tcPr>
          <w:p w:rsidR="00D371A9" w:rsidRPr="002B7FBB" w:rsidRDefault="008B6EB1" w:rsidP="008B6EB1">
            <w:pPr>
              <w:widowControl w:val="0"/>
              <w:rPr>
                <w:rFonts w:ascii="Arial Narrow" w:hAnsi="Arial Narrow" w:cs="Arial"/>
                <w:snapToGrid w:val="0"/>
                <w:color w:val="000000"/>
                <w:sz w:val="20"/>
                <w:szCs w:val="18"/>
                <w:highlight w:val="black"/>
                <w:lang w:eastAsia="en-US"/>
              </w:rPr>
            </w:pPr>
            <w:r>
              <w:rPr>
                <w:rFonts w:ascii="Arial Narrow" w:hAnsi="Arial Narrow" w:cs="Arial"/>
                <w:i/>
                <w:snapToGrid w:val="0"/>
                <w:color w:val="000000"/>
                <w:sz w:val="20"/>
                <w:szCs w:val="18"/>
                <w:lang w:eastAsia="en-US"/>
              </w:rPr>
              <w:t>(REDACTED)</w:t>
            </w:r>
          </w:p>
        </w:tc>
        <w:tc>
          <w:tcPr>
            <w:tcW w:w="1359" w:type="pct"/>
            <w:gridSpan w:val="3"/>
            <w:tcBorders>
              <w:bottom w:val="single" w:sz="4" w:space="0" w:color="auto"/>
            </w:tcBorders>
            <w:shd w:val="clear" w:color="auto" w:fill="auto"/>
            <w:vAlign w:val="center"/>
          </w:tcPr>
          <w:p w:rsidR="00D371A9" w:rsidRPr="002B7FBB" w:rsidRDefault="00D371A9" w:rsidP="00D371A9">
            <w:pPr>
              <w:widowControl w:val="0"/>
              <w:jc w:val="center"/>
              <w:rPr>
                <w:rFonts w:ascii="Arial Narrow" w:hAnsi="Arial Narrow" w:cs="Arial"/>
                <w:i/>
                <w:snapToGrid w:val="0"/>
                <w:color w:val="000000"/>
                <w:sz w:val="20"/>
                <w:szCs w:val="18"/>
                <w:lang w:eastAsia="en-US"/>
              </w:rPr>
            </w:pPr>
          </w:p>
        </w:tc>
        <w:tc>
          <w:tcPr>
            <w:tcW w:w="563" w:type="pct"/>
            <w:vMerge/>
            <w:tcBorders>
              <w:bottom w:val="single" w:sz="4" w:space="0" w:color="auto"/>
            </w:tcBorders>
            <w:vAlign w:val="center"/>
          </w:tcPr>
          <w:p w:rsidR="00D371A9" w:rsidRPr="002B7FBB" w:rsidRDefault="00D371A9" w:rsidP="00D371A9">
            <w:pPr>
              <w:widowControl w:val="0"/>
              <w:jc w:val="center"/>
              <w:rPr>
                <w:rFonts w:ascii="Arial Narrow" w:hAnsi="Arial Narrow" w:cs="Arial"/>
                <w:b/>
                <w:i/>
                <w:snapToGrid w:val="0"/>
                <w:color w:val="000000"/>
                <w:sz w:val="20"/>
                <w:szCs w:val="18"/>
                <w:lang w:eastAsia="en-US"/>
              </w:rPr>
            </w:pPr>
          </w:p>
        </w:tc>
      </w:tr>
      <w:tr w:rsidR="00D371A9" w:rsidRPr="005F51FE">
        <w:tc>
          <w:tcPr>
            <w:tcW w:w="5000" w:type="pct"/>
            <w:gridSpan w:val="9"/>
            <w:tcBorders>
              <w:top w:val="single" w:sz="4" w:space="0" w:color="auto"/>
            </w:tcBorders>
            <w:shd w:val="clear" w:color="auto" w:fill="auto"/>
            <w:vAlign w:val="center"/>
          </w:tcPr>
          <w:p w:rsidR="00D371A9" w:rsidRPr="002B7FBB" w:rsidRDefault="00D371A9" w:rsidP="00D371A9">
            <w:pPr>
              <w:widowControl w:val="0"/>
              <w:jc w:val="both"/>
              <w:rPr>
                <w:rFonts w:ascii="Arial Narrow" w:hAnsi="Arial Narrow" w:cs="Arial"/>
                <w:b/>
                <w:snapToGrid w:val="0"/>
                <w:color w:val="000000"/>
                <w:sz w:val="20"/>
                <w:szCs w:val="18"/>
                <w:lang w:eastAsia="en-US"/>
              </w:rPr>
            </w:pPr>
            <w:r w:rsidRPr="00BD2955">
              <w:rPr>
                <w:rFonts w:ascii="Arial Narrow" w:hAnsi="Arial Narrow" w:cs="Arial"/>
                <w:b/>
                <w:snapToGrid w:val="0"/>
                <w:color w:val="000000"/>
                <w:sz w:val="20"/>
                <w:szCs w:val="18"/>
                <w:lang w:eastAsia="en-US"/>
              </w:rPr>
              <w:t>Clinical remission at 52 weeks</w:t>
            </w:r>
          </w:p>
        </w:tc>
      </w:tr>
      <w:tr w:rsidR="008B6EB1" w:rsidRPr="005F51FE" w:rsidTr="00FB16A4">
        <w:tc>
          <w:tcPr>
            <w:tcW w:w="453" w:type="pct"/>
            <w:shd w:val="clear" w:color="auto" w:fill="auto"/>
            <w:vAlign w:val="center"/>
          </w:tcPr>
          <w:p w:rsidR="008B6EB1" w:rsidRPr="002B7FBB" w:rsidRDefault="008B6EB1" w:rsidP="00D371A9">
            <w:pPr>
              <w:widowControl w:val="0"/>
              <w:jc w:val="both"/>
              <w:rPr>
                <w:rFonts w:ascii="Arial Narrow" w:hAnsi="Arial Narrow" w:cs="Arial"/>
                <w:snapToGrid w:val="0"/>
                <w:color w:val="000000"/>
                <w:sz w:val="20"/>
                <w:szCs w:val="18"/>
                <w:lang w:eastAsia="en-US"/>
              </w:rPr>
            </w:pPr>
            <w:r w:rsidRPr="007224F1">
              <w:rPr>
                <w:rFonts w:ascii="Arial Narrow" w:hAnsi="Arial Narrow" w:cs="Arial"/>
                <w:snapToGrid w:val="0"/>
                <w:color w:val="000000"/>
                <w:sz w:val="20"/>
                <w:szCs w:val="18"/>
                <w:lang w:eastAsia="en-US"/>
              </w:rPr>
              <w:t>ULTRA II</w:t>
            </w:r>
          </w:p>
        </w:tc>
        <w:tc>
          <w:tcPr>
            <w:tcW w:w="542" w:type="pct"/>
          </w:tcPr>
          <w:p w:rsidR="008B6EB1" w:rsidRDefault="008B6EB1">
            <w:r w:rsidRPr="00E532FA">
              <w:rPr>
                <w:rFonts w:ascii="Arial Narrow" w:hAnsi="Arial Narrow" w:cs="Arial"/>
                <w:i/>
                <w:snapToGrid w:val="0"/>
                <w:color w:val="000000"/>
                <w:sz w:val="20"/>
                <w:szCs w:val="18"/>
                <w:lang w:eastAsia="en-US"/>
              </w:rPr>
              <w:t>(REDACTED)</w:t>
            </w:r>
          </w:p>
        </w:tc>
        <w:tc>
          <w:tcPr>
            <w:tcW w:w="543" w:type="pct"/>
          </w:tcPr>
          <w:p w:rsidR="008B6EB1" w:rsidRDefault="008B6EB1">
            <w:r w:rsidRPr="00E532FA">
              <w:rPr>
                <w:rFonts w:ascii="Arial Narrow" w:hAnsi="Arial Narrow" w:cs="Arial"/>
                <w:i/>
                <w:snapToGrid w:val="0"/>
                <w:color w:val="000000"/>
                <w:sz w:val="20"/>
                <w:szCs w:val="18"/>
                <w:lang w:eastAsia="en-US"/>
              </w:rPr>
              <w:t>(REDACTED)</w:t>
            </w:r>
          </w:p>
        </w:tc>
        <w:tc>
          <w:tcPr>
            <w:tcW w:w="454" w:type="pct"/>
          </w:tcPr>
          <w:p w:rsidR="008B6EB1" w:rsidRDefault="008B6EB1">
            <w:r w:rsidRPr="00E532FA">
              <w:rPr>
                <w:rFonts w:ascii="Arial Narrow" w:hAnsi="Arial Narrow" w:cs="Arial"/>
                <w:i/>
                <w:snapToGrid w:val="0"/>
                <w:color w:val="000000"/>
                <w:sz w:val="20"/>
                <w:szCs w:val="18"/>
                <w:lang w:eastAsia="en-US"/>
              </w:rPr>
              <w:t>(REDACTED)</w:t>
            </w:r>
          </w:p>
        </w:tc>
        <w:tc>
          <w:tcPr>
            <w:tcW w:w="1086" w:type="pct"/>
          </w:tcPr>
          <w:p w:rsidR="008B6EB1" w:rsidRDefault="008B6EB1">
            <w:r w:rsidRPr="00E532FA">
              <w:rPr>
                <w:rFonts w:ascii="Arial Narrow" w:hAnsi="Arial Narrow" w:cs="Arial"/>
                <w:i/>
                <w:snapToGrid w:val="0"/>
                <w:color w:val="000000"/>
                <w:sz w:val="20"/>
                <w:szCs w:val="18"/>
                <w:lang w:eastAsia="en-US"/>
              </w:rPr>
              <w:t>(REDACTED)</w:t>
            </w:r>
          </w:p>
        </w:tc>
        <w:tc>
          <w:tcPr>
            <w:tcW w:w="453" w:type="pct"/>
          </w:tcPr>
          <w:p w:rsidR="008B6EB1" w:rsidRDefault="008B6EB1">
            <w:r w:rsidRPr="00E532FA">
              <w:rPr>
                <w:rFonts w:ascii="Arial Narrow" w:hAnsi="Arial Narrow" w:cs="Arial"/>
                <w:i/>
                <w:snapToGrid w:val="0"/>
                <w:color w:val="000000"/>
                <w:sz w:val="20"/>
                <w:szCs w:val="18"/>
                <w:lang w:eastAsia="en-US"/>
              </w:rPr>
              <w:t>(REDACTED)</w:t>
            </w:r>
          </w:p>
        </w:tc>
        <w:tc>
          <w:tcPr>
            <w:tcW w:w="454" w:type="pct"/>
          </w:tcPr>
          <w:p w:rsidR="008B6EB1" w:rsidRDefault="008B6EB1">
            <w:r w:rsidRPr="00E532FA">
              <w:rPr>
                <w:rFonts w:ascii="Arial Narrow" w:hAnsi="Arial Narrow" w:cs="Arial"/>
                <w:i/>
                <w:snapToGrid w:val="0"/>
                <w:color w:val="000000"/>
                <w:sz w:val="20"/>
                <w:szCs w:val="18"/>
                <w:lang w:eastAsia="en-US"/>
              </w:rPr>
              <w:t>(REDACTED)</w:t>
            </w:r>
          </w:p>
        </w:tc>
        <w:tc>
          <w:tcPr>
            <w:tcW w:w="452" w:type="pct"/>
            <w:vAlign w:val="center"/>
          </w:tcPr>
          <w:p w:rsidR="008B6EB1" w:rsidRPr="002B7FBB" w:rsidRDefault="008B6EB1" w:rsidP="00D371A9">
            <w:pPr>
              <w:widowControl w:val="0"/>
              <w:jc w:val="center"/>
              <w:rPr>
                <w:rFonts w:ascii="Arial Narrow" w:hAnsi="Arial Narrow" w:cs="Arial"/>
                <w:snapToGrid w:val="0"/>
                <w:color w:val="000000"/>
                <w:sz w:val="20"/>
                <w:szCs w:val="18"/>
                <w:lang w:eastAsia="en-US"/>
              </w:rPr>
            </w:pPr>
          </w:p>
        </w:tc>
        <w:tc>
          <w:tcPr>
            <w:tcW w:w="563" w:type="pct"/>
            <w:vMerge w:val="restart"/>
            <w:vAlign w:val="center"/>
          </w:tcPr>
          <w:p w:rsidR="008B6EB1" w:rsidRPr="002B7FBB" w:rsidRDefault="008B6EB1" w:rsidP="00D371A9">
            <w:pPr>
              <w:widowControl w:val="0"/>
              <w:jc w:val="center"/>
              <w:rPr>
                <w:rFonts w:ascii="Arial Narrow" w:hAnsi="Arial Narrow" w:cs="Arial"/>
                <w:i/>
                <w:snapToGrid w:val="0"/>
                <w:color w:val="000000"/>
                <w:sz w:val="20"/>
                <w:szCs w:val="18"/>
                <w:highlight w:val="black"/>
                <w:lang w:eastAsia="en-US"/>
              </w:rPr>
            </w:pPr>
            <w:r>
              <w:rPr>
                <w:rFonts w:ascii="Arial Narrow" w:hAnsi="Arial Narrow" w:cs="Arial"/>
                <w:i/>
                <w:snapToGrid w:val="0"/>
                <w:color w:val="000000"/>
                <w:sz w:val="20"/>
                <w:szCs w:val="18"/>
                <w:lang w:eastAsia="en-US"/>
              </w:rPr>
              <w:t>(REDACTED)</w:t>
            </w:r>
          </w:p>
        </w:tc>
      </w:tr>
      <w:tr w:rsidR="008B6EB1" w:rsidRPr="005F51FE" w:rsidTr="001841F4">
        <w:tc>
          <w:tcPr>
            <w:tcW w:w="453" w:type="pct"/>
            <w:shd w:val="clear" w:color="auto" w:fill="auto"/>
            <w:vAlign w:val="center"/>
          </w:tcPr>
          <w:p w:rsidR="008B6EB1" w:rsidRPr="002B7FBB" w:rsidRDefault="008B6EB1" w:rsidP="00D371A9">
            <w:pPr>
              <w:widowControl w:val="0"/>
              <w:jc w:val="both"/>
              <w:rPr>
                <w:rFonts w:ascii="Arial Narrow" w:hAnsi="Arial Narrow" w:cs="Arial"/>
                <w:snapToGrid w:val="0"/>
                <w:color w:val="000000"/>
                <w:sz w:val="20"/>
                <w:szCs w:val="18"/>
                <w:lang w:eastAsia="en-US"/>
              </w:rPr>
            </w:pPr>
            <w:r w:rsidRPr="007224F1">
              <w:rPr>
                <w:rFonts w:ascii="Arial Narrow" w:hAnsi="Arial Narrow" w:cs="Arial"/>
                <w:snapToGrid w:val="0"/>
                <w:color w:val="000000"/>
                <w:sz w:val="20"/>
                <w:szCs w:val="18"/>
                <w:lang w:eastAsia="en-US"/>
              </w:rPr>
              <w:t>ACT I</w:t>
            </w:r>
          </w:p>
        </w:tc>
        <w:tc>
          <w:tcPr>
            <w:tcW w:w="542" w:type="pct"/>
            <w:vAlign w:val="center"/>
          </w:tcPr>
          <w:p w:rsidR="008B6EB1" w:rsidRPr="002B7FBB" w:rsidRDefault="008B6EB1" w:rsidP="00D371A9">
            <w:pPr>
              <w:widowControl w:val="0"/>
              <w:jc w:val="center"/>
              <w:rPr>
                <w:rFonts w:ascii="Arial Narrow" w:hAnsi="Arial Narrow" w:cs="Arial"/>
                <w:snapToGrid w:val="0"/>
                <w:color w:val="000000"/>
                <w:sz w:val="20"/>
                <w:szCs w:val="18"/>
                <w:lang w:eastAsia="en-US"/>
              </w:rPr>
            </w:pPr>
          </w:p>
        </w:tc>
        <w:tc>
          <w:tcPr>
            <w:tcW w:w="543" w:type="pct"/>
          </w:tcPr>
          <w:p w:rsidR="008B6EB1" w:rsidRDefault="008B6EB1">
            <w:r w:rsidRPr="000F25C1">
              <w:rPr>
                <w:rFonts w:ascii="Arial Narrow" w:hAnsi="Arial Narrow" w:cs="Arial"/>
                <w:i/>
                <w:snapToGrid w:val="0"/>
                <w:color w:val="000000"/>
                <w:sz w:val="20"/>
                <w:szCs w:val="18"/>
                <w:lang w:eastAsia="en-US"/>
              </w:rPr>
              <w:t>(REDACTED)</w:t>
            </w:r>
          </w:p>
        </w:tc>
        <w:tc>
          <w:tcPr>
            <w:tcW w:w="454" w:type="pct"/>
          </w:tcPr>
          <w:p w:rsidR="008B6EB1" w:rsidRDefault="008B6EB1">
            <w:r w:rsidRPr="000F25C1">
              <w:rPr>
                <w:rFonts w:ascii="Arial Narrow" w:hAnsi="Arial Narrow" w:cs="Arial"/>
                <w:i/>
                <w:snapToGrid w:val="0"/>
                <w:color w:val="000000"/>
                <w:sz w:val="20"/>
                <w:szCs w:val="18"/>
                <w:lang w:eastAsia="en-US"/>
              </w:rPr>
              <w:t>(REDACTED)</w:t>
            </w:r>
          </w:p>
        </w:tc>
        <w:tc>
          <w:tcPr>
            <w:tcW w:w="1086" w:type="pct"/>
          </w:tcPr>
          <w:p w:rsidR="008B6EB1" w:rsidRDefault="008B6EB1">
            <w:r w:rsidRPr="000F25C1">
              <w:rPr>
                <w:rFonts w:ascii="Arial Narrow" w:hAnsi="Arial Narrow" w:cs="Arial"/>
                <w:i/>
                <w:snapToGrid w:val="0"/>
                <w:color w:val="000000"/>
                <w:sz w:val="20"/>
                <w:szCs w:val="18"/>
                <w:lang w:eastAsia="en-US"/>
              </w:rPr>
              <w:t>(REDACTED)</w:t>
            </w:r>
          </w:p>
        </w:tc>
        <w:tc>
          <w:tcPr>
            <w:tcW w:w="453" w:type="pct"/>
          </w:tcPr>
          <w:p w:rsidR="008B6EB1" w:rsidRDefault="008B6EB1">
            <w:r w:rsidRPr="000F25C1">
              <w:rPr>
                <w:rFonts w:ascii="Arial Narrow" w:hAnsi="Arial Narrow" w:cs="Arial"/>
                <w:i/>
                <w:snapToGrid w:val="0"/>
                <w:color w:val="000000"/>
                <w:sz w:val="20"/>
                <w:szCs w:val="18"/>
                <w:lang w:eastAsia="en-US"/>
              </w:rPr>
              <w:t>(REDACTED)</w:t>
            </w:r>
          </w:p>
        </w:tc>
        <w:tc>
          <w:tcPr>
            <w:tcW w:w="454" w:type="pct"/>
          </w:tcPr>
          <w:p w:rsidR="008B6EB1" w:rsidRDefault="008B6EB1">
            <w:r w:rsidRPr="000F25C1">
              <w:rPr>
                <w:rFonts w:ascii="Arial Narrow" w:hAnsi="Arial Narrow" w:cs="Arial"/>
                <w:i/>
                <w:snapToGrid w:val="0"/>
                <w:color w:val="000000"/>
                <w:sz w:val="20"/>
                <w:szCs w:val="18"/>
                <w:lang w:eastAsia="en-US"/>
              </w:rPr>
              <w:t>(REDACTED)</w:t>
            </w:r>
          </w:p>
        </w:tc>
        <w:tc>
          <w:tcPr>
            <w:tcW w:w="452" w:type="pct"/>
          </w:tcPr>
          <w:p w:rsidR="008B6EB1" w:rsidRDefault="008B6EB1">
            <w:r w:rsidRPr="000F25C1">
              <w:rPr>
                <w:rFonts w:ascii="Arial Narrow" w:hAnsi="Arial Narrow" w:cs="Arial"/>
                <w:i/>
                <w:snapToGrid w:val="0"/>
                <w:color w:val="000000"/>
                <w:sz w:val="20"/>
                <w:szCs w:val="18"/>
                <w:lang w:eastAsia="en-US"/>
              </w:rPr>
              <w:t>(REDACTED)</w:t>
            </w:r>
          </w:p>
        </w:tc>
        <w:tc>
          <w:tcPr>
            <w:tcW w:w="563" w:type="pct"/>
            <w:vMerge/>
            <w:vAlign w:val="center"/>
          </w:tcPr>
          <w:p w:rsidR="008B6EB1" w:rsidRPr="002B7FBB" w:rsidRDefault="008B6EB1" w:rsidP="00D371A9">
            <w:pPr>
              <w:widowControl w:val="0"/>
              <w:jc w:val="center"/>
              <w:rPr>
                <w:rFonts w:ascii="Arial Narrow" w:hAnsi="Arial Narrow" w:cs="Arial"/>
                <w:b/>
                <w:snapToGrid w:val="0"/>
                <w:color w:val="000000"/>
                <w:sz w:val="20"/>
                <w:szCs w:val="18"/>
                <w:lang w:eastAsia="en-US"/>
              </w:rPr>
            </w:pPr>
          </w:p>
        </w:tc>
      </w:tr>
      <w:tr w:rsidR="00D371A9" w:rsidRPr="005F51FE" w:rsidTr="00D872C8">
        <w:tc>
          <w:tcPr>
            <w:tcW w:w="1992" w:type="pct"/>
            <w:gridSpan w:val="4"/>
            <w:tcBorders>
              <w:bottom w:val="single" w:sz="4" w:space="0" w:color="auto"/>
            </w:tcBorders>
            <w:shd w:val="clear" w:color="auto" w:fill="auto"/>
            <w:vAlign w:val="center"/>
          </w:tcPr>
          <w:p w:rsidR="00D371A9" w:rsidRPr="002B7FBB" w:rsidRDefault="00D371A9" w:rsidP="00D371A9">
            <w:pPr>
              <w:widowControl w:val="0"/>
              <w:jc w:val="both"/>
              <w:rPr>
                <w:rFonts w:ascii="Arial Narrow" w:hAnsi="Arial Narrow" w:cs="Arial"/>
                <w:i/>
                <w:snapToGrid w:val="0"/>
                <w:color w:val="000000"/>
                <w:sz w:val="20"/>
                <w:szCs w:val="18"/>
                <w:lang w:eastAsia="en-US"/>
              </w:rPr>
            </w:pPr>
            <w:r w:rsidRPr="007224F1">
              <w:rPr>
                <w:rFonts w:ascii="Arial Narrow" w:hAnsi="Arial Narrow" w:cs="Arial"/>
                <w:i/>
                <w:snapToGrid w:val="0"/>
                <w:color w:val="000000"/>
                <w:sz w:val="20"/>
                <w:szCs w:val="18"/>
                <w:lang w:eastAsia="en-US"/>
              </w:rPr>
              <w:t xml:space="preserve">Indirect comparison </w:t>
            </w:r>
          </w:p>
        </w:tc>
        <w:tc>
          <w:tcPr>
            <w:tcW w:w="1086" w:type="pct"/>
            <w:tcBorders>
              <w:bottom w:val="single" w:sz="4" w:space="0" w:color="auto"/>
            </w:tcBorders>
            <w:vAlign w:val="center"/>
          </w:tcPr>
          <w:p w:rsidR="00D371A9" w:rsidRPr="002B7FBB" w:rsidRDefault="008B6EB1" w:rsidP="008B6EB1">
            <w:pPr>
              <w:widowControl w:val="0"/>
              <w:rPr>
                <w:rFonts w:ascii="Arial Narrow" w:hAnsi="Arial Narrow" w:cs="Arial"/>
                <w:snapToGrid w:val="0"/>
                <w:color w:val="000000"/>
                <w:sz w:val="20"/>
                <w:szCs w:val="18"/>
                <w:highlight w:val="black"/>
                <w:lang w:eastAsia="en-US"/>
              </w:rPr>
            </w:pPr>
            <w:r>
              <w:rPr>
                <w:rFonts w:ascii="Arial Narrow" w:hAnsi="Arial Narrow" w:cs="Arial"/>
                <w:i/>
                <w:snapToGrid w:val="0"/>
                <w:color w:val="000000"/>
                <w:sz w:val="20"/>
                <w:szCs w:val="18"/>
                <w:lang w:eastAsia="en-US"/>
              </w:rPr>
              <w:t>(REDACTED)</w:t>
            </w:r>
          </w:p>
        </w:tc>
        <w:tc>
          <w:tcPr>
            <w:tcW w:w="1359" w:type="pct"/>
            <w:gridSpan w:val="3"/>
            <w:tcBorders>
              <w:bottom w:val="single" w:sz="4" w:space="0" w:color="auto"/>
            </w:tcBorders>
            <w:shd w:val="clear" w:color="auto" w:fill="auto"/>
            <w:vAlign w:val="center"/>
          </w:tcPr>
          <w:p w:rsidR="00D371A9" w:rsidRPr="002B7FBB" w:rsidRDefault="00D371A9" w:rsidP="00D371A9">
            <w:pPr>
              <w:widowControl w:val="0"/>
              <w:jc w:val="center"/>
              <w:rPr>
                <w:rFonts w:ascii="Arial Narrow" w:hAnsi="Arial Narrow" w:cs="Arial"/>
                <w:i/>
                <w:snapToGrid w:val="0"/>
                <w:color w:val="000000"/>
                <w:sz w:val="20"/>
                <w:szCs w:val="18"/>
                <w:lang w:eastAsia="en-US"/>
              </w:rPr>
            </w:pPr>
          </w:p>
        </w:tc>
        <w:tc>
          <w:tcPr>
            <w:tcW w:w="563" w:type="pct"/>
            <w:vMerge/>
            <w:tcBorders>
              <w:bottom w:val="single" w:sz="4" w:space="0" w:color="auto"/>
            </w:tcBorders>
            <w:vAlign w:val="center"/>
          </w:tcPr>
          <w:p w:rsidR="00D371A9" w:rsidRPr="002B7FBB" w:rsidRDefault="00D371A9" w:rsidP="00D371A9">
            <w:pPr>
              <w:widowControl w:val="0"/>
              <w:jc w:val="center"/>
              <w:rPr>
                <w:rFonts w:ascii="Arial Narrow" w:hAnsi="Arial Narrow" w:cs="Arial"/>
                <w:i/>
                <w:snapToGrid w:val="0"/>
                <w:color w:val="000000"/>
                <w:sz w:val="20"/>
                <w:szCs w:val="18"/>
                <w:lang w:eastAsia="en-US"/>
              </w:rPr>
            </w:pPr>
          </w:p>
        </w:tc>
      </w:tr>
      <w:tr w:rsidR="00D371A9" w:rsidRPr="005F51FE">
        <w:tc>
          <w:tcPr>
            <w:tcW w:w="5000" w:type="pct"/>
            <w:gridSpan w:val="9"/>
            <w:tcBorders>
              <w:top w:val="single" w:sz="4" w:space="0" w:color="auto"/>
            </w:tcBorders>
            <w:shd w:val="clear" w:color="auto" w:fill="auto"/>
            <w:vAlign w:val="center"/>
          </w:tcPr>
          <w:p w:rsidR="00D371A9" w:rsidRPr="002B7FBB" w:rsidRDefault="00D371A9" w:rsidP="00D371A9">
            <w:pPr>
              <w:widowControl w:val="0"/>
              <w:jc w:val="both"/>
              <w:rPr>
                <w:rFonts w:ascii="Arial Narrow" w:hAnsi="Arial Narrow" w:cs="Arial"/>
                <w:b/>
                <w:snapToGrid w:val="0"/>
                <w:color w:val="000000"/>
                <w:sz w:val="20"/>
                <w:szCs w:val="18"/>
                <w:lang w:eastAsia="en-US"/>
              </w:rPr>
            </w:pPr>
            <w:r w:rsidRPr="00BD2955">
              <w:rPr>
                <w:rFonts w:ascii="Arial Narrow" w:hAnsi="Arial Narrow" w:cs="Arial"/>
                <w:b/>
                <w:snapToGrid w:val="0"/>
                <w:color w:val="000000"/>
                <w:sz w:val="20"/>
                <w:szCs w:val="18"/>
                <w:lang w:eastAsia="en-US"/>
              </w:rPr>
              <w:t>Clinical response at 52 weeks</w:t>
            </w:r>
          </w:p>
        </w:tc>
      </w:tr>
      <w:tr w:rsidR="008B6EB1" w:rsidRPr="005F51FE" w:rsidTr="00024B51">
        <w:tc>
          <w:tcPr>
            <w:tcW w:w="453" w:type="pct"/>
            <w:shd w:val="clear" w:color="auto" w:fill="auto"/>
            <w:vAlign w:val="center"/>
          </w:tcPr>
          <w:p w:rsidR="008B6EB1" w:rsidRPr="002B7FBB" w:rsidRDefault="008B6EB1" w:rsidP="00D371A9">
            <w:pPr>
              <w:widowControl w:val="0"/>
              <w:jc w:val="both"/>
              <w:rPr>
                <w:rFonts w:ascii="Arial Narrow" w:hAnsi="Arial Narrow" w:cs="Arial"/>
                <w:snapToGrid w:val="0"/>
                <w:color w:val="000000"/>
                <w:sz w:val="20"/>
                <w:szCs w:val="18"/>
                <w:lang w:eastAsia="en-US"/>
              </w:rPr>
            </w:pPr>
            <w:r w:rsidRPr="007224F1">
              <w:rPr>
                <w:rFonts w:ascii="Arial Narrow" w:hAnsi="Arial Narrow" w:cs="Arial"/>
                <w:snapToGrid w:val="0"/>
                <w:color w:val="000000"/>
                <w:sz w:val="20"/>
                <w:szCs w:val="18"/>
                <w:lang w:eastAsia="en-US"/>
              </w:rPr>
              <w:t xml:space="preserve">ULTRA </w:t>
            </w:r>
            <w:r w:rsidRPr="007224F1">
              <w:rPr>
                <w:rFonts w:ascii="Arial Narrow" w:hAnsi="Arial Narrow" w:cs="Arial"/>
                <w:snapToGrid w:val="0"/>
                <w:color w:val="000000"/>
                <w:sz w:val="20"/>
                <w:szCs w:val="18"/>
                <w:lang w:eastAsia="en-US"/>
              </w:rPr>
              <w:lastRenderedPageBreak/>
              <w:t>II</w:t>
            </w:r>
          </w:p>
        </w:tc>
        <w:tc>
          <w:tcPr>
            <w:tcW w:w="542" w:type="pct"/>
          </w:tcPr>
          <w:p w:rsidR="008B6EB1" w:rsidRDefault="008B6EB1">
            <w:r w:rsidRPr="001129A7">
              <w:rPr>
                <w:rFonts w:ascii="Arial Narrow" w:hAnsi="Arial Narrow" w:cs="Arial"/>
                <w:i/>
                <w:snapToGrid w:val="0"/>
                <w:color w:val="000000"/>
                <w:sz w:val="20"/>
                <w:szCs w:val="18"/>
                <w:lang w:eastAsia="en-US"/>
              </w:rPr>
              <w:lastRenderedPageBreak/>
              <w:t>(REDACT</w:t>
            </w:r>
            <w:r w:rsidRPr="001129A7">
              <w:rPr>
                <w:rFonts w:ascii="Arial Narrow" w:hAnsi="Arial Narrow" w:cs="Arial"/>
                <w:i/>
                <w:snapToGrid w:val="0"/>
                <w:color w:val="000000"/>
                <w:sz w:val="20"/>
                <w:szCs w:val="18"/>
                <w:lang w:eastAsia="en-US"/>
              </w:rPr>
              <w:lastRenderedPageBreak/>
              <w:t>ED)</w:t>
            </w:r>
          </w:p>
        </w:tc>
        <w:tc>
          <w:tcPr>
            <w:tcW w:w="543" w:type="pct"/>
          </w:tcPr>
          <w:p w:rsidR="008B6EB1" w:rsidRDefault="008B6EB1">
            <w:r w:rsidRPr="001129A7">
              <w:rPr>
                <w:rFonts w:ascii="Arial Narrow" w:hAnsi="Arial Narrow" w:cs="Arial"/>
                <w:i/>
                <w:snapToGrid w:val="0"/>
                <w:color w:val="000000"/>
                <w:sz w:val="20"/>
                <w:szCs w:val="18"/>
                <w:lang w:eastAsia="en-US"/>
              </w:rPr>
              <w:lastRenderedPageBreak/>
              <w:t>(REDACT</w:t>
            </w:r>
            <w:r w:rsidRPr="001129A7">
              <w:rPr>
                <w:rFonts w:ascii="Arial Narrow" w:hAnsi="Arial Narrow" w:cs="Arial"/>
                <w:i/>
                <w:snapToGrid w:val="0"/>
                <w:color w:val="000000"/>
                <w:sz w:val="20"/>
                <w:szCs w:val="18"/>
                <w:lang w:eastAsia="en-US"/>
              </w:rPr>
              <w:lastRenderedPageBreak/>
              <w:t>ED)</w:t>
            </w:r>
          </w:p>
        </w:tc>
        <w:tc>
          <w:tcPr>
            <w:tcW w:w="454" w:type="pct"/>
            <w:vAlign w:val="center"/>
          </w:tcPr>
          <w:p w:rsidR="008B6EB1" w:rsidRPr="002B7FBB" w:rsidRDefault="008B6EB1" w:rsidP="00D371A9">
            <w:pPr>
              <w:widowControl w:val="0"/>
              <w:jc w:val="center"/>
              <w:rPr>
                <w:rFonts w:ascii="Arial Narrow" w:hAnsi="Arial Narrow" w:cs="Arial"/>
                <w:snapToGrid w:val="0"/>
                <w:color w:val="000000"/>
                <w:sz w:val="20"/>
                <w:szCs w:val="18"/>
                <w:lang w:eastAsia="en-US"/>
              </w:rPr>
            </w:pPr>
          </w:p>
        </w:tc>
        <w:tc>
          <w:tcPr>
            <w:tcW w:w="1086" w:type="pct"/>
          </w:tcPr>
          <w:p w:rsidR="008B6EB1" w:rsidRDefault="008B6EB1">
            <w:r w:rsidRPr="009B4791">
              <w:rPr>
                <w:rFonts w:ascii="Arial Narrow" w:hAnsi="Arial Narrow" w:cs="Arial"/>
                <w:i/>
                <w:snapToGrid w:val="0"/>
                <w:color w:val="000000"/>
                <w:sz w:val="20"/>
                <w:szCs w:val="18"/>
                <w:lang w:eastAsia="en-US"/>
              </w:rPr>
              <w:t>(REDACTED)</w:t>
            </w:r>
          </w:p>
        </w:tc>
        <w:tc>
          <w:tcPr>
            <w:tcW w:w="453" w:type="pct"/>
          </w:tcPr>
          <w:p w:rsidR="008B6EB1" w:rsidRDefault="008B6EB1">
            <w:r w:rsidRPr="009B4791">
              <w:rPr>
                <w:rFonts w:ascii="Arial Narrow" w:hAnsi="Arial Narrow" w:cs="Arial"/>
                <w:i/>
                <w:snapToGrid w:val="0"/>
                <w:color w:val="000000"/>
                <w:sz w:val="20"/>
                <w:szCs w:val="18"/>
                <w:lang w:eastAsia="en-US"/>
              </w:rPr>
              <w:t>(REDAC</w:t>
            </w:r>
            <w:r w:rsidRPr="009B4791">
              <w:rPr>
                <w:rFonts w:ascii="Arial Narrow" w:hAnsi="Arial Narrow" w:cs="Arial"/>
                <w:i/>
                <w:snapToGrid w:val="0"/>
                <w:color w:val="000000"/>
                <w:sz w:val="20"/>
                <w:szCs w:val="18"/>
                <w:lang w:eastAsia="en-US"/>
              </w:rPr>
              <w:lastRenderedPageBreak/>
              <w:t>TED)</w:t>
            </w:r>
          </w:p>
        </w:tc>
        <w:tc>
          <w:tcPr>
            <w:tcW w:w="454" w:type="pct"/>
          </w:tcPr>
          <w:p w:rsidR="008B6EB1" w:rsidRDefault="008B6EB1">
            <w:r w:rsidRPr="009B4791">
              <w:rPr>
                <w:rFonts w:ascii="Arial Narrow" w:hAnsi="Arial Narrow" w:cs="Arial"/>
                <w:i/>
                <w:snapToGrid w:val="0"/>
                <w:color w:val="000000"/>
                <w:sz w:val="20"/>
                <w:szCs w:val="18"/>
                <w:lang w:eastAsia="en-US"/>
              </w:rPr>
              <w:lastRenderedPageBreak/>
              <w:t>(REDAC</w:t>
            </w:r>
            <w:r w:rsidRPr="009B4791">
              <w:rPr>
                <w:rFonts w:ascii="Arial Narrow" w:hAnsi="Arial Narrow" w:cs="Arial"/>
                <w:i/>
                <w:snapToGrid w:val="0"/>
                <w:color w:val="000000"/>
                <w:sz w:val="20"/>
                <w:szCs w:val="18"/>
                <w:lang w:eastAsia="en-US"/>
              </w:rPr>
              <w:lastRenderedPageBreak/>
              <w:t>TED)</w:t>
            </w:r>
          </w:p>
        </w:tc>
        <w:tc>
          <w:tcPr>
            <w:tcW w:w="452" w:type="pct"/>
            <w:vAlign w:val="center"/>
          </w:tcPr>
          <w:p w:rsidR="008B6EB1" w:rsidRPr="002B7FBB" w:rsidRDefault="008B6EB1" w:rsidP="00D371A9">
            <w:pPr>
              <w:widowControl w:val="0"/>
              <w:jc w:val="center"/>
              <w:rPr>
                <w:rFonts w:ascii="Arial Narrow" w:hAnsi="Arial Narrow" w:cs="Arial"/>
                <w:snapToGrid w:val="0"/>
                <w:color w:val="000000"/>
                <w:sz w:val="20"/>
                <w:szCs w:val="18"/>
                <w:lang w:eastAsia="en-US"/>
              </w:rPr>
            </w:pPr>
          </w:p>
        </w:tc>
        <w:tc>
          <w:tcPr>
            <w:tcW w:w="563" w:type="pct"/>
            <w:vMerge w:val="restart"/>
            <w:vAlign w:val="center"/>
          </w:tcPr>
          <w:p w:rsidR="008B6EB1" w:rsidRPr="002B7FBB" w:rsidRDefault="008B6EB1" w:rsidP="00D371A9">
            <w:pPr>
              <w:widowControl w:val="0"/>
              <w:jc w:val="center"/>
              <w:rPr>
                <w:rFonts w:ascii="Arial Narrow" w:hAnsi="Arial Narrow" w:cs="Arial"/>
                <w:i/>
                <w:snapToGrid w:val="0"/>
                <w:color w:val="000000"/>
                <w:sz w:val="20"/>
                <w:szCs w:val="18"/>
                <w:highlight w:val="black"/>
                <w:lang w:eastAsia="en-US"/>
              </w:rPr>
            </w:pPr>
            <w:r>
              <w:rPr>
                <w:rFonts w:ascii="Arial Narrow" w:hAnsi="Arial Narrow" w:cs="Arial"/>
                <w:i/>
                <w:snapToGrid w:val="0"/>
                <w:color w:val="000000"/>
                <w:sz w:val="20"/>
                <w:szCs w:val="18"/>
                <w:lang w:eastAsia="en-US"/>
              </w:rPr>
              <w:t>(REDACT</w:t>
            </w:r>
            <w:r>
              <w:rPr>
                <w:rFonts w:ascii="Arial Narrow" w:hAnsi="Arial Narrow" w:cs="Arial"/>
                <w:i/>
                <w:snapToGrid w:val="0"/>
                <w:color w:val="000000"/>
                <w:sz w:val="20"/>
                <w:szCs w:val="18"/>
                <w:lang w:eastAsia="en-US"/>
              </w:rPr>
              <w:lastRenderedPageBreak/>
              <w:t>ED)</w:t>
            </w:r>
          </w:p>
        </w:tc>
      </w:tr>
      <w:tr w:rsidR="008B6EB1" w:rsidRPr="005F51FE" w:rsidTr="00126548">
        <w:tc>
          <w:tcPr>
            <w:tcW w:w="453" w:type="pct"/>
            <w:tcBorders>
              <w:bottom w:val="single" w:sz="4" w:space="0" w:color="auto"/>
            </w:tcBorders>
            <w:shd w:val="clear" w:color="auto" w:fill="auto"/>
            <w:vAlign w:val="center"/>
          </w:tcPr>
          <w:p w:rsidR="008B6EB1" w:rsidRPr="002B7FBB" w:rsidRDefault="008B6EB1" w:rsidP="00D371A9">
            <w:pPr>
              <w:widowControl w:val="0"/>
              <w:jc w:val="both"/>
              <w:rPr>
                <w:rFonts w:ascii="Arial Narrow" w:hAnsi="Arial Narrow" w:cs="Arial"/>
                <w:snapToGrid w:val="0"/>
                <w:color w:val="000000"/>
                <w:sz w:val="20"/>
                <w:szCs w:val="18"/>
                <w:lang w:eastAsia="en-US"/>
              </w:rPr>
            </w:pPr>
            <w:r w:rsidRPr="007224F1">
              <w:rPr>
                <w:rFonts w:ascii="Arial Narrow" w:hAnsi="Arial Narrow" w:cs="Arial"/>
                <w:snapToGrid w:val="0"/>
                <w:color w:val="000000"/>
                <w:sz w:val="20"/>
                <w:szCs w:val="18"/>
                <w:lang w:eastAsia="en-US"/>
              </w:rPr>
              <w:lastRenderedPageBreak/>
              <w:t>ACT I</w:t>
            </w:r>
          </w:p>
        </w:tc>
        <w:tc>
          <w:tcPr>
            <w:tcW w:w="542" w:type="pct"/>
            <w:tcBorders>
              <w:bottom w:val="single" w:sz="4" w:space="0" w:color="auto"/>
            </w:tcBorders>
            <w:vAlign w:val="center"/>
          </w:tcPr>
          <w:p w:rsidR="008B6EB1" w:rsidRPr="002B7FBB" w:rsidRDefault="008B6EB1" w:rsidP="00D371A9">
            <w:pPr>
              <w:widowControl w:val="0"/>
              <w:jc w:val="center"/>
              <w:rPr>
                <w:rFonts w:ascii="Arial Narrow" w:hAnsi="Arial Narrow" w:cs="Arial"/>
                <w:snapToGrid w:val="0"/>
                <w:color w:val="000000"/>
                <w:sz w:val="20"/>
                <w:szCs w:val="18"/>
                <w:lang w:eastAsia="en-US"/>
              </w:rPr>
            </w:pPr>
          </w:p>
        </w:tc>
        <w:tc>
          <w:tcPr>
            <w:tcW w:w="543" w:type="pct"/>
            <w:tcBorders>
              <w:bottom w:val="single" w:sz="4" w:space="0" w:color="auto"/>
            </w:tcBorders>
          </w:tcPr>
          <w:p w:rsidR="008B6EB1" w:rsidRDefault="008B6EB1">
            <w:r w:rsidRPr="00D3368A">
              <w:rPr>
                <w:rFonts w:ascii="Arial Narrow" w:hAnsi="Arial Narrow" w:cs="Arial"/>
                <w:i/>
                <w:snapToGrid w:val="0"/>
                <w:color w:val="000000"/>
                <w:sz w:val="20"/>
                <w:szCs w:val="18"/>
                <w:lang w:eastAsia="en-US"/>
              </w:rPr>
              <w:t>(REDACTED)</w:t>
            </w:r>
          </w:p>
        </w:tc>
        <w:tc>
          <w:tcPr>
            <w:tcW w:w="454" w:type="pct"/>
            <w:tcBorders>
              <w:bottom w:val="single" w:sz="4" w:space="0" w:color="auto"/>
            </w:tcBorders>
          </w:tcPr>
          <w:p w:rsidR="008B6EB1" w:rsidRDefault="008B6EB1">
            <w:r w:rsidRPr="00D3368A">
              <w:rPr>
                <w:rFonts w:ascii="Arial Narrow" w:hAnsi="Arial Narrow" w:cs="Arial"/>
                <w:i/>
                <w:snapToGrid w:val="0"/>
                <w:color w:val="000000"/>
                <w:sz w:val="20"/>
                <w:szCs w:val="18"/>
                <w:lang w:eastAsia="en-US"/>
              </w:rPr>
              <w:t>(REDACTED)</w:t>
            </w:r>
          </w:p>
        </w:tc>
        <w:tc>
          <w:tcPr>
            <w:tcW w:w="1086" w:type="pct"/>
            <w:tcBorders>
              <w:bottom w:val="single" w:sz="4" w:space="0" w:color="auto"/>
            </w:tcBorders>
          </w:tcPr>
          <w:p w:rsidR="008B6EB1" w:rsidRDefault="008B6EB1">
            <w:r w:rsidRPr="00D3368A">
              <w:rPr>
                <w:rFonts w:ascii="Arial Narrow" w:hAnsi="Arial Narrow" w:cs="Arial"/>
                <w:i/>
                <w:snapToGrid w:val="0"/>
                <w:color w:val="000000"/>
                <w:sz w:val="20"/>
                <w:szCs w:val="18"/>
                <w:lang w:eastAsia="en-US"/>
              </w:rPr>
              <w:t>(REDACTED)</w:t>
            </w:r>
          </w:p>
        </w:tc>
        <w:tc>
          <w:tcPr>
            <w:tcW w:w="453" w:type="pct"/>
            <w:tcBorders>
              <w:bottom w:val="single" w:sz="4" w:space="0" w:color="auto"/>
            </w:tcBorders>
          </w:tcPr>
          <w:p w:rsidR="008B6EB1" w:rsidRDefault="008B6EB1">
            <w:r w:rsidRPr="00D3368A">
              <w:rPr>
                <w:rFonts w:ascii="Arial Narrow" w:hAnsi="Arial Narrow" w:cs="Arial"/>
                <w:i/>
                <w:snapToGrid w:val="0"/>
                <w:color w:val="000000"/>
                <w:sz w:val="20"/>
                <w:szCs w:val="18"/>
                <w:lang w:eastAsia="en-US"/>
              </w:rPr>
              <w:t>(REDACTED)</w:t>
            </w:r>
          </w:p>
        </w:tc>
        <w:tc>
          <w:tcPr>
            <w:tcW w:w="454" w:type="pct"/>
            <w:tcBorders>
              <w:bottom w:val="single" w:sz="4" w:space="0" w:color="auto"/>
            </w:tcBorders>
          </w:tcPr>
          <w:p w:rsidR="008B6EB1" w:rsidRDefault="008B6EB1">
            <w:r w:rsidRPr="00D3368A">
              <w:rPr>
                <w:rFonts w:ascii="Arial Narrow" w:hAnsi="Arial Narrow" w:cs="Arial"/>
                <w:i/>
                <w:snapToGrid w:val="0"/>
                <w:color w:val="000000"/>
                <w:sz w:val="20"/>
                <w:szCs w:val="18"/>
                <w:lang w:eastAsia="en-US"/>
              </w:rPr>
              <w:t>(REDACTED)</w:t>
            </w:r>
          </w:p>
        </w:tc>
        <w:tc>
          <w:tcPr>
            <w:tcW w:w="452" w:type="pct"/>
            <w:tcBorders>
              <w:bottom w:val="single" w:sz="4" w:space="0" w:color="auto"/>
            </w:tcBorders>
          </w:tcPr>
          <w:p w:rsidR="008B6EB1" w:rsidRDefault="008B6EB1">
            <w:r w:rsidRPr="00D3368A">
              <w:rPr>
                <w:rFonts w:ascii="Arial Narrow" w:hAnsi="Arial Narrow" w:cs="Arial"/>
                <w:i/>
                <w:snapToGrid w:val="0"/>
                <w:color w:val="000000"/>
                <w:sz w:val="20"/>
                <w:szCs w:val="18"/>
                <w:lang w:eastAsia="en-US"/>
              </w:rPr>
              <w:t>(REDACTED)</w:t>
            </w:r>
          </w:p>
        </w:tc>
        <w:tc>
          <w:tcPr>
            <w:tcW w:w="563" w:type="pct"/>
            <w:vMerge/>
            <w:vAlign w:val="center"/>
          </w:tcPr>
          <w:p w:rsidR="008B6EB1" w:rsidRPr="002B7FBB" w:rsidRDefault="008B6EB1" w:rsidP="00D371A9">
            <w:pPr>
              <w:widowControl w:val="0"/>
              <w:jc w:val="center"/>
              <w:rPr>
                <w:rFonts w:ascii="Arial Narrow" w:hAnsi="Arial Narrow" w:cs="Arial"/>
                <w:b/>
                <w:snapToGrid w:val="0"/>
                <w:color w:val="000000"/>
                <w:sz w:val="20"/>
                <w:szCs w:val="18"/>
                <w:lang w:eastAsia="en-US"/>
              </w:rPr>
            </w:pPr>
          </w:p>
        </w:tc>
      </w:tr>
      <w:tr w:rsidR="00D371A9" w:rsidRPr="005F51FE" w:rsidTr="00D872C8">
        <w:tc>
          <w:tcPr>
            <w:tcW w:w="1992" w:type="pct"/>
            <w:gridSpan w:val="4"/>
            <w:tcBorders>
              <w:bottom w:val="single" w:sz="4" w:space="0" w:color="auto"/>
            </w:tcBorders>
            <w:shd w:val="clear" w:color="auto" w:fill="auto"/>
            <w:vAlign w:val="center"/>
          </w:tcPr>
          <w:p w:rsidR="00D371A9" w:rsidRPr="002B7FBB" w:rsidRDefault="00D371A9" w:rsidP="00D371A9">
            <w:pPr>
              <w:widowControl w:val="0"/>
              <w:jc w:val="both"/>
              <w:rPr>
                <w:rFonts w:ascii="Arial Narrow" w:hAnsi="Arial Narrow" w:cs="Arial"/>
                <w:i/>
                <w:snapToGrid w:val="0"/>
                <w:color w:val="000000"/>
                <w:sz w:val="20"/>
                <w:szCs w:val="18"/>
                <w:lang w:eastAsia="en-US"/>
              </w:rPr>
            </w:pPr>
            <w:r w:rsidRPr="007224F1">
              <w:rPr>
                <w:rFonts w:ascii="Arial Narrow" w:hAnsi="Arial Narrow" w:cs="Arial"/>
                <w:i/>
                <w:snapToGrid w:val="0"/>
                <w:color w:val="000000"/>
                <w:sz w:val="20"/>
                <w:szCs w:val="18"/>
                <w:lang w:eastAsia="en-US"/>
              </w:rPr>
              <w:t xml:space="preserve">Indirect comparison </w:t>
            </w:r>
          </w:p>
        </w:tc>
        <w:tc>
          <w:tcPr>
            <w:tcW w:w="1086" w:type="pct"/>
            <w:tcBorders>
              <w:bottom w:val="single" w:sz="4" w:space="0" w:color="auto"/>
            </w:tcBorders>
            <w:vAlign w:val="center"/>
          </w:tcPr>
          <w:p w:rsidR="00D371A9" w:rsidRPr="002B7FBB" w:rsidRDefault="008B6EB1" w:rsidP="008B6EB1">
            <w:pPr>
              <w:widowControl w:val="0"/>
              <w:rPr>
                <w:rFonts w:ascii="Arial Narrow" w:hAnsi="Arial Narrow" w:cs="Arial"/>
                <w:snapToGrid w:val="0"/>
                <w:color w:val="000000"/>
                <w:sz w:val="20"/>
                <w:szCs w:val="18"/>
                <w:highlight w:val="black"/>
                <w:lang w:eastAsia="en-US"/>
              </w:rPr>
            </w:pPr>
            <w:r>
              <w:rPr>
                <w:rFonts w:ascii="Arial Narrow" w:hAnsi="Arial Narrow" w:cs="Arial"/>
                <w:i/>
                <w:snapToGrid w:val="0"/>
                <w:color w:val="000000"/>
                <w:sz w:val="20"/>
                <w:szCs w:val="18"/>
                <w:lang w:eastAsia="en-US"/>
              </w:rPr>
              <w:t>(REDACTED)</w:t>
            </w:r>
          </w:p>
        </w:tc>
        <w:tc>
          <w:tcPr>
            <w:tcW w:w="1359" w:type="pct"/>
            <w:gridSpan w:val="3"/>
            <w:tcBorders>
              <w:bottom w:val="single" w:sz="4" w:space="0" w:color="auto"/>
            </w:tcBorders>
            <w:shd w:val="clear" w:color="auto" w:fill="auto"/>
            <w:vAlign w:val="center"/>
          </w:tcPr>
          <w:p w:rsidR="00D371A9" w:rsidRPr="002B7FBB" w:rsidRDefault="00D371A9" w:rsidP="00D371A9">
            <w:pPr>
              <w:widowControl w:val="0"/>
              <w:jc w:val="center"/>
              <w:rPr>
                <w:rFonts w:ascii="Arial Narrow" w:hAnsi="Arial Narrow" w:cs="Arial"/>
                <w:i/>
                <w:snapToGrid w:val="0"/>
                <w:color w:val="000000"/>
                <w:sz w:val="20"/>
                <w:szCs w:val="18"/>
                <w:lang w:eastAsia="en-US"/>
              </w:rPr>
            </w:pPr>
          </w:p>
        </w:tc>
        <w:tc>
          <w:tcPr>
            <w:tcW w:w="563" w:type="pct"/>
            <w:vMerge/>
            <w:tcBorders>
              <w:bottom w:val="single" w:sz="4" w:space="0" w:color="auto"/>
            </w:tcBorders>
            <w:vAlign w:val="center"/>
          </w:tcPr>
          <w:p w:rsidR="00D371A9" w:rsidRPr="002B7FBB" w:rsidRDefault="00D371A9" w:rsidP="00D371A9">
            <w:pPr>
              <w:widowControl w:val="0"/>
              <w:jc w:val="center"/>
              <w:rPr>
                <w:rFonts w:ascii="Arial Narrow" w:hAnsi="Arial Narrow" w:cs="Arial"/>
                <w:b/>
                <w:i/>
                <w:snapToGrid w:val="0"/>
                <w:color w:val="000000"/>
                <w:sz w:val="20"/>
                <w:szCs w:val="18"/>
                <w:lang w:eastAsia="en-US"/>
              </w:rPr>
            </w:pPr>
          </w:p>
        </w:tc>
      </w:tr>
    </w:tbl>
    <w:p w:rsidR="00D371A9" w:rsidRPr="00BD2955" w:rsidRDefault="00D371A9" w:rsidP="005B5C4C">
      <w:pPr>
        <w:widowControl w:val="0"/>
        <w:ind w:firstLine="720"/>
        <w:jc w:val="both"/>
        <w:rPr>
          <w:rFonts w:ascii="Arial Narrow" w:hAnsi="Arial Narrow" w:cs="Arial"/>
          <w:snapToGrid w:val="0"/>
          <w:sz w:val="18"/>
          <w:szCs w:val="20"/>
          <w:lang w:eastAsia="en-US"/>
        </w:rPr>
      </w:pPr>
      <w:proofErr w:type="gramStart"/>
      <w:r w:rsidRPr="00BD2955">
        <w:rPr>
          <w:rFonts w:ascii="Arial Narrow" w:hAnsi="Arial Narrow" w:cs="Arial"/>
          <w:snapToGrid w:val="0"/>
          <w:sz w:val="18"/>
          <w:szCs w:val="20"/>
          <w:lang w:eastAsia="en-US"/>
        </w:rPr>
        <w:t>a</w:t>
      </w:r>
      <w:proofErr w:type="gramEnd"/>
      <w:r w:rsidRPr="00BD2955">
        <w:rPr>
          <w:rFonts w:ascii="Arial Narrow" w:hAnsi="Arial Narrow" w:cs="Arial"/>
          <w:snapToGrid w:val="0"/>
          <w:sz w:val="18"/>
          <w:szCs w:val="20"/>
          <w:lang w:eastAsia="en-US"/>
        </w:rPr>
        <w:t xml:space="preserve"> Meta-analysis of ULTRA I and II</w:t>
      </w:r>
    </w:p>
    <w:p w:rsidR="00D371A9" w:rsidRPr="00BD2955" w:rsidRDefault="00D371A9" w:rsidP="005B5C4C">
      <w:pPr>
        <w:widowControl w:val="0"/>
        <w:ind w:firstLine="720"/>
        <w:jc w:val="both"/>
        <w:rPr>
          <w:rFonts w:ascii="Arial Narrow" w:hAnsi="Arial Narrow" w:cs="Arial"/>
          <w:snapToGrid w:val="0"/>
          <w:sz w:val="18"/>
          <w:szCs w:val="20"/>
          <w:lang w:eastAsia="en-US"/>
        </w:rPr>
      </w:pPr>
      <w:proofErr w:type="gramStart"/>
      <w:r w:rsidRPr="00BD2955">
        <w:rPr>
          <w:rFonts w:ascii="Arial Narrow" w:hAnsi="Arial Narrow" w:cs="Arial"/>
          <w:snapToGrid w:val="0"/>
          <w:sz w:val="18"/>
          <w:szCs w:val="20"/>
          <w:lang w:eastAsia="en-US"/>
        </w:rPr>
        <w:t>b</w:t>
      </w:r>
      <w:proofErr w:type="gramEnd"/>
      <w:r w:rsidRPr="00BD2955">
        <w:rPr>
          <w:rFonts w:ascii="Arial Narrow" w:hAnsi="Arial Narrow" w:cs="Arial"/>
          <w:snapToGrid w:val="0"/>
          <w:sz w:val="18"/>
          <w:szCs w:val="20"/>
          <w:lang w:eastAsia="en-US"/>
        </w:rPr>
        <w:t xml:space="preserve"> Meta-analysis of ACT I and II</w:t>
      </w:r>
    </w:p>
    <w:p w:rsidR="00D371A9" w:rsidRPr="007224F1" w:rsidRDefault="00D371A9" w:rsidP="005B5C4C">
      <w:pPr>
        <w:widowControl w:val="0"/>
        <w:ind w:firstLine="720"/>
        <w:jc w:val="both"/>
        <w:rPr>
          <w:rFonts w:ascii="Arial Narrow" w:hAnsi="Arial Narrow" w:cs="Arial"/>
          <w:snapToGrid w:val="0"/>
          <w:sz w:val="18"/>
          <w:szCs w:val="20"/>
          <w:lang w:eastAsia="en-US"/>
        </w:rPr>
      </w:pPr>
      <w:proofErr w:type="gramStart"/>
      <w:r w:rsidRPr="007224F1">
        <w:rPr>
          <w:rFonts w:ascii="Arial Narrow" w:hAnsi="Arial Narrow" w:cs="Arial"/>
          <w:snapToGrid w:val="0"/>
          <w:sz w:val="18"/>
          <w:szCs w:val="20"/>
          <w:lang w:eastAsia="en-US"/>
        </w:rPr>
        <w:t>c</w:t>
      </w:r>
      <w:proofErr w:type="gramEnd"/>
      <w:r w:rsidRPr="007224F1">
        <w:rPr>
          <w:rFonts w:ascii="Arial Narrow" w:hAnsi="Arial Narrow" w:cs="Arial"/>
          <w:snapToGrid w:val="0"/>
          <w:sz w:val="18"/>
          <w:szCs w:val="20"/>
          <w:lang w:eastAsia="en-US"/>
        </w:rPr>
        <w:t xml:space="preserve"> Maximum duration of follow-up: ULTRA I = 8 weeks; ULTRA II = 52 weeks; ACT I = 54 weeks; ACT II = 30 weeks</w:t>
      </w:r>
    </w:p>
    <w:p w:rsidR="00D371A9" w:rsidRPr="00BD2955" w:rsidRDefault="008B6EB1" w:rsidP="005B5C4C">
      <w:pPr>
        <w:widowControl w:val="0"/>
        <w:ind w:left="720"/>
        <w:jc w:val="both"/>
        <w:rPr>
          <w:rFonts w:ascii="Arial Narrow" w:hAnsi="Arial Narrow" w:cs="Arial"/>
          <w:snapToGrid w:val="0"/>
          <w:sz w:val="18"/>
          <w:szCs w:val="20"/>
          <w:lang w:eastAsia="en-US"/>
        </w:rPr>
      </w:pPr>
      <w:r w:rsidRPr="008B6EB1">
        <w:rPr>
          <w:rFonts w:ascii="Arial" w:hAnsi="Arial"/>
          <w:i/>
          <w:sz w:val="22"/>
          <w:szCs w:val="22"/>
        </w:rPr>
        <w:t>(REDACTED</w:t>
      </w:r>
      <w:r>
        <w:rPr>
          <w:rFonts w:ascii="Arial" w:hAnsi="Arial"/>
          <w:i/>
          <w:sz w:val="22"/>
          <w:szCs w:val="22"/>
        </w:rPr>
        <w:t>)</w:t>
      </w:r>
      <w:r>
        <w:rPr>
          <w:rFonts w:ascii="Arial" w:hAnsi="Arial"/>
          <w:i/>
        </w:rPr>
        <w:t xml:space="preserve"> </w:t>
      </w:r>
      <w:r w:rsidR="00D371A9" w:rsidRPr="00BD2955">
        <w:rPr>
          <w:rFonts w:ascii="Arial Narrow" w:hAnsi="Arial Narrow" w:cs="Arial"/>
          <w:snapToGrid w:val="0"/>
          <w:sz w:val="18"/>
          <w:szCs w:val="20"/>
          <w:lang w:eastAsia="en-US"/>
        </w:rPr>
        <w:t xml:space="preserve">ADA = </w:t>
      </w:r>
      <w:proofErr w:type="spellStart"/>
      <w:r w:rsidR="00D371A9" w:rsidRPr="00BD2955">
        <w:rPr>
          <w:rFonts w:ascii="Arial Narrow" w:hAnsi="Arial Narrow" w:cs="Arial"/>
          <w:snapToGrid w:val="0"/>
          <w:sz w:val="18"/>
          <w:szCs w:val="20"/>
          <w:lang w:eastAsia="en-US"/>
        </w:rPr>
        <w:t>adalimumab</w:t>
      </w:r>
      <w:proofErr w:type="spellEnd"/>
      <w:r w:rsidR="00D371A9" w:rsidRPr="00BD2955">
        <w:rPr>
          <w:rFonts w:ascii="Arial Narrow" w:hAnsi="Arial Narrow" w:cs="Arial"/>
          <w:snapToGrid w:val="0"/>
          <w:sz w:val="18"/>
          <w:szCs w:val="20"/>
          <w:lang w:eastAsia="en-US"/>
        </w:rPr>
        <w:t xml:space="preserve">; CI = confidence interval; </w:t>
      </w:r>
      <w:proofErr w:type="spellStart"/>
      <w:r w:rsidR="00D371A9" w:rsidRPr="00BD2955">
        <w:rPr>
          <w:rFonts w:ascii="Arial Narrow" w:hAnsi="Arial Narrow" w:cs="Arial"/>
          <w:snapToGrid w:val="0"/>
          <w:sz w:val="18"/>
          <w:szCs w:val="20"/>
          <w:lang w:eastAsia="en-US"/>
        </w:rPr>
        <w:t>CrI</w:t>
      </w:r>
      <w:proofErr w:type="spellEnd"/>
      <w:r w:rsidR="00D371A9" w:rsidRPr="00BD2955">
        <w:rPr>
          <w:rFonts w:ascii="Arial Narrow" w:hAnsi="Arial Narrow" w:cs="Arial"/>
          <w:snapToGrid w:val="0"/>
          <w:sz w:val="18"/>
          <w:szCs w:val="20"/>
          <w:lang w:eastAsia="en-US"/>
        </w:rPr>
        <w:t xml:space="preserve"> = credible interval; IFX = infliximab; OR = odds ratio; PBO = placebo; RD = risk difference</w:t>
      </w:r>
    </w:p>
    <w:p w:rsidR="00D371A9" w:rsidRPr="002B7FBB" w:rsidRDefault="00D371A9" w:rsidP="00D371A9">
      <w:pPr>
        <w:pStyle w:val="ListParagraph"/>
        <w:jc w:val="both"/>
        <w:rPr>
          <w:rFonts w:ascii="Arial" w:hAnsi="Arial"/>
          <w:sz w:val="22"/>
          <w:szCs w:val="22"/>
        </w:rPr>
      </w:pPr>
    </w:p>
    <w:p w:rsidR="00D371A9" w:rsidRPr="002B7FBB" w:rsidRDefault="00D371A9" w:rsidP="00CE662A">
      <w:pPr>
        <w:pStyle w:val="ListParagraph"/>
        <w:numPr>
          <w:ilvl w:val="1"/>
          <w:numId w:val="1"/>
        </w:numPr>
        <w:jc w:val="both"/>
        <w:rPr>
          <w:rFonts w:ascii="Arial" w:hAnsi="Arial"/>
          <w:sz w:val="22"/>
          <w:szCs w:val="22"/>
        </w:rPr>
      </w:pPr>
      <w:r w:rsidRPr="00BD2955">
        <w:rPr>
          <w:rFonts w:ascii="Arial" w:hAnsi="Arial"/>
          <w:sz w:val="22"/>
          <w:szCs w:val="22"/>
        </w:rPr>
        <w:t xml:space="preserve">The indirect comparison of </w:t>
      </w:r>
      <w:proofErr w:type="spellStart"/>
      <w:r w:rsidRPr="00BD2955">
        <w:rPr>
          <w:rFonts w:ascii="Arial" w:hAnsi="Arial"/>
          <w:sz w:val="22"/>
          <w:szCs w:val="22"/>
        </w:rPr>
        <w:t>adalimumab</w:t>
      </w:r>
      <w:proofErr w:type="spellEnd"/>
      <w:r w:rsidRPr="00BD2955">
        <w:rPr>
          <w:rFonts w:ascii="Arial" w:hAnsi="Arial"/>
          <w:sz w:val="22"/>
          <w:szCs w:val="22"/>
        </w:rPr>
        <w:t xml:space="preserve"> and infliximab performed </w:t>
      </w:r>
      <w:r w:rsidR="008B6EB1" w:rsidRPr="008B6EB1">
        <w:rPr>
          <w:rFonts w:ascii="Arial" w:hAnsi="Arial"/>
          <w:i/>
          <w:sz w:val="22"/>
          <w:szCs w:val="22"/>
        </w:rPr>
        <w:t>(REDACTED</w:t>
      </w:r>
      <w:r w:rsidR="008B6EB1">
        <w:rPr>
          <w:rFonts w:ascii="Arial" w:hAnsi="Arial"/>
          <w:i/>
          <w:sz w:val="22"/>
          <w:szCs w:val="22"/>
        </w:rPr>
        <w:t>)</w:t>
      </w:r>
      <w:r w:rsidR="008B6EB1">
        <w:rPr>
          <w:rFonts w:ascii="Arial" w:hAnsi="Arial"/>
          <w:i/>
        </w:rPr>
        <w:t xml:space="preserve"> </w:t>
      </w:r>
      <w:r w:rsidRPr="00BD2955">
        <w:rPr>
          <w:rFonts w:ascii="Arial" w:hAnsi="Arial"/>
          <w:sz w:val="22"/>
          <w:szCs w:val="22"/>
        </w:rPr>
        <w:t xml:space="preserve">indicated a trend </w:t>
      </w:r>
      <w:r w:rsidR="00960F3A" w:rsidRPr="00BD2955">
        <w:rPr>
          <w:rFonts w:ascii="Arial" w:hAnsi="Arial"/>
          <w:sz w:val="22"/>
          <w:szCs w:val="22"/>
        </w:rPr>
        <w:t>for</w:t>
      </w:r>
      <w:r w:rsidRPr="00BD2955">
        <w:rPr>
          <w:rFonts w:ascii="Arial" w:hAnsi="Arial"/>
          <w:sz w:val="22"/>
          <w:szCs w:val="22"/>
        </w:rPr>
        <w:t xml:space="preserve"> inferior efficacy for </w:t>
      </w:r>
      <w:proofErr w:type="spellStart"/>
      <w:r w:rsidRPr="00BD2955">
        <w:rPr>
          <w:rFonts w:ascii="Arial" w:hAnsi="Arial"/>
          <w:sz w:val="22"/>
          <w:szCs w:val="22"/>
        </w:rPr>
        <w:t>adalimumab</w:t>
      </w:r>
      <w:proofErr w:type="spellEnd"/>
      <w:r w:rsidRPr="00BD2955">
        <w:rPr>
          <w:rFonts w:ascii="Arial" w:hAnsi="Arial"/>
          <w:sz w:val="22"/>
          <w:szCs w:val="22"/>
        </w:rPr>
        <w:t xml:space="preserve"> across all outcomes. Although the indirect comparisons of the relative risks and odds ratios resulted in no statistically significant differences between the agents, the credible intervals were large (e.g. for response at 8 weeks </w:t>
      </w:r>
      <w:r w:rsidRPr="00941439">
        <w:rPr>
          <w:rFonts w:ascii="Arial" w:hAnsi="Arial"/>
          <w:sz w:val="22"/>
          <w:szCs w:val="22"/>
        </w:rPr>
        <w:t xml:space="preserve">OR </w:t>
      </w:r>
      <w:r w:rsidR="008B6EB1" w:rsidRPr="008B6EB1">
        <w:rPr>
          <w:rFonts w:ascii="Arial" w:hAnsi="Arial"/>
          <w:i/>
          <w:sz w:val="22"/>
          <w:szCs w:val="22"/>
        </w:rPr>
        <w:t>(REDACTED</w:t>
      </w:r>
      <w:r w:rsidR="008B6EB1">
        <w:rPr>
          <w:rFonts w:ascii="Arial" w:hAnsi="Arial"/>
          <w:i/>
          <w:sz w:val="22"/>
          <w:szCs w:val="22"/>
        </w:rPr>
        <w:t>)</w:t>
      </w:r>
      <w:r w:rsidR="008B6EB1">
        <w:rPr>
          <w:rFonts w:ascii="Arial" w:hAnsi="Arial"/>
          <w:i/>
        </w:rPr>
        <w:t xml:space="preserve"> </w:t>
      </w:r>
      <w:r w:rsidRPr="00941439">
        <w:rPr>
          <w:rFonts w:ascii="Arial" w:hAnsi="Arial"/>
          <w:sz w:val="22"/>
          <w:szCs w:val="22"/>
        </w:rPr>
        <w:t xml:space="preserve">95% Credible Interval: </w:t>
      </w:r>
      <w:r w:rsidR="008B6EB1" w:rsidRPr="008B6EB1">
        <w:rPr>
          <w:rFonts w:ascii="Arial" w:hAnsi="Arial"/>
          <w:i/>
          <w:sz w:val="22"/>
          <w:szCs w:val="22"/>
        </w:rPr>
        <w:t>(REDACTED</w:t>
      </w:r>
      <w:r w:rsidR="008B6EB1">
        <w:rPr>
          <w:rFonts w:ascii="Arial" w:hAnsi="Arial"/>
          <w:i/>
          <w:sz w:val="22"/>
          <w:szCs w:val="22"/>
        </w:rPr>
        <w:t>)</w:t>
      </w:r>
    </w:p>
    <w:p w:rsidR="00DF26A7" w:rsidRDefault="00941439" w:rsidP="00941439">
      <w:pPr>
        <w:tabs>
          <w:tab w:val="left" w:pos="7512"/>
        </w:tabs>
        <w:jc w:val="both"/>
        <w:rPr>
          <w:rFonts w:ascii="Arial" w:hAnsi="Arial"/>
          <w:sz w:val="22"/>
          <w:szCs w:val="22"/>
        </w:rPr>
      </w:pPr>
      <w:r>
        <w:rPr>
          <w:rFonts w:ascii="Arial" w:hAnsi="Arial"/>
          <w:sz w:val="22"/>
          <w:szCs w:val="22"/>
        </w:rPr>
        <w:tab/>
      </w:r>
    </w:p>
    <w:p w:rsidR="00BB7EC3" w:rsidRPr="00BB7EC3" w:rsidRDefault="00BB7EC3" w:rsidP="00BB7EC3">
      <w:pPr>
        <w:pStyle w:val="ListParagraph"/>
        <w:ind w:left="709"/>
        <w:jc w:val="both"/>
        <w:rPr>
          <w:rFonts w:ascii="Arial" w:hAnsi="Arial"/>
          <w:i/>
          <w:sz w:val="22"/>
          <w:szCs w:val="22"/>
        </w:rPr>
      </w:pPr>
      <w:r>
        <w:rPr>
          <w:rFonts w:ascii="Arial" w:hAnsi="Arial"/>
          <w:i/>
          <w:sz w:val="22"/>
          <w:szCs w:val="22"/>
        </w:rPr>
        <w:t>For more detail on PBAC’s view, see section 7 “PBAC outcome”</w:t>
      </w:r>
    </w:p>
    <w:p w:rsidR="00BB7EC3" w:rsidRPr="00882085" w:rsidRDefault="00BB7EC3" w:rsidP="00BB7EC3">
      <w:pPr>
        <w:ind w:left="709"/>
        <w:jc w:val="both"/>
        <w:rPr>
          <w:rFonts w:ascii="Arial" w:hAnsi="Arial"/>
          <w:sz w:val="22"/>
          <w:szCs w:val="22"/>
        </w:rPr>
      </w:pPr>
    </w:p>
    <w:p w:rsidR="005A3173" w:rsidRPr="00882085" w:rsidRDefault="005A3173" w:rsidP="00882085">
      <w:pPr>
        <w:jc w:val="both"/>
        <w:rPr>
          <w:rFonts w:ascii="Arial" w:hAnsi="Arial"/>
          <w:b/>
          <w:i/>
          <w:sz w:val="22"/>
          <w:szCs w:val="22"/>
        </w:rPr>
      </w:pPr>
      <w:r w:rsidRPr="00882085">
        <w:rPr>
          <w:rFonts w:ascii="Arial" w:hAnsi="Arial"/>
          <w:b/>
          <w:i/>
          <w:sz w:val="22"/>
          <w:szCs w:val="22"/>
        </w:rPr>
        <w:t>Comparative harms</w:t>
      </w:r>
    </w:p>
    <w:p w:rsidR="005A3173" w:rsidRPr="00882085" w:rsidRDefault="005A3173" w:rsidP="00882085">
      <w:pPr>
        <w:ind w:left="720" w:hanging="720"/>
        <w:jc w:val="both"/>
        <w:rPr>
          <w:rFonts w:ascii="Arial" w:hAnsi="Arial"/>
          <w:sz w:val="22"/>
          <w:szCs w:val="22"/>
        </w:rPr>
      </w:pPr>
    </w:p>
    <w:p w:rsidR="000B3E3A" w:rsidRPr="00CE662A" w:rsidRDefault="000B3E3A" w:rsidP="005B5C4C">
      <w:pPr>
        <w:jc w:val="both"/>
        <w:rPr>
          <w:rFonts w:ascii="Arial" w:hAnsi="Arial" w:cs="Arial"/>
          <w:sz w:val="22"/>
          <w:szCs w:val="22"/>
          <w:u w:val="single"/>
        </w:rPr>
      </w:pPr>
      <w:proofErr w:type="spellStart"/>
      <w:r w:rsidRPr="00CE662A">
        <w:rPr>
          <w:rFonts w:ascii="Arial" w:hAnsi="Arial" w:cs="Arial"/>
          <w:sz w:val="22"/>
          <w:szCs w:val="22"/>
          <w:u w:val="single"/>
        </w:rPr>
        <w:t>Adalimumab</w:t>
      </w:r>
      <w:proofErr w:type="spellEnd"/>
      <w:r w:rsidRPr="00CE662A">
        <w:rPr>
          <w:rFonts w:ascii="Arial" w:hAnsi="Arial" w:cs="Arial"/>
          <w:sz w:val="22"/>
          <w:szCs w:val="22"/>
          <w:u w:val="single"/>
        </w:rPr>
        <w:t xml:space="preserve"> versus placebo</w:t>
      </w:r>
    </w:p>
    <w:p w:rsidR="007D5055" w:rsidRPr="007D5055" w:rsidRDefault="000B3E3A" w:rsidP="007D5055">
      <w:pPr>
        <w:pStyle w:val="ListParagraph"/>
        <w:numPr>
          <w:ilvl w:val="1"/>
          <w:numId w:val="1"/>
        </w:numPr>
        <w:jc w:val="both"/>
        <w:rPr>
          <w:rFonts w:ascii="Arial" w:hAnsi="Arial"/>
          <w:sz w:val="22"/>
          <w:szCs w:val="22"/>
          <w:u w:val="single"/>
        </w:rPr>
      </w:pPr>
      <w:r w:rsidRPr="007D5055">
        <w:rPr>
          <w:rFonts w:ascii="Arial" w:hAnsi="Arial"/>
          <w:sz w:val="22"/>
          <w:szCs w:val="22"/>
        </w:rPr>
        <w:t>The results for the comparative effectiveness of the ULTRA I and II tri</w:t>
      </w:r>
      <w:r w:rsidR="00E75C0A" w:rsidRPr="007D5055">
        <w:rPr>
          <w:rFonts w:ascii="Arial" w:hAnsi="Arial"/>
          <w:sz w:val="22"/>
          <w:szCs w:val="22"/>
        </w:rPr>
        <w:t>als, when compared to placebo, we</w:t>
      </w:r>
      <w:r w:rsidRPr="007D5055">
        <w:rPr>
          <w:rFonts w:ascii="Arial" w:hAnsi="Arial"/>
          <w:sz w:val="22"/>
          <w:szCs w:val="22"/>
        </w:rPr>
        <w:t>re unchanged from the previous submission. The PBAC</w:t>
      </w:r>
      <w:r w:rsidR="00E75C0A" w:rsidRPr="007D5055">
        <w:rPr>
          <w:rFonts w:ascii="Arial" w:hAnsi="Arial"/>
          <w:sz w:val="22"/>
          <w:szCs w:val="22"/>
        </w:rPr>
        <w:t xml:space="preserve"> had</w:t>
      </w:r>
      <w:r w:rsidRPr="007D5055">
        <w:rPr>
          <w:rFonts w:ascii="Arial" w:hAnsi="Arial"/>
          <w:sz w:val="22"/>
          <w:szCs w:val="22"/>
        </w:rPr>
        <w:t xml:space="preserve"> previously considered that overall, the comparative harms of </w:t>
      </w:r>
      <w:proofErr w:type="spellStart"/>
      <w:r w:rsidRPr="007D5055">
        <w:rPr>
          <w:rFonts w:ascii="Arial" w:hAnsi="Arial"/>
          <w:sz w:val="22"/>
          <w:szCs w:val="22"/>
        </w:rPr>
        <w:t>adalimumab</w:t>
      </w:r>
      <w:proofErr w:type="spellEnd"/>
      <w:r w:rsidRPr="007D5055">
        <w:rPr>
          <w:rFonts w:ascii="Arial" w:hAnsi="Arial"/>
          <w:sz w:val="22"/>
          <w:szCs w:val="22"/>
        </w:rPr>
        <w:t xml:space="preserve"> are known and no new safety signals were observed in the trials and additional safety data presented in the November 2013 submission.</w:t>
      </w:r>
    </w:p>
    <w:p w:rsidR="00D371A9" w:rsidRPr="00D371A9" w:rsidRDefault="007D5055" w:rsidP="007D5055">
      <w:pPr>
        <w:pStyle w:val="ListParagraph"/>
        <w:jc w:val="both"/>
        <w:rPr>
          <w:rFonts w:ascii="Arial" w:hAnsi="Arial"/>
          <w:sz w:val="22"/>
          <w:szCs w:val="22"/>
          <w:u w:val="single"/>
        </w:rPr>
      </w:pPr>
      <w:r w:rsidRPr="00D371A9">
        <w:rPr>
          <w:rFonts w:ascii="Arial" w:hAnsi="Arial"/>
          <w:sz w:val="22"/>
          <w:szCs w:val="22"/>
          <w:u w:val="single"/>
        </w:rPr>
        <w:t xml:space="preserve"> </w:t>
      </w:r>
    </w:p>
    <w:p w:rsidR="0021106D" w:rsidRPr="00E75C0A" w:rsidRDefault="00733CBC" w:rsidP="00E75C0A">
      <w:pPr>
        <w:pStyle w:val="ListParagraph"/>
        <w:numPr>
          <w:ilvl w:val="1"/>
          <w:numId w:val="1"/>
        </w:numPr>
        <w:ind w:left="709" w:hanging="709"/>
        <w:jc w:val="both"/>
        <w:rPr>
          <w:rFonts w:ascii="Arial" w:hAnsi="Arial"/>
          <w:sz w:val="22"/>
          <w:szCs w:val="22"/>
          <w:u w:val="single"/>
        </w:rPr>
      </w:pPr>
      <w:r w:rsidRPr="00E75C0A">
        <w:rPr>
          <w:rFonts w:ascii="Arial" w:hAnsi="Arial"/>
          <w:sz w:val="22"/>
          <w:szCs w:val="22"/>
        </w:rPr>
        <w:t>The table below</w:t>
      </w:r>
      <w:r w:rsidR="0021106D" w:rsidRPr="00E75C0A">
        <w:rPr>
          <w:rFonts w:ascii="Arial" w:hAnsi="Arial"/>
          <w:sz w:val="22"/>
          <w:szCs w:val="22"/>
        </w:rPr>
        <w:t xml:space="preserve"> provides a summary of the comparative harms for </w:t>
      </w:r>
      <w:proofErr w:type="spellStart"/>
      <w:r w:rsidR="0021106D" w:rsidRPr="00E75C0A">
        <w:rPr>
          <w:rFonts w:ascii="Arial" w:hAnsi="Arial"/>
          <w:sz w:val="22"/>
          <w:szCs w:val="22"/>
        </w:rPr>
        <w:t>adalimumab</w:t>
      </w:r>
      <w:proofErr w:type="spellEnd"/>
      <w:r w:rsidR="0021106D" w:rsidRPr="00E75C0A">
        <w:rPr>
          <w:rFonts w:ascii="Arial" w:hAnsi="Arial"/>
          <w:sz w:val="22"/>
          <w:szCs w:val="22"/>
        </w:rPr>
        <w:t xml:space="preserve"> and placebo as per the ULTRA trials.</w:t>
      </w:r>
    </w:p>
    <w:p w:rsidR="00733CBC" w:rsidRDefault="00733CBC" w:rsidP="00733CBC">
      <w:pPr>
        <w:pStyle w:val="ListParagraph"/>
        <w:ind w:left="709"/>
        <w:jc w:val="both"/>
        <w:rPr>
          <w:rFonts w:ascii="Arial" w:hAnsi="Arial"/>
          <w:sz w:val="22"/>
          <w:szCs w:val="22"/>
        </w:rPr>
      </w:pPr>
    </w:p>
    <w:p w:rsidR="00733CBC" w:rsidRPr="00733CBC" w:rsidRDefault="00733CBC" w:rsidP="00D97619">
      <w:pPr>
        <w:keepNext/>
        <w:ind w:firstLine="709"/>
        <w:jc w:val="both"/>
        <w:rPr>
          <w:rFonts w:ascii="Arial Narrow" w:hAnsi="Arial Narrow" w:cs="Arial"/>
          <w:b/>
          <w:snapToGrid w:val="0"/>
          <w:sz w:val="20"/>
          <w:szCs w:val="16"/>
          <w:lang w:eastAsia="en-US"/>
        </w:rPr>
      </w:pPr>
      <w:r w:rsidRPr="00733CBC">
        <w:rPr>
          <w:rFonts w:ascii="Arial Narrow" w:hAnsi="Arial Narrow" w:cs="Arial"/>
          <w:b/>
          <w:snapToGrid w:val="0"/>
          <w:sz w:val="20"/>
          <w:szCs w:val="16"/>
          <w:lang w:eastAsia="en-US"/>
        </w:rPr>
        <w:t xml:space="preserve">Summary of comparative harms for </w:t>
      </w:r>
      <w:proofErr w:type="spellStart"/>
      <w:r w:rsidRPr="00733CBC">
        <w:rPr>
          <w:rFonts w:ascii="Arial Narrow" w:hAnsi="Arial Narrow" w:cs="Arial"/>
          <w:b/>
          <w:snapToGrid w:val="0"/>
          <w:sz w:val="20"/>
          <w:szCs w:val="16"/>
          <w:lang w:eastAsia="en-US"/>
        </w:rPr>
        <w:t>adalimumab</w:t>
      </w:r>
      <w:proofErr w:type="spellEnd"/>
      <w:r w:rsidRPr="00733CBC">
        <w:rPr>
          <w:rFonts w:ascii="Arial Narrow" w:hAnsi="Arial Narrow" w:cs="Arial"/>
          <w:b/>
          <w:snapToGrid w:val="0"/>
          <w:sz w:val="20"/>
          <w:szCs w:val="16"/>
          <w:lang w:eastAsia="en-US"/>
        </w:rPr>
        <w:t xml:space="preserve"> and placebo</w:t>
      </w:r>
    </w:p>
    <w:tbl>
      <w:tblPr>
        <w:tblStyle w:val="TableGrid"/>
        <w:tblW w:w="4568" w:type="pct"/>
        <w:tblInd w:w="737" w:type="dxa"/>
        <w:tblCellMar>
          <w:left w:w="28" w:type="dxa"/>
          <w:right w:w="28" w:type="dxa"/>
        </w:tblCellMar>
        <w:tblLook w:val="04A0" w:firstRow="1" w:lastRow="0" w:firstColumn="1" w:lastColumn="0" w:noHBand="0" w:noVBand="1"/>
        <w:tblDescription w:val="Summary of comparative harms for adalimumab and placebo"/>
      </w:tblPr>
      <w:tblGrid>
        <w:gridCol w:w="1275"/>
        <w:gridCol w:w="991"/>
        <w:gridCol w:w="994"/>
        <w:gridCol w:w="1272"/>
        <w:gridCol w:w="991"/>
        <w:gridCol w:w="994"/>
        <w:gridCol w:w="1284"/>
      </w:tblGrid>
      <w:tr w:rsidR="00D97619" w:rsidRPr="00733CBC">
        <w:trPr>
          <w:trHeight w:val="150"/>
          <w:tblHeader/>
        </w:trPr>
        <w:tc>
          <w:tcPr>
            <w:tcW w:w="818" w:type="pct"/>
            <w:vMerge w:val="restart"/>
            <w:shd w:val="clear" w:color="auto" w:fill="auto"/>
            <w:vAlign w:val="center"/>
          </w:tcPr>
          <w:p w:rsidR="00733CBC" w:rsidRPr="00733CBC" w:rsidRDefault="00733CBC" w:rsidP="00733CBC">
            <w:pPr>
              <w:keepNext/>
              <w:widowControl w:val="0"/>
              <w:jc w:val="both"/>
              <w:rPr>
                <w:rFonts w:ascii="Arial Narrow" w:hAnsi="Arial Narrow" w:cs="Arial"/>
                <w:b/>
                <w:snapToGrid w:val="0"/>
                <w:color w:val="000000"/>
                <w:sz w:val="20"/>
                <w:szCs w:val="18"/>
                <w:lang w:eastAsia="en-US"/>
              </w:rPr>
            </w:pPr>
            <w:r w:rsidRPr="00733CBC">
              <w:rPr>
                <w:rFonts w:ascii="Arial Narrow" w:hAnsi="Arial Narrow" w:cs="Arial"/>
                <w:b/>
                <w:snapToGrid w:val="0"/>
                <w:color w:val="000000"/>
                <w:sz w:val="20"/>
                <w:szCs w:val="18"/>
                <w:lang w:eastAsia="en-US"/>
              </w:rPr>
              <w:t>Trial</w:t>
            </w:r>
          </w:p>
        </w:tc>
        <w:tc>
          <w:tcPr>
            <w:tcW w:w="635" w:type="pct"/>
            <w:vMerge w:val="restart"/>
            <w:vAlign w:val="center"/>
          </w:tcPr>
          <w:p w:rsidR="00733CBC" w:rsidRPr="00733CBC" w:rsidRDefault="00733CBC" w:rsidP="00733CBC">
            <w:pPr>
              <w:keepNext/>
              <w:widowControl w:val="0"/>
              <w:jc w:val="center"/>
              <w:rPr>
                <w:rFonts w:ascii="Arial Narrow" w:hAnsi="Arial Narrow" w:cs="Arial"/>
                <w:b/>
                <w:snapToGrid w:val="0"/>
                <w:color w:val="000000"/>
                <w:sz w:val="20"/>
                <w:szCs w:val="18"/>
                <w:lang w:eastAsia="en-US"/>
              </w:rPr>
            </w:pPr>
            <w:r w:rsidRPr="00733CBC">
              <w:rPr>
                <w:rFonts w:ascii="Arial Narrow" w:hAnsi="Arial Narrow" w:cs="Arial"/>
                <w:b/>
                <w:snapToGrid w:val="0"/>
                <w:color w:val="000000"/>
                <w:sz w:val="20"/>
                <w:szCs w:val="18"/>
                <w:lang w:eastAsia="en-US"/>
              </w:rPr>
              <w:t>ADA</w:t>
            </w:r>
          </w:p>
        </w:tc>
        <w:tc>
          <w:tcPr>
            <w:tcW w:w="637" w:type="pct"/>
            <w:vMerge w:val="restart"/>
            <w:vAlign w:val="center"/>
          </w:tcPr>
          <w:p w:rsidR="00733CBC" w:rsidRPr="00733CBC" w:rsidRDefault="00733CBC" w:rsidP="00733CBC">
            <w:pPr>
              <w:keepNext/>
              <w:widowControl w:val="0"/>
              <w:jc w:val="center"/>
              <w:rPr>
                <w:rFonts w:ascii="Arial Narrow" w:hAnsi="Arial Narrow" w:cs="Arial"/>
                <w:b/>
                <w:snapToGrid w:val="0"/>
                <w:color w:val="000000"/>
                <w:sz w:val="20"/>
                <w:szCs w:val="18"/>
                <w:lang w:eastAsia="en-US"/>
              </w:rPr>
            </w:pPr>
            <w:r w:rsidRPr="00733CBC">
              <w:rPr>
                <w:rFonts w:ascii="Arial Narrow" w:hAnsi="Arial Narrow" w:cs="Arial"/>
                <w:b/>
                <w:snapToGrid w:val="0"/>
                <w:color w:val="000000"/>
                <w:sz w:val="20"/>
                <w:szCs w:val="18"/>
                <w:lang w:eastAsia="en-US"/>
              </w:rPr>
              <w:t>PBO</w:t>
            </w:r>
          </w:p>
        </w:tc>
        <w:tc>
          <w:tcPr>
            <w:tcW w:w="815" w:type="pct"/>
            <w:vMerge w:val="restart"/>
            <w:vAlign w:val="center"/>
          </w:tcPr>
          <w:p w:rsidR="00733CBC" w:rsidRPr="00733CBC" w:rsidRDefault="00733CBC" w:rsidP="00733CBC">
            <w:pPr>
              <w:keepNext/>
              <w:widowControl w:val="0"/>
              <w:jc w:val="center"/>
              <w:rPr>
                <w:rFonts w:ascii="Arial Narrow" w:hAnsi="Arial Narrow" w:cs="Arial"/>
                <w:b/>
                <w:snapToGrid w:val="0"/>
                <w:color w:val="000000"/>
                <w:sz w:val="20"/>
                <w:szCs w:val="18"/>
                <w:lang w:eastAsia="en-US"/>
              </w:rPr>
            </w:pPr>
            <w:r w:rsidRPr="00733CBC">
              <w:rPr>
                <w:rFonts w:ascii="Arial Narrow" w:hAnsi="Arial Narrow" w:cs="Arial"/>
                <w:b/>
                <w:snapToGrid w:val="0"/>
                <w:color w:val="000000"/>
                <w:sz w:val="20"/>
                <w:szCs w:val="18"/>
                <w:lang w:eastAsia="en-US"/>
              </w:rPr>
              <w:t>RR</w:t>
            </w:r>
          </w:p>
          <w:p w:rsidR="00733CBC" w:rsidRPr="00733CBC" w:rsidRDefault="00733CBC" w:rsidP="00733CBC">
            <w:pPr>
              <w:keepNext/>
              <w:widowControl w:val="0"/>
              <w:jc w:val="center"/>
              <w:rPr>
                <w:rFonts w:ascii="Arial Narrow" w:hAnsi="Arial Narrow" w:cs="Arial"/>
                <w:b/>
                <w:snapToGrid w:val="0"/>
                <w:color w:val="000000"/>
                <w:sz w:val="20"/>
                <w:szCs w:val="18"/>
                <w:lang w:eastAsia="en-US"/>
              </w:rPr>
            </w:pPr>
            <w:r w:rsidRPr="00733CBC">
              <w:rPr>
                <w:rFonts w:ascii="Arial Narrow" w:hAnsi="Arial Narrow" w:cs="Arial"/>
                <w:b/>
                <w:snapToGrid w:val="0"/>
                <w:color w:val="000000"/>
                <w:sz w:val="20"/>
                <w:szCs w:val="18"/>
                <w:lang w:eastAsia="en-US"/>
              </w:rPr>
              <w:t>(95% CI)</w:t>
            </w:r>
          </w:p>
        </w:tc>
        <w:tc>
          <w:tcPr>
            <w:tcW w:w="1272" w:type="pct"/>
            <w:gridSpan w:val="2"/>
            <w:vAlign w:val="center"/>
          </w:tcPr>
          <w:p w:rsidR="00733CBC" w:rsidRPr="00733CBC" w:rsidRDefault="00733CBC" w:rsidP="00733CBC">
            <w:pPr>
              <w:keepNext/>
              <w:widowControl w:val="0"/>
              <w:jc w:val="center"/>
              <w:rPr>
                <w:rFonts w:ascii="Arial Narrow" w:hAnsi="Arial Narrow" w:cs="Arial"/>
                <w:b/>
                <w:snapToGrid w:val="0"/>
                <w:color w:val="000000"/>
                <w:sz w:val="20"/>
                <w:szCs w:val="18"/>
                <w:lang w:eastAsia="en-US"/>
              </w:rPr>
            </w:pPr>
            <w:r w:rsidRPr="00733CBC">
              <w:rPr>
                <w:rFonts w:ascii="Arial Narrow" w:hAnsi="Arial Narrow" w:cs="Arial"/>
                <w:b/>
                <w:snapToGrid w:val="0"/>
                <w:color w:val="000000"/>
                <w:sz w:val="20"/>
                <w:szCs w:val="18"/>
                <w:lang w:eastAsia="en-US"/>
              </w:rPr>
              <w:t xml:space="preserve">Event rate/100 patients* </w:t>
            </w:r>
          </w:p>
        </w:tc>
        <w:tc>
          <w:tcPr>
            <w:tcW w:w="823" w:type="pct"/>
            <w:vMerge w:val="restart"/>
            <w:vAlign w:val="center"/>
          </w:tcPr>
          <w:p w:rsidR="00733CBC" w:rsidRPr="00733CBC" w:rsidRDefault="00733CBC" w:rsidP="00733CBC">
            <w:pPr>
              <w:keepNext/>
              <w:widowControl w:val="0"/>
              <w:jc w:val="center"/>
              <w:rPr>
                <w:rFonts w:ascii="Arial Narrow" w:hAnsi="Arial Narrow" w:cs="Arial"/>
                <w:b/>
                <w:snapToGrid w:val="0"/>
                <w:color w:val="000000"/>
                <w:sz w:val="20"/>
                <w:szCs w:val="18"/>
                <w:lang w:eastAsia="en-US"/>
              </w:rPr>
            </w:pPr>
            <w:r w:rsidRPr="00733CBC">
              <w:rPr>
                <w:rFonts w:ascii="Arial Narrow" w:hAnsi="Arial Narrow" w:cs="Arial"/>
                <w:b/>
                <w:snapToGrid w:val="0"/>
                <w:color w:val="000000"/>
                <w:sz w:val="20"/>
                <w:szCs w:val="18"/>
                <w:lang w:eastAsia="en-US"/>
              </w:rPr>
              <w:t>RD</w:t>
            </w:r>
          </w:p>
          <w:p w:rsidR="00733CBC" w:rsidRPr="00733CBC" w:rsidRDefault="00733CBC" w:rsidP="00733CBC">
            <w:pPr>
              <w:keepNext/>
              <w:widowControl w:val="0"/>
              <w:jc w:val="center"/>
              <w:rPr>
                <w:rFonts w:ascii="Arial Narrow" w:hAnsi="Arial Narrow" w:cs="Arial"/>
                <w:b/>
                <w:snapToGrid w:val="0"/>
                <w:color w:val="000000"/>
                <w:sz w:val="20"/>
                <w:szCs w:val="18"/>
                <w:lang w:eastAsia="en-US"/>
              </w:rPr>
            </w:pPr>
            <w:r w:rsidRPr="00733CBC">
              <w:rPr>
                <w:rFonts w:ascii="Arial Narrow" w:hAnsi="Arial Narrow" w:cs="Arial"/>
                <w:b/>
                <w:snapToGrid w:val="0"/>
                <w:color w:val="000000"/>
                <w:sz w:val="20"/>
                <w:szCs w:val="18"/>
                <w:lang w:eastAsia="en-US"/>
              </w:rPr>
              <w:t>(95% CI)</w:t>
            </w:r>
          </w:p>
        </w:tc>
      </w:tr>
      <w:tr w:rsidR="00D97619" w:rsidRPr="00733CBC">
        <w:trPr>
          <w:trHeight w:val="155"/>
        </w:trPr>
        <w:tc>
          <w:tcPr>
            <w:tcW w:w="818" w:type="pct"/>
            <w:vMerge/>
            <w:shd w:val="clear" w:color="auto" w:fill="auto"/>
            <w:vAlign w:val="center"/>
          </w:tcPr>
          <w:p w:rsidR="00733CBC" w:rsidRPr="00733CBC" w:rsidRDefault="00733CBC" w:rsidP="00733CBC">
            <w:pPr>
              <w:keepNext/>
              <w:widowControl w:val="0"/>
              <w:jc w:val="both"/>
              <w:rPr>
                <w:rFonts w:ascii="Arial Narrow" w:hAnsi="Arial Narrow" w:cs="Arial"/>
                <w:b/>
                <w:snapToGrid w:val="0"/>
                <w:color w:val="000000"/>
                <w:sz w:val="20"/>
                <w:szCs w:val="18"/>
                <w:lang w:eastAsia="en-US"/>
              </w:rPr>
            </w:pPr>
          </w:p>
        </w:tc>
        <w:tc>
          <w:tcPr>
            <w:tcW w:w="635" w:type="pct"/>
            <w:vMerge/>
            <w:vAlign w:val="center"/>
          </w:tcPr>
          <w:p w:rsidR="00733CBC" w:rsidRPr="00733CBC" w:rsidRDefault="00733CBC" w:rsidP="00733CBC">
            <w:pPr>
              <w:keepNext/>
              <w:widowControl w:val="0"/>
              <w:jc w:val="center"/>
              <w:rPr>
                <w:rFonts w:ascii="Arial Narrow" w:hAnsi="Arial Narrow" w:cs="Arial"/>
                <w:b/>
                <w:snapToGrid w:val="0"/>
                <w:color w:val="000000"/>
                <w:sz w:val="20"/>
                <w:szCs w:val="18"/>
                <w:lang w:eastAsia="en-US"/>
              </w:rPr>
            </w:pPr>
          </w:p>
        </w:tc>
        <w:tc>
          <w:tcPr>
            <w:tcW w:w="637" w:type="pct"/>
            <w:vMerge/>
            <w:vAlign w:val="center"/>
          </w:tcPr>
          <w:p w:rsidR="00733CBC" w:rsidRPr="00733CBC" w:rsidRDefault="00733CBC" w:rsidP="00733CBC">
            <w:pPr>
              <w:keepNext/>
              <w:widowControl w:val="0"/>
              <w:jc w:val="center"/>
              <w:rPr>
                <w:rFonts w:ascii="Arial Narrow" w:hAnsi="Arial Narrow" w:cs="Arial"/>
                <w:b/>
                <w:snapToGrid w:val="0"/>
                <w:color w:val="000000"/>
                <w:sz w:val="20"/>
                <w:szCs w:val="18"/>
                <w:lang w:eastAsia="en-US"/>
              </w:rPr>
            </w:pPr>
          </w:p>
        </w:tc>
        <w:tc>
          <w:tcPr>
            <w:tcW w:w="815" w:type="pct"/>
            <w:vMerge/>
            <w:vAlign w:val="center"/>
          </w:tcPr>
          <w:p w:rsidR="00733CBC" w:rsidRPr="00733CBC" w:rsidRDefault="00733CBC" w:rsidP="00733CBC">
            <w:pPr>
              <w:keepNext/>
              <w:widowControl w:val="0"/>
              <w:jc w:val="center"/>
              <w:rPr>
                <w:rFonts w:ascii="Arial Narrow" w:hAnsi="Arial Narrow" w:cs="Arial"/>
                <w:b/>
                <w:snapToGrid w:val="0"/>
                <w:color w:val="000000"/>
                <w:sz w:val="20"/>
                <w:szCs w:val="18"/>
                <w:lang w:eastAsia="en-US"/>
              </w:rPr>
            </w:pPr>
          </w:p>
        </w:tc>
        <w:tc>
          <w:tcPr>
            <w:tcW w:w="635" w:type="pct"/>
            <w:vAlign w:val="center"/>
          </w:tcPr>
          <w:p w:rsidR="00733CBC" w:rsidRPr="00733CBC" w:rsidRDefault="00733CBC" w:rsidP="00733CBC">
            <w:pPr>
              <w:keepNext/>
              <w:widowControl w:val="0"/>
              <w:jc w:val="center"/>
              <w:rPr>
                <w:rFonts w:ascii="Arial Narrow" w:hAnsi="Arial Narrow" w:cs="Arial"/>
                <w:b/>
                <w:snapToGrid w:val="0"/>
                <w:color w:val="000000"/>
                <w:sz w:val="20"/>
                <w:szCs w:val="18"/>
                <w:lang w:eastAsia="en-US"/>
              </w:rPr>
            </w:pPr>
            <w:r w:rsidRPr="00733CBC">
              <w:rPr>
                <w:rFonts w:ascii="Arial Narrow" w:hAnsi="Arial Narrow" w:cs="Arial"/>
                <w:b/>
                <w:snapToGrid w:val="0"/>
                <w:color w:val="000000"/>
                <w:sz w:val="20"/>
                <w:szCs w:val="18"/>
                <w:lang w:eastAsia="en-US"/>
              </w:rPr>
              <w:t>ADA</w:t>
            </w:r>
          </w:p>
        </w:tc>
        <w:tc>
          <w:tcPr>
            <w:tcW w:w="637" w:type="pct"/>
            <w:vAlign w:val="center"/>
          </w:tcPr>
          <w:p w:rsidR="00733CBC" w:rsidRPr="00733CBC" w:rsidRDefault="00733CBC" w:rsidP="00733CBC">
            <w:pPr>
              <w:keepNext/>
              <w:widowControl w:val="0"/>
              <w:jc w:val="center"/>
              <w:rPr>
                <w:rFonts w:ascii="Arial Narrow" w:hAnsi="Arial Narrow" w:cs="Arial"/>
                <w:b/>
                <w:snapToGrid w:val="0"/>
                <w:color w:val="000000"/>
                <w:sz w:val="20"/>
                <w:szCs w:val="18"/>
                <w:lang w:eastAsia="en-US"/>
              </w:rPr>
            </w:pPr>
            <w:r w:rsidRPr="00733CBC">
              <w:rPr>
                <w:rFonts w:ascii="Arial Narrow" w:hAnsi="Arial Narrow" w:cs="Arial"/>
                <w:b/>
                <w:snapToGrid w:val="0"/>
                <w:color w:val="000000"/>
                <w:sz w:val="20"/>
                <w:szCs w:val="18"/>
                <w:lang w:eastAsia="en-US"/>
              </w:rPr>
              <w:t>PBO</w:t>
            </w:r>
          </w:p>
        </w:tc>
        <w:tc>
          <w:tcPr>
            <w:tcW w:w="823" w:type="pct"/>
            <w:vMerge/>
            <w:vAlign w:val="center"/>
          </w:tcPr>
          <w:p w:rsidR="00733CBC" w:rsidRPr="00733CBC" w:rsidRDefault="00733CBC" w:rsidP="00733CBC">
            <w:pPr>
              <w:keepNext/>
              <w:widowControl w:val="0"/>
              <w:jc w:val="center"/>
              <w:rPr>
                <w:rFonts w:ascii="Arial Narrow" w:hAnsi="Arial Narrow" w:cs="Arial"/>
                <w:b/>
                <w:snapToGrid w:val="0"/>
                <w:color w:val="000000"/>
                <w:sz w:val="20"/>
                <w:szCs w:val="18"/>
                <w:lang w:eastAsia="en-US"/>
              </w:rPr>
            </w:pPr>
          </w:p>
        </w:tc>
      </w:tr>
      <w:tr w:rsidR="00733CBC" w:rsidRPr="00733CBC">
        <w:tc>
          <w:tcPr>
            <w:tcW w:w="5000" w:type="pct"/>
            <w:gridSpan w:val="7"/>
            <w:tcBorders>
              <w:top w:val="single" w:sz="4" w:space="0" w:color="auto"/>
            </w:tcBorders>
            <w:shd w:val="clear" w:color="auto" w:fill="auto"/>
            <w:vAlign w:val="center"/>
          </w:tcPr>
          <w:p w:rsidR="00733CBC" w:rsidRPr="00733CBC" w:rsidRDefault="00733CBC" w:rsidP="00733CBC">
            <w:pPr>
              <w:widowControl w:val="0"/>
              <w:jc w:val="both"/>
              <w:rPr>
                <w:rFonts w:ascii="Arial Narrow" w:hAnsi="Arial Narrow" w:cs="Arial"/>
                <w:b/>
                <w:snapToGrid w:val="0"/>
                <w:color w:val="000000"/>
                <w:sz w:val="20"/>
                <w:szCs w:val="18"/>
                <w:lang w:eastAsia="en-US"/>
              </w:rPr>
            </w:pPr>
            <w:r w:rsidRPr="00733CBC">
              <w:rPr>
                <w:rFonts w:ascii="Arial Narrow" w:hAnsi="Arial Narrow" w:cs="Arial"/>
                <w:b/>
                <w:snapToGrid w:val="0"/>
                <w:color w:val="000000"/>
                <w:sz w:val="20"/>
                <w:szCs w:val="18"/>
                <w:lang w:eastAsia="en-US"/>
              </w:rPr>
              <w:t>HARMS</w:t>
            </w:r>
          </w:p>
        </w:tc>
      </w:tr>
      <w:tr w:rsidR="00733CBC" w:rsidRPr="00733CBC">
        <w:tc>
          <w:tcPr>
            <w:tcW w:w="5000" w:type="pct"/>
            <w:gridSpan w:val="7"/>
            <w:shd w:val="clear" w:color="auto" w:fill="auto"/>
            <w:vAlign w:val="center"/>
          </w:tcPr>
          <w:p w:rsidR="00733CBC" w:rsidRPr="00733CBC" w:rsidRDefault="00733CBC" w:rsidP="00733CBC">
            <w:pPr>
              <w:widowControl w:val="0"/>
              <w:jc w:val="both"/>
              <w:rPr>
                <w:rFonts w:ascii="Arial Narrow" w:hAnsi="Arial Narrow" w:cs="Arial"/>
                <w:b/>
                <w:snapToGrid w:val="0"/>
                <w:color w:val="000000"/>
                <w:sz w:val="20"/>
                <w:szCs w:val="18"/>
                <w:lang w:eastAsia="en-US"/>
              </w:rPr>
            </w:pPr>
            <w:r w:rsidRPr="00733CBC">
              <w:rPr>
                <w:rFonts w:ascii="Arial Narrow" w:hAnsi="Arial Narrow" w:cs="Arial"/>
                <w:b/>
                <w:snapToGrid w:val="0"/>
                <w:color w:val="000000"/>
                <w:sz w:val="20"/>
                <w:szCs w:val="18"/>
                <w:lang w:eastAsia="en-US"/>
              </w:rPr>
              <w:t>Iron deficiency anaemia</w:t>
            </w:r>
          </w:p>
        </w:tc>
      </w:tr>
      <w:tr w:rsidR="00D97619" w:rsidRPr="00733CBC">
        <w:tc>
          <w:tcPr>
            <w:tcW w:w="818" w:type="pct"/>
            <w:shd w:val="clear" w:color="auto" w:fill="auto"/>
            <w:vAlign w:val="center"/>
          </w:tcPr>
          <w:p w:rsidR="00733CBC" w:rsidRPr="00733CBC" w:rsidRDefault="00733CBC" w:rsidP="00733CBC">
            <w:pPr>
              <w:widowControl w:val="0"/>
              <w:jc w:val="both"/>
              <w:rPr>
                <w:rFonts w:ascii="Arial Narrow" w:hAnsi="Arial Narrow" w:cs="Arial"/>
                <w:snapToGrid w:val="0"/>
                <w:color w:val="000000"/>
                <w:sz w:val="20"/>
                <w:szCs w:val="18"/>
                <w:lang w:eastAsia="en-US"/>
              </w:rPr>
            </w:pPr>
            <w:r w:rsidRPr="00733CBC">
              <w:rPr>
                <w:rFonts w:ascii="Arial Narrow" w:hAnsi="Arial Narrow" w:cs="Arial"/>
                <w:snapToGrid w:val="0"/>
                <w:color w:val="000000"/>
                <w:sz w:val="20"/>
                <w:szCs w:val="18"/>
                <w:lang w:eastAsia="en-US"/>
              </w:rPr>
              <w:t>ULTRA II</w:t>
            </w:r>
          </w:p>
        </w:tc>
        <w:tc>
          <w:tcPr>
            <w:tcW w:w="635" w:type="pct"/>
            <w:vAlign w:val="center"/>
          </w:tcPr>
          <w:p w:rsidR="00733CBC" w:rsidRPr="00733CBC" w:rsidRDefault="00733CBC" w:rsidP="00733CBC">
            <w:pPr>
              <w:widowControl w:val="0"/>
              <w:jc w:val="center"/>
              <w:rPr>
                <w:rFonts w:ascii="Arial Narrow" w:hAnsi="Arial Narrow" w:cs="Arial"/>
                <w:snapToGrid w:val="0"/>
                <w:color w:val="000000"/>
                <w:sz w:val="20"/>
                <w:szCs w:val="18"/>
                <w:lang w:eastAsia="en-US"/>
              </w:rPr>
            </w:pPr>
            <w:r w:rsidRPr="00733CBC">
              <w:rPr>
                <w:rFonts w:ascii="Arial Narrow" w:hAnsi="Arial Narrow" w:cs="Arial"/>
                <w:snapToGrid w:val="0"/>
                <w:color w:val="000000"/>
                <w:sz w:val="20"/>
                <w:szCs w:val="18"/>
                <w:lang w:eastAsia="en-US"/>
              </w:rPr>
              <w:t>7/257</w:t>
            </w:r>
          </w:p>
        </w:tc>
        <w:tc>
          <w:tcPr>
            <w:tcW w:w="637" w:type="pct"/>
            <w:vAlign w:val="center"/>
          </w:tcPr>
          <w:p w:rsidR="00733CBC" w:rsidRPr="00733CBC" w:rsidRDefault="00733CBC" w:rsidP="00733CBC">
            <w:pPr>
              <w:widowControl w:val="0"/>
              <w:jc w:val="center"/>
              <w:rPr>
                <w:rFonts w:ascii="Arial Narrow" w:hAnsi="Arial Narrow" w:cs="Arial"/>
                <w:snapToGrid w:val="0"/>
                <w:color w:val="000000"/>
                <w:sz w:val="20"/>
                <w:szCs w:val="18"/>
                <w:lang w:eastAsia="en-US"/>
              </w:rPr>
            </w:pPr>
            <w:r w:rsidRPr="00733CBC">
              <w:rPr>
                <w:rFonts w:ascii="Arial Narrow" w:hAnsi="Arial Narrow" w:cs="Arial"/>
                <w:snapToGrid w:val="0"/>
                <w:color w:val="000000"/>
                <w:sz w:val="20"/>
                <w:szCs w:val="18"/>
                <w:lang w:eastAsia="en-US"/>
              </w:rPr>
              <w:t>1/260</w:t>
            </w:r>
          </w:p>
        </w:tc>
        <w:tc>
          <w:tcPr>
            <w:tcW w:w="815" w:type="pct"/>
            <w:vAlign w:val="center"/>
          </w:tcPr>
          <w:p w:rsidR="00733CBC" w:rsidRPr="00733CBC" w:rsidRDefault="00733CBC" w:rsidP="00733CBC">
            <w:pPr>
              <w:widowControl w:val="0"/>
              <w:jc w:val="center"/>
              <w:rPr>
                <w:rFonts w:ascii="Arial Narrow" w:hAnsi="Arial Narrow" w:cs="Arial"/>
                <w:snapToGrid w:val="0"/>
                <w:color w:val="000000"/>
                <w:sz w:val="20"/>
                <w:szCs w:val="18"/>
                <w:lang w:eastAsia="en-US"/>
              </w:rPr>
            </w:pPr>
            <w:r w:rsidRPr="00733CBC">
              <w:rPr>
                <w:rFonts w:ascii="Arial Narrow" w:hAnsi="Arial Narrow" w:cs="Arial"/>
                <w:snapToGrid w:val="0"/>
                <w:color w:val="000000"/>
                <w:sz w:val="20"/>
                <w:szCs w:val="18"/>
                <w:lang w:eastAsia="en-US"/>
              </w:rPr>
              <w:t>7.1 (0.9, 57.2)</w:t>
            </w:r>
          </w:p>
        </w:tc>
        <w:tc>
          <w:tcPr>
            <w:tcW w:w="635" w:type="pct"/>
            <w:vAlign w:val="center"/>
          </w:tcPr>
          <w:p w:rsidR="00733CBC" w:rsidRPr="00733CBC" w:rsidRDefault="00733CBC" w:rsidP="00733CBC">
            <w:pPr>
              <w:widowControl w:val="0"/>
              <w:jc w:val="center"/>
              <w:rPr>
                <w:rFonts w:ascii="Arial Narrow" w:hAnsi="Arial Narrow" w:cs="Arial"/>
                <w:snapToGrid w:val="0"/>
                <w:color w:val="000000"/>
                <w:sz w:val="20"/>
                <w:szCs w:val="18"/>
                <w:lang w:eastAsia="en-US"/>
              </w:rPr>
            </w:pPr>
            <w:r w:rsidRPr="00733CBC">
              <w:rPr>
                <w:rFonts w:ascii="Arial Narrow" w:hAnsi="Arial Narrow" w:cs="Arial"/>
                <w:snapToGrid w:val="0"/>
                <w:color w:val="000000"/>
                <w:sz w:val="20"/>
                <w:szCs w:val="18"/>
                <w:lang w:eastAsia="en-US"/>
              </w:rPr>
              <w:t>2.7</w:t>
            </w:r>
          </w:p>
        </w:tc>
        <w:tc>
          <w:tcPr>
            <w:tcW w:w="637" w:type="pct"/>
            <w:vAlign w:val="center"/>
          </w:tcPr>
          <w:p w:rsidR="00733CBC" w:rsidRPr="00733CBC" w:rsidRDefault="00733CBC" w:rsidP="00733CBC">
            <w:pPr>
              <w:widowControl w:val="0"/>
              <w:jc w:val="center"/>
              <w:rPr>
                <w:rFonts w:ascii="Arial Narrow" w:hAnsi="Arial Narrow" w:cs="Arial"/>
                <w:snapToGrid w:val="0"/>
                <w:color w:val="000000"/>
                <w:sz w:val="20"/>
                <w:szCs w:val="18"/>
                <w:lang w:eastAsia="en-US"/>
              </w:rPr>
            </w:pPr>
            <w:r w:rsidRPr="00733CBC">
              <w:rPr>
                <w:rFonts w:ascii="Arial Narrow" w:hAnsi="Arial Narrow" w:cs="Arial"/>
                <w:snapToGrid w:val="0"/>
                <w:color w:val="000000"/>
                <w:sz w:val="20"/>
                <w:szCs w:val="18"/>
                <w:lang w:eastAsia="en-US"/>
              </w:rPr>
              <w:t>0.4</w:t>
            </w:r>
          </w:p>
        </w:tc>
        <w:tc>
          <w:tcPr>
            <w:tcW w:w="823" w:type="pct"/>
            <w:vAlign w:val="center"/>
          </w:tcPr>
          <w:p w:rsidR="00733CBC" w:rsidRPr="00733CBC" w:rsidRDefault="00733CBC" w:rsidP="00733CBC">
            <w:pPr>
              <w:widowControl w:val="0"/>
              <w:jc w:val="center"/>
              <w:rPr>
                <w:rFonts w:ascii="Arial Narrow" w:hAnsi="Arial Narrow" w:cs="Arial"/>
                <w:snapToGrid w:val="0"/>
                <w:color w:val="000000"/>
                <w:sz w:val="20"/>
                <w:szCs w:val="18"/>
                <w:lang w:eastAsia="en-US"/>
              </w:rPr>
            </w:pPr>
            <w:r w:rsidRPr="00733CBC">
              <w:rPr>
                <w:rFonts w:ascii="Arial Narrow" w:hAnsi="Arial Narrow" w:cs="Arial"/>
                <w:snapToGrid w:val="0"/>
                <w:color w:val="000000"/>
                <w:sz w:val="20"/>
                <w:szCs w:val="18"/>
                <w:lang w:eastAsia="en-US"/>
              </w:rPr>
              <w:t>0.02 (0.00, 0.5)</w:t>
            </w:r>
          </w:p>
        </w:tc>
      </w:tr>
      <w:tr w:rsidR="00733CBC" w:rsidRPr="00733CBC">
        <w:tc>
          <w:tcPr>
            <w:tcW w:w="5000" w:type="pct"/>
            <w:gridSpan w:val="7"/>
            <w:shd w:val="clear" w:color="auto" w:fill="auto"/>
            <w:vAlign w:val="center"/>
          </w:tcPr>
          <w:p w:rsidR="00733CBC" w:rsidRPr="00733CBC" w:rsidRDefault="00733CBC" w:rsidP="00733CBC">
            <w:pPr>
              <w:widowControl w:val="0"/>
              <w:jc w:val="both"/>
              <w:rPr>
                <w:rFonts w:ascii="Arial Narrow" w:hAnsi="Arial Narrow" w:cs="Arial"/>
                <w:b/>
                <w:snapToGrid w:val="0"/>
                <w:color w:val="000000"/>
                <w:sz w:val="20"/>
                <w:szCs w:val="18"/>
                <w:lang w:eastAsia="en-US"/>
              </w:rPr>
            </w:pPr>
            <w:r w:rsidRPr="00733CBC">
              <w:rPr>
                <w:rFonts w:ascii="Arial Narrow" w:hAnsi="Arial Narrow" w:cs="Arial"/>
                <w:b/>
                <w:snapToGrid w:val="0"/>
                <w:color w:val="000000"/>
                <w:sz w:val="20"/>
                <w:szCs w:val="18"/>
                <w:lang w:eastAsia="en-US"/>
              </w:rPr>
              <w:t>Gastroenteritis</w:t>
            </w:r>
          </w:p>
        </w:tc>
      </w:tr>
      <w:tr w:rsidR="00D97619" w:rsidRPr="00733CBC">
        <w:tc>
          <w:tcPr>
            <w:tcW w:w="818" w:type="pct"/>
            <w:shd w:val="clear" w:color="auto" w:fill="auto"/>
            <w:vAlign w:val="center"/>
          </w:tcPr>
          <w:p w:rsidR="00733CBC" w:rsidRPr="00733CBC" w:rsidRDefault="00733CBC" w:rsidP="00733CBC">
            <w:pPr>
              <w:widowControl w:val="0"/>
              <w:jc w:val="both"/>
              <w:rPr>
                <w:rFonts w:ascii="Arial Narrow" w:hAnsi="Arial Narrow" w:cs="Arial"/>
                <w:snapToGrid w:val="0"/>
                <w:color w:val="000000"/>
                <w:sz w:val="20"/>
                <w:szCs w:val="18"/>
                <w:lang w:eastAsia="en-US"/>
              </w:rPr>
            </w:pPr>
            <w:r w:rsidRPr="00733CBC">
              <w:rPr>
                <w:rFonts w:ascii="Arial Narrow" w:hAnsi="Arial Narrow" w:cs="Arial"/>
                <w:snapToGrid w:val="0"/>
                <w:color w:val="000000"/>
                <w:sz w:val="20"/>
                <w:szCs w:val="18"/>
                <w:lang w:eastAsia="en-US"/>
              </w:rPr>
              <w:t>ULTRA II</w:t>
            </w:r>
          </w:p>
        </w:tc>
        <w:tc>
          <w:tcPr>
            <w:tcW w:w="635" w:type="pct"/>
            <w:vAlign w:val="center"/>
          </w:tcPr>
          <w:p w:rsidR="00733CBC" w:rsidRPr="00733CBC" w:rsidRDefault="00733CBC" w:rsidP="00733CBC">
            <w:pPr>
              <w:widowControl w:val="0"/>
              <w:jc w:val="center"/>
              <w:rPr>
                <w:rFonts w:ascii="Arial Narrow" w:hAnsi="Arial Narrow" w:cs="Arial"/>
                <w:snapToGrid w:val="0"/>
                <w:color w:val="000000"/>
                <w:sz w:val="20"/>
                <w:szCs w:val="18"/>
                <w:lang w:eastAsia="en-US"/>
              </w:rPr>
            </w:pPr>
            <w:r w:rsidRPr="00733CBC">
              <w:rPr>
                <w:rFonts w:ascii="Arial Narrow" w:hAnsi="Arial Narrow" w:cs="Arial"/>
                <w:snapToGrid w:val="0"/>
                <w:color w:val="000000"/>
                <w:sz w:val="20"/>
                <w:szCs w:val="18"/>
                <w:lang w:eastAsia="en-US"/>
              </w:rPr>
              <w:t>9/257</w:t>
            </w:r>
          </w:p>
        </w:tc>
        <w:tc>
          <w:tcPr>
            <w:tcW w:w="637" w:type="pct"/>
            <w:vAlign w:val="center"/>
          </w:tcPr>
          <w:p w:rsidR="00733CBC" w:rsidRPr="00733CBC" w:rsidRDefault="00733CBC" w:rsidP="00733CBC">
            <w:pPr>
              <w:widowControl w:val="0"/>
              <w:jc w:val="center"/>
              <w:rPr>
                <w:rFonts w:ascii="Arial Narrow" w:hAnsi="Arial Narrow" w:cs="Arial"/>
                <w:snapToGrid w:val="0"/>
                <w:color w:val="000000"/>
                <w:sz w:val="20"/>
                <w:szCs w:val="18"/>
                <w:lang w:eastAsia="en-US"/>
              </w:rPr>
            </w:pPr>
            <w:r w:rsidRPr="00733CBC">
              <w:rPr>
                <w:rFonts w:ascii="Arial Narrow" w:hAnsi="Arial Narrow" w:cs="Arial"/>
                <w:snapToGrid w:val="0"/>
                <w:color w:val="000000"/>
                <w:sz w:val="20"/>
                <w:szCs w:val="18"/>
                <w:lang w:eastAsia="en-US"/>
              </w:rPr>
              <w:t>2/260</w:t>
            </w:r>
          </w:p>
        </w:tc>
        <w:tc>
          <w:tcPr>
            <w:tcW w:w="815" w:type="pct"/>
            <w:vAlign w:val="center"/>
          </w:tcPr>
          <w:p w:rsidR="00733CBC" w:rsidRPr="00733CBC" w:rsidRDefault="00733CBC" w:rsidP="00733CBC">
            <w:pPr>
              <w:widowControl w:val="0"/>
              <w:jc w:val="center"/>
              <w:rPr>
                <w:rFonts w:ascii="Arial Narrow" w:hAnsi="Arial Narrow" w:cs="Arial"/>
                <w:snapToGrid w:val="0"/>
                <w:color w:val="000000"/>
                <w:sz w:val="20"/>
                <w:szCs w:val="18"/>
                <w:lang w:eastAsia="en-US"/>
              </w:rPr>
            </w:pPr>
            <w:r w:rsidRPr="00733CBC">
              <w:rPr>
                <w:rFonts w:ascii="Arial Narrow" w:hAnsi="Arial Narrow" w:cs="Arial"/>
                <w:snapToGrid w:val="0"/>
                <w:color w:val="000000"/>
                <w:sz w:val="20"/>
                <w:szCs w:val="18"/>
                <w:lang w:eastAsia="en-US"/>
              </w:rPr>
              <w:t>4.6 (1.0, 20.9)</w:t>
            </w:r>
          </w:p>
        </w:tc>
        <w:tc>
          <w:tcPr>
            <w:tcW w:w="635" w:type="pct"/>
            <w:vAlign w:val="center"/>
          </w:tcPr>
          <w:p w:rsidR="00733CBC" w:rsidRPr="00733CBC" w:rsidRDefault="00733CBC" w:rsidP="00733CBC">
            <w:pPr>
              <w:widowControl w:val="0"/>
              <w:jc w:val="center"/>
              <w:rPr>
                <w:rFonts w:ascii="Arial Narrow" w:hAnsi="Arial Narrow" w:cs="Arial"/>
                <w:snapToGrid w:val="0"/>
                <w:color w:val="000000"/>
                <w:sz w:val="20"/>
                <w:szCs w:val="18"/>
                <w:lang w:eastAsia="en-US"/>
              </w:rPr>
            </w:pPr>
            <w:r w:rsidRPr="00733CBC">
              <w:rPr>
                <w:rFonts w:ascii="Arial Narrow" w:hAnsi="Arial Narrow" w:cs="Arial"/>
                <w:snapToGrid w:val="0"/>
                <w:color w:val="000000"/>
                <w:sz w:val="20"/>
                <w:szCs w:val="18"/>
                <w:lang w:eastAsia="en-US"/>
              </w:rPr>
              <w:t>3.5</w:t>
            </w:r>
          </w:p>
        </w:tc>
        <w:tc>
          <w:tcPr>
            <w:tcW w:w="637" w:type="pct"/>
            <w:vAlign w:val="center"/>
          </w:tcPr>
          <w:p w:rsidR="00733CBC" w:rsidRPr="00733CBC" w:rsidRDefault="00733CBC" w:rsidP="00733CBC">
            <w:pPr>
              <w:widowControl w:val="0"/>
              <w:jc w:val="center"/>
              <w:rPr>
                <w:rFonts w:ascii="Arial Narrow" w:hAnsi="Arial Narrow" w:cs="Arial"/>
                <w:snapToGrid w:val="0"/>
                <w:color w:val="000000"/>
                <w:sz w:val="20"/>
                <w:szCs w:val="18"/>
                <w:lang w:eastAsia="en-US"/>
              </w:rPr>
            </w:pPr>
            <w:r w:rsidRPr="00733CBC">
              <w:rPr>
                <w:rFonts w:ascii="Arial Narrow" w:hAnsi="Arial Narrow" w:cs="Arial"/>
                <w:snapToGrid w:val="0"/>
                <w:color w:val="000000"/>
                <w:sz w:val="20"/>
                <w:szCs w:val="18"/>
                <w:lang w:eastAsia="en-US"/>
              </w:rPr>
              <w:t>0.8</w:t>
            </w:r>
          </w:p>
        </w:tc>
        <w:tc>
          <w:tcPr>
            <w:tcW w:w="823" w:type="pct"/>
            <w:vAlign w:val="center"/>
          </w:tcPr>
          <w:p w:rsidR="00733CBC" w:rsidRPr="00733CBC" w:rsidRDefault="00733CBC" w:rsidP="00733CBC">
            <w:pPr>
              <w:widowControl w:val="0"/>
              <w:jc w:val="center"/>
              <w:rPr>
                <w:rFonts w:ascii="Arial Narrow" w:hAnsi="Arial Narrow" w:cs="Arial"/>
                <w:snapToGrid w:val="0"/>
                <w:color w:val="000000"/>
                <w:sz w:val="20"/>
                <w:szCs w:val="18"/>
                <w:lang w:eastAsia="en-US"/>
              </w:rPr>
            </w:pPr>
            <w:r w:rsidRPr="00733CBC">
              <w:rPr>
                <w:rFonts w:ascii="Arial Narrow" w:hAnsi="Arial Narrow" w:cs="Arial"/>
                <w:snapToGrid w:val="0"/>
                <w:color w:val="000000"/>
                <w:sz w:val="20"/>
                <w:szCs w:val="18"/>
                <w:lang w:eastAsia="en-US"/>
              </w:rPr>
              <w:t>0.03 (0.00, 0.05)</w:t>
            </w:r>
          </w:p>
        </w:tc>
      </w:tr>
      <w:tr w:rsidR="00733CBC" w:rsidRPr="00733CBC">
        <w:tc>
          <w:tcPr>
            <w:tcW w:w="5000" w:type="pct"/>
            <w:gridSpan w:val="7"/>
            <w:shd w:val="clear" w:color="auto" w:fill="auto"/>
            <w:vAlign w:val="center"/>
          </w:tcPr>
          <w:p w:rsidR="00733CBC" w:rsidRPr="00733CBC" w:rsidRDefault="00733CBC" w:rsidP="00733CBC">
            <w:pPr>
              <w:keepNext/>
              <w:jc w:val="both"/>
              <w:rPr>
                <w:rFonts w:ascii="Arial Narrow" w:hAnsi="Arial Narrow" w:cs="Arial"/>
                <w:color w:val="000000"/>
                <w:sz w:val="20"/>
                <w:szCs w:val="18"/>
                <w:lang w:eastAsia="en-US"/>
              </w:rPr>
            </w:pPr>
            <w:proofErr w:type="spellStart"/>
            <w:r w:rsidRPr="00733CBC">
              <w:rPr>
                <w:rFonts w:ascii="Arial Narrow" w:hAnsi="Arial Narrow" w:cs="Arial"/>
                <w:b/>
                <w:snapToGrid w:val="0"/>
                <w:color w:val="000000"/>
                <w:sz w:val="20"/>
                <w:szCs w:val="18"/>
                <w:lang w:eastAsia="en-US"/>
              </w:rPr>
              <w:t>Nasopharyngitis</w:t>
            </w:r>
            <w:proofErr w:type="spellEnd"/>
          </w:p>
        </w:tc>
      </w:tr>
      <w:tr w:rsidR="00D97619" w:rsidRPr="00733CBC">
        <w:tc>
          <w:tcPr>
            <w:tcW w:w="818" w:type="pct"/>
            <w:shd w:val="clear" w:color="auto" w:fill="auto"/>
            <w:vAlign w:val="center"/>
          </w:tcPr>
          <w:p w:rsidR="00733CBC" w:rsidRPr="00733CBC" w:rsidRDefault="00733CBC" w:rsidP="00733CBC">
            <w:pPr>
              <w:widowControl w:val="0"/>
              <w:jc w:val="both"/>
              <w:rPr>
                <w:rFonts w:ascii="Arial Narrow" w:hAnsi="Arial Narrow" w:cs="Arial"/>
                <w:color w:val="000000"/>
                <w:sz w:val="20"/>
                <w:szCs w:val="18"/>
                <w:lang w:eastAsia="en-US"/>
              </w:rPr>
            </w:pPr>
            <w:r w:rsidRPr="00733CBC">
              <w:rPr>
                <w:rFonts w:ascii="Arial Narrow" w:hAnsi="Arial Narrow" w:cs="Arial"/>
                <w:snapToGrid w:val="0"/>
                <w:color w:val="000000"/>
                <w:sz w:val="20"/>
                <w:szCs w:val="18"/>
                <w:lang w:eastAsia="en-US"/>
              </w:rPr>
              <w:t>ULTRA II</w:t>
            </w:r>
          </w:p>
        </w:tc>
        <w:tc>
          <w:tcPr>
            <w:tcW w:w="635" w:type="pct"/>
            <w:vAlign w:val="center"/>
          </w:tcPr>
          <w:p w:rsidR="00733CBC" w:rsidRPr="00733CBC" w:rsidRDefault="00733CBC" w:rsidP="00733CBC">
            <w:pPr>
              <w:keepNext/>
              <w:jc w:val="center"/>
              <w:rPr>
                <w:rFonts w:ascii="Arial Narrow" w:hAnsi="Arial Narrow" w:cs="Arial"/>
                <w:b/>
                <w:color w:val="000000"/>
                <w:sz w:val="20"/>
                <w:szCs w:val="18"/>
                <w:lang w:eastAsia="en-US"/>
              </w:rPr>
            </w:pPr>
            <w:r w:rsidRPr="00733CBC">
              <w:rPr>
                <w:rFonts w:ascii="Arial Narrow" w:hAnsi="Arial Narrow" w:cs="Arial"/>
                <w:snapToGrid w:val="0"/>
                <w:color w:val="000000"/>
                <w:sz w:val="20"/>
                <w:szCs w:val="18"/>
                <w:lang w:eastAsia="en-US"/>
              </w:rPr>
              <w:t>48/257</w:t>
            </w:r>
          </w:p>
        </w:tc>
        <w:tc>
          <w:tcPr>
            <w:tcW w:w="637" w:type="pct"/>
            <w:vAlign w:val="center"/>
          </w:tcPr>
          <w:p w:rsidR="00733CBC" w:rsidRPr="00733CBC" w:rsidRDefault="00733CBC" w:rsidP="00733CBC">
            <w:pPr>
              <w:keepNext/>
              <w:jc w:val="center"/>
              <w:rPr>
                <w:rFonts w:ascii="Arial Narrow" w:hAnsi="Arial Narrow" w:cs="Arial"/>
                <w:b/>
                <w:color w:val="000000"/>
                <w:sz w:val="20"/>
                <w:szCs w:val="18"/>
                <w:lang w:eastAsia="en-US"/>
              </w:rPr>
            </w:pPr>
            <w:r w:rsidRPr="00733CBC">
              <w:rPr>
                <w:rFonts w:ascii="Arial Narrow" w:hAnsi="Arial Narrow" w:cs="Arial"/>
                <w:snapToGrid w:val="0"/>
                <w:color w:val="000000"/>
                <w:sz w:val="20"/>
                <w:szCs w:val="18"/>
                <w:lang w:eastAsia="en-US"/>
              </w:rPr>
              <w:t>27/260</w:t>
            </w:r>
          </w:p>
        </w:tc>
        <w:tc>
          <w:tcPr>
            <w:tcW w:w="815" w:type="pct"/>
            <w:vAlign w:val="center"/>
          </w:tcPr>
          <w:p w:rsidR="00733CBC" w:rsidRPr="00733CBC" w:rsidRDefault="00733CBC" w:rsidP="00733CBC">
            <w:pPr>
              <w:keepNext/>
              <w:jc w:val="center"/>
              <w:rPr>
                <w:rFonts w:ascii="Arial Narrow" w:hAnsi="Arial Narrow" w:cs="Arial"/>
                <w:b/>
                <w:color w:val="000000"/>
                <w:sz w:val="20"/>
                <w:szCs w:val="18"/>
                <w:lang w:eastAsia="en-US"/>
              </w:rPr>
            </w:pPr>
            <w:r w:rsidRPr="00733CBC">
              <w:rPr>
                <w:rFonts w:ascii="Arial Narrow" w:hAnsi="Arial Narrow" w:cs="Arial"/>
                <w:b/>
                <w:snapToGrid w:val="0"/>
                <w:color w:val="000000"/>
                <w:sz w:val="20"/>
                <w:szCs w:val="18"/>
                <w:lang w:eastAsia="en-US"/>
              </w:rPr>
              <w:t>1.8 (1.2, 2.8)</w:t>
            </w:r>
          </w:p>
        </w:tc>
        <w:tc>
          <w:tcPr>
            <w:tcW w:w="635" w:type="pct"/>
            <w:vAlign w:val="center"/>
          </w:tcPr>
          <w:p w:rsidR="00733CBC" w:rsidRPr="00733CBC" w:rsidRDefault="00733CBC" w:rsidP="00733CBC">
            <w:pPr>
              <w:keepNext/>
              <w:jc w:val="center"/>
              <w:rPr>
                <w:rFonts w:ascii="Arial Narrow" w:hAnsi="Arial Narrow" w:cs="Arial"/>
                <w:b/>
                <w:color w:val="000000"/>
                <w:sz w:val="20"/>
                <w:szCs w:val="18"/>
                <w:lang w:eastAsia="en-US"/>
              </w:rPr>
            </w:pPr>
            <w:r w:rsidRPr="00733CBC">
              <w:rPr>
                <w:rFonts w:ascii="Arial Narrow" w:hAnsi="Arial Narrow" w:cs="Arial"/>
                <w:snapToGrid w:val="0"/>
                <w:color w:val="000000"/>
                <w:sz w:val="20"/>
                <w:szCs w:val="18"/>
                <w:lang w:eastAsia="en-US"/>
              </w:rPr>
              <w:t>18.7</w:t>
            </w:r>
          </w:p>
        </w:tc>
        <w:tc>
          <w:tcPr>
            <w:tcW w:w="637" w:type="pct"/>
            <w:vAlign w:val="center"/>
          </w:tcPr>
          <w:p w:rsidR="00733CBC" w:rsidRPr="00733CBC" w:rsidRDefault="00733CBC" w:rsidP="00733CBC">
            <w:pPr>
              <w:keepNext/>
              <w:jc w:val="center"/>
              <w:rPr>
                <w:rFonts w:ascii="Arial Narrow" w:hAnsi="Arial Narrow" w:cs="Arial"/>
                <w:b/>
                <w:color w:val="000000"/>
                <w:sz w:val="20"/>
                <w:szCs w:val="18"/>
                <w:lang w:eastAsia="en-US"/>
              </w:rPr>
            </w:pPr>
            <w:r w:rsidRPr="00733CBC">
              <w:rPr>
                <w:rFonts w:ascii="Arial Narrow" w:hAnsi="Arial Narrow" w:cs="Arial"/>
                <w:snapToGrid w:val="0"/>
                <w:color w:val="000000"/>
                <w:sz w:val="20"/>
                <w:szCs w:val="18"/>
                <w:lang w:eastAsia="en-US"/>
              </w:rPr>
              <w:t>10.4</w:t>
            </w:r>
          </w:p>
        </w:tc>
        <w:tc>
          <w:tcPr>
            <w:tcW w:w="823" w:type="pct"/>
            <w:vAlign w:val="center"/>
          </w:tcPr>
          <w:p w:rsidR="00733CBC" w:rsidRPr="00733CBC" w:rsidRDefault="00733CBC" w:rsidP="00733CBC">
            <w:pPr>
              <w:keepNext/>
              <w:jc w:val="center"/>
              <w:rPr>
                <w:rFonts w:ascii="Arial Narrow" w:hAnsi="Arial Narrow" w:cs="Arial"/>
                <w:b/>
                <w:color w:val="000000"/>
                <w:sz w:val="20"/>
                <w:szCs w:val="18"/>
                <w:lang w:eastAsia="en-US"/>
              </w:rPr>
            </w:pPr>
            <w:r w:rsidRPr="00733CBC">
              <w:rPr>
                <w:rFonts w:ascii="Arial Narrow" w:hAnsi="Arial Narrow" w:cs="Arial"/>
                <w:b/>
                <w:snapToGrid w:val="0"/>
                <w:color w:val="000000"/>
                <w:sz w:val="20"/>
                <w:szCs w:val="18"/>
                <w:lang w:eastAsia="en-US"/>
              </w:rPr>
              <w:t>0.08 (0.02, 0.14)</w:t>
            </w:r>
          </w:p>
        </w:tc>
      </w:tr>
    </w:tbl>
    <w:p w:rsidR="00733CBC" w:rsidRPr="00733CBC" w:rsidRDefault="00733CBC" w:rsidP="00D97619">
      <w:pPr>
        <w:widowControl w:val="0"/>
        <w:ind w:firstLine="720"/>
        <w:jc w:val="both"/>
        <w:rPr>
          <w:rFonts w:ascii="Arial Narrow" w:hAnsi="Arial Narrow" w:cs="Arial"/>
          <w:snapToGrid w:val="0"/>
          <w:sz w:val="18"/>
          <w:szCs w:val="20"/>
          <w:lang w:eastAsia="en-US"/>
        </w:rPr>
      </w:pPr>
      <w:r w:rsidRPr="00733CBC">
        <w:rPr>
          <w:rFonts w:ascii="Arial Narrow" w:hAnsi="Arial Narrow" w:cs="Arial"/>
          <w:snapToGrid w:val="0"/>
          <w:sz w:val="18"/>
          <w:szCs w:val="20"/>
          <w:lang w:eastAsia="en-US"/>
        </w:rPr>
        <w:t>* Maximum duration of follow-up: ULTRA I = 8 weeks; ULTRA II = 52 weeks</w:t>
      </w:r>
    </w:p>
    <w:p w:rsidR="00733CBC" w:rsidRPr="00733CBC" w:rsidRDefault="00733CBC" w:rsidP="00D97619">
      <w:pPr>
        <w:widowControl w:val="0"/>
        <w:ind w:firstLine="720"/>
        <w:jc w:val="both"/>
        <w:rPr>
          <w:rFonts w:ascii="Arial Narrow" w:hAnsi="Arial Narrow" w:cs="Arial"/>
          <w:snapToGrid w:val="0"/>
          <w:sz w:val="18"/>
          <w:szCs w:val="20"/>
          <w:lang w:eastAsia="en-US"/>
        </w:rPr>
      </w:pPr>
      <w:r w:rsidRPr="00733CBC">
        <w:rPr>
          <w:rFonts w:ascii="Arial Narrow" w:hAnsi="Arial Narrow" w:cs="Arial"/>
          <w:snapToGrid w:val="0"/>
          <w:sz w:val="18"/>
          <w:szCs w:val="20"/>
          <w:lang w:eastAsia="en-US"/>
        </w:rPr>
        <w:t>Source: Compiled during the evaluation</w:t>
      </w:r>
    </w:p>
    <w:p w:rsidR="00733CBC" w:rsidRPr="00733CBC" w:rsidRDefault="00733CBC" w:rsidP="00D97619">
      <w:pPr>
        <w:widowControl w:val="0"/>
        <w:ind w:left="720"/>
        <w:jc w:val="both"/>
        <w:rPr>
          <w:rFonts w:ascii="Arial Narrow" w:hAnsi="Arial Narrow" w:cs="Arial"/>
          <w:snapToGrid w:val="0"/>
          <w:sz w:val="18"/>
          <w:szCs w:val="20"/>
          <w:lang w:eastAsia="en-US"/>
        </w:rPr>
      </w:pPr>
      <w:r w:rsidRPr="00733CBC">
        <w:rPr>
          <w:rFonts w:ascii="Arial Narrow" w:hAnsi="Arial Narrow" w:cs="Arial"/>
          <w:snapToGrid w:val="0"/>
          <w:sz w:val="18"/>
          <w:szCs w:val="20"/>
          <w:lang w:eastAsia="en-US"/>
        </w:rPr>
        <w:t xml:space="preserve">ADA = </w:t>
      </w:r>
      <w:proofErr w:type="spellStart"/>
      <w:r w:rsidRPr="00733CBC">
        <w:rPr>
          <w:rFonts w:ascii="Arial Narrow" w:hAnsi="Arial Narrow" w:cs="Arial"/>
          <w:snapToGrid w:val="0"/>
          <w:sz w:val="18"/>
          <w:szCs w:val="20"/>
          <w:lang w:eastAsia="en-US"/>
        </w:rPr>
        <w:t>adalimumab</w:t>
      </w:r>
      <w:proofErr w:type="spellEnd"/>
      <w:r w:rsidRPr="00733CBC">
        <w:rPr>
          <w:rFonts w:ascii="Arial Narrow" w:hAnsi="Arial Narrow" w:cs="Arial"/>
          <w:snapToGrid w:val="0"/>
          <w:sz w:val="18"/>
          <w:szCs w:val="20"/>
          <w:lang w:eastAsia="en-US"/>
        </w:rPr>
        <w:t>; CI = confidence interval; PBO = placebo; RD = risk difference; RR = risk ratio; Italics = calculated during evaluation</w:t>
      </w:r>
    </w:p>
    <w:p w:rsidR="00FA6055" w:rsidRPr="006859B1" w:rsidRDefault="00FA6055" w:rsidP="006859B1">
      <w:pPr>
        <w:jc w:val="both"/>
        <w:rPr>
          <w:rFonts w:ascii="Arial" w:hAnsi="Arial"/>
          <w:sz w:val="22"/>
          <w:szCs w:val="22"/>
        </w:rPr>
      </w:pPr>
    </w:p>
    <w:p w:rsidR="00E75C0A" w:rsidRPr="00CE662A" w:rsidRDefault="00E75C0A" w:rsidP="00CE662A">
      <w:pPr>
        <w:jc w:val="both"/>
        <w:rPr>
          <w:rFonts w:ascii="Arial" w:hAnsi="Arial" w:cs="Arial"/>
          <w:sz w:val="22"/>
          <w:szCs w:val="22"/>
          <w:u w:val="single"/>
        </w:rPr>
      </w:pPr>
      <w:proofErr w:type="spellStart"/>
      <w:r w:rsidRPr="00CE662A">
        <w:rPr>
          <w:rFonts w:ascii="Arial" w:hAnsi="Arial" w:cs="Arial"/>
          <w:sz w:val="22"/>
          <w:szCs w:val="22"/>
          <w:u w:val="single"/>
        </w:rPr>
        <w:t>Adalimumab</w:t>
      </w:r>
      <w:proofErr w:type="spellEnd"/>
      <w:r w:rsidRPr="00CE662A">
        <w:rPr>
          <w:rFonts w:ascii="Arial" w:hAnsi="Arial" w:cs="Arial"/>
          <w:sz w:val="22"/>
          <w:szCs w:val="22"/>
          <w:u w:val="single"/>
        </w:rPr>
        <w:t xml:space="preserve"> versus infliximab:</w:t>
      </w:r>
    </w:p>
    <w:p w:rsidR="00E75C0A" w:rsidRPr="00BD2955" w:rsidRDefault="008B6EB1" w:rsidP="00CE662A">
      <w:pPr>
        <w:pStyle w:val="ListParagraph"/>
        <w:numPr>
          <w:ilvl w:val="1"/>
          <w:numId w:val="1"/>
        </w:numPr>
        <w:jc w:val="both"/>
        <w:rPr>
          <w:rFonts w:ascii="Arial" w:hAnsi="Arial"/>
          <w:sz w:val="22"/>
          <w:szCs w:val="22"/>
        </w:rPr>
      </w:pPr>
      <w:r w:rsidRPr="008B6EB1">
        <w:rPr>
          <w:rFonts w:ascii="Arial" w:hAnsi="Arial"/>
          <w:i/>
          <w:sz w:val="22"/>
          <w:szCs w:val="22"/>
        </w:rPr>
        <w:t>(REDACTED</w:t>
      </w:r>
      <w:r>
        <w:rPr>
          <w:rFonts w:ascii="Arial" w:hAnsi="Arial"/>
          <w:i/>
          <w:sz w:val="22"/>
          <w:szCs w:val="22"/>
        </w:rPr>
        <w:t>)</w:t>
      </w:r>
      <w:r>
        <w:rPr>
          <w:rFonts w:ascii="Arial" w:hAnsi="Arial"/>
          <w:i/>
        </w:rPr>
        <w:t xml:space="preserve"> </w:t>
      </w:r>
      <w:r w:rsidR="00E75C0A" w:rsidRPr="00BD2955">
        <w:rPr>
          <w:rFonts w:ascii="Arial" w:hAnsi="Arial"/>
          <w:sz w:val="22"/>
          <w:szCs w:val="22"/>
        </w:rPr>
        <w:t>report did not provide</w:t>
      </w:r>
      <w:r w:rsidR="00E75C0A" w:rsidRPr="007D5055">
        <w:rPr>
          <w:rFonts w:ascii="Arial" w:hAnsi="Arial"/>
          <w:sz w:val="22"/>
          <w:szCs w:val="22"/>
        </w:rPr>
        <w:t xml:space="preserve"> a comparative assessment of safety for </w:t>
      </w:r>
      <w:proofErr w:type="spellStart"/>
      <w:r w:rsidR="00E75C0A" w:rsidRPr="007D5055">
        <w:rPr>
          <w:rFonts w:ascii="Arial" w:hAnsi="Arial"/>
          <w:sz w:val="22"/>
          <w:szCs w:val="22"/>
        </w:rPr>
        <w:t>adalimumab</w:t>
      </w:r>
      <w:proofErr w:type="spellEnd"/>
      <w:r w:rsidR="00E75C0A" w:rsidRPr="007D5055">
        <w:rPr>
          <w:rFonts w:ascii="Arial" w:hAnsi="Arial"/>
          <w:sz w:val="22"/>
          <w:szCs w:val="22"/>
        </w:rPr>
        <w:t xml:space="preserve"> and infliximab. Although no further extended safety data was provided in the re-submission, the updated M10-223 clinical study report (M10-223 was an extension trial that enrolled patients from the ULTRA trial and is used to provide safety outcomes) allowed the key adverse events identified in the November 2013 Commentary to be updated. </w:t>
      </w:r>
      <w:r w:rsidR="00E75C0A" w:rsidRPr="00BD2955">
        <w:rPr>
          <w:rFonts w:ascii="Arial" w:hAnsi="Arial"/>
          <w:sz w:val="22"/>
          <w:szCs w:val="22"/>
        </w:rPr>
        <w:t>The information is provided in the table below.</w:t>
      </w:r>
    </w:p>
    <w:p w:rsidR="00E75C0A" w:rsidRPr="007D5055" w:rsidRDefault="00E75C0A" w:rsidP="00E75C0A">
      <w:pPr>
        <w:pStyle w:val="ListParagraph"/>
        <w:jc w:val="both"/>
        <w:rPr>
          <w:rFonts w:ascii="Arial" w:hAnsi="Arial"/>
          <w:sz w:val="22"/>
          <w:szCs w:val="22"/>
        </w:rPr>
      </w:pPr>
    </w:p>
    <w:p w:rsidR="00E75C0A" w:rsidRPr="00BD2955" w:rsidRDefault="00E75C0A" w:rsidP="00E75C0A">
      <w:pPr>
        <w:keepNext/>
        <w:ind w:left="709"/>
        <w:rPr>
          <w:rFonts w:ascii="Arial Narrow" w:hAnsi="Arial Narrow"/>
          <w:b/>
          <w:sz w:val="20"/>
          <w:szCs w:val="16"/>
        </w:rPr>
      </w:pPr>
      <w:r w:rsidRPr="00BD2955">
        <w:rPr>
          <w:rFonts w:ascii="Arial Narrow" w:hAnsi="Arial Narrow"/>
          <w:b/>
          <w:sz w:val="20"/>
          <w:szCs w:val="16"/>
        </w:rPr>
        <w:t xml:space="preserve">Summary of key adverse events in the long-term open-label trial M10-223 (safety </w:t>
      </w:r>
      <w:r w:rsidR="00BD2955" w:rsidRPr="00E62EA8">
        <w:rPr>
          <w:rFonts w:ascii="Arial Narrow" w:hAnsi="Arial Narrow"/>
          <w:b/>
          <w:sz w:val="20"/>
          <w:szCs w:val="16"/>
        </w:rPr>
        <w:t>set)</w:t>
      </w:r>
    </w:p>
    <w:tbl>
      <w:tblPr>
        <w:tblW w:w="4479" w:type="pct"/>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3"/>
        <w:gridCol w:w="1984"/>
        <w:gridCol w:w="1986"/>
      </w:tblGrid>
      <w:tr w:rsidR="00E75C0A" w:rsidRPr="00C33D04">
        <w:trPr>
          <w:trHeight w:val="377"/>
          <w:tblHeader/>
        </w:trPr>
        <w:tc>
          <w:tcPr>
            <w:tcW w:w="2453" w:type="pct"/>
            <w:tcBorders>
              <w:top w:val="single" w:sz="4" w:space="0" w:color="auto"/>
              <w:left w:val="single" w:sz="4" w:space="0" w:color="auto"/>
              <w:right w:val="single" w:sz="4" w:space="0" w:color="auto"/>
            </w:tcBorders>
          </w:tcPr>
          <w:p w:rsidR="00E75C0A" w:rsidRPr="00BD2955" w:rsidRDefault="00E75C0A" w:rsidP="00E75C0A">
            <w:pPr>
              <w:keepNext/>
              <w:tabs>
                <w:tab w:val="left" w:pos="150"/>
              </w:tabs>
              <w:snapToGrid w:val="0"/>
              <w:ind w:left="709"/>
              <w:rPr>
                <w:rFonts w:ascii="Arial" w:hAnsi="Arial" w:cs="Arial"/>
                <w:snapToGrid w:val="0"/>
                <w:sz w:val="20"/>
                <w:szCs w:val="20"/>
                <w:lang w:eastAsia="en-US"/>
              </w:rPr>
            </w:pPr>
          </w:p>
        </w:tc>
        <w:tc>
          <w:tcPr>
            <w:tcW w:w="1273" w:type="pct"/>
            <w:tcBorders>
              <w:top w:val="single" w:sz="4" w:space="0" w:color="auto"/>
              <w:left w:val="single" w:sz="4" w:space="0" w:color="auto"/>
              <w:right w:val="single" w:sz="4" w:space="0" w:color="auto"/>
            </w:tcBorders>
          </w:tcPr>
          <w:p w:rsidR="00E75C0A" w:rsidRPr="00BD2955" w:rsidRDefault="00E75C0A" w:rsidP="00E75C0A">
            <w:pPr>
              <w:keepNext/>
              <w:snapToGrid w:val="0"/>
              <w:ind w:left="176"/>
              <w:jc w:val="center"/>
              <w:rPr>
                <w:rFonts w:ascii="Arial" w:hAnsi="Arial" w:cs="Arial"/>
                <w:b/>
                <w:snapToGrid w:val="0"/>
                <w:sz w:val="20"/>
                <w:szCs w:val="20"/>
                <w:lang w:eastAsia="en-US"/>
              </w:rPr>
            </w:pPr>
            <w:r w:rsidRPr="00BD2955">
              <w:rPr>
                <w:rFonts w:ascii="Arial" w:hAnsi="Arial" w:cs="Arial"/>
                <w:b/>
                <w:snapToGrid w:val="0"/>
                <w:sz w:val="20"/>
                <w:szCs w:val="20"/>
                <w:lang w:eastAsia="en-US"/>
              </w:rPr>
              <w:t>Week 60</w:t>
            </w:r>
          </w:p>
          <w:p w:rsidR="00E75C0A" w:rsidRPr="00BD2955" w:rsidRDefault="00E75C0A" w:rsidP="00E75C0A">
            <w:pPr>
              <w:keepNext/>
              <w:snapToGrid w:val="0"/>
              <w:ind w:left="176"/>
              <w:jc w:val="center"/>
              <w:rPr>
                <w:rFonts w:ascii="Arial" w:hAnsi="Arial" w:cs="Arial"/>
                <w:b/>
                <w:snapToGrid w:val="0"/>
                <w:sz w:val="20"/>
                <w:szCs w:val="20"/>
                <w:lang w:eastAsia="en-US"/>
              </w:rPr>
            </w:pPr>
            <w:r w:rsidRPr="00BD2955">
              <w:rPr>
                <w:rFonts w:ascii="Arial" w:hAnsi="Arial" w:cs="Arial"/>
                <w:b/>
                <w:snapToGrid w:val="0"/>
                <w:sz w:val="20"/>
                <w:szCs w:val="20"/>
                <w:lang w:eastAsia="en-US"/>
              </w:rPr>
              <w:t>(PY = 346.6)</w:t>
            </w:r>
          </w:p>
        </w:tc>
        <w:tc>
          <w:tcPr>
            <w:tcW w:w="1274" w:type="pct"/>
            <w:tcBorders>
              <w:top w:val="single" w:sz="4" w:space="0" w:color="auto"/>
              <w:left w:val="single" w:sz="4" w:space="0" w:color="auto"/>
              <w:right w:val="single" w:sz="4" w:space="0" w:color="auto"/>
            </w:tcBorders>
          </w:tcPr>
          <w:p w:rsidR="00E75C0A" w:rsidRPr="00BD2955" w:rsidRDefault="00E75C0A" w:rsidP="00E75C0A">
            <w:pPr>
              <w:keepNext/>
              <w:snapToGrid w:val="0"/>
              <w:ind w:left="177"/>
              <w:jc w:val="center"/>
              <w:rPr>
                <w:rFonts w:ascii="Arial" w:hAnsi="Arial" w:cs="Arial"/>
                <w:b/>
                <w:snapToGrid w:val="0"/>
                <w:sz w:val="20"/>
                <w:szCs w:val="20"/>
                <w:lang w:eastAsia="en-US"/>
              </w:rPr>
            </w:pPr>
            <w:r w:rsidRPr="00BD2955">
              <w:rPr>
                <w:rFonts w:ascii="Arial" w:hAnsi="Arial" w:cs="Arial"/>
                <w:b/>
                <w:snapToGrid w:val="0"/>
                <w:sz w:val="20"/>
                <w:szCs w:val="20"/>
                <w:lang w:eastAsia="en-US"/>
              </w:rPr>
              <w:t>Week 180</w:t>
            </w:r>
          </w:p>
          <w:p w:rsidR="00E75C0A" w:rsidRPr="00BD2955" w:rsidRDefault="00E75C0A" w:rsidP="00E75C0A">
            <w:pPr>
              <w:keepNext/>
              <w:snapToGrid w:val="0"/>
              <w:ind w:left="177"/>
              <w:jc w:val="center"/>
              <w:rPr>
                <w:rFonts w:ascii="Arial" w:hAnsi="Arial" w:cs="Arial"/>
                <w:b/>
                <w:snapToGrid w:val="0"/>
                <w:sz w:val="20"/>
                <w:szCs w:val="20"/>
                <w:lang w:eastAsia="en-US"/>
              </w:rPr>
            </w:pPr>
            <w:r w:rsidRPr="00BD2955">
              <w:rPr>
                <w:rFonts w:ascii="Arial" w:hAnsi="Arial" w:cs="Arial"/>
                <w:b/>
                <w:snapToGrid w:val="0"/>
                <w:sz w:val="20"/>
                <w:szCs w:val="20"/>
                <w:lang w:eastAsia="en-US"/>
              </w:rPr>
              <w:t>(PY = 1,312.4)</w:t>
            </w:r>
          </w:p>
        </w:tc>
      </w:tr>
      <w:tr w:rsidR="00E75C0A" w:rsidRPr="00C33D04">
        <w:tc>
          <w:tcPr>
            <w:tcW w:w="2453" w:type="pct"/>
            <w:tcBorders>
              <w:top w:val="nil"/>
              <w:left w:val="single" w:sz="4" w:space="0" w:color="auto"/>
              <w:bottom w:val="nil"/>
              <w:right w:val="single" w:sz="4" w:space="0" w:color="auto"/>
            </w:tcBorders>
          </w:tcPr>
          <w:p w:rsidR="00E75C0A" w:rsidRPr="00BD2955" w:rsidRDefault="00E75C0A" w:rsidP="00E75C0A">
            <w:pPr>
              <w:keepNext/>
              <w:tabs>
                <w:tab w:val="left" w:pos="150"/>
              </w:tabs>
              <w:snapToGrid w:val="0"/>
              <w:ind w:left="30"/>
              <w:rPr>
                <w:rFonts w:ascii="Arial" w:hAnsi="Arial" w:cs="Arial"/>
                <w:snapToGrid w:val="0"/>
                <w:sz w:val="20"/>
                <w:szCs w:val="20"/>
                <w:lang w:eastAsia="en-US"/>
              </w:rPr>
            </w:pPr>
            <w:r w:rsidRPr="00BD2955">
              <w:rPr>
                <w:rFonts w:ascii="Arial" w:hAnsi="Arial" w:cs="Arial"/>
                <w:snapToGrid w:val="0"/>
                <w:sz w:val="20"/>
                <w:szCs w:val="20"/>
                <w:lang w:eastAsia="en-US"/>
              </w:rPr>
              <w:t>Number of subjects</w:t>
            </w:r>
          </w:p>
        </w:tc>
        <w:tc>
          <w:tcPr>
            <w:tcW w:w="1273" w:type="pct"/>
            <w:tcBorders>
              <w:top w:val="nil"/>
              <w:left w:val="single" w:sz="4" w:space="0" w:color="auto"/>
              <w:bottom w:val="nil"/>
              <w:right w:val="single" w:sz="4" w:space="0" w:color="auto"/>
            </w:tcBorders>
          </w:tcPr>
          <w:p w:rsidR="00E75C0A" w:rsidRPr="00BD2955" w:rsidRDefault="00E75C0A" w:rsidP="00E75C0A">
            <w:pPr>
              <w:keepNext/>
              <w:snapToGrid w:val="0"/>
              <w:ind w:left="176"/>
              <w:jc w:val="center"/>
              <w:rPr>
                <w:rFonts w:ascii="Arial" w:hAnsi="Arial" w:cs="Arial"/>
                <w:snapToGrid w:val="0"/>
                <w:sz w:val="20"/>
                <w:szCs w:val="20"/>
                <w:lang w:eastAsia="en-US"/>
              </w:rPr>
            </w:pPr>
            <w:r w:rsidRPr="00BD2955">
              <w:rPr>
                <w:rFonts w:ascii="Arial" w:hAnsi="Arial" w:cs="Arial"/>
                <w:snapToGrid w:val="0"/>
                <w:sz w:val="20"/>
                <w:szCs w:val="20"/>
                <w:lang w:eastAsia="en-US"/>
              </w:rPr>
              <w:t>498</w:t>
            </w:r>
          </w:p>
        </w:tc>
        <w:tc>
          <w:tcPr>
            <w:tcW w:w="1274" w:type="pct"/>
            <w:tcBorders>
              <w:top w:val="nil"/>
              <w:left w:val="single" w:sz="4" w:space="0" w:color="auto"/>
              <w:bottom w:val="nil"/>
              <w:right w:val="single" w:sz="4" w:space="0" w:color="auto"/>
            </w:tcBorders>
          </w:tcPr>
          <w:p w:rsidR="00E75C0A" w:rsidRPr="00BD2955" w:rsidRDefault="00E75C0A" w:rsidP="00E75C0A">
            <w:pPr>
              <w:keepNext/>
              <w:snapToGrid w:val="0"/>
              <w:ind w:left="177"/>
              <w:jc w:val="center"/>
              <w:rPr>
                <w:rFonts w:ascii="Arial" w:hAnsi="Arial" w:cs="Arial"/>
                <w:snapToGrid w:val="0"/>
                <w:sz w:val="20"/>
                <w:szCs w:val="20"/>
                <w:lang w:eastAsia="en-US"/>
              </w:rPr>
            </w:pPr>
            <w:r w:rsidRPr="00BD2955">
              <w:rPr>
                <w:rFonts w:ascii="Arial" w:hAnsi="Arial" w:cs="Arial"/>
                <w:snapToGrid w:val="0"/>
                <w:sz w:val="20"/>
                <w:szCs w:val="20"/>
                <w:lang w:eastAsia="en-US"/>
              </w:rPr>
              <w:t>592</w:t>
            </w:r>
          </w:p>
        </w:tc>
      </w:tr>
      <w:tr w:rsidR="00E75C0A" w:rsidRPr="00C33D04">
        <w:tc>
          <w:tcPr>
            <w:tcW w:w="2453" w:type="pct"/>
            <w:tcBorders>
              <w:top w:val="nil"/>
              <w:left w:val="single" w:sz="4" w:space="0" w:color="auto"/>
              <w:bottom w:val="nil"/>
              <w:right w:val="single" w:sz="4" w:space="0" w:color="auto"/>
            </w:tcBorders>
          </w:tcPr>
          <w:p w:rsidR="00E75C0A" w:rsidRPr="00BD2955" w:rsidRDefault="00E75C0A" w:rsidP="00E75C0A">
            <w:pPr>
              <w:keepNext/>
              <w:tabs>
                <w:tab w:val="left" w:pos="150"/>
              </w:tabs>
              <w:snapToGrid w:val="0"/>
              <w:ind w:left="30"/>
              <w:rPr>
                <w:rFonts w:ascii="Arial" w:hAnsi="Arial" w:cs="Arial"/>
                <w:snapToGrid w:val="0"/>
                <w:sz w:val="20"/>
                <w:szCs w:val="20"/>
                <w:lang w:eastAsia="en-US"/>
              </w:rPr>
            </w:pPr>
            <w:r w:rsidRPr="00BD2955">
              <w:rPr>
                <w:rFonts w:ascii="Arial" w:hAnsi="Arial" w:cs="Arial"/>
                <w:snapToGrid w:val="0"/>
                <w:sz w:val="20"/>
                <w:szCs w:val="20"/>
                <w:lang w:eastAsia="en-US"/>
              </w:rPr>
              <w:t>Adverse events</w:t>
            </w:r>
          </w:p>
        </w:tc>
        <w:tc>
          <w:tcPr>
            <w:tcW w:w="1273" w:type="pct"/>
            <w:tcBorders>
              <w:top w:val="nil"/>
              <w:left w:val="single" w:sz="4" w:space="0" w:color="auto"/>
              <w:bottom w:val="nil"/>
              <w:right w:val="single" w:sz="4" w:space="0" w:color="auto"/>
            </w:tcBorders>
          </w:tcPr>
          <w:p w:rsidR="00E75C0A" w:rsidRPr="00BD2955" w:rsidRDefault="00E75C0A" w:rsidP="00E75C0A">
            <w:pPr>
              <w:keepNext/>
              <w:snapToGrid w:val="0"/>
              <w:ind w:left="176"/>
              <w:jc w:val="center"/>
              <w:rPr>
                <w:rFonts w:ascii="Arial" w:hAnsi="Arial" w:cs="Arial"/>
                <w:snapToGrid w:val="0"/>
                <w:sz w:val="20"/>
                <w:szCs w:val="20"/>
                <w:lang w:eastAsia="en-US"/>
              </w:rPr>
            </w:pPr>
            <w:r w:rsidRPr="00BD2955">
              <w:rPr>
                <w:rFonts w:ascii="Arial" w:hAnsi="Arial" w:cs="Arial"/>
                <w:snapToGrid w:val="0"/>
                <w:sz w:val="20"/>
                <w:szCs w:val="20"/>
                <w:lang w:eastAsia="en-US"/>
              </w:rPr>
              <w:t>288 (57.8%)</w:t>
            </w:r>
          </w:p>
        </w:tc>
        <w:tc>
          <w:tcPr>
            <w:tcW w:w="1274" w:type="pct"/>
            <w:tcBorders>
              <w:top w:val="nil"/>
              <w:left w:val="single" w:sz="4" w:space="0" w:color="auto"/>
              <w:bottom w:val="nil"/>
              <w:right w:val="single" w:sz="4" w:space="0" w:color="auto"/>
            </w:tcBorders>
          </w:tcPr>
          <w:p w:rsidR="00E75C0A" w:rsidRPr="00BD2955" w:rsidRDefault="00E75C0A" w:rsidP="00E75C0A">
            <w:pPr>
              <w:keepNext/>
              <w:snapToGrid w:val="0"/>
              <w:ind w:left="177"/>
              <w:jc w:val="center"/>
              <w:rPr>
                <w:rFonts w:ascii="Arial" w:hAnsi="Arial" w:cs="Arial"/>
                <w:snapToGrid w:val="0"/>
                <w:sz w:val="20"/>
                <w:szCs w:val="20"/>
                <w:lang w:eastAsia="en-US"/>
              </w:rPr>
            </w:pPr>
            <w:r w:rsidRPr="00BD2955">
              <w:rPr>
                <w:rFonts w:ascii="Arial" w:hAnsi="Arial" w:cs="Arial"/>
                <w:snapToGrid w:val="0"/>
                <w:sz w:val="20"/>
                <w:szCs w:val="20"/>
                <w:lang w:eastAsia="en-US"/>
              </w:rPr>
              <w:t>482 (81.4%)</w:t>
            </w:r>
          </w:p>
        </w:tc>
      </w:tr>
      <w:tr w:rsidR="00E75C0A" w:rsidRPr="00C33D04">
        <w:tc>
          <w:tcPr>
            <w:tcW w:w="2453" w:type="pct"/>
            <w:tcBorders>
              <w:top w:val="nil"/>
              <w:left w:val="single" w:sz="4" w:space="0" w:color="auto"/>
              <w:bottom w:val="nil"/>
              <w:right w:val="single" w:sz="4" w:space="0" w:color="auto"/>
            </w:tcBorders>
          </w:tcPr>
          <w:p w:rsidR="00E75C0A" w:rsidRPr="00BD2955" w:rsidRDefault="00E75C0A" w:rsidP="00E75C0A">
            <w:pPr>
              <w:keepNext/>
              <w:tabs>
                <w:tab w:val="left" w:pos="150"/>
              </w:tabs>
              <w:snapToGrid w:val="0"/>
              <w:ind w:left="30"/>
              <w:rPr>
                <w:rFonts w:ascii="Arial" w:hAnsi="Arial" w:cs="Arial"/>
                <w:snapToGrid w:val="0"/>
                <w:sz w:val="20"/>
                <w:szCs w:val="20"/>
                <w:lang w:eastAsia="en-US"/>
              </w:rPr>
            </w:pPr>
            <w:r w:rsidRPr="00BD2955">
              <w:rPr>
                <w:rFonts w:ascii="Arial" w:hAnsi="Arial" w:cs="Arial"/>
                <w:snapToGrid w:val="0"/>
                <w:sz w:val="20"/>
                <w:szCs w:val="20"/>
                <w:lang w:eastAsia="en-US"/>
              </w:rPr>
              <w:t>AE at least possibly drug related</w:t>
            </w:r>
          </w:p>
        </w:tc>
        <w:tc>
          <w:tcPr>
            <w:tcW w:w="1273" w:type="pct"/>
            <w:tcBorders>
              <w:top w:val="nil"/>
              <w:left w:val="single" w:sz="4" w:space="0" w:color="auto"/>
              <w:bottom w:val="nil"/>
              <w:right w:val="single" w:sz="4" w:space="0" w:color="auto"/>
            </w:tcBorders>
          </w:tcPr>
          <w:p w:rsidR="00E75C0A" w:rsidRPr="00BD2955" w:rsidRDefault="00E75C0A" w:rsidP="00E75C0A">
            <w:pPr>
              <w:keepNext/>
              <w:snapToGrid w:val="0"/>
              <w:ind w:left="176"/>
              <w:jc w:val="center"/>
              <w:rPr>
                <w:rFonts w:ascii="Arial" w:hAnsi="Arial" w:cs="Arial"/>
                <w:snapToGrid w:val="0"/>
                <w:sz w:val="20"/>
                <w:szCs w:val="20"/>
                <w:lang w:eastAsia="en-US"/>
              </w:rPr>
            </w:pPr>
            <w:r w:rsidRPr="00BD2955">
              <w:rPr>
                <w:rFonts w:ascii="Arial" w:hAnsi="Arial" w:cs="Arial"/>
                <w:snapToGrid w:val="0"/>
                <w:sz w:val="20"/>
                <w:szCs w:val="20"/>
                <w:lang w:eastAsia="en-US"/>
              </w:rPr>
              <w:t>111 (22.3%)</w:t>
            </w:r>
          </w:p>
        </w:tc>
        <w:tc>
          <w:tcPr>
            <w:tcW w:w="1274" w:type="pct"/>
            <w:tcBorders>
              <w:top w:val="nil"/>
              <w:left w:val="single" w:sz="4" w:space="0" w:color="auto"/>
              <w:bottom w:val="nil"/>
              <w:right w:val="single" w:sz="4" w:space="0" w:color="auto"/>
            </w:tcBorders>
          </w:tcPr>
          <w:p w:rsidR="00E75C0A" w:rsidRPr="00BD2955" w:rsidRDefault="00E75C0A" w:rsidP="00E75C0A">
            <w:pPr>
              <w:keepNext/>
              <w:snapToGrid w:val="0"/>
              <w:ind w:left="177"/>
              <w:jc w:val="center"/>
              <w:rPr>
                <w:rFonts w:ascii="Arial" w:hAnsi="Arial" w:cs="Arial"/>
                <w:snapToGrid w:val="0"/>
                <w:sz w:val="20"/>
                <w:szCs w:val="20"/>
                <w:lang w:eastAsia="en-US"/>
              </w:rPr>
            </w:pPr>
            <w:r w:rsidRPr="00BD2955">
              <w:rPr>
                <w:rFonts w:ascii="Arial" w:hAnsi="Arial" w:cs="Arial"/>
                <w:snapToGrid w:val="0"/>
                <w:sz w:val="20"/>
                <w:szCs w:val="20"/>
                <w:lang w:eastAsia="en-US"/>
              </w:rPr>
              <w:t>206 (34.8%)</w:t>
            </w:r>
          </w:p>
        </w:tc>
      </w:tr>
      <w:tr w:rsidR="00E75C0A" w:rsidRPr="00C33D04">
        <w:tc>
          <w:tcPr>
            <w:tcW w:w="2453" w:type="pct"/>
            <w:tcBorders>
              <w:top w:val="nil"/>
              <w:left w:val="single" w:sz="4" w:space="0" w:color="auto"/>
              <w:bottom w:val="nil"/>
              <w:right w:val="single" w:sz="4" w:space="0" w:color="auto"/>
            </w:tcBorders>
          </w:tcPr>
          <w:p w:rsidR="00E75C0A" w:rsidRPr="00BD2955" w:rsidRDefault="00E75C0A" w:rsidP="00E75C0A">
            <w:pPr>
              <w:keepNext/>
              <w:tabs>
                <w:tab w:val="left" w:pos="150"/>
              </w:tabs>
              <w:snapToGrid w:val="0"/>
              <w:ind w:left="30"/>
              <w:rPr>
                <w:rFonts w:ascii="Arial" w:hAnsi="Arial" w:cs="Arial"/>
                <w:snapToGrid w:val="0"/>
                <w:sz w:val="20"/>
                <w:szCs w:val="20"/>
                <w:lang w:eastAsia="en-US"/>
              </w:rPr>
            </w:pPr>
            <w:r w:rsidRPr="00BD2955">
              <w:rPr>
                <w:rFonts w:ascii="Arial" w:hAnsi="Arial" w:cs="Arial"/>
                <w:snapToGrid w:val="0"/>
                <w:sz w:val="20"/>
                <w:szCs w:val="20"/>
                <w:lang w:eastAsia="en-US"/>
              </w:rPr>
              <w:t>Any severe AE</w:t>
            </w:r>
          </w:p>
        </w:tc>
        <w:tc>
          <w:tcPr>
            <w:tcW w:w="1273" w:type="pct"/>
            <w:tcBorders>
              <w:top w:val="nil"/>
              <w:left w:val="single" w:sz="4" w:space="0" w:color="auto"/>
              <w:bottom w:val="nil"/>
              <w:right w:val="single" w:sz="4" w:space="0" w:color="auto"/>
            </w:tcBorders>
          </w:tcPr>
          <w:p w:rsidR="00E75C0A" w:rsidRPr="00BD2955" w:rsidRDefault="00E75C0A" w:rsidP="00E75C0A">
            <w:pPr>
              <w:keepNext/>
              <w:snapToGrid w:val="0"/>
              <w:ind w:left="176"/>
              <w:jc w:val="center"/>
              <w:rPr>
                <w:rFonts w:ascii="Arial" w:hAnsi="Arial" w:cs="Arial"/>
                <w:snapToGrid w:val="0"/>
                <w:sz w:val="20"/>
                <w:szCs w:val="20"/>
                <w:lang w:eastAsia="en-US"/>
              </w:rPr>
            </w:pPr>
            <w:r w:rsidRPr="00BD2955">
              <w:rPr>
                <w:rFonts w:ascii="Arial" w:hAnsi="Arial" w:cs="Arial"/>
                <w:snapToGrid w:val="0"/>
                <w:sz w:val="20"/>
                <w:szCs w:val="20"/>
                <w:lang w:eastAsia="en-US"/>
              </w:rPr>
              <w:t>50 (10.0%)</w:t>
            </w:r>
          </w:p>
        </w:tc>
        <w:tc>
          <w:tcPr>
            <w:tcW w:w="1274" w:type="pct"/>
            <w:tcBorders>
              <w:top w:val="nil"/>
              <w:left w:val="single" w:sz="4" w:space="0" w:color="auto"/>
              <w:bottom w:val="nil"/>
              <w:right w:val="single" w:sz="4" w:space="0" w:color="auto"/>
            </w:tcBorders>
          </w:tcPr>
          <w:p w:rsidR="00E75C0A" w:rsidRPr="00BD2955" w:rsidRDefault="00E75C0A" w:rsidP="00E75C0A">
            <w:pPr>
              <w:keepNext/>
              <w:snapToGrid w:val="0"/>
              <w:ind w:left="177"/>
              <w:jc w:val="center"/>
              <w:rPr>
                <w:rFonts w:ascii="Arial" w:hAnsi="Arial" w:cs="Arial"/>
                <w:snapToGrid w:val="0"/>
                <w:sz w:val="20"/>
                <w:szCs w:val="20"/>
                <w:lang w:eastAsia="en-US"/>
              </w:rPr>
            </w:pPr>
            <w:r w:rsidRPr="00BD2955">
              <w:rPr>
                <w:rFonts w:ascii="Arial" w:hAnsi="Arial" w:cs="Arial"/>
                <w:snapToGrid w:val="0"/>
                <w:sz w:val="20"/>
                <w:szCs w:val="20"/>
                <w:lang w:eastAsia="en-US"/>
              </w:rPr>
              <w:t>117 (19.8%)</w:t>
            </w:r>
          </w:p>
        </w:tc>
      </w:tr>
      <w:tr w:rsidR="00E75C0A" w:rsidRPr="00C33D04">
        <w:tc>
          <w:tcPr>
            <w:tcW w:w="2453" w:type="pct"/>
            <w:tcBorders>
              <w:top w:val="nil"/>
              <w:left w:val="single" w:sz="4" w:space="0" w:color="auto"/>
              <w:bottom w:val="nil"/>
              <w:right w:val="single" w:sz="4" w:space="0" w:color="auto"/>
            </w:tcBorders>
          </w:tcPr>
          <w:p w:rsidR="00E75C0A" w:rsidRPr="00BD2955" w:rsidRDefault="00E75C0A" w:rsidP="00E75C0A">
            <w:pPr>
              <w:keepNext/>
              <w:tabs>
                <w:tab w:val="left" w:pos="150"/>
              </w:tabs>
              <w:snapToGrid w:val="0"/>
              <w:ind w:left="30"/>
              <w:rPr>
                <w:rFonts w:ascii="Arial" w:hAnsi="Arial" w:cs="Arial"/>
                <w:snapToGrid w:val="0"/>
                <w:sz w:val="20"/>
                <w:szCs w:val="20"/>
                <w:lang w:eastAsia="en-US"/>
              </w:rPr>
            </w:pPr>
            <w:r w:rsidRPr="00BD2955">
              <w:rPr>
                <w:rFonts w:ascii="Arial" w:hAnsi="Arial" w:cs="Arial"/>
                <w:snapToGrid w:val="0"/>
                <w:sz w:val="20"/>
                <w:szCs w:val="20"/>
                <w:lang w:eastAsia="en-US"/>
              </w:rPr>
              <w:t>Any serious AE</w:t>
            </w:r>
          </w:p>
        </w:tc>
        <w:tc>
          <w:tcPr>
            <w:tcW w:w="1273" w:type="pct"/>
            <w:tcBorders>
              <w:top w:val="nil"/>
              <w:left w:val="single" w:sz="4" w:space="0" w:color="auto"/>
              <w:bottom w:val="nil"/>
              <w:right w:val="single" w:sz="4" w:space="0" w:color="auto"/>
            </w:tcBorders>
          </w:tcPr>
          <w:p w:rsidR="00E75C0A" w:rsidRPr="00BD2955" w:rsidRDefault="00E75C0A" w:rsidP="00E75C0A">
            <w:pPr>
              <w:keepNext/>
              <w:snapToGrid w:val="0"/>
              <w:ind w:left="176"/>
              <w:jc w:val="center"/>
              <w:rPr>
                <w:rFonts w:ascii="Arial" w:hAnsi="Arial" w:cs="Arial"/>
                <w:snapToGrid w:val="0"/>
                <w:sz w:val="20"/>
                <w:szCs w:val="20"/>
                <w:lang w:eastAsia="en-US"/>
              </w:rPr>
            </w:pPr>
            <w:r w:rsidRPr="00BD2955">
              <w:rPr>
                <w:rFonts w:ascii="Arial" w:hAnsi="Arial" w:cs="Arial"/>
                <w:snapToGrid w:val="0"/>
                <w:sz w:val="20"/>
                <w:szCs w:val="20"/>
                <w:lang w:eastAsia="en-US"/>
              </w:rPr>
              <w:t>48 (9.6%)</w:t>
            </w:r>
          </w:p>
        </w:tc>
        <w:tc>
          <w:tcPr>
            <w:tcW w:w="1274" w:type="pct"/>
            <w:tcBorders>
              <w:top w:val="nil"/>
              <w:left w:val="single" w:sz="4" w:space="0" w:color="auto"/>
              <w:bottom w:val="nil"/>
              <w:right w:val="single" w:sz="4" w:space="0" w:color="auto"/>
            </w:tcBorders>
          </w:tcPr>
          <w:p w:rsidR="00E75C0A" w:rsidRPr="00BD2955" w:rsidRDefault="00E75C0A" w:rsidP="00E75C0A">
            <w:pPr>
              <w:keepNext/>
              <w:snapToGrid w:val="0"/>
              <w:ind w:left="177"/>
              <w:jc w:val="center"/>
              <w:rPr>
                <w:rFonts w:ascii="Arial" w:hAnsi="Arial" w:cs="Arial"/>
                <w:snapToGrid w:val="0"/>
                <w:sz w:val="20"/>
                <w:szCs w:val="20"/>
                <w:lang w:eastAsia="en-US"/>
              </w:rPr>
            </w:pPr>
            <w:r w:rsidRPr="00BD2955">
              <w:rPr>
                <w:rFonts w:ascii="Arial" w:hAnsi="Arial" w:cs="Arial"/>
                <w:snapToGrid w:val="0"/>
                <w:sz w:val="20"/>
                <w:szCs w:val="20"/>
                <w:lang w:eastAsia="en-US"/>
              </w:rPr>
              <w:t>130 (22.0%)</w:t>
            </w:r>
          </w:p>
        </w:tc>
      </w:tr>
      <w:tr w:rsidR="00E75C0A" w:rsidRPr="00C33D04">
        <w:tc>
          <w:tcPr>
            <w:tcW w:w="2453" w:type="pct"/>
            <w:tcBorders>
              <w:top w:val="nil"/>
              <w:left w:val="single" w:sz="4" w:space="0" w:color="auto"/>
              <w:bottom w:val="nil"/>
              <w:right w:val="single" w:sz="4" w:space="0" w:color="auto"/>
            </w:tcBorders>
          </w:tcPr>
          <w:p w:rsidR="00E75C0A" w:rsidRPr="00BD2955" w:rsidRDefault="00E75C0A" w:rsidP="00E75C0A">
            <w:pPr>
              <w:keepNext/>
              <w:tabs>
                <w:tab w:val="left" w:pos="150"/>
              </w:tabs>
              <w:snapToGrid w:val="0"/>
              <w:ind w:left="30"/>
              <w:rPr>
                <w:rFonts w:ascii="Arial" w:hAnsi="Arial" w:cs="Arial"/>
                <w:snapToGrid w:val="0"/>
                <w:sz w:val="20"/>
                <w:szCs w:val="20"/>
                <w:lang w:eastAsia="en-US"/>
              </w:rPr>
            </w:pPr>
            <w:r w:rsidRPr="00BD2955">
              <w:rPr>
                <w:rFonts w:ascii="Arial" w:hAnsi="Arial" w:cs="Arial"/>
                <w:snapToGrid w:val="0"/>
                <w:sz w:val="20"/>
                <w:szCs w:val="20"/>
                <w:lang w:eastAsia="en-US"/>
              </w:rPr>
              <w:t>Any AE leading to discontinuation of study drug</w:t>
            </w:r>
          </w:p>
        </w:tc>
        <w:tc>
          <w:tcPr>
            <w:tcW w:w="1273" w:type="pct"/>
            <w:tcBorders>
              <w:top w:val="nil"/>
              <w:left w:val="single" w:sz="4" w:space="0" w:color="auto"/>
              <w:bottom w:val="nil"/>
              <w:right w:val="single" w:sz="4" w:space="0" w:color="auto"/>
            </w:tcBorders>
          </w:tcPr>
          <w:p w:rsidR="00E75C0A" w:rsidRPr="00BD2955" w:rsidRDefault="00E75C0A" w:rsidP="00E75C0A">
            <w:pPr>
              <w:keepNext/>
              <w:snapToGrid w:val="0"/>
              <w:ind w:left="176"/>
              <w:jc w:val="center"/>
              <w:rPr>
                <w:rFonts w:ascii="Arial" w:hAnsi="Arial" w:cs="Arial"/>
                <w:snapToGrid w:val="0"/>
                <w:sz w:val="20"/>
                <w:szCs w:val="20"/>
                <w:lang w:eastAsia="en-US"/>
              </w:rPr>
            </w:pPr>
            <w:r w:rsidRPr="00BD2955">
              <w:rPr>
                <w:rFonts w:ascii="Arial" w:hAnsi="Arial" w:cs="Arial"/>
                <w:snapToGrid w:val="0"/>
                <w:sz w:val="20"/>
                <w:szCs w:val="20"/>
                <w:lang w:eastAsia="en-US"/>
              </w:rPr>
              <w:t>29 (5.8%)</w:t>
            </w:r>
          </w:p>
        </w:tc>
        <w:tc>
          <w:tcPr>
            <w:tcW w:w="1274" w:type="pct"/>
            <w:tcBorders>
              <w:top w:val="nil"/>
              <w:left w:val="single" w:sz="4" w:space="0" w:color="auto"/>
              <w:bottom w:val="nil"/>
              <w:right w:val="single" w:sz="4" w:space="0" w:color="auto"/>
            </w:tcBorders>
          </w:tcPr>
          <w:p w:rsidR="00E75C0A" w:rsidRPr="00BD2955" w:rsidRDefault="00E75C0A" w:rsidP="00E75C0A">
            <w:pPr>
              <w:keepNext/>
              <w:snapToGrid w:val="0"/>
              <w:ind w:left="177"/>
              <w:jc w:val="center"/>
              <w:rPr>
                <w:rFonts w:ascii="Arial" w:hAnsi="Arial" w:cs="Arial"/>
                <w:snapToGrid w:val="0"/>
                <w:sz w:val="20"/>
                <w:szCs w:val="20"/>
                <w:lang w:eastAsia="en-US"/>
              </w:rPr>
            </w:pPr>
            <w:r w:rsidRPr="00BD2955">
              <w:rPr>
                <w:rFonts w:ascii="Arial" w:hAnsi="Arial" w:cs="Arial"/>
                <w:snapToGrid w:val="0"/>
                <w:sz w:val="20"/>
                <w:szCs w:val="20"/>
                <w:lang w:eastAsia="en-US"/>
              </w:rPr>
              <w:t>83 (14.0%)</w:t>
            </w:r>
          </w:p>
        </w:tc>
      </w:tr>
      <w:tr w:rsidR="00E75C0A" w:rsidRPr="00C33D04">
        <w:tc>
          <w:tcPr>
            <w:tcW w:w="2453" w:type="pct"/>
            <w:tcBorders>
              <w:top w:val="nil"/>
              <w:left w:val="single" w:sz="4" w:space="0" w:color="auto"/>
              <w:bottom w:val="single" w:sz="4" w:space="0" w:color="auto"/>
              <w:right w:val="single" w:sz="4" w:space="0" w:color="auto"/>
            </w:tcBorders>
          </w:tcPr>
          <w:p w:rsidR="00E75C0A" w:rsidRPr="00BD2955" w:rsidRDefault="00E75C0A" w:rsidP="00E75C0A">
            <w:pPr>
              <w:keepNext/>
              <w:tabs>
                <w:tab w:val="left" w:pos="150"/>
              </w:tabs>
              <w:snapToGrid w:val="0"/>
              <w:ind w:left="30"/>
              <w:rPr>
                <w:rFonts w:ascii="Arial" w:hAnsi="Arial" w:cs="Arial"/>
                <w:snapToGrid w:val="0"/>
                <w:sz w:val="20"/>
                <w:szCs w:val="20"/>
                <w:lang w:eastAsia="en-US"/>
              </w:rPr>
            </w:pPr>
            <w:r w:rsidRPr="00BD2955">
              <w:rPr>
                <w:rFonts w:ascii="Arial" w:hAnsi="Arial" w:cs="Arial"/>
                <w:snapToGrid w:val="0"/>
                <w:sz w:val="20"/>
                <w:szCs w:val="20"/>
                <w:lang w:eastAsia="en-US"/>
              </w:rPr>
              <w:t>Death</w:t>
            </w:r>
          </w:p>
        </w:tc>
        <w:tc>
          <w:tcPr>
            <w:tcW w:w="1273" w:type="pct"/>
            <w:tcBorders>
              <w:top w:val="nil"/>
              <w:left w:val="single" w:sz="4" w:space="0" w:color="auto"/>
              <w:bottom w:val="single" w:sz="4" w:space="0" w:color="auto"/>
              <w:right w:val="single" w:sz="4" w:space="0" w:color="auto"/>
            </w:tcBorders>
          </w:tcPr>
          <w:p w:rsidR="00E75C0A" w:rsidRPr="00BD2955" w:rsidRDefault="00E75C0A" w:rsidP="00E75C0A">
            <w:pPr>
              <w:keepNext/>
              <w:snapToGrid w:val="0"/>
              <w:ind w:left="176"/>
              <w:jc w:val="center"/>
              <w:rPr>
                <w:rFonts w:ascii="Arial" w:hAnsi="Arial" w:cs="Arial"/>
                <w:snapToGrid w:val="0"/>
                <w:sz w:val="20"/>
                <w:szCs w:val="20"/>
                <w:lang w:eastAsia="en-US"/>
              </w:rPr>
            </w:pPr>
            <w:r w:rsidRPr="00BD2955">
              <w:rPr>
                <w:rFonts w:ascii="Arial" w:hAnsi="Arial" w:cs="Arial"/>
                <w:snapToGrid w:val="0"/>
                <w:sz w:val="20"/>
                <w:szCs w:val="20"/>
                <w:lang w:eastAsia="en-US"/>
              </w:rPr>
              <w:t>1 (0.2%)</w:t>
            </w:r>
          </w:p>
        </w:tc>
        <w:tc>
          <w:tcPr>
            <w:tcW w:w="1274" w:type="pct"/>
            <w:tcBorders>
              <w:top w:val="nil"/>
              <w:left w:val="single" w:sz="4" w:space="0" w:color="auto"/>
              <w:bottom w:val="single" w:sz="4" w:space="0" w:color="auto"/>
              <w:right w:val="single" w:sz="4" w:space="0" w:color="auto"/>
            </w:tcBorders>
          </w:tcPr>
          <w:p w:rsidR="00E75C0A" w:rsidRPr="00BD2955" w:rsidRDefault="00E75C0A" w:rsidP="00E75C0A">
            <w:pPr>
              <w:keepNext/>
              <w:snapToGrid w:val="0"/>
              <w:ind w:left="177"/>
              <w:jc w:val="center"/>
              <w:rPr>
                <w:rFonts w:ascii="Arial" w:hAnsi="Arial" w:cs="Arial"/>
                <w:snapToGrid w:val="0"/>
                <w:sz w:val="20"/>
                <w:szCs w:val="20"/>
                <w:lang w:eastAsia="en-US"/>
              </w:rPr>
            </w:pPr>
            <w:r w:rsidRPr="00BD2955">
              <w:rPr>
                <w:rFonts w:ascii="Arial" w:hAnsi="Arial" w:cs="Arial"/>
                <w:snapToGrid w:val="0"/>
                <w:sz w:val="20"/>
                <w:szCs w:val="20"/>
                <w:lang w:eastAsia="en-US"/>
              </w:rPr>
              <w:t>3 (0.5%)</w:t>
            </w:r>
          </w:p>
        </w:tc>
      </w:tr>
    </w:tbl>
    <w:p w:rsidR="00E75C0A" w:rsidRPr="00941439" w:rsidRDefault="00E75C0A" w:rsidP="00E75C0A">
      <w:pPr>
        <w:widowControl w:val="0"/>
        <w:ind w:left="709"/>
        <w:jc w:val="both"/>
        <w:rPr>
          <w:rFonts w:ascii="Arial Narrow" w:hAnsi="Arial Narrow" w:cs="Arial"/>
          <w:snapToGrid w:val="0"/>
          <w:sz w:val="18"/>
          <w:szCs w:val="20"/>
          <w:lang w:eastAsia="en-US"/>
        </w:rPr>
      </w:pPr>
      <w:r w:rsidRPr="00941439">
        <w:rPr>
          <w:rFonts w:ascii="Arial Narrow" w:hAnsi="Arial Narrow" w:cs="Arial"/>
          <w:snapToGrid w:val="0"/>
          <w:sz w:val="18"/>
          <w:szCs w:val="20"/>
          <w:lang w:eastAsia="en-US"/>
        </w:rPr>
        <w:t>Source: Table B-31, p110 of the submission; Table 33 p174 of M10-223 CSR</w:t>
      </w:r>
    </w:p>
    <w:p w:rsidR="00E75C0A" w:rsidRPr="00BD2955" w:rsidRDefault="00E75C0A" w:rsidP="00E75C0A">
      <w:pPr>
        <w:widowControl w:val="0"/>
        <w:ind w:left="709"/>
        <w:jc w:val="both"/>
        <w:rPr>
          <w:rFonts w:ascii="Arial Narrow" w:hAnsi="Arial Narrow" w:cs="Arial"/>
          <w:snapToGrid w:val="0"/>
          <w:sz w:val="18"/>
          <w:szCs w:val="20"/>
          <w:lang w:eastAsia="en-US"/>
        </w:rPr>
      </w:pPr>
      <w:r w:rsidRPr="00BD2955">
        <w:rPr>
          <w:rFonts w:ascii="Arial Narrow" w:hAnsi="Arial Narrow" w:cs="Arial"/>
          <w:snapToGrid w:val="0"/>
          <w:sz w:val="18"/>
          <w:szCs w:val="20"/>
          <w:lang w:eastAsia="en-US"/>
        </w:rPr>
        <w:t>AE = adverse event; PY = patient years</w:t>
      </w:r>
    </w:p>
    <w:p w:rsidR="00E75C0A" w:rsidRPr="002B7FBB" w:rsidRDefault="00E75C0A" w:rsidP="00E75C0A">
      <w:pPr>
        <w:pStyle w:val="ListParagraph"/>
        <w:jc w:val="both"/>
        <w:rPr>
          <w:rFonts w:ascii="Arial" w:hAnsi="Arial"/>
          <w:sz w:val="22"/>
          <w:szCs w:val="22"/>
        </w:rPr>
      </w:pPr>
    </w:p>
    <w:p w:rsidR="00E82B32" w:rsidRPr="00BD2955" w:rsidRDefault="00E82B32" w:rsidP="00E82B32">
      <w:pPr>
        <w:pStyle w:val="ListParagraph"/>
        <w:numPr>
          <w:ilvl w:val="1"/>
          <w:numId w:val="1"/>
        </w:numPr>
        <w:jc w:val="both"/>
        <w:rPr>
          <w:rFonts w:ascii="Arial" w:hAnsi="Arial"/>
          <w:sz w:val="22"/>
          <w:szCs w:val="22"/>
        </w:rPr>
      </w:pPr>
      <w:r w:rsidRPr="00BD2955">
        <w:rPr>
          <w:rFonts w:ascii="Arial" w:hAnsi="Arial"/>
          <w:sz w:val="22"/>
          <w:szCs w:val="22"/>
        </w:rPr>
        <w:t xml:space="preserve">The ESC noted that the results in the above table indicate that </w:t>
      </w:r>
      <w:proofErr w:type="spellStart"/>
      <w:r w:rsidRPr="00BD2955">
        <w:rPr>
          <w:rFonts w:ascii="Arial" w:hAnsi="Arial"/>
          <w:sz w:val="22"/>
          <w:szCs w:val="22"/>
        </w:rPr>
        <w:t>adalimumab</w:t>
      </w:r>
      <w:proofErr w:type="spellEnd"/>
      <w:r w:rsidRPr="00BD2955">
        <w:rPr>
          <w:rFonts w:ascii="Arial" w:hAnsi="Arial"/>
          <w:sz w:val="22"/>
          <w:szCs w:val="22"/>
        </w:rPr>
        <w:t xml:space="preserve"> toxicity increases with increasing treatment exposure.  The ESC also recalled that anti-TNF alpha drugs may increase risk of infections, lymphomas and other malignancies</w:t>
      </w:r>
      <w:r w:rsidR="00BD2955">
        <w:rPr>
          <w:rFonts w:ascii="Arial" w:hAnsi="Arial"/>
          <w:sz w:val="22"/>
          <w:szCs w:val="22"/>
        </w:rPr>
        <w:t>.</w:t>
      </w:r>
    </w:p>
    <w:p w:rsidR="00E82B32" w:rsidRPr="00E82B32" w:rsidRDefault="00E82B32" w:rsidP="00E82B32">
      <w:pPr>
        <w:jc w:val="both"/>
        <w:rPr>
          <w:rFonts w:ascii="Arial" w:hAnsi="Arial"/>
          <w:sz w:val="22"/>
          <w:szCs w:val="22"/>
        </w:rPr>
      </w:pPr>
    </w:p>
    <w:p w:rsidR="00E82B32" w:rsidRDefault="00E82B32" w:rsidP="00E75C0A">
      <w:pPr>
        <w:pStyle w:val="ListParagraph"/>
        <w:jc w:val="both"/>
        <w:rPr>
          <w:rFonts w:ascii="Arial" w:hAnsi="Arial"/>
          <w:sz w:val="22"/>
          <w:szCs w:val="22"/>
        </w:rPr>
      </w:pPr>
    </w:p>
    <w:p w:rsidR="00D371A9" w:rsidRPr="00D371A9" w:rsidRDefault="00D371A9" w:rsidP="00DB6A9D">
      <w:pPr>
        <w:pStyle w:val="ListParagraph"/>
        <w:ind w:left="0"/>
        <w:jc w:val="both"/>
        <w:rPr>
          <w:rFonts w:ascii="Arial" w:hAnsi="Arial"/>
          <w:b/>
          <w:i/>
          <w:sz w:val="22"/>
          <w:szCs w:val="22"/>
        </w:rPr>
      </w:pPr>
      <w:r w:rsidRPr="00D371A9">
        <w:rPr>
          <w:rFonts w:ascii="Arial" w:hAnsi="Arial"/>
          <w:b/>
          <w:i/>
          <w:sz w:val="22"/>
          <w:szCs w:val="22"/>
        </w:rPr>
        <w:t>Benefits/harms</w:t>
      </w:r>
    </w:p>
    <w:p w:rsidR="00D371A9" w:rsidRPr="00D371A9" w:rsidRDefault="00D371A9" w:rsidP="00D371A9">
      <w:pPr>
        <w:pStyle w:val="ListParagraph"/>
        <w:jc w:val="both"/>
        <w:rPr>
          <w:rFonts w:ascii="Arial" w:hAnsi="Arial"/>
          <w:sz w:val="22"/>
          <w:szCs w:val="22"/>
          <w:u w:val="single"/>
        </w:rPr>
      </w:pPr>
    </w:p>
    <w:p w:rsidR="00733CBC" w:rsidRPr="007D5055" w:rsidRDefault="00D371A9" w:rsidP="00D371A9">
      <w:pPr>
        <w:pStyle w:val="ListParagraph"/>
        <w:numPr>
          <w:ilvl w:val="1"/>
          <w:numId w:val="1"/>
        </w:numPr>
        <w:jc w:val="both"/>
        <w:rPr>
          <w:rFonts w:ascii="Arial" w:hAnsi="Arial"/>
          <w:b/>
          <w:color w:val="CC00FF"/>
          <w:sz w:val="22"/>
          <w:szCs w:val="22"/>
        </w:rPr>
      </w:pPr>
      <w:r w:rsidRPr="007D5055">
        <w:rPr>
          <w:rFonts w:ascii="Arial" w:hAnsi="Arial"/>
          <w:sz w:val="22"/>
          <w:szCs w:val="22"/>
        </w:rPr>
        <w:t xml:space="preserve">The table below provides a summary of the comparative benefits and harms for </w:t>
      </w:r>
      <w:proofErr w:type="spellStart"/>
      <w:r w:rsidRPr="007D5055">
        <w:rPr>
          <w:rFonts w:ascii="Arial" w:hAnsi="Arial"/>
          <w:sz w:val="22"/>
          <w:szCs w:val="22"/>
        </w:rPr>
        <w:t>adalimumab</w:t>
      </w:r>
      <w:proofErr w:type="spellEnd"/>
      <w:r w:rsidRPr="007D5055">
        <w:rPr>
          <w:rFonts w:ascii="Arial" w:hAnsi="Arial"/>
          <w:sz w:val="22"/>
          <w:szCs w:val="22"/>
        </w:rPr>
        <w:t xml:space="preserve"> and placebo as per the ULTRA trials.</w:t>
      </w:r>
      <w:r w:rsidRPr="007D5055">
        <w:rPr>
          <w:rFonts w:ascii="Arial" w:hAnsi="Arial"/>
          <w:b/>
          <w:color w:val="CC00FF"/>
          <w:sz w:val="22"/>
          <w:szCs w:val="22"/>
        </w:rPr>
        <w:t xml:space="preserve"> </w:t>
      </w:r>
    </w:p>
    <w:p w:rsidR="00D371A9" w:rsidRPr="007D5055" w:rsidRDefault="00D371A9" w:rsidP="00D371A9">
      <w:pPr>
        <w:pStyle w:val="ListParagraph"/>
        <w:jc w:val="both"/>
        <w:rPr>
          <w:rFonts w:ascii="Arial" w:hAnsi="Arial"/>
          <w:b/>
          <w:color w:val="FF00FF"/>
          <w:sz w:val="22"/>
          <w:szCs w:val="22"/>
        </w:rPr>
      </w:pPr>
    </w:p>
    <w:p w:rsidR="00D371A9" w:rsidRPr="007D5055" w:rsidRDefault="00D371A9" w:rsidP="00E82B32">
      <w:pPr>
        <w:keepNext/>
        <w:ind w:firstLine="720"/>
        <w:jc w:val="both"/>
        <w:rPr>
          <w:rFonts w:ascii="Arial Narrow" w:hAnsi="Arial Narrow" w:cs="Arial"/>
          <w:b/>
          <w:snapToGrid w:val="0"/>
          <w:sz w:val="20"/>
          <w:szCs w:val="16"/>
          <w:lang w:eastAsia="en-US"/>
        </w:rPr>
      </w:pPr>
      <w:r w:rsidRPr="007D5055">
        <w:rPr>
          <w:rFonts w:ascii="Arial Narrow" w:hAnsi="Arial Narrow" w:cs="Arial"/>
          <w:b/>
          <w:snapToGrid w:val="0"/>
          <w:sz w:val="20"/>
          <w:szCs w:val="16"/>
          <w:lang w:eastAsia="en-US"/>
        </w:rPr>
        <w:t xml:space="preserve">Summary of comparative benefits and harms for </w:t>
      </w:r>
      <w:proofErr w:type="spellStart"/>
      <w:r w:rsidRPr="007D5055">
        <w:rPr>
          <w:rFonts w:ascii="Arial Narrow" w:hAnsi="Arial Narrow" w:cs="Arial"/>
          <w:b/>
          <w:snapToGrid w:val="0"/>
          <w:sz w:val="20"/>
          <w:szCs w:val="16"/>
          <w:lang w:eastAsia="en-US"/>
        </w:rPr>
        <w:t>adalimumab</w:t>
      </w:r>
      <w:proofErr w:type="spellEnd"/>
      <w:r w:rsidRPr="007D5055">
        <w:rPr>
          <w:rFonts w:ascii="Arial Narrow" w:hAnsi="Arial Narrow" w:cs="Arial"/>
          <w:b/>
          <w:snapToGrid w:val="0"/>
          <w:sz w:val="20"/>
          <w:szCs w:val="16"/>
          <w:lang w:eastAsia="en-US"/>
        </w:rPr>
        <w:t xml:space="preserve"> and placebo</w:t>
      </w:r>
    </w:p>
    <w:tbl>
      <w:tblPr>
        <w:tblStyle w:val="TableGrid"/>
        <w:tblW w:w="4568" w:type="pct"/>
        <w:tblInd w:w="737" w:type="dxa"/>
        <w:tblCellMar>
          <w:left w:w="28" w:type="dxa"/>
          <w:right w:w="28" w:type="dxa"/>
        </w:tblCellMar>
        <w:tblLook w:val="04A0" w:firstRow="1" w:lastRow="0" w:firstColumn="1" w:lastColumn="0" w:noHBand="0" w:noVBand="1"/>
        <w:tblDescription w:val="Summary of comparative benefits and harms for adalimumab and placebo"/>
      </w:tblPr>
      <w:tblGrid>
        <w:gridCol w:w="1276"/>
        <w:gridCol w:w="992"/>
        <w:gridCol w:w="992"/>
        <w:gridCol w:w="1275"/>
        <w:gridCol w:w="991"/>
        <w:gridCol w:w="1002"/>
        <w:gridCol w:w="1273"/>
      </w:tblGrid>
      <w:tr w:rsidR="00E82B32" w:rsidRPr="007D5055">
        <w:trPr>
          <w:trHeight w:val="150"/>
          <w:tblHeader/>
        </w:trPr>
        <w:tc>
          <w:tcPr>
            <w:tcW w:w="818" w:type="pct"/>
            <w:vMerge w:val="restart"/>
            <w:shd w:val="clear" w:color="auto" w:fill="auto"/>
            <w:vAlign w:val="center"/>
          </w:tcPr>
          <w:p w:rsidR="00D371A9" w:rsidRPr="007D5055" w:rsidRDefault="00D371A9" w:rsidP="00D371A9">
            <w:pPr>
              <w:keepNext/>
              <w:widowControl w:val="0"/>
              <w:jc w:val="both"/>
              <w:rPr>
                <w:rFonts w:ascii="Arial Narrow" w:hAnsi="Arial Narrow" w:cs="Arial"/>
                <w:b/>
                <w:snapToGrid w:val="0"/>
                <w:color w:val="000000"/>
                <w:sz w:val="20"/>
                <w:szCs w:val="18"/>
                <w:lang w:eastAsia="en-US"/>
              </w:rPr>
            </w:pPr>
            <w:r w:rsidRPr="007D5055">
              <w:rPr>
                <w:rFonts w:ascii="Arial Narrow" w:hAnsi="Arial Narrow" w:cs="Arial"/>
                <w:b/>
                <w:snapToGrid w:val="0"/>
                <w:color w:val="000000"/>
                <w:sz w:val="20"/>
                <w:szCs w:val="18"/>
                <w:lang w:eastAsia="en-US"/>
              </w:rPr>
              <w:t>Trial</w:t>
            </w:r>
          </w:p>
        </w:tc>
        <w:tc>
          <w:tcPr>
            <w:tcW w:w="636" w:type="pct"/>
            <w:vMerge w:val="restart"/>
            <w:vAlign w:val="center"/>
          </w:tcPr>
          <w:p w:rsidR="00D371A9" w:rsidRPr="007D5055" w:rsidRDefault="00D371A9" w:rsidP="00D371A9">
            <w:pPr>
              <w:keepNext/>
              <w:widowControl w:val="0"/>
              <w:jc w:val="center"/>
              <w:rPr>
                <w:rFonts w:ascii="Arial Narrow" w:hAnsi="Arial Narrow" w:cs="Arial"/>
                <w:b/>
                <w:snapToGrid w:val="0"/>
                <w:color w:val="000000"/>
                <w:sz w:val="20"/>
                <w:szCs w:val="18"/>
                <w:lang w:eastAsia="en-US"/>
              </w:rPr>
            </w:pPr>
            <w:r w:rsidRPr="007D5055">
              <w:rPr>
                <w:rFonts w:ascii="Arial Narrow" w:hAnsi="Arial Narrow" w:cs="Arial"/>
                <w:b/>
                <w:snapToGrid w:val="0"/>
                <w:color w:val="000000"/>
                <w:sz w:val="20"/>
                <w:szCs w:val="18"/>
                <w:lang w:eastAsia="en-US"/>
              </w:rPr>
              <w:t>ADA</w:t>
            </w:r>
          </w:p>
        </w:tc>
        <w:tc>
          <w:tcPr>
            <w:tcW w:w="636" w:type="pct"/>
            <w:vMerge w:val="restart"/>
            <w:vAlign w:val="center"/>
          </w:tcPr>
          <w:p w:rsidR="00D371A9" w:rsidRPr="007D5055" w:rsidRDefault="00D371A9" w:rsidP="00D371A9">
            <w:pPr>
              <w:keepNext/>
              <w:widowControl w:val="0"/>
              <w:jc w:val="center"/>
              <w:rPr>
                <w:rFonts w:ascii="Arial Narrow" w:hAnsi="Arial Narrow" w:cs="Arial"/>
                <w:b/>
                <w:snapToGrid w:val="0"/>
                <w:color w:val="000000"/>
                <w:sz w:val="20"/>
                <w:szCs w:val="18"/>
                <w:lang w:eastAsia="en-US"/>
              </w:rPr>
            </w:pPr>
            <w:r w:rsidRPr="007D5055">
              <w:rPr>
                <w:rFonts w:ascii="Arial Narrow" w:hAnsi="Arial Narrow" w:cs="Arial"/>
                <w:b/>
                <w:snapToGrid w:val="0"/>
                <w:color w:val="000000"/>
                <w:sz w:val="20"/>
                <w:szCs w:val="18"/>
                <w:lang w:eastAsia="en-US"/>
              </w:rPr>
              <w:t>PBO</w:t>
            </w:r>
          </w:p>
        </w:tc>
        <w:tc>
          <w:tcPr>
            <w:tcW w:w="817" w:type="pct"/>
            <w:vMerge w:val="restart"/>
            <w:vAlign w:val="center"/>
          </w:tcPr>
          <w:p w:rsidR="00D371A9" w:rsidRPr="007D5055" w:rsidRDefault="00D371A9" w:rsidP="00D371A9">
            <w:pPr>
              <w:keepNext/>
              <w:widowControl w:val="0"/>
              <w:jc w:val="center"/>
              <w:rPr>
                <w:rFonts w:ascii="Arial Narrow" w:hAnsi="Arial Narrow" w:cs="Arial"/>
                <w:b/>
                <w:snapToGrid w:val="0"/>
                <w:color w:val="000000"/>
                <w:sz w:val="20"/>
                <w:szCs w:val="18"/>
                <w:lang w:eastAsia="en-US"/>
              </w:rPr>
            </w:pPr>
            <w:r w:rsidRPr="007D5055">
              <w:rPr>
                <w:rFonts w:ascii="Arial Narrow" w:hAnsi="Arial Narrow" w:cs="Arial"/>
                <w:b/>
                <w:snapToGrid w:val="0"/>
                <w:color w:val="000000"/>
                <w:sz w:val="20"/>
                <w:szCs w:val="18"/>
                <w:lang w:eastAsia="en-US"/>
              </w:rPr>
              <w:t>RR</w:t>
            </w:r>
          </w:p>
          <w:p w:rsidR="00D371A9" w:rsidRPr="007D5055" w:rsidRDefault="00D371A9" w:rsidP="00D371A9">
            <w:pPr>
              <w:keepNext/>
              <w:widowControl w:val="0"/>
              <w:jc w:val="center"/>
              <w:rPr>
                <w:rFonts w:ascii="Arial Narrow" w:hAnsi="Arial Narrow" w:cs="Arial"/>
                <w:b/>
                <w:snapToGrid w:val="0"/>
                <w:color w:val="000000"/>
                <w:sz w:val="20"/>
                <w:szCs w:val="18"/>
                <w:lang w:eastAsia="en-US"/>
              </w:rPr>
            </w:pPr>
            <w:r w:rsidRPr="007D5055">
              <w:rPr>
                <w:rFonts w:ascii="Arial Narrow" w:hAnsi="Arial Narrow" w:cs="Arial"/>
                <w:b/>
                <w:snapToGrid w:val="0"/>
                <w:color w:val="000000"/>
                <w:sz w:val="20"/>
                <w:szCs w:val="18"/>
                <w:lang w:eastAsia="en-US"/>
              </w:rPr>
              <w:t>(95% CI)</w:t>
            </w:r>
          </w:p>
        </w:tc>
        <w:tc>
          <w:tcPr>
            <w:tcW w:w="1277" w:type="pct"/>
            <w:gridSpan w:val="2"/>
            <w:vAlign w:val="center"/>
          </w:tcPr>
          <w:p w:rsidR="00D371A9" w:rsidRPr="007D5055" w:rsidRDefault="00D371A9" w:rsidP="00D371A9">
            <w:pPr>
              <w:keepNext/>
              <w:widowControl w:val="0"/>
              <w:jc w:val="center"/>
              <w:rPr>
                <w:rFonts w:ascii="Arial Narrow" w:hAnsi="Arial Narrow" w:cs="Arial"/>
                <w:b/>
                <w:snapToGrid w:val="0"/>
                <w:color w:val="000000"/>
                <w:sz w:val="20"/>
                <w:szCs w:val="18"/>
                <w:lang w:eastAsia="en-US"/>
              </w:rPr>
            </w:pPr>
            <w:r w:rsidRPr="007D5055">
              <w:rPr>
                <w:rFonts w:ascii="Arial Narrow" w:hAnsi="Arial Narrow" w:cs="Arial"/>
                <w:b/>
                <w:snapToGrid w:val="0"/>
                <w:color w:val="000000"/>
                <w:sz w:val="20"/>
                <w:szCs w:val="18"/>
                <w:lang w:eastAsia="en-US"/>
              </w:rPr>
              <w:t xml:space="preserve">Event rate/100 patients* </w:t>
            </w:r>
          </w:p>
        </w:tc>
        <w:tc>
          <w:tcPr>
            <w:tcW w:w="816" w:type="pct"/>
            <w:vMerge w:val="restart"/>
            <w:vAlign w:val="center"/>
          </w:tcPr>
          <w:p w:rsidR="00D371A9" w:rsidRPr="007D5055" w:rsidRDefault="00D371A9" w:rsidP="00D371A9">
            <w:pPr>
              <w:keepNext/>
              <w:widowControl w:val="0"/>
              <w:jc w:val="center"/>
              <w:rPr>
                <w:rFonts w:ascii="Arial Narrow" w:hAnsi="Arial Narrow" w:cs="Arial"/>
                <w:b/>
                <w:snapToGrid w:val="0"/>
                <w:color w:val="000000"/>
                <w:sz w:val="20"/>
                <w:szCs w:val="18"/>
                <w:lang w:eastAsia="en-US"/>
              </w:rPr>
            </w:pPr>
            <w:r w:rsidRPr="007D5055">
              <w:rPr>
                <w:rFonts w:ascii="Arial Narrow" w:hAnsi="Arial Narrow" w:cs="Arial"/>
                <w:b/>
                <w:snapToGrid w:val="0"/>
                <w:color w:val="000000"/>
                <w:sz w:val="20"/>
                <w:szCs w:val="18"/>
                <w:lang w:eastAsia="en-US"/>
              </w:rPr>
              <w:t>RD</w:t>
            </w:r>
          </w:p>
          <w:p w:rsidR="00D371A9" w:rsidRPr="007D5055" w:rsidRDefault="00D371A9" w:rsidP="00D371A9">
            <w:pPr>
              <w:keepNext/>
              <w:widowControl w:val="0"/>
              <w:jc w:val="center"/>
              <w:rPr>
                <w:rFonts w:ascii="Arial Narrow" w:hAnsi="Arial Narrow" w:cs="Arial"/>
                <w:b/>
                <w:snapToGrid w:val="0"/>
                <w:color w:val="000000"/>
                <w:sz w:val="20"/>
                <w:szCs w:val="18"/>
                <w:lang w:eastAsia="en-US"/>
              </w:rPr>
            </w:pPr>
            <w:r w:rsidRPr="007D5055">
              <w:rPr>
                <w:rFonts w:ascii="Arial Narrow" w:hAnsi="Arial Narrow" w:cs="Arial"/>
                <w:b/>
                <w:snapToGrid w:val="0"/>
                <w:color w:val="000000"/>
                <w:sz w:val="20"/>
                <w:szCs w:val="18"/>
                <w:lang w:eastAsia="en-US"/>
              </w:rPr>
              <w:t>(95% CI)</w:t>
            </w:r>
          </w:p>
        </w:tc>
      </w:tr>
      <w:tr w:rsidR="00E82B32" w:rsidRPr="007D5055">
        <w:trPr>
          <w:trHeight w:val="155"/>
        </w:trPr>
        <w:tc>
          <w:tcPr>
            <w:tcW w:w="818" w:type="pct"/>
            <w:vMerge/>
            <w:shd w:val="clear" w:color="auto" w:fill="auto"/>
            <w:vAlign w:val="center"/>
          </w:tcPr>
          <w:p w:rsidR="00D371A9" w:rsidRPr="007D5055" w:rsidRDefault="00D371A9" w:rsidP="00D371A9">
            <w:pPr>
              <w:keepNext/>
              <w:widowControl w:val="0"/>
              <w:jc w:val="both"/>
              <w:rPr>
                <w:rFonts w:ascii="Arial Narrow" w:hAnsi="Arial Narrow" w:cs="Arial"/>
                <w:b/>
                <w:snapToGrid w:val="0"/>
                <w:color w:val="000000"/>
                <w:sz w:val="20"/>
                <w:szCs w:val="18"/>
                <w:lang w:eastAsia="en-US"/>
              </w:rPr>
            </w:pPr>
          </w:p>
        </w:tc>
        <w:tc>
          <w:tcPr>
            <w:tcW w:w="636" w:type="pct"/>
            <w:vMerge/>
            <w:vAlign w:val="center"/>
          </w:tcPr>
          <w:p w:rsidR="00D371A9" w:rsidRPr="007D5055" w:rsidRDefault="00D371A9" w:rsidP="00D371A9">
            <w:pPr>
              <w:keepNext/>
              <w:widowControl w:val="0"/>
              <w:jc w:val="center"/>
              <w:rPr>
                <w:rFonts w:ascii="Arial Narrow" w:hAnsi="Arial Narrow" w:cs="Arial"/>
                <w:b/>
                <w:snapToGrid w:val="0"/>
                <w:color w:val="000000"/>
                <w:sz w:val="20"/>
                <w:szCs w:val="18"/>
                <w:lang w:eastAsia="en-US"/>
              </w:rPr>
            </w:pPr>
          </w:p>
        </w:tc>
        <w:tc>
          <w:tcPr>
            <w:tcW w:w="636" w:type="pct"/>
            <w:vMerge/>
            <w:vAlign w:val="center"/>
          </w:tcPr>
          <w:p w:rsidR="00D371A9" w:rsidRPr="007D5055" w:rsidRDefault="00D371A9" w:rsidP="00D371A9">
            <w:pPr>
              <w:keepNext/>
              <w:widowControl w:val="0"/>
              <w:jc w:val="center"/>
              <w:rPr>
                <w:rFonts w:ascii="Arial Narrow" w:hAnsi="Arial Narrow" w:cs="Arial"/>
                <w:b/>
                <w:snapToGrid w:val="0"/>
                <w:color w:val="000000"/>
                <w:sz w:val="20"/>
                <w:szCs w:val="18"/>
                <w:lang w:eastAsia="en-US"/>
              </w:rPr>
            </w:pPr>
          </w:p>
        </w:tc>
        <w:tc>
          <w:tcPr>
            <w:tcW w:w="817" w:type="pct"/>
            <w:vMerge/>
            <w:vAlign w:val="center"/>
          </w:tcPr>
          <w:p w:rsidR="00D371A9" w:rsidRPr="007D5055" w:rsidRDefault="00D371A9" w:rsidP="00D371A9">
            <w:pPr>
              <w:keepNext/>
              <w:widowControl w:val="0"/>
              <w:jc w:val="center"/>
              <w:rPr>
                <w:rFonts w:ascii="Arial Narrow" w:hAnsi="Arial Narrow" w:cs="Arial"/>
                <w:b/>
                <w:snapToGrid w:val="0"/>
                <w:color w:val="000000"/>
                <w:sz w:val="20"/>
                <w:szCs w:val="18"/>
                <w:lang w:eastAsia="en-US"/>
              </w:rPr>
            </w:pPr>
          </w:p>
        </w:tc>
        <w:tc>
          <w:tcPr>
            <w:tcW w:w="635" w:type="pct"/>
            <w:vAlign w:val="center"/>
          </w:tcPr>
          <w:p w:rsidR="00D371A9" w:rsidRPr="007D5055" w:rsidRDefault="00D371A9" w:rsidP="00D371A9">
            <w:pPr>
              <w:keepNext/>
              <w:widowControl w:val="0"/>
              <w:jc w:val="center"/>
              <w:rPr>
                <w:rFonts w:ascii="Arial Narrow" w:hAnsi="Arial Narrow" w:cs="Arial"/>
                <w:b/>
                <w:snapToGrid w:val="0"/>
                <w:color w:val="000000"/>
                <w:sz w:val="20"/>
                <w:szCs w:val="18"/>
                <w:lang w:eastAsia="en-US"/>
              </w:rPr>
            </w:pPr>
            <w:r w:rsidRPr="007D5055">
              <w:rPr>
                <w:rFonts w:ascii="Arial Narrow" w:hAnsi="Arial Narrow" w:cs="Arial"/>
                <w:b/>
                <w:snapToGrid w:val="0"/>
                <w:color w:val="000000"/>
                <w:sz w:val="20"/>
                <w:szCs w:val="18"/>
                <w:lang w:eastAsia="en-US"/>
              </w:rPr>
              <w:t>ADA</w:t>
            </w:r>
          </w:p>
        </w:tc>
        <w:tc>
          <w:tcPr>
            <w:tcW w:w="642" w:type="pct"/>
            <w:vAlign w:val="center"/>
          </w:tcPr>
          <w:p w:rsidR="00D371A9" w:rsidRPr="007D5055" w:rsidRDefault="00D371A9" w:rsidP="00D371A9">
            <w:pPr>
              <w:keepNext/>
              <w:widowControl w:val="0"/>
              <w:jc w:val="center"/>
              <w:rPr>
                <w:rFonts w:ascii="Arial Narrow" w:hAnsi="Arial Narrow" w:cs="Arial"/>
                <w:b/>
                <w:snapToGrid w:val="0"/>
                <w:color w:val="000000"/>
                <w:sz w:val="20"/>
                <w:szCs w:val="18"/>
                <w:lang w:eastAsia="en-US"/>
              </w:rPr>
            </w:pPr>
            <w:r w:rsidRPr="007D5055">
              <w:rPr>
                <w:rFonts w:ascii="Arial Narrow" w:hAnsi="Arial Narrow" w:cs="Arial"/>
                <w:b/>
                <w:snapToGrid w:val="0"/>
                <w:color w:val="000000"/>
                <w:sz w:val="20"/>
                <w:szCs w:val="18"/>
                <w:lang w:eastAsia="en-US"/>
              </w:rPr>
              <w:t>PBO</w:t>
            </w:r>
          </w:p>
        </w:tc>
        <w:tc>
          <w:tcPr>
            <w:tcW w:w="816" w:type="pct"/>
            <w:vMerge/>
            <w:vAlign w:val="center"/>
          </w:tcPr>
          <w:p w:rsidR="00D371A9" w:rsidRPr="007D5055" w:rsidRDefault="00D371A9" w:rsidP="00D371A9">
            <w:pPr>
              <w:keepNext/>
              <w:widowControl w:val="0"/>
              <w:jc w:val="center"/>
              <w:rPr>
                <w:rFonts w:ascii="Arial Narrow" w:hAnsi="Arial Narrow" w:cs="Arial"/>
                <w:b/>
                <w:snapToGrid w:val="0"/>
                <w:color w:val="000000"/>
                <w:sz w:val="20"/>
                <w:szCs w:val="18"/>
                <w:lang w:eastAsia="en-US"/>
              </w:rPr>
            </w:pPr>
          </w:p>
        </w:tc>
      </w:tr>
      <w:tr w:rsidR="00D371A9" w:rsidRPr="007D5055">
        <w:tc>
          <w:tcPr>
            <w:tcW w:w="5000" w:type="pct"/>
            <w:gridSpan w:val="7"/>
            <w:shd w:val="clear" w:color="auto" w:fill="auto"/>
            <w:vAlign w:val="center"/>
          </w:tcPr>
          <w:p w:rsidR="00D371A9" w:rsidRPr="007D5055" w:rsidRDefault="00BD2955" w:rsidP="00D371A9">
            <w:pPr>
              <w:keepNext/>
              <w:widowControl w:val="0"/>
              <w:jc w:val="both"/>
              <w:rPr>
                <w:rFonts w:ascii="Arial Narrow" w:hAnsi="Arial Narrow" w:cs="Arial"/>
                <w:b/>
                <w:snapToGrid w:val="0"/>
                <w:color w:val="000000"/>
                <w:sz w:val="20"/>
                <w:szCs w:val="18"/>
                <w:lang w:eastAsia="en-US"/>
              </w:rPr>
            </w:pPr>
            <w:r w:rsidRPr="007D5055">
              <w:rPr>
                <w:rFonts w:ascii="Arial Narrow" w:hAnsi="Arial Narrow" w:cs="Arial"/>
                <w:b/>
                <w:snapToGrid w:val="0"/>
                <w:color w:val="000000"/>
                <w:sz w:val="20"/>
                <w:szCs w:val="18"/>
                <w:lang w:eastAsia="en-US"/>
              </w:rPr>
              <w:t>BENEFITS</w:t>
            </w:r>
          </w:p>
        </w:tc>
      </w:tr>
      <w:tr w:rsidR="00D371A9" w:rsidRPr="007D5055">
        <w:tc>
          <w:tcPr>
            <w:tcW w:w="5000" w:type="pct"/>
            <w:gridSpan w:val="7"/>
            <w:shd w:val="clear" w:color="auto" w:fill="auto"/>
            <w:vAlign w:val="center"/>
          </w:tcPr>
          <w:p w:rsidR="00D371A9" w:rsidRPr="007D5055" w:rsidRDefault="00D371A9" w:rsidP="00D371A9">
            <w:pPr>
              <w:keepNext/>
              <w:widowControl w:val="0"/>
              <w:jc w:val="both"/>
              <w:rPr>
                <w:rFonts w:ascii="Arial Narrow" w:hAnsi="Arial Narrow" w:cs="Arial"/>
                <w:b/>
                <w:snapToGrid w:val="0"/>
                <w:color w:val="000000"/>
                <w:sz w:val="20"/>
                <w:szCs w:val="18"/>
                <w:lang w:eastAsia="en-US"/>
              </w:rPr>
            </w:pPr>
            <w:r w:rsidRPr="007D5055">
              <w:rPr>
                <w:rFonts w:ascii="Arial Narrow" w:hAnsi="Arial Narrow" w:cs="Arial"/>
                <w:b/>
                <w:snapToGrid w:val="0"/>
                <w:color w:val="000000"/>
                <w:sz w:val="20"/>
                <w:szCs w:val="18"/>
                <w:lang w:eastAsia="en-US"/>
              </w:rPr>
              <w:t>Clinical remission at 8 weeks</w:t>
            </w:r>
          </w:p>
        </w:tc>
      </w:tr>
      <w:tr w:rsidR="00E82B32" w:rsidRPr="007D5055">
        <w:tc>
          <w:tcPr>
            <w:tcW w:w="818" w:type="pct"/>
            <w:shd w:val="clear" w:color="auto" w:fill="auto"/>
            <w:vAlign w:val="center"/>
          </w:tcPr>
          <w:p w:rsidR="00D371A9" w:rsidRPr="007D5055" w:rsidRDefault="00D371A9" w:rsidP="00D371A9">
            <w:pPr>
              <w:keepNext/>
              <w:widowControl w:val="0"/>
              <w:jc w:val="both"/>
              <w:rPr>
                <w:rFonts w:ascii="Arial Narrow" w:hAnsi="Arial Narrow" w:cs="Arial"/>
                <w:snapToGrid w:val="0"/>
                <w:color w:val="000000"/>
                <w:sz w:val="20"/>
                <w:szCs w:val="18"/>
                <w:lang w:eastAsia="en-US"/>
              </w:rPr>
            </w:pPr>
            <w:r w:rsidRPr="007D5055">
              <w:rPr>
                <w:rFonts w:ascii="Arial Narrow" w:hAnsi="Arial Narrow" w:cs="Arial"/>
                <w:snapToGrid w:val="0"/>
                <w:color w:val="000000"/>
                <w:sz w:val="20"/>
                <w:szCs w:val="18"/>
                <w:lang w:eastAsia="en-US"/>
              </w:rPr>
              <w:t>ULTRA I</w:t>
            </w:r>
          </w:p>
        </w:tc>
        <w:tc>
          <w:tcPr>
            <w:tcW w:w="636" w:type="pct"/>
            <w:vAlign w:val="center"/>
          </w:tcPr>
          <w:p w:rsidR="00D371A9" w:rsidRPr="007D5055" w:rsidRDefault="00D371A9" w:rsidP="00D371A9">
            <w:pPr>
              <w:keepNext/>
              <w:widowControl w:val="0"/>
              <w:jc w:val="center"/>
              <w:rPr>
                <w:rFonts w:ascii="Arial Narrow" w:hAnsi="Arial Narrow" w:cs="Arial"/>
                <w:snapToGrid w:val="0"/>
                <w:color w:val="000000"/>
                <w:sz w:val="20"/>
                <w:szCs w:val="18"/>
                <w:lang w:eastAsia="en-US"/>
              </w:rPr>
            </w:pPr>
            <w:r w:rsidRPr="007D5055">
              <w:rPr>
                <w:rFonts w:ascii="Arial Narrow" w:hAnsi="Arial Narrow" w:cs="Arial"/>
                <w:snapToGrid w:val="0"/>
                <w:color w:val="000000"/>
                <w:sz w:val="20"/>
                <w:szCs w:val="18"/>
                <w:lang w:eastAsia="en-US"/>
              </w:rPr>
              <w:t>24/130</w:t>
            </w:r>
          </w:p>
        </w:tc>
        <w:tc>
          <w:tcPr>
            <w:tcW w:w="636" w:type="pct"/>
            <w:vAlign w:val="center"/>
          </w:tcPr>
          <w:p w:rsidR="00D371A9" w:rsidRPr="007D5055" w:rsidRDefault="00D371A9" w:rsidP="00D371A9">
            <w:pPr>
              <w:keepNext/>
              <w:widowControl w:val="0"/>
              <w:jc w:val="center"/>
              <w:rPr>
                <w:rFonts w:ascii="Arial Narrow" w:hAnsi="Arial Narrow" w:cs="Arial"/>
                <w:snapToGrid w:val="0"/>
                <w:color w:val="000000"/>
                <w:sz w:val="20"/>
                <w:szCs w:val="18"/>
                <w:lang w:eastAsia="en-US"/>
              </w:rPr>
            </w:pPr>
            <w:r w:rsidRPr="007D5055">
              <w:rPr>
                <w:rFonts w:ascii="Arial Narrow" w:hAnsi="Arial Narrow" w:cs="Arial"/>
                <w:snapToGrid w:val="0"/>
                <w:color w:val="000000"/>
                <w:sz w:val="20"/>
                <w:szCs w:val="18"/>
                <w:lang w:eastAsia="en-US"/>
              </w:rPr>
              <w:t>12/130</w:t>
            </w:r>
          </w:p>
        </w:tc>
        <w:tc>
          <w:tcPr>
            <w:tcW w:w="817" w:type="pct"/>
            <w:vAlign w:val="center"/>
          </w:tcPr>
          <w:p w:rsidR="00D371A9" w:rsidRPr="007D5055" w:rsidRDefault="00D371A9" w:rsidP="00D371A9">
            <w:pPr>
              <w:keepNext/>
              <w:widowControl w:val="0"/>
              <w:jc w:val="center"/>
              <w:rPr>
                <w:rFonts w:ascii="Arial Narrow" w:hAnsi="Arial Narrow" w:cs="Arial"/>
                <w:b/>
                <w:snapToGrid w:val="0"/>
                <w:color w:val="000000"/>
                <w:sz w:val="20"/>
                <w:szCs w:val="18"/>
                <w:lang w:eastAsia="en-US"/>
              </w:rPr>
            </w:pPr>
            <w:r w:rsidRPr="007D5055">
              <w:rPr>
                <w:rFonts w:ascii="Arial Narrow" w:hAnsi="Arial Narrow" w:cs="Arial"/>
                <w:b/>
                <w:snapToGrid w:val="0"/>
                <w:color w:val="000000"/>
                <w:sz w:val="20"/>
                <w:szCs w:val="18"/>
                <w:lang w:eastAsia="en-US"/>
              </w:rPr>
              <w:t>2.0 (1.1, 3.8)</w:t>
            </w:r>
          </w:p>
        </w:tc>
        <w:tc>
          <w:tcPr>
            <w:tcW w:w="635" w:type="pct"/>
            <w:vAlign w:val="center"/>
          </w:tcPr>
          <w:p w:rsidR="00D371A9" w:rsidRPr="007D5055" w:rsidRDefault="00D371A9" w:rsidP="00D371A9">
            <w:pPr>
              <w:keepNext/>
              <w:widowControl w:val="0"/>
              <w:jc w:val="center"/>
              <w:rPr>
                <w:rFonts w:ascii="Arial Narrow" w:hAnsi="Arial Narrow" w:cs="Arial"/>
                <w:snapToGrid w:val="0"/>
                <w:color w:val="000000"/>
                <w:sz w:val="20"/>
                <w:szCs w:val="18"/>
                <w:lang w:eastAsia="en-US"/>
              </w:rPr>
            </w:pPr>
            <w:r w:rsidRPr="007D5055">
              <w:rPr>
                <w:rFonts w:ascii="Arial Narrow" w:hAnsi="Arial Narrow" w:cs="Arial"/>
                <w:snapToGrid w:val="0"/>
                <w:color w:val="000000"/>
                <w:sz w:val="20"/>
                <w:szCs w:val="18"/>
                <w:lang w:eastAsia="en-US"/>
              </w:rPr>
              <w:t>18.5</w:t>
            </w:r>
          </w:p>
        </w:tc>
        <w:tc>
          <w:tcPr>
            <w:tcW w:w="642" w:type="pct"/>
            <w:vAlign w:val="center"/>
          </w:tcPr>
          <w:p w:rsidR="00D371A9" w:rsidRPr="007D5055" w:rsidRDefault="00D371A9" w:rsidP="00D371A9">
            <w:pPr>
              <w:keepNext/>
              <w:widowControl w:val="0"/>
              <w:jc w:val="center"/>
              <w:rPr>
                <w:rFonts w:ascii="Arial Narrow" w:hAnsi="Arial Narrow" w:cs="Arial"/>
                <w:snapToGrid w:val="0"/>
                <w:color w:val="000000"/>
                <w:sz w:val="20"/>
                <w:szCs w:val="18"/>
                <w:lang w:eastAsia="en-US"/>
              </w:rPr>
            </w:pPr>
            <w:r w:rsidRPr="007D5055">
              <w:rPr>
                <w:rFonts w:ascii="Arial Narrow" w:hAnsi="Arial Narrow" w:cs="Arial"/>
                <w:snapToGrid w:val="0"/>
                <w:color w:val="000000"/>
                <w:sz w:val="20"/>
                <w:szCs w:val="18"/>
                <w:lang w:eastAsia="en-US"/>
              </w:rPr>
              <w:t>9.2</w:t>
            </w:r>
          </w:p>
        </w:tc>
        <w:tc>
          <w:tcPr>
            <w:tcW w:w="816" w:type="pct"/>
            <w:vAlign w:val="center"/>
          </w:tcPr>
          <w:p w:rsidR="00D371A9" w:rsidRPr="007D5055" w:rsidRDefault="00D371A9" w:rsidP="00D371A9">
            <w:pPr>
              <w:keepNext/>
              <w:widowControl w:val="0"/>
              <w:jc w:val="center"/>
              <w:rPr>
                <w:rFonts w:ascii="Arial Narrow" w:hAnsi="Arial Narrow" w:cs="Arial"/>
                <w:b/>
                <w:snapToGrid w:val="0"/>
                <w:color w:val="000000"/>
                <w:sz w:val="20"/>
                <w:szCs w:val="18"/>
                <w:lang w:eastAsia="en-US"/>
              </w:rPr>
            </w:pPr>
            <w:r w:rsidRPr="007D5055">
              <w:rPr>
                <w:rFonts w:ascii="Arial Narrow" w:hAnsi="Arial Narrow" w:cs="Arial"/>
                <w:b/>
                <w:snapToGrid w:val="0"/>
                <w:color w:val="000000"/>
                <w:sz w:val="20"/>
                <w:szCs w:val="18"/>
                <w:lang w:eastAsia="en-US"/>
              </w:rPr>
              <w:t>0.09 (0.01,0.18)</w:t>
            </w:r>
          </w:p>
        </w:tc>
      </w:tr>
      <w:tr w:rsidR="00E82B32" w:rsidRPr="007D5055">
        <w:tc>
          <w:tcPr>
            <w:tcW w:w="818" w:type="pct"/>
            <w:shd w:val="clear" w:color="auto" w:fill="auto"/>
            <w:vAlign w:val="center"/>
          </w:tcPr>
          <w:p w:rsidR="00D371A9" w:rsidRPr="007D5055" w:rsidRDefault="00D371A9" w:rsidP="00D371A9">
            <w:pPr>
              <w:keepNext/>
              <w:widowControl w:val="0"/>
              <w:jc w:val="both"/>
              <w:rPr>
                <w:rFonts w:ascii="Arial Narrow" w:hAnsi="Arial Narrow" w:cs="Arial"/>
                <w:snapToGrid w:val="0"/>
                <w:color w:val="000000"/>
                <w:sz w:val="20"/>
                <w:szCs w:val="18"/>
                <w:lang w:eastAsia="en-US"/>
              </w:rPr>
            </w:pPr>
            <w:r w:rsidRPr="007D5055">
              <w:rPr>
                <w:rFonts w:ascii="Arial Narrow" w:hAnsi="Arial Narrow" w:cs="Arial"/>
                <w:snapToGrid w:val="0"/>
                <w:color w:val="000000"/>
                <w:sz w:val="20"/>
                <w:szCs w:val="18"/>
                <w:lang w:eastAsia="en-US"/>
              </w:rPr>
              <w:t>ULTRA II</w:t>
            </w:r>
          </w:p>
        </w:tc>
        <w:tc>
          <w:tcPr>
            <w:tcW w:w="636" w:type="pct"/>
            <w:vAlign w:val="center"/>
          </w:tcPr>
          <w:p w:rsidR="00D371A9" w:rsidRPr="007D5055" w:rsidRDefault="00D371A9" w:rsidP="00D371A9">
            <w:pPr>
              <w:keepNext/>
              <w:widowControl w:val="0"/>
              <w:jc w:val="center"/>
              <w:rPr>
                <w:rFonts w:ascii="Arial Narrow" w:hAnsi="Arial Narrow" w:cs="Arial"/>
                <w:snapToGrid w:val="0"/>
                <w:color w:val="000000"/>
                <w:sz w:val="20"/>
                <w:szCs w:val="18"/>
                <w:lang w:eastAsia="en-US"/>
              </w:rPr>
            </w:pPr>
            <w:r w:rsidRPr="007D5055">
              <w:rPr>
                <w:rFonts w:ascii="Arial Narrow" w:hAnsi="Arial Narrow" w:cs="Arial"/>
                <w:snapToGrid w:val="0"/>
                <w:color w:val="000000"/>
                <w:sz w:val="20"/>
                <w:szCs w:val="18"/>
                <w:lang w:eastAsia="en-US"/>
              </w:rPr>
              <w:t>41/248</w:t>
            </w:r>
          </w:p>
        </w:tc>
        <w:tc>
          <w:tcPr>
            <w:tcW w:w="636" w:type="pct"/>
            <w:vAlign w:val="center"/>
          </w:tcPr>
          <w:p w:rsidR="00D371A9" w:rsidRPr="007D5055" w:rsidRDefault="00D371A9" w:rsidP="00D371A9">
            <w:pPr>
              <w:keepNext/>
              <w:widowControl w:val="0"/>
              <w:jc w:val="center"/>
              <w:rPr>
                <w:rFonts w:ascii="Arial Narrow" w:hAnsi="Arial Narrow" w:cs="Arial"/>
                <w:snapToGrid w:val="0"/>
                <w:color w:val="000000"/>
                <w:sz w:val="20"/>
                <w:szCs w:val="18"/>
                <w:lang w:eastAsia="en-US"/>
              </w:rPr>
            </w:pPr>
            <w:r w:rsidRPr="007D5055">
              <w:rPr>
                <w:rFonts w:ascii="Arial Narrow" w:hAnsi="Arial Narrow" w:cs="Arial"/>
                <w:snapToGrid w:val="0"/>
                <w:color w:val="000000"/>
                <w:sz w:val="20"/>
                <w:szCs w:val="18"/>
                <w:lang w:eastAsia="en-US"/>
              </w:rPr>
              <w:t>23/246</w:t>
            </w:r>
          </w:p>
        </w:tc>
        <w:tc>
          <w:tcPr>
            <w:tcW w:w="817" w:type="pct"/>
            <w:vAlign w:val="center"/>
          </w:tcPr>
          <w:p w:rsidR="00D371A9" w:rsidRPr="007D5055" w:rsidRDefault="00D371A9" w:rsidP="00D371A9">
            <w:pPr>
              <w:keepNext/>
              <w:widowControl w:val="0"/>
              <w:jc w:val="center"/>
              <w:rPr>
                <w:rFonts w:ascii="Arial Narrow" w:hAnsi="Arial Narrow" w:cs="Arial"/>
                <w:b/>
                <w:snapToGrid w:val="0"/>
                <w:color w:val="000000"/>
                <w:sz w:val="20"/>
                <w:szCs w:val="18"/>
                <w:lang w:eastAsia="en-US"/>
              </w:rPr>
            </w:pPr>
            <w:r w:rsidRPr="007D5055">
              <w:rPr>
                <w:rFonts w:ascii="Arial Narrow" w:hAnsi="Arial Narrow" w:cs="Arial"/>
                <w:b/>
                <w:snapToGrid w:val="0"/>
                <w:color w:val="000000"/>
                <w:sz w:val="20"/>
                <w:szCs w:val="18"/>
                <w:lang w:eastAsia="en-US"/>
              </w:rPr>
              <w:t>1.8 (1.1, 2.9)</w:t>
            </w:r>
          </w:p>
        </w:tc>
        <w:tc>
          <w:tcPr>
            <w:tcW w:w="635" w:type="pct"/>
            <w:vAlign w:val="center"/>
          </w:tcPr>
          <w:p w:rsidR="00D371A9" w:rsidRPr="007D5055" w:rsidRDefault="00D371A9" w:rsidP="00D371A9">
            <w:pPr>
              <w:keepNext/>
              <w:widowControl w:val="0"/>
              <w:jc w:val="center"/>
              <w:rPr>
                <w:rFonts w:ascii="Arial Narrow" w:hAnsi="Arial Narrow" w:cs="Arial"/>
                <w:snapToGrid w:val="0"/>
                <w:color w:val="000000"/>
                <w:sz w:val="20"/>
                <w:szCs w:val="18"/>
                <w:lang w:eastAsia="en-US"/>
              </w:rPr>
            </w:pPr>
            <w:r w:rsidRPr="007D5055">
              <w:rPr>
                <w:rFonts w:ascii="Arial Narrow" w:hAnsi="Arial Narrow" w:cs="Arial"/>
                <w:snapToGrid w:val="0"/>
                <w:color w:val="000000"/>
                <w:sz w:val="20"/>
                <w:szCs w:val="18"/>
                <w:lang w:eastAsia="en-US"/>
              </w:rPr>
              <w:t>16.5</w:t>
            </w:r>
          </w:p>
        </w:tc>
        <w:tc>
          <w:tcPr>
            <w:tcW w:w="642" w:type="pct"/>
            <w:vAlign w:val="center"/>
          </w:tcPr>
          <w:p w:rsidR="00D371A9" w:rsidRPr="007D5055" w:rsidRDefault="00D371A9" w:rsidP="00D371A9">
            <w:pPr>
              <w:keepNext/>
              <w:widowControl w:val="0"/>
              <w:jc w:val="center"/>
              <w:rPr>
                <w:rFonts w:ascii="Arial Narrow" w:hAnsi="Arial Narrow" w:cs="Arial"/>
                <w:snapToGrid w:val="0"/>
                <w:color w:val="000000"/>
                <w:sz w:val="20"/>
                <w:szCs w:val="18"/>
                <w:lang w:eastAsia="en-US"/>
              </w:rPr>
            </w:pPr>
            <w:r w:rsidRPr="007D5055">
              <w:rPr>
                <w:rFonts w:ascii="Arial Narrow" w:hAnsi="Arial Narrow" w:cs="Arial"/>
                <w:snapToGrid w:val="0"/>
                <w:color w:val="000000"/>
                <w:sz w:val="20"/>
                <w:szCs w:val="18"/>
                <w:lang w:eastAsia="en-US"/>
              </w:rPr>
              <w:t>9.3</w:t>
            </w:r>
          </w:p>
        </w:tc>
        <w:tc>
          <w:tcPr>
            <w:tcW w:w="816" w:type="pct"/>
            <w:vAlign w:val="center"/>
          </w:tcPr>
          <w:p w:rsidR="00D371A9" w:rsidRPr="007D5055" w:rsidRDefault="00D371A9" w:rsidP="00D371A9">
            <w:pPr>
              <w:keepNext/>
              <w:widowControl w:val="0"/>
              <w:jc w:val="center"/>
              <w:rPr>
                <w:rFonts w:ascii="Arial Narrow" w:hAnsi="Arial Narrow" w:cs="Arial"/>
                <w:b/>
                <w:snapToGrid w:val="0"/>
                <w:color w:val="000000"/>
                <w:sz w:val="20"/>
                <w:szCs w:val="18"/>
                <w:lang w:eastAsia="en-US"/>
              </w:rPr>
            </w:pPr>
            <w:r w:rsidRPr="007D5055">
              <w:rPr>
                <w:rFonts w:ascii="Arial Narrow" w:hAnsi="Arial Narrow" w:cs="Arial"/>
                <w:b/>
                <w:snapToGrid w:val="0"/>
                <w:color w:val="000000"/>
                <w:sz w:val="20"/>
                <w:szCs w:val="18"/>
                <w:lang w:eastAsia="en-US"/>
              </w:rPr>
              <w:t>0.07 (0.01, 0.13)</w:t>
            </w:r>
          </w:p>
        </w:tc>
      </w:tr>
      <w:tr w:rsidR="00E82B32" w:rsidRPr="007D5055">
        <w:tc>
          <w:tcPr>
            <w:tcW w:w="2089" w:type="pct"/>
            <w:gridSpan w:val="3"/>
            <w:shd w:val="clear" w:color="auto" w:fill="auto"/>
            <w:vAlign w:val="center"/>
          </w:tcPr>
          <w:p w:rsidR="00D371A9" w:rsidRPr="007D5055" w:rsidRDefault="00D371A9" w:rsidP="00D371A9">
            <w:pPr>
              <w:keepNext/>
              <w:widowControl w:val="0"/>
              <w:rPr>
                <w:rFonts w:ascii="Arial Narrow" w:hAnsi="Arial Narrow" w:cs="Arial"/>
                <w:snapToGrid w:val="0"/>
                <w:color w:val="000000"/>
                <w:sz w:val="20"/>
                <w:szCs w:val="18"/>
                <w:lang w:eastAsia="en-US"/>
              </w:rPr>
            </w:pPr>
            <w:r w:rsidRPr="007D5055">
              <w:rPr>
                <w:rFonts w:ascii="Arial Narrow" w:hAnsi="Arial Narrow" w:cs="Arial"/>
                <w:snapToGrid w:val="0"/>
                <w:sz w:val="20"/>
                <w:szCs w:val="20"/>
                <w:lang w:eastAsia="en-US"/>
              </w:rPr>
              <w:t>Meta-analysis (I</w:t>
            </w:r>
            <w:r w:rsidRPr="007D5055">
              <w:rPr>
                <w:rFonts w:ascii="Arial Narrow" w:hAnsi="Arial Narrow" w:cs="Arial"/>
                <w:snapToGrid w:val="0"/>
                <w:sz w:val="20"/>
                <w:szCs w:val="20"/>
                <w:vertAlign w:val="superscript"/>
                <w:lang w:eastAsia="en-US"/>
              </w:rPr>
              <w:t>2</w:t>
            </w:r>
            <w:r w:rsidRPr="007D5055">
              <w:rPr>
                <w:rFonts w:ascii="Arial Narrow" w:hAnsi="Arial Narrow" w:cs="Arial"/>
                <w:snapToGrid w:val="0"/>
                <w:sz w:val="20"/>
                <w:szCs w:val="20"/>
                <w:lang w:eastAsia="en-US"/>
              </w:rPr>
              <w:t xml:space="preserve"> = 0%)</w:t>
            </w:r>
          </w:p>
        </w:tc>
        <w:tc>
          <w:tcPr>
            <w:tcW w:w="817" w:type="pct"/>
            <w:vAlign w:val="center"/>
          </w:tcPr>
          <w:p w:rsidR="00D371A9" w:rsidRPr="007D5055" w:rsidRDefault="00D371A9" w:rsidP="00D371A9">
            <w:pPr>
              <w:keepNext/>
              <w:widowControl w:val="0"/>
              <w:jc w:val="center"/>
              <w:rPr>
                <w:rFonts w:ascii="Arial Narrow" w:hAnsi="Arial Narrow" w:cs="Arial"/>
                <w:b/>
                <w:snapToGrid w:val="0"/>
                <w:color w:val="000000"/>
                <w:sz w:val="20"/>
                <w:szCs w:val="18"/>
                <w:lang w:eastAsia="en-US"/>
              </w:rPr>
            </w:pPr>
            <w:r w:rsidRPr="007D5055">
              <w:rPr>
                <w:rFonts w:ascii="Arial Narrow" w:hAnsi="Arial Narrow" w:cs="Arial"/>
                <w:b/>
                <w:snapToGrid w:val="0"/>
                <w:sz w:val="20"/>
                <w:szCs w:val="20"/>
                <w:lang w:eastAsia="en-US"/>
              </w:rPr>
              <w:t>1.9 (1.3, 2.7)</w:t>
            </w:r>
          </w:p>
        </w:tc>
        <w:tc>
          <w:tcPr>
            <w:tcW w:w="1277" w:type="pct"/>
            <w:gridSpan w:val="2"/>
            <w:vAlign w:val="center"/>
          </w:tcPr>
          <w:p w:rsidR="00D371A9" w:rsidRPr="007D5055" w:rsidRDefault="00D371A9" w:rsidP="00D371A9">
            <w:pPr>
              <w:keepNext/>
              <w:widowControl w:val="0"/>
              <w:jc w:val="center"/>
              <w:rPr>
                <w:rFonts w:ascii="Arial Narrow" w:hAnsi="Arial Narrow" w:cs="Arial"/>
                <w:snapToGrid w:val="0"/>
                <w:color w:val="000000"/>
                <w:sz w:val="20"/>
                <w:szCs w:val="18"/>
                <w:lang w:eastAsia="en-US"/>
              </w:rPr>
            </w:pPr>
          </w:p>
        </w:tc>
        <w:tc>
          <w:tcPr>
            <w:tcW w:w="816" w:type="pct"/>
            <w:vAlign w:val="center"/>
          </w:tcPr>
          <w:p w:rsidR="00D371A9" w:rsidRPr="007D5055" w:rsidRDefault="00D371A9" w:rsidP="00D371A9">
            <w:pPr>
              <w:keepNext/>
              <w:widowControl w:val="0"/>
              <w:jc w:val="center"/>
              <w:rPr>
                <w:rFonts w:ascii="Arial Narrow" w:hAnsi="Arial Narrow" w:cs="Arial"/>
                <w:b/>
                <w:snapToGrid w:val="0"/>
                <w:color w:val="000000"/>
                <w:sz w:val="20"/>
                <w:szCs w:val="18"/>
                <w:lang w:eastAsia="en-US"/>
              </w:rPr>
            </w:pPr>
            <w:r w:rsidRPr="007D5055">
              <w:rPr>
                <w:rFonts w:ascii="Arial Narrow" w:hAnsi="Arial Narrow" w:cs="Arial"/>
                <w:b/>
                <w:snapToGrid w:val="0"/>
                <w:sz w:val="20"/>
                <w:szCs w:val="20"/>
                <w:lang w:eastAsia="en-US"/>
              </w:rPr>
              <w:t>0.08 (0.03, 0.13)</w:t>
            </w:r>
          </w:p>
        </w:tc>
      </w:tr>
      <w:tr w:rsidR="00D371A9" w:rsidRPr="007D5055">
        <w:tc>
          <w:tcPr>
            <w:tcW w:w="5000" w:type="pct"/>
            <w:gridSpan w:val="7"/>
            <w:shd w:val="clear" w:color="auto" w:fill="auto"/>
            <w:vAlign w:val="center"/>
          </w:tcPr>
          <w:p w:rsidR="00D371A9" w:rsidRPr="007D5055" w:rsidRDefault="00D371A9" w:rsidP="00D371A9">
            <w:pPr>
              <w:widowControl w:val="0"/>
              <w:jc w:val="both"/>
              <w:rPr>
                <w:rFonts w:ascii="Arial Narrow" w:hAnsi="Arial Narrow" w:cs="Arial"/>
                <w:b/>
                <w:snapToGrid w:val="0"/>
                <w:color w:val="000000"/>
                <w:sz w:val="20"/>
                <w:szCs w:val="18"/>
                <w:lang w:eastAsia="en-US"/>
              </w:rPr>
            </w:pPr>
            <w:r w:rsidRPr="007D5055">
              <w:rPr>
                <w:rFonts w:ascii="Arial Narrow" w:hAnsi="Arial Narrow" w:cs="Arial"/>
                <w:b/>
                <w:snapToGrid w:val="0"/>
                <w:color w:val="000000"/>
                <w:sz w:val="20"/>
                <w:szCs w:val="18"/>
                <w:lang w:eastAsia="en-US"/>
              </w:rPr>
              <w:t>Clinical response at 8 weeks</w:t>
            </w:r>
          </w:p>
        </w:tc>
      </w:tr>
      <w:tr w:rsidR="00E82B32" w:rsidRPr="007D5055">
        <w:trPr>
          <w:cantSplit/>
        </w:trPr>
        <w:tc>
          <w:tcPr>
            <w:tcW w:w="818" w:type="pct"/>
            <w:shd w:val="clear" w:color="auto" w:fill="auto"/>
            <w:vAlign w:val="center"/>
          </w:tcPr>
          <w:p w:rsidR="00D371A9" w:rsidRPr="007D5055" w:rsidRDefault="00D371A9" w:rsidP="00D371A9">
            <w:pPr>
              <w:widowControl w:val="0"/>
              <w:jc w:val="both"/>
              <w:rPr>
                <w:rFonts w:ascii="Arial Narrow" w:hAnsi="Arial Narrow" w:cs="Arial"/>
                <w:snapToGrid w:val="0"/>
                <w:color w:val="000000"/>
                <w:sz w:val="20"/>
                <w:szCs w:val="18"/>
                <w:lang w:eastAsia="en-US"/>
              </w:rPr>
            </w:pPr>
            <w:r w:rsidRPr="007D5055">
              <w:rPr>
                <w:rFonts w:ascii="Arial Narrow" w:hAnsi="Arial Narrow" w:cs="Arial"/>
                <w:snapToGrid w:val="0"/>
                <w:color w:val="000000"/>
                <w:sz w:val="20"/>
                <w:szCs w:val="18"/>
                <w:lang w:eastAsia="en-US"/>
              </w:rPr>
              <w:t>ULTRA I</w:t>
            </w:r>
          </w:p>
        </w:tc>
        <w:tc>
          <w:tcPr>
            <w:tcW w:w="636" w:type="pct"/>
            <w:vAlign w:val="center"/>
          </w:tcPr>
          <w:p w:rsidR="00D371A9" w:rsidRPr="007D5055" w:rsidRDefault="00D371A9" w:rsidP="00D371A9">
            <w:pPr>
              <w:widowControl w:val="0"/>
              <w:jc w:val="center"/>
              <w:rPr>
                <w:rFonts w:ascii="Arial Narrow" w:hAnsi="Arial Narrow" w:cs="Arial"/>
                <w:snapToGrid w:val="0"/>
                <w:color w:val="000000"/>
                <w:sz w:val="20"/>
                <w:szCs w:val="18"/>
                <w:lang w:eastAsia="en-US"/>
              </w:rPr>
            </w:pPr>
            <w:r w:rsidRPr="007D5055">
              <w:rPr>
                <w:rFonts w:ascii="Arial Narrow" w:hAnsi="Arial Narrow" w:cs="Arial"/>
                <w:snapToGrid w:val="0"/>
                <w:color w:val="000000"/>
                <w:sz w:val="20"/>
                <w:szCs w:val="18"/>
                <w:lang w:eastAsia="en-US"/>
              </w:rPr>
              <w:t>71/130</w:t>
            </w:r>
          </w:p>
        </w:tc>
        <w:tc>
          <w:tcPr>
            <w:tcW w:w="636" w:type="pct"/>
            <w:vAlign w:val="center"/>
          </w:tcPr>
          <w:p w:rsidR="00D371A9" w:rsidRPr="007D5055" w:rsidRDefault="00D371A9" w:rsidP="00D371A9">
            <w:pPr>
              <w:widowControl w:val="0"/>
              <w:jc w:val="center"/>
              <w:rPr>
                <w:rFonts w:ascii="Arial Narrow" w:hAnsi="Arial Narrow" w:cs="Arial"/>
                <w:snapToGrid w:val="0"/>
                <w:color w:val="000000"/>
                <w:sz w:val="20"/>
                <w:szCs w:val="18"/>
                <w:lang w:eastAsia="en-US"/>
              </w:rPr>
            </w:pPr>
            <w:r w:rsidRPr="007D5055">
              <w:rPr>
                <w:rFonts w:ascii="Arial Narrow" w:hAnsi="Arial Narrow" w:cs="Arial"/>
                <w:snapToGrid w:val="0"/>
                <w:color w:val="000000"/>
                <w:sz w:val="20"/>
                <w:szCs w:val="18"/>
                <w:lang w:eastAsia="en-US"/>
              </w:rPr>
              <w:t>58/130</w:t>
            </w:r>
          </w:p>
        </w:tc>
        <w:tc>
          <w:tcPr>
            <w:tcW w:w="817" w:type="pct"/>
            <w:vAlign w:val="center"/>
          </w:tcPr>
          <w:p w:rsidR="00D371A9" w:rsidRPr="007D5055" w:rsidRDefault="00D371A9" w:rsidP="00D371A9">
            <w:pPr>
              <w:widowControl w:val="0"/>
              <w:jc w:val="center"/>
              <w:rPr>
                <w:rFonts w:ascii="Arial Narrow" w:hAnsi="Arial Narrow" w:cs="Arial"/>
                <w:snapToGrid w:val="0"/>
                <w:color w:val="000000"/>
                <w:sz w:val="20"/>
                <w:szCs w:val="18"/>
                <w:lang w:eastAsia="en-US"/>
              </w:rPr>
            </w:pPr>
            <w:r w:rsidRPr="007D5055">
              <w:rPr>
                <w:rFonts w:ascii="Arial Narrow" w:hAnsi="Arial Narrow" w:cs="Arial"/>
                <w:snapToGrid w:val="0"/>
                <w:color w:val="000000"/>
                <w:sz w:val="20"/>
                <w:szCs w:val="18"/>
                <w:lang w:eastAsia="en-US"/>
              </w:rPr>
              <w:t>1.2 (1.0, 1.6)</w:t>
            </w:r>
          </w:p>
        </w:tc>
        <w:tc>
          <w:tcPr>
            <w:tcW w:w="635" w:type="pct"/>
            <w:vAlign w:val="center"/>
          </w:tcPr>
          <w:p w:rsidR="00D371A9" w:rsidRPr="007D5055" w:rsidRDefault="00D371A9" w:rsidP="00D371A9">
            <w:pPr>
              <w:widowControl w:val="0"/>
              <w:jc w:val="center"/>
              <w:rPr>
                <w:rFonts w:ascii="Arial Narrow" w:hAnsi="Arial Narrow" w:cs="Arial"/>
                <w:snapToGrid w:val="0"/>
                <w:color w:val="000000"/>
                <w:sz w:val="20"/>
                <w:szCs w:val="18"/>
                <w:lang w:eastAsia="en-US"/>
              </w:rPr>
            </w:pPr>
            <w:r w:rsidRPr="007D5055">
              <w:rPr>
                <w:rFonts w:ascii="Arial Narrow" w:hAnsi="Arial Narrow" w:cs="Arial"/>
                <w:snapToGrid w:val="0"/>
                <w:color w:val="000000"/>
                <w:sz w:val="20"/>
                <w:szCs w:val="18"/>
                <w:lang w:eastAsia="en-US"/>
              </w:rPr>
              <w:t>54.6</w:t>
            </w:r>
          </w:p>
        </w:tc>
        <w:tc>
          <w:tcPr>
            <w:tcW w:w="642" w:type="pct"/>
            <w:vAlign w:val="center"/>
          </w:tcPr>
          <w:p w:rsidR="00D371A9" w:rsidRPr="007D5055" w:rsidRDefault="00D371A9" w:rsidP="00D371A9">
            <w:pPr>
              <w:widowControl w:val="0"/>
              <w:jc w:val="center"/>
              <w:rPr>
                <w:rFonts w:ascii="Arial Narrow" w:hAnsi="Arial Narrow" w:cs="Arial"/>
                <w:snapToGrid w:val="0"/>
                <w:color w:val="000000"/>
                <w:sz w:val="20"/>
                <w:szCs w:val="18"/>
                <w:lang w:eastAsia="en-US"/>
              </w:rPr>
            </w:pPr>
            <w:r w:rsidRPr="007D5055">
              <w:rPr>
                <w:rFonts w:ascii="Arial Narrow" w:hAnsi="Arial Narrow" w:cs="Arial"/>
                <w:snapToGrid w:val="0"/>
                <w:color w:val="000000"/>
                <w:sz w:val="20"/>
                <w:szCs w:val="18"/>
                <w:lang w:eastAsia="en-US"/>
              </w:rPr>
              <w:t>44.6</w:t>
            </w:r>
          </w:p>
        </w:tc>
        <w:tc>
          <w:tcPr>
            <w:tcW w:w="816" w:type="pct"/>
            <w:vAlign w:val="center"/>
          </w:tcPr>
          <w:p w:rsidR="00D371A9" w:rsidRPr="007D5055" w:rsidRDefault="00D371A9" w:rsidP="00D371A9">
            <w:pPr>
              <w:widowControl w:val="0"/>
              <w:jc w:val="center"/>
              <w:rPr>
                <w:rFonts w:ascii="Arial Narrow" w:hAnsi="Arial Narrow" w:cs="Arial"/>
                <w:snapToGrid w:val="0"/>
                <w:color w:val="000000"/>
                <w:sz w:val="20"/>
                <w:szCs w:val="18"/>
                <w:lang w:eastAsia="en-US"/>
              </w:rPr>
            </w:pPr>
            <w:r w:rsidRPr="007D5055">
              <w:rPr>
                <w:rFonts w:ascii="Arial Narrow" w:hAnsi="Arial Narrow" w:cs="Arial"/>
                <w:snapToGrid w:val="0"/>
                <w:color w:val="000000"/>
                <w:sz w:val="20"/>
                <w:szCs w:val="18"/>
                <w:lang w:eastAsia="en-US"/>
              </w:rPr>
              <w:t>0.10 (-0.02, 0.22)</w:t>
            </w:r>
          </w:p>
        </w:tc>
      </w:tr>
      <w:tr w:rsidR="00E82B32" w:rsidRPr="007D5055">
        <w:tc>
          <w:tcPr>
            <w:tcW w:w="818" w:type="pct"/>
            <w:shd w:val="clear" w:color="auto" w:fill="auto"/>
            <w:vAlign w:val="center"/>
          </w:tcPr>
          <w:p w:rsidR="00D371A9" w:rsidRPr="007D5055" w:rsidRDefault="00D371A9" w:rsidP="00D371A9">
            <w:pPr>
              <w:widowControl w:val="0"/>
              <w:jc w:val="both"/>
              <w:rPr>
                <w:rFonts w:ascii="Arial Narrow" w:hAnsi="Arial Narrow" w:cs="Arial"/>
                <w:snapToGrid w:val="0"/>
                <w:color w:val="000000"/>
                <w:sz w:val="20"/>
                <w:szCs w:val="18"/>
                <w:lang w:eastAsia="en-US"/>
              </w:rPr>
            </w:pPr>
            <w:r w:rsidRPr="007D5055">
              <w:rPr>
                <w:rFonts w:ascii="Arial Narrow" w:hAnsi="Arial Narrow" w:cs="Arial"/>
                <w:snapToGrid w:val="0"/>
                <w:color w:val="000000"/>
                <w:sz w:val="20"/>
                <w:szCs w:val="18"/>
                <w:lang w:eastAsia="en-US"/>
              </w:rPr>
              <w:t>ULTRA II</w:t>
            </w:r>
          </w:p>
        </w:tc>
        <w:tc>
          <w:tcPr>
            <w:tcW w:w="636" w:type="pct"/>
            <w:vAlign w:val="center"/>
          </w:tcPr>
          <w:p w:rsidR="00D371A9" w:rsidRPr="007D5055" w:rsidRDefault="00D371A9" w:rsidP="00D371A9">
            <w:pPr>
              <w:widowControl w:val="0"/>
              <w:jc w:val="center"/>
              <w:rPr>
                <w:rFonts w:ascii="Arial Narrow" w:hAnsi="Arial Narrow" w:cs="Arial"/>
                <w:snapToGrid w:val="0"/>
                <w:color w:val="000000"/>
                <w:sz w:val="20"/>
                <w:szCs w:val="18"/>
                <w:lang w:eastAsia="en-US"/>
              </w:rPr>
            </w:pPr>
            <w:r w:rsidRPr="007D5055">
              <w:rPr>
                <w:rFonts w:ascii="Arial Narrow" w:hAnsi="Arial Narrow" w:cs="Arial"/>
                <w:snapToGrid w:val="0"/>
                <w:color w:val="000000"/>
                <w:sz w:val="20"/>
                <w:szCs w:val="18"/>
                <w:lang w:eastAsia="en-US"/>
              </w:rPr>
              <w:t>125/248</w:t>
            </w:r>
          </w:p>
        </w:tc>
        <w:tc>
          <w:tcPr>
            <w:tcW w:w="636" w:type="pct"/>
            <w:vAlign w:val="center"/>
          </w:tcPr>
          <w:p w:rsidR="00D371A9" w:rsidRPr="007D5055" w:rsidRDefault="00D371A9" w:rsidP="00D371A9">
            <w:pPr>
              <w:widowControl w:val="0"/>
              <w:jc w:val="center"/>
              <w:rPr>
                <w:rFonts w:ascii="Arial Narrow" w:hAnsi="Arial Narrow" w:cs="Arial"/>
                <w:snapToGrid w:val="0"/>
                <w:color w:val="000000"/>
                <w:sz w:val="20"/>
                <w:szCs w:val="18"/>
                <w:lang w:eastAsia="en-US"/>
              </w:rPr>
            </w:pPr>
            <w:r w:rsidRPr="007D5055">
              <w:rPr>
                <w:rFonts w:ascii="Arial Narrow" w:hAnsi="Arial Narrow" w:cs="Arial"/>
                <w:snapToGrid w:val="0"/>
                <w:color w:val="000000"/>
                <w:sz w:val="20"/>
                <w:szCs w:val="18"/>
                <w:lang w:eastAsia="en-US"/>
              </w:rPr>
              <w:t>85/246</w:t>
            </w:r>
          </w:p>
        </w:tc>
        <w:tc>
          <w:tcPr>
            <w:tcW w:w="817" w:type="pct"/>
            <w:vAlign w:val="center"/>
          </w:tcPr>
          <w:p w:rsidR="00D371A9" w:rsidRPr="007D5055" w:rsidRDefault="00D371A9" w:rsidP="00D371A9">
            <w:pPr>
              <w:widowControl w:val="0"/>
              <w:jc w:val="center"/>
              <w:rPr>
                <w:rFonts w:ascii="Arial Narrow" w:hAnsi="Arial Narrow" w:cs="Arial"/>
                <w:b/>
                <w:snapToGrid w:val="0"/>
                <w:color w:val="000000"/>
                <w:sz w:val="20"/>
                <w:szCs w:val="18"/>
                <w:lang w:eastAsia="en-US"/>
              </w:rPr>
            </w:pPr>
            <w:r w:rsidRPr="007D5055">
              <w:rPr>
                <w:rFonts w:ascii="Arial Narrow" w:hAnsi="Arial Narrow" w:cs="Arial"/>
                <w:b/>
                <w:snapToGrid w:val="0"/>
                <w:color w:val="000000"/>
                <w:sz w:val="20"/>
                <w:szCs w:val="18"/>
                <w:lang w:eastAsia="en-US"/>
              </w:rPr>
              <w:t>1.5 (1.2, 1.8)</w:t>
            </w:r>
          </w:p>
        </w:tc>
        <w:tc>
          <w:tcPr>
            <w:tcW w:w="635" w:type="pct"/>
            <w:vAlign w:val="center"/>
          </w:tcPr>
          <w:p w:rsidR="00D371A9" w:rsidRPr="007D5055" w:rsidRDefault="00D371A9" w:rsidP="00D371A9">
            <w:pPr>
              <w:widowControl w:val="0"/>
              <w:jc w:val="center"/>
              <w:rPr>
                <w:rFonts w:ascii="Arial Narrow" w:hAnsi="Arial Narrow" w:cs="Arial"/>
                <w:snapToGrid w:val="0"/>
                <w:color w:val="000000"/>
                <w:sz w:val="20"/>
                <w:szCs w:val="18"/>
                <w:lang w:eastAsia="en-US"/>
              </w:rPr>
            </w:pPr>
            <w:r w:rsidRPr="007D5055">
              <w:rPr>
                <w:rFonts w:ascii="Arial Narrow" w:hAnsi="Arial Narrow" w:cs="Arial"/>
                <w:snapToGrid w:val="0"/>
                <w:color w:val="000000"/>
                <w:sz w:val="20"/>
                <w:szCs w:val="18"/>
                <w:lang w:eastAsia="en-US"/>
              </w:rPr>
              <w:t>50.4</w:t>
            </w:r>
          </w:p>
        </w:tc>
        <w:tc>
          <w:tcPr>
            <w:tcW w:w="642" w:type="pct"/>
            <w:vAlign w:val="center"/>
          </w:tcPr>
          <w:p w:rsidR="00D371A9" w:rsidRPr="007D5055" w:rsidRDefault="00D371A9" w:rsidP="00D371A9">
            <w:pPr>
              <w:widowControl w:val="0"/>
              <w:jc w:val="center"/>
              <w:rPr>
                <w:rFonts w:ascii="Arial Narrow" w:hAnsi="Arial Narrow" w:cs="Arial"/>
                <w:snapToGrid w:val="0"/>
                <w:color w:val="000000"/>
                <w:sz w:val="20"/>
                <w:szCs w:val="18"/>
                <w:lang w:eastAsia="en-US"/>
              </w:rPr>
            </w:pPr>
            <w:r w:rsidRPr="007D5055">
              <w:rPr>
                <w:rFonts w:ascii="Arial Narrow" w:hAnsi="Arial Narrow" w:cs="Arial"/>
                <w:snapToGrid w:val="0"/>
                <w:color w:val="000000"/>
                <w:sz w:val="20"/>
                <w:szCs w:val="18"/>
                <w:lang w:eastAsia="en-US"/>
              </w:rPr>
              <w:t>34.6</w:t>
            </w:r>
          </w:p>
        </w:tc>
        <w:tc>
          <w:tcPr>
            <w:tcW w:w="816" w:type="pct"/>
            <w:vAlign w:val="center"/>
          </w:tcPr>
          <w:p w:rsidR="00D371A9" w:rsidRPr="007D5055" w:rsidRDefault="00D371A9" w:rsidP="00D371A9">
            <w:pPr>
              <w:widowControl w:val="0"/>
              <w:jc w:val="center"/>
              <w:rPr>
                <w:rFonts w:ascii="Arial Narrow" w:hAnsi="Arial Narrow" w:cs="Arial"/>
                <w:b/>
                <w:snapToGrid w:val="0"/>
                <w:color w:val="000000"/>
                <w:sz w:val="20"/>
                <w:szCs w:val="18"/>
                <w:lang w:eastAsia="en-US"/>
              </w:rPr>
            </w:pPr>
            <w:r w:rsidRPr="007D5055">
              <w:rPr>
                <w:rFonts w:ascii="Arial Narrow" w:hAnsi="Arial Narrow" w:cs="Arial"/>
                <w:b/>
                <w:snapToGrid w:val="0"/>
                <w:color w:val="000000"/>
                <w:sz w:val="20"/>
                <w:szCs w:val="18"/>
                <w:lang w:eastAsia="en-US"/>
              </w:rPr>
              <w:t>0.16 (0.07, 0.25)</w:t>
            </w:r>
          </w:p>
        </w:tc>
      </w:tr>
      <w:tr w:rsidR="00E82B32" w:rsidRPr="007D5055">
        <w:tc>
          <w:tcPr>
            <w:tcW w:w="2089" w:type="pct"/>
            <w:gridSpan w:val="3"/>
            <w:shd w:val="clear" w:color="auto" w:fill="auto"/>
            <w:vAlign w:val="center"/>
          </w:tcPr>
          <w:p w:rsidR="00D371A9" w:rsidRPr="007D5055" w:rsidRDefault="00D371A9" w:rsidP="00D371A9">
            <w:pPr>
              <w:widowControl w:val="0"/>
              <w:rPr>
                <w:rFonts w:ascii="Arial Narrow" w:hAnsi="Arial Narrow" w:cs="Arial"/>
                <w:snapToGrid w:val="0"/>
                <w:color w:val="000000"/>
                <w:sz w:val="20"/>
                <w:szCs w:val="18"/>
                <w:lang w:eastAsia="en-US"/>
              </w:rPr>
            </w:pPr>
            <w:r w:rsidRPr="007D5055">
              <w:rPr>
                <w:rFonts w:ascii="Arial Narrow" w:hAnsi="Arial Narrow" w:cs="Arial"/>
                <w:snapToGrid w:val="0"/>
                <w:sz w:val="20"/>
                <w:szCs w:val="20"/>
                <w:lang w:eastAsia="en-US"/>
              </w:rPr>
              <w:t>Meta-analysis (I</w:t>
            </w:r>
            <w:r w:rsidRPr="007D5055">
              <w:rPr>
                <w:rFonts w:ascii="Arial Narrow" w:hAnsi="Arial Narrow" w:cs="Arial"/>
                <w:snapToGrid w:val="0"/>
                <w:sz w:val="20"/>
                <w:szCs w:val="20"/>
                <w:vertAlign w:val="superscript"/>
                <w:lang w:eastAsia="en-US"/>
              </w:rPr>
              <w:t>2</w:t>
            </w:r>
            <w:r w:rsidRPr="007D5055">
              <w:rPr>
                <w:rFonts w:ascii="Arial Narrow" w:hAnsi="Arial Narrow" w:cs="Arial"/>
                <w:snapToGrid w:val="0"/>
                <w:sz w:val="20"/>
                <w:szCs w:val="20"/>
                <w:lang w:eastAsia="en-US"/>
              </w:rPr>
              <w:t xml:space="preserve"> = 11%)</w:t>
            </w:r>
          </w:p>
        </w:tc>
        <w:tc>
          <w:tcPr>
            <w:tcW w:w="817" w:type="pct"/>
            <w:vAlign w:val="center"/>
          </w:tcPr>
          <w:p w:rsidR="00D371A9" w:rsidRPr="007D5055" w:rsidRDefault="00D371A9" w:rsidP="00D371A9">
            <w:pPr>
              <w:widowControl w:val="0"/>
              <w:jc w:val="center"/>
              <w:rPr>
                <w:rFonts w:ascii="Arial Narrow" w:hAnsi="Arial Narrow" w:cs="Arial"/>
                <w:b/>
                <w:snapToGrid w:val="0"/>
                <w:color w:val="000000"/>
                <w:sz w:val="20"/>
                <w:szCs w:val="18"/>
                <w:lang w:eastAsia="en-US"/>
              </w:rPr>
            </w:pPr>
            <w:r w:rsidRPr="007D5055">
              <w:rPr>
                <w:rFonts w:ascii="Arial Narrow" w:hAnsi="Arial Narrow" w:cs="Arial"/>
                <w:b/>
                <w:snapToGrid w:val="0"/>
                <w:sz w:val="20"/>
                <w:szCs w:val="20"/>
                <w:lang w:eastAsia="en-US"/>
              </w:rPr>
              <w:t>1.4 (1.2, 1.6)</w:t>
            </w:r>
          </w:p>
        </w:tc>
        <w:tc>
          <w:tcPr>
            <w:tcW w:w="1277" w:type="pct"/>
            <w:gridSpan w:val="2"/>
            <w:vAlign w:val="center"/>
          </w:tcPr>
          <w:p w:rsidR="00D371A9" w:rsidRPr="007D5055" w:rsidRDefault="00D371A9" w:rsidP="00D371A9">
            <w:pPr>
              <w:widowControl w:val="0"/>
              <w:jc w:val="center"/>
              <w:rPr>
                <w:rFonts w:ascii="Arial Narrow" w:hAnsi="Arial Narrow" w:cs="Arial"/>
                <w:snapToGrid w:val="0"/>
                <w:color w:val="000000"/>
                <w:sz w:val="20"/>
                <w:szCs w:val="18"/>
                <w:lang w:eastAsia="en-US"/>
              </w:rPr>
            </w:pPr>
          </w:p>
        </w:tc>
        <w:tc>
          <w:tcPr>
            <w:tcW w:w="816" w:type="pct"/>
            <w:vAlign w:val="center"/>
          </w:tcPr>
          <w:p w:rsidR="00D371A9" w:rsidRPr="007D5055" w:rsidRDefault="00D371A9" w:rsidP="00D371A9">
            <w:pPr>
              <w:widowControl w:val="0"/>
              <w:jc w:val="center"/>
              <w:rPr>
                <w:rFonts w:ascii="Arial Narrow" w:hAnsi="Arial Narrow" w:cs="Arial"/>
                <w:b/>
                <w:snapToGrid w:val="0"/>
                <w:color w:val="000000"/>
                <w:sz w:val="20"/>
                <w:szCs w:val="18"/>
                <w:lang w:eastAsia="en-US"/>
              </w:rPr>
            </w:pPr>
            <w:r w:rsidRPr="007D5055">
              <w:rPr>
                <w:rFonts w:ascii="Arial Narrow" w:hAnsi="Arial Narrow" w:cs="Arial"/>
                <w:b/>
                <w:snapToGrid w:val="0"/>
                <w:sz w:val="20"/>
                <w:szCs w:val="20"/>
                <w:lang w:eastAsia="en-US"/>
              </w:rPr>
              <w:t>0.14 (0.07, 0.21)</w:t>
            </w:r>
          </w:p>
        </w:tc>
      </w:tr>
      <w:tr w:rsidR="00D371A9" w:rsidRPr="007D5055">
        <w:tc>
          <w:tcPr>
            <w:tcW w:w="5000" w:type="pct"/>
            <w:gridSpan w:val="7"/>
            <w:shd w:val="clear" w:color="auto" w:fill="auto"/>
            <w:vAlign w:val="center"/>
          </w:tcPr>
          <w:p w:rsidR="00D371A9" w:rsidRPr="007D5055" w:rsidRDefault="00D371A9" w:rsidP="00D371A9">
            <w:pPr>
              <w:widowControl w:val="0"/>
              <w:jc w:val="both"/>
              <w:rPr>
                <w:rFonts w:ascii="Arial Narrow" w:hAnsi="Arial Narrow" w:cs="Arial"/>
                <w:b/>
                <w:snapToGrid w:val="0"/>
                <w:color w:val="000000"/>
                <w:sz w:val="20"/>
                <w:szCs w:val="18"/>
                <w:lang w:eastAsia="en-US"/>
              </w:rPr>
            </w:pPr>
            <w:r w:rsidRPr="007D5055">
              <w:rPr>
                <w:rFonts w:ascii="Arial Narrow" w:hAnsi="Arial Narrow" w:cs="Arial"/>
                <w:b/>
                <w:snapToGrid w:val="0"/>
                <w:color w:val="000000"/>
                <w:sz w:val="20"/>
                <w:szCs w:val="18"/>
                <w:lang w:eastAsia="en-US"/>
              </w:rPr>
              <w:t>Clinical remission at 52 weeks</w:t>
            </w:r>
          </w:p>
        </w:tc>
      </w:tr>
      <w:tr w:rsidR="00E82B32" w:rsidRPr="007D5055">
        <w:tc>
          <w:tcPr>
            <w:tcW w:w="818" w:type="pct"/>
            <w:shd w:val="clear" w:color="auto" w:fill="auto"/>
            <w:vAlign w:val="center"/>
          </w:tcPr>
          <w:p w:rsidR="00D371A9" w:rsidRPr="007D5055" w:rsidRDefault="00D371A9" w:rsidP="00D371A9">
            <w:pPr>
              <w:widowControl w:val="0"/>
              <w:jc w:val="both"/>
              <w:rPr>
                <w:rFonts w:ascii="Arial Narrow" w:hAnsi="Arial Narrow" w:cs="Arial"/>
                <w:snapToGrid w:val="0"/>
                <w:color w:val="000000"/>
                <w:sz w:val="20"/>
                <w:szCs w:val="18"/>
                <w:lang w:eastAsia="en-US"/>
              </w:rPr>
            </w:pPr>
            <w:r w:rsidRPr="007D5055">
              <w:rPr>
                <w:rFonts w:ascii="Arial Narrow" w:hAnsi="Arial Narrow" w:cs="Arial"/>
                <w:snapToGrid w:val="0"/>
                <w:color w:val="000000"/>
                <w:sz w:val="20"/>
                <w:szCs w:val="18"/>
                <w:lang w:eastAsia="en-US"/>
              </w:rPr>
              <w:t>ULTRA II</w:t>
            </w:r>
          </w:p>
        </w:tc>
        <w:tc>
          <w:tcPr>
            <w:tcW w:w="636" w:type="pct"/>
            <w:vAlign w:val="center"/>
          </w:tcPr>
          <w:p w:rsidR="00D371A9" w:rsidRPr="007D5055" w:rsidRDefault="00D371A9" w:rsidP="00D371A9">
            <w:pPr>
              <w:widowControl w:val="0"/>
              <w:jc w:val="center"/>
              <w:rPr>
                <w:rFonts w:ascii="Arial Narrow" w:hAnsi="Arial Narrow" w:cs="Arial"/>
                <w:snapToGrid w:val="0"/>
                <w:color w:val="000000"/>
                <w:sz w:val="20"/>
                <w:szCs w:val="18"/>
                <w:lang w:eastAsia="en-US"/>
              </w:rPr>
            </w:pPr>
            <w:r w:rsidRPr="007D5055">
              <w:rPr>
                <w:rFonts w:ascii="Arial Narrow" w:hAnsi="Arial Narrow" w:cs="Arial"/>
                <w:snapToGrid w:val="0"/>
                <w:color w:val="000000"/>
                <w:sz w:val="20"/>
                <w:szCs w:val="18"/>
                <w:lang w:eastAsia="en-US"/>
              </w:rPr>
              <w:t>43/248</w:t>
            </w:r>
          </w:p>
        </w:tc>
        <w:tc>
          <w:tcPr>
            <w:tcW w:w="636" w:type="pct"/>
            <w:vAlign w:val="center"/>
          </w:tcPr>
          <w:p w:rsidR="00D371A9" w:rsidRPr="007D5055" w:rsidRDefault="00D371A9" w:rsidP="00D371A9">
            <w:pPr>
              <w:widowControl w:val="0"/>
              <w:jc w:val="center"/>
              <w:rPr>
                <w:rFonts w:ascii="Arial Narrow" w:hAnsi="Arial Narrow" w:cs="Arial"/>
                <w:snapToGrid w:val="0"/>
                <w:color w:val="000000"/>
                <w:sz w:val="20"/>
                <w:szCs w:val="18"/>
                <w:lang w:eastAsia="en-US"/>
              </w:rPr>
            </w:pPr>
            <w:r w:rsidRPr="007D5055">
              <w:rPr>
                <w:rFonts w:ascii="Arial Narrow" w:hAnsi="Arial Narrow" w:cs="Arial"/>
                <w:snapToGrid w:val="0"/>
                <w:color w:val="000000"/>
                <w:sz w:val="20"/>
                <w:szCs w:val="18"/>
                <w:lang w:eastAsia="en-US"/>
              </w:rPr>
              <w:t>21/246</w:t>
            </w:r>
          </w:p>
        </w:tc>
        <w:tc>
          <w:tcPr>
            <w:tcW w:w="817" w:type="pct"/>
            <w:vAlign w:val="center"/>
          </w:tcPr>
          <w:p w:rsidR="00D371A9" w:rsidRPr="007D5055" w:rsidRDefault="00D371A9" w:rsidP="00D371A9">
            <w:pPr>
              <w:widowControl w:val="0"/>
              <w:jc w:val="center"/>
              <w:rPr>
                <w:rFonts w:ascii="Arial Narrow" w:hAnsi="Arial Narrow" w:cs="Arial"/>
                <w:b/>
                <w:snapToGrid w:val="0"/>
                <w:color w:val="000000"/>
                <w:sz w:val="20"/>
                <w:szCs w:val="18"/>
                <w:lang w:eastAsia="en-US"/>
              </w:rPr>
            </w:pPr>
            <w:r w:rsidRPr="007D5055">
              <w:rPr>
                <w:rFonts w:ascii="Arial Narrow" w:hAnsi="Arial Narrow" w:cs="Arial"/>
                <w:b/>
                <w:snapToGrid w:val="0"/>
                <w:color w:val="000000"/>
                <w:sz w:val="20"/>
                <w:szCs w:val="18"/>
                <w:lang w:eastAsia="en-US"/>
              </w:rPr>
              <w:t>2.0 (1.2, 3.3)</w:t>
            </w:r>
          </w:p>
        </w:tc>
        <w:tc>
          <w:tcPr>
            <w:tcW w:w="635" w:type="pct"/>
            <w:vAlign w:val="center"/>
          </w:tcPr>
          <w:p w:rsidR="00D371A9" w:rsidRPr="007D5055" w:rsidRDefault="00D371A9" w:rsidP="00D371A9">
            <w:pPr>
              <w:widowControl w:val="0"/>
              <w:jc w:val="center"/>
              <w:rPr>
                <w:rFonts w:ascii="Arial Narrow" w:hAnsi="Arial Narrow" w:cs="Arial"/>
                <w:snapToGrid w:val="0"/>
                <w:color w:val="000000"/>
                <w:sz w:val="20"/>
                <w:szCs w:val="18"/>
                <w:lang w:eastAsia="en-US"/>
              </w:rPr>
            </w:pPr>
            <w:r w:rsidRPr="007D5055">
              <w:rPr>
                <w:rFonts w:ascii="Arial Narrow" w:hAnsi="Arial Narrow" w:cs="Arial"/>
                <w:snapToGrid w:val="0"/>
                <w:color w:val="000000"/>
                <w:sz w:val="20"/>
                <w:szCs w:val="18"/>
                <w:lang w:eastAsia="en-US"/>
              </w:rPr>
              <w:t>17.3</w:t>
            </w:r>
          </w:p>
        </w:tc>
        <w:tc>
          <w:tcPr>
            <w:tcW w:w="642" w:type="pct"/>
            <w:vAlign w:val="center"/>
          </w:tcPr>
          <w:p w:rsidR="00D371A9" w:rsidRPr="007D5055" w:rsidRDefault="00D371A9" w:rsidP="00D371A9">
            <w:pPr>
              <w:widowControl w:val="0"/>
              <w:jc w:val="center"/>
              <w:rPr>
                <w:rFonts w:ascii="Arial Narrow" w:hAnsi="Arial Narrow" w:cs="Arial"/>
                <w:snapToGrid w:val="0"/>
                <w:color w:val="000000"/>
                <w:sz w:val="20"/>
                <w:szCs w:val="18"/>
                <w:lang w:eastAsia="en-US"/>
              </w:rPr>
            </w:pPr>
            <w:r w:rsidRPr="007D5055">
              <w:rPr>
                <w:rFonts w:ascii="Arial Narrow" w:hAnsi="Arial Narrow" w:cs="Arial"/>
                <w:snapToGrid w:val="0"/>
                <w:color w:val="000000"/>
                <w:sz w:val="20"/>
                <w:szCs w:val="18"/>
                <w:lang w:eastAsia="en-US"/>
              </w:rPr>
              <w:t>8.5</w:t>
            </w:r>
          </w:p>
        </w:tc>
        <w:tc>
          <w:tcPr>
            <w:tcW w:w="816" w:type="pct"/>
            <w:vAlign w:val="center"/>
          </w:tcPr>
          <w:p w:rsidR="00D371A9" w:rsidRPr="007D5055" w:rsidRDefault="00D371A9" w:rsidP="00D371A9">
            <w:pPr>
              <w:widowControl w:val="0"/>
              <w:jc w:val="center"/>
              <w:rPr>
                <w:rFonts w:ascii="Arial Narrow" w:hAnsi="Arial Narrow" w:cs="Arial"/>
                <w:b/>
                <w:snapToGrid w:val="0"/>
                <w:color w:val="000000"/>
                <w:sz w:val="20"/>
                <w:szCs w:val="18"/>
                <w:lang w:eastAsia="en-US"/>
              </w:rPr>
            </w:pPr>
            <w:r w:rsidRPr="007D5055">
              <w:rPr>
                <w:rFonts w:ascii="Arial Narrow" w:hAnsi="Arial Narrow" w:cs="Arial"/>
                <w:b/>
                <w:snapToGrid w:val="0"/>
                <w:color w:val="000000"/>
                <w:sz w:val="20"/>
                <w:szCs w:val="18"/>
                <w:lang w:eastAsia="en-US"/>
              </w:rPr>
              <w:t>0.09 (0.03, 0.15)</w:t>
            </w:r>
          </w:p>
        </w:tc>
      </w:tr>
      <w:tr w:rsidR="00D371A9" w:rsidRPr="007D5055">
        <w:tc>
          <w:tcPr>
            <w:tcW w:w="5000" w:type="pct"/>
            <w:gridSpan w:val="7"/>
            <w:tcBorders>
              <w:bottom w:val="single" w:sz="4" w:space="0" w:color="auto"/>
            </w:tcBorders>
            <w:shd w:val="clear" w:color="auto" w:fill="auto"/>
            <w:vAlign w:val="center"/>
          </w:tcPr>
          <w:p w:rsidR="00D371A9" w:rsidRPr="007D5055" w:rsidRDefault="00D371A9" w:rsidP="00D371A9">
            <w:pPr>
              <w:widowControl w:val="0"/>
              <w:jc w:val="both"/>
              <w:rPr>
                <w:rFonts w:ascii="Arial Narrow" w:hAnsi="Arial Narrow" w:cs="Arial"/>
                <w:b/>
                <w:snapToGrid w:val="0"/>
                <w:color w:val="000000"/>
                <w:sz w:val="20"/>
                <w:szCs w:val="18"/>
                <w:lang w:eastAsia="en-US"/>
              </w:rPr>
            </w:pPr>
            <w:r w:rsidRPr="007D5055">
              <w:rPr>
                <w:rFonts w:ascii="Arial Narrow" w:hAnsi="Arial Narrow" w:cs="Arial"/>
                <w:b/>
                <w:snapToGrid w:val="0"/>
                <w:color w:val="000000"/>
                <w:sz w:val="20"/>
                <w:szCs w:val="18"/>
                <w:lang w:eastAsia="en-US"/>
              </w:rPr>
              <w:t>Clinical response at 52 weeks</w:t>
            </w:r>
          </w:p>
        </w:tc>
      </w:tr>
      <w:tr w:rsidR="00E82B32" w:rsidRPr="007D5055">
        <w:tc>
          <w:tcPr>
            <w:tcW w:w="818" w:type="pct"/>
            <w:tcBorders>
              <w:bottom w:val="single" w:sz="4" w:space="0" w:color="auto"/>
            </w:tcBorders>
            <w:shd w:val="clear" w:color="auto" w:fill="auto"/>
            <w:vAlign w:val="center"/>
          </w:tcPr>
          <w:p w:rsidR="00D371A9" w:rsidRPr="007D5055" w:rsidRDefault="00D371A9" w:rsidP="00D371A9">
            <w:pPr>
              <w:widowControl w:val="0"/>
              <w:jc w:val="both"/>
              <w:rPr>
                <w:rFonts w:ascii="Arial Narrow" w:hAnsi="Arial Narrow" w:cs="Arial"/>
                <w:snapToGrid w:val="0"/>
                <w:color w:val="000000"/>
                <w:sz w:val="20"/>
                <w:szCs w:val="18"/>
                <w:lang w:eastAsia="en-US"/>
              </w:rPr>
            </w:pPr>
            <w:r w:rsidRPr="007D5055">
              <w:rPr>
                <w:rFonts w:ascii="Arial Narrow" w:hAnsi="Arial Narrow" w:cs="Arial"/>
                <w:snapToGrid w:val="0"/>
                <w:color w:val="000000"/>
                <w:sz w:val="20"/>
                <w:szCs w:val="18"/>
                <w:lang w:eastAsia="en-US"/>
              </w:rPr>
              <w:t>ULTRA II</w:t>
            </w:r>
          </w:p>
        </w:tc>
        <w:tc>
          <w:tcPr>
            <w:tcW w:w="636" w:type="pct"/>
            <w:tcBorders>
              <w:bottom w:val="single" w:sz="4" w:space="0" w:color="auto"/>
            </w:tcBorders>
            <w:vAlign w:val="center"/>
          </w:tcPr>
          <w:p w:rsidR="00D371A9" w:rsidRPr="007D5055" w:rsidRDefault="00D371A9" w:rsidP="00D371A9">
            <w:pPr>
              <w:widowControl w:val="0"/>
              <w:jc w:val="center"/>
              <w:rPr>
                <w:rFonts w:ascii="Arial Narrow" w:hAnsi="Arial Narrow" w:cs="Arial"/>
                <w:snapToGrid w:val="0"/>
                <w:color w:val="000000"/>
                <w:sz w:val="20"/>
                <w:szCs w:val="18"/>
                <w:lang w:eastAsia="en-US"/>
              </w:rPr>
            </w:pPr>
            <w:r w:rsidRPr="007D5055">
              <w:rPr>
                <w:rFonts w:ascii="Arial Narrow" w:hAnsi="Arial Narrow" w:cs="Arial"/>
                <w:snapToGrid w:val="0"/>
                <w:color w:val="000000"/>
                <w:sz w:val="20"/>
                <w:szCs w:val="18"/>
                <w:lang w:eastAsia="en-US"/>
              </w:rPr>
              <w:t>75/248</w:t>
            </w:r>
          </w:p>
        </w:tc>
        <w:tc>
          <w:tcPr>
            <w:tcW w:w="636" w:type="pct"/>
            <w:tcBorders>
              <w:bottom w:val="single" w:sz="4" w:space="0" w:color="auto"/>
            </w:tcBorders>
            <w:vAlign w:val="center"/>
          </w:tcPr>
          <w:p w:rsidR="00D371A9" w:rsidRPr="007D5055" w:rsidRDefault="00D371A9" w:rsidP="00D371A9">
            <w:pPr>
              <w:widowControl w:val="0"/>
              <w:jc w:val="center"/>
              <w:rPr>
                <w:rFonts w:ascii="Arial Narrow" w:hAnsi="Arial Narrow" w:cs="Arial"/>
                <w:snapToGrid w:val="0"/>
                <w:color w:val="000000"/>
                <w:sz w:val="20"/>
                <w:szCs w:val="18"/>
                <w:lang w:eastAsia="en-US"/>
              </w:rPr>
            </w:pPr>
            <w:r w:rsidRPr="007D5055">
              <w:rPr>
                <w:rFonts w:ascii="Arial Narrow" w:hAnsi="Arial Narrow" w:cs="Arial"/>
                <w:snapToGrid w:val="0"/>
                <w:color w:val="000000"/>
                <w:sz w:val="20"/>
                <w:szCs w:val="18"/>
                <w:lang w:eastAsia="en-US"/>
              </w:rPr>
              <w:t>45/246</w:t>
            </w:r>
          </w:p>
        </w:tc>
        <w:tc>
          <w:tcPr>
            <w:tcW w:w="817" w:type="pct"/>
            <w:tcBorders>
              <w:bottom w:val="single" w:sz="4" w:space="0" w:color="auto"/>
            </w:tcBorders>
            <w:vAlign w:val="center"/>
          </w:tcPr>
          <w:p w:rsidR="00D371A9" w:rsidRPr="007D5055" w:rsidRDefault="00D371A9" w:rsidP="00D371A9">
            <w:pPr>
              <w:widowControl w:val="0"/>
              <w:jc w:val="center"/>
              <w:rPr>
                <w:rFonts w:ascii="Arial Narrow" w:hAnsi="Arial Narrow" w:cs="Arial"/>
                <w:b/>
                <w:snapToGrid w:val="0"/>
                <w:color w:val="000000"/>
                <w:sz w:val="20"/>
                <w:szCs w:val="18"/>
                <w:lang w:eastAsia="en-US"/>
              </w:rPr>
            </w:pPr>
            <w:r w:rsidRPr="007D5055">
              <w:rPr>
                <w:rFonts w:ascii="Arial Narrow" w:hAnsi="Arial Narrow" w:cs="Arial"/>
                <w:b/>
                <w:snapToGrid w:val="0"/>
                <w:color w:val="000000"/>
                <w:sz w:val="20"/>
                <w:szCs w:val="18"/>
                <w:lang w:eastAsia="en-US"/>
              </w:rPr>
              <w:t>1.7 (1.2, 2.3)</w:t>
            </w:r>
          </w:p>
        </w:tc>
        <w:tc>
          <w:tcPr>
            <w:tcW w:w="635" w:type="pct"/>
            <w:tcBorders>
              <w:bottom w:val="single" w:sz="4" w:space="0" w:color="auto"/>
            </w:tcBorders>
            <w:vAlign w:val="center"/>
          </w:tcPr>
          <w:p w:rsidR="00D371A9" w:rsidRPr="007D5055" w:rsidRDefault="00D371A9" w:rsidP="00D371A9">
            <w:pPr>
              <w:widowControl w:val="0"/>
              <w:jc w:val="center"/>
              <w:rPr>
                <w:rFonts w:ascii="Arial Narrow" w:hAnsi="Arial Narrow" w:cs="Arial"/>
                <w:snapToGrid w:val="0"/>
                <w:color w:val="000000"/>
                <w:sz w:val="20"/>
                <w:szCs w:val="18"/>
                <w:lang w:eastAsia="en-US"/>
              </w:rPr>
            </w:pPr>
            <w:r w:rsidRPr="007D5055">
              <w:rPr>
                <w:rFonts w:ascii="Arial Narrow" w:hAnsi="Arial Narrow" w:cs="Arial"/>
                <w:snapToGrid w:val="0"/>
                <w:color w:val="000000"/>
                <w:sz w:val="20"/>
                <w:szCs w:val="18"/>
                <w:lang w:eastAsia="en-US"/>
              </w:rPr>
              <w:t>30.2</w:t>
            </w:r>
          </w:p>
        </w:tc>
        <w:tc>
          <w:tcPr>
            <w:tcW w:w="642" w:type="pct"/>
            <w:tcBorders>
              <w:bottom w:val="single" w:sz="4" w:space="0" w:color="auto"/>
            </w:tcBorders>
            <w:vAlign w:val="center"/>
          </w:tcPr>
          <w:p w:rsidR="00D371A9" w:rsidRPr="007D5055" w:rsidRDefault="00D371A9" w:rsidP="00D371A9">
            <w:pPr>
              <w:widowControl w:val="0"/>
              <w:jc w:val="center"/>
              <w:rPr>
                <w:rFonts w:ascii="Arial Narrow" w:hAnsi="Arial Narrow" w:cs="Arial"/>
                <w:snapToGrid w:val="0"/>
                <w:color w:val="000000"/>
                <w:sz w:val="20"/>
                <w:szCs w:val="18"/>
                <w:lang w:eastAsia="en-US"/>
              </w:rPr>
            </w:pPr>
            <w:r w:rsidRPr="007D5055">
              <w:rPr>
                <w:rFonts w:ascii="Arial Narrow" w:hAnsi="Arial Narrow" w:cs="Arial"/>
                <w:snapToGrid w:val="0"/>
                <w:color w:val="000000"/>
                <w:sz w:val="20"/>
                <w:szCs w:val="18"/>
                <w:lang w:eastAsia="en-US"/>
              </w:rPr>
              <w:t>18.3</w:t>
            </w:r>
          </w:p>
        </w:tc>
        <w:tc>
          <w:tcPr>
            <w:tcW w:w="816" w:type="pct"/>
            <w:tcBorders>
              <w:bottom w:val="single" w:sz="4" w:space="0" w:color="auto"/>
            </w:tcBorders>
            <w:vAlign w:val="center"/>
          </w:tcPr>
          <w:p w:rsidR="00D371A9" w:rsidRPr="007D5055" w:rsidRDefault="00D371A9" w:rsidP="00D371A9">
            <w:pPr>
              <w:widowControl w:val="0"/>
              <w:jc w:val="center"/>
              <w:rPr>
                <w:rFonts w:ascii="Arial Narrow" w:hAnsi="Arial Narrow" w:cs="Arial"/>
                <w:b/>
                <w:snapToGrid w:val="0"/>
                <w:color w:val="000000"/>
                <w:sz w:val="20"/>
                <w:szCs w:val="18"/>
                <w:lang w:eastAsia="en-US"/>
              </w:rPr>
            </w:pPr>
            <w:r w:rsidRPr="007D5055">
              <w:rPr>
                <w:rFonts w:ascii="Arial Narrow" w:hAnsi="Arial Narrow" w:cs="Arial"/>
                <w:b/>
                <w:snapToGrid w:val="0"/>
                <w:color w:val="000000"/>
                <w:sz w:val="20"/>
                <w:szCs w:val="18"/>
                <w:lang w:eastAsia="en-US"/>
              </w:rPr>
              <w:t>0.12 (0.05, 0.19)</w:t>
            </w:r>
          </w:p>
        </w:tc>
      </w:tr>
      <w:tr w:rsidR="00D371A9" w:rsidRPr="007D5055">
        <w:tc>
          <w:tcPr>
            <w:tcW w:w="5000" w:type="pct"/>
            <w:gridSpan w:val="7"/>
            <w:tcBorders>
              <w:top w:val="single" w:sz="4" w:space="0" w:color="auto"/>
            </w:tcBorders>
            <w:shd w:val="clear" w:color="auto" w:fill="auto"/>
            <w:vAlign w:val="center"/>
          </w:tcPr>
          <w:p w:rsidR="00D371A9" w:rsidRPr="007D5055" w:rsidRDefault="00D371A9" w:rsidP="00D371A9">
            <w:pPr>
              <w:widowControl w:val="0"/>
              <w:jc w:val="both"/>
              <w:rPr>
                <w:rFonts w:ascii="Arial Narrow" w:hAnsi="Arial Narrow" w:cs="Arial"/>
                <w:b/>
                <w:snapToGrid w:val="0"/>
                <w:color w:val="000000"/>
                <w:sz w:val="20"/>
                <w:szCs w:val="18"/>
                <w:lang w:eastAsia="en-US"/>
              </w:rPr>
            </w:pPr>
            <w:r w:rsidRPr="007D5055">
              <w:rPr>
                <w:rFonts w:ascii="Arial Narrow" w:hAnsi="Arial Narrow" w:cs="Arial"/>
                <w:b/>
                <w:snapToGrid w:val="0"/>
                <w:color w:val="000000"/>
                <w:sz w:val="20"/>
                <w:szCs w:val="18"/>
                <w:lang w:eastAsia="en-US"/>
              </w:rPr>
              <w:t>HARMS</w:t>
            </w:r>
          </w:p>
        </w:tc>
      </w:tr>
      <w:tr w:rsidR="00D371A9" w:rsidRPr="007D5055">
        <w:tc>
          <w:tcPr>
            <w:tcW w:w="5000" w:type="pct"/>
            <w:gridSpan w:val="7"/>
            <w:shd w:val="clear" w:color="auto" w:fill="auto"/>
            <w:vAlign w:val="center"/>
          </w:tcPr>
          <w:p w:rsidR="00D371A9" w:rsidRPr="007D5055" w:rsidRDefault="00D371A9" w:rsidP="00D371A9">
            <w:pPr>
              <w:widowControl w:val="0"/>
              <w:jc w:val="both"/>
              <w:rPr>
                <w:rFonts w:ascii="Arial Narrow" w:hAnsi="Arial Narrow" w:cs="Arial"/>
                <w:b/>
                <w:snapToGrid w:val="0"/>
                <w:color w:val="000000"/>
                <w:sz w:val="20"/>
                <w:szCs w:val="18"/>
                <w:lang w:eastAsia="en-US"/>
              </w:rPr>
            </w:pPr>
            <w:r w:rsidRPr="007D5055">
              <w:rPr>
                <w:rFonts w:ascii="Arial Narrow" w:hAnsi="Arial Narrow" w:cs="Arial"/>
                <w:b/>
                <w:snapToGrid w:val="0"/>
                <w:color w:val="000000"/>
                <w:sz w:val="20"/>
                <w:szCs w:val="18"/>
                <w:lang w:eastAsia="en-US"/>
              </w:rPr>
              <w:t>Iron deficiency anaemia</w:t>
            </w:r>
          </w:p>
        </w:tc>
      </w:tr>
      <w:tr w:rsidR="00E82B32" w:rsidRPr="007D5055">
        <w:tc>
          <w:tcPr>
            <w:tcW w:w="818" w:type="pct"/>
            <w:shd w:val="clear" w:color="auto" w:fill="auto"/>
            <w:vAlign w:val="center"/>
          </w:tcPr>
          <w:p w:rsidR="00D371A9" w:rsidRPr="007D5055" w:rsidRDefault="00D371A9" w:rsidP="00D371A9">
            <w:pPr>
              <w:widowControl w:val="0"/>
              <w:jc w:val="both"/>
              <w:rPr>
                <w:rFonts w:ascii="Arial Narrow" w:hAnsi="Arial Narrow" w:cs="Arial"/>
                <w:snapToGrid w:val="0"/>
                <w:color w:val="000000"/>
                <w:sz w:val="20"/>
                <w:szCs w:val="18"/>
                <w:lang w:eastAsia="en-US"/>
              </w:rPr>
            </w:pPr>
            <w:r w:rsidRPr="007D5055">
              <w:rPr>
                <w:rFonts w:ascii="Arial Narrow" w:hAnsi="Arial Narrow" w:cs="Arial"/>
                <w:snapToGrid w:val="0"/>
                <w:color w:val="000000"/>
                <w:sz w:val="20"/>
                <w:szCs w:val="18"/>
                <w:lang w:eastAsia="en-US"/>
              </w:rPr>
              <w:t>ULTRA II</w:t>
            </w:r>
          </w:p>
        </w:tc>
        <w:tc>
          <w:tcPr>
            <w:tcW w:w="636" w:type="pct"/>
            <w:vAlign w:val="center"/>
          </w:tcPr>
          <w:p w:rsidR="00D371A9" w:rsidRPr="007D5055" w:rsidRDefault="00D371A9" w:rsidP="00D371A9">
            <w:pPr>
              <w:widowControl w:val="0"/>
              <w:jc w:val="center"/>
              <w:rPr>
                <w:rFonts w:ascii="Arial Narrow" w:hAnsi="Arial Narrow" w:cs="Arial"/>
                <w:snapToGrid w:val="0"/>
                <w:color w:val="000000"/>
                <w:sz w:val="20"/>
                <w:szCs w:val="18"/>
                <w:lang w:eastAsia="en-US"/>
              </w:rPr>
            </w:pPr>
            <w:r w:rsidRPr="007D5055">
              <w:rPr>
                <w:rFonts w:ascii="Arial Narrow" w:hAnsi="Arial Narrow" w:cs="Arial"/>
                <w:snapToGrid w:val="0"/>
                <w:color w:val="000000"/>
                <w:sz w:val="20"/>
                <w:szCs w:val="18"/>
                <w:lang w:eastAsia="en-US"/>
              </w:rPr>
              <w:t>7/257</w:t>
            </w:r>
          </w:p>
        </w:tc>
        <w:tc>
          <w:tcPr>
            <w:tcW w:w="636" w:type="pct"/>
            <w:vAlign w:val="center"/>
          </w:tcPr>
          <w:p w:rsidR="00D371A9" w:rsidRPr="007D5055" w:rsidRDefault="00D371A9" w:rsidP="00D371A9">
            <w:pPr>
              <w:widowControl w:val="0"/>
              <w:jc w:val="center"/>
              <w:rPr>
                <w:rFonts w:ascii="Arial Narrow" w:hAnsi="Arial Narrow" w:cs="Arial"/>
                <w:snapToGrid w:val="0"/>
                <w:color w:val="000000"/>
                <w:sz w:val="20"/>
                <w:szCs w:val="18"/>
                <w:lang w:eastAsia="en-US"/>
              </w:rPr>
            </w:pPr>
            <w:r w:rsidRPr="007D5055">
              <w:rPr>
                <w:rFonts w:ascii="Arial Narrow" w:hAnsi="Arial Narrow" w:cs="Arial"/>
                <w:snapToGrid w:val="0"/>
                <w:color w:val="000000"/>
                <w:sz w:val="20"/>
                <w:szCs w:val="18"/>
                <w:lang w:eastAsia="en-US"/>
              </w:rPr>
              <w:t>1/260</w:t>
            </w:r>
          </w:p>
        </w:tc>
        <w:tc>
          <w:tcPr>
            <w:tcW w:w="817" w:type="pct"/>
            <w:vAlign w:val="center"/>
          </w:tcPr>
          <w:p w:rsidR="00D371A9" w:rsidRPr="007D5055" w:rsidRDefault="00D371A9" w:rsidP="00D371A9">
            <w:pPr>
              <w:widowControl w:val="0"/>
              <w:jc w:val="center"/>
              <w:rPr>
                <w:rFonts w:ascii="Arial Narrow" w:hAnsi="Arial Narrow" w:cs="Arial"/>
                <w:snapToGrid w:val="0"/>
                <w:color w:val="000000"/>
                <w:sz w:val="20"/>
                <w:szCs w:val="18"/>
                <w:lang w:eastAsia="en-US"/>
              </w:rPr>
            </w:pPr>
            <w:r w:rsidRPr="007D5055">
              <w:rPr>
                <w:rFonts w:ascii="Arial Narrow" w:hAnsi="Arial Narrow" w:cs="Arial"/>
                <w:snapToGrid w:val="0"/>
                <w:color w:val="000000"/>
                <w:sz w:val="20"/>
                <w:szCs w:val="18"/>
                <w:lang w:eastAsia="en-US"/>
              </w:rPr>
              <w:t>7.1 (0.9, 57.2)</w:t>
            </w:r>
          </w:p>
        </w:tc>
        <w:tc>
          <w:tcPr>
            <w:tcW w:w="635" w:type="pct"/>
            <w:vAlign w:val="center"/>
          </w:tcPr>
          <w:p w:rsidR="00D371A9" w:rsidRPr="007D5055" w:rsidRDefault="00D371A9" w:rsidP="00D371A9">
            <w:pPr>
              <w:widowControl w:val="0"/>
              <w:jc w:val="center"/>
              <w:rPr>
                <w:rFonts w:ascii="Arial Narrow" w:hAnsi="Arial Narrow" w:cs="Arial"/>
                <w:snapToGrid w:val="0"/>
                <w:color w:val="000000"/>
                <w:sz w:val="20"/>
                <w:szCs w:val="18"/>
                <w:lang w:eastAsia="en-US"/>
              </w:rPr>
            </w:pPr>
            <w:r w:rsidRPr="007D5055">
              <w:rPr>
                <w:rFonts w:ascii="Arial Narrow" w:hAnsi="Arial Narrow" w:cs="Arial"/>
                <w:snapToGrid w:val="0"/>
                <w:color w:val="000000"/>
                <w:sz w:val="20"/>
                <w:szCs w:val="18"/>
                <w:lang w:eastAsia="en-US"/>
              </w:rPr>
              <w:t>2.7</w:t>
            </w:r>
          </w:p>
        </w:tc>
        <w:tc>
          <w:tcPr>
            <w:tcW w:w="642" w:type="pct"/>
            <w:vAlign w:val="center"/>
          </w:tcPr>
          <w:p w:rsidR="00D371A9" w:rsidRPr="007D5055" w:rsidRDefault="00D371A9" w:rsidP="00D371A9">
            <w:pPr>
              <w:widowControl w:val="0"/>
              <w:jc w:val="center"/>
              <w:rPr>
                <w:rFonts w:ascii="Arial Narrow" w:hAnsi="Arial Narrow" w:cs="Arial"/>
                <w:snapToGrid w:val="0"/>
                <w:color w:val="000000"/>
                <w:sz w:val="20"/>
                <w:szCs w:val="18"/>
                <w:lang w:eastAsia="en-US"/>
              </w:rPr>
            </w:pPr>
            <w:r w:rsidRPr="007D5055">
              <w:rPr>
                <w:rFonts w:ascii="Arial Narrow" w:hAnsi="Arial Narrow" w:cs="Arial"/>
                <w:snapToGrid w:val="0"/>
                <w:color w:val="000000"/>
                <w:sz w:val="20"/>
                <w:szCs w:val="18"/>
                <w:lang w:eastAsia="en-US"/>
              </w:rPr>
              <w:t>0.4</w:t>
            </w:r>
          </w:p>
        </w:tc>
        <w:tc>
          <w:tcPr>
            <w:tcW w:w="816" w:type="pct"/>
            <w:vAlign w:val="center"/>
          </w:tcPr>
          <w:p w:rsidR="00D371A9" w:rsidRPr="007D5055" w:rsidRDefault="00D371A9" w:rsidP="00D371A9">
            <w:pPr>
              <w:widowControl w:val="0"/>
              <w:jc w:val="center"/>
              <w:rPr>
                <w:rFonts w:ascii="Arial Narrow" w:hAnsi="Arial Narrow" w:cs="Arial"/>
                <w:snapToGrid w:val="0"/>
                <w:color w:val="000000"/>
                <w:sz w:val="20"/>
                <w:szCs w:val="18"/>
                <w:lang w:eastAsia="en-US"/>
              </w:rPr>
            </w:pPr>
            <w:r w:rsidRPr="007D5055">
              <w:rPr>
                <w:rFonts w:ascii="Arial Narrow" w:hAnsi="Arial Narrow" w:cs="Arial"/>
                <w:snapToGrid w:val="0"/>
                <w:color w:val="000000"/>
                <w:sz w:val="20"/>
                <w:szCs w:val="18"/>
                <w:lang w:eastAsia="en-US"/>
              </w:rPr>
              <w:t>0.02 (0.00, 0.5)</w:t>
            </w:r>
          </w:p>
        </w:tc>
      </w:tr>
      <w:tr w:rsidR="00D371A9" w:rsidRPr="007D5055">
        <w:tc>
          <w:tcPr>
            <w:tcW w:w="5000" w:type="pct"/>
            <w:gridSpan w:val="7"/>
            <w:shd w:val="clear" w:color="auto" w:fill="auto"/>
            <w:vAlign w:val="center"/>
          </w:tcPr>
          <w:p w:rsidR="00D371A9" w:rsidRPr="007D5055" w:rsidRDefault="00D371A9" w:rsidP="00D371A9">
            <w:pPr>
              <w:widowControl w:val="0"/>
              <w:jc w:val="both"/>
              <w:rPr>
                <w:rFonts w:ascii="Arial Narrow" w:hAnsi="Arial Narrow" w:cs="Arial"/>
                <w:b/>
                <w:snapToGrid w:val="0"/>
                <w:color w:val="000000"/>
                <w:sz w:val="20"/>
                <w:szCs w:val="18"/>
                <w:lang w:eastAsia="en-US"/>
              </w:rPr>
            </w:pPr>
            <w:r w:rsidRPr="007D5055">
              <w:rPr>
                <w:rFonts w:ascii="Arial Narrow" w:hAnsi="Arial Narrow" w:cs="Arial"/>
                <w:b/>
                <w:snapToGrid w:val="0"/>
                <w:color w:val="000000"/>
                <w:sz w:val="20"/>
                <w:szCs w:val="18"/>
                <w:lang w:eastAsia="en-US"/>
              </w:rPr>
              <w:t>Gastroenteritis</w:t>
            </w:r>
          </w:p>
        </w:tc>
      </w:tr>
      <w:tr w:rsidR="00E82B32" w:rsidRPr="007D5055">
        <w:tc>
          <w:tcPr>
            <w:tcW w:w="818" w:type="pct"/>
            <w:shd w:val="clear" w:color="auto" w:fill="auto"/>
            <w:vAlign w:val="center"/>
          </w:tcPr>
          <w:p w:rsidR="00D371A9" w:rsidRPr="007D5055" w:rsidRDefault="00D371A9" w:rsidP="00D371A9">
            <w:pPr>
              <w:widowControl w:val="0"/>
              <w:jc w:val="both"/>
              <w:rPr>
                <w:rFonts w:ascii="Arial Narrow" w:hAnsi="Arial Narrow" w:cs="Arial"/>
                <w:snapToGrid w:val="0"/>
                <w:color w:val="000000"/>
                <w:sz w:val="20"/>
                <w:szCs w:val="18"/>
                <w:lang w:eastAsia="en-US"/>
              </w:rPr>
            </w:pPr>
            <w:r w:rsidRPr="007D5055">
              <w:rPr>
                <w:rFonts w:ascii="Arial Narrow" w:hAnsi="Arial Narrow" w:cs="Arial"/>
                <w:snapToGrid w:val="0"/>
                <w:color w:val="000000"/>
                <w:sz w:val="20"/>
                <w:szCs w:val="18"/>
                <w:lang w:eastAsia="en-US"/>
              </w:rPr>
              <w:t>ULTRA II</w:t>
            </w:r>
          </w:p>
        </w:tc>
        <w:tc>
          <w:tcPr>
            <w:tcW w:w="636" w:type="pct"/>
            <w:vAlign w:val="center"/>
          </w:tcPr>
          <w:p w:rsidR="00D371A9" w:rsidRPr="007D5055" w:rsidRDefault="00D371A9" w:rsidP="00D371A9">
            <w:pPr>
              <w:widowControl w:val="0"/>
              <w:jc w:val="center"/>
              <w:rPr>
                <w:rFonts w:ascii="Arial Narrow" w:hAnsi="Arial Narrow" w:cs="Arial"/>
                <w:snapToGrid w:val="0"/>
                <w:color w:val="000000"/>
                <w:sz w:val="20"/>
                <w:szCs w:val="18"/>
                <w:lang w:eastAsia="en-US"/>
              </w:rPr>
            </w:pPr>
            <w:r w:rsidRPr="007D5055">
              <w:rPr>
                <w:rFonts w:ascii="Arial Narrow" w:hAnsi="Arial Narrow" w:cs="Arial"/>
                <w:snapToGrid w:val="0"/>
                <w:color w:val="000000"/>
                <w:sz w:val="20"/>
                <w:szCs w:val="18"/>
                <w:lang w:eastAsia="en-US"/>
              </w:rPr>
              <w:t>9/257</w:t>
            </w:r>
          </w:p>
        </w:tc>
        <w:tc>
          <w:tcPr>
            <w:tcW w:w="636" w:type="pct"/>
            <w:vAlign w:val="center"/>
          </w:tcPr>
          <w:p w:rsidR="00D371A9" w:rsidRPr="007D5055" w:rsidRDefault="00D371A9" w:rsidP="00D371A9">
            <w:pPr>
              <w:widowControl w:val="0"/>
              <w:jc w:val="center"/>
              <w:rPr>
                <w:rFonts w:ascii="Arial Narrow" w:hAnsi="Arial Narrow" w:cs="Arial"/>
                <w:snapToGrid w:val="0"/>
                <w:color w:val="000000"/>
                <w:sz w:val="20"/>
                <w:szCs w:val="18"/>
                <w:lang w:eastAsia="en-US"/>
              </w:rPr>
            </w:pPr>
            <w:r w:rsidRPr="007D5055">
              <w:rPr>
                <w:rFonts w:ascii="Arial Narrow" w:hAnsi="Arial Narrow" w:cs="Arial"/>
                <w:snapToGrid w:val="0"/>
                <w:color w:val="000000"/>
                <w:sz w:val="20"/>
                <w:szCs w:val="18"/>
                <w:lang w:eastAsia="en-US"/>
              </w:rPr>
              <w:t>2/260</w:t>
            </w:r>
          </w:p>
        </w:tc>
        <w:tc>
          <w:tcPr>
            <w:tcW w:w="817" w:type="pct"/>
            <w:vAlign w:val="center"/>
          </w:tcPr>
          <w:p w:rsidR="00D371A9" w:rsidRPr="007D5055" w:rsidRDefault="00D371A9" w:rsidP="00D371A9">
            <w:pPr>
              <w:widowControl w:val="0"/>
              <w:jc w:val="center"/>
              <w:rPr>
                <w:rFonts w:ascii="Arial Narrow" w:hAnsi="Arial Narrow" w:cs="Arial"/>
                <w:snapToGrid w:val="0"/>
                <w:color w:val="000000"/>
                <w:sz w:val="20"/>
                <w:szCs w:val="18"/>
                <w:lang w:eastAsia="en-US"/>
              </w:rPr>
            </w:pPr>
            <w:r w:rsidRPr="007D5055">
              <w:rPr>
                <w:rFonts w:ascii="Arial Narrow" w:hAnsi="Arial Narrow" w:cs="Arial"/>
                <w:snapToGrid w:val="0"/>
                <w:color w:val="000000"/>
                <w:sz w:val="20"/>
                <w:szCs w:val="18"/>
                <w:lang w:eastAsia="en-US"/>
              </w:rPr>
              <w:t>4.6 (1.0, 20.9)</w:t>
            </w:r>
          </w:p>
        </w:tc>
        <w:tc>
          <w:tcPr>
            <w:tcW w:w="635" w:type="pct"/>
            <w:vAlign w:val="center"/>
          </w:tcPr>
          <w:p w:rsidR="00D371A9" w:rsidRPr="007D5055" w:rsidRDefault="00D371A9" w:rsidP="00D371A9">
            <w:pPr>
              <w:widowControl w:val="0"/>
              <w:jc w:val="center"/>
              <w:rPr>
                <w:rFonts w:ascii="Arial Narrow" w:hAnsi="Arial Narrow" w:cs="Arial"/>
                <w:snapToGrid w:val="0"/>
                <w:color w:val="000000"/>
                <w:sz w:val="20"/>
                <w:szCs w:val="18"/>
                <w:lang w:eastAsia="en-US"/>
              </w:rPr>
            </w:pPr>
            <w:r w:rsidRPr="007D5055">
              <w:rPr>
                <w:rFonts w:ascii="Arial Narrow" w:hAnsi="Arial Narrow" w:cs="Arial"/>
                <w:snapToGrid w:val="0"/>
                <w:color w:val="000000"/>
                <w:sz w:val="20"/>
                <w:szCs w:val="18"/>
                <w:lang w:eastAsia="en-US"/>
              </w:rPr>
              <w:t>3.5</w:t>
            </w:r>
          </w:p>
        </w:tc>
        <w:tc>
          <w:tcPr>
            <w:tcW w:w="642" w:type="pct"/>
            <w:vAlign w:val="center"/>
          </w:tcPr>
          <w:p w:rsidR="00D371A9" w:rsidRPr="007D5055" w:rsidRDefault="00D371A9" w:rsidP="00D371A9">
            <w:pPr>
              <w:widowControl w:val="0"/>
              <w:jc w:val="center"/>
              <w:rPr>
                <w:rFonts w:ascii="Arial Narrow" w:hAnsi="Arial Narrow" w:cs="Arial"/>
                <w:snapToGrid w:val="0"/>
                <w:color w:val="000000"/>
                <w:sz w:val="20"/>
                <w:szCs w:val="18"/>
                <w:lang w:eastAsia="en-US"/>
              </w:rPr>
            </w:pPr>
            <w:r w:rsidRPr="007D5055">
              <w:rPr>
                <w:rFonts w:ascii="Arial Narrow" w:hAnsi="Arial Narrow" w:cs="Arial"/>
                <w:snapToGrid w:val="0"/>
                <w:color w:val="000000"/>
                <w:sz w:val="20"/>
                <w:szCs w:val="18"/>
                <w:lang w:eastAsia="en-US"/>
              </w:rPr>
              <w:t>0.8</w:t>
            </w:r>
          </w:p>
        </w:tc>
        <w:tc>
          <w:tcPr>
            <w:tcW w:w="816" w:type="pct"/>
            <w:vAlign w:val="center"/>
          </w:tcPr>
          <w:p w:rsidR="00D371A9" w:rsidRPr="007D5055" w:rsidRDefault="00D371A9" w:rsidP="00D371A9">
            <w:pPr>
              <w:widowControl w:val="0"/>
              <w:jc w:val="center"/>
              <w:rPr>
                <w:rFonts w:ascii="Arial Narrow" w:hAnsi="Arial Narrow" w:cs="Arial"/>
                <w:snapToGrid w:val="0"/>
                <w:color w:val="000000"/>
                <w:sz w:val="20"/>
                <w:szCs w:val="18"/>
                <w:lang w:eastAsia="en-US"/>
              </w:rPr>
            </w:pPr>
            <w:r w:rsidRPr="007D5055">
              <w:rPr>
                <w:rFonts w:ascii="Arial Narrow" w:hAnsi="Arial Narrow" w:cs="Arial"/>
                <w:snapToGrid w:val="0"/>
                <w:color w:val="000000"/>
                <w:sz w:val="20"/>
                <w:szCs w:val="18"/>
                <w:lang w:eastAsia="en-US"/>
              </w:rPr>
              <w:t>0.03 (0.00, 0.05)</w:t>
            </w:r>
          </w:p>
        </w:tc>
      </w:tr>
      <w:tr w:rsidR="00D371A9" w:rsidRPr="007D5055">
        <w:tc>
          <w:tcPr>
            <w:tcW w:w="5000" w:type="pct"/>
            <w:gridSpan w:val="7"/>
            <w:shd w:val="clear" w:color="auto" w:fill="auto"/>
            <w:vAlign w:val="center"/>
          </w:tcPr>
          <w:p w:rsidR="00D371A9" w:rsidRPr="007D5055" w:rsidRDefault="00D371A9" w:rsidP="00D371A9">
            <w:pPr>
              <w:keepNext/>
              <w:jc w:val="both"/>
              <w:rPr>
                <w:rFonts w:ascii="Arial Narrow" w:hAnsi="Arial Narrow" w:cs="Arial"/>
                <w:color w:val="000000"/>
                <w:sz w:val="20"/>
                <w:szCs w:val="18"/>
                <w:lang w:eastAsia="en-US"/>
              </w:rPr>
            </w:pPr>
            <w:proofErr w:type="spellStart"/>
            <w:r w:rsidRPr="007D5055">
              <w:rPr>
                <w:rFonts w:ascii="Arial Narrow" w:hAnsi="Arial Narrow" w:cs="Arial"/>
                <w:b/>
                <w:snapToGrid w:val="0"/>
                <w:color w:val="000000"/>
                <w:sz w:val="20"/>
                <w:szCs w:val="18"/>
                <w:lang w:eastAsia="en-US"/>
              </w:rPr>
              <w:t>Nasopharyngitis</w:t>
            </w:r>
            <w:proofErr w:type="spellEnd"/>
          </w:p>
        </w:tc>
      </w:tr>
      <w:tr w:rsidR="00E82B32" w:rsidRPr="007D5055">
        <w:tc>
          <w:tcPr>
            <w:tcW w:w="818" w:type="pct"/>
            <w:shd w:val="clear" w:color="auto" w:fill="auto"/>
            <w:vAlign w:val="center"/>
          </w:tcPr>
          <w:p w:rsidR="00D371A9" w:rsidRPr="007D5055" w:rsidRDefault="00D371A9" w:rsidP="00D371A9">
            <w:pPr>
              <w:widowControl w:val="0"/>
              <w:jc w:val="both"/>
              <w:rPr>
                <w:rFonts w:ascii="Arial Narrow" w:hAnsi="Arial Narrow" w:cs="Arial"/>
                <w:color w:val="000000"/>
                <w:sz w:val="20"/>
                <w:szCs w:val="18"/>
                <w:lang w:eastAsia="en-US"/>
              </w:rPr>
            </w:pPr>
            <w:r w:rsidRPr="007D5055">
              <w:rPr>
                <w:rFonts w:ascii="Arial Narrow" w:hAnsi="Arial Narrow" w:cs="Arial"/>
                <w:snapToGrid w:val="0"/>
                <w:color w:val="000000"/>
                <w:sz w:val="20"/>
                <w:szCs w:val="18"/>
                <w:lang w:eastAsia="en-US"/>
              </w:rPr>
              <w:t>ULTRA II</w:t>
            </w:r>
          </w:p>
        </w:tc>
        <w:tc>
          <w:tcPr>
            <w:tcW w:w="636" w:type="pct"/>
            <w:vAlign w:val="center"/>
          </w:tcPr>
          <w:p w:rsidR="00D371A9" w:rsidRPr="007D5055" w:rsidRDefault="00D371A9" w:rsidP="00D371A9">
            <w:pPr>
              <w:keepNext/>
              <w:jc w:val="center"/>
              <w:rPr>
                <w:rFonts w:ascii="Arial Narrow" w:hAnsi="Arial Narrow" w:cs="Arial"/>
                <w:b/>
                <w:color w:val="000000"/>
                <w:sz w:val="20"/>
                <w:szCs w:val="18"/>
                <w:lang w:eastAsia="en-US"/>
              </w:rPr>
            </w:pPr>
            <w:r w:rsidRPr="007D5055">
              <w:rPr>
                <w:rFonts w:ascii="Arial Narrow" w:hAnsi="Arial Narrow" w:cs="Arial"/>
                <w:snapToGrid w:val="0"/>
                <w:color w:val="000000"/>
                <w:sz w:val="20"/>
                <w:szCs w:val="18"/>
                <w:lang w:eastAsia="en-US"/>
              </w:rPr>
              <w:t>48/257</w:t>
            </w:r>
          </w:p>
        </w:tc>
        <w:tc>
          <w:tcPr>
            <w:tcW w:w="636" w:type="pct"/>
            <w:vAlign w:val="center"/>
          </w:tcPr>
          <w:p w:rsidR="00D371A9" w:rsidRPr="007D5055" w:rsidRDefault="00D371A9" w:rsidP="00D371A9">
            <w:pPr>
              <w:keepNext/>
              <w:jc w:val="center"/>
              <w:rPr>
                <w:rFonts w:ascii="Arial Narrow" w:hAnsi="Arial Narrow" w:cs="Arial"/>
                <w:b/>
                <w:color w:val="000000"/>
                <w:sz w:val="20"/>
                <w:szCs w:val="18"/>
                <w:lang w:eastAsia="en-US"/>
              </w:rPr>
            </w:pPr>
            <w:r w:rsidRPr="007D5055">
              <w:rPr>
                <w:rFonts w:ascii="Arial Narrow" w:hAnsi="Arial Narrow" w:cs="Arial"/>
                <w:snapToGrid w:val="0"/>
                <w:color w:val="000000"/>
                <w:sz w:val="20"/>
                <w:szCs w:val="18"/>
                <w:lang w:eastAsia="en-US"/>
              </w:rPr>
              <w:t>27/260</w:t>
            </w:r>
          </w:p>
        </w:tc>
        <w:tc>
          <w:tcPr>
            <w:tcW w:w="817" w:type="pct"/>
            <w:vAlign w:val="center"/>
          </w:tcPr>
          <w:p w:rsidR="00D371A9" w:rsidRPr="007D5055" w:rsidRDefault="00D371A9" w:rsidP="00D371A9">
            <w:pPr>
              <w:keepNext/>
              <w:jc w:val="center"/>
              <w:rPr>
                <w:rFonts w:ascii="Arial Narrow" w:hAnsi="Arial Narrow" w:cs="Arial"/>
                <w:b/>
                <w:color w:val="000000"/>
                <w:sz w:val="20"/>
                <w:szCs w:val="18"/>
                <w:lang w:eastAsia="en-US"/>
              </w:rPr>
            </w:pPr>
            <w:r w:rsidRPr="007D5055">
              <w:rPr>
                <w:rFonts w:ascii="Arial Narrow" w:hAnsi="Arial Narrow" w:cs="Arial"/>
                <w:b/>
                <w:snapToGrid w:val="0"/>
                <w:color w:val="000000"/>
                <w:sz w:val="20"/>
                <w:szCs w:val="18"/>
                <w:lang w:eastAsia="en-US"/>
              </w:rPr>
              <w:t>1.8 (1.2, 2.8)</w:t>
            </w:r>
          </w:p>
        </w:tc>
        <w:tc>
          <w:tcPr>
            <w:tcW w:w="635" w:type="pct"/>
            <w:vAlign w:val="center"/>
          </w:tcPr>
          <w:p w:rsidR="00D371A9" w:rsidRPr="007D5055" w:rsidRDefault="00D371A9" w:rsidP="00D371A9">
            <w:pPr>
              <w:keepNext/>
              <w:jc w:val="center"/>
              <w:rPr>
                <w:rFonts w:ascii="Arial Narrow" w:hAnsi="Arial Narrow" w:cs="Arial"/>
                <w:b/>
                <w:color w:val="000000"/>
                <w:sz w:val="20"/>
                <w:szCs w:val="18"/>
                <w:lang w:eastAsia="en-US"/>
              </w:rPr>
            </w:pPr>
            <w:r w:rsidRPr="007D5055">
              <w:rPr>
                <w:rFonts w:ascii="Arial Narrow" w:hAnsi="Arial Narrow" w:cs="Arial"/>
                <w:snapToGrid w:val="0"/>
                <w:color w:val="000000"/>
                <w:sz w:val="20"/>
                <w:szCs w:val="18"/>
                <w:lang w:eastAsia="en-US"/>
              </w:rPr>
              <w:t>18.7</w:t>
            </w:r>
          </w:p>
        </w:tc>
        <w:tc>
          <w:tcPr>
            <w:tcW w:w="642" w:type="pct"/>
            <w:vAlign w:val="center"/>
          </w:tcPr>
          <w:p w:rsidR="00D371A9" w:rsidRPr="007D5055" w:rsidRDefault="00D371A9" w:rsidP="00D371A9">
            <w:pPr>
              <w:keepNext/>
              <w:jc w:val="center"/>
              <w:rPr>
                <w:rFonts w:ascii="Arial Narrow" w:hAnsi="Arial Narrow" w:cs="Arial"/>
                <w:b/>
                <w:color w:val="000000"/>
                <w:sz w:val="20"/>
                <w:szCs w:val="18"/>
                <w:lang w:eastAsia="en-US"/>
              </w:rPr>
            </w:pPr>
            <w:r w:rsidRPr="007D5055">
              <w:rPr>
                <w:rFonts w:ascii="Arial Narrow" w:hAnsi="Arial Narrow" w:cs="Arial"/>
                <w:snapToGrid w:val="0"/>
                <w:color w:val="000000"/>
                <w:sz w:val="20"/>
                <w:szCs w:val="18"/>
                <w:lang w:eastAsia="en-US"/>
              </w:rPr>
              <w:t>10.4</w:t>
            </w:r>
          </w:p>
        </w:tc>
        <w:tc>
          <w:tcPr>
            <w:tcW w:w="816" w:type="pct"/>
            <w:vAlign w:val="center"/>
          </w:tcPr>
          <w:p w:rsidR="00D371A9" w:rsidRPr="007D5055" w:rsidRDefault="00D371A9" w:rsidP="00D371A9">
            <w:pPr>
              <w:keepNext/>
              <w:jc w:val="center"/>
              <w:rPr>
                <w:rFonts w:ascii="Arial Narrow" w:hAnsi="Arial Narrow" w:cs="Arial"/>
                <w:b/>
                <w:color w:val="000000"/>
                <w:sz w:val="20"/>
                <w:szCs w:val="18"/>
                <w:lang w:eastAsia="en-US"/>
              </w:rPr>
            </w:pPr>
            <w:r w:rsidRPr="007D5055">
              <w:rPr>
                <w:rFonts w:ascii="Arial Narrow" w:hAnsi="Arial Narrow" w:cs="Arial"/>
                <w:b/>
                <w:snapToGrid w:val="0"/>
                <w:color w:val="000000"/>
                <w:sz w:val="20"/>
                <w:szCs w:val="18"/>
                <w:lang w:eastAsia="en-US"/>
              </w:rPr>
              <w:t>0.08 (0.02, 0.14)</w:t>
            </w:r>
          </w:p>
        </w:tc>
      </w:tr>
    </w:tbl>
    <w:p w:rsidR="00D371A9" w:rsidRPr="007D5055" w:rsidRDefault="00D371A9" w:rsidP="00E82B32">
      <w:pPr>
        <w:widowControl w:val="0"/>
        <w:ind w:firstLine="720"/>
        <w:jc w:val="both"/>
        <w:rPr>
          <w:rFonts w:ascii="Arial Narrow" w:hAnsi="Arial Narrow" w:cs="Arial"/>
          <w:snapToGrid w:val="0"/>
          <w:sz w:val="18"/>
          <w:szCs w:val="20"/>
          <w:lang w:eastAsia="en-US"/>
        </w:rPr>
      </w:pPr>
      <w:r w:rsidRPr="007D5055">
        <w:rPr>
          <w:rFonts w:ascii="Arial Narrow" w:hAnsi="Arial Narrow" w:cs="Arial"/>
          <w:snapToGrid w:val="0"/>
          <w:sz w:val="18"/>
          <w:szCs w:val="20"/>
          <w:lang w:eastAsia="en-US"/>
        </w:rPr>
        <w:t>* Maximum duration of follow-up: ULTRA I = 8 weeks; ULTRA II = 52 weeks</w:t>
      </w:r>
    </w:p>
    <w:p w:rsidR="00D371A9" w:rsidRPr="007D5055" w:rsidRDefault="00D371A9" w:rsidP="00E82B32">
      <w:pPr>
        <w:widowControl w:val="0"/>
        <w:ind w:firstLine="720"/>
        <w:jc w:val="both"/>
        <w:rPr>
          <w:rFonts w:ascii="Arial Narrow" w:hAnsi="Arial Narrow" w:cs="Arial"/>
          <w:snapToGrid w:val="0"/>
          <w:sz w:val="18"/>
          <w:szCs w:val="20"/>
          <w:lang w:eastAsia="en-US"/>
        </w:rPr>
      </w:pPr>
      <w:r w:rsidRPr="007D5055">
        <w:rPr>
          <w:rFonts w:ascii="Arial Narrow" w:hAnsi="Arial Narrow" w:cs="Arial"/>
          <w:snapToGrid w:val="0"/>
          <w:sz w:val="18"/>
          <w:szCs w:val="20"/>
          <w:lang w:eastAsia="en-US"/>
        </w:rPr>
        <w:t>Source: Compiled during the evaluation</w:t>
      </w:r>
    </w:p>
    <w:p w:rsidR="00D371A9" w:rsidRPr="007D5055" w:rsidRDefault="00D371A9" w:rsidP="00E82B32">
      <w:pPr>
        <w:widowControl w:val="0"/>
        <w:ind w:left="709"/>
        <w:jc w:val="both"/>
        <w:rPr>
          <w:rFonts w:ascii="Arial Narrow" w:hAnsi="Arial Narrow" w:cs="Arial"/>
          <w:snapToGrid w:val="0"/>
          <w:sz w:val="18"/>
          <w:szCs w:val="20"/>
          <w:lang w:eastAsia="en-US"/>
        </w:rPr>
      </w:pPr>
      <w:r w:rsidRPr="007D5055">
        <w:rPr>
          <w:rFonts w:ascii="Arial Narrow" w:hAnsi="Arial Narrow" w:cs="Arial"/>
          <w:snapToGrid w:val="0"/>
          <w:sz w:val="18"/>
          <w:szCs w:val="20"/>
          <w:lang w:eastAsia="en-US"/>
        </w:rPr>
        <w:t xml:space="preserve">ADA = </w:t>
      </w:r>
      <w:proofErr w:type="spellStart"/>
      <w:r w:rsidRPr="007D5055">
        <w:rPr>
          <w:rFonts w:ascii="Arial Narrow" w:hAnsi="Arial Narrow" w:cs="Arial"/>
          <w:snapToGrid w:val="0"/>
          <w:sz w:val="18"/>
          <w:szCs w:val="20"/>
          <w:lang w:eastAsia="en-US"/>
        </w:rPr>
        <w:t>adalimumab</w:t>
      </w:r>
      <w:proofErr w:type="spellEnd"/>
      <w:r w:rsidRPr="007D5055">
        <w:rPr>
          <w:rFonts w:ascii="Arial Narrow" w:hAnsi="Arial Narrow" w:cs="Arial"/>
          <w:snapToGrid w:val="0"/>
          <w:sz w:val="18"/>
          <w:szCs w:val="20"/>
          <w:lang w:eastAsia="en-US"/>
        </w:rPr>
        <w:t>; CI = confidence interval; PBO = placebo; RD = risk difference; RR = risk ratio; Italics = calculated during evaluation</w:t>
      </w:r>
    </w:p>
    <w:p w:rsidR="00D371A9" w:rsidRPr="007D5055" w:rsidRDefault="00D371A9" w:rsidP="00D371A9">
      <w:pPr>
        <w:pStyle w:val="ListParagraph"/>
        <w:jc w:val="both"/>
        <w:rPr>
          <w:rFonts w:ascii="Arial" w:hAnsi="Arial"/>
          <w:sz w:val="22"/>
          <w:szCs w:val="22"/>
        </w:rPr>
      </w:pPr>
    </w:p>
    <w:p w:rsidR="00D371A9" w:rsidRPr="007D5055" w:rsidRDefault="00D371A9" w:rsidP="00D371A9">
      <w:pPr>
        <w:pStyle w:val="ListParagraph"/>
        <w:numPr>
          <w:ilvl w:val="1"/>
          <w:numId w:val="1"/>
        </w:numPr>
        <w:ind w:left="709" w:hanging="709"/>
        <w:jc w:val="both"/>
        <w:rPr>
          <w:rFonts w:ascii="Arial" w:hAnsi="Arial"/>
          <w:sz w:val="22"/>
          <w:szCs w:val="22"/>
        </w:rPr>
      </w:pPr>
      <w:r w:rsidRPr="007D5055">
        <w:rPr>
          <w:rFonts w:ascii="Arial" w:hAnsi="Arial"/>
          <w:sz w:val="22"/>
          <w:szCs w:val="22"/>
        </w:rPr>
        <w:t xml:space="preserve">On the basis of the meta-analyses of the direct comparison of the ULTRA I and II evidence presented by the submission, for every 100 patients treated with </w:t>
      </w:r>
      <w:proofErr w:type="spellStart"/>
      <w:r w:rsidRPr="007D5055">
        <w:rPr>
          <w:rFonts w:ascii="Arial" w:hAnsi="Arial"/>
          <w:sz w:val="22"/>
          <w:szCs w:val="22"/>
        </w:rPr>
        <w:t>adalimumab</w:t>
      </w:r>
      <w:proofErr w:type="spellEnd"/>
      <w:r w:rsidRPr="007D5055">
        <w:rPr>
          <w:rFonts w:ascii="Arial" w:hAnsi="Arial"/>
          <w:sz w:val="22"/>
          <w:szCs w:val="22"/>
        </w:rPr>
        <w:t xml:space="preserve"> in comparison to placebo, at week 8:</w:t>
      </w:r>
    </w:p>
    <w:p w:rsidR="00D371A9" w:rsidRPr="007D5055" w:rsidRDefault="00D371A9" w:rsidP="00D371A9">
      <w:pPr>
        <w:pStyle w:val="ListParagraph"/>
        <w:numPr>
          <w:ilvl w:val="0"/>
          <w:numId w:val="30"/>
        </w:numPr>
        <w:ind w:left="1134" w:hanging="425"/>
        <w:rPr>
          <w:rFonts w:ascii="Arial" w:hAnsi="Arial"/>
          <w:sz w:val="22"/>
          <w:szCs w:val="22"/>
        </w:rPr>
      </w:pPr>
      <w:r w:rsidRPr="007D5055">
        <w:rPr>
          <w:rFonts w:ascii="Arial" w:hAnsi="Arial"/>
          <w:sz w:val="22"/>
          <w:szCs w:val="22"/>
        </w:rPr>
        <w:lastRenderedPageBreak/>
        <w:t>Approximately 8 additional patients would have clinical remission; and</w:t>
      </w:r>
    </w:p>
    <w:p w:rsidR="00D371A9" w:rsidRPr="007D5055" w:rsidRDefault="00D371A9" w:rsidP="00D371A9">
      <w:pPr>
        <w:pStyle w:val="ListParagraph"/>
        <w:numPr>
          <w:ilvl w:val="0"/>
          <w:numId w:val="30"/>
        </w:numPr>
        <w:ind w:left="1134" w:hanging="425"/>
        <w:rPr>
          <w:rFonts w:ascii="Arial" w:hAnsi="Arial"/>
          <w:sz w:val="22"/>
          <w:szCs w:val="22"/>
        </w:rPr>
      </w:pPr>
      <w:r w:rsidRPr="007D5055">
        <w:rPr>
          <w:rFonts w:ascii="Arial" w:hAnsi="Arial"/>
          <w:sz w:val="22"/>
          <w:szCs w:val="22"/>
        </w:rPr>
        <w:t>Approximately 14 additional patients would have clinical response.</w:t>
      </w:r>
      <w:r w:rsidRPr="007D5055">
        <w:rPr>
          <w:rFonts w:ascii="Arial" w:hAnsi="Arial"/>
          <w:b/>
          <w:color w:val="FF00FF"/>
          <w:sz w:val="22"/>
          <w:szCs w:val="22"/>
        </w:rPr>
        <w:t xml:space="preserve"> </w:t>
      </w:r>
    </w:p>
    <w:p w:rsidR="00D371A9" w:rsidRPr="00D371A9" w:rsidRDefault="00D371A9" w:rsidP="00D371A9">
      <w:pPr>
        <w:pStyle w:val="ListParagraph"/>
        <w:ind w:left="709"/>
        <w:jc w:val="both"/>
        <w:rPr>
          <w:rFonts w:ascii="Arial" w:hAnsi="Arial"/>
          <w:sz w:val="22"/>
          <w:szCs w:val="22"/>
        </w:rPr>
      </w:pPr>
    </w:p>
    <w:p w:rsidR="00D371A9" w:rsidRPr="007D5055" w:rsidRDefault="00D371A9" w:rsidP="00D371A9">
      <w:pPr>
        <w:pStyle w:val="ListParagraph"/>
        <w:numPr>
          <w:ilvl w:val="1"/>
          <w:numId w:val="1"/>
        </w:numPr>
        <w:jc w:val="both"/>
        <w:rPr>
          <w:rFonts w:ascii="Arial" w:hAnsi="Arial"/>
          <w:sz w:val="22"/>
          <w:szCs w:val="22"/>
        </w:rPr>
      </w:pPr>
      <w:r w:rsidRPr="007D5055">
        <w:rPr>
          <w:rFonts w:ascii="Arial" w:hAnsi="Arial"/>
          <w:sz w:val="22"/>
          <w:szCs w:val="22"/>
        </w:rPr>
        <w:t xml:space="preserve">On the basis of the ULTRA II evidence presented by the submission, for every 100 patients treated with </w:t>
      </w:r>
      <w:proofErr w:type="spellStart"/>
      <w:r w:rsidRPr="007D5055">
        <w:rPr>
          <w:rFonts w:ascii="Arial" w:hAnsi="Arial"/>
          <w:sz w:val="22"/>
          <w:szCs w:val="22"/>
        </w:rPr>
        <w:t>adalimumab</w:t>
      </w:r>
      <w:proofErr w:type="spellEnd"/>
      <w:r w:rsidRPr="007D5055">
        <w:rPr>
          <w:rFonts w:ascii="Arial" w:hAnsi="Arial"/>
          <w:sz w:val="22"/>
          <w:szCs w:val="22"/>
        </w:rPr>
        <w:t xml:space="preserve"> in comparison to placebo, at week 52:</w:t>
      </w:r>
    </w:p>
    <w:p w:rsidR="00E65309" w:rsidRPr="00056553" w:rsidRDefault="00D371A9" w:rsidP="00D371A9">
      <w:pPr>
        <w:pStyle w:val="ListParagraph"/>
        <w:numPr>
          <w:ilvl w:val="0"/>
          <w:numId w:val="31"/>
        </w:numPr>
        <w:ind w:left="1134" w:hanging="425"/>
        <w:jc w:val="both"/>
        <w:rPr>
          <w:rFonts w:ascii="Arial" w:hAnsi="Arial"/>
          <w:strike/>
          <w:sz w:val="22"/>
          <w:szCs w:val="22"/>
        </w:rPr>
      </w:pPr>
      <w:r w:rsidRPr="007D5055">
        <w:rPr>
          <w:rFonts w:ascii="Arial" w:hAnsi="Arial"/>
          <w:sz w:val="22"/>
          <w:szCs w:val="22"/>
        </w:rPr>
        <w:t>Approximately 9 additional patients would have clinical remission;</w:t>
      </w:r>
    </w:p>
    <w:p w:rsidR="00E65309" w:rsidRPr="00056553" w:rsidRDefault="00D371A9" w:rsidP="00D371A9">
      <w:pPr>
        <w:pStyle w:val="ListParagraph"/>
        <w:numPr>
          <w:ilvl w:val="0"/>
          <w:numId w:val="31"/>
        </w:numPr>
        <w:ind w:left="1134" w:hanging="425"/>
        <w:jc w:val="both"/>
        <w:rPr>
          <w:rFonts w:ascii="Arial" w:hAnsi="Arial"/>
          <w:strike/>
          <w:sz w:val="22"/>
          <w:szCs w:val="22"/>
        </w:rPr>
      </w:pPr>
      <w:r w:rsidRPr="007D5055">
        <w:rPr>
          <w:rFonts w:ascii="Arial" w:hAnsi="Arial"/>
          <w:sz w:val="22"/>
          <w:szCs w:val="22"/>
        </w:rPr>
        <w:t>Approximately 12 additional patients would have</w:t>
      </w:r>
      <w:r w:rsidR="00CF3663" w:rsidRPr="00CF3663">
        <w:rPr>
          <w:rFonts w:ascii="Arial" w:hAnsi="Arial"/>
          <w:sz w:val="22"/>
          <w:szCs w:val="22"/>
        </w:rPr>
        <w:t xml:space="preserve"> clinical</w:t>
      </w:r>
      <w:r w:rsidRPr="007D5055">
        <w:rPr>
          <w:rFonts w:ascii="Arial" w:hAnsi="Arial"/>
          <w:sz w:val="22"/>
          <w:szCs w:val="22"/>
        </w:rPr>
        <w:t xml:space="preserve"> response;</w:t>
      </w:r>
    </w:p>
    <w:p w:rsidR="00D371A9" w:rsidRPr="007D5055" w:rsidRDefault="00D371A9" w:rsidP="00D371A9">
      <w:pPr>
        <w:pStyle w:val="ListParagraph"/>
        <w:numPr>
          <w:ilvl w:val="0"/>
          <w:numId w:val="31"/>
        </w:numPr>
        <w:ind w:left="1134" w:hanging="425"/>
        <w:jc w:val="both"/>
        <w:rPr>
          <w:rFonts w:ascii="Arial" w:hAnsi="Arial"/>
          <w:sz w:val="22"/>
          <w:szCs w:val="22"/>
        </w:rPr>
      </w:pPr>
      <w:r w:rsidRPr="007D5055">
        <w:rPr>
          <w:rFonts w:ascii="Arial" w:hAnsi="Arial"/>
          <w:sz w:val="22"/>
          <w:szCs w:val="22"/>
        </w:rPr>
        <w:t>Approximately 2 additional patients would have had iron deficiency anaemia;</w:t>
      </w:r>
    </w:p>
    <w:p w:rsidR="00D371A9" w:rsidRPr="007D5055" w:rsidRDefault="00D371A9" w:rsidP="00D371A9">
      <w:pPr>
        <w:pStyle w:val="ListParagraph"/>
        <w:numPr>
          <w:ilvl w:val="0"/>
          <w:numId w:val="31"/>
        </w:numPr>
        <w:ind w:left="1134" w:hanging="425"/>
        <w:jc w:val="both"/>
        <w:rPr>
          <w:rFonts w:ascii="Arial" w:hAnsi="Arial"/>
          <w:sz w:val="22"/>
          <w:szCs w:val="22"/>
        </w:rPr>
      </w:pPr>
      <w:r w:rsidRPr="007D5055">
        <w:rPr>
          <w:rFonts w:ascii="Arial" w:hAnsi="Arial"/>
          <w:sz w:val="22"/>
          <w:szCs w:val="22"/>
        </w:rPr>
        <w:t>Approximately 3 additional patients would have had gastroenteritis; and</w:t>
      </w:r>
    </w:p>
    <w:p w:rsidR="00D371A9" w:rsidRDefault="00D371A9" w:rsidP="00D371A9">
      <w:pPr>
        <w:pStyle w:val="ListParagraph"/>
        <w:numPr>
          <w:ilvl w:val="0"/>
          <w:numId w:val="31"/>
        </w:numPr>
        <w:ind w:left="1134" w:hanging="425"/>
        <w:jc w:val="both"/>
        <w:rPr>
          <w:rFonts w:ascii="Arial" w:hAnsi="Arial"/>
          <w:sz w:val="22"/>
          <w:szCs w:val="22"/>
        </w:rPr>
      </w:pPr>
      <w:r w:rsidRPr="007D5055">
        <w:rPr>
          <w:rFonts w:ascii="Arial" w:hAnsi="Arial"/>
          <w:sz w:val="22"/>
          <w:szCs w:val="22"/>
        </w:rPr>
        <w:t xml:space="preserve">Approximately 8 additional patients would have had </w:t>
      </w:r>
      <w:proofErr w:type="spellStart"/>
      <w:r w:rsidR="00E65309" w:rsidRPr="007D5055">
        <w:rPr>
          <w:rFonts w:ascii="Arial" w:hAnsi="Arial"/>
          <w:sz w:val="22"/>
          <w:szCs w:val="22"/>
        </w:rPr>
        <w:t>nasopharyngitis</w:t>
      </w:r>
      <w:proofErr w:type="spellEnd"/>
      <w:r w:rsidR="00E65309" w:rsidRPr="007D5055">
        <w:rPr>
          <w:rFonts w:ascii="Arial" w:hAnsi="Arial"/>
          <w:sz w:val="22"/>
          <w:szCs w:val="22"/>
        </w:rPr>
        <w:t>.</w:t>
      </w:r>
    </w:p>
    <w:p w:rsidR="007C3F91" w:rsidRPr="007D5055" w:rsidRDefault="007C3F91" w:rsidP="007D5055">
      <w:pPr>
        <w:jc w:val="both"/>
        <w:rPr>
          <w:rFonts w:ascii="Arial" w:hAnsi="Arial"/>
          <w:sz w:val="22"/>
          <w:szCs w:val="22"/>
        </w:rPr>
      </w:pPr>
    </w:p>
    <w:p w:rsidR="00E82B32" w:rsidRPr="001C16D7" w:rsidRDefault="00E82B32" w:rsidP="00E82B32">
      <w:pPr>
        <w:pStyle w:val="ListParagraph"/>
        <w:numPr>
          <w:ilvl w:val="1"/>
          <w:numId w:val="1"/>
        </w:numPr>
        <w:ind w:left="709" w:hanging="709"/>
        <w:jc w:val="both"/>
        <w:rPr>
          <w:rFonts w:ascii="Arial" w:hAnsi="Arial"/>
          <w:sz w:val="22"/>
          <w:szCs w:val="22"/>
          <w:lang w:val="en-US"/>
        </w:rPr>
      </w:pPr>
      <w:r w:rsidRPr="001C16D7">
        <w:rPr>
          <w:rFonts w:ascii="Arial" w:hAnsi="Arial"/>
          <w:sz w:val="22"/>
          <w:szCs w:val="22"/>
          <w:lang w:val="en-US"/>
        </w:rPr>
        <w:t xml:space="preserve">The ESC considered that an estimate of the incremental clinical benefit and harms of </w:t>
      </w:r>
      <w:proofErr w:type="spellStart"/>
      <w:r w:rsidRPr="001C16D7">
        <w:rPr>
          <w:rFonts w:ascii="Arial" w:hAnsi="Arial"/>
          <w:sz w:val="22"/>
          <w:szCs w:val="22"/>
          <w:lang w:val="en-US"/>
        </w:rPr>
        <w:t>adalimumab</w:t>
      </w:r>
      <w:proofErr w:type="spellEnd"/>
      <w:r w:rsidRPr="001C16D7">
        <w:rPr>
          <w:rFonts w:ascii="Arial" w:hAnsi="Arial"/>
          <w:sz w:val="22"/>
          <w:szCs w:val="22"/>
          <w:lang w:val="en-US"/>
        </w:rPr>
        <w:t xml:space="preserve"> treatment needs to take account of changes in the natural disease progression of ulcerative colitis over time (i.e. an increased remission/response in placebo patients over time suggests that disease activity tends to decrease over time, reducing the size of treatment effect beyond that observed at week 52 in the trials) and the impact of chronic </w:t>
      </w:r>
      <w:proofErr w:type="spellStart"/>
      <w:r w:rsidRPr="001C16D7">
        <w:rPr>
          <w:rFonts w:ascii="Arial" w:hAnsi="Arial"/>
          <w:sz w:val="22"/>
          <w:szCs w:val="22"/>
          <w:lang w:val="en-US"/>
        </w:rPr>
        <w:t>adalimumab</w:t>
      </w:r>
      <w:proofErr w:type="spellEnd"/>
      <w:r w:rsidRPr="001C16D7">
        <w:rPr>
          <w:rFonts w:ascii="Arial" w:hAnsi="Arial"/>
          <w:sz w:val="22"/>
          <w:szCs w:val="22"/>
          <w:lang w:val="en-US"/>
        </w:rPr>
        <w:t xml:space="preserve"> treatment on safety in terms of increased risk of adverse events and risk of chronic adverse events (</w:t>
      </w:r>
      <w:r w:rsidR="006B0EC8" w:rsidRPr="00674B75">
        <w:rPr>
          <w:rFonts w:ascii="Arial" w:hAnsi="Arial"/>
          <w:sz w:val="22"/>
          <w:szCs w:val="22"/>
          <w:lang w:val="en-US"/>
        </w:rPr>
        <w:t>especially risks of malignancy</w:t>
      </w:r>
      <w:r w:rsidRPr="001C16D7">
        <w:rPr>
          <w:rFonts w:ascii="Arial" w:hAnsi="Arial"/>
          <w:sz w:val="22"/>
          <w:szCs w:val="22"/>
          <w:lang w:val="en-US"/>
        </w:rPr>
        <w:t>) beyond week 52.</w:t>
      </w:r>
      <w:r w:rsidR="006859B1" w:rsidRPr="001C16D7">
        <w:rPr>
          <w:rFonts w:ascii="Arial" w:hAnsi="Arial"/>
          <w:sz w:val="22"/>
          <w:szCs w:val="22"/>
          <w:lang w:val="en-US"/>
        </w:rPr>
        <w:t xml:space="preserve"> </w:t>
      </w:r>
    </w:p>
    <w:p w:rsidR="00E82B32" w:rsidRPr="001C16D7" w:rsidRDefault="00E82B32" w:rsidP="00E82B32">
      <w:pPr>
        <w:jc w:val="both"/>
        <w:rPr>
          <w:rFonts w:ascii="Arial" w:hAnsi="Arial"/>
          <w:sz w:val="22"/>
          <w:szCs w:val="22"/>
          <w:lang w:val="en-US"/>
        </w:rPr>
      </w:pPr>
    </w:p>
    <w:p w:rsidR="00BB7EC3" w:rsidRPr="00BB7EC3" w:rsidRDefault="00BB7EC3" w:rsidP="00BB7EC3">
      <w:pPr>
        <w:pStyle w:val="ListParagraph"/>
        <w:ind w:left="709"/>
        <w:jc w:val="both"/>
        <w:rPr>
          <w:rFonts w:ascii="Arial" w:hAnsi="Arial"/>
          <w:i/>
          <w:sz w:val="22"/>
          <w:szCs w:val="22"/>
        </w:rPr>
      </w:pPr>
      <w:r>
        <w:rPr>
          <w:rFonts w:ascii="Arial" w:hAnsi="Arial"/>
          <w:i/>
          <w:sz w:val="22"/>
          <w:szCs w:val="22"/>
        </w:rPr>
        <w:t>For more detail on PBAC’s view, see section 7 “PBAC outcome”</w:t>
      </w:r>
    </w:p>
    <w:p w:rsidR="00882085" w:rsidRDefault="00882085" w:rsidP="00882085">
      <w:pPr>
        <w:jc w:val="both"/>
        <w:rPr>
          <w:rFonts w:ascii="Arial" w:hAnsi="Arial"/>
          <w:b/>
          <w:i/>
          <w:sz w:val="22"/>
          <w:szCs w:val="22"/>
        </w:rPr>
      </w:pPr>
    </w:p>
    <w:p w:rsidR="005A3173" w:rsidRPr="00882085" w:rsidRDefault="005A3173" w:rsidP="00882085">
      <w:pPr>
        <w:jc w:val="both"/>
        <w:rPr>
          <w:rFonts w:ascii="Arial" w:hAnsi="Arial"/>
          <w:b/>
          <w:i/>
          <w:sz w:val="22"/>
          <w:szCs w:val="22"/>
        </w:rPr>
      </w:pPr>
      <w:r w:rsidRPr="00882085">
        <w:rPr>
          <w:rFonts w:ascii="Arial" w:hAnsi="Arial"/>
          <w:b/>
          <w:i/>
          <w:sz w:val="22"/>
          <w:szCs w:val="22"/>
        </w:rPr>
        <w:t>Clinical claim</w:t>
      </w:r>
    </w:p>
    <w:p w:rsidR="005A3173" w:rsidRPr="00882085" w:rsidRDefault="005A3173" w:rsidP="00882085">
      <w:pPr>
        <w:ind w:left="720" w:hanging="720"/>
        <w:jc w:val="both"/>
        <w:rPr>
          <w:rFonts w:ascii="Arial" w:hAnsi="Arial"/>
          <w:sz w:val="22"/>
          <w:szCs w:val="22"/>
        </w:rPr>
      </w:pPr>
    </w:p>
    <w:p w:rsidR="006E2E2C" w:rsidRPr="006859B1" w:rsidRDefault="006E2E2C" w:rsidP="006859B1">
      <w:pPr>
        <w:jc w:val="both"/>
        <w:rPr>
          <w:rFonts w:ascii="Arial" w:hAnsi="Arial" w:cs="Arial"/>
          <w:sz w:val="22"/>
          <w:szCs w:val="22"/>
          <w:u w:val="single"/>
        </w:rPr>
      </w:pPr>
      <w:proofErr w:type="spellStart"/>
      <w:r w:rsidRPr="006859B1">
        <w:rPr>
          <w:rFonts w:ascii="Arial" w:hAnsi="Arial" w:cs="Arial"/>
          <w:sz w:val="22"/>
          <w:szCs w:val="22"/>
          <w:u w:val="single"/>
        </w:rPr>
        <w:t>Adalimumab</w:t>
      </w:r>
      <w:proofErr w:type="spellEnd"/>
      <w:r w:rsidRPr="006859B1">
        <w:rPr>
          <w:rFonts w:ascii="Arial" w:hAnsi="Arial" w:cs="Arial"/>
          <w:sz w:val="22"/>
          <w:szCs w:val="22"/>
          <w:u w:val="single"/>
        </w:rPr>
        <w:t xml:space="preserve"> versus placebo</w:t>
      </w:r>
    </w:p>
    <w:p w:rsidR="006E2E2C" w:rsidRDefault="006E2E2C" w:rsidP="006E2E2C">
      <w:pPr>
        <w:pStyle w:val="ListParagraph"/>
        <w:numPr>
          <w:ilvl w:val="1"/>
          <w:numId w:val="1"/>
        </w:numPr>
        <w:ind w:left="709"/>
        <w:jc w:val="both"/>
        <w:rPr>
          <w:rFonts w:ascii="Arial" w:hAnsi="Arial"/>
          <w:sz w:val="22"/>
          <w:szCs w:val="22"/>
        </w:rPr>
      </w:pPr>
      <w:r w:rsidRPr="007D5055">
        <w:rPr>
          <w:rFonts w:ascii="Arial" w:hAnsi="Arial"/>
          <w:sz w:val="22"/>
          <w:szCs w:val="22"/>
        </w:rPr>
        <w:t xml:space="preserve">In the re-submission, </w:t>
      </w:r>
      <w:proofErr w:type="spellStart"/>
      <w:r w:rsidRPr="007D5055">
        <w:rPr>
          <w:rFonts w:ascii="Arial" w:hAnsi="Arial"/>
          <w:sz w:val="22"/>
          <w:szCs w:val="22"/>
        </w:rPr>
        <w:t>adalimumab</w:t>
      </w:r>
      <w:proofErr w:type="spellEnd"/>
      <w:r w:rsidRPr="007D5055">
        <w:rPr>
          <w:rFonts w:ascii="Arial" w:hAnsi="Arial"/>
          <w:sz w:val="22"/>
          <w:szCs w:val="22"/>
        </w:rPr>
        <w:t xml:space="preserve"> was described as superior to placebo in patients with moderately to severely active ulcerative colitis </w:t>
      </w:r>
      <w:r w:rsidR="00D32BE5" w:rsidRPr="007D5055">
        <w:rPr>
          <w:rFonts w:ascii="Arial" w:hAnsi="Arial"/>
          <w:sz w:val="22"/>
          <w:szCs w:val="22"/>
        </w:rPr>
        <w:t xml:space="preserve">in </w:t>
      </w:r>
      <w:r w:rsidRPr="007D5055">
        <w:rPr>
          <w:rFonts w:ascii="Arial" w:hAnsi="Arial"/>
          <w:sz w:val="22"/>
          <w:szCs w:val="22"/>
        </w:rPr>
        <w:t xml:space="preserve">terms of comparative effectiveness and marginally worse in terms of comparative safety. </w:t>
      </w:r>
    </w:p>
    <w:p w:rsidR="007D5055" w:rsidRPr="007D5055" w:rsidRDefault="007D5055" w:rsidP="007D5055">
      <w:pPr>
        <w:pStyle w:val="ListParagraph"/>
        <w:ind w:left="709"/>
        <w:jc w:val="both"/>
        <w:rPr>
          <w:rFonts w:ascii="Arial" w:hAnsi="Arial"/>
          <w:sz w:val="22"/>
          <w:szCs w:val="22"/>
        </w:rPr>
      </w:pPr>
    </w:p>
    <w:p w:rsidR="006E2E2C" w:rsidRPr="007D5055" w:rsidRDefault="00C82474" w:rsidP="00505097">
      <w:pPr>
        <w:pStyle w:val="ListParagraph"/>
        <w:numPr>
          <w:ilvl w:val="1"/>
          <w:numId w:val="1"/>
        </w:numPr>
        <w:jc w:val="both"/>
        <w:rPr>
          <w:rFonts w:ascii="Arial" w:hAnsi="Arial"/>
          <w:sz w:val="22"/>
          <w:szCs w:val="22"/>
        </w:rPr>
      </w:pPr>
      <w:r w:rsidRPr="007D5055">
        <w:rPr>
          <w:rFonts w:ascii="Arial" w:hAnsi="Arial"/>
          <w:sz w:val="22"/>
          <w:szCs w:val="22"/>
        </w:rPr>
        <w:t>The ESC advised that t</w:t>
      </w:r>
      <w:r w:rsidR="006E2E2C" w:rsidRPr="007D5055">
        <w:rPr>
          <w:rFonts w:ascii="Arial" w:hAnsi="Arial"/>
          <w:sz w:val="22"/>
          <w:szCs w:val="22"/>
        </w:rPr>
        <w:t>h</w:t>
      </w:r>
      <w:r w:rsidRPr="007D5055">
        <w:rPr>
          <w:rFonts w:ascii="Arial" w:hAnsi="Arial"/>
          <w:sz w:val="22"/>
          <w:szCs w:val="22"/>
        </w:rPr>
        <w:t>is</w:t>
      </w:r>
      <w:r w:rsidR="006E2E2C" w:rsidRPr="007D5055">
        <w:rPr>
          <w:rFonts w:ascii="Arial" w:hAnsi="Arial"/>
          <w:sz w:val="22"/>
          <w:szCs w:val="22"/>
        </w:rPr>
        <w:t xml:space="preserve"> claim in the re-submission was adequately supported and appeared reasonable </w:t>
      </w:r>
      <w:r w:rsidR="006B0EC8" w:rsidRPr="00674B75">
        <w:rPr>
          <w:rFonts w:ascii="Arial" w:hAnsi="Arial"/>
          <w:sz w:val="22"/>
          <w:szCs w:val="22"/>
        </w:rPr>
        <w:t>as:</w:t>
      </w:r>
      <w:r w:rsidR="006E2E2C" w:rsidRPr="007D5055">
        <w:rPr>
          <w:rFonts w:ascii="Arial" w:hAnsi="Arial"/>
          <w:sz w:val="22"/>
          <w:szCs w:val="22"/>
        </w:rPr>
        <w:t xml:space="preserve">: </w:t>
      </w:r>
    </w:p>
    <w:p w:rsidR="006E2E2C" w:rsidRPr="007D5055" w:rsidRDefault="006E2E2C" w:rsidP="00505097">
      <w:pPr>
        <w:pStyle w:val="ListParagraph"/>
        <w:numPr>
          <w:ilvl w:val="0"/>
          <w:numId w:val="15"/>
        </w:numPr>
        <w:ind w:left="1134" w:hanging="425"/>
        <w:jc w:val="both"/>
        <w:rPr>
          <w:rFonts w:ascii="Arial" w:hAnsi="Arial"/>
          <w:sz w:val="22"/>
          <w:szCs w:val="22"/>
        </w:rPr>
      </w:pPr>
      <w:r w:rsidRPr="007D5055">
        <w:rPr>
          <w:rFonts w:ascii="Arial" w:hAnsi="Arial"/>
          <w:sz w:val="22"/>
          <w:szCs w:val="22"/>
        </w:rPr>
        <w:t>The issues surrounding the applicability of superior efficacy to the requested PBS population had been addressed by the proposed complex Authority Required restriction which does not allow:</w:t>
      </w:r>
    </w:p>
    <w:p w:rsidR="006E2E2C" w:rsidRPr="007D5055" w:rsidRDefault="006E2E2C" w:rsidP="005B06F0">
      <w:pPr>
        <w:pStyle w:val="ListParagraph"/>
        <w:numPr>
          <w:ilvl w:val="0"/>
          <w:numId w:val="16"/>
        </w:numPr>
        <w:ind w:left="1418" w:hanging="284"/>
        <w:jc w:val="both"/>
        <w:rPr>
          <w:rFonts w:ascii="Arial" w:hAnsi="Arial"/>
          <w:sz w:val="22"/>
          <w:szCs w:val="22"/>
        </w:rPr>
      </w:pPr>
      <w:r w:rsidRPr="007D5055">
        <w:rPr>
          <w:rFonts w:ascii="Arial" w:hAnsi="Arial"/>
          <w:sz w:val="22"/>
          <w:szCs w:val="22"/>
        </w:rPr>
        <w:t>continued therapy unless a patient is assessed to have achieved an adequate response; and</w:t>
      </w:r>
    </w:p>
    <w:p w:rsidR="006E2E2C" w:rsidRPr="007D5055" w:rsidRDefault="006E2E2C" w:rsidP="005B06F0">
      <w:pPr>
        <w:pStyle w:val="ListParagraph"/>
        <w:numPr>
          <w:ilvl w:val="0"/>
          <w:numId w:val="16"/>
        </w:numPr>
        <w:ind w:left="1418" w:hanging="284"/>
        <w:jc w:val="both"/>
        <w:rPr>
          <w:rFonts w:ascii="Arial" w:hAnsi="Arial"/>
          <w:sz w:val="22"/>
          <w:szCs w:val="22"/>
        </w:rPr>
      </w:pPr>
      <w:r w:rsidRPr="007D5055">
        <w:rPr>
          <w:rFonts w:ascii="Arial" w:hAnsi="Arial"/>
          <w:sz w:val="22"/>
          <w:szCs w:val="22"/>
        </w:rPr>
        <w:t xml:space="preserve">increased maximum quantities (any patient who requires dose escalation to weekly dosing must receive </w:t>
      </w:r>
      <w:proofErr w:type="spellStart"/>
      <w:r w:rsidRPr="007D5055">
        <w:rPr>
          <w:rFonts w:ascii="Arial" w:hAnsi="Arial"/>
          <w:sz w:val="22"/>
          <w:szCs w:val="22"/>
        </w:rPr>
        <w:t>adalimumab</w:t>
      </w:r>
      <w:proofErr w:type="spellEnd"/>
      <w:r w:rsidRPr="007D5055">
        <w:rPr>
          <w:rFonts w:ascii="Arial" w:hAnsi="Arial"/>
          <w:sz w:val="22"/>
          <w:szCs w:val="22"/>
        </w:rPr>
        <w:t xml:space="preserve"> through the </w:t>
      </w:r>
      <w:r w:rsidR="008B6EB1" w:rsidRPr="008B6EB1">
        <w:rPr>
          <w:rFonts w:ascii="Arial" w:hAnsi="Arial"/>
          <w:i/>
          <w:sz w:val="22"/>
          <w:szCs w:val="22"/>
        </w:rPr>
        <w:t>(REDACTED</w:t>
      </w:r>
      <w:r w:rsidR="008B6EB1">
        <w:rPr>
          <w:rFonts w:ascii="Arial" w:hAnsi="Arial"/>
          <w:i/>
          <w:sz w:val="22"/>
          <w:szCs w:val="22"/>
        </w:rPr>
        <w:t>)</w:t>
      </w:r>
      <w:r w:rsidRPr="007D5055">
        <w:rPr>
          <w:rFonts w:ascii="Arial" w:hAnsi="Arial"/>
          <w:sz w:val="22"/>
          <w:szCs w:val="22"/>
        </w:rPr>
        <w:t>; and</w:t>
      </w:r>
    </w:p>
    <w:p w:rsidR="006E2E2C" w:rsidRPr="007D5055" w:rsidRDefault="006E2E2C" w:rsidP="00505097">
      <w:pPr>
        <w:pStyle w:val="ListParagraph"/>
        <w:numPr>
          <w:ilvl w:val="0"/>
          <w:numId w:val="15"/>
        </w:numPr>
        <w:ind w:left="1134" w:hanging="425"/>
        <w:jc w:val="both"/>
        <w:rPr>
          <w:rFonts w:ascii="Arial" w:hAnsi="Arial"/>
          <w:sz w:val="22"/>
          <w:szCs w:val="22"/>
        </w:rPr>
      </w:pPr>
      <w:r w:rsidRPr="007D5055">
        <w:rPr>
          <w:rFonts w:ascii="Arial" w:hAnsi="Arial"/>
          <w:sz w:val="22"/>
          <w:szCs w:val="22"/>
        </w:rPr>
        <w:t xml:space="preserve">The claim in terms of safety had been modified. </w:t>
      </w:r>
    </w:p>
    <w:p w:rsidR="006E2E2C" w:rsidRPr="007D5055" w:rsidRDefault="006E2E2C" w:rsidP="006E2E2C">
      <w:pPr>
        <w:pStyle w:val="ListParagraph"/>
        <w:ind w:left="709"/>
        <w:rPr>
          <w:rFonts w:ascii="Arial" w:hAnsi="Arial"/>
          <w:sz w:val="22"/>
          <w:szCs w:val="22"/>
        </w:rPr>
      </w:pPr>
    </w:p>
    <w:p w:rsidR="006E2E2C" w:rsidRPr="007D5055" w:rsidRDefault="006E2E2C" w:rsidP="00E222DC">
      <w:pPr>
        <w:jc w:val="both"/>
        <w:rPr>
          <w:rFonts w:ascii="Arial" w:hAnsi="Arial" w:cs="Arial"/>
          <w:sz w:val="22"/>
          <w:szCs w:val="22"/>
          <w:u w:val="single"/>
        </w:rPr>
      </w:pPr>
      <w:proofErr w:type="spellStart"/>
      <w:r w:rsidRPr="007D5055">
        <w:rPr>
          <w:rFonts w:ascii="Arial" w:hAnsi="Arial" w:cs="Arial"/>
          <w:sz w:val="22"/>
          <w:szCs w:val="22"/>
          <w:u w:val="single"/>
        </w:rPr>
        <w:t>Adalimumab</w:t>
      </w:r>
      <w:proofErr w:type="spellEnd"/>
      <w:r w:rsidRPr="007D5055">
        <w:rPr>
          <w:rFonts w:ascii="Arial" w:hAnsi="Arial" w:cs="Arial"/>
          <w:sz w:val="22"/>
          <w:szCs w:val="22"/>
          <w:u w:val="single"/>
        </w:rPr>
        <w:t xml:space="preserve"> versus infliximab</w:t>
      </w:r>
    </w:p>
    <w:p w:rsidR="006E2E2C" w:rsidRPr="007D5055" w:rsidRDefault="006E2E2C" w:rsidP="00E222DC">
      <w:pPr>
        <w:pStyle w:val="ListParagraph"/>
        <w:numPr>
          <w:ilvl w:val="1"/>
          <w:numId w:val="1"/>
        </w:numPr>
        <w:jc w:val="both"/>
        <w:rPr>
          <w:rFonts w:ascii="Arial" w:hAnsi="Arial"/>
          <w:b/>
          <w:color w:val="CC00FF"/>
          <w:sz w:val="22"/>
          <w:szCs w:val="22"/>
        </w:rPr>
      </w:pPr>
      <w:r w:rsidRPr="007D5055">
        <w:rPr>
          <w:rFonts w:ascii="Arial" w:hAnsi="Arial"/>
          <w:sz w:val="22"/>
          <w:szCs w:val="22"/>
        </w:rPr>
        <w:t xml:space="preserve">The </w:t>
      </w:r>
      <w:r w:rsidR="009926A5" w:rsidRPr="007D5055">
        <w:rPr>
          <w:rFonts w:ascii="Arial" w:hAnsi="Arial"/>
          <w:sz w:val="22"/>
          <w:szCs w:val="22"/>
        </w:rPr>
        <w:t>re-submission</w:t>
      </w:r>
      <w:r w:rsidRPr="007D5055">
        <w:rPr>
          <w:rFonts w:ascii="Arial" w:hAnsi="Arial"/>
          <w:sz w:val="22"/>
          <w:szCs w:val="22"/>
        </w:rPr>
        <w:t xml:space="preserve"> described </w:t>
      </w:r>
      <w:proofErr w:type="spellStart"/>
      <w:r w:rsidRPr="007D5055">
        <w:rPr>
          <w:rFonts w:ascii="Arial" w:hAnsi="Arial"/>
          <w:sz w:val="22"/>
          <w:szCs w:val="22"/>
        </w:rPr>
        <w:t>adalimumab</w:t>
      </w:r>
      <w:proofErr w:type="spellEnd"/>
      <w:r w:rsidRPr="007D5055">
        <w:rPr>
          <w:rFonts w:ascii="Arial" w:hAnsi="Arial"/>
          <w:sz w:val="22"/>
          <w:szCs w:val="22"/>
        </w:rPr>
        <w:t xml:space="preserve"> as non-inferior in terms of comparative effectiveness over infliximab, stating that there is no evidence at a conventional level of statistical significance that either agent is superior.</w:t>
      </w:r>
      <w:r w:rsidR="002B14D2" w:rsidRPr="007D5055">
        <w:rPr>
          <w:rFonts w:ascii="Arial" w:hAnsi="Arial"/>
          <w:sz w:val="22"/>
          <w:szCs w:val="22"/>
        </w:rPr>
        <w:t xml:space="preserve"> </w:t>
      </w:r>
    </w:p>
    <w:p w:rsidR="006E2E2C" w:rsidRPr="007D5055" w:rsidRDefault="006E2E2C" w:rsidP="00505097">
      <w:pPr>
        <w:pStyle w:val="ListParagraph"/>
        <w:ind w:left="709"/>
        <w:jc w:val="both"/>
        <w:rPr>
          <w:rFonts w:ascii="Arial" w:hAnsi="Arial"/>
          <w:sz w:val="22"/>
          <w:szCs w:val="22"/>
        </w:rPr>
      </w:pPr>
    </w:p>
    <w:p w:rsidR="002B14D2" w:rsidRPr="007D5055" w:rsidRDefault="00C82474" w:rsidP="002B14D2">
      <w:pPr>
        <w:pStyle w:val="ListParagraph"/>
        <w:numPr>
          <w:ilvl w:val="1"/>
          <w:numId w:val="1"/>
        </w:numPr>
        <w:jc w:val="both"/>
        <w:rPr>
          <w:rFonts w:ascii="Arial" w:hAnsi="Arial"/>
          <w:sz w:val="22"/>
          <w:szCs w:val="22"/>
        </w:rPr>
      </w:pPr>
      <w:r w:rsidRPr="007D5055">
        <w:rPr>
          <w:rFonts w:ascii="Arial" w:hAnsi="Arial"/>
          <w:sz w:val="22"/>
          <w:szCs w:val="22"/>
        </w:rPr>
        <w:t>The ESC advised that t</w:t>
      </w:r>
      <w:r w:rsidR="002B14D2" w:rsidRPr="007D5055">
        <w:rPr>
          <w:rFonts w:ascii="Arial" w:hAnsi="Arial"/>
          <w:sz w:val="22"/>
          <w:szCs w:val="22"/>
        </w:rPr>
        <w:t>his claim may not have been reasonable as:</w:t>
      </w:r>
    </w:p>
    <w:p w:rsidR="002B14D2" w:rsidRPr="007D5055" w:rsidRDefault="002B14D2" w:rsidP="002B14D2">
      <w:pPr>
        <w:pStyle w:val="ListParagraph"/>
        <w:numPr>
          <w:ilvl w:val="0"/>
          <w:numId w:val="32"/>
        </w:numPr>
        <w:ind w:left="1134" w:hanging="425"/>
        <w:rPr>
          <w:rFonts w:ascii="Arial" w:hAnsi="Arial"/>
          <w:sz w:val="22"/>
          <w:szCs w:val="22"/>
        </w:rPr>
      </w:pPr>
      <w:r w:rsidRPr="007D5055">
        <w:rPr>
          <w:rFonts w:ascii="Arial" w:hAnsi="Arial"/>
          <w:sz w:val="22"/>
          <w:szCs w:val="22"/>
        </w:rPr>
        <w:t xml:space="preserve">There were no head-to-head randomised trials of </w:t>
      </w:r>
      <w:proofErr w:type="spellStart"/>
      <w:r w:rsidRPr="007D5055">
        <w:rPr>
          <w:rFonts w:ascii="Arial" w:hAnsi="Arial"/>
          <w:sz w:val="22"/>
          <w:szCs w:val="22"/>
        </w:rPr>
        <w:t>adalimumab</w:t>
      </w:r>
      <w:proofErr w:type="spellEnd"/>
      <w:r w:rsidRPr="007D5055">
        <w:rPr>
          <w:rFonts w:ascii="Arial" w:hAnsi="Arial"/>
          <w:sz w:val="22"/>
          <w:szCs w:val="22"/>
        </w:rPr>
        <w:t xml:space="preserve"> versus infliximab, an indirect comparison was the only means of comparison; </w:t>
      </w:r>
    </w:p>
    <w:p w:rsidR="002B14D2" w:rsidRPr="002B7FBB" w:rsidRDefault="002B14D2" w:rsidP="002B14D2">
      <w:pPr>
        <w:pStyle w:val="ListParagraph"/>
        <w:numPr>
          <w:ilvl w:val="0"/>
          <w:numId w:val="32"/>
        </w:numPr>
        <w:ind w:left="1134" w:hanging="425"/>
        <w:rPr>
          <w:rFonts w:ascii="Arial" w:hAnsi="Arial"/>
          <w:sz w:val="22"/>
          <w:szCs w:val="22"/>
        </w:rPr>
      </w:pPr>
      <w:r w:rsidRPr="00056553">
        <w:rPr>
          <w:rFonts w:ascii="Arial" w:hAnsi="Arial"/>
          <w:sz w:val="22"/>
          <w:szCs w:val="22"/>
        </w:rPr>
        <w:t xml:space="preserve">The indirect comparison indicated a trend for inferior efficacy for </w:t>
      </w:r>
      <w:proofErr w:type="spellStart"/>
      <w:r w:rsidRPr="00056553">
        <w:rPr>
          <w:rFonts w:ascii="Arial" w:hAnsi="Arial"/>
          <w:sz w:val="22"/>
          <w:szCs w:val="22"/>
        </w:rPr>
        <w:t>adalimumab</w:t>
      </w:r>
      <w:proofErr w:type="spellEnd"/>
      <w:r w:rsidRPr="00056553">
        <w:rPr>
          <w:rFonts w:ascii="Arial" w:hAnsi="Arial"/>
          <w:sz w:val="22"/>
          <w:szCs w:val="22"/>
        </w:rPr>
        <w:t xml:space="preserve">, although this was not statistically significant. </w:t>
      </w:r>
    </w:p>
    <w:p w:rsidR="002B14D2" w:rsidRPr="007D5055" w:rsidRDefault="002B14D2" w:rsidP="002B14D2">
      <w:pPr>
        <w:pStyle w:val="ListParagraph"/>
        <w:jc w:val="both"/>
        <w:rPr>
          <w:rFonts w:ascii="Arial" w:hAnsi="Arial"/>
          <w:b/>
          <w:color w:val="FF00FF"/>
          <w:sz w:val="22"/>
          <w:szCs w:val="22"/>
        </w:rPr>
      </w:pPr>
    </w:p>
    <w:p w:rsidR="002B14D2" w:rsidRPr="007D5055" w:rsidRDefault="002B14D2" w:rsidP="002B14D2">
      <w:pPr>
        <w:pStyle w:val="ListParagraph"/>
        <w:numPr>
          <w:ilvl w:val="1"/>
          <w:numId w:val="1"/>
        </w:numPr>
        <w:jc w:val="both"/>
        <w:rPr>
          <w:rFonts w:ascii="Arial" w:hAnsi="Arial"/>
          <w:b/>
          <w:color w:val="FF00FF"/>
          <w:sz w:val="22"/>
          <w:szCs w:val="22"/>
        </w:rPr>
      </w:pPr>
      <w:r w:rsidRPr="007D5055">
        <w:rPr>
          <w:rFonts w:ascii="Arial" w:hAnsi="Arial"/>
          <w:sz w:val="22"/>
          <w:szCs w:val="22"/>
        </w:rPr>
        <w:t xml:space="preserve">No claim with regards to comparative safety was provided in the re-submission. </w:t>
      </w:r>
    </w:p>
    <w:p w:rsidR="00505097" w:rsidRPr="007D5055" w:rsidRDefault="00505097" w:rsidP="00505097">
      <w:pPr>
        <w:pStyle w:val="ListParagraph"/>
        <w:ind w:left="709"/>
        <w:jc w:val="both"/>
        <w:rPr>
          <w:rFonts w:ascii="Arial" w:hAnsi="Arial"/>
          <w:sz w:val="22"/>
          <w:szCs w:val="22"/>
        </w:rPr>
      </w:pPr>
    </w:p>
    <w:p w:rsidR="00C82474" w:rsidRPr="007D5055" w:rsidRDefault="00C82474" w:rsidP="00C82474">
      <w:pPr>
        <w:ind w:left="720"/>
        <w:jc w:val="both"/>
        <w:rPr>
          <w:rFonts w:ascii="Arial" w:hAnsi="Arial"/>
          <w:i/>
          <w:sz w:val="22"/>
          <w:szCs w:val="22"/>
        </w:rPr>
      </w:pPr>
      <w:r w:rsidRPr="007D5055">
        <w:rPr>
          <w:rFonts w:ascii="Arial" w:hAnsi="Arial"/>
          <w:i/>
          <w:sz w:val="22"/>
          <w:szCs w:val="22"/>
        </w:rPr>
        <w:t>For more detail on PBAC’s view, see section 7 “PBAC outcome”</w:t>
      </w:r>
    </w:p>
    <w:p w:rsidR="00BB7EC3" w:rsidRPr="007D5055" w:rsidRDefault="00BB7EC3" w:rsidP="00902922">
      <w:pPr>
        <w:ind w:left="720"/>
        <w:jc w:val="both"/>
        <w:rPr>
          <w:rFonts w:ascii="Arial" w:hAnsi="Arial"/>
          <w:sz w:val="22"/>
          <w:szCs w:val="22"/>
        </w:rPr>
      </w:pPr>
    </w:p>
    <w:p w:rsidR="005A3173" w:rsidRPr="007D5055" w:rsidRDefault="005A3173" w:rsidP="00882085">
      <w:pPr>
        <w:ind w:left="720" w:hanging="720"/>
        <w:jc w:val="both"/>
        <w:rPr>
          <w:rFonts w:ascii="Arial" w:hAnsi="Arial"/>
          <w:b/>
          <w:i/>
          <w:sz w:val="22"/>
          <w:szCs w:val="22"/>
        </w:rPr>
      </w:pPr>
      <w:r w:rsidRPr="007D5055">
        <w:rPr>
          <w:rFonts w:ascii="Arial" w:hAnsi="Arial"/>
          <w:b/>
          <w:i/>
          <w:sz w:val="22"/>
          <w:szCs w:val="22"/>
        </w:rPr>
        <w:t>Economic analysis</w:t>
      </w:r>
    </w:p>
    <w:p w:rsidR="005A3173" w:rsidRPr="007D5055" w:rsidRDefault="005A3173" w:rsidP="00882085">
      <w:pPr>
        <w:ind w:left="720" w:hanging="720"/>
        <w:jc w:val="both"/>
        <w:rPr>
          <w:rFonts w:ascii="Arial" w:hAnsi="Arial"/>
          <w:sz w:val="22"/>
          <w:szCs w:val="22"/>
        </w:rPr>
      </w:pPr>
    </w:p>
    <w:p w:rsidR="003404DE" w:rsidRPr="007D5055" w:rsidRDefault="00331EE4" w:rsidP="002B14D2">
      <w:pPr>
        <w:pStyle w:val="ListParagraph"/>
        <w:numPr>
          <w:ilvl w:val="1"/>
          <w:numId w:val="1"/>
        </w:numPr>
        <w:jc w:val="both"/>
        <w:rPr>
          <w:rFonts w:ascii="Arial" w:hAnsi="Arial"/>
          <w:sz w:val="22"/>
          <w:szCs w:val="22"/>
        </w:rPr>
      </w:pPr>
      <w:r w:rsidRPr="007D5055">
        <w:rPr>
          <w:rFonts w:ascii="Arial" w:hAnsi="Arial"/>
          <w:sz w:val="22"/>
          <w:szCs w:val="22"/>
        </w:rPr>
        <w:t>The re-submission presented</w:t>
      </w:r>
      <w:r w:rsidR="002B14D2" w:rsidRPr="007D5055">
        <w:rPr>
          <w:rFonts w:ascii="Arial" w:hAnsi="Arial"/>
          <w:sz w:val="22"/>
          <w:szCs w:val="22"/>
        </w:rPr>
        <w:t xml:space="preserve"> both a preliminary trial-based economic evaluation, based on the efficacy results from the ULTRA trials, and a modelled economic evaluation. </w:t>
      </w:r>
    </w:p>
    <w:p w:rsidR="003404DE" w:rsidRPr="007D5055" w:rsidRDefault="003404DE" w:rsidP="003404DE">
      <w:pPr>
        <w:pStyle w:val="ListParagraph"/>
        <w:jc w:val="both"/>
        <w:rPr>
          <w:rFonts w:ascii="Arial" w:hAnsi="Arial"/>
          <w:sz w:val="22"/>
          <w:szCs w:val="22"/>
        </w:rPr>
      </w:pPr>
    </w:p>
    <w:p w:rsidR="003404DE" w:rsidRPr="007D5055" w:rsidRDefault="003404DE" w:rsidP="003404DE">
      <w:pPr>
        <w:pStyle w:val="ListParagraph"/>
        <w:numPr>
          <w:ilvl w:val="1"/>
          <w:numId w:val="1"/>
        </w:numPr>
        <w:jc w:val="both"/>
        <w:rPr>
          <w:rFonts w:ascii="Arial" w:hAnsi="Arial"/>
          <w:sz w:val="22"/>
          <w:szCs w:val="22"/>
        </w:rPr>
      </w:pPr>
      <w:r w:rsidRPr="007D5055">
        <w:rPr>
          <w:rFonts w:ascii="Arial" w:hAnsi="Arial"/>
          <w:sz w:val="22"/>
          <w:szCs w:val="22"/>
        </w:rPr>
        <w:t>The type of economic evaluation presented was a cost-utility analysis with a ten-state Markov modelled economic analysis.</w:t>
      </w:r>
    </w:p>
    <w:p w:rsidR="003404DE" w:rsidRPr="007D5055" w:rsidRDefault="003404DE" w:rsidP="003404DE">
      <w:pPr>
        <w:pStyle w:val="ListParagraph"/>
        <w:jc w:val="both"/>
        <w:rPr>
          <w:rFonts w:ascii="Arial" w:hAnsi="Arial"/>
          <w:sz w:val="22"/>
          <w:szCs w:val="22"/>
        </w:rPr>
      </w:pPr>
    </w:p>
    <w:p w:rsidR="00991DDA" w:rsidRPr="007D5055" w:rsidRDefault="00991DDA" w:rsidP="00902922">
      <w:pPr>
        <w:pStyle w:val="ListParagraph"/>
        <w:numPr>
          <w:ilvl w:val="1"/>
          <w:numId w:val="1"/>
        </w:numPr>
        <w:jc w:val="both"/>
        <w:rPr>
          <w:rFonts w:ascii="Arial" w:hAnsi="Arial"/>
          <w:sz w:val="22"/>
          <w:szCs w:val="22"/>
        </w:rPr>
      </w:pPr>
      <w:r w:rsidRPr="007D5055">
        <w:rPr>
          <w:rFonts w:ascii="Arial" w:hAnsi="Arial"/>
          <w:sz w:val="22"/>
          <w:szCs w:val="22"/>
        </w:rPr>
        <w:t xml:space="preserve">The model compared the cost-effectiveness of </w:t>
      </w:r>
      <w:proofErr w:type="spellStart"/>
      <w:r w:rsidRPr="007D5055">
        <w:rPr>
          <w:rFonts w:ascii="Arial" w:hAnsi="Arial"/>
          <w:sz w:val="22"/>
          <w:szCs w:val="22"/>
        </w:rPr>
        <w:t>adalimumab</w:t>
      </w:r>
      <w:proofErr w:type="spellEnd"/>
      <w:r w:rsidRPr="007D5055">
        <w:rPr>
          <w:rFonts w:ascii="Arial" w:hAnsi="Arial"/>
          <w:sz w:val="22"/>
          <w:szCs w:val="22"/>
        </w:rPr>
        <w:t xml:space="preserve"> (as an adjunct to standard care) to standard care for patients with moderately to severely active ulcerative colitis. Patients </w:t>
      </w:r>
      <w:r w:rsidR="009926A5" w:rsidRPr="007D5055">
        <w:rPr>
          <w:rFonts w:ascii="Arial" w:hAnsi="Arial"/>
          <w:sz w:val="22"/>
          <w:szCs w:val="22"/>
        </w:rPr>
        <w:t>we</w:t>
      </w:r>
      <w:r w:rsidRPr="007D5055">
        <w:rPr>
          <w:rFonts w:ascii="Arial" w:hAnsi="Arial"/>
          <w:sz w:val="22"/>
          <w:szCs w:val="22"/>
        </w:rPr>
        <w:t xml:space="preserve">re cycled through ten health states in four-weekly cycles for 10 years. Long-term costs and outcomes </w:t>
      </w:r>
      <w:r w:rsidR="009926A5" w:rsidRPr="007D5055">
        <w:rPr>
          <w:rFonts w:ascii="Arial" w:hAnsi="Arial"/>
          <w:sz w:val="22"/>
          <w:szCs w:val="22"/>
        </w:rPr>
        <w:t>we</w:t>
      </w:r>
      <w:r w:rsidRPr="007D5055">
        <w:rPr>
          <w:rFonts w:ascii="Arial" w:hAnsi="Arial"/>
          <w:sz w:val="22"/>
          <w:szCs w:val="22"/>
        </w:rPr>
        <w:t>re calculated in each treatment group via a Markov state transition model</w:t>
      </w:r>
      <w:r w:rsidR="009926A5" w:rsidRPr="007D5055">
        <w:rPr>
          <w:rFonts w:ascii="Arial" w:hAnsi="Arial"/>
          <w:sz w:val="22"/>
          <w:szCs w:val="22"/>
        </w:rPr>
        <w:t>.</w:t>
      </w:r>
      <w:r w:rsidR="009D7CC4" w:rsidRPr="007D5055">
        <w:rPr>
          <w:rFonts w:ascii="Arial" w:hAnsi="Arial"/>
          <w:sz w:val="22"/>
          <w:szCs w:val="22"/>
        </w:rPr>
        <w:t xml:space="preserve"> </w:t>
      </w:r>
    </w:p>
    <w:p w:rsidR="00991DDA" w:rsidRPr="007D5055" w:rsidRDefault="00991DDA" w:rsidP="00B01299">
      <w:pPr>
        <w:jc w:val="both"/>
        <w:rPr>
          <w:rFonts w:ascii="Arial" w:hAnsi="Arial"/>
          <w:sz w:val="22"/>
          <w:szCs w:val="22"/>
        </w:rPr>
      </w:pPr>
    </w:p>
    <w:p w:rsidR="00B01299" w:rsidRPr="007D5055" w:rsidRDefault="00B01299" w:rsidP="00B01299">
      <w:pPr>
        <w:pStyle w:val="ListParagraph"/>
        <w:numPr>
          <w:ilvl w:val="1"/>
          <w:numId w:val="1"/>
        </w:numPr>
        <w:jc w:val="both"/>
        <w:rPr>
          <w:rFonts w:ascii="Arial" w:hAnsi="Arial"/>
          <w:sz w:val="22"/>
          <w:szCs w:val="22"/>
        </w:rPr>
      </w:pPr>
      <w:r w:rsidRPr="007D5055">
        <w:rPr>
          <w:rFonts w:ascii="Arial" w:hAnsi="Arial"/>
          <w:sz w:val="22"/>
          <w:szCs w:val="22"/>
        </w:rPr>
        <w:t xml:space="preserve">The new model </w:t>
      </w:r>
      <w:r w:rsidR="009926A5" w:rsidRPr="007D5055">
        <w:rPr>
          <w:rFonts w:ascii="Arial" w:hAnsi="Arial"/>
          <w:sz w:val="22"/>
          <w:szCs w:val="22"/>
        </w:rPr>
        <w:t xml:space="preserve">aimed </w:t>
      </w:r>
      <w:r w:rsidRPr="007D5055">
        <w:rPr>
          <w:rFonts w:ascii="Arial" w:hAnsi="Arial"/>
          <w:sz w:val="22"/>
          <w:szCs w:val="22"/>
        </w:rPr>
        <w:t xml:space="preserve">to rectify the issues of the previous model in the following aspects: </w:t>
      </w:r>
    </w:p>
    <w:p w:rsidR="00B01299" w:rsidRPr="007D5055" w:rsidRDefault="00B01299" w:rsidP="00B01299">
      <w:pPr>
        <w:pStyle w:val="ListParagraph"/>
        <w:numPr>
          <w:ilvl w:val="0"/>
          <w:numId w:val="33"/>
        </w:numPr>
        <w:ind w:left="1134" w:hanging="425"/>
        <w:jc w:val="both"/>
        <w:rPr>
          <w:rFonts w:ascii="Arial" w:hAnsi="Arial"/>
          <w:sz w:val="22"/>
          <w:szCs w:val="22"/>
        </w:rPr>
      </w:pPr>
      <w:r w:rsidRPr="007D5055">
        <w:rPr>
          <w:rFonts w:ascii="Arial" w:hAnsi="Arial"/>
          <w:sz w:val="22"/>
          <w:szCs w:val="22"/>
        </w:rPr>
        <w:t xml:space="preserve">It was a 10 state Markov model explicitly linking costs of treatment with response and remission; </w:t>
      </w:r>
    </w:p>
    <w:p w:rsidR="00B01299" w:rsidRPr="007D5055" w:rsidRDefault="00B01299" w:rsidP="00B01299">
      <w:pPr>
        <w:pStyle w:val="ListParagraph"/>
        <w:numPr>
          <w:ilvl w:val="0"/>
          <w:numId w:val="33"/>
        </w:numPr>
        <w:ind w:left="1134" w:hanging="425"/>
        <w:jc w:val="both"/>
        <w:rPr>
          <w:rFonts w:ascii="Arial" w:hAnsi="Arial"/>
          <w:sz w:val="22"/>
          <w:szCs w:val="22"/>
        </w:rPr>
      </w:pPr>
      <w:r w:rsidRPr="007D5055">
        <w:rPr>
          <w:rFonts w:ascii="Arial" w:hAnsi="Arial"/>
          <w:sz w:val="22"/>
          <w:szCs w:val="22"/>
        </w:rPr>
        <w:t xml:space="preserve">Clinical response was used to determine costs and efficacy of treatment; </w:t>
      </w:r>
    </w:p>
    <w:p w:rsidR="00B01299" w:rsidRPr="007D5055" w:rsidRDefault="00B01299" w:rsidP="00B01299">
      <w:pPr>
        <w:pStyle w:val="ListParagraph"/>
        <w:numPr>
          <w:ilvl w:val="0"/>
          <w:numId w:val="33"/>
        </w:numPr>
        <w:ind w:left="1134" w:hanging="425"/>
        <w:jc w:val="both"/>
        <w:rPr>
          <w:rFonts w:ascii="Arial" w:hAnsi="Arial"/>
          <w:sz w:val="22"/>
          <w:szCs w:val="22"/>
        </w:rPr>
      </w:pPr>
      <w:r w:rsidRPr="007D5055">
        <w:rPr>
          <w:rFonts w:ascii="Arial" w:hAnsi="Arial"/>
          <w:sz w:val="22"/>
          <w:szCs w:val="22"/>
        </w:rPr>
        <w:t>Loss of response and/or remission over time was incorporated into the model based on efficacy data from the clinical trials; and</w:t>
      </w:r>
    </w:p>
    <w:p w:rsidR="00B01299" w:rsidRPr="007D5055" w:rsidRDefault="00B01299" w:rsidP="00B01299">
      <w:pPr>
        <w:pStyle w:val="ListParagraph"/>
        <w:numPr>
          <w:ilvl w:val="0"/>
          <w:numId w:val="33"/>
        </w:numPr>
        <w:ind w:left="1134" w:hanging="425"/>
        <w:jc w:val="both"/>
        <w:rPr>
          <w:rFonts w:ascii="Arial" w:hAnsi="Arial"/>
          <w:sz w:val="22"/>
          <w:szCs w:val="22"/>
        </w:rPr>
      </w:pPr>
      <w:r w:rsidRPr="007D5055">
        <w:rPr>
          <w:rFonts w:ascii="Arial" w:hAnsi="Arial"/>
          <w:sz w:val="22"/>
          <w:szCs w:val="22"/>
        </w:rPr>
        <w:t xml:space="preserve">Discontinuation, due to adverse events and other reasons, was taken into account. </w:t>
      </w:r>
    </w:p>
    <w:p w:rsidR="00991DDA" w:rsidRPr="007D5055" w:rsidRDefault="00991DDA" w:rsidP="00B01299">
      <w:pPr>
        <w:jc w:val="both"/>
        <w:rPr>
          <w:rFonts w:ascii="Arial" w:hAnsi="Arial"/>
          <w:sz w:val="22"/>
          <w:szCs w:val="22"/>
        </w:rPr>
      </w:pPr>
    </w:p>
    <w:p w:rsidR="00B01299" w:rsidRPr="007D5055" w:rsidRDefault="00991DDA" w:rsidP="00902922">
      <w:pPr>
        <w:pStyle w:val="ListParagraph"/>
        <w:numPr>
          <w:ilvl w:val="1"/>
          <w:numId w:val="1"/>
        </w:numPr>
        <w:jc w:val="both"/>
        <w:rPr>
          <w:rFonts w:ascii="Arial" w:hAnsi="Arial"/>
          <w:sz w:val="22"/>
          <w:szCs w:val="22"/>
        </w:rPr>
      </w:pPr>
      <w:r w:rsidRPr="007D5055">
        <w:rPr>
          <w:rFonts w:ascii="Arial" w:hAnsi="Arial"/>
          <w:sz w:val="22"/>
          <w:szCs w:val="22"/>
        </w:rPr>
        <w:t xml:space="preserve">Overall, the </w:t>
      </w:r>
      <w:r w:rsidR="00B01299" w:rsidRPr="007D5055">
        <w:rPr>
          <w:rFonts w:ascii="Arial" w:hAnsi="Arial"/>
          <w:sz w:val="22"/>
          <w:szCs w:val="22"/>
        </w:rPr>
        <w:t xml:space="preserve">evaluation considered the </w:t>
      </w:r>
      <w:r w:rsidRPr="007D5055">
        <w:rPr>
          <w:rFonts w:ascii="Arial" w:hAnsi="Arial"/>
          <w:sz w:val="22"/>
          <w:szCs w:val="22"/>
        </w:rPr>
        <w:t xml:space="preserve">structure of the model </w:t>
      </w:r>
      <w:r w:rsidR="00B01299" w:rsidRPr="007D5055">
        <w:rPr>
          <w:rFonts w:ascii="Arial" w:hAnsi="Arial"/>
          <w:sz w:val="22"/>
          <w:szCs w:val="22"/>
        </w:rPr>
        <w:t>to be</w:t>
      </w:r>
      <w:r w:rsidRPr="007D5055">
        <w:rPr>
          <w:rFonts w:ascii="Arial" w:hAnsi="Arial"/>
          <w:sz w:val="22"/>
          <w:szCs w:val="22"/>
        </w:rPr>
        <w:t xml:space="preserve"> appropriate.</w:t>
      </w:r>
      <w:r w:rsidR="00B01299" w:rsidRPr="007D5055">
        <w:rPr>
          <w:rFonts w:ascii="Arial" w:hAnsi="Arial"/>
          <w:sz w:val="22"/>
          <w:szCs w:val="22"/>
        </w:rPr>
        <w:t xml:space="preserve"> All </w:t>
      </w:r>
      <w:r w:rsidRPr="007D5055">
        <w:rPr>
          <w:rFonts w:ascii="Arial" w:hAnsi="Arial"/>
          <w:sz w:val="22"/>
          <w:szCs w:val="22"/>
        </w:rPr>
        <w:t xml:space="preserve">the necessary healthcare resource costs were included. </w:t>
      </w:r>
    </w:p>
    <w:p w:rsidR="00B01299" w:rsidRPr="007D5055" w:rsidRDefault="00B01299" w:rsidP="00B01299">
      <w:pPr>
        <w:jc w:val="both"/>
        <w:rPr>
          <w:rFonts w:ascii="Arial" w:hAnsi="Arial"/>
          <w:sz w:val="22"/>
          <w:szCs w:val="22"/>
        </w:rPr>
      </w:pPr>
    </w:p>
    <w:p w:rsidR="00B01299" w:rsidRPr="007D5055" w:rsidRDefault="00B01299" w:rsidP="00B01299">
      <w:pPr>
        <w:pStyle w:val="ListParagraph"/>
        <w:numPr>
          <w:ilvl w:val="1"/>
          <w:numId w:val="1"/>
        </w:numPr>
        <w:jc w:val="both"/>
        <w:rPr>
          <w:rFonts w:ascii="Arial" w:hAnsi="Arial"/>
          <w:sz w:val="22"/>
          <w:szCs w:val="22"/>
        </w:rPr>
      </w:pPr>
      <w:r w:rsidRPr="007D5055">
        <w:rPr>
          <w:rFonts w:ascii="Arial" w:hAnsi="Arial"/>
          <w:sz w:val="22"/>
          <w:szCs w:val="22"/>
        </w:rPr>
        <w:t xml:space="preserve">The discounted incremental cost per QALY for </w:t>
      </w:r>
      <w:proofErr w:type="spellStart"/>
      <w:r w:rsidRPr="007D5055">
        <w:rPr>
          <w:rFonts w:ascii="Arial" w:hAnsi="Arial"/>
          <w:sz w:val="22"/>
          <w:szCs w:val="22"/>
        </w:rPr>
        <w:t>adalimumab</w:t>
      </w:r>
      <w:proofErr w:type="spellEnd"/>
      <w:r w:rsidRPr="007D5055">
        <w:rPr>
          <w:rFonts w:ascii="Arial" w:hAnsi="Arial"/>
          <w:sz w:val="22"/>
          <w:szCs w:val="22"/>
        </w:rPr>
        <w:t xml:space="preserve"> treatment (plus best supportive care), compared to best supportive care alone </w:t>
      </w:r>
      <w:r w:rsidR="009926A5" w:rsidRPr="007D5055">
        <w:rPr>
          <w:rFonts w:ascii="Arial" w:hAnsi="Arial"/>
          <w:sz w:val="22"/>
          <w:szCs w:val="22"/>
        </w:rPr>
        <w:t xml:space="preserve">was </w:t>
      </w:r>
      <w:r w:rsidRPr="007D5055">
        <w:rPr>
          <w:rFonts w:ascii="Arial" w:hAnsi="Arial"/>
          <w:sz w:val="22"/>
          <w:szCs w:val="22"/>
        </w:rPr>
        <w:t xml:space="preserve">calculated by the re-submission to be </w:t>
      </w:r>
      <w:r w:rsidR="006B0EC8">
        <w:rPr>
          <w:rFonts w:ascii="Arial" w:hAnsi="Arial"/>
          <w:sz w:val="22"/>
          <w:szCs w:val="22"/>
        </w:rPr>
        <w:t>in the range of $15,000/QALY - $45,000/QALY</w:t>
      </w:r>
      <w:r w:rsidR="00056553" w:rsidRPr="00674B75">
        <w:rPr>
          <w:rFonts w:ascii="Arial" w:hAnsi="Arial"/>
          <w:sz w:val="22"/>
          <w:szCs w:val="22"/>
        </w:rPr>
        <w:t>, compared to $</w:t>
      </w:r>
      <w:r w:rsidR="008B6EB1" w:rsidRPr="008B6EB1">
        <w:rPr>
          <w:rFonts w:ascii="Arial" w:hAnsi="Arial"/>
          <w:i/>
          <w:sz w:val="22"/>
          <w:szCs w:val="22"/>
        </w:rPr>
        <w:t>(REDACTED</w:t>
      </w:r>
      <w:proofErr w:type="gramStart"/>
      <w:r w:rsidR="008B6EB1">
        <w:rPr>
          <w:rFonts w:ascii="Arial" w:hAnsi="Arial"/>
          <w:i/>
          <w:sz w:val="22"/>
          <w:szCs w:val="22"/>
        </w:rPr>
        <w:t>)</w:t>
      </w:r>
      <w:r w:rsidR="008B6EB1">
        <w:rPr>
          <w:rFonts w:ascii="Arial" w:hAnsi="Arial"/>
          <w:i/>
        </w:rPr>
        <w:t xml:space="preserve"> </w:t>
      </w:r>
      <w:r w:rsidR="00056553" w:rsidRPr="00674B75">
        <w:rPr>
          <w:rFonts w:ascii="Arial" w:hAnsi="Arial"/>
          <w:sz w:val="22"/>
          <w:szCs w:val="22"/>
        </w:rPr>
        <w:t xml:space="preserve"> in</w:t>
      </w:r>
      <w:proofErr w:type="gramEnd"/>
      <w:r w:rsidR="00056553" w:rsidRPr="00674B75">
        <w:rPr>
          <w:rFonts w:ascii="Arial" w:hAnsi="Arial"/>
          <w:sz w:val="22"/>
          <w:szCs w:val="22"/>
        </w:rPr>
        <w:t xml:space="preserve"> the previous submission (20-year model duration).</w:t>
      </w:r>
      <w:r w:rsidRPr="007D5055">
        <w:rPr>
          <w:rFonts w:ascii="Arial" w:hAnsi="Arial"/>
          <w:sz w:val="22"/>
          <w:szCs w:val="22"/>
        </w:rPr>
        <w:t xml:space="preserve"> In line with the key economic drivers, the ESC advised that the incremental cost effectiveness ratio (ICER) of </w:t>
      </w:r>
      <w:r w:rsidR="006B0EC8">
        <w:rPr>
          <w:rFonts w:ascii="Arial" w:hAnsi="Arial"/>
          <w:sz w:val="22"/>
          <w:szCs w:val="22"/>
        </w:rPr>
        <w:t>$15,000/QALY - $45,000/QALY</w:t>
      </w:r>
      <w:r w:rsidRPr="007D5055">
        <w:rPr>
          <w:rFonts w:ascii="Arial" w:hAnsi="Arial"/>
          <w:sz w:val="22"/>
          <w:szCs w:val="22"/>
        </w:rPr>
        <w:t xml:space="preserve"> gained to be potentially underestimated to a significant extent for the following reasons:</w:t>
      </w:r>
    </w:p>
    <w:p w:rsidR="00B01299" w:rsidRPr="007D5055" w:rsidRDefault="00B01299" w:rsidP="00B01299">
      <w:pPr>
        <w:pStyle w:val="ListParagraph"/>
        <w:numPr>
          <w:ilvl w:val="0"/>
          <w:numId w:val="34"/>
        </w:numPr>
        <w:ind w:left="1134" w:hanging="425"/>
        <w:jc w:val="both"/>
        <w:rPr>
          <w:rFonts w:ascii="Arial" w:hAnsi="Arial"/>
          <w:sz w:val="22"/>
          <w:szCs w:val="22"/>
        </w:rPr>
      </w:pPr>
      <w:r w:rsidRPr="007D5055">
        <w:rPr>
          <w:rFonts w:ascii="Arial" w:hAnsi="Arial"/>
          <w:sz w:val="22"/>
          <w:szCs w:val="22"/>
        </w:rPr>
        <w:t xml:space="preserve">Health state costs </w:t>
      </w:r>
      <w:r w:rsidRPr="00056553">
        <w:rPr>
          <w:rFonts w:ascii="Arial" w:hAnsi="Arial"/>
          <w:sz w:val="22"/>
          <w:szCs w:val="22"/>
        </w:rPr>
        <w:t xml:space="preserve">derived from a </w:t>
      </w:r>
      <w:r w:rsidR="008B6EB1" w:rsidRPr="008B6EB1">
        <w:rPr>
          <w:rFonts w:ascii="Arial" w:hAnsi="Arial"/>
          <w:i/>
          <w:sz w:val="22"/>
          <w:szCs w:val="22"/>
        </w:rPr>
        <w:t>(REDACTED</w:t>
      </w:r>
      <w:proofErr w:type="gramStart"/>
      <w:r w:rsidR="008B6EB1">
        <w:rPr>
          <w:rFonts w:ascii="Arial" w:hAnsi="Arial"/>
          <w:i/>
          <w:sz w:val="22"/>
          <w:szCs w:val="22"/>
        </w:rPr>
        <w:t>)</w:t>
      </w:r>
      <w:r w:rsidR="008B6EB1">
        <w:rPr>
          <w:rFonts w:ascii="Arial" w:hAnsi="Arial"/>
          <w:i/>
        </w:rPr>
        <w:t xml:space="preserve"> </w:t>
      </w:r>
      <w:r w:rsidRPr="00056553">
        <w:rPr>
          <w:rFonts w:ascii="Arial" w:hAnsi="Arial"/>
          <w:sz w:val="22"/>
          <w:szCs w:val="22"/>
        </w:rPr>
        <w:t xml:space="preserve"> clinician</w:t>
      </w:r>
      <w:proofErr w:type="gramEnd"/>
      <w:r w:rsidRPr="00056553">
        <w:rPr>
          <w:rFonts w:ascii="Arial" w:hAnsi="Arial"/>
          <w:sz w:val="22"/>
          <w:szCs w:val="22"/>
        </w:rPr>
        <w:t xml:space="preserve"> treatment survey </w:t>
      </w:r>
      <w:r w:rsidR="006B0EC8" w:rsidRPr="00674B75">
        <w:rPr>
          <w:rFonts w:ascii="Arial" w:hAnsi="Arial"/>
          <w:sz w:val="22"/>
          <w:szCs w:val="22"/>
        </w:rPr>
        <w:t xml:space="preserve">were </w:t>
      </w:r>
      <w:r w:rsidRPr="007D5055">
        <w:rPr>
          <w:rFonts w:ascii="Arial" w:hAnsi="Arial"/>
          <w:sz w:val="22"/>
          <w:szCs w:val="22"/>
        </w:rPr>
        <w:t xml:space="preserve"> potentially underestimated. The ESC advised that there are significant differences in health state costs between the remission and non-response states </w:t>
      </w:r>
      <w:r w:rsidRPr="004F7C77">
        <w:rPr>
          <w:rFonts w:ascii="Arial" w:hAnsi="Arial"/>
          <w:sz w:val="22"/>
          <w:szCs w:val="22"/>
        </w:rPr>
        <w:t>as derived from the clinician survey compared to those from the published Australian study by Gibson (2013) which the ESC considered could be used in the economic evaluation.</w:t>
      </w:r>
    </w:p>
    <w:p w:rsidR="00B01299" w:rsidRPr="007D5055" w:rsidRDefault="00B01299" w:rsidP="00B01299">
      <w:pPr>
        <w:pStyle w:val="ListParagraph"/>
        <w:numPr>
          <w:ilvl w:val="0"/>
          <w:numId w:val="35"/>
        </w:numPr>
        <w:ind w:left="1134" w:hanging="425"/>
        <w:jc w:val="both"/>
        <w:rPr>
          <w:rFonts w:ascii="Arial" w:hAnsi="Arial"/>
          <w:sz w:val="22"/>
          <w:szCs w:val="22"/>
        </w:rPr>
      </w:pPr>
      <w:r w:rsidRPr="007D5055">
        <w:rPr>
          <w:rFonts w:ascii="Arial" w:hAnsi="Arial"/>
          <w:sz w:val="22"/>
          <w:szCs w:val="22"/>
        </w:rPr>
        <w:t xml:space="preserve">Utility values associated with various health states may not be accurate. The ESC advised that there are significant differences in utility values between remission and non-response health states as derived from Tsai (2008) than recently published Australian data from Gibson (2013). The ESC noted that utility values from Gibson (2013) have higher values for patients in the non-response health state (Tsai: EQ-5D - 0.42; Gibson: </w:t>
      </w:r>
      <w:proofErr w:type="spellStart"/>
      <w:r w:rsidRPr="007D5055">
        <w:rPr>
          <w:rFonts w:ascii="Arial" w:hAnsi="Arial"/>
          <w:sz w:val="22"/>
          <w:szCs w:val="22"/>
        </w:rPr>
        <w:t>AQol</w:t>
      </w:r>
      <w:proofErr w:type="spellEnd"/>
      <w:r w:rsidRPr="007D5055">
        <w:rPr>
          <w:rFonts w:ascii="Arial" w:hAnsi="Arial"/>
          <w:sz w:val="22"/>
          <w:szCs w:val="22"/>
        </w:rPr>
        <w:t xml:space="preserve"> - 0.66 and EQ-5D - 0.68) which if used in the economic evaluation, would decrease the gains in QALYs and therefore reduce the estimated incremental cost-effectiveness of </w:t>
      </w:r>
      <w:proofErr w:type="spellStart"/>
      <w:r w:rsidRPr="007D5055">
        <w:rPr>
          <w:rFonts w:ascii="Arial" w:hAnsi="Arial"/>
          <w:sz w:val="22"/>
          <w:szCs w:val="22"/>
        </w:rPr>
        <w:t>adalimumab</w:t>
      </w:r>
      <w:proofErr w:type="spellEnd"/>
      <w:r w:rsidRPr="007D5055">
        <w:rPr>
          <w:rFonts w:ascii="Arial" w:hAnsi="Arial"/>
          <w:sz w:val="22"/>
          <w:szCs w:val="22"/>
        </w:rPr>
        <w:t>.</w:t>
      </w:r>
    </w:p>
    <w:p w:rsidR="001A4831" w:rsidRPr="007D5055" w:rsidRDefault="00B01299" w:rsidP="00902922">
      <w:pPr>
        <w:pStyle w:val="ListParagraph"/>
        <w:numPr>
          <w:ilvl w:val="0"/>
          <w:numId w:val="36"/>
        </w:numPr>
        <w:ind w:left="1134" w:hanging="425"/>
        <w:jc w:val="both"/>
        <w:rPr>
          <w:rFonts w:ascii="Arial" w:hAnsi="Arial"/>
          <w:sz w:val="22"/>
          <w:szCs w:val="22"/>
        </w:rPr>
      </w:pPr>
      <w:r w:rsidRPr="007D5055">
        <w:rPr>
          <w:rFonts w:ascii="Arial" w:hAnsi="Arial"/>
          <w:sz w:val="22"/>
          <w:szCs w:val="22"/>
        </w:rPr>
        <w:lastRenderedPageBreak/>
        <w:t xml:space="preserve">The probability of maintaining response beyond 1 year is not consistent across treatments. For placebo, the corresponding four weekly probability of 0.917 of maintaining response was based on loss of response between weeks 8 and 52. The same probability was observed for </w:t>
      </w:r>
      <w:proofErr w:type="spellStart"/>
      <w:r w:rsidRPr="007D5055">
        <w:rPr>
          <w:rFonts w:ascii="Arial" w:hAnsi="Arial"/>
          <w:sz w:val="22"/>
          <w:szCs w:val="22"/>
        </w:rPr>
        <w:t>adalimumab</w:t>
      </w:r>
      <w:proofErr w:type="spellEnd"/>
      <w:r w:rsidRPr="007D5055">
        <w:rPr>
          <w:rFonts w:ascii="Arial" w:hAnsi="Arial"/>
          <w:sz w:val="22"/>
          <w:szCs w:val="22"/>
        </w:rPr>
        <w:t xml:space="preserve"> between weeks 8 and 52, but a post-52 week, four weekly probability of 0.997 for maintaining response was used in the economic model for </w:t>
      </w:r>
      <w:proofErr w:type="spellStart"/>
      <w:r w:rsidRPr="007D5055">
        <w:rPr>
          <w:rFonts w:ascii="Arial" w:hAnsi="Arial"/>
          <w:sz w:val="22"/>
          <w:szCs w:val="22"/>
        </w:rPr>
        <w:t>adalimumab</w:t>
      </w:r>
      <w:proofErr w:type="spellEnd"/>
      <w:r w:rsidRPr="007D5055">
        <w:rPr>
          <w:rFonts w:ascii="Arial" w:hAnsi="Arial"/>
          <w:sz w:val="22"/>
          <w:szCs w:val="22"/>
        </w:rPr>
        <w:t xml:space="preserve"> patients. The probability of 0.997 was informed by a single arm extension study of patients on </w:t>
      </w:r>
      <w:proofErr w:type="spellStart"/>
      <w:r w:rsidRPr="007D5055">
        <w:rPr>
          <w:rFonts w:ascii="Arial" w:hAnsi="Arial"/>
          <w:sz w:val="22"/>
          <w:szCs w:val="22"/>
        </w:rPr>
        <w:t>adalimumab</w:t>
      </w:r>
      <w:proofErr w:type="spellEnd"/>
      <w:r w:rsidRPr="007D5055">
        <w:rPr>
          <w:rFonts w:ascii="Arial" w:hAnsi="Arial"/>
          <w:sz w:val="22"/>
          <w:szCs w:val="22"/>
        </w:rPr>
        <w:t xml:space="preserve">. An extension study of placebo patients was not available.  The ESC advised that the use of a 0.917 transition probability for placebo patients yet a 0.997 transition probability for </w:t>
      </w:r>
      <w:proofErr w:type="spellStart"/>
      <w:r w:rsidRPr="007D5055">
        <w:rPr>
          <w:rFonts w:ascii="Arial" w:hAnsi="Arial"/>
          <w:sz w:val="22"/>
          <w:szCs w:val="22"/>
        </w:rPr>
        <w:t>adalimumab</w:t>
      </w:r>
      <w:proofErr w:type="spellEnd"/>
      <w:r w:rsidRPr="007D5055">
        <w:rPr>
          <w:rFonts w:ascii="Arial" w:hAnsi="Arial"/>
          <w:sz w:val="22"/>
          <w:szCs w:val="22"/>
        </w:rPr>
        <w:t xml:space="preserve"> unfairly favours </w:t>
      </w:r>
      <w:proofErr w:type="spellStart"/>
      <w:r w:rsidRPr="007D5055">
        <w:rPr>
          <w:rFonts w:ascii="Arial" w:hAnsi="Arial"/>
          <w:sz w:val="22"/>
          <w:szCs w:val="22"/>
        </w:rPr>
        <w:t>adalimumab</w:t>
      </w:r>
      <w:proofErr w:type="spellEnd"/>
      <w:r w:rsidRPr="007D5055">
        <w:rPr>
          <w:rFonts w:ascii="Arial" w:hAnsi="Arial"/>
          <w:sz w:val="22"/>
          <w:szCs w:val="22"/>
        </w:rPr>
        <w:t xml:space="preserve"> and that the transition probability for maintaining response should be consistent between </w:t>
      </w:r>
      <w:proofErr w:type="spellStart"/>
      <w:r w:rsidRPr="007D5055">
        <w:rPr>
          <w:rFonts w:ascii="Arial" w:hAnsi="Arial"/>
          <w:sz w:val="22"/>
          <w:szCs w:val="22"/>
        </w:rPr>
        <w:t>adalimumab</w:t>
      </w:r>
      <w:proofErr w:type="spellEnd"/>
      <w:r w:rsidRPr="007D5055">
        <w:rPr>
          <w:rFonts w:ascii="Arial" w:hAnsi="Arial"/>
          <w:sz w:val="22"/>
          <w:szCs w:val="22"/>
        </w:rPr>
        <w:t xml:space="preserve"> and placebo.</w:t>
      </w:r>
      <w:r w:rsidR="001A4831" w:rsidRPr="007D5055">
        <w:rPr>
          <w:rFonts w:ascii="Arial" w:hAnsi="Arial"/>
          <w:sz w:val="22"/>
          <w:szCs w:val="22"/>
        </w:rPr>
        <w:t xml:space="preserve"> </w:t>
      </w:r>
    </w:p>
    <w:p w:rsidR="001A4831" w:rsidRPr="007D5055" w:rsidRDefault="001A4831" w:rsidP="003678EA">
      <w:pPr>
        <w:jc w:val="both"/>
        <w:rPr>
          <w:rFonts w:ascii="Arial" w:hAnsi="Arial"/>
          <w:b/>
          <w:color w:val="FF00FF"/>
          <w:sz w:val="22"/>
          <w:szCs w:val="22"/>
        </w:rPr>
      </w:pPr>
    </w:p>
    <w:p w:rsidR="00B01299" w:rsidRPr="004F7C77" w:rsidRDefault="001A4831" w:rsidP="001A4831">
      <w:pPr>
        <w:pStyle w:val="ListParagraph"/>
        <w:numPr>
          <w:ilvl w:val="1"/>
          <w:numId w:val="1"/>
        </w:numPr>
        <w:jc w:val="both"/>
        <w:rPr>
          <w:rFonts w:ascii="Arial" w:hAnsi="Arial"/>
          <w:b/>
          <w:color w:val="FF00FF"/>
          <w:sz w:val="22"/>
          <w:szCs w:val="22"/>
        </w:rPr>
      </w:pPr>
      <w:r w:rsidRPr="004F7C77">
        <w:rPr>
          <w:rFonts w:ascii="Arial" w:hAnsi="Arial"/>
          <w:sz w:val="22"/>
          <w:szCs w:val="22"/>
        </w:rPr>
        <w:t xml:space="preserve">The table below provides the results of the key univariate sensitivity analyses presented in the re-submission and key univariate and multivariate analyses conducted during the </w:t>
      </w:r>
      <w:r w:rsidR="004F7C77" w:rsidRPr="00674B75">
        <w:rPr>
          <w:rFonts w:ascii="Arial" w:hAnsi="Arial"/>
          <w:sz w:val="22"/>
          <w:szCs w:val="22"/>
        </w:rPr>
        <w:t>evaluation</w:t>
      </w:r>
      <w:r w:rsidRPr="004F7C77">
        <w:rPr>
          <w:rFonts w:ascii="Arial" w:hAnsi="Arial"/>
          <w:sz w:val="22"/>
          <w:szCs w:val="22"/>
        </w:rPr>
        <w:t xml:space="preserve">. </w:t>
      </w:r>
    </w:p>
    <w:p w:rsidR="001A4831" w:rsidRPr="002B7FBB" w:rsidRDefault="001A4831" w:rsidP="001A4831">
      <w:pPr>
        <w:pStyle w:val="ListParagraph"/>
        <w:jc w:val="both"/>
        <w:rPr>
          <w:rFonts w:ascii="Arial" w:hAnsi="Arial"/>
          <w:sz w:val="22"/>
          <w:szCs w:val="22"/>
        </w:rPr>
      </w:pPr>
    </w:p>
    <w:p w:rsidR="001A4831" w:rsidRPr="004F7C77" w:rsidRDefault="001A4831" w:rsidP="001A4831">
      <w:pPr>
        <w:keepNext/>
        <w:ind w:left="709"/>
        <w:rPr>
          <w:rFonts w:ascii="Arial Narrow" w:hAnsi="Arial Narrow" w:cs="Arial"/>
          <w:b/>
          <w:snapToGrid w:val="0"/>
          <w:sz w:val="20"/>
          <w:szCs w:val="16"/>
          <w:lang w:eastAsia="en-US"/>
        </w:rPr>
      </w:pPr>
      <w:r w:rsidRPr="004F7C77">
        <w:rPr>
          <w:rFonts w:ascii="Arial Narrow" w:hAnsi="Arial Narrow" w:cs="Arial"/>
          <w:b/>
          <w:snapToGrid w:val="0"/>
          <w:sz w:val="20"/>
          <w:szCs w:val="16"/>
          <w:lang w:eastAsia="en-US"/>
        </w:rPr>
        <w:t>Results of univariate and multivariate sensitivity analyses</w:t>
      </w:r>
    </w:p>
    <w:tbl>
      <w:tblPr>
        <w:tblW w:w="4557" w:type="pct"/>
        <w:tblInd w:w="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4276"/>
        <w:gridCol w:w="1217"/>
        <w:gridCol w:w="1125"/>
        <w:gridCol w:w="1217"/>
      </w:tblGrid>
      <w:tr w:rsidR="001A4831" w:rsidRPr="00BB440F" w:rsidTr="008B6EB1">
        <w:trPr>
          <w:cantSplit/>
          <w:tblHeader/>
        </w:trPr>
        <w:tc>
          <w:tcPr>
            <w:tcW w:w="284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1A4831" w:rsidRPr="002B7FBB" w:rsidRDefault="001A4831" w:rsidP="001A4831">
            <w:pPr>
              <w:keepNext/>
              <w:rPr>
                <w:rFonts w:ascii="Arial Narrow" w:hAnsi="Arial Narrow" w:cs="Arial"/>
                <w:snapToGrid w:val="0"/>
                <w:sz w:val="20"/>
                <w:szCs w:val="20"/>
                <w:lang w:eastAsia="en-US"/>
              </w:rPr>
            </w:pPr>
          </w:p>
        </w:tc>
        <w:tc>
          <w:tcPr>
            <w:tcW w:w="718"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1A4831" w:rsidRPr="002B7FBB" w:rsidRDefault="001A4831" w:rsidP="001A4831">
            <w:pPr>
              <w:keepNext/>
              <w:jc w:val="right"/>
              <w:rPr>
                <w:rFonts w:ascii="Arial Narrow" w:hAnsi="Arial Narrow" w:cs="Arial"/>
                <w:b/>
                <w:snapToGrid w:val="0"/>
                <w:sz w:val="20"/>
                <w:szCs w:val="20"/>
                <w:lang w:eastAsia="en-US"/>
              </w:rPr>
            </w:pPr>
            <w:r w:rsidRPr="004F7C77">
              <w:rPr>
                <w:rFonts w:ascii="Arial Narrow" w:hAnsi="Arial Narrow" w:cs="Arial"/>
                <w:b/>
                <w:snapToGrid w:val="0"/>
                <w:sz w:val="20"/>
                <w:szCs w:val="20"/>
                <w:lang w:eastAsia="en-US"/>
              </w:rPr>
              <w:t>∆ cost</w:t>
            </w:r>
          </w:p>
        </w:tc>
        <w:tc>
          <w:tcPr>
            <w:tcW w:w="720"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1A4831" w:rsidRPr="002B7FBB" w:rsidRDefault="001A4831" w:rsidP="001A4831">
            <w:pPr>
              <w:keepNext/>
              <w:jc w:val="center"/>
              <w:rPr>
                <w:rFonts w:ascii="Arial Narrow" w:hAnsi="Arial Narrow" w:cs="Arial"/>
                <w:b/>
                <w:snapToGrid w:val="0"/>
                <w:sz w:val="20"/>
                <w:szCs w:val="20"/>
                <w:lang w:eastAsia="en-US"/>
              </w:rPr>
            </w:pPr>
            <w:r w:rsidRPr="004F7C77">
              <w:rPr>
                <w:rFonts w:ascii="Arial Narrow" w:hAnsi="Arial Narrow" w:cs="Arial"/>
                <w:b/>
                <w:snapToGrid w:val="0"/>
                <w:sz w:val="20"/>
                <w:szCs w:val="20"/>
                <w:lang w:eastAsia="en-US"/>
              </w:rPr>
              <w:t>∆ QALY</w:t>
            </w:r>
          </w:p>
        </w:tc>
        <w:tc>
          <w:tcPr>
            <w:tcW w:w="718"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1A4831" w:rsidRPr="002B7FBB" w:rsidRDefault="001A4831" w:rsidP="001A4831">
            <w:pPr>
              <w:keepNext/>
              <w:jc w:val="right"/>
              <w:rPr>
                <w:rFonts w:ascii="Arial Narrow" w:hAnsi="Arial Narrow" w:cs="Arial"/>
                <w:snapToGrid w:val="0"/>
                <w:sz w:val="20"/>
                <w:szCs w:val="20"/>
                <w:lang w:eastAsia="en-US"/>
              </w:rPr>
            </w:pPr>
            <w:r w:rsidRPr="004F7C77">
              <w:rPr>
                <w:rFonts w:ascii="Arial Narrow" w:hAnsi="Arial Narrow" w:cs="Arial"/>
                <w:b/>
                <w:snapToGrid w:val="0"/>
                <w:sz w:val="20"/>
                <w:szCs w:val="20"/>
                <w:lang w:eastAsia="en-US"/>
              </w:rPr>
              <w:t>ICER</w:t>
            </w:r>
          </w:p>
        </w:tc>
      </w:tr>
      <w:tr w:rsidR="001A4831" w:rsidRPr="00BB440F">
        <w:trPr>
          <w:tblHeader/>
        </w:trPr>
        <w:tc>
          <w:tcPr>
            <w:tcW w:w="5000" w:type="pct"/>
            <w:gridSpan w:val="4"/>
            <w:tcBorders>
              <w:top w:val="single" w:sz="4" w:space="0" w:color="auto"/>
              <w:left w:val="single" w:sz="4" w:space="0" w:color="auto"/>
              <w:bottom w:val="single" w:sz="4" w:space="0" w:color="auto"/>
              <w:right w:val="single" w:sz="4" w:space="0" w:color="auto"/>
            </w:tcBorders>
            <w:vAlign w:val="center"/>
          </w:tcPr>
          <w:p w:rsidR="001A4831" w:rsidRPr="002B7FBB" w:rsidRDefault="001A4831" w:rsidP="001A4831">
            <w:pPr>
              <w:keepNext/>
              <w:rPr>
                <w:rFonts w:ascii="Arial Narrow" w:hAnsi="Arial Narrow" w:cs="Arial"/>
                <w:b/>
                <w:snapToGrid w:val="0"/>
                <w:sz w:val="20"/>
                <w:szCs w:val="20"/>
                <w:lang w:eastAsia="en-US"/>
              </w:rPr>
            </w:pPr>
            <w:r w:rsidRPr="004F7C77">
              <w:rPr>
                <w:rFonts w:ascii="Arial Narrow" w:hAnsi="Arial Narrow" w:cs="Arial"/>
                <w:b/>
                <w:snapToGrid w:val="0"/>
                <w:sz w:val="20"/>
                <w:szCs w:val="20"/>
                <w:lang w:eastAsia="en-US"/>
              </w:rPr>
              <w:t>Univariate analyses</w:t>
            </w:r>
          </w:p>
        </w:tc>
      </w:tr>
      <w:tr w:rsidR="008B6EB1" w:rsidRPr="00BB440F" w:rsidTr="008B6EB1">
        <w:tc>
          <w:tcPr>
            <w:tcW w:w="284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8B6EB1" w:rsidRPr="002B7FBB" w:rsidRDefault="008B6EB1" w:rsidP="001A4831">
            <w:pPr>
              <w:keepNext/>
              <w:rPr>
                <w:rFonts w:ascii="Arial Narrow" w:hAnsi="Arial Narrow" w:cs="Arial"/>
                <w:b/>
                <w:snapToGrid w:val="0"/>
                <w:sz w:val="20"/>
                <w:szCs w:val="20"/>
                <w:lang w:eastAsia="en-US"/>
              </w:rPr>
            </w:pPr>
            <w:r w:rsidRPr="004F7C77">
              <w:rPr>
                <w:rFonts w:ascii="Arial Narrow" w:hAnsi="Arial Narrow" w:cs="Arial"/>
                <w:b/>
                <w:snapToGrid w:val="0"/>
                <w:sz w:val="20"/>
                <w:szCs w:val="20"/>
                <w:lang w:eastAsia="en-US"/>
              </w:rPr>
              <w:t>Base case</w:t>
            </w:r>
          </w:p>
        </w:tc>
        <w:tc>
          <w:tcPr>
            <w:tcW w:w="718"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8B6EB1" w:rsidRPr="002B7FBB" w:rsidRDefault="008B6EB1" w:rsidP="008B6EB1">
            <w:pPr>
              <w:keepNext/>
              <w:jc w:val="right"/>
              <w:rPr>
                <w:rFonts w:ascii="Arial Narrow" w:hAnsi="Arial Narrow" w:cs="Arial"/>
                <w:b/>
                <w:snapToGrid w:val="0"/>
                <w:sz w:val="20"/>
                <w:szCs w:val="20"/>
                <w:lang w:eastAsia="en-US"/>
              </w:rPr>
            </w:pPr>
            <w:r w:rsidRPr="004F7C77">
              <w:rPr>
                <w:rFonts w:ascii="Arial Narrow" w:hAnsi="Arial Narrow" w:cs="Arial"/>
                <w:b/>
                <w:snapToGrid w:val="0"/>
                <w:sz w:val="20"/>
                <w:szCs w:val="20"/>
                <w:lang w:eastAsia="en-US"/>
              </w:rPr>
              <w:t>$</w:t>
            </w:r>
            <w:r>
              <w:rPr>
                <w:rFonts w:ascii="Arial Narrow" w:hAnsi="Arial Narrow" w:cs="Arial"/>
                <w:i/>
                <w:snapToGrid w:val="0"/>
                <w:color w:val="000000"/>
                <w:sz w:val="20"/>
                <w:szCs w:val="18"/>
                <w:lang w:eastAsia="en-US"/>
              </w:rPr>
              <w:t>(REDACTED)</w:t>
            </w:r>
          </w:p>
        </w:tc>
        <w:tc>
          <w:tcPr>
            <w:tcW w:w="720" w:type="pct"/>
            <w:tcBorders>
              <w:top w:val="single" w:sz="4" w:space="0" w:color="auto"/>
              <w:left w:val="single" w:sz="4" w:space="0" w:color="auto"/>
              <w:bottom w:val="single" w:sz="4" w:space="0" w:color="auto"/>
              <w:right w:val="single" w:sz="4" w:space="0" w:color="auto"/>
            </w:tcBorders>
            <w:tcMar>
              <w:left w:w="57" w:type="dxa"/>
              <w:right w:w="57" w:type="dxa"/>
            </w:tcMar>
          </w:tcPr>
          <w:p w:rsidR="008B6EB1" w:rsidRDefault="008B6EB1">
            <w:r w:rsidRPr="00AC089B">
              <w:rPr>
                <w:rFonts w:ascii="Arial Narrow" w:hAnsi="Arial Narrow" w:cs="Arial"/>
                <w:i/>
                <w:snapToGrid w:val="0"/>
                <w:color w:val="000000"/>
                <w:sz w:val="20"/>
                <w:szCs w:val="18"/>
                <w:lang w:eastAsia="en-US"/>
              </w:rPr>
              <w:t>(REDACTED)</w:t>
            </w:r>
          </w:p>
        </w:tc>
        <w:tc>
          <w:tcPr>
            <w:tcW w:w="718"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8B6EB1" w:rsidRPr="002B7FBB" w:rsidRDefault="008B6EB1" w:rsidP="001A4831">
            <w:pPr>
              <w:keepNext/>
              <w:jc w:val="right"/>
              <w:rPr>
                <w:rFonts w:ascii="Arial Narrow" w:hAnsi="Arial Narrow" w:cs="Arial"/>
                <w:b/>
                <w:snapToGrid w:val="0"/>
                <w:sz w:val="20"/>
                <w:szCs w:val="20"/>
                <w:lang w:eastAsia="en-US"/>
              </w:rPr>
            </w:pPr>
            <w:r w:rsidRPr="004F7C77">
              <w:rPr>
                <w:rFonts w:ascii="Arial Narrow" w:hAnsi="Arial Narrow" w:cs="Arial"/>
                <w:b/>
                <w:snapToGrid w:val="0"/>
                <w:sz w:val="20"/>
                <w:szCs w:val="20"/>
                <w:lang w:eastAsia="en-US"/>
              </w:rPr>
              <w:t>$</w:t>
            </w:r>
            <w:r>
              <w:rPr>
                <w:rFonts w:ascii="Arial Narrow" w:hAnsi="Arial Narrow" w:cs="Arial"/>
                <w:i/>
                <w:snapToGrid w:val="0"/>
                <w:color w:val="000000"/>
                <w:sz w:val="20"/>
                <w:szCs w:val="18"/>
                <w:lang w:eastAsia="en-US"/>
              </w:rPr>
              <w:t>(REDACTED)</w:t>
            </w:r>
          </w:p>
        </w:tc>
      </w:tr>
      <w:tr w:rsidR="008B6EB1" w:rsidRPr="00BB440F" w:rsidTr="00624B46">
        <w:tc>
          <w:tcPr>
            <w:tcW w:w="284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8B6EB1" w:rsidRPr="002B7FBB" w:rsidRDefault="008B6EB1" w:rsidP="001A4831">
            <w:pPr>
              <w:keepNext/>
              <w:rPr>
                <w:rFonts w:ascii="Arial Narrow" w:hAnsi="Arial Narrow" w:cs="Arial"/>
                <w:snapToGrid w:val="0"/>
                <w:sz w:val="20"/>
                <w:szCs w:val="20"/>
                <w:lang w:eastAsia="en-US"/>
              </w:rPr>
            </w:pPr>
            <w:r w:rsidRPr="004F7C77">
              <w:rPr>
                <w:rFonts w:ascii="Arial Narrow" w:hAnsi="Arial Narrow" w:cs="Arial"/>
                <w:snapToGrid w:val="0"/>
                <w:sz w:val="20"/>
                <w:szCs w:val="20"/>
                <w:lang w:eastAsia="en-US"/>
              </w:rPr>
              <w:t xml:space="preserve">  Upper 95% CL of treatment effect (8 + 52 weeks response/remission)</w:t>
            </w:r>
          </w:p>
        </w:tc>
        <w:tc>
          <w:tcPr>
            <w:tcW w:w="718" w:type="pct"/>
            <w:tcBorders>
              <w:top w:val="single" w:sz="4" w:space="0" w:color="auto"/>
              <w:left w:val="single" w:sz="4" w:space="0" w:color="auto"/>
              <w:bottom w:val="single" w:sz="4" w:space="0" w:color="auto"/>
              <w:right w:val="single" w:sz="4" w:space="0" w:color="auto"/>
            </w:tcBorders>
            <w:tcMar>
              <w:left w:w="57" w:type="dxa"/>
              <w:right w:w="57" w:type="dxa"/>
            </w:tcMar>
          </w:tcPr>
          <w:p w:rsidR="008B6EB1" w:rsidRDefault="008B6EB1">
            <w:r w:rsidRPr="00A76FB0">
              <w:rPr>
                <w:rFonts w:ascii="Arial Narrow" w:hAnsi="Arial Narrow" w:cs="Arial"/>
                <w:i/>
                <w:snapToGrid w:val="0"/>
                <w:color w:val="000000"/>
                <w:sz w:val="20"/>
                <w:szCs w:val="18"/>
                <w:lang w:eastAsia="en-US"/>
              </w:rPr>
              <w:t>(REDACTED)</w:t>
            </w:r>
          </w:p>
        </w:tc>
        <w:tc>
          <w:tcPr>
            <w:tcW w:w="720" w:type="pct"/>
            <w:tcBorders>
              <w:top w:val="single" w:sz="4" w:space="0" w:color="auto"/>
              <w:left w:val="single" w:sz="4" w:space="0" w:color="auto"/>
              <w:bottom w:val="single" w:sz="4" w:space="0" w:color="auto"/>
              <w:right w:val="single" w:sz="4" w:space="0" w:color="auto"/>
            </w:tcBorders>
            <w:tcMar>
              <w:left w:w="57" w:type="dxa"/>
              <w:right w:w="57" w:type="dxa"/>
            </w:tcMar>
          </w:tcPr>
          <w:p w:rsidR="008B6EB1" w:rsidRDefault="008B6EB1">
            <w:r w:rsidRPr="00AC089B">
              <w:rPr>
                <w:rFonts w:ascii="Arial Narrow" w:hAnsi="Arial Narrow" w:cs="Arial"/>
                <w:i/>
                <w:snapToGrid w:val="0"/>
                <w:color w:val="000000"/>
                <w:sz w:val="20"/>
                <w:szCs w:val="18"/>
                <w:lang w:eastAsia="en-US"/>
              </w:rPr>
              <w:t>(REDACTED)</w:t>
            </w:r>
          </w:p>
        </w:tc>
        <w:tc>
          <w:tcPr>
            <w:tcW w:w="718" w:type="pct"/>
            <w:tcBorders>
              <w:top w:val="single" w:sz="4" w:space="0" w:color="auto"/>
              <w:left w:val="single" w:sz="4" w:space="0" w:color="auto"/>
              <w:bottom w:val="single" w:sz="4" w:space="0" w:color="auto"/>
              <w:right w:val="single" w:sz="4" w:space="0" w:color="auto"/>
            </w:tcBorders>
            <w:tcMar>
              <w:left w:w="57" w:type="dxa"/>
              <w:right w:w="57" w:type="dxa"/>
            </w:tcMar>
          </w:tcPr>
          <w:p w:rsidR="008B6EB1" w:rsidRDefault="008B6EB1">
            <w:r w:rsidRPr="00DA776B">
              <w:rPr>
                <w:rFonts w:ascii="Arial Narrow" w:hAnsi="Arial Narrow" w:cs="Arial"/>
                <w:i/>
                <w:snapToGrid w:val="0"/>
                <w:color w:val="000000"/>
                <w:sz w:val="20"/>
                <w:szCs w:val="18"/>
                <w:lang w:eastAsia="en-US"/>
              </w:rPr>
              <w:t>(REDACTED)</w:t>
            </w:r>
          </w:p>
        </w:tc>
      </w:tr>
      <w:tr w:rsidR="008B6EB1" w:rsidRPr="00BB440F" w:rsidTr="00624B46">
        <w:tc>
          <w:tcPr>
            <w:tcW w:w="284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8B6EB1" w:rsidRPr="002B7FBB" w:rsidRDefault="008B6EB1" w:rsidP="001A4831">
            <w:pPr>
              <w:keepNext/>
              <w:rPr>
                <w:rFonts w:ascii="Arial Narrow" w:hAnsi="Arial Narrow" w:cs="Arial"/>
                <w:snapToGrid w:val="0"/>
                <w:sz w:val="20"/>
                <w:szCs w:val="20"/>
                <w:lang w:eastAsia="en-US"/>
              </w:rPr>
            </w:pPr>
            <w:r w:rsidRPr="004F7C77">
              <w:rPr>
                <w:rFonts w:ascii="Arial Narrow" w:hAnsi="Arial Narrow" w:cs="Arial"/>
                <w:snapToGrid w:val="0"/>
                <w:sz w:val="20"/>
                <w:szCs w:val="20"/>
                <w:lang w:eastAsia="en-US"/>
              </w:rPr>
              <w:t xml:space="preserve">  Lower 95% CL of treatment effect (8 + 52 weeks response/remission)</w:t>
            </w:r>
          </w:p>
        </w:tc>
        <w:tc>
          <w:tcPr>
            <w:tcW w:w="718" w:type="pct"/>
            <w:tcBorders>
              <w:top w:val="single" w:sz="4" w:space="0" w:color="auto"/>
              <w:left w:val="single" w:sz="4" w:space="0" w:color="auto"/>
              <w:bottom w:val="single" w:sz="4" w:space="0" w:color="auto"/>
              <w:right w:val="single" w:sz="4" w:space="0" w:color="auto"/>
            </w:tcBorders>
            <w:tcMar>
              <w:left w:w="57" w:type="dxa"/>
              <w:right w:w="57" w:type="dxa"/>
            </w:tcMar>
          </w:tcPr>
          <w:p w:rsidR="008B6EB1" w:rsidRDefault="008B6EB1">
            <w:r w:rsidRPr="00A76FB0">
              <w:rPr>
                <w:rFonts w:ascii="Arial Narrow" w:hAnsi="Arial Narrow" w:cs="Arial"/>
                <w:i/>
                <w:snapToGrid w:val="0"/>
                <w:color w:val="000000"/>
                <w:sz w:val="20"/>
                <w:szCs w:val="18"/>
                <w:lang w:eastAsia="en-US"/>
              </w:rPr>
              <w:t>(REDACTED)</w:t>
            </w:r>
          </w:p>
        </w:tc>
        <w:tc>
          <w:tcPr>
            <w:tcW w:w="720" w:type="pct"/>
            <w:tcBorders>
              <w:top w:val="single" w:sz="4" w:space="0" w:color="auto"/>
              <w:left w:val="single" w:sz="4" w:space="0" w:color="auto"/>
              <w:bottom w:val="single" w:sz="4" w:space="0" w:color="auto"/>
              <w:right w:val="single" w:sz="4" w:space="0" w:color="auto"/>
            </w:tcBorders>
            <w:tcMar>
              <w:left w:w="57" w:type="dxa"/>
              <w:right w:w="57" w:type="dxa"/>
            </w:tcMar>
          </w:tcPr>
          <w:p w:rsidR="008B6EB1" w:rsidRDefault="008B6EB1">
            <w:r w:rsidRPr="00AC089B">
              <w:rPr>
                <w:rFonts w:ascii="Arial Narrow" w:hAnsi="Arial Narrow" w:cs="Arial"/>
                <w:i/>
                <w:snapToGrid w:val="0"/>
                <w:color w:val="000000"/>
                <w:sz w:val="20"/>
                <w:szCs w:val="18"/>
                <w:lang w:eastAsia="en-US"/>
              </w:rPr>
              <w:t>(REDACTED)</w:t>
            </w:r>
          </w:p>
        </w:tc>
        <w:tc>
          <w:tcPr>
            <w:tcW w:w="718" w:type="pct"/>
            <w:tcBorders>
              <w:top w:val="single" w:sz="4" w:space="0" w:color="auto"/>
              <w:left w:val="single" w:sz="4" w:space="0" w:color="auto"/>
              <w:bottom w:val="single" w:sz="4" w:space="0" w:color="auto"/>
              <w:right w:val="single" w:sz="4" w:space="0" w:color="auto"/>
            </w:tcBorders>
            <w:tcMar>
              <w:left w:w="57" w:type="dxa"/>
              <w:right w:w="57" w:type="dxa"/>
            </w:tcMar>
          </w:tcPr>
          <w:p w:rsidR="008B6EB1" w:rsidRDefault="008B6EB1">
            <w:r w:rsidRPr="00DA776B">
              <w:rPr>
                <w:rFonts w:ascii="Arial Narrow" w:hAnsi="Arial Narrow" w:cs="Arial"/>
                <w:i/>
                <w:snapToGrid w:val="0"/>
                <w:color w:val="000000"/>
                <w:sz w:val="20"/>
                <w:szCs w:val="18"/>
                <w:lang w:eastAsia="en-US"/>
              </w:rPr>
              <w:t>(REDACTED)</w:t>
            </w:r>
          </w:p>
        </w:tc>
      </w:tr>
      <w:tr w:rsidR="001A4831" w:rsidRPr="00BB440F" w:rsidTr="008B6EB1">
        <w:tc>
          <w:tcPr>
            <w:tcW w:w="2844" w:type="pct"/>
            <w:tcBorders>
              <w:top w:val="single" w:sz="4" w:space="0" w:color="auto"/>
              <w:left w:val="single" w:sz="4" w:space="0" w:color="auto"/>
              <w:bottom w:val="single" w:sz="4" w:space="0" w:color="auto"/>
              <w:right w:val="single" w:sz="4" w:space="0" w:color="auto"/>
            </w:tcBorders>
            <w:vAlign w:val="center"/>
          </w:tcPr>
          <w:p w:rsidR="001A4831" w:rsidRPr="002B7FBB" w:rsidRDefault="001A4831" w:rsidP="001A4831">
            <w:pPr>
              <w:keepNext/>
              <w:rPr>
                <w:rFonts w:ascii="Arial Narrow" w:hAnsi="Arial Narrow" w:cs="Arial"/>
                <w:b/>
                <w:snapToGrid w:val="0"/>
                <w:sz w:val="20"/>
                <w:szCs w:val="20"/>
                <w:lang w:eastAsia="en-US"/>
              </w:rPr>
            </w:pPr>
            <w:r w:rsidRPr="004F7C77">
              <w:rPr>
                <w:rFonts w:ascii="Arial Narrow" w:hAnsi="Arial Narrow" w:cs="Arial"/>
                <w:b/>
                <w:snapToGrid w:val="0"/>
                <w:sz w:val="20"/>
                <w:szCs w:val="20"/>
                <w:lang w:eastAsia="en-US"/>
              </w:rPr>
              <w:t>Costs</w:t>
            </w:r>
          </w:p>
        </w:tc>
        <w:tc>
          <w:tcPr>
            <w:tcW w:w="718" w:type="pct"/>
            <w:tcBorders>
              <w:top w:val="single" w:sz="4" w:space="0" w:color="auto"/>
              <w:left w:val="single" w:sz="4" w:space="0" w:color="auto"/>
              <w:bottom w:val="single" w:sz="4" w:space="0" w:color="auto"/>
              <w:right w:val="single" w:sz="4" w:space="0" w:color="auto"/>
            </w:tcBorders>
            <w:vAlign w:val="center"/>
          </w:tcPr>
          <w:p w:rsidR="001A4831" w:rsidRPr="002B7FBB" w:rsidRDefault="001A4831" w:rsidP="001A4831">
            <w:pPr>
              <w:keepNext/>
              <w:jc w:val="right"/>
              <w:rPr>
                <w:rFonts w:ascii="Arial Narrow" w:hAnsi="Arial Narrow" w:cs="Arial"/>
                <w:sz w:val="20"/>
                <w:szCs w:val="20"/>
                <w:lang w:eastAsia="en-US"/>
              </w:rPr>
            </w:pPr>
          </w:p>
        </w:tc>
        <w:tc>
          <w:tcPr>
            <w:tcW w:w="720" w:type="pct"/>
            <w:tcBorders>
              <w:top w:val="single" w:sz="4" w:space="0" w:color="auto"/>
              <w:left w:val="single" w:sz="4" w:space="0" w:color="auto"/>
              <w:bottom w:val="single" w:sz="4" w:space="0" w:color="auto"/>
              <w:right w:val="single" w:sz="4" w:space="0" w:color="auto"/>
            </w:tcBorders>
            <w:vAlign w:val="center"/>
          </w:tcPr>
          <w:p w:rsidR="001A4831" w:rsidRPr="002B7FBB" w:rsidRDefault="001A4831" w:rsidP="001A4831">
            <w:pPr>
              <w:keepNext/>
              <w:jc w:val="center"/>
              <w:rPr>
                <w:rFonts w:ascii="Arial Narrow" w:hAnsi="Arial Narrow" w:cs="Arial"/>
                <w:snapToGrid w:val="0"/>
                <w:sz w:val="20"/>
                <w:szCs w:val="20"/>
                <w:lang w:eastAsia="en-US"/>
              </w:rPr>
            </w:pPr>
          </w:p>
        </w:tc>
        <w:tc>
          <w:tcPr>
            <w:tcW w:w="718" w:type="pct"/>
            <w:tcBorders>
              <w:top w:val="single" w:sz="4" w:space="0" w:color="auto"/>
              <w:left w:val="single" w:sz="4" w:space="0" w:color="auto"/>
              <w:bottom w:val="single" w:sz="4" w:space="0" w:color="auto"/>
              <w:right w:val="single" w:sz="4" w:space="0" w:color="auto"/>
            </w:tcBorders>
            <w:vAlign w:val="center"/>
          </w:tcPr>
          <w:p w:rsidR="001A4831" w:rsidRPr="002B7FBB" w:rsidRDefault="001A4831" w:rsidP="001A4831">
            <w:pPr>
              <w:keepNext/>
              <w:jc w:val="right"/>
              <w:rPr>
                <w:rFonts w:ascii="Arial Narrow" w:hAnsi="Arial Narrow" w:cs="Arial"/>
                <w:sz w:val="20"/>
                <w:szCs w:val="20"/>
                <w:lang w:eastAsia="en-US"/>
              </w:rPr>
            </w:pPr>
          </w:p>
        </w:tc>
      </w:tr>
      <w:tr w:rsidR="001A4831" w:rsidRPr="00BB440F" w:rsidTr="008B6EB1">
        <w:tc>
          <w:tcPr>
            <w:tcW w:w="2844" w:type="pct"/>
            <w:tcBorders>
              <w:top w:val="single" w:sz="4" w:space="0" w:color="auto"/>
              <w:left w:val="single" w:sz="4" w:space="0" w:color="auto"/>
              <w:bottom w:val="single" w:sz="4" w:space="0" w:color="auto"/>
              <w:right w:val="single" w:sz="4" w:space="0" w:color="auto"/>
            </w:tcBorders>
            <w:tcMar>
              <w:right w:w="57" w:type="dxa"/>
            </w:tcMar>
            <w:vAlign w:val="center"/>
          </w:tcPr>
          <w:p w:rsidR="001A4831" w:rsidRPr="002B7FBB" w:rsidRDefault="001A4831" w:rsidP="001A4831">
            <w:pPr>
              <w:keepNext/>
              <w:rPr>
                <w:rFonts w:ascii="Arial Narrow" w:hAnsi="Arial Narrow" w:cs="Arial"/>
                <w:snapToGrid w:val="0"/>
                <w:sz w:val="20"/>
                <w:szCs w:val="20"/>
                <w:lang w:eastAsia="en-US"/>
              </w:rPr>
            </w:pPr>
            <w:r w:rsidRPr="004F7C77">
              <w:rPr>
                <w:rFonts w:ascii="Arial Narrow" w:hAnsi="Arial Narrow" w:cs="Arial"/>
                <w:snapToGrid w:val="0"/>
                <w:sz w:val="20"/>
                <w:szCs w:val="20"/>
                <w:lang w:eastAsia="en-US"/>
              </w:rPr>
              <w:t xml:space="preserve">  Costs as per Gibson 2013</w:t>
            </w:r>
          </w:p>
        </w:tc>
        <w:tc>
          <w:tcPr>
            <w:tcW w:w="718" w:type="pct"/>
            <w:tcBorders>
              <w:top w:val="single" w:sz="4" w:space="0" w:color="auto"/>
              <w:left w:val="single" w:sz="4" w:space="0" w:color="auto"/>
              <w:bottom w:val="single" w:sz="4" w:space="0" w:color="auto"/>
              <w:right w:val="single" w:sz="4" w:space="0" w:color="auto"/>
            </w:tcBorders>
            <w:tcMar>
              <w:right w:w="57" w:type="dxa"/>
            </w:tcMar>
            <w:vAlign w:val="center"/>
          </w:tcPr>
          <w:p w:rsidR="001A4831" w:rsidRPr="002B7FBB" w:rsidRDefault="008B6EB1" w:rsidP="001A4831">
            <w:pPr>
              <w:keepNext/>
              <w:jc w:val="right"/>
              <w:rPr>
                <w:rFonts w:ascii="Arial Narrow" w:hAnsi="Arial Narrow" w:cs="Arial"/>
                <w:snapToGrid w:val="0"/>
                <w:sz w:val="20"/>
                <w:szCs w:val="20"/>
                <w:highlight w:val="black"/>
                <w:lang w:eastAsia="en-US"/>
              </w:rPr>
            </w:pPr>
            <w:r>
              <w:rPr>
                <w:rFonts w:ascii="Arial Narrow" w:hAnsi="Arial Narrow" w:cs="Arial"/>
                <w:i/>
                <w:snapToGrid w:val="0"/>
                <w:color w:val="000000"/>
                <w:sz w:val="20"/>
                <w:szCs w:val="18"/>
                <w:lang w:eastAsia="en-US"/>
              </w:rPr>
              <w:t>(REDACTED)</w:t>
            </w:r>
          </w:p>
        </w:tc>
        <w:tc>
          <w:tcPr>
            <w:tcW w:w="720" w:type="pct"/>
            <w:tcBorders>
              <w:top w:val="single" w:sz="4" w:space="0" w:color="auto"/>
              <w:left w:val="single" w:sz="4" w:space="0" w:color="auto"/>
              <w:bottom w:val="single" w:sz="4" w:space="0" w:color="auto"/>
              <w:right w:val="single" w:sz="4" w:space="0" w:color="auto"/>
            </w:tcBorders>
            <w:tcMar>
              <w:right w:w="57" w:type="dxa"/>
            </w:tcMar>
            <w:vAlign w:val="center"/>
          </w:tcPr>
          <w:p w:rsidR="001A4831" w:rsidRPr="002B7FBB" w:rsidRDefault="008B6EB1" w:rsidP="00987B17">
            <w:pPr>
              <w:keepNext/>
              <w:jc w:val="center"/>
              <w:rPr>
                <w:rFonts w:ascii="Arial Narrow" w:hAnsi="Arial Narrow" w:cs="Arial"/>
                <w:snapToGrid w:val="0"/>
                <w:sz w:val="20"/>
                <w:szCs w:val="20"/>
                <w:highlight w:val="black"/>
                <w:lang w:eastAsia="en-US"/>
              </w:rPr>
            </w:pPr>
            <w:r>
              <w:rPr>
                <w:rFonts w:ascii="Arial Narrow" w:hAnsi="Arial Narrow" w:cs="Arial"/>
                <w:i/>
                <w:snapToGrid w:val="0"/>
                <w:color w:val="000000"/>
                <w:sz w:val="20"/>
                <w:szCs w:val="18"/>
                <w:lang w:eastAsia="en-US"/>
              </w:rPr>
              <w:t>(REDACTE</w:t>
            </w:r>
            <w:r w:rsidR="00987B17">
              <w:rPr>
                <w:rFonts w:ascii="Arial Narrow" w:hAnsi="Arial Narrow" w:cs="Arial"/>
                <w:i/>
                <w:snapToGrid w:val="0"/>
                <w:color w:val="000000"/>
                <w:sz w:val="20"/>
                <w:szCs w:val="18"/>
                <w:lang w:eastAsia="en-US"/>
              </w:rPr>
              <w:t>D)</w:t>
            </w:r>
          </w:p>
        </w:tc>
        <w:tc>
          <w:tcPr>
            <w:tcW w:w="718" w:type="pct"/>
            <w:tcBorders>
              <w:top w:val="single" w:sz="4" w:space="0" w:color="auto"/>
              <w:left w:val="single" w:sz="4" w:space="0" w:color="auto"/>
              <w:bottom w:val="single" w:sz="4" w:space="0" w:color="auto"/>
              <w:right w:val="single" w:sz="4" w:space="0" w:color="auto"/>
            </w:tcBorders>
            <w:tcMar>
              <w:right w:w="57" w:type="dxa"/>
            </w:tcMar>
            <w:vAlign w:val="center"/>
          </w:tcPr>
          <w:p w:rsidR="001A4831" w:rsidRPr="002B7FBB" w:rsidRDefault="008B6EB1" w:rsidP="001A4831">
            <w:pPr>
              <w:keepNext/>
              <w:jc w:val="right"/>
              <w:rPr>
                <w:rFonts w:ascii="Arial Narrow" w:hAnsi="Arial Narrow" w:cs="Arial"/>
                <w:snapToGrid w:val="0"/>
                <w:sz w:val="20"/>
                <w:szCs w:val="20"/>
                <w:highlight w:val="black"/>
                <w:lang w:eastAsia="en-US"/>
              </w:rPr>
            </w:pPr>
            <w:r>
              <w:rPr>
                <w:rFonts w:ascii="Arial Narrow" w:hAnsi="Arial Narrow" w:cs="Arial"/>
                <w:i/>
                <w:snapToGrid w:val="0"/>
                <w:color w:val="000000"/>
                <w:sz w:val="20"/>
                <w:szCs w:val="18"/>
                <w:lang w:eastAsia="en-US"/>
              </w:rPr>
              <w:t>(REDACTED)</w:t>
            </w:r>
          </w:p>
        </w:tc>
      </w:tr>
      <w:tr w:rsidR="001A4831" w:rsidRPr="00BB440F">
        <w:tc>
          <w:tcPr>
            <w:tcW w:w="5000" w:type="pct"/>
            <w:gridSpan w:val="4"/>
            <w:tcBorders>
              <w:top w:val="single" w:sz="4" w:space="0" w:color="auto"/>
              <w:left w:val="single" w:sz="4" w:space="0" w:color="auto"/>
              <w:bottom w:val="single" w:sz="4" w:space="0" w:color="auto"/>
              <w:right w:val="single" w:sz="4" w:space="0" w:color="auto"/>
            </w:tcBorders>
            <w:vAlign w:val="center"/>
          </w:tcPr>
          <w:p w:rsidR="001A4831" w:rsidRPr="002B7FBB" w:rsidRDefault="001A4831" w:rsidP="001A4831">
            <w:pPr>
              <w:keepNext/>
              <w:rPr>
                <w:rFonts w:ascii="Arial Narrow" w:hAnsi="Arial Narrow" w:cs="Arial"/>
                <w:sz w:val="20"/>
                <w:szCs w:val="20"/>
                <w:lang w:eastAsia="en-US"/>
              </w:rPr>
            </w:pPr>
            <w:r w:rsidRPr="004F7C77">
              <w:rPr>
                <w:rFonts w:ascii="Arial Narrow" w:hAnsi="Arial Narrow" w:cs="Arial"/>
                <w:b/>
                <w:snapToGrid w:val="0"/>
                <w:sz w:val="20"/>
                <w:szCs w:val="20"/>
                <w:lang w:eastAsia="en-US"/>
              </w:rPr>
              <w:t>Utility scores (base case = Tsai 2008)</w:t>
            </w:r>
          </w:p>
        </w:tc>
      </w:tr>
      <w:tr w:rsidR="008B6EB1" w:rsidRPr="00BB440F" w:rsidTr="008B6EB1">
        <w:tc>
          <w:tcPr>
            <w:tcW w:w="2844" w:type="pct"/>
            <w:tcBorders>
              <w:top w:val="single" w:sz="4" w:space="0" w:color="auto"/>
              <w:left w:val="single" w:sz="4" w:space="0" w:color="auto"/>
              <w:bottom w:val="single" w:sz="4" w:space="0" w:color="auto"/>
              <w:right w:val="single" w:sz="4" w:space="0" w:color="auto"/>
            </w:tcBorders>
            <w:tcMar>
              <w:right w:w="57" w:type="dxa"/>
            </w:tcMar>
            <w:vAlign w:val="center"/>
          </w:tcPr>
          <w:p w:rsidR="008B6EB1" w:rsidRPr="002B7FBB" w:rsidRDefault="008B6EB1" w:rsidP="001A4831">
            <w:pPr>
              <w:keepNext/>
              <w:rPr>
                <w:rFonts w:ascii="Arial Narrow" w:hAnsi="Arial Narrow" w:cs="Arial"/>
                <w:snapToGrid w:val="0"/>
                <w:sz w:val="20"/>
                <w:szCs w:val="20"/>
                <w:lang w:eastAsia="en-US"/>
              </w:rPr>
            </w:pPr>
            <w:r w:rsidRPr="004F7C77">
              <w:rPr>
                <w:rFonts w:ascii="Arial Narrow" w:hAnsi="Arial Narrow" w:cs="Arial"/>
                <w:snapToGrid w:val="0"/>
                <w:sz w:val="20"/>
                <w:szCs w:val="20"/>
                <w:lang w:eastAsia="en-US"/>
              </w:rPr>
              <w:t xml:space="preserve">  Australian </w:t>
            </w:r>
            <w:proofErr w:type="spellStart"/>
            <w:r w:rsidRPr="004F7C77">
              <w:rPr>
                <w:rFonts w:ascii="Arial Narrow" w:hAnsi="Arial Narrow" w:cs="Arial"/>
                <w:snapToGrid w:val="0"/>
                <w:sz w:val="20"/>
                <w:szCs w:val="20"/>
                <w:lang w:eastAsia="en-US"/>
              </w:rPr>
              <w:t>AQoL</w:t>
            </w:r>
            <w:proofErr w:type="spellEnd"/>
            <w:r w:rsidRPr="004F7C77">
              <w:rPr>
                <w:rFonts w:ascii="Arial Narrow" w:hAnsi="Arial Narrow" w:cs="Arial"/>
                <w:snapToGrid w:val="0"/>
                <w:sz w:val="20"/>
                <w:szCs w:val="20"/>
                <w:lang w:eastAsia="en-US"/>
              </w:rPr>
              <w:t xml:space="preserve"> scores as per Gibson 2013</w:t>
            </w:r>
          </w:p>
        </w:tc>
        <w:tc>
          <w:tcPr>
            <w:tcW w:w="718" w:type="pct"/>
            <w:tcBorders>
              <w:top w:val="single" w:sz="4" w:space="0" w:color="auto"/>
              <w:left w:val="single" w:sz="4" w:space="0" w:color="auto"/>
              <w:bottom w:val="single" w:sz="4" w:space="0" w:color="auto"/>
              <w:right w:val="single" w:sz="4" w:space="0" w:color="auto"/>
            </w:tcBorders>
            <w:tcMar>
              <w:right w:w="57" w:type="dxa"/>
            </w:tcMar>
          </w:tcPr>
          <w:p w:rsidR="008B6EB1" w:rsidRDefault="008B6EB1">
            <w:r w:rsidRPr="00D66EC5">
              <w:rPr>
                <w:rFonts w:ascii="Arial Narrow" w:hAnsi="Arial Narrow" w:cs="Arial"/>
                <w:i/>
                <w:snapToGrid w:val="0"/>
                <w:color w:val="000000"/>
                <w:sz w:val="20"/>
                <w:szCs w:val="18"/>
                <w:lang w:eastAsia="en-US"/>
              </w:rPr>
              <w:t>(REDACTED)</w:t>
            </w:r>
          </w:p>
        </w:tc>
        <w:tc>
          <w:tcPr>
            <w:tcW w:w="720" w:type="pct"/>
            <w:tcBorders>
              <w:top w:val="single" w:sz="4" w:space="0" w:color="auto"/>
              <w:left w:val="single" w:sz="4" w:space="0" w:color="auto"/>
              <w:bottom w:val="single" w:sz="4" w:space="0" w:color="auto"/>
              <w:right w:val="single" w:sz="4" w:space="0" w:color="auto"/>
            </w:tcBorders>
            <w:tcMar>
              <w:right w:w="57" w:type="dxa"/>
            </w:tcMar>
          </w:tcPr>
          <w:p w:rsidR="008B6EB1" w:rsidRDefault="008B6EB1">
            <w:r w:rsidRPr="00D66EC5">
              <w:rPr>
                <w:rFonts w:ascii="Arial Narrow" w:hAnsi="Arial Narrow" w:cs="Arial"/>
                <w:i/>
                <w:snapToGrid w:val="0"/>
                <w:color w:val="000000"/>
                <w:sz w:val="20"/>
                <w:szCs w:val="18"/>
                <w:lang w:eastAsia="en-US"/>
              </w:rPr>
              <w:t>(REDACTED)</w:t>
            </w:r>
          </w:p>
        </w:tc>
        <w:tc>
          <w:tcPr>
            <w:tcW w:w="718" w:type="pct"/>
            <w:tcBorders>
              <w:top w:val="single" w:sz="4" w:space="0" w:color="auto"/>
              <w:left w:val="single" w:sz="4" w:space="0" w:color="auto"/>
              <w:bottom w:val="single" w:sz="4" w:space="0" w:color="auto"/>
              <w:right w:val="single" w:sz="4" w:space="0" w:color="auto"/>
            </w:tcBorders>
            <w:tcMar>
              <w:right w:w="57" w:type="dxa"/>
            </w:tcMar>
          </w:tcPr>
          <w:p w:rsidR="008B6EB1" w:rsidRDefault="008B6EB1">
            <w:r w:rsidRPr="00D66EC5">
              <w:rPr>
                <w:rFonts w:ascii="Arial Narrow" w:hAnsi="Arial Narrow" w:cs="Arial"/>
                <w:i/>
                <w:snapToGrid w:val="0"/>
                <w:color w:val="000000"/>
                <w:sz w:val="20"/>
                <w:szCs w:val="18"/>
                <w:lang w:eastAsia="en-US"/>
              </w:rPr>
              <w:t>(REDACTED)</w:t>
            </w:r>
          </w:p>
        </w:tc>
      </w:tr>
      <w:tr w:rsidR="008B6EB1" w:rsidRPr="00BB440F" w:rsidTr="008B6EB1">
        <w:tc>
          <w:tcPr>
            <w:tcW w:w="2844" w:type="pct"/>
            <w:tcBorders>
              <w:top w:val="single" w:sz="4" w:space="0" w:color="auto"/>
              <w:left w:val="single" w:sz="4" w:space="0" w:color="auto"/>
              <w:bottom w:val="single" w:sz="4" w:space="0" w:color="auto"/>
              <w:right w:val="single" w:sz="4" w:space="0" w:color="auto"/>
            </w:tcBorders>
            <w:tcMar>
              <w:right w:w="57" w:type="dxa"/>
            </w:tcMar>
            <w:vAlign w:val="center"/>
          </w:tcPr>
          <w:p w:rsidR="008B6EB1" w:rsidRPr="002B7FBB" w:rsidRDefault="008B6EB1" w:rsidP="001A4831">
            <w:pPr>
              <w:keepNext/>
              <w:rPr>
                <w:rFonts w:ascii="Arial Narrow" w:hAnsi="Arial Narrow" w:cs="Arial"/>
                <w:snapToGrid w:val="0"/>
                <w:sz w:val="20"/>
                <w:szCs w:val="20"/>
                <w:lang w:eastAsia="en-US"/>
              </w:rPr>
            </w:pPr>
            <w:r w:rsidRPr="004F7C77">
              <w:rPr>
                <w:rFonts w:ascii="Arial Narrow" w:hAnsi="Arial Narrow" w:cs="Arial"/>
                <w:snapToGrid w:val="0"/>
                <w:sz w:val="20"/>
                <w:szCs w:val="20"/>
                <w:lang w:eastAsia="en-US"/>
              </w:rPr>
              <w:t xml:space="preserve">  Australian EQ-5D scores as per Gibson 2013</w:t>
            </w:r>
          </w:p>
        </w:tc>
        <w:tc>
          <w:tcPr>
            <w:tcW w:w="718" w:type="pct"/>
            <w:tcBorders>
              <w:top w:val="single" w:sz="4" w:space="0" w:color="auto"/>
              <w:left w:val="single" w:sz="4" w:space="0" w:color="auto"/>
              <w:bottom w:val="single" w:sz="4" w:space="0" w:color="auto"/>
              <w:right w:val="single" w:sz="4" w:space="0" w:color="auto"/>
            </w:tcBorders>
            <w:tcMar>
              <w:right w:w="57" w:type="dxa"/>
            </w:tcMar>
          </w:tcPr>
          <w:p w:rsidR="008B6EB1" w:rsidRDefault="008B6EB1">
            <w:r w:rsidRPr="00D66EC5">
              <w:rPr>
                <w:rFonts w:ascii="Arial Narrow" w:hAnsi="Arial Narrow" w:cs="Arial"/>
                <w:i/>
                <w:snapToGrid w:val="0"/>
                <w:color w:val="000000"/>
                <w:sz w:val="20"/>
                <w:szCs w:val="18"/>
                <w:lang w:eastAsia="en-US"/>
              </w:rPr>
              <w:t>(REDACTED)</w:t>
            </w:r>
          </w:p>
        </w:tc>
        <w:tc>
          <w:tcPr>
            <w:tcW w:w="720" w:type="pct"/>
            <w:tcBorders>
              <w:top w:val="single" w:sz="4" w:space="0" w:color="auto"/>
              <w:left w:val="single" w:sz="4" w:space="0" w:color="auto"/>
              <w:bottom w:val="single" w:sz="4" w:space="0" w:color="auto"/>
              <w:right w:val="single" w:sz="4" w:space="0" w:color="auto"/>
            </w:tcBorders>
            <w:tcMar>
              <w:right w:w="57" w:type="dxa"/>
            </w:tcMar>
          </w:tcPr>
          <w:p w:rsidR="008B6EB1" w:rsidRDefault="008B6EB1">
            <w:r w:rsidRPr="00D66EC5">
              <w:rPr>
                <w:rFonts w:ascii="Arial Narrow" w:hAnsi="Arial Narrow" w:cs="Arial"/>
                <w:i/>
                <w:snapToGrid w:val="0"/>
                <w:color w:val="000000"/>
                <w:sz w:val="20"/>
                <w:szCs w:val="18"/>
                <w:lang w:eastAsia="en-US"/>
              </w:rPr>
              <w:t>(REDACTED)</w:t>
            </w:r>
          </w:p>
        </w:tc>
        <w:tc>
          <w:tcPr>
            <w:tcW w:w="718" w:type="pct"/>
            <w:tcBorders>
              <w:top w:val="single" w:sz="4" w:space="0" w:color="auto"/>
              <w:left w:val="single" w:sz="4" w:space="0" w:color="auto"/>
              <w:bottom w:val="single" w:sz="4" w:space="0" w:color="auto"/>
              <w:right w:val="single" w:sz="4" w:space="0" w:color="auto"/>
            </w:tcBorders>
            <w:tcMar>
              <w:right w:w="57" w:type="dxa"/>
            </w:tcMar>
          </w:tcPr>
          <w:p w:rsidR="008B6EB1" w:rsidRDefault="008B6EB1">
            <w:r w:rsidRPr="00D66EC5">
              <w:rPr>
                <w:rFonts w:ascii="Arial Narrow" w:hAnsi="Arial Narrow" w:cs="Arial"/>
                <w:i/>
                <w:snapToGrid w:val="0"/>
                <w:color w:val="000000"/>
                <w:sz w:val="20"/>
                <w:szCs w:val="18"/>
                <w:lang w:eastAsia="en-US"/>
              </w:rPr>
              <w:t>(REDACTED)</w:t>
            </w:r>
          </w:p>
        </w:tc>
      </w:tr>
      <w:tr w:rsidR="001A4831" w:rsidRPr="00BB440F">
        <w:tc>
          <w:tcPr>
            <w:tcW w:w="5000" w:type="pct"/>
            <w:gridSpan w:val="4"/>
            <w:tcBorders>
              <w:top w:val="single" w:sz="4" w:space="0" w:color="auto"/>
              <w:left w:val="single" w:sz="4" w:space="0" w:color="auto"/>
              <w:bottom w:val="single" w:sz="4" w:space="0" w:color="auto"/>
              <w:right w:val="single" w:sz="4" w:space="0" w:color="auto"/>
            </w:tcBorders>
            <w:vAlign w:val="center"/>
          </w:tcPr>
          <w:p w:rsidR="001A4831" w:rsidRPr="002B7FBB" w:rsidRDefault="001A4831" w:rsidP="001A4831">
            <w:pPr>
              <w:widowControl w:val="0"/>
              <w:rPr>
                <w:rFonts w:ascii="Arial Narrow" w:hAnsi="Arial Narrow" w:cs="Arial"/>
                <w:sz w:val="20"/>
                <w:szCs w:val="20"/>
                <w:lang w:eastAsia="en-US"/>
              </w:rPr>
            </w:pPr>
            <w:r w:rsidRPr="004F7C77">
              <w:rPr>
                <w:rFonts w:ascii="Arial Narrow" w:hAnsi="Arial Narrow" w:cs="Arial"/>
                <w:b/>
                <w:snapToGrid w:val="0"/>
                <w:sz w:val="20"/>
                <w:szCs w:val="20"/>
                <w:lang w:eastAsia="en-US"/>
              </w:rPr>
              <w:t>Multivariate analyses</w:t>
            </w:r>
          </w:p>
        </w:tc>
      </w:tr>
      <w:tr w:rsidR="008B6EB1" w:rsidRPr="00BB440F" w:rsidTr="008B6EB1">
        <w:tc>
          <w:tcPr>
            <w:tcW w:w="284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8B6EB1" w:rsidRPr="002B7FBB" w:rsidRDefault="008B6EB1" w:rsidP="001A4831">
            <w:pPr>
              <w:widowControl w:val="0"/>
              <w:rPr>
                <w:rFonts w:ascii="Arial Narrow" w:hAnsi="Arial Narrow" w:cs="Arial"/>
                <w:snapToGrid w:val="0"/>
                <w:sz w:val="20"/>
                <w:szCs w:val="20"/>
                <w:lang w:eastAsia="en-US"/>
              </w:rPr>
            </w:pPr>
            <w:r w:rsidRPr="004F7C77">
              <w:rPr>
                <w:rFonts w:ascii="Arial Narrow" w:hAnsi="Arial Narrow" w:cs="Arial"/>
                <w:snapToGrid w:val="0"/>
                <w:sz w:val="20"/>
                <w:szCs w:val="20"/>
                <w:lang w:eastAsia="en-US"/>
              </w:rPr>
              <w:t xml:space="preserve">  Costs </w:t>
            </w:r>
            <w:r>
              <w:rPr>
                <w:rFonts w:ascii="Arial Narrow" w:hAnsi="Arial Narrow" w:cs="Arial"/>
                <w:i/>
                <w:snapToGrid w:val="0"/>
                <w:color w:val="000000"/>
                <w:sz w:val="20"/>
                <w:szCs w:val="18"/>
                <w:lang w:eastAsia="en-US"/>
              </w:rPr>
              <w:t>(REDACTED)</w:t>
            </w:r>
          </w:p>
        </w:tc>
        <w:tc>
          <w:tcPr>
            <w:tcW w:w="718" w:type="pct"/>
            <w:tcBorders>
              <w:top w:val="single" w:sz="4" w:space="0" w:color="auto"/>
              <w:left w:val="single" w:sz="4" w:space="0" w:color="auto"/>
              <w:bottom w:val="single" w:sz="4" w:space="0" w:color="auto"/>
              <w:right w:val="single" w:sz="4" w:space="0" w:color="auto"/>
            </w:tcBorders>
            <w:tcMar>
              <w:left w:w="57" w:type="dxa"/>
              <w:right w:w="57" w:type="dxa"/>
            </w:tcMar>
          </w:tcPr>
          <w:p w:rsidR="008B6EB1" w:rsidRDefault="008B6EB1">
            <w:r w:rsidRPr="00DE456E">
              <w:rPr>
                <w:rFonts w:ascii="Arial Narrow" w:hAnsi="Arial Narrow" w:cs="Arial"/>
                <w:i/>
                <w:snapToGrid w:val="0"/>
                <w:color w:val="000000"/>
                <w:sz w:val="20"/>
                <w:szCs w:val="18"/>
                <w:lang w:eastAsia="en-US"/>
              </w:rPr>
              <w:t>(REDACTED)</w:t>
            </w:r>
          </w:p>
        </w:tc>
        <w:tc>
          <w:tcPr>
            <w:tcW w:w="720" w:type="pct"/>
            <w:tcBorders>
              <w:top w:val="single" w:sz="4" w:space="0" w:color="auto"/>
              <w:left w:val="single" w:sz="4" w:space="0" w:color="auto"/>
              <w:bottom w:val="single" w:sz="4" w:space="0" w:color="auto"/>
              <w:right w:val="single" w:sz="4" w:space="0" w:color="auto"/>
            </w:tcBorders>
            <w:tcMar>
              <w:left w:w="57" w:type="dxa"/>
              <w:right w:w="57" w:type="dxa"/>
            </w:tcMar>
          </w:tcPr>
          <w:p w:rsidR="008B6EB1" w:rsidRDefault="008B6EB1">
            <w:r w:rsidRPr="00DE456E">
              <w:rPr>
                <w:rFonts w:ascii="Arial Narrow" w:hAnsi="Arial Narrow" w:cs="Arial"/>
                <w:i/>
                <w:snapToGrid w:val="0"/>
                <w:color w:val="000000"/>
                <w:sz w:val="20"/>
                <w:szCs w:val="18"/>
                <w:lang w:eastAsia="en-US"/>
              </w:rPr>
              <w:t>(REDACTED)</w:t>
            </w:r>
          </w:p>
        </w:tc>
        <w:tc>
          <w:tcPr>
            <w:tcW w:w="718" w:type="pct"/>
            <w:tcBorders>
              <w:top w:val="single" w:sz="4" w:space="0" w:color="auto"/>
              <w:left w:val="single" w:sz="4" w:space="0" w:color="auto"/>
              <w:bottom w:val="single" w:sz="4" w:space="0" w:color="auto"/>
              <w:right w:val="single" w:sz="4" w:space="0" w:color="auto"/>
            </w:tcBorders>
            <w:tcMar>
              <w:left w:w="57" w:type="dxa"/>
              <w:right w:w="57" w:type="dxa"/>
            </w:tcMar>
          </w:tcPr>
          <w:p w:rsidR="008B6EB1" w:rsidRDefault="008B6EB1">
            <w:r w:rsidRPr="00DE456E">
              <w:rPr>
                <w:rFonts w:ascii="Arial Narrow" w:hAnsi="Arial Narrow" w:cs="Arial"/>
                <w:i/>
                <w:snapToGrid w:val="0"/>
                <w:color w:val="000000"/>
                <w:sz w:val="20"/>
                <w:szCs w:val="18"/>
                <w:lang w:eastAsia="en-US"/>
              </w:rPr>
              <w:t>(REDACTED)</w:t>
            </w:r>
          </w:p>
        </w:tc>
      </w:tr>
      <w:tr w:rsidR="008B6EB1" w:rsidRPr="00BB440F" w:rsidTr="008B6EB1">
        <w:tc>
          <w:tcPr>
            <w:tcW w:w="284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8B6EB1" w:rsidRPr="002B7FBB" w:rsidRDefault="008B6EB1" w:rsidP="001A4831">
            <w:pPr>
              <w:widowControl w:val="0"/>
              <w:rPr>
                <w:rFonts w:ascii="Arial Narrow" w:hAnsi="Arial Narrow" w:cs="Arial"/>
                <w:snapToGrid w:val="0"/>
                <w:sz w:val="20"/>
                <w:szCs w:val="20"/>
                <w:lang w:eastAsia="en-US"/>
              </w:rPr>
            </w:pPr>
            <w:r w:rsidRPr="004F7C77">
              <w:rPr>
                <w:rFonts w:ascii="Arial Narrow" w:hAnsi="Arial Narrow" w:cs="Arial"/>
                <w:snapToGrid w:val="0"/>
                <w:sz w:val="20"/>
                <w:szCs w:val="20"/>
                <w:lang w:eastAsia="en-US"/>
              </w:rPr>
              <w:t xml:space="preserve">  Costs</w:t>
            </w:r>
            <w:r>
              <w:rPr>
                <w:rFonts w:ascii="Arial Narrow" w:hAnsi="Arial Narrow" w:cs="Arial"/>
                <w:snapToGrid w:val="0"/>
                <w:sz w:val="20"/>
                <w:szCs w:val="20"/>
                <w:lang w:eastAsia="en-US"/>
              </w:rPr>
              <w:t xml:space="preserve"> </w:t>
            </w:r>
            <w:r>
              <w:rPr>
                <w:rFonts w:ascii="Arial Narrow" w:hAnsi="Arial Narrow" w:cs="Arial"/>
                <w:i/>
                <w:snapToGrid w:val="0"/>
                <w:color w:val="000000"/>
                <w:sz w:val="20"/>
                <w:szCs w:val="18"/>
                <w:lang w:eastAsia="en-US"/>
              </w:rPr>
              <w:t>(REDACTED)</w:t>
            </w:r>
          </w:p>
        </w:tc>
        <w:tc>
          <w:tcPr>
            <w:tcW w:w="718" w:type="pct"/>
            <w:tcBorders>
              <w:top w:val="single" w:sz="4" w:space="0" w:color="auto"/>
              <w:left w:val="single" w:sz="4" w:space="0" w:color="auto"/>
              <w:bottom w:val="single" w:sz="4" w:space="0" w:color="auto"/>
              <w:right w:val="single" w:sz="4" w:space="0" w:color="auto"/>
            </w:tcBorders>
            <w:tcMar>
              <w:left w:w="57" w:type="dxa"/>
              <w:right w:w="57" w:type="dxa"/>
            </w:tcMar>
          </w:tcPr>
          <w:p w:rsidR="008B6EB1" w:rsidRDefault="008B6EB1">
            <w:r w:rsidRPr="00DE456E">
              <w:rPr>
                <w:rFonts w:ascii="Arial Narrow" w:hAnsi="Arial Narrow" w:cs="Arial"/>
                <w:i/>
                <w:snapToGrid w:val="0"/>
                <w:color w:val="000000"/>
                <w:sz w:val="20"/>
                <w:szCs w:val="18"/>
                <w:lang w:eastAsia="en-US"/>
              </w:rPr>
              <w:t>(REDACTED)</w:t>
            </w:r>
          </w:p>
        </w:tc>
        <w:tc>
          <w:tcPr>
            <w:tcW w:w="720" w:type="pct"/>
            <w:tcBorders>
              <w:top w:val="single" w:sz="4" w:space="0" w:color="auto"/>
              <w:left w:val="single" w:sz="4" w:space="0" w:color="auto"/>
              <w:bottom w:val="single" w:sz="4" w:space="0" w:color="auto"/>
              <w:right w:val="single" w:sz="4" w:space="0" w:color="auto"/>
            </w:tcBorders>
            <w:tcMar>
              <w:left w:w="57" w:type="dxa"/>
              <w:right w:w="57" w:type="dxa"/>
            </w:tcMar>
          </w:tcPr>
          <w:p w:rsidR="008B6EB1" w:rsidRDefault="008B6EB1">
            <w:r w:rsidRPr="00DE456E">
              <w:rPr>
                <w:rFonts w:ascii="Arial Narrow" w:hAnsi="Arial Narrow" w:cs="Arial"/>
                <w:i/>
                <w:snapToGrid w:val="0"/>
                <w:color w:val="000000"/>
                <w:sz w:val="20"/>
                <w:szCs w:val="18"/>
                <w:lang w:eastAsia="en-US"/>
              </w:rPr>
              <w:t>(REDACTED)</w:t>
            </w:r>
          </w:p>
        </w:tc>
        <w:tc>
          <w:tcPr>
            <w:tcW w:w="718" w:type="pct"/>
            <w:tcBorders>
              <w:top w:val="single" w:sz="4" w:space="0" w:color="auto"/>
              <w:left w:val="single" w:sz="4" w:space="0" w:color="auto"/>
              <w:bottom w:val="single" w:sz="4" w:space="0" w:color="auto"/>
              <w:right w:val="single" w:sz="4" w:space="0" w:color="auto"/>
            </w:tcBorders>
            <w:tcMar>
              <w:left w:w="57" w:type="dxa"/>
              <w:right w:w="57" w:type="dxa"/>
            </w:tcMar>
          </w:tcPr>
          <w:p w:rsidR="008B6EB1" w:rsidRDefault="008B6EB1">
            <w:r w:rsidRPr="00DE456E">
              <w:rPr>
                <w:rFonts w:ascii="Arial Narrow" w:hAnsi="Arial Narrow" w:cs="Arial"/>
                <w:i/>
                <w:snapToGrid w:val="0"/>
                <w:color w:val="000000"/>
                <w:sz w:val="20"/>
                <w:szCs w:val="18"/>
                <w:lang w:eastAsia="en-US"/>
              </w:rPr>
              <w:t>(REDACTED)</w:t>
            </w:r>
          </w:p>
        </w:tc>
      </w:tr>
    </w:tbl>
    <w:p w:rsidR="001A4831" w:rsidRPr="004F7C77" w:rsidRDefault="008B6EB1" w:rsidP="001A4831">
      <w:pPr>
        <w:widowControl w:val="0"/>
        <w:ind w:left="709"/>
        <w:jc w:val="both"/>
        <w:rPr>
          <w:rFonts w:ascii="Arial Narrow" w:hAnsi="Arial Narrow" w:cs="Arial"/>
          <w:snapToGrid w:val="0"/>
          <w:sz w:val="18"/>
          <w:szCs w:val="20"/>
          <w:lang w:eastAsia="en-US"/>
        </w:rPr>
      </w:pPr>
      <w:r>
        <w:rPr>
          <w:rFonts w:ascii="Arial Narrow" w:hAnsi="Arial Narrow" w:cs="Arial"/>
          <w:i/>
          <w:snapToGrid w:val="0"/>
          <w:color w:val="000000"/>
          <w:sz w:val="20"/>
          <w:szCs w:val="18"/>
          <w:lang w:eastAsia="en-US"/>
        </w:rPr>
        <w:t xml:space="preserve">(REDACTED) </w:t>
      </w:r>
      <w:r w:rsidR="001A4831" w:rsidRPr="004F7C77">
        <w:rPr>
          <w:rFonts w:ascii="Arial Narrow" w:hAnsi="Arial Narrow" w:cs="Arial"/>
          <w:snapToGrid w:val="0"/>
          <w:sz w:val="18"/>
          <w:szCs w:val="20"/>
          <w:lang w:eastAsia="en-US"/>
        </w:rPr>
        <w:t xml:space="preserve">CL = confidence limit; ICER = incremental cost effectiveness ratio; QALY = quality adjusted life year; Italics = calculated during evaluation </w:t>
      </w:r>
    </w:p>
    <w:p w:rsidR="001A4831" w:rsidRPr="007D5055" w:rsidRDefault="001A4831" w:rsidP="001A4831">
      <w:pPr>
        <w:pStyle w:val="ListParagraph"/>
        <w:jc w:val="both"/>
        <w:rPr>
          <w:rFonts w:ascii="Arial" w:hAnsi="Arial"/>
          <w:sz w:val="22"/>
          <w:szCs w:val="22"/>
        </w:rPr>
      </w:pPr>
    </w:p>
    <w:p w:rsidR="00E545C1" w:rsidRPr="007D5055" w:rsidRDefault="00E545C1" w:rsidP="00902922">
      <w:pPr>
        <w:pStyle w:val="ListParagraph"/>
        <w:numPr>
          <w:ilvl w:val="1"/>
          <w:numId w:val="1"/>
        </w:numPr>
        <w:jc w:val="both"/>
        <w:rPr>
          <w:rFonts w:ascii="Arial" w:hAnsi="Arial"/>
          <w:sz w:val="22"/>
          <w:szCs w:val="22"/>
        </w:rPr>
      </w:pPr>
      <w:r w:rsidRPr="007D5055">
        <w:rPr>
          <w:rFonts w:ascii="Arial" w:hAnsi="Arial"/>
          <w:sz w:val="22"/>
          <w:szCs w:val="22"/>
        </w:rPr>
        <w:t xml:space="preserve">The ESC advised that an expanded multivariate analysis which includes costs and utilities from Gibson (2013) might better represent a revised base case ICER from which an acceptable price could be identified that lowered the ICER to an acceptable level. In addition, the ESC noted that if an expanded multivariate analysis also included the use of the same post-52 week transition probability (e.g. 0.917) for maintaining response across both the </w:t>
      </w:r>
      <w:proofErr w:type="spellStart"/>
      <w:r w:rsidRPr="007D5055">
        <w:rPr>
          <w:rFonts w:ascii="Arial" w:hAnsi="Arial"/>
          <w:sz w:val="22"/>
          <w:szCs w:val="22"/>
        </w:rPr>
        <w:t>adalimumab</w:t>
      </w:r>
      <w:proofErr w:type="spellEnd"/>
      <w:r w:rsidRPr="007D5055">
        <w:rPr>
          <w:rFonts w:ascii="Arial" w:hAnsi="Arial"/>
          <w:sz w:val="22"/>
          <w:szCs w:val="22"/>
        </w:rPr>
        <w:t xml:space="preserve"> and placebo treatment arms, the ICER </w:t>
      </w:r>
      <w:bookmarkStart w:id="3" w:name="_GoBack"/>
      <w:bookmarkEnd w:id="3"/>
      <w:r w:rsidRPr="007D5055">
        <w:rPr>
          <w:rFonts w:ascii="Arial" w:hAnsi="Arial"/>
          <w:sz w:val="22"/>
          <w:szCs w:val="22"/>
        </w:rPr>
        <w:t xml:space="preserve">would vary as follows: </w:t>
      </w:r>
    </w:p>
    <w:p w:rsidR="00E545C1" w:rsidRPr="007D5055" w:rsidRDefault="00E545C1" w:rsidP="00902922">
      <w:pPr>
        <w:pStyle w:val="ListParagraph"/>
        <w:jc w:val="both"/>
        <w:rPr>
          <w:rFonts w:ascii="Arial" w:hAnsi="Arial"/>
          <w:sz w:val="22"/>
          <w:szCs w:val="22"/>
        </w:rPr>
      </w:pPr>
    </w:p>
    <w:p w:rsidR="00E545C1" w:rsidRPr="004F7C77" w:rsidRDefault="00E545C1" w:rsidP="00E545C1">
      <w:pPr>
        <w:widowControl w:val="0"/>
        <w:ind w:left="709"/>
        <w:jc w:val="both"/>
        <w:rPr>
          <w:rFonts w:ascii="Arial Narrow" w:hAnsi="Arial Narrow" w:cs="Arial"/>
          <w:b/>
          <w:snapToGrid w:val="0"/>
          <w:sz w:val="20"/>
          <w:szCs w:val="20"/>
          <w:lang w:eastAsia="en-US"/>
        </w:rPr>
      </w:pPr>
      <w:r w:rsidRPr="004F7C77">
        <w:rPr>
          <w:rFonts w:ascii="Arial Narrow" w:hAnsi="Arial Narrow" w:cs="Arial"/>
          <w:b/>
          <w:snapToGrid w:val="0"/>
          <w:sz w:val="20"/>
          <w:szCs w:val="20"/>
          <w:lang w:eastAsia="en-US"/>
        </w:rPr>
        <w:t xml:space="preserve">Expanded multivariate analysis </w:t>
      </w:r>
    </w:p>
    <w:tbl>
      <w:tblPr>
        <w:tblStyle w:val="TableGrid"/>
        <w:tblW w:w="0" w:type="auto"/>
        <w:tblInd w:w="817" w:type="dxa"/>
        <w:tblLook w:val="04A0" w:firstRow="1" w:lastRow="0" w:firstColumn="1" w:lastColumn="0" w:noHBand="0" w:noVBand="1"/>
        <w:tblDescription w:val="Expanded multivariate analysis "/>
      </w:tblPr>
      <w:tblGrid>
        <w:gridCol w:w="4017"/>
        <w:gridCol w:w="1319"/>
        <w:gridCol w:w="1227"/>
        <w:gridCol w:w="1319"/>
      </w:tblGrid>
      <w:tr w:rsidR="00E545C1" w:rsidRPr="00BB440F" w:rsidTr="00110C7E">
        <w:tc>
          <w:tcPr>
            <w:tcW w:w="4498" w:type="dxa"/>
          </w:tcPr>
          <w:p w:rsidR="00E545C1" w:rsidRPr="002B7FBB" w:rsidRDefault="00E545C1" w:rsidP="00433FCD">
            <w:pPr>
              <w:widowControl w:val="0"/>
              <w:jc w:val="both"/>
              <w:rPr>
                <w:rFonts w:ascii="Arial Narrow" w:hAnsi="Arial Narrow" w:cs="Arial"/>
                <w:b/>
                <w:snapToGrid w:val="0"/>
                <w:sz w:val="20"/>
                <w:szCs w:val="20"/>
                <w:lang w:eastAsia="en-US"/>
              </w:rPr>
            </w:pPr>
          </w:p>
        </w:tc>
        <w:tc>
          <w:tcPr>
            <w:tcW w:w="1107" w:type="dxa"/>
          </w:tcPr>
          <w:p w:rsidR="00E545C1" w:rsidRPr="002B7FBB" w:rsidRDefault="00E545C1" w:rsidP="00433FCD">
            <w:pPr>
              <w:widowControl w:val="0"/>
              <w:jc w:val="both"/>
              <w:rPr>
                <w:rFonts w:ascii="Arial Narrow" w:hAnsi="Arial Narrow" w:cs="Arial"/>
                <w:b/>
                <w:snapToGrid w:val="0"/>
                <w:sz w:val="20"/>
                <w:szCs w:val="20"/>
                <w:lang w:eastAsia="en-US"/>
              </w:rPr>
            </w:pPr>
            <w:proofErr w:type="spellStart"/>
            <w:r w:rsidRPr="004F7C77">
              <w:rPr>
                <w:rFonts w:ascii="Arial Narrow" w:hAnsi="Arial Narrow" w:cs="Arial"/>
                <w:b/>
                <w:snapToGrid w:val="0"/>
                <w:sz w:val="20"/>
                <w:szCs w:val="20"/>
                <w:lang w:eastAsia="en-US"/>
              </w:rPr>
              <w:t>ΔCost</w:t>
            </w:r>
            <w:proofErr w:type="spellEnd"/>
          </w:p>
        </w:tc>
        <w:tc>
          <w:tcPr>
            <w:tcW w:w="1104" w:type="dxa"/>
          </w:tcPr>
          <w:p w:rsidR="00E545C1" w:rsidRPr="002B7FBB" w:rsidRDefault="00E545C1" w:rsidP="00433FCD">
            <w:pPr>
              <w:widowControl w:val="0"/>
              <w:jc w:val="both"/>
              <w:rPr>
                <w:rFonts w:ascii="Arial Narrow" w:hAnsi="Arial Narrow" w:cs="Arial"/>
                <w:b/>
                <w:snapToGrid w:val="0"/>
                <w:sz w:val="20"/>
                <w:szCs w:val="20"/>
                <w:lang w:eastAsia="en-US"/>
              </w:rPr>
            </w:pPr>
            <w:r w:rsidRPr="004F7C77">
              <w:rPr>
                <w:rFonts w:ascii="Arial Narrow" w:hAnsi="Arial Narrow" w:cs="Arial"/>
                <w:b/>
                <w:snapToGrid w:val="0"/>
                <w:sz w:val="20"/>
                <w:szCs w:val="20"/>
                <w:lang w:eastAsia="en-US"/>
              </w:rPr>
              <w:t>ΔQALY</w:t>
            </w:r>
          </w:p>
        </w:tc>
        <w:tc>
          <w:tcPr>
            <w:tcW w:w="1173" w:type="dxa"/>
          </w:tcPr>
          <w:p w:rsidR="00E545C1" w:rsidRPr="002B7FBB" w:rsidRDefault="00E545C1" w:rsidP="00433FCD">
            <w:pPr>
              <w:widowControl w:val="0"/>
              <w:jc w:val="both"/>
              <w:rPr>
                <w:rFonts w:ascii="Arial Narrow" w:hAnsi="Arial Narrow" w:cs="Arial"/>
                <w:b/>
                <w:snapToGrid w:val="0"/>
                <w:sz w:val="20"/>
                <w:szCs w:val="20"/>
                <w:lang w:eastAsia="en-US"/>
              </w:rPr>
            </w:pPr>
            <w:r w:rsidRPr="004F7C77">
              <w:rPr>
                <w:rFonts w:ascii="Arial Narrow" w:hAnsi="Arial Narrow" w:cs="Arial"/>
                <w:b/>
                <w:snapToGrid w:val="0"/>
                <w:sz w:val="20"/>
                <w:szCs w:val="20"/>
                <w:lang w:eastAsia="en-US"/>
              </w:rPr>
              <w:t>ICER</w:t>
            </w:r>
          </w:p>
        </w:tc>
      </w:tr>
      <w:tr w:rsidR="00E545C1" w:rsidRPr="00BB440F" w:rsidTr="00110C7E">
        <w:tc>
          <w:tcPr>
            <w:tcW w:w="4498" w:type="dxa"/>
          </w:tcPr>
          <w:p w:rsidR="00E545C1" w:rsidRPr="002B7FBB" w:rsidRDefault="008B6EB1" w:rsidP="00433FCD">
            <w:pPr>
              <w:widowControl w:val="0"/>
              <w:jc w:val="both"/>
              <w:rPr>
                <w:rFonts w:ascii="Arial Narrow" w:hAnsi="Arial Narrow" w:cs="Arial"/>
                <w:snapToGrid w:val="0"/>
                <w:sz w:val="20"/>
                <w:szCs w:val="20"/>
                <w:lang w:eastAsia="en-US"/>
              </w:rPr>
            </w:pPr>
            <w:r>
              <w:rPr>
                <w:rFonts w:ascii="Arial Narrow" w:hAnsi="Arial Narrow" w:cs="Arial"/>
                <w:i/>
                <w:snapToGrid w:val="0"/>
                <w:color w:val="000000"/>
                <w:sz w:val="20"/>
                <w:szCs w:val="18"/>
                <w:lang w:eastAsia="en-US"/>
              </w:rPr>
              <w:t xml:space="preserve">(REDACTED) </w:t>
            </w:r>
            <w:r w:rsidR="00E545C1" w:rsidRPr="00941439">
              <w:rPr>
                <w:rFonts w:ascii="Arial Narrow" w:hAnsi="Arial Narrow" w:cs="Arial"/>
                <w:snapToGrid w:val="0"/>
                <w:sz w:val="20"/>
                <w:szCs w:val="20"/>
                <w:lang w:eastAsia="en-US"/>
              </w:rPr>
              <w:t xml:space="preserve">transition probability  for maintaining response post wk52+ for all treatment arms </w:t>
            </w:r>
          </w:p>
        </w:tc>
        <w:tc>
          <w:tcPr>
            <w:tcW w:w="1107" w:type="dxa"/>
          </w:tcPr>
          <w:p w:rsidR="00E545C1" w:rsidRPr="002B7FBB" w:rsidRDefault="00E545C1" w:rsidP="00433FCD">
            <w:pPr>
              <w:widowControl w:val="0"/>
              <w:jc w:val="both"/>
              <w:rPr>
                <w:rFonts w:ascii="Arial Narrow" w:hAnsi="Arial Narrow" w:cs="Arial"/>
                <w:snapToGrid w:val="0"/>
                <w:sz w:val="20"/>
                <w:szCs w:val="20"/>
                <w:lang w:eastAsia="en-US"/>
              </w:rPr>
            </w:pPr>
            <w:r w:rsidRPr="004F7C77">
              <w:rPr>
                <w:rFonts w:ascii="Arial Narrow" w:hAnsi="Arial Narrow" w:cs="Arial"/>
                <w:snapToGrid w:val="0"/>
                <w:sz w:val="20"/>
                <w:szCs w:val="20"/>
                <w:lang w:eastAsia="en-US"/>
              </w:rPr>
              <w:t>$</w:t>
            </w:r>
            <w:r w:rsidR="008B6EB1">
              <w:rPr>
                <w:rFonts w:ascii="Arial Narrow" w:hAnsi="Arial Narrow" w:cs="Arial"/>
                <w:i/>
                <w:snapToGrid w:val="0"/>
                <w:color w:val="000000"/>
                <w:sz w:val="20"/>
                <w:szCs w:val="18"/>
                <w:lang w:eastAsia="en-US"/>
              </w:rPr>
              <w:t>(REDACTED)</w:t>
            </w:r>
          </w:p>
        </w:tc>
        <w:tc>
          <w:tcPr>
            <w:tcW w:w="1104" w:type="dxa"/>
          </w:tcPr>
          <w:p w:rsidR="00E545C1" w:rsidRPr="002B7FBB" w:rsidRDefault="008B6EB1" w:rsidP="00433FCD">
            <w:pPr>
              <w:widowControl w:val="0"/>
              <w:jc w:val="both"/>
              <w:rPr>
                <w:rFonts w:ascii="Arial Narrow" w:hAnsi="Arial Narrow" w:cs="Arial"/>
                <w:snapToGrid w:val="0"/>
                <w:sz w:val="20"/>
                <w:szCs w:val="20"/>
                <w:highlight w:val="black"/>
                <w:lang w:eastAsia="en-US"/>
              </w:rPr>
            </w:pPr>
            <w:r>
              <w:rPr>
                <w:rFonts w:ascii="Arial Narrow" w:hAnsi="Arial Narrow" w:cs="Arial"/>
                <w:i/>
                <w:snapToGrid w:val="0"/>
                <w:color w:val="000000"/>
                <w:sz w:val="20"/>
                <w:szCs w:val="18"/>
                <w:lang w:eastAsia="en-US"/>
              </w:rPr>
              <w:t>(REDACTED)</w:t>
            </w:r>
          </w:p>
        </w:tc>
        <w:tc>
          <w:tcPr>
            <w:tcW w:w="1173" w:type="dxa"/>
          </w:tcPr>
          <w:p w:rsidR="00E545C1" w:rsidRPr="002B7FBB" w:rsidRDefault="00E545C1" w:rsidP="00433FCD">
            <w:pPr>
              <w:widowControl w:val="0"/>
              <w:jc w:val="both"/>
              <w:rPr>
                <w:rFonts w:ascii="Arial Narrow" w:hAnsi="Arial Narrow" w:cs="Arial"/>
                <w:snapToGrid w:val="0"/>
                <w:sz w:val="20"/>
                <w:szCs w:val="20"/>
                <w:lang w:eastAsia="en-US"/>
              </w:rPr>
            </w:pPr>
            <w:r w:rsidRPr="004F7C77">
              <w:rPr>
                <w:rFonts w:ascii="Arial Narrow" w:hAnsi="Arial Narrow" w:cs="Arial"/>
                <w:snapToGrid w:val="0"/>
                <w:sz w:val="20"/>
                <w:szCs w:val="20"/>
                <w:lang w:eastAsia="en-US"/>
              </w:rPr>
              <w:t>$</w:t>
            </w:r>
            <w:r w:rsidR="008B6EB1">
              <w:rPr>
                <w:rFonts w:ascii="Arial Narrow" w:hAnsi="Arial Narrow" w:cs="Arial"/>
                <w:i/>
                <w:snapToGrid w:val="0"/>
                <w:color w:val="000000"/>
                <w:sz w:val="20"/>
                <w:szCs w:val="18"/>
                <w:lang w:eastAsia="en-US"/>
              </w:rPr>
              <w:t>(REDACTED)</w:t>
            </w:r>
          </w:p>
        </w:tc>
      </w:tr>
      <w:tr w:rsidR="008B6EB1" w:rsidRPr="00BB440F" w:rsidTr="00110C7E">
        <w:tc>
          <w:tcPr>
            <w:tcW w:w="4498" w:type="dxa"/>
          </w:tcPr>
          <w:p w:rsidR="008B6EB1" w:rsidRPr="00941439" w:rsidRDefault="008B6EB1" w:rsidP="00433FCD">
            <w:pPr>
              <w:widowControl w:val="0"/>
              <w:jc w:val="both"/>
              <w:rPr>
                <w:rFonts w:ascii="Arial Narrow" w:hAnsi="Arial Narrow" w:cs="Arial"/>
                <w:snapToGrid w:val="0"/>
                <w:sz w:val="20"/>
                <w:szCs w:val="20"/>
                <w:lang w:eastAsia="en-US"/>
              </w:rPr>
            </w:pPr>
            <w:r w:rsidRPr="00941439">
              <w:rPr>
                <w:rFonts w:ascii="Arial Narrow" w:hAnsi="Arial Narrow" w:cs="Arial"/>
                <w:snapToGrid w:val="0"/>
                <w:sz w:val="20"/>
                <w:szCs w:val="20"/>
                <w:lang w:eastAsia="en-US"/>
              </w:rPr>
              <w:t>Multivariate:</w:t>
            </w:r>
          </w:p>
          <w:p w:rsidR="008B6EB1" w:rsidRPr="002B7FBB" w:rsidRDefault="008B6EB1" w:rsidP="00433FCD">
            <w:pPr>
              <w:widowControl w:val="0"/>
              <w:jc w:val="both"/>
              <w:rPr>
                <w:rFonts w:ascii="Arial Narrow" w:hAnsi="Arial Narrow" w:cs="Arial"/>
                <w:snapToGrid w:val="0"/>
                <w:sz w:val="20"/>
                <w:szCs w:val="20"/>
                <w:lang w:eastAsia="en-US"/>
              </w:rPr>
            </w:pPr>
            <w:r>
              <w:rPr>
                <w:rFonts w:ascii="Arial Narrow" w:hAnsi="Arial Narrow" w:cs="Arial"/>
                <w:i/>
                <w:snapToGrid w:val="0"/>
                <w:color w:val="000000"/>
                <w:sz w:val="20"/>
                <w:szCs w:val="18"/>
                <w:lang w:eastAsia="en-US"/>
              </w:rPr>
              <w:t xml:space="preserve">(REDACTED) </w:t>
            </w:r>
            <w:r w:rsidRPr="00941439">
              <w:rPr>
                <w:rFonts w:ascii="Arial Narrow" w:hAnsi="Arial Narrow" w:cs="Arial"/>
                <w:snapToGrid w:val="0"/>
                <w:sz w:val="20"/>
                <w:szCs w:val="20"/>
                <w:lang w:eastAsia="en-US"/>
              </w:rPr>
              <w:t>transition probability for maintaining response post wk52 for all treatment arms</w:t>
            </w:r>
          </w:p>
        </w:tc>
        <w:tc>
          <w:tcPr>
            <w:tcW w:w="1107" w:type="dxa"/>
          </w:tcPr>
          <w:p w:rsidR="008B6EB1" w:rsidRDefault="008B6EB1">
            <w:r w:rsidRPr="00257F60">
              <w:rPr>
                <w:rFonts w:ascii="Arial Narrow" w:hAnsi="Arial Narrow" w:cs="Arial"/>
                <w:i/>
                <w:snapToGrid w:val="0"/>
                <w:color w:val="000000"/>
                <w:sz w:val="20"/>
                <w:szCs w:val="18"/>
                <w:lang w:eastAsia="en-US"/>
              </w:rPr>
              <w:t>(REDACTED)</w:t>
            </w:r>
          </w:p>
        </w:tc>
        <w:tc>
          <w:tcPr>
            <w:tcW w:w="1104" w:type="dxa"/>
          </w:tcPr>
          <w:p w:rsidR="008B6EB1" w:rsidRDefault="008B6EB1">
            <w:r w:rsidRPr="00257F60">
              <w:rPr>
                <w:rFonts w:ascii="Arial Narrow" w:hAnsi="Arial Narrow" w:cs="Arial"/>
                <w:i/>
                <w:snapToGrid w:val="0"/>
                <w:color w:val="000000"/>
                <w:sz w:val="20"/>
                <w:szCs w:val="18"/>
                <w:lang w:eastAsia="en-US"/>
              </w:rPr>
              <w:t>(REDACTED)</w:t>
            </w:r>
          </w:p>
        </w:tc>
        <w:tc>
          <w:tcPr>
            <w:tcW w:w="1173" w:type="dxa"/>
          </w:tcPr>
          <w:p w:rsidR="008B6EB1" w:rsidRDefault="008B6EB1">
            <w:r w:rsidRPr="00257F60">
              <w:rPr>
                <w:rFonts w:ascii="Arial Narrow" w:hAnsi="Arial Narrow" w:cs="Arial"/>
                <w:i/>
                <w:snapToGrid w:val="0"/>
                <w:color w:val="000000"/>
                <w:sz w:val="20"/>
                <w:szCs w:val="18"/>
                <w:lang w:eastAsia="en-US"/>
              </w:rPr>
              <w:t>(REDACTED)</w:t>
            </w:r>
          </w:p>
        </w:tc>
      </w:tr>
    </w:tbl>
    <w:p w:rsidR="00E545C1" w:rsidRPr="007D5055" w:rsidRDefault="00E545C1" w:rsidP="00902922">
      <w:pPr>
        <w:jc w:val="both"/>
        <w:rPr>
          <w:rFonts w:ascii="Arial" w:hAnsi="Arial"/>
          <w:sz w:val="22"/>
          <w:szCs w:val="22"/>
        </w:rPr>
      </w:pPr>
    </w:p>
    <w:p w:rsidR="001A4831" w:rsidRPr="007D5055" w:rsidRDefault="00E545C1" w:rsidP="00902922">
      <w:pPr>
        <w:pStyle w:val="ListParagraph"/>
        <w:numPr>
          <w:ilvl w:val="1"/>
          <w:numId w:val="1"/>
        </w:numPr>
        <w:jc w:val="both"/>
      </w:pPr>
      <w:r w:rsidRPr="007D5055">
        <w:rPr>
          <w:rFonts w:ascii="Arial" w:hAnsi="Arial"/>
          <w:sz w:val="22"/>
          <w:szCs w:val="22"/>
        </w:rPr>
        <w:t>I</w:t>
      </w:r>
      <w:r w:rsidR="001A4831" w:rsidRPr="007D5055">
        <w:rPr>
          <w:rFonts w:ascii="Arial" w:hAnsi="Arial"/>
          <w:sz w:val="22"/>
          <w:szCs w:val="22"/>
        </w:rPr>
        <w:t xml:space="preserve">n summary, </w:t>
      </w:r>
      <w:r w:rsidR="001A4831" w:rsidRPr="004F7C77">
        <w:rPr>
          <w:rFonts w:ascii="Arial" w:hAnsi="Arial"/>
          <w:sz w:val="22"/>
          <w:szCs w:val="22"/>
        </w:rPr>
        <w:t>based on the sensitivity analyses above,</w:t>
      </w:r>
      <w:r w:rsidR="001A4831" w:rsidRPr="007D5055">
        <w:rPr>
          <w:rFonts w:ascii="Arial" w:hAnsi="Arial"/>
          <w:sz w:val="22"/>
          <w:szCs w:val="22"/>
        </w:rPr>
        <w:t xml:space="preserve"> the ESC considered that the ICER realised in practice could be substantially higher than the submission’s estimated base case ICER of </w:t>
      </w:r>
      <w:r w:rsidR="004F7C77">
        <w:rPr>
          <w:rFonts w:ascii="Arial" w:hAnsi="Arial"/>
          <w:sz w:val="22"/>
          <w:szCs w:val="22"/>
        </w:rPr>
        <w:t>$</w:t>
      </w:r>
      <w:r w:rsidR="00BB440F">
        <w:rPr>
          <w:rFonts w:ascii="Arial" w:hAnsi="Arial"/>
          <w:sz w:val="22"/>
          <w:szCs w:val="22"/>
        </w:rPr>
        <w:t>15,000/QALY - $45,000/QALY</w:t>
      </w:r>
      <w:r w:rsidR="001A4831" w:rsidRPr="007D5055">
        <w:rPr>
          <w:rFonts w:ascii="Arial" w:hAnsi="Arial"/>
          <w:sz w:val="22"/>
          <w:szCs w:val="22"/>
        </w:rPr>
        <w:t xml:space="preserve">. </w:t>
      </w:r>
    </w:p>
    <w:p w:rsidR="00583CA9" w:rsidRPr="007D5055" w:rsidRDefault="00583CA9" w:rsidP="00EC08CA">
      <w:pPr>
        <w:jc w:val="both"/>
        <w:rPr>
          <w:rFonts w:ascii="Arial" w:hAnsi="Arial"/>
          <w:sz w:val="22"/>
          <w:szCs w:val="22"/>
        </w:rPr>
      </w:pPr>
    </w:p>
    <w:p w:rsidR="00D2267A" w:rsidRPr="007D5055" w:rsidRDefault="00D2267A" w:rsidP="00D2267A">
      <w:pPr>
        <w:jc w:val="both"/>
        <w:rPr>
          <w:rFonts w:ascii="Arial" w:hAnsi="Arial"/>
          <w:sz w:val="22"/>
          <w:szCs w:val="22"/>
          <w:u w:val="single"/>
        </w:rPr>
      </w:pPr>
      <w:r w:rsidRPr="007D5055">
        <w:rPr>
          <w:rFonts w:ascii="Arial" w:hAnsi="Arial"/>
          <w:sz w:val="22"/>
          <w:szCs w:val="22"/>
          <w:u w:val="single"/>
        </w:rPr>
        <w:t>Cost-minimisation analysis</w:t>
      </w:r>
    </w:p>
    <w:p w:rsidR="00583CA9" w:rsidRPr="007D5055" w:rsidRDefault="00583CA9" w:rsidP="00D2267A">
      <w:pPr>
        <w:jc w:val="both"/>
        <w:rPr>
          <w:rFonts w:ascii="Arial" w:hAnsi="Arial"/>
          <w:sz w:val="22"/>
          <w:szCs w:val="22"/>
        </w:rPr>
      </w:pPr>
    </w:p>
    <w:p w:rsidR="00C76AED" w:rsidRPr="007D5055" w:rsidRDefault="00EC08CA" w:rsidP="00D2267A">
      <w:pPr>
        <w:pStyle w:val="ListParagraph"/>
        <w:numPr>
          <w:ilvl w:val="1"/>
          <w:numId w:val="1"/>
        </w:numPr>
        <w:jc w:val="both"/>
        <w:rPr>
          <w:rFonts w:ascii="Arial" w:hAnsi="Arial"/>
          <w:sz w:val="22"/>
          <w:szCs w:val="22"/>
        </w:rPr>
      </w:pPr>
      <w:r w:rsidRPr="007D5055">
        <w:rPr>
          <w:rFonts w:ascii="Arial" w:hAnsi="Arial"/>
          <w:sz w:val="22"/>
          <w:szCs w:val="22"/>
        </w:rPr>
        <w:t xml:space="preserve">The re-submission did not provide an economic evaluation comparing </w:t>
      </w:r>
      <w:proofErr w:type="spellStart"/>
      <w:r w:rsidRPr="007D5055">
        <w:rPr>
          <w:rFonts w:ascii="Arial" w:hAnsi="Arial"/>
          <w:sz w:val="22"/>
          <w:szCs w:val="22"/>
        </w:rPr>
        <w:t>adalimumab</w:t>
      </w:r>
      <w:proofErr w:type="spellEnd"/>
      <w:r w:rsidRPr="007D5055">
        <w:rPr>
          <w:rFonts w:ascii="Arial" w:hAnsi="Arial"/>
          <w:sz w:val="22"/>
          <w:szCs w:val="22"/>
        </w:rPr>
        <w:t xml:space="preserve"> with infliximab.</w:t>
      </w:r>
      <w:r w:rsidR="00C76AED" w:rsidRPr="007D5055">
        <w:rPr>
          <w:rFonts w:ascii="Arial" w:hAnsi="Arial"/>
          <w:sz w:val="22"/>
          <w:szCs w:val="22"/>
        </w:rPr>
        <w:t xml:space="preserve"> </w:t>
      </w:r>
    </w:p>
    <w:p w:rsidR="006F5668" w:rsidRPr="007D5055" w:rsidRDefault="006F5668" w:rsidP="00EC08CA">
      <w:pPr>
        <w:pStyle w:val="ListParagraph"/>
        <w:jc w:val="both"/>
        <w:rPr>
          <w:rFonts w:ascii="Arial" w:hAnsi="Arial"/>
          <w:sz w:val="22"/>
          <w:szCs w:val="22"/>
        </w:rPr>
      </w:pPr>
    </w:p>
    <w:p w:rsidR="00C76AED" w:rsidRPr="007D5055" w:rsidRDefault="00C76AED" w:rsidP="00C76AED">
      <w:pPr>
        <w:pStyle w:val="ListParagraph"/>
        <w:numPr>
          <w:ilvl w:val="1"/>
          <w:numId w:val="1"/>
        </w:numPr>
        <w:jc w:val="both"/>
        <w:rPr>
          <w:rFonts w:ascii="Arial" w:hAnsi="Arial"/>
          <w:sz w:val="22"/>
          <w:szCs w:val="22"/>
        </w:rPr>
      </w:pPr>
      <w:r w:rsidRPr="007D5055">
        <w:rPr>
          <w:rFonts w:ascii="Arial" w:hAnsi="Arial"/>
          <w:sz w:val="22"/>
          <w:szCs w:val="22"/>
        </w:rPr>
        <w:t xml:space="preserve">However, in the </w:t>
      </w:r>
      <w:r w:rsidR="00891A69" w:rsidRPr="007D5055">
        <w:rPr>
          <w:rFonts w:ascii="Arial" w:hAnsi="Arial"/>
          <w:sz w:val="22"/>
          <w:szCs w:val="22"/>
        </w:rPr>
        <w:t>P</w:t>
      </w:r>
      <w:r w:rsidRPr="007D5055">
        <w:rPr>
          <w:rFonts w:ascii="Arial" w:hAnsi="Arial"/>
          <w:sz w:val="22"/>
          <w:szCs w:val="22"/>
        </w:rPr>
        <w:t xml:space="preserve">re-PBAC response (p.1), the sponsor indicated a willingness to accept listing on a cost-minimisation basis to infliximab with administration costs adjusted to reflect differences in the mode administration. </w:t>
      </w:r>
    </w:p>
    <w:p w:rsidR="00C76AED" w:rsidRPr="007D5055" w:rsidRDefault="00C76AED" w:rsidP="007D5055">
      <w:pPr>
        <w:jc w:val="both"/>
        <w:rPr>
          <w:rFonts w:ascii="Arial" w:hAnsi="Arial"/>
          <w:sz w:val="22"/>
          <w:szCs w:val="22"/>
        </w:rPr>
      </w:pPr>
    </w:p>
    <w:p w:rsidR="006F5668" w:rsidRPr="007D5055" w:rsidRDefault="00C76AED" w:rsidP="006F5668">
      <w:pPr>
        <w:pStyle w:val="ListParagraph"/>
        <w:numPr>
          <w:ilvl w:val="1"/>
          <w:numId w:val="1"/>
        </w:numPr>
        <w:jc w:val="both"/>
        <w:rPr>
          <w:rFonts w:ascii="Arial" w:hAnsi="Arial"/>
          <w:sz w:val="22"/>
          <w:szCs w:val="22"/>
        </w:rPr>
      </w:pPr>
      <w:r w:rsidRPr="007D5055">
        <w:rPr>
          <w:rFonts w:ascii="Arial" w:hAnsi="Arial"/>
          <w:sz w:val="22"/>
          <w:szCs w:val="22"/>
        </w:rPr>
        <w:t>U</w:t>
      </w:r>
      <w:r w:rsidR="006F5668" w:rsidRPr="007D5055">
        <w:rPr>
          <w:rFonts w:ascii="Arial" w:hAnsi="Arial"/>
          <w:sz w:val="22"/>
          <w:szCs w:val="22"/>
        </w:rPr>
        <w:t xml:space="preserve">sing data from the ULTRA I and II and ACT I and II trials, the estimated </w:t>
      </w:r>
      <w:proofErr w:type="spellStart"/>
      <w:r w:rsidR="006F5668" w:rsidRPr="007D5055">
        <w:rPr>
          <w:rFonts w:ascii="Arial" w:hAnsi="Arial"/>
          <w:sz w:val="22"/>
          <w:szCs w:val="22"/>
        </w:rPr>
        <w:t>equi</w:t>
      </w:r>
      <w:proofErr w:type="spellEnd"/>
      <w:r w:rsidR="006F5668" w:rsidRPr="007D5055">
        <w:rPr>
          <w:rFonts w:ascii="Arial" w:hAnsi="Arial"/>
          <w:sz w:val="22"/>
          <w:szCs w:val="22"/>
        </w:rPr>
        <w:t xml:space="preserve">-effective doses of </w:t>
      </w:r>
      <w:proofErr w:type="spellStart"/>
      <w:r w:rsidR="006F5668" w:rsidRPr="007D5055">
        <w:rPr>
          <w:rFonts w:ascii="Arial" w:hAnsi="Arial"/>
          <w:sz w:val="22"/>
          <w:szCs w:val="22"/>
        </w:rPr>
        <w:t>adalimumab</w:t>
      </w:r>
      <w:proofErr w:type="spellEnd"/>
      <w:r w:rsidR="006F5668" w:rsidRPr="007D5055">
        <w:rPr>
          <w:rFonts w:ascii="Arial" w:hAnsi="Arial"/>
          <w:sz w:val="22"/>
          <w:szCs w:val="22"/>
        </w:rPr>
        <w:t xml:space="preserve"> and infliximab for the treatment of moderately to severely active ulcerative colitis </w:t>
      </w:r>
      <w:r w:rsidR="00E545C1" w:rsidRPr="007D5055">
        <w:rPr>
          <w:rFonts w:ascii="Arial" w:hAnsi="Arial"/>
          <w:sz w:val="22"/>
          <w:szCs w:val="22"/>
        </w:rPr>
        <w:t>we</w:t>
      </w:r>
      <w:r w:rsidR="006F5668" w:rsidRPr="007D5055">
        <w:rPr>
          <w:rFonts w:ascii="Arial" w:hAnsi="Arial"/>
          <w:sz w:val="22"/>
          <w:szCs w:val="22"/>
        </w:rPr>
        <w:t xml:space="preserve">re: </w:t>
      </w:r>
    </w:p>
    <w:p w:rsidR="006F5668" w:rsidRPr="007D5055" w:rsidRDefault="006F5668" w:rsidP="006F5668">
      <w:pPr>
        <w:pStyle w:val="ListParagraph"/>
        <w:numPr>
          <w:ilvl w:val="0"/>
          <w:numId w:val="37"/>
        </w:numPr>
        <w:ind w:left="993" w:hanging="284"/>
        <w:jc w:val="both"/>
        <w:rPr>
          <w:rFonts w:ascii="Arial" w:hAnsi="Arial"/>
          <w:sz w:val="22"/>
          <w:szCs w:val="22"/>
        </w:rPr>
      </w:pPr>
      <w:proofErr w:type="spellStart"/>
      <w:r w:rsidRPr="007D5055">
        <w:rPr>
          <w:rFonts w:ascii="Arial" w:hAnsi="Arial"/>
          <w:sz w:val="22"/>
          <w:szCs w:val="22"/>
        </w:rPr>
        <w:t>Adalimumab</w:t>
      </w:r>
      <w:proofErr w:type="spellEnd"/>
      <w:r w:rsidRPr="007D5055">
        <w:rPr>
          <w:rFonts w:ascii="Arial" w:hAnsi="Arial"/>
          <w:sz w:val="22"/>
          <w:szCs w:val="22"/>
        </w:rPr>
        <w:t xml:space="preserve"> – 160 mg at week 0, 80 mg at week 2, and 40 mg fortnightly thereafter (with the option to increase to 40 mg weekly if there is a decrease in response);</w:t>
      </w:r>
    </w:p>
    <w:p w:rsidR="006F5668" w:rsidRPr="007D5055" w:rsidRDefault="006F5668" w:rsidP="006F5668">
      <w:pPr>
        <w:pStyle w:val="ListParagraph"/>
        <w:numPr>
          <w:ilvl w:val="0"/>
          <w:numId w:val="37"/>
        </w:numPr>
        <w:ind w:left="993" w:hanging="284"/>
        <w:jc w:val="both"/>
        <w:rPr>
          <w:rFonts w:ascii="Arial" w:hAnsi="Arial"/>
          <w:sz w:val="22"/>
          <w:szCs w:val="22"/>
        </w:rPr>
      </w:pPr>
      <w:r w:rsidRPr="007D5055">
        <w:rPr>
          <w:rFonts w:ascii="Arial" w:hAnsi="Arial"/>
          <w:sz w:val="22"/>
          <w:szCs w:val="22"/>
        </w:rPr>
        <w:t xml:space="preserve">Infliximab – 5 mg per kg at weeks 0, 2 and 6 and then every 8 weeks thereafter. </w:t>
      </w:r>
    </w:p>
    <w:p w:rsidR="006F5668" w:rsidRPr="006F5668" w:rsidRDefault="006F5668" w:rsidP="006F5668">
      <w:pPr>
        <w:pStyle w:val="ListParagraph"/>
        <w:ind w:left="993"/>
        <w:jc w:val="both"/>
        <w:rPr>
          <w:rFonts w:ascii="Arial" w:hAnsi="Arial"/>
          <w:sz w:val="22"/>
          <w:szCs w:val="22"/>
        </w:rPr>
      </w:pPr>
    </w:p>
    <w:p w:rsidR="00506F2F" w:rsidRPr="007D5055" w:rsidRDefault="00506F2F" w:rsidP="00506F2F">
      <w:pPr>
        <w:pStyle w:val="ListParagraph"/>
        <w:numPr>
          <w:ilvl w:val="1"/>
          <w:numId w:val="1"/>
        </w:numPr>
        <w:jc w:val="both"/>
        <w:rPr>
          <w:rFonts w:ascii="Arial" w:hAnsi="Arial"/>
          <w:sz w:val="22"/>
          <w:szCs w:val="22"/>
        </w:rPr>
      </w:pPr>
      <w:r w:rsidRPr="007D5055">
        <w:rPr>
          <w:rFonts w:ascii="Arial" w:hAnsi="Arial"/>
          <w:sz w:val="22"/>
          <w:szCs w:val="22"/>
        </w:rPr>
        <w:t>As infliximab had</w:t>
      </w:r>
      <w:r w:rsidR="006F5668" w:rsidRPr="007D5055">
        <w:rPr>
          <w:rFonts w:ascii="Arial" w:hAnsi="Arial"/>
          <w:sz w:val="22"/>
          <w:szCs w:val="22"/>
        </w:rPr>
        <w:t xml:space="preserve"> not yet been listed on the PBS at the time of PBAC consideration in July 2014,</w:t>
      </w:r>
      <w:r w:rsidR="000352A4" w:rsidRPr="007D5055">
        <w:rPr>
          <w:rFonts w:ascii="Arial" w:hAnsi="Arial"/>
          <w:sz w:val="22"/>
          <w:szCs w:val="22"/>
        </w:rPr>
        <w:t xml:space="preserve"> a cost minimisation analysis between </w:t>
      </w:r>
      <w:proofErr w:type="spellStart"/>
      <w:r w:rsidR="000352A4" w:rsidRPr="007D5055">
        <w:rPr>
          <w:rFonts w:ascii="Arial" w:hAnsi="Arial"/>
          <w:sz w:val="22"/>
          <w:szCs w:val="22"/>
        </w:rPr>
        <w:t>adalimumab</w:t>
      </w:r>
      <w:proofErr w:type="spellEnd"/>
      <w:r w:rsidR="000352A4" w:rsidRPr="007D5055">
        <w:rPr>
          <w:rFonts w:ascii="Arial" w:hAnsi="Arial"/>
          <w:sz w:val="22"/>
          <w:szCs w:val="22"/>
        </w:rPr>
        <w:t xml:space="preserve"> and infliximab was not possible.</w:t>
      </w:r>
      <w:r w:rsidR="006F5668" w:rsidRPr="007D5055">
        <w:rPr>
          <w:rFonts w:ascii="Arial" w:hAnsi="Arial"/>
          <w:sz w:val="22"/>
          <w:szCs w:val="22"/>
        </w:rPr>
        <w:t xml:space="preserve"> The evaluation </w:t>
      </w:r>
      <w:r w:rsidR="000352A4" w:rsidRPr="007D5055">
        <w:rPr>
          <w:rFonts w:ascii="Arial" w:hAnsi="Arial"/>
          <w:sz w:val="22"/>
          <w:szCs w:val="22"/>
        </w:rPr>
        <w:t xml:space="preserve">considered </w:t>
      </w:r>
      <w:r w:rsidR="006F5668" w:rsidRPr="007D5055">
        <w:rPr>
          <w:rFonts w:ascii="Arial" w:hAnsi="Arial"/>
          <w:sz w:val="22"/>
          <w:szCs w:val="22"/>
        </w:rPr>
        <w:t xml:space="preserve">that the mode of administration (injection for </w:t>
      </w:r>
      <w:proofErr w:type="spellStart"/>
      <w:r w:rsidR="006F5668" w:rsidRPr="007D5055">
        <w:rPr>
          <w:rFonts w:ascii="Arial" w:hAnsi="Arial"/>
          <w:sz w:val="22"/>
          <w:szCs w:val="22"/>
        </w:rPr>
        <w:t>adalimumab</w:t>
      </w:r>
      <w:proofErr w:type="spellEnd"/>
      <w:r w:rsidR="006F5668" w:rsidRPr="007D5055">
        <w:rPr>
          <w:rFonts w:ascii="Arial" w:hAnsi="Arial"/>
          <w:sz w:val="22"/>
          <w:szCs w:val="22"/>
        </w:rPr>
        <w:t xml:space="preserve"> and infusion for infliximab) should be taken into consideration for a cost minimisation analysis. </w:t>
      </w:r>
    </w:p>
    <w:p w:rsidR="007D5055" w:rsidRPr="007D5055" w:rsidRDefault="007D5055" w:rsidP="007D5055">
      <w:pPr>
        <w:pStyle w:val="ListParagraph"/>
        <w:jc w:val="both"/>
        <w:rPr>
          <w:rFonts w:ascii="Arial" w:hAnsi="Arial"/>
          <w:sz w:val="22"/>
          <w:szCs w:val="22"/>
        </w:rPr>
      </w:pPr>
    </w:p>
    <w:p w:rsidR="00BB7EC3" w:rsidRPr="00BB7EC3" w:rsidRDefault="00BB7EC3" w:rsidP="00BB7EC3">
      <w:pPr>
        <w:pStyle w:val="ListParagraph"/>
        <w:ind w:left="709"/>
        <w:jc w:val="both"/>
        <w:rPr>
          <w:rFonts w:ascii="Arial" w:hAnsi="Arial"/>
          <w:i/>
          <w:sz w:val="22"/>
          <w:szCs w:val="22"/>
        </w:rPr>
      </w:pPr>
      <w:r>
        <w:rPr>
          <w:rFonts w:ascii="Arial" w:hAnsi="Arial"/>
          <w:i/>
          <w:sz w:val="22"/>
          <w:szCs w:val="22"/>
        </w:rPr>
        <w:t>For more detail on PBAC’s view, see section 7 “PBAC outcome”</w:t>
      </w:r>
    </w:p>
    <w:p w:rsidR="00F57A6D" w:rsidRPr="00882085" w:rsidRDefault="00F57A6D" w:rsidP="00882085">
      <w:pPr>
        <w:ind w:left="720" w:hanging="720"/>
        <w:jc w:val="both"/>
        <w:rPr>
          <w:rFonts w:ascii="Arial" w:hAnsi="Arial"/>
          <w:sz w:val="22"/>
          <w:szCs w:val="22"/>
        </w:rPr>
      </w:pPr>
    </w:p>
    <w:p w:rsidR="005A3173" w:rsidRPr="00882085" w:rsidRDefault="005A3173" w:rsidP="00882085">
      <w:pPr>
        <w:ind w:left="720" w:hanging="720"/>
        <w:jc w:val="both"/>
        <w:rPr>
          <w:rFonts w:ascii="Arial" w:hAnsi="Arial"/>
          <w:b/>
          <w:i/>
          <w:sz w:val="22"/>
          <w:szCs w:val="22"/>
        </w:rPr>
      </w:pPr>
      <w:r w:rsidRPr="00882085">
        <w:rPr>
          <w:rFonts w:ascii="Arial" w:hAnsi="Arial"/>
          <w:b/>
          <w:i/>
          <w:sz w:val="22"/>
          <w:szCs w:val="22"/>
        </w:rPr>
        <w:t>Estimated PBS usage &amp; financial implications</w:t>
      </w:r>
    </w:p>
    <w:p w:rsidR="005A3173" w:rsidRPr="00882085" w:rsidRDefault="005A3173" w:rsidP="00882085">
      <w:pPr>
        <w:ind w:left="720" w:hanging="720"/>
        <w:jc w:val="both"/>
        <w:rPr>
          <w:rFonts w:ascii="Arial" w:hAnsi="Arial"/>
          <w:b/>
          <w:i/>
          <w:sz w:val="22"/>
          <w:szCs w:val="22"/>
        </w:rPr>
      </w:pPr>
    </w:p>
    <w:p w:rsidR="00487EF4" w:rsidRPr="007D5055" w:rsidRDefault="00487EF4" w:rsidP="00487EF4">
      <w:pPr>
        <w:pStyle w:val="ListParagraph"/>
        <w:numPr>
          <w:ilvl w:val="1"/>
          <w:numId w:val="1"/>
        </w:numPr>
        <w:jc w:val="both"/>
        <w:rPr>
          <w:rFonts w:ascii="Arial" w:hAnsi="Arial"/>
          <w:b/>
          <w:color w:val="FF00FF"/>
          <w:sz w:val="22"/>
          <w:szCs w:val="22"/>
        </w:rPr>
      </w:pPr>
      <w:r w:rsidRPr="007D5055">
        <w:rPr>
          <w:rFonts w:ascii="Arial" w:hAnsi="Arial"/>
          <w:sz w:val="22"/>
          <w:szCs w:val="22"/>
        </w:rPr>
        <w:t xml:space="preserve">The submission was not considered by DUSC. </w:t>
      </w:r>
    </w:p>
    <w:p w:rsidR="00487EF4" w:rsidRPr="007D5055" w:rsidRDefault="00487EF4" w:rsidP="00487EF4">
      <w:pPr>
        <w:pStyle w:val="ListParagraph"/>
        <w:jc w:val="both"/>
        <w:rPr>
          <w:rFonts w:ascii="Arial" w:hAnsi="Arial"/>
          <w:sz w:val="22"/>
          <w:szCs w:val="22"/>
        </w:rPr>
      </w:pPr>
    </w:p>
    <w:p w:rsidR="007523CB" w:rsidRPr="007D5055" w:rsidRDefault="007523CB" w:rsidP="007523CB">
      <w:pPr>
        <w:pStyle w:val="ListParagraph"/>
        <w:numPr>
          <w:ilvl w:val="1"/>
          <w:numId w:val="1"/>
        </w:numPr>
        <w:jc w:val="both"/>
        <w:rPr>
          <w:rFonts w:ascii="Arial" w:hAnsi="Arial"/>
          <w:sz w:val="22"/>
          <w:szCs w:val="22"/>
        </w:rPr>
      </w:pPr>
      <w:r w:rsidRPr="007D5055">
        <w:rPr>
          <w:rFonts w:ascii="Arial" w:hAnsi="Arial"/>
          <w:sz w:val="22"/>
          <w:szCs w:val="22"/>
        </w:rPr>
        <w:t>The re-submission proposed the following key aspects to contain the overall cost to the Government:</w:t>
      </w:r>
    </w:p>
    <w:p w:rsidR="007523CB" w:rsidRPr="007D5055" w:rsidRDefault="007523CB" w:rsidP="007523CB">
      <w:pPr>
        <w:pStyle w:val="ListParagraph"/>
        <w:numPr>
          <w:ilvl w:val="0"/>
          <w:numId w:val="23"/>
        </w:numPr>
        <w:ind w:left="993" w:hanging="284"/>
        <w:jc w:val="both"/>
        <w:rPr>
          <w:rFonts w:ascii="Arial" w:hAnsi="Arial"/>
          <w:sz w:val="22"/>
          <w:szCs w:val="22"/>
        </w:rPr>
      </w:pPr>
      <w:r w:rsidRPr="007D5055">
        <w:rPr>
          <w:rFonts w:ascii="Arial" w:hAnsi="Arial"/>
          <w:sz w:val="22"/>
          <w:szCs w:val="22"/>
        </w:rPr>
        <w:t xml:space="preserve">A proposed price reduction </w:t>
      </w:r>
      <w:r w:rsidRPr="004F7C77">
        <w:rPr>
          <w:rFonts w:ascii="Arial" w:hAnsi="Arial"/>
          <w:sz w:val="22"/>
          <w:szCs w:val="22"/>
        </w:rPr>
        <w:t xml:space="preserve">on the DPMQ of </w:t>
      </w:r>
      <w:r w:rsidR="008B6EB1" w:rsidRPr="008B6EB1">
        <w:rPr>
          <w:rFonts w:ascii="Arial" w:hAnsi="Arial"/>
          <w:i/>
          <w:sz w:val="22"/>
          <w:szCs w:val="22"/>
        </w:rPr>
        <w:t>(REDACTED</w:t>
      </w:r>
      <w:r w:rsidR="008B6EB1">
        <w:rPr>
          <w:rFonts w:ascii="Arial" w:hAnsi="Arial"/>
          <w:i/>
          <w:sz w:val="22"/>
          <w:szCs w:val="22"/>
        </w:rPr>
        <w:t>)</w:t>
      </w:r>
      <w:r w:rsidR="008B6EB1">
        <w:rPr>
          <w:rFonts w:ascii="Arial" w:hAnsi="Arial"/>
          <w:i/>
        </w:rPr>
        <w:t xml:space="preserve"> </w:t>
      </w:r>
      <w:r w:rsidRPr="004F7C77">
        <w:rPr>
          <w:rFonts w:ascii="Arial" w:hAnsi="Arial"/>
          <w:sz w:val="22"/>
          <w:szCs w:val="22"/>
        </w:rPr>
        <w:t>%</w:t>
      </w:r>
      <w:r w:rsidRPr="007D5055">
        <w:rPr>
          <w:rFonts w:ascii="Arial" w:hAnsi="Arial"/>
          <w:sz w:val="22"/>
          <w:szCs w:val="22"/>
        </w:rPr>
        <w:t xml:space="preserve"> </w:t>
      </w:r>
    </w:p>
    <w:p w:rsidR="00BB440F" w:rsidRPr="00BB440F" w:rsidRDefault="007523CB" w:rsidP="007523CB">
      <w:pPr>
        <w:pStyle w:val="ListParagraph"/>
        <w:numPr>
          <w:ilvl w:val="0"/>
          <w:numId w:val="23"/>
        </w:numPr>
        <w:ind w:left="993" w:hanging="284"/>
        <w:jc w:val="both"/>
        <w:rPr>
          <w:rFonts w:ascii="Arial" w:hAnsi="Arial"/>
          <w:sz w:val="22"/>
          <w:szCs w:val="22"/>
        </w:rPr>
      </w:pPr>
      <w:r w:rsidRPr="00941439">
        <w:rPr>
          <w:rFonts w:ascii="Arial" w:hAnsi="Arial"/>
          <w:sz w:val="22"/>
          <w:szCs w:val="22"/>
        </w:rPr>
        <w:t>Patients who need dose escalation after the induction period (i.e. from fortnightly injection to weekly injection)</w:t>
      </w:r>
      <w:r w:rsidR="008B6EB1">
        <w:rPr>
          <w:rFonts w:ascii="Arial" w:hAnsi="Arial"/>
          <w:noProof/>
          <w:color w:val="000000"/>
          <w:sz w:val="22"/>
          <w:szCs w:val="22"/>
        </w:rPr>
        <w:t xml:space="preserve"> </w:t>
      </w:r>
      <w:r w:rsidR="008B6EB1" w:rsidRPr="008B6EB1">
        <w:rPr>
          <w:rFonts w:ascii="Arial" w:hAnsi="Arial"/>
          <w:i/>
          <w:sz w:val="22"/>
          <w:szCs w:val="22"/>
        </w:rPr>
        <w:t>(REDACTED</w:t>
      </w:r>
      <w:r w:rsidR="008B6EB1">
        <w:rPr>
          <w:rFonts w:ascii="Arial" w:hAnsi="Arial"/>
          <w:i/>
          <w:sz w:val="22"/>
          <w:szCs w:val="22"/>
        </w:rPr>
        <w:t>)</w:t>
      </w:r>
    </w:p>
    <w:p w:rsidR="007523CB" w:rsidRPr="007D5055" w:rsidRDefault="007523CB" w:rsidP="00BB440F">
      <w:pPr>
        <w:pStyle w:val="ListParagraph"/>
        <w:ind w:left="993"/>
        <w:jc w:val="both"/>
        <w:rPr>
          <w:rFonts w:ascii="Arial" w:hAnsi="Arial"/>
          <w:sz w:val="22"/>
          <w:szCs w:val="22"/>
        </w:rPr>
      </w:pPr>
      <w:r w:rsidRPr="007D5055">
        <w:rPr>
          <w:rFonts w:ascii="Arial" w:hAnsi="Arial"/>
          <w:sz w:val="22"/>
          <w:szCs w:val="22"/>
        </w:rPr>
        <w:t xml:space="preserve"> </w:t>
      </w:r>
    </w:p>
    <w:p w:rsidR="007523CB" w:rsidRPr="007D5055" w:rsidRDefault="007523CB" w:rsidP="007523CB">
      <w:pPr>
        <w:pStyle w:val="ListParagraph"/>
        <w:jc w:val="both"/>
        <w:rPr>
          <w:rFonts w:ascii="Arial" w:hAnsi="Arial"/>
          <w:sz w:val="22"/>
          <w:szCs w:val="22"/>
        </w:rPr>
      </w:pPr>
    </w:p>
    <w:p w:rsidR="004F7C77" w:rsidRPr="00674B75" w:rsidRDefault="00BB440F" w:rsidP="004F7C77">
      <w:pPr>
        <w:pStyle w:val="ListParagraph"/>
        <w:numPr>
          <w:ilvl w:val="1"/>
          <w:numId w:val="1"/>
        </w:numPr>
        <w:jc w:val="both"/>
        <w:rPr>
          <w:rFonts w:ascii="Arial" w:hAnsi="Arial"/>
          <w:sz w:val="22"/>
          <w:szCs w:val="22"/>
        </w:rPr>
      </w:pPr>
      <w:r w:rsidRPr="00BB440F">
        <w:rPr>
          <w:rFonts w:ascii="Arial" w:hAnsi="Arial"/>
          <w:sz w:val="22"/>
          <w:szCs w:val="22"/>
        </w:rPr>
        <w:t>The likely number of patients treated per year was estimated in the submission to be less than 10,000</w:t>
      </w:r>
      <w:r>
        <w:rPr>
          <w:rFonts w:ascii="Arial" w:hAnsi="Arial"/>
          <w:sz w:val="22"/>
          <w:szCs w:val="22"/>
        </w:rPr>
        <w:t xml:space="preserve"> </w:t>
      </w:r>
      <w:r w:rsidRPr="00BB440F">
        <w:rPr>
          <w:rFonts w:ascii="Arial" w:hAnsi="Arial"/>
          <w:sz w:val="22"/>
          <w:szCs w:val="22"/>
        </w:rPr>
        <w:t xml:space="preserve">in Year 5, at an estimated net cost per year to the PBS of $10 - $20 million in Year 5. </w:t>
      </w:r>
      <w:r w:rsidR="004F7C77" w:rsidRPr="00674B75">
        <w:rPr>
          <w:rFonts w:ascii="Arial" w:hAnsi="Arial"/>
          <w:sz w:val="22"/>
          <w:szCs w:val="22"/>
        </w:rPr>
        <w:t xml:space="preserve">The table below summarises the estimated use and financial implications of listing </w:t>
      </w:r>
      <w:proofErr w:type="spellStart"/>
      <w:r w:rsidR="004F7C77" w:rsidRPr="00674B75">
        <w:rPr>
          <w:rFonts w:ascii="Arial" w:hAnsi="Arial"/>
          <w:sz w:val="22"/>
          <w:szCs w:val="22"/>
        </w:rPr>
        <w:t>adalimumab</w:t>
      </w:r>
      <w:proofErr w:type="spellEnd"/>
      <w:r w:rsidR="004F7C77" w:rsidRPr="00674B75">
        <w:rPr>
          <w:rFonts w:ascii="Arial" w:hAnsi="Arial"/>
          <w:sz w:val="22"/>
          <w:szCs w:val="22"/>
        </w:rPr>
        <w:t xml:space="preserve"> on the PBS, as presented in the re-submission. </w:t>
      </w:r>
    </w:p>
    <w:p w:rsidR="00487EF4" w:rsidRPr="00BB440F" w:rsidRDefault="00487EF4" w:rsidP="008B6EB1">
      <w:pPr>
        <w:pStyle w:val="ListParagraph"/>
        <w:jc w:val="both"/>
        <w:rPr>
          <w:rFonts w:ascii="Arial" w:hAnsi="Arial"/>
          <w:sz w:val="22"/>
          <w:szCs w:val="22"/>
        </w:rPr>
      </w:pPr>
    </w:p>
    <w:p w:rsidR="00487EF4" w:rsidRPr="004F7C77" w:rsidRDefault="00487EF4" w:rsidP="002B17EE">
      <w:pPr>
        <w:keepNext/>
        <w:ind w:left="720"/>
        <w:jc w:val="both"/>
        <w:rPr>
          <w:rFonts w:ascii="Arial" w:hAnsi="Arial" w:cs="Arial"/>
          <w:b/>
          <w:snapToGrid w:val="0"/>
          <w:color w:val="FF00FF"/>
          <w:sz w:val="22"/>
          <w:szCs w:val="22"/>
          <w:lang w:eastAsia="en-US"/>
        </w:rPr>
      </w:pPr>
      <w:r w:rsidRPr="004F7C77">
        <w:rPr>
          <w:rFonts w:ascii="Arial Narrow" w:hAnsi="Arial Narrow" w:cs="Arial"/>
          <w:b/>
          <w:snapToGrid w:val="0"/>
          <w:sz w:val="20"/>
          <w:szCs w:val="16"/>
          <w:lang w:eastAsia="en-US"/>
        </w:rPr>
        <w:t xml:space="preserve">Estimated use and financial implications of </w:t>
      </w:r>
      <w:proofErr w:type="spellStart"/>
      <w:r w:rsidRPr="004F7C77">
        <w:rPr>
          <w:rFonts w:ascii="Arial Narrow" w:hAnsi="Arial Narrow" w:cs="Arial"/>
          <w:b/>
          <w:snapToGrid w:val="0"/>
          <w:sz w:val="20"/>
          <w:szCs w:val="16"/>
          <w:lang w:eastAsia="en-US"/>
        </w:rPr>
        <w:t>adalimumab</w:t>
      </w:r>
      <w:proofErr w:type="spellEnd"/>
      <w:r w:rsidRPr="004F7C77">
        <w:rPr>
          <w:rFonts w:ascii="Arial Narrow" w:hAnsi="Arial Narrow" w:cs="Arial"/>
          <w:b/>
          <w:snapToGrid w:val="0"/>
          <w:sz w:val="20"/>
          <w:szCs w:val="16"/>
          <w:lang w:eastAsia="en-US"/>
        </w:rPr>
        <w:t xml:space="preserve"> listing: current vs. previous submission </w:t>
      </w:r>
    </w:p>
    <w:tbl>
      <w:tblPr>
        <w:tblW w:w="4568"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256"/>
        <w:gridCol w:w="1159"/>
        <w:gridCol w:w="1159"/>
        <w:gridCol w:w="1067"/>
        <w:gridCol w:w="1081"/>
        <w:gridCol w:w="1079"/>
      </w:tblGrid>
      <w:tr w:rsidR="00487EF4" w:rsidRPr="00BB440F" w:rsidTr="008B6EB1">
        <w:trPr>
          <w:tblHeader/>
        </w:trPr>
        <w:tc>
          <w:tcPr>
            <w:tcW w:w="1477" w:type="pct"/>
            <w:shd w:val="clear" w:color="auto" w:fill="auto"/>
            <w:vAlign w:val="center"/>
          </w:tcPr>
          <w:p w:rsidR="00487EF4" w:rsidRPr="002B7FBB" w:rsidRDefault="00487EF4" w:rsidP="00487EF4">
            <w:pPr>
              <w:keepNext/>
              <w:tabs>
                <w:tab w:val="left" w:pos="142"/>
              </w:tabs>
              <w:rPr>
                <w:rFonts w:ascii="Arial Narrow" w:hAnsi="Arial Narrow" w:cs="Arial"/>
                <w:b/>
                <w:snapToGrid w:val="0"/>
                <w:sz w:val="20"/>
                <w:szCs w:val="20"/>
                <w:lang w:eastAsia="en-US"/>
              </w:rPr>
            </w:pPr>
          </w:p>
        </w:tc>
        <w:tc>
          <w:tcPr>
            <w:tcW w:w="705" w:type="pct"/>
            <w:shd w:val="clear" w:color="auto" w:fill="auto"/>
            <w:vAlign w:val="center"/>
          </w:tcPr>
          <w:p w:rsidR="00487EF4" w:rsidRPr="002B7FBB" w:rsidRDefault="00487EF4" w:rsidP="00487EF4">
            <w:pPr>
              <w:keepNext/>
              <w:jc w:val="center"/>
              <w:rPr>
                <w:rFonts w:ascii="Arial Narrow" w:hAnsi="Arial Narrow" w:cs="Arial"/>
                <w:b/>
                <w:snapToGrid w:val="0"/>
                <w:sz w:val="20"/>
                <w:szCs w:val="20"/>
                <w:lang w:eastAsia="en-US"/>
              </w:rPr>
            </w:pPr>
            <w:r w:rsidRPr="00FA18BD">
              <w:rPr>
                <w:rFonts w:ascii="Arial Narrow" w:hAnsi="Arial Narrow" w:cs="Arial"/>
                <w:b/>
                <w:snapToGrid w:val="0"/>
                <w:sz w:val="20"/>
                <w:szCs w:val="20"/>
                <w:lang w:eastAsia="en-US"/>
              </w:rPr>
              <w:t>Year 1</w:t>
            </w:r>
          </w:p>
        </w:tc>
        <w:tc>
          <w:tcPr>
            <w:tcW w:w="705" w:type="pct"/>
            <w:shd w:val="clear" w:color="auto" w:fill="auto"/>
            <w:vAlign w:val="center"/>
          </w:tcPr>
          <w:p w:rsidR="00487EF4" w:rsidRPr="002B7FBB" w:rsidRDefault="00487EF4" w:rsidP="00487EF4">
            <w:pPr>
              <w:keepNext/>
              <w:jc w:val="center"/>
              <w:rPr>
                <w:rFonts w:ascii="Arial Narrow" w:hAnsi="Arial Narrow" w:cs="Arial"/>
                <w:b/>
                <w:snapToGrid w:val="0"/>
                <w:sz w:val="20"/>
                <w:szCs w:val="20"/>
                <w:lang w:eastAsia="en-US"/>
              </w:rPr>
            </w:pPr>
            <w:r w:rsidRPr="00FA18BD">
              <w:rPr>
                <w:rFonts w:ascii="Arial Narrow" w:hAnsi="Arial Narrow" w:cs="Arial"/>
                <w:b/>
                <w:snapToGrid w:val="0"/>
                <w:sz w:val="20"/>
                <w:szCs w:val="20"/>
                <w:lang w:eastAsia="en-US"/>
              </w:rPr>
              <w:t>Year 2</w:t>
            </w:r>
          </w:p>
        </w:tc>
        <w:tc>
          <w:tcPr>
            <w:tcW w:w="705" w:type="pct"/>
            <w:shd w:val="clear" w:color="auto" w:fill="auto"/>
            <w:vAlign w:val="center"/>
          </w:tcPr>
          <w:p w:rsidR="00487EF4" w:rsidRPr="002B7FBB" w:rsidRDefault="00487EF4" w:rsidP="00487EF4">
            <w:pPr>
              <w:keepNext/>
              <w:jc w:val="center"/>
              <w:rPr>
                <w:rFonts w:ascii="Arial Narrow" w:hAnsi="Arial Narrow" w:cs="Arial"/>
                <w:b/>
                <w:snapToGrid w:val="0"/>
                <w:sz w:val="20"/>
                <w:szCs w:val="20"/>
                <w:lang w:eastAsia="en-US"/>
              </w:rPr>
            </w:pPr>
            <w:r w:rsidRPr="00FA18BD">
              <w:rPr>
                <w:rFonts w:ascii="Arial Narrow" w:hAnsi="Arial Narrow" w:cs="Arial"/>
                <w:b/>
                <w:snapToGrid w:val="0"/>
                <w:sz w:val="20"/>
                <w:szCs w:val="20"/>
                <w:lang w:eastAsia="en-US"/>
              </w:rPr>
              <w:t>Year 3</w:t>
            </w:r>
          </w:p>
        </w:tc>
        <w:tc>
          <w:tcPr>
            <w:tcW w:w="705" w:type="pct"/>
            <w:shd w:val="clear" w:color="auto" w:fill="auto"/>
            <w:vAlign w:val="center"/>
          </w:tcPr>
          <w:p w:rsidR="00487EF4" w:rsidRPr="002B7FBB" w:rsidRDefault="00487EF4" w:rsidP="00487EF4">
            <w:pPr>
              <w:keepNext/>
              <w:jc w:val="center"/>
              <w:rPr>
                <w:rFonts w:ascii="Arial Narrow" w:hAnsi="Arial Narrow" w:cs="Arial"/>
                <w:b/>
                <w:snapToGrid w:val="0"/>
                <w:sz w:val="20"/>
                <w:szCs w:val="20"/>
                <w:lang w:eastAsia="en-US"/>
              </w:rPr>
            </w:pPr>
            <w:r w:rsidRPr="00FA18BD">
              <w:rPr>
                <w:rFonts w:ascii="Arial Narrow" w:hAnsi="Arial Narrow" w:cs="Arial"/>
                <w:b/>
                <w:snapToGrid w:val="0"/>
                <w:sz w:val="20"/>
                <w:szCs w:val="20"/>
                <w:lang w:eastAsia="en-US"/>
              </w:rPr>
              <w:t>Year 4</w:t>
            </w:r>
          </w:p>
        </w:tc>
        <w:tc>
          <w:tcPr>
            <w:tcW w:w="703" w:type="pct"/>
            <w:shd w:val="clear" w:color="auto" w:fill="auto"/>
            <w:vAlign w:val="center"/>
          </w:tcPr>
          <w:p w:rsidR="00487EF4" w:rsidRPr="002B7FBB" w:rsidRDefault="00487EF4" w:rsidP="00487EF4">
            <w:pPr>
              <w:keepNext/>
              <w:jc w:val="center"/>
              <w:rPr>
                <w:rFonts w:ascii="Arial Narrow" w:hAnsi="Arial Narrow" w:cs="Arial"/>
                <w:b/>
                <w:snapToGrid w:val="0"/>
                <w:sz w:val="20"/>
                <w:szCs w:val="20"/>
                <w:lang w:eastAsia="en-US"/>
              </w:rPr>
            </w:pPr>
            <w:r w:rsidRPr="00FA18BD">
              <w:rPr>
                <w:rFonts w:ascii="Arial Narrow" w:hAnsi="Arial Narrow" w:cs="Arial"/>
                <w:b/>
                <w:snapToGrid w:val="0"/>
                <w:sz w:val="20"/>
                <w:szCs w:val="20"/>
                <w:lang w:eastAsia="en-US"/>
              </w:rPr>
              <w:t>Year 5</w:t>
            </w:r>
          </w:p>
        </w:tc>
      </w:tr>
      <w:tr w:rsidR="00487EF4" w:rsidRPr="00BB440F">
        <w:tc>
          <w:tcPr>
            <w:tcW w:w="5000" w:type="pct"/>
            <w:gridSpan w:val="6"/>
            <w:shd w:val="clear" w:color="auto" w:fill="auto"/>
            <w:vAlign w:val="center"/>
          </w:tcPr>
          <w:p w:rsidR="00487EF4" w:rsidRPr="002B7FBB" w:rsidRDefault="00487EF4" w:rsidP="00487EF4">
            <w:pPr>
              <w:keepNext/>
              <w:rPr>
                <w:rFonts w:ascii="Arial Narrow" w:hAnsi="Arial Narrow" w:cs="Arial"/>
                <w:b/>
                <w:bCs/>
                <w:snapToGrid w:val="0"/>
                <w:color w:val="000000"/>
                <w:sz w:val="20"/>
                <w:szCs w:val="20"/>
                <w:lang w:eastAsia="en-US"/>
              </w:rPr>
            </w:pPr>
            <w:r w:rsidRPr="00FA18BD">
              <w:rPr>
                <w:rFonts w:ascii="Arial Narrow" w:hAnsi="Arial Narrow" w:cs="Arial"/>
                <w:b/>
                <w:bCs/>
                <w:snapToGrid w:val="0"/>
                <w:color w:val="000000"/>
                <w:sz w:val="20"/>
                <w:szCs w:val="20"/>
                <w:lang w:eastAsia="en-US"/>
              </w:rPr>
              <w:t>Estimated extent of use</w:t>
            </w:r>
          </w:p>
        </w:tc>
      </w:tr>
      <w:tr w:rsidR="008B6EB1" w:rsidRPr="00BB440F" w:rsidTr="008B6EB1">
        <w:tc>
          <w:tcPr>
            <w:tcW w:w="1477" w:type="pct"/>
            <w:shd w:val="clear" w:color="auto" w:fill="auto"/>
            <w:vAlign w:val="center"/>
          </w:tcPr>
          <w:p w:rsidR="008B6EB1" w:rsidRPr="002B7FBB" w:rsidRDefault="008B6EB1" w:rsidP="00487EF4">
            <w:pPr>
              <w:keepNext/>
              <w:tabs>
                <w:tab w:val="left" w:pos="142"/>
              </w:tabs>
              <w:rPr>
                <w:rFonts w:ascii="Arial Narrow" w:hAnsi="Arial Narrow" w:cs="Arial"/>
                <w:snapToGrid w:val="0"/>
                <w:sz w:val="20"/>
                <w:szCs w:val="20"/>
                <w:lang w:eastAsia="en-US"/>
              </w:rPr>
            </w:pPr>
            <w:r w:rsidRPr="0031038B">
              <w:rPr>
                <w:rFonts w:ascii="Arial Narrow" w:hAnsi="Arial Narrow" w:cs="Arial"/>
                <w:snapToGrid w:val="0"/>
                <w:sz w:val="20"/>
                <w:szCs w:val="20"/>
                <w:lang w:eastAsia="en-US"/>
              </w:rPr>
              <w:t>Number treated</w:t>
            </w:r>
          </w:p>
        </w:tc>
        <w:tc>
          <w:tcPr>
            <w:tcW w:w="705" w:type="pct"/>
            <w:shd w:val="clear" w:color="auto" w:fill="auto"/>
          </w:tcPr>
          <w:p w:rsidR="008B6EB1" w:rsidRDefault="008B6EB1">
            <w:r w:rsidRPr="00CA1ED5">
              <w:rPr>
                <w:rFonts w:ascii="Arial Narrow" w:hAnsi="Arial Narrow" w:cs="Arial"/>
                <w:i/>
                <w:snapToGrid w:val="0"/>
                <w:color w:val="000000"/>
                <w:sz w:val="20"/>
                <w:szCs w:val="18"/>
                <w:lang w:eastAsia="en-US"/>
              </w:rPr>
              <w:t>(REDACTED)</w:t>
            </w:r>
          </w:p>
        </w:tc>
        <w:tc>
          <w:tcPr>
            <w:tcW w:w="705" w:type="pct"/>
            <w:shd w:val="clear" w:color="auto" w:fill="auto"/>
          </w:tcPr>
          <w:p w:rsidR="008B6EB1" w:rsidRDefault="008B6EB1">
            <w:r w:rsidRPr="00CA1ED5">
              <w:rPr>
                <w:rFonts w:ascii="Arial Narrow" w:hAnsi="Arial Narrow" w:cs="Arial"/>
                <w:i/>
                <w:snapToGrid w:val="0"/>
                <w:color w:val="000000"/>
                <w:sz w:val="20"/>
                <w:szCs w:val="18"/>
                <w:lang w:eastAsia="en-US"/>
              </w:rPr>
              <w:t>(REDACTED)</w:t>
            </w:r>
          </w:p>
        </w:tc>
        <w:tc>
          <w:tcPr>
            <w:tcW w:w="705" w:type="pct"/>
            <w:shd w:val="clear" w:color="auto" w:fill="auto"/>
          </w:tcPr>
          <w:p w:rsidR="008B6EB1" w:rsidRDefault="008B6EB1">
            <w:r w:rsidRPr="00CA1ED5">
              <w:rPr>
                <w:rFonts w:ascii="Arial Narrow" w:hAnsi="Arial Narrow" w:cs="Arial"/>
                <w:i/>
                <w:snapToGrid w:val="0"/>
                <w:color w:val="000000"/>
                <w:sz w:val="20"/>
                <w:szCs w:val="18"/>
                <w:lang w:eastAsia="en-US"/>
              </w:rPr>
              <w:t>(REDACTED)</w:t>
            </w:r>
          </w:p>
        </w:tc>
        <w:tc>
          <w:tcPr>
            <w:tcW w:w="705" w:type="pct"/>
            <w:shd w:val="clear" w:color="auto" w:fill="auto"/>
          </w:tcPr>
          <w:p w:rsidR="008B6EB1" w:rsidRDefault="008B6EB1">
            <w:r w:rsidRPr="00CA1ED5">
              <w:rPr>
                <w:rFonts w:ascii="Arial Narrow" w:hAnsi="Arial Narrow" w:cs="Arial"/>
                <w:i/>
                <w:snapToGrid w:val="0"/>
                <w:color w:val="000000"/>
                <w:sz w:val="20"/>
                <w:szCs w:val="18"/>
                <w:lang w:eastAsia="en-US"/>
              </w:rPr>
              <w:t>(REDACTED)</w:t>
            </w:r>
          </w:p>
        </w:tc>
        <w:tc>
          <w:tcPr>
            <w:tcW w:w="703" w:type="pct"/>
            <w:shd w:val="clear" w:color="auto" w:fill="auto"/>
          </w:tcPr>
          <w:p w:rsidR="008B6EB1" w:rsidRDefault="008B6EB1">
            <w:r w:rsidRPr="00CA1ED5">
              <w:rPr>
                <w:rFonts w:ascii="Arial Narrow" w:hAnsi="Arial Narrow" w:cs="Arial"/>
                <w:i/>
                <w:snapToGrid w:val="0"/>
                <w:color w:val="000000"/>
                <w:sz w:val="20"/>
                <w:szCs w:val="18"/>
                <w:lang w:eastAsia="en-US"/>
              </w:rPr>
              <w:t>(REDACTED)</w:t>
            </w:r>
          </w:p>
        </w:tc>
      </w:tr>
      <w:tr w:rsidR="008B6EB1" w:rsidRPr="00BB440F" w:rsidTr="008B6EB1">
        <w:tc>
          <w:tcPr>
            <w:tcW w:w="1477" w:type="pct"/>
            <w:shd w:val="clear" w:color="auto" w:fill="auto"/>
            <w:vAlign w:val="center"/>
          </w:tcPr>
          <w:p w:rsidR="008B6EB1" w:rsidRPr="002B7FBB" w:rsidRDefault="008B6EB1" w:rsidP="00487EF4">
            <w:pPr>
              <w:keepNext/>
              <w:tabs>
                <w:tab w:val="left" w:pos="142"/>
              </w:tabs>
              <w:rPr>
                <w:rFonts w:ascii="Arial Narrow" w:hAnsi="Arial Narrow" w:cs="Arial"/>
                <w:i/>
                <w:snapToGrid w:val="0"/>
                <w:sz w:val="20"/>
                <w:szCs w:val="20"/>
                <w:lang w:eastAsia="en-US"/>
              </w:rPr>
            </w:pPr>
            <w:r w:rsidRPr="0031038B">
              <w:rPr>
                <w:rFonts w:ascii="Arial Narrow" w:hAnsi="Arial Narrow" w:cs="Arial"/>
                <w:i/>
                <w:snapToGrid w:val="0"/>
                <w:sz w:val="20"/>
                <w:szCs w:val="20"/>
                <w:lang w:eastAsia="en-US"/>
              </w:rPr>
              <w:t>Number treated - Nov 2013</w:t>
            </w:r>
          </w:p>
        </w:tc>
        <w:tc>
          <w:tcPr>
            <w:tcW w:w="705" w:type="pct"/>
            <w:shd w:val="clear" w:color="auto" w:fill="auto"/>
          </w:tcPr>
          <w:p w:rsidR="008B6EB1" w:rsidRDefault="008B6EB1">
            <w:r w:rsidRPr="00CA1ED5">
              <w:rPr>
                <w:rFonts w:ascii="Arial Narrow" w:hAnsi="Arial Narrow" w:cs="Arial"/>
                <w:i/>
                <w:snapToGrid w:val="0"/>
                <w:color w:val="000000"/>
                <w:sz w:val="20"/>
                <w:szCs w:val="18"/>
                <w:lang w:eastAsia="en-US"/>
              </w:rPr>
              <w:t>(REDACTED)</w:t>
            </w:r>
          </w:p>
        </w:tc>
        <w:tc>
          <w:tcPr>
            <w:tcW w:w="705" w:type="pct"/>
            <w:shd w:val="clear" w:color="auto" w:fill="auto"/>
          </w:tcPr>
          <w:p w:rsidR="008B6EB1" w:rsidRDefault="008B6EB1">
            <w:r w:rsidRPr="00CA1ED5">
              <w:rPr>
                <w:rFonts w:ascii="Arial Narrow" w:hAnsi="Arial Narrow" w:cs="Arial"/>
                <w:i/>
                <w:snapToGrid w:val="0"/>
                <w:color w:val="000000"/>
                <w:sz w:val="20"/>
                <w:szCs w:val="18"/>
                <w:lang w:eastAsia="en-US"/>
              </w:rPr>
              <w:t>(REDACTED)</w:t>
            </w:r>
          </w:p>
        </w:tc>
        <w:tc>
          <w:tcPr>
            <w:tcW w:w="705" w:type="pct"/>
            <w:shd w:val="clear" w:color="auto" w:fill="auto"/>
          </w:tcPr>
          <w:p w:rsidR="008B6EB1" w:rsidRDefault="008B6EB1">
            <w:r w:rsidRPr="00CA1ED5">
              <w:rPr>
                <w:rFonts w:ascii="Arial Narrow" w:hAnsi="Arial Narrow" w:cs="Arial"/>
                <w:i/>
                <w:snapToGrid w:val="0"/>
                <w:color w:val="000000"/>
                <w:sz w:val="20"/>
                <w:szCs w:val="18"/>
                <w:lang w:eastAsia="en-US"/>
              </w:rPr>
              <w:t>(REDACTED)</w:t>
            </w:r>
          </w:p>
        </w:tc>
        <w:tc>
          <w:tcPr>
            <w:tcW w:w="705" w:type="pct"/>
            <w:shd w:val="clear" w:color="auto" w:fill="auto"/>
          </w:tcPr>
          <w:p w:rsidR="008B6EB1" w:rsidRDefault="008B6EB1">
            <w:r w:rsidRPr="00CA1ED5">
              <w:rPr>
                <w:rFonts w:ascii="Arial Narrow" w:hAnsi="Arial Narrow" w:cs="Arial"/>
                <w:i/>
                <w:snapToGrid w:val="0"/>
                <w:color w:val="000000"/>
                <w:sz w:val="20"/>
                <w:szCs w:val="18"/>
                <w:lang w:eastAsia="en-US"/>
              </w:rPr>
              <w:t>(REDACTED)</w:t>
            </w:r>
          </w:p>
        </w:tc>
        <w:tc>
          <w:tcPr>
            <w:tcW w:w="703" w:type="pct"/>
            <w:shd w:val="clear" w:color="auto" w:fill="auto"/>
          </w:tcPr>
          <w:p w:rsidR="008B6EB1" w:rsidRDefault="008B6EB1">
            <w:r w:rsidRPr="00CA1ED5">
              <w:rPr>
                <w:rFonts w:ascii="Arial Narrow" w:hAnsi="Arial Narrow" w:cs="Arial"/>
                <w:i/>
                <w:snapToGrid w:val="0"/>
                <w:color w:val="000000"/>
                <w:sz w:val="20"/>
                <w:szCs w:val="18"/>
                <w:lang w:eastAsia="en-US"/>
              </w:rPr>
              <w:t>(REDACTED)</w:t>
            </w:r>
          </w:p>
        </w:tc>
      </w:tr>
      <w:tr w:rsidR="008B6EB1" w:rsidRPr="00BB440F" w:rsidTr="008B6EB1">
        <w:tc>
          <w:tcPr>
            <w:tcW w:w="1477" w:type="pct"/>
            <w:shd w:val="clear" w:color="auto" w:fill="auto"/>
            <w:vAlign w:val="center"/>
          </w:tcPr>
          <w:p w:rsidR="008B6EB1" w:rsidRPr="002B7FBB" w:rsidRDefault="008B6EB1" w:rsidP="00487EF4">
            <w:pPr>
              <w:keepNext/>
              <w:tabs>
                <w:tab w:val="left" w:pos="142"/>
              </w:tabs>
              <w:rPr>
                <w:rFonts w:ascii="Arial Narrow" w:hAnsi="Arial Narrow" w:cs="Arial"/>
                <w:snapToGrid w:val="0"/>
                <w:sz w:val="20"/>
                <w:szCs w:val="20"/>
                <w:highlight w:val="black"/>
                <w:lang w:eastAsia="en-US"/>
              </w:rPr>
            </w:pPr>
            <w:r>
              <w:rPr>
                <w:rFonts w:ascii="Arial Narrow" w:hAnsi="Arial Narrow" w:cs="Arial"/>
                <w:i/>
                <w:snapToGrid w:val="0"/>
                <w:color w:val="000000"/>
                <w:sz w:val="20"/>
                <w:szCs w:val="18"/>
                <w:lang w:eastAsia="en-US"/>
              </w:rPr>
              <w:t>(REDACTED)</w:t>
            </w:r>
          </w:p>
        </w:tc>
        <w:tc>
          <w:tcPr>
            <w:tcW w:w="705" w:type="pct"/>
            <w:shd w:val="clear" w:color="auto" w:fill="auto"/>
          </w:tcPr>
          <w:p w:rsidR="008B6EB1" w:rsidRDefault="008B6EB1">
            <w:r w:rsidRPr="00CA1ED5">
              <w:rPr>
                <w:rFonts w:ascii="Arial Narrow" w:hAnsi="Arial Narrow" w:cs="Arial"/>
                <w:i/>
                <w:snapToGrid w:val="0"/>
                <w:color w:val="000000"/>
                <w:sz w:val="20"/>
                <w:szCs w:val="18"/>
                <w:lang w:eastAsia="en-US"/>
              </w:rPr>
              <w:t>(REDACTED)</w:t>
            </w:r>
          </w:p>
        </w:tc>
        <w:tc>
          <w:tcPr>
            <w:tcW w:w="705" w:type="pct"/>
            <w:shd w:val="clear" w:color="auto" w:fill="auto"/>
          </w:tcPr>
          <w:p w:rsidR="008B6EB1" w:rsidRDefault="008B6EB1">
            <w:r w:rsidRPr="00CA1ED5">
              <w:rPr>
                <w:rFonts w:ascii="Arial Narrow" w:hAnsi="Arial Narrow" w:cs="Arial"/>
                <w:i/>
                <w:snapToGrid w:val="0"/>
                <w:color w:val="000000"/>
                <w:sz w:val="20"/>
                <w:szCs w:val="18"/>
                <w:lang w:eastAsia="en-US"/>
              </w:rPr>
              <w:t>(REDACTED)</w:t>
            </w:r>
          </w:p>
        </w:tc>
        <w:tc>
          <w:tcPr>
            <w:tcW w:w="705" w:type="pct"/>
            <w:shd w:val="clear" w:color="auto" w:fill="auto"/>
          </w:tcPr>
          <w:p w:rsidR="008B6EB1" w:rsidRDefault="008B6EB1">
            <w:r w:rsidRPr="00CA1ED5">
              <w:rPr>
                <w:rFonts w:ascii="Arial Narrow" w:hAnsi="Arial Narrow" w:cs="Arial"/>
                <w:i/>
                <w:snapToGrid w:val="0"/>
                <w:color w:val="000000"/>
                <w:sz w:val="20"/>
                <w:szCs w:val="18"/>
                <w:lang w:eastAsia="en-US"/>
              </w:rPr>
              <w:t>(REDACTED)</w:t>
            </w:r>
          </w:p>
        </w:tc>
        <w:tc>
          <w:tcPr>
            <w:tcW w:w="705" w:type="pct"/>
            <w:shd w:val="clear" w:color="auto" w:fill="auto"/>
          </w:tcPr>
          <w:p w:rsidR="008B6EB1" w:rsidRDefault="008B6EB1">
            <w:r w:rsidRPr="00CA1ED5">
              <w:rPr>
                <w:rFonts w:ascii="Arial Narrow" w:hAnsi="Arial Narrow" w:cs="Arial"/>
                <w:i/>
                <w:snapToGrid w:val="0"/>
                <w:color w:val="000000"/>
                <w:sz w:val="20"/>
                <w:szCs w:val="18"/>
                <w:lang w:eastAsia="en-US"/>
              </w:rPr>
              <w:t>(REDACTED)</w:t>
            </w:r>
          </w:p>
        </w:tc>
        <w:tc>
          <w:tcPr>
            <w:tcW w:w="703" w:type="pct"/>
            <w:shd w:val="clear" w:color="auto" w:fill="auto"/>
          </w:tcPr>
          <w:p w:rsidR="008B6EB1" w:rsidRDefault="008B6EB1">
            <w:r w:rsidRPr="00CA1ED5">
              <w:rPr>
                <w:rFonts w:ascii="Arial Narrow" w:hAnsi="Arial Narrow" w:cs="Arial"/>
                <w:i/>
                <w:snapToGrid w:val="0"/>
                <w:color w:val="000000"/>
                <w:sz w:val="20"/>
                <w:szCs w:val="18"/>
                <w:lang w:eastAsia="en-US"/>
              </w:rPr>
              <w:t>(REDACTED)</w:t>
            </w:r>
          </w:p>
        </w:tc>
      </w:tr>
      <w:tr w:rsidR="008B6EB1" w:rsidRPr="00BB440F" w:rsidTr="008B6EB1">
        <w:tc>
          <w:tcPr>
            <w:tcW w:w="1477" w:type="pct"/>
            <w:shd w:val="clear" w:color="auto" w:fill="auto"/>
            <w:vAlign w:val="center"/>
          </w:tcPr>
          <w:p w:rsidR="008B6EB1" w:rsidRPr="002B7FBB" w:rsidRDefault="008B6EB1" w:rsidP="00487EF4">
            <w:pPr>
              <w:keepNext/>
              <w:tabs>
                <w:tab w:val="left" w:pos="142"/>
              </w:tabs>
              <w:rPr>
                <w:rFonts w:ascii="Arial Narrow" w:hAnsi="Arial Narrow" w:cs="Arial"/>
                <w:i/>
                <w:snapToGrid w:val="0"/>
                <w:sz w:val="20"/>
                <w:szCs w:val="20"/>
                <w:highlight w:val="black"/>
                <w:lang w:eastAsia="en-US"/>
              </w:rPr>
            </w:pPr>
            <w:r>
              <w:rPr>
                <w:rFonts w:ascii="Arial Narrow" w:hAnsi="Arial Narrow" w:cs="Arial"/>
                <w:i/>
                <w:snapToGrid w:val="0"/>
                <w:color w:val="000000"/>
                <w:sz w:val="20"/>
                <w:szCs w:val="18"/>
                <w:lang w:eastAsia="en-US"/>
              </w:rPr>
              <w:t>(REDACTED)</w:t>
            </w:r>
          </w:p>
        </w:tc>
        <w:tc>
          <w:tcPr>
            <w:tcW w:w="705" w:type="pct"/>
            <w:shd w:val="clear" w:color="auto" w:fill="auto"/>
          </w:tcPr>
          <w:p w:rsidR="008B6EB1" w:rsidRDefault="008B6EB1">
            <w:r w:rsidRPr="00CA1ED5">
              <w:rPr>
                <w:rFonts w:ascii="Arial Narrow" w:hAnsi="Arial Narrow" w:cs="Arial"/>
                <w:i/>
                <w:snapToGrid w:val="0"/>
                <w:color w:val="000000"/>
                <w:sz w:val="20"/>
                <w:szCs w:val="18"/>
                <w:lang w:eastAsia="en-US"/>
              </w:rPr>
              <w:t>(REDACTED)</w:t>
            </w:r>
          </w:p>
        </w:tc>
        <w:tc>
          <w:tcPr>
            <w:tcW w:w="705" w:type="pct"/>
            <w:shd w:val="clear" w:color="auto" w:fill="auto"/>
          </w:tcPr>
          <w:p w:rsidR="008B6EB1" w:rsidRDefault="008B6EB1">
            <w:r w:rsidRPr="00CA1ED5">
              <w:rPr>
                <w:rFonts w:ascii="Arial Narrow" w:hAnsi="Arial Narrow" w:cs="Arial"/>
                <w:i/>
                <w:snapToGrid w:val="0"/>
                <w:color w:val="000000"/>
                <w:sz w:val="20"/>
                <w:szCs w:val="18"/>
                <w:lang w:eastAsia="en-US"/>
              </w:rPr>
              <w:t>(REDACTED)</w:t>
            </w:r>
          </w:p>
        </w:tc>
        <w:tc>
          <w:tcPr>
            <w:tcW w:w="705" w:type="pct"/>
            <w:shd w:val="clear" w:color="auto" w:fill="auto"/>
          </w:tcPr>
          <w:p w:rsidR="008B6EB1" w:rsidRDefault="008B6EB1">
            <w:r w:rsidRPr="00CA1ED5">
              <w:rPr>
                <w:rFonts w:ascii="Arial Narrow" w:hAnsi="Arial Narrow" w:cs="Arial"/>
                <w:i/>
                <w:snapToGrid w:val="0"/>
                <w:color w:val="000000"/>
                <w:sz w:val="20"/>
                <w:szCs w:val="18"/>
                <w:lang w:eastAsia="en-US"/>
              </w:rPr>
              <w:t>(REDACTED)</w:t>
            </w:r>
          </w:p>
        </w:tc>
        <w:tc>
          <w:tcPr>
            <w:tcW w:w="705" w:type="pct"/>
            <w:shd w:val="clear" w:color="auto" w:fill="auto"/>
          </w:tcPr>
          <w:p w:rsidR="008B6EB1" w:rsidRDefault="008B6EB1">
            <w:r w:rsidRPr="00CA1ED5">
              <w:rPr>
                <w:rFonts w:ascii="Arial Narrow" w:hAnsi="Arial Narrow" w:cs="Arial"/>
                <w:i/>
                <w:snapToGrid w:val="0"/>
                <w:color w:val="000000"/>
                <w:sz w:val="20"/>
                <w:szCs w:val="18"/>
                <w:lang w:eastAsia="en-US"/>
              </w:rPr>
              <w:t>(REDACTED)</w:t>
            </w:r>
          </w:p>
        </w:tc>
        <w:tc>
          <w:tcPr>
            <w:tcW w:w="703" w:type="pct"/>
            <w:shd w:val="clear" w:color="auto" w:fill="auto"/>
          </w:tcPr>
          <w:p w:rsidR="008B6EB1" w:rsidRDefault="008B6EB1">
            <w:r w:rsidRPr="00CA1ED5">
              <w:rPr>
                <w:rFonts w:ascii="Arial Narrow" w:hAnsi="Arial Narrow" w:cs="Arial"/>
                <w:i/>
                <w:snapToGrid w:val="0"/>
                <w:color w:val="000000"/>
                <w:sz w:val="20"/>
                <w:szCs w:val="18"/>
                <w:lang w:eastAsia="en-US"/>
              </w:rPr>
              <w:t>(REDACTED)</w:t>
            </w:r>
          </w:p>
        </w:tc>
      </w:tr>
      <w:tr w:rsidR="008B6EB1" w:rsidRPr="00BB440F" w:rsidTr="008B6EB1">
        <w:tc>
          <w:tcPr>
            <w:tcW w:w="1477" w:type="pct"/>
            <w:shd w:val="clear" w:color="auto" w:fill="auto"/>
            <w:vAlign w:val="center"/>
          </w:tcPr>
          <w:p w:rsidR="008B6EB1" w:rsidRPr="002B7FBB" w:rsidRDefault="008B6EB1" w:rsidP="00487EF4">
            <w:pPr>
              <w:keepNext/>
              <w:tabs>
                <w:tab w:val="left" w:pos="142"/>
              </w:tabs>
              <w:rPr>
                <w:rFonts w:ascii="Arial Narrow" w:hAnsi="Arial Narrow" w:cs="Arial"/>
                <w:snapToGrid w:val="0"/>
                <w:sz w:val="20"/>
                <w:szCs w:val="20"/>
                <w:highlight w:val="black"/>
                <w:lang w:eastAsia="en-US"/>
              </w:rPr>
            </w:pPr>
            <w:r>
              <w:rPr>
                <w:rFonts w:ascii="Arial Narrow" w:hAnsi="Arial Narrow" w:cs="Arial"/>
                <w:i/>
                <w:snapToGrid w:val="0"/>
                <w:color w:val="000000"/>
                <w:sz w:val="20"/>
                <w:szCs w:val="18"/>
                <w:lang w:eastAsia="en-US"/>
              </w:rPr>
              <w:t>(REDACTED)</w:t>
            </w:r>
          </w:p>
        </w:tc>
        <w:tc>
          <w:tcPr>
            <w:tcW w:w="705" w:type="pct"/>
            <w:shd w:val="clear" w:color="auto" w:fill="auto"/>
          </w:tcPr>
          <w:p w:rsidR="008B6EB1" w:rsidRDefault="008B6EB1">
            <w:r w:rsidRPr="00CA1ED5">
              <w:rPr>
                <w:rFonts w:ascii="Arial Narrow" w:hAnsi="Arial Narrow" w:cs="Arial"/>
                <w:i/>
                <w:snapToGrid w:val="0"/>
                <w:color w:val="000000"/>
                <w:sz w:val="20"/>
                <w:szCs w:val="18"/>
                <w:lang w:eastAsia="en-US"/>
              </w:rPr>
              <w:t>(REDACTED)</w:t>
            </w:r>
          </w:p>
        </w:tc>
        <w:tc>
          <w:tcPr>
            <w:tcW w:w="705" w:type="pct"/>
            <w:shd w:val="clear" w:color="auto" w:fill="auto"/>
          </w:tcPr>
          <w:p w:rsidR="008B6EB1" w:rsidRDefault="008B6EB1">
            <w:r w:rsidRPr="00CA1ED5">
              <w:rPr>
                <w:rFonts w:ascii="Arial Narrow" w:hAnsi="Arial Narrow" w:cs="Arial"/>
                <w:i/>
                <w:snapToGrid w:val="0"/>
                <w:color w:val="000000"/>
                <w:sz w:val="20"/>
                <w:szCs w:val="18"/>
                <w:lang w:eastAsia="en-US"/>
              </w:rPr>
              <w:t>(REDACTED)</w:t>
            </w:r>
          </w:p>
        </w:tc>
        <w:tc>
          <w:tcPr>
            <w:tcW w:w="705" w:type="pct"/>
            <w:shd w:val="clear" w:color="auto" w:fill="auto"/>
          </w:tcPr>
          <w:p w:rsidR="008B6EB1" w:rsidRDefault="008B6EB1">
            <w:r w:rsidRPr="00CA1ED5">
              <w:rPr>
                <w:rFonts w:ascii="Arial Narrow" w:hAnsi="Arial Narrow" w:cs="Arial"/>
                <w:i/>
                <w:snapToGrid w:val="0"/>
                <w:color w:val="000000"/>
                <w:sz w:val="20"/>
                <w:szCs w:val="18"/>
                <w:lang w:eastAsia="en-US"/>
              </w:rPr>
              <w:t>(REDACTED)</w:t>
            </w:r>
          </w:p>
        </w:tc>
        <w:tc>
          <w:tcPr>
            <w:tcW w:w="705" w:type="pct"/>
            <w:shd w:val="clear" w:color="auto" w:fill="auto"/>
          </w:tcPr>
          <w:p w:rsidR="008B6EB1" w:rsidRDefault="008B6EB1">
            <w:r w:rsidRPr="00CA1ED5">
              <w:rPr>
                <w:rFonts w:ascii="Arial Narrow" w:hAnsi="Arial Narrow" w:cs="Arial"/>
                <w:i/>
                <w:snapToGrid w:val="0"/>
                <w:color w:val="000000"/>
                <w:sz w:val="20"/>
                <w:szCs w:val="18"/>
                <w:lang w:eastAsia="en-US"/>
              </w:rPr>
              <w:t>(REDACTED)</w:t>
            </w:r>
          </w:p>
        </w:tc>
        <w:tc>
          <w:tcPr>
            <w:tcW w:w="703" w:type="pct"/>
            <w:shd w:val="clear" w:color="auto" w:fill="auto"/>
          </w:tcPr>
          <w:p w:rsidR="008B6EB1" w:rsidRDefault="008B6EB1">
            <w:r w:rsidRPr="00CA1ED5">
              <w:rPr>
                <w:rFonts w:ascii="Arial Narrow" w:hAnsi="Arial Narrow" w:cs="Arial"/>
                <w:i/>
                <w:snapToGrid w:val="0"/>
                <w:color w:val="000000"/>
                <w:sz w:val="20"/>
                <w:szCs w:val="18"/>
                <w:lang w:eastAsia="en-US"/>
              </w:rPr>
              <w:t>(REDACTED)</w:t>
            </w:r>
          </w:p>
        </w:tc>
      </w:tr>
      <w:tr w:rsidR="008B6EB1" w:rsidRPr="00BB440F" w:rsidTr="008B6EB1">
        <w:tc>
          <w:tcPr>
            <w:tcW w:w="1477" w:type="pct"/>
            <w:shd w:val="clear" w:color="auto" w:fill="auto"/>
            <w:vAlign w:val="center"/>
          </w:tcPr>
          <w:p w:rsidR="008B6EB1" w:rsidRPr="002B7FBB" w:rsidRDefault="008B6EB1" w:rsidP="00487EF4">
            <w:pPr>
              <w:keepNext/>
              <w:tabs>
                <w:tab w:val="left" w:pos="142"/>
              </w:tabs>
              <w:rPr>
                <w:rFonts w:ascii="Arial Narrow" w:hAnsi="Arial Narrow" w:cs="Arial"/>
                <w:i/>
                <w:snapToGrid w:val="0"/>
                <w:sz w:val="20"/>
                <w:szCs w:val="20"/>
                <w:highlight w:val="black"/>
                <w:lang w:eastAsia="en-US"/>
              </w:rPr>
            </w:pPr>
            <w:r>
              <w:rPr>
                <w:rFonts w:ascii="Arial Narrow" w:hAnsi="Arial Narrow" w:cs="Arial"/>
                <w:i/>
                <w:snapToGrid w:val="0"/>
                <w:color w:val="000000"/>
                <w:sz w:val="20"/>
                <w:szCs w:val="18"/>
                <w:lang w:eastAsia="en-US"/>
              </w:rPr>
              <w:t>(REDACTED)</w:t>
            </w:r>
          </w:p>
        </w:tc>
        <w:tc>
          <w:tcPr>
            <w:tcW w:w="705" w:type="pct"/>
            <w:shd w:val="clear" w:color="auto" w:fill="auto"/>
          </w:tcPr>
          <w:p w:rsidR="008B6EB1" w:rsidRDefault="008B6EB1">
            <w:r w:rsidRPr="00CA1ED5">
              <w:rPr>
                <w:rFonts w:ascii="Arial Narrow" w:hAnsi="Arial Narrow" w:cs="Arial"/>
                <w:i/>
                <w:snapToGrid w:val="0"/>
                <w:color w:val="000000"/>
                <w:sz w:val="20"/>
                <w:szCs w:val="18"/>
                <w:lang w:eastAsia="en-US"/>
              </w:rPr>
              <w:t>(REDACTED)</w:t>
            </w:r>
          </w:p>
        </w:tc>
        <w:tc>
          <w:tcPr>
            <w:tcW w:w="705" w:type="pct"/>
            <w:shd w:val="clear" w:color="auto" w:fill="auto"/>
          </w:tcPr>
          <w:p w:rsidR="008B6EB1" w:rsidRDefault="008B6EB1">
            <w:r w:rsidRPr="00CA1ED5">
              <w:rPr>
                <w:rFonts w:ascii="Arial Narrow" w:hAnsi="Arial Narrow" w:cs="Arial"/>
                <w:i/>
                <w:snapToGrid w:val="0"/>
                <w:color w:val="000000"/>
                <w:sz w:val="20"/>
                <w:szCs w:val="18"/>
                <w:lang w:eastAsia="en-US"/>
              </w:rPr>
              <w:t>(REDACTED)</w:t>
            </w:r>
          </w:p>
        </w:tc>
        <w:tc>
          <w:tcPr>
            <w:tcW w:w="705" w:type="pct"/>
            <w:shd w:val="clear" w:color="auto" w:fill="auto"/>
          </w:tcPr>
          <w:p w:rsidR="008B6EB1" w:rsidRDefault="008B6EB1">
            <w:r w:rsidRPr="00CA1ED5">
              <w:rPr>
                <w:rFonts w:ascii="Arial Narrow" w:hAnsi="Arial Narrow" w:cs="Arial"/>
                <w:i/>
                <w:snapToGrid w:val="0"/>
                <w:color w:val="000000"/>
                <w:sz w:val="20"/>
                <w:szCs w:val="18"/>
                <w:lang w:eastAsia="en-US"/>
              </w:rPr>
              <w:t>(REDACTED)</w:t>
            </w:r>
          </w:p>
        </w:tc>
        <w:tc>
          <w:tcPr>
            <w:tcW w:w="705" w:type="pct"/>
            <w:shd w:val="clear" w:color="auto" w:fill="auto"/>
          </w:tcPr>
          <w:p w:rsidR="008B6EB1" w:rsidRDefault="008B6EB1">
            <w:r w:rsidRPr="00CA1ED5">
              <w:rPr>
                <w:rFonts w:ascii="Arial Narrow" w:hAnsi="Arial Narrow" w:cs="Arial"/>
                <w:i/>
                <w:snapToGrid w:val="0"/>
                <w:color w:val="000000"/>
                <w:sz w:val="20"/>
                <w:szCs w:val="18"/>
                <w:lang w:eastAsia="en-US"/>
              </w:rPr>
              <w:t>(REDACTED)</w:t>
            </w:r>
          </w:p>
        </w:tc>
        <w:tc>
          <w:tcPr>
            <w:tcW w:w="703" w:type="pct"/>
            <w:shd w:val="clear" w:color="auto" w:fill="auto"/>
          </w:tcPr>
          <w:p w:rsidR="008B6EB1" w:rsidRDefault="008B6EB1">
            <w:r w:rsidRPr="00CA1ED5">
              <w:rPr>
                <w:rFonts w:ascii="Arial Narrow" w:hAnsi="Arial Narrow" w:cs="Arial"/>
                <w:i/>
                <w:snapToGrid w:val="0"/>
                <w:color w:val="000000"/>
                <w:sz w:val="20"/>
                <w:szCs w:val="18"/>
                <w:lang w:eastAsia="en-US"/>
              </w:rPr>
              <w:t>(REDACTED)</w:t>
            </w:r>
          </w:p>
        </w:tc>
      </w:tr>
      <w:tr w:rsidR="00487EF4" w:rsidRPr="00BB440F">
        <w:tc>
          <w:tcPr>
            <w:tcW w:w="5000" w:type="pct"/>
            <w:gridSpan w:val="6"/>
            <w:shd w:val="clear" w:color="auto" w:fill="auto"/>
            <w:vAlign w:val="center"/>
          </w:tcPr>
          <w:p w:rsidR="00487EF4" w:rsidRPr="002B7FBB" w:rsidRDefault="00487EF4" w:rsidP="00487EF4">
            <w:pPr>
              <w:widowControl w:val="0"/>
              <w:rPr>
                <w:rFonts w:ascii="Arial Narrow" w:hAnsi="Arial Narrow" w:cs="Arial"/>
                <w:b/>
                <w:bCs/>
                <w:snapToGrid w:val="0"/>
                <w:color w:val="000000"/>
                <w:sz w:val="20"/>
                <w:szCs w:val="20"/>
                <w:lang w:eastAsia="en-US"/>
              </w:rPr>
            </w:pPr>
            <w:r w:rsidRPr="00FA18BD">
              <w:rPr>
                <w:rFonts w:ascii="Arial Narrow" w:hAnsi="Arial Narrow" w:cs="Arial"/>
                <w:b/>
                <w:bCs/>
                <w:snapToGrid w:val="0"/>
                <w:color w:val="000000"/>
                <w:sz w:val="20"/>
                <w:szCs w:val="20"/>
                <w:lang w:eastAsia="en-US"/>
              </w:rPr>
              <w:t>Estimated net cost to PBS/RPBS</w:t>
            </w:r>
          </w:p>
        </w:tc>
      </w:tr>
      <w:tr w:rsidR="008B6EB1" w:rsidRPr="00BB440F" w:rsidTr="006002B9">
        <w:tc>
          <w:tcPr>
            <w:tcW w:w="1477" w:type="pct"/>
            <w:shd w:val="clear" w:color="auto" w:fill="auto"/>
            <w:vAlign w:val="center"/>
          </w:tcPr>
          <w:p w:rsidR="008B6EB1" w:rsidRPr="002B7FBB" w:rsidRDefault="008B6EB1" w:rsidP="00487EF4">
            <w:pPr>
              <w:widowControl w:val="0"/>
              <w:tabs>
                <w:tab w:val="left" w:pos="142"/>
              </w:tabs>
              <w:rPr>
                <w:rFonts w:ascii="Arial Narrow" w:hAnsi="Arial Narrow" w:cs="Arial"/>
                <w:snapToGrid w:val="0"/>
                <w:sz w:val="20"/>
                <w:szCs w:val="20"/>
                <w:lang w:eastAsia="en-US"/>
              </w:rPr>
            </w:pPr>
            <w:r w:rsidRPr="0031038B">
              <w:rPr>
                <w:rFonts w:ascii="Arial Narrow" w:hAnsi="Arial Narrow" w:cs="Arial"/>
                <w:snapToGrid w:val="0"/>
                <w:sz w:val="20"/>
                <w:szCs w:val="20"/>
                <w:lang w:eastAsia="en-US"/>
              </w:rPr>
              <w:t>Net cost to PBS</w:t>
            </w:r>
          </w:p>
        </w:tc>
        <w:tc>
          <w:tcPr>
            <w:tcW w:w="705" w:type="pct"/>
            <w:shd w:val="clear" w:color="auto" w:fill="auto"/>
          </w:tcPr>
          <w:p w:rsidR="008B6EB1" w:rsidRDefault="008B6EB1">
            <w:r w:rsidRPr="003549D7">
              <w:rPr>
                <w:rFonts w:ascii="Arial Narrow" w:hAnsi="Arial Narrow" w:cs="Arial"/>
                <w:i/>
                <w:snapToGrid w:val="0"/>
                <w:color w:val="000000"/>
                <w:sz w:val="20"/>
                <w:szCs w:val="18"/>
                <w:lang w:eastAsia="en-US"/>
              </w:rPr>
              <w:t>(REDACTED)</w:t>
            </w:r>
          </w:p>
        </w:tc>
        <w:tc>
          <w:tcPr>
            <w:tcW w:w="705" w:type="pct"/>
            <w:shd w:val="clear" w:color="auto" w:fill="auto"/>
          </w:tcPr>
          <w:p w:rsidR="008B6EB1" w:rsidRDefault="008B6EB1">
            <w:r w:rsidRPr="003549D7">
              <w:rPr>
                <w:rFonts w:ascii="Arial Narrow" w:hAnsi="Arial Narrow" w:cs="Arial"/>
                <w:i/>
                <w:snapToGrid w:val="0"/>
                <w:color w:val="000000"/>
                <w:sz w:val="20"/>
                <w:szCs w:val="18"/>
                <w:lang w:eastAsia="en-US"/>
              </w:rPr>
              <w:t>(REDACTED)</w:t>
            </w:r>
          </w:p>
        </w:tc>
        <w:tc>
          <w:tcPr>
            <w:tcW w:w="705" w:type="pct"/>
            <w:shd w:val="clear" w:color="auto" w:fill="auto"/>
          </w:tcPr>
          <w:p w:rsidR="008B6EB1" w:rsidRDefault="008B6EB1">
            <w:r w:rsidRPr="003549D7">
              <w:rPr>
                <w:rFonts w:ascii="Arial Narrow" w:hAnsi="Arial Narrow" w:cs="Arial"/>
                <w:i/>
                <w:snapToGrid w:val="0"/>
                <w:color w:val="000000"/>
                <w:sz w:val="20"/>
                <w:szCs w:val="18"/>
                <w:lang w:eastAsia="en-US"/>
              </w:rPr>
              <w:t>(REDACTED)</w:t>
            </w:r>
          </w:p>
        </w:tc>
        <w:tc>
          <w:tcPr>
            <w:tcW w:w="705" w:type="pct"/>
            <w:shd w:val="clear" w:color="auto" w:fill="auto"/>
          </w:tcPr>
          <w:p w:rsidR="008B6EB1" w:rsidRDefault="008B6EB1">
            <w:r w:rsidRPr="003549D7">
              <w:rPr>
                <w:rFonts w:ascii="Arial Narrow" w:hAnsi="Arial Narrow" w:cs="Arial"/>
                <w:i/>
                <w:snapToGrid w:val="0"/>
                <w:color w:val="000000"/>
                <w:sz w:val="20"/>
                <w:szCs w:val="18"/>
                <w:lang w:eastAsia="en-US"/>
              </w:rPr>
              <w:t>(REDACTED)</w:t>
            </w:r>
          </w:p>
        </w:tc>
        <w:tc>
          <w:tcPr>
            <w:tcW w:w="703" w:type="pct"/>
            <w:shd w:val="clear" w:color="auto" w:fill="auto"/>
          </w:tcPr>
          <w:p w:rsidR="008B6EB1" w:rsidRDefault="008B6EB1">
            <w:r w:rsidRPr="003549D7">
              <w:rPr>
                <w:rFonts w:ascii="Arial Narrow" w:hAnsi="Arial Narrow" w:cs="Arial"/>
                <w:i/>
                <w:snapToGrid w:val="0"/>
                <w:color w:val="000000"/>
                <w:sz w:val="20"/>
                <w:szCs w:val="18"/>
                <w:lang w:eastAsia="en-US"/>
              </w:rPr>
              <w:t>(REDACTED)</w:t>
            </w:r>
          </w:p>
        </w:tc>
      </w:tr>
      <w:tr w:rsidR="008B6EB1" w:rsidRPr="00BB440F" w:rsidTr="006002B9">
        <w:tc>
          <w:tcPr>
            <w:tcW w:w="1477" w:type="pct"/>
            <w:shd w:val="clear" w:color="auto" w:fill="auto"/>
            <w:vAlign w:val="center"/>
          </w:tcPr>
          <w:p w:rsidR="008B6EB1" w:rsidRPr="002B7FBB" w:rsidRDefault="008B6EB1" w:rsidP="00487EF4">
            <w:pPr>
              <w:widowControl w:val="0"/>
              <w:tabs>
                <w:tab w:val="left" w:pos="142"/>
              </w:tabs>
              <w:rPr>
                <w:rFonts w:ascii="Arial Narrow" w:hAnsi="Arial Narrow" w:cs="Arial"/>
                <w:snapToGrid w:val="0"/>
                <w:sz w:val="20"/>
                <w:szCs w:val="20"/>
                <w:lang w:eastAsia="en-US"/>
              </w:rPr>
            </w:pPr>
            <w:r w:rsidRPr="0031038B">
              <w:rPr>
                <w:rFonts w:ascii="Arial Narrow" w:hAnsi="Arial Narrow" w:cs="Arial"/>
                <w:snapToGrid w:val="0"/>
                <w:sz w:val="20"/>
                <w:szCs w:val="20"/>
                <w:lang w:eastAsia="en-US"/>
              </w:rPr>
              <w:lastRenderedPageBreak/>
              <w:t>Net cost saving to PBS</w:t>
            </w:r>
          </w:p>
        </w:tc>
        <w:tc>
          <w:tcPr>
            <w:tcW w:w="705" w:type="pct"/>
            <w:shd w:val="clear" w:color="auto" w:fill="auto"/>
          </w:tcPr>
          <w:p w:rsidR="008B6EB1" w:rsidRDefault="008B6EB1">
            <w:r w:rsidRPr="003549D7">
              <w:rPr>
                <w:rFonts w:ascii="Arial Narrow" w:hAnsi="Arial Narrow" w:cs="Arial"/>
                <w:i/>
                <w:snapToGrid w:val="0"/>
                <w:color w:val="000000"/>
                <w:sz w:val="20"/>
                <w:szCs w:val="18"/>
                <w:lang w:eastAsia="en-US"/>
              </w:rPr>
              <w:t>(REDACTED)</w:t>
            </w:r>
          </w:p>
        </w:tc>
        <w:tc>
          <w:tcPr>
            <w:tcW w:w="705" w:type="pct"/>
            <w:shd w:val="clear" w:color="auto" w:fill="auto"/>
          </w:tcPr>
          <w:p w:rsidR="008B6EB1" w:rsidRDefault="008B6EB1">
            <w:r w:rsidRPr="003549D7">
              <w:rPr>
                <w:rFonts w:ascii="Arial Narrow" w:hAnsi="Arial Narrow" w:cs="Arial"/>
                <w:i/>
                <w:snapToGrid w:val="0"/>
                <w:color w:val="000000"/>
                <w:sz w:val="20"/>
                <w:szCs w:val="18"/>
                <w:lang w:eastAsia="en-US"/>
              </w:rPr>
              <w:t>(REDACTED)</w:t>
            </w:r>
          </w:p>
        </w:tc>
        <w:tc>
          <w:tcPr>
            <w:tcW w:w="705" w:type="pct"/>
            <w:shd w:val="clear" w:color="auto" w:fill="auto"/>
          </w:tcPr>
          <w:p w:rsidR="008B6EB1" w:rsidRDefault="008B6EB1">
            <w:r w:rsidRPr="003549D7">
              <w:rPr>
                <w:rFonts w:ascii="Arial Narrow" w:hAnsi="Arial Narrow" w:cs="Arial"/>
                <w:i/>
                <w:snapToGrid w:val="0"/>
                <w:color w:val="000000"/>
                <w:sz w:val="20"/>
                <w:szCs w:val="18"/>
                <w:lang w:eastAsia="en-US"/>
              </w:rPr>
              <w:t>(REDACTED)</w:t>
            </w:r>
          </w:p>
        </w:tc>
        <w:tc>
          <w:tcPr>
            <w:tcW w:w="705" w:type="pct"/>
            <w:shd w:val="clear" w:color="auto" w:fill="auto"/>
          </w:tcPr>
          <w:p w:rsidR="008B6EB1" w:rsidRDefault="008B6EB1">
            <w:r w:rsidRPr="003549D7">
              <w:rPr>
                <w:rFonts w:ascii="Arial Narrow" w:hAnsi="Arial Narrow" w:cs="Arial"/>
                <w:i/>
                <w:snapToGrid w:val="0"/>
                <w:color w:val="000000"/>
                <w:sz w:val="20"/>
                <w:szCs w:val="18"/>
                <w:lang w:eastAsia="en-US"/>
              </w:rPr>
              <w:t>(REDACTED)</w:t>
            </w:r>
          </w:p>
        </w:tc>
        <w:tc>
          <w:tcPr>
            <w:tcW w:w="703" w:type="pct"/>
            <w:shd w:val="clear" w:color="auto" w:fill="auto"/>
          </w:tcPr>
          <w:p w:rsidR="008B6EB1" w:rsidRDefault="008B6EB1">
            <w:r w:rsidRPr="003549D7">
              <w:rPr>
                <w:rFonts w:ascii="Arial Narrow" w:hAnsi="Arial Narrow" w:cs="Arial"/>
                <w:i/>
                <w:snapToGrid w:val="0"/>
                <w:color w:val="000000"/>
                <w:sz w:val="20"/>
                <w:szCs w:val="18"/>
                <w:lang w:eastAsia="en-US"/>
              </w:rPr>
              <w:t>(REDACTED)</w:t>
            </w:r>
          </w:p>
        </w:tc>
      </w:tr>
      <w:tr w:rsidR="008B6EB1" w:rsidRPr="00BB440F" w:rsidTr="006002B9">
        <w:tc>
          <w:tcPr>
            <w:tcW w:w="1477" w:type="pct"/>
            <w:shd w:val="clear" w:color="auto" w:fill="auto"/>
            <w:vAlign w:val="center"/>
          </w:tcPr>
          <w:p w:rsidR="008B6EB1" w:rsidRPr="002B7FBB" w:rsidRDefault="008B6EB1" w:rsidP="00487EF4">
            <w:pPr>
              <w:widowControl w:val="0"/>
              <w:tabs>
                <w:tab w:val="left" w:pos="142"/>
              </w:tabs>
              <w:rPr>
                <w:rFonts w:ascii="Arial Narrow" w:hAnsi="Arial Narrow" w:cs="Arial"/>
                <w:snapToGrid w:val="0"/>
                <w:sz w:val="20"/>
                <w:szCs w:val="20"/>
                <w:lang w:eastAsia="en-US"/>
              </w:rPr>
            </w:pPr>
            <w:r w:rsidRPr="00FA18BD">
              <w:rPr>
                <w:rFonts w:ascii="Arial Narrow" w:hAnsi="Arial Narrow" w:cs="Arial"/>
                <w:b/>
                <w:snapToGrid w:val="0"/>
                <w:color w:val="000000"/>
                <w:sz w:val="20"/>
                <w:szCs w:val="20"/>
                <w:lang w:eastAsia="en-US"/>
              </w:rPr>
              <w:t xml:space="preserve">Estimated total net cost </w:t>
            </w:r>
            <w:r w:rsidRPr="00FA18BD">
              <w:rPr>
                <w:rFonts w:ascii="Arial Narrow" w:hAnsi="Arial Narrow" w:cs="Arial"/>
                <w:b/>
                <w:snapToGrid w:val="0"/>
                <w:color w:val="000000"/>
                <w:sz w:val="20"/>
                <w:szCs w:val="20"/>
                <w:vertAlign w:val="superscript"/>
                <w:lang w:eastAsia="en-US"/>
              </w:rPr>
              <w:t>d</w:t>
            </w:r>
          </w:p>
        </w:tc>
        <w:tc>
          <w:tcPr>
            <w:tcW w:w="705" w:type="pct"/>
            <w:shd w:val="clear" w:color="auto" w:fill="auto"/>
          </w:tcPr>
          <w:p w:rsidR="008B6EB1" w:rsidRDefault="008B6EB1">
            <w:r w:rsidRPr="003549D7">
              <w:rPr>
                <w:rFonts w:ascii="Arial Narrow" w:hAnsi="Arial Narrow" w:cs="Arial"/>
                <w:i/>
                <w:snapToGrid w:val="0"/>
                <w:color w:val="000000"/>
                <w:sz w:val="20"/>
                <w:szCs w:val="18"/>
                <w:lang w:eastAsia="en-US"/>
              </w:rPr>
              <w:t>(REDACTED)</w:t>
            </w:r>
          </w:p>
        </w:tc>
        <w:tc>
          <w:tcPr>
            <w:tcW w:w="705" w:type="pct"/>
            <w:shd w:val="clear" w:color="auto" w:fill="auto"/>
          </w:tcPr>
          <w:p w:rsidR="008B6EB1" w:rsidRDefault="008B6EB1">
            <w:r w:rsidRPr="003549D7">
              <w:rPr>
                <w:rFonts w:ascii="Arial Narrow" w:hAnsi="Arial Narrow" w:cs="Arial"/>
                <w:i/>
                <w:snapToGrid w:val="0"/>
                <w:color w:val="000000"/>
                <w:sz w:val="20"/>
                <w:szCs w:val="18"/>
                <w:lang w:eastAsia="en-US"/>
              </w:rPr>
              <w:t>(REDACTED)</w:t>
            </w:r>
          </w:p>
        </w:tc>
        <w:tc>
          <w:tcPr>
            <w:tcW w:w="705" w:type="pct"/>
            <w:shd w:val="clear" w:color="auto" w:fill="auto"/>
          </w:tcPr>
          <w:p w:rsidR="008B6EB1" w:rsidRDefault="008B6EB1">
            <w:r w:rsidRPr="003549D7">
              <w:rPr>
                <w:rFonts w:ascii="Arial Narrow" w:hAnsi="Arial Narrow" w:cs="Arial"/>
                <w:i/>
                <w:snapToGrid w:val="0"/>
                <w:color w:val="000000"/>
                <w:sz w:val="20"/>
                <w:szCs w:val="18"/>
                <w:lang w:eastAsia="en-US"/>
              </w:rPr>
              <w:t>(REDACTED)</w:t>
            </w:r>
          </w:p>
        </w:tc>
        <w:tc>
          <w:tcPr>
            <w:tcW w:w="705" w:type="pct"/>
            <w:shd w:val="clear" w:color="auto" w:fill="auto"/>
          </w:tcPr>
          <w:p w:rsidR="008B6EB1" w:rsidRDefault="008B6EB1">
            <w:r w:rsidRPr="003549D7">
              <w:rPr>
                <w:rFonts w:ascii="Arial Narrow" w:hAnsi="Arial Narrow" w:cs="Arial"/>
                <w:i/>
                <w:snapToGrid w:val="0"/>
                <w:color w:val="000000"/>
                <w:sz w:val="20"/>
                <w:szCs w:val="18"/>
                <w:lang w:eastAsia="en-US"/>
              </w:rPr>
              <w:t>(REDACTED)</w:t>
            </w:r>
          </w:p>
        </w:tc>
        <w:tc>
          <w:tcPr>
            <w:tcW w:w="703" w:type="pct"/>
            <w:shd w:val="clear" w:color="auto" w:fill="auto"/>
          </w:tcPr>
          <w:p w:rsidR="008B6EB1" w:rsidRDefault="008B6EB1">
            <w:r w:rsidRPr="003549D7">
              <w:rPr>
                <w:rFonts w:ascii="Arial Narrow" w:hAnsi="Arial Narrow" w:cs="Arial"/>
                <w:i/>
                <w:snapToGrid w:val="0"/>
                <w:color w:val="000000"/>
                <w:sz w:val="20"/>
                <w:szCs w:val="18"/>
                <w:lang w:eastAsia="en-US"/>
              </w:rPr>
              <w:t>(REDACTED)</w:t>
            </w:r>
          </w:p>
        </w:tc>
      </w:tr>
      <w:tr w:rsidR="00487EF4" w:rsidRPr="00BB440F">
        <w:tc>
          <w:tcPr>
            <w:tcW w:w="5000" w:type="pct"/>
            <w:gridSpan w:val="6"/>
            <w:shd w:val="clear" w:color="auto" w:fill="auto"/>
            <w:vAlign w:val="center"/>
          </w:tcPr>
          <w:p w:rsidR="00487EF4" w:rsidRPr="002B7FBB" w:rsidRDefault="00487EF4" w:rsidP="00487EF4">
            <w:pPr>
              <w:widowControl w:val="0"/>
              <w:rPr>
                <w:rFonts w:ascii="Arial Narrow" w:hAnsi="Arial Narrow" w:cs="Arial"/>
                <w:bCs/>
                <w:i/>
                <w:snapToGrid w:val="0"/>
                <w:sz w:val="20"/>
                <w:szCs w:val="20"/>
                <w:lang w:eastAsia="en-US"/>
              </w:rPr>
            </w:pPr>
            <w:r w:rsidRPr="0031038B">
              <w:rPr>
                <w:rFonts w:ascii="Arial Narrow" w:hAnsi="Arial Narrow" w:cs="Arial"/>
                <w:bCs/>
                <w:i/>
                <w:snapToGrid w:val="0"/>
                <w:sz w:val="20"/>
                <w:szCs w:val="20"/>
                <w:lang w:eastAsia="en-US"/>
              </w:rPr>
              <w:t>Estimated net cost to PBS/RPBS - Nov 2013</w:t>
            </w:r>
          </w:p>
        </w:tc>
      </w:tr>
      <w:tr w:rsidR="008B6EB1" w:rsidRPr="00BB440F" w:rsidTr="0058682C">
        <w:tc>
          <w:tcPr>
            <w:tcW w:w="1477" w:type="pct"/>
            <w:shd w:val="clear" w:color="auto" w:fill="auto"/>
            <w:vAlign w:val="center"/>
          </w:tcPr>
          <w:p w:rsidR="008B6EB1" w:rsidRPr="002B7FBB" w:rsidRDefault="008B6EB1" w:rsidP="00487EF4">
            <w:pPr>
              <w:widowControl w:val="0"/>
              <w:tabs>
                <w:tab w:val="left" w:pos="142"/>
              </w:tabs>
              <w:rPr>
                <w:rFonts w:ascii="Arial Narrow" w:hAnsi="Arial Narrow" w:cs="Arial"/>
                <w:i/>
                <w:snapToGrid w:val="0"/>
                <w:sz w:val="20"/>
                <w:szCs w:val="20"/>
                <w:lang w:eastAsia="en-US"/>
              </w:rPr>
            </w:pPr>
            <w:r w:rsidRPr="0031038B">
              <w:rPr>
                <w:rFonts w:ascii="Arial Narrow" w:hAnsi="Arial Narrow" w:cs="Arial"/>
                <w:i/>
                <w:snapToGrid w:val="0"/>
                <w:sz w:val="20"/>
                <w:szCs w:val="20"/>
                <w:lang w:eastAsia="en-US"/>
              </w:rPr>
              <w:t>Net cost to PBS/RPBS</w:t>
            </w:r>
          </w:p>
        </w:tc>
        <w:tc>
          <w:tcPr>
            <w:tcW w:w="705" w:type="pct"/>
            <w:shd w:val="clear" w:color="auto" w:fill="auto"/>
          </w:tcPr>
          <w:p w:rsidR="008B6EB1" w:rsidRDefault="008B6EB1">
            <w:r w:rsidRPr="002751DD">
              <w:rPr>
                <w:rFonts w:ascii="Arial Narrow" w:hAnsi="Arial Narrow" w:cs="Arial"/>
                <w:i/>
                <w:snapToGrid w:val="0"/>
                <w:color w:val="000000"/>
                <w:sz w:val="20"/>
                <w:szCs w:val="18"/>
                <w:lang w:eastAsia="en-US"/>
              </w:rPr>
              <w:t>(REDACTED)</w:t>
            </w:r>
          </w:p>
        </w:tc>
        <w:tc>
          <w:tcPr>
            <w:tcW w:w="705" w:type="pct"/>
            <w:shd w:val="clear" w:color="auto" w:fill="auto"/>
          </w:tcPr>
          <w:p w:rsidR="008B6EB1" w:rsidRDefault="008B6EB1">
            <w:r w:rsidRPr="002751DD">
              <w:rPr>
                <w:rFonts w:ascii="Arial Narrow" w:hAnsi="Arial Narrow" w:cs="Arial"/>
                <w:i/>
                <w:snapToGrid w:val="0"/>
                <w:color w:val="000000"/>
                <w:sz w:val="20"/>
                <w:szCs w:val="18"/>
                <w:lang w:eastAsia="en-US"/>
              </w:rPr>
              <w:t>(REDACTED)</w:t>
            </w:r>
          </w:p>
        </w:tc>
        <w:tc>
          <w:tcPr>
            <w:tcW w:w="705" w:type="pct"/>
            <w:shd w:val="clear" w:color="auto" w:fill="auto"/>
          </w:tcPr>
          <w:p w:rsidR="008B6EB1" w:rsidRDefault="008B6EB1">
            <w:r w:rsidRPr="002751DD">
              <w:rPr>
                <w:rFonts w:ascii="Arial Narrow" w:hAnsi="Arial Narrow" w:cs="Arial"/>
                <w:i/>
                <w:snapToGrid w:val="0"/>
                <w:color w:val="000000"/>
                <w:sz w:val="20"/>
                <w:szCs w:val="18"/>
                <w:lang w:eastAsia="en-US"/>
              </w:rPr>
              <w:t>(REDACTED)</w:t>
            </w:r>
          </w:p>
        </w:tc>
        <w:tc>
          <w:tcPr>
            <w:tcW w:w="705" w:type="pct"/>
            <w:shd w:val="clear" w:color="auto" w:fill="auto"/>
          </w:tcPr>
          <w:p w:rsidR="008B6EB1" w:rsidRDefault="008B6EB1">
            <w:r w:rsidRPr="002751DD">
              <w:rPr>
                <w:rFonts w:ascii="Arial Narrow" w:hAnsi="Arial Narrow" w:cs="Arial"/>
                <w:i/>
                <w:snapToGrid w:val="0"/>
                <w:color w:val="000000"/>
                <w:sz w:val="20"/>
                <w:szCs w:val="18"/>
                <w:lang w:eastAsia="en-US"/>
              </w:rPr>
              <w:t>(REDACTED)</w:t>
            </w:r>
          </w:p>
        </w:tc>
        <w:tc>
          <w:tcPr>
            <w:tcW w:w="703" w:type="pct"/>
            <w:shd w:val="clear" w:color="auto" w:fill="auto"/>
          </w:tcPr>
          <w:p w:rsidR="008B6EB1" w:rsidRDefault="008B6EB1">
            <w:r w:rsidRPr="002751DD">
              <w:rPr>
                <w:rFonts w:ascii="Arial Narrow" w:hAnsi="Arial Narrow" w:cs="Arial"/>
                <w:i/>
                <w:snapToGrid w:val="0"/>
                <w:color w:val="000000"/>
                <w:sz w:val="20"/>
                <w:szCs w:val="18"/>
                <w:lang w:eastAsia="en-US"/>
              </w:rPr>
              <w:t>(REDACTED)</w:t>
            </w:r>
          </w:p>
        </w:tc>
      </w:tr>
      <w:tr w:rsidR="008B6EB1" w:rsidRPr="00BB440F" w:rsidTr="0058682C">
        <w:tc>
          <w:tcPr>
            <w:tcW w:w="1477" w:type="pct"/>
            <w:shd w:val="clear" w:color="auto" w:fill="auto"/>
            <w:vAlign w:val="center"/>
          </w:tcPr>
          <w:p w:rsidR="008B6EB1" w:rsidRPr="002B7FBB" w:rsidRDefault="008B6EB1" w:rsidP="00487EF4">
            <w:pPr>
              <w:widowControl w:val="0"/>
              <w:tabs>
                <w:tab w:val="left" w:pos="142"/>
              </w:tabs>
              <w:rPr>
                <w:rFonts w:ascii="Arial Narrow" w:hAnsi="Arial Narrow" w:cs="Arial"/>
                <w:i/>
                <w:snapToGrid w:val="0"/>
                <w:sz w:val="20"/>
                <w:szCs w:val="20"/>
                <w:lang w:eastAsia="en-US"/>
              </w:rPr>
            </w:pPr>
            <w:r w:rsidRPr="0031038B">
              <w:rPr>
                <w:rFonts w:ascii="Arial Narrow" w:hAnsi="Arial Narrow" w:cs="Arial"/>
                <w:i/>
                <w:snapToGrid w:val="0"/>
                <w:sz w:val="20"/>
                <w:szCs w:val="20"/>
                <w:lang w:eastAsia="en-US"/>
              </w:rPr>
              <w:t>Net cost saving to PBS</w:t>
            </w:r>
          </w:p>
        </w:tc>
        <w:tc>
          <w:tcPr>
            <w:tcW w:w="705" w:type="pct"/>
            <w:shd w:val="clear" w:color="auto" w:fill="auto"/>
          </w:tcPr>
          <w:p w:rsidR="008B6EB1" w:rsidRDefault="008B6EB1">
            <w:r w:rsidRPr="002751DD">
              <w:rPr>
                <w:rFonts w:ascii="Arial Narrow" w:hAnsi="Arial Narrow" w:cs="Arial"/>
                <w:i/>
                <w:snapToGrid w:val="0"/>
                <w:color w:val="000000"/>
                <w:sz w:val="20"/>
                <w:szCs w:val="18"/>
                <w:lang w:eastAsia="en-US"/>
              </w:rPr>
              <w:t>(REDACTED)</w:t>
            </w:r>
          </w:p>
        </w:tc>
        <w:tc>
          <w:tcPr>
            <w:tcW w:w="705" w:type="pct"/>
            <w:shd w:val="clear" w:color="auto" w:fill="auto"/>
          </w:tcPr>
          <w:p w:rsidR="008B6EB1" w:rsidRDefault="008B6EB1">
            <w:r w:rsidRPr="002751DD">
              <w:rPr>
                <w:rFonts w:ascii="Arial Narrow" w:hAnsi="Arial Narrow" w:cs="Arial"/>
                <w:i/>
                <w:snapToGrid w:val="0"/>
                <w:color w:val="000000"/>
                <w:sz w:val="20"/>
                <w:szCs w:val="18"/>
                <w:lang w:eastAsia="en-US"/>
              </w:rPr>
              <w:t>(REDACTED)</w:t>
            </w:r>
          </w:p>
        </w:tc>
        <w:tc>
          <w:tcPr>
            <w:tcW w:w="705" w:type="pct"/>
            <w:shd w:val="clear" w:color="auto" w:fill="auto"/>
          </w:tcPr>
          <w:p w:rsidR="008B6EB1" w:rsidRDefault="008B6EB1">
            <w:r w:rsidRPr="002751DD">
              <w:rPr>
                <w:rFonts w:ascii="Arial Narrow" w:hAnsi="Arial Narrow" w:cs="Arial"/>
                <w:i/>
                <w:snapToGrid w:val="0"/>
                <w:color w:val="000000"/>
                <w:sz w:val="20"/>
                <w:szCs w:val="18"/>
                <w:lang w:eastAsia="en-US"/>
              </w:rPr>
              <w:t>(REDACTED)</w:t>
            </w:r>
          </w:p>
        </w:tc>
        <w:tc>
          <w:tcPr>
            <w:tcW w:w="705" w:type="pct"/>
            <w:shd w:val="clear" w:color="auto" w:fill="auto"/>
          </w:tcPr>
          <w:p w:rsidR="008B6EB1" w:rsidRDefault="008B6EB1">
            <w:r w:rsidRPr="002751DD">
              <w:rPr>
                <w:rFonts w:ascii="Arial Narrow" w:hAnsi="Arial Narrow" w:cs="Arial"/>
                <w:i/>
                <w:snapToGrid w:val="0"/>
                <w:color w:val="000000"/>
                <w:sz w:val="20"/>
                <w:szCs w:val="18"/>
                <w:lang w:eastAsia="en-US"/>
              </w:rPr>
              <w:t>(REDACTED)</w:t>
            </w:r>
          </w:p>
        </w:tc>
        <w:tc>
          <w:tcPr>
            <w:tcW w:w="703" w:type="pct"/>
            <w:shd w:val="clear" w:color="auto" w:fill="auto"/>
          </w:tcPr>
          <w:p w:rsidR="008B6EB1" w:rsidRDefault="008B6EB1">
            <w:r w:rsidRPr="002751DD">
              <w:rPr>
                <w:rFonts w:ascii="Arial Narrow" w:hAnsi="Arial Narrow" w:cs="Arial"/>
                <w:i/>
                <w:snapToGrid w:val="0"/>
                <w:color w:val="000000"/>
                <w:sz w:val="20"/>
                <w:szCs w:val="18"/>
                <w:lang w:eastAsia="en-US"/>
              </w:rPr>
              <w:t>(REDACTED)</w:t>
            </w:r>
          </w:p>
        </w:tc>
      </w:tr>
      <w:tr w:rsidR="00487EF4" w:rsidRPr="00BB440F" w:rsidTr="008B6EB1">
        <w:tc>
          <w:tcPr>
            <w:tcW w:w="1477" w:type="pct"/>
            <w:shd w:val="clear" w:color="auto" w:fill="auto"/>
            <w:vAlign w:val="center"/>
          </w:tcPr>
          <w:p w:rsidR="00487EF4" w:rsidRPr="002B7FBB" w:rsidRDefault="00487EF4" w:rsidP="00487EF4">
            <w:pPr>
              <w:widowControl w:val="0"/>
              <w:tabs>
                <w:tab w:val="left" w:pos="142"/>
              </w:tabs>
              <w:rPr>
                <w:rFonts w:ascii="Arial Narrow" w:hAnsi="Arial Narrow" w:cs="Arial"/>
                <w:i/>
                <w:snapToGrid w:val="0"/>
                <w:sz w:val="20"/>
                <w:szCs w:val="20"/>
                <w:lang w:eastAsia="en-US"/>
              </w:rPr>
            </w:pPr>
            <w:r w:rsidRPr="00FA18BD">
              <w:rPr>
                <w:rFonts w:ascii="Arial Narrow" w:hAnsi="Arial Narrow" w:cs="Arial"/>
                <w:i/>
                <w:snapToGrid w:val="0"/>
                <w:sz w:val="20"/>
                <w:szCs w:val="20"/>
                <w:lang w:eastAsia="en-US"/>
              </w:rPr>
              <w:t>Estimated total net cost - Nov 2013</w:t>
            </w:r>
          </w:p>
        </w:tc>
        <w:tc>
          <w:tcPr>
            <w:tcW w:w="705" w:type="pct"/>
            <w:shd w:val="clear" w:color="auto" w:fill="auto"/>
            <w:vAlign w:val="center"/>
          </w:tcPr>
          <w:p w:rsidR="00487EF4" w:rsidRPr="002B7FBB" w:rsidRDefault="00487EF4" w:rsidP="00487EF4">
            <w:pPr>
              <w:keepNext/>
              <w:jc w:val="right"/>
              <w:rPr>
                <w:rFonts w:ascii="Arial Narrow" w:hAnsi="Arial Narrow" w:cs="Arial"/>
                <w:i/>
                <w:sz w:val="20"/>
                <w:szCs w:val="20"/>
              </w:rPr>
            </w:pPr>
            <w:r w:rsidRPr="00FA18BD">
              <w:rPr>
                <w:rFonts w:ascii="Arial Narrow" w:hAnsi="Arial Narrow" w:cs="Arial"/>
                <w:i/>
                <w:sz w:val="20"/>
                <w:szCs w:val="20"/>
              </w:rPr>
              <w:t>$</w:t>
            </w:r>
            <w:r w:rsidR="008B6EB1">
              <w:rPr>
                <w:rFonts w:ascii="Arial Narrow" w:hAnsi="Arial Narrow" w:cs="Arial"/>
                <w:i/>
                <w:snapToGrid w:val="0"/>
                <w:color w:val="000000"/>
                <w:sz w:val="20"/>
                <w:szCs w:val="18"/>
                <w:lang w:eastAsia="en-US"/>
              </w:rPr>
              <w:t>(REDACTED)</w:t>
            </w:r>
          </w:p>
        </w:tc>
        <w:tc>
          <w:tcPr>
            <w:tcW w:w="705" w:type="pct"/>
            <w:shd w:val="clear" w:color="auto" w:fill="auto"/>
            <w:vAlign w:val="center"/>
          </w:tcPr>
          <w:p w:rsidR="00487EF4" w:rsidRPr="002B7FBB" w:rsidRDefault="00487EF4" w:rsidP="00487EF4">
            <w:pPr>
              <w:keepNext/>
              <w:jc w:val="right"/>
              <w:rPr>
                <w:rFonts w:ascii="Arial Narrow" w:hAnsi="Arial Narrow" w:cs="Arial"/>
                <w:i/>
                <w:sz w:val="20"/>
                <w:szCs w:val="20"/>
              </w:rPr>
            </w:pPr>
            <w:r w:rsidRPr="00FA18BD">
              <w:rPr>
                <w:rFonts w:ascii="Arial Narrow" w:hAnsi="Arial Narrow" w:cs="Arial"/>
                <w:i/>
                <w:sz w:val="20"/>
                <w:szCs w:val="20"/>
              </w:rPr>
              <w:t>$</w:t>
            </w:r>
            <w:r w:rsidR="008B6EB1">
              <w:rPr>
                <w:rFonts w:ascii="Arial Narrow" w:hAnsi="Arial Narrow" w:cs="Arial"/>
                <w:i/>
                <w:snapToGrid w:val="0"/>
                <w:color w:val="000000"/>
                <w:sz w:val="20"/>
                <w:szCs w:val="18"/>
                <w:lang w:eastAsia="en-US"/>
              </w:rPr>
              <w:t>(REDACTED)</w:t>
            </w:r>
          </w:p>
        </w:tc>
        <w:tc>
          <w:tcPr>
            <w:tcW w:w="705" w:type="pct"/>
            <w:shd w:val="clear" w:color="auto" w:fill="auto"/>
            <w:vAlign w:val="center"/>
          </w:tcPr>
          <w:p w:rsidR="00487EF4" w:rsidRPr="002B7FBB" w:rsidRDefault="00487EF4" w:rsidP="00487EF4">
            <w:pPr>
              <w:keepNext/>
              <w:ind w:left="-141"/>
              <w:jc w:val="right"/>
              <w:rPr>
                <w:rFonts w:ascii="Arial Narrow" w:hAnsi="Arial Narrow" w:cs="Arial"/>
                <w:i/>
                <w:sz w:val="20"/>
                <w:szCs w:val="20"/>
              </w:rPr>
            </w:pPr>
            <w:r w:rsidRPr="00FA18BD">
              <w:rPr>
                <w:rFonts w:ascii="Arial Narrow" w:hAnsi="Arial Narrow" w:cs="Arial"/>
                <w:i/>
                <w:sz w:val="20"/>
                <w:szCs w:val="20"/>
              </w:rPr>
              <w:t>$</w:t>
            </w:r>
            <w:r w:rsidR="008B6EB1">
              <w:rPr>
                <w:rFonts w:ascii="Arial Narrow" w:hAnsi="Arial Narrow" w:cs="Arial"/>
                <w:i/>
                <w:snapToGrid w:val="0"/>
                <w:color w:val="000000"/>
                <w:sz w:val="20"/>
                <w:szCs w:val="18"/>
                <w:lang w:eastAsia="en-US"/>
              </w:rPr>
              <w:t>(REDACTED)</w:t>
            </w:r>
          </w:p>
        </w:tc>
        <w:tc>
          <w:tcPr>
            <w:tcW w:w="705" w:type="pct"/>
            <w:shd w:val="clear" w:color="auto" w:fill="auto"/>
            <w:vAlign w:val="center"/>
          </w:tcPr>
          <w:p w:rsidR="00487EF4" w:rsidRPr="002B7FBB" w:rsidRDefault="00487EF4" w:rsidP="00487EF4">
            <w:pPr>
              <w:keepNext/>
              <w:ind w:left="-78"/>
              <w:jc w:val="right"/>
              <w:rPr>
                <w:rFonts w:ascii="Arial Narrow" w:hAnsi="Arial Narrow" w:cs="Arial"/>
                <w:i/>
                <w:sz w:val="20"/>
                <w:szCs w:val="20"/>
              </w:rPr>
            </w:pPr>
            <w:r w:rsidRPr="00FA18BD">
              <w:rPr>
                <w:rFonts w:ascii="Arial Narrow" w:hAnsi="Arial Narrow" w:cs="Arial"/>
                <w:i/>
                <w:sz w:val="20"/>
                <w:szCs w:val="20"/>
              </w:rPr>
              <w:t>$</w:t>
            </w:r>
            <w:r w:rsidR="008B6EB1">
              <w:rPr>
                <w:rFonts w:ascii="Arial Narrow" w:hAnsi="Arial Narrow" w:cs="Arial"/>
                <w:i/>
                <w:snapToGrid w:val="0"/>
                <w:color w:val="000000"/>
                <w:sz w:val="20"/>
                <w:szCs w:val="18"/>
                <w:lang w:eastAsia="en-US"/>
              </w:rPr>
              <w:t>(REDACTED)</w:t>
            </w:r>
          </w:p>
        </w:tc>
        <w:tc>
          <w:tcPr>
            <w:tcW w:w="703" w:type="pct"/>
            <w:shd w:val="clear" w:color="auto" w:fill="auto"/>
            <w:vAlign w:val="center"/>
          </w:tcPr>
          <w:p w:rsidR="00487EF4" w:rsidRPr="002B7FBB" w:rsidRDefault="00487EF4" w:rsidP="00987B17">
            <w:pPr>
              <w:keepNext/>
              <w:ind w:left="-80"/>
              <w:jc w:val="right"/>
              <w:rPr>
                <w:rFonts w:ascii="Arial Narrow" w:hAnsi="Arial Narrow" w:cs="Arial"/>
                <w:i/>
                <w:sz w:val="20"/>
                <w:szCs w:val="20"/>
              </w:rPr>
            </w:pPr>
            <w:r w:rsidRPr="00FA18BD">
              <w:rPr>
                <w:rFonts w:ascii="Arial Narrow" w:hAnsi="Arial Narrow" w:cs="Arial"/>
                <w:i/>
                <w:sz w:val="20"/>
                <w:szCs w:val="20"/>
              </w:rPr>
              <w:t>$</w:t>
            </w:r>
            <w:r w:rsidR="008B6EB1">
              <w:rPr>
                <w:rFonts w:ascii="Arial Narrow" w:hAnsi="Arial Narrow" w:cs="Arial"/>
                <w:i/>
                <w:snapToGrid w:val="0"/>
                <w:color w:val="000000"/>
                <w:sz w:val="20"/>
                <w:szCs w:val="18"/>
                <w:lang w:eastAsia="en-US"/>
              </w:rPr>
              <w:t>(REDACTED</w:t>
            </w:r>
            <w:r w:rsidR="00987B17">
              <w:rPr>
                <w:rFonts w:ascii="Arial Narrow" w:hAnsi="Arial Narrow" w:cs="Arial"/>
                <w:i/>
                <w:snapToGrid w:val="0"/>
                <w:color w:val="000000"/>
                <w:sz w:val="20"/>
                <w:szCs w:val="18"/>
                <w:lang w:eastAsia="en-US"/>
              </w:rPr>
              <w:t>)</w:t>
            </w:r>
          </w:p>
        </w:tc>
      </w:tr>
    </w:tbl>
    <w:p w:rsidR="00487EF4" w:rsidRPr="0031038B" w:rsidRDefault="008B6EB1" w:rsidP="002B17EE">
      <w:pPr>
        <w:widowControl w:val="0"/>
        <w:ind w:firstLine="720"/>
        <w:jc w:val="both"/>
        <w:rPr>
          <w:rFonts w:ascii="Arial Narrow" w:hAnsi="Arial Narrow" w:cs="Arial"/>
          <w:snapToGrid w:val="0"/>
          <w:sz w:val="16"/>
          <w:szCs w:val="18"/>
          <w:lang w:eastAsia="en-US"/>
        </w:rPr>
      </w:pPr>
      <w:r>
        <w:rPr>
          <w:rFonts w:ascii="Arial Narrow" w:hAnsi="Arial Narrow" w:cs="Arial"/>
          <w:i/>
          <w:snapToGrid w:val="0"/>
          <w:color w:val="000000"/>
          <w:sz w:val="20"/>
          <w:szCs w:val="18"/>
          <w:lang w:eastAsia="en-US"/>
        </w:rPr>
        <w:t>(REDACTED</w:t>
      </w:r>
      <w:proofErr w:type="gramStart"/>
      <w:r>
        <w:rPr>
          <w:rFonts w:ascii="Arial Narrow" w:hAnsi="Arial Narrow" w:cs="Arial"/>
          <w:i/>
          <w:snapToGrid w:val="0"/>
          <w:color w:val="000000"/>
          <w:sz w:val="20"/>
          <w:szCs w:val="18"/>
          <w:lang w:eastAsia="en-US"/>
        </w:rPr>
        <w:t>)</w:t>
      </w:r>
      <w:r w:rsidR="00487EF4" w:rsidRPr="0031038B">
        <w:rPr>
          <w:rFonts w:ascii="Arial Narrow" w:hAnsi="Arial Narrow" w:cs="Arial"/>
          <w:snapToGrid w:val="0"/>
          <w:sz w:val="18"/>
          <w:szCs w:val="20"/>
          <w:vertAlign w:val="superscript"/>
          <w:lang w:eastAsia="en-US"/>
        </w:rPr>
        <w:t>b</w:t>
      </w:r>
      <w:proofErr w:type="gramEnd"/>
      <w:r w:rsidR="00487EF4" w:rsidRPr="0031038B">
        <w:rPr>
          <w:rFonts w:ascii="Arial Narrow" w:hAnsi="Arial Narrow" w:cs="Arial"/>
          <w:snapToGrid w:val="0"/>
          <w:sz w:val="18"/>
          <w:szCs w:val="20"/>
          <w:lang w:eastAsia="en-US"/>
        </w:rPr>
        <w:t xml:space="preserve"> Assuming number of scripts per year equals that estimated by the submission.</w:t>
      </w:r>
    </w:p>
    <w:p w:rsidR="00487EF4" w:rsidRPr="002B7FBB" w:rsidRDefault="00487EF4" w:rsidP="002B17EE">
      <w:pPr>
        <w:widowControl w:val="0"/>
        <w:ind w:left="720"/>
        <w:jc w:val="both"/>
        <w:rPr>
          <w:rFonts w:ascii="Arial Narrow" w:hAnsi="Arial Narrow" w:cs="Arial"/>
          <w:snapToGrid w:val="0"/>
          <w:sz w:val="18"/>
          <w:szCs w:val="18"/>
          <w:lang w:eastAsia="en-US"/>
        </w:rPr>
      </w:pPr>
      <w:proofErr w:type="gramStart"/>
      <w:r w:rsidRPr="0031038B">
        <w:rPr>
          <w:rFonts w:ascii="Arial Narrow" w:hAnsi="Arial Narrow" w:cs="Arial"/>
          <w:snapToGrid w:val="0"/>
          <w:sz w:val="18"/>
          <w:szCs w:val="18"/>
          <w:vertAlign w:val="superscript"/>
          <w:lang w:eastAsia="en-US"/>
        </w:rPr>
        <w:t>c</w:t>
      </w:r>
      <w:proofErr w:type="gramEnd"/>
      <w:r w:rsidRPr="0031038B">
        <w:rPr>
          <w:rFonts w:ascii="Arial Narrow" w:hAnsi="Arial Narrow" w:cs="Arial"/>
          <w:snapToGrid w:val="0"/>
          <w:sz w:val="18"/>
          <w:szCs w:val="18"/>
          <w:vertAlign w:val="superscript"/>
          <w:lang w:eastAsia="en-US"/>
        </w:rPr>
        <w:t xml:space="preserve"> </w:t>
      </w:r>
      <w:r w:rsidRPr="0031038B">
        <w:rPr>
          <w:rFonts w:ascii="Arial Narrow" w:hAnsi="Arial Narrow" w:cs="Arial"/>
          <w:snapToGrid w:val="0"/>
          <w:sz w:val="18"/>
          <w:szCs w:val="18"/>
          <w:lang w:eastAsia="en-US"/>
        </w:rPr>
        <w:t xml:space="preserve">Calculations in the re-submission included dose escalating patients, which results in double counting. </w:t>
      </w:r>
      <w:r w:rsidR="008B6EB1">
        <w:rPr>
          <w:rFonts w:ascii="Arial Narrow" w:hAnsi="Arial Narrow" w:cs="Arial"/>
          <w:i/>
          <w:snapToGrid w:val="0"/>
          <w:color w:val="000000"/>
          <w:sz w:val="20"/>
          <w:szCs w:val="18"/>
          <w:lang w:eastAsia="en-US"/>
        </w:rPr>
        <w:t>(REDACTED)</w:t>
      </w:r>
    </w:p>
    <w:p w:rsidR="00487EF4" w:rsidRPr="0031038B" w:rsidRDefault="00487EF4" w:rsidP="002B17EE">
      <w:pPr>
        <w:widowControl w:val="0"/>
        <w:ind w:firstLine="720"/>
        <w:jc w:val="both"/>
        <w:rPr>
          <w:rFonts w:ascii="Arial Narrow" w:hAnsi="Arial Narrow" w:cs="Arial"/>
          <w:snapToGrid w:val="0"/>
          <w:sz w:val="18"/>
          <w:szCs w:val="20"/>
          <w:lang w:eastAsia="en-US"/>
        </w:rPr>
      </w:pPr>
      <w:proofErr w:type="gramStart"/>
      <w:r w:rsidRPr="0031038B">
        <w:rPr>
          <w:rFonts w:ascii="Arial Narrow" w:hAnsi="Arial Narrow" w:cs="Arial"/>
          <w:snapToGrid w:val="0"/>
          <w:sz w:val="18"/>
          <w:szCs w:val="18"/>
          <w:vertAlign w:val="superscript"/>
          <w:lang w:eastAsia="en-US"/>
        </w:rPr>
        <w:t>d</w:t>
      </w:r>
      <w:proofErr w:type="gramEnd"/>
      <w:r w:rsidRPr="0031038B">
        <w:rPr>
          <w:rFonts w:ascii="Arial Narrow" w:hAnsi="Arial Narrow" w:cs="Arial"/>
          <w:snapToGrid w:val="0"/>
          <w:sz w:val="18"/>
          <w:szCs w:val="18"/>
          <w:vertAlign w:val="superscript"/>
          <w:lang w:eastAsia="en-US"/>
        </w:rPr>
        <w:t xml:space="preserve"> </w:t>
      </w:r>
      <w:r w:rsidRPr="0031038B">
        <w:rPr>
          <w:rFonts w:ascii="Arial Narrow" w:hAnsi="Arial Narrow" w:cs="Arial"/>
          <w:snapToGrid w:val="0"/>
          <w:sz w:val="18"/>
          <w:szCs w:val="18"/>
          <w:lang w:eastAsia="en-US"/>
        </w:rPr>
        <w:t>updated by correcting calculations errors described in table notes a and c</w:t>
      </w:r>
    </w:p>
    <w:p w:rsidR="00BB7EC3" w:rsidRPr="0031038B" w:rsidRDefault="00487EF4" w:rsidP="002B17EE">
      <w:pPr>
        <w:widowControl w:val="0"/>
        <w:ind w:firstLine="720"/>
        <w:jc w:val="both"/>
        <w:rPr>
          <w:rFonts w:ascii="Arial Narrow" w:hAnsi="Arial Narrow" w:cs="Arial"/>
          <w:snapToGrid w:val="0"/>
          <w:sz w:val="18"/>
          <w:szCs w:val="20"/>
          <w:lang w:eastAsia="en-US"/>
        </w:rPr>
      </w:pPr>
      <w:r w:rsidRPr="0031038B">
        <w:rPr>
          <w:rFonts w:ascii="Arial Narrow" w:hAnsi="Arial Narrow" w:cs="Arial"/>
          <w:snapToGrid w:val="0"/>
          <w:sz w:val="18"/>
          <w:szCs w:val="20"/>
          <w:lang w:eastAsia="en-US"/>
        </w:rPr>
        <w:t>PBS = Pharmaceutical Benefits Scheme; RPBS = Repatriation Pharmaceutical Benefits Scheme</w:t>
      </w:r>
      <w:r w:rsidR="00B43E90" w:rsidRPr="0031038B">
        <w:rPr>
          <w:rFonts w:ascii="Arial" w:hAnsi="Arial"/>
          <w:sz w:val="22"/>
          <w:szCs w:val="22"/>
        </w:rPr>
        <w:t xml:space="preserve">  </w:t>
      </w:r>
    </w:p>
    <w:p w:rsidR="00BB7EC3" w:rsidRDefault="00BB7EC3" w:rsidP="00BB7EC3">
      <w:pPr>
        <w:pStyle w:val="ListParagraph"/>
        <w:ind w:left="709"/>
        <w:jc w:val="both"/>
        <w:rPr>
          <w:rFonts w:ascii="Arial" w:hAnsi="Arial"/>
          <w:sz w:val="22"/>
          <w:szCs w:val="22"/>
        </w:rPr>
      </w:pPr>
    </w:p>
    <w:p w:rsidR="00506F2F" w:rsidRPr="007D5055" w:rsidRDefault="00506F2F" w:rsidP="00506F2F">
      <w:pPr>
        <w:pStyle w:val="ListParagraph"/>
        <w:numPr>
          <w:ilvl w:val="1"/>
          <w:numId w:val="1"/>
        </w:numPr>
        <w:jc w:val="both"/>
        <w:rPr>
          <w:rFonts w:ascii="Arial" w:hAnsi="Arial"/>
          <w:sz w:val="22"/>
          <w:szCs w:val="22"/>
        </w:rPr>
      </w:pPr>
      <w:r w:rsidRPr="007D5055">
        <w:rPr>
          <w:rFonts w:ascii="Arial" w:hAnsi="Arial"/>
          <w:sz w:val="22"/>
          <w:szCs w:val="22"/>
        </w:rPr>
        <w:t xml:space="preserve">There was the potential for the estimated total net cost to be greater or less than what </w:t>
      </w:r>
      <w:r w:rsidR="00BB440F">
        <w:rPr>
          <w:rFonts w:ascii="Arial" w:hAnsi="Arial"/>
          <w:sz w:val="22"/>
          <w:szCs w:val="22"/>
        </w:rPr>
        <w:t>was</w:t>
      </w:r>
      <w:r w:rsidR="00BB440F" w:rsidRPr="007D5055">
        <w:rPr>
          <w:rFonts w:ascii="Arial" w:hAnsi="Arial"/>
          <w:sz w:val="22"/>
          <w:szCs w:val="22"/>
        </w:rPr>
        <w:t xml:space="preserve"> </w:t>
      </w:r>
      <w:r w:rsidRPr="007D5055">
        <w:rPr>
          <w:rFonts w:ascii="Arial" w:hAnsi="Arial"/>
          <w:sz w:val="22"/>
          <w:szCs w:val="22"/>
        </w:rPr>
        <w:t xml:space="preserve">calculated due to assumptions made surrounding the estimated number of eligible patients, treated patients and prescriptions per patient, costs-offsets and the cost of adverse events and calculation errors. </w:t>
      </w:r>
    </w:p>
    <w:p w:rsidR="007523CB" w:rsidRPr="007D5055" w:rsidRDefault="007523CB" w:rsidP="007523CB">
      <w:pPr>
        <w:pStyle w:val="ListParagraph"/>
        <w:ind w:left="709"/>
        <w:jc w:val="both"/>
        <w:rPr>
          <w:rFonts w:ascii="Arial" w:hAnsi="Arial"/>
          <w:color w:val="FF00FF"/>
          <w:sz w:val="22"/>
          <w:szCs w:val="22"/>
        </w:rPr>
      </w:pPr>
    </w:p>
    <w:p w:rsidR="00EE1862" w:rsidRPr="007D5055" w:rsidRDefault="00EE1862" w:rsidP="00505097">
      <w:pPr>
        <w:pStyle w:val="ListParagraph"/>
        <w:numPr>
          <w:ilvl w:val="1"/>
          <w:numId w:val="1"/>
        </w:numPr>
        <w:ind w:left="709" w:hanging="709"/>
        <w:jc w:val="both"/>
        <w:rPr>
          <w:rFonts w:ascii="Arial" w:hAnsi="Arial"/>
          <w:sz w:val="22"/>
          <w:szCs w:val="22"/>
        </w:rPr>
      </w:pPr>
      <w:r w:rsidRPr="007D5055">
        <w:rPr>
          <w:rFonts w:ascii="Arial" w:hAnsi="Arial"/>
          <w:sz w:val="22"/>
          <w:szCs w:val="22"/>
        </w:rPr>
        <w:t xml:space="preserve">The Sponsor proposed a risk sharing arrangement </w:t>
      </w:r>
      <w:r w:rsidRPr="0031038B">
        <w:rPr>
          <w:rFonts w:ascii="Arial" w:hAnsi="Arial"/>
          <w:sz w:val="22"/>
          <w:szCs w:val="22"/>
        </w:rPr>
        <w:t xml:space="preserve">similar to the original Deed of Agreement in place for Crohn disease, which would see two market subsidisation caps set at varying levels above the estimated usage of </w:t>
      </w:r>
      <w:proofErr w:type="spellStart"/>
      <w:r w:rsidRPr="0031038B">
        <w:rPr>
          <w:rFonts w:ascii="Arial" w:hAnsi="Arial"/>
          <w:sz w:val="22"/>
          <w:szCs w:val="22"/>
        </w:rPr>
        <w:t>adalimumab</w:t>
      </w:r>
      <w:proofErr w:type="spellEnd"/>
      <w:r w:rsidRPr="0031038B">
        <w:rPr>
          <w:rFonts w:ascii="Arial" w:hAnsi="Arial"/>
          <w:sz w:val="22"/>
          <w:szCs w:val="22"/>
        </w:rPr>
        <w:t xml:space="preserve"> as calculated in Section E of the re-submission. As per the Agreement for Crohn disease, these caps are set at </w:t>
      </w:r>
      <w:r w:rsidR="008B6EB1" w:rsidRPr="008B6EB1">
        <w:rPr>
          <w:rFonts w:ascii="Arial" w:hAnsi="Arial"/>
          <w:i/>
          <w:sz w:val="22"/>
          <w:szCs w:val="22"/>
        </w:rPr>
        <w:t>(REDACTED</w:t>
      </w:r>
      <w:r w:rsidR="008B6EB1">
        <w:rPr>
          <w:rFonts w:ascii="Arial" w:hAnsi="Arial"/>
          <w:i/>
          <w:sz w:val="22"/>
          <w:szCs w:val="22"/>
        </w:rPr>
        <w:t>)</w:t>
      </w:r>
      <w:r w:rsidR="008B6EB1">
        <w:rPr>
          <w:rFonts w:ascii="Arial" w:hAnsi="Arial"/>
          <w:i/>
        </w:rPr>
        <w:t xml:space="preserve"> </w:t>
      </w:r>
      <w:r w:rsidRPr="0031038B">
        <w:rPr>
          <w:rFonts w:ascii="Arial" w:hAnsi="Arial"/>
          <w:sz w:val="22"/>
          <w:szCs w:val="22"/>
        </w:rPr>
        <w:t xml:space="preserve">% and </w:t>
      </w:r>
      <w:r w:rsidR="008B6EB1" w:rsidRPr="008B6EB1">
        <w:rPr>
          <w:rFonts w:ascii="Arial" w:hAnsi="Arial"/>
          <w:i/>
          <w:sz w:val="22"/>
          <w:szCs w:val="22"/>
        </w:rPr>
        <w:t>(REDACTED</w:t>
      </w:r>
      <w:r w:rsidR="008B6EB1">
        <w:rPr>
          <w:rFonts w:ascii="Arial" w:hAnsi="Arial"/>
          <w:i/>
          <w:sz w:val="22"/>
          <w:szCs w:val="22"/>
        </w:rPr>
        <w:t>)</w:t>
      </w:r>
      <w:r w:rsidR="008B6EB1">
        <w:rPr>
          <w:rFonts w:ascii="Arial" w:hAnsi="Arial"/>
          <w:i/>
        </w:rPr>
        <w:t xml:space="preserve"> </w:t>
      </w:r>
      <w:r w:rsidRPr="0031038B">
        <w:rPr>
          <w:rFonts w:ascii="Arial" w:hAnsi="Arial"/>
          <w:sz w:val="22"/>
          <w:szCs w:val="22"/>
        </w:rPr>
        <w:t xml:space="preserve">% and are presented below: </w:t>
      </w:r>
    </w:p>
    <w:p w:rsidR="00EE1862" w:rsidRDefault="00EE1862" w:rsidP="00EE1862">
      <w:pPr>
        <w:pStyle w:val="ListParagraph"/>
        <w:ind w:left="709"/>
        <w:jc w:val="both"/>
        <w:rPr>
          <w:rFonts w:ascii="Arial" w:hAnsi="Arial"/>
          <w:sz w:val="22"/>
          <w:szCs w:val="22"/>
        </w:rPr>
      </w:pPr>
    </w:p>
    <w:p w:rsidR="00EE1862" w:rsidRPr="00FE54E3" w:rsidRDefault="00EE1862" w:rsidP="00AC655E">
      <w:pPr>
        <w:keepNext/>
        <w:ind w:left="709"/>
        <w:jc w:val="both"/>
        <w:rPr>
          <w:rFonts w:ascii="Arial Narrow" w:hAnsi="Arial Narrow" w:cs="Arial"/>
          <w:b/>
          <w:snapToGrid w:val="0"/>
          <w:sz w:val="20"/>
          <w:szCs w:val="16"/>
          <w:lang w:eastAsia="en-US"/>
        </w:rPr>
      </w:pPr>
      <w:r w:rsidRPr="00FE54E3">
        <w:rPr>
          <w:rFonts w:ascii="Arial Narrow" w:hAnsi="Arial Narrow" w:cs="Arial"/>
          <w:b/>
          <w:snapToGrid w:val="0"/>
          <w:sz w:val="20"/>
          <w:szCs w:val="16"/>
          <w:lang w:eastAsia="en-US"/>
        </w:rPr>
        <w:t xml:space="preserve">Proposed market subsidisation caps for </w:t>
      </w:r>
      <w:proofErr w:type="spellStart"/>
      <w:r w:rsidRPr="00FE54E3">
        <w:rPr>
          <w:rFonts w:ascii="Arial Narrow" w:hAnsi="Arial Narrow" w:cs="Arial"/>
          <w:b/>
          <w:snapToGrid w:val="0"/>
          <w:sz w:val="20"/>
          <w:szCs w:val="16"/>
          <w:lang w:eastAsia="en-US"/>
        </w:rPr>
        <w:t>adalimumab</w:t>
      </w:r>
      <w:proofErr w:type="spellEnd"/>
    </w:p>
    <w:tbl>
      <w:tblPr>
        <w:tblStyle w:val="TableGrid"/>
        <w:tblW w:w="4584" w:type="pct"/>
        <w:tblInd w:w="737" w:type="dxa"/>
        <w:tblLayout w:type="fixed"/>
        <w:tblCellMar>
          <w:left w:w="57" w:type="dxa"/>
          <w:right w:w="57" w:type="dxa"/>
        </w:tblCellMar>
        <w:tblLook w:val="04A0" w:firstRow="1" w:lastRow="0" w:firstColumn="1" w:lastColumn="0" w:noHBand="0" w:noVBand="1"/>
        <w:tblDescription w:val="Proposed market subsidisation caps for adalimumab"/>
      </w:tblPr>
      <w:tblGrid>
        <w:gridCol w:w="2551"/>
        <w:gridCol w:w="990"/>
        <w:gridCol w:w="993"/>
        <w:gridCol w:w="1137"/>
        <w:gridCol w:w="1110"/>
        <w:gridCol w:w="1048"/>
      </w:tblGrid>
      <w:tr w:rsidR="00EE1862" w:rsidRPr="00135D3E" w:rsidTr="008B6EB1">
        <w:trPr>
          <w:cantSplit/>
          <w:tblHeader/>
        </w:trPr>
        <w:tc>
          <w:tcPr>
            <w:tcW w:w="1629" w:type="pct"/>
            <w:tcMar>
              <w:left w:w="28" w:type="dxa"/>
              <w:right w:w="28" w:type="dxa"/>
            </w:tcMar>
            <w:vAlign w:val="center"/>
          </w:tcPr>
          <w:p w:rsidR="00EE1862" w:rsidRPr="002B7FBB" w:rsidRDefault="00EE1862" w:rsidP="00EE1862">
            <w:pPr>
              <w:keepNext/>
              <w:rPr>
                <w:rFonts w:ascii="Arial Narrow" w:hAnsi="Arial Narrow" w:cs="Arial"/>
                <w:b/>
                <w:snapToGrid w:val="0"/>
                <w:sz w:val="20"/>
                <w:szCs w:val="16"/>
                <w:lang w:eastAsia="en-US"/>
              </w:rPr>
            </w:pPr>
          </w:p>
        </w:tc>
        <w:tc>
          <w:tcPr>
            <w:tcW w:w="632" w:type="pct"/>
            <w:tcMar>
              <w:left w:w="28" w:type="dxa"/>
              <w:right w:w="28" w:type="dxa"/>
            </w:tcMar>
            <w:vAlign w:val="center"/>
          </w:tcPr>
          <w:p w:rsidR="00EE1862" w:rsidRPr="002B7FBB" w:rsidRDefault="00EE1862" w:rsidP="00EE1862">
            <w:pPr>
              <w:keepNext/>
              <w:jc w:val="right"/>
              <w:rPr>
                <w:rFonts w:ascii="Arial Narrow" w:hAnsi="Arial Narrow" w:cs="Arial"/>
                <w:b/>
                <w:snapToGrid w:val="0"/>
                <w:sz w:val="20"/>
                <w:szCs w:val="16"/>
                <w:lang w:eastAsia="en-US"/>
              </w:rPr>
            </w:pPr>
            <w:r w:rsidRPr="00FE54E3">
              <w:rPr>
                <w:rFonts w:ascii="Arial Narrow" w:hAnsi="Arial Narrow" w:cs="Arial"/>
                <w:b/>
                <w:snapToGrid w:val="0"/>
                <w:sz w:val="20"/>
                <w:szCs w:val="16"/>
                <w:lang w:eastAsia="en-US"/>
              </w:rPr>
              <w:t>2015</w:t>
            </w:r>
          </w:p>
        </w:tc>
        <w:tc>
          <w:tcPr>
            <w:tcW w:w="634" w:type="pct"/>
            <w:tcMar>
              <w:left w:w="28" w:type="dxa"/>
              <w:right w:w="28" w:type="dxa"/>
            </w:tcMar>
            <w:vAlign w:val="center"/>
          </w:tcPr>
          <w:p w:rsidR="00EE1862" w:rsidRPr="002B7FBB" w:rsidRDefault="00EE1862" w:rsidP="00EE1862">
            <w:pPr>
              <w:keepNext/>
              <w:jc w:val="right"/>
              <w:rPr>
                <w:rFonts w:ascii="Arial Narrow" w:hAnsi="Arial Narrow" w:cs="Arial"/>
                <w:b/>
                <w:snapToGrid w:val="0"/>
                <w:sz w:val="20"/>
                <w:szCs w:val="16"/>
                <w:lang w:eastAsia="en-US"/>
              </w:rPr>
            </w:pPr>
            <w:r w:rsidRPr="00FE54E3">
              <w:rPr>
                <w:rFonts w:ascii="Arial Narrow" w:hAnsi="Arial Narrow" w:cs="Arial"/>
                <w:b/>
                <w:snapToGrid w:val="0"/>
                <w:sz w:val="20"/>
                <w:szCs w:val="16"/>
                <w:lang w:eastAsia="en-US"/>
              </w:rPr>
              <w:t>2016</w:t>
            </w:r>
          </w:p>
        </w:tc>
        <w:tc>
          <w:tcPr>
            <w:tcW w:w="726" w:type="pct"/>
            <w:tcMar>
              <w:left w:w="28" w:type="dxa"/>
              <w:right w:w="28" w:type="dxa"/>
            </w:tcMar>
            <w:vAlign w:val="center"/>
          </w:tcPr>
          <w:p w:rsidR="00EE1862" w:rsidRPr="002B7FBB" w:rsidRDefault="00EE1862" w:rsidP="00EE1862">
            <w:pPr>
              <w:keepNext/>
              <w:jc w:val="right"/>
              <w:rPr>
                <w:rFonts w:ascii="Arial Narrow" w:hAnsi="Arial Narrow" w:cs="Arial"/>
                <w:b/>
                <w:snapToGrid w:val="0"/>
                <w:sz w:val="20"/>
                <w:szCs w:val="16"/>
                <w:lang w:eastAsia="en-US"/>
              </w:rPr>
            </w:pPr>
            <w:r w:rsidRPr="00FE54E3">
              <w:rPr>
                <w:rFonts w:ascii="Arial Narrow" w:hAnsi="Arial Narrow" w:cs="Arial"/>
                <w:b/>
                <w:snapToGrid w:val="0"/>
                <w:sz w:val="20"/>
                <w:szCs w:val="16"/>
                <w:lang w:eastAsia="en-US"/>
              </w:rPr>
              <w:t>2017</w:t>
            </w:r>
          </w:p>
        </w:tc>
        <w:tc>
          <w:tcPr>
            <w:tcW w:w="709" w:type="pct"/>
            <w:tcMar>
              <w:left w:w="28" w:type="dxa"/>
              <w:right w:w="28" w:type="dxa"/>
            </w:tcMar>
            <w:vAlign w:val="center"/>
          </w:tcPr>
          <w:p w:rsidR="00EE1862" w:rsidRPr="002B7FBB" w:rsidRDefault="00EE1862" w:rsidP="00EE1862">
            <w:pPr>
              <w:keepNext/>
              <w:jc w:val="right"/>
              <w:rPr>
                <w:rFonts w:ascii="Arial Narrow" w:hAnsi="Arial Narrow" w:cs="Arial"/>
                <w:b/>
                <w:snapToGrid w:val="0"/>
                <w:sz w:val="20"/>
                <w:szCs w:val="16"/>
                <w:lang w:eastAsia="en-US"/>
              </w:rPr>
            </w:pPr>
            <w:r w:rsidRPr="00FE54E3">
              <w:rPr>
                <w:rFonts w:ascii="Arial Narrow" w:hAnsi="Arial Narrow" w:cs="Arial"/>
                <w:b/>
                <w:snapToGrid w:val="0"/>
                <w:sz w:val="20"/>
                <w:szCs w:val="16"/>
                <w:lang w:eastAsia="en-US"/>
              </w:rPr>
              <w:t>2018</w:t>
            </w:r>
          </w:p>
        </w:tc>
        <w:tc>
          <w:tcPr>
            <w:tcW w:w="669" w:type="pct"/>
            <w:tcMar>
              <w:left w:w="28" w:type="dxa"/>
              <w:right w:w="28" w:type="dxa"/>
            </w:tcMar>
            <w:vAlign w:val="center"/>
          </w:tcPr>
          <w:p w:rsidR="00EE1862" w:rsidRPr="002B7FBB" w:rsidRDefault="00EE1862" w:rsidP="00EE1862">
            <w:pPr>
              <w:keepNext/>
              <w:jc w:val="right"/>
              <w:rPr>
                <w:rFonts w:ascii="Arial Narrow" w:hAnsi="Arial Narrow" w:cs="Arial"/>
                <w:b/>
                <w:snapToGrid w:val="0"/>
                <w:sz w:val="20"/>
                <w:szCs w:val="16"/>
                <w:lang w:eastAsia="en-US"/>
              </w:rPr>
            </w:pPr>
            <w:r w:rsidRPr="00FE54E3">
              <w:rPr>
                <w:rFonts w:ascii="Arial Narrow" w:hAnsi="Arial Narrow" w:cs="Arial"/>
                <w:b/>
                <w:snapToGrid w:val="0"/>
                <w:sz w:val="20"/>
                <w:szCs w:val="16"/>
                <w:lang w:eastAsia="en-US"/>
              </w:rPr>
              <w:t>2019</w:t>
            </w:r>
          </w:p>
        </w:tc>
      </w:tr>
      <w:tr w:rsidR="008B6EB1" w:rsidRPr="00135D3E" w:rsidTr="008B6EB1">
        <w:tc>
          <w:tcPr>
            <w:tcW w:w="1629" w:type="pct"/>
            <w:tcMar>
              <w:left w:w="28" w:type="dxa"/>
              <w:right w:w="28" w:type="dxa"/>
            </w:tcMar>
            <w:vAlign w:val="center"/>
          </w:tcPr>
          <w:p w:rsidR="008B6EB1" w:rsidRPr="002B7FBB" w:rsidRDefault="008B6EB1" w:rsidP="00EE1862">
            <w:pPr>
              <w:keepNext/>
              <w:rPr>
                <w:rFonts w:ascii="Arial Narrow" w:hAnsi="Arial Narrow" w:cs="Arial"/>
                <w:snapToGrid w:val="0"/>
                <w:sz w:val="20"/>
                <w:szCs w:val="16"/>
                <w:lang w:eastAsia="en-US"/>
              </w:rPr>
            </w:pPr>
            <w:r w:rsidRPr="00FE54E3">
              <w:rPr>
                <w:rFonts w:ascii="Arial Narrow" w:hAnsi="Arial Narrow" w:cs="Arial"/>
                <w:snapToGrid w:val="0"/>
                <w:sz w:val="20"/>
                <w:szCs w:val="16"/>
                <w:lang w:eastAsia="en-US"/>
              </w:rPr>
              <w:t>Estimated net cost to the PBS/RPBS</w:t>
            </w:r>
          </w:p>
        </w:tc>
        <w:tc>
          <w:tcPr>
            <w:tcW w:w="632" w:type="pct"/>
            <w:tcMar>
              <w:left w:w="28" w:type="dxa"/>
              <w:right w:w="28" w:type="dxa"/>
            </w:tcMar>
          </w:tcPr>
          <w:p w:rsidR="008B6EB1" w:rsidRDefault="008B6EB1">
            <w:r w:rsidRPr="001C3126">
              <w:rPr>
                <w:rFonts w:ascii="Arial Narrow" w:hAnsi="Arial Narrow" w:cs="Arial"/>
                <w:i/>
                <w:snapToGrid w:val="0"/>
                <w:color w:val="000000"/>
                <w:sz w:val="20"/>
                <w:szCs w:val="18"/>
                <w:lang w:eastAsia="en-US"/>
              </w:rPr>
              <w:t>(REDACTED)</w:t>
            </w:r>
          </w:p>
        </w:tc>
        <w:tc>
          <w:tcPr>
            <w:tcW w:w="634" w:type="pct"/>
            <w:tcMar>
              <w:left w:w="28" w:type="dxa"/>
              <w:right w:w="28" w:type="dxa"/>
            </w:tcMar>
          </w:tcPr>
          <w:p w:rsidR="008B6EB1" w:rsidRDefault="008B6EB1">
            <w:r w:rsidRPr="001C3126">
              <w:rPr>
                <w:rFonts w:ascii="Arial Narrow" w:hAnsi="Arial Narrow" w:cs="Arial"/>
                <w:i/>
                <w:snapToGrid w:val="0"/>
                <w:color w:val="000000"/>
                <w:sz w:val="20"/>
                <w:szCs w:val="18"/>
                <w:lang w:eastAsia="en-US"/>
              </w:rPr>
              <w:t>(REDACTED)</w:t>
            </w:r>
          </w:p>
        </w:tc>
        <w:tc>
          <w:tcPr>
            <w:tcW w:w="726" w:type="pct"/>
            <w:tcMar>
              <w:left w:w="28" w:type="dxa"/>
              <w:right w:w="28" w:type="dxa"/>
            </w:tcMar>
          </w:tcPr>
          <w:p w:rsidR="008B6EB1" w:rsidRDefault="008B6EB1">
            <w:r w:rsidRPr="001C3126">
              <w:rPr>
                <w:rFonts w:ascii="Arial Narrow" w:hAnsi="Arial Narrow" w:cs="Arial"/>
                <w:i/>
                <w:snapToGrid w:val="0"/>
                <w:color w:val="000000"/>
                <w:sz w:val="20"/>
                <w:szCs w:val="18"/>
                <w:lang w:eastAsia="en-US"/>
              </w:rPr>
              <w:t>(REDACTED)</w:t>
            </w:r>
          </w:p>
        </w:tc>
        <w:tc>
          <w:tcPr>
            <w:tcW w:w="709" w:type="pct"/>
            <w:tcMar>
              <w:left w:w="28" w:type="dxa"/>
              <w:right w:w="28" w:type="dxa"/>
            </w:tcMar>
          </w:tcPr>
          <w:p w:rsidR="008B6EB1" w:rsidRDefault="008B6EB1">
            <w:r w:rsidRPr="001C3126">
              <w:rPr>
                <w:rFonts w:ascii="Arial Narrow" w:hAnsi="Arial Narrow" w:cs="Arial"/>
                <w:i/>
                <w:snapToGrid w:val="0"/>
                <w:color w:val="000000"/>
                <w:sz w:val="20"/>
                <w:szCs w:val="18"/>
                <w:lang w:eastAsia="en-US"/>
              </w:rPr>
              <w:t>(REDACTED)</w:t>
            </w:r>
          </w:p>
        </w:tc>
        <w:tc>
          <w:tcPr>
            <w:tcW w:w="669" w:type="pct"/>
            <w:tcMar>
              <w:left w:w="28" w:type="dxa"/>
              <w:right w:w="28" w:type="dxa"/>
            </w:tcMar>
          </w:tcPr>
          <w:p w:rsidR="008B6EB1" w:rsidRDefault="008B6EB1">
            <w:r w:rsidRPr="001C3126">
              <w:rPr>
                <w:rFonts w:ascii="Arial Narrow" w:hAnsi="Arial Narrow" w:cs="Arial"/>
                <w:i/>
                <w:snapToGrid w:val="0"/>
                <w:color w:val="000000"/>
                <w:sz w:val="20"/>
                <w:szCs w:val="18"/>
                <w:lang w:eastAsia="en-US"/>
              </w:rPr>
              <w:t>(REDACTED)</w:t>
            </w:r>
          </w:p>
        </w:tc>
      </w:tr>
      <w:tr w:rsidR="008B6EB1" w:rsidRPr="00135D3E" w:rsidTr="008B6EB1">
        <w:tc>
          <w:tcPr>
            <w:tcW w:w="1629" w:type="pct"/>
            <w:tcMar>
              <w:left w:w="28" w:type="dxa"/>
              <w:right w:w="28" w:type="dxa"/>
            </w:tcMar>
            <w:vAlign w:val="center"/>
          </w:tcPr>
          <w:p w:rsidR="008B6EB1" w:rsidRPr="002B7FBB" w:rsidRDefault="008B6EB1" w:rsidP="008B6EB1">
            <w:pPr>
              <w:keepNext/>
              <w:rPr>
                <w:rFonts w:ascii="Arial Narrow" w:hAnsi="Arial Narrow" w:cs="Arial"/>
                <w:snapToGrid w:val="0"/>
                <w:sz w:val="20"/>
                <w:szCs w:val="16"/>
                <w:lang w:eastAsia="en-US"/>
              </w:rPr>
            </w:pPr>
            <w:r w:rsidRPr="0031038B">
              <w:rPr>
                <w:rFonts w:ascii="Arial Narrow" w:hAnsi="Arial Narrow" w:cs="Arial"/>
                <w:snapToGrid w:val="0"/>
                <w:sz w:val="20"/>
                <w:szCs w:val="16"/>
                <w:lang w:eastAsia="en-US"/>
              </w:rPr>
              <w:t>Subsidisation cap 1</w:t>
            </w:r>
            <w:r>
              <w:rPr>
                <w:rFonts w:ascii="Arial Narrow" w:hAnsi="Arial Narrow" w:cs="Arial"/>
                <w:noProof/>
                <w:snapToGrid w:val="0"/>
                <w:color w:val="000000"/>
                <w:sz w:val="20"/>
                <w:szCs w:val="16"/>
                <w:lang w:eastAsia="en-US"/>
              </w:rPr>
              <w:t xml:space="preserve"> </w:t>
            </w:r>
            <w:r>
              <w:rPr>
                <w:rFonts w:ascii="Arial Narrow" w:hAnsi="Arial Narrow" w:cs="Arial"/>
                <w:i/>
                <w:snapToGrid w:val="0"/>
                <w:color w:val="000000"/>
                <w:sz w:val="20"/>
                <w:szCs w:val="18"/>
                <w:lang w:eastAsia="en-US"/>
              </w:rPr>
              <w:t>(REDACTED)</w:t>
            </w:r>
          </w:p>
        </w:tc>
        <w:tc>
          <w:tcPr>
            <w:tcW w:w="632" w:type="pct"/>
            <w:tcMar>
              <w:left w:w="28" w:type="dxa"/>
              <w:right w:w="28" w:type="dxa"/>
            </w:tcMar>
          </w:tcPr>
          <w:p w:rsidR="008B6EB1" w:rsidRDefault="008B6EB1">
            <w:r w:rsidRPr="001C3126">
              <w:rPr>
                <w:rFonts w:ascii="Arial Narrow" w:hAnsi="Arial Narrow" w:cs="Arial"/>
                <w:i/>
                <w:snapToGrid w:val="0"/>
                <w:color w:val="000000"/>
                <w:sz w:val="20"/>
                <w:szCs w:val="18"/>
                <w:lang w:eastAsia="en-US"/>
              </w:rPr>
              <w:t>(REDACTED)</w:t>
            </w:r>
          </w:p>
        </w:tc>
        <w:tc>
          <w:tcPr>
            <w:tcW w:w="634" w:type="pct"/>
            <w:tcMar>
              <w:left w:w="28" w:type="dxa"/>
              <w:right w:w="28" w:type="dxa"/>
            </w:tcMar>
          </w:tcPr>
          <w:p w:rsidR="008B6EB1" w:rsidRDefault="008B6EB1">
            <w:r w:rsidRPr="001C3126">
              <w:rPr>
                <w:rFonts w:ascii="Arial Narrow" w:hAnsi="Arial Narrow" w:cs="Arial"/>
                <w:i/>
                <w:snapToGrid w:val="0"/>
                <w:color w:val="000000"/>
                <w:sz w:val="20"/>
                <w:szCs w:val="18"/>
                <w:lang w:eastAsia="en-US"/>
              </w:rPr>
              <w:t>(REDACTED)</w:t>
            </w:r>
          </w:p>
        </w:tc>
        <w:tc>
          <w:tcPr>
            <w:tcW w:w="726" w:type="pct"/>
            <w:tcMar>
              <w:left w:w="28" w:type="dxa"/>
              <w:right w:w="28" w:type="dxa"/>
            </w:tcMar>
          </w:tcPr>
          <w:p w:rsidR="008B6EB1" w:rsidRDefault="008B6EB1">
            <w:r w:rsidRPr="001C3126">
              <w:rPr>
                <w:rFonts w:ascii="Arial Narrow" w:hAnsi="Arial Narrow" w:cs="Arial"/>
                <w:i/>
                <w:snapToGrid w:val="0"/>
                <w:color w:val="000000"/>
                <w:sz w:val="20"/>
                <w:szCs w:val="18"/>
                <w:lang w:eastAsia="en-US"/>
              </w:rPr>
              <w:t>(REDACTED)</w:t>
            </w:r>
          </w:p>
        </w:tc>
        <w:tc>
          <w:tcPr>
            <w:tcW w:w="709" w:type="pct"/>
            <w:tcMar>
              <w:left w:w="28" w:type="dxa"/>
              <w:right w:w="28" w:type="dxa"/>
            </w:tcMar>
          </w:tcPr>
          <w:p w:rsidR="008B6EB1" w:rsidRDefault="008B6EB1">
            <w:r w:rsidRPr="001C3126">
              <w:rPr>
                <w:rFonts w:ascii="Arial Narrow" w:hAnsi="Arial Narrow" w:cs="Arial"/>
                <w:i/>
                <w:snapToGrid w:val="0"/>
                <w:color w:val="000000"/>
                <w:sz w:val="20"/>
                <w:szCs w:val="18"/>
                <w:lang w:eastAsia="en-US"/>
              </w:rPr>
              <w:t>(REDACTED)</w:t>
            </w:r>
          </w:p>
        </w:tc>
        <w:tc>
          <w:tcPr>
            <w:tcW w:w="669" w:type="pct"/>
            <w:tcMar>
              <w:left w:w="28" w:type="dxa"/>
              <w:right w:w="28" w:type="dxa"/>
            </w:tcMar>
          </w:tcPr>
          <w:p w:rsidR="008B6EB1" w:rsidRDefault="008B6EB1">
            <w:r w:rsidRPr="001C3126">
              <w:rPr>
                <w:rFonts w:ascii="Arial Narrow" w:hAnsi="Arial Narrow" w:cs="Arial"/>
                <w:i/>
                <w:snapToGrid w:val="0"/>
                <w:color w:val="000000"/>
                <w:sz w:val="20"/>
                <w:szCs w:val="18"/>
                <w:lang w:eastAsia="en-US"/>
              </w:rPr>
              <w:t>(REDACTED)</w:t>
            </w:r>
          </w:p>
        </w:tc>
      </w:tr>
      <w:tr w:rsidR="008B6EB1" w:rsidRPr="00135D3E" w:rsidTr="008B6EB1">
        <w:tc>
          <w:tcPr>
            <w:tcW w:w="1629" w:type="pct"/>
            <w:tcMar>
              <w:left w:w="28" w:type="dxa"/>
              <w:right w:w="28" w:type="dxa"/>
            </w:tcMar>
            <w:vAlign w:val="center"/>
          </w:tcPr>
          <w:p w:rsidR="008B6EB1" w:rsidRPr="002B7FBB" w:rsidRDefault="008B6EB1" w:rsidP="008B6EB1">
            <w:pPr>
              <w:keepNext/>
              <w:rPr>
                <w:rFonts w:ascii="Arial Narrow" w:hAnsi="Arial Narrow" w:cs="Arial"/>
                <w:snapToGrid w:val="0"/>
                <w:sz w:val="20"/>
                <w:szCs w:val="16"/>
                <w:lang w:eastAsia="en-US"/>
              </w:rPr>
            </w:pPr>
            <w:r w:rsidRPr="0031038B">
              <w:rPr>
                <w:rFonts w:ascii="Arial Narrow" w:hAnsi="Arial Narrow" w:cs="Arial"/>
                <w:snapToGrid w:val="0"/>
                <w:sz w:val="20"/>
                <w:szCs w:val="16"/>
                <w:lang w:eastAsia="en-US"/>
              </w:rPr>
              <w:t>Subsidisation cap 2</w:t>
            </w:r>
            <w:r>
              <w:rPr>
                <w:rFonts w:ascii="Arial Narrow" w:hAnsi="Arial Narrow" w:cs="Arial"/>
                <w:noProof/>
                <w:snapToGrid w:val="0"/>
                <w:color w:val="000000"/>
                <w:sz w:val="20"/>
                <w:szCs w:val="16"/>
                <w:lang w:eastAsia="en-US"/>
              </w:rPr>
              <w:t xml:space="preserve"> </w:t>
            </w:r>
            <w:r>
              <w:rPr>
                <w:rFonts w:ascii="Arial Narrow" w:hAnsi="Arial Narrow" w:cs="Arial"/>
                <w:i/>
                <w:snapToGrid w:val="0"/>
                <w:color w:val="000000"/>
                <w:sz w:val="20"/>
                <w:szCs w:val="18"/>
                <w:lang w:eastAsia="en-US"/>
              </w:rPr>
              <w:t>(REDACTED)</w:t>
            </w:r>
          </w:p>
        </w:tc>
        <w:tc>
          <w:tcPr>
            <w:tcW w:w="632" w:type="pct"/>
            <w:tcMar>
              <w:left w:w="28" w:type="dxa"/>
              <w:right w:w="28" w:type="dxa"/>
            </w:tcMar>
          </w:tcPr>
          <w:p w:rsidR="008B6EB1" w:rsidRDefault="008B6EB1">
            <w:r w:rsidRPr="001C3126">
              <w:rPr>
                <w:rFonts w:ascii="Arial Narrow" w:hAnsi="Arial Narrow" w:cs="Arial"/>
                <w:i/>
                <w:snapToGrid w:val="0"/>
                <w:color w:val="000000"/>
                <w:sz w:val="20"/>
                <w:szCs w:val="18"/>
                <w:lang w:eastAsia="en-US"/>
              </w:rPr>
              <w:t>(REDACTED)</w:t>
            </w:r>
          </w:p>
        </w:tc>
        <w:tc>
          <w:tcPr>
            <w:tcW w:w="634" w:type="pct"/>
            <w:tcMar>
              <w:left w:w="28" w:type="dxa"/>
              <w:right w:w="28" w:type="dxa"/>
            </w:tcMar>
          </w:tcPr>
          <w:p w:rsidR="008B6EB1" w:rsidRDefault="008B6EB1">
            <w:r w:rsidRPr="001C3126">
              <w:rPr>
                <w:rFonts w:ascii="Arial Narrow" w:hAnsi="Arial Narrow" w:cs="Arial"/>
                <w:i/>
                <w:snapToGrid w:val="0"/>
                <w:color w:val="000000"/>
                <w:sz w:val="20"/>
                <w:szCs w:val="18"/>
                <w:lang w:eastAsia="en-US"/>
              </w:rPr>
              <w:t>(REDACTED)</w:t>
            </w:r>
          </w:p>
        </w:tc>
        <w:tc>
          <w:tcPr>
            <w:tcW w:w="726" w:type="pct"/>
            <w:tcMar>
              <w:left w:w="28" w:type="dxa"/>
              <w:right w:w="28" w:type="dxa"/>
            </w:tcMar>
          </w:tcPr>
          <w:p w:rsidR="008B6EB1" w:rsidRDefault="008B6EB1">
            <w:r w:rsidRPr="001C3126">
              <w:rPr>
                <w:rFonts w:ascii="Arial Narrow" w:hAnsi="Arial Narrow" w:cs="Arial"/>
                <w:i/>
                <w:snapToGrid w:val="0"/>
                <w:color w:val="000000"/>
                <w:sz w:val="20"/>
                <w:szCs w:val="18"/>
                <w:lang w:eastAsia="en-US"/>
              </w:rPr>
              <w:t>(REDACTED)</w:t>
            </w:r>
          </w:p>
        </w:tc>
        <w:tc>
          <w:tcPr>
            <w:tcW w:w="709" w:type="pct"/>
            <w:tcMar>
              <w:left w:w="28" w:type="dxa"/>
              <w:right w:w="28" w:type="dxa"/>
            </w:tcMar>
          </w:tcPr>
          <w:p w:rsidR="008B6EB1" w:rsidRDefault="008B6EB1">
            <w:r w:rsidRPr="001C3126">
              <w:rPr>
                <w:rFonts w:ascii="Arial Narrow" w:hAnsi="Arial Narrow" w:cs="Arial"/>
                <w:i/>
                <w:snapToGrid w:val="0"/>
                <w:color w:val="000000"/>
                <w:sz w:val="20"/>
                <w:szCs w:val="18"/>
                <w:lang w:eastAsia="en-US"/>
              </w:rPr>
              <w:t>(REDACTED)</w:t>
            </w:r>
          </w:p>
        </w:tc>
        <w:tc>
          <w:tcPr>
            <w:tcW w:w="669" w:type="pct"/>
            <w:tcMar>
              <w:left w:w="28" w:type="dxa"/>
              <w:right w:w="28" w:type="dxa"/>
            </w:tcMar>
          </w:tcPr>
          <w:p w:rsidR="008B6EB1" w:rsidRDefault="008B6EB1">
            <w:r w:rsidRPr="001C3126">
              <w:rPr>
                <w:rFonts w:ascii="Arial Narrow" w:hAnsi="Arial Narrow" w:cs="Arial"/>
                <w:i/>
                <w:snapToGrid w:val="0"/>
                <w:color w:val="000000"/>
                <w:sz w:val="20"/>
                <w:szCs w:val="18"/>
                <w:lang w:eastAsia="en-US"/>
              </w:rPr>
              <w:t>(REDACTED)</w:t>
            </w:r>
          </w:p>
        </w:tc>
      </w:tr>
    </w:tbl>
    <w:p w:rsidR="00EE1862" w:rsidRPr="0031038B" w:rsidRDefault="00EE1862" w:rsidP="00AC655E">
      <w:pPr>
        <w:widowControl w:val="0"/>
        <w:ind w:left="709"/>
        <w:jc w:val="both"/>
        <w:rPr>
          <w:rFonts w:ascii="Arial Narrow" w:hAnsi="Arial Narrow" w:cs="Arial"/>
          <w:snapToGrid w:val="0"/>
          <w:sz w:val="18"/>
          <w:szCs w:val="20"/>
          <w:lang w:eastAsia="en-US"/>
        </w:rPr>
      </w:pPr>
      <w:r w:rsidRPr="0031038B">
        <w:rPr>
          <w:rFonts w:ascii="Arial Narrow" w:hAnsi="Arial Narrow" w:cs="Arial"/>
          <w:snapToGrid w:val="0"/>
          <w:sz w:val="18"/>
          <w:szCs w:val="20"/>
          <w:lang w:eastAsia="en-US"/>
        </w:rPr>
        <w:t>Source: Table F-2, p248 of the re-submission</w:t>
      </w:r>
    </w:p>
    <w:p w:rsidR="00EE1862" w:rsidRPr="0031038B" w:rsidRDefault="00EE1862" w:rsidP="00AC655E">
      <w:pPr>
        <w:widowControl w:val="0"/>
        <w:ind w:left="709"/>
        <w:jc w:val="both"/>
        <w:rPr>
          <w:rFonts w:ascii="Arial Narrow" w:hAnsi="Arial Narrow" w:cs="Arial"/>
          <w:snapToGrid w:val="0"/>
          <w:sz w:val="18"/>
          <w:szCs w:val="20"/>
          <w:lang w:eastAsia="en-US"/>
        </w:rPr>
      </w:pPr>
      <w:r w:rsidRPr="0031038B">
        <w:rPr>
          <w:rFonts w:ascii="Arial Narrow" w:hAnsi="Arial Narrow" w:cs="Arial"/>
          <w:snapToGrid w:val="0"/>
          <w:sz w:val="18"/>
          <w:szCs w:val="20"/>
          <w:lang w:eastAsia="en-US"/>
        </w:rPr>
        <w:t>PBS = Pharmaceutical Benefits Scheme; RPBS = Repatriation Pharmaceutical Benefits Scheme</w:t>
      </w:r>
    </w:p>
    <w:p w:rsidR="00EE1862" w:rsidRPr="002B7FBB" w:rsidRDefault="00EE1862" w:rsidP="00EE1862">
      <w:pPr>
        <w:pStyle w:val="ListParagraph"/>
        <w:ind w:left="709"/>
        <w:jc w:val="both"/>
        <w:rPr>
          <w:rFonts w:ascii="Arial" w:hAnsi="Arial"/>
          <w:sz w:val="22"/>
          <w:szCs w:val="22"/>
        </w:rPr>
      </w:pPr>
    </w:p>
    <w:p w:rsidR="00EE1862" w:rsidRPr="002B7FBB" w:rsidRDefault="00EE1862" w:rsidP="00EE1862">
      <w:pPr>
        <w:pStyle w:val="ListParagraph"/>
        <w:numPr>
          <w:ilvl w:val="1"/>
          <w:numId w:val="1"/>
        </w:numPr>
        <w:jc w:val="both"/>
        <w:rPr>
          <w:rFonts w:ascii="Arial" w:hAnsi="Arial"/>
          <w:sz w:val="22"/>
          <w:szCs w:val="22"/>
        </w:rPr>
      </w:pPr>
      <w:r w:rsidRPr="00FE54E3">
        <w:rPr>
          <w:rFonts w:ascii="Arial" w:hAnsi="Arial"/>
          <w:sz w:val="22"/>
          <w:szCs w:val="22"/>
        </w:rPr>
        <w:t xml:space="preserve">The re-submission proposed that if Commonwealth expenditure exceeds the thresholds, the following </w:t>
      </w:r>
      <w:r w:rsidRPr="0031038B">
        <w:rPr>
          <w:rFonts w:ascii="Arial" w:hAnsi="Arial"/>
          <w:sz w:val="22"/>
          <w:szCs w:val="22"/>
        </w:rPr>
        <w:t>price rebates (which were similar to those that apply in the Deed of Agreement for Crohn disease) would apply:</w:t>
      </w:r>
    </w:p>
    <w:p w:rsidR="00EE1862" w:rsidRPr="0031038B" w:rsidRDefault="00EE1862" w:rsidP="00EE1862">
      <w:pPr>
        <w:pStyle w:val="ListParagraph"/>
        <w:numPr>
          <w:ilvl w:val="0"/>
          <w:numId w:val="27"/>
        </w:numPr>
        <w:ind w:left="993" w:hanging="284"/>
        <w:jc w:val="both"/>
        <w:rPr>
          <w:rFonts w:ascii="Arial" w:hAnsi="Arial"/>
          <w:sz w:val="22"/>
          <w:szCs w:val="22"/>
        </w:rPr>
      </w:pPr>
      <w:r w:rsidRPr="0031038B">
        <w:rPr>
          <w:rFonts w:ascii="Arial" w:hAnsi="Arial"/>
          <w:sz w:val="22"/>
          <w:szCs w:val="22"/>
        </w:rPr>
        <w:t xml:space="preserve">A rebate of </w:t>
      </w:r>
      <w:r w:rsidR="008B6EB1" w:rsidRPr="008B6EB1">
        <w:rPr>
          <w:rFonts w:ascii="Arial" w:hAnsi="Arial"/>
          <w:i/>
          <w:sz w:val="22"/>
          <w:szCs w:val="22"/>
        </w:rPr>
        <w:t>(REDACTED</w:t>
      </w:r>
      <w:r w:rsidR="008B6EB1">
        <w:rPr>
          <w:rFonts w:ascii="Arial" w:hAnsi="Arial"/>
          <w:i/>
          <w:sz w:val="22"/>
          <w:szCs w:val="22"/>
        </w:rPr>
        <w:t>)</w:t>
      </w:r>
      <w:r w:rsidRPr="0031038B">
        <w:rPr>
          <w:rFonts w:ascii="Arial" w:hAnsi="Arial"/>
          <w:sz w:val="22"/>
          <w:szCs w:val="22"/>
        </w:rPr>
        <w:t>% if in any calendar year the Commonwealth payment exceeds subsidisation cap 1 and is less than subsidisation cap 2 for that year; and</w:t>
      </w:r>
    </w:p>
    <w:p w:rsidR="00EE1862" w:rsidRPr="0031038B" w:rsidRDefault="00EE1862" w:rsidP="00EE1862">
      <w:pPr>
        <w:pStyle w:val="ListParagraph"/>
        <w:numPr>
          <w:ilvl w:val="0"/>
          <w:numId w:val="27"/>
        </w:numPr>
        <w:ind w:left="993" w:hanging="284"/>
        <w:jc w:val="both"/>
        <w:rPr>
          <w:rFonts w:ascii="Arial" w:hAnsi="Arial"/>
          <w:sz w:val="22"/>
          <w:szCs w:val="22"/>
        </w:rPr>
      </w:pPr>
      <w:r w:rsidRPr="0031038B">
        <w:rPr>
          <w:rFonts w:ascii="Arial" w:hAnsi="Arial"/>
          <w:sz w:val="22"/>
          <w:szCs w:val="22"/>
        </w:rPr>
        <w:t xml:space="preserve">A rebate of </w:t>
      </w:r>
      <w:r w:rsidR="008B6EB1" w:rsidRPr="008B6EB1">
        <w:rPr>
          <w:rFonts w:ascii="Arial" w:hAnsi="Arial"/>
          <w:i/>
          <w:sz w:val="22"/>
          <w:szCs w:val="22"/>
        </w:rPr>
        <w:t>(REDACTED</w:t>
      </w:r>
      <w:proofErr w:type="gramStart"/>
      <w:r w:rsidR="008B6EB1">
        <w:rPr>
          <w:rFonts w:ascii="Arial" w:hAnsi="Arial"/>
          <w:i/>
          <w:sz w:val="22"/>
          <w:szCs w:val="22"/>
        </w:rPr>
        <w:t>)</w:t>
      </w:r>
      <w:r w:rsidRPr="0031038B">
        <w:rPr>
          <w:rFonts w:ascii="Arial" w:hAnsi="Arial"/>
          <w:sz w:val="22"/>
          <w:szCs w:val="22"/>
        </w:rPr>
        <w:t>%</w:t>
      </w:r>
      <w:proofErr w:type="gramEnd"/>
      <w:r w:rsidRPr="0031038B">
        <w:rPr>
          <w:rFonts w:ascii="Arial" w:hAnsi="Arial"/>
          <w:sz w:val="22"/>
          <w:szCs w:val="22"/>
        </w:rPr>
        <w:t xml:space="preserve"> if in any year the Commonwealth payment exceeds subsidisation cap 2 for that year.</w:t>
      </w:r>
    </w:p>
    <w:p w:rsidR="00BB7EC3" w:rsidRDefault="00BB7EC3" w:rsidP="000C287D"/>
    <w:p w:rsidR="00BB7EC3" w:rsidRPr="00BB7EC3" w:rsidRDefault="00BB7EC3" w:rsidP="00BB7EC3">
      <w:pPr>
        <w:pStyle w:val="ListParagraph"/>
        <w:ind w:left="709"/>
        <w:jc w:val="both"/>
        <w:rPr>
          <w:rFonts w:ascii="Arial" w:hAnsi="Arial"/>
          <w:i/>
          <w:sz w:val="22"/>
          <w:szCs w:val="22"/>
        </w:rPr>
      </w:pPr>
      <w:r>
        <w:rPr>
          <w:rFonts w:ascii="Arial" w:hAnsi="Arial"/>
          <w:i/>
          <w:sz w:val="22"/>
          <w:szCs w:val="22"/>
        </w:rPr>
        <w:t>For more detail on PBAC’s view, see section 7 “PBAC outcome”</w:t>
      </w:r>
    </w:p>
    <w:p w:rsidR="00CE10C4" w:rsidRDefault="00CE10C4" w:rsidP="00882085">
      <w:pPr>
        <w:jc w:val="both"/>
        <w:rPr>
          <w:rFonts w:ascii="Arial" w:hAnsi="Arial"/>
          <w:b/>
          <w:sz w:val="22"/>
          <w:szCs w:val="22"/>
        </w:rPr>
      </w:pPr>
    </w:p>
    <w:p w:rsidR="00E545C1" w:rsidRPr="00882085" w:rsidRDefault="00E545C1" w:rsidP="00882085">
      <w:pPr>
        <w:jc w:val="both"/>
        <w:rPr>
          <w:rFonts w:ascii="Arial" w:hAnsi="Arial"/>
          <w:b/>
          <w:sz w:val="22"/>
          <w:szCs w:val="22"/>
        </w:rPr>
      </w:pPr>
    </w:p>
    <w:p w:rsidR="00C100FD" w:rsidRPr="00902922" w:rsidRDefault="00A62C1A" w:rsidP="00515891">
      <w:pPr>
        <w:pStyle w:val="ListParagraph"/>
        <w:numPr>
          <w:ilvl w:val="0"/>
          <w:numId w:val="1"/>
        </w:numPr>
        <w:jc w:val="both"/>
      </w:pPr>
      <w:r w:rsidRPr="00882085">
        <w:rPr>
          <w:rFonts w:ascii="Arial" w:hAnsi="Arial"/>
          <w:b/>
          <w:sz w:val="22"/>
          <w:szCs w:val="22"/>
        </w:rPr>
        <w:t xml:space="preserve">PBAC </w:t>
      </w:r>
      <w:r w:rsidR="00930937" w:rsidRPr="00882085">
        <w:rPr>
          <w:rFonts w:ascii="Arial" w:hAnsi="Arial"/>
          <w:b/>
          <w:sz w:val="22"/>
          <w:szCs w:val="22"/>
        </w:rPr>
        <w:t>Outcome</w:t>
      </w:r>
      <w:r w:rsidR="00B43E90" w:rsidRPr="00882085">
        <w:rPr>
          <w:rFonts w:ascii="Arial" w:hAnsi="Arial"/>
          <w:b/>
          <w:sz w:val="22"/>
          <w:szCs w:val="22"/>
        </w:rPr>
        <w:t xml:space="preserve"> </w:t>
      </w:r>
    </w:p>
    <w:p w:rsidR="00A40556" w:rsidRPr="00A40556" w:rsidRDefault="00A40556" w:rsidP="00A40556">
      <w:pPr>
        <w:rPr>
          <w:rFonts w:ascii="Arial" w:hAnsi="Arial"/>
          <w:sz w:val="22"/>
          <w:szCs w:val="22"/>
        </w:rPr>
      </w:pPr>
    </w:p>
    <w:p w:rsidR="00B55A91" w:rsidRPr="00FE54E3" w:rsidRDefault="00B55A91" w:rsidP="00B55A91">
      <w:pPr>
        <w:pStyle w:val="ListParagraph"/>
        <w:numPr>
          <w:ilvl w:val="1"/>
          <w:numId w:val="1"/>
        </w:numPr>
        <w:jc w:val="both"/>
        <w:rPr>
          <w:rFonts w:ascii="Arial" w:hAnsi="Arial"/>
          <w:sz w:val="22"/>
          <w:szCs w:val="22"/>
        </w:rPr>
      </w:pPr>
      <w:r w:rsidRPr="00FE54E3">
        <w:rPr>
          <w:rFonts w:ascii="Arial" w:hAnsi="Arial"/>
          <w:sz w:val="22"/>
          <w:szCs w:val="22"/>
        </w:rPr>
        <w:t xml:space="preserve">The PBAC rejected the request to extend </w:t>
      </w:r>
      <w:proofErr w:type="spellStart"/>
      <w:r w:rsidRPr="00FE54E3">
        <w:rPr>
          <w:rFonts w:ascii="Arial" w:hAnsi="Arial"/>
          <w:sz w:val="22"/>
          <w:szCs w:val="22"/>
        </w:rPr>
        <w:t>adalimumab’s</w:t>
      </w:r>
      <w:proofErr w:type="spellEnd"/>
      <w:r w:rsidRPr="00FE54E3">
        <w:rPr>
          <w:rFonts w:ascii="Arial" w:hAnsi="Arial"/>
          <w:sz w:val="22"/>
          <w:szCs w:val="22"/>
        </w:rPr>
        <w:t xml:space="preserve"> indications to include the treatment of moderate to severe ulcerative colitis on the basis that an economic comparison comparing </w:t>
      </w:r>
      <w:proofErr w:type="spellStart"/>
      <w:r w:rsidRPr="00FE54E3">
        <w:rPr>
          <w:rFonts w:ascii="Arial" w:hAnsi="Arial"/>
          <w:sz w:val="22"/>
          <w:szCs w:val="22"/>
        </w:rPr>
        <w:t>adalimumab</w:t>
      </w:r>
      <w:proofErr w:type="spellEnd"/>
      <w:r w:rsidRPr="00FE54E3">
        <w:rPr>
          <w:rFonts w:ascii="Arial" w:hAnsi="Arial"/>
          <w:sz w:val="22"/>
          <w:szCs w:val="22"/>
        </w:rPr>
        <w:t xml:space="preserve"> to infliximab is the most relevant comparison and on the basis that the evidence presented did not conclusively establish non-inferiority of </w:t>
      </w:r>
      <w:proofErr w:type="spellStart"/>
      <w:r w:rsidRPr="00FE54E3">
        <w:rPr>
          <w:rFonts w:ascii="Arial" w:hAnsi="Arial"/>
          <w:sz w:val="22"/>
          <w:szCs w:val="22"/>
        </w:rPr>
        <w:t>adalimumab</w:t>
      </w:r>
      <w:proofErr w:type="spellEnd"/>
      <w:r w:rsidRPr="00FE54E3">
        <w:rPr>
          <w:rFonts w:ascii="Arial" w:hAnsi="Arial"/>
          <w:sz w:val="22"/>
          <w:szCs w:val="22"/>
        </w:rPr>
        <w:t xml:space="preserve"> to infliximab.</w:t>
      </w:r>
    </w:p>
    <w:p w:rsidR="00B55A91" w:rsidRDefault="00B55A91" w:rsidP="00B55A91">
      <w:pPr>
        <w:pStyle w:val="ListParagraph"/>
        <w:jc w:val="both"/>
        <w:rPr>
          <w:rFonts w:ascii="Arial" w:hAnsi="Arial"/>
          <w:sz w:val="22"/>
          <w:szCs w:val="22"/>
        </w:rPr>
      </w:pPr>
    </w:p>
    <w:p w:rsidR="00CE09F2" w:rsidRPr="00902922" w:rsidRDefault="00902922" w:rsidP="00902922">
      <w:pPr>
        <w:pStyle w:val="ListParagraph"/>
        <w:numPr>
          <w:ilvl w:val="1"/>
          <w:numId w:val="1"/>
        </w:numPr>
        <w:jc w:val="both"/>
        <w:rPr>
          <w:rFonts w:ascii="Arial" w:hAnsi="Arial"/>
          <w:sz w:val="22"/>
          <w:szCs w:val="22"/>
        </w:rPr>
      </w:pPr>
      <w:r w:rsidRPr="00902922">
        <w:rPr>
          <w:rFonts w:ascii="Arial" w:hAnsi="Arial"/>
          <w:sz w:val="22"/>
          <w:szCs w:val="22"/>
        </w:rPr>
        <w:lastRenderedPageBreak/>
        <w:t xml:space="preserve">The PBAC noted that the requested listing for </w:t>
      </w:r>
      <w:proofErr w:type="spellStart"/>
      <w:r w:rsidRPr="00902922">
        <w:rPr>
          <w:rFonts w:ascii="Arial" w:hAnsi="Arial"/>
          <w:sz w:val="22"/>
          <w:szCs w:val="22"/>
        </w:rPr>
        <w:t>adalimumab</w:t>
      </w:r>
      <w:proofErr w:type="spellEnd"/>
      <w:r w:rsidRPr="00902922">
        <w:rPr>
          <w:rFonts w:ascii="Arial" w:hAnsi="Arial"/>
          <w:sz w:val="22"/>
          <w:szCs w:val="22"/>
        </w:rPr>
        <w:t xml:space="preserve"> differed slightly from that recommended for infliximab in March 2014 in terms of required prior systemic therapy (5-aminosalicylate therapies), defining moderate to severe disease through use of Mayo clinic or partial Mayo clinic or Paediatric Ulcerative Colitis Index (PUCAI) scores, and, the definition of an adequate or sustained response. The PBAC considered that if </w:t>
      </w:r>
      <w:proofErr w:type="spellStart"/>
      <w:r w:rsidRPr="00902922">
        <w:rPr>
          <w:rFonts w:ascii="Arial" w:hAnsi="Arial"/>
          <w:sz w:val="22"/>
          <w:szCs w:val="22"/>
        </w:rPr>
        <w:t>adalimumab</w:t>
      </w:r>
      <w:proofErr w:type="spellEnd"/>
      <w:r w:rsidRPr="00902922">
        <w:rPr>
          <w:rFonts w:ascii="Arial" w:hAnsi="Arial"/>
          <w:sz w:val="22"/>
          <w:szCs w:val="22"/>
        </w:rPr>
        <w:t xml:space="preserve"> was to be PBS-listed for moderate to severe ulcerative colitis, it would be reasonable to expect that the restriction for </w:t>
      </w:r>
      <w:proofErr w:type="spellStart"/>
      <w:r w:rsidRPr="00902922">
        <w:rPr>
          <w:rFonts w:ascii="Arial" w:hAnsi="Arial"/>
          <w:sz w:val="22"/>
          <w:szCs w:val="22"/>
        </w:rPr>
        <w:t>adalimumab</w:t>
      </w:r>
      <w:proofErr w:type="spellEnd"/>
      <w:r w:rsidRPr="00902922">
        <w:rPr>
          <w:rFonts w:ascii="Arial" w:hAnsi="Arial"/>
          <w:sz w:val="22"/>
          <w:szCs w:val="22"/>
        </w:rPr>
        <w:t xml:space="preserve"> be aligned with infliximab’s restriction for moderate to severe ulcerative colitis as much as practical, noting that both drugs are anti-TNF alpha inhibitors and therefore expected to share the same clinical place in therapy.</w:t>
      </w:r>
    </w:p>
    <w:p w:rsidR="00902922" w:rsidRDefault="00902922" w:rsidP="00515891">
      <w:pPr>
        <w:pStyle w:val="ListParagraph"/>
        <w:jc w:val="both"/>
        <w:rPr>
          <w:rFonts w:ascii="Arial" w:hAnsi="Arial"/>
          <w:sz w:val="22"/>
          <w:szCs w:val="22"/>
        </w:rPr>
      </w:pPr>
    </w:p>
    <w:p w:rsidR="009F1D80" w:rsidRDefault="00515891" w:rsidP="00DD26F1">
      <w:pPr>
        <w:pStyle w:val="ListParagraph"/>
        <w:numPr>
          <w:ilvl w:val="1"/>
          <w:numId w:val="1"/>
        </w:numPr>
        <w:jc w:val="both"/>
        <w:rPr>
          <w:rFonts w:ascii="Arial" w:hAnsi="Arial"/>
          <w:sz w:val="22"/>
          <w:szCs w:val="22"/>
        </w:rPr>
      </w:pPr>
      <w:r>
        <w:rPr>
          <w:rFonts w:ascii="Arial" w:hAnsi="Arial"/>
          <w:sz w:val="22"/>
          <w:szCs w:val="22"/>
        </w:rPr>
        <w:t>T</w:t>
      </w:r>
      <w:r w:rsidR="009F1D80">
        <w:rPr>
          <w:rFonts w:ascii="Arial" w:hAnsi="Arial"/>
          <w:sz w:val="22"/>
          <w:szCs w:val="22"/>
        </w:rPr>
        <w:t xml:space="preserve">he submission’s proposed clinical place </w:t>
      </w:r>
      <w:r w:rsidR="00D3027C">
        <w:rPr>
          <w:rFonts w:ascii="Arial" w:hAnsi="Arial"/>
          <w:sz w:val="22"/>
          <w:szCs w:val="22"/>
        </w:rPr>
        <w:t xml:space="preserve">in therapy for </w:t>
      </w:r>
      <w:proofErr w:type="spellStart"/>
      <w:r w:rsidR="00D3027C">
        <w:rPr>
          <w:rFonts w:ascii="Arial" w:hAnsi="Arial"/>
          <w:sz w:val="22"/>
          <w:szCs w:val="22"/>
        </w:rPr>
        <w:t>adalimumab</w:t>
      </w:r>
      <w:proofErr w:type="spellEnd"/>
      <w:r w:rsidR="00D3027C">
        <w:rPr>
          <w:rFonts w:ascii="Arial" w:hAnsi="Arial"/>
          <w:sz w:val="22"/>
          <w:szCs w:val="22"/>
        </w:rPr>
        <w:t xml:space="preserve"> was as treatment following inadequate response to systemic immunosuppressive therapy (i.e. corticosteroids, azathioprine, </w:t>
      </w:r>
      <w:proofErr w:type="gramStart"/>
      <w:r w:rsidR="00D3027C">
        <w:rPr>
          <w:rFonts w:ascii="Arial" w:hAnsi="Arial"/>
          <w:sz w:val="22"/>
          <w:szCs w:val="22"/>
        </w:rPr>
        <w:t>6</w:t>
      </w:r>
      <w:proofErr w:type="gramEnd"/>
      <w:r w:rsidR="00D3027C">
        <w:rPr>
          <w:rFonts w:ascii="Arial" w:hAnsi="Arial"/>
          <w:sz w:val="22"/>
          <w:szCs w:val="22"/>
        </w:rPr>
        <w:t>-mercaptopurine)</w:t>
      </w:r>
      <w:r w:rsidR="00DD26F1">
        <w:rPr>
          <w:rFonts w:ascii="Arial" w:hAnsi="Arial"/>
          <w:sz w:val="22"/>
          <w:szCs w:val="22"/>
        </w:rPr>
        <w:t xml:space="preserve">. </w:t>
      </w:r>
      <w:r w:rsidR="00605985">
        <w:rPr>
          <w:rFonts w:ascii="Arial" w:hAnsi="Arial"/>
          <w:sz w:val="22"/>
          <w:szCs w:val="22"/>
        </w:rPr>
        <w:t xml:space="preserve">Noting </w:t>
      </w:r>
      <w:r w:rsidR="00DD26F1">
        <w:rPr>
          <w:rFonts w:ascii="Arial" w:hAnsi="Arial"/>
          <w:sz w:val="22"/>
          <w:szCs w:val="22"/>
        </w:rPr>
        <w:t xml:space="preserve">the consumer comments </w:t>
      </w:r>
      <w:r w:rsidR="00605985">
        <w:rPr>
          <w:rFonts w:ascii="Arial" w:hAnsi="Arial"/>
          <w:sz w:val="22"/>
          <w:szCs w:val="22"/>
        </w:rPr>
        <w:t>about the application</w:t>
      </w:r>
      <w:r w:rsidR="002E2CC7">
        <w:rPr>
          <w:rFonts w:ascii="Arial" w:hAnsi="Arial"/>
          <w:sz w:val="22"/>
          <w:szCs w:val="22"/>
        </w:rPr>
        <w:t xml:space="preserve">, </w:t>
      </w:r>
      <w:r w:rsidR="00DD26F1">
        <w:rPr>
          <w:rFonts w:ascii="Arial" w:hAnsi="Arial"/>
          <w:sz w:val="22"/>
          <w:szCs w:val="22"/>
        </w:rPr>
        <w:t xml:space="preserve">the </w:t>
      </w:r>
      <w:r w:rsidR="00DD26F1" w:rsidRPr="00DD26F1">
        <w:rPr>
          <w:rFonts w:ascii="Arial" w:hAnsi="Arial"/>
          <w:sz w:val="22"/>
          <w:szCs w:val="22"/>
        </w:rPr>
        <w:t xml:space="preserve">PBAC considered that it would </w:t>
      </w:r>
      <w:r w:rsidR="00DD26F1">
        <w:rPr>
          <w:rFonts w:ascii="Arial" w:hAnsi="Arial"/>
          <w:sz w:val="22"/>
          <w:szCs w:val="22"/>
        </w:rPr>
        <w:t xml:space="preserve">be </w:t>
      </w:r>
      <w:r w:rsidR="00DD26F1" w:rsidRPr="00DD26F1">
        <w:rPr>
          <w:rFonts w:ascii="Arial" w:hAnsi="Arial"/>
          <w:sz w:val="22"/>
          <w:szCs w:val="22"/>
        </w:rPr>
        <w:t xml:space="preserve">potentially </w:t>
      </w:r>
      <w:r w:rsidR="00DD26F1">
        <w:rPr>
          <w:rFonts w:ascii="Arial" w:hAnsi="Arial"/>
          <w:sz w:val="22"/>
          <w:szCs w:val="22"/>
        </w:rPr>
        <w:t xml:space="preserve">worthwhile </w:t>
      </w:r>
      <w:r w:rsidR="00DD26F1" w:rsidRPr="00DD26F1">
        <w:rPr>
          <w:rFonts w:ascii="Arial" w:hAnsi="Arial"/>
          <w:sz w:val="22"/>
          <w:szCs w:val="22"/>
        </w:rPr>
        <w:t xml:space="preserve">for patients and clinicians to have an additional treatment option </w:t>
      </w:r>
      <w:r w:rsidR="002E2CC7">
        <w:rPr>
          <w:rFonts w:ascii="Arial" w:hAnsi="Arial"/>
          <w:sz w:val="22"/>
          <w:szCs w:val="22"/>
        </w:rPr>
        <w:t>for</w:t>
      </w:r>
      <w:r w:rsidR="00DD26F1" w:rsidRPr="00DD26F1">
        <w:rPr>
          <w:rFonts w:ascii="Arial" w:hAnsi="Arial"/>
          <w:sz w:val="22"/>
          <w:szCs w:val="22"/>
        </w:rPr>
        <w:t xml:space="preserve"> moderate to severe ulcerative colitis</w:t>
      </w:r>
      <w:r w:rsidR="002E2CC7">
        <w:rPr>
          <w:rFonts w:ascii="Arial" w:hAnsi="Arial"/>
          <w:sz w:val="22"/>
          <w:szCs w:val="22"/>
        </w:rPr>
        <w:t xml:space="preserve"> following an inadequate response to standard systemic immunosuppressive therapy, given the debilitating nature of the condition.</w:t>
      </w:r>
      <w:r w:rsidR="00DD26F1" w:rsidRPr="00DD26F1">
        <w:rPr>
          <w:rFonts w:ascii="Arial" w:hAnsi="Arial"/>
          <w:sz w:val="22"/>
          <w:szCs w:val="22"/>
        </w:rPr>
        <w:t xml:space="preserve"> </w:t>
      </w:r>
      <w:r w:rsidR="00D3027C">
        <w:rPr>
          <w:rFonts w:ascii="Arial" w:hAnsi="Arial"/>
          <w:sz w:val="22"/>
          <w:szCs w:val="22"/>
        </w:rPr>
        <w:t>The PBAC considered th</w:t>
      </w:r>
      <w:r w:rsidR="002E2CC7">
        <w:rPr>
          <w:rFonts w:ascii="Arial" w:hAnsi="Arial"/>
          <w:sz w:val="22"/>
          <w:szCs w:val="22"/>
        </w:rPr>
        <w:t>e</w:t>
      </w:r>
      <w:r w:rsidR="00D3027C">
        <w:rPr>
          <w:rFonts w:ascii="Arial" w:hAnsi="Arial"/>
          <w:sz w:val="22"/>
          <w:szCs w:val="22"/>
        </w:rPr>
        <w:t xml:space="preserve"> clinical positioning </w:t>
      </w:r>
      <w:r w:rsidR="002E2CC7">
        <w:rPr>
          <w:rFonts w:ascii="Arial" w:hAnsi="Arial"/>
          <w:sz w:val="22"/>
          <w:szCs w:val="22"/>
        </w:rPr>
        <w:t xml:space="preserve">of </w:t>
      </w:r>
      <w:proofErr w:type="spellStart"/>
      <w:r w:rsidR="002E2CC7">
        <w:rPr>
          <w:rFonts w:ascii="Arial" w:hAnsi="Arial"/>
          <w:sz w:val="22"/>
          <w:szCs w:val="22"/>
        </w:rPr>
        <w:t>adalimumab</w:t>
      </w:r>
      <w:proofErr w:type="spellEnd"/>
      <w:r w:rsidR="002E2CC7">
        <w:rPr>
          <w:rFonts w:ascii="Arial" w:hAnsi="Arial"/>
          <w:sz w:val="22"/>
          <w:szCs w:val="22"/>
        </w:rPr>
        <w:t xml:space="preserve"> to be </w:t>
      </w:r>
      <w:r w:rsidR="00D3027C">
        <w:rPr>
          <w:rFonts w:ascii="Arial" w:hAnsi="Arial"/>
          <w:sz w:val="22"/>
          <w:szCs w:val="22"/>
        </w:rPr>
        <w:t>reasonable but</w:t>
      </w:r>
      <w:r w:rsidR="00602F1A">
        <w:rPr>
          <w:rFonts w:ascii="Arial" w:hAnsi="Arial"/>
          <w:sz w:val="22"/>
          <w:szCs w:val="22"/>
        </w:rPr>
        <w:t xml:space="preserve"> </w:t>
      </w:r>
      <w:r w:rsidR="002E2CC7">
        <w:rPr>
          <w:rFonts w:ascii="Arial" w:hAnsi="Arial"/>
          <w:sz w:val="22"/>
          <w:szCs w:val="22"/>
        </w:rPr>
        <w:t xml:space="preserve">noted </w:t>
      </w:r>
      <w:r w:rsidR="00A40556">
        <w:rPr>
          <w:rFonts w:ascii="Arial" w:hAnsi="Arial"/>
          <w:sz w:val="22"/>
          <w:szCs w:val="22"/>
        </w:rPr>
        <w:t xml:space="preserve">that </w:t>
      </w:r>
      <w:r w:rsidR="00D3027C">
        <w:rPr>
          <w:rFonts w:ascii="Arial" w:hAnsi="Arial"/>
          <w:sz w:val="22"/>
          <w:szCs w:val="22"/>
        </w:rPr>
        <w:t xml:space="preserve">this did not necessarily imply that best supportive care would be </w:t>
      </w:r>
      <w:r w:rsidR="00DD26F1">
        <w:rPr>
          <w:rFonts w:ascii="Arial" w:hAnsi="Arial"/>
          <w:sz w:val="22"/>
          <w:szCs w:val="22"/>
        </w:rPr>
        <w:t xml:space="preserve">the </w:t>
      </w:r>
      <w:r w:rsidR="00D3027C">
        <w:rPr>
          <w:rFonts w:ascii="Arial" w:hAnsi="Arial"/>
          <w:sz w:val="22"/>
          <w:szCs w:val="22"/>
        </w:rPr>
        <w:t>therapy likely to be replaced the most in practice.</w:t>
      </w:r>
      <w:r w:rsidR="00DD26F1">
        <w:rPr>
          <w:rFonts w:ascii="Arial" w:hAnsi="Arial"/>
          <w:sz w:val="22"/>
          <w:szCs w:val="22"/>
        </w:rPr>
        <w:t xml:space="preserve"> The PBAC recalled that it had recommended </w:t>
      </w:r>
      <w:r w:rsidR="00A40556">
        <w:rPr>
          <w:rFonts w:ascii="Arial" w:hAnsi="Arial"/>
          <w:sz w:val="22"/>
          <w:szCs w:val="22"/>
        </w:rPr>
        <w:t>infliximab</w:t>
      </w:r>
      <w:r w:rsidR="009F1D80">
        <w:rPr>
          <w:rFonts w:ascii="Arial" w:hAnsi="Arial"/>
          <w:sz w:val="22"/>
          <w:szCs w:val="22"/>
        </w:rPr>
        <w:t xml:space="preserve"> </w:t>
      </w:r>
      <w:r w:rsidR="00DD26F1">
        <w:rPr>
          <w:rFonts w:ascii="Arial" w:hAnsi="Arial"/>
          <w:sz w:val="22"/>
          <w:szCs w:val="22"/>
        </w:rPr>
        <w:t xml:space="preserve">for listing earlier in March 2014 for the same the indication and same clinical place in therapy as that proposed for </w:t>
      </w:r>
      <w:proofErr w:type="spellStart"/>
      <w:r w:rsidR="00DD26F1">
        <w:rPr>
          <w:rFonts w:ascii="Arial" w:hAnsi="Arial"/>
          <w:sz w:val="22"/>
          <w:szCs w:val="22"/>
        </w:rPr>
        <w:t>adalimumab</w:t>
      </w:r>
      <w:proofErr w:type="spellEnd"/>
      <w:r w:rsidR="00DD26F1">
        <w:rPr>
          <w:rFonts w:ascii="Arial" w:hAnsi="Arial"/>
          <w:sz w:val="22"/>
          <w:szCs w:val="22"/>
        </w:rPr>
        <w:t xml:space="preserve">. </w:t>
      </w:r>
      <w:r w:rsidR="00576205">
        <w:rPr>
          <w:rFonts w:ascii="Arial" w:hAnsi="Arial"/>
          <w:sz w:val="22"/>
          <w:szCs w:val="22"/>
        </w:rPr>
        <w:t xml:space="preserve"> </w:t>
      </w:r>
      <w:r w:rsidR="00DD26F1">
        <w:rPr>
          <w:rFonts w:ascii="Arial" w:hAnsi="Arial"/>
          <w:sz w:val="22"/>
          <w:szCs w:val="22"/>
        </w:rPr>
        <w:t>With infliximab</w:t>
      </w:r>
      <w:r w:rsidR="009F1D80">
        <w:rPr>
          <w:rFonts w:ascii="Arial" w:hAnsi="Arial"/>
          <w:sz w:val="22"/>
          <w:szCs w:val="22"/>
        </w:rPr>
        <w:t xml:space="preserve"> being </w:t>
      </w:r>
      <w:r w:rsidR="00DD26F1">
        <w:rPr>
          <w:rFonts w:ascii="Arial" w:hAnsi="Arial"/>
          <w:sz w:val="22"/>
          <w:szCs w:val="22"/>
        </w:rPr>
        <w:t xml:space="preserve">in the same pharmacological class as </w:t>
      </w:r>
      <w:proofErr w:type="spellStart"/>
      <w:r w:rsidR="00DD26F1">
        <w:rPr>
          <w:rFonts w:ascii="Arial" w:hAnsi="Arial"/>
          <w:sz w:val="22"/>
          <w:szCs w:val="22"/>
        </w:rPr>
        <w:t>adalimumab</w:t>
      </w:r>
      <w:proofErr w:type="spellEnd"/>
      <w:r w:rsidR="00DD26F1">
        <w:rPr>
          <w:rFonts w:ascii="Arial" w:hAnsi="Arial"/>
          <w:sz w:val="22"/>
          <w:szCs w:val="22"/>
        </w:rPr>
        <w:t xml:space="preserve"> (i.e. </w:t>
      </w:r>
      <w:r w:rsidR="009F1D80">
        <w:rPr>
          <w:rFonts w:ascii="Arial" w:hAnsi="Arial"/>
          <w:sz w:val="22"/>
          <w:szCs w:val="22"/>
        </w:rPr>
        <w:t>anti-TNF inhibitor</w:t>
      </w:r>
      <w:r w:rsidR="00DD26F1">
        <w:rPr>
          <w:rFonts w:ascii="Arial" w:hAnsi="Arial"/>
          <w:sz w:val="22"/>
          <w:szCs w:val="22"/>
        </w:rPr>
        <w:t xml:space="preserve">), the PBAC considered that </w:t>
      </w:r>
      <w:r w:rsidR="009F1D80">
        <w:rPr>
          <w:rFonts w:ascii="Arial" w:hAnsi="Arial"/>
          <w:sz w:val="22"/>
          <w:szCs w:val="22"/>
        </w:rPr>
        <w:t>infliximab</w:t>
      </w:r>
      <w:r w:rsidR="00DD26F1">
        <w:rPr>
          <w:rFonts w:ascii="Arial" w:hAnsi="Arial"/>
          <w:sz w:val="22"/>
          <w:szCs w:val="22"/>
        </w:rPr>
        <w:t xml:space="preserve"> would be the therapy most likely replaced in practice by </w:t>
      </w:r>
      <w:proofErr w:type="spellStart"/>
      <w:r w:rsidR="00DD26F1">
        <w:rPr>
          <w:rFonts w:ascii="Arial" w:hAnsi="Arial"/>
          <w:sz w:val="22"/>
          <w:szCs w:val="22"/>
        </w:rPr>
        <w:t>adalimumab</w:t>
      </w:r>
      <w:proofErr w:type="spellEnd"/>
      <w:r w:rsidR="00DD26F1">
        <w:rPr>
          <w:rFonts w:ascii="Arial" w:hAnsi="Arial"/>
          <w:sz w:val="22"/>
          <w:szCs w:val="22"/>
        </w:rPr>
        <w:t xml:space="preserve"> and that this would therefore influence the choice of comparator. </w:t>
      </w:r>
    </w:p>
    <w:p w:rsidR="009F1D80" w:rsidRPr="00A40556" w:rsidRDefault="009F1D80" w:rsidP="00A40556">
      <w:pPr>
        <w:pStyle w:val="ListParagraph"/>
        <w:rPr>
          <w:rFonts w:ascii="Arial" w:hAnsi="Arial"/>
          <w:sz w:val="22"/>
          <w:szCs w:val="22"/>
        </w:rPr>
      </w:pPr>
    </w:p>
    <w:p w:rsidR="009F1D80" w:rsidRDefault="00A40556" w:rsidP="00A40556">
      <w:pPr>
        <w:pStyle w:val="ListParagraph"/>
        <w:numPr>
          <w:ilvl w:val="1"/>
          <w:numId w:val="1"/>
        </w:numPr>
        <w:jc w:val="both"/>
        <w:rPr>
          <w:rFonts w:ascii="Arial" w:hAnsi="Arial"/>
          <w:sz w:val="22"/>
          <w:szCs w:val="22"/>
        </w:rPr>
      </w:pPr>
      <w:r>
        <w:rPr>
          <w:rFonts w:ascii="Arial" w:hAnsi="Arial"/>
          <w:sz w:val="22"/>
          <w:szCs w:val="22"/>
        </w:rPr>
        <w:t xml:space="preserve">The </w:t>
      </w:r>
      <w:r w:rsidR="0010466C">
        <w:rPr>
          <w:rFonts w:ascii="Arial" w:hAnsi="Arial"/>
          <w:sz w:val="22"/>
          <w:szCs w:val="22"/>
        </w:rPr>
        <w:t xml:space="preserve">re-submission’s nominated comparator of best supportive care remained unchanged from </w:t>
      </w:r>
      <w:r>
        <w:rPr>
          <w:rFonts w:ascii="Arial" w:hAnsi="Arial"/>
          <w:sz w:val="22"/>
          <w:szCs w:val="22"/>
        </w:rPr>
        <w:t>the</w:t>
      </w:r>
      <w:r w:rsidR="0010466C">
        <w:rPr>
          <w:rFonts w:ascii="Arial" w:hAnsi="Arial"/>
          <w:sz w:val="22"/>
          <w:szCs w:val="22"/>
        </w:rPr>
        <w:t xml:space="preserve"> comparator nominated in the</w:t>
      </w:r>
      <w:r>
        <w:rPr>
          <w:rFonts w:ascii="Arial" w:hAnsi="Arial"/>
          <w:sz w:val="22"/>
          <w:szCs w:val="22"/>
        </w:rPr>
        <w:t xml:space="preserve"> November 2013 </w:t>
      </w:r>
      <w:proofErr w:type="spellStart"/>
      <w:r w:rsidR="0010466C">
        <w:rPr>
          <w:rFonts w:ascii="Arial" w:hAnsi="Arial"/>
          <w:sz w:val="22"/>
          <w:szCs w:val="22"/>
        </w:rPr>
        <w:t>adalimumab</w:t>
      </w:r>
      <w:proofErr w:type="spellEnd"/>
      <w:r w:rsidR="0010466C">
        <w:rPr>
          <w:rFonts w:ascii="Arial" w:hAnsi="Arial"/>
          <w:sz w:val="22"/>
          <w:szCs w:val="22"/>
        </w:rPr>
        <w:t xml:space="preserve"> submission.</w:t>
      </w:r>
      <w:r>
        <w:rPr>
          <w:rFonts w:ascii="Arial" w:hAnsi="Arial"/>
          <w:sz w:val="22"/>
          <w:szCs w:val="22"/>
        </w:rPr>
        <w:t xml:space="preserve"> </w:t>
      </w:r>
      <w:r w:rsidR="0010466C">
        <w:rPr>
          <w:rFonts w:ascii="Arial" w:hAnsi="Arial"/>
          <w:sz w:val="22"/>
          <w:szCs w:val="22"/>
        </w:rPr>
        <w:t>The PBAC recalled that it had previously considered this to be</w:t>
      </w:r>
      <w:r w:rsidR="00DC7F81">
        <w:rPr>
          <w:rFonts w:ascii="Arial" w:hAnsi="Arial"/>
          <w:sz w:val="22"/>
          <w:szCs w:val="22"/>
        </w:rPr>
        <w:t xml:space="preserve"> appropriate in November 2013. </w:t>
      </w:r>
      <w:r w:rsidR="00576205">
        <w:rPr>
          <w:rFonts w:ascii="Arial" w:hAnsi="Arial"/>
          <w:sz w:val="22"/>
          <w:szCs w:val="22"/>
        </w:rPr>
        <w:t xml:space="preserve"> </w:t>
      </w:r>
      <w:r w:rsidR="0010466C">
        <w:rPr>
          <w:rFonts w:ascii="Arial" w:hAnsi="Arial"/>
          <w:sz w:val="22"/>
          <w:szCs w:val="22"/>
        </w:rPr>
        <w:t>However,</w:t>
      </w:r>
      <w:r w:rsidR="00DC7F81">
        <w:rPr>
          <w:rFonts w:ascii="Arial" w:hAnsi="Arial"/>
          <w:sz w:val="22"/>
          <w:szCs w:val="22"/>
        </w:rPr>
        <w:t xml:space="preserve"> the PBAC recalled that at the time of the November 2013 consideration of </w:t>
      </w:r>
      <w:proofErr w:type="spellStart"/>
      <w:r w:rsidR="00DC7F81">
        <w:rPr>
          <w:rFonts w:ascii="Arial" w:hAnsi="Arial"/>
          <w:sz w:val="22"/>
          <w:szCs w:val="22"/>
        </w:rPr>
        <w:t>adalimumab</w:t>
      </w:r>
      <w:proofErr w:type="spellEnd"/>
      <w:r w:rsidR="00DC7F81">
        <w:rPr>
          <w:rFonts w:ascii="Arial" w:hAnsi="Arial"/>
          <w:sz w:val="22"/>
          <w:szCs w:val="22"/>
        </w:rPr>
        <w:t xml:space="preserve">, no other anti-TNF inhibitor was PBS-listed for moderate to severe ulcerative colitis or had received a positive recommendation to list. </w:t>
      </w:r>
      <w:r w:rsidR="00576205">
        <w:rPr>
          <w:rFonts w:ascii="Arial" w:hAnsi="Arial"/>
          <w:sz w:val="22"/>
          <w:szCs w:val="22"/>
        </w:rPr>
        <w:t xml:space="preserve"> </w:t>
      </w:r>
      <w:r w:rsidR="00DC7F81">
        <w:rPr>
          <w:rFonts w:ascii="Arial" w:hAnsi="Arial"/>
          <w:sz w:val="22"/>
          <w:szCs w:val="22"/>
        </w:rPr>
        <w:t>I</w:t>
      </w:r>
      <w:r>
        <w:rPr>
          <w:rFonts w:ascii="Arial" w:hAnsi="Arial"/>
          <w:sz w:val="22"/>
          <w:szCs w:val="22"/>
        </w:rPr>
        <w:t xml:space="preserve">n </w:t>
      </w:r>
      <w:r w:rsidR="0010466C">
        <w:rPr>
          <w:rFonts w:ascii="Arial" w:hAnsi="Arial"/>
          <w:sz w:val="22"/>
          <w:szCs w:val="22"/>
        </w:rPr>
        <w:t>view</w:t>
      </w:r>
      <w:r>
        <w:rPr>
          <w:rFonts w:ascii="Arial" w:hAnsi="Arial"/>
          <w:sz w:val="22"/>
          <w:szCs w:val="22"/>
        </w:rPr>
        <w:t xml:space="preserve"> of the </w:t>
      </w:r>
      <w:r w:rsidR="00E21442">
        <w:rPr>
          <w:rFonts w:ascii="Arial" w:hAnsi="Arial"/>
          <w:sz w:val="22"/>
          <w:szCs w:val="22"/>
        </w:rPr>
        <w:t xml:space="preserve">positive </w:t>
      </w:r>
      <w:r>
        <w:rPr>
          <w:rFonts w:ascii="Arial" w:hAnsi="Arial"/>
          <w:sz w:val="22"/>
          <w:szCs w:val="22"/>
        </w:rPr>
        <w:t>recommendation</w:t>
      </w:r>
      <w:r w:rsidR="00E21442">
        <w:rPr>
          <w:rFonts w:ascii="Arial" w:hAnsi="Arial"/>
          <w:sz w:val="22"/>
          <w:szCs w:val="22"/>
        </w:rPr>
        <w:t xml:space="preserve"> </w:t>
      </w:r>
      <w:r w:rsidR="0010466C">
        <w:rPr>
          <w:rFonts w:ascii="Arial" w:hAnsi="Arial"/>
          <w:sz w:val="22"/>
          <w:szCs w:val="22"/>
        </w:rPr>
        <w:t xml:space="preserve">made </w:t>
      </w:r>
      <w:r w:rsidR="00E21442">
        <w:rPr>
          <w:rFonts w:ascii="Arial" w:hAnsi="Arial"/>
          <w:sz w:val="22"/>
          <w:szCs w:val="22"/>
        </w:rPr>
        <w:t xml:space="preserve">for infliximab </w:t>
      </w:r>
      <w:r w:rsidR="0010466C">
        <w:rPr>
          <w:rFonts w:ascii="Arial" w:hAnsi="Arial"/>
          <w:sz w:val="22"/>
          <w:szCs w:val="22"/>
        </w:rPr>
        <w:t>in</w:t>
      </w:r>
      <w:r w:rsidR="00E21442">
        <w:rPr>
          <w:rFonts w:ascii="Arial" w:hAnsi="Arial"/>
          <w:sz w:val="22"/>
          <w:szCs w:val="22"/>
        </w:rPr>
        <w:t xml:space="preserve"> March 2014</w:t>
      </w:r>
      <w:r w:rsidR="00DC7F81">
        <w:rPr>
          <w:rFonts w:ascii="Arial" w:hAnsi="Arial"/>
          <w:sz w:val="22"/>
          <w:szCs w:val="22"/>
        </w:rPr>
        <w:t xml:space="preserve"> and for the reasons outlined above,</w:t>
      </w:r>
      <w:r w:rsidR="00E21442">
        <w:rPr>
          <w:rFonts w:ascii="Arial" w:hAnsi="Arial"/>
          <w:sz w:val="22"/>
          <w:szCs w:val="22"/>
        </w:rPr>
        <w:t xml:space="preserve"> the PBAC considered </w:t>
      </w:r>
      <w:r w:rsidRPr="00A40556">
        <w:rPr>
          <w:rFonts w:ascii="Arial" w:hAnsi="Arial"/>
          <w:sz w:val="22"/>
          <w:szCs w:val="22"/>
        </w:rPr>
        <w:t xml:space="preserve">that infliximab would </w:t>
      </w:r>
      <w:r w:rsidR="00DC7F81">
        <w:rPr>
          <w:rFonts w:ascii="Arial" w:hAnsi="Arial"/>
          <w:sz w:val="22"/>
          <w:szCs w:val="22"/>
        </w:rPr>
        <w:t xml:space="preserve">likely </w:t>
      </w:r>
      <w:r w:rsidRPr="00A40556">
        <w:rPr>
          <w:rFonts w:ascii="Arial" w:hAnsi="Arial"/>
          <w:sz w:val="22"/>
          <w:szCs w:val="22"/>
        </w:rPr>
        <w:t>be the therapy</w:t>
      </w:r>
      <w:r w:rsidR="00DC7F81">
        <w:rPr>
          <w:rFonts w:ascii="Arial" w:hAnsi="Arial"/>
          <w:sz w:val="22"/>
          <w:szCs w:val="22"/>
        </w:rPr>
        <w:t xml:space="preserve"> </w:t>
      </w:r>
      <w:r w:rsidRPr="00A40556">
        <w:rPr>
          <w:rFonts w:ascii="Arial" w:hAnsi="Arial"/>
          <w:sz w:val="22"/>
          <w:szCs w:val="22"/>
        </w:rPr>
        <w:t>replaced the most in practice</w:t>
      </w:r>
      <w:r w:rsidR="00145BC1">
        <w:rPr>
          <w:rFonts w:ascii="Arial" w:hAnsi="Arial"/>
          <w:sz w:val="22"/>
          <w:szCs w:val="22"/>
        </w:rPr>
        <w:t>.</w:t>
      </w:r>
      <w:r w:rsidRPr="00A40556">
        <w:rPr>
          <w:rFonts w:ascii="Arial" w:hAnsi="Arial"/>
          <w:sz w:val="22"/>
          <w:szCs w:val="22"/>
        </w:rPr>
        <w:t xml:space="preserve"> </w:t>
      </w:r>
      <w:r w:rsidR="00344D67">
        <w:rPr>
          <w:rFonts w:ascii="Arial" w:hAnsi="Arial"/>
          <w:sz w:val="22"/>
          <w:szCs w:val="22"/>
        </w:rPr>
        <w:t>T</w:t>
      </w:r>
      <w:r w:rsidR="00DC7F81">
        <w:rPr>
          <w:rFonts w:ascii="Arial" w:hAnsi="Arial"/>
          <w:sz w:val="22"/>
          <w:szCs w:val="22"/>
        </w:rPr>
        <w:t>herefore</w:t>
      </w:r>
      <w:r w:rsidR="00344D67">
        <w:rPr>
          <w:rFonts w:ascii="Arial" w:hAnsi="Arial"/>
          <w:sz w:val="22"/>
          <w:szCs w:val="22"/>
        </w:rPr>
        <w:t>,</w:t>
      </w:r>
      <w:r w:rsidR="00DC7F81">
        <w:rPr>
          <w:rFonts w:ascii="Arial" w:hAnsi="Arial"/>
          <w:sz w:val="22"/>
          <w:szCs w:val="22"/>
        </w:rPr>
        <w:t xml:space="preserve"> </w:t>
      </w:r>
      <w:r w:rsidR="00145BC1">
        <w:rPr>
          <w:rFonts w:ascii="Arial" w:hAnsi="Arial"/>
          <w:sz w:val="22"/>
          <w:szCs w:val="22"/>
        </w:rPr>
        <w:t xml:space="preserve">infliximab </w:t>
      </w:r>
      <w:r w:rsidR="00344D67">
        <w:rPr>
          <w:rFonts w:ascii="Arial" w:hAnsi="Arial"/>
          <w:sz w:val="22"/>
          <w:szCs w:val="22"/>
        </w:rPr>
        <w:t xml:space="preserve">was considered </w:t>
      </w:r>
      <w:r w:rsidR="00145BC1">
        <w:rPr>
          <w:rFonts w:ascii="Arial" w:hAnsi="Arial"/>
          <w:sz w:val="22"/>
          <w:szCs w:val="22"/>
        </w:rPr>
        <w:t xml:space="preserve">to be </w:t>
      </w:r>
      <w:r w:rsidR="00DC7F81">
        <w:rPr>
          <w:rFonts w:ascii="Arial" w:hAnsi="Arial"/>
          <w:sz w:val="22"/>
          <w:szCs w:val="22"/>
        </w:rPr>
        <w:t>the most relevant comparator</w:t>
      </w:r>
      <w:r w:rsidR="00344D67">
        <w:rPr>
          <w:rFonts w:ascii="Arial" w:hAnsi="Arial"/>
          <w:sz w:val="22"/>
          <w:szCs w:val="22"/>
        </w:rPr>
        <w:t xml:space="preserve"> and the comparative data of most interest to the PBAC was </w:t>
      </w:r>
      <w:proofErr w:type="spellStart"/>
      <w:r w:rsidR="00344D67">
        <w:rPr>
          <w:rFonts w:ascii="Arial" w:hAnsi="Arial"/>
          <w:sz w:val="22"/>
          <w:szCs w:val="22"/>
        </w:rPr>
        <w:t>adalimumab</w:t>
      </w:r>
      <w:proofErr w:type="spellEnd"/>
      <w:r w:rsidR="00344D67">
        <w:rPr>
          <w:rFonts w:ascii="Arial" w:hAnsi="Arial"/>
          <w:sz w:val="22"/>
          <w:szCs w:val="22"/>
        </w:rPr>
        <w:t xml:space="preserve"> versus infliximab data from randomised controlled trials</w:t>
      </w:r>
      <w:r w:rsidRPr="00A40556">
        <w:rPr>
          <w:rFonts w:ascii="Arial" w:hAnsi="Arial"/>
          <w:sz w:val="22"/>
          <w:szCs w:val="22"/>
        </w:rPr>
        <w:t>.</w:t>
      </w:r>
      <w:r>
        <w:rPr>
          <w:rFonts w:ascii="Arial" w:hAnsi="Arial"/>
          <w:sz w:val="22"/>
          <w:szCs w:val="22"/>
        </w:rPr>
        <w:t xml:space="preserve"> </w:t>
      </w:r>
    </w:p>
    <w:p w:rsidR="008A6416" w:rsidRPr="008A6416" w:rsidRDefault="008A6416" w:rsidP="008A6416">
      <w:pPr>
        <w:pStyle w:val="ListParagraph"/>
        <w:rPr>
          <w:rFonts w:ascii="Arial" w:hAnsi="Arial"/>
          <w:sz w:val="22"/>
          <w:szCs w:val="22"/>
        </w:rPr>
      </w:pPr>
    </w:p>
    <w:p w:rsidR="008A6416" w:rsidRDefault="00344D67" w:rsidP="002B0848">
      <w:pPr>
        <w:pStyle w:val="ListParagraph"/>
        <w:numPr>
          <w:ilvl w:val="1"/>
          <w:numId w:val="1"/>
        </w:numPr>
        <w:jc w:val="both"/>
        <w:rPr>
          <w:rFonts w:ascii="Arial" w:hAnsi="Arial"/>
          <w:sz w:val="22"/>
          <w:szCs w:val="22"/>
        </w:rPr>
      </w:pPr>
      <w:r>
        <w:rPr>
          <w:rFonts w:ascii="Arial" w:hAnsi="Arial"/>
          <w:sz w:val="22"/>
          <w:szCs w:val="22"/>
        </w:rPr>
        <w:t>N</w:t>
      </w:r>
      <w:r w:rsidR="00ED4FC6" w:rsidRPr="00ED4FC6">
        <w:rPr>
          <w:rFonts w:ascii="Arial" w:hAnsi="Arial"/>
          <w:sz w:val="22"/>
          <w:szCs w:val="22"/>
        </w:rPr>
        <w:t xml:space="preserve">o direct head-to-head </w:t>
      </w:r>
      <w:r w:rsidR="00464D46">
        <w:rPr>
          <w:rFonts w:ascii="Arial" w:hAnsi="Arial"/>
          <w:sz w:val="22"/>
          <w:szCs w:val="22"/>
        </w:rPr>
        <w:t xml:space="preserve">randomised controlled </w:t>
      </w:r>
      <w:r w:rsidR="00ED4FC6" w:rsidRPr="00ED4FC6">
        <w:rPr>
          <w:rFonts w:ascii="Arial" w:hAnsi="Arial"/>
          <w:sz w:val="22"/>
          <w:szCs w:val="22"/>
        </w:rPr>
        <w:t xml:space="preserve">trials comparing </w:t>
      </w:r>
      <w:proofErr w:type="spellStart"/>
      <w:r w:rsidR="00ED4FC6" w:rsidRPr="00ED4FC6">
        <w:rPr>
          <w:rFonts w:ascii="Arial" w:hAnsi="Arial"/>
          <w:sz w:val="22"/>
          <w:szCs w:val="22"/>
        </w:rPr>
        <w:t>adalimumab</w:t>
      </w:r>
      <w:proofErr w:type="spellEnd"/>
      <w:r w:rsidR="00ED4FC6" w:rsidRPr="00ED4FC6">
        <w:rPr>
          <w:rFonts w:ascii="Arial" w:hAnsi="Arial"/>
          <w:sz w:val="22"/>
          <w:szCs w:val="22"/>
        </w:rPr>
        <w:t xml:space="preserve"> to infliximab were </w:t>
      </w:r>
      <w:r w:rsidR="00464D46">
        <w:rPr>
          <w:rFonts w:ascii="Arial" w:hAnsi="Arial"/>
          <w:sz w:val="22"/>
          <w:szCs w:val="22"/>
        </w:rPr>
        <w:t>presented in the</w:t>
      </w:r>
      <w:r w:rsidR="00ED4FC6" w:rsidRPr="00ED4FC6">
        <w:rPr>
          <w:rFonts w:ascii="Arial" w:hAnsi="Arial"/>
          <w:sz w:val="22"/>
          <w:szCs w:val="22"/>
        </w:rPr>
        <w:t xml:space="preserve"> </w:t>
      </w:r>
      <w:r w:rsidR="00464D46">
        <w:rPr>
          <w:rFonts w:ascii="Arial" w:hAnsi="Arial"/>
          <w:sz w:val="22"/>
          <w:szCs w:val="22"/>
        </w:rPr>
        <w:t>re-</w:t>
      </w:r>
      <w:r w:rsidR="00ED4FC6" w:rsidRPr="00ED4FC6">
        <w:rPr>
          <w:rFonts w:ascii="Arial" w:hAnsi="Arial"/>
          <w:sz w:val="22"/>
          <w:szCs w:val="22"/>
        </w:rPr>
        <w:t>submission</w:t>
      </w:r>
      <w:r w:rsidR="00464D46">
        <w:rPr>
          <w:rFonts w:ascii="Arial" w:hAnsi="Arial"/>
          <w:sz w:val="22"/>
          <w:szCs w:val="22"/>
        </w:rPr>
        <w:t xml:space="preserve">. </w:t>
      </w:r>
      <w:r w:rsidR="00576205">
        <w:rPr>
          <w:rFonts w:ascii="Arial" w:hAnsi="Arial"/>
          <w:sz w:val="22"/>
          <w:szCs w:val="22"/>
        </w:rPr>
        <w:t xml:space="preserve"> </w:t>
      </w:r>
      <w:r w:rsidR="00464D46">
        <w:rPr>
          <w:rFonts w:ascii="Arial" w:hAnsi="Arial"/>
          <w:sz w:val="22"/>
          <w:szCs w:val="22"/>
        </w:rPr>
        <w:t xml:space="preserve">Instead, to support the clinical claim that </w:t>
      </w:r>
      <w:proofErr w:type="spellStart"/>
      <w:r w:rsidR="00464D46">
        <w:rPr>
          <w:rFonts w:ascii="Arial" w:hAnsi="Arial"/>
          <w:sz w:val="22"/>
          <w:szCs w:val="22"/>
        </w:rPr>
        <w:t>adalimumab</w:t>
      </w:r>
      <w:proofErr w:type="spellEnd"/>
      <w:r w:rsidR="00464D46">
        <w:rPr>
          <w:rFonts w:ascii="Arial" w:hAnsi="Arial"/>
          <w:sz w:val="22"/>
          <w:szCs w:val="22"/>
        </w:rPr>
        <w:t xml:space="preserve"> is non-inferior to infliximab, the PBAC noted that the re-submission</w:t>
      </w:r>
      <w:r w:rsidR="00ED4FC6" w:rsidRPr="00ED4FC6">
        <w:rPr>
          <w:rFonts w:ascii="Arial" w:hAnsi="Arial"/>
          <w:sz w:val="22"/>
          <w:szCs w:val="22"/>
        </w:rPr>
        <w:t xml:space="preserve"> </w:t>
      </w:r>
      <w:r w:rsidR="00464D46">
        <w:rPr>
          <w:rFonts w:ascii="Arial" w:hAnsi="Arial"/>
          <w:sz w:val="22"/>
          <w:szCs w:val="22"/>
        </w:rPr>
        <w:t>relied upon the findings of the</w:t>
      </w:r>
      <w:r w:rsidR="00ED4FC6" w:rsidRPr="00ED4FC6">
        <w:rPr>
          <w:rFonts w:ascii="Arial" w:hAnsi="Arial"/>
          <w:sz w:val="22"/>
          <w:szCs w:val="22"/>
        </w:rPr>
        <w:t xml:space="preserve"> sponsor commissioned study </w:t>
      </w:r>
      <w:r w:rsidR="00ED4FC6" w:rsidRPr="00FE54E3">
        <w:rPr>
          <w:rFonts w:ascii="Arial" w:hAnsi="Arial"/>
          <w:sz w:val="22"/>
          <w:szCs w:val="22"/>
        </w:rPr>
        <w:t xml:space="preserve">by </w:t>
      </w:r>
      <w:r w:rsidR="008B6EB1" w:rsidRPr="008B6EB1">
        <w:rPr>
          <w:rFonts w:ascii="Arial" w:hAnsi="Arial"/>
          <w:i/>
          <w:sz w:val="22"/>
          <w:szCs w:val="22"/>
        </w:rPr>
        <w:t>(REDACTED</w:t>
      </w:r>
      <w:r w:rsidR="008B6EB1">
        <w:rPr>
          <w:rFonts w:ascii="Arial" w:hAnsi="Arial"/>
          <w:i/>
          <w:sz w:val="22"/>
          <w:szCs w:val="22"/>
        </w:rPr>
        <w:t>)</w:t>
      </w:r>
      <w:r w:rsidR="00464D46">
        <w:rPr>
          <w:rFonts w:ascii="Arial" w:hAnsi="Arial"/>
          <w:sz w:val="22"/>
          <w:szCs w:val="22"/>
        </w:rPr>
        <w:t>.</w:t>
      </w:r>
      <w:r w:rsidR="00ED4FC6" w:rsidRPr="00ED4FC6">
        <w:rPr>
          <w:rFonts w:ascii="Arial" w:hAnsi="Arial"/>
          <w:sz w:val="22"/>
          <w:szCs w:val="22"/>
        </w:rPr>
        <w:t xml:space="preserve"> </w:t>
      </w:r>
      <w:r w:rsidR="002B0848" w:rsidRPr="002B0848">
        <w:rPr>
          <w:rFonts w:ascii="Arial" w:hAnsi="Arial"/>
          <w:sz w:val="22"/>
          <w:szCs w:val="22"/>
        </w:rPr>
        <w:t xml:space="preserve">The two trials </w:t>
      </w:r>
      <w:r w:rsidR="002B0848">
        <w:rPr>
          <w:rFonts w:ascii="Arial" w:hAnsi="Arial"/>
          <w:sz w:val="22"/>
          <w:szCs w:val="22"/>
        </w:rPr>
        <w:t xml:space="preserve">(ULTRA I and ULTRA II) informing the comparison of </w:t>
      </w:r>
      <w:proofErr w:type="spellStart"/>
      <w:r w:rsidR="002B0848">
        <w:rPr>
          <w:rFonts w:ascii="Arial" w:hAnsi="Arial"/>
          <w:sz w:val="22"/>
          <w:szCs w:val="22"/>
        </w:rPr>
        <w:t>adalimumab</w:t>
      </w:r>
      <w:proofErr w:type="spellEnd"/>
      <w:r w:rsidR="002B0848">
        <w:rPr>
          <w:rFonts w:ascii="Arial" w:hAnsi="Arial"/>
          <w:sz w:val="22"/>
          <w:szCs w:val="22"/>
        </w:rPr>
        <w:t xml:space="preserve"> to placebo</w:t>
      </w:r>
      <w:r w:rsidR="002B0848" w:rsidRPr="002B0848">
        <w:rPr>
          <w:rFonts w:ascii="Arial" w:hAnsi="Arial"/>
          <w:sz w:val="22"/>
          <w:szCs w:val="22"/>
        </w:rPr>
        <w:t xml:space="preserve"> </w:t>
      </w:r>
      <w:r w:rsidR="002B0848">
        <w:rPr>
          <w:rFonts w:ascii="Arial" w:hAnsi="Arial"/>
          <w:sz w:val="22"/>
          <w:szCs w:val="22"/>
        </w:rPr>
        <w:t xml:space="preserve">were further noted to be </w:t>
      </w:r>
      <w:r w:rsidR="002B0848" w:rsidRPr="002B0848">
        <w:rPr>
          <w:rFonts w:ascii="Arial" w:hAnsi="Arial"/>
          <w:sz w:val="22"/>
          <w:szCs w:val="22"/>
        </w:rPr>
        <w:t xml:space="preserve">the same as </w:t>
      </w:r>
      <w:r w:rsidR="002B0848">
        <w:rPr>
          <w:rFonts w:ascii="Arial" w:hAnsi="Arial"/>
          <w:sz w:val="22"/>
          <w:szCs w:val="22"/>
        </w:rPr>
        <w:t xml:space="preserve">those </w:t>
      </w:r>
      <w:r w:rsidR="002B0848" w:rsidRPr="002B0848">
        <w:rPr>
          <w:rFonts w:ascii="Arial" w:hAnsi="Arial"/>
          <w:sz w:val="22"/>
          <w:szCs w:val="22"/>
        </w:rPr>
        <w:t>previous</w:t>
      </w:r>
      <w:r w:rsidR="002B0848">
        <w:rPr>
          <w:rFonts w:ascii="Arial" w:hAnsi="Arial"/>
          <w:sz w:val="22"/>
          <w:szCs w:val="22"/>
        </w:rPr>
        <w:t>ly presented in the November 2013</w:t>
      </w:r>
      <w:r w:rsidR="002B0848" w:rsidRPr="002B0848">
        <w:rPr>
          <w:rFonts w:ascii="Arial" w:hAnsi="Arial"/>
          <w:sz w:val="22"/>
          <w:szCs w:val="22"/>
        </w:rPr>
        <w:t xml:space="preserve"> submission. </w:t>
      </w:r>
      <w:r w:rsidR="00576205">
        <w:rPr>
          <w:rFonts w:ascii="Arial" w:hAnsi="Arial"/>
          <w:sz w:val="22"/>
          <w:szCs w:val="22"/>
        </w:rPr>
        <w:t xml:space="preserve"> </w:t>
      </w:r>
      <w:r w:rsidR="002B0848">
        <w:rPr>
          <w:rFonts w:ascii="Arial" w:hAnsi="Arial"/>
          <w:sz w:val="22"/>
          <w:szCs w:val="22"/>
        </w:rPr>
        <w:t>The evaluation’s literature</w:t>
      </w:r>
      <w:r w:rsidR="002B0848" w:rsidRPr="002B0848">
        <w:rPr>
          <w:rFonts w:ascii="Arial" w:hAnsi="Arial"/>
          <w:sz w:val="22"/>
          <w:szCs w:val="22"/>
        </w:rPr>
        <w:t xml:space="preserve"> search identified a new paper by Suzuki et al. (2014) which was excluded by the re-submission</w:t>
      </w:r>
      <w:r w:rsidR="002B0848">
        <w:rPr>
          <w:rFonts w:ascii="Arial" w:hAnsi="Arial"/>
          <w:sz w:val="22"/>
          <w:szCs w:val="22"/>
        </w:rPr>
        <w:t xml:space="preserve"> but which did not significantly alter the interpretation of the clinical trial results.</w:t>
      </w:r>
    </w:p>
    <w:p w:rsidR="006D44FB" w:rsidRPr="006D44FB" w:rsidDel="006D44FB" w:rsidRDefault="006D44FB" w:rsidP="0056381B">
      <w:pPr>
        <w:rPr>
          <w:rFonts w:ascii="Arial" w:hAnsi="Arial"/>
          <w:sz w:val="22"/>
          <w:szCs w:val="22"/>
        </w:rPr>
      </w:pPr>
    </w:p>
    <w:p w:rsidR="00136E18" w:rsidRPr="00FE54E3" w:rsidRDefault="0063399B" w:rsidP="006D44FB">
      <w:pPr>
        <w:pStyle w:val="ListParagraph"/>
        <w:numPr>
          <w:ilvl w:val="1"/>
          <w:numId w:val="1"/>
        </w:numPr>
        <w:jc w:val="both"/>
        <w:rPr>
          <w:rFonts w:ascii="Arial" w:hAnsi="Arial"/>
          <w:sz w:val="22"/>
          <w:szCs w:val="22"/>
        </w:rPr>
      </w:pPr>
      <w:r w:rsidRPr="006D44FB">
        <w:rPr>
          <w:rFonts w:ascii="Arial" w:hAnsi="Arial"/>
          <w:sz w:val="22"/>
          <w:szCs w:val="22"/>
        </w:rPr>
        <w:lastRenderedPageBreak/>
        <w:t>T</w:t>
      </w:r>
      <w:r w:rsidR="00971C19" w:rsidRPr="006D44FB">
        <w:rPr>
          <w:rFonts w:ascii="Arial" w:hAnsi="Arial"/>
          <w:sz w:val="22"/>
          <w:szCs w:val="22"/>
        </w:rPr>
        <w:t xml:space="preserve">he PBAC </w:t>
      </w:r>
      <w:r w:rsidR="002B0848">
        <w:rPr>
          <w:rFonts w:ascii="Arial" w:hAnsi="Arial"/>
          <w:sz w:val="22"/>
          <w:szCs w:val="22"/>
        </w:rPr>
        <w:t xml:space="preserve">reaffirmed </w:t>
      </w:r>
      <w:r w:rsidR="00B20834" w:rsidRPr="006D44FB">
        <w:rPr>
          <w:rFonts w:ascii="Arial" w:hAnsi="Arial"/>
          <w:sz w:val="22"/>
          <w:szCs w:val="22"/>
        </w:rPr>
        <w:t>its views</w:t>
      </w:r>
      <w:r w:rsidR="002B0848">
        <w:rPr>
          <w:rFonts w:ascii="Arial" w:hAnsi="Arial"/>
          <w:sz w:val="22"/>
          <w:szCs w:val="22"/>
        </w:rPr>
        <w:t xml:space="preserve"> on the results of the ULTRA I and ULTRA II trials</w:t>
      </w:r>
      <w:r w:rsidR="00062253">
        <w:rPr>
          <w:rFonts w:ascii="Arial" w:hAnsi="Arial"/>
          <w:sz w:val="22"/>
          <w:szCs w:val="22"/>
        </w:rPr>
        <w:t xml:space="preserve"> from November 2013 in</w:t>
      </w:r>
      <w:r w:rsidR="00B20834" w:rsidRPr="006D44FB">
        <w:rPr>
          <w:rFonts w:ascii="Arial" w:hAnsi="Arial"/>
          <w:sz w:val="22"/>
          <w:szCs w:val="22"/>
        </w:rPr>
        <w:t xml:space="preserve"> that </w:t>
      </w:r>
      <w:proofErr w:type="spellStart"/>
      <w:r w:rsidR="00B20834" w:rsidRPr="006D44FB">
        <w:rPr>
          <w:rFonts w:ascii="Arial" w:hAnsi="Arial"/>
          <w:sz w:val="22"/>
          <w:szCs w:val="22"/>
        </w:rPr>
        <w:t>adalimumab</w:t>
      </w:r>
      <w:proofErr w:type="spellEnd"/>
      <w:r w:rsidR="00B20834" w:rsidRPr="006D44FB">
        <w:rPr>
          <w:rFonts w:ascii="Arial" w:hAnsi="Arial"/>
          <w:sz w:val="22"/>
          <w:szCs w:val="22"/>
        </w:rPr>
        <w:t xml:space="preserve"> treatment </w:t>
      </w:r>
      <w:r w:rsidR="00062253">
        <w:rPr>
          <w:rFonts w:ascii="Arial" w:hAnsi="Arial"/>
          <w:sz w:val="22"/>
          <w:szCs w:val="22"/>
        </w:rPr>
        <w:t>a</w:t>
      </w:r>
      <w:r w:rsidR="002178AB">
        <w:rPr>
          <w:rFonts w:ascii="Arial" w:hAnsi="Arial"/>
          <w:sz w:val="22"/>
          <w:szCs w:val="22"/>
        </w:rPr>
        <w:t xml:space="preserve">ppears to </w:t>
      </w:r>
      <w:r w:rsidR="00062253">
        <w:rPr>
          <w:rFonts w:ascii="Arial" w:hAnsi="Arial"/>
          <w:sz w:val="22"/>
          <w:szCs w:val="22"/>
        </w:rPr>
        <w:t>be</w:t>
      </w:r>
      <w:r w:rsidR="00B20834" w:rsidRPr="006D44FB">
        <w:rPr>
          <w:rFonts w:ascii="Arial" w:hAnsi="Arial"/>
          <w:sz w:val="22"/>
          <w:szCs w:val="22"/>
        </w:rPr>
        <w:t xml:space="preserve"> associated with a real but modest </w:t>
      </w:r>
      <w:r w:rsidR="00062253">
        <w:rPr>
          <w:rFonts w:ascii="Arial" w:hAnsi="Arial"/>
          <w:sz w:val="22"/>
          <w:szCs w:val="22"/>
        </w:rPr>
        <w:t xml:space="preserve">incremental </w:t>
      </w:r>
      <w:r w:rsidR="00B20834" w:rsidRPr="006D44FB">
        <w:rPr>
          <w:rFonts w:ascii="Arial" w:hAnsi="Arial"/>
          <w:sz w:val="22"/>
          <w:szCs w:val="22"/>
        </w:rPr>
        <w:t>clinical benefit over placebo</w:t>
      </w:r>
      <w:r w:rsidR="00A06460" w:rsidRPr="006D44FB">
        <w:rPr>
          <w:rFonts w:ascii="Arial" w:hAnsi="Arial"/>
          <w:sz w:val="22"/>
          <w:szCs w:val="22"/>
        </w:rPr>
        <w:t xml:space="preserve">, noting that approximately 50% of patients treated with </w:t>
      </w:r>
      <w:proofErr w:type="spellStart"/>
      <w:r w:rsidR="00A06460" w:rsidRPr="006D44FB">
        <w:rPr>
          <w:rFonts w:ascii="Arial" w:hAnsi="Arial"/>
          <w:sz w:val="22"/>
          <w:szCs w:val="22"/>
        </w:rPr>
        <w:t>adalimumab</w:t>
      </w:r>
      <w:proofErr w:type="spellEnd"/>
      <w:r w:rsidR="00A06460" w:rsidRPr="006D44FB">
        <w:rPr>
          <w:rFonts w:ascii="Arial" w:hAnsi="Arial"/>
          <w:sz w:val="22"/>
          <w:szCs w:val="22"/>
        </w:rPr>
        <w:t xml:space="preserve"> respond (at week 8), compared to 35% treated with placebo, while 20%</w:t>
      </w:r>
      <w:r w:rsidR="00062253">
        <w:rPr>
          <w:rFonts w:ascii="Arial" w:hAnsi="Arial"/>
          <w:sz w:val="22"/>
          <w:szCs w:val="22"/>
        </w:rPr>
        <w:t xml:space="preserve"> of patients</w:t>
      </w:r>
      <w:r w:rsidR="00A06460" w:rsidRPr="006D44FB">
        <w:rPr>
          <w:rFonts w:ascii="Arial" w:hAnsi="Arial"/>
          <w:sz w:val="22"/>
          <w:szCs w:val="22"/>
        </w:rPr>
        <w:t xml:space="preserve"> achieve remission</w:t>
      </w:r>
      <w:r w:rsidR="00062253">
        <w:rPr>
          <w:rFonts w:ascii="Arial" w:hAnsi="Arial"/>
          <w:sz w:val="22"/>
          <w:szCs w:val="22"/>
        </w:rPr>
        <w:t xml:space="preserve"> with </w:t>
      </w:r>
      <w:proofErr w:type="spellStart"/>
      <w:r w:rsidR="00062253">
        <w:rPr>
          <w:rFonts w:ascii="Arial" w:hAnsi="Arial"/>
          <w:sz w:val="22"/>
          <w:szCs w:val="22"/>
        </w:rPr>
        <w:t>adalimumab</w:t>
      </w:r>
      <w:proofErr w:type="spellEnd"/>
      <w:r w:rsidR="000D73AF" w:rsidRPr="006D44FB">
        <w:rPr>
          <w:rFonts w:ascii="Arial" w:hAnsi="Arial"/>
          <w:sz w:val="22"/>
          <w:szCs w:val="22"/>
        </w:rPr>
        <w:t xml:space="preserve">. </w:t>
      </w:r>
      <w:r w:rsidR="00576205">
        <w:rPr>
          <w:rFonts w:ascii="Arial" w:hAnsi="Arial"/>
          <w:sz w:val="22"/>
          <w:szCs w:val="22"/>
        </w:rPr>
        <w:t xml:space="preserve"> </w:t>
      </w:r>
      <w:r w:rsidR="00936CB4" w:rsidRPr="00FE54E3">
        <w:rPr>
          <w:rFonts w:ascii="Arial" w:hAnsi="Arial"/>
          <w:sz w:val="22"/>
          <w:szCs w:val="22"/>
        </w:rPr>
        <w:t>However,</w:t>
      </w:r>
      <w:r w:rsidR="000D73AF" w:rsidRPr="00FE54E3">
        <w:rPr>
          <w:rFonts w:ascii="Arial" w:hAnsi="Arial"/>
          <w:sz w:val="22"/>
          <w:szCs w:val="22"/>
        </w:rPr>
        <w:t xml:space="preserve"> </w:t>
      </w:r>
      <w:r w:rsidR="002178AB" w:rsidRPr="00FE54E3">
        <w:rPr>
          <w:rFonts w:ascii="Arial" w:hAnsi="Arial"/>
          <w:sz w:val="22"/>
          <w:szCs w:val="22"/>
        </w:rPr>
        <w:t xml:space="preserve">for the comparison of </w:t>
      </w:r>
      <w:proofErr w:type="spellStart"/>
      <w:r w:rsidR="002178AB" w:rsidRPr="00FE54E3">
        <w:rPr>
          <w:rFonts w:ascii="Arial" w:hAnsi="Arial"/>
          <w:sz w:val="22"/>
          <w:szCs w:val="22"/>
        </w:rPr>
        <w:t>adalimumab</w:t>
      </w:r>
      <w:proofErr w:type="spellEnd"/>
      <w:r w:rsidR="002178AB" w:rsidRPr="00FE54E3">
        <w:rPr>
          <w:rFonts w:ascii="Arial" w:hAnsi="Arial"/>
          <w:sz w:val="22"/>
          <w:szCs w:val="22"/>
        </w:rPr>
        <w:t xml:space="preserve"> to infliximab, </w:t>
      </w:r>
      <w:r w:rsidR="00936CB4" w:rsidRPr="00FE54E3">
        <w:rPr>
          <w:rFonts w:ascii="Arial" w:hAnsi="Arial"/>
          <w:sz w:val="22"/>
          <w:szCs w:val="22"/>
        </w:rPr>
        <w:t xml:space="preserve">the PBAC </w:t>
      </w:r>
      <w:r w:rsidR="00136E18" w:rsidRPr="00FE54E3">
        <w:rPr>
          <w:rFonts w:ascii="Arial" w:hAnsi="Arial"/>
          <w:sz w:val="22"/>
          <w:szCs w:val="22"/>
        </w:rPr>
        <w:t xml:space="preserve">observed that the indirect comparison of </w:t>
      </w:r>
      <w:proofErr w:type="spellStart"/>
      <w:r w:rsidR="00136E18" w:rsidRPr="00FE54E3">
        <w:rPr>
          <w:rFonts w:ascii="Arial" w:hAnsi="Arial"/>
          <w:sz w:val="22"/>
          <w:szCs w:val="22"/>
        </w:rPr>
        <w:t>adalimumab</w:t>
      </w:r>
      <w:proofErr w:type="spellEnd"/>
      <w:r w:rsidR="00136E18" w:rsidRPr="00FE54E3">
        <w:rPr>
          <w:rFonts w:ascii="Arial" w:hAnsi="Arial"/>
          <w:sz w:val="22"/>
          <w:szCs w:val="22"/>
        </w:rPr>
        <w:t xml:space="preserve"> to infliximab performed by </w:t>
      </w:r>
      <w:r w:rsidR="008B6EB1" w:rsidRPr="008B6EB1">
        <w:rPr>
          <w:rFonts w:ascii="Arial" w:hAnsi="Arial"/>
          <w:i/>
          <w:sz w:val="22"/>
          <w:szCs w:val="22"/>
        </w:rPr>
        <w:t>(REDACTED</w:t>
      </w:r>
      <w:r w:rsidR="008B6EB1">
        <w:rPr>
          <w:rFonts w:ascii="Arial" w:hAnsi="Arial"/>
          <w:i/>
          <w:sz w:val="22"/>
          <w:szCs w:val="22"/>
        </w:rPr>
        <w:t>)</w:t>
      </w:r>
      <w:r w:rsidR="00136E18" w:rsidRPr="00FE54E3">
        <w:rPr>
          <w:rFonts w:ascii="Arial" w:hAnsi="Arial"/>
          <w:sz w:val="22"/>
          <w:szCs w:val="22"/>
        </w:rPr>
        <w:t xml:space="preserve"> indicated a trend of inferior efficacy for </w:t>
      </w:r>
      <w:proofErr w:type="spellStart"/>
      <w:r w:rsidR="00136E18" w:rsidRPr="00FE54E3">
        <w:rPr>
          <w:rFonts w:ascii="Arial" w:hAnsi="Arial"/>
          <w:sz w:val="22"/>
          <w:szCs w:val="22"/>
        </w:rPr>
        <w:t>adalimumab</w:t>
      </w:r>
      <w:proofErr w:type="spellEnd"/>
      <w:r w:rsidR="00136E18" w:rsidRPr="00FE54E3">
        <w:rPr>
          <w:rFonts w:ascii="Arial" w:hAnsi="Arial"/>
          <w:sz w:val="22"/>
          <w:szCs w:val="22"/>
        </w:rPr>
        <w:t xml:space="preserve"> across all outcomes.</w:t>
      </w:r>
      <w:r w:rsidR="00576205" w:rsidRPr="00FE54E3">
        <w:rPr>
          <w:rFonts w:ascii="Arial" w:hAnsi="Arial"/>
          <w:sz w:val="22"/>
          <w:szCs w:val="22"/>
        </w:rPr>
        <w:t xml:space="preserve"> </w:t>
      </w:r>
      <w:r w:rsidR="00136E18" w:rsidRPr="00FE54E3">
        <w:rPr>
          <w:rFonts w:ascii="Arial" w:hAnsi="Arial"/>
          <w:sz w:val="22"/>
          <w:szCs w:val="22"/>
        </w:rPr>
        <w:t xml:space="preserve"> Although the indirect comparisons of the relative risks and odds ratios resulted in no statistically significant differences between the drugs, the credible intervals were large </w:t>
      </w:r>
      <w:r w:rsidR="00136E18" w:rsidRPr="0031038B">
        <w:rPr>
          <w:rFonts w:ascii="Arial" w:hAnsi="Arial"/>
          <w:sz w:val="22"/>
          <w:szCs w:val="22"/>
        </w:rPr>
        <w:t xml:space="preserve">(e.g. for response at </w:t>
      </w:r>
      <w:r w:rsidR="008B6EB1" w:rsidRPr="008B6EB1">
        <w:rPr>
          <w:rFonts w:ascii="Arial" w:hAnsi="Arial"/>
          <w:i/>
          <w:sz w:val="22"/>
          <w:szCs w:val="22"/>
        </w:rPr>
        <w:t>(REDACTED</w:t>
      </w:r>
      <w:r w:rsidR="008B6EB1">
        <w:rPr>
          <w:rFonts w:ascii="Arial" w:hAnsi="Arial"/>
          <w:i/>
          <w:sz w:val="22"/>
          <w:szCs w:val="22"/>
        </w:rPr>
        <w:t xml:space="preserve">) </w:t>
      </w:r>
      <w:r w:rsidR="00136E18" w:rsidRPr="0031038B">
        <w:rPr>
          <w:rFonts w:ascii="Arial" w:hAnsi="Arial"/>
          <w:sz w:val="22"/>
          <w:szCs w:val="22"/>
        </w:rPr>
        <w:t>OR</w:t>
      </w:r>
      <w:r w:rsidR="008B6EB1">
        <w:rPr>
          <w:rFonts w:ascii="Arial" w:hAnsi="Arial"/>
          <w:noProof/>
          <w:color w:val="000000"/>
          <w:sz w:val="22"/>
          <w:szCs w:val="22"/>
        </w:rPr>
        <w:t xml:space="preserve"> </w:t>
      </w:r>
      <w:r w:rsidR="008B6EB1" w:rsidRPr="008B6EB1">
        <w:rPr>
          <w:rFonts w:ascii="Arial" w:hAnsi="Arial"/>
          <w:i/>
          <w:sz w:val="22"/>
          <w:szCs w:val="22"/>
        </w:rPr>
        <w:t>(REDACTED</w:t>
      </w:r>
      <w:r w:rsidR="008B6EB1">
        <w:rPr>
          <w:rFonts w:ascii="Arial" w:hAnsi="Arial"/>
          <w:i/>
          <w:sz w:val="22"/>
          <w:szCs w:val="22"/>
        </w:rPr>
        <w:t>)</w:t>
      </w:r>
      <w:r w:rsidR="00136E18" w:rsidRPr="0031038B">
        <w:rPr>
          <w:rFonts w:ascii="Arial" w:hAnsi="Arial"/>
          <w:sz w:val="22"/>
          <w:szCs w:val="22"/>
        </w:rPr>
        <w:t xml:space="preserve">; 95% Credible Interval: </w:t>
      </w:r>
      <w:r w:rsidR="008B6EB1" w:rsidRPr="008B6EB1">
        <w:rPr>
          <w:rFonts w:ascii="Arial" w:hAnsi="Arial"/>
          <w:i/>
          <w:sz w:val="22"/>
          <w:szCs w:val="22"/>
        </w:rPr>
        <w:t>(REDACTED</w:t>
      </w:r>
      <w:r w:rsidR="008B6EB1">
        <w:rPr>
          <w:rFonts w:ascii="Arial" w:hAnsi="Arial"/>
          <w:i/>
          <w:sz w:val="22"/>
          <w:szCs w:val="22"/>
        </w:rPr>
        <w:t>)</w:t>
      </w:r>
      <w:r w:rsidR="00136E18" w:rsidRPr="0031038B">
        <w:rPr>
          <w:rFonts w:ascii="Arial" w:hAnsi="Arial"/>
          <w:sz w:val="22"/>
          <w:szCs w:val="22"/>
        </w:rPr>
        <w:t xml:space="preserve"> to </w:t>
      </w:r>
      <w:r w:rsidR="008B6EB1" w:rsidRPr="008B6EB1">
        <w:rPr>
          <w:rFonts w:ascii="Arial" w:hAnsi="Arial"/>
          <w:i/>
          <w:sz w:val="22"/>
          <w:szCs w:val="22"/>
        </w:rPr>
        <w:t>(REDACTED</w:t>
      </w:r>
      <w:r w:rsidR="00136E18" w:rsidRPr="0031038B">
        <w:rPr>
          <w:rFonts w:ascii="Arial" w:hAnsi="Arial"/>
          <w:sz w:val="22"/>
          <w:szCs w:val="22"/>
        </w:rPr>
        <w:t>)</w:t>
      </w:r>
      <w:r w:rsidR="00136E18" w:rsidRPr="00FE54E3">
        <w:rPr>
          <w:rFonts w:ascii="Arial" w:hAnsi="Arial"/>
          <w:sz w:val="22"/>
          <w:szCs w:val="22"/>
        </w:rPr>
        <w:t>.</w:t>
      </w:r>
      <w:r w:rsidR="007D5055" w:rsidRPr="00FE54E3">
        <w:rPr>
          <w:rFonts w:ascii="Arial" w:hAnsi="Arial"/>
          <w:b/>
          <w:color w:val="FF00FF"/>
          <w:sz w:val="22"/>
          <w:szCs w:val="22"/>
        </w:rPr>
        <w:t xml:space="preserve"> </w:t>
      </w:r>
      <w:r w:rsidR="00136E18" w:rsidRPr="00FE54E3">
        <w:rPr>
          <w:rFonts w:ascii="Arial" w:hAnsi="Arial"/>
          <w:b/>
          <w:color w:val="FF00FF"/>
          <w:sz w:val="22"/>
          <w:szCs w:val="22"/>
        </w:rPr>
        <w:t xml:space="preserve"> </w:t>
      </w:r>
      <w:r w:rsidR="00136E18" w:rsidRPr="00FE54E3">
        <w:rPr>
          <w:rFonts w:ascii="Arial" w:hAnsi="Arial"/>
          <w:sz w:val="22"/>
          <w:szCs w:val="22"/>
        </w:rPr>
        <w:t xml:space="preserve">Therefore, the PBAC was concerned that </w:t>
      </w:r>
      <w:proofErr w:type="spellStart"/>
      <w:r w:rsidR="00136E18" w:rsidRPr="00FE54E3">
        <w:rPr>
          <w:rFonts w:ascii="Arial" w:hAnsi="Arial"/>
          <w:sz w:val="22"/>
          <w:szCs w:val="22"/>
        </w:rPr>
        <w:t>adalimumab</w:t>
      </w:r>
      <w:proofErr w:type="spellEnd"/>
      <w:r w:rsidR="00136E18" w:rsidRPr="00FE54E3">
        <w:rPr>
          <w:rFonts w:ascii="Arial" w:hAnsi="Arial"/>
          <w:sz w:val="22"/>
          <w:szCs w:val="22"/>
        </w:rPr>
        <w:t xml:space="preserve"> may be inferior to infliximab in the treatment of moderate to severe ulcerative colitis despite </w:t>
      </w:r>
      <w:r w:rsidR="00E35CB0" w:rsidRPr="00FE54E3">
        <w:rPr>
          <w:rFonts w:ascii="Arial" w:hAnsi="Arial"/>
          <w:sz w:val="22"/>
          <w:szCs w:val="22"/>
        </w:rPr>
        <w:t xml:space="preserve">considering </w:t>
      </w:r>
      <w:proofErr w:type="spellStart"/>
      <w:r w:rsidR="00136E18" w:rsidRPr="00FE54E3">
        <w:rPr>
          <w:rFonts w:ascii="Arial" w:hAnsi="Arial"/>
          <w:sz w:val="22"/>
          <w:szCs w:val="22"/>
        </w:rPr>
        <w:t>adalimumab</w:t>
      </w:r>
      <w:proofErr w:type="spellEnd"/>
      <w:r w:rsidR="00136E18" w:rsidRPr="00FE54E3">
        <w:rPr>
          <w:rFonts w:ascii="Arial" w:hAnsi="Arial"/>
          <w:sz w:val="22"/>
          <w:szCs w:val="22"/>
        </w:rPr>
        <w:t xml:space="preserve"> </w:t>
      </w:r>
      <w:r w:rsidR="00E35CB0" w:rsidRPr="00FE54E3">
        <w:rPr>
          <w:rFonts w:ascii="Arial" w:hAnsi="Arial"/>
          <w:sz w:val="22"/>
          <w:szCs w:val="22"/>
        </w:rPr>
        <w:t xml:space="preserve">to have </w:t>
      </w:r>
      <w:r w:rsidR="00136E18" w:rsidRPr="00FE54E3">
        <w:rPr>
          <w:rFonts w:ascii="Arial" w:hAnsi="Arial"/>
          <w:sz w:val="22"/>
          <w:szCs w:val="22"/>
        </w:rPr>
        <w:t xml:space="preserve">equivalent efficacy to infliximab in </w:t>
      </w:r>
      <w:r w:rsidR="00E35CB0" w:rsidRPr="00FE54E3">
        <w:rPr>
          <w:rFonts w:ascii="Arial" w:hAnsi="Arial"/>
          <w:sz w:val="22"/>
          <w:szCs w:val="22"/>
        </w:rPr>
        <w:t xml:space="preserve">disease indications </w:t>
      </w:r>
      <w:r w:rsidR="00A75DEF" w:rsidRPr="00FE54E3">
        <w:rPr>
          <w:rFonts w:ascii="Arial" w:hAnsi="Arial"/>
          <w:sz w:val="22"/>
          <w:szCs w:val="22"/>
        </w:rPr>
        <w:t>other than ulcerative colitis</w:t>
      </w:r>
      <w:r w:rsidR="00136E18" w:rsidRPr="00FE54E3">
        <w:rPr>
          <w:rFonts w:ascii="Arial" w:hAnsi="Arial"/>
          <w:sz w:val="22"/>
          <w:szCs w:val="22"/>
        </w:rPr>
        <w:t>.</w:t>
      </w:r>
    </w:p>
    <w:p w:rsidR="00BD5BD5" w:rsidRDefault="00BD5BD5" w:rsidP="00902922">
      <w:pPr>
        <w:pStyle w:val="ListParagraph"/>
        <w:jc w:val="both"/>
        <w:rPr>
          <w:rFonts w:ascii="Arial" w:hAnsi="Arial"/>
          <w:sz w:val="22"/>
          <w:szCs w:val="22"/>
        </w:rPr>
      </w:pPr>
    </w:p>
    <w:p w:rsidR="006D44FB" w:rsidRPr="00BD5BD5" w:rsidRDefault="006D44FB" w:rsidP="00BD5BD5">
      <w:pPr>
        <w:pStyle w:val="ListParagraph"/>
        <w:numPr>
          <w:ilvl w:val="1"/>
          <w:numId w:val="1"/>
        </w:numPr>
        <w:jc w:val="both"/>
        <w:rPr>
          <w:rFonts w:ascii="Arial" w:hAnsi="Arial"/>
          <w:sz w:val="22"/>
          <w:szCs w:val="22"/>
        </w:rPr>
      </w:pPr>
      <w:r w:rsidRPr="00BD5BD5">
        <w:rPr>
          <w:rFonts w:ascii="Arial" w:hAnsi="Arial"/>
          <w:sz w:val="22"/>
          <w:szCs w:val="22"/>
        </w:rPr>
        <w:t xml:space="preserve">The PBAC noted the </w:t>
      </w:r>
      <w:r w:rsidR="00E35CB0">
        <w:rPr>
          <w:rFonts w:ascii="Arial" w:hAnsi="Arial"/>
          <w:sz w:val="22"/>
          <w:szCs w:val="22"/>
        </w:rPr>
        <w:t>re-</w:t>
      </w:r>
      <w:r w:rsidRPr="00BD5BD5">
        <w:rPr>
          <w:rFonts w:ascii="Arial" w:hAnsi="Arial"/>
          <w:sz w:val="22"/>
          <w:szCs w:val="22"/>
        </w:rPr>
        <w:t xml:space="preserve">submission’s suggestion that patients treated with infliximab in the supporting clinical trials may have had less severe disease compared to the </w:t>
      </w:r>
      <w:proofErr w:type="spellStart"/>
      <w:r w:rsidRPr="00BD5BD5">
        <w:rPr>
          <w:rFonts w:ascii="Arial" w:hAnsi="Arial"/>
          <w:sz w:val="22"/>
          <w:szCs w:val="22"/>
        </w:rPr>
        <w:t>adalimumab</w:t>
      </w:r>
      <w:proofErr w:type="spellEnd"/>
      <w:r w:rsidRPr="00BD5BD5">
        <w:rPr>
          <w:rFonts w:ascii="Arial" w:hAnsi="Arial"/>
          <w:sz w:val="22"/>
          <w:szCs w:val="22"/>
        </w:rPr>
        <w:t xml:space="preserve"> treated patients</w:t>
      </w:r>
      <w:r w:rsidR="00E35CB0">
        <w:rPr>
          <w:rFonts w:ascii="Arial" w:hAnsi="Arial"/>
          <w:sz w:val="22"/>
          <w:szCs w:val="22"/>
        </w:rPr>
        <w:t xml:space="preserve"> as justification for </w:t>
      </w:r>
      <w:proofErr w:type="spellStart"/>
      <w:r w:rsidR="00E35CB0">
        <w:rPr>
          <w:rFonts w:ascii="Arial" w:hAnsi="Arial"/>
          <w:sz w:val="22"/>
          <w:szCs w:val="22"/>
        </w:rPr>
        <w:t>adalimumab’s</w:t>
      </w:r>
      <w:proofErr w:type="spellEnd"/>
      <w:r w:rsidR="00E35CB0">
        <w:rPr>
          <w:rFonts w:ascii="Arial" w:hAnsi="Arial"/>
          <w:sz w:val="22"/>
          <w:szCs w:val="22"/>
        </w:rPr>
        <w:t xml:space="preserve"> comparatively lower efficacy.</w:t>
      </w:r>
      <w:r w:rsidRPr="00BD5BD5">
        <w:rPr>
          <w:rFonts w:ascii="Arial" w:hAnsi="Arial"/>
          <w:sz w:val="22"/>
          <w:szCs w:val="22"/>
        </w:rPr>
        <w:t xml:space="preserve"> </w:t>
      </w:r>
      <w:r w:rsidR="00E35CB0">
        <w:rPr>
          <w:rFonts w:ascii="Arial" w:hAnsi="Arial"/>
          <w:sz w:val="22"/>
          <w:szCs w:val="22"/>
        </w:rPr>
        <w:t>However, th</w:t>
      </w:r>
      <w:r w:rsidR="00CC2683">
        <w:rPr>
          <w:rFonts w:ascii="Arial" w:hAnsi="Arial"/>
          <w:sz w:val="22"/>
          <w:szCs w:val="22"/>
        </w:rPr>
        <w:t xml:space="preserve">is explanation alone was not adequate in providing the PBAC with conclusive evidence that </w:t>
      </w:r>
      <w:proofErr w:type="spellStart"/>
      <w:r w:rsidR="00CC2683">
        <w:rPr>
          <w:rFonts w:ascii="Arial" w:hAnsi="Arial"/>
          <w:sz w:val="22"/>
          <w:szCs w:val="22"/>
        </w:rPr>
        <w:t>adalimumab</w:t>
      </w:r>
      <w:proofErr w:type="spellEnd"/>
      <w:r w:rsidR="00CC2683">
        <w:rPr>
          <w:rFonts w:ascii="Arial" w:hAnsi="Arial"/>
          <w:sz w:val="22"/>
          <w:szCs w:val="22"/>
        </w:rPr>
        <w:t xml:space="preserve"> is non-inferior to infliximab in the treatment of ulcerative colitis. The PBAC considered that further evidence demonstrating that infliximab is at least non-inferior to infliximab </w:t>
      </w:r>
      <w:r w:rsidR="00135D3E">
        <w:rPr>
          <w:rFonts w:ascii="Arial" w:hAnsi="Arial"/>
          <w:sz w:val="22"/>
          <w:szCs w:val="22"/>
        </w:rPr>
        <w:t xml:space="preserve">is required. </w:t>
      </w:r>
      <w:proofErr w:type="gramStart"/>
      <w:r w:rsidR="00CC2683" w:rsidRPr="00FE54E3">
        <w:rPr>
          <w:rFonts w:ascii="Arial" w:hAnsi="Arial"/>
          <w:sz w:val="22"/>
          <w:szCs w:val="22"/>
        </w:rPr>
        <w:t>in</w:t>
      </w:r>
      <w:proofErr w:type="gramEnd"/>
      <w:r w:rsidR="00CC2683" w:rsidRPr="00FE54E3">
        <w:rPr>
          <w:rFonts w:ascii="Arial" w:hAnsi="Arial"/>
          <w:sz w:val="22"/>
          <w:szCs w:val="22"/>
        </w:rPr>
        <w:t xml:space="preserve"> the form of either new clinical trial data and/or substantive analysis of the baseline characteristics of the </w:t>
      </w:r>
      <w:proofErr w:type="spellStart"/>
      <w:r w:rsidR="00CC2683" w:rsidRPr="00FE54E3">
        <w:rPr>
          <w:rFonts w:ascii="Arial" w:hAnsi="Arial"/>
          <w:sz w:val="22"/>
          <w:szCs w:val="22"/>
        </w:rPr>
        <w:t>adalimumab</w:t>
      </w:r>
      <w:proofErr w:type="spellEnd"/>
      <w:r w:rsidR="00CC2683" w:rsidRPr="00FE54E3">
        <w:rPr>
          <w:rFonts w:ascii="Arial" w:hAnsi="Arial"/>
          <w:sz w:val="22"/>
          <w:szCs w:val="22"/>
        </w:rPr>
        <w:t xml:space="preserve"> and infliximab patients referred to in </w:t>
      </w:r>
      <w:r w:rsidR="008B6EB1" w:rsidRPr="008B6EB1">
        <w:rPr>
          <w:rFonts w:ascii="Arial" w:hAnsi="Arial"/>
          <w:i/>
          <w:sz w:val="22"/>
          <w:szCs w:val="22"/>
        </w:rPr>
        <w:t>(REDACTED</w:t>
      </w:r>
      <w:r w:rsidR="008B6EB1">
        <w:rPr>
          <w:rFonts w:ascii="Arial" w:hAnsi="Arial"/>
          <w:i/>
          <w:sz w:val="22"/>
          <w:szCs w:val="22"/>
        </w:rPr>
        <w:t xml:space="preserve">) </w:t>
      </w:r>
      <w:r w:rsidR="00CC2683" w:rsidRPr="00FE54E3">
        <w:rPr>
          <w:rFonts w:ascii="Arial" w:hAnsi="Arial"/>
          <w:sz w:val="22"/>
          <w:szCs w:val="22"/>
        </w:rPr>
        <w:t>report.</w:t>
      </w:r>
    </w:p>
    <w:p w:rsidR="00936CB4" w:rsidRPr="00936CB4" w:rsidRDefault="00936CB4" w:rsidP="006D44FB">
      <w:pPr>
        <w:pStyle w:val="ListParagraph"/>
      </w:pPr>
    </w:p>
    <w:p w:rsidR="00A02F82" w:rsidRDefault="00D32BE5" w:rsidP="00505097">
      <w:pPr>
        <w:pStyle w:val="ListParagraph"/>
        <w:numPr>
          <w:ilvl w:val="1"/>
          <w:numId w:val="1"/>
        </w:numPr>
        <w:ind w:left="709" w:hanging="709"/>
        <w:jc w:val="both"/>
        <w:rPr>
          <w:rFonts w:ascii="Arial" w:hAnsi="Arial"/>
          <w:sz w:val="22"/>
          <w:szCs w:val="22"/>
        </w:rPr>
      </w:pPr>
      <w:r>
        <w:rPr>
          <w:rFonts w:ascii="Arial" w:hAnsi="Arial"/>
          <w:sz w:val="22"/>
          <w:szCs w:val="22"/>
        </w:rPr>
        <w:t>The PBAC reaffirmed its views with regards to comparative safe</w:t>
      </w:r>
      <w:r w:rsidR="00BC272C">
        <w:rPr>
          <w:rFonts w:ascii="Arial" w:hAnsi="Arial"/>
          <w:sz w:val="22"/>
          <w:szCs w:val="22"/>
        </w:rPr>
        <w:t xml:space="preserve">ty of </w:t>
      </w:r>
      <w:proofErr w:type="spellStart"/>
      <w:r w:rsidR="00BC272C">
        <w:rPr>
          <w:rFonts w:ascii="Arial" w:hAnsi="Arial"/>
          <w:sz w:val="22"/>
          <w:szCs w:val="22"/>
        </w:rPr>
        <w:t>adalimumab</w:t>
      </w:r>
      <w:proofErr w:type="spellEnd"/>
      <w:r w:rsidR="00BC272C">
        <w:rPr>
          <w:rFonts w:ascii="Arial" w:hAnsi="Arial"/>
          <w:sz w:val="22"/>
          <w:szCs w:val="22"/>
        </w:rPr>
        <w:t xml:space="preserve">, </w:t>
      </w:r>
      <w:r w:rsidR="00633A37">
        <w:rPr>
          <w:rFonts w:ascii="Arial" w:hAnsi="Arial"/>
          <w:sz w:val="22"/>
          <w:szCs w:val="22"/>
        </w:rPr>
        <w:t xml:space="preserve">in that </w:t>
      </w:r>
      <w:proofErr w:type="spellStart"/>
      <w:r w:rsidR="00633A37">
        <w:rPr>
          <w:rFonts w:ascii="Arial" w:hAnsi="Arial"/>
          <w:sz w:val="22"/>
          <w:szCs w:val="22"/>
        </w:rPr>
        <w:t>adalimumab</w:t>
      </w:r>
      <w:proofErr w:type="spellEnd"/>
      <w:r w:rsidR="00633A37">
        <w:rPr>
          <w:rFonts w:ascii="Arial" w:hAnsi="Arial"/>
          <w:sz w:val="22"/>
          <w:szCs w:val="22"/>
        </w:rPr>
        <w:t xml:space="preserve"> is</w:t>
      </w:r>
      <w:r w:rsidR="00BC272C">
        <w:rPr>
          <w:rFonts w:ascii="Arial" w:hAnsi="Arial"/>
          <w:sz w:val="22"/>
          <w:szCs w:val="22"/>
        </w:rPr>
        <w:t xml:space="preserve"> marginally worse compared to placebo</w:t>
      </w:r>
      <w:r>
        <w:rPr>
          <w:rFonts w:ascii="Arial" w:hAnsi="Arial"/>
          <w:sz w:val="22"/>
          <w:szCs w:val="22"/>
        </w:rPr>
        <w:t xml:space="preserve">.  </w:t>
      </w:r>
      <w:r w:rsidR="00A02F82">
        <w:rPr>
          <w:rFonts w:ascii="Arial" w:hAnsi="Arial"/>
          <w:sz w:val="22"/>
          <w:szCs w:val="22"/>
        </w:rPr>
        <w:t xml:space="preserve">The PBAC </w:t>
      </w:r>
      <w:r>
        <w:rPr>
          <w:rFonts w:ascii="Arial" w:hAnsi="Arial"/>
          <w:sz w:val="22"/>
          <w:szCs w:val="22"/>
        </w:rPr>
        <w:t>noted that no new safety information was provided in the re-submission and the</w:t>
      </w:r>
      <w:r w:rsidR="008B6EB1">
        <w:rPr>
          <w:rFonts w:ascii="Arial" w:hAnsi="Arial"/>
          <w:noProof/>
          <w:color w:val="000000"/>
          <w:sz w:val="22"/>
          <w:szCs w:val="22"/>
        </w:rPr>
        <w:t xml:space="preserve"> </w:t>
      </w:r>
      <w:r w:rsidR="008B6EB1" w:rsidRPr="008B6EB1">
        <w:rPr>
          <w:rFonts w:ascii="Arial" w:hAnsi="Arial"/>
          <w:i/>
          <w:sz w:val="22"/>
          <w:szCs w:val="22"/>
        </w:rPr>
        <w:t>(REDACTED</w:t>
      </w:r>
      <w:r w:rsidR="008B6EB1">
        <w:rPr>
          <w:rFonts w:ascii="Arial" w:hAnsi="Arial"/>
          <w:i/>
          <w:sz w:val="22"/>
          <w:szCs w:val="22"/>
        </w:rPr>
        <w:t xml:space="preserve">) </w:t>
      </w:r>
      <w:r w:rsidRPr="00FA18BD">
        <w:rPr>
          <w:rFonts w:ascii="Arial" w:hAnsi="Arial"/>
          <w:sz w:val="22"/>
          <w:szCs w:val="22"/>
        </w:rPr>
        <w:t>report</w:t>
      </w:r>
      <w:r>
        <w:rPr>
          <w:rFonts w:ascii="Arial" w:hAnsi="Arial"/>
          <w:sz w:val="22"/>
          <w:szCs w:val="22"/>
        </w:rPr>
        <w:t xml:space="preserve"> did not provide a comparative assessment of safety for </w:t>
      </w:r>
      <w:proofErr w:type="spellStart"/>
      <w:r>
        <w:rPr>
          <w:rFonts w:ascii="Arial" w:hAnsi="Arial"/>
          <w:sz w:val="22"/>
          <w:szCs w:val="22"/>
        </w:rPr>
        <w:t>adalimumab</w:t>
      </w:r>
      <w:proofErr w:type="spellEnd"/>
      <w:r>
        <w:rPr>
          <w:rFonts w:ascii="Arial" w:hAnsi="Arial"/>
          <w:sz w:val="22"/>
          <w:szCs w:val="22"/>
        </w:rPr>
        <w:t xml:space="preserve"> and infliximab. </w:t>
      </w:r>
    </w:p>
    <w:p w:rsidR="00D32BE5" w:rsidRPr="00A02F82" w:rsidRDefault="00D32BE5" w:rsidP="00D32BE5">
      <w:pPr>
        <w:ind w:left="709"/>
        <w:jc w:val="both"/>
        <w:rPr>
          <w:rFonts w:ascii="Arial" w:hAnsi="Arial"/>
          <w:sz w:val="22"/>
          <w:szCs w:val="22"/>
        </w:rPr>
      </w:pPr>
    </w:p>
    <w:p w:rsidR="00E55FBA" w:rsidRDefault="00773073" w:rsidP="00505097">
      <w:pPr>
        <w:pStyle w:val="ListParagraph"/>
        <w:numPr>
          <w:ilvl w:val="1"/>
          <w:numId w:val="1"/>
        </w:numPr>
        <w:ind w:left="709" w:hanging="709"/>
        <w:jc w:val="both"/>
        <w:rPr>
          <w:rFonts w:ascii="Arial" w:hAnsi="Arial"/>
          <w:sz w:val="22"/>
          <w:szCs w:val="22"/>
        </w:rPr>
      </w:pPr>
      <w:r>
        <w:rPr>
          <w:rFonts w:ascii="Arial" w:hAnsi="Arial"/>
          <w:sz w:val="22"/>
          <w:szCs w:val="22"/>
        </w:rPr>
        <w:t xml:space="preserve">The PBAC noted the cost-utility analysis presented as a result of the re-submission nominating best supportive care as the comparator.  The PBAC noted that the estimated ICER in the </w:t>
      </w:r>
      <w:r w:rsidR="00633A37">
        <w:rPr>
          <w:rFonts w:ascii="Arial" w:hAnsi="Arial"/>
          <w:sz w:val="22"/>
          <w:szCs w:val="22"/>
        </w:rPr>
        <w:t>re-</w:t>
      </w:r>
      <w:r>
        <w:rPr>
          <w:rFonts w:ascii="Arial" w:hAnsi="Arial"/>
          <w:sz w:val="22"/>
          <w:szCs w:val="22"/>
        </w:rPr>
        <w:t>submission</w:t>
      </w:r>
      <w:r w:rsidR="00633A37">
        <w:rPr>
          <w:rFonts w:ascii="Arial" w:hAnsi="Arial"/>
          <w:sz w:val="22"/>
          <w:szCs w:val="22"/>
        </w:rPr>
        <w:t xml:space="preserve"> </w:t>
      </w:r>
      <w:r w:rsidR="00135D3E">
        <w:rPr>
          <w:rFonts w:ascii="Arial" w:hAnsi="Arial"/>
          <w:sz w:val="22"/>
          <w:szCs w:val="22"/>
        </w:rPr>
        <w:t>($15,000/QALY - $45,000/QALY</w:t>
      </w:r>
      <w:r w:rsidR="00FA18BD">
        <w:rPr>
          <w:rFonts w:ascii="Arial" w:hAnsi="Arial"/>
          <w:sz w:val="22"/>
          <w:szCs w:val="22"/>
        </w:rPr>
        <w:t xml:space="preserve"> </w:t>
      </w:r>
      <w:r w:rsidR="00633A37">
        <w:rPr>
          <w:rFonts w:ascii="Arial" w:hAnsi="Arial"/>
          <w:sz w:val="22"/>
          <w:szCs w:val="22"/>
        </w:rPr>
        <w:t>gained) was at face value low and acceptable but considered that it</w:t>
      </w:r>
      <w:r>
        <w:rPr>
          <w:rFonts w:ascii="Arial" w:hAnsi="Arial"/>
          <w:sz w:val="22"/>
          <w:szCs w:val="22"/>
        </w:rPr>
        <w:t xml:space="preserve"> was highly sensitive to the health state values applied in the model, the source of the health state costs used and the estimate of the efficacy of </w:t>
      </w:r>
      <w:proofErr w:type="spellStart"/>
      <w:r>
        <w:rPr>
          <w:rFonts w:ascii="Arial" w:hAnsi="Arial"/>
          <w:sz w:val="22"/>
          <w:szCs w:val="22"/>
        </w:rPr>
        <w:t>adalimumab</w:t>
      </w:r>
      <w:proofErr w:type="spellEnd"/>
      <w:r>
        <w:rPr>
          <w:rFonts w:ascii="Arial" w:hAnsi="Arial"/>
          <w:sz w:val="22"/>
          <w:szCs w:val="22"/>
        </w:rPr>
        <w:t xml:space="preserve"> beyond trial duration.</w:t>
      </w:r>
      <w:r w:rsidR="00856DE0">
        <w:rPr>
          <w:rFonts w:ascii="Arial" w:hAnsi="Arial"/>
          <w:sz w:val="22"/>
          <w:szCs w:val="22"/>
        </w:rPr>
        <w:t xml:space="preserve"> The PBAC </w:t>
      </w:r>
      <w:r w:rsidR="007611B2">
        <w:rPr>
          <w:rFonts w:ascii="Arial" w:hAnsi="Arial"/>
          <w:sz w:val="22"/>
          <w:szCs w:val="22"/>
        </w:rPr>
        <w:t xml:space="preserve">accepted the ESC’s advice that the true ICER realised in practice is likely to be significantly greater than the ICER claimed in the re-submission, noting that the biological disease modifying anti-rheumatic drugs </w:t>
      </w:r>
      <w:r w:rsidR="00E55FBA">
        <w:rPr>
          <w:rFonts w:ascii="Arial" w:hAnsi="Arial"/>
          <w:sz w:val="22"/>
          <w:szCs w:val="22"/>
        </w:rPr>
        <w:t>(</w:t>
      </w:r>
      <w:proofErr w:type="spellStart"/>
      <w:r w:rsidR="00E55FBA">
        <w:rPr>
          <w:rFonts w:ascii="Arial" w:hAnsi="Arial"/>
          <w:sz w:val="22"/>
          <w:szCs w:val="22"/>
        </w:rPr>
        <w:t>bDMARDs</w:t>
      </w:r>
      <w:proofErr w:type="spellEnd"/>
      <w:r w:rsidR="00E55FBA">
        <w:rPr>
          <w:rFonts w:ascii="Arial" w:hAnsi="Arial"/>
          <w:sz w:val="22"/>
          <w:szCs w:val="22"/>
        </w:rPr>
        <w:t xml:space="preserve">) </w:t>
      </w:r>
      <w:r w:rsidR="007611B2">
        <w:rPr>
          <w:rFonts w:ascii="Arial" w:hAnsi="Arial"/>
          <w:sz w:val="22"/>
          <w:szCs w:val="22"/>
        </w:rPr>
        <w:t xml:space="preserve">generally have ICERs in the $45,000/QALY plus range for indications other than ulcerative colitis. Given </w:t>
      </w:r>
      <w:proofErr w:type="spellStart"/>
      <w:r w:rsidR="007611B2">
        <w:rPr>
          <w:rFonts w:ascii="Arial" w:hAnsi="Arial"/>
          <w:sz w:val="22"/>
          <w:szCs w:val="22"/>
        </w:rPr>
        <w:t>adalimumab’s</w:t>
      </w:r>
      <w:proofErr w:type="spellEnd"/>
      <w:r w:rsidR="007611B2">
        <w:rPr>
          <w:rFonts w:ascii="Arial" w:hAnsi="Arial"/>
          <w:sz w:val="22"/>
          <w:szCs w:val="22"/>
        </w:rPr>
        <w:t xml:space="preserve"> modest incremental clinical benefit </w:t>
      </w:r>
      <w:r w:rsidR="00E55FBA">
        <w:rPr>
          <w:rFonts w:ascii="Arial" w:hAnsi="Arial"/>
          <w:sz w:val="22"/>
          <w:szCs w:val="22"/>
        </w:rPr>
        <w:t xml:space="preserve">in ulcerative colitis </w:t>
      </w:r>
      <w:r w:rsidR="007611B2">
        <w:rPr>
          <w:rFonts w:ascii="Arial" w:hAnsi="Arial"/>
          <w:sz w:val="22"/>
          <w:szCs w:val="22"/>
        </w:rPr>
        <w:t xml:space="preserve">compared to placebo, </w:t>
      </w:r>
      <w:r w:rsidR="00E55FBA">
        <w:rPr>
          <w:rFonts w:ascii="Arial" w:hAnsi="Arial"/>
          <w:sz w:val="22"/>
          <w:szCs w:val="22"/>
        </w:rPr>
        <w:t xml:space="preserve">the PBAC doubted whether the true ICER would be significantly lower than the commonly high ICER ranges seen for </w:t>
      </w:r>
      <w:proofErr w:type="spellStart"/>
      <w:r w:rsidR="00E55FBA">
        <w:rPr>
          <w:rFonts w:ascii="Arial" w:hAnsi="Arial"/>
          <w:sz w:val="22"/>
          <w:szCs w:val="22"/>
        </w:rPr>
        <w:t>bDMARDs</w:t>
      </w:r>
      <w:proofErr w:type="spellEnd"/>
      <w:r w:rsidR="00E55FBA">
        <w:rPr>
          <w:rFonts w:ascii="Arial" w:hAnsi="Arial"/>
          <w:sz w:val="22"/>
          <w:szCs w:val="22"/>
        </w:rPr>
        <w:t xml:space="preserve"> in indications other than ulcerative colitis.</w:t>
      </w:r>
    </w:p>
    <w:p w:rsidR="00E55FBA" w:rsidRDefault="00E55FBA" w:rsidP="00902922">
      <w:pPr>
        <w:pStyle w:val="ListParagraph"/>
        <w:ind w:left="709"/>
        <w:jc w:val="both"/>
        <w:rPr>
          <w:rFonts w:ascii="Arial" w:hAnsi="Arial"/>
          <w:sz w:val="22"/>
          <w:szCs w:val="22"/>
        </w:rPr>
      </w:pPr>
    </w:p>
    <w:p w:rsidR="00773073" w:rsidRPr="00FA18BD" w:rsidRDefault="00E55FBA" w:rsidP="00E55FBA">
      <w:pPr>
        <w:pStyle w:val="ListParagraph"/>
        <w:numPr>
          <w:ilvl w:val="1"/>
          <w:numId w:val="1"/>
        </w:numPr>
        <w:jc w:val="both"/>
        <w:rPr>
          <w:rFonts w:ascii="Arial" w:hAnsi="Arial"/>
          <w:sz w:val="22"/>
          <w:szCs w:val="22"/>
        </w:rPr>
      </w:pPr>
      <w:r w:rsidRPr="00FA18BD">
        <w:rPr>
          <w:rFonts w:ascii="Arial" w:hAnsi="Arial"/>
          <w:sz w:val="22"/>
          <w:szCs w:val="22"/>
        </w:rPr>
        <w:t xml:space="preserve">Although no formal cost-minimisation analysis was presented by the re-submission, </w:t>
      </w:r>
      <w:r w:rsidRPr="00941439">
        <w:rPr>
          <w:rFonts w:ascii="Arial" w:hAnsi="Arial"/>
          <w:sz w:val="22"/>
          <w:szCs w:val="22"/>
        </w:rPr>
        <w:t xml:space="preserve">the PBAC noted the sponsor’s willingness to accept listing on a cost-minimisation basis to infliximab </w:t>
      </w:r>
      <w:r w:rsidR="008B6EB1" w:rsidRPr="008B6EB1">
        <w:rPr>
          <w:rFonts w:ascii="Arial" w:hAnsi="Arial"/>
          <w:i/>
          <w:sz w:val="22"/>
          <w:szCs w:val="22"/>
        </w:rPr>
        <w:t>(REDACTED</w:t>
      </w:r>
      <w:r w:rsidR="008B6EB1">
        <w:rPr>
          <w:rFonts w:ascii="Arial" w:hAnsi="Arial"/>
          <w:i/>
          <w:sz w:val="22"/>
          <w:szCs w:val="22"/>
        </w:rPr>
        <w:t xml:space="preserve">). </w:t>
      </w:r>
      <w:r w:rsidRPr="00FA18BD">
        <w:rPr>
          <w:rFonts w:ascii="Arial" w:hAnsi="Arial"/>
          <w:sz w:val="22"/>
          <w:szCs w:val="22"/>
        </w:rPr>
        <w:t>However, as the PBAC was yet to accept the clinical claim of non-inferiority</w:t>
      </w:r>
      <w:r w:rsidR="00902922" w:rsidRPr="00FA18BD">
        <w:rPr>
          <w:rFonts w:ascii="Arial" w:hAnsi="Arial"/>
          <w:sz w:val="22"/>
          <w:szCs w:val="22"/>
        </w:rPr>
        <w:t xml:space="preserve"> to infliximab</w:t>
      </w:r>
      <w:r w:rsidRPr="00FA18BD">
        <w:rPr>
          <w:rFonts w:ascii="Arial" w:hAnsi="Arial"/>
          <w:sz w:val="22"/>
          <w:szCs w:val="22"/>
        </w:rPr>
        <w:t>, the PBAC was not prepared to recommend listing on a cost-minimisation basis at this stage.</w:t>
      </w:r>
      <w:r w:rsidR="00902922" w:rsidRPr="00FA18BD">
        <w:rPr>
          <w:rFonts w:ascii="Arial" w:hAnsi="Arial"/>
          <w:sz w:val="22"/>
          <w:szCs w:val="22"/>
        </w:rPr>
        <w:t xml:space="preserve">  </w:t>
      </w:r>
    </w:p>
    <w:p w:rsidR="00BB7EC3" w:rsidRPr="00B16739" w:rsidRDefault="00BB7EC3" w:rsidP="00B16739">
      <w:pPr>
        <w:rPr>
          <w:rFonts w:ascii="Arial" w:hAnsi="Arial"/>
          <w:sz w:val="22"/>
          <w:szCs w:val="22"/>
        </w:rPr>
      </w:pPr>
    </w:p>
    <w:p w:rsidR="00FA6055" w:rsidRPr="00B55A91" w:rsidRDefault="00B16739" w:rsidP="00B55A91">
      <w:pPr>
        <w:pStyle w:val="ListParagraph"/>
        <w:numPr>
          <w:ilvl w:val="1"/>
          <w:numId w:val="1"/>
        </w:numPr>
        <w:ind w:left="709" w:hanging="709"/>
        <w:jc w:val="both"/>
        <w:rPr>
          <w:rFonts w:ascii="Arial" w:hAnsi="Arial"/>
          <w:sz w:val="22"/>
          <w:szCs w:val="22"/>
        </w:rPr>
      </w:pPr>
      <w:r>
        <w:rPr>
          <w:rFonts w:ascii="Arial" w:hAnsi="Arial"/>
          <w:sz w:val="22"/>
          <w:szCs w:val="22"/>
        </w:rPr>
        <w:t>The PBAC noted the potential for the estimated financial implications to the PBS to be greater or less than what was estimated in the submission due to variability in the estimated number of eligible patents, treated patients and number of patients achieving an adequate response to be elig</w:t>
      </w:r>
      <w:r w:rsidR="008F7843">
        <w:rPr>
          <w:rFonts w:ascii="Arial" w:hAnsi="Arial"/>
          <w:sz w:val="22"/>
          <w:szCs w:val="22"/>
        </w:rPr>
        <w:t xml:space="preserve">ible for continuing treatment.  The PBAC considered that certainty in the financial implications to the PBS would be increased if </w:t>
      </w:r>
      <w:proofErr w:type="spellStart"/>
      <w:r w:rsidR="008F7843">
        <w:rPr>
          <w:rFonts w:ascii="Arial" w:hAnsi="Arial"/>
          <w:sz w:val="22"/>
          <w:szCs w:val="22"/>
        </w:rPr>
        <w:t>adalimumab</w:t>
      </w:r>
      <w:proofErr w:type="spellEnd"/>
      <w:r w:rsidR="008F7843">
        <w:rPr>
          <w:rFonts w:ascii="Arial" w:hAnsi="Arial"/>
          <w:sz w:val="22"/>
          <w:szCs w:val="22"/>
        </w:rPr>
        <w:t xml:space="preserve"> was recommended on a cost-minimisation basis against infliximab.</w:t>
      </w:r>
      <w:r>
        <w:rPr>
          <w:rFonts w:ascii="Arial" w:hAnsi="Arial"/>
          <w:sz w:val="22"/>
          <w:szCs w:val="22"/>
        </w:rPr>
        <w:t xml:space="preserve">  </w:t>
      </w:r>
    </w:p>
    <w:p w:rsidR="00595F6A" w:rsidRDefault="00595F6A" w:rsidP="00902922">
      <w:pPr>
        <w:pStyle w:val="ListParagraph"/>
        <w:jc w:val="both"/>
        <w:rPr>
          <w:rFonts w:ascii="Arial" w:hAnsi="Arial"/>
          <w:sz w:val="22"/>
          <w:szCs w:val="22"/>
        </w:rPr>
      </w:pPr>
    </w:p>
    <w:p w:rsidR="002B17EE" w:rsidRDefault="00595F6A" w:rsidP="00FC2BD2">
      <w:pPr>
        <w:pStyle w:val="ListParagraph"/>
        <w:numPr>
          <w:ilvl w:val="1"/>
          <w:numId w:val="1"/>
        </w:numPr>
        <w:ind w:left="709" w:hanging="709"/>
        <w:jc w:val="both"/>
        <w:rPr>
          <w:rFonts w:ascii="Arial" w:hAnsi="Arial"/>
          <w:sz w:val="22"/>
          <w:szCs w:val="22"/>
        </w:rPr>
      </w:pPr>
      <w:r>
        <w:rPr>
          <w:rFonts w:ascii="Arial" w:hAnsi="Arial"/>
          <w:sz w:val="22"/>
          <w:szCs w:val="22"/>
        </w:rPr>
        <w:t>T</w:t>
      </w:r>
      <w:r w:rsidR="002B17EE" w:rsidRPr="002B17EE">
        <w:rPr>
          <w:rFonts w:ascii="Arial" w:hAnsi="Arial"/>
          <w:sz w:val="22"/>
          <w:szCs w:val="22"/>
        </w:rPr>
        <w:t xml:space="preserve">he PBAC considered that further evidence of non-inferiority against infliximab needs to be presented in future major re-submission.  This may take the form of new data and/or further justification for why </w:t>
      </w:r>
      <w:proofErr w:type="spellStart"/>
      <w:r w:rsidR="002B17EE" w:rsidRPr="002B17EE">
        <w:rPr>
          <w:rFonts w:ascii="Arial" w:hAnsi="Arial"/>
          <w:sz w:val="22"/>
          <w:szCs w:val="22"/>
        </w:rPr>
        <w:t>adalimumab’s</w:t>
      </w:r>
      <w:proofErr w:type="spellEnd"/>
      <w:r w:rsidR="002B17EE" w:rsidRPr="002B17EE">
        <w:rPr>
          <w:rFonts w:ascii="Arial" w:hAnsi="Arial"/>
          <w:sz w:val="22"/>
          <w:szCs w:val="22"/>
        </w:rPr>
        <w:t xml:space="preserve"> efficacy and safety compared to infliximab should be no different in ulcerative colitis than in other non-ulcerative colitis indications. </w:t>
      </w:r>
    </w:p>
    <w:p w:rsidR="00BB7EC3" w:rsidRPr="002B17EE" w:rsidRDefault="00BB7EC3" w:rsidP="002B17EE">
      <w:pPr>
        <w:rPr>
          <w:rFonts w:ascii="Arial" w:hAnsi="Arial"/>
          <w:sz w:val="22"/>
          <w:szCs w:val="22"/>
        </w:rPr>
      </w:pPr>
    </w:p>
    <w:p w:rsidR="00DF26A7" w:rsidRDefault="00BB7EC3" w:rsidP="0099672C">
      <w:pPr>
        <w:pStyle w:val="ListParagraph"/>
        <w:numPr>
          <w:ilvl w:val="1"/>
          <w:numId w:val="1"/>
        </w:numPr>
        <w:ind w:left="709" w:hanging="709"/>
        <w:jc w:val="both"/>
        <w:rPr>
          <w:rFonts w:ascii="Arial" w:hAnsi="Arial"/>
          <w:sz w:val="22"/>
          <w:szCs w:val="22"/>
        </w:rPr>
      </w:pPr>
      <w:r>
        <w:rPr>
          <w:rFonts w:ascii="Arial" w:hAnsi="Arial"/>
          <w:sz w:val="22"/>
          <w:szCs w:val="22"/>
        </w:rPr>
        <w:t>The PBA</w:t>
      </w:r>
      <w:r w:rsidR="0099672C">
        <w:rPr>
          <w:rFonts w:ascii="Arial" w:hAnsi="Arial"/>
          <w:sz w:val="22"/>
          <w:szCs w:val="22"/>
        </w:rPr>
        <w:t>C noted that this submission is</w:t>
      </w:r>
      <w:r>
        <w:rPr>
          <w:rFonts w:ascii="Arial" w:hAnsi="Arial"/>
          <w:sz w:val="22"/>
          <w:szCs w:val="22"/>
        </w:rPr>
        <w:t xml:space="preserve"> </w:t>
      </w:r>
      <w:r w:rsidR="00B43E90" w:rsidRPr="00882085">
        <w:rPr>
          <w:rFonts w:ascii="Arial" w:hAnsi="Arial"/>
          <w:sz w:val="22"/>
          <w:szCs w:val="22"/>
        </w:rPr>
        <w:t>eligibl</w:t>
      </w:r>
      <w:r>
        <w:rPr>
          <w:rFonts w:ascii="Arial" w:hAnsi="Arial"/>
          <w:sz w:val="22"/>
          <w:szCs w:val="22"/>
        </w:rPr>
        <w:t>e</w:t>
      </w:r>
      <w:r w:rsidR="00B43E90" w:rsidRPr="00882085">
        <w:rPr>
          <w:rFonts w:ascii="Arial" w:hAnsi="Arial"/>
          <w:sz w:val="22"/>
          <w:szCs w:val="22"/>
        </w:rPr>
        <w:t xml:space="preserve"> for </w:t>
      </w:r>
      <w:r>
        <w:rPr>
          <w:rFonts w:ascii="Arial" w:hAnsi="Arial"/>
          <w:sz w:val="22"/>
          <w:szCs w:val="22"/>
        </w:rPr>
        <w:t xml:space="preserve">an </w:t>
      </w:r>
      <w:r w:rsidR="00B43E90" w:rsidRPr="00882085">
        <w:rPr>
          <w:rFonts w:ascii="Arial" w:hAnsi="Arial"/>
          <w:sz w:val="22"/>
          <w:szCs w:val="22"/>
        </w:rPr>
        <w:t>Independent Review.</w:t>
      </w:r>
      <w:r>
        <w:rPr>
          <w:rFonts w:ascii="Arial" w:hAnsi="Arial"/>
          <w:sz w:val="22"/>
          <w:szCs w:val="22"/>
        </w:rPr>
        <w:t xml:space="preserve"> </w:t>
      </w:r>
    </w:p>
    <w:p w:rsidR="0099672C" w:rsidRPr="00882085" w:rsidRDefault="0099672C" w:rsidP="0099672C">
      <w:pPr>
        <w:pStyle w:val="ListParagraph"/>
        <w:ind w:left="709"/>
        <w:jc w:val="both"/>
        <w:rPr>
          <w:rFonts w:ascii="Arial" w:hAnsi="Arial"/>
          <w:sz w:val="22"/>
          <w:szCs w:val="22"/>
        </w:rPr>
      </w:pPr>
    </w:p>
    <w:p w:rsidR="002B17EE" w:rsidRPr="00882085" w:rsidDel="002B17EE" w:rsidRDefault="009C703C" w:rsidP="00882085">
      <w:pPr>
        <w:jc w:val="both"/>
        <w:rPr>
          <w:rFonts w:ascii="Arial" w:hAnsi="Arial"/>
          <w:b/>
          <w:sz w:val="22"/>
          <w:szCs w:val="22"/>
        </w:rPr>
      </w:pPr>
      <w:r w:rsidRPr="00882085">
        <w:rPr>
          <w:rFonts w:ascii="Arial" w:hAnsi="Arial"/>
          <w:b/>
          <w:sz w:val="22"/>
          <w:szCs w:val="22"/>
        </w:rPr>
        <w:t>Outcome:</w:t>
      </w:r>
    </w:p>
    <w:p w:rsidR="009C703C" w:rsidRDefault="009C703C" w:rsidP="00882085">
      <w:pPr>
        <w:jc w:val="both"/>
        <w:rPr>
          <w:rFonts w:ascii="Arial" w:hAnsi="Arial"/>
          <w:sz w:val="22"/>
          <w:szCs w:val="22"/>
        </w:rPr>
      </w:pPr>
      <w:r w:rsidRPr="00882085">
        <w:rPr>
          <w:rFonts w:ascii="Arial" w:hAnsi="Arial"/>
          <w:sz w:val="22"/>
          <w:szCs w:val="22"/>
        </w:rPr>
        <w:t xml:space="preserve">Rejected </w:t>
      </w:r>
    </w:p>
    <w:p w:rsidR="00595F6A" w:rsidRDefault="00595F6A" w:rsidP="00882085">
      <w:pPr>
        <w:jc w:val="both"/>
        <w:rPr>
          <w:rFonts w:ascii="Arial" w:hAnsi="Arial"/>
          <w:sz w:val="22"/>
          <w:szCs w:val="22"/>
        </w:rPr>
      </w:pPr>
    </w:p>
    <w:p w:rsidR="003A76E4" w:rsidRPr="00A875B4" w:rsidRDefault="003A76E4" w:rsidP="003A76E4">
      <w:pPr>
        <w:pStyle w:val="ListParagraph"/>
        <w:numPr>
          <w:ilvl w:val="0"/>
          <w:numId w:val="1"/>
        </w:numPr>
        <w:jc w:val="both"/>
        <w:rPr>
          <w:rFonts w:ascii="Arial" w:hAnsi="Arial" w:cs="Arial"/>
          <w:b/>
          <w:sz w:val="22"/>
        </w:rPr>
      </w:pPr>
      <w:r w:rsidRPr="00A875B4">
        <w:rPr>
          <w:rFonts w:ascii="Arial" w:hAnsi="Arial" w:cs="Arial"/>
          <w:b/>
          <w:sz w:val="22"/>
        </w:rPr>
        <w:t>Context for Decision</w:t>
      </w:r>
    </w:p>
    <w:p w:rsidR="003A76E4" w:rsidRPr="00A875B4" w:rsidRDefault="003A76E4" w:rsidP="003A76E4">
      <w:pPr>
        <w:pStyle w:val="ListParagraph"/>
        <w:rPr>
          <w:rFonts w:ascii="Arial" w:hAnsi="Arial" w:cs="Arial"/>
          <w:b/>
          <w:sz w:val="22"/>
        </w:rPr>
      </w:pPr>
    </w:p>
    <w:p w:rsidR="003A76E4" w:rsidRPr="00A875B4" w:rsidRDefault="003A76E4" w:rsidP="003A76E4">
      <w:pPr>
        <w:ind w:left="720"/>
        <w:rPr>
          <w:rFonts w:ascii="Arial" w:hAnsi="Arial" w:cs="Arial"/>
          <w:sz w:val="22"/>
        </w:rPr>
      </w:pPr>
      <w:r w:rsidRPr="00A875B4">
        <w:rPr>
          <w:rFonts w:ascii="Arial" w:hAnsi="Arial" w:cs="Arial"/>
          <w:sz w:val="22"/>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3A76E4" w:rsidRPr="00A875B4" w:rsidRDefault="003A76E4" w:rsidP="003A76E4">
      <w:pPr>
        <w:rPr>
          <w:rFonts w:ascii="Arial" w:hAnsi="Arial" w:cs="Arial"/>
          <w:sz w:val="22"/>
        </w:rPr>
      </w:pPr>
    </w:p>
    <w:p w:rsidR="003A76E4" w:rsidRDefault="003A76E4" w:rsidP="003A76E4">
      <w:pPr>
        <w:pStyle w:val="ListParagraph"/>
        <w:numPr>
          <w:ilvl w:val="0"/>
          <w:numId w:val="1"/>
        </w:numPr>
        <w:jc w:val="both"/>
        <w:rPr>
          <w:rFonts w:ascii="Arial" w:hAnsi="Arial" w:cs="Arial"/>
          <w:b/>
          <w:sz w:val="22"/>
        </w:rPr>
      </w:pPr>
      <w:r w:rsidRPr="00A875B4">
        <w:rPr>
          <w:rFonts w:ascii="Arial" w:hAnsi="Arial" w:cs="Arial"/>
          <w:b/>
          <w:sz w:val="22"/>
        </w:rPr>
        <w:t>Sponsor’s Comment</w:t>
      </w:r>
    </w:p>
    <w:p w:rsidR="00135D3E" w:rsidRPr="00A875B4" w:rsidRDefault="00135D3E" w:rsidP="00135D3E">
      <w:pPr>
        <w:pStyle w:val="ListParagraph"/>
        <w:jc w:val="both"/>
        <w:rPr>
          <w:rFonts w:ascii="Arial" w:hAnsi="Arial" w:cs="Arial"/>
          <w:b/>
          <w:sz w:val="22"/>
        </w:rPr>
      </w:pPr>
    </w:p>
    <w:p w:rsidR="00135D3E" w:rsidRPr="00C354E1" w:rsidRDefault="00135D3E" w:rsidP="00135D3E">
      <w:pPr>
        <w:pStyle w:val="ListParagraph"/>
        <w:ind w:left="709"/>
        <w:jc w:val="both"/>
        <w:rPr>
          <w:rFonts w:ascii="Arial" w:hAnsi="Arial"/>
          <w:sz w:val="22"/>
          <w:szCs w:val="22"/>
        </w:rPr>
      </w:pPr>
      <w:r>
        <w:rPr>
          <w:rFonts w:ascii="Arial" w:hAnsi="Arial"/>
        </w:rPr>
        <w:tab/>
      </w:r>
      <w:proofErr w:type="spellStart"/>
      <w:r w:rsidRPr="00C354E1">
        <w:rPr>
          <w:rFonts w:ascii="Arial" w:hAnsi="Arial"/>
          <w:sz w:val="22"/>
          <w:szCs w:val="22"/>
        </w:rPr>
        <w:t>AbbVie</w:t>
      </w:r>
      <w:proofErr w:type="spellEnd"/>
      <w:r w:rsidRPr="00C354E1">
        <w:rPr>
          <w:rFonts w:ascii="Arial" w:hAnsi="Arial"/>
          <w:sz w:val="22"/>
          <w:szCs w:val="22"/>
        </w:rPr>
        <w:t xml:space="preserve"> is disappointed with the rejection made by the PBAC and will engage with</w:t>
      </w:r>
      <w:r>
        <w:rPr>
          <w:rFonts w:ascii="Arial" w:hAnsi="Arial"/>
          <w:sz w:val="22"/>
          <w:szCs w:val="22"/>
        </w:rPr>
        <w:t xml:space="preserve"> </w:t>
      </w:r>
      <w:r w:rsidRPr="00C354E1">
        <w:rPr>
          <w:rFonts w:ascii="Arial" w:hAnsi="Arial"/>
          <w:sz w:val="22"/>
          <w:szCs w:val="22"/>
        </w:rPr>
        <w:t xml:space="preserve">PBAC to clarify the decision and consider its position regarding any future course of action. </w:t>
      </w:r>
      <w:proofErr w:type="spellStart"/>
      <w:r w:rsidRPr="00C354E1">
        <w:rPr>
          <w:rFonts w:ascii="Arial" w:hAnsi="Arial"/>
          <w:sz w:val="22"/>
          <w:szCs w:val="22"/>
        </w:rPr>
        <w:t>AbbVie</w:t>
      </w:r>
      <w:proofErr w:type="spellEnd"/>
      <w:r w:rsidRPr="00C354E1">
        <w:rPr>
          <w:rFonts w:ascii="Arial" w:hAnsi="Arial"/>
          <w:sz w:val="22"/>
          <w:szCs w:val="22"/>
        </w:rPr>
        <w:t xml:space="preserve"> is committed to ensuring patients with moderate to severe ulcerative</w:t>
      </w:r>
      <w:r>
        <w:rPr>
          <w:rFonts w:ascii="Arial" w:hAnsi="Arial"/>
          <w:sz w:val="22"/>
          <w:szCs w:val="22"/>
        </w:rPr>
        <w:t xml:space="preserve"> c</w:t>
      </w:r>
      <w:r w:rsidRPr="00C354E1">
        <w:rPr>
          <w:rFonts w:ascii="Arial" w:hAnsi="Arial"/>
          <w:sz w:val="22"/>
          <w:szCs w:val="22"/>
        </w:rPr>
        <w:t>olitis</w:t>
      </w:r>
      <w:r w:rsidR="00B4795B">
        <w:rPr>
          <w:rFonts w:ascii="Arial" w:hAnsi="Arial"/>
          <w:sz w:val="22"/>
          <w:szCs w:val="22"/>
        </w:rPr>
        <w:t xml:space="preserve"> are able to</w:t>
      </w:r>
      <w:r w:rsidRPr="00C354E1">
        <w:rPr>
          <w:rFonts w:ascii="Arial" w:hAnsi="Arial"/>
          <w:sz w:val="22"/>
          <w:szCs w:val="22"/>
        </w:rPr>
        <w:t xml:space="preserve"> access</w:t>
      </w:r>
      <w:r w:rsidR="00FA18BD">
        <w:rPr>
          <w:rFonts w:ascii="Arial" w:hAnsi="Arial"/>
          <w:sz w:val="22"/>
          <w:szCs w:val="22"/>
        </w:rPr>
        <w:t xml:space="preserve"> </w:t>
      </w:r>
      <w:r w:rsidR="00B4795B">
        <w:rPr>
          <w:rFonts w:ascii="Arial" w:hAnsi="Arial"/>
          <w:sz w:val="22"/>
          <w:szCs w:val="22"/>
        </w:rPr>
        <w:t xml:space="preserve">self-administered </w:t>
      </w:r>
      <w:proofErr w:type="spellStart"/>
      <w:r w:rsidRPr="00C354E1">
        <w:rPr>
          <w:rFonts w:ascii="Arial" w:hAnsi="Arial"/>
          <w:sz w:val="22"/>
          <w:szCs w:val="22"/>
        </w:rPr>
        <w:t>Humira</w:t>
      </w:r>
      <w:proofErr w:type="spellEnd"/>
      <w:r w:rsidRPr="00C354E1">
        <w:rPr>
          <w:rFonts w:ascii="Arial" w:hAnsi="Arial"/>
          <w:sz w:val="22"/>
          <w:szCs w:val="22"/>
        </w:rPr>
        <w:t>.</w:t>
      </w:r>
    </w:p>
    <w:p w:rsidR="006B485D" w:rsidRPr="00653D69" w:rsidRDefault="006B485D" w:rsidP="00BC4B9A">
      <w:pPr>
        <w:rPr>
          <w:rFonts w:ascii="Arial" w:hAnsi="Arial"/>
        </w:rPr>
      </w:pPr>
    </w:p>
    <w:sectPr w:rsidR="006B485D" w:rsidRPr="00653D69" w:rsidSect="00276ACA">
      <w:headerReference w:type="even" r:id="rId8"/>
      <w:headerReference w:type="default" r:id="rId9"/>
      <w:footerReference w:type="even" r:id="rId10"/>
      <w:footerReference w:type="default" r:id="rId11"/>
      <w:headerReference w:type="first" r:id="rId12"/>
      <w:footerReference w:type="first" r:id="rId13"/>
      <w:pgSz w:w="11906" w:h="16838" w:code="9"/>
      <w:pgMar w:top="1440" w:right="1983" w:bottom="1440" w:left="1440" w:header="720" w:footer="72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7FBB" w:rsidRDefault="002B7FBB">
      <w:r>
        <w:separator/>
      </w:r>
    </w:p>
  </w:endnote>
  <w:endnote w:type="continuationSeparator" w:id="0">
    <w:p w:rsidR="002B7FBB" w:rsidRDefault="002B7F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5000" w:type="pct"/>
      <w:tblLook w:val="04A0" w:firstRow="1" w:lastRow="0" w:firstColumn="1" w:lastColumn="0" w:noHBand="0" w:noVBand="1"/>
    </w:tblPr>
    <w:tblGrid>
      <w:gridCol w:w="3723"/>
      <w:gridCol w:w="1252"/>
      <w:gridCol w:w="3724"/>
    </w:tblGrid>
    <w:tr w:rsidR="00CF3663">
      <w:trPr>
        <w:trHeight w:val="151"/>
      </w:trPr>
      <w:tc>
        <w:tcPr>
          <w:tcW w:w="2250" w:type="pct"/>
          <w:tcBorders>
            <w:top w:val="nil"/>
            <w:left w:val="nil"/>
            <w:bottom w:val="single" w:sz="4" w:space="0" w:color="4F81BD"/>
            <w:right w:val="nil"/>
          </w:tcBorders>
        </w:tcPr>
        <w:p w:rsidR="00CF3663" w:rsidRPr="005A3173" w:rsidRDefault="00CF3663" w:rsidP="005A3173">
          <w:pPr>
            <w:pStyle w:val="Header"/>
            <w:spacing w:line="276" w:lineRule="auto"/>
            <w:rPr>
              <w:rFonts w:ascii="Calibri" w:eastAsia="MS Gothic" w:hAnsi="Calibri"/>
              <w:b/>
              <w:bCs/>
              <w:color w:val="4F81BD"/>
            </w:rPr>
          </w:pPr>
        </w:p>
      </w:tc>
      <w:tc>
        <w:tcPr>
          <w:tcW w:w="500" w:type="pct"/>
          <w:vMerge w:val="restart"/>
          <w:noWrap/>
          <w:vAlign w:val="center"/>
        </w:tcPr>
        <w:p w:rsidR="00CF3663" w:rsidRPr="005A3173" w:rsidRDefault="00CF3663"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CF3663" w:rsidRPr="005A3173" w:rsidRDefault="00CF3663" w:rsidP="005A3173">
          <w:pPr>
            <w:pStyle w:val="Header"/>
            <w:spacing w:line="276" w:lineRule="auto"/>
            <w:rPr>
              <w:rFonts w:ascii="Calibri" w:eastAsia="MS Gothic" w:hAnsi="Calibri"/>
              <w:b/>
              <w:bCs/>
              <w:color w:val="4F81BD"/>
            </w:rPr>
          </w:pPr>
        </w:p>
      </w:tc>
    </w:tr>
    <w:tr w:rsidR="00CF3663">
      <w:trPr>
        <w:trHeight w:val="150"/>
      </w:trPr>
      <w:tc>
        <w:tcPr>
          <w:tcW w:w="2250" w:type="pct"/>
          <w:tcBorders>
            <w:top w:val="single" w:sz="4" w:space="0" w:color="4F81BD"/>
            <w:left w:val="nil"/>
            <w:bottom w:val="nil"/>
            <w:right w:val="nil"/>
          </w:tcBorders>
        </w:tcPr>
        <w:p w:rsidR="00CF3663" w:rsidRPr="005A3173" w:rsidRDefault="00CF3663" w:rsidP="005A3173">
          <w:pPr>
            <w:pStyle w:val="Header"/>
            <w:spacing w:line="276" w:lineRule="auto"/>
            <w:rPr>
              <w:rFonts w:ascii="Calibri" w:eastAsia="MS Gothic" w:hAnsi="Calibri"/>
              <w:b/>
              <w:bCs/>
              <w:color w:val="4F81BD"/>
            </w:rPr>
          </w:pPr>
        </w:p>
      </w:tc>
      <w:tc>
        <w:tcPr>
          <w:tcW w:w="0" w:type="auto"/>
          <w:vMerge/>
          <w:vAlign w:val="center"/>
        </w:tcPr>
        <w:p w:rsidR="00CF3663" w:rsidRPr="005A3173" w:rsidRDefault="00CF3663" w:rsidP="005A3173">
          <w:pPr>
            <w:rPr>
              <w:rFonts w:ascii="Calibri" w:hAnsi="Calibri"/>
              <w:color w:val="365F91"/>
              <w:sz w:val="22"/>
              <w:szCs w:val="22"/>
            </w:rPr>
          </w:pPr>
        </w:p>
      </w:tc>
      <w:tc>
        <w:tcPr>
          <w:tcW w:w="2250" w:type="pct"/>
          <w:tcBorders>
            <w:top w:val="single" w:sz="4" w:space="0" w:color="4F81BD"/>
            <w:left w:val="nil"/>
            <w:bottom w:val="nil"/>
            <w:right w:val="nil"/>
          </w:tcBorders>
        </w:tcPr>
        <w:p w:rsidR="00CF3663" w:rsidRPr="005A3173" w:rsidRDefault="00CF3663" w:rsidP="005A3173">
          <w:pPr>
            <w:pStyle w:val="Header"/>
            <w:spacing w:line="276" w:lineRule="auto"/>
            <w:rPr>
              <w:rFonts w:ascii="Calibri" w:eastAsia="MS Gothic" w:hAnsi="Calibri"/>
              <w:b/>
              <w:bCs/>
              <w:color w:val="4F81BD"/>
            </w:rPr>
          </w:pPr>
        </w:p>
      </w:tc>
    </w:tr>
  </w:tbl>
  <w:p w:rsidR="00CF3663" w:rsidRDefault="00CF3663"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F3663" w:rsidRDefault="00CF366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3016915"/>
      <w:docPartObj>
        <w:docPartGallery w:val="Page Numbers (Bottom of Page)"/>
        <w:docPartUnique/>
      </w:docPartObj>
    </w:sdtPr>
    <w:sdtEndPr>
      <w:rPr>
        <w:rFonts w:ascii="Arial" w:hAnsi="Arial" w:cs="Arial"/>
        <w:noProof/>
        <w:sz w:val="20"/>
        <w:szCs w:val="20"/>
      </w:rPr>
    </w:sdtEndPr>
    <w:sdtContent>
      <w:p w:rsidR="00CF3663" w:rsidRDefault="00CF3663">
        <w:pPr>
          <w:pStyle w:val="Footer"/>
          <w:jc w:val="center"/>
        </w:pPr>
      </w:p>
      <w:p w:rsidR="00CF3663" w:rsidRPr="00651169" w:rsidRDefault="00CF3663">
        <w:pPr>
          <w:pStyle w:val="Footer"/>
          <w:jc w:val="center"/>
          <w:rPr>
            <w:rFonts w:ascii="Arial" w:hAnsi="Arial" w:cs="Arial"/>
            <w:sz w:val="20"/>
            <w:szCs w:val="20"/>
          </w:rPr>
        </w:pPr>
        <w:r>
          <w:fldChar w:fldCharType="begin"/>
        </w:r>
        <w:r>
          <w:instrText xml:space="preserve"> PAGE   \* MERGEFORMAT </w:instrText>
        </w:r>
        <w:r>
          <w:fldChar w:fldCharType="separate"/>
        </w:r>
        <w:r w:rsidR="00110C7E" w:rsidRPr="00110C7E">
          <w:rPr>
            <w:rFonts w:ascii="Arial" w:hAnsi="Arial" w:cs="Arial"/>
            <w:noProof/>
            <w:sz w:val="20"/>
            <w:szCs w:val="20"/>
          </w:rPr>
          <w:t>1</w:t>
        </w:r>
        <w:r>
          <w:rPr>
            <w:rFonts w:ascii="Arial" w:hAnsi="Arial" w:cs="Arial"/>
            <w:noProof/>
            <w:sz w:val="20"/>
            <w:szCs w:val="20"/>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4A0" w:firstRow="1" w:lastRow="0" w:firstColumn="1" w:lastColumn="0" w:noHBand="0" w:noVBand="1"/>
    </w:tblPr>
    <w:tblGrid>
      <w:gridCol w:w="3723"/>
      <w:gridCol w:w="1252"/>
      <w:gridCol w:w="3724"/>
    </w:tblGrid>
    <w:tr w:rsidR="00CF3663">
      <w:trPr>
        <w:trHeight w:val="151"/>
      </w:trPr>
      <w:tc>
        <w:tcPr>
          <w:tcW w:w="2250" w:type="pct"/>
          <w:tcBorders>
            <w:top w:val="nil"/>
            <w:left w:val="nil"/>
            <w:bottom w:val="single" w:sz="4" w:space="0" w:color="4F81BD"/>
            <w:right w:val="nil"/>
          </w:tcBorders>
        </w:tcPr>
        <w:p w:rsidR="00CF3663" w:rsidRPr="005A3173" w:rsidRDefault="00CF3663" w:rsidP="005A3173">
          <w:pPr>
            <w:pStyle w:val="Header"/>
            <w:spacing w:line="276" w:lineRule="auto"/>
            <w:rPr>
              <w:rFonts w:ascii="Calibri" w:eastAsia="MS Gothic" w:hAnsi="Calibri"/>
              <w:b/>
              <w:bCs/>
              <w:color w:val="4F81BD"/>
            </w:rPr>
          </w:pPr>
        </w:p>
      </w:tc>
      <w:tc>
        <w:tcPr>
          <w:tcW w:w="500" w:type="pct"/>
          <w:vMerge w:val="restart"/>
          <w:noWrap/>
          <w:vAlign w:val="center"/>
        </w:tcPr>
        <w:p w:rsidR="00CF3663" w:rsidRPr="005A3173" w:rsidRDefault="00CF3663"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CF3663" w:rsidRPr="005A3173" w:rsidRDefault="00CF3663" w:rsidP="005A3173">
          <w:pPr>
            <w:pStyle w:val="Header"/>
            <w:spacing w:line="276" w:lineRule="auto"/>
            <w:rPr>
              <w:rFonts w:ascii="Calibri" w:eastAsia="MS Gothic" w:hAnsi="Calibri"/>
              <w:b/>
              <w:bCs/>
              <w:color w:val="4F81BD"/>
            </w:rPr>
          </w:pPr>
        </w:p>
      </w:tc>
    </w:tr>
    <w:tr w:rsidR="00CF3663">
      <w:trPr>
        <w:trHeight w:val="150"/>
      </w:trPr>
      <w:tc>
        <w:tcPr>
          <w:tcW w:w="2250" w:type="pct"/>
          <w:tcBorders>
            <w:top w:val="single" w:sz="4" w:space="0" w:color="4F81BD"/>
            <w:left w:val="nil"/>
            <w:bottom w:val="nil"/>
            <w:right w:val="nil"/>
          </w:tcBorders>
        </w:tcPr>
        <w:p w:rsidR="00CF3663" w:rsidRPr="005A3173" w:rsidRDefault="00CF3663" w:rsidP="005A3173">
          <w:pPr>
            <w:pStyle w:val="Header"/>
            <w:spacing w:line="276" w:lineRule="auto"/>
            <w:rPr>
              <w:rFonts w:ascii="Calibri" w:eastAsia="MS Gothic" w:hAnsi="Calibri"/>
              <w:b/>
              <w:bCs/>
              <w:color w:val="4F81BD"/>
            </w:rPr>
          </w:pPr>
        </w:p>
      </w:tc>
      <w:tc>
        <w:tcPr>
          <w:tcW w:w="0" w:type="auto"/>
          <w:vMerge/>
          <w:vAlign w:val="center"/>
        </w:tcPr>
        <w:p w:rsidR="00CF3663" w:rsidRPr="005A3173" w:rsidRDefault="00CF3663" w:rsidP="005A3173">
          <w:pPr>
            <w:rPr>
              <w:rFonts w:ascii="Calibri" w:hAnsi="Calibri"/>
              <w:color w:val="365F91"/>
              <w:sz w:val="22"/>
              <w:szCs w:val="22"/>
            </w:rPr>
          </w:pPr>
        </w:p>
      </w:tc>
      <w:tc>
        <w:tcPr>
          <w:tcW w:w="2250" w:type="pct"/>
          <w:tcBorders>
            <w:top w:val="single" w:sz="4" w:space="0" w:color="4F81BD"/>
            <w:left w:val="nil"/>
            <w:bottom w:val="nil"/>
            <w:right w:val="nil"/>
          </w:tcBorders>
        </w:tcPr>
        <w:p w:rsidR="00CF3663" w:rsidRPr="005A3173" w:rsidRDefault="00CF3663" w:rsidP="005A3173">
          <w:pPr>
            <w:pStyle w:val="Header"/>
            <w:spacing w:line="276" w:lineRule="auto"/>
            <w:rPr>
              <w:rFonts w:ascii="Calibri" w:eastAsia="MS Gothic" w:hAnsi="Calibri"/>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723"/>
      <w:gridCol w:w="1252"/>
      <w:gridCol w:w="3724"/>
    </w:tblGrid>
    <w:tr w:rsidR="00CF3663">
      <w:trPr>
        <w:trHeight w:val="151"/>
      </w:trPr>
      <w:tc>
        <w:tcPr>
          <w:tcW w:w="2250" w:type="pct"/>
          <w:tcBorders>
            <w:top w:val="nil"/>
            <w:left w:val="nil"/>
            <w:bottom w:val="single" w:sz="4" w:space="0" w:color="4F81BD"/>
            <w:right w:val="nil"/>
          </w:tcBorders>
        </w:tcPr>
        <w:p w:rsidR="00CF3663" w:rsidRPr="005A3173" w:rsidRDefault="00CF3663" w:rsidP="005A3173">
          <w:pPr>
            <w:pStyle w:val="Header"/>
            <w:spacing w:line="276" w:lineRule="auto"/>
            <w:rPr>
              <w:rFonts w:ascii="Calibri" w:eastAsia="MS Gothic" w:hAnsi="Calibri"/>
              <w:b/>
              <w:bCs/>
              <w:color w:val="4F81BD"/>
            </w:rPr>
          </w:pPr>
        </w:p>
      </w:tc>
      <w:tc>
        <w:tcPr>
          <w:tcW w:w="500" w:type="pct"/>
          <w:vMerge w:val="restart"/>
          <w:noWrap/>
          <w:vAlign w:val="center"/>
        </w:tcPr>
        <w:p w:rsidR="00CF3663" w:rsidRPr="005A3173" w:rsidRDefault="00CF3663"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CF3663" w:rsidRPr="005A3173" w:rsidRDefault="00CF3663" w:rsidP="005A3173">
          <w:pPr>
            <w:pStyle w:val="Header"/>
            <w:spacing w:line="276" w:lineRule="auto"/>
            <w:rPr>
              <w:rFonts w:ascii="Calibri" w:eastAsia="MS Gothic" w:hAnsi="Calibri"/>
              <w:b/>
              <w:bCs/>
              <w:color w:val="4F81BD"/>
            </w:rPr>
          </w:pPr>
        </w:p>
      </w:tc>
    </w:tr>
    <w:tr w:rsidR="00CF3663">
      <w:trPr>
        <w:trHeight w:val="150"/>
      </w:trPr>
      <w:tc>
        <w:tcPr>
          <w:tcW w:w="2250" w:type="pct"/>
          <w:tcBorders>
            <w:top w:val="single" w:sz="4" w:space="0" w:color="4F81BD"/>
            <w:left w:val="nil"/>
            <w:bottom w:val="nil"/>
            <w:right w:val="nil"/>
          </w:tcBorders>
        </w:tcPr>
        <w:p w:rsidR="00CF3663" w:rsidRPr="005A3173" w:rsidRDefault="00CF3663" w:rsidP="005A3173">
          <w:pPr>
            <w:pStyle w:val="Header"/>
            <w:spacing w:line="276" w:lineRule="auto"/>
            <w:rPr>
              <w:rFonts w:ascii="Calibri" w:eastAsia="MS Gothic" w:hAnsi="Calibri"/>
              <w:b/>
              <w:bCs/>
              <w:color w:val="4F81BD"/>
            </w:rPr>
          </w:pPr>
        </w:p>
      </w:tc>
      <w:tc>
        <w:tcPr>
          <w:tcW w:w="0" w:type="auto"/>
          <w:vMerge/>
          <w:vAlign w:val="center"/>
        </w:tcPr>
        <w:p w:rsidR="00CF3663" w:rsidRPr="005A3173" w:rsidRDefault="00CF3663" w:rsidP="005A3173">
          <w:pPr>
            <w:rPr>
              <w:rFonts w:ascii="Calibri" w:hAnsi="Calibri"/>
              <w:color w:val="365F91"/>
              <w:sz w:val="22"/>
              <w:szCs w:val="22"/>
            </w:rPr>
          </w:pPr>
        </w:p>
      </w:tc>
      <w:tc>
        <w:tcPr>
          <w:tcW w:w="2250" w:type="pct"/>
          <w:tcBorders>
            <w:top w:val="single" w:sz="4" w:space="0" w:color="4F81BD"/>
            <w:left w:val="nil"/>
            <w:bottom w:val="nil"/>
            <w:right w:val="nil"/>
          </w:tcBorders>
        </w:tcPr>
        <w:p w:rsidR="00CF3663" w:rsidRPr="005A3173" w:rsidRDefault="00CF3663" w:rsidP="005A3173">
          <w:pPr>
            <w:pStyle w:val="Header"/>
            <w:spacing w:line="276" w:lineRule="auto"/>
            <w:rPr>
              <w:rFonts w:ascii="Calibri" w:eastAsia="MS Gothic" w:hAnsi="Calibri"/>
              <w:b/>
              <w:bCs/>
              <w:color w:val="4F81BD"/>
            </w:rPr>
          </w:pPr>
        </w:p>
      </w:tc>
    </w:tr>
  </w:tbl>
  <w:p w:rsidR="00CF3663" w:rsidRPr="007C0F57" w:rsidRDefault="00CF3663"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sidRPr="007C0F57">
      <w:rPr>
        <w:b/>
        <w:i/>
        <w:sz w:val="20"/>
        <w:szCs w:val="20"/>
      </w:rPr>
      <w:t>BAC Meeting</w:t>
    </w:r>
  </w:p>
  <w:p w:rsidR="00CF3663" w:rsidRPr="007C0F57" w:rsidRDefault="00CF3663" w:rsidP="007C0F57">
    <w:pPr>
      <w:pStyle w:val="Footer"/>
      <w:jc w:val="center"/>
      <w:rPr>
        <w:b/>
        <w:i/>
        <w:sz w:val="20"/>
        <w:szCs w:val="20"/>
      </w:rPr>
    </w:pPr>
    <w:r w:rsidRPr="007C0F57">
      <w:rPr>
        <w:b/>
        <w:i/>
        <w:sz w:val="20"/>
        <w:szCs w:val="20"/>
      </w:rPr>
      <w:t>Commercial-in-Confidence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7FBB" w:rsidRDefault="002B7FBB">
      <w:r>
        <w:separator/>
      </w:r>
    </w:p>
  </w:footnote>
  <w:footnote w:type="continuationSeparator" w:id="0">
    <w:p w:rsidR="002B7FBB" w:rsidRDefault="002B7F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4937" w:type="pct"/>
      <w:tblLook w:val="04A0" w:firstRow="1" w:lastRow="0" w:firstColumn="1" w:lastColumn="0" w:noHBand="0" w:noVBand="1"/>
    </w:tblPr>
    <w:tblGrid>
      <w:gridCol w:w="3764"/>
      <w:gridCol w:w="1252"/>
      <w:gridCol w:w="3573"/>
    </w:tblGrid>
    <w:tr w:rsidR="00CF3663" w:rsidRPr="008E0D90">
      <w:trPr>
        <w:trHeight w:val="151"/>
      </w:trPr>
      <w:tc>
        <w:tcPr>
          <w:tcW w:w="2389" w:type="pct"/>
          <w:tcBorders>
            <w:top w:val="nil"/>
            <w:left w:val="nil"/>
            <w:bottom w:val="single" w:sz="4" w:space="0" w:color="4F81BD"/>
            <w:right w:val="nil"/>
          </w:tcBorders>
        </w:tcPr>
        <w:p w:rsidR="00CF3663" w:rsidRPr="00A06225" w:rsidRDefault="00CF3663">
          <w:pPr>
            <w:pStyle w:val="Header"/>
            <w:spacing w:line="276" w:lineRule="auto"/>
            <w:rPr>
              <w:rFonts w:ascii="Cambria" w:eastAsia="MS Gothic" w:hAnsi="Cambria"/>
              <w:b/>
              <w:bCs/>
              <w:color w:val="4F81BD"/>
            </w:rPr>
          </w:pPr>
        </w:p>
      </w:tc>
      <w:tc>
        <w:tcPr>
          <w:tcW w:w="333" w:type="pct"/>
          <w:vMerge w:val="restart"/>
          <w:noWrap/>
          <w:vAlign w:val="center"/>
        </w:tcPr>
        <w:p w:rsidR="00CF3663" w:rsidRPr="00A06225" w:rsidRDefault="00CF3663"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rsidR="00CF3663" w:rsidRPr="00A06225" w:rsidRDefault="00CF3663">
          <w:pPr>
            <w:pStyle w:val="Header"/>
            <w:spacing w:line="276" w:lineRule="auto"/>
            <w:rPr>
              <w:rFonts w:ascii="Cambria" w:eastAsia="MS Gothic" w:hAnsi="Cambria"/>
              <w:b/>
              <w:bCs/>
              <w:color w:val="4F81BD"/>
            </w:rPr>
          </w:pPr>
        </w:p>
      </w:tc>
    </w:tr>
    <w:tr w:rsidR="00CF3663" w:rsidRPr="008E0D90">
      <w:trPr>
        <w:trHeight w:val="150"/>
      </w:trPr>
      <w:tc>
        <w:tcPr>
          <w:tcW w:w="2389" w:type="pct"/>
          <w:tcBorders>
            <w:top w:val="single" w:sz="4" w:space="0" w:color="4F81BD"/>
            <w:left w:val="nil"/>
            <w:bottom w:val="nil"/>
            <w:right w:val="nil"/>
          </w:tcBorders>
        </w:tcPr>
        <w:p w:rsidR="00CF3663" w:rsidRPr="00A06225" w:rsidRDefault="00CF3663">
          <w:pPr>
            <w:pStyle w:val="Header"/>
            <w:spacing w:line="276" w:lineRule="auto"/>
            <w:rPr>
              <w:rFonts w:ascii="Cambria" w:eastAsia="MS Gothic" w:hAnsi="Cambria"/>
              <w:b/>
              <w:bCs/>
              <w:color w:val="4F81BD"/>
            </w:rPr>
          </w:pPr>
        </w:p>
      </w:tc>
      <w:tc>
        <w:tcPr>
          <w:tcW w:w="0" w:type="auto"/>
          <w:vMerge/>
          <w:vAlign w:val="center"/>
        </w:tcPr>
        <w:p w:rsidR="00CF3663" w:rsidRPr="00A06225" w:rsidRDefault="00CF3663">
          <w:pPr>
            <w:rPr>
              <w:rFonts w:ascii="Cambria" w:hAnsi="Cambria"/>
              <w:color w:val="4F81BD"/>
              <w:sz w:val="22"/>
              <w:szCs w:val="22"/>
            </w:rPr>
          </w:pPr>
        </w:p>
      </w:tc>
      <w:tc>
        <w:tcPr>
          <w:tcW w:w="2278" w:type="pct"/>
          <w:tcBorders>
            <w:top w:val="single" w:sz="4" w:space="0" w:color="4F81BD"/>
            <w:left w:val="nil"/>
            <w:bottom w:val="nil"/>
            <w:right w:val="nil"/>
          </w:tcBorders>
        </w:tcPr>
        <w:p w:rsidR="00CF3663" w:rsidRPr="00A06225" w:rsidRDefault="00CF3663">
          <w:pPr>
            <w:pStyle w:val="Header"/>
            <w:spacing w:line="276" w:lineRule="auto"/>
            <w:rPr>
              <w:rFonts w:ascii="Cambria" w:eastAsia="MS Gothic" w:hAnsi="Cambria"/>
              <w:b/>
              <w:bCs/>
              <w:color w:val="4F81BD"/>
            </w:rPr>
          </w:pPr>
        </w:p>
      </w:tc>
    </w:tr>
  </w:tbl>
  <w:p w:rsidR="00CF3663" w:rsidRDefault="00CF366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663" w:rsidRPr="00DF217D" w:rsidRDefault="00CF3663" w:rsidP="003A76E4">
    <w:pPr>
      <w:pStyle w:val="Header"/>
      <w:jc w:val="center"/>
      <w:rPr>
        <w:i/>
        <w:color w:val="808080"/>
      </w:rPr>
    </w:pPr>
    <w:r>
      <w:rPr>
        <w:i/>
        <w:color w:val="808080"/>
      </w:rPr>
      <w:t>Public Summary Document</w:t>
    </w:r>
    <w:r w:rsidRPr="00DF217D">
      <w:rPr>
        <w:i/>
        <w:color w:val="808080"/>
      </w:rPr>
      <w:t xml:space="preserve">– </w:t>
    </w:r>
    <w:r>
      <w:rPr>
        <w:i/>
        <w:color w:val="808080"/>
      </w:rPr>
      <w:t xml:space="preserve">July 2014 </w:t>
    </w:r>
    <w:r w:rsidRPr="00DF217D">
      <w:rPr>
        <w:i/>
        <w:color w:val="808080"/>
      </w:rPr>
      <w:t>PBAC</w:t>
    </w:r>
    <w:r>
      <w:rPr>
        <w:i/>
        <w:color w:val="808080"/>
      </w:rPr>
      <w:t xml:space="preserve"> </w:t>
    </w:r>
    <w:r w:rsidRPr="00DF217D">
      <w:rPr>
        <w:i/>
        <w:color w:val="808080"/>
      </w:rPr>
      <w:t>Meeting</w:t>
    </w:r>
  </w:p>
  <w:p w:rsidR="00CF3663" w:rsidRPr="003A76E4" w:rsidRDefault="00CF3663" w:rsidP="003A76E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7FBB" w:rsidRDefault="002B7FB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820CD"/>
    <w:multiLevelType w:val="hybridMultilevel"/>
    <w:tmpl w:val="35AEA4C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nsid w:val="03713D2E"/>
    <w:multiLevelType w:val="hybridMultilevel"/>
    <w:tmpl w:val="7BF275A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nsid w:val="0C024AA1"/>
    <w:multiLevelType w:val="hybridMultilevel"/>
    <w:tmpl w:val="B05435C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nsid w:val="0C7053E1"/>
    <w:multiLevelType w:val="hybridMultilevel"/>
    <w:tmpl w:val="6878202A"/>
    <w:lvl w:ilvl="0" w:tplc="0DBC61CE">
      <w:start w:val="1"/>
      <w:numFmt w:val="lowerLetter"/>
      <w:lvlText w:val="(%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4">
    <w:nsid w:val="0E9C27D1"/>
    <w:multiLevelType w:val="hybridMultilevel"/>
    <w:tmpl w:val="4F40E466"/>
    <w:lvl w:ilvl="0" w:tplc="F488CFD6">
      <w:numFmt w:val="bullet"/>
      <w:lvlText w:val="-"/>
      <w:lvlJc w:val="left"/>
      <w:pPr>
        <w:ind w:left="1854" w:hanging="360"/>
      </w:pPr>
      <w:rPr>
        <w:rFonts w:ascii="Times New Roman" w:eastAsia="Times New Roman" w:hAnsi="Times New Roman" w:cs="Times New Roman"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5">
    <w:nsid w:val="15A04F9A"/>
    <w:multiLevelType w:val="hybridMultilevel"/>
    <w:tmpl w:val="A0E4F144"/>
    <w:lvl w:ilvl="0" w:tplc="FFFFFFFF">
      <w:start w:val="1"/>
      <w:numFmt w:val="bullet"/>
      <w:lvlText w:val=""/>
      <w:lvlJc w:val="left"/>
      <w:pPr>
        <w:tabs>
          <w:tab w:val="num" w:pos="720"/>
        </w:tabs>
        <w:ind w:left="720" w:hanging="360"/>
      </w:pPr>
      <w:rPr>
        <w:rFonts w:ascii="Symbol" w:hAnsi="Symbol" w:hint="default"/>
      </w:rPr>
    </w:lvl>
    <w:lvl w:ilvl="1" w:tplc="F488CFD6">
      <w:numFmt w:val="bullet"/>
      <w:lvlText w:val="-"/>
      <w:lvlJc w:val="left"/>
      <w:pPr>
        <w:tabs>
          <w:tab w:val="num" w:pos="1440"/>
        </w:tabs>
        <w:ind w:left="1440" w:hanging="360"/>
      </w:pPr>
      <w:rPr>
        <w:rFonts w:ascii="Times New Roman" w:eastAsia="Times New Roman" w:hAnsi="Times New Roman" w:cs="Times New Roman" w:hint="default"/>
      </w:rPr>
    </w:lvl>
    <w:lvl w:ilvl="2" w:tplc="7CBA4D7A">
      <w:start w:val="8"/>
      <w:numFmt w:val="bullet"/>
      <w:lvlText w:val=""/>
      <w:lvlJc w:val="left"/>
      <w:pPr>
        <w:ind w:left="2160" w:hanging="360"/>
      </w:pPr>
      <w:rPr>
        <w:rFonts w:ascii="Wingdings" w:eastAsia="Times New Roman" w:hAnsi="Wingdings" w:cs="Arial"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nsid w:val="18540F01"/>
    <w:multiLevelType w:val="hybridMultilevel"/>
    <w:tmpl w:val="8B5000A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nsid w:val="19324A9F"/>
    <w:multiLevelType w:val="hybridMultilevel"/>
    <w:tmpl w:val="F0080ED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nsid w:val="1A7A61B0"/>
    <w:multiLevelType w:val="hybridMultilevel"/>
    <w:tmpl w:val="E180A786"/>
    <w:lvl w:ilvl="0" w:tplc="7CF2ACEA">
      <w:start w:val="1"/>
      <w:numFmt w:val="lowerLett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1B5116CC"/>
    <w:multiLevelType w:val="hybridMultilevel"/>
    <w:tmpl w:val="64BC0800"/>
    <w:lvl w:ilvl="0" w:tplc="979A8DD0">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1BA82F9C"/>
    <w:multiLevelType w:val="hybridMultilevel"/>
    <w:tmpl w:val="472A9AF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nsid w:val="1F8E53D6"/>
    <w:multiLevelType w:val="hybridMultilevel"/>
    <w:tmpl w:val="1AA23FC0"/>
    <w:lvl w:ilvl="0" w:tplc="0C090001">
      <w:start w:val="1"/>
      <w:numFmt w:val="bullet"/>
      <w:lvlText w:val=""/>
      <w:lvlJc w:val="left"/>
      <w:pPr>
        <w:ind w:left="1485" w:hanging="360"/>
      </w:pPr>
      <w:rPr>
        <w:rFonts w:ascii="Symbol" w:hAnsi="Symbol" w:hint="default"/>
      </w:rPr>
    </w:lvl>
    <w:lvl w:ilvl="1" w:tplc="0C090003" w:tentative="1">
      <w:start w:val="1"/>
      <w:numFmt w:val="bullet"/>
      <w:lvlText w:val="o"/>
      <w:lvlJc w:val="left"/>
      <w:pPr>
        <w:ind w:left="2205" w:hanging="360"/>
      </w:pPr>
      <w:rPr>
        <w:rFonts w:ascii="Courier New" w:hAnsi="Courier New" w:cs="Courier New" w:hint="default"/>
      </w:rPr>
    </w:lvl>
    <w:lvl w:ilvl="2" w:tplc="0C090005" w:tentative="1">
      <w:start w:val="1"/>
      <w:numFmt w:val="bullet"/>
      <w:lvlText w:val=""/>
      <w:lvlJc w:val="left"/>
      <w:pPr>
        <w:ind w:left="2925" w:hanging="360"/>
      </w:pPr>
      <w:rPr>
        <w:rFonts w:ascii="Wingdings" w:hAnsi="Wingdings" w:hint="default"/>
      </w:rPr>
    </w:lvl>
    <w:lvl w:ilvl="3" w:tplc="0C090001" w:tentative="1">
      <w:start w:val="1"/>
      <w:numFmt w:val="bullet"/>
      <w:lvlText w:val=""/>
      <w:lvlJc w:val="left"/>
      <w:pPr>
        <w:ind w:left="3645" w:hanging="360"/>
      </w:pPr>
      <w:rPr>
        <w:rFonts w:ascii="Symbol" w:hAnsi="Symbol" w:hint="default"/>
      </w:rPr>
    </w:lvl>
    <w:lvl w:ilvl="4" w:tplc="0C090003" w:tentative="1">
      <w:start w:val="1"/>
      <w:numFmt w:val="bullet"/>
      <w:lvlText w:val="o"/>
      <w:lvlJc w:val="left"/>
      <w:pPr>
        <w:ind w:left="4365" w:hanging="360"/>
      </w:pPr>
      <w:rPr>
        <w:rFonts w:ascii="Courier New" w:hAnsi="Courier New" w:cs="Courier New" w:hint="default"/>
      </w:rPr>
    </w:lvl>
    <w:lvl w:ilvl="5" w:tplc="0C090005" w:tentative="1">
      <w:start w:val="1"/>
      <w:numFmt w:val="bullet"/>
      <w:lvlText w:val=""/>
      <w:lvlJc w:val="left"/>
      <w:pPr>
        <w:ind w:left="5085" w:hanging="360"/>
      </w:pPr>
      <w:rPr>
        <w:rFonts w:ascii="Wingdings" w:hAnsi="Wingdings" w:hint="default"/>
      </w:rPr>
    </w:lvl>
    <w:lvl w:ilvl="6" w:tplc="0C090001" w:tentative="1">
      <w:start w:val="1"/>
      <w:numFmt w:val="bullet"/>
      <w:lvlText w:val=""/>
      <w:lvlJc w:val="left"/>
      <w:pPr>
        <w:ind w:left="5805" w:hanging="360"/>
      </w:pPr>
      <w:rPr>
        <w:rFonts w:ascii="Symbol" w:hAnsi="Symbol" w:hint="default"/>
      </w:rPr>
    </w:lvl>
    <w:lvl w:ilvl="7" w:tplc="0C090003" w:tentative="1">
      <w:start w:val="1"/>
      <w:numFmt w:val="bullet"/>
      <w:lvlText w:val="o"/>
      <w:lvlJc w:val="left"/>
      <w:pPr>
        <w:ind w:left="6525" w:hanging="360"/>
      </w:pPr>
      <w:rPr>
        <w:rFonts w:ascii="Courier New" w:hAnsi="Courier New" w:cs="Courier New" w:hint="default"/>
      </w:rPr>
    </w:lvl>
    <w:lvl w:ilvl="8" w:tplc="0C090005" w:tentative="1">
      <w:start w:val="1"/>
      <w:numFmt w:val="bullet"/>
      <w:lvlText w:val=""/>
      <w:lvlJc w:val="left"/>
      <w:pPr>
        <w:ind w:left="7245" w:hanging="360"/>
      </w:pPr>
      <w:rPr>
        <w:rFonts w:ascii="Wingdings" w:hAnsi="Wingdings" w:hint="default"/>
      </w:rPr>
    </w:lvl>
  </w:abstractNum>
  <w:abstractNum w:abstractNumId="12">
    <w:nsid w:val="253D5F7D"/>
    <w:multiLevelType w:val="hybridMultilevel"/>
    <w:tmpl w:val="14B0058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nsid w:val="2B8F53CD"/>
    <w:multiLevelType w:val="hybridMultilevel"/>
    <w:tmpl w:val="391C435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nsid w:val="2D35173E"/>
    <w:multiLevelType w:val="hybridMultilevel"/>
    <w:tmpl w:val="85DA73FA"/>
    <w:lvl w:ilvl="0" w:tplc="D4EABD48">
      <w:start w:val="1"/>
      <w:numFmt w:val="bullet"/>
      <w:lvlText w:val=""/>
      <w:lvlJc w:val="left"/>
      <w:pPr>
        <w:ind w:left="1429" w:hanging="360"/>
      </w:pPr>
      <w:rPr>
        <w:rFonts w:ascii="Symbol" w:hAnsi="Symbol" w:hint="default"/>
        <w:color w:val="auto"/>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5">
    <w:nsid w:val="3009086F"/>
    <w:multiLevelType w:val="hybridMultilevel"/>
    <w:tmpl w:val="99887A4A"/>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6">
    <w:nsid w:val="31D73448"/>
    <w:multiLevelType w:val="hybridMultilevel"/>
    <w:tmpl w:val="BF3E4F2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nsid w:val="34072B37"/>
    <w:multiLevelType w:val="hybridMultilevel"/>
    <w:tmpl w:val="AF24A74E"/>
    <w:lvl w:ilvl="0" w:tplc="DE46B3E4">
      <w:start w:val="1"/>
      <w:numFmt w:val="bullet"/>
      <w:lvlText w:val=""/>
      <w:lvlJc w:val="left"/>
      <w:pPr>
        <w:ind w:left="1440" w:hanging="360"/>
      </w:pPr>
      <w:rPr>
        <w:rFonts w:ascii="Symbol" w:hAnsi="Symbo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8">
    <w:nsid w:val="3D053324"/>
    <w:multiLevelType w:val="hybridMultilevel"/>
    <w:tmpl w:val="3202F4C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9">
    <w:nsid w:val="3D6801DD"/>
    <w:multiLevelType w:val="hybridMultilevel"/>
    <w:tmpl w:val="70D4F458"/>
    <w:lvl w:ilvl="0" w:tplc="7F985474">
      <w:start w:val="1"/>
      <w:numFmt w:val="lowerLett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3EB909E1"/>
    <w:multiLevelType w:val="hybridMultilevel"/>
    <w:tmpl w:val="3990B19A"/>
    <w:lvl w:ilvl="0" w:tplc="F488CFD6">
      <w:numFmt w:val="bullet"/>
      <w:lvlText w:val="-"/>
      <w:lvlJc w:val="left"/>
      <w:pPr>
        <w:ind w:left="1440" w:hanging="360"/>
      </w:pPr>
      <w:rPr>
        <w:rFonts w:ascii="Times New Roman" w:eastAsia="Times New Roman" w:hAnsi="Times New Roman" w:cs="Times New Roman"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1">
    <w:nsid w:val="48646255"/>
    <w:multiLevelType w:val="hybridMultilevel"/>
    <w:tmpl w:val="4378CC4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2">
    <w:nsid w:val="4B913F4A"/>
    <w:multiLevelType w:val="hybridMultilevel"/>
    <w:tmpl w:val="913C34B6"/>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3">
    <w:nsid w:val="4EDF057F"/>
    <w:multiLevelType w:val="hybridMultilevel"/>
    <w:tmpl w:val="0292158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4">
    <w:nsid w:val="538F490F"/>
    <w:multiLevelType w:val="hybridMultilevel"/>
    <w:tmpl w:val="C2E664F4"/>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5">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622E579B"/>
    <w:multiLevelType w:val="hybridMultilevel"/>
    <w:tmpl w:val="2A60EE00"/>
    <w:lvl w:ilvl="0" w:tplc="F488CFD6">
      <w:numFmt w:val="bullet"/>
      <w:lvlText w:val="-"/>
      <w:lvlJc w:val="left"/>
      <w:pPr>
        <w:ind w:left="1440" w:hanging="360"/>
      </w:pPr>
      <w:rPr>
        <w:rFonts w:ascii="Times New Roman" w:eastAsia="Times New Roman" w:hAnsi="Times New Roman" w:cs="Times New Roman"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7">
    <w:nsid w:val="623679DF"/>
    <w:multiLevelType w:val="hybridMultilevel"/>
    <w:tmpl w:val="60B0AF6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8">
    <w:nsid w:val="63BE4374"/>
    <w:multiLevelType w:val="hybridMultilevel"/>
    <w:tmpl w:val="0A84A8D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9">
    <w:nsid w:val="6D645D34"/>
    <w:multiLevelType w:val="hybridMultilevel"/>
    <w:tmpl w:val="A4A03E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706B127E"/>
    <w:multiLevelType w:val="hybridMultilevel"/>
    <w:tmpl w:val="B57CFC12"/>
    <w:lvl w:ilvl="0" w:tplc="BF00E6B2">
      <w:start w:val="1"/>
      <w:numFmt w:val="lowerLetter"/>
      <w:lvlText w:val="(%1)"/>
      <w:lvlJc w:val="left"/>
      <w:pPr>
        <w:ind w:left="720" w:hanging="360"/>
      </w:pPr>
      <w:rPr>
        <w:rFonts w:hint="default"/>
      </w:rPr>
    </w:lvl>
    <w:lvl w:ilvl="1" w:tplc="BF8E4714">
      <w:start w:val="1"/>
      <w:numFmt w:val="lowerRoman"/>
      <w:lvlText w:val="(%2)"/>
      <w:lvlJc w:val="right"/>
      <w:pPr>
        <w:ind w:left="1440" w:hanging="360"/>
      </w:pPr>
      <w:rPr>
        <w:rFonts w:cs="Times New Roman" w:hint="default"/>
      </w:rPr>
    </w:lvl>
    <w:lvl w:ilvl="2" w:tplc="A6081C7A">
      <w:numFmt w:val="bullet"/>
      <w:lvlText w:val="-"/>
      <w:lvlJc w:val="left"/>
      <w:pPr>
        <w:ind w:left="2160" w:hanging="180"/>
      </w:pPr>
      <w:rPr>
        <w:rFonts w:ascii="Calibri" w:eastAsia="Times New Roman" w:hAnsi="Calibri" w:cs="Calibri" w:hint="default"/>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70832E21"/>
    <w:multiLevelType w:val="hybridMultilevel"/>
    <w:tmpl w:val="A2B80EE8"/>
    <w:lvl w:ilvl="0" w:tplc="F488CFD6">
      <w:numFmt w:val="bullet"/>
      <w:lvlText w:val="-"/>
      <w:lvlJc w:val="left"/>
      <w:pPr>
        <w:ind w:left="1440" w:hanging="360"/>
      </w:pPr>
      <w:rPr>
        <w:rFonts w:ascii="Times New Roman" w:eastAsia="Times New Roman" w:hAnsi="Times New Roman" w:cs="Times New Roman"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2">
    <w:nsid w:val="76346CBF"/>
    <w:multiLevelType w:val="hybridMultilevel"/>
    <w:tmpl w:val="A87079A4"/>
    <w:lvl w:ilvl="0" w:tplc="0DBC61CE">
      <w:start w:val="1"/>
      <w:numFmt w:val="lowerLetter"/>
      <w:lvlText w:val="(%1)"/>
      <w:lvlJc w:val="left"/>
      <w:pPr>
        <w:ind w:left="1788" w:hanging="795"/>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33">
    <w:nsid w:val="784B36BE"/>
    <w:multiLevelType w:val="hybridMultilevel"/>
    <w:tmpl w:val="9D067A5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4">
    <w:nsid w:val="784D033C"/>
    <w:multiLevelType w:val="multilevel"/>
    <w:tmpl w:val="91D412F4"/>
    <w:lvl w:ilvl="0">
      <w:start w:val="1"/>
      <w:numFmt w:val="decimal"/>
      <w:lvlText w:val="%1"/>
      <w:lvlJc w:val="left"/>
      <w:pPr>
        <w:ind w:left="720" w:hanging="720"/>
      </w:pPr>
      <w:rPr>
        <w:rFonts w:ascii="Arial" w:hAnsi="Arial" w:cs="Arial" w:hint="default"/>
        <w:b/>
        <w:i w:val="0"/>
        <w:sz w:val="22"/>
      </w:rPr>
    </w:lvl>
    <w:lvl w:ilvl="1">
      <w:start w:val="1"/>
      <w:numFmt w:val="decimal"/>
      <w:lvlText w:val="%1.%2"/>
      <w:lvlJc w:val="left"/>
      <w:pPr>
        <w:ind w:left="720" w:hanging="720"/>
      </w:pPr>
      <w:rPr>
        <w:rFonts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nsid w:val="7AB84AC8"/>
    <w:multiLevelType w:val="hybridMultilevel"/>
    <w:tmpl w:val="41F245D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6">
    <w:nsid w:val="7D101EF5"/>
    <w:multiLevelType w:val="hybridMultilevel"/>
    <w:tmpl w:val="408E12BC"/>
    <w:lvl w:ilvl="0" w:tplc="FC4E0402">
      <w:start w:val="1"/>
      <w:numFmt w:val="lowerLetter"/>
      <w:lvlText w:val="(%1)"/>
      <w:lvlJc w:val="left"/>
      <w:pPr>
        <w:ind w:left="1444" w:hanging="735"/>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37">
    <w:nsid w:val="7EA26AEB"/>
    <w:multiLevelType w:val="hybridMultilevel"/>
    <w:tmpl w:val="041613A0"/>
    <w:lvl w:ilvl="0" w:tplc="F488CFD6">
      <w:numFmt w:val="bullet"/>
      <w:lvlText w:val="-"/>
      <w:lvlJc w:val="left"/>
      <w:pPr>
        <w:ind w:left="1440" w:hanging="360"/>
      </w:pPr>
      <w:rPr>
        <w:rFonts w:ascii="Times New Roman" w:eastAsia="Times New Roman" w:hAnsi="Times New Roman" w:cs="Times New Roman"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8">
    <w:nsid w:val="7EF55792"/>
    <w:multiLevelType w:val="hybridMultilevel"/>
    <w:tmpl w:val="70A6F4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4"/>
  </w:num>
  <w:num w:numId="2">
    <w:abstractNumId w:val="25"/>
  </w:num>
  <w:num w:numId="3">
    <w:abstractNumId w:val="32"/>
  </w:num>
  <w:num w:numId="4">
    <w:abstractNumId w:val="36"/>
  </w:num>
  <w:num w:numId="5">
    <w:abstractNumId w:val="11"/>
  </w:num>
  <w:num w:numId="6">
    <w:abstractNumId w:val="22"/>
  </w:num>
  <w:num w:numId="7">
    <w:abstractNumId w:val="3"/>
  </w:num>
  <w:num w:numId="8">
    <w:abstractNumId w:val="9"/>
  </w:num>
  <w:num w:numId="9">
    <w:abstractNumId w:val="8"/>
  </w:num>
  <w:num w:numId="10">
    <w:abstractNumId w:val="19"/>
  </w:num>
  <w:num w:numId="11">
    <w:abstractNumId w:val="23"/>
  </w:num>
  <w:num w:numId="12">
    <w:abstractNumId w:val="17"/>
  </w:num>
  <w:num w:numId="13">
    <w:abstractNumId w:val="28"/>
  </w:num>
  <w:num w:numId="14">
    <w:abstractNumId w:val="6"/>
  </w:num>
  <w:num w:numId="15">
    <w:abstractNumId w:val="24"/>
  </w:num>
  <w:num w:numId="16">
    <w:abstractNumId w:val="4"/>
  </w:num>
  <w:num w:numId="17">
    <w:abstractNumId w:val="18"/>
  </w:num>
  <w:num w:numId="18">
    <w:abstractNumId w:val="20"/>
  </w:num>
  <w:num w:numId="19">
    <w:abstractNumId w:val="31"/>
  </w:num>
  <w:num w:numId="20">
    <w:abstractNumId w:val="26"/>
  </w:num>
  <w:num w:numId="21">
    <w:abstractNumId w:val="37"/>
  </w:num>
  <w:num w:numId="22">
    <w:abstractNumId w:val="35"/>
  </w:num>
  <w:num w:numId="23">
    <w:abstractNumId w:val="7"/>
  </w:num>
  <w:num w:numId="24">
    <w:abstractNumId w:val="16"/>
  </w:num>
  <w:num w:numId="25">
    <w:abstractNumId w:val="13"/>
  </w:num>
  <w:num w:numId="26">
    <w:abstractNumId w:val="14"/>
  </w:num>
  <w:num w:numId="27">
    <w:abstractNumId w:val="0"/>
  </w:num>
  <w:num w:numId="28">
    <w:abstractNumId w:val="29"/>
  </w:num>
  <w:num w:numId="29">
    <w:abstractNumId w:val="38"/>
  </w:num>
  <w:num w:numId="30">
    <w:abstractNumId w:val="15"/>
  </w:num>
  <w:num w:numId="31">
    <w:abstractNumId w:val="1"/>
  </w:num>
  <w:num w:numId="32">
    <w:abstractNumId w:val="27"/>
  </w:num>
  <w:num w:numId="33">
    <w:abstractNumId w:val="21"/>
  </w:num>
  <w:num w:numId="34">
    <w:abstractNumId w:val="12"/>
  </w:num>
  <w:num w:numId="35">
    <w:abstractNumId w:val="10"/>
  </w:num>
  <w:num w:numId="36">
    <w:abstractNumId w:val="33"/>
  </w:num>
  <w:num w:numId="37">
    <w:abstractNumId w:val="2"/>
  </w:num>
  <w:num w:numId="38">
    <w:abstractNumId w:val="30"/>
  </w:num>
  <w:num w:numId="39">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40E"/>
    <w:rsid w:val="000025AD"/>
    <w:rsid w:val="0002464A"/>
    <w:rsid w:val="00025E51"/>
    <w:rsid w:val="0003106B"/>
    <w:rsid w:val="000352A4"/>
    <w:rsid w:val="000421A1"/>
    <w:rsid w:val="0004240E"/>
    <w:rsid w:val="00045E26"/>
    <w:rsid w:val="000514B5"/>
    <w:rsid w:val="00052CCC"/>
    <w:rsid w:val="00056553"/>
    <w:rsid w:val="00060E64"/>
    <w:rsid w:val="00062253"/>
    <w:rsid w:val="000869A8"/>
    <w:rsid w:val="0009483C"/>
    <w:rsid w:val="000969AD"/>
    <w:rsid w:val="000B3E3A"/>
    <w:rsid w:val="000B558D"/>
    <w:rsid w:val="000B67F7"/>
    <w:rsid w:val="000C287D"/>
    <w:rsid w:val="000C6996"/>
    <w:rsid w:val="000D23BA"/>
    <w:rsid w:val="000D5C0D"/>
    <w:rsid w:val="000D73AF"/>
    <w:rsid w:val="000E681E"/>
    <w:rsid w:val="000E75C8"/>
    <w:rsid w:val="000F4E6A"/>
    <w:rsid w:val="0010466C"/>
    <w:rsid w:val="001107BF"/>
    <w:rsid w:val="00110C7E"/>
    <w:rsid w:val="001123CB"/>
    <w:rsid w:val="00121B93"/>
    <w:rsid w:val="0012417C"/>
    <w:rsid w:val="001315EA"/>
    <w:rsid w:val="00135D3E"/>
    <w:rsid w:val="00136E18"/>
    <w:rsid w:val="00140753"/>
    <w:rsid w:val="00142395"/>
    <w:rsid w:val="00142714"/>
    <w:rsid w:val="001439BB"/>
    <w:rsid w:val="001445F0"/>
    <w:rsid w:val="001452ED"/>
    <w:rsid w:val="00145957"/>
    <w:rsid w:val="00145BC1"/>
    <w:rsid w:val="00162B34"/>
    <w:rsid w:val="001830CE"/>
    <w:rsid w:val="00196307"/>
    <w:rsid w:val="001A31FB"/>
    <w:rsid w:val="001A4831"/>
    <w:rsid w:val="001B017F"/>
    <w:rsid w:val="001B5129"/>
    <w:rsid w:val="001B54E0"/>
    <w:rsid w:val="001B5619"/>
    <w:rsid w:val="001B6718"/>
    <w:rsid w:val="001C1195"/>
    <w:rsid w:val="001C16D7"/>
    <w:rsid w:val="001C49CC"/>
    <w:rsid w:val="002108BF"/>
    <w:rsid w:val="0021106D"/>
    <w:rsid w:val="00213333"/>
    <w:rsid w:val="002178AB"/>
    <w:rsid w:val="002210C2"/>
    <w:rsid w:val="00252550"/>
    <w:rsid w:val="00271BA1"/>
    <w:rsid w:val="00276ACA"/>
    <w:rsid w:val="00277505"/>
    <w:rsid w:val="002866E4"/>
    <w:rsid w:val="0029458F"/>
    <w:rsid w:val="002A4960"/>
    <w:rsid w:val="002B0848"/>
    <w:rsid w:val="002B14D2"/>
    <w:rsid w:val="002B17EE"/>
    <w:rsid w:val="002B1AE6"/>
    <w:rsid w:val="002B30F8"/>
    <w:rsid w:val="002B7FBB"/>
    <w:rsid w:val="002C212F"/>
    <w:rsid w:val="002C7F5B"/>
    <w:rsid w:val="002E2CC7"/>
    <w:rsid w:val="002E44A4"/>
    <w:rsid w:val="00300C63"/>
    <w:rsid w:val="00310175"/>
    <w:rsid w:val="0031038B"/>
    <w:rsid w:val="00310E2C"/>
    <w:rsid w:val="00322C2A"/>
    <w:rsid w:val="00326E79"/>
    <w:rsid w:val="00331EE4"/>
    <w:rsid w:val="003367EF"/>
    <w:rsid w:val="003404DE"/>
    <w:rsid w:val="00341AE4"/>
    <w:rsid w:val="00344D67"/>
    <w:rsid w:val="003678EA"/>
    <w:rsid w:val="00376865"/>
    <w:rsid w:val="00385EF3"/>
    <w:rsid w:val="003A5B4A"/>
    <w:rsid w:val="003A76E4"/>
    <w:rsid w:val="003B23C5"/>
    <w:rsid w:val="003B2A75"/>
    <w:rsid w:val="003D4AC4"/>
    <w:rsid w:val="003D4EC2"/>
    <w:rsid w:val="003D63B7"/>
    <w:rsid w:val="003D6A7A"/>
    <w:rsid w:val="003E468B"/>
    <w:rsid w:val="003F5C8C"/>
    <w:rsid w:val="003F7E31"/>
    <w:rsid w:val="004020D8"/>
    <w:rsid w:val="004266F3"/>
    <w:rsid w:val="00433FCD"/>
    <w:rsid w:val="0044287D"/>
    <w:rsid w:val="004519C5"/>
    <w:rsid w:val="00464D46"/>
    <w:rsid w:val="00466ADA"/>
    <w:rsid w:val="00483300"/>
    <w:rsid w:val="0048456D"/>
    <w:rsid w:val="00486F1C"/>
    <w:rsid w:val="00487EF4"/>
    <w:rsid w:val="004944F7"/>
    <w:rsid w:val="004B5640"/>
    <w:rsid w:val="004C1BD7"/>
    <w:rsid w:val="004C691D"/>
    <w:rsid w:val="004C7C40"/>
    <w:rsid w:val="004D041A"/>
    <w:rsid w:val="004D7661"/>
    <w:rsid w:val="004E4186"/>
    <w:rsid w:val="004E668A"/>
    <w:rsid w:val="004E692D"/>
    <w:rsid w:val="004F126B"/>
    <w:rsid w:val="004F7C77"/>
    <w:rsid w:val="00505097"/>
    <w:rsid w:val="00506F2F"/>
    <w:rsid w:val="00514CD7"/>
    <w:rsid w:val="00515891"/>
    <w:rsid w:val="00515DE5"/>
    <w:rsid w:val="005264C1"/>
    <w:rsid w:val="00534E2E"/>
    <w:rsid w:val="00544552"/>
    <w:rsid w:val="00545297"/>
    <w:rsid w:val="0055329A"/>
    <w:rsid w:val="0056381B"/>
    <w:rsid w:val="00576205"/>
    <w:rsid w:val="00581932"/>
    <w:rsid w:val="0058357E"/>
    <w:rsid w:val="00583CA9"/>
    <w:rsid w:val="00584667"/>
    <w:rsid w:val="00595F6A"/>
    <w:rsid w:val="005A3173"/>
    <w:rsid w:val="005A3223"/>
    <w:rsid w:val="005A3DA3"/>
    <w:rsid w:val="005A52C4"/>
    <w:rsid w:val="005B06F0"/>
    <w:rsid w:val="005B5C4C"/>
    <w:rsid w:val="005D03AB"/>
    <w:rsid w:val="005D442A"/>
    <w:rsid w:val="005D5017"/>
    <w:rsid w:val="005E1337"/>
    <w:rsid w:val="005F51FE"/>
    <w:rsid w:val="00600EBC"/>
    <w:rsid w:val="00601A91"/>
    <w:rsid w:val="00602BA3"/>
    <w:rsid w:val="00602F1A"/>
    <w:rsid w:val="00605985"/>
    <w:rsid w:val="00612BA1"/>
    <w:rsid w:val="00614159"/>
    <w:rsid w:val="00617C00"/>
    <w:rsid w:val="006263BF"/>
    <w:rsid w:val="00630A2C"/>
    <w:rsid w:val="0063399B"/>
    <w:rsid w:val="00633A37"/>
    <w:rsid w:val="00651169"/>
    <w:rsid w:val="00653D69"/>
    <w:rsid w:val="00657E50"/>
    <w:rsid w:val="00661875"/>
    <w:rsid w:val="00665369"/>
    <w:rsid w:val="00670A76"/>
    <w:rsid w:val="006711AA"/>
    <w:rsid w:val="00673F90"/>
    <w:rsid w:val="00675622"/>
    <w:rsid w:val="006859B1"/>
    <w:rsid w:val="006906DB"/>
    <w:rsid w:val="006A12A5"/>
    <w:rsid w:val="006A79EE"/>
    <w:rsid w:val="006B0D94"/>
    <w:rsid w:val="006B0EC8"/>
    <w:rsid w:val="006B485D"/>
    <w:rsid w:val="006D44FB"/>
    <w:rsid w:val="006D6EC7"/>
    <w:rsid w:val="006E2E2C"/>
    <w:rsid w:val="006F1A06"/>
    <w:rsid w:val="006F5125"/>
    <w:rsid w:val="006F5668"/>
    <w:rsid w:val="006F6CC3"/>
    <w:rsid w:val="0070309B"/>
    <w:rsid w:val="00707C76"/>
    <w:rsid w:val="00716304"/>
    <w:rsid w:val="007174BB"/>
    <w:rsid w:val="0072062B"/>
    <w:rsid w:val="00720A4B"/>
    <w:rsid w:val="007224F1"/>
    <w:rsid w:val="00725B01"/>
    <w:rsid w:val="007331B8"/>
    <w:rsid w:val="00733CBC"/>
    <w:rsid w:val="00744EF3"/>
    <w:rsid w:val="007500F6"/>
    <w:rsid w:val="007523CB"/>
    <w:rsid w:val="007611B2"/>
    <w:rsid w:val="00763B16"/>
    <w:rsid w:val="00771E4C"/>
    <w:rsid w:val="00773073"/>
    <w:rsid w:val="007753C2"/>
    <w:rsid w:val="007838B8"/>
    <w:rsid w:val="007930A1"/>
    <w:rsid w:val="007A7737"/>
    <w:rsid w:val="007C0F57"/>
    <w:rsid w:val="007C3F91"/>
    <w:rsid w:val="007C40B6"/>
    <w:rsid w:val="007C729F"/>
    <w:rsid w:val="007D5055"/>
    <w:rsid w:val="007D7A02"/>
    <w:rsid w:val="007E1D28"/>
    <w:rsid w:val="007F2641"/>
    <w:rsid w:val="00801638"/>
    <w:rsid w:val="008053EA"/>
    <w:rsid w:val="00806796"/>
    <w:rsid w:val="008249AF"/>
    <w:rsid w:val="008525E0"/>
    <w:rsid w:val="00856DE0"/>
    <w:rsid w:val="00863E68"/>
    <w:rsid w:val="00882085"/>
    <w:rsid w:val="00883188"/>
    <w:rsid w:val="00891A69"/>
    <w:rsid w:val="00897D58"/>
    <w:rsid w:val="008A4937"/>
    <w:rsid w:val="008A6416"/>
    <w:rsid w:val="008A6716"/>
    <w:rsid w:val="008B4B6A"/>
    <w:rsid w:val="008B6EB1"/>
    <w:rsid w:val="008C0060"/>
    <w:rsid w:val="008D3C82"/>
    <w:rsid w:val="008D447E"/>
    <w:rsid w:val="008E3680"/>
    <w:rsid w:val="008E5870"/>
    <w:rsid w:val="008F1434"/>
    <w:rsid w:val="008F6AC7"/>
    <w:rsid w:val="008F7355"/>
    <w:rsid w:val="008F7843"/>
    <w:rsid w:val="00902922"/>
    <w:rsid w:val="00914D14"/>
    <w:rsid w:val="00923E3B"/>
    <w:rsid w:val="00930937"/>
    <w:rsid w:val="00936CB4"/>
    <w:rsid w:val="00941439"/>
    <w:rsid w:val="00942160"/>
    <w:rsid w:val="009602C5"/>
    <w:rsid w:val="00960F3A"/>
    <w:rsid w:val="00971C19"/>
    <w:rsid w:val="0097292A"/>
    <w:rsid w:val="00973ACE"/>
    <w:rsid w:val="00973B86"/>
    <w:rsid w:val="00974C21"/>
    <w:rsid w:val="00987B17"/>
    <w:rsid w:val="0099113F"/>
    <w:rsid w:val="00991DDA"/>
    <w:rsid w:val="009926A5"/>
    <w:rsid w:val="0099672C"/>
    <w:rsid w:val="009A21F9"/>
    <w:rsid w:val="009A79D8"/>
    <w:rsid w:val="009C2483"/>
    <w:rsid w:val="009C57AF"/>
    <w:rsid w:val="009C703C"/>
    <w:rsid w:val="009D3CAA"/>
    <w:rsid w:val="009D7CC4"/>
    <w:rsid w:val="009F1D80"/>
    <w:rsid w:val="009F5848"/>
    <w:rsid w:val="009F5B65"/>
    <w:rsid w:val="00A02F82"/>
    <w:rsid w:val="00A06225"/>
    <w:rsid w:val="00A06460"/>
    <w:rsid w:val="00A37C8D"/>
    <w:rsid w:val="00A40556"/>
    <w:rsid w:val="00A43C3E"/>
    <w:rsid w:val="00A468E1"/>
    <w:rsid w:val="00A5273B"/>
    <w:rsid w:val="00A53A9D"/>
    <w:rsid w:val="00A62C1A"/>
    <w:rsid w:val="00A6426D"/>
    <w:rsid w:val="00A70622"/>
    <w:rsid w:val="00A70977"/>
    <w:rsid w:val="00A71B20"/>
    <w:rsid w:val="00A75DEF"/>
    <w:rsid w:val="00A8390C"/>
    <w:rsid w:val="00AA4D1C"/>
    <w:rsid w:val="00AB4275"/>
    <w:rsid w:val="00AC5206"/>
    <w:rsid w:val="00AC655E"/>
    <w:rsid w:val="00AD400E"/>
    <w:rsid w:val="00AD7D81"/>
    <w:rsid w:val="00AE11A5"/>
    <w:rsid w:val="00AE459E"/>
    <w:rsid w:val="00AE7A70"/>
    <w:rsid w:val="00AF46F8"/>
    <w:rsid w:val="00AF68CC"/>
    <w:rsid w:val="00B00DC1"/>
    <w:rsid w:val="00B01299"/>
    <w:rsid w:val="00B072DB"/>
    <w:rsid w:val="00B16739"/>
    <w:rsid w:val="00B205AA"/>
    <w:rsid w:val="00B20834"/>
    <w:rsid w:val="00B25F75"/>
    <w:rsid w:val="00B31CBA"/>
    <w:rsid w:val="00B43E90"/>
    <w:rsid w:val="00B44D55"/>
    <w:rsid w:val="00B4795B"/>
    <w:rsid w:val="00B55A91"/>
    <w:rsid w:val="00B56118"/>
    <w:rsid w:val="00B72D49"/>
    <w:rsid w:val="00B77E98"/>
    <w:rsid w:val="00B816D0"/>
    <w:rsid w:val="00BB432B"/>
    <w:rsid w:val="00BB440F"/>
    <w:rsid w:val="00BB69F5"/>
    <w:rsid w:val="00BB7EC3"/>
    <w:rsid w:val="00BC272C"/>
    <w:rsid w:val="00BC4B9A"/>
    <w:rsid w:val="00BC55FC"/>
    <w:rsid w:val="00BC6DB0"/>
    <w:rsid w:val="00BD2955"/>
    <w:rsid w:val="00BD5BD5"/>
    <w:rsid w:val="00BD6D1E"/>
    <w:rsid w:val="00BF4CB6"/>
    <w:rsid w:val="00BF639F"/>
    <w:rsid w:val="00C07269"/>
    <w:rsid w:val="00C100FD"/>
    <w:rsid w:val="00C12768"/>
    <w:rsid w:val="00C33D04"/>
    <w:rsid w:val="00C35996"/>
    <w:rsid w:val="00C5342C"/>
    <w:rsid w:val="00C6256A"/>
    <w:rsid w:val="00C73DC1"/>
    <w:rsid w:val="00C76AED"/>
    <w:rsid w:val="00C82474"/>
    <w:rsid w:val="00C91449"/>
    <w:rsid w:val="00C92D10"/>
    <w:rsid w:val="00CC2683"/>
    <w:rsid w:val="00CE09F2"/>
    <w:rsid w:val="00CE10C4"/>
    <w:rsid w:val="00CE27B5"/>
    <w:rsid w:val="00CE662A"/>
    <w:rsid w:val="00CF3663"/>
    <w:rsid w:val="00CF61BB"/>
    <w:rsid w:val="00D0321E"/>
    <w:rsid w:val="00D2267A"/>
    <w:rsid w:val="00D3027C"/>
    <w:rsid w:val="00D3280C"/>
    <w:rsid w:val="00D32BE5"/>
    <w:rsid w:val="00D3406A"/>
    <w:rsid w:val="00D371A9"/>
    <w:rsid w:val="00D4234B"/>
    <w:rsid w:val="00D469B2"/>
    <w:rsid w:val="00D63B5C"/>
    <w:rsid w:val="00D63C9C"/>
    <w:rsid w:val="00D741EB"/>
    <w:rsid w:val="00D76603"/>
    <w:rsid w:val="00D82BA9"/>
    <w:rsid w:val="00D872C8"/>
    <w:rsid w:val="00D9105B"/>
    <w:rsid w:val="00D91271"/>
    <w:rsid w:val="00D97619"/>
    <w:rsid w:val="00DA4BAC"/>
    <w:rsid w:val="00DA5C9A"/>
    <w:rsid w:val="00DB6A9D"/>
    <w:rsid w:val="00DC7F81"/>
    <w:rsid w:val="00DD26F1"/>
    <w:rsid w:val="00DD4B4E"/>
    <w:rsid w:val="00DE6D27"/>
    <w:rsid w:val="00DF1EAB"/>
    <w:rsid w:val="00DF217D"/>
    <w:rsid w:val="00DF26A7"/>
    <w:rsid w:val="00E143EE"/>
    <w:rsid w:val="00E16910"/>
    <w:rsid w:val="00E21442"/>
    <w:rsid w:val="00E21F2D"/>
    <w:rsid w:val="00E222DC"/>
    <w:rsid w:val="00E340AC"/>
    <w:rsid w:val="00E35CB0"/>
    <w:rsid w:val="00E545C1"/>
    <w:rsid w:val="00E55FBA"/>
    <w:rsid w:val="00E63136"/>
    <w:rsid w:val="00E65309"/>
    <w:rsid w:val="00E65E54"/>
    <w:rsid w:val="00E70090"/>
    <w:rsid w:val="00E75C0A"/>
    <w:rsid w:val="00E80155"/>
    <w:rsid w:val="00E82B32"/>
    <w:rsid w:val="00E848C0"/>
    <w:rsid w:val="00E87F94"/>
    <w:rsid w:val="00E91B96"/>
    <w:rsid w:val="00E93F3C"/>
    <w:rsid w:val="00E941A1"/>
    <w:rsid w:val="00E95CE3"/>
    <w:rsid w:val="00E972F9"/>
    <w:rsid w:val="00EA2825"/>
    <w:rsid w:val="00EB5088"/>
    <w:rsid w:val="00EC08CA"/>
    <w:rsid w:val="00ED1644"/>
    <w:rsid w:val="00ED4FC6"/>
    <w:rsid w:val="00ED7AC7"/>
    <w:rsid w:val="00EE1862"/>
    <w:rsid w:val="00EE51B1"/>
    <w:rsid w:val="00F050BD"/>
    <w:rsid w:val="00F05657"/>
    <w:rsid w:val="00F207E3"/>
    <w:rsid w:val="00F25578"/>
    <w:rsid w:val="00F258E5"/>
    <w:rsid w:val="00F300BC"/>
    <w:rsid w:val="00F3334E"/>
    <w:rsid w:val="00F50EC4"/>
    <w:rsid w:val="00F57294"/>
    <w:rsid w:val="00F57A6D"/>
    <w:rsid w:val="00F60D9B"/>
    <w:rsid w:val="00F638CC"/>
    <w:rsid w:val="00F648E6"/>
    <w:rsid w:val="00F731A3"/>
    <w:rsid w:val="00F8247A"/>
    <w:rsid w:val="00FA18BD"/>
    <w:rsid w:val="00FA5883"/>
    <w:rsid w:val="00FA6055"/>
    <w:rsid w:val="00FB322F"/>
    <w:rsid w:val="00FB442F"/>
    <w:rsid w:val="00FC1929"/>
    <w:rsid w:val="00FC2BD2"/>
    <w:rsid w:val="00FC5B46"/>
    <w:rsid w:val="00FE54E3"/>
    <w:rsid w:val="00FE754B"/>
    <w:rsid w:val="00FF1ED4"/>
  </w:rsids>
  <m:mathPr>
    <m:mathFont m:val="Cambria Math"/>
    <m:brkBin m:val="before"/>
    <m:brkBinSub m:val="--"/>
    <m:smallFrac/>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basedOn w:val="Normal"/>
    <w:link w:val="ListParagraphChar"/>
    <w:uiPriority w:val="72"/>
    <w:qFormat/>
    <w:rsid w:val="00C35996"/>
    <w:pPr>
      <w:ind w:left="720"/>
      <w:contextualSpacing/>
    </w:pPr>
  </w:style>
  <w:style w:type="character" w:styleId="CommentReference">
    <w:name w:val="annotation reference"/>
    <w:basedOn w:val="DefaultParagraphFon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paragraph" w:styleId="Revision">
    <w:name w:val="Revision"/>
    <w:hidden/>
    <w:uiPriority w:val="71"/>
    <w:rsid w:val="00E21F2D"/>
    <w:rPr>
      <w:sz w:val="24"/>
      <w:szCs w:val="24"/>
    </w:rPr>
  </w:style>
  <w:style w:type="character" w:customStyle="1" w:styleId="ListParagraphChar">
    <w:name w:val="List Paragraph Char"/>
    <w:link w:val="ListParagraph"/>
    <w:uiPriority w:val="72"/>
    <w:locked/>
    <w:rsid w:val="003A76E4"/>
    <w:rPr>
      <w:sz w:val="24"/>
      <w:szCs w:val="24"/>
    </w:rPr>
  </w:style>
  <w:style w:type="character" w:styleId="Hyperlink">
    <w:name w:val="Hyperlink"/>
    <w:basedOn w:val="DefaultParagraphFont"/>
    <w:rsid w:val="008B6EB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basedOn w:val="Normal"/>
    <w:link w:val="ListParagraphChar"/>
    <w:uiPriority w:val="72"/>
    <w:qFormat/>
    <w:rsid w:val="00C35996"/>
    <w:pPr>
      <w:ind w:left="720"/>
      <w:contextualSpacing/>
    </w:pPr>
  </w:style>
  <w:style w:type="character" w:styleId="CommentReference">
    <w:name w:val="annotation reference"/>
    <w:basedOn w:val="DefaultParagraphFon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paragraph" w:styleId="Revision">
    <w:name w:val="Revision"/>
    <w:hidden/>
    <w:uiPriority w:val="71"/>
    <w:rsid w:val="00E21F2D"/>
    <w:rPr>
      <w:sz w:val="24"/>
      <w:szCs w:val="24"/>
    </w:rPr>
  </w:style>
  <w:style w:type="character" w:customStyle="1" w:styleId="ListParagraphChar">
    <w:name w:val="List Paragraph Char"/>
    <w:link w:val="ListParagraph"/>
    <w:uiPriority w:val="72"/>
    <w:locked/>
    <w:rsid w:val="003A76E4"/>
    <w:rPr>
      <w:sz w:val="24"/>
      <w:szCs w:val="24"/>
    </w:rPr>
  </w:style>
  <w:style w:type="character" w:styleId="Hyperlink">
    <w:name w:val="Hyperlink"/>
    <w:basedOn w:val="DefaultParagraphFont"/>
    <w:rsid w:val="008B6EB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6606</Words>
  <Characters>37660</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44178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2014-10-29T00:24:00Z</dcterms:created>
  <dcterms:modified xsi:type="dcterms:W3CDTF">2015-04-23T03:37:00Z</dcterms:modified>
</cp:coreProperties>
</file>