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1D" w:rsidRPr="00A14924" w:rsidRDefault="00F5251D" w:rsidP="00A14924">
      <w:pPr>
        <w:pStyle w:val="Heading1"/>
        <w:rPr>
          <w:rFonts w:ascii="Arial" w:hAnsi="Arial" w:cs="Arial"/>
          <w:color w:val="auto"/>
        </w:rPr>
      </w:pPr>
      <w:r w:rsidRPr="00A14924">
        <w:rPr>
          <w:color w:val="auto"/>
        </w:rPr>
        <w:t>14.2</w:t>
      </w:r>
      <w:r w:rsidR="00EA7AAB" w:rsidRPr="00A14924">
        <w:rPr>
          <w:color w:val="auto"/>
          <w:sz w:val="32"/>
        </w:rPr>
        <w:tab/>
      </w:r>
      <w:r w:rsidR="00E8201E" w:rsidRPr="00A14924">
        <w:rPr>
          <w:rFonts w:ascii="Arial" w:hAnsi="Arial" w:cs="Arial"/>
          <w:snapToGrid w:val="0"/>
          <w:color w:val="auto"/>
          <w:lang w:eastAsia="en-US"/>
        </w:rPr>
        <w:t>AMINO ACID FORMULA with VITAMINS and MINERALS without PHENYLALANINE</w:t>
      </w:r>
      <w:r w:rsidR="00E8201E" w:rsidRPr="00A14924">
        <w:rPr>
          <w:rFonts w:ascii="Arial" w:hAnsi="Arial" w:cs="Arial"/>
          <w:color w:val="auto"/>
        </w:rPr>
        <w:t xml:space="preserve">, </w:t>
      </w:r>
      <w:r w:rsidR="00E8201E" w:rsidRPr="00A14924">
        <w:rPr>
          <w:rStyle w:val="form-strength"/>
          <w:rFonts w:ascii="Arial" w:hAnsi="Arial" w:cs="Arial"/>
          <w:color w:val="auto"/>
        </w:rPr>
        <w:t>amino acid formula with vitamins and minerals without phenylalanine oral liquid, 30 x 125 mL cans</w:t>
      </w:r>
      <w:r w:rsidR="00E8201E" w:rsidRPr="00A14924">
        <w:rPr>
          <w:rFonts w:ascii="Arial" w:hAnsi="Arial" w:cs="Arial"/>
          <w:color w:val="auto"/>
        </w:rPr>
        <w:t xml:space="preserve">, </w:t>
      </w:r>
    </w:p>
    <w:p w:rsidR="00E8201E" w:rsidRPr="00A14924" w:rsidRDefault="00E8201E" w:rsidP="00A14924">
      <w:pPr>
        <w:pStyle w:val="Heading1"/>
        <w:rPr>
          <w:rFonts w:ascii="Arial" w:hAnsi="Arial" w:cs="Arial"/>
          <w:color w:val="auto"/>
        </w:rPr>
      </w:pPr>
      <w:r w:rsidRPr="00A14924">
        <w:rPr>
          <w:rFonts w:ascii="Arial" w:hAnsi="Arial" w:cs="Arial"/>
          <w:snapToGrid w:val="0"/>
          <w:color w:val="auto"/>
          <w:lang w:eastAsia="en-US"/>
        </w:rPr>
        <w:t xml:space="preserve">PKU </w:t>
      </w:r>
      <w:proofErr w:type="spellStart"/>
      <w:r w:rsidRPr="00A14924">
        <w:rPr>
          <w:rFonts w:ascii="Arial" w:hAnsi="Arial" w:cs="Arial"/>
          <w:snapToGrid w:val="0"/>
          <w:color w:val="auto"/>
          <w:lang w:eastAsia="en-US"/>
        </w:rPr>
        <w:t>Lophlex</w:t>
      </w:r>
      <w:proofErr w:type="spellEnd"/>
      <w:r w:rsidRPr="00A14924">
        <w:rPr>
          <w:rFonts w:ascii="Arial" w:hAnsi="Arial" w:cs="Arial"/>
          <w:snapToGrid w:val="0"/>
          <w:color w:val="auto"/>
          <w:lang w:eastAsia="en-US"/>
        </w:rPr>
        <w:t xml:space="preserve"> LQ 20®, </w:t>
      </w:r>
      <w:proofErr w:type="spellStart"/>
      <w:r w:rsidRPr="00A14924">
        <w:rPr>
          <w:rFonts w:ascii="Arial" w:hAnsi="Arial" w:cs="Arial"/>
          <w:color w:val="auto"/>
        </w:rPr>
        <w:t>N</w:t>
      </w:r>
      <w:bookmarkStart w:id="0" w:name="_GoBack"/>
      <w:bookmarkEnd w:id="0"/>
      <w:r w:rsidRPr="00A14924">
        <w:rPr>
          <w:rFonts w:ascii="Arial" w:hAnsi="Arial" w:cs="Arial"/>
          <w:color w:val="auto"/>
        </w:rPr>
        <w:t>utricia</w:t>
      </w:r>
      <w:proofErr w:type="spellEnd"/>
      <w:r w:rsidRPr="00A14924">
        <w:rPr>
          <w:rFonts w:ascii="Arial" w:hAnsi="Arial" w:cs="Arial"/>
          <w:color w:val="auto"/>
        </w:rPr>
        <w:t xml:space="preserve"> Australia Pty Ltd</w:t>
      </w:r>
    </w:p>
    <w:p w:rsidR="00E8201E" w:rsidRPr="005C48BA" w:rsidRDefault="00E8201E" w:rsidP="00E8201E">
      <w:pPr>
        <w:widowControl w:val="0"/>
        <w:rPr>
          <w:rFonts w:ascii="Arial" w:hAnsi="Arial" w:cs="Arial"/>
          <w:b/>
          <w:snapToGrid w:val="0"/>
          <w:lang w:eastAsia="en-US"/>
        </w:rPr>
      </w:pPr>
    </w:p>
    <w:p w:rsidR="00E8201E" w:rsidRPr="005C48BA" w:rsidRDefault="00E8201E" w:rsidP="00E8201E">
      <w:pPr>
        <w:widowControl w:val="0"/>
        <w:rPr>
          <w:rFonts w:ascii="Arial" w:hAnsi="Arial" w:cs="Arial"/>
          <w:b/>
        </w:rPr>
      </w:pPr>
    </w:p>
    <w:p w:rsidR="00F5251D" w:rsidRPr="005C48BA" w:rsidRDefault="00E8201E" w:rsidP="00EA7AAB">
      <w:pPr>
        <w:widowControl w:val="0"/>
        <w:ind w:left="720"/>
        <w:rPr>
          <w:rStyle w:val="form-strength"/>
          <w:rFonts w:ascii="Arial" w:hAnsi="Arial" w:cs="Arial"/>
          <w:b/>
        </w:rPr>
      </w:pPr>
      <w:r w:rsidRPr="005C48BA">
        <w:rPr>
          <w:rFonts w:ascii="Arial" w:hAnsi="Arial" w:cs="Arial"/>
          <w:b/>
          <w:snapToGrid w:val="0"/>
          <w:lang w:eastAsia="en-US"/>
        </w:rPr>
        <w:t>AMINO ACID FORMULA with VITAMINS and MINERALS without PHENYLALANINE</w:t>
      </w:r>
      <w:r w:rsidRPr="005C48BA">
        <w:rPr>
          <w:rStyle w:val="form-strength"/>
          <w:rFonts w:ascii="Arial" w:hAnsi="Arial" w:cs="Arial"/>
          <w:b/>
        </w:rPr>
        <w:t xml:space="preserve">, amino acid formula with vitamins and minerals without phenylalanine oral liquid, 60 x 62.5 mL cans, </w:t>
      </w:r>
    </w:p>
    <w:p w:rsidR="00E8201E" w:rsidRPr="005C48BA" w:rsidRDefault="00E8201E" w:rsidP="00EA7AAB">
      <w:pPr>
        <w:widowControl w:val="0"/>
        <w:ind w:firstLine="720"/>
        <w:rPr>
          <w:rFonts w:ascii="Arial" w:hAnsi="Arial" w:cs="Arial"/>
          <w:b/>
        </w:rPr>
      </w:pPr>
      <w:r w:rsidRPr="005C48BA">
        <w:rPr>
          <w:rFonts w:ascii="Arial" w:hAnsi="Arial" w:cs="Arial"/>
          <w:b/>
          <w:snapToGrid w:val="0"/>
          <w:lang w:eastAsia="en-US"/>
        </w:rPr>
        <w:t xml:space="preserve">PKU </w:t>
      </w:r>
      <w:proofErr w:type="spellStart"/>
      <w:r w:rsidRPr="005C48BA">
        <w:rPr>
          <w:rFonts w:ascii="Arial" w:hAnsi="Arial" w:cs="Arial"/>
          <w:b/>
          <w:snapToGrid w:val="0"/>
          <w:lang w:eastAsia="en-US"/>
        </w:rPr>
        <w:t>Lophlex</w:t>
      </w:r>
      <w:proofErr w:type="spellEnd"/>
      <w:r w:rsidRPr="005C48BA">
        <w:rPr>
          <w:rFonts w:ascii="Arial" w:hAnsi="Arial" w:cs="Arial"/>
          <w:b/>
          <w:snapToGrid w:val="0"/>
          <w:lang w:eastAsia="en-US"/>
        </w:rPr>
        <w:t xml:space="preserve"> LQ 10®,</w:t>
      </w:r>
      <w:r w:rsidR="00F5251D" w:rsidRPr="005C48BA">
        <w:rPr>
          <w:rFonts w:ascii="Arial" w:hAnsi="Arial" w:cs="Arial"/>
          <w:b/>
          <w:snapToGrid w:val="0"/>
          <w:lang w:eastAsia="en-US"/>
        </w:rPr>
        <w:t xml:space="preserve"> </w:t>
      </w:r>
      <w:proofErr w:type="spellStart"/>
      <w:r w:rsidRPr="005C48BA">
        <w:rPr>
          <w:rFonts w:ascii="Arial" w:hAnsi="Arial" w:cs="Arial"/>
          <w:b/>
        </w:rPr>
        <w:t>Nutricia</w:t>
      </w:r>
      <w:proofErr w:type="spellEnd"/>
      <w:r w:rsidRPr="005C48BA">
        <w:rPr>
          <w:rFonts w:ascii="Arial" w:hAnsi="Arial" w:cs="Arial"/>
          <w:b/>
        </w:rPr>
        <w:t xml:space="preserve"> Australia Pty Ltd </w:t>
      </w:r>
    </w:p>
    <w:p w:rsidR="00E8201E" w:rsidRPr="005C48BA" w:rsidRDefault="00E8201E" w:rsidP="00E8201E">
      <w:pPr>
        <w:rPr>
          <w:rFonts w:ascii="Arial" w:hAnsi="Arial" w:cs="Arial"/>
        </w:rPr>
      </w:pPr>
    </w:p>
    <w:p w:rsidR="00F5251D" w:rsidRPr="005C48BA" w:rsidRDefault="00F5251D" w:rsidP="00E8201E">
      <w:pPr>
        <w:rPr>
          <w:rFonts w:ascii="Arial" w:hAnsi="Arial" w:cs="Arial"/>
        </w:rPr>
      </w:pPr>
    </w:p>
    <w:p w:rsidR="00EA7AAB" w:rsidRPr="005C48BA" w:rsidRDefault="00EA7AAB" w:rsidP="00EA7AAB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5C48BA">
        <w:rPr>
          <w:rFonts w:ascii="Arial" w:hAnsi="Arial"/>
          <w:b/>
          <w:sz w:val="22"/>
          <w:szCs w:val="22"/>
        </w:rPr>
        <w:t>Purpose of application</w:t>
      </w:r>
    </w:p>
    <w:p w:rsidR="00EA7AAB" w:rsidRPr="005C48BA" w:rsidRDefault="00EA7AAB" w:rsidP="00EA7AAB">
      <w:pPr>
        <w:jc w:val="both"/>
        <w:rPr>
          <w:rFonts w:ascii="Arial" w:hAnsi="Arial"/>
          <w:b/>
          <w:sz w:val="22"/>
          <w:szCs w:val="22"/>
        </w:rPr>
      </w:pPr>
    </w:p>
    <w:p w:rsidR="00E8201E" w:rsidRPr="005C48BA" w:rsidRDefault="00E8201E" w:rsidP="00EA7AAB">
      <w:pPr>
        <w:pStyle w:val="ListParagraph"/>
        <w:numPr>
          <w:ilvl w:val="1"/>
          <w:numId w:val="2"/>
        </w:numPr>
        <w:rPr>
          <w:rFonts w:ascii="Arial" w:hAnsi="Arial" w:cs="Arial"/>
          <w:snapToGrid w:val="0"/>
          <w:sz w:val="22"/>
          <w:lang w:eastAsia="en-US"/>
        </w:rPr>
      </w:pPr>
      <w:r w:rsidRPr="005C48BA">
        <w:rPr>
          <w:rFonts w:ascii="Arial" w:hAnsi="Arial" w:cs="Arial"/>
          <w:sz w:val="22"/>
        </w:rPr>
        <w:t xml:space="preserve">To inform the PBAC of </w:t>
      </w:r>
      <w:r w:rsidRPr="005C48BA">
        <w:rPr>
          <w:rFonts w:ascii="Arial" w:hAnsi="Arial" w:cs="Arial"/>
          <w:snapToGrid w:val="0"/>
          <w:sz w:val="22"/>
          <w:lang w:eastAsia="en-US"/>
        </w:rPr>
        <w:t xml:space="preserve">additional flavour variants and minor nutritional upgrades within the currently listed PKU </w:t>
      </w:r>
      <w:proofErr w:type="spellStart"/>
      <w:r w:rsidRPr="005C48BA">
        <w:rPr>
          <w:rFonts w:ascii="Arial" w:hAnsi="Arial" w:cs="Arial"/>
          <w:snapToGrid w:val="0"/>
          <w:sz w:val="22"/>
          <w:lang w:eastAsia="en-US"/>
        </w:rPr>
        <w:t>Lophlex</w:t>
      </w:r>
      <w:proofErr w:type="spellEnd"/>
      <w:r w:rsidRPr="005C48BA">
        <w:rPr>
          <w:rFonts w:ascii="Arial" w:hAnsi="Arial" w:cs="Arial"/>
          <w:snapToGrid w:val="0"/>
          <w:sz w:val="22"/>
          <w:lang w:eastAsia="en-US"/>
        </w:rPr>
        <w:t xml:space="preserve"> LQ 10 and PKU </w:t>
      </w:r>
      <w:proofErr w:type="spellStart"/>
      <w:r w:rsidRPr="005C48BA">
        <w:rPr>
          <w:rFonts w:ascii="Arial" w:hAnsi="Arial" w:cs="Arial"/>
          <w:snapToGrid w:val="0"/>
          <w:sz w:val="22"/>
          <w:lang w:eastAsia="en-US"/>
        </w:rPr>
        <w:t>Lophlex</w:t>
      </w:r>
      <w:proofErr w:type="spellEnd"/>
      <w:r w:rsidRPr="005C48BA">
        <w:rPr>
          <w:rFonts w:ascii="Arial" w:hAnsi="Arial" w:cs="Arial"/>
          <w:snapToGrid w:val="0"/>
          <w:sz w:val="22"/>
          <w:lang w:eastAsia="en-US"/>
        </w:rPr>
        <w:t xml:space="preserve"> LQ 20 products for treatment of patients with phenylketonuria (PKU). </w:t>
      </w:r>
    </w:p>
    <w:p w:rsidR="00E8201E" w:rsidRPr="005C48BA" w:rsidRDefault="00E8201E" w:rsidP="00E8201E">
      <w:pPr>
        <w:pStyle w:val="Header"/>
        <w:widowControl w:val="0"/>
        <w:tabs>
          <w:tab w:val="clear" w:pos="4153"/>
          <w:tab w:val="clear" w:pos="8306"/>
        </w:tabs>
        <w:rPr>
          <w:rFonts w:ascii="Arial" w:hAnsi="Arial" w:cs="Arial"/>
          <w:snapToGrid w:val="0"/>
          <w:sz w:val="22"/>
          <w:lang w:eastAsia="en-US"/>
        </w:rPr>
      </w:pPr>
    </w:p>
    <w:p w:rsidR="00E8201E" w:rsidRPr="005C48BA" w:rsidRDefault="00E8201E" w:rsidP="00EA7AAB">
      <w:pPr>
        <w:pStyle w:val="Header"/>
        <w:widowControl w:val="0"/>
        <w:tabs>
          <w:tab w:val="clear" w:pos="4153"/>
          <w:tab w:val="clear" w:pos="8306"/>
        </w:tabs>
        <w:ind w:firstLine="720"/>
        <w:rPr>
          <w:rFonts w:ascii="Arial" w:hAnsi="Arial" w:cs="Arial"/>
          <w:snapToGrid w:val="0"/>
          <w:sz w:val="22"/>
          <w:lang w:eastAsia="en-US"/>
        </w:rPr>
      </w:pPr>
      <w:r w:rsidRPr="005C48BA">
        <w:rPr>
          <w:rFonts w:ascii="Arial" w:hAnsi="Arial" w:cs="Arial"/>
          <w:snapToGrid w:val="0"/>
          <w:sz w:val="22"/>
          <w:lang w:eastAsia="en-US"/>
        </w:rPr>
        <w:t>No changes to the current PBS listings are requested.</w:t>
      </w:r>
    </w:p>
    <w:p w:rsidR="00E8201E" w:rsidRPr="005C48BA" w:rsidRDefault="00E8201E" w:rsidP="00E8201E">
      <w:pPr>
        <w:rPr>
          <w:rFonts w:ascii="Arial" w:hAnsi="Arial" w:cs="Arial"/>
          <w:sz w:val="22"/>
        </w:rPr>
      </w:pPr>
    </w:p>
    <w:p w:rsidR="00E8201E" w:rsidRPr="005C48BA" w:rsidRDefault="00E8201E" w:rsidP="00E8201E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5C48BA">
        <w:rPr>
          <w:rFonts w:ascii="Arial" w:hAnsi="Arial" w:cs="Arial"/>
          <w:b/>
          <w:sz w:val="22"/>
        </w:rPr>
        <w:t>Background</w:t>
      </w:r>
    </w:p>
    <w:p w:rsidR="00EA7AAB" w:rsidRPr="005C48BA" w:rsidRDefault="00EA7AAB" w:rsidP="00EA7AAB">
      <w:pPr>
        <w:jc w:val="both"/>
        <w:rPr>
          <w:rFonts w:ascii="Arial" w:hAnsi="Arial"/>
          <w:b/>
          <w:sz w:val="22"/>
          <w:szCs w:val="22"/>
        </w:rPr>
      </w:pPr>
    </w:p>
    <w:p w:rsidR="00E8201E" w:rsidRPr="005C48BA" w:rsidRDefault="00E8201E" w:rsidP="00EA7AAB">
      <w:pPr>
        <w:pStyle w:val="ListParagraph"/>
        <w:numPr>
          <w:ilvl w:val="1"/>
          <w:numId w:val="2"/>
        </w:numPr>
        <w:rPr>
          <w:rFonts w:ascii="Arial" w:hAnsi="Arial" w:cs="Arial"/>
          <w:sz w:val="22"/>
        </w:rPr>
      </w:pPr>
      <w:r w:rsidRPr="005C48BA">
        <w:rPr>
          <w:rFonts w:ascii="Arial" w:hAnsi="Arial" w:cs="Arial"/>
          <w:sz w:val="22"/>
        </w:rPr>
        <w:t>These products are currently PBS listed as Restricted Benefits for phenylketonuria.</w:t>
      </w:r>
    </w:p>
    <w:p w:rsidR="00E8201E" w:rsidRPr="005C48BA" w:rsidRDefault="00E8201E" w:rsidP="00E8201E">
      <w:pPr>
        <w:rPr>
          <w:rFonts w:ascii="Arial" w:hAnsi="Arial" w:cs="Arial"/>
          <w:sz w:val="22"/>
        </w:rPr>
      </w:pPr>
    </w:p>
    <w:p w:rsidR="00E8201E" w:rsidRPr="00B751E2" w:rsidRDefault="00E8201E" w:rsidP="00EA7AAB">
      <w:pPr>
        <w:pStyle w:val="ListParagraph"/>
        <w:numPr>
          <w:ilvl w:val="1"/>
          <w:numId w:val="2"/>
        </w:numPr>
        <w:rPr>
          <w:rFonts w:ascii="Arial" w:hAnsi="Arial" w:cs="Arial"/>
          <w:sz w:val="22"/>
        </w:rPr>
      </w:pPr>
      <w:proofErr w:type="spellStart"/>
      <w:r w:rsidRPr="005C48BA">
        <w:rPr>
          <w:rFonts w:ascii="Arial" w:hAnsi="Arial" w:cs="Arial"/>
          <w:sz w:val="22"/>
        </w:rPr>
        <w:t>Nutricia</w:t>
      </w:r>
      <w:proofErr w:type="spellEnd"/>
      <w:r w:rsidRPr="005C48BA">
        <w:rPr>
          <w:rFonts w:ascii="Arial" w:hAnsi="Arial" w:cs="Arial"/>
          <w:sz w:val="22"/>
        </w:rPr>
        <w:t xml:space="preserve"> has extended its range of PKU </w:t>
      </w:r>
      <w:proofErr w:type="spellStart"/>
      <w:r w:rsidRPr="005C48BA">
        <w:rPr>
          <w:rFonts w:ascii="Arial" w:hAnsi="Arial" w:cs="Arial"/>
          <w:sz w:val="22"/>
        </w:rPr>
        <w:t>Lophlex</w:t>
      </w:r>
      <w:proofErr w:type="spellEnd"/>
      <w:r w:rsidRPr="005C48BA">
        <w:rPr>
          <w:rFonts w:ascii="Arial" w:hAnsi="Arial" w:cs="Arial"/>
          <w:sz w:val="22"/>
        </w:rPr>
        <w:t xml:space="preserve"> LQ 10 and 20 products with the addition of new flavours </w:t>
      </w:r>
      <w:r w:rsidR="00BC5D51">
        <w:rPr>
          <w:rFonts w:ascii="Arial" w:hAnsi="Arial" w:cs="Arial"/>
          <w:noProof/>
          <w:color w:val="000000"/>
          <w:sz w:val="22"/>
          <w:highlight w:val="black"/>
        </w:rPr>
        <w:t>''' ''''''''''' ''''''''''''''''''' ''''''''' '''''''''''' ''''''''''''''</w:t>
      </w:r>
      <w:r w:rsidRPr="005C48BA">
        <w:rPr>
          <w:rFonts w:ascii="Arial" w:hAnsi="Arial" w:cs="Arial"/>
          <w:sz w:val="22"/>
        </w:rPr>
        <w:t xml:space="preserve">, to complement the existing flavour range.  These new flavours have been formulated using the same macronutrient and micronutrient profile as existing flavours </w:t>
      </w:r>
      <w:r w:rsidRPr="00B751E2">
        <w:rPr>
          <w:rFonts w:ascii="Arial" w:hAnsi="Arial" w:cs="Arial"/>
          <w:sz w:val="22"/>
        </w:rPr>
        <w:t>with the following exceptions:</w:t>
      </w:r>
    </w:p>
    <w:p w:rsidR="00E8201E" w:rsidRPr="00BC5D51" w:rsidRDefault="00BC5D51" w:rsidP="00E8201E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color w:val="000000"/>
          <w:sz w:val="22"/>
          <w:highlight w:val="black"/>
        </w:rPr>
        <w:t xml:space="preserve">''''''''''''''''''''''''' '''''''''''''''' '''' </w:t>
      </w:r>
      <w:r w:rsidR="00E8201E" w:rsidRPr="00B751E2">
        <w:rPr>
          <w:rFonts w:ascii="Arial" w:hAnsi="Arial" w:cs="Arial"/>
          <w:sz w:val="22"/>
        </w:rPr>
        <w:t>in line with latest recommendation on requirements</w:t>
      </w:r>
    </w:p>
    <w:p w:rsidR="00E8201E" w:rsidRPr="00B751E2" w:rsidRDefault="00BC5D51" w:rsidP="00E8201E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color w:val="000000"/>
          <w:sz w:val="22"/>
          <w:highlight w:val="black"/>
        </w:rPr>
        <w:t xml:space="preserve">'''''''''''''' ''''''''''' ''''' ''''''''' ''''''''' </w:t>
      </w:r>
      <w:r w:rsidR="00E8201E" w:rsidRPr="00B751E2">
        <w:rPr>
          <w:rFonts w:ascii="Arial" w:hAnsi="Arial" w:cs="Arial"/>
          <w:sz w:val="22"/>
        </w:rPr>
        <w:t>in line with recommendations for the general population</w:t>
      </w:r>
    </w:p>
    <w:p w:rsidR="00E8201E" w:rsidRPr="00BC5D51" w:rsidRDefault="00BC5D51" w:rsidP="00BC5D51">
      <w:pPr>
        <w:ind w:left="1440" w:hanging="360"/>
        <w:rPr>
          <w:rFonts w:ascii="Arial" w:hAnsi="Arial" w:cs="Arial"/>
          <w:sz w:val="22"/>
          <w:highlight w:val="black"/>
        </w:rPr>
      </w:pP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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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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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  <w:r>
        <w:rPr>
          <w:rFonts w:ascii="Symbol" w:hAnsi="Symbol" w:cs="Arial"/>
          <w:noProof/>
          <w:color w:val="000000"/>
          <w:sz w:val="22"/>
          <w:highlight w:val="black"/>
        </w:rPr>
        <w:t></w:t>
      </w:r>
    </w:p>
    <w:p w:rsidR="00E8201E" w:rsidRPr="005C48BA" w:rsidRDefault="00E8201E" w:rsidP="00E8201E">
      <w:pPr>
        <w:rPr>
          <w:rFonts w:ascii="Arial" w:hAnsi="Arial" w:cs="Arial"/>
          <w:sz w:val="22"/>
        </w:rPr>
      </w:pPr>
    </w:p>
    <w:p w:rsidR="00E8201E" w:rsidRPr="005C48BA" w:rsidRDefault="00E8201E" w:rsidP="00EA7AAB">
      <w:pPr>
        <w:ind w:firstLine="720"/>
        <w:rPr>
          <w:rFonts w:ascii="Arial" w:hAnsi="Arial" w:cs="Arial"/>
          <w:sz w:val="22"/>
        </w:rPr>
      </w:pPr>
      <w:r w:rsidRPr="005C48BA">
        <w:rPr>
          <w:rFonts w:ascii="Arial" w:hAnsi="Arial" w:cs="Arial"/>
          <w:sz w:val="22"/>
        </w:rPr>
        <w:t>No change</w:t>
      </w:r>
      <w:r w:rsidR="00B11730" w:rsidRPr="005C48BA">
        <w:rPr>
          <w:rFonts w:ascii="Arial" w:hAnsi="Arial" w:cs="Arial"/>
          <w:sz w:val="22"/>
        </w:rPr>
        <w:t>s</w:t>
      </w:r>
      <w:r w:rsidRPr="005C48BA">
        <w:rPr>
          <w:rFonts w:ascii="Arial" w:hAnsi="Arial" w:cs="Arial"/>
          <w:sz w:val="22"/>
        </w:rPr>
        <w:t xml:space="preserve"> </w:t>
      </w:r>
      <w:r w:rsidR="00B11730" w:rsidRPr="005C48BA">
        <w:rPr>
          <w:rFonts w:ascii="Arial" w:hAnsi="Arial" w:cs="Arial"/>
          <w:sz w:val="22"/>
        </w:rPr>
        <w:t>to price or current PBS listing were</w:t>
      </w:r>
      <w:r w:rsidRPr="005C48BA">
        <w:rPr>
          <w:rFonts w:ascii="Arial" w:hAnsi="Arial" w:cs="Arial"/>
          <w:sz w:val="22"/>
        </w:rPr>
        <w:t xml:space="preserve"> requested</w:t>
      </w:r>
      <w:r w:rsidR="00B11730" w:rsidRPr="005C48BA">
        <w:rPr>
          <w:rFonts w:ascii="Arial" w:hAnsi="Arial" w:cs="Arial"/>
          <w:sz w:val="22"/>
        </w:rPr>
        <w:t xml:space="preserve"> in the submission</w:t>
      </w:r>
      <w:r w:rsidRPr="005C48BA">
        <w:rPr>
          <w:rFonts w:ascii="Arial" w:hAnsi="Arial" w:cs="Arial"/>
          <w:sz w:val="22"/>
        </w:rPr>
        <w:t>.</w:t>
      </w:r>
    </w:p>
    <w:p w:rsidR="00E8201E" w:rsidRPr="005C48BA" w:rsidRDefault="00E8201E" w:rsidP="00E8201E">
      <w:pPr>
        <w:rPr>
          <w:rFonts w:ascii="Arial" w:hAnsi="Arial" w:cs="Arial"/>
          <w:sz w:val="22"/>
        </w:rPr>
      </w:pPr>
    </w:p>
    <w:p w:rsidR="00EA7AAB" w:rsidRPr="005C48BA" w:rsidRDefault="00EA7AAB" w:rsidP="00EA7AAB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5C48BA">
        <w:rPr>
          <w:rFonts w:ascii="Arial" w:hAnsi="Arial"/>
          <w:b/>
          <w:sz w:val="22"/>
          <w:szCs w:val="22"/>
        </w:rPr>
        <w:t>PBAC Outcome</w:t>
      </w:r>
    </w:p>
    <w:p w:rsidR="00EA7AAB" w:rsidRPr="005C48BA" w:rsidRDefault="00EA7AAB" w:rsidP="00EA7AAB">
      <w:pPr>
        <w:jc w:val="both"/>
        <w:rPr>
          <w:rFonts w:ascii="Arial" w:hAnsi="Arial"/>
          <w:b/>
          <w:sz w:val="22"/>
          <w:szCs w:val="22"/>
        </w:rPr>
      </w:pPr>
    </w:p>
    <w:p w:rsidR="00E8201E" w:rsidRDefault="00E8201E" w:rsidP="00EA7AAB">
      <w:pPr>
        <w:pStyle w:val="ListParagraph"/>
        <w:numPr>
          <w:ilvl w:val="1"/>
          <w:numId w:val="2"/>
        </w:numPr>
        <w:rPr>
          <w:rFonts w:ascii="Arial" w:hAnsi="Arial" w:cs="Arial"/>
          <w:sz w:val="22"/>
        </w:rPr>
      </w:pPr>
      <w:r w:rsidRPr="005C48BA">
        <w:rPr>
          <w:rFonts w:ascii="Arial" w:hAnsi="Arial" w:cs="Arial"/>
          <w:sz w:val="22"/>
        </w:rPr>
        <w:t xml:space="preserve">The </w:t>
      </w:r>
      <w:r w:rsidR="00B11730" w:rsidRPr="005C48BA">
        <w:rPr>
          <w:rFonts w:ascii="Arial" w:hAnsi="Arial" w:cs="Arial"/>
          <w:sz w:val="22"/>
        </w:rPr>
        <w:t xml:space="preserve">PBAC noted that the </w:t>
      </w:r>
      <w:r w:rsidRPr="005C48BA">
        <w:rPr>
          <w:rFonts w:ascii="Arial" w:hAnsi="Arial" w:cs="Arial"/>
          <w:sz w:val="22"/>
        </w:rPr>
        <w:t>Nutritional Products Working Party ha</w:t>
      </w:r>
      <w:r w:rsidR="00B11730" w:rsidRPr="005C48BA">
        <w:rPr>
          <w:rFonts w:ascii="Arial" w:hAnsi="Arial" w:cs="Arial"/>
          <w:sz w:val="22"/>
        </w:rPr>
        <w:t>d</w:t>
      </w:r>
      <w:r w:rsidRPr="005C48BA">
        <w:rPr>
          <w:rFonts w:ascii="Arial" w:hAnsi="Arial" w:cs="Arial"/>
          <w:sz w:val="22"/>
        </w:rPr>
        <w:t xml:space="preserve"> no objection to the two new flavours being made available through the PBS under the existing listing</w:t>
      </w:r>
      <w:r w:rsidR="00B11730" w:rsidRPr="005C48BA">
        <w:rPr>
          <w:rFonts w:ascii="Arial" w:hAnsi="Arial" w:cs="Arial"/>
          <w:sz w:val="22"/>
        </w:rPr>
        <w:t>s</w:t>
      </w:r>
      <w:r w:rsidRPr="005C48BA">
        <w:rPr>
          <w:rFonts w:ascii="Arial" w:hAnsi="Arial" w:cs="Arial"/>
          <w:sz w:val="22"/>
        </w:rPr>
        <w:t xml:space="preserve"> for PKU </w:t>
      </w:r>
      <w:proofErr w:type="spellStart"/>
      <w:r w:rsidRPr="005C48BA">
        <w:rPr>
          <w:rFonts w:ascii="Arial" w:hAnsi="Arial" w:cs="Arial"/>
          <w:sz w:val="22"/>
        </w:rPr>
        <w:t>Lophlex</w:t>
      </w:r>
      <w:proofErr w:type="spellEnd"/>
      <w:r w:rsidRPr="005C48BA">
        <w:rPr>
          <w:rFonts w:ascii="Arial" w:hAnsi="Arial" w:cs="Arial"/>
          <w:sz w:val="22"/>
        </w:rPr>
        <w:t xml:space="preserve"> LQ 10 and PKU </w:t>
      </w:r>
      <w:proofErr w:type="spellStart"/>
      <w:r w:rsidRPr="005C48BA">
        <w:rPr>
          <w:rFonts w:ascii="Arial" w:hAnsi="Arial" w:cs="Arial"/>
          <w:sz w:val="22"/>
        </w:rPr>
        <w:t>Lophlex</w:t>
      </w:r>
      <w:proofErr w:type="spellEnd"/>
      <w:r w:rsidRPr="005C48BA">
        <w:rPr>
          <w:rFonts w:ascii="Arial" w:hAnsi="Arial" w:cs="Arial"/>
          <w:sz w:val="22"/>
        </w:rPr>
        <w:t xml:space="preserve"> LQ 20.  The </w:t>
      </w:r>
      <w:r w:rsidR="00B11730" w:rsidRPr="005C48BA">
        <w:rPr>
          <w:rFonts w:ascii="Arial" w:hAnsi="Arial" w:cs="Arial"/>
          <w:sz w:val="22"/>
        </w:rPr>
        <w:t xml:space="preserve">PBAC </w:t>
      </w:r>
      <w:r w:rsidRPr="005C48BA">
        <w:rPr>
          <w:rFonts w:ascii="Arial" w:hAnsi="Arial" w:cs="Arial"/>
          <w:sz w:val="22"/>
        </w:rPr>
        <w:t>accept</w:t>
      </w:r>
      <w:r w:rsidR="00B11730" w:rsidRPr="005C48BA">
        <w:rPr>
          <w:rFonts w:ascii="Arial" w:hAnsi="Arial" w:cs="Arial"/>
          <w:sz w:val="22"/>
        </w:rPr>
        <w:t>ed the changes</w:t>
      </w:r>
      <w:r w:rsidRPr="005C48BA">
        <w:rPr>
          <w:rFonts w:ascii="Arial" w:hAnsi="Arial" w:cs="Arial"/>
          <w:sz w:val="22"/>
        </w:rPr>
        <w:t>.</w:t>
      </w:r>
    </w:p>
    <w:p w:rsidR="008A71A8" w:rsidRPr="005C48BA" w:rsidRDefault="008A71A8" w:rsidP="008A71A8">
      <w:pPr>
        <w:pStyle w:val="ListParagraph"/>
        <w:rPr>
          <w:rFonts w:ascii="Arial" w:hAnsi="Arial" w:cs="Arial"/>
          <w:sz w:val="22"/>
        </w:rPr>
      </w:pPr>
    </w:p>
    <w:p w:rsidR="008A71A8" w:rsidRPr="00A875B4" w:rsidRDefault="008A71A8" w:rsidP="008A71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A875B4">
        <w:rPr>
          <w:rFonts w:ascii="Arial" w:hAnsi="Arial" w:cs="Arial"/>
          <w:b/>
          <w:sz w:val="22"/>
        </w:rPr>
        <w:t>Context for Decision</w:t>
      </w:r>
    </w:p>
    <w:p w:rsidR="008A71A8" w:rsidRPr="00A875B4" w:rsidRDefault="008A71A8" w:rsidP="008A71A8">
      <w:pPr>
        <w:pStyle w:val="ListParagraph"/>
        <w:rPr>
          <w:rFonts w:ascii="Arial" w:hAnsi="Arial" w:cs="Arial"/>
          <w:b/>
          <w:sz w:val="22"/>
        </w:rPr>
      </w:pPr>
    </w:p>
    <w:p w:rsidR="008A71A8" w:rsidRPr="00A875B4" w:rsidRDefault="008A71A8" w:rsidP="008A71A8">
      <w:pPr>
        <w:ind w:left="720"/>
        <w:rPr>
          <w:rFonts w:ascii="Arial" w:hAnsi="Arial" w:cs="Arial"/>
          <w:sz w:val="22"/>
        </w:rPr>
      </w:pPr>
      <w:r w:rsidRPr="00A875B4">
        <w:rPr>
          <w:rFonts w:ascii="Arial" w:hAnsi="Arial" w:cs="Arial"/>
          <w:sz w:val="22"/>
        </w:rPr>
        <w:t xml:space="preserve">The PBAC helps decide whether and, if so, how medicines should be subsidised in Australia. It considers submissions in this context. A PBAC decision not to recommend listing or not to recommend changing a listing does not represent a final </w:t>
      </w:r>
      <w:r w:rsidRPr="00A875B4">
        <w:rPr>
          <w:rFonts w:ascii="Arial" w:hAnsi="Arial" w:cs="Arial"/>
          <w:sz w:val="22"/>
        </w:rPr>
        <w:lastRenderedPageBreak/>
        <w:t>PBAC view about the merits of the medicine. A company can resubmit to the PBAC or seek independent review of the PBAC decision.</w:t>
      </w:r>
    </w:p>
    <w:p w:rsidR="008A71A8" w:rsidRPr="00A875B4" w:rsidRDefault="008A71A8" w:rsidP="008A71A8">
      <w:pPr>
        <w:rPr>
          <w:rFonts w:ascii="Arial" w:hAnsi="Arial" w:cs="Arial"/>
          <w:sz w:val="22"/>
        </w:rPr>
      </w:pPr>
    </w:p>
    <w:p w:rsidR="008A71A8" w:rsidRPr="00A875B4" w:rsidRDefault="008A71A8" w:rsidP="008A71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A875B4">
        <w:rPr>
          <w:rFonts w:ascii="Arial" w:hAnsi="Arial" w:cs="Arial"/>
          <w:b/>
          <w:sz w:val="22"/>
        </w:rPr>
        <w:t>Sponsor’s Comment</w:t>
      </w:r>
    </w:p>
    <w:p w:rsidR="00E8201E" w:rsidRPr="00A16C86" w:rsidRDefault="00A16C86" w:rsidP="00A16C86">
      <w:pPr>
        <w:ind w:firstLine="709"/>
        <w:rPr>
          <w:rFonts w:ascii="Arial" w:hAnsi="Arial" w:cs="Arial"/>
          <w:sz w:val="22"/>
          <w:szCs w:val="22"/>
        </w:rPr>
      </w:pPr>
      <w:r w:rsidRPr="00A16C86">
        <w:rPr>
          <w:rFonts w:ascii="Arial" w:hAnsi="Arial" w:cs="Arial"/>
          <w:sz w:val="22"/>
          <w:szCs w:val="22"/>
        </w:rPr>
        <w:t>The sponsor had no comment.</w:t>
      </w:r>
    </w:p>
    <w:sectPr w:rsidR="00E8201E" w:rsidRPr="00A16C86" w:rsidSect="0095184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51" w:rsidRDefault="00BC5D51" w:rsidP="00F5251D">
      <w:r>
        <w:separator/>
      </w:r>
    </w:p>
  </w:endnote>
  <w:endnote w:type="continuationSeparator" w:id="0">
    <w:p w:rsidR="00BC5D51" w:rsidRDefault="00BC5D51" w:rsidP="00F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0169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36613" w:rsidRDefault="00336613" w:rsidP="00336613">
        <w:pPr>
          <w:pStyle w:val="Footer"/>
          <w:jc w:val="center"/>
        </w:pPr>
      </w:p>
      <w:p w:rsidR="00336613" w:rsidRPr="00651169" w:rsidRDefault="00336613" w:rsidP="0033661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51169">
          <w:rPr>
            <w:rFonts w:ascii="Arial" w:hAnsi="Arial" w:cs="Arial"/>
            <w:sz w:val="20"/>
            <w:szCs w:val="20"/>
          </w:rPr>
          <w:fldChar w:fldCharType="begin"/>
        </w:r>
        <w:r w:rsidRPr="0065116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51169">
          <w:rPr>
            <w:rFonts w:ascii="Arial" w:hAnsi="Arial" w:cs="Arial"/>
            <w:sz w:val="20"/>
            <w:szCs w:val="20"/>
          </w:rPr>
          <w:fldChar w:fldCharType="separate"/>
        </w:r>
        <w:r w:rsidR="00A14924">
          <w:rPr>
            <w:rFonts w:ascii="Arial" w:hAnsi="Arial" w:cs="Arial"/>
            <w:noProof/>
            <w:sz w:val="20"/>
            <w:szCs w:val="20"/>
          </w:rPr>
          <w:t>1</w:t>
        </w:r>
        <w:r w:rsidRPr="0065116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51" w:rsidRDefault="00BC5D51" w:rsidP="00F5251D">
      <w:r>
        <w:separator/>
      </w:r>
    </w:p>
  </w:footnote>
  <w:footnote w:type="continuationSeparator" w:id="0">
    <w:p w:rsidR="00BC5D51" w:rsidRDefault="00BC5D51" w:rsidP="00F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A8" w:rsidRPr="00DF217D" w:rsidRDefault="008A71A8" w:rsidP="008A71A8">
    <w:pPr>
      <w:pStyle w:val="Header"/>
      <w:jc w:val="center"/>
      <w:rPr>
        <w:i/>
        <w:color w:val="808080"/>
      </w:rPr>
    </w:pPr>
    <w:r>
      <w:rPr>
        <w:i/>
        <w:color w:val="808080"/>
      </w:rPr>
      <w:t>Public Summary Document</w:t>
    </w:r>
    <w:r w:rsidRPr="00DF217D">
      <w:rPr>
        <w:i/>
        <w:color w:val="808080"/>
      </w:rPr>
      <w:t xml:space="preserve">– </w:t>
    </w:r>
    <w:r>
      <w:rPr>
        <w:i/>
        <w:color w:val="808080"/>
      </w:rPr>
      <w:t xml:space="preserve">July 2014 </w:t>
    </w:r>
    <w:r w:rsidRPr="00DF217D">
      <w:rPr>
        <w:i/>
        <w:color w:val="808080"/>
      </w:rPr>
      <w:t>PBAC</w:t>
    </w:r>
    <w:r>
      <w:rPr>
        <w:i/>
        <w:color w:val="808080"/>
      </w:rPr>
      <w:t xml:space="preserve"> </w:t>
    </w:r>
    <w:r w:rsidRPr="00DF217D">
      <w:rPr>
        <w:i/>
        <w:color w:val="808080"/>
      </w:rPr>
      <w:t>Meeting</w:t>
    </w:r>
  </w:p>
  <w:p w:rsidR="00F5251D" w:rsidRDefault="00F5251D" w:rsidP="00F525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401D0"/>
    <w:multiLevelType w:val="hybridMultilevel"/>
    <w:tmpl w:val="8D8E25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4D033C"/>
    <w:multiLevelType w:val="multilevel"/>
    <w:tmpl w:val="96BC1D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1E"/>
    <w:rsid w:val="000E3BD3"/>
    <w:rsid w:val="002D5CC9"/>
    <w:rsid w:val="00336613"/>
    <w:rsid w:val="00460142"/>
    <w:rsid w:val="005A70AE"/>
    <w:rsid w:val="005C48BA"/>
    <w:rsid w:val="006C6B55"/>
    <w:rsid w:val="007F4E20"/>
    <w:rsid w:val="008A71A8"/>
    <w:rsid w:val="00951842"/>
    <w:rsid w:val="00A14924"/>
    <w:rsid w:val="00A16C86"/>
    <w:rsid w:val="00B11730"/>
    <w:rsid w:val="00B751E2"/>
    <w:rsid w:val="00BC5D51"/>
    <w:rsid w:val="00DE6C19"/>
    <w:rsid w:val="00E8201E"/>
    <w:rsid w:val="00EA7AAB"/>
    <w:rsid w:val="00F5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1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1E"/>
    <w:rPr>
      <w:rFonts w:eastAsia="Times New Roman" w:cs="Times New Roman"/>
      <w:szCs w:val="24"/>
      <w:lang w:eastAsia="en-AU"/>
    </w:rPr>
  </w:style>
  <w:style w:type="character" w:customStyle="1" w:styleId="form-strength">
    <w:name w:val="form-strength"/>
    <w:rsid w:val="00E8201E"/>
  </w:style>
  <w:style w:type="paragraph" w:styleId="Footer">
    <w:name w:val="footer"/>
    <w:basedOn w:val="Normal"/>
    <w:link w:val="FooterChar"/>
    <w:uiPriority w:val="99"/>
    <w:unhideWhenUsed/>
    <w:rsid w:val="00F525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51D"/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72"/>
    <w:qFormat/>
    <w:rsid w:val="00EA7A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locked/>
    <w:rsid w:val="008A71A8"/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75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1E2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1E2"/>
    <w:rPr>
      <w:rFonts w:eastAsia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E2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1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1E"/>
    <w:rPr>
      <w:rFonts w:eastAsia="Times New Roman" w:cs="Times New Roman"/>
      <w:szCs w:val="24"/>
      <w:lang w:eastAsia="en-AU"/>
    </w:rPr>
  </w:style>
  <w:style w:type="character" w:customStyle="1" w:styleId="form-strength">
    <w:name w:val="form-strength"/>
    <w:rsid w:val="00E8201E"/>
  </w:style>
  <w:style w:type="paragraph" w:styleId="Footer">
    <w:name w:val="footer"/>
    <w:basedOn w:val="Normal"/>
    <w:link w:val="FooterChar"/>
    <w:uiPriority w:val="99"/>
    <w:unhideWhenUsed/>
    <w:rsid w:val="00F525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51D"/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72"/>
    <w:qFormat/>
    <w:rsid w:val="00EA7A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locked/>
    <w:rsid w:val="008A71A8"/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75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1E2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1E2"/>
    <w:rPr>
      <w:rFonts w:eastAsia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E2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Mareddy Shobha</dc:creator>
  <cp:lastModifiedBy>Thomas Gareth</cp:lastModifiedBy>
  <cp:revision>2</cp:revision>
  <dcterms:created xsi:type="dcterms:W3CDTF">2014-10-09T05:32:00Z</dcterms:created>
  <dcterms:modified xsi:type="dcterms:W3CDTF">2014-11-05T00:29:00Z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