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18" w:rsidRPr="00625A8F" w:rsidRDefault="003235C8" w:rsidP="00625A8F">
      <w:pPr>
        <w:pStyle w:val="Heading1"/>
        <w:rPr>
          <w:noProof/>
          <w:sz w:val="28"/>
          <w:szCs w:val="28"/>
        </w:rPr>
      </w:pPr>
      <w:r w:rsidRPr="00EE2D44">
        <w:rPr>
          <w:noProof/>
        </w:rPr>
        <w:t>5.2</w:t>
      </w:r>
      <w:r w:rsidR="007C0F57" w:rsidRPr="00EE2D44">
        <w:rPr>
          <w:noProof/>
        </w:rPr>
        <w:tab/>
      </w:r>
      <w:r w:rsidRPr="00625A8F">
        <w:rPr>
          <w:noProof/>
          <w:sz w:val="28"/>
          <w:szCs w:val="28"/>
        </w:rPr>
        <w:t>ARIPIPRAZOLE</w:t>
      </w:r>
      <w:r w:rsidR="0004240E" w:rsidRPr="00625A8F">
        <w:rPr>
          <w:noProof/>
          <w:sz w:val="28"/>
          <w:szCs w:val="28"/>
        </w:rPr>
        <w:t xml:space="preserve">, </w:t>
      </w:r>
    </w:p>
    <w:p w:rsidR="00E77E0F" w:rsidRPr="00625A8F" w:rsidRDefault="003235C8" w:rsidP="00625A8F">
      <w:pPr>
        <w:pStyle w:val="Heading1"/>
        <w:rPr>
          <w:noProof/>
          <w:sz w:val="28"/>
          <w:szCs w:val="28"/>
        </w:rPr>
      </w:pPr>
      <w:r w:rsidRPr="00625A8F">
        <w:rPr>
          <w:noProof/>
          <w:sz w:val="28"/>
          <w:szCs w:val="28"/>
        </w:rPr>
        <w:t xml:space="preserve">300 mg injection: modified release [1 x 300 mg vial] </w:t>
      </w:r>
    </w:p>
    <w:p w:rsidR="003235C8" w:rsidRPr="00625A8F" w:rsidRDefault="003235C8" w:rsidP="00625A8F">
      <w:pPr>
        <w:pStyle w:val="Heading1"/>
        <w:rPr>
          <w:noProof/>
          <w:sz w:val="28"/>
          <w:szCs w:val="28"/>
        </w:rPr>
      </w:pPr>
      <w:r w:rsidRPr="00625A8F">
        <w:rPr>
          <w:noProof/>
          <w:sz w:val="28"/>
          <w:szCs w:val="28"/>
        </w:rPr>
        <w:t>(&amp;) inert substance diluent [2 x 3 mL syringe],</w:t>
      </w:r>
    </w:p>
    <w:p w:rsidR="00E77E0F" w:rsidRPr="00625A8F" w:rsidRDefault="003235C8" w:rsidP="00625A8F">
      <w:pPr>
        <w:pStyle w:val="Heading1"/>
        <w:rPr>
          <w:noProof/>
          <w:sz w:val="28"/>
          <w:szCs w:val="28"/>
        </w:rPr>
      </w:pPr>
      <w:r w:rsidRPr="00625A8F">
        <w:rPr>
          <w:noProof/>
          <w:sz w:val="28"/>
          <w:szCs w:val="28"/>
        </w:rPr>
        <w:t xml:space="preserve">400 mg injection: modified release [1 x 400 mg vial] </w:t>
      </w:r>
    </w:p>
    <w:p w:rsidR="00C245C0" w:rsidRPr="00625A8F" w:rsidRDefault="003235C8" w:rsidP="00625A8F">
      <w:pPr>
        <w:pStyle w:val="Heading1"/>
        <w:rPr>
          <w:noProof/>
          <w:sz w:val="28"/>
          <w:szCs w:val="28"/>
        </w:rPr>
      </w:pPr>
      <w:r w:rsidRPr="00625A8F">
        <w:rPr>
          <w:noProof/>
          <w:sz w:val="28"/>
          <w:szCs w:val="28"/>
        </w:rPr>
        <w:t>(&amp;) inert substance diluent [2 x 3 mL syringe]</w:t>
      </w:r>
      <w:r w:rsidR="00C245C0" w:rsidRPr="00625A8F">
        <w:rPr>
          <w:noProof/>
          <w:sz w:val="28"/>
          <w:szCs w:val="28"/>
        </w:rPr>
        <w:t>,</w:t>
      </w:r>
      <w:r w:rsidRPr="00625A8F">
        <w:rPr>
          <w:noProof/>
          <w:sz w:val="28"/>
          <w:szCs w:val="28"/>
        </w:rPr>
        <w:t xml:space="preserve"> </w:t>
      </w:r>
    </w:p>
    <w:p w:rsidR="003235C8" w:rsidRPr="00625A8F" w:rsidRDefault="003235C8" w:rsidP="00625A8F">
      <w:pPr>
        <w:pStyle w:val="Heading1"/>
        <w:rPr>
          <w:noProof/>
          <w:sz w:val="28"/>
          <w:szCs w:val="28"/>
        </w:rPr>
      </w:pPr>
      <w:r w:rsidRPr="00625A8F">
        <w:rPr>
          <w:noProof/>
          <w:sz w:val="28"/>
          <w:szCs w:val="28"/>
        </w:rPr>
        <w:t>Abilify Maintena®</w:t>
      </w:r>
      <w:r w:rsidR="0055609C" w:rsidRPr="00625A8F">
        <w:rPr>
          <w:noProof/>
          <w:sz w:val="28"/>
          <w:szCs w:val="28"/>
        </w:rPr>
        <w:t>,</w:t>
      </w:r>
      <w:r w:rsidR="00804141" w:rsidRPr="00625A8F">
        <w:rPr>
          <w:noProof/>
          <w:sz w:val="28"/>
          <w:szCs w:val="28"/>
        </w:rPr>
        <w:t xml:space="preserve"> </w:t>
      </w:r>
      <w:r w:rsidRPr="00625A8F">
        <w:rPr>
          <w:noProof/>
          <w:sz w:val="28"/>
          <w:szCs w:val="28"/>
        </w:rPr>
        <w:t>Lundbeck Australia Pty Ltd.</w:t>
      </w:r>
    </w:p>
    <w:p w:rsidR="00EE2D44" w:rsidRDefault="00EE2D44" w:rsidP="00EE2D44">
      <w:pPr>
        <w:jc w:val="both"/>
        <w:rPr>
          <w:rFonts w:ascii="Arial" w:hAnsi="Arial"/>
          <w:noProof/>
          <w:sz w:val="22"/>
          <w:szCs w:val="22"/>
        </w:rPr>
      </w:pPr>
    </w:p>
    <w:p w:rsidR="00EE2D44" w:rsidRPr="00EE2D44" w:rsidRDefault="00EE2D44" w:rsidP="00EE2D44">
      <w:pPr>
        <w:jc w:val="both"/>
        <w:rPr>
          <w:rFonts w:ascii="Arial" w:hAnsi="Arial"/>
          <w:noProof/>
          <w:sz w:val="22"/>
          <w:szCs w:val="22"/>
        </w:rPr>
      </w:pPr>
    </w:p>
    <w:p w:rsidR="008C2885" w:rsidRPr="00EE2D44" w:rsidRDefault="008C2885" w:rsidP="008C2885">
      <w:pPr>
        <w:pStyle w:val="ListParagraph"/>
        <w:numPr>
          <w:ilvl w:val="0"/>
          <w:numId w:val="25"/>
        </w:numPr>
        <w:jc w:val="both"/>
        <w:rPr>
          <w:rFonts w:ascii="Arial" w:hAnsi="Arial"/>
          <w:b/>
          <w:noProof/>
          <w:sz w:val="22"/>
          <w:szCs w:val="22"/>
        </w:rPr>
      </w:pPr>
      <w:r w:rsidRPr="00EE2D44">
        <w:rPr>
          <w:rFonts w:ascii="Arial" w:hAnsi="Arial"/>
          <w:b/>
          <w:noProof/>
          <w:sz w:val="22"/>
          <w:szCs w:val="22"/>
        </w:rPr>
        <w:t>Purpose of Application</w:t>
      </w:r>
    </w:p>
    <w:p w:rsidR="006A12A5" w:rsidRPr="00EE2D44" w:rsidRDefault="006A12A5" w:rsidP="00882085">
      <w:pPr>
        <w:jc w:val="both"/>
        <w:rPr>
          <w:rFonts w:ascii="Arial" w:hAnsi="Arial"/>
          <w:noProof/>
          <w:sz w:val="22"/>
          <w:szCs w:val="22"/>
        </w:rPr>
      </w:pPr>
    </w:p>
    <w:p w:rsidR="006A12A5" w:rsidRPr="00EE2D44" w:rsidRDefault="00054D76" w:rsidP="008C2885">
      <w:pPr>
        <w:pStyle w:val="ListParagraph"/>
        <w:numPr>
          <w:ilvl w:val="1"/>
          <w:numId w:val="25"/>
        </w:numPr>
        <w:jc w:val="both"/>
        <w:rPr>
          <w:rFonts w:ascii="Arial" w:hAnsi="Arial"/>
          <w:noProof/>
          <w:sz w:val="22"/>
          <w:szCs w:val="22"/>
        </w:rPr>
      </w:pPr>
      <w:r w:rsidRPr="00EE2D44">
        <w:rPr>
          <w:rFonts w:ascii="Arial" w:hAnsi="Arial"/>
          <w:noProof/>
          <w:sz w:val="22"/>
          <w:szCs w:val="22"/>
        </w:rPr>
        <w:t>To request an Authority required (</w:t>
      </w:r>
      <w:r w:rsidR="00CF3B43" w:rsidRPr="00EE2D44">
        <w:rPr>
          <w:rFonts w:ascii="Arial" w:hAnsi="Arial"/>
          <w:noProof/>
          <w:sz w:val="22"/>
          <w:szCs w:val="22"/>
        </w:rPr>
        <w:t>STREAMLINED</w:t>
      </w:r>
      <w:r w:rsidRPr="00EE2D44">
        <w:rPr>
          <w:rFonts w:ascii="Arial" w:hAnsi="Arial"/>
          <w:noProof/>
          <w:sz w:val="22"/>
          <w:szCs w:val="22"/>
        </w:rPr>
        <w:t>) listing for the treatment of schizophrenia.</w:t>
      </w:r>
      <w:r w:rsidR="00614159" w:rsidRPr="00EE2D44">
        <w:rPr>
          <w:rFonts w:ascii="Arial" w:hAnsi="Arial"/>
          <w:noProof/>
          <w:sz w:val="22"/>
          <w:szCs w:val="22"/>
        </w:rPr>
        <w:t xml:space="preserve"> </w:t>
      </w:r>
    </w:p>
    <w:p w:rsidR="00EE2D44" w:rsidRDefault="00EE2D44" w:rsidP="00054D76">
      <w:pPr>
        <w:jc w:val="both"/>
        <w:rPr>
          <w:rFonts w:ascii="Arial" w:hAnsi="Arial"/>
          <w:noProof/>
          <w:sz w:val="22"/>
          <w:szCs w:val="22"/>
        </w:rPr>
      </w:pPr>
    </w:p>
    <w:p w:rsidR="00EE2D44" w:rsidRPr="00EE2D44" w:rsidRDefault="00EE2D44" w:rsidP="00054D76">
      <w:pPr>
        <w:jc w:val="both"/>
        <w:rPr>
          <w:rFonts w:ascii="Arial" w:hAnsi="Arial"/>
          <w:noProof/>
          <w:sz w:val="22"/>
          <w:szCs w:val="22"/>
        </w:rPr>
      </w:pPr>
    </w:p>
    <w:p w:rsidR="008C2885" w:rsidRPr="00EE2D44" w:rsidRDefault="008C2885" w:rsidP="008C2885">
      <w:pPr>
        <w:pStyle w:val="ListParagraph"/>
        <w:numPr>
          <w:ilvl w:val="0"/>
          <w:numId w:val="25"/>
        </w:numPr>
        <w:jc w:val="both"/>
        <w:rPr>
          <w:rFonts w:ascii="Arial" w:hAnsi="Arial"/>
          <w:b/>
          <w:noProof/>
          <w:sz w:val="22"/>
          <w:szCs w:val="22"/>
        </w:rPr>
      </w:pPr>
      <w:r w:rsidRPr="00EE2D44">
        <w:rPr>
          <w:rFonts w:ascii="Arial" w:hAnsi="Arial"/>
          <w:b/>
          <w:noProof/>
          <w:sz w:val="22"/>
          <w:szCs w:val="22"/>
        </w:rPr>
        <w:t>Requested listing</w:t>
      </w:r>
    </w:p>
    <w:p w:rsidR="006A12A5" w:rsidRPr="00EE2D44" w:rsidRDefault="006A12A5" w:rsidP="00882085">
      <w:pPr>
        <w:jc w:val="both"/>
        <w:rPr>
          <w:rFonts w:ascii="Arial" w:hAnsi="Arial"/>
          <w:noProof/>
          <w:sz w:val="22"/>
          <w:szCs w:val="22"/>
        </w:rPr>
      </w:pPr>
    </w:p>
    <w:p w:rsidR="002B1AE6" w:rsidRPr="00EE2D44" w:rsidRDefault="00054D76"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submission sought the following listing:</w:t>
      </w:r>
    </w:p>
    <w:p w:rsidR="00054D76" w:rsidRPr="00EE2D44" w:rsidRDefault="00054D76" w:rsidP="00054D76">
      <w:pPr>
        <w:pStyle w:val="ListParagraph"/>
        <w:jc w:val="both"/>
        <w:rPr>
          <w:rFonts w:ascii="Arial" w:hAnsi="Arial"/>
          <w:noProof/>
          <w:sz w:val="22"/>
          <w:szCs w:val="22"/>
        </w:rPr>
      </w:pPr>
    </w:p>
    <w:tbl>
      <w:tblPr>
        <w:tblW w:w="459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aripiprazole listing"/>
      </w:tblPr>
      <w:tblGrid>
        <w:gridCol w:w="4964"/>
        <w:gridCol w:w="992"/>
        <w:gridCol w:w="990"/>
        <w:gridCol w:w="1391"/>
      </w:tblGrid>
      <w:tr w:rsidR="00C245C0" w:rsidRPr="00EE2D44" w:rsidTr="00952735">
        <w:trPr>
          <w:cantSplit/>
          <w:trHeight w:val="464"/>
        </w:trPr>
        <w:tc>
          <w:tcPr>
            <w:tcW w:w="2976" w:type="pct"/>
          </w:tcPr>
          <w:p w:rsidR="00C245C0" w:rsidRPr="00EE2D44" w:rsidRDefault="00C245C0" w:rsidP="00054D76">
            <w:pPr>
              <w:keepNext/>
              <w:widowControl w:val="0"/>
              <w:jc w:val="both"/>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Name, Restriction,</w:t>
            </w:r>
          </w:p>
          <w:p w:rsidR="00C245C0" w:rsidRPr="00EE2D44" w:rsidRDefault="00C245C0" w:rsidP="00054D76">
            <w:pPr>
              <w:keepNext/>
              <w:widowControl w:val="0"/>
              <w:jc w:val="both"/>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Manner of administration and form</w:t>
            </w:r>
          </w:p>
        </w:tc>
        <w:tc>
          <w:tcPr>
            <w:tcW w:w="595" w:type="pct"/>
          </w:tcPr>
          <w:p w:rsidR="00C245C0" w:rsidRPr="00EE2D44" w:rsidRDefault="00C245C0" w:rsidP="00054D76">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Max.</w:t>
            </w:r>
          </w:p>
          <w:p w:rsidR="00C245C0" w:rsidRPr="00EE2D44" w:rsidRDefault="00C245C0" w:rsidP="00054D76">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Qty</w:t>
            </w:r>
          </w:p>
        </w:tc>
        <w:tc>
          <w:tcPr>
            <w:tcW w:w="594" w:type="pct"/>
          </w:tcPr>
          <w:p w:rsidR="00C245C0" w:rsidRPr="00EE2D44" w:rsidRDefault="00C245C0" w:rsidP="00054D76">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№.of</w:t>
            </w:r>
          </w:p>
          <w:p w:rsidR="00C245C0" w:rsidRPr="00EE2D44" w:rsidRDefault="00C245C0" w:rsidP="00054D76">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Rpts</w:t>
            </w:r>
          </w:p>
        </w:tc>
        <w:tc>
          <w:tcPr>
            <w:tcW w:w="834" w:type="pct"/>
          </w:tcPr>
          <w:p w:rsidR="00C245C0" w:rsidRPr="00EE2D44" w:rsidRDefault="00C245C0" w:rsidP="00054D76">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DPMQ</w:t>
            </w:r>
          </w:p>
        </w:tc>
      </w:tr>
      <w:tr w:rsidR="00C245C0" w:rsidRPr="00EE2D44" w:rsidTr="00952735">
        <w:trPr>
          <w:cantSplit/>
          <w:trHeight w:val="568"/>
        </w:trPr>
        <w:tc>
          <w:tcPr>
            <w:tcW w:w="2976" w:type="pct"/>
          </w:tcPr>
          <w:p w:rsidR="00C245C0" w:rsidRPr="00EE2D44" w:rsidRDefault="00C245C0" w:rsidP="00054D76">
            <w:pPr>
              <w:keepNext/>
              <w:widowControl w:val="0"/>
              <w:jc w:val="both"/>
              <w:rPr>
                <w:rFonts w:ascii="Arial Narrow" w:hAnsi="Arial Narrow" w:cs="Arial"/>
                <w:noProof/>
                <w:snapToGrid w:val="0"/>
                <w:sz w:val="20"/>
                <w:szCs w:val="20"/>
                <w:lang w:eastAsia="en-US"/>
              </w:rPr>
            </w:pPr>
            <w:r w:rsidRPr="00EE2D44">
              <w:rPr>
                <w:rFonts w:ascii="Arial Narrow" w:hAnsi="Arial Narrow" w:cs="Arial"/>
                <w:smallCaps/>
                <w:noProof/>
                <w:snapToGrid w:val="0"/>
                <w:sz w:val="20"/>
                <w:szCs w:val="20"/>
                <w:lang w:eastAsia="en-US"/>
              </w:rPr>
              <w:t>Aripiprazole</w:t>
            </w:r>
          </w:p>
          <w:p w:rsidR="00C245C0" w:rsidRPr="00EE2D44" w:rsidRDefault="00C245C0" w:rsidP="00054D76">
            <w:pPr>
              <w:keepNext/>
              <w:widowControl w:val="0"/>
              <w:jc w:val="both"/>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300mg injection: modified release  [1 x 300 mg vial] (&amp;) inert substance diluent [2 x 3 mL syringe]</w:t>
            </w:r>
          </w:p>
        </w:tc>
        <w:tc>
          <w:tcPr>
            <w:tcW w:w="595"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w:t>
            </w:r>
          </w:p>
        </w:tc>
        <w:tc>
          <w:tcPr>
            <w:tcW w:w="594"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w:t>
            </w:r>
          </w:p>
        </w:tc>
        <w:tc>
          <w:tcPr>
            <w:tcW w:w="834"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$352.06</w:t>
            </w:r>
          </w:p>
        </w:tc>
      </w:tr>
      <w:tr w:rsidR="00C245C0" w:rsidRPr="00EE2D44" w:rsidTr="00952735">
        <w:trPr>
          <w:cantSplit/>
          <w:trHeight w:val="568"/>
        </w:trPr>
        <w:tc>
          <w:tcPr>
            <w:tcW w:w="2976" w:type="pct"/>
          </w:tcPr>
          <w:p w:rsidR="00C245C0" w:rsidRPr="00EE2D44" w:rsidRDefault="00C245C0" w:rsidP="00054D76">
            <w:pPr>
              <w:keepNext/>
              <w:widowControl w:val="0"/>
              <w:jc w:val="both"/>
              <w:rPr>
                <w:rFonts w:ascii="Arial Narrow" w:hAnsi="Arial Narrow" w:cs="Arial"/>
                <w:noProof/>
                <w:snapToGrid w:val="0"/>
                <w:sz w:val="20"/>
                <w:szCs w:val="20"/>
                <w:lang w:eastAsia="en-US"/>
              </w:rPr>
            </w:pPr>
            <w:r w:rsidRPr="00EE2D44">
              <w:rPr>
                <w:rFonts w:ascii="Arial Narrow" w:hAnsi="Arial Narrow" w:cs="Arial"/>
                <w:smallCaps/>
                <w:noProof/>
                <w:snapToGrid w:val="0"/>
                <w:sz w:val="20"/>
                <w:szCs w:val="20"/>
                <w:lang w:eastAsia="en-US"/>
              </w:rPr>
              <w:t>Aripiprazole</w:t>
            </w:r>
          </w:p>
          <w:p w:rsidR="00C245C0" w:rsidRPr="00EE2D44" w:rsidRDefault="00C245C0" w:rsidP="00054D76">
            <w:pPr>
              <w:keepNext/>
              <w:widowControl w:val="0"/>
              <w:jc w:val="both"/>
              <w:rPr>
                <w:rFonts w:ascii="Arial Narrow" w:hAnsi="Arial Narrow" w:cs="Arial"/>
                <w:smallCaps/>
                <w:noProof/>
                <w:snapToGrid w:val="0"/>
                <w:sz w:val="20"/>
                <w:szCs w:val="20"/>
                <w:lang w:eastAsia="en-US"/>
              </w:rPr>
            </w:pPr>
            <w:r w:rsidRPr="00EE2D44">
              <w:rPr>
                <w:rFonts w:ascii="Arial Narrow" w:hAnsi="Arial Narrow" w:cs="Arial"/>
                <w:noProof/>
                <w:snapToGrid w:val="0"/>
                <w:sz w:val="20"/>
                <w:szCs w:val="20"/>
                <w:lang w:eastAsia="en-US"/>
              </w:rPr>
              <w:t>400mg injection: modified release  [1 x 400 mg vial] (&amp;) inert substance diluent [2 x 3 mL syringe]</w:t>
            </w:r>
          </w:p>
        </w:tc>
        <w:tc>
          <w:tcPr>
            <w:tcW w:w="595"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w:t>
            </w:r>
          </w:p>
        </w:tc>
        <w:tc>
          <w:tcPr>
            <w:tcW w:w="594"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w:t>
            </w:r>
          </w:p>
        </w:tc>
        <w:tc>
          <w:tcPr>
            <w:tcW w:w="834" w:type="pct"/>
          </w:tcPr>
          <w:p w:rsidR="00C245C0" w:rsidRPr="00EE2D44" w:rsidRDefault="00C245C0" w:rsidP="00054D76">
            <w:pPr>
              <w:keepNext/>
              <w:widowControl w:val="0"/>
              <w:jc w:val="center"/>
              <w:rPr>
                <w:rFonts w:ascii="Arial Narrow" w:hAnsi="Arial Narrow" w:cs="Arial"/>
                <w:noProof/>
                <w:snapToGrid w:val="0"/>
                <w:sz w:val="20"/>
                <w:szCs w:val="20"/>
                <w:lang w:eastAsia="en-US"/>
              </w:rPr>
            </w:pPr>
          </w:p>
          <w:p w:rsidR="00C245C0" w:rsidRPr="00EE2D44" w:rsidRDefault="00C245C0" w:rsidP="00054D76">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$433.92</w:t>
            </w:r>
          </w:p>
        </w:tc>
      </w:tr>
    </w:tbl>
    <w:p w:rsidR="00E16910" w:rsidRPr="00EE2D44" w:rsidRDefault="00E16910" w:rsidP="00054D76">
      <w:pPr>
        <w:pStyle w:val="ListParagraph"/>
        <w:tabs>
          <w:tab w:val="left" w:pos="142"/>
        </w:tabs>
        <w:jc w:val="both"/>
        <w:rPr>
          <w:rFonts w:ascii="Arial" w:hAnsi="Arial"/>
          <w:noProof/>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aripiprazole listing"/>
      </w:tblPr>
      <w:tblGrid>
        <w:gridCol w:w="8345"/>
      </w:tblGrid>
      <w:tr w:rsidR="00C245C0" w:rsidRPr="00EE2D44" w:rsidTr="00C245C0">
        <w:trPr>
          <w:cantSplit/>
          <w:trHeight w:val="360"/>
        </w:trPr>
        <w:tc>
          <w:tcPr>
            <w:tcW w:w="5000" w:type="pct"/>
          </w:tcPr>
          <w:p w:rsidR="00C245C0" w:rsidRPr="00EE2D44" w:rsidRDefault="00C245C0" w:rsidP="00C245C0">
            <w:pPr>
              <w:widowControl w:val="0"/>
              <w:jc w:val="both"/>
              <w:rPr>
                <w:rFonts w:ascii="Arial Narrow" w:hAnsi="Arial Narrow" w:cs="Arial"/>
                <w:noProof/>
                <w:snapToGrid w:val="0"/>
                <w:sz w:val="20"/>
                <w:szCs w:val="20"/>
                <w:lang w:eastAsia="en-US"/>
              </w:rPr>
            </w:pPr>
            <w:r w:rsidRPr="00EE2D44">
              <w:rPr>
                <w:rFonts w:ascii="Arial Narrow" w:hAnsi="Arial Narrow" w:cs="Arial"/>
                <w:b/>
                <w:noProof/>
                <w:snapToGrid w:val="0"/>
                <w:sz w:val="20"/>
                <w:szCs w:val="20"/>
                <w:u w:val="single"/>
                <w:lang w:eastAsia="en-US"/>
              </w:rPr>
              <w:t>Authority required (</w:t>
            </w:r>
            <w:r w:rsidR="00952735" w:rsidRPr="00EE2D44">
              <w:rPr>
                <w:rFonts w:ascii="Arial Narrow" w:hAnsi="Arial Narrow" w:cs="Arial"/>
                <w:b/>
                <w:noProof/>
                <w:snapToGrid w:val="0"/>
                <w:sz w:val="20"/>
                <w:szCs w:val="20"/>
                <w:u w:val="single"/>
                <w:lang w:eastAsia="en-US"/>
              </w:rPr>
              <w:t>STREAMLINED</w:t>
            </w:r>
            <w:r w:rsidRPr="00EE2D44">
              <w:rPr>
                <w:rFonts w:ascii="Arial Narrow" w:hAnsi="Arial Narrow" w:cs="Arial"/>
                <w:b/>
                <w:noProof/>
                <w:snapToGrid w:val="0"/>
                <w:sz w:val="20"/>
                <w:szCs w:val="20"/>
                <w:u w:val="single"/>
                <w:lang w:eastAsia="en-US"/>
              </w:rPr>
              <w:t>)</w:t>
            </w:r>
          </w:p>
          <w:p w:rsidR="00C245C0" w:rsidRPr="00EE2D44" w:rsidRDefault="00C245C0" w:rsidP="00C245C0">
            <w:pPr>
              <w:widowControl w:val="0"/>
              <w:jc w:val="both"/>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Schizophrenia</w:t>
            </w:r>
          </w:p>
        </w:tc>
      </w:tr>
    </w:tbl>
    <w:p w:rsidR="00C245C0" w:rsidRPr="00EE2D44" w:rsidRDefault="00C245C0" w:rsidP="00054D76">
      <w:pPr>
        <w:pStyle w:val="ListParagraph"/>
        <w:tabs>
          <w:tab w:val="left" w:pos="142"/>
        </w:tabs>
        <w:jc w:val="both"/>
        <w:rPr>
          <w:rFonts w:ascii="Arial" w:hAnsi="Arial"/>
          <w:noProof/>
          <w:sz w:val="22"/>
          <w:szCs w:val="22"/>
        </w:rPr>
      </w:pPr>
    </w:p>
    <w:p w:rsidR="00196307" w:rsidRPr="00EE2D44" w:rsidRDefault="00E46215" w:rsidP="00882085">
      <w:pPr>
        <w:pStyle w:val="ListParagraph"/>
        <w:numPr>
          <w:ilvl w:val="1"/>
          <w:numId w:val="25"/>
        </w:numPr>
        <w:jc w:val="both"/>
        <w:rPr>
          <w:rFonts w:ascii="Arial" w:hAnsi="Arial"/>
          <w:noProof/>
          <w:sz w:val="22"/>
          <w:szCs w:val="22"/>
        </w:rPr>
      </w:pPr>
      <w:r w:rsidRPr="00EE2D44">
        <w:rPr>
          <w:rFonts w:ascii="Arial" w:hAnsi="Arial"/>
          <w:noProof/>
          <w:sz w:val="22"/>
          <w:szCs w:val="22"/>
        </w:rPr>
        <w:t>Listing was sought on a cost-minimisation basis with paliperidone</w:t>
      </w:r>
      <w:r w:rsidRPr="00EE2D44">
        <w:rPr>
          <w:rFonts w:ascii="Arial" w:hAnsi="Arial" w:cs="Arial"/>
          <w:noProof/>
          <w:snapToGrid w:val="0"/>
          <w:sz w:val="22"/>
          <w:szCs w:val="20"/>
          <w:lang w:eastAsia="en-US"/>
        </w:rPr>
        <w:t xml:space="preserve"> </w:t>
      </w:r>
      <w:r w:rsidRPr="00EE2D44">
        <w:rPr>
          <w:rFonts w:ascii="Arial" w:hAnsi="Arial"/>
          <w:noProof/>
          <w:sz w:val="22"/>
          <w:szCs w:val="22"/>
        </w:rPr>
        <w:t>long acting injection (LAI) as the main comparator.</w:t>
      </w:r>
    </w:p>
    <w:p w:rsidR="00614159" w:rsidRPr="00EE2D44" w:rsidRDefault="00614159" w:rsidP="00882085">
      <w:pPr>
        <w:jc w:val="both"/>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BB7EC3" w:rsidRDefault="00BB7EC3" w:rsidP="00882085">
      <w:pPr>
        <w:jc w:val="both"/>
        <w:rPr>
          <w:rFonts w:ascii="Arial" w:hAnsi="Arial"/>
          <w:noProof/>
          <w:sz w:val="22"/>
          <w:szCs w:val="22"/>
        </w:rPr>
      </w:pPr>
    </w:p>
    <w:p w:rsidR="00EE2D44" w:rsidRPr="00EE2D44" w:rsidRDefault="00EE2D44" w:rsidP="00882085">
      <w:pPr>
        <w:jc w:val="both"/>
        <w:rPr>
          <w:rFonts w:ascii="Arial" w:hAnsi="Arial"/>
          <w:noProof/>
          <w:sz w:val="22"/>
          <w:szCs w:val="22"/>
        </w:rPr>
      </w:pPr>
    </w:p>
    <w:p w:rsidR="00CE10C4" w:rsidRPr="00EE2D44" w:rsidRDefault="00CE10C4" w:rsidP="00882085">
      <w:pPr>
        <w:pStyle w:val="ListParagraph"/>
        <w:numPr>
          <w:ilvl w:val="0"/>
          <w:numId w:val="25"/>
        </w:numPr>
        <w:jc w:val="both"/>
        <w:rPr>
          <w:rFonts w:ascii="Arial" w:hAnsi="Arial"/>
          <w:noProof/>
          <w:sz w:val="22"/>
          <w:szCs w:val="22"/>
        </w:rPr>
      </w:pPr>
      <w:r w:rsidRPr="00EE2D44">
        <w:rPr>
          <w:rFonts w:ascii="Arial" w:hAnsi="Arial"/>
          <w:b/>
          <w:noProof/>
          <w:sz w:val="22"/>
          <w:szCs w:val="22"/>
        </w:rPr>
        <w:t>Background</w:t>
      </w:r>
    </w:p>
    <w:p w:rsidR="006A12A5" w:rsidRPr="00EE2D44" w:rsidRDefault="006A12A5" w:rsidP="00882085">
      <w:pPr>
        <w:jc w:val="both"/>
        <w:rPr>
          <w:rFonts w:ascii="Arial" w:hAnsi="Arial"/>
          <w:noProof/>
          <w:sz w:val="22"/>
          <w:szCs w:val="22"/>
        </w:rPr>
      </w:pPr>
    </w:p>
    <w:p w:rsidR="006B0D94" w:rsidRPr="00EE2D44" w:rsidRDefault="002B1AE6" w:rsidP="0088208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At the time of PBAC </w:t>
      </w:r>
      <w:r w:rsidR="000A5CAC" w:rsidRPr="00EE2D44">
        <w:rPr>
          <w:rFonts w:ascii="Arial" w:hAnsi="Arial"/>
          <w:noProof/>
          <w:sz w:val="22"/>
          <w:szCs w:val="22"/>
        </w:rPr>
        <w:t xml:space="preserve">consideration, a positive </w:t>
      </w:r>
      <w:r w:rsidR="006D645C" w:rsidRPr="00EE2D44">
        <w:rPr>
          <w:rFonts w:ascii="Arial" w:hAnsi="Arial"/>
          <w:noProof/>
          <w:sz w:val="22"/>
          <w:szCs w:val="22"/>
          <w:lang w:eastAsia="zh-CN"/>
        </w:rPr>
        <w:t xml:space="preserve">ACPM resolution </w:t>
      </w:r>
      <w:r w:rsidR="000A5CAC" w:rsidRPr="00EE2D44">
        <w:rPr>
          <w:rFonts w:ascii="Arial" w:hAnsi="Arial"/>
          <w:noProof/>
          <w:sz w:val="22"/>
          <w:szCs w:val="22"/>
        </w:rPr>
        <w:t xml:space="preserve">is </w:t>
      </w:r>
      <w:r w:rsidRPr="00EE2D44">
        <w:rPr>
          <w:rFonts w:ascii="Arial" w:hAnsi="Arial"/>
          <w:noProof/>
          <w:sz w:val="22"/>
          <w:szCs w:val="22"/>
        </w:rPr>
        <w:t xml:space="preserve">available. </w:t>
      </w:r>
      <w:r w:rsidR="00581B02" w:rsidRPr="00EE2D44">
        <w:rPr>
          <w:rFonts w:ascii="Arial" w:hAnsi="Arial"/>
          <w:noProof/>
          <w:sz w:val="22"/>
          <w:szCs w:val="22"/>
        </w:rPr>
        <w:t>In June 2014, t</w:t>
      </w:r>
      <w:r w:rsidR="006D645C" w:rsidRPr="00EE2D44">
        <w:rPr>
          <w:rFonts w:ascii="Arial" w:hAnsi="Arial"/>
          <w:noProof/>
          <w:sz w:val="22"/>
          <w:szCs w:val="22"/>
          <w:lang w:eastAsia="zh-CN"/>
        </w:rPr>
        <w:t>he ACPM recommended aripiprazole LAI indication “for the maintenance of clinical improvement in the treatment of schizophrenia”.</w:t>
      </w:r>
      <w:r w:rsidRPr="00EE2D44">
        <w:rPr>
          <w:rFonts w:ascii="Arial" w:hAnsi="Arial"/>
          <w:noProof/>
          <w:sz w:val="22"/>
          <w:szCs w:val="22"/>
        </w:rPr>
        <w:t xml:space="preserve"> </w:t>
      </w:r>
    </w:p>
    <w:p w:rsidR="006D645C" w:rsidRPr="00EE2D44" w:rsidRDefault="006D645C" w:rsidP="006D645C">
      <w:pPr>
        <w:pStyle w:val="ListParagraph"/>
        <w:jc w:val="both"/>
        <w:rPr>
          <w:rFonts w:ascii="Arial" w:hAnsi="Arial"/>
          <w:noProof/>
          <w:sz w:val="22"/>
          <w:szCs w:val="22"/>
        </w:rPr>
      </w:pPr>
    </w:p>
    <w:p w:rsidR="006A12A5" w:rsidRPr="00EE2D44" w:rsidRDefault="000A5CAC" w:rsidP="00882085">
      <w:pPr>
        <w:pStyle w:val="ListParagraph"/>
        <w:numPr>
          <w:ilvl w:val="1"/>
          <w:numId w:val="25"/>
        </w:numPr>
        <w:jc w:val="both"/>
        <w:rPr>
          <w:rFonts w:ascii="Arial" w:hAnsi="Arial"/>
          <w:noProof/>
          <w:sz w:val="22"/>
          <w:szCs w:val="22"/>
        </w:rPr>
      </w:pPr>
      <w:r w:rsidRPr="00EE2D44">
        <w:rPr>
          <w:rFonts w:ascii="Arial" w:hAnsi="Arial"/>
          <w:noProof/>
          <w:sz w:val="22"/>
          <w:szCs w:val="22"/>
        </w:rPr>
        <w:t>Aripiprazole LAI has not been previously considered by the PBAC</w:t>
      </w:r>
      <w:r w:rsidR="00B40960" w:rsidRPr="00EE2D44">
        <w:rPr>
          <w:rFonts w:ascii="Arial" w:hAnsi="Arial"/>
          <w:noProof/>
          <w:sz w:val="22"/>
          <w:szCs w:val="22"/>
          <w:lang w:eastAsia="zh-CN"/>
        </w:rPr>
        <w:t>.</w:t>
      </w:r>
    </w:p>
    <w:p w:rsidR="000A5CAC" w:rsidRDefault="000A5CAC" w:rsidP="000A5CAC">
      <w:pPr>
        <w:rPr>
          <w:rFonts w:ascii="Arial" w:hAnsi="Arial"/>
          <w:noProof/>
          <w:sz w:val="22"/>
          <w:szCs w:val="22"/>
        </w:rPr>
      </w:pPr>
    </w:p>
    <w:p w:rsidR="00CE10C4" w:rsidRPr="00EE2D44" w:rsidRDefault="00CE10C4" w:rsidP="00882085">
      <w:pPr>
        <w:pStyle w:val="ListParagraph"/>
        <w:numPr>
          <w:ilvl w:val="0"/>
          <w:numId w:val="25"/>
        </w:numPr>
        <w:jc w:val="both"/>
        <w:rPr>
          <w:rFonts w:ascii="Arial" w:hAnsi="Arial"/>
          <w:b/>
          <w:noProof/>
          <w:sz w:val="22"/>
          <w:szCs w:val="22"/>
        </w:rPr>
      </w:pPr>
      <w:r w:rsidRPr="00EE2D44">
        <w:rPr>
          <w:rFonts w:ascii="Arial" w:hAnsi="Arial"/>
          <w:b/>
          <w:noProof/>
          <w:sz w:val="22"/>
          <w:szCs w:val="22"/>
        </w:rPr>
        <w:t>Clinical place for the proposed ther</w:t>
      </w:r>
      <w:r w:rsidR="006A12A5" w:rsidRPr="00EE2D44">
        <w:rPr>
          <w:rFonts w:ascii="Arial" w:hAnsi="Arial"/>
          <w:b/>
          <w:noProof/>
          <w:sz w:val="22"/>
          <w:szCs w:val="22"/>
        </w:rPr>
        <w:t>apy</w:t>
      </w:r>
    </w:p>
    <w:p w:rsidR="00CE10C4" w:rsidRPr="00EE2D44" w:rsidRDefault="00CE10C4" w:rsidP="00882085">
      <w:pPr>
        <w:jc w:val="both"/>
        <w:rPr>
          <w:rFonts w:ascii="Arial" w:hAnsi="Arial"/>
          <w:noProof/>
          <w:sz w:val="22"/>
          <w:szCs w:val="22"/>
        </w:rPr>
      </w:pPr>
    </w:p>
    <w:p w:rsidR="00EA6A32" w:rsidRPr="00EE2D44" w:rsidRDefault="00EA6A32" w:rsidP="00882085">
      <w:pPr>
        <w:pStyle w:val="ListParagraph"/>
        <w:numPr>
          <w:ilvl w:val="1"/>
          <w:numId w:val="25"/>
        </w:numPr>
        <w:jc w:val="both"/>
        <w:rPr>
          <w:rFonts w:ascii="Arial" w:hAnsi="Arial"/>
          <w:noProof/>
          <w:color w:val="FF0000"/>
          <w:sz w:val="22"/>
          <w:szCs w:val="22"/>
        </w:rPr>
      </w:pPr>
      <w:bookmarkStart w:id="0" w:name="_Toc374352081"/>
      <w:r w:rsidRPr="00EE2D44">
        <w:rPr>
          <w:rFonts w:ascii="Arial" w:hAnsi="Arial"/>
          <w:noProof/>
          <w:sz w:val="22"/>
          <w:szCs w:val="22"/>
        </w:rPr>
        <w:t xml:space="preserve">Schizophrenia is a severe, chronic, relapsing psychiatric illness with a lifetime prevalence of approximately one percent worldwide. The illness is characterised by disturbances in speech, perception, cognition, volition and emotion. </w:t>
      </w:r>
    </w:p>
    <w:bookmarkEnd w:id="0"/>
    <w:p w:rsidR="00C35996" w:rsidRPr="00EE2D44" w:rsidRDefault="00C35996" w:rsidP="00EA6A32">
      <w:pPr>
        <w:pStyle w:val="ListParagraph"/>
        <w:jc w:val="both"/>
        <w:rPr>
          <w:rFonts w:ascii="Arial" w:hAnsi="Arial"/>
          <w:noProof/>
          <w:sz w:val="22"/>
          <w:szCs w:val="22"/>
        </w:rPr>
      </w:pPr>
    </w:p>
    <w:p w:rsidR="006A12A5" w:rsidRPr="00EE2D44" w:rsidRDefault="00EA6A32" w:rsidP="0088208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Aripiprazole LAI provides an alternative treatment to the currently listed atypical LAI antipsychotics. </w:t>
      </w:r>
    </w:p>
    <w:p w:rsidR="006A12A5" w:rsidRPr="00EE2D44" w:rsidRDefault="006A12A5" w:rsidP="00882085">
      <w:pPr>
        <w:pStyle w:val="Header"/>
        <w:tabs>
          <w:tab w:val="clear" w:pos="4153"/>
          <w:tab w:val="clear" w:pos="8306"/>
        </w:tabs>
        <w:jc w:val="both"/>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noProof/>
          <w:sz w:val="22"/>
          <w:szCs w:val="22"/>
        </w:rPr>
      </w:pPr>
    </w:p>
    <w:p w:rsidR="00EE2D44" w:rsidRPr="00EE2D44" w:rsidRDefault="00EE2D44" w:rsidP="00882085">
      <w:pPr>
        <w:pStyle w:val="Header"/>
        <w:tabs>
          <w:tab w:val="clear" w:pos="4153"/>
          <w:tab w:val="clear" w:pos="8306"/>
        </w:tabs>
        <w:jc w:val="both"/>
        <w:rPr>
          <w:rFonts w:ascii="Arial" w:hAnsi="Arial"/>
          <w:noProof/>
          <w:sz w:val="22"/>
          <w:szCs w:val="22"/>
        </w:rPr>
      </w:pPr>
    </w:p>
    <w:p w:rsidR="005A3173" w:rsidRPr="00EE2D44" w:rsidRDefault="005A3173" w:rsidP="00882085">
      <w:pPr>
        <w:pStyle w:val="Header"/>
        <w:numPr>
          <w:ilvl w:val="0"/>
          <w:numId w:val="25"/>
        </w:numPr>
        <w:tabs>
          <w:tab w:val="clear" w:pos="4153"/>
          <w:tab w:val="clear" w:pos="8306"/>
        </w:tabs>
        <w:jc w:val="both"/>
        <w:rPr>
          <w:rFonts w:ascii="Arial" w:hAnsi="Arial"/>
          <w:b/>
          <w:noProof/>
          <w:sz w:val="22"/>
          <w:szCs w:val="22"/>
        </w:rPr>
      </w:pPr>
      <w:r w:rsidRPr="00EE2D44">
        <w:rPr>
          <w:rFonts w:ascii="Arial" w:hAnsi="Arial"/>
          <w:b/>
          <w:noProof/>
          <w:sz w:val="22"/>
          <w:szCs w:val="22"/>
        </w:rPr>
        <w:t>Comparator</w:t>
      </w:r>
    </w:p>
    <w:p w:rsidR="005A3173" w:rsidRPr="00EE2D44" w:rsidRDefault="005A3173" w:rsidP="00882085">
      <w:pPr>
        <w:pStyle w:val="Header"/>
        <w:tabs>
          <w:tab w:val="clear" w:pos="4153"/>
          <w:tab w:val="clear" w:pos="8306"/>
        </w:tabs>
        <w:jc w:val="both"/>
        <w:rPr>
          <w:rFonts w:ascii="Arial" w:hAnsi="Arial"/>
          <w:b/>
          <w:noProof/>
          <w:sz w:val="22"/>
          <w:szCs w:val="22"/>
        </w:rPr>
      </w:pPr>
    </w:p>
    <w:p w:rsidR="00C35996" w:rsidRPr="00EE2D44" w:rsidRDefault="00EA6A32" w:rsidP="00CF3B43">
      <w:pPr>
        <w:pStyle w:val="ListParagraph"/>
        <w:numPr>
          <w:ilvl w:val="1"/>
          <w:numId w:val="25"/>
        </w:numPr>
        <w:jc w:val="both"/>
        <w:rPr>
          <w:rFonts w:ascii="Arial" w:hAnsi="Arial"/>
          <w:noProof/>
          <w:sz w:val="22"/>
          <w:szCs w:val="22"/>
        </w:rPr>
      </w:pPr>
      <w:r w:rsidRPr="00EE2D44">
        <w:rPr>
          <w:rFonts w:ascii="Arial" w:hAnsi="Arial"/>
          <w:noProof/>
          <w:sz w:val="22"/>
          <w:szCs w:val="22"/>
        </w:rPr>
        <w:t>The submission nominated paliperi</w:t>
      </w:r>
      <w:r w:rsidR="00CF3B43" w:rsidRPr="00EE2D44">
        <w:rPr>
          <w:rFonts w:ascii="Arial" w:hAnsi="Arial"/>
          <w:noProof/>
          <w:sz w:val="22"/>
          <w:szCs w:val="22"/>
        </w:rPr>
        <w:t>done LAI as the main comparator. A</w:t>
      </w:r>
      <w:r w:rsidR="00581B02" w:rsidRPr="00EE2D44">
        <w:rPr>
          <w:rFonts w:ascii="Arial" w:hAnsi="Arial"/>
          <w:noProof/>
          <w:sz w:val="22"/>
          <w:szCs w:val="22"/>
        </w:rPr>
        <w:t>ripiprazole tablets and</w:t>
      </w:r>
      <w:r w:rsidRPr="00EE2D44">
        <w:rPr>
          <w:rFonts w:ascii="Arial" w:hAnsi="Arial"/>
          <w:noProof/>
          <w:sz w:val="22"/>
          <w:szCs w:val="22"/>
        </w:rPr>
        <w:t xml:space="preserve"> risperidone LAI </w:t>
      </w:r>
      <w:r w:rsidR="00CF3B43" w:rsidRPr="00EE2D44">
        <w:rPr>
          <w:rFonts w:ascii="Arial" w:hAnsi="Arial"/>
          <w:noProof/>
          <w:sz w:val="22"/>
          <w:szCs w:val="22"/>
        </w:rPr>
        <w:t xml:space="preserve">were nominated </w:t>
      </w:r>
      <w:r w:rsidR="009550AB" w:rsidRPr="00EE2D44">
        <w:rPr>
          <w:rFonts w:ascii="Arial" w:hAnsi="Arial"/>
          <w:noProof/>
          <w:sz w:val="22"/>
          <w:szCs w:val="22"/>
        </w:rPr>
        <w:t xml:space="preserve">as secondary comparators. </w:t>
      </w:r>
    </w:p>
    <w:p w:rsidR="00497DF1" w:rsidRPr="00EE2D44" w:rsidRDefault="00497DF1" w:rsidP="00497DF1">
      <w:pPr>
        <w:pStyle w:val="ListParagraph"/>
        <w:jc w:val="both"/>
        <w:rPr>
          <w:rFonts w:ascii="Arial" w:hAnsi="Arial"/>
          <w:noProof/>
          <w:sz w:val="22"/>
          <w:szCs w:val="22"/>
        </w:rPr>
      </w:pPr>
    </w:p>
    <w:p w:rsidR="00497DF1" w:rsidRPr="00EE2D44" w:rsidRDefault="00497DF1" w:rsidP="00497DF1">
      <w:pPr>
        <w:pStyle w:val="ListParagraph"/>
        <w:numPr>
          <w:ilvl w:val="1"/>
          <w:numId w:val="25"/>
        </w:numPr>
        <w:jc w:val="both"/>
        <w:rPr>
          <w:rFonts w:ascii="Arial" w:hAnsi="Arial"/>
          <w:noProof/>
          <w:color w:val="FF0000"/>
          <w:sz w:val="22"/>
          <w:szCs w:val="22"/>
        </w:rPr>
      </w:pPr>
      <w:r w:rsidRPr="00EE2D44">
        <w:rPr>
          <w:rFonts w:ascii="Arial" w:hAnsi="Arial"/>
          <w:noProof/>
          <w:sz w:val="22"/>
          <w:szCs w:val="22"/>
        </w:rPr>
        <w:t>The ESC considered paliperidone</w:t>
      </w:r>
      <w:r w:rsidR="00952735" w:rsidRPr="00EE2D44">
        <w:rPr>
          <w:rFonts w:ascii="Arial" w:hAnsi="Arial"/>
          <w:noProof/>
          <w:sz w:val="22"/>
          <w:szCs w:val="22"/>
        </w:rPr>
        <w:t xml:space="preserve"> LAI</w:t>
      </w:r>
      <w:r w:rsidRPr="00EE2D44">
        <w:rPr>
          <w:rFonts w:ascii="Arial" w:hAnsi="Arial"/>
          <w:noProof/>
          <w:sz w:val="22"/>
          <w:szCs w:val="22"/>
        </w:rPr>
        <w:t>, risperidone</w:t>
      </w:r>
      <w:r w:rsidR="00952735" w:rsidRPr="00EE2D44">
        <w:rPr>
          <w:rFonts w:ascii="Arial" w:hAnsi="Arial"/>
          <w:noProof/>
          <w:sz w:val="22"/>
          <w:szCs w:val="22"/>
        </w:rPr>
        <w:t xml:space="preserve"> LAI</w:t>
      </w:r>
      <w:r w:rsidRPr="00EE2D44">
        <w:rPr>
          <w:rFonts w:ascii="Arial" w:hAnsi="Arial"/>
          <w:noProof/>
          <w:sz w:val="22"/>
          <w:szCs w:val="22"/>
        </w:rPr>
        <w:t xml:space="preserve"> and olanzapine LAI to be relevant comparators. The ESC noted the submission’s claim that based on recent prescription data (October 2013 – January 2014), paliperidone LAI is the most commonly used atypical LAI antipsychotic. </w:t>
      </w:r>
    </w:p>
    <w:p w:rsidR="00497DF1" w:rsidRPr="00EE2D44" w:rsidRDefault="00497DF1" w:rsidP="00497DF1">
      <w:pPr>
        <w:pStyle w:val="ListParagraph"/>
        <w:jc w:val="both"/>
        <w:rPr>
          <w:rFonts w:ascii="Arial" w:hAnsi="Arial"/>
          <w:noProof/>
          <w:sz w:val="22"/>
          <w:szCs w:val="22"/>
        </w:rPr>
      </w:pPr>
    </w:p>
    <w:p w:rsidR="00497DF1" w:rsidRPr="00EE2D44" w:rsidRDefault="00497DF1" w:rsidP="00497DF1">
      <w:pPr>
        <w:pStyle w:val="ListParagraph"/>
        <w:numPr>
          <w:ilvl w:val="1"/>
          <w:numId w:val="25"/>
        </w:numPr>
        <w:jc w:val="both"/>
        <w:rPr>
          <w:rFonts w:ascii="Arial" w:hAnsi="Arial"/>
          <w:noProof/>
          <w:color w:val="FF0000"/>
          <w:sz w:val="22"/>
          <w:szCs w:val="22"/>
        </w:rPr>
      </w:pPr>
      <w:r w:rsidRPr="00EE2D44">
        <w:rPr>
          <w:rFonts w:ascii="Arial" w:hAnsi="Arial"/>
          <w:noProof/>
          <w:sz w:val="22"/>
          <w:szCs w:val="22"/>
        </w:rPr>
        <w:t xml:space="preserve">The ESC further noted that aripiprazole tablets are nominated because of the availability of a direct head-to-head trial of the tablet and LAI formulations. It should also be noted that risperidone LAI, and olanzapine LAI were PBS listed using a relativity of 1:1.79 versus their respective oral tablets. </w:t>
      </w:r>
    </w:p>
    <w:p w:rsidR="00BB7EC3" w:rsidRPr="00EE2D44" w:rsidRDefault="00BB7EC3" w:rsidP="008D447E">
      <w:pPr>
        <w:pStyle w:val="ListParagraph"/>
        <w:jc w:val="both"/>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DF26A7" w:rsidRDefault="00DF26A7" w:rsidP="00EE2D44">
      <w:pPr>
        <w:jc w:val="both"/>
        <w:rPr>
          <w:rFonts w:ascii="Arial" w:hAnsi="Arial"/>
          <w:noProof/>
          <w:sz w:val="22"/>
          <w:szCs w:val="22"/>
        </w:rPr>
      </w:pPr>
    </w:p>
    <w:p w:rsidR="00EE2D44" w:rsidRPr="00EE2D44" w:rsidRDefault="00EE2D44" w:rsidP="00EE2D44">
      <w:pPr>
        <w:jc w:val="both"/>
        <w:rPr>
          <w:rFonts w:ascii="Arial" w:hAnsi="Arial"/>
          <w:noProof/>
          <w:sz w:val="22"/>
          <w:szCs w:val="22"/>
        </w:rPr>
      </w:pPr>
    </w:p>
    <w:p w:rsidR="008C2885" w:rsidRPr="00EE2D44" w:rsidRDefault="00952735" w:rsidP="008C2885">
      <w:pPr>
        <w:pStyle w:val="Header"/>
        <w:numPr>
          <w:ilvl w:val="0"/>
          <w:numId w:val="25"/>
        </w:numPr>
        <w:tabs>
          <w:tab w:val="clear" w:pos="4153"/>
          <w:tab w:val="clear" w:pos="8306"/>
        </w:tabs>
        <w:jc w:val="both"/>
        <w:rPr>
          <w:rFonts w:ascii="Arial" w:hAnsi="Arial"/>
          <w:b/>
          <w:noProof/>
          <w:sz w:val="22"/>
          <w:szCs w:val="22"/>
        </w:rPr>
      </w:pPr>
      <w:r w:rsidRPr="00EE2D44">
        <w:rPr>
          <w:rFonts w:ascii="Arial" w:hAnsi="Arial"/>
          <w:b/>
          <w:noProof/>
          <w:sz w:val="22"/>
          <w:szCs w:val="22"/>
        </w:rPr>
        <w:t>C</w:t>
      </w:r>
      <w:r w:rsidR="008C2885" w:rsidRPr="00EE2D44">
        <w:rPr>
          <w:rFonts w:ascii="Arial" w:hAnsi="Arial"/>
          <w:b/>
          <w:noProof/>
          <w:sz w:val="22"/>
          <w:szCs w:val="22"/>
        </w:rPr>
        <w:t>onsideration of the evidence</w:t>
      </w:r>
    </w:p>
    <w:p w:rsidR="006A12A5" w:rsidRPr="00EE2D44" w:rsidRDefault="006A12A5" w:rsidP="00882085">
      <w:pPr>
        <w:jc w:val="both"/>
        <w:rPr>
          <w:rFonts w:ascii="Arial" w:hAnsi="Arial"/>
          <w:b/>
          <w:noProof/>
          <w:sz w:val="22"/>
          <w:szCs w:val="22"/>
        </w:rPr>
      </w:pPr>
    </w:p>
    <w:p w:rsidR="00BB7EC3" w:rsidRPr="00EE2D44" w:rsidRDefault="00BB7EC3" w:rsidP="002A15ED">
      <w:pPr>
        <w:jc w:val="both"/>
        <w:rPr>
          <w:rFonts w:ascii="Arial" w:hAnsi="Arial"/>
          <w:b/>
          <w:i/>
          <w:noProof/>
          <w:sz w:val="22"/>
          <w:szCs w:val="22"/>
        </w:rPr>
      </w:pPr>
      <w:r w:rsidRPr="00EE2D44">
        <w:rPr>
          <w:rFonts w:ascii="Arial" w:hAnsi="Arial"/>
          <w:b/>
          <w:i/>
          <w:noProof/>
          <w:sz w:val="22"/>
          <w:szCs w:val="22"/>
        </w:rPr>
        <w:t>Sponsor hearing</w:t>
      </w:r>
    </w:p>
    <w:p w:rsidR="00BB7EC3" w:rsidRPr="00EE2D44" w:rsidRDefault="00BB7EC3" w:rsidP="00BB7EC3">
      <w:pPr>
        <w:pStyle w:val="ListParagraph"/>
        <w:ind w:left="709"/>
        <w:jc w:val="both"/>
        <w:rPr>
          <w:rFonts w:ascii="Arial" w:hAnsi="Arial"/>
          <w:noProof/>
          <w:sz w:val="22"/>
          <w:szCs w:val="22"/>
        </w:rPr>
      </w:pPr>
    </w:p>
    <w:p w:rsidR="00BB7EC3" w:rsidRPr="00EE2D44" w:rsidRDefault="00EE2D44" w:rsidP="008C2885">
      <w:pPr>
        <w:pStyle w:val="ListParagraph"/>
        <w:numPr>
          <w:ilvl w:val="1"/>
          <w:numId w:val="25"/>
        </w:numPr>
        <w:jc w:val="both"/>
        <w:rPr>
          <w:rFonts w:ascii="Arial" w:hAnsi="Arial"/>
          <w:noProof/>
          <w:sz w:val="22"/>
          <w:szCs w:val="22"/>
        </w:rPr>
      </w:pPr>
      <w:r>
        <w:rPr>
          <w:rFonts w:ascii="Arial" w:hAnsi="Arial"/>
          <w:noProof/>
          <w:sz w:val="22"/>
          <w:szCs w:val="22"/>
        </w:rPr>
        <w:t>There was no</w:t>
      </w:r>
      <w:r w:rsidR="00B05D16" w:rsidRPr="00EE2D44">
        <w:rPr>
          <w:rFonts w:ascii="Arial" w:hAnsi="Arial"/>
          <w:noProof/>
          <w:sz w:val="22"/>
          <w:szCs w:val="22"/>
        </w:rPr>
        <w:t xml:space="preserve"> hearing for this item.</w:t>
      </w:r>
    </w:p>
    <w:p w:rsidR="00BB7EC3" w:rsidRPr="00EE2D44" w:rsidRDefault="00BB7EC3" w:rsidP="00BB7EC3">
      <w:pPr>
        <w:pStyle w:val="ListParagraph"/>
        <w:ind w:left="709"/>
        <w:jc w:val="both"/>
        <w:rPr>
          <w:rFonts w:ascii="Arial" w:hAnsi="Arial"/>
          <w:noProof/>
          <w:sz w:val="22"/>
          <w:szCs w:val="22"/>
        </w:rPr>
      </w:pPr>
    </w:p>
    <w:p w:rsidR="00BB7EC3" w:rsidRPr="00EE2D44" w:rsidRDefault="00BB7EC3" w:rsidP="00BB7EC3">
      <w:pPr>
        <w:jc w:val="both"/>
        <w:rPr>
          <w:rFonts w:ascii="Arial" w:hAnsi="Arial"/>
          <w:b/>
          <w:i/>
          <w:noProof/>
          <w:sz w:val="22"/>
          <w:szCs w:val="22"/>
        </w:rPr>
      </w:pPr>
      <w:r w:rsidRPr="00EE2D44">
        <w:rPr>
          <w:rFonts w:ascii="Arial" w:hAnsi="Arial"/>
          <w:b/>
          <w:i/>
          <w:noProof/>
          <w:sz w:val="22"/>
          <w:szCs w:val="22"/>
        </w:rPr>
        <w:t>Consumer comments</w:t>
      </w:r>
    </w:p>
    <w:p w:rsidR="00BB7EC3" w:rsidRPr="00EE2D44" w:rsidRDefault="00BB7EC3" w:rsidP="00BB7EC3">
      <w:pPr>
        <w:pStyle w:val="ListParagraph"/>
        <w:ind w:left="709"/>
        <w:jc w:val="both"/>
        <w:rPr>
          <w:rFonts w:ascii="Arial" w:hAnsi="Arial"/>
          <w:noProof/>
          <w:sz w:val="22"/>
          <w:szCs w:val="22"/>
        </w:rPr>
      </w:pPr>
    </w:p>
    <w:p w:rsidR="00BB7EC3" w:rsidRPr="00EE2D44" w:rsidRDefault="00BB7EC3" w:rsidP="00B05D16">
      <w:pPr>
        <w:pStyle w:val="ListParagraph"/>
        <w:numPr>
          <w:ilvl w:val="1"/>
          <w:numId w:val="25"/>
        </w:numPr>
        <w:jc w:val="both"/>
        <w:rPr>
          <w:rFonts w:ascii="Arial" w:hAnsi="Arial"/>
          <w:noProof/>
          <w:sz w:val="22"/>
          <w:szCs w:val="22"/>
        </w:rPr>
      </w:pPr>
      <w:r w:rsidRPr="00EE2D44">
        <w:rPr>
          <w:rFonts w:ascii="Arial" w:hAnsi="Arial"/>
          <w:noProof/>
          <w:sz w:val="22"/>
          <w:szCs w:val="22"/>
        </w:rPr>
        <w:t>The PBAC noted and welcom</w:t>
      </w:r>
      <w:r w:rsidR="00904B4D" w:rsidRPr="00EE2D44">
        <w:rPr>
          <w:rFonts w:ascii="Arial" w:hAnsi="Arial"/>
          <w:noProof/>
          <w:sz w:val="22"/>
          <w:szCs w:val="22"/>
        </w:rPr>
        <w:t>ed the input from individuals (2</w:t>
      </w:r>
      <w:r w:rsidRPr="00EE2D44">
        <w:rPr>
          <w:rFonts w:ascii="Arial" w:hAnsi="Arial"/>
          <w:noProof/>
          <w:sz w:val="22"/>
          <w:szCs w:val="22"/>
        </w:rPr>
        <w:t>), health care professiona</w:t>
      </w:r>
      <w:r w:rsidR="00904B4D" w:rsidRPr="00EE2D44">
        <w:rPr>
          <w:rFonts w:ascii="Arial" w:hAnsi="Arial"/>
          <w:noProof/>
          <w:sz w:val="22"/>
          <w:szCs w:val="22"/>
        </w:rPr>
        <w:t>ls (1) and organisations (2</w:t>
      </w:r>
      <w:r w:rsidRPr="00EE2D44">
        <w:rPr>
          <w:rFonts w:ascii="Arial" w:hAnsi="Arial"/>
          <w:noProof/>
          <w:sz w:val="22"/>
          <w:szCs w:val="22"/>
        </w:rPr>
        <w:t>) via the Consumer Comments facility on the PBS website.  The comments described a range of be</w:t>
      </w:r>
      <w:r w:rsidR="00904B4D" w:rsidRPr="00EE2D44">
        <w:rPr>
          <w:rFonts w:ascii="Arial" w:hAnsi="Arial"/>
          <w:noProof/>
          <w:sz w:val="22"/>
          <w:szCs w:val="22"/>
        </w:rPr>
        <w:t>nefits of treatment with aripiprazole</w:t>
      </w:r>
      <w:r w:rsidR="00256154" w:rsidRPr="00EE2D44">
        <w:rPr>
          <w:rFonts w:ascii="Arial" w:hAnsi="Arial"/>
          <w:noProof/>
          <w:sz w:val="22"/>
          <w:szCs w:val="22"/>
        </w:rPr>
        <w:t xml:space="preserve"> LAI</w:t>
      </w:r>
      <w:r w:rsidRPr="00EE2D44">
        <w:rPr>
          <w:rFonts w:ascii="Arial" w:hAnsi="Arial"/>
          <w:noProof/>
          <w:sz w:val="22"/>
          <w:szCs w:val="22"/>
        </w:rPr>
        <w:t xml:space="preserve"> including </w:t>
      </w:r>
      <w:r w:rsidR="00B05D16" w:rsidRPr="00EE2D44">
        <w:rPr>
          <w:rFonts w:ascii="Arial" w:hAnsi="Arial"/>
          <w:noProof/>
          <w:sz w:val="22"/>
          <w:szCs w:val="22"/>
        </w:rPr>
        <w:t>better social and occupational performance</w:t>
      </w:r>
      <w:r w:rsidRPr="00EE2D44">
        <w:rPr>
          <w:rFonts w:ascii="Arial" w:hAnsi="Arial"/>
          <w:noProof/>
          <w:sz w:val="22"/>
          <w:szCs w:val="22"/>
        </w:rPr>
        <w:t xml:space="preserve">, </w:t>
      </w:r>
      <w:r w:rsidR="00904B4D" w:rsidRPr="00EE2D44">
        <w:rPr>
          <w:rFonts w:ascii="Arial" w:hAnsi="Arial"/>
          <w:noProof/>
          <w:sz w:val="22"/>
          <w:szCs w:val="22"/>
        </w:rPr>
        <w:t>fewer side effects,</w:t>
      </w:r>
      <w:r w:rsidR="00256154" w:rsidRPr="00EE2D44">
        <w:rPr>
          <w:rFonts w:ascii="Arial" w:hAnsi="Arial"/>
          <w:noProof/>
          <w:sz w:val="22"/>
          <w:szCs w:val="22"/>
        </w:rPr>
        <w:t xml:space="preserve"> decreased risk of relapse</w:t>
      </w:r>
      <w:r w:rsidRPr="00EE2D44">
        <w:rPr>
          <w:rFonts w:ascii="Arial" w:hAnsi="Arial"/>
          <w:noProof/>
          <w:sz w:val="22"/>
          <w:szCs w:val="22"/>
        </w:rPr>
        <w:t xml:space="preserve"> etc</w:t>
      </w:r>
      <w:r w:rsidR="00256154" w:rsidRPr="00EE2D44">
        <w:rPr>
          <w:rFonts w:ascii="Arial" w:hAnsi="Arial"/>
          <w:noProof/>
          <w:sz w:val="22"/>
          <w:szCs w:val="22"/>
        </w:rPr>
        <w:t>.</w:t>
      </w:r>
      <w:r w:rsidR="00EE2888" w:rsidRPr="00EE2D44">
        <w:rPr>
          <w:rFonts w:ascii="Arial" w:hAnsi="Arial"/>
          <w:noProof/>
          <w:sz w:val="22"/>
          <w:szCs w:val="22"/>
        </w:rPr>
        <w:t xml:space="preserve"> </w:t>
      </w:r>
    </w:p>
    <w:p w:rsidR="00BB7EC3" w:rsidRPr="00EE2D44" w:rsidRDefault="00BB7EC3" w:rsidP="00BB7EC3">
      <w:pPr>
        <w:pStyle w:val="ListParagraph"/>
        <w:ind w:left="709"/>
        <w:jc w:val="both"/>
        <w:rPr>
          <w:rFonts w:ascii="Arial" w:hAnsi="Arial"/>
          <w:noProof/>
          <w:color w:val="FF0000"/>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BB7EC3" w:rsidRPr="00EE2D44" w:rsidRDefault="00BB7EC3" w:rsidP="00952735">
      <w:pPr>
        <w:jc w:val="both"/>
        <w:rPr>
          <w:rFonts w:ascii="Arial" w:hAnsi="Arial"/>
          <w:b/>
          <w:noProof/>
          <w:sz w:val="22"/>
          <w:szCs w:val="22"/>
        </w:rPr>
      </w:pPr>
    </w:p>
    <w:p w:rsidR="00B43E90" w:rsidRPr="00EE2D44" w:rsidRDefault="00B43E90" w:rsidP="00882085">
      <w:pPr>
        <w:jc w:val="both"/>
        <w:rPr>
          <w:rFonts w:ascii="Arial" w:hAnsi="Arial"/>
          <w:b/>
          <w:i/>
          <w:noProof/>
          <w:sz w:val="22"/>
          <w:szCs w:val="22"/>
        </w:rPr>
      </w:pPr>
      <w:r w:rsidRPr="00EE2D44">
        <w:rPr>
          <w:rFonts w:ascii="Arial" w:hAnsi="Arial"/>
          <w:b/>
          <w:i/>
          <w:noProof/>
          <w:sz w:val="22"/>
          <w:szCs w:val="22"/>
        </w:rPr>
        <w:t>Clinical trials</w:t>
      </w:r>
    </w:p>
    <w:p w:rsidR="002B1AE6" w:rsidRPr="00EE2D44" w:rsidRDefault="002B1AE6" w:rsidP="00882085">
      <w:pPr>
        <w:jc w:val="both"/>
        <w:rPr>
          <w:rFonts w:ascii="Arial" w:hAnsi="Arial"/>
          <w:noProof/>
          <w:sz w:val="22"/>
          <w:szCs w:val="22"/>
        </w:rPr>
      </w:pPr>
    </w:p>
    <w:p w:rsidR="00FB1592" w:rsidRPr="00EE2D44" w:rsidRDefault="00497DF1"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submission presented t</w:t>
      </w:r>
      <w:r w:rsidR="00B32DBF" w:rsidRPr="00EE2D44">
        <w:rPr>
          <w:rFonts w:ascii="Arial" w:hAnsi="Arial"/>
          <w:noProof/>
          <w:sz w:val="22"/>
          <w:szCs w:val="22"/>
        </w:rPr>
        <w:t>w</w:t>
      </w:r>
      <w:r w:rsidRPr="00EE2D44">
        <w:rPr>
          <w:rFonts w:ascii="Arial" w:hAnsi="Arial"/>
          <w:noProof/>
          <w:sz w:val="22"/>
          <w:szCs w:val="22"/>
        </w:rPr>
        <w:t>o</w:t>
      </w:r>
      <w:r w:rsidR="00B32DBF" w:rsidRPr="00EE2D44">
        <w:rPr>
          <w:rFonts w:ascii="Arial" w:hAnsi="Arial"/>
          <w:noProof/>
          <w:sz w:val="22"/>
          <w:szCs w:val="22"/>
        </w:rPr>
        <w:t xml:space="preserve"> randomised placebo controlled trials (ASPIRE US trial and Hough 2010 trial)</w:t>
      </w:r>
      <w:r w:rsidR="00B93EC7" w:rsidRPr="00EE2D44">
        <w:rPr>
          <w:rFonts w:ascii="Arial" w:hAnsi="Arial"/>
          <w:noProof/>
          <w:sz w:val="22"/>
          <w:szCs w:val="22"/>
        </w:rPr>
        <w:t xml:space="preserve"> for an indirect comparison of aripiprazole LAI and </w:t>
      </w:r>
      <w:r w:rsidR="00B32DBF" w:rsidRPr="00EE2D44">
        <w:rPr>
          <w:rFonts w:ascii="Arial" w:hAnsi="Arial"/>
          <w:noProof/>
          <w:sz w:val="22"/>
          <w:szCs w:val="22"/>
        </w:rPr>
        <w:t xml:space="preserve">paliperidone LAI and </w:t>
      </w:r>
      <w:r w:rsidR="00B93EC7" w:rsidRPr="00EE2D44">
        <w:rPr>
          <w:rFonts w:ascii="Arial" w:hAnsi="Arial"/>
          <w:noProof/>
          <w:sz w:val="22"/>
          <w:szCs w:val="22"/>
        </w:rPr>
        <w:t>a direct comparison of aripiprazole LAI and aripiprazole tablets, with the treatments used as maintenance therapy.</w:t>
      </w:r>
    </w:p>
    <w:p w:rsidR="00FB1592" w:rsidRPr="00EE2D44" w:rsidRDefault="00FB1592" w:rsidP="00FB1592">
      <w:pPr>
        <w:pStyle w:val="ListParagraph"/>
        <w:jc w:val="both"/>
        <w:rPr>
          <w:rFonts w:ascii="Arial" w:hAnsi="Arial"/>
          <w:noProof/>
          <w:sz w:val="22"/>
          <w:szCs w:val="22"/>
        </w:rPr>
      </w:pPr>
    </w:p>
    <w:p w:rsidR="000B558D" w:rsidRPr="00EE2D44" w:rsidRDefault="00B93EC7" w:rsidP="00F604D6">
      <w:pPr>
        <w:pStyle w:val="ListParagraph"/>
        <w:numPr>
          <w:ilvl w:val="1"/>
          <w:numId w:val="25"/>
        </w:numPr>
        <w:jc w:val="both"/>
        <w:rPr>
          <w:rFonts w:ascii="Arial" w:hAnsi="Arial"/>
          <w:noProof/>
          <w:sz w:val="22"/>
          <w:szCs w:val="22"/>
        </w:rPr>
      </w:pPr>
      <w:r w:rsidRPr="00EE2D44">
        <w:rPr>
          <w:rFonts w:ascii="Arial" w:hAnsi="Arial"/>
          <w:noProof/>
          <w:sz w:val="22"/>
          <w:szCs w:val="22"/>
        </w:rPr>
        <w:t xml:space="preserve">Supportive comparisons of aripiprazole LAI versus risperidone LAI in the maintenance setting, and aripiprazole LAI versus paliperidone LAI and risperidone LAI in the acute setting were </w:t>
      </w:r>
      <w:r w:rsidR="00FB1592" w:rsidRPr="00EE2D44">
        <w:rPr>
          <w:rFonts w:ascii="Arial" w:hAnsi="Arial"/>
          <w:noProof/>
          <w:sz w:val="22"/>
          <w:szCs w:val="22"/>
        </w:rPr>
        <w:t xml:space="preserve">also </w:t>
      </w:r>
      <w:r w:rsidRPr="00EE2D44">
        <w:rPr>
          <w:rFonts w:ascii="Arial" w:hAnsi="Arial"/>
          <w:noProof/>
          <w:sz w:val="22"/>
          <w:szCs w:val="22"/>
        </w:rPr>
        <w:t>presented</w:t>
      </w:r>
      <w:r w:rsidR="00974C92" w:rsidRPr="00EE2D44">
        <w:rPr>
          <w:rFonts w:ascii="Arial" w:hAnsi="Arial"/>
          <w:noProof/>
          <w:sz w:val="22"/>
          <w:szCs w:val="22"/>
          <w:lang w:eastAsia="zh-CN"/>
        </w:rPr>
        <w:t xml:space="preserve"> in the submission</w:t>
      </w:r>
      <w:r w:rsidRPr="00EE2D44">
        <w:rPr>
          <w:rFonts w:ascii="Arial" w:hAnsi="Arial"/>
          <w:noProof/>
          <w:sz w:val="22"/>
          <w:szCs w:val="22"/>
        </w:rPr>
        <w:t>.</w:t>
      </w:r>
    </w:p>
    <w:p w:rsidR="00FB1592" w:rsidRPr="00EE2D44" w:rsidRDefault="00FB1592" w:rsidP="00FB1592">
      <w:pPr>
        <w:pStyle w:val="ListParagraph"/>
        <w:rPr>
          <w:rFonts w:ascii="Arial" w:hAnsi="Arial"/>
          <w:noProof/>
          <w:sz w:val="22"/>
          <w:szCs w:val="22"/>
        </w:rPr>
      </w:pPr>
    </w:p>
    <w:p w:rsidR="00B05D16" w:rsidRPr="00EE2D44" w:rsidRDefault="00A04EB6" w:rsidP="00A04EB6">
      <w:pPr>
        <w:pStyle w:val="ListParagraph"/>
        <w:numPr>
          <w:ilvl w:val="1"/>
          <w:numId w:val="25"/>
        </w:numPr>
        <w:jc w:val="both"/>
        <w:rPr>
          <w:rFonts w:ascii="Arial" w:hAnsi="Arial"/>
          <w:noProof/>
          <w:sz w:val="22"/>
          <w:szCs w:val="22"/>
        </w:rPr>
      </w:pPr>
      <w:r w:rsidRPr="00EE2D44">
        <w:rPr>
          <w:rFonts w:ascii="Arial" w:hAnsi="Arial"/>
          <w:noProof/>
          <w:sz w:val="22"/>
          <w:szCs w:val="22"/>
        </w:rPr>
        <w:t xml:space="preserve">A summary description of the </w:t>
      </w:r>
      <w:r w:rsidRPr="00EE2D44">
        <w:rPr>
          <w:rFonts w:ascii="Arial" w:hAnsi="Arial"/>
          <w:noProof/>
          <w:sz w:val="22"/>
          <w:szCs w:val="22"/>
          <w:lang w:eastAsia="zh-CN"/>
        </w:rPr>
        <w:t>published</w:t>
      </w:r>
      <w:r w:rsidRPr="00EE2D44">
        <w:rPr>
          <w:rFonts w:ascii="Arial" w:hAnsi="Arial"/>
          <w:noProof/>
          <w:sz w:val="22"/>
          <w:szCs w:val="22"/>
        </w:rPr>
        <w:t xml:space="preserve"> trials presented in the submission is shown in the table below.</w:t>
      </w:r>
    </w:p>
    <w:p w:rsidR="00A04EB6" w:rsidRPr="00EE2D44" w:rsidRDefault="00A04EB6" w:rsidP="00B05D16">
      <w:pPr>
        <w:ind w:firstLine="720"/>
        <w:jc w:val="both"/>
        <w:rPr>
          <w:rFonts w:ascii="Arial" w:hAnsi="Arial"/>
          <w:noProof/>
          <w:sz w:val="22"/>
          <w:szCs w:val="22"/>
        </w:rPr>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published trials aripiprazole"/>
      </w:tblPr>
      <w:tblGrid>
        <w:gridCol w:w="1418"/>
        <w:gridCol w:w="4531"/>
        <w:gridCol w:w="2414"/>
      </w:tblGrid>
      <w:tr w:rsidR="00F604D6" w:rsidRPr="00EE2D44" w:rsidTr="00B0456C">
        <w:tc>
          <w:tcPr>
            <w:tcW w:w="848" w:type="pct"/>
            <w:tcBorders>
              <w:top w:val="single" w:sz="4" w:space="0" w:color="auto"/>
              <w:left w:val="single" w:sz="4" w:space="0" w:color="auto"/>
              <w:bottom w:val="single" w:sz="4" w:space="0" w:color="auto"/>
              <w:right w:val="single" w:sz="4" w:space="0" w:color="auto"/>
            </w:tcBorders>
          </w:tcPr>
          <w:p w:rsidR="00F604D6" w:rsidRPr="00EE2D44" w:rsidRDefault="00F604D6" w:rsidP="00B05D16">
            <w:pPr>
              <w:widowControl w:val="0"/>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Trial ID/</w:t>
            </w:r>
          </w:p>
          <w:p w:rsidR="00F604D6" w:rsidRPr="00EE2D44" w:rsidRDefault="00F604D6" w:rsidP="00B05D16">
            <w:pPr>
              <w:widowControl w:val="0"/>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First Author</w:t>
            </w:r>
          </w:p>
        </w:tc>
        <w:tc>
          <w:tcPr>
            <w:tcW w:w="2709" w:type="pct"/>
            <w:tcBorders>
              <w:top w:val="single" w:sz="4" w:space="0" w:color="auto"/>
              <w:left w:val="single" w:sz="4" w:space="0" w:color="auto"/>
              <w:bottom w:val="single" w:sz="4" w:space="0" w:color="auto"/>
              <w:right w:val="single" w:sz="4" w:space="0" w:color="auto"/>
            </w:tcBorders>
          </w:tcPr>
          <w:p w:rsidR="00F604D6" w:rsidRPr="00EE2D44" w:rsidRDefault="00F604D6" w:rsidP="00B05D16">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Protocol title/ Publication title</w:t>
            </w:r>
          </w:p>
        </w:tc>
        <w:tc>
          <w:tcPr>
            <w:tcW w:w="1443" w:type="pct"/>
            <w:tcBorders>
              <w:top w:val="single" w:sz="4" w:space="0" w:color="auto"/>
              <w:left w:val="single" w:sz="4" w:space="0" w:color="auto"/>
              <w:bottom w:val="single" w:sz="4" w:space="0" w:color="auto"/>
              <w:right w:val="single" w:sz="4" w:space="0" w:color="auto"/>
            </w:tcBorders>
          </w:tcPr>
          <w:p w:rsidR="00F604D6" w:rsidRPr="00EE2D44" w:rsidRDefault="00F604D6" w:rsidP="00B05D16">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Publication citation</w:t>
            </w:r>
          </w:p>
        </w:tc>
      </w:tr>
      <w:tr w:rsidR="00F604D6" w:rsidRPr="00EE2D44" w:rsidTr="00B0456C">
        <w:tc>
          <w:tcPr>
            <w:tcW w:w="5000" w:type="pct"/>
            <w:gridSpan w:val="3"/>
            <w:tcBorders>
              <w:bottom w:val="single" w:sz="4" w:space="0" w:color="auto"/>
            </w:tcBorders>
            <w:shd w:val="clear" w:color="auto" w:fill="auto"/>
          </w:tcPr>
          <w:p w:rsidR="00F604D6" w:rsidRPr="00EE2D44" w:rsidRDefault="00F604D6" w:rsidP="00B05D16">
            <w:pPr>
              <w:widowControl w:val="0"/>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Direct randomised trial(s)</w:t>
            </w:r>
          </w:p>
        </w:tc>
      </w:tr>
      <w:tr w:rsidR="00F604D6" w:rsidRPr="00EE2D44" w:rsidTr="00B0456C">
        <w:tc>
          <w:tcPr>
            <w:tcW w:w="848"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noProof/>
                <w:snapToGrid w:val="0"/>
                <w:sz w:val="20"/>
                <w:szCs w:val="20"/>
                <w:lang w:eastAsia="en-US"/>
              </w:rPr>
              <w:t>ASPIRE EU</w:t>
            </w:r>
          </w:p>
          <w:p w:rsidR="00F604D6" w:rsidRPr="00EE2D44" w:rsidRDefault="00F604D6" w:rsidP="00B05D16">
            <w:pPr>
              <w:widowControl w:val="0"/>
              <w:rPr>
                <w:rFonts w:ascii="Arial Narrow" w:hAnsi="Arial Narrow" w:cs="Arial"/>
                <w:noProof/>
                <w:snapToGrid w:val="0"/>
                <w:sz w:val="20"/>
                <w:szCs w:val="20"/>
                <w:lang w:eastAsia="en-US"/>
              </w:rPr>
            </w:pPr>
          </w:p>
        </w:tc>
        <w:tc>
          <w:tcPr>
            <w:tcW w:w="2709"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p>
        </w:tc>
        <w:tc>
          <w:tcPr>
            <w:tcW w:w="1443" w:type="pct"/>
            <w:tcBorders>
              <w:top w:val="nil"/>
              <w:bottom w:val="nil"/>
            </w:tcBorders>
          </w:tcPr>
          <w:p w:rsidR="00F604D6" w:rsidRPr="00EE2D44" w:rsidRDefault="00F604D6" w:rsidP="00B05D16">
            <w:pPr>
              <w:widowControl w:val="0"/>
              <w:rPr>
                <w:rFonts w:ascii="Arial Narrow" w:hAnsi="Arial Narrow" w:cs="Arial"/>
                <w:i/>
                <w:noProof/>
                <w:snapToGrid w:val="0"/>
                <w:sz w:val="20"/>
                <w:szCs w:val="20"/>
                <w:lang w:eastAsia="en-US"/>
              </w:rPr>
            </w:pPr>
          </w:p>
        </w:tc>
      </w:tr>
      <w:tr w:rsidR="00141EBE" w:rsidRPr="00EE2D44" w:rsidTr="00B0456C">
        <w:tc>
          <w:tcPr>
            <w:tcW w:w="848" w:type="pct"/>
            <w:tcBorders>
              <w:top w:val="nil"/>
              <w:bottom w:val="nil"/>
            </w:tcBorders>
          </w:tcPr>
          <w:p w:rsidR="00141EBE" w:rsidRPr="00EE2D44" w:rsidRDefault="00141EBE" w:rsidP="00566DB4">
            <w:pPr>
              <w:widowControl w:val="0"/>
              <w:rPr>
                <w:rFonts w:ascii="Arial Narrow" w:hAnsi="Arial Narrow" w:cs="Arial"/>
                <w:noProof/>
                <w:snapToGrid w:val="0"/>
                <w:sz w:val="20"/>
                <w:szCs w:val="20"/>
                <w:lang w:eastAsia="en-US"/>
              </w:rPr>
            </w:pPr>
            <w:r>
              <w:rPr>
                <w:rFonts w:ascii="Arial Narrow" w:hAnsi="Arial Narrow" w:cs="Arial"/>
                <w:noProof/>
                <w:snapToGrid w:val="0"/>
                <w:sz w:val="20"/>
                <w:szCs w:val="20"/>
                <w:lang w:eastAsia="en-US"/>
              </w:rPr>
              <w:lastRenderedPageBreak/>
              <w:t>Fleischhacker</w:t>
            </w:r>
          </w:p>
        </w:tc>
        <w:tc>
          <w:tcPr>
            <w:tcW w:w="2709" w:type="pct"/>
            <w:tcBorders>
              <w:top w:val="nil"/>
              <w:bottom w:val="nil"/>
            </w:tcBorders>
          </w:tcPr>
          <w:p w:rsidR="00141EBE" w:rsidRDefault="00141EBE" w:rsidP="00566DB4">
            <w:pPr>
              <w:widowControl w:val="0"/>
              <w:rPr>
                <w:rFonts w:ascii="Arial Narrow" w:hAnsi="Arial Narrow" w:cs="Arial"/>
                <w:noProof/>
                <w:snapToGrid w:val="0"/>
                <w:sz w:val="20"/>
                <w:szCs w:val="20"/>
                <w:lang w:eastAsia="en-US"/>
              </w:rPr>
            </w:pPr>
            <w:r>
              <w:rPr>
                <w:rFonts w:ascii="Arial Narrow" w:hAnsi="Arial Narrow" w:cs="Arial"/>
                <w:noProof/>
                <w:snapToGrid w:val="0"/>
                <w:sz w:val="20"/>
                <w:szCs w:val="20"/>
                <w:lang w:eastAsia="en-US"/>
              </w:rPr>
              <w:t>Aripiprazole once-monthly for treatment of schizophrenia: double-blind, randomised, non-inferiority study.</w:t>
            </w:r>
          </w:p>
          <w:p w:rsidR="00141EBE" w:rsidRPr="00EE2D44" w:rsidRDefault="00141EBE" w:rsidP="00566DB4">
            <w:pPr>
              <w:widowControl w:val="0"/>
              <w:rPr>
                <w:rFonts w:ascii="Arial Narrow" w:hAnsi="Arial Narrow" w:cs="Arial"/>
                <w:noProof/>
                <w:snapToGrid w:val="0"/>
                <w:sz w:val="20"/>
                <w:szCs w:val="20"/>
                <w:lang w:eastAsia="en-US"/>
              </w:rPr>
            </w:pPr>
          </w:p>
        </w:tc>
        <w:tc>
          <w:tcPr>
            <w:tcW w:w="1443" w:type="pct"/>
            <w:tcBorders>
              <w:top w:val="nil"/>
              <w:bottom w:val="nil"/>
            </w:tcBorders>
          </w:tcPr>
          <w:p w:rsidR="00141EBE" w:rsidRPr="00EE2D44" w:rsidRDefault="00141EBE" w:rsidP="00566DB4">
            <w:pPr>
              <w:widowControl w:val="0"/>
              <w:rPr>
                <w:rFonts w:ascii="Arial Narrow" w:hAnsi="Arial Narrow" w:cs="Arial"/>
                <w:i/>
                <w:noProof/>
                <w:snapToGrid w:val="0"/>
                <w:sz w:val="20"/>
                <w:szCs w:val="20"/>
                <w:lang w:eastAsia="en-US"/>
              </w:rPr>
            </w:pPr>
            <w:r>
              <w:rPr>
                <w:rFonts w:ascii="Arial Narrow" w:hAnsi="Arial Narrow" w:cs="Arial"/>
                <w:i/>
                <w:noProof/>
                <w:snapToGrid w:val="0"/>
                <w:sz w:val="20"/>
                <w:szCs w:val="20"/>
                <w:lang w:eastAsia="en-US"/>
              </w:rPr>
              <w:t>B J Psych 2014, 205:135-144.</w:t>
            </w:r>
          </w:p>
        </w:tc>
      </w:tr>
      <w:tr w:rsidR="00F604D6" w:rsidRPr="00EE2D44" w:rsidTr="00B0456C">
        <w:tc>
          <w:tcPr>
            <w:tcW w:w="848"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noProof/>
                <w:snapToGrid w:val="0"/>
                <w:sz w:val="20"/>
                <w:szCs w:val="20"/>
                <w:lang w:eastAsia="en-US"/>
              </w:rPr>
              <w:t>Fleischhacker</w:t>
            </w:r>
          </w:p>
          <w:p w:rsidR="00F604D6" w:rsidRPr="00EE2D44" w:rsidRDefault="00F604D6" w:rsidP="00B05D16">
            <w:pPr>
              <w:widowControl w:val="0"/>
              <w:rPr>
                <w:rFonts w:ascii="Arial Narrow" w:hAnsi="Arial Narrow" w:cs="Arial"/>
                <w:noProof/>
                <w:snapToGrid w:val="0"/>
                <w:sz w:val="20"/>
                <w:szCs w:val="20"/>
                <w:lang w:eastAsia="en-US"/>
              </w:rPr>
            </w:pPr>
          </w:p>
        </w:tc>
        <w:tc>
          <w:tcPr>
            <w:tcW w:w="2709"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Personal and social performance in schizophrenia: Double-blind, non-inferiority study of once-monthly vs oral aripiprazole.</w:t>
            </w:r>
          </w:p>
          <w:p w:rsidR="00F604D6" w:rsidRPr="00EE2D44" w:rsidRDefault="00F604D6" w:rsidP="00B05D16">
            <w:pPr>
              <w:widowControl w:val="0"/>
              <w:rPr>
                <w:rFonts w:ascii="Arial Narrow" w:hAnsi="Arial Narrow" w:cs="Arial"/>
                <w:noProof/>
                <w:snapToGrid w:val="0"/>
                <w:sz w:val="20"/>
                <w:szCs w:val="20"/>
                <w:lang w:eastAsia="en-US"/>
              </w:rPr>
            </w:pPr>
          </w:p>
        </w:tc>
        <w:tc>
          <w:tcPr>
            <w:tcW w:w="1443"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i/>
                <w:noProof/>
                <w:snapToGrid w:val="0"/>
                <w:sz w:val="20"/>
                <w:szCs w:val="20"/>
                <w:lang w:eastAsia="en-US"/>
              </w:rPr>
              <w:t>Eur Neuropsychopharmacol</w:t>
            </w:r>
            <w:r w:rsidRPr="00EE2D44">
              <w:rPr>
                <w:rFonts w:ascii="Arial Narrow" w:hAnsi="Arial Narrow" w:cs="Arial"/>
                <w:noProof/>
                <w:snapToGrid w:val="0"/>
                <w:sz w:val="20"/>
                <w:szCs w:val="20"/>
                <w:lang w:eastAsia="en-US"/>
              </w:rPr>
              <w:t xml:space="preserve"> 2013,23:S474-S475</w:t>
            </w:r>
          </w:p>
          <w:p w:rsidR="00F604D6" w:rsidRPr="00EE2D44" w:rsidRDefault="00F604D6" w:rsidP="00B05D16">
            <w:pPr>
              <w:widowControl w:val="0"/>
              <w:rPr>
                <w:rFonts w:ascii="Arial Narrow" w:hAnsi="Arial Narrow" w:cs="Arial"/>
                <w:noProof/>
                <w:snapToGrid w:val="0"/>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noProof/>
                <w:snapToGrid w:val="0"/>
                <w:sz w:val="20"/>
                <w:szCs w:val="20"/>
                <w:lang w:eastAsia="en-US"/>
              </w:rPr>
              <w:t>Peters-Strickland</w:t>
            </w:r>
          </w:p>
          <w:p w:rsidR="00F604D6" w:rsidRPr="00EE2D44" w:rsidRDefault="00F604D6" w:rsidP="00B05D16">
            <w:pPr>
              <w:widowControl w:val="0"/>
              <w:rPr>
                <w:rFonts w:ascii="Arial Narrow" w:hAnsi="Arial Narrow" w:cs="Arial"/>
                <w:noProof/>
                <w:snapToGrid w:val="0"/>
                <w:sz w:val="20"/>
                <w:szCs w:val="20"/>
                <w:lang w:eastAsia="en-US"/>
              </w:rPr>
            </w:pPr>
          </w:p>
        </w:tc>
        <w:tc>
          <w:tcPr>
            <w:tcW w:w="2709"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Aripiprazole once-monthly for schizophrenia: A double-blind, randomised, non-inferiority study versus oral aripiprazole.</w:t>
            </w:r>
          </w:p>
          <w:p w:rsidR="00F604D6" w:rsidRPr="00EE2D44" w:rsidRDefault="00F604D6" w:rsidP="00B05D16">
            <w:pPr>
              <w:widowControl w:val="0"/>
              <w:rPr>
                <w:rFonts w:ascii="Arial Narrow" w:hAnsi="Arial Narrow" w:cs="Arial"/>
                <w:noProof/>
                <w:snapToGrid w:val="0"/>
                <w:sz w:val="20"/>
                <w:szCs w:val="20"/>
                <w:lang w:eastAsia="en-US"/>
              </w:rPr>
            </w:pPr>
          </w:p>
        </w:tc>
        <w:tc>
          <w:tcPr>
            <w:tcW w:w="1443"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i/>
                <w:noProof/>
                <w:snapToGrid w:val="0"/>
                <w:sz w:val="20"/>
                <w:szCs w:val="20"/>
                <w:lang w:eastAsia="en-US"/>
              </w:rPr>
              <w:t>Eur Neuropsychopharmacol</w:t>
            </w:r>
            <w:r w:rsidRPr="00EE2D44">
              <w:rPr>
                <w:rFonts w:ascii="Arial Narrow" w:hAnsi="Arial Narrow" w:cs="Arial"/>
                <w:noProof/>
                <w:snapToGrid w:val="0"/>
                <w:sz w:val="20"/>
                <w:szCs w:val="20"/>
                <w:lang w:eastAsia="en-US"/>
              </w:rPr>
              <w:t xml:space="preserve"> 2013,23:S473-S474</w:t>
            </w:r>
          </w:p>
          <w:p w:rsidR="00F604D6" w:rsidRPr="00EE2D44" w:rsidRDefault="00F604D6" w:rsidP="00B05D16">
            <w:pPr>
              <w:widowControl w:val="0"/>
              <w:rPr>
                <w:rFonts w:ascii="Arial Narrow" w:hAnsi="Arial Narrow" w:cs="Arial"/>
                <w:noProof/>
                <w:snapToGrid w:val="0"/>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noProof/>
                <w:snapToGrid w:val="0"/>
                <w:sz w:val="20"/>
                <w:szCs w:val="20"/>
                <w:lang w:eastAsia="en-US"/>
              </w:rPr>
              <w:t>Fleischhacker</w:t>
            </w:r>
            <w:r w:rsidRPr="00EE2D44">
              <w:rPr>
                <w:rFonts w:ascii="Arial Narrow" w:hAnsi="Arial Narrow" w:cs="Arial"/>
                <w:noProof/>
                <w:snapToGrid w:val="0"/>
                <w:sz w:val="20"/>
                <w:szCs w:val="20"/>
                <w:lang w:eastAsia="zh-CN"/>
              </w:rPr>
              <w:t xml:space="preserve"> </w:t>
            </w:r>
          </w:p>
          <w:p w:rsidR="00F604D6" w:rsidRPr="00EE2D44" w:rsidRDefault="00F604D6" w:rsidP="00B05D16">
            <w:pPr>
              <w:widowControl w:val="0"/>
              <w:rPr>
                <w:rFonts w:ascii="Arial Narrow" w:hAnsi="Arial Narrow" w:cs="Arial"/>
                <w:noProof/>
                <w:snapToGrid w:val="0"/>
                <w:sz w:val="20"/>
                <w:szCs w:val="20"/>
                <w:lang w:eastAsia="en-US"/>
              </w:rPr>
            </w:pPr>
          </w:p>
        </w:tc>
        <w:tc>
          <w:tcPr>
            <w:tcW w:w="2709"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Aripiprazole once-monthly for the treatment of schizophrenia: A double blind, randomized, non-inferiority study vs. oral aripiprazole.</w:t>
            </w:r>
          </w:p>
          <w:p w:rsidR="00F604D6" w:rsidRPr="00EE2D44" w:rsidRDefault="00F604D6" w:rsidP="00B05D16">
            <w:pPr>
              <w:widowControl w:val="0"/>
              <w:rPr>
                <w:rFonts w:ascii="Arial Narrow" w:hAnsi="Arial Narrow" w:cs="Arial"/>
                <w:noProof/>
                <w:snapToGrid w:val="0"/>
                <w:sz w:val="20"/>
                <w:szCs w:val="20"/>
                <w:lang w:eastAsia="en-US"/>
              </w:rPr>
            </w:pPr>
          </w:p>
        </w:tc>
        <w:tc>
          <w:tcPr>
            <w:tcW w:w="1443" w:type="pct"/>
            <w:tcBorders>
              <w:top w:val="nil"/>
              <w:bottom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i/>
                <w:noProof/>
                <w:snapToGrid w:val="0"/>
                <w:sz w:val="20"/>
                <w:szCs w:val="20"/>
                <w:lang w:eastAsia="en-US"/>
              </w:rPr>
              <w:t>Schizophr Bull</w:t>
            </w:r>
            <w:r w:rsidRPr="00EE2D44">
              <w:rPr>
                <w:rFonts w:ascii="Arial Narrow" w:hAnsi="Arial Narrow" w:cs="Arial"/>
                <w:noProof/>
                <w:snapToGrid w:val="0"/>
                <w:sz w:val="20"/>
                <w:szCs w:val="20"/>
                <w:lang w:eastAsia="en-US"/>
              </w:rPr>
              <w:t xml:space="preserve"> 2013,39:S330</w:t>
            </w:r>
          </w:p>
          <w:p w:rsidR="00F604D6" w:rsidRPr="00EE2D44" w:rsidRDefault="00F604D6" w:rsidP="00B05D16">
            <w:pPr>
              <w:widowControl w:val="0"/>
              <w:rPr>
                <w:rFonts w:ascii="Arial Narrow" w:hAnsi="Arial Narrow" w:cs="Arial"/>
                <w:noProof/>
                <w:snapToGrid w:val="0"/>
                <w:sz w:val="20"/>
                <w:szCs w:val="20"/>
                <w:lang w:eastAsia="zh-CN"/>
              </w:rPr>
            </w:pPr>
          </w:p>
        </w:tc>
      </w:tr>
      <w:tr w:rsidR="00F604D6" w:rsidRPr="00EE2D44" w:rsidTr="00B0456C">
        <w:tc>
          <w:tcPr>
            <w:tcW w:w="848" w:type="pct"/>
            <w:tcBorders>
              <w:top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Fleischhacker</w:t>
            </w:r>
          </w:p>
        </w:tc>
        <w:tc>
          <w:tcPr>
            <w:tcW w:w="2709" w:type="pct"/>
            <w:tcBorders>
              <w:top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Aripiprazole Once-monthly for the Treatment of Schizophrenia: A Double-blind, Randomized, Non-inferiority Study vs. Oral Aripiprazole.</w:t>
            </w:r>
          </w:p>
          <w:p w:rsidR="00F604D6" w:rsidRPr="00EE2D44" w:rsidRDefault="00F604D6" w:rsidP="00B05D16">
            <w:pPr>
              <w:widowControl w:val="0"/>
              <w:rPr>
                <w:rFonts w:ascii="Arial Narrow" w:hAnsi="Arial Narrow" w:cs="Arial"/>
                <w:noProof/>
                <w:snapToGrid w:val="0"/>
                <w:sz w:val="20"/>
                <w:szCs w:val="20"/>
                <w:lang w:eastAsia="en-US"/>
              </w:rPr>
            </w:pPr>
          </w:p>
        </w:tc>
        <w:tc>
          <w:tcPr>
            <w:tcW w:w="1443" w:type="pct"/>
            <w:tcBorders>
              <w:top w:val="nil"/>
            </w:tcBorders>
          </w:tcPr>
          <w:p w:rsidR="00F604D6" w:rsidRPr="00EE2D44" w:rsidRDefault="00F604D6" w:rsidP="00B05D16">
            <w:pPr>
              <w:widowControl w:val="0"/>
              <w:rPr>
                <w:rFonts w:ascii="Arial Narrow" w:hAnsi="Arial Narrow" w:cs="Arial"/>
                <w:noProof/>
                <w:snapToGrid w:val="0"/>
                <w:sz w:val="20"/>
                <w:szCs w:val="20"/>
                <w:lang w:eastAsia="en-US"/>
              </w:rPr>
            </w:pPr>
            <w:r w:rsidRPr="00EE2D44">
              <w:rPr>
                <w:rFonts w:ascii="Arial Narrow" w:hAnsi="Arial Narrow" w:cs="Arial"/>
                <w:i/>
                <w:noProof/>
                <w:snapToGrid w:val="0"/>
                <w:sz w:val="20"/>
                <w:szCs w:val="20"/>
                <w:lang w:eastAsia="en-US"/>
              </w:rPr>
              <w:t>Neuropsychopharmacology</w:t>
            </w:r>
            <w:r w:rsidRPr="00EE2D44">
              <w:rPr>
                <w:rFonts w:ascii="Arial Narrow" w:hAnsi="Arial Narrow" w:cs="Arial"/>
                <w:noProof/>
                <w:snapToGrid w:val="0"/>
                <w:sz w:val="20"/>
                <w:szCs w:val="20"/>
                <w:lang w:eastAsia="en-US"/>
              </w:rPr>
              <w:t xml:space="preserve"> 2012,38:S339</w:t>
            </w:r>
          </w:p>
          <w:p w:rsidR="00F604D6" w:rsidRPr="00EE2D44" w:rsidRDefault="00F604D6" w:rsidP="00B05D16">
            <w:pPr>
              <w:widowControl w:val="0"/>
              <w:rPr>
                <w:rFonts w:ascii="Arial Narrow" w:hAnsi="Arial Narrow" w:cs="Arial"/>
                <w:noProof/>
                <w:snapToGrid w:val="0"/>
                <w:sz w:val="20"/>
                <w:szCs w:val="20"/>
                <w:lang w:eastAsia="zh-CN"/>
              </w:rPr>
            </w:pPr>
          </w:p>
        </w:tc>
      </w:tr>
      <w:tr w:rsidR="00F604D6" w:rsidRPr="00EE2D44" w:rsidTr="00B0456C">
        <w:tc>
          <w:tcPr>
            <w:tcW w:w="5000" w:type="pct"/>
            <w:gridSpan w:val="3"/>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b/>
                <w:bCs/>
                <w:noProof/>
                <w:sz w:val="20"/>
                <w:szCs w:val="20"/>
              </w:rPr>
              <w:t>Indirect comparison of aripiprazole LAI and paliperidone LAI in maintenance setting using placebo common reference</w:t>
            </w:r>
          </w:p>
        </w:tc>
      </w:tr>
      <w:tr w:rsidR="00F604D6" w:rsidRPr="00EE2D44" w:rsidTr="00B0456C">
        <w:tc>
          <w:tcPr>
            <w:tcW w:w="5000" w:type="pct"/>
            <w:gridSpan w:val="3"/>
            <w:tcBorders>
              <w:bottom w:val="single" w:sz="4" w:space="0" w:color="auto"/>
            </w:tcBorders>
          </w:tcPr>
          <w:p w:rsidR="00F604D6" w:rsidRPr="00EE2D44" w:rsidRDefault="00F604D6" w:rsidP="00B05D16">
            <w:pPr>
              <w:widowControl w:val="0"/>
              <w:rPr>
                <w:rFonts w:ascii="Arial Narrow" w:hAnsi="Arial Narrow" w:cs="Arial"/>
                <w:noProof/>
                <w:snapToGrid w:val="0"/>
                <w:sz w:val="20"/>
                <w:szCs w:val="20"/>
                <w:lang w:eastAsia="zh-CN"/>
              </w:rPr>
            </w:pPr>
            <w:r w:rsidRPr="00EE2D44">
              <w:rPr>
                <w:rFonts w:ascii="Arial Narrow" w:hAnsi="Arial Narrow" w:cs="Arial"/>
                <w:i/>
                <w:iCs/>
                <w:noProof/>
                <w:sz w:val="20"/>
                <w:szCs w:val="20"/>
              </w:rPr>
              <w:t>Aripiprazole IM</w:t>
            </w:r>
          </w:p>
        </w:tc>
      </w:tr>
      <w:tr w:rsidR="00F604D6" w:rsidRPr="00EE2D44" w:rsidTr="00B0456C">
        <w:tc>
          <w:tcPr>
            <w:tcW w:w="848" w:type="pct"/>
            <w:tcBorders>
              <w:top w:val="nil"/>
              <w:bottom w:val="nil"/>
            </w:tcBorders>
          </w:tcPr>
          <w:p w:rsidR="00F604D6" w:rsidRPr="00EE2D44" w:rsidRDefault="00F604D6" w:rsidP="00B05D16">
            <w:pPr>
              <w:rPr>
                <w:rFonts w:ascii="Arial Narrow" w:hAnsi="Arial Narrow" w:cs="Arial"/>
                <w:noProof/>
                <w:sz w:val="20"/>
                <w:szCs w:val="20"/>
                <w:lang w:eastAsia="zh-CN"/>
              </w:rPr>
            </w:pPr>
            <w:r w:rsidRPr="00EE2D44">
              <w:rPr>
                <w:rFonts w:ascii="Arial Narrow" w:hAnsi="Arial Narrow" w:cs="Arial"/>
                <w:noProof/>
                <w:sz w:val="20"/>
                <w:szCs w:val="20"/>
              </w:rPr>
              <w:t>ASPIRE US</w:t>
            </w:r>
          </w:p>
          <w:p w:rsidR="00F604D6" w:rsidRPr="00EE2D44" w:rsidRDefault="00F604D6" w:rsidP="00B05D16">
            <w:pPr>
              <w:spacing w:before="40" w:after="40"/>
              <w:rPr>
                <w:rFonts w:ascii="Arial Narrow" w:hAnsi="Arial Narrow" w:cs="Arial"/>
                <w:noProof/>
                <w:sz w:val="20"/>
                <w:szCs w:val="20"/>
              </w:rPr>
            </w:pPr>
          </w:p>
        </w:tc>
        <w:tc>
          <w:tcPr>
            <w:tcW w:w="2709" w:type="pct"/>
            <w:tcBorders>
              <w:top w:val="nil"/>
              <w:bottom w:val="nil"/>
            </w:tcBorders>
          </w:tcPr>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i/>
                <w:noProof/>
                <w:sz w:val="20"/>
                <w:szCs w:val="20"/>
              </w:rPr>
            </w:pPr>
          </w:p>
        </w:tc>
      </w:tr>
      <w:tr w:rsidR="00F604D6" w:rsidRPr="00EE2D44" w:rsidTr="00B0456C">
        <w:tc>
          <w:tcPr>
            <w:tcW w:w="848"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Kane</w:t>
            </w:r>
          </w:p>
        </w:tc>
        <w:tc>
          <w:tcPr>
            <w:tcW w:w="2709" w:type="pct"/>
            <w:tcBorders>
              <w:top w:val="nil"/>
              <w:bottom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Aripiprazole intramuscular depot as maintenance treatment in patients with schizophrenia: A 52-week, multicentre, randomised, double-blind, placebo controlled study. </w:t>
            </w:r>
          </w:p>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J Clin Psychiatry</w:t>
            </w:r>
            <w:r w:rsidRPr="00EE2D44">
              <w:rPr>
                <w:rFonts w:ascii="Arial Narrow" w:hAnsi="Arial Narrow" w:cs="Arial"/>
                <w:noProof/>
                <w:sz w:val="20"/>
                <w:szCs w:val="20"/>
              </w:rPr>
              <w:t xml:space="preserve"> 2012, 73(5): 617-624.</w:t>
            </w:r>
          </w:p>
        </w:tc>
      </w:tr>
      <w:tr w:rsidR="00F604D6" w:rsidRPr="00EE2D44" w:rsidTr="00B0456C">
        <w:tc>
          <w:tcPr>
            <w:tcW w:w="848"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Baker</w:t>
            </w:r>
          </w:p>
        </w:tc>
        <w:tc>
          <w:tcPr>
            <w:tcW w:w="2709" w:type="pct"/>
            <w:tcBorders>
              <w:top w:val="nil"/>
              <w:bottom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Psychological and overall effectiveness of aripiprazole once-monthly vs. placebo once-monthly for maintenance treatment in schizophrenia. </w:t>
            </w:r>
          </w:p>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European Psychiatry</w:t>
            </w:r>
            <w:r w:rsidRPr="00EE2D44">
              <w:rPr>
                <w:rFonts w:ascii="Arial Narrow" w:hAnsi="Arial Narrow" w:cs="Arial"/>
                <w:noProof/>
                <w:sz w:val="20"/>
                <w:szCs w:val="20"/>
              </w:rPr>
              <w:t xml:space="preserve"> 2013, 28(Suppl 1): 2281.</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Eramo</w:t>
            </w:r>
          </w:p>
        </w:tc>
        <w:tc>
          <w:tcPr>
            <w:tcW w:w="2709" w:type="pct"/>
            <w:tcBorders>
              <w:top w:val="nil"/>
              <w:bottom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A placebo-controlled study of efficacy and safety or aripiprazole once-monthly for long-term maintenance treatment in schizophrenia.</w:t>
            </w:r>
          </w:p>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European Psychiatry</w:t>
            </w:r>
            <w:r w:rsidRPr="00EE2D44">
              <w:rPr>
                <w:rFonts w:ascii="Arial Narrow" w:hAnsi="Arial Narrow" w:cs="Arial"/>
                <w:noProof/>
                <w:sz w:val="20"/>
                <w:szCs w:val="20"/>
              </w:rPr>
              <w:t xml:space="preserve"> 2013, 28(Suppl 1): 2277.</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Fleischhacker</w:t>
            </w:r>
          </w:p>
        </w:tc>
        <w:tc>
          <w:tcPr>
            <w:tcW w:w="2709" w:type="pct"/>
            <w:tcBorders>
              <w:top w:val="nil"/>
              <w:bottom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Long-term safety and tolerability of aripiprazole once-monthly in maintenance treatment of patients with schizophrenia. </w:t>
            </w:r>
          </w:p>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Int Clin Psychopharmacol</w:t>
            </w:r>
            <w:r w:rsidRPr="00EE2D44">
              <w:rPr>
                <w:rFonts w:ascii="Arial Narrow" w:hAnsi="Arial Narrow" w:cs="Arial"/>
                <w:noProof/>
                <w:sz w:val="20"/>
                <w:szCs w:val="20"/>
              </w:rPr>
              <w:t xml:space="preserve"> 2013,28(4):171-6.</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Loze</w:t>
            </w:r>
          </w:p>
        </w:tc>
        <w:tc>
          <w:tcPr>
            <w:tcW w:w="2709" w:type="pct"/>
            <w:tcBorders>
              <w:top w:val="nil"/>
              <w:bottom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Psychosocial and overall effectiveness of aripiprazole intramuscular depot vs. placebo for maintenance treatment in schizophrenia. </w:t>
            </w:r>
          </w:p>
          <w:p w:rsidR="00F604D6" w:rsidRPr="00EE2D44" w:rsidRDefault="00F604D6" w:rsidP="00B05D16">
            <w:pPr>
              <w:rPr>
                <w:rFonts w:ascii="Arial Narrow" w:hAnsi="Arial Narrow" w:cs="Arial"/>
                <w:noProof/>
                <w:sz w:val="20"/>
                <w:szCs w:val="20"/>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Psychotic disorders and antipyschotics</w:t>
            </w:r>
            <w:r w:rsidRPr="00EE2D44">
              <w:rPr>
                <w:rFonts w:ascii="Arial Narrow" w:hAnsi="Arial Narrow" w:cs="Arial"/>
                <w:noProof/>
                <w:sz w:val="20"/>
                <w:szCs w:val="20"/>
              </w:rPr>
              <w:t xml:space="preserve"> 2012: S328</w:t>
            </w:r>
          </w:p>
        </w:tc>
      </w:tr>
      <w:tr w:rsidR="00F604D6" w:rsidRPr="00EE2D44" w:rsidTr="00B0456C">
        <w:tc>
          <w:tcPr>
            <w:tcW w:w="848" w:type="pct"/>
            <w:tcBorders>
              <w:top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Sanchez</w:t>
            </w:r>
          </w:p>
        </w:tc>
        <w:tc>
          <w:tcPr>
            <w:tcW w:w="2709" w:type="pct"/>
            <w:tcBorders>
              <w:top w:val="nil"/>
            </w:tcBorders>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A placebo-controlled study of efficacy/safety of aripiprazole intramuscular depot for long-term maintenance treatment of schizophrenia.</w:t>
            </w:r>
          </w:p>
          <w:p w:rsidR="00F604D6" w:rsidRPr="00EE2D44" w:rsidRDefault="00F604D6" w:rsidP="00B05D16">
            <w:pPr>
              <w:rPr>
                <w:rFonts w:ascii="Arial Narrow" w:hAnsi="Arial Narrow" w:cs="Arial"/>
                <w:noProof/>
                <w:sz w:val="20"/>
                <w:szCs w:val="20"/>
              </w:rPr>
            </w:pPr>
          </w:p>
        </w:tc>
        <w:tc>
          <w:tcPr>
            <w:tcW w:w="1443" w:type="pct"/>
            <w:tcBorders>
              <w:top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Psychotic disorders and antipyschotics</w:t>
            </w:r>
            <w:r w:rsidRPr="00EE2D44">
              <w:rPr>
                <w:rFonts w:ascii="Arial Narrow" w:hAnsi="Arial Narrow" w:cs="Arial"/>
                <w:noProof/>
                <w:sz w:val="20"/>
                <w:szCs w:val="20"/>
              </w:rPr>
              <w:t xml:space="preserve"> 2012: S327.</w:t>
            </w:r>
          </w:p>
        </w:tc>
      </w:tr>
    </w:tbl>
    <w:p w:rsidR="00804141" w:rsidRDefault="00804141"/>
    <w:p w:rsidR="00027DA2" w:rsidRDefault="00027DA2"/>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published trials aripiprazole"/>
      </w:tblPr>
      <w:tblGrid>
        <w:gridCol w:w="1418"/>
        <w:gridCol w:w="4531"/>
        <w:gridCol w:w="2414"/>
      </w:tblGrid>
      <w:tr w:rsidR="00F604D6" w:rsidRPr="00EE2D44" w:rsidTr="00B0456C">
        <w:tc>
          <w:tcPr>
            <w:tcW w:w="5000" w:type="pct"/>
            <w:gridSpan w:val="3"/>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iCs/>
                <w:noProof/>
                <w:sz w:val="20"/>
                <w:szCs w:val="20"/>
              </w:rPr>
              <w:t>Paliperidone IM</w:t>
            </w:r>
          </w:p>
        </w:tc>
      </w:tr>
      <w:tr w:rsidR="00F604D6" w:rsidRPr="00EE2D44" w:rsidTr="00B0456C">
        <w:tc>
          <w:tcPr>
            <w:tcW w:w="848" w:type="pct"/>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Hough</w:t>
            </w:r>
          </w:p>
        </w:tc>
        <w:tc>
          <w:tcPr>
            <w:tcW w:w="2709" w:type="pct"/>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Paliperidone palmitate maintenance treatment in delaying the time-to-relapse in patients with schizophrenia: A randomised double-blind, placebo-controlled study. </w:t>
            </w:r>
          </w:p>
          <w:p w:rsidR="00F604D6" w:rsidRPr="00EE2D44" w:rsidRDefault="00F604D6" w:rsidP="00B05D16">
            <w:pPr>
              <w:rPr>
                <w:rFonts w:ascii="Arial Narrow" w:hAnsi="Arial Narrow" w:cs="Arial"/>
                <w:noProof/>
                <w:sz w:val="20"/>
                <w:szCs w:val="20"/>
              </w:rPr>
            </w:pPr>
          </w:p>
        </w:tc>
        <w:tc>
          <w:tcPr>
            <w:tcW w:w="1443" w:type="pct"/>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lang w:eastAsia="en-US"/>
              </w:rPr>
              <w:t>Schizophrenia research</w:t>
            </w:r>
            <w:r w:rsidRPr="00EE2D44">
              <w:rPr>
                <w:rFonts w:ascii="Arial Narrow" w:hAnsi="Arial Narrow" w:cs="Arial"/>
                <w:noProof/>
                <w:sz w:val="20"/>
                <w:szCs w:val="20"/>
                <w:lang w:eastAsia="en-US"/>
              </w:rPr>
              <w:t xml:space="preserve"> 2010, 116: 107-117.</w:t>
            </w:r>
          </w:p>
        </w:tc>
      </w:tr>
      <w:tr w:rsidR="00F604D6" w:rsidRPr="00EE2D44" w:rsidTr="00B0456C">
        <w:tc>
          <w:tcPr>
            <w:tcW w:w="5000" w:type="pct"/>
            <w:gridSpan w:val="3"/>
          </w:tcPr>
          <w:p w:rsidR="00F604D6" w:rsidRPr="00EE2D44" w:rsidRDefault="00F604D6" w:rsidP="00B05D16">
            <w:pPr>
              <w:widowControl w:val="0"/>
              <w:rPr>
                <w:rFonts w:ascii="Arial Narrow" w:hAnsi="Arial Narrow" w:cs="Arial"/>
                <w:noProof/>
                <w:sz w:val="20"/>
                <w:szCs w:val="20"/>
                <w:lang w:eastAsia="en-US"/>
              </w:rPr>
            </w:pPr>
            <w:r w:rsidRPr="00EE2D44">
              <w:rPr>
                <w:rFonts w:ascii="Arial Narrow" w:hAnsi="Arial Narrow" w:cs="Arial"/>
                <w:b/>
                <w:noProof/>
                <w:sz w:val="20"/>
                <w:szCs w:val="20"/>
              </w:rPr>
              <w:t>Indirect comparison of aripiprazole LAI and paliperidone LAI in acute setting using placebo common reference</w:t>
            </w:r>
          </w:p>
        </w:tc>
      </w:tr>
      <w:tr w:rsidR="00F604D6" w:rsidRPr="00EE2D44" w:rsidTr="00B0456C">
        <w:tc>
          <w:tcPr>
            <w:tcW w:w="848" w:type="pct"/>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lang w:eastAsia="en-US"/>
              </w:rPr>
              <w:t>Gopal</w:t>
            </w:r>
          </w:p>
        </w:tc>
        <w:tc>
          <w:tcPr>
            <w:tcW w:w="2709" w:type="pct"/>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Efficacy and safety of paliperidone palmitate in adult patients with acutely symptomatic schizophrenia: a randomized, double-blind, placebo-controlled, dose-response study. </w:t>
            </w:r>
          </w:p>
          <w:p w:rsidR="00F604D6" w:rsidRPr="00EE2D44" w:rsidRDefault="00F604D6" w:rsidP="00B05D16">
            <w:pPr>
              <w:rPr>
                <w:rFonts w:ascii="Arial Narrow" w:hAnsi="Arial Narrow" w:cs="Arial"/>
                <w:noProof/>
                <w:sz w:val="20"/>
                <w:szCs w:val="20"/>
                <w:lang w:eastAsia="en-US"/>
              </w:rPr>
            </w:pPr>
          </w:p>
        </w:tc>
        <w:tc>
          <w:tcPr>
            <w:tcW w:w="1443" w:type="pct"/>
          </w:tcPr>
          <w:p w:rsidR="00F604D6" w:rsidRPr="00EE2D44" w:rsidRDefault="00F604D6" w:rsidP="00B05D16">
            <w:pPr>
              <w:widowControl w:val="0"/>
              <w:rPr>
                <w:rFonts w:ascii="Arial Narrow" w:hAnsi="Arial Narrow" w:cs="Arial"/>
                <w:noProof/>
                <w:sz w:val="20"/>
                <w:szCs w:val="20"/>
                <w:lang w:eastAsia="en-US"/>
              </w:rPr>
            </w:pPr>
            <w:r w:rsidRPr="00EE2D44">
              <w:rPr>
                <w:rFonts w:ascii="Arial Narrow" w:hAnsi="Arial Narrow" w:cs="Arial"/>
                <w:i/>
                <w:noProof/>
                <w:sz w:val="20"/>
                <w:szCs w:val="20"/>
              </w:rPr>
              <w:t>Int Clin Psychopharmacol</w:t>
            </w:r>
            <w:r w:rsidRPr="00EE2D44">
              <w:rPr>
                <w:rFonts w:ascii="Arial Narrow" w:hAnsi="Arial Narrow" w:cs="Arial"/>
                <w:noProof/>
                <w:sz w:val="20"/>
                <w:szCs w:val="20"/>
              </w:rPr>
              <w:t xml:space="preserve"> 2010; 25:247-256.</w:t>
            </w:r>
          </w:p>
        </w:tc>
      </w:tr>
      <w:tr w:rsidR="00F604D6" w:rsidRPr="00EE2D44" w:rsidTr="00B0456C">
        <w:tc>
          <w:tcPr>
            <w:tcW w:w="848" w:type="pct"/>
          </w:tcPr>
          <w:p w:rsidR="00F604D6" w:rsidRPr="00EE2D44" w:rsidRDefault="00F604D6" w:rsidP="00B05D16">
            <w:pPr>
              <w:rPr>
                <w:rFonts w:ascii="Arial Narrow" w:hAnsi="Arial Narrow" w:cs="Arial"/>
                <w:noProof/>
                <w:sz w:val="20"/>
                <w:szCs w:val="20"/>
                <w:lang w:eastAsia="zh-CN"/>
              </w:rPr>
            </w:pPr>
            <w:r w:rsidRPr="00EE2D44">
              <w:rPr>
                <w:rFonts w:ascii="Arial Narrow" w:hAnsi="Arial Narrow" w:cs="Arial"/>
                <w:noProof/>
                <w:sz w:val="20"/>
                <w:szCs w:val="20"/>
              </w:rPr>
              <w:lastRenderedPageBreak/>
              <w:t>Kramer</w:t>
            </w:r>
          </w:p>
        </w:tc>
        <w:tc>
          <w:tcPr>
            <w:tcW w:w="2709" w:type="pct"/>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Paliperidone palmitate, a potential long-acting treatment for patients with schizophrenia. Results of a randomized, double-blind, placebo-controlled efficacy and safety study. </w:t>
            </w:r>
          </w:p>
          <w:p w:rsidR="00F604D6" w:rsidRPr="00EE2D44" w:rsidRDefault="00F604D6" w:rsidP="00B05D16">
            <w:pPr>
              <w:rPr>
                <w:rFonts w:ascii="Arial Narrow" w:hAnsi="Arial Narrow" w:cs="Arial"/>
                <w:noProof/>
                <w:sz w:val="20"/>
                <w:szCs w:val="20"/>
              </w:rPr>
            </w:pPr>
          </w:p>
        </w:tc>
        <w:tc>
          <w:tcPr>
            <w:tcW w:w="1443" w:type="pct"/>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i/>
                <w:noProof/>
                <w:sz w:val="20"/>
                <w:szCs w:val="20"/>
              </w:rPr>
              <w:t xml:space="preserve">Int J Neuropsychopharmacol </w:t>
            </w:r>
            <w:r w:rsidRPr="00EE2D44">
              <w:rPr>
                <w:rFonts w:ascii="Arial Narrow" w:hAnsi="Arial Narrow" w:cs="Arial"/>
                <w:noProof/>
                <w:sz w:val="20"/>
                <w:szCs w:val="20"/>
              </w:rPr>
              <w:t>2010; 13:635-47.</w:t>
            </w:r>
          </w:p>
        </w:tc>
      </w:tr>
      <w:tr w:rsidR="00F604D6" w:rsidRPr="00EE2D44" w:rsidTr="00B0456C">
        <w:tc>
          <w:tcPr>
            <w:tcW w:w="848" w:type="pct"/>
          </w:tcPr>
          <w:p w:rsidR="00F604D6" w:rsidRPr="00EE2D44" w:rsidRDefault="00F604D6" w:rsidP="00B05D16">
            <w:pPr>
              <w:rPr>
                <w:rFonts w:ascii="Arial Narrow" w:hAnsi="Arial Narrow" w:cs="Arial"/>
                <w:noProof/>
                <w:sz w:val="20"/>
                <w:szCs w:val="20"/>
                <w:lang w:eastAsia="zh-CN"/>
              </w:rPr>
            </w:pPr>
            <w:r w:rsidRPr="00EE2D44">
              <w:rPr>
                <w:rFonts w:ascii="Arial Narrow" w:hAnsi="Arial Narrow" w:cs="Arial"/>
                <w:noProof/>
                <w:sz w:val="20"/>
                <w:szCs w:val="20"/>
              </w:rPr>
              <w:t>Nasrallah</w:t>
            </w:r>
          </w:p>
        </w:tc>
        <w:tc>
          <w:tcPr>
            <w:tcW w:w="2709" w:type="pct"/>
          </w:tcPr>
          <w:p w:rsidR="00F604D6" w:rsidRPr="00EE2D44" w:rsidRDefault="00F604D6" w:rsidP="00B05D16">
            <w:pPr>
              <w:rPr>
                <w:rFonts w:ascii="Arial Narrow" w:eastAsia="Calibri" w:hAnsi="Arial Narrow" w:cs="Arial"/>
                <w:noProof/>
                <w:sz w:val="20"/>
                <w:szCs w:val="20"/>
                <w:lang w:eastAsia="en-US"/>
              </w:rPr>
            </w:pPr>
            <w:r w:rsidRPr="00EE2D44">
              <w:rPr>
                <w:rFonts w:ascii="Arial Narrow" w:eastAsia="Calibri" w:hAnsi="Arial Narrow" w:cs="Arial"/>
                <w:noProof/>
                <w:sz w:val="20"/>
                <w:szCs w:val="20"/>
                <w:lang w:eastAsia="en-US"/>
              </w:rPr>
              <w:t xml:space="preserve">A controlled, evidence-based trial of paliperidone palmitate, a long-acting injectable antipsychotic, in schizophrenia. </w:t>
            </w:r>
          </w:p>
          <w:p w:rsidR="00F604D6" w:rsidRPr="00EE2D44" w:rsidRDefault="00F604D6" w:rsidP="00B05D16">
            <w:pPr>
              <w:rPr>
                <w:rFonts w:ascii="Arial Narrow" w:hAnsi="Arial Narrow" w:cs="Arial"/>
                <w:noProof/>
                <w:sz w:val="20"/>
                <w:szCs w:val="20"/>
              </w:rPr>
            </w:pPr>
          </w:p>
        </w:tc>
        <w:tc>
          <w:tcPr>
            <w:tcW w:w="1443" w:type="pct"/>
          </w:tcPr>
          <w:p w:rsidR="00F604D6" w:rsidRPr="00EE2D44" w:rsidRDefault="00F604D6" w:rsidP="00B05D16">
            <w:pPr>
              <w:widowControl w:val="0"/>
              <w:rPr>
                <w:rFonts w:ascii="Arial Narrow" w:hAnsi="Arial Narrow" w:cs="Arial"/>
                <w:noProof/>
                <w:sz w:val="20"/>
                <w:szCs w:val="20"/>
              </w:rPr>
            </w:pPr>
            <w:r w:rsidRPr="00EE2D44">
              <w:rPr>
                <w:rFonts w:ascii="Arial Narrow" w:eastAsia="Calibri" w:hAnsi="Arial Narrow" w:cs="Arial"/>
                <w:i/>
                <w:noProof/>
                <w:sz w:val="20"/>
                <w:szCs w:val="20"/>
                <w:lang w:eastAsia="en-US"/>
              </w:rPr>
              <w:t xml:space="preserve">Neuropsychopharmacol </w:t>
            </w:r>
            <w:r w:rsidRPr="00EE2D44">
              <w:rPr>
                <w:rFonts w:ascii="Arial Narrow" w:eastAsia="Calibri" w:hAnsi="Arial Narrow" w:cs="Arial"/>
                <w:noProof/>
                <w:sz w:val="20"/>
                <w:szCs w:val="20"/>
                <w:lang w:eastAsia="en-US"/>
              </w:rPr>
              <w:t>2010; 35:2072-82.</w:t>
            </w:r>
          </w:p>
        </w:tc>
      </w:tr>
      <w:tr w:rsidR="00F604D6" w:rsidRPr="00EE2D44" w:rsidTr="00B0456C">
        <w:tc>
          <w:tcPr>
            <w:tcW w:w="848" w:type="pct"/>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rPr>
              <w:t>Pandina</w:t>
            </w:r>
          </w:p>
        </w:tc>
        <w:tc>
          <w:tcPr>
            <w:tcW w:w="2709" w:type="pct"/>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A randomized, placebo-controlled study to assess the efficacy and safety of 3 doses of paliperidone palmitate in adults with acutely exacerbated schizophrenia. </w:t>
            </w:r>
          </w:p>
          <w:p w:rsidR="00F604D6" w:rsidRPr="00EE2D44" w:rsidRDefault="00F604D6" w:rsidP="00B05D16">
            <w:pPr>
              <w:rPr>
                <w:rFonts w:ascii="Arial Narrow" w:hAnsi="Arial Narrow" w:cs="Arial"/>
                <w:noProof/>
                <w:sz w:val="20"/>
                <w:szCs w:val="20"/>
              </w:rPr>
            </w:pPr>
          </w:p>
        </w:tc>
        <w:tc>
          <w:tcPr>
            <w:tcW w:w="1443" w:type="pct"/>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i/>
                <w:noProof/>
                <w:sz w:val="20"/>
                <w:szCs w:val="20"/>
              </w:rPr>
              <w:t>J Clin Psychopharmacol</w:t>
            </w:r>
            <w:r w:rsidRPr="00EE2D44">
              <w:rPr>
                <w:rFonts w:ascii="Arial Narrow" w:hAnsi="Arial Narrow" w:cs="Arial"/>
                <w:noProof/>
                <w:sz w:val="20"/>
                <w:szCs w:val="20"/>
              </w:rPr>
              <w:t xml:space="preserve"> 2010; 30(3):235-244.</w:t>
            </w:r>
          </w:p>
        </w:tc>
      </w:tr>
      <w:tr w:rsidR="00F604D6" w:rsidRPr="00EE2D44" w:rsidTr="00B0456C">
        <w:tc>
          <w:tcPr>
            <w:tcW w:w="5000" w:type="pct"/>
            <w:gridSpan w:val="3"/>
            <w:tcBorders>
              <w:bottom w:val="single" w:sz="4" w:space="0" w:color="auto"/>
            </w:tcBorders>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b/>
                <w:noProof/>
                <w:sz w:val="20"/>
                <w:szCs w:val="20"/>
              </w:rPr>
              <w:t>Indirect comparison of aripiprazole LAI and risperidone LAI in acute setting using placebo common reference</w:t>
            </w:r>
          </w:p>
        </w:tc>
      </w:tr>
      <w:tr w:rsidR="00F604D6" w:rsidRPr="00EE2D44" w:rsidTr="00B0456C">
        <w:tc>
          <w:tcPr>
            <w:tcW w:w="848" w:type="pct"/>
            <w:tcBorders>
              <w:bottom w:val="nil"/>
            </w:tcBorders>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lang w:eastAsia="en-US"/>
              </w:rPr>
              <w:t>NCT00253136</w:t>
            </w:r>
          </w:p>
          <w:p w:rsidR="00F604D6" w:rsidRPr="00EE2D44" w:rsidRDefault="00F604D6" w:rsidP="00B05D16">
            <w:pPr>
              <w:rPr>
                <w:rFonts w:ascii="Arial Narrow" w:hAnsi="Arial Narrow" w:cs="Arial"/>
                <w:noProof/>
                <w:sz w:val="20"/>
                <w:szCs w:val="20"/>
                <w:lang w:eastAsia="en-US"/>
              </w:rPr>
            </w:pPr>
          </w:p>
        </w:tc>
        <w:tc>
          <w:tcPr>
            <w:tcW w:w="2709" w:type="pct"/>
            <w:tcBorders>
              <w:bottom w:val="nil"/>
            </w:tcBorders>
          </w:tcPr>
          <w:p w:rsidR="00F604D6" w:rsidRPr="00EE2D44" w:rsidRDefault="00F604D6" w:rsidP="00B05D16">
            <w:pPr>
              <w:spacing w:before="40" w:after="40"/>
              <w:rPr>
                <w:rFonts w:ascii="Arial Narrow" w:hAnsi="Arial Narrow" w:cs="Arial"/>
                <w:noProof/>
                <w:sz w:val="20"/>
                <w:szCs w:val="20"/>
                <w:lang w:eastAsia="zh-CN"/>
              </w:rPr>
            </w:pPr>
          </w:p>
        </w:tc>
        <w:tc>
          <w:tcPr>
            <w:tcW w:w="1443" w:type="pct"/>
            <w:tcBorders>
              <w:bottom w:val="nil"/>
            </w:tcBorders>
          </w:tcPr>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rPr>
              <w:t>Kane</w:t>
            </w:r>
          </w:p>
        </w:tc>
        <w:tc>
          <w:tcPr>
            <w:tcW w:w="2709"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Long-acting injectable risperidone: Efficacy and safety of the first long-acting atypical antipsychotic</w:t>
            </w:r>
            <w:r w:rsidRPr="00EE2D44">
              <w:rPr>
                <w:rFonts w:ascii="Arial Narrow" w:hAnsi="Arial Narrow" w:cs="Arial"/>
                <w:noProof/>
                <w:sz w:val="20"/>
                <w:szCs w:val="20"/>
                <w:lang w:eastAsia="zh-CN"/>
              </w:rPr>
              <w:t>.</w:t>
            </w:r>
            <w:r w:rsidRPr="00EE2D44">
              <w:rPr>
                <w:rFonts w:ascii="Arial Narrow" w:hAnsi="Arial Narrow" w:cs="Arial"/>
                <w:noProof/>
                <w:sz w:val="20"/>
                <w:szCs w:val="20"/>
              </w:rPr>
              <w:t xml:space="preserve"> </w:t>
            </w:r>
          </w:p>
          <w:p w:rsidR="00F604D6" w:rsidRPr="00EE2D44" w:rsidRDefault="00F604D6" w:rsidP="00B05D16">
            <w:pPr>
              <w:spacing w:before="40" w:after="40"/>
              <w:rPr>
                <w:rFonts w:ascii="Arial Narrow" w:hAnsi="Arial Narrow" w:cs="Arial"/>
                <w:noProof/>
                <w:sz w:val="20"/>
                <w:szCs w:val="20"/>
                <w:lang w:eastAsia="zh-CN"/>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American Journal of Psychiatry,</w:t>
            </w:r>
            <w:r w:rsidRPr="00EE2D44">
              <w:rPr>
                <w:rFonts w:ascii="Arial Narrow" w:hAnsi="Arial Narrow" w:cs="Arial"/>
                <w:noProof/>
                <w:sz w:val="20"/>
                <w:szCs w:val="20"/>
              </w:rPr>
              <w:t xml:space="preserve"> v. 160, no. 6, p. 1125-1132.</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rPr>
              <w:t>Kane</w:t>
            </w:r>
          </w:p>
        </w:tc>
        <w:tc>
          <w:tcPr>
            <w:tcW w:w="2709"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Long-acting injectable risperidone: Efficacy and safety</w:t>
            </w:r>
            <w:r w:rsidRPr="00EE2D44">
              <w:rPr>
                <w:rFonts w:ascii="Arial Narrow" w:hAnsi="Arial Narrow" w:cs="Arial"/>
                <w:noProof/>
                <w:sz w:val="20"/>
                <w:szCs w:val="20"/>
                <w:lang w:eastAsia="zh-CN"/>
              </w:rPr>
              <w:t>.</w:t>
            </w:r>
            <w:r w:rsidRPr="00EE2D44">
              <w:rPr>
                <w:rFonts w:ascii="Arial Narrow" w:hAnsi="Arial Narrow" w:cs="Arial"/>
                <w:noProof/>
                <w:sz w:val="20"/>
                <w:szCs w:val="20"/>
              </w:rPr>
              <w:t xml:space="preserve"> </w:t>
            </w:r>
          </w:p>
          <w:p w:rsidR="00F604D6" w:rsidRPr="00EE2D44" w:rsidRDefault="00F604D6" w:rsidP="00B05D16">
            <w:pPr>
              <w:spacing w:before="40" w:after="40"/>
              <w:rPr>
                <w:rFonts w:ascii="Arial Narrow" w:hAnsi="Arial Narrow" w:cs="Arial"/>
                <w:noProof/>
                <w:sz w:val="20"/>
                <w:szCs w:val="20"/>
                <w:lang w:eastAsia="zh-CN"/>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European Neuropsychopharmacology; 15th.International Congress.of the European College of Neuropsychopharmacology, Conference abstract October 5 9., Barcelona, Spain,</w:t>
            </w:r>
            <w:r w:rsidRPr="00EE2D44">
              <w:rPr>
                <w:rFonts w:ascii="Arial Narrow" w:hAnsi="Arial Narrow" w:cs="Arial"/>
                <w:noProof/>
                <w:sz w:val="20"/>
                <w:szCs w:val="20"/>
              </w:rPr>
              <w:t xml:space="preserve"> v. 12, p. S325. </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bottom w:val="nil"/>
            </w:tcBorders>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rPr>
              <w:t>Lauriello</w:t>
            </w:r>
          </w:p>
        </w:tc>
        <w:tc>
          <w:tcPr>
            <w:tcW w:w="2709" w:type="pct"/>
            <w:tcBorders>
              <w:top w:val="nil"/>
              <w:bottom w:val="nil"/>
            </w:tcBorders>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Long-acting risperidone vs. placebo in the treatment of hospital inpatients with schizophrenia</w:t>
            </w:r>
            <w:r w:rsidRPr="00EE2D44">
              <w:rPr>
                <w:rFonts w:ascii="Arial Narrow" w:hAnsi="Arial Narrow" w:cs="Arial"/>
                <w:noProof/>
                <w:sz w:val="20"/>
                <w:szCs w:val="20"/>
                <w:lang w:eastAsia="zh-CN"/>
              </w:rPr>
              <w:t>.</w:t>
            </w:r>
            <w:r w:rsidRPr="00EE2D44">
              <w:rPr>
                <w:rFonts w:ascii="Arial Narrow" w:hAnsi="Arial Narrow" w:cs="Arial"/>
                <w:noProof/>
                <w:sz w:val="20"/>
                <w:szCs w:val="20"/>
              </w:rPr>
              <w:t xml:space="preserve"> </w:t>
            </w:r>
          </w:p>
          <w:p w:rsidR="00F604D6" w:rsidRPr="00EE2D44" w:rsidRDefault="00F604D6" w:rsidP="00B05D16">
            <w:pPr>
              <w:spacing w:before="40" w:after="40"/>
              <w:rPr>
                <w:rFonts w:ascii="Arial Narrow" w:hAnsi="Arial Narrow" w:cs="Arial"/>
                <w:noProof/>
                <w:sz w:val="20"/>
                <w:szCs w:val="20"/>
                <w:lang w:eastAsia="zh-CN"/>
              </w:rPr>
            </w:pPr>
          </w:p>
        </w:tc>
        <w:tc>
          <w:tcPr>
            <w:tcW w:w="1443" w:type="pct"/>
            <w:tcBorders>
              <w:top w:val="nil"/>
              <w:bottom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Schizophrenia Research,</w:t>
            </w:r>
            <w:r w:rsidRPr="00EE2D44">
              <w:rPr>
                <w:rFonts w:ascii="Arial Narrow" w:hAnsi="Arial Narrow" w:cs="Arial"/>
                <w:noProof/>
                <w:sz w:val="20"/>
                <w:szCs w:val="20"/>
              </w:rPr>
              <w:t xml:space="preserve"> v. 72, no. 2-3, p. 249-258. </w:t>
            </w:r>
          </w:p>
          <w:p w:rsidR="00F604D6" w:rsidRPr="00EE2D44" w:rsidRDefault="00F604D6" w:rsidP="00B05D16">
            <w:pPr>
              <w:widowControl w:val="0"/>
              <w:rPr>
                <w:rFonts w:ascii="Arial Narrow" w:hAnsi="Arial Narrow" w:cs="Arial"/>
                <w:noProof/>
                <w:sz w:val="20"/>
                <w:szCs w:val="20"/>
                <w:lang w:eastAsia="zh-CN"/>
              </w:rPr>
            </w:pPr>
          </w:p>
        </w:tc>
      </w:tr>
      <w:tr w:rsidR="00F604D6" w:rsidRPr="00EE2D44" w:rsidTr="00B0456C">
        <w:tc>
          <w:tcPr>
            <w:tcW w:w="848" w:type="pct"/>
            <w:tcBorders>
              <w:top w:val="nil"/>
            </w:tcBorders>
          </w:tcPr>
          <w:p w:rsidR="00F604D6" w:rsidRPr="00EE2D44" w:rsidRDefault="00F604D6" w:rsidP="00B05D16">
            <w:pPr>
              <w:rPr>
                <w:rFonts w:ascii="Arial Narrow" w:hAnsi="Arial Narrow" w:cs="Arial"/>
                <w:noProof/>
                <w:sz w:val="20"/>
                <w:szCs w:val="20"/>
                <w:lang w:eastAsia="en-US"/>
              </w:rPr>
            </w:pPr>
            <w:r w:rsidRPr="00EE2D44">
              <w:rPr>
                <w:rFonts w:ascii="Arial Narrow" w:hAnsi="Arial Narrow" w:cs="Arial"/>
                <w:noProof/>
                <w:sz w:val="20"/>
                <w:szCs w:val="20"/>
              </w:rPr>
              <w:t>Nasrallah</w:t>
            </w:r>
          </w:p>
        </w:tc>
        <w:tc>
          <w:tcPr>
            <w:tcW w:w="2709" w:type="pct"/>
            <w:tcBorders>
              <w:top w:val="nil"/>
            </w:tcBorders>
          </w:tcPr>
          <w:p w:rsidR="00F604D6" w:rsidRPr="00EE2D44" w:rsidRDefault="00F604D6" w:rsidP="00B05D16">
            <w:pPr>
              <w:spacing w:before="40" w:after="40"/>
              <w:rPr>
                <w:rFonts w:ascii="Arial Narrow" w:hAnsi="Arial Narrow" w:cs="Arial"/>
                <w:noProof/>
                <w:sz w:val="20"/>
                <w:szCs w:val="20"/>
                <w:lang w:eastAsia="zh-CN"/>
              </w:rPr>
            </w:pPr>
            <w:r w:rsidRPr="00EE2D44">
              <w:rPr>
                <w:rFonts w:ascii="Arial Narrow" w:hAnsi="Arial Narrow" w:cs="Arial"/>
                <w:noProof/>
                <w:sz w:val="20"/>
                <w:szCs w:val="20"/>
              </w:rPr>
              <w:t>Health-related quality of life in patients with schizophrenia during treatment with long-acting, injectable risperidone</w:t>
            </w:r>
            <w:r w:rsidRPr="00EE2D44">
              <w:rPr>
                <w:rFonts w:ascii="Arial Narrow" w:hAnsi="Arial Narrow" w:cs="Arial"/>
                <w:noProof/>
                <w:sz w:val="20"/>
                <w:szCs w:val="20"/>
                <w:lang w:eastAsia="zh-CN"/>
              </w:rPr>
              <w:t>.</w:t>
            </w:r>
          </w:p>
        </w:tc>
        <w:tc>
          <w:tcPr>
            <w:tcW w:w="1443" w:type="pct"/>
            <w:tcBorders>
              <w:top w:val="nil"/>
            </w:tcBorders>
          </w:tcPr>
          <w:p w:rsidR="00F604D6" w:rsidRPr="00EE2D44" w:rsidRDefault="00F604D6" w:rsidP="00B05D16">
            <w:pPr>
              <w:widowControl w:val="0"/>
              <w:rPr>
                <w:rFonts w:ascii="Arial Narrow" w:hAnsi="Arial Narrow" w:cs="Arial"/>
                <w:noProof/>
                <w:sz w:val="20"/>
                <w:szCs w:val="20"/>
                <w:lang w:eastAsia="zh-CN"/>
              </w:rPr>
            </w:pPr>
            <w:r w:rsidRPr="00EE2D44">
              <w:rPr>
                <w:rFonts w:ascii="Arial Narrow" w:hAnsi="Arial Narrow" w:cs="Arial"/>
                <w:i/>
                <w:noProof/>
                <w:sz w:val="20"/>
                <w:szCs w:val="20"/>
              </w:rPr>
              <w:t>The Journal of clinical psychiatry,</w:t>
            </w:r>
            <w:r w:rsidRPr="00EE2D44">
              <w:rPr>
                <w:rFonts w:ascii="Arial Narrow" w:hAnsi="Arial Narrow" w:cs="Arial"/>
                <w:noProof/>
                <w:sz w:val="20"/>
                <w:szCs w:val="20"/>
              </w:rPr>
              <w:t xml:space="preserve"> v. 65, no. 4, p. 531-536.</w:t>
            </w:r>
          </w:p>
        </w:tc>
      </w:tr>
      <w:tr w:rsidR="00F604D6" w:rsidRPr="00EE2D44" w:rsidTr="00B0456C">
        <w:tc>
          <w:tcPr>
            <w:tcW w:w="5000" w:type="pct"/>
            <w:gridSpan w:val="3"/>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b/>
                <w:noProof/>
                <w:sz w:val="20"/>
                <w:szCs w:val="20"/>
              </w:rPr>
              <w:t>Comparison of aripiprazole tablets and risperidone LAI in maintenance setting using aripiprazole tablets common reference</w:t>
            </w:r>
          </w:p>
        </w:tc>
      </w:tr>
      <w:tr w:rsidR="00F604D6" w:rsidRPr="00EE2D44" w:rsidTr="00B0456C">
        <w:tc>
          <w:tcPr>
            <w:tcW w:w="848" w:type="pct"/>
          </w:tcPr>
          <w:p w:rsidR="00F604D6" w:rsidRPr="00EE2D44" w:rsidRDefault="00F604D6" w:rsidP="00B05D16">
            <w:pPr>
              <w:rPr>
                <w:rFonts w:ascii="Arial Narrow" w:hAnsi="Arial Narrow" w:cs="Arial"/>
                <w:noProof/>
                <w:sz w:val="20"/>
                <w:szCs w:val="20"/>
                <w:lang w:eastAsia="zh-CN"/>
              </w:rPr>
            </w:pPr>
            <w:r w:rsidRPr="00EE2D44">
              <w:rPr>
                <w:rFonts w:ascii="Arial Narrow" w:hAnsi="Arial Narrow" w:cs="Arial"/>
                <w:noProof/>
                <w:sz w:val="20"/>
                <w:szCs w:val="20"/>
              </w:rPr>
              <w:t>Macfadden</w:t>
            </w:r>
            <w:r w:rsidRPr="00EE2D44">
              <w:rPr>
                <w:rFonts w:ascii="Arial Narrow" w:hAnsi="Arial Narrow" w:cs="Arial"/>
                <w:noProof/>
                <w:sz w:val="20"/>
                <w:szCs w:val="20"/>
                <w:lang w:eastAsia="zh-CN"/>
              </w:rPr>
              <w:t xml:space="preserve"> </w:t>
            </w:r>
          </w:p>
        </w:tc>
        <w:tc>
          <w:tcPr>
            <w:tcW w:w="2709" w:type="pct"/>
          </w:tcPr>
          <w:p w:rsidR="00F604D6" w:rsidRPr="00EE2D44" w:rsidRDefault="00F604D6" w:rsidP="00B05D16">
            <w:pPr>
              <w:spacing w:before="40" w:after="40"/>
              <w:rPr>
                <w:rFonts w:ascii="Arial Narrow" w:hAnsi="Arial Narrow" w:cs="Arial"/>
                <w:noProof/>
                <w:sz w:val="20"/>
                <w:szCs w:val="20"/>
              </w:rPr>
            </w:pPr>
            <w:r w:rsidRPr="00EE2D44">
              <w:rPr>
                <w:rFonts w:ascii="Arial Narrow" w:hAnsi="Arial Narrow" w:cs="Arial"/>
                <w:noProof/>
                <w:sz w:val="20"/>
                <w:szCs w:val="20"/>
              </w:rPr>
              <w:t xml:space="preserve">A Prospective Study Comparing the Long-term Effectiveness of Injectable Risperidone Long-acting Therapy and Oral Aripiprazole in Patients with Schizophrenia. </w:t>
            </w:r>
          </w:p>
          <w:p w:rsidR="00F604D6" w:rsidRPr="00EE2D44" w:rsidRDefault="00F604D6" w:rsidP="00B05D16">
            <w:pPr>
              <w:rPr>
                <w:rFonts w:ascii="Arial Narrow" w:hAnsi="Arial Narrow" w:cs="Arial"/>
                <w:noProof/>
                <w:sz w:val="20"/>
                <w:szCs w:val="20"/>
              </w:rPr>
            </w:pPr>
          </w:p>
        </w:tc>
        <w:tc>
          <w:tcPr>
            <w:tcW w:w="1443" w:type="pct"/>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i/>
                <w:noProof/>
                <w:sz w:val="20"/>
                <w:szCs w:val="20"/>
              </w:rPr>
              <w:t>Psychiatry (Edgemont)</w:t>
            </w:r>
            <w:r w:rsidRPr="00EE2D44">
              <w:rPr>
                <w:rFonts w:ascii="Arial Narrow" w:hAnsi="Arial Narrow" w:cs="Arial"/>
                <w:noProof/>
                <w:sz w:val="20"/>
                <w:szCs w:val="20"/>
              </w:rPr>
              <w:t xml:space="preserve"> 2010;7(11):23–31.</w:t>
            </w:r>
          </w:p>
        </w:tc>
      </w:tr>
      <w:tr w:rsidR="00F604D6" w:rsidRPr="00EE2D44" w:rsidTr="00B0456C">
        <w:tc>
          <w:tcPr>
            <w:tcW w:w="848" w:type="pct"/>
          </w:tcPr>
          <w:p w:rsidR="00F604D6" w:rsidRPr="00EE2D44" w:rsidRDefault="00F604D6" w:rsidP="00B05D16">
            <w:pPr>
              <w:rPr>
                <w:rFonts w:ascii="Arial Narrow" w:hAnsi="Arial Narrow" w:cs="Arial"/>
                <w:noProof/>
                <w:sz w:val="20"/>
                <w:szCs w:val="20"/>
                <w:lang w:eastAsia="zh-CN"/>
              </w:rPr>
            </w:pPr>
            <w:r w:rsidRPr="00EE2D44">
              <w:rPr>
                <w:rFonts w:ascii="Arial Narrow" w:hAnsi="Arial Narrow" w:cs="Arial"/>
                <w:noProof/>
                <w:sz w:val="20"/>
                <w:szCs w:val="20"/>
              </w:rPr>
              <w:t>de Arce Cordón</w:t>
            </w:r>
          </w:p>
        </w:tc>
        <w:tc>
          <w:tcPr>
            <w:tcW w:w="2709" w:type="pct"/>
          </w:tcPr>
          <w:p w:rsidR="00F604D6" w:rsidRPr="00EE2D44" w:rsidRDefault="00F604D6" w:rsidP="00B05D16">
            <w:pPr>
              <w:rPr>
                <w:rFonts w:ascii="Arial Narrow" w:hAnsi="Arial Narrow" w:cs="Arial"/>
                <w:noProof/>
                <w:sz w:val="20"/>
                <w:szCs w:val="20"/>
              </w:rPr>
            </w:pPr>
            <w:r w:rsidRPr="00EE2D44">
              <w:rPr>
                <w:rFonts w:ascii="Arial Narrow" w:hAnsi="Arial Narrow" w:cs="Arial"/>
                <w:noProof/>
                <w:sz w:val="20"/>
                <w:szCs w:val="20"/>
              </w:rPr>
              <w:t xml:space="preserve">Descriptive analyses of the aripiprazole arm in the risperidone long-acting injectable versus quetiapine relapse prevention trial (ConstaTRE). </w:t>
            </w:r>
          </w:p>
          <w:p w:rsidR="00F604D6" w:rsidRPr="00EE2D44" w:rsidRDefault="00F604D6" w:rsidP="00B05D16">
            <w:pPr>
              <w:rPr>
                <w:rFonts w:ascii="Arial Narrow" w:hAnsi="Arial Narrow" w:cs="Arial"/>
                <w:noProof/>
                <w:sz w:val="20"/>
                <w:szCs w:val="20"/>
                <w:lang w:eastAsia="zh-CN"/>
              </w:rPr>
            </w:pPr>
          </w:p>
        </w:tc>
        <w:tc>
          <w:tcPr>
            <w:tcW w:w="1443" w:type="pct"/>
          </w:tcPr>
          <w:p w:rsidR="00F604D6" w:rsidRPr="00EE2D44" w:rsidRDefault="00F604D6" w:rsidP="00B05D16">
            <w:pPr>
              <w:widowControl w:val="0"/>
              <w:rPr>
                <w:rFonts w:ascii="Arial Narrow" w:hAnsi="Arial Narrow" w:cs="Arial"/>
                <w:noProof/>
                <w:sz w:val="20"/>
                <w:szCs w:val="20"/>
              </w:rPr>
            </w:pPr>
            <w:r w:rsidRPr="00EE2D44">
              <w:rPr>
                <w:rFonts w:ascii="Arial Narrow" w:hAnsi="Arial Narrow" w:cs="Arial"/>
                <w:i/>
                <w:noProof/>
                <w:sz w:val="20"/>
                <w:szCs w:val="20"/>
              </w:rPr>
              <w:t>Eur Arch Psychiatry Clin Neurosci.</w:t>
            </w:r>
            <w:r w:rsidRPr="00EE2D44">
              <w:rPr>
                <w:rFonts w:ascii="Arial Narrow" w:hAnsi="Arial Narrow" w:cs="Arial"/>
                <w:noProof/>
                <w:sz w:val="20"/>
                <w:szCs w:val="20"/>
              </w:rPr>
              <w:t xml:space="preserve"> 2012 Mar;262(2):139-49.</w:t>
            </w:r>
          </w:p>
        </w:tc>
      </w:tr>
    </w:tbl>
    <w:p w:rsidR="00B91513" w:rsidRPr="00EE2D44" w:rsidRDefault="00B91513" w:rsidP="00B91513">
      <w:pPr>
        <w:pStyle w:val="ListParagraph"/>
        <w:rPr>
          <w:rFonts w:ascii="Arial" w:hAnsi="Arial"/>
          <w:noProof/>
          <w:sz w:val="22"/>
          <w:szCs w:val="22"/>
        </w:rPr>
      </w:pPr>
    </w:p>
    <w:p w:rsidR="00A04EB6" w:rsidRPr="00EE2D44" w:rsidRDefault="00A04EB6" w:rsidP="00B91513">
      <w:pPr>
        <w:pStyle w:val="ListParagraph"/>
        <w:rPr>
          <w:rFonts w:ascii="Arial" w:hAnsi="Arial"/>
          <w:noProof/>
          <w:sz w:val="22"/>
          <w:szCs w:val="22"/>
        </w:rPr>
      </w:pPr>
    </w:p>
    <w:p w:rsidR="00B93EC7" w:rsidRPr="00EE2D44" w:rsidRDefault="00B93EC7" w:rsidP="008C2885">
      <w:pPr>
        <w:pStyle w:val="ListParagraph"/>
        <w:numPr>
          <w:ilvl w:val="1"/>
          <w:numId w:val="25"/>
        </w:numPr>
        <w:jc w:val="both"/>
        <w:rPr>
          <w:rFonts w:ascii="Arial" w:hAnsi="Arial"/>
          <w:noProof/>
          <w:sz w:val="22"/>
          <w:szCs w:val="22"/>
        </w:rPr>
      </w:pPr>
      <w:r w:rsidRPr="00EE2D44">
        <w:rPr>
          <w:rFonts w:ascii="Arial" w:hAnsi="Arial"/>
          <w:noProof/>
          <w:sz w:val="22"/>
          <w:szCs w:val="22"/>
        </w:rPr>
        <w:t>Key features of the in</w:t>
      </w:r>
      <w:r w:rsidR="00743434" w:rsidRPr="00EE2D44">
        <w:rPr>
          <w:rFonts w:ascii="Arial" w:hAnsi="Arial"/>
          <w:noProof/>
          <w:sz w:val="22"/>
          <w:szCs w:val="22"/>
        </w:rPr>
        <w:t xml:space="preserve">cluded evidence – indirect comparison of aripiprazole LAI and paliperidone LAI were shown in the table below. </w:t>
      </w:r>
    </w:p>
    <w:p w:rsidR="00743434" w:rsidRPr="00EE2D44" w:rsidRDefault="00743434" w:rsidP="00743434">
      <w:pPr>
        <w:jc w:val="both"/>
        <w:rPr>
          <w:rFonts w:ascii="Arial" w:hAnsi="Arial"/>
          <w:noProof/>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717"/>
        <w:gridCol w:w="890"/>
        <w:gridCol w:w="2504"/>
        <w:gridCol w:w="774"/>
        <w:gridCol w:w="2378"/>
        <w:gridCol w:w="1082"/>
      </w:tblGrid>
      <w:tr w:rsidR="00743434" w:rsidRPr="00EE2D44" w:rsidTr="00941F24">
        <w:trPr>
          <w:tblHeader/>
        </w:trPr>
        <w:tc>
          <w:tcPr>
            <w:tcW w:w="430" w:type="pct"/>
            <w:shd w:val="clear" w:color="auto" w:fill="auto"/>
            <w:vAlign w:val="center"/>
          </w:tcPr>
          <w:p w:rsidR="00743434" w:rsidRPr="00EE2D44" w:rsidRDefault="00743434" w:rsidP="00743434">
            <w:pPr>
              <w:widowControl w:val="0"/>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Trial</w:t>
            </w:r>
          </w:p>
        </w:tc>
        <w:tc>
          <w:tcPr>
            <w:tcW w:w="533" w:type="pct"/>
            <w:shd w:val="clear" w:color="auto" w:fill="auto"/>
            <w:vAlign w:val="center"/>
          </w:tcPr>
          <w:p w:rsidR="00743434" w:rsidRPr="00EE2D44" w:rsidRDefault="00743434" w:rsidP="00743434">
            <w:pPr>
              <w:widowControl w:val="0"/>
              <w:jc w:val="center"/>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N</w:t>
            </w:r>
          </w:p>
        </w:tc>
        <w:tc>
          <w:tcPr>
            <w:tcW w:w="1500" w:type="pct"/>
            <w:shd w:val="clear" w:color="auto" w:fill="auto"/>
            <w:vAlign w:val="center"/>
          </w:tcPr>
          <w:p w:rsidR="00743434" w:rsidRPr="00EE2D44" w:rsidRDefault="00743434" w:rsidP="00743434">
            <w:pPr>
              <w:widowControl w:val="0"/>
              <w:jc w:val="center"/>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Design/ duration</w:t>
            </w:r>
          </w:p>
        </w:tc>
        <w:tc>
          <w:tcPr>
            <w:tcW w:w="464" w:type="pct"/>
            <w:shd w:val="clear" w:color="auto" w:fill="auto"/>
            <w:vAlign w:val="center"/>
          </w:tcPr>
          <w:p w:rsidR="00743434" w:rsidRPr="00EE2D44" w:rsidRDefault="00743434" w:rsidP="00743434">
            <w:pPr>
              <w:widowControl w:val="0"/>
              <w:jc w:val="center"/>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Risk of bias</w:t>
            </w:r>
          </w:p>
        </w:tc>
        <w:tc>
          <w:tcPr>
            <w:tcW w:w="1425" w:type="pct"/>
            <w:shd w:val="clear" w:color="auto" w:fill="auto"/>
            <w:vAlign w:val="center"/>
          </w:tcPr>
          <w:p w:rsidR="00743434" w:rsidRPr="00EE2D44" w:rsidRDefault="00743434" w:rsidP="00743434">
            <w:pPr>
              <w:widowControl w:val="0"/>
              <w:jc w:val="center"/>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Patient population</w:t>
            </w:r>
          </w:p>
        </w:tc>
        <w:tc>
          <w:tcPr>
            <w:tcW w:w="648" w:type="pct"/>
            <w:shd w:val="clear" w:color="auto" w:fill="auto"/>
            <w:vAlign w:val="center"/>
          </w:tcPr>
          <w:p w:rsidR="00743434" w:rsidRPr="00EE2D44" w:rsidRDefault="00743434" w:rsidP="00743434">
            <w:pPr>
              <w:widowControl w:val="0"/>
              <w:jc w:val="center"/>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Outcomes</w:t>
            </w:r>
          </w:p>
        </w:tc>
      </w:tr>
      <w:tr w:rsidR="00743434" w:rsidRPr="00EE2D44" w:rsidTr="00941F24">
        <w:tc>
          <w:tcPr>
            <w:tcW w:w="5000" w:type="pct"/>
            <w:gridSpan w:val="6"/>
            <w:shd w:val="clear" w:color="auto" w:fill="auto"/>
            <w:vAlign w:val="center"/>
          </w:tcPr>
          <w:p w:rsidR="00743434" w:rsidRPr="00EE2D44" w:rsidRDefault="00743434" w:rsidP="00743434">
            <w:pPr>
              <w:widowControl w:val="0"/>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Aripiprazole LAI vs. placebo</w:t>
            </w:r>
          </w:p>
        </w:tc>
      </w:tr>
      <w:tr w:rsidR="00743434" w:rsidRPr="00EE2D44" w:rsidTr="00941F24">
        <w:tc>
          <w:tcPr>
            <w:tcW w:w="430" w:type="pct"/>
            <w:shd w:val="clear" w:color="auto" w:fill="auto"/>
            <w:vAlign w:val="center"/>
          </w:tcPr>
          <w:p w:rsidR="00743434" w:rsidRPr="00EE2D44" w:rsidRDefault="00743434" w:rsidP="00743434">
            <w:pPr>
              <w:widowControl w:val="0"/>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ASPIRE US</w:t>
            </w:r>
          </w:p>
        </w:tc>
        <w:tc>
          <w:tcPr>
            <w:tcW w:w="533"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ARI: 269</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PBO: 134</w:t>
            </w:r>
          </w:p>
        </w:tc>
        <w:tc>
          <w:tcPr>
            <w:tcW w:w="1500"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R, DB, MC</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Median treatment duration</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ARI: 113 days; PBO: 57 days</w:t>
            </w:r>
          </w:p>
        </w:tc>
        <w:tc>
          <w:tcPr>
            <w:tcW w:w="464"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Low</w:t>
            </w:r>
          </w:p>
        </w:tc>
        <w:tc>
          <w:tcPr>
            <w:tcW w:w="1425"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Patients with schizophrenia on stable dose of aripiprazole LAI</w:t>
            </w:r>
          </w:p>
        </w:tc>
        <w:tc>
          <w:tcPr>
            <w:tcW w:w="648"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Relapse, PANSS</w:t>
            </w:r>
          </w:p>
        </w:tc>
      </w:tr>
      <w:tr w:rsidR="00743434" w:rsidRPr="00EE2D44" w:rsidTr="00941F24">
        <w:tc>
          <w:tcPr>
            <w:tcW w:w="5000" w:type="pct"/>
            <w:gridSpan w:val="6"/>
            <w:shd w:val="clear" w:color="auto" w:fill="auto"/>
            <w:vAlign w:val="center"/>
          </w:tcPr>
          <w:p w:rsidR="00743434" w:rsidRPr="00EE2D44" w:rsidRDefault="00743434" w:rsidP="00743434">
            <w:pPr>
              <w:keepNext/>
              <w:widowControl w:val="0"/>
              <w:rPr>
                <w:rFonts w:ascii="Arial Narrow" w:hAnsi="Arial Narrow" w:cs="Arial"/>
                <w:b/>
                <w:noProof/>
                <w:snapToGrid w:val="0"/>
                <w:sz w:val="20"/>
                <w:szCs w:val="18"/>
                <w:lang w:eastAsia="en-US"/>
              </w:rPr>
            </w:pPr>
            <w:r w:rsidRPr="00EE2D44">
              <w:rPr>
                <w:rFonts w:ascii="Arial Narrow" w:hAnsi="Arial Narrow" w:cs="Arial"/>
                <w:b/>
                <w:noProof/>
                <w:snapToGrid w:val="0"/>
                <w:sz w:val="20"/>
                <w:szCs w:val="18"/>
                <w:lang w:eastAsia="en-US"/>
              </w:rPr>
              <w:t>Paliperidone LAI vs. placebo</w:t>
            </w:r>
          </w:p>
        </w:tc>
      </w:tr>
      <w:tr w:rsidR="00743434" w:rsidRPr="00EE2D44" w:rsidTr="00941F24">
        <w:trPr>
          <w:cantSplit/>
        </w:trPr>
        <w:tc>
          <w:tcPr>
            <w:tcW w:w="430" w:type="pct"/>
            <w:shd w:val="clear" w:color="auto" w:fill="auto"/>
            <w:vAlign w:val="center"/>
          </w:tcPr>
          <w:p w:rsidR="00743434" w:rsidRPr="00EE2D44" w:rsidRDefault="00743434" w:rsidP="00743434">
            <w:pPr>
              <w:widowControl w:val="0"/>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Hough 2010</w:t>
            </w:r>
          </w:p>
        </w:tc>
        <w:tc>
          <w:tcPr>
            <w:tcW w:w="533"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PP: 205</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PBO: 203</w:t>
            </w:r>
          </w:p>
        </w:tc>
        <w:tc>
          <w:tcPr>
            <w:tcW w:w="1500"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R, DB, MC</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Median treatment duration</w:t>
            </w:r>
          </w:p>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PP: 171 days; PBO: 105 days</w:t>
            </w:r>
          </w:p>
        </w:tc>
        <w:tc>
          <w:tcPr>
            <w:tcW w:w="464"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Low</w:t>
            </w:r>
          </w:p>
        </w:tc>
        <w:tc>
          <w:tcPr>
            <w:tcW w:w="1425"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Patients with schizophrenia on stable dose of paliperidone LAI</w:t>
            </w:r>
          </w:p>
        </w:tc>
        <w:tc>
          <w:tcPr>
            <w:tcW w:w="648" w:type="pct"/>
            <w:shd w:val="clear" w:color="auto" w:fill="auto"/>
            <w:vAlign w:val="center"/>
          </w:tcPr>
          <w:p w:rsidR="00743434" w:rsidRPr="00EE2D44" w:rsidRDefault="00743434" w:rsidP="00743434">
            <w:pPr>
              <w:widowControl w:val="0"/>
              <w:jc w:val="center"/>
              <w:rPr>
                <w:rFonts w:ascii="Arial Narrow" w:hAnsi="Arial Narrow" w:cs="Arial"/>
                <w:noProof/>
                <w:snapToGrid w:val="0"/>
                <w:sz w:val="20"/>
                <w:szCs w:val="18"/>
                <w:lang w:eastAsia="en-US"/>
              </w:rPr>
            </w:pPr>
            <w:r w:rsidRPr="00EE2D44">
              <w:rPr>
                <w:rFonts w:ascii="Arial Narrow" w:hAnsi="Arial Narrow" w:cs="Arial"/>
                <w:noProof/>
                <w:snapToGrid w:val="0"/>
                <w:sz w:val="20"/>
                <w:szCs w:val="18"/>
                <w:lang w:eastAsia="en-US"/>
              </w:rPr>
              <w:t>Relapse, PANSS</w:t>
            </w:r>
          </w:p>
        </w:tc>
      </w:tr>
    </w:tbl>
    <w:p w:rsidR="00743434" w:rsidRPr="00EE2D44" w:rsidRDefault="00743434" w:rsidP="00743434">
      <w:pPr>
        <w:pStyle w:val="TableFooter"/>
        <w:ind w:left="720"/>
        <w:rPr>
          <w:noProof/>
        </w:rPr>
      </w:pPr>
      <w:r w:rsidRPr="00EE2D44">
        <w:rPr>
          <w:noProof/>
        </w:rPr>
        <w:lastRenderedPageBreak/>
        <w:t>Abbreviations: ARI=aripiprazole; DB=double-blind; LAI=long acting injection; MC=multi-centre; PANSS=positive and negative syndrome scale; PBO=placebo; PP=paliperidone; R=randomised</w:t>
      </w:r>
      <w:r w:rsidR="00B05D16" w:rsidRPr="00EE2D44">
        <w:rPr>
          <w:noProof/>
        </w:rPr>
        <w:t>.</w:t>
      </w:r>
    </w:p>
    <w:p w:rsidR="00743434" w:rsidRPr="00EE2D44" w:rsidRDefault="00743434" w:rsidP="00743434">
      <w:pPr>
        <w:pStyle w:val="TableFooter"/>
        <w:rPr>
          <w:rFonts w:ascii="Arial" w:hAnsi="Arial"/>
          <w:noProof/>
          <w:sz w:val="22"/>
          <w:szCs w:val="22"/>
        </w:rPr>
      </w:pPr>
    </w:p>
    <w:p w:rsidR="006019BB" w:rsidRPr="00EE2D44" w:rsidRDefault="006019BB" w:rsidP="008C288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Hough 2010 trial was terminated early </w:t>
      </w:r>
      <w:r w:rsidR="00974C92" w:rsidRPr="00EE2D44">
        <w:rPr>
          <w:rFonts w:ascii="Arial" w:hAnsi="Arial"/>
          <w:noProof/>
          <w:sz w:val="22"/>
          <w:szCs w:val="22"/>
          <w:lang w:eastAsia="zh-CN"/>
        </w:rPr>
        <w:t>because of positive results of an</w:t>
      </w:r>
      <w:r w:rsidRPr="00EE2D44">
        <w:rPr>
          <w:rFonts w:ascii="Arial" w:hAnsi="Arial"/>
          <w:noProof/>
          <w:sz w:val="22"/>
          <w:szCs w:val="22"/>
        </w:rPr>
        <w:t xml:space="preserve"> interim analysis. Limited results for the interim analysis, which is the primary analysis, are available</w:t>
      </w:r>
      <w:r w:rsidRPr="00EE2D44">
        <w:rPr>
          <w:rFonts w:ascii="Arial" w:hAnsi="Arial"/>
          <w:i/>
          <w:noProof/>
          <w:sz w:val="22"/>
          <w:szCs w:val="22"/>
        </w:rPr>
        <w:t>.</w:t>
      </w:r>
    </w:p>
    <w:p w:rsidR="00743434" w:rsidRPr="00EE2D44" w:rsidRDefault="00743434" w:rsidP="00743434">
      <w:pPr>
        <w:pStyle w:val="TableFooter"/>
        <w:rPr>
          <w:rFonts w:ascii="Arial" w:hAnsi="Arial"/>
          <w:noProof/>
          <w:sz w:val="22"/>
          <w:szCs w:val="22"/>
        </w:rPr>
      </w:pPr>
    </w:p>
    <w:p w:rsidR="008C2885" w:rsidRPr="00EE2D44" w:rsidRDefault="006019BB"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inclusion and exclusion criteria, and the demographics and disease</w:t>
      </w:r>
      <w:r w:rsidR="00974C92" w:rsidRPr="00EE2D44">
        <w:rPr>
          <w:rFonts w:ascii="Arial" w:eastAsia="Times New Roman" w:hAnsi="Arial"/>
          <w:noProof/>
          <w:sz w:val="22"/>
        </w:rPr>
        <w:t xml:space="preserve"> </w:t>
      </w:r>
      <w:r w:rsidR="00974C92" w:rsidRPr="00EE2D44">
        <w:rPr>
          <w:rFonts w:ascii="Arial" w:hAnsi="Arial"/>
          <w:noProof/>
          <w:sz w:val="22"/>
          <w:szCs w:val="22"/>
        </w:rPr>
        <w:t xml:space="preserve">characteristics for subjects randomised in the ASPIRE US and Hough 2010 trials are broadly similar. The key differences between the trials are the treatment duration and definition of relapse. The dose of paliperidone LAI in Hough 2010 differs from that recommended in the PI and the average dose (83 mg) appears to be low compared to Australian clinical practice (103 mg). The relatively low dose may bias the comparison against paliperidone LAI. </w:t>
      </w:r>
    </w:p>
    <w:p w:rsidR="008C2885" w:rsidRPr="00EE2D44" w:rsidRDefault="008C2885" w:rsidP="008C2885">
      <w:pPr>
        <w:pStyle w:val="ListParagraph"/>
        <w:rPr>
          <w:rFonts w:ascii="Arial" w:hAnsi="Arial"/>
          <w:noProof/>
          <w:sz w:val="22"/>
          <w:szCs w:val="22"/>
        </w:rPr>
      </w:pPr>
    </w:p>
    <w:p w:rsidR="008C2885" w:rsidRPr="00EE2D44" w:rsidRDefault="00CE10CE"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proportion of relapsed patients differed in the placebo arms of the 2 trials, and the median time to relapse was longer in ASPIRE US. This may reflect different relapse definitions and/or other unidentified differences in the patient populations or trial designs.</w:t>
      </w:r>
      <w:r w:rsidRPr="00EE2D44">
        <w:rPr>
          <w:rFonts w:ascii="Arial" w:hAnsi="Arial"/>
          <w:noProof/>
          <w:color w:val="FF0000"/>
          <w:sz w:val="22"/>
          <w:szCs w:val="22"/>
        </w:rPr>
        <w:t xml:space="preserve"> </w:t>
      </w:r>
    </w:p>
    <w:p w:rsidR="00DF2723" w:rsidRPr="00EE2D44" w:rsidRDefault="00DF2723" w:rsidP="00DF2723">
      <w:pPr>
        <w:pStyle w:val="ListParagraph"/>
        <w:rPr>
          <w:rFonts w:ascii="Arial" w:hAnsi="Arial"/>
          <w:noProof/>
          <w:sz w:val="22"/>
          <w:szCs w:val="22"/>
        </w:rPr>
      </w:pPr>
    </w:p>
    <w:p w:rsidR="00DF2723" w:rsidRPr="00EE2D44" w:rsidRDefault="00FB1592" w:rsidP="00FB1592">
      <w:pPr>
        <w:pStyle w:val="ListParagraph"/>
        <w:numPr>
          <w:ilvl w:val="1"/>
          <w:numId w:val="25"/>
        </w:numPr>
        <w:jc w:val="both"/>
        <w:rPr>
          <w:rFonts w:ascii="Arial" w:hAnsi="Arial"/>
          <w:noProof/>
          <w:sz w:val="22"/>
          <w:szCs w:val="22"/>
        </w:rPr>
      </w:pPr>
      <w:r w:rsidRPr="00EE2D44">
        <w:rPr>
          <w:rFonts w:ascii="Arial" w:hAnsi="Arial"/>
          <w:noProof/>
          <w:sz w:val="22"/>
          <w:szCs w:val="22"/>
        </w:rPr>
        <w:t>The ESC noted the Pre-Sub-Committee Response (PSCR p1) argues that the impact of the different treatment durations across the trials may be mitigated by the follow-up for the placebo group in the ASPIRE US trial being relatively short and the calculated hazard ratios remaining constant for the duration of follow-up, although the longer follow-up observed in Hough confers a comparative ascertainment advantage on to the paliperidone LAI comparator arm of the subsequent indirect comparison</w:t>
      </w:r>
      <w:r w:rsidR="00FB71F7" w:rsidRPr="00EE2D44">
        <w:rPr>
          <w:rFonts w:ascii="Arial" w:hAnsi="Arial"/>
          <w:noProof/>
          <w:sz w:val="22"/>
          <w:szCs w:val="22"/>
        </w:rPr>
        <w:t>.</w:t>
      </w:r>
      <w:r w:rsidRPr="00EE2D44">
        <w:rPr>
          <w:rFonts w:ascii="Arial" w:hAnsi="Arial"/>
          <w:noProof/>
          <w:sz w:val="22"/>
          <w:szCs w:val="22"/>
        </w:rPr>
        <w:t xml:space="preserve">  The ESC also noted in the PSCR (p1) that expert opinion included in the submission that outcomes for the two trials are comparable even though the definitions of relapse differed slightly. </w:t>
      </w:r>
      <w:r w:rsidR="00FB71F7" w:rsidRPr="00EE2D44">
        <w:rPr>
          <w:rFonts w:ascii="Arial" w:hAnsi="Arial"/>
          <w:noProof/>
          <w:sz w:val="22"/>
          <w:szCs w:val="22"/>
        </w:rPr>
        <w:t xml:space="preserve"> </w:t>
      </w:r>
      <w:r w:rsidRPr="00EE2D44">
        <w:rPr>
          <w:rFonts w:ascii="Arial" w:hAnsi="Arial"/>
          <w:noProof/>
          <w:sz w:val="22"/>
          <w:szCs w:val="22"/>
        </w:rPr>
        <w:t xml:space="preserve">The ESC considered these arguments are reasonable and that there is reasonable similarity when comparing the common reference of placebo in this indirect comparison. </w:t>
      </w:r>
    </w:p>
    <w:p w:rsidR="008C2885" w:rsidRPr="00EE2D44" w:rsidRDefault="008C2885" w:rsidP="008C2885">
      <w:pPr>
        <w:pStyle w:val="ListParagraph"/>
        <w:rPr>
          <w:rFonts w:ascii="Arial" w:hAnsi="Arial"/>
          <w:noProof/>
          <w:sz w:val="22"/>
          <w:szCs w:val="22"/>
        </w:rPr>
      </w:pPr>
    </w:p>
    <w:p w:rsidR="00CE10CE" w:rsidRPr="00EE2D44" w:rsidRDefault="00227405" w:rsidP="008C288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Key features of the included evidence – direct comparison of aripiprazole LAI and aripiprazole tablets were shown in the table below. </w:t>
      </w:r>
    </w:p>
    <w:p w:rsidR="00B93EC7" w:rsidRPr="00EE2D44" w:rsidRDefault="00B93EC7" w:rsidP="00B93EC7">
      <w:pPr>
        <w:pStyle w:val="ListParagraph"/>
        <w:ind w:left="709"/>
        <w:jc w:val="both"/>
        <w:rPr>
          <w:rFonts w:ascii="Arial" w:hAnsi="Arial"/>
          <w:noProof/>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Key features of the included evidence"/>
      </w:tblPr>
      <w:tblGrid>
        <w:gridCol w:w="789"/>
        <w:gridCol w:w="1826"/>
        <w:gridCol w:w="1082"/>
        <w:gridCol w:w="1018"/>
        <w:gridCol w:w="2011"/>
        <w:gridCol w:w="1619"/>
      </w:tblGrid>
      <w:tr w:rsidR="00227405" w:rsidRPr="00EE2D44" w:rsidTr="00227405">
        <w:tc>
          <w:tcPr>
            <w:tcW w:w="473" w:type="pct"/>
            <w:shd w:val="clear" w:color="auto" w:fill="auto"/>
            <w:vAlign w:val="center"/>
          </w:tcPr>
          <w:p w:rsidR="00227405" w:rsidRPr="00EE2D44" w:rsidRDefault="00227405" w:rsidP="00227405">
            <w:pPr>
              <w:widowControl w:val="0"/>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Trial</w:t>
            </w:r>
          </w:p>
        </w:tc>
        <w:tc>
          <w:tcPr>
            <w:tcW w:w="1094" w:type="pct"/>
            <w:shd w:val="clear" w:color="auto" w:fill="auto"/>
            <w:vAlign w:val="center"/>
          </w:tcPr>
          <w:p w:rsidR="00227405" w:rsidRPr="00EE2D44" w:rsidRDefault="00227405" w:rsidP="00227405">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N</w:t>
            </w:r>
          </w:p>
        </w:tc>
        <w:tc>
          <w:tcPr>
            <w:tcW w:w="648" w:type="pct"/>
            <w:shd w:val="clear" w:color="auto" w:fill="auto"/>
            <w:vAlign w:val="center"/>
          </w:tcPr>
          <w:p w:rsidR="00227405" w:rsidRPr="00EE2D44" w:rsidRDefault="00227405" w:rsidP="00227405">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Design/ duration</w:t>
            </w:r>
          </w:p>
        </w:tc>
        <w:tc>
          <w:tcPr>
            <w:tcW w:w="610" w:type="pct"/>
            <w:shd w:val="clear" w:color="auto" w:fill="auto"/>
            <w:vAlign w:val="center"/>
          </w:tcPr>
          <w:p w:rsidR="00227405" w:rsidRPr="00EE2D44" w:rsidRDefault="00227405" w:rsidP="00227405">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Risk of bias</w:t>
            </w:r>
          </w:p>
        </w:tc>
        <w:tc>
          <w:tcPr>
            <w:tcW w:w="1205" w:type="pct"/>
            <w:shd w:val="clear" w:color="auto" w:fill="auto"/>
            <w:vAlign w:val="center"/>
          </w:tcPr>
          <w:p w:rsidR="00227405" w:rsidRPr="00EE2D44" w:rsidRDefault="00227405" w:rsidP="00227405">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Patient population</w:t>
            </w:r>
          </w:p>
        </w:tc>
        <w:tc>
          <w:tcPr>
            <w:tcW w:w="969" w:type="pct"/>
            <w:shd w:val="clear" w:color="auto" w:fill="auto"/>
            <w:vAlign w:val="center"/>
          </w:tcPr>
          <w:p w:rsidR="00227405" w:rsidRPr="00EE2D44" w:rsidRDefault="00227405" w:rsidP="00227405">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Outcomes</w:t>
            </w:r>
          </w:p>
        </w:tc>
      </w:tr>
      <w:tr w:rsidR="00227405" w:rsidRPr="00EE2D44" w:rsidTr="00227405">
        <w:tc>
          <w:tcPr>
            <w:tcW w:w="5000" w:type="pct"/>
            <w:gridSpan w:val="6"/>
            <w:shd w:val="clear" w:color="auto" w:fill="auto"/>
            <w:vAlign w:val="center"/>
          </w:tcPr>
          <w:p w:rsidR="00227405" w:rsidRPr="00EE2D44" w:rsidRDefault="00227405" w:rsidP="00227405">
            <w:pPr>
              <w:widowControl w:val="0"/>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Aripiprazole LAI vs. aripiprazole tablets</w:t>
            </w:r>
          </w:p>
        </w:tc>
      </w:tr>
      <w:tr w:rsidR="00227405" w:rsidRPr="00EE2D44" w:rsidTr="00227405">
        <w:tc>
          <w:tcPr>
            <w:tcW w:w="473" w:type="pct"/>
            <w:shd w:val="clear" w:color="auto" w:fill="auto"/>
            <w:vAlign w:val="center"/>
          </w:tcPr>
          <w:p w:rsidR="00227405" w:rsidRPr="00EE2D44" w:rsidRDefault="00227405" w:rsidP="00227405">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ASPIRE EU</w:t>
            </w:r>
          </w:p>
        </w:tc>
        <w:tc>
          <w:tcPr>
            <w:tcW w:w="1094" w:type="pct"/>
            <w:shd w:val="clear" w:color="auto" w:fill="auto"/>
            <w:vAlign w:val="center"/>
          </w:tcPr>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 LAI 400 mg: 265</w:t>
            </w:r>
          </w:p>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 tablets: 266</w:t>
            </w:r>
          </w:p>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 xml:space="preserve">ARI LAI 50 mg: 131 </w:t>
            </w:r>
          </w:p>
        </w:tc>
        <w:tc>
          <w:tcPr>
            <w:tcW w:w="648" w:type="pct"/>
            <w:shd w:val="clear" w:color="auto" w:fill="auto"/>
            <w:vAlign w:val="center"/>
          </w:tcPr>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R, DB, MC</w:t>
            </w:r>
          </w:p>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38 weeks</w:t>
            </w:r>
          </w:p>
        </w:tc>
        <w:tc>
          <w:tcPr>
            <w:tcW w:w="610" w:type="pct"/>
            <w:shd w:val="clear" w:color="auto" w:fill="auto"/>
            <w:vAlign w:val="center"/>
          </w:tcPr>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Low</w:t>
            </w:r>
          </w:p>
        </w:tc>
        <w:tc>
          <w:tcPr>
            <w:tcW w:w="1205" w:type="pct"/>
            <w:shd w:val="clear" w:color="auto" w:fill="auto"/>
            <w:vAlign w:val="center"/>
          </w:tcPr>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16"/>
                <w:lang w:eastAsia="en-US"/>
              </w:rPr>
              <w:t>Patients with schizophrenia on stable dose of aripiprazole tablets</w:t>
            </w:r>
          </w:p>
        </w:tc>
        <w:tc>
          <w:tcPr>
            <w:tcW w:w="969" w:type="pct"/>
            <w:shd w:val="clear" w:color="auto" w:fill="auto"/>
            <w:vAlign w:val="center"/>
          </w:tcPr>
          <w:p w:rsidR="00227405" w:rsidRPr="00EE2D44" w:rsidRDefault="00227405" w:rsidP="0022740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16"/>
                <w:lang w:eastAsia="en-US"/>
              </w:rPr>
              <w:t>Relapse, Response, Remission, PANSS</w:t>
            </w:r>
          </w:p>
        </w:tc>
      </w:tr>
    </w:tbl>
    <w:p w:rsidR="00227405" w:rsidRPr="00EE2D44" w:rsidRDefault="00227405" w:rsidP="00227405">
      <w:pPr>
        <w:pStyle w:val="ListParagraph"/>
        <w:ind w:left="709"/>
        <w:rPr>
          <w:rFonts w:ascii="Arial Narrow" w:hAnsi="Arial Narrow"/>
          <w:noProof/>
          <w:sz w:val="18"/>
          <w:szCs w:val="18"/>
        </w:rPr>
      </w:pPr>
      <w:r w:rsidRPr="00EE2D44">
        <w:rPr>
          <w:rFonts w:ascii="Arial Narrow" w:hAnsi="Arial Narrow"/>
          <w:noProof/>
          <w:sz w:val="18"/>
          <w:szCs w:val="18"/>
        </w:rPr>
        <w:t>Abbreviations: ARI=aripiprazole; DB=double-blind; LAI=long acting injection; MC=multi-centre; PANSS=positive and negative syndrome scale; PLB=placebo; R=randomised.</w:t>
      </w:r>
    </w:p>
    <w:p w:rsidR="008C2885" w:rsidRPr="00EE2D44" w:rsidRDefault="008C2885" w:rsidP="008C2885">
      <w:pPr>
        <w:rPr>
          <w:rFonts w:ascii="Arial" w:hAnsi="Arial"/>
          <w:noProof/>
          <w:sz w:val="22"/>
          <w:szCs w:val="22"/>
        </w:rPr>
      </w:pPr>
    </w:p>
    <w:p w:rsidR="008C2885" w:rsidRPr="00EE2D44" w:rsidRDefault="00227405" w:rsidP="008C288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primary endpoint and non-inferiority margin for the ASPIRE EU trial were changed mid-trial, but prior to unblinding, because of a lower than expected relapse rate. </w:t>
      </w:r>
    </w:p>
    <w:p w:rsidR="00DF2723" w:rsidRPr="00EE2D44" w:rsidRDefault="00DF2723" w:rsidP="00DF2723">
      <w:pPr>
        <w:pStyle w:val="ListParagraph"/>
        <w:jc w:val="both"/>
        <w:rPr>
          <w:rFonts w:ascii="Arial" w:hAnsi="Arial"/>
          <w:noProof/>
          <w:sz w:val="22"/>
          <w:szCs w:val="22"/>
        </w:rPr>
      </w:pPr>
    </w:p>
    <w:p w:rsidR="00BB7EC3" w:rsidRPr="00EE2D44" w:rsidRDefault="00D83F2B" w:rsidP="00136480">
      <w:pPr>
        <w:pStyle w:val="TableFooter"/>
        <w:rPr>
          <w:rFonts w:ascii="Arial" w:hAnsi="Arial"/>
          <w:i/>
          <w:noProof/>
          <w:sz w:val="22"/>
          <w:szCs w:val="22"/>
        </w:rPr>
      </w:pPr>
      <w:r w:rsidRPr="00EE2D44">
        <w:rPr>
          <w:rFonts w:ascii="Arial" w:hAnsi="Arial"/>
          <w:noProof/>
          <w:sz w:val="22"/>
          <w:szCs w:val="22"/>
        </w:rPr>
        <w:tab/>
      </w:r>
      <w:r w:rsidR="00BB7EC3" w:rsidRPr="00EE2D44">
        <w:rPr>
          <w:rFonts w:ascii="Arial" w:hAnsi="Arial"/>
          <w:i/>
          <w:noProof/>
          <w:sz w:val="22"/>
          <w:szCs w:val="22"/>
        </w:rPr>
        <w:t>For more detail on PBAC’s view, see section 7 “PBAC outcome”</w:t>
      </w:r>
    </w:p>
    <w:p w:rsidR="00BB7EC3" w:rsidRPr="00EE2D44" w:rsidRDefault="00BB7EC3" w:rsidP="00BB7EC3">
      <w:pPr>
        <w:ind w:left="709"/>
        <w:jc w:val="both"/>
        <w:rPr>
          <w:rFonts w:ascii="Arial" w:hAnsi="Arial"/>
          <w:noProof/>
          <w:sz w:val="22"/>
          <w:szCs w:val="22"/>
        </w:rPr>
      </w:pPr>
    </w:p>
    <w:p w:rsidR="005A3173" w:rsidRPr="00EE2D44" w:rsidRDefault="005A3173" w:rsidP="00882085">
      <w:pPr>
        <w:jc w:val="both"/>
        <w:rPr>
          <w:rFonts w:ascii="Arial" w:hAnsi="Arial"/>
          <w:b/>
          <w:i/>
          <w:noProof/>
          <w:sz w:val="22"/>
          <w:szCs w:val="22"/>
        </w:rPr>
      </w:pPr>
      <w:r w:rsidRPr="00EE2D44">
        <w:rPr>
          <w:rFonts w:ascii="Arial" w:hAnsi="Arial"/>
          <w:b/>
          <w:i/>
          <w:noProof/>
          <w:sz w:val="22"/>
          <w:szCs w:val="22"/>
        </w:rPr>
        <w:t>Comparative effectiveness</w:t>
      </w:r>
    </w:p>
    <w:p w:rsidR="005A3173" w:rsidRPr="00EE2D44" w:rsidRDefault="005A3173" w:rsidP="00882085">
      <w:pPr>
        <w:jc w:val="both"/>
        <w:rPr>
          <w:rFonts w:ascii="Arial" w:hAnsi="Arial"/>
          <w:noProof/>
          <w:sz w:val="22"/>
          <w:szCs w:val="22"/>
        </w:rPr>
      </w:pPr>
    </w:p>
    <w:p w:rsidR="000B558D" w:rsidRPr="00EE2D44" w:rsidRDefault="00AC21D2" w:rsidP="008C2885">
      <w:pPr>
        <w:pStyle w:val="ListParagraph"/>
        <w:numPr>
          <w:ilvl w:val="1"/>
          <w:numId w:val="25"/>
        </w:numPr>
        <w:jc w:val="both"/>
        <w:rPr>
          <w:rFonts w:ascii="Arial" w:hAnsi="Arial"/>
          <w:noProof/>
          <w:sz w:val="22"/>
          <w:szCs w:val="22"/>
        </w:rPr>
      </w:pPr>
      <w:r w:rsidRPr="00EE2D44">
        <w:rPr>
          <w:rFonts w:ascii="Arial" w:hAnsi="Arial"/>
          <w:noProof/>
          <w:sz w:val="22"/>
          <w:szCs w:val="22"/>
        </w:rPr>
        <w:t>Results of relapse and PANSS total scores across the randomised trials used in the indirect comparison</w:t>
      </w:r>
      <w:r w:rsidR="00DD7EE8" w:rsidRPr="00EE2D44">
        <w:rPr>
          <w:rFonts w:ascii="Arial" w:hAnsi="Arial"/>
          <w:noProof/>
          <w:sz w:val="22"/>
          <w:szCs w:val="22"/>
        </w:rPr>
        <w:t xml:space="preserve"> </w:t>
      </w:r>
      <w:r w:rsidR="00FD18B9" w:rsidRPr="00EE2D44">
        <w:rPr>
          <w:rFonts w:ascii="Arial" w:hAnsi="Arial"/>
          <w:noProof/>
          <w:sz w:val="22"/>
          <w:szCs w:val="22"/>
        </w:rPr>
        <w:t>are shown in the table below</w:t>
      </w:r>
      <w:r w:rsidR="00027DA2">
        <w:rPr>
          <w:rFonts w:ascii="Arial" w:hAnsi="Arial"/>
          <w:noProof/>
          <w:sz w:val="22"/>
          <w:szCs w:val="22"/>
        </w:rPr>
        <w:t>.</w:t>
      </w:r>
    </w:p>
    <w:p w:rsidR="004C1A3A" w:rsidRPr="00EE2D44" w:rsidRDefault="004C1A3A" w:rsidP="004C1A3A">
      <w:pPr>
        <w:pStyle w:val="ListParagraph"/>
        <w:ind w:left="709"/>
        <w:jc w:val="both"/>
        <w:rPr>
          <w:rFonts w:ascii="Arial" w:hAnsi="Arial"/>
          <w:noProof/>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Results of relapse and PANSS total scores"/>
      </w:tblPr>
      <w:tblGrid>
        <w:gridCol w:w="789"/>
        <w:gridCol w:w="1023"/>
        <w:gridCol w:w="1212"/>
        <w:gridCol w:w="1153"/>
        <w:gridCol w:w="920"/>
        <w:gridCol w:w="1257"/>
        <w:gridCol w:w="1041"/>
        <w:gridCol w:w="950"/>
      </w:tblGrid>
      <w:tr w:rsidR="004C1A3A" w:rsidRPr="00EE2D44" w:rsidTr="004C1A3A">
        <w:tc>
          <w:tcPr>
            <w:tcW w:w="473" w:type="pct"/>
            <w:vMerge w:val="restar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b/>
                <w:bCs/>
                <w:noProof/>
                <w:sz w:val="20"/>
                <w:szCs w:val="20"/>
                <w:lang w:eastAsia="en-US"/>
              </w:rPr>
            </w:pPr>
            <w:r w:rsidRPr="00EE2D44">
              <w:rPr>
                <w:rFonts w:ascii="Arial Narrow" w:hAnsi="Arial Narrow" w:cs="Arial"/>
                <w:b/>
                <w:bCs/>
                <w:noProof/>
                <w:sz w:val="20"/>
                <w:szCs w:val="20"/>
                <w:lang w:eastAsia="en-US"/>
              </w:rPr>
              <w:lastRenderedPageBreak/>
              <w:t>Trial ID</w:t>
            </w:r>
          </w:p>
        </w:tc>
        <w:tc>
          <w:tcPr>
            <w:tcW w:w="2029" w:type="pct"/>
            <w:gridSpan w:val="3"/>
            <w:tcBorders>
              <w:top w:val="single" w:sz="4" w:space="0" w:color="auto"/>
              <w:left w:val="nil"/>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ASPIRE US</w:t>
            </w:r>
          </w:p>
        </w:tc>
        <w:tc>
          <w:tcPr>
            <w:tcW w:w="1928" w:type="pct"/>
            <w:gridSpan w:val="3"/>
            <w:tcBorders>
              <w:top w:val="single" w:sz="4" w:space="0" w:color="auto"/>
              <w:left w:val="nil"/>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Hough 2010</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Indirect estimate of effect</w:t>
            </w:r>
            <w:r w:rsidRPr="00EE2D44">
              <w:rPr>
                <w:rFonts w:ascii="Arial Narrow" w:hAnsi="Arial Narrow" w:cs="Arial"/>
                <w:noProof/>
                <w:sz w:val="20"/>
                <w:szCs w:val="20"/>
                <w:vertAlign w:val="superscript"/>
                <w:lang w:eastAsia="en-US"/>
              </w:rPr>
              <w:t>c</w:t>
            </w:r>
          </w:p>
        </w:tc>
      </w:tr>
      <w:tr w:rsidR="004C1A3A" w:rsidRPr="00EE2D44" w:rsidTr="004C1A3A">
        <w:tc>
          <w:tcPr>
            <w:tcW w:w="473" w:type="pct"/>
            <w:vMerge/>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Treatment effect</w:t>
            </w:r>
            <w:r w:rsidRPr="00EE2D44">
              <w:rPr>
                <w:rFonts w:ascii="Arial Narrow" w:hAnsi="Arial Narrow" w:cs="Arial"/>
                <w:b/>
                <w:bCs/>
                <w:noProof/>
                <w:sz w:val="20"/>
                <w:szCs w:val="20"/>
                <w:vertAlign w:val="superscript"/>
                <w:lang w:eastAsia="en-US"/>
              </w:rPr>
              <w:t>a</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Aripiprazole LAI</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Placebo</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Placebo</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Paliperidone LAI</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Treatment effect</w:t>
            </w:r>
            <w:r w:rsidRPr="00EE2D44">
              <w:rPr>
                <w:rFonts w:ascii="Arial Narrow" w:hAnsi="Arial Narrow" w:cs="Arial"/>
                <w:b/>
                <w:bCs/>
                <w:noProof/>
                <w:sz w:val="20"/>
                <w:szCs w:val="20"/>
                <w:vertAlign w:val="superscript"/>
                <w:lang w:eastAsia="en-US"/>
              </w:rPr>
              <w:t>b</w:t>
            </w:r>
          </w:p>
        </w:tc>
        <w:tc>
          <w:tcPr>
            <w:tcW w:w="569" w:type="pct"/>
            <w:vMerge/>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p>
        </w:tc>
      </w:tr>
      <w:tr w:rsidR="00AC21D2" w:rsidRPr="00EE2D44" w:rsidTr="004C1A3A">
        <w:tc>
          <w:tcPr>
            <w:tcW w:w="2503"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AC21D2" w:rsidRPr="00EE2D44" w:rsidRDefault="00AC21D2" w:rsidP="00AC21D2">
            <w:pPr>
              <w:keepNext/>
              <w:rPr>
                <w:rFonts w:ascii="Arial Narrow" w:hAnsi="Arial Narrow" w:cs="Arial"/>
                <w:b/>
                <w:noProof/>
                <w:sz w:val="20"/>
                <w:szCs w:val="20"/>
                <w:lang w:eastAsia="en-US"/>
              </w:rPr>
            </w:pPr>
            <w:r w:rsidRPr="00EE2D44">
              <w:rPr>
                <w:rFonts w:ascii="Arial Narrow" w:hAnsi="Arial Narrow" w:cs="Arial"/>
                <w:b/>
                <w:noProof/>
                <w:sz w:val="20"/>
                <w:szCs w:val="20"/>
                <w:lang w:eastAsia="en-US"/>
              </w:rPr>
              <w:t>Time to relapse</w:t>
            </w:r>
          </w:p>
        </w:tc>
        <w:tc>
          <w:tcPr>
            <w:tcW w:w="2497" w:type="pct"/>
            <w:gridSpan w:val="4"/>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HR</w:t>
            </w:r>
            <w:r w:rsidRPr="00EE2D44">
              <w:rPr>
                <w:rFonts w:ascii="Arial Narrow" w:hAnsi="Arial Narrow" w:cs="Arial"/>
                <w:b/>
                <w:bCs/>
                <w:noProof/>
                <w:sz w:val="20"/>
                <w:szCs w:val="20"/>
                <w:lang w:eastAsia="en-US"/>
              </w:rPr>
              <w:br/>
              <w:t>(95% CI)</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median</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median</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median</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median</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HR</w:t>
            </w:r>
            <w:r w:rsidRPr="00EE2D44">
              <w:rPr>
                <w:rFonts w:ascii="Arial Narrow" w:hAnsi="Arial Narrow" w:cs="Arial"/>
                <w:b/>
                <w:bCs/>
                <w:noProof/>
                <w:sz w:val="20"/>
                <w:szCs w:val="20"/>
                <w:lang w:eastAsia="en-US"/>
              </w:rPr>
              <w:br/>
              <w:t>(95% CI)</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r w:rsidRPr="00EE2D44">
              <w:rPr>
                <w:rFonts w:ascii="Arial Narrow" w:hAnsi="Arial Narrow" w:cs="Arial"/>
                <w:b/>
                <w:noProof/>
                <w:sz w:val="20"/>
                <w:szCs w:val="20"/>
                <w:lang w:eastAsia="en-US"/>
              </w:rPr>
              <w:t>Indirect HR</w:t>
            </w:r>
            <w:r w:rsidRPr="00EE2D44">
              <w:rPr>
                <w:rFonts w:ascii="Arial Narrow" w:hAnsi="Arial Narrow" w:cs="Arial"/>
                <w:b/>
                <w:noProof/>
                <w:sz w:val="20"/>
                <w:szCs w:val="20"/>
                <w:lang w:eastAsia="en-US"/>
              </w:rPr>
              <w:br/>
              <w:t>(95% CI)</w:t>
            </w: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r w:rsidRPr="00EE2D44">
              <w:rPr>
                <w:rFonts w:ascii="Arial Narrow" w:hAnsi="Arial Narrow" w:cs="Arial"/>
                <w:noProof/>
                <w:sz w:val="20"/>
                <w:szCs w:val="20"/>
                <w:lang w:eastAsia="en-US"/>
              </w:rPr>
              <w:t>ASPIRE US,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0.199</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(0.125, 0.317)</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N=269</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Not reached</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N=134</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209 days</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w:t>
            </w: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rPr>
                <w:rFonts w:ascii="Arial Narrow" w:hAnsi="Arial Narrow" w:cs="Arial"/>
                <w:i/>
                <w:noProof/>
                <w:sz w:val="20"/>
                <w:szCs w:val="20"/>
                <w:lang w:eastAsia="en-US"/>
              </w:rPr>
            </w:pPr>
            <w:r w:rsidRPr="00EE2D44">
              <w:rPr>
                <w:rFonts w:ascii="Arial Narrow" w:hAnsi="Arial Narrow" w:cs="Arial"/>
                <w:noProof/>
                <w:sz w:val="20"/>
                <w:szCs w:val="20"/>
                <w:lang w:eastAsia="en-US"/>
              </w:rPr>
              <w:t>Hough 2010,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jc w:val="center"/>
              <w:rPr>
                <w:rFonts w:ascii="Arial Narrow" w:hAnsi="Arial Narrow" w:cs="Arial"/>
                <w:i/>
                <w:noProof/>
                <w:sz w:val="20"/>
                <w:szCs w:val="20"/>
                <w:lang w:eastAsia="en-US"/>
              </w:rPr>
            </w:pP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N=203</w:t>
            </w:r>
          </w:p>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172 days</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N=205</w:t>
            </w:r>
          </w:p>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Not reached</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0.278 </w:t>
            </w:r>
          </w:p>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(0.189, 0.408)</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0.716 (0.391, 1.309)</w:t>
            </w:r>
          </w:p>
        </w:tc>
      </w:tr>
      <w:tr w:rsidR="00AC21D2" w:rsidRPr="00EE2D44" w:rsidTr="004C1A3A">
        <w:tc>
          <w:tcPr>
            <w:tcW w:w="2503"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AC21D2" w:rsidRPr="00EE2D44" w:rsidRDefault="00AC21D2" w:rsidP="00AC21D2">
            <w:pPr>
              <w:keepNext/>
              <w:rPr>
                <w:rFonts w:ascii="Arial Narrow" w:hAnsi="Arial Narrow" w:cs="Arial"/>
                <w:b/>
                <w:noProof/>
                <w:sz w:val="20"/>
                <w:szCs w:val="20"/>
                <w:lang w:eastAsia="en-US"/>
              </w:rPr>
            </w:pPr>
            <w:r w:rsidRPr="00EE2D44">
              <w:rPr>
                <w:rFonts w:ascii="Arial Narrow" w:hAnsi="Arial Narrow" w:cs="Arial"/>
                <w:b/>
                <w:noProof/>
                <w:sz w:val="20"/>
                <w:szCs w:val="20"/>
                <w:lang w:eastAsia="en-US"/>
              </w:rPr>
              <w:t>Proportion of subjects experiencing relapse</w:t>
            </w:r>
          </w:p>
        </w:tc>
        <w:tc>
          <w:tcPr>
            <w:tcW w:w="2497" w:type="pct"/>
            <w:gridSpan w:val="4"/>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Tmt effect</w:t>
            </w:r>
            <w:r w:rsidRPr="00EE2D44">
              <w:rPr>
                <w:rFonts w:ascii="Arial Narrow" w:hAnsi="Arial Narrow" w:cs="Arial"/>
                <w:b/>
                <w:bCs/>
                <w:noProof/>
                <w:sz w:val="20"/>
                <w:szCs w:val="20"/>
                <w:vertAlign w:val="superscript"/>
                <w:lang w:eastAsia="en-US"/>
              </w:rPr>
              <w:t>a</w:t>
            </w:r>
            <w:r w:rsidRPr="00EE2D44">
              <w:rPr>
                <w:rFonts w:ascii="Arial Narrow" w:hAnsi="Arial Narrow" w:cs="Arial"/>
                <w:b/>
                <w:bCs/>
                <w:noProof/>
                <w:sz w:val="20"/>
                <w:szCs w:val="20"/>
                <w:lang w:eastAsia="en-US"/>
              </w:rPr>
              <w:br/>
              <w:t>(95% CI)</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with event/</w:t>
            </w: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with event/</w:t>
            </w: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with event/</w:t>
            </w: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with event/</w:t>
            </w:r>
            <w:r w:rsidRPr="00EE2D44">
              <w:rPr>
                <w:rFonts w:ascii="Arial Narrow" w:hAnsi="Arial Narrow" w:cs="Arial"/>
                <w:b/>
                <w:bCs/>
                <w:iCs/>
                <w:noProof/>
                <w:sz w:val="20"/>
                <w:szCs w:val="20"/>
                <w:lang w:eastAsia="en-US"/>
              </w:rPr>
              <w:t>N</w:t>
            </w:r>
            <w:r w:rsidRPr="00EE2D44">
              <w:rPr>
                <w:rFonts w:ascii="Arial Narrow" w:hAnsi="Arial Narrow" w:cs="Arial"/>
                <w:b/>
                <w:bCs/>
                <w:noProof/>
                <w:sz w:val="20"/>
                <w:szCs w:val="20"/>
                <w:lang w:eastAsia="en-US"/>
              </w:rPr>
              <w:t xml:space="preserve"> (%)</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Tmt effect</w:t>
            </w:r>
            <w:r w:rsidRPr="00EE2D44">
              <w:rPr>
                <w:rFonts w:ascii="Arial Narrow" w:hAnsi="Arial Narrow" w:cs="Arial"/>
                <w:b/>
                <w:bCs/>
                <w:noProof/>
                <w:sz w:val="20"/>
                <w:szCs w:val="20"/>
                <w:vertAlign w:val="superscript"/>
                <w:lang w:eastAsia="en-US"/>
              </w:rPr>
              <w:t>b</w:t>
            </w:r>
            <w:r w:rsidRPr="00EE2D44">
              <w:rPr>
                <w:rFonts w:ascii="Arial Narrow" w:hAnsi="Arial Narrow" w:cs="Arial"/>
                <w:b/>
                <w:bCs/>
                <w:noProof/>
                <w:sz w:val="20"/>
                <w:szCs w:val="20"/>
                <w:vertAlign w:val="superscript"/>
                <w:lang w:eastAsia="en-US"/>
              </w:rPr>
              <w:br/>
            </w:r>
            <w:r w:rsidRPr="00EE2D44">
              <w:rPr>
                <w:rFonts w:ascii="Arial Narrow" w:hAnsi="Arial Narrow" w:cs="Arial"/>
                <w:b/>
                <w:bCs/>
                <w:noProof/>
                <w:sz w:val="20"/>
                <w:szCs w:val="20"/>
                <w:lang w:eastAsia="en-US"/>
              </w:rPr>
              <w:t>(95% CI)</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r w:rsidRPr="00EE2D44">
              <w:rPr>
                <w:rFonts w:ascii="Arial Narrow" w:hAnsi="Arial Narrow" w:cs="Arial"/>
                <w:b/>
                <w:noProof/>
                <w:sz w:val="20"/>
                <w:szCs w:val="20"/>
                <w:lang w:eastAsia="en-US"/>
              </w:rPr>
              <w:t xml:space="preserve">Indirect </w:t>
            </w:r>
            <w:r w:rsidRPr="00EE2D44">
              <w:rPr>
                <w:rFonts w:ascii="Arial Narrow" w:hAnsi="Arial Narrow" w:cs="Arial"/>
                <w:b/>
                <w:bCs/>
                <w:noProof/>
                <w:sz w:val="20"/>
                <w:szCs w:val="20"/>
                <w:lang w:eastAsia="en-US"/>
              </w:rPr>
              <w:br/>
            </w:r>
            <w:r w:rsidRPr="00EE2D44">
              <w:rPr>
                <w:rFonts w:ascii="Arial Narrow" w:hAnsi="Arial Narrow" w:cs="Arial"/>
                <w:b/>
                <w:noProof/>
                <w:sz w:val="20"/>
                <w:szCs w:val="20"/>
                <w:lang w:eastAsia="en-US"/>
              </w:rPr>
              <w:t>(95% CI)</w:t>
            </w: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r w:rsidRPr="00EE2D44">
              <w:rPr>
                <w:rFonts w:ascii="Arial Narrow" w:hAnsi="Arial Narrow" w:cs="Arial"/>
                <w:noProof/>
                <w:sz w:val="20"/>
                <w:szCs w:val="20"/>
                <w:lang w:eastAsia="en-US"/>
              </w:rPr>
              <w:t>ASPIRE US,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RR: 0.25 (0.17, 0.38)</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RD: -0.30 </w:t>
            </w:r>
            <w:r w:rsidRPr="00EE2D44">
              <w:rPr>
                <w:rFonts w:ascii="Arial Narrow" w:hAnsi="Arial Narrow" w:cs="Arial"/>
                <w:noProof/>
                <w:sz w:val="20"/>
                <w:szCs w:val="20"/>
                <w:lang w:eastAsia="en-US"/>
              </w:rPr>
              <w:br/>
              <w:t>(-0.39, -0.20)</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27/269 (10.0)</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53/134 (39.6)</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rPr>
                <w:rFonts w:ascii="Arial Narrow" w:hAnsi="Arial Narrow" w:cs="Arial"/>
                <w:i/>
                <w:noProof/>
                <w:sz w:val="20"/>
                <w:szCs w:val="20"/>
                <w:lang w:eastAsia="en-US"/>
              </w:rPr>
            </w:pPr>
            <w:r w:rsidRPr="00EE2D44">
              <w:rPr>
                <w:rFonts w:ascii="Arial Narrow" w:hAnsi="Arial Narrow" w:cs="Arial"/>
                <w:noProof/>
                <w:sz w:val="20"/>
                <w:szCs w:val="20"/>
                <w:lang w:eastAsia="en-US"/>
              </w:rPr>
              <w:t>Hough 2010,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jc w:val="center"/>
              <w:rPr>
                <w:rFonts w:ascii="Arial Narrow" w:hAnsi="Arial Narrow" w:cs="Arial"/>
                <w:noProof/>
                <w:sz w:val="20"/>
                <w:szCs w:val="20"/>
                <w:lang w:eastAsia="en-US"/>
              </w:rPr>
            </w:pP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97/203 (47.8)</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36/205 (17.6)</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RR: 0.37 (0.26, 0.51)</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RD: -0.30 </w:t>
            </w:r>
            <w:r w:rsidRPr="00EE2D44">
              <w:rPr>
                <w:rFonts w:ascii="Arial Narrow" w:hAnsi="Arial Narrow" w:cs="Arial"/>
                <w:noProof/>
                <w:sz w:val="20"/>
                <w:szCs w:val="20"/>
                <w:lang w:eastAsia="en-US"/>
              </w:rPr>
              <w:br/>
              <w:t>(-0.39, -0.22)</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RR: 0.68 (0.40, 1.14)</w:t>
            </w:r>
          </w:p>
          <w:p w:rsidR="00AC21D2" w:rsidRPr="00EE2D44" w:rsidRDefault="00AC21D2" w:rsidP="00AC21D2">
            <w:pPr>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RD: 0.00 </w:t>
            </w:r>
            <w:r w:rsidRPr="00EE2D44">
              <w:rPr>
                <w:rFonts w:ascii="Arial Narrow" w:hAnsi="Arial Narrow" w:cs="Arial"/>
                <w:noProof/>
                <w:sz w:val="20"/>
                <w:szCs w:val="20"/>
                <w:lang w:eastAsia="en-US"/>
              </w:rPr>
              <w:br/>
              <w:t>(-0.13, 0.13)</w:t>
            </w:r>
          </w:p>
        </w:tc>
      </w:tr>
      <w:tr w:rsidR="00AC21D2" w:rsidRPr="00EE2D44" w:rsidTr="004C1A3A">
        <w:tc>
          <w:tcPr>
            <w:tcW w:w="2503" w:type="pct"/>
            <w:gridSpan w:val="4"/>
            <w:tcBorders>
              <w:top w:val="single" w:sz="4" w:space="0" w:color="auto"/>
              <w:left w:val="single" w:sz="4" w:space="0" w:color="auto"/>
              <w:bottom w:val="single" w:sz="4" w:space="0" w:color="auto"/>
              <w:right w:val="double" w:sz="4" w:space="0" w:color="auto"/>
            </w:tcBorders>
            <w:tcMar>
              <w:right w:w="28" w:type="dxa"/>
            </w:tcMar>
            <w:vAlign w:val="center"/>
          </w:tcPr>
          <w:p w:rsidR="00AC21D2" w:rsidRPr="00EE2D44" w:rsidRDefault="00AC21D2" w:rsidP="00AC21D2">
            <w:pPr>
              <w:keepNext/>
              <w:rPr>
                <w:rFonts w:ascii="Arial Narrow" w:hAnsi="Arial Narrow" w:cs="Arial"/>
                <w:b/>
                <w:noProof/>
                <w:sz w:val="20"/>
                <w:szCs w:val="20"/>
                <w:lang w:eastAsia="en-US"/>
              </w:rPr>
            </w:pPr>
            <w:r w:rsidRPr="00EE2D44">
              <w:rPr>
                <w:rFonts w:ascii="Arial Narrow" w:hAnsi="Arial Narrow" w:cs="Arial"/>
                <w:b/>
                <w:noProof/>
                <w:sz w:val="20"/>
                <w:szCs w:val="20"/>
                <w:lang w:eastAsia="en-US"/>
              </w:rPr>
              <w:t>Mean change in PANSS total score</w:t>
            </w:r>
          </w:p>
        </w:tc>
        <w:tc>
          <w:tcPr>
            <w:tcW w:w="2497" w:type="pct"/>
            <w:gridSpan w:val="4"/>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RD</w:t>
            </w:r>
            <w:r w:rsidRPr="00EE2D44">
              <w:rPr>
                <w:rFonts w:ascii="Arial Narrow" w:hAnsi="Arial Narrow" w:cs="Arial"/>
                <w:b/>
                <w:bCs/>
                <w:noProof/>
                <w:sz w:val="20"/>
                <w:szCs w:val="20"/>
                <w:lang w:eastAsia="en-US"/>
              </w:rPr>
              <w:br/>
              <w:t>(95% CI)</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Mean change from baseline (SD)</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Mean change from baseline (SD)</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Mean change from baseline (SD)</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iCs/>
                <w:noProof/>
                <w:sz w:val="20"/>
                <w:szCs w:val="20"/>
                <w:lang w:eastAsia="en-US"/>
              </w:rPr>
              <w:t>Mean change from baseline (SD)</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bCs/>
                <w:noProof/>
                <w:sz w:val="20"/>
                <w:szCs w:val="20"/>
                <w:lang w:eastAsia="en-US"/>
              </w:rPr>
            </w:pPr>
            <w:r w:rsidRPr="00EE2D44">
              <w:rPr>
                <w:rFonts w:ascii="Arial Narrow" w:hAnsi="Arial Narrow" w:cs="Arial"/>
                <w:b/>
                <w:bCs/>
                <w:noProof/>
                <w:sz w:val="20"/>
                <w:szCs w:val="20"/>
                <w:lang w:eastAsia="en-US"/>
              </w:rPr>
              <w:t>RD</w:t>
            </w:r>
            <w:r w:rsidRPr="00EE2D44">
              <w:rPr>
                <w:rFonts w:ascii="Arial Narrow" w:hAnsi="Arial Narrow" w:cs="Arial"/>
                <w:b/>
                <w:bCs/>
                <w:noProof/>
                <w:sz w:val="20"/>
                <w:szCs w:val="20"/>
                <w:lang w:eastAsia="en-US"/>
              </w:rPr>
              <w:br/>
              <w:t>(95% CI)</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b/>
                <w:noProof/>
                <w:sz w:val="20"/>
                <w:szCs w:val="20"/>
                <w:lang w:eastAsia="en-US"/>
              </w:rPr>
            </w:pPr>
            <w:r w:rsidRPr="00EE2D44">
              <w:rPr>
                <w:rFonts w:ascii="Arial Narrow" w:hAnsi="Arial Narrow" w:cs="Arial"/>
                <w:b/>
                <w:noProof/>
                <w:sz w:val="20"/>
                <w:szCs w:val="20"/>
                <w:lang w:eastAsia="en-US"/>
              </w:rPr>
              <w:t>Indirect RD</w:t>
            </w:r>
            <w:r w:rsidRPr="00EE2D44">
              <w:rPr>
                <w:rFonts w:ascii="Arial Narrow" w:hAnsi="Arial Narrow" w:cs="Arial"/>
                <w:b/>
                <w:noProof/>
                <w:sz w:val="20"/>
                <w:szCs w:val="20"/>
                <w:lang w:eastAsia="en-US"/>
              </w:rPr>
              <w:br/>
              <w:t>(95% CI)</w:t>
            </w: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noProof/>
                <w:sz w:val="20"/>
                <w:szCs w:val="20"/>
                <w:lang w:eastAsia="en-US"/>
              </w:rPr>
            </w:pPr>
            <w:r w:rsidRPr="00EE2D44">
              <w:rPr>
                <w:rFonts w:ascii="Arial Narrow" w:hAnsi="Arial Narrow" w:cs="Arial"/>
                <w:noProof/>
                <w:sz w:val="20"/>
                <w:szCs w:val="20"/>
                <w:lang w:eastAsia="en-US"/>
              </w:rPr>
              <w:t>ASPIRE US,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-10.11</w:t>
            </w:r>
            <w:r w:rsidRPr="00EE2D44">
              <w:rPr>
                <w:rFonts w:ascii="Arial Narrow" w:hAnsi="Arial Narrow" w:cs="Arial"/>
                <w:noProof/>
                <w:sz w:val="20"/>
                <w:szCs w:val="20"/>
                <w:lang w:eastAsia="en-US"/>
              </w:rPr>
              <w:br/>
              <w:t>(-12.68, -7.54)</w:t>
            </w: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N=266</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Baseline: 54.4</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1.43 (12.3)</w:t>
            </w: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N=134</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Baseline: 54.4 </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11.55 (12.3)</w:t>
            </w: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r>
      <w:tr w:rsidR="004C1A3A" w:rsidRPr="00EE2D44" w:rsidTr="004C1A3A">
        <w:tc>
          <w:tcPr>
            <w:tcW w:w="473" w:type="pct"/>
            <w:tcBorders>
              <w:top w:val="single" w:sz="4" w:space="0" w:color="auto"/>
              <w:left w:val="single" w:sz="4" w:space="0" w:color="auto"/>
              <w:bottom w:val="single" w:sz="4" w:space="0" w:color="auto"/>
              <w:right w:val="single" w:sz="4" w:space="0" w:color="auto"/>
            </w:tcBorders>
            <w:tcMar>
              <w:right w:w="28" w:type="dxa"/>
            </w:tcMar>
            <w:vAlign w:val="center"/>
          </w:tcPr>
          <w:p w:rsidR="00AC21D2" w:rsidRPr="00EE2D44" w:rsidRDefault="00AC21D2" w:rsidP="00AC21D2">
            <w:pPr>
              <w:keepNext/>
              <w:rPr>
                <w:rFonts w:ascii="Arial Narrow" w:hAnsi="Arial Narrow" w:cs="Arial"/>
                <w:i/>
                <w:noProof/>
                <w:sz w:val="20"/>
                <w:szCs w:val="20"/>
                <w:lang w:eastAsia="en-US"/>
              </w:rPr>
            </w:pPr>
            <w:r w:rsidRPr="00EE2D44">
              <w:rPr>
                <w:rFonts w:ascii="Arial Narrow" w:hAnsi="Arial Narrow" w:cs="Arial"/>
                <w:noProof/>
                <w:sz w:val="20"/>
                <w:szCs w:val="20"/>
                <w:lang w:eastAsia="en-US"/>
              </w:rPr>
              <w:t>Hough 2010, final analysis</w:t>
            </w:r>
          </w:p>
        </w:tc>
        <w:tc>
          <w:tcPr>
            <w:tcW w:w="61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726"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690" w:type="pct"/>
            <w:tcBorders>
              <w:top w:val="single" w:sz="4" w:space="0" w:color="auto"/>
              <w:left w:val="single" w:sz="4" w:space="0" w:color="auto"/>
              <w:bottom w:val="single" w:sz="4" w:space="0" w:color="auto"/>
              <w:right w:val="doub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p>
        </w:tc>
        <w:tc>
          <w:tcPr>
            <w:tcW w:w="551" w:type="pct"/>
            <w:tcBorders>
              <w:top w:val="single" w:sz="4" w:space="0" w:color="auto"/>
              <w:left w:val="doub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N=203</w:t>
            </w:r>
          </w:p>
          <w:p w:rsidR="00AC21D2" w:rsidRPr="00EE2D44" w:rsidRDefault="00AC21D2" w:rsidP="00AC21D2">
            <w:pPr>
              <w:keepNext/>
              <w:jc w:val="center"/>
              <w:rPr>
                <w:rFonts w:ascii="Arial Narrow" w:hAnsi="Arial Narrow" w:cs="Arial"/>
                <w:i/>
                <w:noProof/>
                <w:sz w:val="20"/>
                <w:szCs w:val="20"/>
                <w:lang w:eastAsia="en-US"/>
              </w:rPr>
            </w:pPr>
            <w:r w:rsidRPr="00EE2D44">
              <w:rPr>
                <w:rFonts w:ascii="Arial Narrow" w:hAnsi="Arial Narrow" w:cs="Arial"/>
                <w:noProof/>
                <w:sz w:val="20"/>
                <w:szCs w:val="20"/>
                <w:lang w:eastAsia="en-US"/>
              </w:rPr>
              <w:t>Baseline:</w:t>
            </w:r>
            <w:r w:rsidRPr="00EE2D44">
              <w:rPr>
                <w:rFonts w:ascii="Arial Narrow" w:hAnsi="Arial Narrow" w:cs="Arial"/>
                <w:i/>
                <w:noProof/>
                <w:sz w:val="20"/>
                <w:szCs w:val="20"/>
                <w:lang w:eastAsia="en-US"/>
              </w:rPr>
              <w:t xml:space="preserve"> </w:t>
            </w:r>
            <w:r w:rsidRPr="00EE2D44">
              <w:rPr>
                <w:rFonts w:ascii="Arial Narrow" w:hAnsi="Arial Narrow" w:cs="Arial"/>
                <w:noProof/>
                <w:sz w:val="20"/>
                <w:szCs w:val="20"/>
                <w:lang w:eastAsia="en-US"/>
              </w:rPr>
              <w:t>53.0</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11.1 (16.6)</w:t>
            </w:r>
          </w:p>
        </w:tc>
        <w:tc>
          <w:tcPr>
            <w:tcW w:w="753"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N=205</w:t>
            </w:r>
          </w:p>
          <w:p w:rsidR="00AC21D2" w:rsidRPr="00EE2D44" w:rsidRDefault="00AC21D2" w:rsidP="00AC21D2">
            <w:pPr>
              <w:keepNext/>
              <w:jc w:val="center"/>
              <w:rPr>
                <w:rFonts w:ascii="Arial Narrow" w:hAnsi="Arial Narrow" w:cs="Arial"/>
                <w:i/>
                <w:noProof/>
                <w:sz w:val="20"/>
                <w:szCs w:val="20"/>
                <w:lang w:eastAsia="en-US"/>
              </w:rPr>
            </w:pPr>
            <w:r w:rsidRPr="00EE2D44">
              <w:rPr>
                <w:rFonts w:ascii="Arial Narrow" w:hAnsi="Arial Narrow" w:cs="Arial"/>
                <w:noProof/>
                <w:sz w:val="20"/>
                <w:szCs w:val="20"/>
                <w:lang w:eastAsia="en-US"/>
              </w:rPr>
              <w:t>Baseline</w:t>
            </w:r>
            <w:r w:rsidRPr="00EE2D44">
              <w:rPr>
                <w:rFonts w:ascii="Arial Narrow" w:hAnsi="Arial Narrow" w:cs="Arial"/>
                <w:i/>
                <w:noProof/>
                <w:sz w:val="20"/>
                <w:szCs w:val="20"/>
                <w:lang w:eastAsia="en-US"/>
              </w:rPr>
              <w:t xml:space="preserve">: </w:t>
            </w:r>
            <w:r w:rsidRPr="00EE2D44">
              <w:rPr>
                <w:rFonts w:ascii="Arial Narrow" w:hAnsi="Arial Narrow" w:cs="Arial"/>
                <w:noProof/>
                <w:sz w:val="20"/>
                <w:szCs w:val="20"/>
                <w:lang w:eastAsia="en-US"/>
              </w:rPr>
              <w:t>52.0</w:t>
            </w:r>
          </w:p>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2.5 (12.2)</w:t>
            </w:r>
          </w:p>
        </w:tc>
        <w:tc>
          <w:tcPr>
            <w:tcW w:w="624"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-8.60 </w:t>
            </w:r>
            <w:r w:rsidRPr="00EE2D44">
              <w:rPr>
                <w:rFonts w:ascii="Arial Narrow" w:hAnsi="Arial Narrow" w:cs="Arial"/>
                <w:noProof/>
                <w:sz w:val="20"/>
                <w:szCs w:val="20"/>
                <w:lang w:eastAsia="en-US"/>
              </w:rPr>
              <w:br/>
              <w:t>(-11.43, -5.77)</w:t>
            </w:r>
          </w:p>
        </w:tc>
        <w:tc>
          <w:tcPr>
            <w:tcW w:w="569" w:type="pct"/>
            <w:tcBorders>
              <w:top w:val="single" w:sz="4" w:space="0" w:color="auto"/>
              <w:left w:val="single" w:sz="4" w:space="0" w:color="auto"/>
              <w:bottom w:val="single" w:sz="4" w:space="0" w:color="auto"/>
              <w:right w:val="single" w:sz="4" w:space="0" w:color="auto"/>
            </w:tcBorders>
            <w:vAlign w:val="center"/>
          </w:tcPr>
          <w:p w:rsidR="00AC21D2" w:rsidRPr="00EE2D44" w:rsidRDefault="00AC21D2" w:rsidP="00AC21D2">
            <w:pPr>
              <w:keepNext/>
              <w:jc w:val="center"/>
              <w:rPr>
                <w:rFonts w:ascii="Arial Narrow" w:hAnsi="Arial Narrow" w:cs="Arial"/>
                <w:noProof/>
                <w:sz w:val="20"/>
                <w:szCs w:val="20"/>
                <w:lang w:eastAsia="en-US"/>
              </w:rPr>
            </w:pPr>
            <w:r w:rsidRPr="00EE2D44">
              <w:rPr>
                <w:rFonts w:ascii="Arial Narrow" w:hAnsi="Arial Narrow" w:cs="Arial"/>
                <w:noProof/>
                <w:sz w:val="20"/>
                <w:szCs w:val="20"/>
                <w:lang w:eastAsia="en-US"/>
              </w:rPr>
              <w:t xml:space="preserve">-1.51 </w:t>
            </w:r>
            <w:r w:rsidRPr="00EE2D44">
              <w:rPr>
                <w:rFonts w:ascii="Arial Narrow" w:hAnsi="Arial Narrow" w:cs="Arial"/>
                <w:noProof/>
                <w:sz w:val="20"/>
                <w:szCs w:val="20"/>
                <w:lang w:eastAsia="en-US"/>
              </w:rPr>
              <w:br/>
              <w:t>(-5.33, 2.31)</w:t>
            </w:r>
          </w:p>
        </w:tc>
      </w:tr>
    </w:tbl>
    <w:p w:rsidR="004C1A3A" w:rsidRPr="00EE2D44" w:rsidRDefault="004C1A3A" w:rsidP="004C1A3A">
      <w:pPr>
        <w:ind w:left="709"/>
        <w:jc w:val="both"/>
        <w:rPr>
          <w:rFonts w:ascii="Arial Narrow" w:hAnsi="Arial Narrow"/>
          <w:noProof/>
          <w:sz w:val="18"/>
          <w:szCs w:val="18"/>
        </w:rPr>
      </w:pPr>
      <w:r w:rsidRPr="00EE2D44">
        <w:rPr>
          <w:rFonts w:ascii="Arial Narrow" w:hAnsi="Arial Narrow"/>
          <w:b/>
          <w:bCs/>
          <w:noProof/>
          <w:sz w:val="18"/>
          <w:szCs w:val="18"/>
        </w:rPr>
        <w:t>a</w:t>
      </w:r>
      <w:r w:rsidRPr="00EE2D44">
        <w:rPr>
          <w:rFonts w:ascii="Arial Narrow" w:hAnsi="Arial Narrow"/>
          <w:noProof/>
          <w:sz w:val="18"/>
          <w:szCs w:val="18"/>
        </w:rPr>
        <w:t xml:space="preserve"> proposed drug over common reference; </w:t>
      </w:r>
      <w:r w:rsidRPr="00EE2D44">
        <w:rPr>
          <w:rFonts w:ascii="Arial Narrow" w:hAnsi="Arial Narrow"/>
          <w:b/>
          <w:bCs/>
          <w:noProof/>
          <w:sz w:val="18"/>
          <w:szCs w:val="18"/>
        </w:rPr>
        <w:t>b</w:t>
      </w:r>
      <w:r w:rsidRPr="00EE2D44">
        <w:rPr>
          <w:rFonts w:ascii="Arial Narrow" w:hAnsi="Arial Narrow"/>
          <w:noProof/>
          <w:sz w:val="18"/>
          <w:szCs w:val="18"/>
        </w:rPr>
        <w:t xml:space="preserve"> main comparator over common reference; </w:t>
      </w:r>
      <w:r w:rsidRPr="00EE2D44">
        <w:rPr>
          <w:rFonts w:ascii="Arial Narrow" w:hAnsi="Arial Narrow"/>
          <w:b/>
          <w:bCs/>
          <w:noProof/>
          <w:sz w:val="18"/>
          <w:szCs w:val="18"/>
        </w:rPr>
        <w:t>c</w:t>
      </w:r>
      <w:r w:rsidRPr="00EE2D44">
        <w:rPr>
          <w:rFonts w:ascii="Arial Narrow" w:hAnsi="Arial Narrow"/>
          <w:noProof/>
          <w:sz w:val="18"/>
          <w:szCs w:val="18"/>
        </w:rPr>
        <w:t xml:space="preserve"> inferred as proposed drug over main comparator</w:t>
      </w:r>
      <w:r w:rsidR="00804141">
        <w:rPr>
          <w:rFonts w:ascii="Arial Narrow" w:hAnsi="Arial Narrow"/>
          <w:noProof/>
          <w:sz w:val="18"/>
          <w:szCs w:val="18"/>
        </w:rPr>
        <w:t>.</w:t>
      </w:r>
    </w:p>
    <w:p w:rsidR="004C1A3A" w:rsidRPr="00EE2D44" w:rsidRDefault="004C1A3A" w:rsidP="004C1A3A">
      <w:pPr>
        <w:ind w:left="709"/>
        <w:jc w:val="both"/>
        <w:rPr>
          <w:rFonts w:ascii="Arial Narrow" w:hAnsi="Arial Narrow"/>
          <w:noProof/>
          <w:sz w:val="18"/>
          <w:szCs w:val="18"/>
        </w:rPr>
      </w:pPr>
      <w:r w:rsidRPr="00EE2D44">
        <w:rPr>
          <w:rFonts w:ascii="Arial Narrow" w:hAnsi="Arial Narrow"/>
          <w:noProof/>
          <w:sz w:val="18"/>
          <w:szCs w:val="18"/>
        </w:rPr>
        <w:t>Abbreviations: CI=confidence interval;</w:t>
      </w:r>
      <w:r w:rsidRPr="00EE2D44">
        <w:rPr>
          <w:rFonts w:ascii="Arial Narrow" w:hAnsi="Arial Narrow"/>
          <w:i/>
          <w:iCs/>
          <w:noProof/>
          <w:sz w:val="18"/>
          <w:szCs w:val="18"/>
        </w:rPr>
        <w:t xml:space="preserve"> </w:t>
      </w:r>
      <w:r w:rsidRPr="00EE2D44">
        <w:rPr>
          <w:rFonts w:ascii="Arial Narrow" w:hAnsi="Arial Narrow"/>
          <w:iCs/>
          <w:noProof/>
          <w:sz w:val="18"/>
          <w:szCs w:val="18"/>
        </w:rPr>
        <w:t xml:space="preserve">HR=hazard ratio; </w:t>
      </w:r>
      <w:r w:rsidRPr="00EE2D44">
        <w:rPr>
          <w:rFonts w:ascii="Arial Narrow" w:hAnsi="Arial Narrow"/>
          <w:i/>
          <w:iCs/>
          <w:noProof/>
          <w:sz w:val="18"/>
          <w:szCs w:val="18"/>
        </w:rPr>
        <w:t>n</w:t>
      </w:r>
      <w:r w:rsidRPr="00EE2D44">
        <w:rPr>
          <w:rFonts w:ascii="Arial Narrow" w:hAnsi="Arial Narrow"/>
          <w:noProof/>
          <w:sz w:val="18"/>
          <w:szCs w:val="18"/>
        </w:rPr>
        <w:t>=number with event;</w:t>
      </w:r>
      <w:r w:rsidRPr="00EE2D44">
        <w:rPr>
          <w:rFonts w:ascii="Arial Narrow" w:hAnsi="Arial Narrow"/>
          <w:i/>
          <w:iCs/>
          <w:noProof/>
          <w:sz w:val="18"/>
          <w:szCs w:val="18"/>
        </w:rPr>
        <w:t xml:space="preserve"> N</w:t>
      </w:r>
      <w:r w:rsidRPr="00EE2D44">
        <w:rPr>
          <w:rFonts w:ascii="Arial Narrow" w:hAnsi="Arial Narrow"/>
          <w:noProof/>
          <w:sz w:val="18"/>
          <w:szCs w:val="18"/>
        </w:rPr>
        <w:t>=number in group; OR=odds ratio; RD=risk difference; RR=relative risk; SD=standard deviation</w:t>
      </w:r>
    </w:p>
    <w:p w:rsidR="004C1A3A" w:rsidRPr="00EE2D44" w:rsidRDefault="004C1A3A" w:rsidP="004C1A3A">
      <w:pPr>
        <w:ind w:left="709"/>
        <w:jc w:val="both"/>
        <w:rPr>
          <w:rFonts w:ascii="Arial Narrow" w:hAnsi="Arial Narrow"/>
          <w:i/>
          <w:noProof/>
          <w:sz w:val="18"/>
          <w:szCs w:val="18"/>
        </w:rPr>
      </w:pPr>
      <w:r w:rsidRPr="00EE2D44">
        <w:rPr>
          <w:rFonts w:ascii="Arial Narrow" w:hAnsi="Arial Narrow"/>
          <w:noProof/>
          <w:sz w:val="18"/>
          <w:szCs w:val="18"/>
        </w:rPr>
        <w:t xml:space="preserve">Source: Table 62, p173, Table 63, p176, Table 64, p181 of the submission, Table 9.3-1, p214 of trial report, Table 1 of 004198 Trial Synopsis; </w:t>
      </w:r>
    </w:p>
    <w:p w:rsidR="00DF26A7" w:rsidRPr="00EE2D44" w:rsidRDefault="00DF26A7" w:rsidP="004C1A3A">
      <w:pPr>
        <w:jc w:val="both"/>
        <w:rPr>
          <w:rFonts w:ascii="Arial" w:hAnsi="Arial"/>
          <w:noProof/>
          <w:sz w:val="22"/>
          <w:szCs w:val="22"/>
        </w:rPr>
      </w:pPr>
    </w:p>
    <w:p w:rsidR="008C2885" w:rsidRPr="00EE2D44" w:rsidRDefault="004C1A3A"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upper 95% CI for the indirect comparisons are below the non-inferiority margins previously accepted by the PBAC although these margins were for direct comparisons (20% difference in relapse rates [olanzapine LAI PSD, July 2009] and 5-7 point difference in PANSS total score [paliperidone LAI PSD, November 2010]). The upper 95% CI for the time to relapse (1.309) is below the non-inferiority margin for ASPIRE EU (1.68). The upper 95% CI for the proportion relapsed is below the non-inferiority margin for ASPIRE EU (11.5%) using the interim results for Hough 2010 (7%) but not using the final results (13%).</w:t>
      </w:r>
      <w:r w:rsidR="00DD7EE8" w:rsidRPr="00EE2D44">
        <w:rPr>
          <w:rFonts w:ascii="Arial" w:hAnsi="Arial"/>
          <w:noProof/>
          <w:sz w:val="22"/>
          <w:szCs w:val="22"/>
        </w:rPr>
        <w:t xml:space="preserve"> </w:t>
      </w:r>
    </w:p>
    <w:p w:rsidR="008C2885" w:rsidRPr="00EE2D44" w:rsidRDefault="008C2885" w:rsidP="008C2885">
      <w:pPr>
        <w:pStyle w:val="ListParagraph"/>
        <w:jc w:val="both"/>
        <w:rPr>
          <w:rFonts w:ascii="Arial" w:hAnsi="Arial"/>
          <w:noProof/>
          <w:sz w:val="22"/>
          <w:szCs w:val="22"/>
        </w:rPr>
      </w:pPr>
    </w:p>
    <w:p w:rsidR="004C1A3A" w:rsidRPr="00EE2D44" w:rsidRDefault="004C1A3A" w:rsidP="008C2885">
      <w:pPr>
        <w:pStyle w:val="ListParagraph"/>
        <w:numPr>
          <w:ilvl w:val="1"/>
          <w:numId w:val="25"/>
        </w:numPr>
        <w:jc w:val="both"/>
        <w:rPr>
          <w:rFonts w:ascii="Arial" w:hAnsi="Arial"/>
          <w:noProof/>
          <w:sz w:val="22"/>
          <w:szCs w:val="22"/>
        </w:rPr>
      </w:pPr>
      <w:r w:rsidRPr="00EE2D44">
        <w:rPr>
          <w:rFonts w:ascii="Arial" w:hAnsi="Arial"/>
          <w:noProof/>
          <w:sz w:val="22"/>
          <w:szCs w:val="22"/>
        </w:rPr>
        <w:t>Results of relapse, response, remission and PANSS total scores across the direct randomised trial</w:t>
      </w:r>
      <w:r w:rsidR="00FD18B9" w:rsidRPr="00EE2D44">
        <w:rPr>
          <w:rFonts w:ascii="Arial" w:hAnsi="Arial"/>
          <w:noProof/>
          <w:sz w:val="22"/>
          <w:szCs w:val="22"/>
        </w:rPr>
        <w:t xml:space="preserve"> are shown in the table below</w:t>
      </w:r>
      <w:r w:rsidR="00DD7EE8" w:rsidRPr="00EE2D44">
        <w:rPr>
          <w:rFonts w:ascii="Arial" w:hAnsi="Arial"/>
          <w:noProof/>
          <w:sz w:val="22"/>
          <w:szCs w:val="22"/>
        </w:rPr>
        <w:t xml:space="preserve">. </w:t>
      </w:r>
    </w:p>
    <w:p w:rsidR="00DD7EE8" w:rsidRPr="00EE2D44" w:rsidRDefault="00DD7EE8" w:rsidP="00DD7EE8">
      <w:pPr>
        <w:pStyle w:val="ListParagraph"/>
        <w:ind w:left="709"/>
        <w:jc w:val="both"/>
        <w:rPr>
          <w:rFonts w:ascii="Arial" w:hAnsi="Arial"/>
          <w:noProof/>
          <w:sz w:val="22"/>
          <w:szCs w:val="22"/>
        </w:rPr>
      </w:pPr>
    </w:p>
    <w:tbl>
      <w:tblPr>
        <w:tblW w:w="461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relapse, response, remission and PANSS total scores across the direct randomised trial"/>
      </w:tblPr>
      <w:tblGrid>
        <w:gridCol w:w="1277"/>
        <w:gridCol w:w="1812"/>
        <w:gridCol w:w="1755"/>
        <w:gridCol w:w="1677"/>
        <w:gridCol w:w="1854"/>
      </w:tblGrid>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Outcome</w:t>
            </w:r>
          </w:p>
        </w:tc>
        <w:tc>
          <w:tcPr>
            <w:tcW w:w="1082"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Aripiprazole LAI 400 mg</w:t>
            </w:r>
          </w:p>
        </w:tc>
        <w:tc>
          <w:tcPr>
            <w:tcW w:w="1048" w:type="pct"/>
            <w:vAlign w:val="center"/>
          </w:tcPr>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Aripiprazole tablets</w:t>
            </w:r>
          </w:p>
        </w:tc>
        <w:tc>
          <w:tcPr>
            <w:tcW w:w="1001" w:type="pct"/>
            <w:vAlign w:val="center"/>
          </w:tcPr>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RD (95% CI)</w:t>
            </w:r>
          </w:p>
        </w:tc>
        <w:tc>
          <w:tcPr>
            <w:tcW w:w="1107"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HR (95% CI)</w:t>
            </w:r>
          </w:p>
        </w:tc>
      </w:tr>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lastRenderedPageBreak/>
              <w:t>Estimated proportion relapsed by end of week 26 (KM estimates)</w:t>
            </w:r>
          </w:p>
        </w:tc>
        <w:tc>
          <w:tcPr>
            <w:tcW w:w="1082"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7.12%</w:t>
            </w:r>
            <w:r w:rsidRPr="00EE2D44">
              <w:rPr>
                <w:rFonts w:ascii="Arial Narrow" w:hAnsi="Arial Narrow" w:cs="Arial"/>
                <w:noProof/>
                <w:snapToGrid w:val="0"/>
                <w:sz w:val="20"/>
                <w:szCs w:val="20"/>
                <w:vertAlign w:val="superscript"/>
                <w:lang w:eastAsia="en-US"/>
              </w:rPr>
              <w:t>a</w:t>
            </w:r>
            <w:r w:rsidRPr="00EE2D44">
              <w:rPr>
                <w:rFonts w:ascii="Arial Narrow" w:hAnsi="Arial Narrow" w:cs="Arial"/>
                <w:noProof/>
                <w:snapToGrid w:val="0"/>
                <w:sz w:val="20"/>
                <w:szCs w:val="20"/>
                <w:lang w:eastAsia="en-US"/>
              </w:rPr>
              <w:t xml:space="preserve"> (SE 1.6%)</w:t>
            </w:r>
          </w:p>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N=265, number at risk at week 26=215 (81%)</w:t>
            </w:r>
          </w:p>
        </w:tc>
        <w:tc>
          <w:tcPr>
            <w:tcW w:w="1048"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7.76%</w:t>
            </w:r>
            <w:r w:rsidRPr="00EE2D44">
              <w:rPr>
                <w:rFonts w:ascii="Arial Narrow" w:hAnsi="Arial Narrow" w:cs="Arial"/>
                <w:noProof/>
                <w:snapToGrid w:val="0"/>
                <w:sz w:val="20"/>
                <w:szCs w:val="20"/>
                <w:vertAlign w:val="superscript"/>
                <w:lang w:eastAsia="en-US"/>
              </w:rPr>
              <w:t>a</w:t>
            </w:r>
            <w:r w:rsidRPr="00EE2D44">
              <w:rPr>
                <w:rFonts w:ascii="Arial Narrow" w:hAnsi="Arial Narrow" w:cs="Arial"/>
                <w:noProof/>
                <w:snapToGrid w:val="0"/>
                <w:sz w:val="20"/>
                <w:szCs w:val="20"/>
                <w:lang w:eastAsia="en-US"/>
              </w:rPr>
              <w:t xml:space="preserve"> (SE 1.72)</w:t>
            </w:r>
          </w:p>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N=266, number at risk at week 26=201 (76%)</w:t>
            </w:r>
          </w:p>
        </w:tc>
        <w:tc>
          <w:tcPr>
            <w:tcW w:w="1001"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-0.01 (-0.05, 0.04)</w:t>
            </w:r>
          </w:p>
          <w:p w:rsidR="00DD7EE8" w:rsidRPr="00EE2D44" w:rsidRDefault="00DD7EE8" w:rsidP="00DD7EE8">
            <w:pPr>
              <w:widowControl w:val="0"/>
              <w:jc w:val="center"/>
              <w:rPr>
                <w:rFonts w:ascii="Arial Narrow" w:hAnsi="Arial Narrow" w:cs="Arial"/>
                <w:noProof/>
                <w:snapToGrid w:val="0"/>
                <w:sz w:val="20"/>
                <w:szCs w:val="20"/>
                <w:lang w:eastAsia="en-US"/>
              </w:rPr>
            </w:pPr>
          </w:p>
          <w:p w:rsidR="00DD7EE8" w:rsidRPr="00EE2D44" w:rsidRDefault="00DD7EE8" w:rsidP="00DD7EE8">
            <w:pPr>
              <w:widowControl w:val="0"/>
              <w:jc w:val="center"/>
              <w:rPr>
                <w:rFonts w:ascii="Arial Narrow" w:hAnsi="Arial Narrow" w:cs="Arial"/>
                <w:noProof/>
                <w:snapToGrid w:val="0"/>
                <w:sz w:val="20"/>
                <w:szCs w:val="20"/>
                <w:lang w:eastAsia="en-US"/>
              </w:rPr>
            </w:pPr>
          </w:p>
        </w:tc>
        <w:tc>
          <w:tcPr>
            <w:tcW w:w="1107"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HR for time to relapse: 0.991 (0.545, 1.803)</w:t>
            </w:r>
          </w:p>
        </w:tc>
      </w:tr>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p>
        </w:tc>
        <w:tc>
          <w:tcPr>
            <w:tcW w:w="1082"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1048"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1001" w:type="pct"/>
            <w:vAlign w:val="center"/>
          </w:tcPr>
          <w:p w:rsidR="00DD7EE8" w:rsidRPr="00EE2D44" w:rsidRDefault="00DD7EE8" w:rsidP="00DD7EE8">
            <w:pPr>
              <w:widowControl w:val="0"/>
              <w:jc w:val="center"/>
              <w:rPr>
                <w:rFonts w:ascii="Arial Narrow" w:hAnsi="Arial Narrow" w:cs="Arial"/>
                <w:i/>
                <w:noProof/>
                <w:snapToGrid w:val="0"/>
                <w:sz w:val="20"/>
                <w:szCs w:val="20"/>
                <w:lang w:eastAsia="en-US"/>
              </w:rPr>
            </w:pPr>
            <w:r w:rsidRPr="00EE2D44">
              <w:rPr>
                <w:rFonts w:ascii="Arial Narrow" w:hAnsi="Arial Narrow" w:cs="Arial"/>
                <w:b/>
                <w:noProof/>
                <w:snapToGrid w:val="0"/>
                <w:sz w:val="20"/>
                <w:szCs w:val="20"/>
                <w:lang w:eastAsia="en-US"/>
              </w:rPr>
              <w:t>RD (95% CI)</w:t>
            </w:r>
          </w:p>
        </w:tc>
        <w:tc>
          <w:tcPr>
            <w:tcW w:w="1107" w:type="pct"/>
            <w:vAlign w:val="center"/>
          </w:tcPr>
          <w:p w:rsidR="00DD7EE8" w:rsidRPr="00EE2D44" w:rsidRDefault="00DD7EE8" w:rsidP="00DD7EE8">
            <w:pPr>
              <w:widowControl w:val="0"/>
              <w:jc w:val="center"/>
              <w:rPr>
                <w:rFonts w:ascii="Arial Narrow" w:hAnsi="Arial Narrow" w:cs="Arial"/>
                <w:i/>
                <w:noProof/>
                <w:snapToGrid w:val="0"/>
                <w:sz w:val="20"/>
                <w:szCs w:val="20"/>
                <w:lang w:eastAsia="en-US"/>
              </w:rPr>
            </w:pPr>
            <w:r w:rsidRPr="00EE2D44">
              <w:rPr>
                <w:rFonts w:ascii="Arial Narrow" w:hAnsi="Arial Narrow" w:cs="Arial"/>
                <w:b/>
                <w:noProof/>
                <w:snapToGrid w:val="0"/>
                <w:sz w:val="20"/>
                <w:szCs w:val="20"/>
                <w:lang w:eastAsia="en-US"/>
              </w:rPr>
              <w:t>RR (95% CI)</w:t>
            </w:r>
          </w:p>
        </w:tc>
      </w:tr>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Overall relapse rate</w:t>
            </w:r>
          </w:p>
        </w:tc>
        <w:tc>
          <w:tcPr>
            <w:tcW w:w="1082"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22/265 (8.30)</w:t>
            </w:r>
          </w:p>
        </w:tc>
        <w:tc>
          <w:tcPr>
            <w:tcW w:w="1048"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21/266 (7.89)</w:t>
            </w:r>
          </w:p>
        </w:tc>
        <w:tc>
          <w:tcPr>
            <w:tcW w:w="1001" w:type="pct"/>
            <w:vAlign w:val="center"/>
          </w:tcPr>
          <w:p w:rsidR="00DD7EE8" w:rsidRPr="00EE2D44" w:rsidRDefault="00DD7EE8" w:rsidP="00DD7EE8">
            <w:pPr>
              <w:widowControl w:val="0"/>
              <w:jc w:val="center"/>
              <w:rPr>
                <w:rFonts w:ascii="Arial Narrow" w:hAnsi="Arial Narrow" w:cs="Arial"/>
                <w:i/>
                <w:noProof/>
                <w:snapToGrid w:val="0"/>
                <w:sz w:val="20"/>
                <w:szCs w:val="20"/>
                <w:lang w:eastAsia="en-US"/>
              </w:rPr>
            </w:pPr>
            <w:r w:rsidRPr="00EE2D44">
              <w:rPr>
                <w:rFonts w:ascii="Arial Narrow" w:hAnsi="Arial Narrow" w:cs="Arial"/>
                <w:noProof/>
                <w:snapToGrid w:val="0"/>
                <w:sz w:val="20"/>
                <w:szCs w:val="20"/>
                <w:lang w:eastAsia="en-US"/>
              </w:rPr>
              <w:t>0.00 (-0.04, 0.05</w:t>
            </w:r>
            <w:r w:rsidRPr="00EE2D44">
              <w:rPr>
                <w:rFonts w:ascii="Arial Narrow" w:hAnsi="Arial Narrow" w:cs="Arial"/>
                <w:i/>
                <w:noProof/>
                <w:snapToGrid w:val="0"/>
                <w:sz w:val="20"/>
                <w:szCs w:val="20"/>
                <w:lang w:eastAsia="en-US"/>
              </w:rPr>
              <w:t>)</w:t>
            </w:r>
          </w:p>
        </w:tc>
        <w:tc>
          <w:tcPr>
            <w:tcW w:w="1107"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1.05 (0.59, 1.87)</w:t>
            </w:r>
          </w:p>
        </w:tc>
      </w:tr>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p>
        </w:tc>
        <w:tc>
          <w:tcPr>
            <w:tcW w:w="1082" w:type="pct"/>
            <w:vAlign w:val="center"/>
          </w:tcPr>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Baseline score;</w:t>
            </w:r>
          </w:p>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Endpoint LS mean change (SE)</w:t>
            </w:r>
          </w:p>
        </w:tc>
        <w:tc>
          <w:tcPr>
            <w:tcW w:w="1048" w:type="pct"/>
            <w:vAlign w:val="center"/>
          </w:tcPr>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Baseline score;</w:t>
            </w:r>
          </w:p>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Endpoint LS mean change (SE)</w:t>
            </w:r>
          </w:p>
        </w:tc>
        <w:tc>
          <w:tcPr>
            <w:tcW w:w="1001"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RD (95% CI)</w:t>
            </w:r>
          </w:p>
        </w:tc>
        <w:tc>
          <w:tcPr>
            <w:tcW w:w="1107" w:type="pct"/>
            <w:vAlign w:val="center"/>
          </w:tcPr>
          <w:p w:rsidR="00DD7EE8" w:rsidRPr="00EE2D44" w:rsidRDefault="00DD7EE8" w:rsidP="00DD7EE8">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p-value</w:t>
            </w:r>
          </w:p>
        </w:tc>
      </w:tr>
      <w:tr w:rsidR="00DD7EE8" w:rsidRPr="00EE2D44" w:rsidTr="00DD7EE8">
        <w:tc>
          <w:tcPr>
            <w:tcW w:w="762" w:type="pct"/>
            <w:vAlign w:val="center"/>
          </w:tcPr>
          <w:p w:rsidR="00DD7EE8" w:rsidRPr="00EE2D44" w:rsidRDefault="00DD7EE8" w:rsidP="00DD7EE8">
            <w:pPr>
              <w:widowControl w:val="0"/>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PANSS total score</w:t>
            </w:r>
          </w:p>
        </w:tc>
        <w:tc>
          <w:tcPr>
            <w:tcW w:w="1082"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57.94; -1.66 (0.718)</w:t>
            </w:r>
          </w:p>
        </w:tc>
        <w:tc>
          <w:tcPr>
            <w:tcW w:w="1048"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56.57; 0.58 (0.714)</w:t>
            </w:r>
          </w:p>
        </w:tc>
        <w:tc>
          <w:tcPr>
            <w:tcW w:w="1001"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-2.24 (-4.23, -0.25)</w:t>
            </w:r>
          </w:p>
        </w:tc>
        <w:tc>
          <w:tcPr>
            <w:tcW w:w="1107" w:type="pct"/>
            <w:vAlign w:val="center"/>
          </w:tcPr>
          <w:p w:rsidR="00DD7EE8" w:rsidRPr="00EE2D44" w:rsidRDefault="00DD7EE8" w:rsidP="00DD7EE8">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0.0272</w:t>
            </w:r>
          </w:p>
        </w:tc>
      </w:tr>
    </w:tbl>
    <w:p w:rsidR="00DD7EE8" w:rsidRPr="00EE2D44" w:rsidRDefault="00DD7EE8" w:rsidP="00DD7EE8">
      <w:pPr>
        <w:pStyle w:val="ListParagraph"/>
        <w:ind w:left="709"/>
        <w:rPr>
          <w:rFonts w:ascii="Arial Narrow" w:hAnsi="Arial Narrow"/>
          <w:noProof/>
          <w:sz w:val="18"/>
          <w:szCs w:val="18"/>
        </w:rPr>
      </w:pPr>
      <w:r w:rsidRPr="00EE2D44">
        <w:rPr>
          <w:rFonts w:ascii="Arial Narrow" w:hAnsi="Arial Narrow"/>
          <w:noProof/>
          <w:sz w:val="18"/>
          <w:szCs w:val="18"/>
        </w:rPr>
        <w:t xml:space="preserve">Abbreviations: HR=hazard ratio; LS=least squares; RD=risk difference; RR=relative risk; SE=standard error </w:t>
      </w:r>
    </w:p>
    <w:p w:rsidR="00DD7EE8" w:rsidRPr="00EE2D44" w:rsidRDefault="00DD7EE8" w:rsidP="00DD7EE8">
      <w:pPr>
        <w:pStyle w:val="ListParagraph"/>
        <w:ind w:left="709"/>
        <w:rPr>
          <w:rFonts w:ascii="Arial Narrow" w:hAnsi="Arial Narrow"/>
          <w:i/>
          <w:noProof/>
          <w:sz w:val="18"/>
          <w:szCs w:val="18"/>
        </w:rPr>
      </w:pPr>
      <w:r w:rsidRPr="00EE2D44">
        <w:rPr>
          <w:rFonts w:ascii="Arial Narrow" w:hAnsi="Arial Narrow"/>
          <w:noProof/>
          <w:sz w:val="18"/>
          <w:szCs w:val="18"/>
        </w:rPr>
        <w:t xml:space="preserve">Source: Table 22, p111, Table 23, p113, Table 24, p115, Table 25, p116, Table 26, p117 of the submission. </w:t>
      </w:r>
    </w:p>
    <w:p w:rsidR="004C1A3A" w:rsidRPr="00EE2D44" w:rsidRDefault="004C1A3A" w:rsidP="004C1A3A">
      <w:pPr>
        <w:pStyle w:val="ListParagraph"/>
        <w:ind w:left="709"/>
        <w:jc w:val="both"/>
        <w:rPr>
          <w:rFonts w:ascii="Arial" w:hAnsi="Arial"/>
          <w:noProof/>
          <w:sz w:val="22"/>
          <w:szCs w:val="22"/>
        </w:rPr>
      </w:pPr>
    </w:p>
    <w:p w:rsidR="00DD7EE8" w:rsidRPr="00EE2D44" w:rsidRDefault="00DD7EE8" w:rsidP="008C2885">
      <w:pPr>
        <w:pStyle w:val="ListParagraph"/>
        <w:numPr>
          <w:ilvl w:val="1"/>
          <w:numId w:val="25"/>
        </w:numPr>
        <w:jc w:val="both"/>
        <w:rPr>
          <w:rFonts w:ascii="Arial" w:hAnsi="Arial"/>
          <w:noProof/>
          <w:sz w:val="22"/>
          <w:szCs w:val="22"/>
        </w:rPr>
      </w:pPr>
      <w:r w:rsidRPr="00EE2D44">
        <w:rPr>
          <w:rFonts w:ascii="Arial" w:hAnsi="Arial"/>
          <w:noProof/>
          <w:sz w:val="22"/>
          <w:szCs w:val="22"/>
        </w:rPr>
        <w:t>The upper 95% CI for the difference in the proportion relapsed (4%) was below the non-inferiority margin (11.5%). The proportion of relapsed subjects for the aripiprazole LAI 400 mg group (7.12%) was significantly lower than that in the aripiprazole LAI 50 mg group (21.8%; p = 0.0006). Thus assay sensitivity was confirmed. The time to relapse was similar in the aripiprazole LAI 400 mg and the aripiprazole tablet arms. However, the upper 95% CI for the HR (1.80) is above the non-inferiority margin (1.68).</w:t>
      </w:r>
      <w:r w:rsidRPr="00EE2D44">
        <w:rPr>
          <w:rFonts w:ascii="Arial" w:hAnsi="Arial"/>
          <w:i/>
          <w:noProof/>
          <w:sz w:val="22"/>
          <w:szCs w:val="22"/>
        </w:rPr>
        <w:t xml:space="preserve"> </w:t>
      </w:r>
    </w:p>
    <w:p w:rsidR="00343C46" w:rsidRPr="00EE2D44" w:rsidRDefault="00343C46" w:rsidP="00DD7EE8">
      <w:pPr>
        <w:jc w:val="both"/>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BB7EC3" w:rsidRPr="00EE2D44" w:rsidRDefault="00BB7EC3" w:rsidP="00BB7EC3">
      <w:pPr>
        <w:ind w:left="709"/>
        <w:jc w:val="both"/>
        <w:rPr>
          <w:rFonts w:ascii="Arial" w:hAnsi="Arial"/>
          <w:noProof/>
          <w:sz w:val="22"/>
          <w:szCs w:val="22"/>
        </w:rPr>
      </w:pPr>
    </w:p>
    <w:p w:rsidR="005A3173" w:rsidRPr="00EE2D44" w:rsidRDefault="005A3173" w:rsidP="00882085">
      <w:pPr>
        <w:jc w:val="both"/>
        <w:rPr>
          <w:rFonts w:ascii="Arial" w:hAnsi="Arial"/>
          <w:b/>
          <w:i/>
          <w:noProof/>
          <w:sz w:val="22"/>
          <w:szCs w:val="22"/>
        </w:rPr>
      </w:pPr>
      <w:r w:rsidRPr="00EE2D44">
        <w:rPr>
          <w:rFonts w:ascii="Arial" w:hAnsi="Arial"/>
          <w:b/>
          <w:i/>
          <w:noProof/>
          <w:sz w:val="22"/>
          <w:szCs w:val="22"/>
        </w:rPr>
        <w:t>Comparative harms</w:t>
      </w:r>
    </w:p>
    <w:p w:rsidR="00845BFB" w:rsidRPr="00EE2D44" w:rsidRDefault="00845BFB" w:rsidP="00845BFB">
      <w:pPr>
        <w:jc w:val="both"/>
        <w:rPr>
          <w:rFonts w:ascii="Arial" w:hAnsi="Arial"/>
          <w:noProof/>
          <w:sz w:val="22"/>
          <w:szCs w:val="22"/>
        </w:rPr>
      </w:pPr>
    </w:p>
    <w:p w:rsidR="000B558D" w:rsidRPr="00EE2D44" w:rsidRDefault="00F80D93" w:rsidP="00845BFB">
      <w:pPr>
        <w:pStyle w:val="ListParagraph"/>
        <w:numPr>
          <w:ilvl w:val="1"/>
          <w:numId w:val="25"/>
        </w:numPr>
        <w:jc w:val="both"/>
        <w:rPr>
          <w:rFonts w:ascii="Arial" w:hAnsi="Arial"/>
          <w:noProof/>
          <w:sz w:val="22"/>
          <w:szCs w:val="22"/>
        </w:rPr>
      </w:pPr>
      <w:r w:rsidRPr="00EE2D44">
        <w:rPr>
          <w:rFonts w:ascii="Arial" w:hAnsi="Arial"/>
          <w:noProof/>
          <w:sz w:val="22"/>
          <w:szCs w:val="22"/>
        </w:rPr>
        <w:t>A s</w:t>
      </w:r>
      <w:r w:rsidR="00343C46" w:rsidRPr="00EE2D44">
        <w:rPr>
          <w:rFonts w:ascii="Arial" w:hAnsi="Arial"/>
          <w:noProof/>
          <w:sz w:val="22"/>
          <w:szCs w:val="22"/>
        </w:rPr>
        <w:t xml:space="preserve">ummary of key adverse events in the direct randomised trials included in the indirect comparison is shown in the table below. </w:t>
      </w:r>
    </w:p>
    <w:p w:rsidR="00930324" w:rsidRPr="00EE2D44" w:rsidRDefault="00930324" w:rsidP="00930324">
      <w:pPr>
        <w:pStyle w:val="ListParagraph"/>
        <w:ind w:left="709"/>
        <w:jc w:val="both"/>
        <w:rPr>
          <w:rFonts w:ascii="Arial" w:hAnsi="Arial"/>
          <w:noProof/>
          <w:sz w:val="22"/>
          <w:szCs w:val="22"/>
        </w:rPr>
      </w:pPr>
    </w:p>
    <w:tbl>
      <w:tblPr>
        <w:tblW w:w="460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key adverse events in the direct randomised trials"/>
      </w:tblPr>
      <w:tblGrid>
        <w:gridCol w:w="993"/>
        <w:gridCol w:w="1251"/>
        <w:gridCol w:w="1252"/>
        <w:gridCol w:w="1254"/>
        <w:gridCol w:w="1252"/>
        <w:gridCol w:w="1252"/>
        <w:gridCol w:w="1107"/>
      </w:tblGrid>
      <w:tr w:rsidR="00930324" w:rsidRPr="00EE2D44" w:rsidTr="00930324">
        <w:tc>
          <w:tcPr>
            <w:tcW w:w="593" w:type="pct"/>
            <w:tcBorders>
              <w:bottom w:val="nil"/>
            </w:tcBorders>
            <w:vAlign w:val="center"/>
          </w:tcPr>
          <w:p w:rsidR="00930324" w:rsidRPr="00EE2D44" w:rsidRDefault="00930324" w:rsidP="00930324">
            <w:pPr>
              <w:keepNext/>
              <w:widowControl w:val="0"/>
              <w:tabs>
                <w:tab w:val="left" w:pos="150"/>
              </w:tabs>
              <w:rPr>
                <w:rFonts w:ascii="Arial Narrow" w:hAnsi="Arial Narrow" w:cs="Arial"/>
                <w:b/>
                <w:noProof/>
                <w:snapToGrid w:val="0"/>
                <w:sz w:val="20"/>
                <w:szCs w:val="20"/>
                <w:lang w:eastAsia="en-US"/>
              </w:rPr>
            </w:pPr>
          </w:p>
        </w:tc>
        <w:tc>
          <w:tcPr>
            <w:tcW w:w="2247" w:type="pct"/>
            <w:gridSpan w:val="3"/>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ASPIRE US</w:t>
            </w:r>
          </w:p>
        </w:tc>
        <w:tc>
          <w:tcPr>
            <w:tcW w:w="2161" w:type="pct"/>
            <w:gridSpan w:val="3"/>
            <w:vAlign w:val="center"/>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Hough 2010</w:t>
            </w:r>
          </w:p>
        </w:tc>
      </w:tr>
      <w:tr w:rsidR="00930324" w:rsidRPr="00EE2D44" w:rsidTr="00930324">
        <w:tc>
          <w:tcPr>
            <w:tcW w:w="593" w:type="pct"/>
            <w:tcBorders>
              <w:top w:val="nil"/>
              <w:bottom w:val="nil"/>
            </w:tcBorders>
            <w:vAlign w:val="center"/>
          </w:tcPr>
          <w:p w:rsidR="00930324" w:rsidRPr="00EE2D44" w:rsidRDefault="00930324" w:rsidP="00930324">
            <w:pPr>
              <w:keepNext/>
              <w:widowControl w:val="0"/>
              <w:tabs>
                <w:tab w:val="left" w:pos="150"/>
              </w:tabs>
              <w:rPr>
                <w:rFonts w:ascii="Arial Narrow" w:hAnsi="Arial Narrow" w:cs="Arial"/>
                <w:noProof/>
                <w:snapToGrid w:val="0"/>
                <w:sz w:val="20"/>
                <w:szCs w:val="20"/>
                <w:lang w:eastAsia="en-US"/>
              </w:rPr>
            </w:pPr>
          </w:p>
        </w:tc>
        <w:tc>
          <w:tcPr>
            <w:tcW w:w="748" w:type="pct"/>
          </w:tcPr>
          <w:p w:rsidR="00930324" w:rsidRPr="00EE2D44" w:rsidRDefault="00930324" w:rsidP="00930324">
            <w:pPr>
              <w:keepNext/>
              <w:widowControl w:val="0"/>
              <w:jc w:val="center"/>
              <w:rPr>
                <w:rFonts w:ascii="Arial Narrow" w:hAnsi="Arial Narrow" w:cs="Arial"/>
                <w:b/>
                <w:i/>
                <w:noProof/>
                <w:snapToGrid w:val="0"/>
                <w:sz w:val="20"/>
                <w:szCs w:val="20"/>
                <w:lang w:eastAsia="en-US"/>
              </w:rPr>
            </w:pPr>
            <w:r w:rsidRPr="00EE2D44">
              <w:rPr>
                <w:rFonts w:ascii="Arial Narrow" w:hAnsi="Arial Narrow" w:cs="Arial"/>
                <w:b/>
                <w:i/>
                <w:noProof/>
                <w:snapToGrid w:val="0"/>
                <w:sz w:val="20"/>
                <w:szCs w:val="20"/>
                <w:lang w:eastAsia="en-US"/>
              </w:rPr>
              <w:t>Stabilisation</w:t>
            </w:r>
          </w:p>
        </w:tc>
        <w:tc>
          <w:tcPr>
            <w:tcW w:w="1499" w:type="pct"/>
            <w:gridSpan w:val="2"/>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Double-blind phase</w:t>
            </w:r>
          </w:p>
        </w:tc>
        <w:tc>
          <w:tcPr>
            <w:tcW w:w="749" w:type="pct"/>
          </w:tcPr>
          <w:p w:rsidR="00930324" w:rsidRPr="00EE2D44" w:rsidRDefault="00930324" w:rsidP="00930324">
            <w:pPr>
              <w:keepNext/>
              <w:widowControl w:val="0"/>
              <w:jc w:val="center"/>
              <w:rPr>
                <w:rFonts w:ascii="Arial Narrow" w:hAnsi="Arial Narrow" w:cs="Arial"/>
                <w:b/>
                <w:i/>
                <w:noProof/>
                <w:snapToGrid w:val="0"/>
                <w:sz w:val="20"/>
                <w:szCs w:val="20"/>
                <w:lang w:eastAsia="en-US"/>
              </w:rPr>
            </w:pPr>
            <w:r w:rsidRPr="00EE2D44">
              <w:rPr>
                <w:rFonts w:ascii="Arial Narrow" w:hAnsi="Arial Narrow" w:cs="Arial"/>
                <w:b/>
                <w:i/>
                <w:noProof/>
                <w:snapToGrid w:val="0"/>
                <w:sz w:val="20"/>
                <w:szCs w:val="20"/>
                <w:lang w:eastAsia="en-US"/>
              </w:rPr>
              <w:t>Maintenance</w:t>
            </w:r>
          </w:p>
        </w:tc>
        <w:tc>
          <w:tcPr>
            <w:tcW w:w="1412" w:type="pct"/>
            <w:gridSpan w:val="2"/>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Double-blind phase</w:t>
            </w:r>
          </w:p>
        </w:tc>
      </w:tr>
      <w:tr w:rsidR="00930324" w:rsidRPr="00EE2D44" w:rsidTr="00930324">
        <w:tc>
          <w:tcPr>
            <w:tcW w:w="593" w:type="pct"/>
            <w:tcBorders>
              <w:top w:val="nil"/>
            </w:tcBorders>
            <w:vAlign w:val="center"/>
          </w:tcPr>
          <w:p w:rsidR="00930324" w:rsidRPr="00EE2D44" w:rsidRDefault="00930324" w:rsidP="00930324">
            <w:pPr>
              <w:keepNext/>
              <w:widowControl w:val="0"/>
              <w:tabs>
                <w:tab w:val="left" w:pos="150"/>
              </w:tabs>
              <w:rPr>
                <w:rFonts w:ascii="Arial Narrow" w:hAnsi="Arial Narrow" w:cs="Arial"/>
                <w:noProof/>
                <w:snapToGrid w:val="0"/>
                <w:sz w:val="20"/>
                <w:szCs w:val="20"/>
                <w:lang w:eastAsia="en-US"/>
              </w:rPr>
            </w:pPr>
          </w:p>
        </w:tc>
        <w:tc>
          <w:tcPr>
            <w:tcW w:w="748" w:type="pct"/>
          </w:tcPr>
          <w:p w:rsidR="00930324" w:rsidRPr="00EE2D44" w:rsidRDefault="00930324" w:rsidP="00930324">
            <w:pPr>
              <w:keepNext/>
              <w:widowControl w:val="0"/>
              <w:jc w:val="center"/>
              <w:rPr>
                <w:rFonts w:ascii="Arial Narrow" w:hAnsi="Arial Narrow" w:cs="Arial"/>
                <w:b/>
                <w:i/>
                <w:noProof/>
                <w:snapToGrid w:val="0"/>
                <w:sz w:val="20"/>
                <w:szCs w:val="20"/>
                <w:lang w:eastAsia="en-US"/>
              </w:rPr>
            </w:pPr>
            <w:r w:rsidRPr="00EE2D44">
              <w:rPr>
                <w:rFonts w:ascii="Arial Narrow" w:hAnsi="Arial Narrow" w:cs="Arial"/>
                <w:b/>
                <w:i/>
                <w:noProof/>
                <w:snapToGrid w:val="0"/>
                <w:sz w:val="20"/>
                <w:szCs w:val="20"/>
                <w:lang w:eastAsia="en-US"/>
              </w:rPr>
              <w:t>ARI LAI</w:t>
            </w:r>
          </w:p>
          <w:p w:rsidR="00930324" w:rsidRPr="00EE2D44" w:rsidRDefault="00930324" w:rsidP="00930324">
            <w:pPr>
              <w:keepNext/>
              <w:widowControl w:val="0"/>
              <w:jc w:val="center"/>
              <w:rPr>
                <w:rFonts w:ascii="Arial Narrow" w:hAnsi="Arial Narrow" w:cs="Arial"/>
                <w:b/>
                <w:i/>
                <w:noProof/>
                <w:snapToGrid w:val="0"/>
                <w:sz w:val="20"/>
                <w:szCs w:val="20"/>
                <w:lang w:eastAsia="en-US"/>
              </w:rPr>
            </w:pPr>
            <w:r w:rsidRPr="00EE2D44">
              <w:rPr>
                <w:rFonts w:ascii="Arial Narrow" w:hAnsi="Arial Narrow" w:cs="Arial"/>
                <w:b/>
                <w:i/>
                <w:noProof/>
                <w:snapToGrid w:val="0"/>
                <w:sz w:val="20"/>
                <w:szCs w:val="20"/>
                <w:lang w:eastAsia="en-US"/>
              </w:rPr>
              <w:t>n with event/N (%)</w:t>
            </w:r>
          </w:p>
        </w:tc>
        <w:tc>
          <w:tcPr>
            <w:tcW w:w="749" w:type="pct"/>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 LAI</w:t>
            </w:r>
          </w:p>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750" w:type="pct"/>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PBO</w:t>
            </w:r>
          </w:p>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749" w:type="pct"/>
          </w:tcPr>
          <w:p w:rsidR="00930324" w:rsidRPr="00EE2D44" w:rsidRDefault="00930324" w:rsidP="00930324">
            <w:pPr>
              <w:keepNext/>
              <w:widowControl w:val="0"/>
              <w:jc w:val="center"/>
              <w:rPr>
                <w:rFonts w:ascii="Arial Narrow" w:hAnsi="Arial Narrow" w:cs="Arial"/>
                <w:b/>
                <w:i/>
                <w:noProof/>
                <w:snapToGrid w:val="0"/>
                <w:sz w:val="20"/>
                <w:szCs w:val="20"/>
                <w:lang w:eastAsia="en-US"/>
              </w:rPr>
            </w:pPr>
            <w:r w:rsidRPr="00EE2D44">
              <w:rPr>
                <w:rFonts w:ascii="Arial Narrow" w:hAnsi="Arial Narrow" w:cs="Arial"/>
                <w:b/>
                <w:i/>
                <w:noProof/>
                <w:snapToGrid w:val="0"/>
                <w:sz w:val="20"/>
                <w:szCs w:val="20"/>
                <w:lang w:eastAsia="en-US"/>
              </w:rPr>
              <w:t>PP LAI</w:t>
            </w:r>
          </w:p>
          <w:p w:rsidR="00930324" w:rsidRPr="00EE2D44" w:rsidRDefault="00930324" w:rsidP="00930324">
            <w:pPr>
              <w:keepNext/>
              <w:widowControl w:val="0"/>
              <w:jc w:val="center"/>
              <w:rPr>
                <w:rFonts w:ascii="Arial Narrow" w:hAnsi="Arial Narrow" w:cs="Arial"/>
                <w:i/>
                <w:noProof/>
                <w:snapToGrid w:val="0"/>
                <w:sz w:val="20"/>
                <w:szCs w:val="20"/>
                <w:lang w:eastAsia="en-US"/>
              </w:rPr>
            </w:pPr>
            <w:r w:rsidRPr="00EE2D44">
              <w:rPr>
                <w:rFonts w:ascii="Arial Narrow" w:hAnsi="Arial Narrow" w:cs="Arial"/>
                <w:b/>
                <w:i/>
                <w:noProof/>
                <w:snapToGrid w:val="0"/>
                <w:sz w:val="20"/>
                <w:szCs w:val="20"/>
                <w:lang w:eastAsia="en-US"/>
              </w:rPr>
              <w:t>n with event/N (%)</w:t>
            </w:r>
          </w:p>
        </w:tc>
        <w:tc>
          <w:tcPr>
            <w:tcW w:w="749" w:type="pct"/>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PP LAI</w:t>
            </w:r>
          </w:p>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663" w:type="pct"/>
          </w:tcPr>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PBO</w:t>
            </w:r>
          </w:p>
          <w:p w:rsidR="00930324" w:rsidRPr="00EE2D44" w:rsidRDefault="00930324" w:rsidP="00930324">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n with event/N (%)</w:t>
            </w:r>
          </w:p>
        </w:tc>
      </w:tr>
      <w:tr w:rsidR="00930324" w:rsidRPr="00EE2D44" w:rsidTr="00930324">
        <w:tc>
          <w:tcPr>
            <w:tcW w:w="593" w:type="pct"/>
            <w:vAlign w:val="center"/>
          </w:tcPr>
          <w:p w:rsidR="00930324" w:rsidRPr="00EE2D44" w:rsidRDefault="00930324" w:rsidP="00930324">
            <w:pPr>
              <w:keepNext/>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Any TEAE</w:t>
            </w:r>
          </w:p>
        </w:tc>
        <w:tc>
          <w:tcPr>
            <w:tcW w:w="748" w:type="pct"/>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345/576 (59.9)</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170/269 (63.2)</w:t>
            </w:r>
          </w:p>
        </w:tc>
        <w:tc>
          <w:tcPr>
            <w:tcW w:w="750"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83/134 (61.9)</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569/849 (67)</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91/205 (44.4)</w:t>
            </w:r>
          </w:p>
        </w:tc>
        <w:tc>
          <w:tcPr>
            <w:tcW w:w="663"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91/203 (44.8)</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Serious TEAE</w:t>
            </w:r>
          </w:p>
        </w:tc>
        <w:tc>
          <w:tcPr>
            <w:tcW w:w="748" w:type="pct"/>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25/576 (4.3)</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11/269 (4.1)</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9/134 (6.7)</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116/849 (14)</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11/205 (5.4)</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26/203 (12.8)</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TEAE leading to withdrawal</w:t>
            </w:r>
          </w:p>
        </w:tc>
        <w:tc>
          <w:tcPr>
            <w:tcW w:w="748"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28/576 (4.9)</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19/269 (7.1)</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18/134 (13.4)</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52/849 (6)</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3/205 (1.5)</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1/203 (0.5)</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Injection site pain</w:t>
            </w:r>
          </w:p>
        </w:tc>
        <w:tc>
          <w:tcPr>
            <w:tcW w:w="748"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34/576 (5.9)</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8/269 (3.0)</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5/134 (3.7)</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NR</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NR</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NR</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Weight increase</w:t>
            </w:r>
          </w:p>
        </w:tc>
        <w:tc>
          <w:tcPr>
            <w:tcW w:w="748" w:type="pct"/>
            <w:vAlign w:val="center"/>
          </w:tcPr>
          <w:p w:rsidR="00930324" w:rsidRPr="00EE2D44" w:rsidRDefault="00930324" w:rsidP="00930324">
            <w:pPr>
              <w:widowControl w:val="0"/>
              <w:jc w:val="center"/>
              <w:rPr>
                <w:rFonts w:ascii="Arial Narrow" w:hAnsi="Arial Narrow" w:cs="Arial"/>
                <w:i/>
                <w:noProof/>
                <w:snapToGrid w:val="0"/>
                <w:sz w:val="20"/>
                <w:szCs w:val="20"/>
                <w:lang w:eastAsia="en-US"/>
              </w:rPr>
            </w:pPr>
            <w:r w:rsidRPr="00EE2D44">
              <w:rPr>
                <w:rFonts w:ascii="Arial Narrow" w:hAnsi="Arial Narrow" w:cs="Arial"/>
                <w:noProof/>
                <w:snapToGrid w:val="0"/>
                <w:sz w:val="20"/>
                <w:szCs w:val="20"/>
                <w:lang w:eastAsia="en-US"/>
              </w:rPr>
              <w:t>40/576 (6.9</w:t>
            </w:r>
            <w:r w:rsidRPr="00EE2D44">
              <w:rPr>
                <w:rFonts w:ascii="Arial Narrow" w:hAnsi="Arial Narrow" w:cs="Arial"/>
                <w:i/>
                <w:noProof/>
                <w:snapToGrid w:val="0"/>
                <w:sz w:val="20"/>
                <w:szCs w:val="20"/>
                <w:lang w:eastAsia="en-US"/>
              </w:rPr>
              <w:t>)</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26/269 (9.7)</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13/134 (9.7)</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~6.5%</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15/205 (7.3)</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2/203 (1.0)</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Any EPS or EPS-related event</w:t>
            </w:r>
          </w:p>
        </w:tc>
        <w:tc>
          <w:tcPr>
            <w:tcW w:w="748" w:type="pct"/>
            <w:vAlign w:val="center"/>
          </w:tcPr>
          <w:p w:rsidR="00930324" w:rsidRPr="00EE2D44" w:rsidRDefault="00930324" w:rsidP="00930324">
            <w:pPr>
              <w:widowControl w:val="0"/>
              <w:jc w:val="center"/>
              <w:rPr>
                <w:rFonts w:ascii="Arial Narrow" w:hAnsi="Arial Narrow" w:cs="Arial"/>
                <w:i/>
                <w:noProof/>
                <w:snapToGrid w:val="0"/>
                <w:sz w:val="20"/>
                <w:szCs w:val="20"/>
                <w:lang w:eastAsia="en-US"/>
              </w:rPr>
            </w:pPr>
            <w:r w:rsidRPr="00EE2D44">
              <w:rPr>
                <w:rFonts w:ascii="Arial Narrow" w:hAnsi="Arial Narrow" w:cs="Arial"/>
                <w:noProof/>
                <w:snapToGrid w:val="0"/>
                <w:sz w:val="20"/>
                <w:szCs w:val="20"/>
                <w:lang w:eastAsia="en-US"/>
              </w:rPr>
              <w:t>75/576 (13.0</w:t>
            </w:r>
            <w:r w:rsidRPr="00EE2D44">
              <w:rPr>
                <w:rFonts w:ascii="Arial Narrow" w:hAnsi="Arial Narrow" w:cs="Arial"/>
                <w:i/>
                <w:noProof/>
                <w:snapToGrid w:val="0"/>
                <w:sz w:val="20"/>
                <w:szCs w:val="20"/>
                <w:lang w:eastAsia="en-US"/>
              </w:rPr>
              <w:t>)</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40/269 (14.9)</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13/134 (9.7)</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6%</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w:t>
            </w:r>
          </w:p>
        </w:tc>
      </w:tr>
      <w:tr w:rsidR="00930324" w:rsidRPr="00EE2D44" w:rsidTr="00930324">
        <w:tc>
          <w:tcPr>
            <w:tcW w:w="593" w:type="pct"/>
            <w:vAlign w:val="center"/>
          </w:tcPr>
          <w:p w:rsidR="00930324" w:rsidRPr="00EE2D44" w:rsidRDefault="00930324" w:rsidP="00930324">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Anti-EPS medications</w:t>
            </w:r>
            <w:r w:rsidRPr="00EE2D44">
              <w:rPr>
                <w:rFonts w:ascii="Arial Narrow" w:hAnsi="Arial Narrow" w:cs="Arial"/>
                <w:noProof/>
                <w:snapToGrid w:val="0"/>
                <w:sz w:val="20"/>
                <w:szCs w:val="20"/>
                <w:vertAlign w:val="superscript"/>
                <w:lang w:eastAsia="en-US"/>
              </w:rPr>
              <w:t>a</w:t>
            </w:r>
          </w:p>
        </w:tc>
        <w:tc>
          <w:tcPr>
            <w:tcW w:w="748"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98/576 (17.0)</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45/269 (16.7)</w:t>
            </w:r>
          </w:p>
        </w:tc>
        <w:tc>
          <w:tcPr>
            <w:tcW w:w="750"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14/134 (10.4)</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12%</w:t>
            </w:r>
          </w:p>
        </w:tc>
        <w:tc>
          <w:tcPr>
            <w:tcW w:w="749"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10%</w:t>
            </w:r>
          </w:p>
        </w:tc>
        <w:tc>
          <w:tcPr>
            <w:tcW w:w="663" w:type="pct"/>
            <w:vAlign w:val="center"/>
          </w:tcPr>
          <w:p w:rsidR="00930324" w:rsidRPr="00EE2D44" w:rsidRDefault="00930324" w:rsidP="00930324">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6%</w:t>
            </w:r>
          </w:p>
        </w:tc>
      </w:tr>
      <w:tr w:rsidR="00930324" w:rsidRPr="00EE2D44" w:rsidTr="00930324">
        <w:tc>
          <w:tcPr>
            <w:tcW w:w="593" w:type="pct"/>
            <w:vAlign w:val="center"/>
          </w:tcPr>
          <w:p w:rsidR="00930324" w:rsidRPr="00EE2D44" w:rsidRDefault="00930324" w:rsidP="00930324">
            <w:pPr>
              <w:keepNext/>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Prolactin-related AEs</w:t>
            </w:r>
          </w:p>
        </w:tc>
        <w:tc>
          <w:tcPr>
            <w:tcW w:w="748"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23/564 (4.1)</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5/257 (1.9)</w:t>
            </w:r>
          </w:p>
        </w:tc>
        <w:tc>
          <w:tcPr>
            <w:tcW w:w="750"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9/126 (7.1)</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w:t>
            </w:r>
          </w:p>
        </w:tc>
        <w:tc>
          <w:tcPr>
            <w:tcW w:w="749"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w:t>
            </w:r>
          </w:p>
        </w:tc>
        <w:tc>
          <w:tcPr>
            <w:tcW w:w="663" w:type="pct"/>
            <w:vAlign w:val="center"/>
          </w:tcPr>
          <w:p w:rsidR="00930324" w:rsidRPr="00EE2D44" w:rsidRDefault="00930324" w:rsidP="00930324">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w:t>
            </w:r>
          </w:p>
        </w:tc>
      </w:tr>
    </w:tbl>
    <w:p w:rsidR="00930324" w:rsidRPr="00EE2D44" w:rsidRDefault="00930324" w:rsidP="00930324">
      <w:pPr>
        <w:pStyle w:val="ListParagraph"/>
        <w:ind w:left="709"/>
        <w:rPr>
          <w:rFonts w:ascii="Arial Narrow" w:hAnsi="Arial Narrow"/>
          <w:i/>
          <w:noProof/>
          <w:sz w:val="18"/>
          <w:szCs w:val="18"/>
        </w:rPr>
      </w:pPr>
      <w:r w:rsidRPr="00EE2D44">
        <w:rPr>
          <w:rFonts w:ascii="Arial Narrow" w:hAnsi="Arial Narrow"/>
          <w:noProof/>
          <w:sz w:val="18"/>
          <w:szCs w:val="18"/>
        </w:rPr>
        <w:t xml:space="preserve">a anticholinergics for the ASPIRE US trial.  Abbreviations: AEs=Adverse events; EPS=extrapyramidal symptoms; NR=not reported; TEAE=treatment emergent adverse event  Source: See Table B(i).6.2 of Commentary. </w:t>
      </w:r>
    </w:p>
    <w:p w:rsidR="00FA6055" w:rsidRPr="00EE2D44" w:rsidRDefault="00FA6055" w:rsidP="00882085">
      <w:pPr>
        <w:pStyle w:val="ListParagraph"/>
        <w:ind w:left="709"/>
        <w:jc w:val="both"/>
        <w:rPr>
          <w:rFonts w:ascii="Arial Narrow" w:hAnsi="Arial Narrow"/>
          <w:noProof/>
          <w:sz w:val="22"/>
          <w:szCs w:val="22"/>
        </w:rPr>
      </w:pPr>
    </w:p>
    <w:p w:rsidR="00930324" w:rsidRPr="00EE2D44" w:rsidRDefault="00930324"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incidence of treatment emergent adverse events (TEAEs) was similar in the active and placebo arms of each trial, although the overall incidence was lower in </w:t>
      </w:r>
      <w:r w:rsidRPr="00EE2D44">
        <w:rPr>
          <w:rFonts w:ascii="Arial" w:hAnsi="Arial"/>
          <w:noProof/>
          <w:sz w:val="22"/>
          <w:szCs w:val="22"/>
        </w:rPr>
        <w:lastRenderedPageBreak/>
        <w:t>Hough 2010.</w:t>
      </w:r>
      <w:r w:rsidRPr="00EE2D44">
        <w:rPr>
          <w:rFonts w:ascii="Arial" w:hAnsi="Arial"/>
          <w:i/>
          <w:noProof/>
          <w:sz w:val="22"/>
          <w:szCs w:val="22"/>
        </w:rPr>
        <w:t xml:space="preserve"> </w:t>
      </w:r>
      <w:r w:rsidRPr="00EE2D44">
        <w:rPr>
          <w:rFonts w:ascii="Arial" w:hAnsi="Arial"/>
          <w:noProof/>
          <w:sz w:val="22"/>
          <w:szCs w:val="22"/>
        </w:rPr>
        <w:t>In each trial the incidence of serious TEAEs and TEAEs leading to discontinuation were similar or lower for the active arms compared with the placebo arms.</w:t>
      </w:r>
      <w:r w:rsidR="00F80D93" w:rsidRPr="00EE2D44">
        <w:rPr>
          <w:rFonts w:ascii="Arial" w:hAnsi="Arial"/>
          <w:noProof/>
          <w:sz w:val="22"/>
          <w:szCs w:val="22"/>
        </w:rPr>
        <w:t xml:space="preserve"> </w:t>
      </w:r>
    </w:p>
    <w:p w:rsidR="00F80D93" w:rsidRPr="00EE2D44" w:rsidRDefault="00F80D93" w:rsidP="00F80D93">
      <w:pPr>
        <w:pStyle w:val="ListParagraph"/>
        <w:ind w:left="709"/>
        <w:jc w:val="both"/>
        <w:rPr>
          <w:rFonts w:ascii="Arial" w:hAnsi="Arial"/>
          <w:noProof/>
          <w:sz w:val="22"/>
          <w:szCs w:val="22"/>
        </w:rPr>
      </w:pPr>
    </w:p>
    <w:p w:rsidR="00930324" w:rsidRPr="00EE2D44" w:rsidRDefault="00930324"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incidence of extrapyramidal symptoms (EPS) or EPS-related events, and the use of medications for the treatment of EPS, were higher in the active treatment arms compared with the placebo arms. In ASPIRE US </w:t>
      </w:r>
      <w:r w:rsidR="00DC7D9A">
        <w:rPr>
          <w:rFonts w:ascii="Arial" w:hAnsi="Arial"/>
          <w:noProof/>
          <w:sz w:val="22"/>
          <w:szCs w:val="22"/>
        </w:rPr>
        <w:t xml:space="preserve">akathisia </w:t>
      </w:r>
      <w:r w:rsidRPr="00EE2D44">
        <w:rPr>
          <w:rFonts w:ascii="Arial" w:hAnsi="Arial"/>
          <w:noProof/>
          <w:sz w:val="22"/>
          <w:szCs w:val="22"/>
        </w:rPr>
        <w:t xml:space="preserve">was the most common EPS </w:t>
      </w:r>
      <w:r w:rsidR="00DC7D9A" w:rsidRPr="00DC7D9A">
        <w:rPr>
          <w:rFonts w:ascii="Arial" w:hAnsi="Arial"/>
          <w:noProof/>
          <w:sz w:val="22"/>
          <w:szCs w:val="22"/>
        </w:rPr>
        <w:t>event.</w:t>
      </w:r>
      <w:r w:rsidR="00DC7D9A" w:rsidRPr="00EE2D44">
        <w:rPr>
          <w:rFonts w:ascii="Arial" w:hAnsi="Arial"/>
          <w:noProof/>
          <w:color w:val="FF0000"/>
          <w:sz w:val="22"/>
          <w:szCs w:val="22"/>
        </w:rPr>
        <w:t xml:space="preserve"> </w:t>
      </w:r>
      <w:r w:rsidR="00F80D93" w:rsidRPr="00EE2D44">
        <w:rPr>
          <w:rFonts w:ascii="Arial" w:hAnsi="Arial"/>
          <w:noProof/>
          <w:color w:val="FF0000"/>
          <w:sz w:val="22"/>
          <w:szCs w:val="22"/>
        </w:rPr>
        <w:t xml:space="preserve"> </w:t>
      </w:r>
    </w:p>
    <w:p w:rsidR="00F80D93" w:rsidRPr="00EE2D44" w:rsidRDefault="00F80D93" w:rsidP="00F80D93">
      <w:pPr>
        <w:pStyle w:val="ListParagraph"/>
        <w:rPr>
          <w:rFonts w:ascii="Arial" w:hAnsi="Arial"/>
          <w:noProof/>
          <w:sz w:val="22"/>
          <w:szCs w:val="22"/>
        </w:rPr>
      </w:pPr>
    </w:p>
    <w:p w:rsidR="00F80D93" w:rsidRPr="00EE2D44" w:rsidRDefault="00F80D93"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A summary of key treatment adverse events in the direct randomised trials is shown in the table below. </w:t>
      </w:r>
    </w:p>
    <w:p w:rsidR="00F80D93" w:rsidRPr="00EE2D44" w:rsidRDefault="00F80D93" w:rsidP="00F80D93">
      <w:pPr>
        <w:rPr>
          <w:rFonts w:ascii="Arial" w:hAnsi="Arial"/>
          <w:noProof/>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key treatment adverse events in the direct randomised trials"/>
      </w:tblPr>
      <w:tblGrid>
        <w:gridCol w:w="1950"/>
        <w:gridCol w:w="2261"/>
        <w:gridCol w:w="2016"/>
        <w:gridCol w:w="2118"/>
      </w:tblGrid>
      <w:tr w:rsidR="00F80D93" w:rsidRPr="00EE2D44" w:rsidTr="00F80D93">
        <w:tc>
          <w:tcPr>
            <w:tcW w:w="1168" w:type="pct"/>
            <w:tcBorders>
              <w:bottom w:val="nil"/>
            </w:tcBorders>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Event</w:t>
            </w:r>
          </w:p>
        </w:tc>
        <w:tc>
          <w:tcPr>
            <w:tcW w:w="1355" w:type="pct"/>
            <w:tcBorders>
              <w:bottom w:val="nil"/>
            </w:tcBorders>
            <w:vAlign w:val="center"/>
          </w:tcPr>
          <w:p w:rsidR="00F80D93" w:rsidRPr="00EE2D44" w:rsidRDefault="00F80D93" w:rsidP="00F80D93">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Aripiprazole LAI 400 mg</w:t>
            </w:r>
          </w:p>
        </w:tc>
        <w:tc>
          <w:tcPr>
            <w:tcW w:w="1208" w:type="pct"/>
            <w:tcBorders>
              <w:bottom w:val="nil"/>
            </w:tcBorders>
            <w:vAlign w:val="center"/>
          </w:tcPr>
          <w:p w:rsidR="00F80D93" w:rsidRPr="00EE2D44" w:rsidRDefault="00F80D93" w:rsidP="00F80D93">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Aripiprazole tablets</w:t>
            </w:r>
          </w:p>
        </w:tc>
        <w:tc>
          <w:tcPr>
            <w:tcW w:w="1269" w:type="pct"/>
            <w:tcBorders>
              <w:bottom w:val="nil"/>
            </w:tcBorders>
            <w:vAlign w:val="center"/>
          </w:tcPr>
          <w:p w:rsidR="00F80D93" w:rsidRPr="00EE2D44" w:rsidRDefault="00F80D93" w:rsidP="00F80D93">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Aripiprazole LAI 50 mg</w:t>
            </w:r>
          </w:p>
        </w:tc>
      </w:tr>
      <w:tr w:rsidR="00F80D93" w:rsidRPr="00EE2D44" w:rsidTr="00F80D93">
        <w:tc>
          <w:tcPr>
            <w:tcW w:w="1168" w:type="pct"/>
            <w:tcBorders>
              <w:top w:val="nil"/>
            </w:tcBorders>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p>
        </w:tc>
        <w:tc>
          <w:tcPr>
            <w:tcW w:w="1355" w:type="pct"/>
            <w:tcBorders>
              <w:top w:val="nil"/>
            </w:tcBorders>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1208" w:type="pct"/>
            <w:tcBorders>
              <w:top w:val="nil"/>
            </w:tcBorders>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c>
          <w:tcPr>
            <w:tcW w:w="1269" w:type="pct"/>
            <w:tcBorders>
              <w:top w:val="nil"/>
            </w:tcBorders>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b/>
                <w:noProof/>
                <w:snapToGrid w:val="0"/>
                <w:sz w:val="20"/>
                <w:szCs w:val="20"/>
                <w:lang w:eastAsia="en-US"/>
              </w:rPr>
              <w:t>n with event/N (%)</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Any TEAE</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219/265 (82.6)</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213/266 (80.1)</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106/131 (80.9)</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Serious TEAE</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15/265 (5.7)</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15/266 (5.6)</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11/131 (8.4)</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TEAE leading to withdrawal</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21/265 (7.9)</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19/266 (7.1)</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24/131 (18.3)</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Injection site pain</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20/265 (7.5)</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6/266 (2.3)</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1/131 (0.8)</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Weight increase</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24/265 (9.1)</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31/266 (13.2)</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7/131 (5.3)</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Any EPS or EPS-related event</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58/265 (21.9)</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31/266 (11.7)</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16/131 (12.2)</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Anticholinergic agents</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52/265 (19.6)</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46/266 (17.3)</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18/131 (13.7)</w:t>
            </w:r>
          </w:p>
        </w:tc>
      </w:tr>
      <w:tr w:rsidR="00F80D93" w:rsidRPr="00EE2D44" w:rsidTr="00F80D93">
        <w:tc>
          <w:tcPr>
            <w:tcW w:w="1168" w:type="pct"/>
            <w:vAlign w:val="center"/>
          </w:tcPr>
          <w:p w:rsidR="00F80D93" w:rsidRPr="00EE2D44" w:rsidRDefault="00F80D93" w:rsidP="00F80D93">
            <w:pPr>
              <w:widowControl w:val="0"/>
              <w:tabs>
                <w:tab w:val="left" w:pos="150"/>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Prolactin, mean change (SD)</w:t>
            </w:r>
          </w:p>
        </w:tc>
        <w:tc>
          <w:tcPr>
            <w:tcW w:w="1355"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-0.33 (3.07)</w:t>
            </w:r>
          </w:p>
        </w:tc>
        <w:tc>
          <w:tcPr>
            <w:tcW w:w="1208"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0.79 (5.30)</w:t>
            </w:r>
          </w:p>
        </w:tc>
        <w:tc>
          <w:tcPr>
            <w:tcW w:w="1269" w:type="pct"/>
            <w:vAlign w:val="center"/>
          </w:tcPr>
          <w:p w:rsidR="00F80D93" w:rsidRPr="00EE2D44" w:rsidRDefault="00F80D93" w:rsidP="00F80D93">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1.11 (3.64)</w:t>
            </w:r>
          </w:p>
        </w:tc>
      </w:tr>
    </w:tbl>
    <w:p w:rsidR="00F80D93" w:rsidRPr="00EE2D44" w:rsidRDefault="00F80D93" w:rsidP="00027DA2">
      <w:pPr>
        <w:pStyle w:val="TableFooter"/>
        <w:ind w:left="720"/>
        <w:rPr>
          <w:i/>
          <w:noProof/>
        </w:rPr>
      </w:pPr>
      <w:r w:rsidRPr="00EE2D44">
        <w:rPr>
          <w:noProof/>
        </w:rPr>
        <w:t>Abbreviations: EPS=extrapyramidal symptoms; LS=least squares; SD=standard deviation; TEAE=treatment emergent adverse event</w:t>
      </w:r>
      <w:r w:rsidR="00027DA2">
        <w:rPr>
          <w:noProof/>
        </w:rPr>
        <w:t>.</w:t>
      </w:r>
      <w:r w:rsidRPr="00EE2D44">
        <w:rPr>
          <w:noProof/>
        </w:rPr>
        <w:t xml:space="preserve"> Source: See Table B.6.2 of the Commentary. </w:t>
      </w:r>
    </w:p>
    <w:p w:rsidR="00F80D93" w:rsidRPr="00EE2D44" w:rsidRDefault="00F80D93" w:rsidP="00F80D93">
      <w:pPr>
        <w:pStyle w:val="TableFooter"/>
        <w:ind w:firstLine="709"/>
        <w:rPr>
          <w:rFonts w:ascii="Arial" w:hAnsi="Arial"/>
          <w:i/>
          <w:noProof/>
        </w:rPr>
      </w:pPr>
    </w:p>
    <w:p w:rsidR="00F80D93" w:rsidRPr="00EE2D44" w:rsidRDefault="00B8220A"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incidence of TEAEs and serious TEAEs was similar in the 3 treatment arms. </w:t>
      </w:r>
      <w:r w:rsidR="00F63268" w:rsidRPr="00EE2D44">
        <w:rPr>
          <w:rFonts w:ascii="Arial" w:hAnsi="Arial"/>
          <w:noProof/>
          <w:sz w:val="22"/>
          <w:szCs w:val="22"/>
        </w:rPr>
        <w:t xml:space="preserve"> </w:t>
      </w:r>
      <w:r w:rsidRPr="00EE2D44">
        <w:rPr>
          <w:rFonts w:ascii="Arial" w:hAnsi="Arial"/>
          <w:noProof/>
          <w:sz w:val="22"/>
          <w:szCs w:val="22"/>
        </w:rPr>
        <w:t xml:space="preserve">The incidence of TEAEs leading to discontinuation was lower in the aripiprazole LAI 400 mg and aripiprazole tablet arms compared with the low dose aripiprazole LAI arm. </w:t>
      </w:r>
    </w:p>
    <w:p w:rsidR="00B8220A" w:rsidRPr="00EE2D44" w:rsidRDefault="00B8220A" w:rsidP="00B8220A">
      <w:pPr>
        <w:pStyle w:val="ListParagraph"/>
        <w:ind w:left="709"/>
        <w:jc w:val="both"/>
        <w:rPr>
          <w:rFonts w:ascii="Arial" w:hAnsi="Arial"/>
          <w:noProof/>
          <w:sz w:val="22"/>
          <w:szCs w:val="22"/>
        </w:rPr>
      </w:pPr>
    </w:p>
    <w:p w:rsidR="00B8220A" w:rsidRPr="00EE2D44" w:rsidRDefault="00B8220A"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incidence of injection site pain was higher in the aripiprazole LAI 400 mg arm compared with the aripiprazole tablet and low dose aripiprazole LAI arms. </w:t>
      </w:r>
      <w:r w:rsidR="00F63268" w:rsidRPr="00EE2D44">
        <w:rPr>
          <w:rFonts w:ascii="Arial" w:hAnsi="Arial"/>
          <w:noProof/>
          <w:sz w:val="22"/>
          <w:szCs w:val="22"/>
        </w:rPr>
        <w:t xml:space="preserve"> </w:t>
      </w:r>
      <w:r w:rsidRPr="00EE2D44">
        <w:rPr>
          <w:rFonts w:ascii="Arial" w:hAnsi="Arial"/>
          <w:noProof/>
          <w:sz w:val="22"/>
          <w:szCs w:val="22"/>
        </w:rPr>
        <w:t xml:space="preserve">Weight increase was more common with aripiprazole tablets compared with aripiprazole LAI 400 mg. </w:t>
      </w:r>
      <w:r w:rsidR="00F63268" w:rsidRPr="00EE2D44">
        <w:rPr>
          <w:rFonts w:ascii="Arial" w:hAnsi="Arial"/>
          <w:noProof/>
          <w:sz w:val="22"/>
          <w:szCs w:val="22"/>
        </w:rPr>
        <w:t xml:space="preserve"> </w:t>
      </w:r>
      <w:r w:rsidRPr="00EE2D44">
        <w:rPr>
          <w:rFonts w:ascii="Arial" w:hAnsi="Arial"/>
          <w:noProof/>
          <w:sz w:val="22"/>
          <w:szCs w:val="22"/>
        </w:rPr>
        <w:t>The incidence of EPS or EPS-related events, and the use of medications for the treatment of EPS, were higher in the aripiprazole LAI 400 mg arm compared with the aripiprazole tablet and low dose aripiprazole LAI arms.</w:t>
      </w:r>
      <w:r w:rsidR="00F63268" w:rsidRPr="00EE2D44">
        <w:rPr>
          <w:rFonts w:ascii="Arial" w:hAnsi="Arial"/>
          <w:noProof/>
          <w:sz w:val="22"/>
          <w:szCs w:val="22"/>
        </w:rPr>
        <w:t xml:space="preserve"> </w:t>
      </w:r>
      <w:r w:rsidRPr="00EE2D44">
        <w:rPr>
          <w:rFonts w:ascii="Arial" w:hAnsi="Arial"/>
          <w:noProof/>
          <w:sz w:val="22"/>
          <w:szCs w:val="22"/>
        </w:rPr>
        <w:t xml:space="preserve"> Akathisia was the most common EPS event. The TGA Clinical Evaluator noted that suicidal ideation/suicide appeared greater (1.1%) with aripiprazole LAI 400/300mg than with aripiprazole tablets (0.4%).</w:t>
      </w:r>
    </w:p>
    <w:p w:rsidR="00B8220A" w:rsidRPr="00EE2D44" w:rsidRDefault="00B8220A" w:rsidP="00B8220A">
      <w:pPr>
        <w:pStyle w:val="ListParagraph"/>
        <w:ind w:left="709"/>
        <w:jc w:val="both"/>
        <w:rPr>
          <w:rFonts w:ascii="Arial" w:hAnsi="Arial"/>
          <w:noProof/>
          <w:sz w:val="22"/>
          <w:szCs w:val="22"/>
        </w:rPr>
      </w:pPr>
    </w:p>
    <w:p w:rsidR="008E5870" w:rsidRPr="00EE2D44" w:rsidRDefault="008E5870" w:rsidP="00845BFB">
      <w:pPr>
        <w:pStyle w:val="ListParagraph"/>
        <w:numPr>
          <w:ilvl w:val="1"/>
          <w:numId w:val="25"/>
        </w:numPr>
        <w:jc w:val="both"/>
        <w:rPr>
          <w:rFonts w:ascii="Arial" w:hAnsi="Arial"/>
          <w:noProof/>
          <w:sz w:val="22"/>
          <w:szCs w:val="22"/>
        </w:rPr>
      </w:pPr>
      <w:r w:rsidRPr="00EE2D44">
        <w:rPr>
          <w:rFonts w:ascii="Arial" w:hAnsi="Arial"/>
          <w:noProof/>
          <w:sz w:val="22"/>
          <w:szCs w:val="22"/>
        </w:rPr>
        <w:t>A summary of the comparati</w:t>
      </w:r>
      <w:r w:rsidR="00A10325" w:rsidRPr="00EE2D44">
        <w:rPr>
          <w:rFonts w:ascii="Arial" w:hAnsi="Arial"/>
          <w:noProof/>
          <w:sz w:val="22"/>
          <w:szCs w:val="22"/>
        </w:rPr>
        <w:t>ve benefits and harms for aripiprazole LAI versus paliperidone LAI</w:t>
      </w:r>
      <w:r w:rsidRPr="00EE2D44">
        <w:rPr>
          <w:rFonts w:ascii="Arial" w:hAnsi="Arial"/>
          <w:noProof/>
          <w:sz w:val="22"/>
          <w:szCs w:val="22"/>
        </w:rPr>
        <w:t xml:space="preserve"> is presented in the table below.</w:t>
      </w:r>
    </w:p>
    <w:p w:rsidR="008E5870" w:rsidRPr="00EE2D44" w:rsidRDefault="008E5870" w:rsidP="00882085">
      <w:pPr>
        <w:pStyle w:val="ListParagraph"/>
        <w:jc w:val="both"/>
        <w:rPr>
          <w:rFonts w:ascii="Arial" w:hAnsi="Arial"/>
          <w:noProof/>
          <w:sz w:val="22"/>
          <w:szCs w:val="22"/>
        </w:rPr>
      </w:pPr>
    </w:p>
    <w:tbl>
      <w:tblPr>
        <w:tblStyle w:val="TableGrid"/>
        <w:tblW w:w="4596" w:type="pct"/>
        <w:tblInd w:w="737" w:type="dxa"/>
        <w:tblCellMar>
          <w:left w:w="28" w:type="dxa"/>
          <w:right w:w="28" w:type="dxa"/>
        </w:tblCellMar>
        <w:tblLook w:val="04A0" w:firstRow="1" w:lastRow="0" w:firstColumn="1" w:lastColumn="0" w:noHBand="0" w:noVBand="1"/>
        <w:tblDescription w:val="comparative benefits and harms for aripiprazole"/>
      </w:tblPr>
      <w:tblGrid>
        <w:gridCol w:w="1232"/>
        <w:gridCol w:w="850"/>
        <w:gridCol w:w="771"/>
        <w:gridCol w:w="77"/>
        <w:gridCol w:w="1713"/>
        <w:gridCol w:w="992"/>
        <w:gridCol w:w="990"/>
        <w:gridCol w:w="184"/>
        <w:gridCol w:w="1539"/>
      </w:tblGrid>
      <w:tr w:rsidR="00A10325" w:rsidRPr="00EE2D44" w:rsidTr="00A10325">
        <w:tc>
          <w:tcPr>
            <w:tcW w:w="5000" w:type="pct"/>
            <w:gridSpan w:val="9"/>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Benefits</w:t>
            </w:r>
          </w:p>
        </w:tc>
      </w:tr>
      <w:tr w:rsidR="00A10325" w:rsidRPr="00EE2D44" w:rsidTr="00A10325">
        <w:tc>
          <w:tcPr>
            <w:tcW w:w="5000" w:type="pct"/>
            <w:gridSpan w:val="9"/>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Time to relapse</w:t>
            </w:r>
          </w:p>
        </w:tc>
      </w:tr>
      <w:tr w:rsidR="00A10325" w:rsidRPr="00EE2D44" w:rsidTr="00A10325">
        <w:tc>
          <w:tcPr>
            <w:tcW w:w="738" w:type="pct"/>
            <w:shd w:val="clear" w:color="auto" w:fill="auto"/>
            <w:vAlign w:val="center"/>
          </w:tcPr>
          <w:p w:rsidR="00A10325" w:rsidRPr="00EE2D44" w:rsidRDefault="00A10325" w:rsidP="00A10325">
            <w:pPr>
              <w:widowControl w:val="0"/>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ASPIRE US</w:t>
            </w:r>
          </w:p>
        </w:tc>
        <w:tc>
          <w:tcPr>
            <w:tcW w:w="971" w:type="pct"/>
            <w:gridSpan w:val="2"/>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Aripiprazole LAI</w:t>
            </w:r>
          </w:p>
        </w:tc>
        <w:tc>
          <w:tcPr>
            <w:tcW w:w="1072" w:type="pct"/>
            <w:gridSpan w:val="2"/>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PBO</w:t>
            </w:r>
          </w:p>
        </w:tc>
        <w:tc>
          <w:tcPr>
            <w:tcW w:w="1297" w:type="pct"/>
            <w:gridSpan w:val="3"/>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Absolute Difference</w:t>
            </w:r>
          </w:p>
        </w:tc>
        <w:tc>
          <w:tcPr>
            <w:tcW w:w="922" w:type="pc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HR (95% CI)</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Relapsed*</w:t>
            </w:r>
          </w:p>
        </w:tc>
        <w:tc>
          <w:tcPr>
            <w:tcW w:w="971" w:type="pct"/>
            <w:gridSpan w:val="2"/>
            <w:shd w:val="clear" w:color="auto" w:fill="auto"/>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27/269</w:t>
            </w:r>
          </w:p>
        </w:tc>
        <w:tc>
          <w:tcPr>
            <w:tcW w:w="1072" w:type="pct"/>
            <w:gridSpan w:val="2"/>
            <w:shd w:val="clear" w:color="auto" w:fill="auto"/>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 xml:space="preserve">53/134 </w:t>
            </w:r>
          </w:p>
        </w:tc>
        <w:tc>
          <w:tcPr>
            <w:tcW w:w="1297" w:type="pct"/>
            <w:gridSpan w:val="3"/>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-0.30 (-0.39, -0.20)</w:t>
            </w:r>
          </w:p>
        </w:tc>
        <w:tc>
          <w:tcPr>
            <w:tcW w:w="922"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Median (days)</w:t>
            </w:r>
          </w:p>
        </w:tc>
        <w:tc>
          <w:tcPr>
            <w:tcW w:w="971"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Not reached</w:t>
            </w:r>
          </w:p>
        </w:tc>
        <w:tc>
          <w:tcPr>
            <w:tcW w:w="1072"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209</w:t>
            </w:r>
          </w:p>
        </w:tc>
        <w:tc>
          <w:tcPr>
            <w:tcW w:w="1297" w:type="pct"/>
            <w:gridSpan w:val="3"/>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p>
        </w:tc>
        <w:tc>
          <w:tcPr>
            <w:tcW w:w="922"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0.199 (0.125, 0.317)</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Hough 2010</w:t>
            </w:r>
          </w:p>
        </w:tc>
        <w:tc>
          <w:tcPr>
            <w:tcW w:w="971" w:type="pct"/>
            <w:gridSpan w:val="2"/>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Paliperidone LAI</w:t>
            </w:r>
          </w:p>
        </w:tc>
        <w:tc>
          <w:tcPr>
            <w:tcW w:w="1072" w:type="pct"/>
            <w:gridSpan w:val="2"/>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PBO</w:t>
            </w:r>
          </w:p>
        </w:tc>
        <w:tc>
          <w:tcPr>
            <w:tcW w:w="1297" w:type="pct"/>
            <w:gridSpan w:val="3"/>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Absolute Difference</w:t>
            </w:r>
          </w:p>
        </w:tc>
        <w:tc>
          <w:tcPr>
            <w:tcW w:w="922" w:type="pc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HR (95% CI)</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Relapsed*</w:t>
            </w:r>
          </w:p>
        </w:tc>
        <w:tc>
          <w:tcPr>
            <w:tcW w:w="971"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97/203</w:t>
            </w:r>
          </w:p>
        </w:tc>
        <w:tc>
          <w:tcPr>
            <w:tcW w:w="1072"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36/205</w:t>
            </w:r>
          </w:p>
        </w:tc>
        <w:tc>
          <w:tcPr>
            <w:tcW w:w="1297" w:type="pct"/>
            <w:gridSpan w:val="3"/>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-0.30 (-0.39, -0.22)</w:t>
            </w:r>
          </w:p>
        </w:tc>
        <w:tc>
          <w:tcPr>
            <w:tcW w:w="922"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Median (days)</w:t>
            </w:r>
          </w:p>
        </w:tc>
        <w:tc>
          <w:tcPr>
            <w:tcW w:w="971"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Not reached</w:t>
            </w:r>
          </w:p>
        </w:tc>
        <w:tc>
          <w:tcPr>
            <w:tcW w:w="1072" w:type="pct"/>
            <w:gridSpan w:val="2"/>
          </w:tcPr>
          <w:p w:rsidR="00A10325" w:rsidRPr="00EE2D44" w:rsidRDefault="00A10325" w:rsidP="00A10325">
            <w:pPr>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172</w:t>
            </w:r>
          </w:p>
        </w:tc>
        <w:tc>
          <w:tcPr>
            <w:tcW w:w="1297" w:type="pct"/>
            <w:gridSpan w:val="3"/>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p>
        </w:tc>
        <w:tc>
          <w:tcPr>
            <w:tcW w:w="922"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0.278 (0.189, 0.408)</w:t>
            </w:r>
          </w:p>
        </w:tc>
      </w:tr>
      <w:tr w:rsidR="00A10325" w:rsidRPr="00EE2D44" w:rsidTr="00A10325">
        <w:tc>
          <w:tcPr>
            <w:tcW w:w="2781" w:type="pct"/>
            <w:gridSpan w:val="5"/>
            <w:shd w:val="clear" w:color="auto" w:fill="auto"/>
            <w:vAlign w:val="center"/>
          </w:tcPr>
          <w:p w:rsidR="00A10325" w:rsidRPr="00EE2D44" w:rsidRDefault="00A10325" w:rsidP="00A10325">
            <w:pPr>
              <w:widowControl w:val="0"/>
              <w:rPr>
                <w:rFonts w:ascii="Arial Narrow" w:hAnsi="Arial Narrow" w:cs="Arial"/>
                <w:noProof/>
                <w:snapToGrid w:val="0"/>
                <w:sz w:val="20"/>
                <w:szCs w:val="20"/>
                <w:lang w:eastAsia="en-US"/>
              </w:rPr>
            </w:pPr>
            <w:r w:rsidRPr="00EE2D44">
              <w:rPr>
                <w:rFonts w:ascii="Arial Narrow" w:hAnsi="Arial Narrow" w:cs="Arial"/>
                <w:noProof/>
                <w:snapToGrid w:val="0"/>
                <w:color w:val="000000"/>
                <w:sz w:val="20"/>
                <w:szCs w:val="20"/>
                <w:lang w:eastAsia="en-US"/>
              </w:rPr>
              <w:t>Indirect comparison: ASPIRE US vs Hough 2010</w:t>
            </w:r>
          </w:p>
        </w:tc>
        <w:tc>
          <w:tcPr>
            <w:tcW w:w="1297" w:type="pct"/>
            <w:gridSpan w:val="3"/>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0.00 (-0.13, 0.13)</w:t>
            </w:r>
          </w:p>
        </w:tc>
        <w:tc>
          <w:tcPr>
            <w:tcW w:w="922"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0.716 (0.391, 1.309)</w:t>
            </w:r>
          </w:p>
        </w:tc>
      </w:tr>
      <w:tr w:rsidR="00A10325" w:rsidRPr="00EE2D44" w:rsidTr="00A10325">
        <w:tc>
          <w:tcPr>
            <w:tcW w:w="5000" w:type="pct"/>
            <w:gridSpan w:val="9"/>
            <w:tcBorders>
              <w:top w:val="double" w:sz="4" w:space="0" w:color="auto"/>
            </w:tcBorders>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 xml:space="preserve">Harms </w:t>
            </w:r>
          </w:p>
        </w:tc>
      </w:tr>
      <w:tr w:rsidR="00A10325" w:rsidRPr="00EE2D44" w:rsidTr="00A10325">
        <w:trPr>
          <w:trHeight w:val="70"/>
        </w:trPr>
        <w:tc>
          <w:tcPr>
            <w:tcW w:w="738" w:type="pct"/>
            <w:vMerge w:val="restart"/>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p>
        </w:tc>
        <w:tc>
          <w:tcPr>
            <w:tcW w:w="509" w:type="pct"/>
            <w:vMerge w:val="restar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Active</w:t>
            </w:r>
          </w:p>
        </w:tc>
        <w:tc>
          <w:tcPr>
            <w:tcW w:w="508" w:type="pct"/>
            <w:gridSpan w:val="2"/>
            <w:vMerge w:val="restar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PBO</w:t>
            </w:r>
          </w:p>
        </w:tc>
        <w:tc>
          <w:tcPr>
            <w:tcW w:w="1026" w:type="pct"/>
            <w:vMerge w:val="restar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RR (95% CI)</w:t>
            </w:r>
          </w:p>
        </w:tc>
        <w:tc>
          <w:tcPr>
            <w:tcW w:w="1187" w:type="pct"/>
            <w:gridSpan w:val="2"/>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 xml:space="preserve">Event rate/100 patients* </w:t>
            </w:r>
          </w:p>
        </w:tc>
        <w:tc>
          <w:tcPr>
            <w:tcW w:w="1032" w:type="pct"/>
            <w:gridSpan w:val="2"/>
            <w:vMerge w:val="restar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RD</w:t>
            </w:r>
          </w:p>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lastRenderedPageBreak/>
              <w:t>(95% CI)</w:t>
            </w:r>
          </w:p>
        </w:tc>
      </w:tr>
      <w:tr w:rsidR="00A10325" w:rsidRPr="00EE2D44" w:rsidTr="00A10325">
        <w:trPr>
          <w:trHeight w:val="145"/>
        </w:trPr>
        <w:tc>
          <w:tcPr>
            <w:tcW w:w="738" w:type="pct"/>
            <w:vMerge/>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p>
        </w:tc>
        <w:tc>
          <w:tcPr>
            <w:tcW w:w="509" w:type="pct"/>
            <w:vMerge/>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p>
        </w:tc>
        <w:tc>
          <w:tcPr>
            <w:tcW w:w="508" w:type="pct"/>
            <w:gridSpan w:val="2"/>
            <w:vMerge/>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p>
        </w:tc>
        <w:tc>
          <w:tcPr>
            <w:tcW w:w="1026" w:type="pct"/>
            <w:vMerge/>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p>
        </w:tc>
        <w:tc>
          <w:tcPr>
            <w:tcW w:w="594" w:type="pc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Active</w:t>
            </w:r>
          </w:p>
        </w:tc>
        <w:tc>
          <w:tcPr>
            <w:tcW w:w="593" w:type="pct"/>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PBO</w:t>
            </w:r>
          </w:p>
        </w:tc>
        <w:tc>
          <w:tcPr>
            <w:tcW w:w="1032" w:type="pct"/>
            <w:gridSpan w:val="2"/>
            <w:vMerge/>
            <w:vAlign w:val="center"/>
          </w:tcPr>
          <w:p w:rsidR="00A10325" w:rsidRPr="00EE2D44" w:rsidRDefault="00A10325" w:rsidP="00A10325">
            <w:pPr>
              <w:widowControl w:val="0"/>
              <w:jc w:val="center"/>
              <w:rPr>
                <w:rFonts w:ascii="Arial Narrow" w:hAnsi="Arial Narrow" w:cs="Arial"/>
                <w:b/>
                <w:noProof/>
                <w:snapToGrid w:val="0"/>
                <w:color w:val="000000"/>
                <w:sz w:val="20"/>
                <w:szCs w:val="20"/>
                <w:lang w:eastAsia="en-US"/>
              </w:rPr>
            </w:pPr>
          </w:p>
        </w:tc>
      </w:tr>
      <w:tr w:rsidR="00A10325" w:rsidRPr="00EE2D44" w:rsidTr="00A10325">
        <w:tc>
          <w:tcPr>
            <w:tcW w:w="5000" w:type="pct"/>
            <w:gridSpan w:val="9"/>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b/>
                <w:noProof/>
                <w:snapToGrid w:val="0"/>
                <w:color w:val="000000"/>
                <w:sz w:val="20"/>
                <w:szCs w:val="20"/>
                <w:lang w:eastAsia="en-US"/>
              </w:rPr>
              <w:lastRenderedPageBreak/>
              <w:t>Any EPS or EPS-related event</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ASPIRE US (ARI LAI)</w:t>
            </w:r>
          </w:p>
        </w:tc>
        <w:tc>
          <w:tcPr>
            <w:tcW w:w="509"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40/269</w:t>
            </w:r>
          </w:p>
        </w:tc>
        <w:tc>
          <w:tcPr>
            <w:tcW w:w="508"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13/134</w:t>
            </w:r>
          </w:p>
        </w:tc>
        <w:tc>
          <w:tcPr>
            <w:tcW w:w="1026"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1.53 (0.85, 2.77)</w:t>
            </w:r>
          </w:p>
        </w:tc>
        <w:tc>
          <w:tcPr>
            <w:tcW w:w="594"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14.9</w:t>
            </w:r>
          </w:p>
        </w:tc>
        <w:tc>
          <w:tcPr>
            <w:tcW w:w="593"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9.7</w:t>
            </w:r>
          </w:p>
        </w:tc>
        <w:tc>
          <w:tcPr>
            <w:tcW w:w="1032"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0.05 (-0.01, 0.12)</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Hough 2010 (PP LAI)</w:t>
            </w:r>
          </w:p>
        </w:tc>
        <w:tc>
          <w:tcPr>
            <w:tcW w:w="509"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12/205</w:t>
            </w:r>
            <w:r w:rsidRPr="00EE2D44">
              <w:rPr>
                <w:rFonts w:ascii="Arial Narrow" w:hAnsi="Arial Narrow" w:cs="Arial"/>
                <w:noProof/>
                <w:snapToGrid w:val="0"/>
                <w:color w:val="000000"/>
                <w:sz w:val="20"/>
                <w:szCs w:val="20"/>
                <w:vertAlign w:val="superscript"/>
                <w:lang w:eastAsia="en-US"/>
              </w:rPr>
              <w:t>a</w:t>
            </w:r>
          </w:p>
        </w:tc>
        <w:tc>
          <w:tcPr>
            <w:tcW w:w="508"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4/203</w:t>
            </w:r>
            <w:r w:rsidRPr="00EE2D44">
              <w:rPr>
                <w:rFonts w:ascii="Arial Narrow" w:hAnsi="Arial Narrow" w:cs="Arial"/>
                <w:noProof/>
                <w:snapToGrid w:val="0"/>
                <w:color w:val="000000"/>
                <w:sz w:val="20"/>
                <w:szCs w:val="20"/>
                <w:vertAlign w:val="superscript"/>
                <w:lang w:eastAsia="en-US"/>
              </w:rPr>
              <w:t>a</w:t>
            </w:r>
          </w:p>
        </w:tc>
        <w:tc>
          <w:tcPr>
            <w:tcW w:w="1026"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2.97</w:t>
            </w:r>
            <w:r w:rsidRPr="00EE2D44">
              <w:rPr>
                <w:rFonts w:ascii="Arial Narrow" w:hAnsi="Arial Narrow" w:cs="Arial"/>
                <w:noProof/>
                <w:snapToGrid w:val="0"/>
                <w:color w:val="000000"/>
                <w:sz w:val="20"/>
                <w:szCs w:val="20"/>
                <w:vertAlign w:val="superscript"/>
                <w:lang w:eastAsia="en-US"/>
              </w:rPr>
              <w:t xml:space="preserve">a </w:t>
            </w:r>
            <w:r w:rsidRPr="00EE2D44">
              <w:rPr>
                <w:rFonts w:ascii="Arial Narrow" w:hAnsi="Arial Narrow" w:cs="Arial"/>
                <w:noProof/>
                <w:snapToGrid w:val="0"/>
                <w:color w:val="000000"/>
                <w:sz w:val="20"/>
                <w:szCs w:val="20"/>
                <w:lang w:eastAsia="en-US"/>
              </w:rPr>
              <w:t>(0.97, 9.06)</w:t>
            </w:r>
          </w:p>
        </w:tc>
        <w:tc>
          <w:tcPr>
            <w:tcW w:w="594"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6</w:t>
            </w:r>
          </w:p>
        </w:tc>
        <w:tc>
          <w:tcPr>
            <w:tcW w:w="593"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2</w:t>
            </w:r>
          </w:p>
        </w:tc>
        <w:tc>
          <w:tcPr>
            <w:tcW w:w="1032"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0.04</w:t>
            </w:r>
            <w:r w:rsidRPr="00EE2D44">
              <w:rPr>
                <w:rFonts w:ascii="Arial Narrow" w:hAnsi="Arial Narrow" w:cs="Arial"/>
                <w:noProof/>
                <w:snapToGrid w:val="0"/>
                <w:color w:val="000000"/>
                <w:sz w:val="20"/>
                <w:szCs w:val="20"/>
                <w:vertAlign w:val="superscript"/>
                <w:lang w:eastAsia="en-US"/>
              </w:rPr>
              <w:t>a</w:t>
            </w:r>
            <w:r w:rsidRPr="00EE2D44">
              <w:rPr>
                <w:rFonts w:ascii="Arial Narrow" w:hAnsi="Arial Narrow" w:cs="Arial"/>
                <w:noProof/>
                <w:snapToGrid w:val="0"/>
                <w:color w:val="000000"/>
                <w:sz w:val="20"/>
                <w:szCs w:val="20"/>
                <w:lang w:eastAsia="en-US"/>
              </w:rPr>
              <w:t xml:space="preserve"> (0.00, 0.08)</w:t>
            </w:r>
          </w:p>
        </w:tc>
      </w:tr>
      <w:tr w:rsidR="00A10325" w:rsidRPr="00EE2D44" w:rsidTr="00A10325">
        <w:tc>
          <w:tcPr>
            <w:tcW w:w="5000" w:type="pct"/>
            <w:gridSpan w:val="9"/>
            <w:shd w:val="clear" w:color="auto" w:fill="auto"/>
            <w:vAlign w:val="center"/>
          </w:tcPr>
          <w:p w:rsidR="00A10325" w:rsidRPr="00EE2D44" w:rsidRDefault="00A10325" w:rsidP="00A10325">
            <w:pPr>
              <w:widowControl w:val="0"/>
              <w:jc w:val="both"/>
              <w:rPr>
                <w:rFonts w:ascii="Arial Narrow" w:hAnsi="Arial Narrow" w:cs="Arial"/>
                <w:b/>
                <w:noProof/>
                <w:snapToGrid w:val="0"/>
                <w:color w:val="000000"/>
                <w:sz w:val="20"/>
                <w:szCs w:val="20"/>
                <w:lang w:eastAsia="en-US"/>
              </w:rPr>
            </w:pPr>
            <w:r w:rsidRPr="00EE2D44">
              <w:rPr>
                <w:rFonts w:ascii="Arial Narrow" w:hAnsi="Arial Narrow" w:cs="Arial"/>
                <w:b/>
                <w:noProof/>
                <w:snapToGrid w:val="0"/>
                <w:color w:val="000000"/>
                <w:sz w:val="20"/>
                <w:szCs w:val="20"/>
                <w:lang w:eastAsia="en-US"/>
              </w:rPr>
              <w:t>Weight increase</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ASPIRE US (ARI LAI)</w:t>
            </w:r>
          </w:p>
        </w:tc>
        <w:tc>
          <w:tcPr>
            <w:tcW w:w="509"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26/269</w:t>
            </w:r>
          </w:p>
        </w:tc>
        <w:tc>
          <w:tcPr>
            <w:tcW w:w="508"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13/134</w:t>
            </w:r>
          </w:p>
        </w:tc>
        <w:tc>
          <w:tcPr>
            <w:tcW w:w="1026"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1.00 (0.53, 0.88)</w:t>
            </w:r>
          </w:p>
        </w:tc>
        <w:tc>
          <w:tcPr>
            <w:tcW w:w="594"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9.7</w:t>
            </w:r>
          </w:p>
        </w:tc>
        <w:tc>
          <w:tcPr>
            <w:tcW w:w="593"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9.7</w:t>
            </w:r>
          </w:p>
        </w:tc>
        <w:tc>
          <w:tcPr>
            <w:tcW w:w="1032"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0.00 (-0.06, 0.06)</w:t>
            </w:r>
          </w:p>
        </w:tc>
      </w:tr>
      <w:tr w:rsidR="00A10325" w:rsidRPr="00EE2D44" w:rsidTr="00A10325">
        <w:tc>
          <w:tcPr>
            <w:tcW w:w="738" w:type="pct"/>
            <w:shd w:val="clear" w:color="auto" w:fill="auto"/>
            <w:vAlign w:val="center"/>
          </w:tcPr>
          <w:p w:rsidR="00A10325" w:rsidRPr="00EE2D44" w:rsidRDefault="00A10325" w:rsidP="00A10325">
            <w:pPr>
              <w:widowControl w:val="0"/>
              <w:jc w:val="both"/>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Hough 2010 (PP LAI)</w:t>
            </w:r>
          </w:p>
        </w:tc>
        <w:tc>
          <w:tcPr>
            <w:tcW w:w="509"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15/205</w:t>
            </w:r>
          </w:p>
        </w:tc>
        <w:tc>
          <w:tcPr>
            <w:tcW w:w="508"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2/203</w:t>
            </w:r>
          </w:p>
        </w:tc>
        <w:tc>
          <w:tcPr>
            <w:tcW w:w="1026"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7.43 (1.72, 32.06)</w:t>
            </w:r>
          </w:p>
        </w:tc>
        <w:tc>
          <w:tcPr>
            <w:tcW w:w="594"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7.3</w:t>
            </w:r>
          </w:p>
        </w:tc>
        <w:tc>
          <w:tcPr>
            <w:tcW w:w="593" w:type="pct"/>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1.0</w:t>
            </w:r>
          </w:p>
        </w:tc>
        <w:tc>
          <w:tcPr>
            <w:tcW w:w="1032" w:type="pct"/>
            <w:gridSpan w:val="2"/>
            <w:vAlign w:val="center"/>
          </w:tcPr>
          <w:p w:rsidR="00A10325" w:rsidRPr="00EE2D44" w:rsidRDefault="00A10325" w:rsidP="00A10325">
            <w:pPr>
              <w:widowControl w:val="0"/>
              <w:jc w:val="center"/>
              <w:rPr>
                <w:rFonts w:ascii="Arial Narrow" w:hAnsi="Arial Narrow" w:cs="Arial"/>
                <w:noProof/>
                <w:snapToGrid w:val="0"/>
                <w:color w:val="000000"/>
                <w:sz w:val="20"/>
                <w:szCs w:val="20"/>
                <w:lang w:eastAsia="en-US"/>
              </w:rPr>
            </w:pPr>
            <w:r w:rsidRPr="00EE2D44">
              <w:rPr>
                <w:rFonts w:ascii="Arial Narrow" w:hAnsi="Arial Narrow" w:cs="Arial"/>
                <w:noProof/>
                <w:snapToGrid w:val="0"/>
                <w:color w:val="000000"/>
                <w:sz w:val="20"/>
                <w:szCs w:val="20"/>
                <w:lang w:eastAsia="en-US"/>
              </w:rPr>
              <w:t>0.06 (0.03, 0.10)</w:t>
            </w:r>
          </w:p>
        </w:tc>
      </w:tr>
    </w:tbl>
    <w:p w:rsidR="00A10325" w:rsidRPr="00EE2D44" w:rsidRDefault="00A10325" w:rsidP="00A10325">
      <w:pPr>
        <w:pStyle w:val="ListParagraph"/>
        <w:rPr>
          <w:rFonts w:ascii="Arial Narrow" w:hAnsi="Arial Narrow"/>
          <w:noProof/>
          <w:sz w:val="18"/>
          <w:szCs w:val="18"/>
        </w:rPr>
      </w:pPr>
      <w:r w:rsidRPr="00EE2D44">
        <w:rPr>
          <w:rFonts w:ascii="Arial Narrow" w:hAnsi="Arial Narrow"/>
          <w:noProof/>
          <w:sz w:val="18"/>
          <w:szCs w:val="18"/>
        </w:rPr>
        <w:t>* Median duration of exposure: ASPIRE US ARI LAI=113 days, PBO=57 days; Hough 2010 PP LAI=171 days, PBO=105 days</w:t>
      </w:r>
    </w:p>
    <w:p w:rsidR="00A10325" w:rsidRPr="00EE2D44" w:rsidRDefault="00A10325" w:rsidP="00A10325">
      <w:pPr>
        <w:pStyle w:val="ListParagraph"/>
        <w:rPr>
          <w:rFonts w:ascii="Arial Narrow" w:hAnsi="Arial Narrow"/>
          <w:noProof/>
          <w:sz w:val="18"/>
          <w:szCs w:val="18"/>
        </w:rPr>
      </w:pPr>
      <w:r w:rsidRPr="00EE2D44">
        <w:rPr>
          <w:rFonts w:ascii="Arial Narrow" w:hAnsi="Arial Narrow"/>
          <w:noProof/>
          <w:sz w:val="18"/>
          <w:szCs w:val="18"/>
        </w:rPr>
        <w:t>a estimated from percentage reported in Hough 2010</w:t>
      </w:r>
      <w:r w:rsidR="00027DA2">
        <w:rPr>
          <w:rFonts w:ascii="Arial Narrow" w:hAnsi="Arial Narrow"/>
          <w:noProof/>
          <w:sz w:val="18"/>
          <w:szCs w:val="18"/>
        </w:rPr>
        <w:t xml:space="preserve">. </w:t>
      </w:r>
      <w:r w:rsidRPr="00EE2D44">
        <w:rPr>
          <w:rFonts w:ascii="Arial Narrow" w:hAnsi="Arial Narrow"/>
          <w:noProof/>
          <w:sz w:val="18"/>
          <w:szCs w:val="18"/>
        </w:rPr>
        <w:t>Abbreviations: ARI = aripiprazole; PBO = placebo; PP = paliperidone; RD = risk difference; RR = risk ratio</w:t>
      </w:r>
      <w:r w:rsidR="00C85A22" w:rsidRPr="00EE2D44">
        <w:rPr>
          <w:rFonts w:ascii="Arial Narrow" w:hAnsi="Arial Narrow"/>
          <w:noProof/>
          <w:sz w:val="18"/>
          <w:szCs w:val="18"/>
        </w:rPr>
        <w:t xml:space="preserve">. </w:t>
      </w:r>
      <w:r w:rsidRPr="00EE2D44">
        <w:rPr>
          <w:rFonts w:ascii="Arial Narrow" w:hAnsi="Arial Narrow"/>
          <w:noProof/>
          <w:sz w:val="18"/>
          <w:szCs w:val="18"/>
        </w:rPr>
        <w:t xml:space="preserve">Source: Compiled during the evaluation. </w:t>
      </w:r>
    </w:p>
    <w:p w:rsidR="008E5870" w:rsidRPr="00EE2D44" w:rsidRDefault="008E5870" w:rsidP="00882085">
      <w:pPr>
        <w:jc w:val="both"/>
        <w:rPr>
          <w:rFonts w:ascii="Arial" w:hAnsi="Arial"/>
          <w:noProof/>
          <w:sz w:val="22"/>
          <w:szCs w:val="22"/>
        </w:rPr>
      </w:pPr>
    </w:p>
    <w:p w:rsidR="00CD0FAE" w:rsidRPr="00EE2D44" w:rsidRDefault="00CD0FAE" w:rsidP="00CD0FAE">
      <w:pPr>
        <w:pStyle w:val="ListParagraph"/>
        <w:numPr>
          <w:ilvl w:val="1"/>
          <w:numId w:val="25"/>
        </w:numPr>
        <w:jc w:val="both"/>
        <w:rPr>
          <w:rFonts w:ascii="Arial" w:hAnsi="Arial"/>
          <w:noProof/>
          <w:sz w:val="22"/>
          <w:szCs w:val="22"/>
        </w:rPr>
      </w:pPr>
      <w:r w:rsidRPr="00EE2D44">
        <w:rPr>
          <w:rFonts w:ascii="Arial" w:hAnsi="Arial"/>
          <w:noProof/>
          <w:sz w:val="22"/>
          <w:szCs w:val="22"/>
        </w:rPr>
        <w:t xml:space="preserve">Based on an indirect comparison using placebo as the common comparator, the </w:t>
      </w:r>
      <w:r w:rsidR="00C85A22" w:rsidRPr="00EE2D44">
        <w:rPr>
          <w:rFonts w:ascii="Arial" w:hAnsi="Arial"/>
          <w:noProof/>
          <w:sz w:val="22"/>
          <w:szCs w:val="22"/>
        </w:rPr>
        <w:t>ESC</w:t>
      </w:r>
      <w:r w:rsidRPr="00EE2D44">
        <w:rPr>
          <w:rFonts w:ascii="Arial" w:hAnsi="Arial"/>
          <w:noProof/>
          <w:sz w:val="22"/>
          <w:szCs w:val="22"/>
        </w:rPr>
        <w:t xml:space="preserve"> considered that aripiprazole LAI appears to be no worse than paliperidone LAI in the maintenance treatment of schizophrenia. </w:t>
      </w:r>
    </w:p>
    <w:p w:rsidR="00CD0FAE" w:rsidRPr="00EE2D44" w:rsidRDefault="00CD0FAE" w:rsidP="00CD0FAE">
      <w:pPr>
        <w:pStyle w:val="ListParagraph"/>
        <w:jc w:val="both"/>
        <w:rPr>
          <w:rFonts w:ascii="Arial" w:hAnsi="Arial"/>
          <w:noProof/>
          <w:sz w:val="22"/>
          <w:szCs w:val="22"/>
        </w:rPr>
      </w:pPr>
    </w:p>
    <w:p w:rsidR="00A10325" w:rsidRPr="00EE2D44" w:rsidRDefault="00A10325" w:rsidP="00CD0FAE">
      <w:pPr>
        <w:pStyle w:val="ListParagraph"/>
        <w:numPr>
          <w:ilvl w:val="1"/>
          <w:numId w:val="25"/>
        </w:numPr>
        <w:jc w:val="both"/>
        <w:rPr>
          <w:rFonts w:ascii="Arial" w:hAnsi="Arial"/>
          <w:noProof/>
          <w:sz w:val="22"/>
          <w:szCs w:val="22"/>
        </w:rPr>
      </w:pPr>
      <w:r w:rsidRPr="00EE2D44">
        <w:rPr>
          <w:rFonts w:ascii="Arial" w:hAnsi="Arial"/>
          <w:noProof/>
          <w:sz w:val="22"/>
          <w:szCs w:val="22"/>
        </w:rPr>
        <w:t xml:space="preserve"> </w:t>
      </w:r>
      <w:r w:rsidR="00CD0FAE" w:rsidRPr="00EE2D44">
        <w:rPr>
          <w:rFonts w:ascii="Arial" w:hAnsi="Arial"/>
          <w:noProof/>
          <w:sz w:val="22"/>
          <w:szCs w:val="22"/>
        </w:rPr>
        <w:t xml:space="preserve">On the basis of the indirect comparison, the </w:t>
      </w:r>
      <w:r w:rsidR="00C85A22" w:rsidRPr="00EE2D44">
        <w:rPr>
          <w:rFonts w:ascii="Arial" w:hAnsi="Arial"/>
          <w:noProof/>
          <w:sz w:val="22"/>
          <w:szCs w:val="22"/>
        </w:rPr>
        <w:t>ESC</w:t>
      </w:r>
      <w:r w:rsidR="00CD0FAE" w:rsidRPr="00EE2D44">
        <w:rPr>
          <w:rFonts w:ascii="Arial" w:hAnsi="Arial"/>
          <w:noProof/>
          <w:sz w:val="22"/>
          <w:szCs w:val="22"/>
        </w:rPr>
        <w:t xml:space="preserve"> considered that the frequency of adverse effects appears to be the same for the two treatments.</w:t>
      </w:r>
      <w:r w:rsidR="00CD0FAE" w:rsidRPr="00EE2D44">
        <w:rPr>
          <w:rFonts w:ascii="Arial" w:hAnsi="Arial"/>
          <w:noProof/>
          <w:color w:val="FF0000"/>
          <w:sz w:val="22"/>
          <w:szCs w:val="22"/>
        </w:rPr>
        <w:t xml:space="preserve"> </w:t>
      </w:r>
    </w:p>
    <w:p w:rsidR="00CD0FAE" w:rsidRPr="00EE2D44" w:rsidRDefault="00CD0FAE" w:rsidP="00CD0FAE">
      <w:pPr>
        <w:pStyle w:val="ListParagraph"/>
        <w:jc w:val="both"/>
        <w:rPr>
          <w:rFonts w:ascii="Arial" w:hAnsi="Arial"/>
          <w:noProof/>
          <w:sz w:val="22"/>
          <w:szCs w:val="22"/>
        </w:rPr>
      </w:pPr>
    </w:p>
    <w:p w:rsidR="00A10325" w:rsidRPr="00EE2D44" w:rsidRDefault="00A10325"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A summary of the comparative benefits and harms for aripiprazole LAI versus aripiprazole tablets from ASPRE </w:t>
      </w:r>
      <w:r w:rsidR="000A0E59" w:rsidRPr="00EE2D44">
        <w:rPr>
          <w:rFonts w:ascii="Arial" w:hAnsi="Arial"/>
          <w:noProof/>
          <w:sz w:val="22"/>
          <w:szCs w:val="22"/>
        </w:rPr>
        <w:t>EU</w:t>
      </w:r>
      <w:r w:rsidRPr="00EE2D44">
        <w:rPr>
          <w:rFonts w:ascii="Arial" w:hAnsi="Arial"/>
          <w:noProof/>
          <w:sz w:val="22"/>
          <w:szCs w:val="22"/>
        </w:rPr>
        <w:t xml:space="preserve"> is presented in</w:t>
      </w:r>
      <w:r w:rsidR="000A0E59" w:rsidRPr="00EE2D44">
        <w:rPr>
          <w:rFonts w:ascii="Arial" w:hAnsi="Arial"/>
          <w:noProof/>
          <w:sz w:val="22"/>
          <w:szCs w:val="22"/>
        </w:rPr>
        <w:t xml:space="preserve"> the table below. </w:t>
      </w:r>
    </w:p>
    <w:p w:rsidR="00A10325" w:rsidRPr="00EE2D44" w:rsidRDefault="00A10325" w:rsidP="000A0E59">
      <w:pPr>
        <w:pStyle w:val="ListParagraph"/>
        <w:ind w:left="709"/>
        <w:jc w:val="both"/>
        <w:rPr>
          <w:rFonts w:ascii="Arial" w:hAnsi="Arial"/>
          <w:noProof/>
          <w:sz w:val="22"/>
          <w:szCs w:val="22"/>
        </w:rPr>
      </w:pPr>
    </w:p>
    <w:tbl>
      <w:tblPr>
        <w:tblStyle w:val="TableGrid"/>
        <w:tblW w:w="4594" w:type="pct"/>
        <w:tblInd w:w="737" w:type="dxa"/>
        <w:tblCellMar>
          <w:left w:w="28" w:type="dxa"/>
          <w:right w:w="28" w:type="dxa"/>
        </w:tblCellMar>
        <w:tblLook w:val="04A0" w:firstRow="1" w:lastRow="0" w:firstColumn="1" w:lastColumn="0" w:noHBand="0" w:noVBand="1"/>
        <w:tblDescription w:val="summary of the comparative benefits and harms for aripiprazole"/>
      </w:tblPr>
      <w:tblGrid>
        <w:gridCol w:w="1211"/>
        <w:gridCol w:w="1211"/>
        <w:gridCol w:w="1833"/>
        <w:gridCol w:w="1212"/>
        <w:gridCol w:w="1479"/>
        <w:gridCol w:w="1399"/>
      </w:tblGrid>
      <w:tr w:rsidR="000A0E59" w:rsidRPr="00EE2D44" w:rsidTr="00664D46">
        <w:trPr>
          <w:trHeight w:val="150"/>
        </w:trPr>
        <w:tc>
          <w:tcPr>
            <w:tcW w:w="726" w:type="pct"/>
            <w:vMerge w:val="restar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Aripiprazole LAI</w:t>
            </w:r>
          </w:p>
        </w:tc>
        <w:tc>
          <w:tcPr>
            <w:tcW w:w="726" w:type="pct"/>
            <w:vMerge w:val="restar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Aripiprazole tablets</w:t>
            </w:r>
          </w:p>
        </w:tc>
        <w:tc>
          <w:tcPr>
            <w:tcW w:w="1098" w:type="pct"/>
            <w:vMerge w:val="restar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RR (95% CI)</w:t>
            </w:r>
          </w:p>
        </w:tc>
        <w:tc>
          <w:tcPr>
            <w:tcW w:w="1612" w:type="pct"/>
            <w:gridSpan w:val="2"/>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 xml:space="preserve">Event rate/100 patients* </w:t>
            </w:r>
          </w:p>
        </w:tc>
        <w:tc>
          <w:tcPr>
            <w:tcW w:w="838" w:type="pct"/>
            <w:vMerge w:val="restar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RD (95% CI)</w:t>
            </w:r>
          </w:p>
        </w:tc>
      </w:tr>
      <w:tr w:rsidR="00664D46" w:rsidRPr="00EE2D44" w:rsidTr="00664D46">
        <w:trPr>
          <w:trHeight w:val="315"/>
        </w:trPr>
        <w:tc>
          <w:tcPr>
            <w:tcW w:w="726" w:type="pct"/>
            <w:vMerge/>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p>
        </w:tc>
        <w:tc>
          <w:tcPr>
            <w:tcW w:w="726" w:type="pct"/>
            <w:vMerge/>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p>
        </w:tc>
        <w:tc>
          <w:tcPr>
            <w:tcW w:w="1098" w:type="pct"/>
            <w:vMerge/>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p>
        </w:tc>
        <w:tc>
          <w:tcPr>
            <w:tcW w:w="726" w:type="pc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Aripiprazole LAI</w:t>
            </w:r>
          </w:p>
        </w:tc>
        <w:tc>
          <w:tcPr>
            <w:tcW w:w="886" w:type="pct"/>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Aripiprazole tablets</w:t>
            </w:r>
          </w:p>
        </w:tc>
        <w:tc>
          <w:tcPr>
            <w:tcW w:w="838" w:type="pct"/>
            <w:vMerge/>
            <w:vAlign w:val="center"/>
          </w:tcPr>
          <w:p w:rsidR="000A0E59" w:rsidRPr="00EE2D44" w:rsidRDefault="000A0E59" w:rsidP="000A0E59">
            <w:pPr>
              <w:widowControl w:val="0"/>
              <w:jc w:val="center"/>
              <w:rPr>
                <w:rFonts w:ascii="Arial Narrow" w:hAnsi="Arial Narrow" w:cs="Arial"/>
                <w:b/>
                <w:noProof/>
                <w:snapToGrid w:val="0"/>
                <w:color w:val="000000"/>
                <w:sz w:val="20"/>
                <w:szCs w:val="18"/>
                <w:lang w:eastAsia="en-US"/>
              </w:rPr>
            </w:pPr>
          </w:p>
        </w:tc>
      </w:tr>
      <w:tr w:rsidR="000A0E59" w:rsidRPr="00EE2D44" w:rsidTr="000A0E59">
        <w:tc>
          <w:tcPr>
            <w:tcW w:w="5000" w:type="pct"/>
            <w:gridSpan w:val="6"/>
            <w:shd w:val="clear" w:color="auto" w:fill="auto"/>
            <w:vAlign w:val="center"/>
          </w:tcPr>
          <w:p w:rsidR="000A0E59" w:rsidRPr="00EE2D44" w:rsidRDefault="000A0E59" w:rsidP="000A0E59">
            <w:pPr>
              <w:widowControl w:val="0"/>
              <w:jc w:val="both"/>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Benefits</w:t>
            </w:r>
          </w:p>
        </w:tc>
      </w:tr>
      <w:tr w:rsidR="000A0E59" w:rsidRPr="00EE2D44" w:rsidTr="000A0E59">
        <w:tc>
          <w:tcPr>
            <w:tcW w:w="5000" w:type="pct"/>
            <w:gridSpan w:val="6"/>
            <w:shd w:val="clear" w:color="auto" w:fill="auto"/>
            <w:vAlign w:val="center"/>
          </w:tcPr>
          <w:p w:rsidR="000A0E59" w:rsidRPr="00EE2D44" w:rsidRDefault="000A0E59" w:rsidP="000A0E59">
            <w:pPr>
              <w:widowControl w:val="0"/>
              <w:jc w:val="both"/>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 xml:space="preserve">Proportion with relapse </w:t>
            </w:r>
          </w:p>
        </w:tc>
      </w:tr>
      <w:tr w:rsidR="00664D46" w:rsidRPr="00EE2D44" w:rsidTr="00664D46">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Overall: 22/265</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Overall: 21/266</w:t>
            </w:r>
          </w:p>
        </w:tc>
        <w:tc>
          <w:tcPr>
            <w:tcW w:w="109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HR: 0.991 (0.545, 1.803)</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Week 26: 7.12%</w:t>
            </w:r>
          </w:p>
        </w:tc>
        <w:tc>
          <w:tcPr>
            <w:tcW w:w="88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Week 26: 7.76%</w:t>
            </w:r>
          </w:p>
        </w:tc>
        <w:tc>
          <w:tcPr>
            <w:tcW w:w="83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-0.01 (-0.05, 0.04)</w:t>
            </w:r>
          </w:p>
        </w:tc>
      </w:tr>
      <w:tr w:rsidR="000A0E59" w:rsidRPr="00EE2D44" w:rsidTr="000A0E59">
        <w:tc>
          <w:tcPr>
            <w:tcW w:w="5000" w:type="pct"/>
            <w:gridSpan w:val="6"/>
            <w:tcBorders>
              <w:top w:val="double" w:sz="4" w:space="0" w:color="auto"/>
            </w:tcBorders>
            <w:shd w:val="clear" w:color="auto" w:fill="auto"/>
            <w:vAlign w:val="center"/>
          </w:tcPr>
          <w:p w:rsidR="000A0E59" w:rsidRPr="00EE2D44" w:rsidRDefault="000A0E59" w:rsidP="000A0E59">
            <w:pPr>
              <w:widowControl w:val="0"/>
              <w:jc w:val="both"/>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 xml:space="preserve">Harms </w:t>
            </w:r>
          </w:p>
        </w:tc>
      </w:tr>
      <w:tr w:rsidR="000A0E59" w:rsidRPr="00EE2D44" w:rsidTr="000A0E59">
        <w:tc>
          <w:tcPr>
            <w:tcW w:w="5000" w:type="pct"/>
            <w:gridSpan w:val="6"/>
            <w:shd w:val="clear" w:color="auto" w:fill="auto"/>
            <w:vAlign w:val="center"/>
          </w:tcPr>
          <w:p w:rsidR="000A0E59" w:rsidRPr="00EE2D44" w:rsidRDefault="000A0E59" w:rsidP="000A0E59">
            <w:pPr>
              <w:widowControl w:val="0"/>
              <w:jc w:val="both"/>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Injection site pain</w:t>
            </w:r>
          </w:p>
        </w:tc>
      </w:tr>
      <w:tr w:rsidR="00664D46" w:rsidRPr="00EE2D44" w:rsidTr="00664D46">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20/265</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6/266</w:t>
            </w:r>
          </w:p>
        </w:tc>
        <w:tc>
          <w:tcPr>
            <w:tcW w:w="109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3.35 (1.37, 8.20)</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7.5</w:t>
            </w:r>
          </w:p>
        </w:tc>
        <w:tc>
          <w:tcPr>
            <w:tcW w:w="88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2.3</w:t>
            </w:r>
          </w:p>
        </w:tc>
        <w:tc>
          <w:tcPr>
            <w:tcW w:w="83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0.05 (0.02, 0.09)</w:t>
            </w:r>
          </w:p>
        </w:tc>
      </w:tr>
      <w:tr w:rsidR="000A0E59" w:rsidRPr="00EE2D44" w:rsidTr="000A0E59">
        <w:tc>
          <w:tcPr>
            <w:tcW w:w="5000" w:type="pct"/>
            <w:gridSpan w:val="6"/>
            <w:shd w:val="clear" w:color="auto" w:fill="auto"/>
            <w:vAlign w:val="center"/>
          </w:tcPr>
          <w:p w:rsidR="000A0E59" w:rsidRPr="00EE2D44" w:rsidRDefault="000A0E59" w:rsidP="000A0E59">
            <w:pPr>
              <w:widowControl w:val="0"/>
              <w:jc w:val="both"/>
              <w:rPr>
                <w:rFonts w:ascii="Arial Narrow" w:hAnsi="Arial Narrow" w:cs="Arial"/>
                <w:b/>
                <w:noProof/>
                <w:snapToGrid w:val="0"/>
                <w:color w:val="000000"/>
                <w:sz w:val="20"/>
                <w:szCs w:val="18"/>
                <w:lang w:eastAsia="en-US"/>
              </w:rPr>
            </w:pPr>
            <w:r w:rsidRPr="00EE2D44">
              <w:rPr>
                <w:rFonts w:ascii="Arial Narrow" w:hAnsi="Arial Narrow" w:cs="Arial"/>
                <w:b/>
                <w:noProof/>
                <w:snapToGrid w:val="0"/>
                <w:color w:val="000000"/>
                <w:sz w:val="20"/>
                <w:szCs w:val="18"/>
                <w:lang w:eastAsia="en-US"/>
              </w:rPr>
              <w:t>Any EPS or EPS-related event</w:t>
            </w:r>
          </w:p>
        </w:tc>
      </w:tr>
      <w:tr w:rsidR="00664D46" w:rsidRPr="00EE2D44" w:rsidTr="00664D46">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58/265</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31/266</w:t>
            </w:r>
          </w:p>
        </w:tc>
        <w:tc>
          <w:tcPr>
            <w:tcW w:w="109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1.88 (1.26, 2.81)</w:t>
            </w:r>
          </w:p>
        </w:tc>
        <w:tc>
          <w:tcPr>
            <w:tcW w:w="72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21.9</w:t>
            </w:r>
          </w:p>
        </w:tc>
        <w:tc>
          <w:tcPr>
            <w:tcW w:w="886"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11.7</w:t>
            </w:r>
          </w:p>
        </w:tc>
        <w:tc>
          <w:tcPr>
            <w:tcW w:w="838" w:type="pct"/>
            <w:vAlign w:val="center"/>
          </w:tcPr>
          <w:p w:rsidR="000A0E59" w:rsidRPr="00EE2D44" w:rsidRDefault="000A0E59" w:rsidP="000A0E59">
            <w:pPr>
              <w:widowControl w:val="0"/>
              <w:jc w:val="center"/>
              <w:rPr>
                <w:rFonts w:ascii="Arial Narrow" w:hAnsi="Arial Narrow" w:cs="Arial"/>
                <w:noProof/>
                <w:snapToGrid w:val="0"/>
                <w:color w:val="000000"/>
                <w:sz w:val="20"/>
                <w:szCs w:val="18"/>
                <w:lang w:eastAsia="en-US"/>
              </w:rPr>
            </w:pPr>
            <w:r w:rsidRPr="00EE2D44">
              <w:rPr>
                <w:rFonts w:ascii="Arial Narrow" w:hAnsi="Arial Narrow" w:cs="Arial"/>
                <w:noProof/>
                <w:snapToGrid w:val="0"/>
                <w:color w:val="000000"/>
                <w:sz w:val="20"/>
                <w:szCs w:val="18"/>
                <w:lang w:eastAsia="en-US"/>
              </w:rPr>
              <w:t>0.10 (0.04, 0.17)</w:t>
            </w:r>
          </w:p>
        </w:tc>
      </w:tr>
    </w:tbl>
    <w:p w:rsidR="000A0E59" w:rsidRPr="00EE2D44" w:rsidRDefault="000A0E59" w:rsidP="000A0E59">
      <w:pPr>
        <w:pStyle w:val="ListParagraph"/>
        <w:ind w:left="709"/>
        <w:rPr>
          <w:rFonts w:ascii="Arial Narrow" w:hAnsi="Arial Narrow"/>
          <w:noProof/>
          <w:sz w:val="18"/>
          <w:szCs w:val="18"/>
        </w:rPr>
      </w:pPr>
      <w:r w:rsidRPr="00EE2D44">
        <w:rPr>
          <w:rFonts w:ascii="Arial Narrow" w:hAnsi="Arial Narrow"/>
          <w:noProof/>
          <w:sz w:val="18"/>
          <w:szCs w:val="18"/>
        </w:rPr>
        <w:t>* Maximum duration of follow-up: 38 weeks. Abbreviations: CI=confidence interval; HR=hazard ratio; RD = risk difference; RR = risk ratio</w:t>
      </w:r>
      <w:r w:rsidR="00027DA2">
        <w:rPr>
          <w:rFonts w:ascii="Arial Narrow" w:hAnsi="Arial Narrow"/>
          <w:noProof/>
          <w:sz w:val="18"/>
          <w:szCs w:val="18"/>
        </w:rPr>
        <w:t xml:space="preserve">. </w:t>
      </w:r>
      <w:r w:rsidRPr="00EE2D44">
        <w:rPr>
          <w:rFonts w:ascii="Arial Narrow" w:hAnsi="Arial Narrow"/>
          <w:noProof/>
          <w:sz w:val="18"/>
          <w:szCs w:val="18"/>
        </w:rPr>
        <w:t xml:space="preserve">Source: Compiled during the evaluation. </w:t>
      </w:r>
    </w:p>
    <w:p w:rsidR="00A10325" w:rsidRPr="00EE2D44" w:rsidRDefault="00A10325" w:rsidP="00A10325">
      <w:pPr>
        <w:pStyle w:val="ListParagraph"/>
        <w:ind w:left="709"/>
        <w:jc w:val="both"/>
        <w:rPr>
          <w:rFonts w:ascii="Arial" w:hAnsi="Arial"/>
          <w:noProof/>
          <w:sz w:val="22"/>
          <w:szCs w:val="22"/>
        </w:rPr>
      </w:pPr>
    </w:p>
    <w:p w:rsidR="005B7FE2" w:rsidRPr="00EE2D44" w:rsidRDefault="005B7FE2" w:rsidP="005B7FE2">
      <w:pPr>
        <w:pStyle w:val="ListParagraph"/>
        <w:numPr>
          <w:ilvl w:val="1"/>
          <w:numId w:val="25"/>
        </w:numPr>
        <w:jc w:val="both"/>
        <w:rPr>
          <w:rFonts w:ascii="Arial" w:hAnsi="Arial"/>
          <w:noProof/>
          <w:sz w:val="22"/>
          <w:szCs w:val="22"/>
        </w:rPr>
      </w:pPr>
      <w:r w:rsidRPr="00EE2D44">
        <w:rPr>
          <w:rFonts w:ascii="Arial" w:hAnsi="Arial"/>
          <w:noProof/>
          <w:sz w:val="22"/>
          <w:szCs w:val="22"/>
        </w:rPr>
        <w:t>On the basis of the head to head trial, the ESC considered that aripiprazole LAI appears to have the same effect as aripiprazole tablet in the maintenance treatment of schizophrenia.</w:t>
      </w:r>
      <w:r w:rsidR="000A0E59" w:rsidRPr="00EE2D44">
        <w:rPr>
          <w:rFonts w:ascii="Arial" w:hAnsi="Arial"/>
          <w:noProof/>
          <w:sz w:val="22"/>
          <w:szCs w:val="22"/>
        </w:rPr>
        <w:t xml:space="preserve"> </w:t>
      </w:r>
    </w:p>
    <w:p w:rsidR="005B7FE2" w:rsidRPr="00EE2D44" w:rsidRDefault="005B7FE2" w:rsidP="005B7FE2">
      <w:pPr>
        <w:pStyle w:val="ListParagraph"/>
        <w:jc w:val="both"/>
        <w:rPr>
          <w:rFonts w:ascii="Arial" w:hAnsi="Arial"/>
          <w:noProof/>
          <w:sz w:val="22"/>
          <w:szCs w:val="22"/>
        </w:rPr>
      </w:pPr>
    </w:p>
    <w:p w:rsidR="005B7FE2" w:rsidRPr="00EE2D44" w:rsidRDefault="005B7FE2" w:rsidP="005B7FE2">
      <w:pPr>
        <w:pStyle w:val="ListParagraph"/>
        <w:numPr>
          <w:ilvl w:val="1"/>
          <w:numId w:val="25"/>
        </w:numPr>
        <w:jc w:val="both"/>
        <w:rPr>
          <w:rFonts w:ascii="Arial" w:hAnsi="Arial"/>
          <w:noProof/>
          <w:sz w:val="22"/>
          <w:szCs w:val="22"/>
        </w:rPr>
      </w:pPr>
      <w:r w:rsidRPr="00EE2D44">
        <w:rPr>
          <w:rFonts w:ascii="Arial" w:hAnsi="Arial"/>
          <w:noProof/>
          <w:sz w:val="22"/>
          <w:szCs w:val="22"/>
        </w:rPr>
        <w:t>On the basis of the head to head trial presented, the ESC considered that the frequency of adverse effects appears to be the same for the two treatments.</w:t>
      </w:r>
      <w:r w:rsidR="00676175" w:rsidRPr="00EE2D44">
        <w:rPr>
          <w:rFonts w:ascii="Arial" w:hAnsi="Arial"/>
          <w:noProof/>
          <w:color w:val="FF0000"/>
          <w:sz w:val="22"/>
          <w:szCs w:val="22"/>
        </w:rPr>
        <w:t xml:space="preserve"> </w:t>
      </w:r>
    </w:p>
    <w:p w:rsidR="00676175" w:rsidRPr="00EE2D44" w:rsidRDefault="00676175" w:rsidP="00676175">
      <w:pPr>
        <w:pStyle w:val="ListParagraph"/>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882085" w:rsidRPr="00EE2D44" w:rsidRDefault="00882085" w:rsidP="00882085">
      <w:pPr>
        <w:jc w:val="both"/>
        <w:rPr>
          <w:rFonts w:ascii="Arial" w:hAnsi="Arial"/>
          <w:b/>
          <w:i/>
          <w:noProof/>
          <w:sz w:val="22"/>
          <w:szCs w:val="22"/>
        </w:rPr>
      </w:pPr>
    </w:p>
    <w:p w:rsidR="005A3173" w:rsidRPr="00EE2D44" w:rsidRDefault="005A3173" w:rsidP="00882085">
      <w:pPr>
        <w:jc w:val="both"/>
        <w:rPr>
          <w:rFonts w:ascii="Arial" w:hAnsi="Arial"/>
          <w:b/>
          <w:i/>
          <w:noProof/>
          <w:sz w:val="22"/>
          <w:szCs w:val="22"/>
        </w:rPr>
      </w:pPr>
      <w:r w:rsidRPr="00EE2D44">
        <w:rPr>
          <w:rFonts w:ascii="Arial" w:hAnsi="Arial"/>
          <w:b/>
          <w:i/>
          <w:noProof/>
          <w:sz w:val="22"/>
          <w:szCs w:val="22"/>
        </w:rPr>
        <w:t>Clinical claim</w:t>
      </w:r>
    </w:p>
    <w:p w:rsidR="005A3173" w:rsidRPr="00EE2D44" w:rsidRDefault="005A3173" w:rsidP="00882085">
      <w:pPr>
        <w:ind w:left="720" w:hanging="720"/>
        <w:jc w:val="both"/>
        <w:rPr>
          <w:rFonts w:ascii="Arial" w:hAnsi="Arial"/>
          <w:noProof/>
          <w:sz w:val="22"/>
          <w:szCs w:val="22"/>
        </w:rPr>
      </w:pPr>
    </w:p>
    <w:p w:rsidR="00BB7EC3" w:rsidRPr="00EE2D44" w:rsidRDefault="00A41824" w:rsidP="00845BFB">
      <w:pPr>
        <w:pStyle w:val="ListParagraph"/>
        <w:numPr>
          <w:ilvl w:val="1"/>
          <w:numId w:val="25"/>
        </w:numPr>
        <w:jc w:val="both"/>
        <w:rPr>
          <w:rFonts w:ascii="Arial" w:hAnsi="Arial"/>
          <w:noProof/>
          <w:sz w:val="22"/>
          <w:szCs w:val="22"/>
        </w:rPr>
      </w:pPr>
      <w:r w:rsidRPr="00EE2D44">
        <w:rPr>
          <w:rFonts w:ascii="Arial" w:hAnsi="Arial"/>
          <w:noProof/>
          <w:sz w:val="22"/>
          <w:szCs w:val="22"/>
        </w:rPr>
        <w:t>The submission describes aripiprazole LAI as non-inferior in terms of comparative effectiveness and equivalent in terms of comparative safety over the main comparator paliperidone LAI, and the secondary comparators aripiprazole tablets and risperidone LAI.</w:t>
      </w:r>
    </w:p>
    <w:p w:rsidR="00A41824" w:rsidRPr="00EE2D44" w:rsidRDefault="00A41824" w:rsidP="00A41824">
      <w:pPr>
        <w:pStyle w:val="ListParagraph"/>
        <w:numPr>
          <w:ilvl w:val="0"/>
          <w:numId w:val="40"/>
        </w:numPr>
        <w:jc w:val="both"/>
        <w:rPr>
          <w:rFonts w:ascii="Arial" w:hAnsi="Arial"/>
          <w:i/>
          <w:noProof/>
          <w:sz w:val="22"/>
          <w:szCs w:val="22"/>
        </w:rPr>
      </w:pPr>
      <w:r w:rsidRPr="00EE2D44">
        <w:rPr>
          <w:rFonts w:ascii="Arial" w:hAnsi="Arial"/>
          <w:noProof/>
          <w:sz w:val="22"/>
          <w:szCs w:val="22"/>
        </w:rPr>
        <w:lastRenderedPageBreak/>
        <w:t>This claim is adequately supported for the comparison with paliperidone LAI in the maintenance setting, although it is based on an indirect comparison and as noted above there are differences across the trials</w:t>
      </w:r>
      <w:r w:rsidRPr="00EE2D44">
        <w:rPr>
          <w:rFonts w:ascii="Arial" w:hAnsi="Arial"/>
          <w:i/>
          <w:noProof/>
          <w:sz w:val="22"/>
          <w:szCs w:val="22"/>
        </w:rPr>
        <w:t xml:space="preserve">. </w:t>
      </w:r>
    </w:p>
    <w:p w:rsidR="00F75575" w:rsidRPr="00EE2D44" w:rsidRDefault="00A41824" w:rsidP="00F75575">
      <w:pPr>
        <w:pStyle w:val="ListParagraph"/>
        <w:numPr>
          <w:ilvl w:val="0"/>
          <w:numId w:val="40"/>
        </w:numPr>
        <w:rPr>
          <w:rFonts w:ascii="Arial" w:hAnsi="Arial"/>
          <w:noProof/>
          <w:sz w:val="22"/>
          <w:szCs w:val="22"/>
        </w:rPr>
      </w:pPr>
      <w:r w:rsidRPr="00EE2D44">
        <w:rPr>
          <w:rFonts w:ascii="Arial" w:hAnsi="Arial"/>
          <w:noProof/>
          <w:sz w:val="22"/>
          <w:szCs w:val="22"/>
        </w:rPr>
        <w:t>This claim is adequately supported for the efficacy comparison with aripiprazole tablets in the maintenance setting.</w:t>
      </w:r>
      <w:r w:rsidRPr="00EE2D44">
        <w:rPr>
          <w:rFonts w:ascii="Arial" w:hAnsi="Arial"/>
          <w:i/>
          <w:noProof/>
          <w:sz w:val="22"/>
          <w:szCs w:val="22"/>
        </w:rPr>
        <w:t xml:space="preserve"> </w:t>
      </w:r>
      <w:r w:rsidRPr="00EE2D44">
        <w:rPr>
          <w:rFonts w:ascii="Arial" w:hAnsi="Arial"/>
          <w:noProof/>
          <w:sz w:val="22"/>
          <w:szCs w:val="22"/>
        </w:rPr>
        <w:t>In terms of safety</w:t>
      </w:r>
      <w:r w:rsidRPr="00EE2D44">
        <w:rPr>
          <w:rFonts w:ascii="Arial" w:hAnsi="Arial"/>
          <w:i/>
          <w:noProof/>
          <w:sz w:val="22"/>
          <w:szCs w:val="22"/>
        </w:rPr>
        <w:t xml:space="preserve">, </w:t>
      </w:r>
      <w:r w:rsidR="00F75575" w:rsidRPr="00EE2D44">
        <w:rPr>
          <w:rFonts w:ascii="Arial" w:hAnsi="Arial"/>
          <w:noProof/>
          <w:sz w:val="22"/>
          <w:szCs w:val="22"/>
        </w:rPr>
        <w:t xml:space="preserve">the frequency of adverse effects appears to be the same for the two treatments. </w:t>
      </w:r>
    </w:p>
    <w:p w:rsidR="00F75575" w:rsidRPr="00EE2D44" w:rsidRDefault="00F75575" w:rsidP="00F75575">
      <w:pPr>
        <w:pStyle w:val="ListParagraph"/>
        <w:numPr>
          <w:ilvl w:val="0"/>
          <w:numId w:val="40"/>
        </w:numPr>
        <w:rPr>
          <w:rFonts w:ascii="Arial" w:hAnsi="Arial"/>
          <w:noProof/>
          <w:sz w:val="22"/>
          <w:szCs w:val="22"/>
        </w:rPr>
      </w:pPr>
      <w:r w:rsidRPr="00EE2D44">
        <w:rPr>
          <w:rFonts w:ascii="Arial" w:hAnsi="Arial"/>
          <w:noProof/>
          <w:sz w:val="22"/>
          <w:szCs w:val="22"/>
        </w:rPr>
        <w:t xml:space="preserve">This claim is not adequately supported for the comparison with risperidone LAI in the maintenance setting. The comparison with risperidone (detailed in Attachment B_1 of the Commentary) is not reliable given differences across the trials potentially invalidating an indirect comparison. The PBAC did not consider this to be crucial to PBAC consideration given paliperidone LAI was recommended on the basis of cost-minimisation to risperidone LAI, and non-inferiority with paliperidone LAI is the main claim of this aripiprazole LAI submission.   </w:t>
      </w:r>
    </w:p>
    <w:p w:rsidR="00402455" w:rsidRPr="00EE2D44" w:rsidRDefault="00F75575" w:rsidP="00402455">
      <w:pPr>
        <w:pStyle w:val="ListParagraph"/>
        <w:numPr>
          <w:ilvl w:val="0"/>
          <w:numId w:val="40"/>
        </w:numPr>
        <w:jc w:val="both"/>
        <w:rPr>
          <w:rFonts w:ascii="Arial" w:hAnsi="Arial"/>
          <w:noProof/>
          <w:color w:val="FF0000"/>
          <w:sz w:val="22"/>
          <w:szCs w:val="22"/>
        </w:rPr>
      </w:pPr>
      <w:r w:rsidRPr="00EE2D44">
        <w:rPr>
          <w:rFonts w:ascii="Arial" w:hAnsi="Arial"/>
          <w:noProof/>
          <w:sz w:val="22"/>
          <w:szCs w:val="22"/>
        </w:rPr>
        <w:t>This claim is not adequately supported for the indirect comparisons versus paliperidone LAI and risperidone LAI in the acute setting due to substantial differences across the trials.</w:t>
      </w:r>
    </w:p>
    <w:p w:rsidR="00402455" w:rsidRPr="00EE2D44" w:rsidRDefault="00402455" w:rsidP="00402455">
      <w:pPr>
        <w:ind w:left="709"/>
        <w:jc w:val="both"/>
        <w:rPr>
          <w:rFonts w:ascii="Arial" w:hAnsi="Arial"/>
          <w:noProof/>
          <w:color w:val="FF0000"/>
          <w:sz w:val="22"/>
          <w:szCs w:val="22"/>
        </w:rPr>
      </w:pPr>
    </w:p>
    <w:p w:rsidR="00BB7EC3" w:rsidRPr="00EE2D44" w:rsidRDefault="00402455" w:rsidP="00402455">
      <w:pPr>
        <w:pStyle w:val="ListParagraph"/>
        <w:numPr>
          <w:ilvl w:val="1"/>
          <w:numId w:val="25"/>
        </w:numPr>
        <w:jc w:val="both"/>
        <w:rPr>
          <w:rFonts w:ascii="Arial" w:hAnsi="Arial"/>
          <w:noProof/>
          <w:sz w:val="22"/>
          <w:szCs w:val="22"/>
        </w:rPr>
      </w:pPr>
      <w:r w:rsidRPr="00EE2D44">
        <w:rPr>
          <w:rFonts w:ascii="Arial" w:hAnsi="Arial"/>
          <w:noProof/>
          <w:sz w:val="22"/>
          <w:szCs w:val="22"/>
        </w:rPr>
        <w:t xml:space="preserve">Overall, the ESC considered that aripiprazole LAI is non inferior in terms of efficacy and safety compared to paliperidone LAI and aripiprazole tablet in the maintenance treatment of schizophrenia. </w:t>
      </w:r>
    </w:p>
    <w:p w:rsidR="00D752C4" w:rsidRPr="00EE2D44" w:rsidRDefault="00D752C4" w:rsidP="00D752C4">
      <w:pPr>
        <w:pStyle w:val="ListParagraph"/>
        <w:jc w:val="both"/>
        <w:rPr>
          <w:rFonts w:ascii="Arial" w:hAnsi="Arial"/>
          <w:noProof/>
          <w:sz w:val="22"/>
          <w:szCs w:val="22"/>
        </w:rPr>
      </w:pPr>
    </w:p>
    <w:p w:rsidR="00D752C4" w:rsidRPr="00EE2D44" w:rsidRDefault="00D752C4" w:rsidP="00D752C4">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F57A6D" w:rsidRPr="00EE2D44" w:rsidRDefault="00F57A6D" w:rsidP="00882085">
      <w:pPr>
        <w:ind w:left="720" w:hanging="720"/>
        <w:jc w:val="both"/>
        <w:rPr>
          <w:rFonts w:ascii="Arial" w:hAnsi="Arial"/>
          <w:noProof/>
          <w:sz w:val="22"/>
          <w:szCs w:val="22"/>
        </w:rPr>
      </w:pPr>
    </w:p>
    <w:p w:rsidR="005A3173" w:rsidRPr="00EE2D44" w:rsidRDefault="005A3173" w:rsidP="00882085">
      <w:pPr>
        <w:ind w:left="720" w:hanging="720"/>
        <w:jc w:val="both"/>
        <w:rPr>
          <w:rFonts w:ascii="Arial" w:hAnsi="Arial"/>
          <w:b/>
          <w:i/>
          <w:noProof/>
          <w:sz w:val="22"/>
          <w:szCs w:val="22"/>
        </w:rPr>
      </w:pPr>
      <w:r w:rsidRPr="00EE2D44">
        <w:rPr>
          <w:rFonts w:ascii="Arial" w:hAnsi="Arial"/>
          <w:b/>
          <w:i/>
          <w:noProof/>
          <w:sz w:val="22"/>
          <w:szCs w:val="22"/>
        </w:rPr>
        <w:t>Economic analysis</w:t>
      </w:r>
    </w:p>
    <w:p w:rsidR="005A3173" w:rsidRPr="00EE2D44" w:rsidRDefault="005A3173" w:rsidP="00882085">
      <w:pPr>
        <w:ind w:left="720" w:hanging="720"/>
        <w:jc w:val="both"/>
        <w:rPr>
          <w:rFonts w:ascii="Arial" w:hAnsi="Arial"/>
          <w:noProof/>
          <w:sz w:val="22"/>
          <w:szCs w:val="22"/>
        </w:rPr>
      </w:pPr>
    </w:p>
    <w:p w:rsidR="00C202C3" w:rsidRPr="00EE2D44" w:rsidRDefault="00C202C3" w:rsidP="00845BFB">
      <w:pPr>
        <w:pStyle w:val="ListParagraph"/>
        <w:numPr>
          <w:ilvl w:val="1"/>
          <w:numId w:val="25"/>
        </w:numPr>
        <w:jc w:val="both"/>
        <w:rPr>
          <w:rFonts w:ascii="Arial" w:hAnsi="Arial"/>
          <w:noProof/>
          <w:sz w:val="22"/>
          <w:szCs w:val="22"/>
        </w:rPr>
      </w:pPr>
      <w:r w:rsidRPr="00EE2D44">
        <w:rPr>
          <w:rFonts w:ascii="Arial" w:hAnsi="Arial"/>
          <w:noProof/>
          <w:sz w:val="22"/>
          <w:szCs w:val="22"/>
        </w:rPr>
        <w:t>The requested prices for aripiprazole LAI are based on a 1:1.79 relative price advantage over aripiprazole tablets.  The justification provided in the submission for this approach is that olanzapine LAI, risperidone LAI and haloperidol LAI were priced with a 1:1.79 price advantage over the oral formulations (Olanzapine PSD, July 2009).</w:t>
      </w:r>
      <w:r w:rsidR="008F75BE" w:rsidRPr="00EE2D44">
        <w:rPr>
          <w:rFonts w:ascii="Arial" w:hAnsi="Arial"/>
          <w:noProof/>
          <w:sz w:val="22"/>
          <w:szCs w:val="22"/>
        </w:rPr>
        <w:t xml:space="preserve"> </w:t>
      </w:r>
    </w:p>
    <w:p w:rsidR="00B9052E" w:rsidRPr="00EE2D44" w:rsidRDefault="00B9052E" w:rsidP="00B9052E">
      <w:pPr>
        <w:pStyle w:val="ListParagraph"/>
        <w:jc w:val="both"/>
        <w:rPr>
          <w:rFonts w:ascii="Arial" w:hAnsi="Arial"/>
          <w:noProof/>
          <w:sz w:val="22"/>
          <w:szCs w:val="22"/>
        </w:rPr>
      </w:pPr>
    </w:p>
    <w:p w:rsidR="00B9052E" w:rsidRPr="00EE2D44" w:rsidRDefault="00B9052E" w:rsidP="00B9052E">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w:t>
      </w:r>
      <w:r w:rsidR="00402455" w:rsidRPr="00EE2D44">
        <w:rPr>
          <w:rFonts w:ascii="Arial" w:hAnsi="Arial"/>
          <w:noProof/>
          <w:sz w:val="22"/>
          <w:szCs w:val="22"/>
        </w:rPr>
        <w:t>ESC</w:t>
      </w:r>
      <w:r w:rsidRPr="00EE2D44">
        <w:rPr>
          <w:rFonts w:ascii="Arial" w:hAnsi="Arial"/>
          <w:noProof/>
          <w:sz w:val="22"/>
          <w:szCs w:val="22"/>
        </w:rPr>
        <w:t xml:space="preserve"> noted that paliperidone LAI was not priced based on the tablet formulation and instead was cost minimised versus risperidone LAI. </w:t>
      </w:r>
      <w:r w:rsidR="00F63268" w:rsidRPr="00EE2D44">
        <w:rPr>
          <w:rFonts w:ascii="Arial" w:hAnsi="Arial"/>
          <w:noProof/>
          <w:sz w:val="22"/>
          <w:szCs w:val="22"/>
        </w:rPr>
        <w:t xml:space="preserve"> </w:t>
      </w:r>
      <w:r w:rsidRPr="00EE2D44">
        <w:rPr>
          <w:rFonts w:ascii="Arial" w:hAnsi="Arial"/>
          <w:noProof/>
          <w:sz w:val="22"/>
          <w:szCs w:val="22"/>
        </w:rPr>
        <w:t>The PBAC should consider whether the 1:1.79 price advantage is applicable to aripiprazole LAI.</w:t>
      </w:r>
      <w:r w:rsidRPr="00EE2D44">
        <w:rPr>
          <w:rFonts w:ascii="Arial" w:hAnsi="Arial"/>
          <w:noProof/>
          <w:color w:val="FF0000"/>
          <w:sz w:val="22"/>
          <w:szCs w:val="22"/>
        </w:rPr>
        <w:t xml:space="preserve"> </w:t>
      </w:r>
    </w:p>
    <w:p w:rsidR="00C202C3" w:rsidRPr="00EE2D44" w:rsidRDefault="00C202C3" w:rsidP="00C202C3">
      <w:pPr>
        <w:pStyle w:val="ListParagraph"/>
        <w:ind w:left="709"/>
        <w:jc w:val="both"/>
        <w:rPr>
          <w:rFonts w:ascii="Arial" w:hAnsi="Arial"/>
          <w:noProof/>
          <w:sz w:val="22"/>
          <w:szCs w:val="22"/>
        </w:rPr>
      </w:pPr>
    </w:p>
    <w:p w:rsidR="00C202C3" w:rsidRPr="00EE2D44" w:rsidRDefault="00C202C3"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equi-effective doses are estimated as aripiprazole LAI 389.61 mg every 28 days and aripiprazole tablets 20.0 mg daily. </w:t>
      </w:r>
      <w:r w:rsidR="00F63268" w:rsidRPr="00EE2D44">
        <w:rPr>
          <w:rFonts w:ascii="Arial" w:hAnsi="Arial"/>
          <w:noProof/>
          <w:sz w:val="22"/>
          <w:szCs w:val="22"/>
        </w:rPr>
        <w:t xml:space="preserve"> </w:t>
      </w:r>
      <w:r w:rsidRPr="00EE2D44">
        <w:rPr>
          <w:rFonts w:ascii="Arial" w:hAnsi="Arial"/>
          <w:noProof/>
          <w:sz w:val="22"/>
          <w:szCs w:val="22"/>
        </w:rPr>
        <w:t>The dose for aripiprazole tablets is from the ASPIRE EU head-to-head trial whereas the dose for aripiprazole LAI is from the ASPIRE US trial.</w:t>
      </w:r>
      <w:r w:rsidR="00F63268" w:rsidRPr="00EE2D44">
        <w:rPr>
          <w:rFonts w:ascii="Arial" w:hAnsi="Arial"/>
          <w:noProof/>
          <w:sz w:val="22"/>
          <w:szCs w:val="22"/>
        </w:rPr>
        <w:t xml:space="preserve"> </w:t>
      </w:r>
      <w:r w:rsidRPr="00EE2D44">
        <w:rPr>
          <w:rFonts w:ascii="Arial" w:hAnsi="Arial"/>
          <w:noProof/>
          <w:sz w:val="22"/>
          <w:szCs w:val="22"/>
        </w:rPr>
        <w:t xml:space="preserve"> Using the aripiprazole LAI dose from the ASPIRE EU trial, the equi-effective doses are estimated as aripiprazole LAI 393.2 mg every 28 days and aripiprazole tablets 20.0 mg daily.</w:t>
      </w:r>
      <w:r w:rsidR="008F75BE" w:rsidRPr="00EE2D44">
        <w:rPr>
          <w:rFonts w:ascii="Arial" w:hAnsi="Arial"/>
          <w:noProof/>
          <w:color w:val="FF0000"/>
          <w:sz w:val="22"/>
          <w:szCs w:val="22"/>
        </w:rPr>
        <w:t xml:space="preserve"> </w:t>
      </w:r>
    </w:p>
    <w:p w:rsidR="00C202C3" w:rsidRPr="00EE2D44" w:rsidRDefault="00C202C3" w:rsidP="00C202C3">
      <w:pPr>
        <w:pStyle w:val="ListParagraph"/>
        <w:ind w:left="0"/>
        <w:jc w:val="both"/>
        <w:rPr>
          <w:rFonts w:ascii="Arial" w:hAnsi="Arial"/>
          <w:noProof/>
          <w:sz w:val="22"/>
          <w:szCs w:val="22"/>
        </w:rPr>
      </w:pPr>
    </w:p>
    <w:p w:rsidR="00C202C3" w:rsidRPr="00EE2D44" w:rsidRDefault="00C202C3" w:rsidP="00845BFB">
      <w:pPr>
        <w:pStyle w:val="ListParagraph"/>
        <w:numPr>
          <w:ilvl w:val="1"/>
          <w:numId w:val="25"/>
        </w:numPr>
        <w:jc w:val="both"/>
        <w:rPr>
          <w:rFonts w:ascii="Arial" w:hAnsi="Arial"/>
          <w:noProof/>
          <w:sz w:val="22"/>
          <w:szCs w:val="22"/>
        </w:rPr>
      </w:pPr>
      <w:r w:rsidRPr="00EE2D44">
        <w:rPr>
          <w:rFonts w:ascii="Arial" w:hAnsi="Arial"/>
          <w:noProof/>
          <w:sz w:val="22"/>
          <w:szCs w:val="22"/>
        </w:rPr>
        <w:t>In the submission the price advantage is applied to the dispensed prices and hence the premium is applied to the fixed pharmacy mark-up ($18) and dispensing fee ($6.63).</w:t>
      </w:r>
      <w:r w:rsidR="008F75BE" w:rsidRPr="00EE2D44">
        <w:rPr>
          <w:rFonts w:ascii="Arial" w:hAnsi="Arial"/>
          <w:noProof/>
          <w:color w:val="FF0000"/>
          <w:sz w:val="22"/>
          <w:szCs w:val="22"/>
        </w:rPr>
        <w:t xml:space="preserve"> </w:t>
      </w:r>
    </w:p>
    <w:p w:rsidR="00C202C3" w:rsidRPr="00EE2D44" w:rsidRDefault="00C202C3" w:rsidP="00C202C3">
      <w:pPr>
        <w:pStyle w:val="ListParagraph"/>
        <w:ind w:left="709"/>
        <w:jc w:val="both"/>
        <w:rPr>
          <w:rFonts w:ascii="Arial" w:hAnsi="Arial"/>
          <w:noProof/>
          <w:sz w:val="22"/>
          <w:szCs w:val="22"/>
        </w:rPr>
      </w:pPr>
    </w:p>
    <w:p w:rsidR="00C202C3" w:rsidRPr="00EE2D44" w:rsidRDefault="00C202C3"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During the evaluation the equi-effective doses were estimated as aripiprazole LAI 390 mg and paliperidone LAI 83 mg.  </w:t>
      </w:r>
    </w:p>
    <w:p w:rsidR="00C202C3" w:rsidRPr="00EE2D44" w:rsidRDefault="00C202C3" w:rsidP="00C202C3">
      <w:pPr>
        <w:pStyle w:val="ListParagraph"/>
        <w:ind w:left="709"/>
        <w:jc w:val="both"/>
        <w:rPr>
          <w:rFonts w:ascii="Arial" w:hAnsi="Arial"/>
          <w:noProof/>
          <w:sz w:val="22"/>
          <w:szCs w:val="22"/>
        </w:rPr>
      </w:pPr>
    </w:p>
    <w:p w:rsidR="00C202C3" w:rsidRPr="00EE2D44" w:rsidRDefault="00C202C3"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For the paliperidone LAI PBAC submission the equi-effective doses for paliperidone LAI and risperidone LAI were sourced from market data due to the trial data not representing steady state doses and the proportion of patients switching from oral antipsychotics (and hence requiring paliperidone loading doses) being unknown. </w:t>
      </w:r>
      <w:r w:rsidR="00F63268" w:rsidRPr="00EE2D44">
        <w:rPr>
          <w:rFonts w:ascii="Arial" w:hAnsi="Arial"/>
          <w:noProof/>
          <w:sz w:val="22"/>
          <w:szCs w:val="22"/>
        </w:rPr>
        <w:t xml:space="preserve"> </w:t>
      </w:r>
      <w:r w:rsidRPr="00EE2D44">
        <w:rPr>
          <w:rFonts w:ascii="Arial" w:hAnsi="Arial"/>
          <w:noProof/>
          <w:sz w:val="22"/>
          <w:szCs w:val="22"/>
        </w:rPr>
        <w:t xml:space="preserve">Using the average paliperidone LAI dose calculated from Medicare Australia PBS </w:t>
      </w:r>
      <w:r w:rsidRPr="00EE2D44">
        <w:rPr>
          <w:rFonts w:ascii="Arial" w:hAnsi="Arial"/>
          <w:noProof/>
          <w:sz w:val="22"/>
          <w:szCs w:val="22"/>
        </w:rPr>
        <w:lastRenderedPageBreak/>
        <w:t>data, the estimated equi-effective doses are aripiprazole LAI 390 mg and paliperidone LAI 103 mg.</w:t>
      </w:r>
      <w:r w:rsidR="00F9788E" w:rsidRPr="00EE2D44">
        <w:rPr>
          <w:rFonts w:ascii="Arial" w:hAnsi="Arial"/>
          <w:noProof/>
          <w:color w:val="FF0000"/>
          <w:sz w:val="22"/>
          <w:szCs w:val="22"/>
        </w:rPr>
        <w:t xml:space="preserve"> </w:t>
      </w:r>
    </w:p>
    <w:p w:rsidR="00C202C3" w:rsidRPr="00EE2D44" w:rsidRDefault="00C202C3" w:rsidP="00C202C3">
      <w:pPr>
        <w:pStyle w:val="ListParagraph"/>
        <w:ind w:left="709"/>
        <w:jc w:val="both"/>
        <w:rPr>
          <w:rFonts w:ascii="Arial" w:hAnsi="Arial"/>
          <w:noProof/>
          <w:sz w:val="22"/>
          <w:szCs w:val="22"/>
        </w:rPr>
      </w:pPr>
    </w:p>
    <w:p w:rsidR="00C202C3" w:rsidRPr="00EE2D44" w:rsidRDefault="00F9788E"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Ex-manufacture prices per aripiprazole LAI injection is presented in the table below. </w:t>
      </w:r>
    </w:p>
    <w:p w:rsidR="00402455" w:rsidRPr="00EE2D44" w:rsidRDefault="00402455" w:rsidP="00402455">
      <w:pPr>
        <w:ind w:left="720"/>
        <w:jc w:val="both"/>
        <w:rPr>
          <w:rFonts w:ascii="Arial" w:hAnsi="Arial"/>
          <w:noProof/>
          <w:sz w:val="22"/>
          <w:szCs w:val="22"/>
        </w:rPr>
      </w:pPr>
    </w:p>
    <w:tbl>
      <w:tblPr>
        <w:tblStyle w:val="TableGrid"/>
        <w:tblW w:w="8363" w:type="dxa"/>
        <w:tblInd w:w="817" w:type="dxa"/>
        <w:tblLayout w:type="fixed"/>
        <w:tblLook w:val="04A0" w:firstRow="1" w:lastRow="0" w:firstColumn="1" w:lastColumn="0" w:noHBand="0" w:noVBand="1"/>
        <w:tblDescription w:val="Ex-manufacture prices per aripiprazole"/>
      </w:tblPr>
      <w:tblGrid>
        <w:gridCol w:w="6379"/>
        <w:gridCol w:w="992"/>
        <w:gridCol w:w="992"/>
      </w:tblGrid>
      <w:tr w:rsidR="00F9788E" w:rsidRPr="00EE2D44" w:rsidTr="00F9788E">
        <w:trPr>
          <w:tblHeader/>
        </w:trPr>
        <w:tc>
          <w:tcPr>
            <w:tcW w:w="6379" w:type="dxa"/>
            <w:tcBorders>
              <w:top w:val="single" w:sz="4" w:space="0" w:color="auto"/>
            </w:tcBorders>
          </w:tcPr>
          <w:p w:rsidR="00F9788E" w:rsidRPr="00EE2D44" w:rsidRDefault="00F9788E" w:rsidP="00F9788E">
            <w:pPr>
              <w:widowControl w:val="0"/>
              <w:jc w:val="both"/>
              <w:rPr>
                <w:rFonts w:ascii="Arial Narrow" w:hAnsi="Arial Narrow" w:cs="Arial"/>
                <w:b/>
                <w:noProof/>
                <w:snapToGrid w:val="0"/>
                <w:sz w:val="20"/>
                <w:szCs w:val="16"/>
                <w:lang w:eastAsia="en-US"/>
              </w:rPr>
            </w:pPr>
            <w:r w:rsidRPr="00EE2D44">
              <w:rPr>
                <w:rFonts w:ascii="Arial Narrow" w:hAnsi="Arial Narrow" w:cs="Arial"/>
                <w:b/>
                <w:noProof/>
                <w:snapToGrid w:val="0"/>
                <w:sz w:val="20"/>
                <w:szCs w:val="16"/>
                <w:lang w:eastAsia="en-US"/>
              </w:rPr>
              <w:t>Scenario</w:t>
            </w:r>
          </w:p>
        </w:tc>
        <w:tc>
          <w:tcPr>
            <w:tcW w:w="992" w:type="dxa"/>
            <w:vAlign w:val="center"/>
          </w:tcPr>
          <w:p w:rsidR="00F9788E" w:rsidRPr="00EE2D44" w:rsidRDefault="00F9788E" w:rsidP="00F9788E">
            <w:pPr>
              <w:widowControl w:val="0"/>
              <w:rPr>
                <w:rFonts w:ascii="Arial Narrow" w:hAnsi="Arial Narrow" w:cs="Arial"/>
                <w:b/>
                <w:noProof/>
                <w:snapToGrid w:val="0"/>
                <w:sz w:val="20"/>
                <w:szCs w:val="16"/>
                <w:lang w:eastAsia="en-US"/>
              </w:rPr>
            </w:pPr>
            <w:r w:rsidRPr="00EE2D44">
              <w:rPr>
                <w:rFonts w:ascii="Arial Narrow" w:hAnsi="Arial Narrow" w:cs="Arial"/>
                <w:b/>
                <w:noProof/>
                <w:snapToGrid w:val="0"/>
                <w:sz w:val="20"/>
                <w:szCs w:val="16"/>
                <w:lang w:eastAsia="en-US"/>
              </w:rPr>
              <w:t>300 mg strength</w:t>
            </w:r>
            <w:r w:rsidRPr="00EE2D44">
              <w:rPr>
                <w:rFonts w:ascii="Arial Narrow" w:hAnsi="Arial Narrow" w:cs="Arial"/>
                <w:b/>
                <w:noProof/>
                <w:snapToGrid w:val="0"/>
                <w:sz w:val="20"/>
                <w:szCs w:val="16"/>
                <w:vertAlign w:val="superscript"/>
                <w:lang w:eastAsia="en-US"/>
              </w:rPr>
              <w:t>a</w:t>
            </w:r>
          </w:p>
        </w:tc>
        <w:tc>
          <w:tcPr>
            <w:tcW w:w="992" w:type="dxa"/>
            <w:vAlign w:val="center"/>
          </w:tcPr>
          <w:p w:rsidR="00F9788E" w:rsidRPr="00EE2D44" w:rsidRDefault="00F9788E" w:rsidP="00F9788E">
            <w:pPr>
              <w:widowControl w:val="0"/>
              <w:rPr>
                <w:rFonts w:ascii="Arial Narrow" w:hAnsi="Arial Narrow" w:cs="Arial"/>
                <w:b/>
                <w:noProof/>
                <w:snapToGrid w:val="0"/>
                <w:sz w:val="20"/>
                <w:szCs w:val="16"/>
                <w:lang w:eastAsia="en-US"/>
              </w:rPr>
            </w:pPr>
            <w:r w:rsidRPr="00EE2D44">
              <w:rPr>
                <w:rFonts w:ascii="Arial Narrow" w:hAnsi="Arial Narrow" w:cs="Arial"/>
                <w:b/>
                <w:noProof/>
                <w:snapToGrid w:val="0"/>
                <w:sz w:val="20"/>
                <w:szCs w:val="16"/>
                <w:lang w:eastAsia="en-US"/>
              </w:rPr>
              <w:t>400 mg strength</w:t>
            </w:r>
            <w:r w:rsidRPr="00EE2D44">
              <w:rPr>
                <w:rFonts w:ascii="Arial Narrow" w:hAnsi="Arial Narrow" w:cs="Arial"/>
                <w:b/>
                <w:noProof/>
                <w:snapToGrid w:val="0"/>
                <w:sz w:val="20"/>
                <w:szCs w:val="16"/>
                <w:vertAlign w:val="superscript"/>
                <w:lang w:eastAsia="en-US"/>
              </w:rPr>
              <w:t>a</w:t>
            </w:r>
          </w:p>
        </w:tc>
      </w:tr>
      <w:tr w:rsidR="00F9788E" w:rsidRPr="00EE2D44" w:rsidTr="00F9788E">
        <w:tc>
          <w:tcPr>
            <w:tcW w:w="8363" w:type="dxa"/>
            <w:gridSpan w:val="3"/>
          </w:tcPr>
          <w:p w:rsidR="00F9788E" w:rsidRPr="00EE2D44" w:rsidRDefault="00F9788E" w:rsidP="00F9788E">
            <w:pPr>
              <w:widowControl w:val="0"/>
              <w:jc w:val="both"/>
              <w:rPr>
                <w:rFonts w:ascii="Arial Narrow" w:hAnsi="Arial Narrow" w:cs="Arial"/>
                <w:b/>
                <w:noProof/>
                <w:snapToGrid w:val="0"/>
                <w:sz w:val="20"/>
                <w:szCs w:val="16"/>
                <w:lang w:eastAsia="en-US"/>
              </w:rPr>
            </w:pPr>
            <w:r w:rsidRPr="00EE2D44">
              <w:rPr>
                <w:rFonts w:ascii="Arial Narrow" w:hAnsi="Arial Narrow" w:cs="Arial"/>
                <w:b/>
                <w:noProof/>
                <w:snapToGrid w:val="0"/>
                <w:sz w:val="20"/>
                <w:szCs w:val="16"/>
                <w:lang w:eastAsia="en-US"/>
              </w:rPr>
              <w:t>1:1.79 price premium for aripiprazole LAI compared with aripiprazole tablets</w:t>
            </w:r>
          </w:p>
        </w:tc>
      </w:tr>
      <w:tr w:rsidR="00F9788E" w:rsidRPr="00EE2D44" w:rsidTr="00F9788E">
        <w:tc>
          <w:tcPr>
            <w:tcW w:w="6379"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As presented in the submission</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$304.53</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$380.66</w:t>
            </w:r>
          </w:p>
        </w:tc>
      </w:tr>
      <w:tr w:rsidR="00F9788E" w:rsidRPr="00EE2D44" w:rsidTr="00F9788E">
        <w:tc>
          <w:tcPr>
            <w:tcW w:w="6379"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Using ex-manufacturer prices</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$288.70</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$360.87</w:t>
            </w:r>
          </w:p>
        </w:tc>
      </w:tr>
      <w:tr w:rsidR="00F9788E" w:rsidRPr="00EE2D44" w:rsidTr="00F9788E">
        <w:tc>
          <w:tcPr>
            <w:tcW w:w="6379"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Using aripiprazole LAI dose from ASPIRE EU (393.2 mg/28 days) and ex-manufacturer prices</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$286.69</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$358.36</w:t>
            </w:r>
          </w:p>
        </w:tc>
      </w:tr>
      <w:tr w:rsidR="00F9788E" w:rsidRPr="00EE2D44" w:rsidTr="00F9788E">
        <w:tc>
          <w:tcPr>
            <w:tcW w:w="8363" w:type="dxa"/>
            <w:gridSpan w:val="3"/>
          </w:tcPr>
          <w:p w:rsidR="00F9788E" w:rsidRPr="00EE2D44" w:rsidRDefault="00F9788E" w:rsidP="00F9788E">
            <w:pPr>
              <w:widowControl w:val="0"/>
              <w:jc w:val="both"/>
              <w:rPr>
                <w:rFonts w:ascii="Arial Narrow" w:hAnsi="Arial Narrow" w:cs="Arial"/>
                <w:b/>
                <w:noProof/>
                <w:snapToGrid w:val="0"/>
                <w:sz w:val="20"/>
                <w:szCs w:val="16"/>
                <w:lang w:eastAsia="en-US"/>
              </w:rPr>
            </w:pPr>
            <w:r w:rsidRPr="00EE2D44">
              <w:rPr>
                <w:rFonts w:ascii="Arial Narrow" w:hAnsi="Arial Narrow" w:cs="Arial"/>
                <w:b/>
                <w:noProof/>
                <w:snapToGrid w:val="0"/>
                <w:sz w:val="20"/>
                <w:szCs w:val="16"/>
                <w:lang w:eastAsia="en-US"/>
              </w:rPr>
              <w:t>Cost-minimisation analysis for aripiprazole LAI and paliperidone LAI</w:t>
            </w:r>
          </w:p>
        </w:tc>
      </w:tr>
      <w:tr w:rsidR="00F9788E" w:rsidRPr="00EE2D44" w:rsidTr="00F9788E">
        <w:tc>
          <w:tcPr>
            <w:tcW w:w="6379"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Equi-effective doses from indirect comparison of ASPIRE US (aripiprazole LAI 390 mg every 28 days) and Hough 2010 (paliperidone LAI 83 mg every 28 days)</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$232.36</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$290.45</w:t>
            </w:r>
          </w:p>
        </w:tc>
      </w:tr>
      <w:tr w:rsidR="00F9788E" w:rsidRPr="00EE2D44" w:rsidTr="00F9788E">
        <w:tc>
          <w:tcPr>
            <w:tcW w:w="6379"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Equi-effective doses from ASPIRE EU for aripiprazole LAI (390 mg every 28 days) and Medicare Australia PBS statistics for paliperidone LAI (103 mg every 28 days)</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$288.06</w:t>
            </w:r>
          </w:p>
        </w:tc>
        <w:tc>
          <w:tcPr>
            <w:tcW w:w="992" w:type="dxa"/>
          </w:tcPr>
          <w:p w:rsidR="00F9788E" w:rsidRPr="00EE2D44" w:rsidRDefault="00F9788E" w:rsidP="00F9788E">
            <w:pPr>
              <w:widowControl w:val="0"/>
              <w:jc w:val="both"/>
              <w:rPr>
                <w:rFonts w:ascii="Arial Narrow" w:hAnsi="Arial Narrow" w:cs="Arial"/>
                <w:noProof/>
                <w:snapToGrid w:val="0"/>
                <w:sz w:val="20"/>
                <w:szCs w:val="16"/>
                <w:lang w:eastAsia="en-US"/>
              </w:rPr>
            </w:pPr>
            <w:r w:rsidRPr="00EE2D44">
              <w:rPr>
                <w:rFonts w:ascii="Arial Narrow" w:hAnsi="Arial Narrow" w:cs="Arial"/>
                <w:noProof/>
                <w:snapToGrid w:val="0"/>
                <w:sz w:val="20"/>
                <w:szCs w:val="16"/>
                <w:lang w:eastAsia="en-US"/>
              </w:rPr>
              <w:t>$360.08</w:t>
            </w:r>
          </w:p>
        </w:tc>
      </w:tr>
    </w:tbl>
    <w:p w:rsidR="00F9788E" w:rsidRPr="00EE2D44" w:rsidRDefault="00F9788E" w:rsidP="00F9788E">
      <w:pPr>
        <w:pStyle w:val="ListParagraph"/>
        <w:ind w:left="709"/>
        <w:rPr>
          <w:rFonts w:ascii="Arial Narrow" w:hAnsi="Arial Narrow"/>
          <w:noProof/>
          <w:sz w:val="18"/>
          <w:szCs w:val="18"/>
        </w:rPr>
      </w:pPr>
      <w:r w:rsidRPr="00EE2D44">
        <w:rPr>
          <w:rFonts w:ascii="Arial Narrow" w:hAnsi="Arial Narrow"/>
          <w:noProof/>
          <w:sz w:val="18"/>
          <w:szCs w:val="18"/>
        </w:rPr>
        <w:t>a The relative use of the 300 mg and 400 mg doses of aripiprazole LAI is from the ASPIRE US trial and the price of the 400 mg strength is 1.25 times the price of the 300 mg strength.</w:t>
      </w:r>
      <w:r w:rsidR="00027DA2">
        <w:rPr>
          <w:rFonts w:ascii="Arial Narrow" w:hAnsi="Arial Narrow"/>
          <w:noProof/>
          <w:sz w:val="18"/>
          <w:szCs w:val="18"/>
        </w:rPr>
        <w:t xml:space="preserve"> </w:t>
      </w:r>
      <w:r w:rsidRPr="00EE2D44">
        <w:rPr>
          <w:rFonts w:ascii="Arial Narrow" w:hAnsi="Arial Narrow"/>
          <w:noProof/>
          <w:sz w:val="18"/>
          <w:szCs w:val="18"/>
        </w:rPr>
        <w:t>Source: Compiled during evaluation.</w:t>
      </w:r>
    </w:p>
    <w:p w:rsidR="00F9788E" w:rsidRPr="00EE2D44" w:rsidRDefault="00F9788E" w:rsidP="00F9788E">
      <w:pPr>
        <w:pStyle w:val="ListParagraph"/>
        <w:ind w:left="709"/>
        <w:jc w:val="both"/>
        <w:rPr>
          <w:rFonts w:ascii="Arial" w:hAnsi="Arial"/>
          <w:noProof/>
          <w:sz w:val="22"/>
          <w:szCs w:val="22"/>
        </w:rPr>
      </w:pPr>
    </w:p>
    <w:p w:rsidR="00F9788E" w:rsidRPr="00EE2D44" w:rsidRDefault="00F9788E"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above prices do not include the cost of oral aripiprazole for the first 14 days when initiating aripiprazole LAI. The average treatment duration with aripiprazole LAI, and hence the number of aripiprazole LAI prescriptions over which the cost of the oral aripiprazole should be apportioned, is unknown. An average oral aripiprazole cost per aripiprazole LAI prescription of $1.35 (oral dose of 10 mg; average LAI treatment duration of 7 years) to $6.73 (15 mg; 2 years) was estimated during the evaluation. If more than 32% of patients switch from oral antipsychotics to paliperidone LAI, the cost of the paliperidone LAI loading doses will be greater than the cost of the concomitant oral aripiprazole. </w:t>
      </w:r>
    </w:p>
    <w:p w:rsidR="00B14BB8" w:rsidRPr="00EE2D44" w:rsidRDefault="00B14BB8" w:rsidP="00B14BB8">
      <w:pPr>
        <w:pStyle w:val="ListParagraph"/>
        <w:ind w:left="709"/>
        <w:rPr>
          <w:rFonts w:ascii="Arial" w:hAnsi="Arial"/>
          <w:noProof/>
          <w:sz w:val="22"/>
          <w:szCs w:val="22"/>
        </w:rPr>
      </w:pPr>
    </w:p>
    <w:p w:rsidR="00B14BB8" w:rsidRPr="00EE2D44" w:rsidRDefault="00B14BB8"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Drug cost for each patient using aripiprazole LAI per year will be from $4,577 (300 mg) to $5,641 (400 mg). </w:t>
      </w:r>
      <w:r w:rsidR="00F63268" w:rsidRPr="00EE2D44">
        <w:rPr>
          <w:rFonts w:ascii="Arial" w:hAnsi="Arial"/>
          <w:noProof/>
          <w:sz w:val="22"/>
          <w:szCs w:val="22"/>
        </w:rPr>
        <w:t xml:space="preserve"> </w:t>
      </w:r>
      <w:r w:rsidRPr="00EE2D44">
        <w:rPr>
          <w:rFonts w:ascii="Arial" w:hAnsi="Arial"/>
          <w:noProof/>
          <w:sz w:val="22"/>
          <w:szCs w:val="22"/>
        </w:rPr>
        <w:t xml:space="preserve">Drug cost for each patient using paliperidone LAI per year will be from $1,948 (25 mg) to $5,732 (100 or 150 mg). </w:t>
      </w:r>
    </w:p>
    <w:p w:rsidR="00BB7EC3" w:rsidRPr="00EE2D44" w:rsidRDefault="00BB7EC3" w:rsidP="00B9052E">
      <w:pPr>
        <w:rPr>
          <w:rFonts w:ascii="Arial" w:hAnsi="Arial"/>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F57A6D" w:rsidRPr="00EE2D44" w:rsidRDefault="00F57A6D" w:rsidP="00882085">
      <w:pPr>
        <w:ind w:left="720" w:hanging="720"/>
        <w:jc w:val="both"/>
        <w:rPr>
          <w:rFonts w:ascii="Arial" w:hAnsi="Arial"/>
          <w:noProof/>
          <w:sz w:val="22"/>
          <w:szCs w:val="22"/>
        </w:rPr>
      </w:pPr>
    </w:p>
    <w:p w:rsidR="005A3173" w:rsidRPr="00EE2D44" w:rsidRDefault="005A3173" w:rsidP="00882085">
      <w:pPr>
        <w:ind w:left="720" w:hanging="720"/>
        <w:jc w:val="both"/>
        <w:rPr>
          <w:rFonts w:ascii="Arial" w:hAnsi="Arial"/>
          <w:b/>
          <w:i/>
          <w:noProof/>
          <w:sz w:val="22"/>
          <w:szCs w:val="22"/>
        </w:rPr>
      </w:pPr>
      <w:r w:rsidRPr="00EE2D44">
        <w:rPr>
          <w:rFonts w:ascii="Arial" w:hAnsi="Arial"/>
          <w:b/>
          <w:i/>
          <w:noProof/>
          <w:sz w:val="22"/>
          <w:szCs w:val="22"/>
        </w:rPr>
        <w:t>Estimated PBS usage &amp; financial implications</w:t>
      </w:r>
    </w:p>
    <w:p w:rsidR="005A3173" w:rsidRPr="00EE2D44" w:rsidRDefault="005A3173" w:rsidP="00882085">
      <w:pPr>
        <w:ind w:left="720" w:hanging="720"/>
        <w:jc w:val="both"/>
        <w:rPr>
          <w:rFonts w:ascii="Arial" w:hAnsi="Arial"/>
          <w:b/>
          <w:i/>
          <w:noProof/>
          <w:sz w:val="22"/>
          <w:szCs w:val="22"/>
        </w:rPr>
      </w:pPr>
    </w:p>
    <w:p w:rsidR="00F63268" w:rsidRPr="00EE2D44" w:rsidRDefault="0008015B"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Estimated </w:t>
      </w:r>
      <w:r w:rsidR="00F63268" w:rsidRPr="00EE2D44">
        <w:rPr>
          <w:rFonts w:ascii="Arial" w:hAnsi="Arial"/>
          <w:noProof/>
          <w:sz w:val="22"/>
          <w:szCs w:val="22"/>
        </w:rPr>
        <w:t xml:space="preserve">PBS </w:t>
      </w:r>
      <w:r w:rsidRPr="00EE2D44">
        <w:rPr>
          <w:rFonts w:ascii="Arial" w:hAnsi="Arial"/>
          <w:noProof/>
          <w:sz w:val="22"/>
          <w:szCs w:val="22"/>
        </w:rPr>
        <w:t>usage and financial implications are presented in the table below.</w:t>
      </w:r>
      <w:r w:rsidR="00871638" w:rsidRPr="00EE2D44">
        <w:rPr>
          <w:rFonts w:ascii="Arial" w:hAnsi="Arial"/>
          <w:noProof/>
          <w:sz w:val="22"/>
          <w:szCs w:val="22"/>
        </w:rPr>
        <w:t xml:space="preserve"> </w:t>
      </w:r>
    </w:p>
    <w:p w:rsidR="00027DA2" w:rsidRDefault="00027DA2">
      <w:pPr>
        <w:rPr>
          <w:rFonts w:ascii="Arial" w:hAnsi="Arial"/>
          <w:noProof/>
          <w:sz w:val="22"/>
          <w:szCs w:val="22"/>
        </w:rPr>
      </w:pPr>
    </w:p>
    <w:tbl>
      <w:tblPr>
        <w:tblW w:w="461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Estimated PBS usage and financial implications"/>
      </w:tblPr>
      <w:tblGrid>
        <w:gridCol w:w="2225"/>
        <w:gridCol w:w="1231"/>
        <w:gridCol w:w="1228"/>
        <w:gridCol w:w="1228"/>
        <w:gridCol w:w="1228"/>
        <w:gridCol w:w="1234"/>
      </w:tblGrid>
      <w:tr w:rsidR="0008015B" w:rsidRPr="00EE2D44" w:rsidTr="0008015B">
        <w:trPr>
          <w:tblHeader/>
        </w:trPr>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b/>
                <w:noProof/>
                <w:snapToGrid w:val="0"/>
                <w:sz w:val="20"/>
                <w:szCs w:val="20"/>
                <w:lang w:eastAsia="en-US"/>
              </w:rPr>
            </w:pPr>
          </w:p>
        </w:tc>
        <w:tc>
          <w:tcPr>
            <w:tcW w:w="735" w:type="pct"/>
            <w:shd w:val="clear" w:color="auto" w:fill="auto"/>
            <w:vAlign w:val="center"/>
          </w:tcPr>
          <w:p w:rsidR="0008015B" w:rsidRPr="00EE2D44" w:rsidRDefault="0008015B" w:rsidP="0008015B">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Year 1</w:t>
            </w:r>
          </w:p>
        </w:tc>
        <w:tc>
          <w:tcPr>
            <w:tcW w:w="733" w:type="pct"/>
            <w:shd w:val="clear" w:color="auto" w:fill="auto"/>
            <w:vAlign w:val="center"/>
          </w:tcPr>
          <w:p w:rsidR="0008015B" w:rsidRPr="00EE2D44" w:rsidRDefault="0008015B" w:rsidP="0008015B">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Year 2</w:t>
            </w:r>
          </w:p>
        </w:tc>
        <w:tc>
          <w:tcPr>
            <w:tcW w:w="733" w:type="pct"/>
            <w:shd w:val="clear" w:color="auto" w:fill="auto"/>
            <w:vAlign w:val="center"/>
          </w:tcPr>
          <w:p w:rsidR="0008015B" w:rsidRPr="00EE2D44" w:rsidRDefault="0008015B" w:rsidP="0008015B">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Year 3</w:t>
            </w:r>
          </w:p>
        </w:tc>
        <w:tc>
          <w:tcPr>
            <w:tcW w:w="733" w:type="pct"/>
            <w:shd w:val="clear" w:color="auto" w:fill="auto"/>
            <w:vAlign w:val="center"/>
          </w:tcPr>
          <w:p w:rsidR="0008015B" w:rsidRPr="00EE2D44" w:rsidRDefault="0008015B" w:rsidP="0008015B">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Year 4</w:t>
            </w:r>
          </w:p>
        </w:tc>
        <w:tc>
          <w:tcPr>
            <w:tcW w:w="737" w:type="pct"/>
            <w:shd w:val="clear" w:color="auto" w:fill="auto"/>
            <w:vAlign w:val="center"/>
          </w:tcPr>
          <w:p w:rsidR="0008015B" w:rsidRPr="00EE2D44" w:rsidRDefault="0008015B" w:rsidP="0008015B">
            <w:pPr>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Year 5</w:t>
            </w:r>
          </w:p>
        </w:tc>
      </w:tr>
      <w:tr w:rsidR="0008015B" w:rsidRPr="00EE2D44" w:rsidTr="0008015B">
        <w:tc>
          <w:tcPr>
            <w:tcW w:w="5000" w:type="pct"/>
            <w:gridSpan w:val="6"/>
            <w:shd w:val="clear" w:color="auto" w:fill="auto"/>
            <w:vAlign w:val="center"/>
          </w:tcPr>
          <w:p w:rsidR="0008015B" w:rsidRPr="00EE2D44" w:rsidRDefault="0008015B" w:rsidP="0008015B">
            <w:pPr>
              <w:widowControl w:val="0"/>
              <w:rPr>
                <w:rFonts w:ascii="Arial Narrow" w:hAnsi="Arial Narrow" w:cs="Arial"/>
                <w:b/>
                <w:bCs/>
                <w:noProof/>
                <w:snapToGrid w:val="0"/>
                <w:color w:val="000000"/>
                <w:sz w:val="20"/>
                <w:szCs w:val="20"/>
                <w:lang w:eastAsia="en-US"/>
              </w:rPr>
            </w:pPr>
            <w:r w:rsidRPr="00EE2D44">
              <w:rPr>
                <w:rFonts w:ascii="Arial Narrow" w:hAnsi="Arial Narrow" w:cs="Arial"/>
                <w:b/>
                <w:bCs/>
                <w:noProof/>
                <w:snapToGrid w:val="0"/>
                <w:color w:val="000000"/>
                <w:sz w:val="20"/>
                <w:szCs w:val="20"/>
                <w:lang w:eastAsia="en-US"/>
              </w:rPr>
              <w:t>Estimated extent of use</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Atypical LAI scripts</w:t>
            </w:r>
          </w:p>
        </w:tc>
        <w:tc>
          <w:tcPr>
            <w:tcW w:w="735"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185,775</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192,647</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199,142</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205,310</w:t>
            </w:r>
          </w:p>
        </w:tc>
        <w:tc>
          <w:tcPr>
            <w:tcW w:w="737"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211,192</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Aripiprazole LAI market share</w:t>
            </w:r>
          </w:p>
        </w:tc>
        <w:tc>
          <w:tcPr>
            <w:tcW w:w="735"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11%</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18%</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23%</w:t>
            </w:r>
          </w:p>
        </w:tc>
        <w:tc>
          <w:tcPr>
            <w:tcW w:w="737"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26%</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Aripiprazole LAI scripts</w:t>
            </w:r>
          </w:p>
        </w:tc>
        <w:tc>
          <w:tcPr>
            <w:tcW w:w="735"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20,088</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34,979</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41,192</w:t>
            </w:r>
          </w:p>
        </w:tc>
        <w:tc>
          <w:tcPr>
            <w:tcW w:w="733"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47,948</w:t>
            </w:r>
          </w:p>
        </w:tc>
        <w:tc>
          <w:tcPr>
            <w:tcW w:w="737" w:type="pct"/>
            <w:shd w:val="clear" w:color="auto" w:fill="auto"/>
            <w:vAlign w:val="center"/>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53,959</w:t>
            </w:r>
          </w:p>
        </w:tc>
      </w:tr>
      <w:tr w:rsidR="0008015B" w:rsidRPr="00EE2D44" w:rsidTr="0008015B">
        <w:tc>
          <w:tcPr>
            <w:tcW w:w="5000" w:type="pct"/>
            <w:gridSpan w:val="6"/>
            <w:shd w:val="clear" w:color="auto" w:fill="auto"/>
            <w:vAlign w:val="center"/>
          </w:tcPr>
          <w:p w:rsidR="0008015B" w:rsidRPr="00EE2D44" w:rsidRDefault="0008015B" w:rsidP="0008015B">
            <w:pPr>
              <w:widowControl w:val="0"/>
              <w:rPr>
                <w:rFonts w:ascii="Arial Narrow" w:hAnsi="Arial Narrow" w:cs="Arial"/>
                <w:b/>
                <w:bCs/>
                <w:noProof/>
                <w:snapToGrid w:val="0"/>
                <w:color w:val="000000"/>
                <w:sz w:val="20"/>
                <w:szCs w:val="20"/>
                <w:lang w:eastAsia="en-US"/>
              </w:rPr>
            </w:pPr>
            <w:r w:rsidRPr="00EE2D44">
              <w:rPr>
                <w:rFonts w:ascii="Arial Narrow" w:hAnsi="Arial Narrow" w:cs="Arial"/>
                <w:b/>
                <w:bCs/>
                <w:noProof/>
                <w:snapToGrid w:val="0"/>
                <w:color w:val="000000"/>
                <w:sz w:val="20"/>
                <w:szCs w:val="20"/>
                <w:lang w:eastAsia="en-US"/>
              </w:rPr>
              <w:t>Estimated net cost to PBS/RPBS</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Net cost to PBS for aripiprazole LAI (including concomitant oral aripiprazole)</w:t>
            </w:r>
          </w:p>
        </w:tc>
        <w:tc>
          <w:tcPr>
            <w:tcW w:w="735"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$8,774,095</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$14,921,634</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$17,370,499</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$20,210,985</w:t>
            </w:r>
          </w:p>
        </w:tc>
        <w:tc>
          <w:tcPr>
            <w:tcW w:w="737"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$22,716,339</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 xml:space="preserve">Net cost to PBS for substituted therapies </w:t>
            </w:r>
          </w:p>
        </w:tc>
        <w:tc>
          <w:tcPr>
            <w:tcW w:w="735"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$7,692,031</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$13,506,345</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$16,018,932</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$18,761,623</w:t>
            </w:r>
          </w:p>
        </w:tc>
        <w:tc>
          <w:tcPr>
            <w:tcW w:w="737" w:type="pct"/>
            <w:shd w:val="clear" w:color="auto" w:fill="auto"/>
            <w:vAlign w:val="bottom"/>
          </w:tcPr>
          <w:p w:rsidR="0008015B" w:rsidRPr="00EE2D44" w:rsidRDefault="0008015B" w:rsidP="0008015B">
            <w:pPr>
              <w:keepNext/>
              <w:widowControl w:val="0"/>
              <w:jc w:val="center"/>
              <w:rPr>
                <w:rFonts w:ascii="Arial Narrow" w:hAnsi="Arial Narrow" w:cs="Arial"/>
                <w:noProof/>
                <w:snapToGrid w:val="0"/>
                <w:sz w:val="20"/>
                <w:szCs w:val="20"/>
                <w:lang w:eastAsia="en-US"/>
              </w:rPr>
            </w:pPr>
            <w:r w:rsidRPr="00EE2D44">
              <w:rPr>
                <w:rFonts w:ascii="Arial Narrow" w:hAnsi="Arial Narrow" w:cs="Arial"/>
                <w:noProof/>
                <w:snapToGrid w:val="0"/>
                <w:sz w:val="20"/>
                <w:szCs w:val="20"/>
                <w:lang w:eastAsia="en-US"/>
              </w:rPr>
              <w:t>$21,227,691</w:t>
            </w:r>
          </w:p>
        </w:tc>
      </w:tr>
      <w:tr w:rsidR="0008015B" w:rsidRPr="00EE2D44" w:rsidTr="0008015B">
        <w:tc>
          <w:tcPr>
            <w:tcW w:w="1329" w:type="pct"/>
            <w:shd w:val="clear" w:color="auto" w:fill="auto"/>
            <w:vAlign w:val="center"/>
          </w:tcPr>
          <w:p w:rsidR="0008015B" w:rsidRPr="00EE2D44" w:rsidRDefault="0008015B" w:rsidP="0008015B">
            <w:pPr>
              <w:widowControl w:val="0"/>
              <w:tabs>
                <w:tab w:val="left" w:pos="142"/>
              </w:tabs>
              <w:rPr>
                <w:rFonts w:ascii="Arial Narrow" w:hAnsi="Arial Narrow" w:cs="Arial"/>
                <w:noProof/>
                <w:snapToGrid w:val="0"/>
                <w:sz w:val="20"/>
                <w:szCs w:val="20"/>
                <w:lang w:eastAsia="en-US"/>
              </w:rPr>
            </w:pPr>
            <w:r w:rsidRPr="00EE2D44">
              <w:rPr>
                <w:rFonts w:ascii="Arial Narrow" w:hAnsi="Arial Narrow" w:cs="Arial"/>
                <w:b/>
                <w:noProof/>
                <w:snapToGrid w:val="0"/>
                <w:color w:val="000000"/>
                <w:sz w:val="20"/>
                <w:szCs w:val="20"/>
                <w:lang w:eastAsia="en-US"/>
              </w:rPr>
              <w:t>Estimated total net PBS/RPBS cost</w:t>
            </w:r>
          </w:p>
        </w:tc>
        <w:tc>
          <w:tcPr>
            <w:tcW w:w="735" w:type="pct"/>
            <w:shd w:val="clear" w:color="auto" w:fill="auto"/>
            <w:vAlign w:val="bottom"/>
          </w:tcPr>
          <w:p w:rsidR="0008015B" w:rsidRPr="00EE2D44" w:rsidRDefault="0008015B" w:rsidP="0008015B">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$1,082,065</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$1,415,289</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$1,351,566</w:t>
            </w:r>
          </w:p>
        </w:tc>
        <w:tc>
          <w:tcPr>
            <w:tcW w:w="733" w:type="pct"/>
            <w:shd w:val="clear" w:color="auto" w:fill="auto"/>
            <w:vAlign w:val="bottom"/>
          </w:tcPr>
          <w:p w:rsidR="0008015B" w:rsidRPr="00EE2D44" w:rsidRDefault="0008015B" w:rsidP="0008015B">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$1,449,362</w:t>
            </w:r>
          </w:p>
        </w:tc>
        <w:tc>
          <w:tcPr>
            <w:tcW w:w="737" w:type="pct"/>
            <w:shd w:val="clear" w:color="auto" w:fill="auto"/>
            <w:vAlign w:val="bottom"/>
          </w:tcPr>
          <w:p w:rsidR="0008015B" w:rsidRPr="00EE2D44" w:rsidRDefault="0008015B" w:rsidP="0008015B">
            <w:pPr>
              <w:keepNext/>
              <w:widowControl w:val="0"/>
              <w:jc w:val="center"/>
              <w:rPr>
                <w:rFonts w:ascii="Arial Narrow" w:hAnsi="Arial Narrow" w:cs="Arial"/>
                <w:b/>
                <w:noProof/>
                <w:snapToGrid w:val="0"/>
                <w:sz w:val="20"/>
                <w:szCs w:val="20"/>
                <w:lang w:eastAsia="en-US"/>
              </w:rPr>
            </w:pPr>
            <w:r w:rsidRPr="00EE2D44">
              <w:rPr>
                <w:rFonts w:ascii="Arial Narrow" w:hAnsi="Arial Narrow" w:cs="Arial"/>
                <w:b/>
                <w:noProof/>
                <w:snapToGrid w:val="0"/>
                <w:sz w:val="20"/>
                <w:szCs w:val="20"/>
                <w:lang w:eastAsia="en-US"/>
              </w:rPr>
              <w:t>$1,488,648</w:t>
            </w:r>
          </w:p>
        </w:tc>
      </w:tr>
    </w:tbl>
    <w:p w:rsidR="0008015B" w:rsidRPr="00EE2D44" w:rsidRDefault="0008015B" w:rsidP="0008015B">
      <w:pPr>
        <w:pStyle w:val="ListParagraph"/>
        <w:ind w:left="709"/>
        <w:rPr>
          <w:rFonts w:ascii="Arial Narrow" w:hAnsi="Arial Narrow"/>
          <w:noProof/>
          <w:sz w:val="18"/>
          <w:szCs w:val="18"/>
        </w:rPr>
      </w:pPr>
      <w:r w:rsidRPr="00EE2D44">
        <w:rPr>
          <w:rFonts w:ascii="Arial Narrow" w:hAnsi="Arial Narrow"/>
          <w:noProof/>
          <w:sz w:val="18"/>
          <w:szCs w:val="18"/>
        </w:rPr>
        <w:t>Source: Table 87 p222, Table 90 p224 and Table 91 p232 of the submission</w:t>
      </w:r>
    </w:p>
    <w:p w:rsidR="0008015B" w:rsidRPr="00EE2D44" w:rsidRDefault="0008015B" w:rsidP="0008015B">
      <w:pPr>
        <w:pStyle w:val="ListParagraph"/>
        <w:ind w:left="709"/>
        <w:jc w:val="both"/>
        <w:rPr>
          <w:rFonts w:ascii="Arial" w:hAnsi="Arial"/>
          <w:noProof/>
          <w:sz w:val="22"/>
          <w:szCs w:val="22"/>
        </w:rPr>
      </w:pPr>
    </w:p>
    <w:p w:rsidR="004C2928" w:rsidRPr="00EE2D44" w:rsidRDefault="004C2928" w:rsidP="004C2928">
      <w:pPr>
        <w:pStyle w:val="ListParagraph"/>
        <w:numPr>
          <w:ilvl w:val="1"/>
          <w:numId w:val="25"/>
        </w:numPr>
        <w:jc w:val="both"/>
        <w:rPr>
          <w:rFonts w:ascii="Arial" w:hAnsi="Arial"/>
          <w:noProof/>
          <w:sz w:val="22"/>
          <w:szCs w:val="22"/>
        </w:rPr>
      </w:pPr>
      <w:r w:rsidRPr="00EE2D44">
        <w:rPr>
          <w:rFonts w:ascii="Arial" w:hAnsi="Arial"/>
          <w:noProof/>
          <w:sz w:val="22"/>
          <w:szCs w:val="22"/>
        </w:rPr>
        <w:t>In year 5 the additional cost for aripiprazole LAI of $1,488,648 is due to:</w:t>
      </w:r>
    </w:p>
    <w:p w:rsidR="004D1680" w:rsidRPr="00EE2D44" w:rsidRDefault="004D1680" w:rsidP="004D1680">
      <w:pPr>
        <w:pStyle w:val="ListParagraph"/>
        <w:widowControl w:val="0"/>
        <w:numPr>
          <w:ilvl w:val="0"/>
          <w:numId w:val="41"/>
        </w:numPr>
        <w:jc w:val="both"/>
        <w:rPr>
          <w:rFonts w:ascii="Arial" w:hAnsi="Arial" w:cs="Arial"/>
          <w:noProof/>
          <w:sz w:val="22"/>
          <w:szCs w:val="22"/>
        </w:rPr>
      </w:pPr>
      <w:r w:rsidRPr="00EE2D44">
        <w:rPr>
          <w:rFonts w:ascii="Arial" w:hAnsi="Arial" w:cs="Arial"/>
          <w:noProof/>
          <w:sz w:val="22"/>
          <w:szCs w:val="22"/>
        </w:rPr>
        <w:t xml:space="preserve">the cost of concomitant oral aripiprazole when initiating aripiprazole LAI </w:t>
      </w:r>
      <w:r w:rsidRPr="00EE2D44">
        <w:rPr>
          <w:rFonts w:ascii="Arial" w:hAnsi="Arial" w:cs="Arial"/>
          <w:noProof/>
          <w:sz w:val="22"/>
          <w:szCs w:val="22"/>
        </w:rPr>
        <w:lastRenderedPageBreak/>
        <w:t>($313,120);</w:t>
      </w:r>
    </w:p>
    <w:p w:rsidR="004D1680" w:rsidRPr="00EE2D44" w:rsidRDefault="004D1680" w:rsidP="004D1680">
      <w:pPr>
        <w:pStyle w:val="ListParagraph"/>
        <w:widowControl w:val="0"/>
        <w:numPr>
          <w:ilvl w:val="0"/>
          <w:numId w:val="41"/>
        </w:numPr>
        <w:jc w:val="both"/>
        <w:rPr>
          <w:rFonts w:ascii="Arial" w:hAnsi="Arial" w:cs="Arial"/>
          <w:noProof/>
          <w:sz w:val="22"/>
          <w:szCs w:val="22"/>
        </w:rPr>
      </w:pPr>
      <w:r w:rsidRPr="00EE2D44">
        <w:rPr>
          <w:rFonts w:ascii="Arial" w:hAnsi="Arial" w:cs="Arial"/>
          <w:noProof/>
          <w:sz w:val="22"/>
          <w:szCs w:val="22"/>
        </w:rPr>
        <w:t>the higher average prescription cost for aripiprazole LAI vs paliperidone LAI (($415.19-$393.30) x 40,655 prescriptions = $889,848);</w:t>
      </w:r>
    </w:p>
    <w:p w:rsidR="004D1680" w:rsidRPr="00EE2D44" w:rsidRDefault="004D1680" w:rsidP="004D1680">
      <w:pPr>
        <w:pStyle w:val="ListParagraph"/>
        <w:widowControl w:val="0"/>
        <w:numPr>
          <w:ilvl w:val="0"/>
          <w:numId w:val="41"/>
        </w:numPr>
        <w:jc w:val="both"/>
        <w:rPr>
          <w:rFonts w:ascii="Arial" w:hAnsi="Arial" w:cs="Arial"/>
          <w:noProof/>
          <w:sz w:val="22"/>
          <w:szCs w:val="22"/>
        </w:rPr>
      </w:pPr>
      <w:r w:rsidRPr="00EE2D44">
        <w:rPr>
          <w:rFonts w:ascii="Arial" w:hAnsi="Arial" w:cs="Arial"/>
          <w:noProof/>
          <w:sz w:val="22"/>
          <w:szCs w:val="22"/>
        </w:rPr>
        <w:t>the higher average prescription cost for aripiprazole LAI vs risperidone LAI (($415.19-$352.49) x 11,288 prescriptions = $704,050); and</w:t>
      </w:r>
    </w:p>
    <w:p w:rsidR="004D1680" w:rsidRPr="00EE2D44" w:rsidRDefault="004D1680" w:rsidP="004D1680">
      <w:pPr>
        <w:pStyle w:val="ListParagraph"/>
        <w:widowControl w:val="0"/>
        <w:numPr>
          <w:ilvl w:val="0"/>
          <w:numId w:val="41"/>
        </w:numPr>
        <w:jc w:val="both"/>
        <w:rPr>
          <w:rFonts w:ascii="Arial" w:hAnsi="Arial" w:cs="Arial"/>
          <w:noProof/>
          <w:sz w:val="22"/>
          <w:szCs w:val="22"/>
        </w:rPr>
      </w:pPr>
      <w:r w:rsidRPr="00EE2D44">
        <w:rPr>
          <w:rFonts w:ascii="Arial" w:hAnsi="Arial" w:cs="Arial"/>
          <w:noProof/>
          <w:sz w:val="22"/>
          <w:szCs w:val="22"/>
        </w:rPr>
        <w:t xml:space="preserve">the lower average prescription cost for aripiprazole LAI vs olanzapine LAI (($415.19-$616.70) x 2,076 prescriptions = -$418,370). </w:t>
      </w:r>
    </w:p>
    <w:p w:rsidR="004C2928" w:rsidRPr="00EE2D44" w:rsidRDefault="004C2928" w:rsidP="004D1680">
      <w:pPr>
        <w:rPr>
          <w:rFonts w:ascii="Arial" w:hAnsi="Arial"/>
          <w:noProof/>
          <w:sz w:val="22"/>
          <w:szCs w:val="22"/>
        </w:rPr>
      </w:pPr>
    </w:p>
    <w:p w:rsidR="0008015B" w:rsidRPr="00EE2D44" w:rsidRDefault="0008015B" w:rsidP="00845BFB">
      <w:pPr>
        <w:pStyle w:val="ListParagraph"/>
        <w:numPr>
          <w:ilvl w:val="1"/>
          <w:numId w:val="25"/>
        </w:numPr>
        <w:jc w:val="both"/>
        <w:rPr>
          <w:rFonts w:ascii="Arial" w:hAnsi="Arial"/>
          <w:noProof/>
          <w:sz w:val="22"/>
          <w:szCs w:val="22"/>
        </w:rPr>
      </w:pPr>
      <w:r w:rsidRPr="00EE2D44">
        <w:rPr>
          <w:rFonts w:ascii="Arial" w:hAnsi="Arial"/>
          <w:noProof/>
          <w:sz w:val="22"/>
          <w:szCs w:val="22"/>
        </w:rPr>
        <w:t>The submission’s estimates of the PBS costs are likely to be underestimated because:</w:t>
      </w:r>
    </w:p>
    <w:p w:rsidR="0008015B" w:rsidRPr="00EE2D44" w:rsidRDefault="0008015B" w:rsidP="00402455">
      <w:pPr>
        <w:pStyle w:val="ListParagraph"/>
        <w:numPr>
          <w:ilvl w:val="0"/>
          <w:numId w:val="40"/>
        </w:numPr>
        <w:jc w:val="both"/>
        <w:rPr>
          <w:rFonts w:ascii="Arial" w:hAnsi="Arial"/>
          <w:noProof/>
          <w:sz w:val="22"/>
          <w:szCs w:val="22"/>
        </w:rPr>
      </w:pPr>
      <w:r w:rsidRPr="00EE2D44">
        <w:rPr>
          <w:rFonts w:ascii="Arial" w:hAnsi="Arial"/>
          <w:noProof/>
          <w:sz w:val="22"/>
          <w:szCs w:val="22"/>
        </w:rPr>
        <w:t>growth in the LAI market has potentially been underestimated (increasing the uptake of aripiprazole LAI by 25% or increasing the growth in the total LAI market increases the net PBS/RPBS cost in year 5 by $372,196 and $465,765, respectively);</w:t>
      </w:r>
    </w:p>
    <w:p w:rsidR="0008015B" w:rsidRPr="00EE2D44" w:rsidRDefault="0008015B" w:rsidP="00402455">
      <w:pPr>
        <w:pStyle w:val="ListParagraph"/>
        <w:numPr>
          <w:ilvl w:val="0"/>
          <w:numId w:val="40"/>
        </w:numPr>
        <w:jc w:val="both"/>
        <w:rPr>
          <w:rFonts w:ascii="Arial" w:hAnsi="Arial"/>
          <w:noProof/>
          <w:sz w:val="22"/>
          <w:szCs w:val="22"/>
        </w:rPr>
      </w:pPr>
      <w:r w:rsidRPr="00EE2D44">
        <w:rPr>
          <w:rFonts w:ascii="Arial" w:hAnsi="Arial"/>
          <w:noProof/>
          <w:sz w:val="22"/>
          <w:szCs w:val="22"/>
        </w:rPr>
        <w:t>the cost savings associated with olanzapine replacement have been overestimated due to assuming the 300 mg strength is dosed fortnightly whereas it can also be dosed monthly (assuming all of the 300 mg strength of olanzapine LAI is dosed monthly increases the net PBS/RPBS cost in year 5 by $344,626);</w:t>
      </w:r>
    </w:p>
    <w:p w:rsidR="0008015B" w:rsidRPr="00EE2D44" w:rsidRDefault="0008015B" w:rsidP="00402455">
      <w:pPr>
        <w:pStyle w:val="ListParagraph"/>
        <w:numPr>
          <w:ilvl w:val="0"/>
          <w:numId w:val="40"/>
        </w:numPr>
        <w:jc w:val="both"/>
        <w:rPr>
          <w:rFonts w:ascii="Arial" w:hAnsi="Arial"/>
          <w:noProof/>
          <w:sz w:val="22"/>
          <w:szCs w:val="22"/>
        </w:rPr>
      </w:pPr>
      <w:r w:rsidRPr="00EE2D44">
        <w:rPr>
          <w:rFonts w:ascii="Arial" w:hAnsi="Arial"/>
          <w:noProof/>
          <w:sz w:val="22"/>
          <w:szCs w:val="22"/>
        </w:rPr>
        <w:t>the number of new patients treated with aripiprazole LAI each year has possibly been underestimated and some patients are likely to be treated with higher than a 10 mg dose of oral aripiprazole (assuming 3,082 new patients are treated with aripiprazole LAI each year, and all patients are treated with 15 mg oral aripiprazole, increases the net PBS/RPBS cost in year 5 by $306,609); and</w:t>
      </w:r>
    </w:p>
    <w:p w:rsidR="0008015B" w:rsidRPr="00EE2D44" w:rsidRDefault="0008015B" w:rsidP="00402455">
      <w:pPr>
        <w:pStyle w:val="ListParagraph"/>
        <w:numPr>
          <w:ilvl w:val="0"/>
          <w:numId w:val="40"/>
        </w:numPr>
        <w:jc w:val="both"/>
        <w:rPr>
          <w:rFonts w:ascii="Arial" w:hAnsi="Arial"/>
          <w:noProof/>
          <w:sz w:val="22"/>
          <w:szCs w:val="22"/>
        </w:rPr>
      </w:pPr>
      <w:r w:rsidRPr="00EE2D44">
        <w:rPr>
          <w:rFonts w:ascii="Arial" w:hAnsi="Arial"/>
          <w:noProof/>
          <w:sz w:val="22"/>
          <w:szCs w:val="22"/>
        </w:rPr>
        <w:t>substitution for less expensive oral atypical antipsychotics is not considered.</w:t>
      </w:r>
      <w:r w:rsidR="004D1680" w:rsidRPr="00EE2D44">
        <w:rPr>
          <w:rFonts w:ascii="Arial" w:hAnsi="Arial" w:cs="Arial"/>
          <w:noProof/>
          <w:color w:val="FF0000"/>
          <w:sz w:val="22"/>
          <w:szCs w:val="22"/>
        </w:rPr>
        <w:t xml:space="preserve"> </w:t>
      </w:r>
    </w:p>
    <w:p w:rsidR="00BB7EC3" w:rsidRPr="00EE2D44" w:rsidRDefault="00BB7EC3" w:rsidP="004D1680">
      <w:pPr>
        <w:jc w:val="both"/>
        <w:rPr>
          <w:rFonts w:ascii="Arial" w:hAnsi="Arial"/>
          <w:i/>
          <w:noProof/>
          <w:sz w:val="22"/>
          <w:szCs w:val="22"/>
        </w:rPr>
      </w:pPr>
    </w:p>
    <w:p w:rsidR="00BB7EC3" w:rsidRPr="00EE2D44" w:rsidRDefault="00BB7EC3" w:rsidP="00BB7EC3">
      <w:pPr>
        <w:pStyle w:val="ListParagraph"/>
        <w:ind w:left="709"/>
        <w:jc w:val="both"/>
        <w:rPr>
          <w:rFonts w:ascii="Arial" w:hAnsi="Arial"/>
          <w:i/>
          <w:noProof/>
          <w:sz w:val="22"/>
          <w:szCs w:val="22"/>
        </w:rPr>
      </w:pPr>
      <w:r w:rsidRPr="00EE2D44">
        <w:rPr>
          <w:rFonts w:ascii="Arial" w:hAnsi="Arial"/>
          <w:i/>
          <w:noProof/>
          <w:sz w:val="22"/>
          <w:szCs w:val="22"/>
        </w:rPr>
        <w:t>For more detail on PBAC’s view, see section 7 “PBAC outcome”</w:t>
      </w:r>
    </w:p>
    <w:p w:rsidR="00CE10C4" w:rsidRPr="00027DA2" w:rsidRDefault="00CE10C4" w:rsidP="00882085">
      <w:pPr>
        <w:jc w:val="both"/>
        <w:rPr>
          <w:rFonts w:ascii="Arial" w:hAnsi="Arial"/>
          <w:noProof/>
          <w:sz w:val="22"/>
          <w:szCs w:val="22"/>
        </w:rPr>
      </w:pPr>
    </w:p>
    <w:p w:rsidR="00027DA2" w:rsidRPr="00027DA2" w:rsidRDefault="00027DA2" w:rsidP="00882085">
      <w:pPr>
        <w:jc w:val="both"/>
        <w:rPr>
          <w:rFonts w:ascii="Arial" w:hAnsi="Arial"/>
          <w:noProof/>
          <w:sz w:val="22"/>
          <w:szCs w:val="22"/>
        </w:rPr>
      </w:pPr>
    </w:p>
    <w:p w:rsidR="00845BFB" w:rsidRPr="00EE2D44" w:rsidRDefault="00027DA2" w:rsidP="00845BFB">
      <w:pPr>
        <w:pStyle w:val="ListParagraph"/>
        <w:numPr>
          <w:ilvl w:val="0"/>
          <w:numId w:val="25"/>
        </w:numPr>
        <w:jc w:val="both"/>
        <w:rPr>
          <w:rFonts w:ascii="Arial" w:hAnsi="Arial"/>
          <w:b/>
          <w:noProof/>
          <w:sz w:val="22"/>
          <w:szCs w:val="22"/>
        </w:rPr>
      </w:pPr>
      <w:r>
        <w:rPr>
          <w:rFonts w:ascii="Arial" w:hAnsi="Arial"/>
          <w:b/>
          <w:noProof/>
          <w:sz w:val="22"/>
          <w:szCs w:val="22"/>
        </w:rPr>
        <w:t>PBAC Outcome</w:t>
      </w:r>
    </w:p>
    <w:p w:rsidR="00B43E90" w:rsidRPr="00EE2D44" w:rsidRDefault="00B43E90" w:rsidP="00882085">
      <w:pPr>
        <w:jc w:val="both"/>
        <w:rPr>
          <w:rFonts w:ascii="Arial" w:hAnsi="Arial"/>
          <w:b/>
          <w:noProof/>
          <w:sz w:val="22"/>
          <w:szCs w:val="22"/>
        </w:rPr>
      </w:pPr>
    </w:p>
    <w:p w:rsidR="00EF2E95" w:rsidRPr="00EE2D44" w:rsidRDefault="00B05D16" w:rsidP="00845BFB">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PBAC recommended the listing of aripiprazole </w:t>
      </w:r>
      <w:r w:rsidR="00383F7B" w:rsidRPr="00EE2D44">
        <w:rPr>
          <w:rFonts w:ascii="Arial" w:hAnsi="Arial"/>
          <w:noProof/>
          <w:sz w:val="22"/>
          <w:szCs w:val="22"/>
        </w:rPr>
        <w:t>on a cost-minimisation basis</w:t>
      </w:r>
      <w:r w:rsidR="00EA5DCF" w:rsidRPr="00EE2D44">
        <w:rPr>
          <w:rFonts w:ascii="Arial" w:hAnsi="Arial"/>
          <w:noProof/>
          <w:sz w:val="22"/>
          <w:szCs w:val="22"/>
        </w:rPr>
        <w:t xml:space="preserve"> compared to paliperidone LAI, as an Authority required (STREAMLINED) listing for the treatment of schizophrenia.</w:t>
      </w:r>
    </w:p>
    <w:p w:rsidR="00AC7EA8" w:rsidRPr="00EE2D44" w:rsidRDefault="00AC7EA8" w:rsidP="00AC7EA8">
      <w:pPr>
        <w:pStyle w:val="ListParagraph"/>
        <w:jc w:val="both"/>
        <w:rPr>
          <w:rFonts w:ascii="Arial" w:hAnsi="Arial"/>
          <w:noProof/>
          <w:sz w:val="22"/>
          <w:szCs w:val="22"/>
        </w:rPr>
      </w:pPr>
    </w:p>
    <w:p w:rsidR="00AC7EA8" w:rsidRPr="00EE2D44" w:rsidRDefault="00AC7EA8" w:rsidP="00AC7EA8">
      <w:pPr>
        <w:pStyle w:val="ListParagraph"/>
        <w:numPr>
          <w:ilvl w:val="1"/>
          <w:numId w:val="25"/>
        </w:numPr>
        <w:jc w:val="both"/>
        <w:rPr>
          <w:rFonts w:ascii="Arial" w:hAnsi="Arial"/>
          <w:noProof/>
          <w:sz w:val="22"/>
          <w:szCs w:val="22"/>
        </w:rPr>
      </w:pPr>
      <w:r w:rsidRPr="00EE2D44">
        <w:rPr>
          <w:rFonts w:ascii="Arial" w:hAnsi="Arial"/>
          <w:noProof/>
          <w:sz w:val="22"/>
          <w:szCs w:val="22"/>
        </w:rPr>
        <w:t>The PBAC noted the TGA Delegate’s decision to recommend aripiprazole for the ‘maintenance treatment of schizophrenia where clinically appropriate’. However the PBAC considered that it is reasonable to assume that prescribers would be unlikely to initiate patients on the modified release injection formulation and therefore a listing simply for “schizophrenia” is appropriate and consistent with other PBS-listed modified release antipsychotic injections.</w:t>
      </w:r>
    </w:p>
    <w:p w:rsidR="00EF41B7" w:rsidRPr="00EE2D44" w:rsidRDefault="00EF41B7" w:rsidP="00EF41B7">
      <w:pPr>
        <w:pStyle w:val="ListParagraph"/>
        <w:jc w:val="both"/>
        <w:rPr>
          <w:rFonts w:ascii="Arial" w:hAnsi="Arial"/>
          <w:noProof/>
          <w:sz w:val="22"/>
          <w:szCs w:val="22"/>
        </w:rPr>
      </w:pPr>
    </w:p>
    <w:p w:rsidR="00F06DED" w:rsidRPr="00EE2D44" w:rsidRDefault="00F06DED" w:rsidP="00A936E9">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PBAC </w:t>
      </w:r>
      <w:r w:rsidR="00A936E9" w:rsidRPr="00EE2D44">
        <w:rPr>
          <w:rFonts w:ascii="Arial" w:hAnsi="Arial"/>
          <w:noProof/>
          <w:sz w:val="22"/>
          <w:szCs w:val="22"/>
        </w:rPr>
        <w:t>agreed with the submission that based on recent prescription data (October 2013 – January 2014), paliperidone LAI is the most commonly used atypical LAI antipsychotic and further a</w:t>
      </w:r>
      <w:r w:rsidRPr="00EE2D44">
        <w:rPr>
          <w:rFonts w:ascii="Arial" w:hAnsi="Arial"/>
          <w:noProof/>
          <w:sz w:val="22"/>
          <w:szCs w:val="22"/>
        </w:rPr>
        <w:t xml:space="preserve">ccepted that paliperidone LAI is the appropriate </w:t>
      </w:r>
      <w:r w:rsidR="00183BFE" w:rsidRPr="00EE2D44">
        <w:rPr>
          <w:rFonts w:ascii="Arial" w:hAnsi="Arial"/>
          <w:noProof/>
          <w:sz w:val="22"/>
          <w:szCs w:val="22"/>
        </w:rPr>
        <w:t xml:space="preserve">main </w:t>
      </w:r>
      <w:r w:rsidRPr="00EE2D44">
        <w:rPr>
          <w:rFonts w:ascii="Arial" w:hAnsi="Arial"/>
          <w:noProof/>
          <w:sz w:val="22"/>
          <w:szCs w:val="22"/>
        </w:rPr>
        <w:t>comparator</w:t>
      </w:r>
      <w:r w:rsidR="00A936E9" w:rsidRPr="00EE2D44">
        <w:rPr>
          <w:rFonts w:ascii="Arial" w:hAnsi="Arial"/>
          <w:noProof/>
          <w:sz w:val="22"/>
          <w:szCs w:val="22"/>
        </w:rPr>
        <w:t>.</w:t>
      </w:r>
    </w:p>
    <w:p w:rsidR="00A936E9" w:rsidRPr="00EE2D44" w:rsidRDefault="00A936E9" w:rsidP="00A936E9">
      <w:pPr>
        <w:ind w:left="720"/>
        <w:jc w:val="both"/>
        <w:rPr>
          <w:rFonts w:ascii="Arial" w:hAnsi="Arial"/>
          <w:noProof/>
          <w:sz w:val="22"/>
          <w:szCs w:val="22"/>
        </w:rPr>
      </w:pPr>
    </w:p>
    <w:p w:rsidR="00F06DED" w:rsidRPr="00EE2D44" w:rsidRDefault="00A936E9" w:rsidP="00A936E9">
      <w:pPr>
        <w:pStyle w:val="ListParagraph"/>
        <w:numPr>
          <w:ilvl w:val="1"/>
          <w:numId w:val="25"/>
        </w:numPr>
        <w:jc w:val="both"/>
        <w:rPr>
          <w:rFonts w:ascii="Arial" w:hAnsi="Arial"/>
          <w:noProof/>
          <w:sz w:val="22"/>
          <w:szCs w:val="22"/>
        </w:rPr>
      </w:pPr>
      <w:r w:rsidRPr="00EE2D44">
        <w:rPr>
          <w:rFonts w:ascii="Arial" w:hAnsi="Arial"/>
          <w:noProof/>
          <w:sz w:val="22"/>
          <w:szCs w:val="22"/>
        </w:rPr>
        <w:t xml:space="preserve">Based on the </w:t>
      </w:r>
      <w:r w:rsidR="00045709" w:rsidRPr="00EE2D44">
        <w:rPr>
          <w:rFonts w:ascii="Arial" w:hAnsi="Arial"/>
          <w:noProof/>
          <w:sz w:val="22"/>
          <w:szCs w:val="22"/>
        </w:rPr>
        <w:t xml:space="preserve">indirect comparison </w:t>
      </w:r>
      <w:r w:rsidR="008C2583" w:rsidRPr="00EE2D44">
        <w:rPr>
          <w:rFonts w:ascii="Arial" w:hAnsi="Arial"/>
          <w:noProof/>
          <w:sz w:val="22"/>
          <w:szCs w:val="22"/>
        </w:rPr>
        <w:t xml:space="preserve">provided </w:t>
      </w:r>
      <w:r w:rsidR="00045709" w:rsidRPr="00EE2D44">
        <w:rPr>
          <w:rFonts w:ascii="Arial" w:hAnsi="Arial"/>
          <w:noProof/>
          <w:sz w:val="22"/>
          <w:szCs w:val="22"/>
        </w:rPr>
        <w:t>with placebo as common reference</w:t>
      </w:r>
      <w:r w:rsidRPr="00EE2D44">
        <w:rPr>
          <w:rFonts w:ascii="Arial" w:hAnsi="Arial"/>
          <w:noProof/>
          <w:sz w:val="22"/>
          <w:szCs w:val="22"/>
        </w:rPr>
        <w:t xml:space="preserve"> </w:t>
      </w:r>
      <w:r w:rsidR="00045709" w:rsidRPr="00EE2D44">
        <w:rPr>
          <w:rFonts w:ascii="Arial" w:hAnsi="Arial"/>
          <w:noProof/>
          <w:sz w:val="22"/>
          <w:szCs w:val="22"/>
        </w:rPr>
        <w:t>(ASPIRE-US and Hough 2010)</w:t>
      </w:r>
      <w:r w:rsidRPr="00EE2D44">
        <w:rPr>
          <w:rFonts w:ascii="Arial" w:hAnsi="Arial"/>
          <w:noProof/>
          <w:sz w:val="22"/>
          <w:szCs w:val="22"/>
        </w:rPr>
        <w:t xml:space="preserve">, the PBAC accepted that treatment with aripiprazole resulted in mean changes in PANSS scores that were comparable to those associated with </w:t>
      </w:r>
      <w:r w:rsidR="008C2583" w:rsidRPr="00EE2D44">
        <w:rPr>
          <w:rFonts w:ascii="Arial" w:hAnsi="Arial"/>
          <w:noProof/>
          <w:sz w:val="22"/>
          <w:szCs w:val="22"/>
        </w:rPr>
        <w:t>paliperidone LAI.</w:t>
      </w:r>
    </w:p>
    <w:p w:rsidR="00F06DED" w:rsidRPr="00EE2D44" w:rsidRDefault="00F06DED" w:rsidP="008C2583">
      <w:pPr>
        <w:pStyle w:val="ListParagraph"/>
        <w:rPr>
          <w:rFonts w:ascii="Arial" w:hAnsi="Arial"/>
          <w:noProof/>
          <w:sz w:val="22"/>
          <w:szCs w:val="22"/>
        </w:rPr>
      </w:pPr>
    </w:p>
    <w:p w:rsidR="00C753F1" w:rsidRPr="00EE2D44" w:rsidRDefault="00C753F1" w:rsidP="00233A96">
      <w:pPr>
        <w:pStyle w:val="ListParagraph"/>
        <w:numPr>
          <w:ilvl w:val="1"/>
          <w:numId w:val="25"/>
        </w:numPr>
        <w:jc w:val="both"/>
        <w:rPr>
          <w:rFonts w:ascii="Arial" w:hAnsi="Arial"/>
          <w:noProof/>
          <w:sz w:val="22"/>
          <w:szCs w:val="22"/>
        </w:rPr>
      </w:pPr>
      <w:r w:rsidRPr="00EE2D44">
        <w:rPr>
          <w:rFonts w:ascii="Arial" w:hAnsi="Arial"/>
          <w:noProof/>
          <w:sz w:val="22"/>
          <w:szCs w:val="22"/>
        </w:rPr>
        <w:t>In terms of safety, the PBAC noted the</w:t>
      </w:r>
      <w:r w:rsidR="00444592" w:rsidRPr="00EE2D44">
        <w:rPr>
          <w:rFonts w:ascii="Arial" w:hAnsi="Arial"/>
          <w:noProof/>
          <w:sz w:val="22"/>
          <w:szCs w:val="22"/>
        </w:rPr>
        <w:t xml:space="preserve"> higher</w:t>
      </w:r>
      <w:r w:rsidRPr="00EE2D44">
        <w:rPr>
          <w:rFonts w:ascii="Arial" w:hAnsi="Arial"/>
          <w:noProof/>
          <w:sz w:val="22"/>
          <w:szCs w:val="22"/>
        </w:rPr>
        <w:t xml:space="preserve"> incidences of extrapyramidal symptoms (EPS) or EPS-related events </w:t>
      </w:r>
      <w:r w:rsidR="00233A96" w:rsidRPr="00EE2D44">
        <w:rPr>
          <w:rFonts w:ascii="Arial" w:hAnsi="Arial"/>
          <w:noProof/>
          <w:sz w:val="22"/>
          <w:szCs w:val="22"/>
        </w:rPr>
        <w:t xml:space="preserve">with aripirazole LAI compared to aripiprazole tablets and </w:t>
      </w:r>
      <w:r w:rsidRPr="00EE2D44">
        <w:rPr>
          <w:rFonts w:ascii="Arial" w:hAnsi="Arial"/>
          <w:noProof/>
          <w:sz w:val="22"/>
          <w:szCs w:val="22"/>
        </w:rPr>
        <w:t xml:space="preserve">weight increase </w:t>
      </w:r>
      <w:r w:rsidR="00233A96" w:rsidRPr="00EE2D44">
        <w:rPr>
          <w:rFonts w:ascii="Arial" w:hAnsi="Arial"/>
          <w:noProof/>
          <w:sz w:val="22"/>
          <w:szCs w:val="22"/>
        </w:rPr>
        <w:t xml:space="preserve">was more common with aripiprazole tablets compared </w:t>
      </w:r>
      <w:r w:rsidR="00233A96" w:rsidRPr="00EE2D44">
        <w:rPr>
          <w:rFonts w:ascii="Arial" w:hAnsi="Arial"/>
          <w:noProof/>
          <w:sz w:val="22"/>
          <w:szCs w:val="22"/>
        </w:rPr>
        <w:lastRenderedPageBreak/>
        <w:t xml:space="preserve">with aripiprazole LAI. Overall, compared to the main comparator, paliperidone LAI, PBAC considered the safety profiles differed slightly but were comparable. </w:t>
      </w:r>
    </w:p>
    <w:p w:rsidR="00C753F1" w:rsidRPr="00EE2D44" w:rsidRDefault="00C753F1" w:rsidP="00200815">
      <w:pPr>
        <w:pStyle w:val="ListParagraph"/>
        <w:rPr>
          <w:rFonts w:ascii="Arial" w:hAnsi="Arial"/>
          <w:noProof/>
          <w:sz w:val="22"/>
          <w:szCs w:val="22"/>
        </w:rPr>
      </w:pPr>
    </w:p>
    <w:p w:rsidR="00B05D16" w:rsidRPr="00EE2D44" w:rsidRDefault="00EF41B7" w:rsidP="00EF41B7">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PBAC considered that the data presented adequately supported the submission’s claims of non-inferior comparative efficacy and safety versus paliperidone LAI albeit with a difference in the safety profile. </w:t>
      </w:r>
    </w:p>
    <w:p w:rsidR="00F06DED" w:rsidRPr="00EE2D44" w:rsidRDefault="00F06DED" w:rsidP="008C2583">
      <w:pPr>
        <w:ind w:left="720"/>
        <w:jc w:val="both"/>
        <w:rPr>
          <w:rFonts w:ascii="Arial" w:hAnsi="Arial"/>
          <w:noProof/>
          <w:sz w:val="22"/>
          <w:szCs w:val="22"/>
        </w:rPr>
      </w:pPr>
    </w:p>
    <w:p w:rsidR="00B05D16" w:rsidRPr="00EE2D44" w:rsidRDefault="00F907D2" w:rsidP="002111E7">
      <w:pPr>
        <w:pStyle w:val="ListParagraph"/>
        <w:numPr>
          <w:ilvl w:val="1"/>
          <w:numId w:val="25"/>
        </w:numPr>
        <w:jc w:val="both"/>
        <w:rPr>
          <w:rFonts w:ascii="Arial" w:hAnsi="Arial"/>
          <w:noProof/>
          <w:sz w:val="22"/>
          <w:szCs w:val="22"/>
        </w:rPr>
      </w:pPr>
      <w:r w:rsidRPr="00EE2D44">
        <w:rPr>
          <w:rFonts w:ascii="Arial" w:hAnsi="Arial"/>
          <w:noProof/>
          <w:sz w:val="22"/>
          <w:szCs w:val="22"/>
        </w:rPr>
        <w:t>The PBAC noted that the requested prices for aripiprazole LAI are based on a 1:1.79 relative price advantage over aripiprazole tablet</w:t>
      </w:r>
      <w:r w:rsidR="00200815" w:rsidRPr="00EE2D44">
        <w:rPr>
          <w:rFonts w:ascii="Arial" w:hAnsi="Arial"/>
          <w:noProof/>
          <w:sz w:val="22"/>
          <w:szCs w:val="22"/>
        </w:rPr>
        <w:t xml:space="preserve">. </w:t>
      </w:r>
      <w:r w:rsidR="00F63268" w:rsidRPr="00EE2D44">
        <w:rPr>
          <w:rFonts w:ascii="Arial" w:hAnsi="Arial"/>
          <w:noProof/>
          <w:sz w:val="22"/>
          <w:szCs w:val="22"/>
        </w:rPr>
        <w:t xml:space="preserve"> </w:t>
      </w:r>
      <w:r w:rsidR="00200815" w:rsidRPr="00EE2D44">
        <w:rPr>
          <w:rFonts w:ascii="Arial" w:hAnsi="Arial"/>
          <w:noProof/>
          <w:sz w:val="22"/>
          <w:szCs w:val="22"/>
        </w:rPr>
        <w:t>H</w:t>
      </w:r>
      <w:r w:rsidR="002111E7" w:rsidRPr="00EE2D44">
        <w:rPr>
          <w:rFonts w:ascii="Arial" w:hAnsi="Arial"/>
          <w:noProof/>
          <w:sz w:val="22"/>
          <w:szCs w:val="22"/>
        </w:rPr>
        <w:t>owever</w:t>
      </w:r>
      <w:r w:rsidR="00200815" w:rsidRPr="00EE2D44">
        <w:rPr>
          <w:rFonts w:ascii="Arial" w:hAnsi="Arial"/>
          <w:noProof/>
          <w:sz w:val="22"/>
          <w:szCs w:val="22"/>
        </w:rPr>
        <w:t>,</w:t>
      </w:r>
      <w:r w:rsidR="002111E7" w:rsidRPr="00EE2D44">
        <w:rPr>
          <w:rFonts w:ascii="Arial" w:hAnsi="Arial"/>
          <w:noProof/>
          <w:sz w:val="22"/>
          <w:szCs w:val="22"/>
        </w:rPr>
        <w:t xml:space="preserve"> the PBAC recalled that paliperidone LAI was not priced based on the tablet formulation and instead was cost-minimised versus risperidone LAI</w:t>
      </w:r>
      <w:r w:rsidR="00BA218D" w:rsidRPr="00EE2D44">
        <w:rPr>
          <w:rFonts w:ascii="Arial" w:hAnsi="Arial"/>
          <w:noProof/>
          <w:sz w:val="22"/>
          <w:szCs w:val="22"/>
        </w:rPr>
        <w:t xml:space="preserve"> (P</w:t>
      </w:r>
      <w:r w:rsidR="00200815" w:rsidRPr="00EE2D44">
        <w:rPr>
          <w:rFonts w:ascii="Arial" w:hAnsi="Arial"/>
          <w:noProof/>
          <w:sz w:val="22"/>
          <w:szCs w:val="22"/>
        </w:rPr>
        <w:t>aliperidone Public Summary Document November 2010 PBAC)</w:t>
      </w:r>
      <w:r w:rsidR="002111E7" w:rsidRPr="00EE2D44">
        <w:rPr>
          <w:rFonts w:ascii="Arial" w:hAnsi="Arial"/>
          <w:noProof/>
          <w:sz w:val="22"/>
          <w:szCs w:val="22"/>
        </w:rPr>
        <w:t xml:space="preserve">. </w:t>
      </w:r>
      <w:r w:rsidR="00233A96" w:rsidRPr="00EE2D44">
        <w:rPr>
          <w:rFonts w:ascii="Arial" w:hAnsi="Arial"/>
          <w:noProof/>
          <w:sz w:val="22"/>
          <w:szCs w:val="22"/>
        </w:rPr>
        <w:t>PBAC considered cost-minimisation of aripiprazole LAI versus paliperidone LAI to be the most relevant basis for PBS pricing.</w:t>
      </w:r>
    </w:p>
    <w:p w:rsidR="00BB7EC3" w:rsidRPr="00EE2D44" w:rsidRDefault="00BB7EC3" w:rsidP="00BB7EC3">
      <w:pPr>
        <w:pStyle w:val="ListParagraph"/>
        <w:rPr>
          <w:rFonts w:ascii="Arial" w:hAnsi="Arial"/>
          <w:noProof/>
          <w:sz w:val="22"/>
          <w:szCs w:val="22"/>
        </w:rPr>
      </w:pPr>
    </w:p>
    <w:p w:rsidR="00200815" w:rsidRPr="00EE2D44" w:rsidRDefault="00233A96" w:rsidP="0046201E">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PBAC noted arguments in the Pre-PBAC response (p1) that the use of the average dose used in clinical practice for paliperidone LAI is reasonable considering the equi-effective doses for paliperidone LAI and risperidone LAI were sourced from market data for the purposes of calculating PBS paliperidone prices. The pricing using market data also results in similar pricing to the 1.79 price advantage over aripirazole tablets. However, </w:t>
      </w:r>
      <w:r w:rsidR="00C70C46" w:rsidRPr="00EE2D44">
        <w:rPr>
          <w:rFonts w:ascii="Arial" w:hAnsi="Arial"/>
          <w:noProof/>
          <w:sz w:val="22"/>
          <w:szCs w:val="22"/>
        </w:rPr>
        <w:t xml:space="preserve">PBAC </w:t>
      </w:r>
      <w:r w:rsidRPr="00EE2D44">
        <w:rPr>
          <w:rFonts w:ascii="Arial" w:hAnsi="Arial"/>
          <w:noProof/>
          <w:sz w:val="22"/>
          <w:szCs w:val="22"/>
        </w:rPr>
        <w:t>considered</w:t>
      </w:r>
      <w:r w:rsidR="0046201E" w:rsidRPr="00EE2D44">
        <w:rPr>
          <w:rFonts w:ascii="Arial" w:hAnsi="Arial"/>
          <w:noProof/>
          <w:sz w:val="22"/>
          <w:szCs w:val="22"/>
        </w:rPr>
        <w:t xml:space="preserve"> the decision in November 2010 </w:t>
      </w:r>
      <w:r w:rsidR="00BA218D" w:rsidRPr="00EE2D44">
        <w:rPr>
          <w:rFonts w:ascii="Arial" w:hAnsi="Arial"/>
          <w:noProof/>
          <w:sz w:val="22"/>
          <w:szCs w:val="22"/>
        </w:rPr>
        <w:t>for</w:t>
      </w:r>
      <w:r w:rsidR="0046201E" w:rsidRPr="00EE2D44">
        <w:rPr>
          <w:rFonts w:ascii="Arial" w:hAnsi="Arial"/>
          <w:noProof/>
          <w:sz w:val="22"/>
          <w:szCs w:val="22"/>
        </w:rPr>
        <w:t xml:space="preserve"> paliperidone LAI took into consideration that the trial data were not at steady state and were immature</w:t>
      </w:r>
      <w:r w:rsidR="00BA218D" w:rsidRPr="00EE2D44">
        <w:rPr>
          <w:rFonts w:ascii="Arial" w:hAnsi="Arial"/>
          <w:noProof/>
          <w:sz w:val="22"/>
          <w:szCs w:val="22"/>
        </w:rPr>
        <w:t>,</w:t>
      </w:r>
      <w:r w:rsidR="0046201E" w:rsidRPr="00EE2D44">
        <w:rPr>
          <w:rFonts w:ascii="Arial" w:hAnsi="Arial"/>
          <w:noProof/>
          <w:sz w:val="22"/>
          <w:szCs w:val="22"/>
        </w:rPr>
        <w:t xml:space="preserve"> which meant the dose relativity at study endpoint may not be informative </w:t>
      </w:r>
      <w:r w:rsidR="00BA218D" w:rsidRPr="00EE2D44">
        <w:rPr>
          <w:rFonts w:ascii="Arial" w:hAnsi="Arial"/>
          <w:noProof/>
          <w:sz w:val="22"/>
          <w:szCs w:val="22"/>
        </w:rPr>
        <w:t>(Paliperidone Public Summary Document November 2010 PBAC). The head to head trial data versus risperidone LAI presented in the paliperidone LAI submission in November 2010 is different to the Hough 2010 data versus placebo presented in the indirect comparison with aripirazole LAI in this submission. Given</w:t>
      </w:r>
      <w:r w:rsidR="00C70C46" w:rsidRPr="00EE2D44">
        <w:rPr>
          <w:rFonts w:ascii="Arial" w:hAnsi="Arial"/>
          <w:noProof/>
          <w:sz w:val="22"/>
          <w:szCs w:val="22"/>
        </w:rPr>
        <w:t xml:space="preserve"> the trial data</w:t>
      </w:r>
      <w:r w:rsidR="00BA218D" w:rsidRPr="00EE2D44">
        <w:rPr>
          <w:rFonts w:ascii="Arial" w:hAnsi="Arial"/>
          <w:noProof/>
          <w:sz w:val="22"/>
          <w:szCs w:val="22"/>
        </w:rPr>
        <w:t xml:space="preserve"> in this ariprazole LAI submission</w:t>
      </w:r>
      <w:r w:rsidR="00C70C46" w:rsidRPr="00EE2D44">
        <w:rPr>
          <w:rFonts w:ascii="Arial" w:hAnsi="Arial"/>
          <w:noProof/>
          <w:sz w:val="22"/>
          <w:szCs w:val="22"/>
        </w:rPr>
        <w:t xml:space="preserve"> represent steady state dosing </w:t>
      </w:r>
      <w:r w:rsidR="00BA218D" w:rsidRPr="00EE2D44">
        <w:rPr>
          <w:rFonts w:ascii="Arial" w:hAnsi="Arial"/>
          <w:noProof/>
          <w:sz w:val="22"/>
          <w:szCs w:val="22"/>
        </w:rPr>
        <w:t>for both</w:t>
      </w:r>
      <w:r w:rsidR="00C70C46" w:rsidRPr="00EE2D44">
        <w:rPr>
          <w:rFonts w:ascii="Arial" w:hAnsi="Arial"/>
          <w:noProof/>
          <w:sz w:val="22"/>
          <w:szCs w:val="22"/>
        </w:rPr>
        <w:t xml:space="preserve"> aripiprazole and paliperidone, the </w:t>
      </w:r>
      <w:r w:rsidR="00200815" w:rsidRPr="00EE2D44">
        <w:rPr>
          <w:rFonts w:ascii="Arial" w:hAnsi="Arial"/>
          <w:noProof/>
          <w:sz w:val="22"/>
          <w:szCs w:val="22"/>
        </w:rPr>
        <w:t xml:space="preserve">equi-effective dosing should be </w:t>
      </w:r>
      <w:r w:rsidR="00BA218D" w:rsidRPr="00EE2D44">
        <w:rPr>
          <w:rFonts w:ascii="Arial" w:hAnsi="Arial"/>
          <w:noProof/>
          <w:sz w:val="22"/>
          <w:szCs w:val="22"/>
        </w:rPr>
        <w:t>from</w:t>
      </w:r>
      <w:r w:rsidR="00200815" w:rsidRPr="00EE2D44">
        <w:rPr>
          <w:rFonts w:ascii="Arial" w:hAnsi="Arial"/>
          <w:noProof/>
          <w:sz w:val="22"/>
          <w:szCs w:val="22"/>
        </w:rPr>
        <w:t xml:space="preserve"> the trial data (ASPIRE US and Hough 2010) and not </w:t>
      </w:r>
      <w:r w:rsidR="00C70C46" w:rsidRPr="00EE2D44">
        <w:rPr>
          <w:rFonts w:ascii="Arial" w:hAnsi="Arial"/>
          <w:noProof/>
          <w:sz w:val="22"/>
          <w:szCs w:val="22"/>
        </w:rPr>
        <w:t>sourced from market data. Therefore the PBAC considered that aripiprazole LAI 390 mg every 28 days is equi-effective to paliperidone 83 mg every 28 days.</w:t>
      </w:r>
    </w:p>
    <w:p w:rsidR="002111E7" w:rsidRPr="00EE2D44" w:rsidRDefault="002111E7" w:rsidP="00911FC1">
      <w:pPr>
        <w:pStyle w:val="ListParagraph"/>
        <w:ind w:left="709"/>
        <w:jc w:val="both"/>
        <w:rPr>
          <w:rFonts w:ascii="Arial" w:hAnsi="Arial"/>
          <w:noProof/>
          <w:sz w:val="22"/>
          <w:szCs w:val="22"/>
        </w:rPr>
      </w:pPr>
    </w:p>
    <w:p w:rsidR="00AD10AE" w:rsidRPr="00EE2D44" w:rsidRDefault="002111E7" w:rsidP="00AD10AE">
      <w:pPr>
        <w:pStyle w:val="ListParagraph"/>
        <w:numPr>
          <w:ilvl w:val="1"/>
          <w:numId w:val="25"/>
        </w:numPr>
        <w:jc w:val="both"/>
        <w:rPr>
          <w:rFonts w:ascii="Arial" w:hAnsi="Arial"/>
          <w:noProof/>
          <w:sz w:val="22"/>
          <w:szCs w:val="22"/>
        </w:rPr>
      </w:pPr>
      <w:r w:rsidRPr="00EE2D44">
        <w:rPr>
          <w:rFonts w:ascii="Arial" w:hAnsi="Arial"/>
          <w:noProof/>
          <w:sz w:val="22"/>
          <w:szCs w:val="22"/>
        </w:rPr>
        <w:t xml:space="preserve">The PBAC </w:t>
      </w:r>
      <w:r w:rsidR="00F361A4" w:rsidRPr="00EE2D44">
        <w:rPr>
          <w:rFonts w:ascii="Arial" w:hAnsi="Arial"/>
          <w:noProof/>
          <w:sz w:val="22"/>
          <w:szCs w:val="22"/>
        </w:rPr>
        <w:t>agreed with the ESC that th</w:t>
      </w:r>
      <w:r w:rsidR="00D54579" w:rsidRPr="00EE2D44">
        <w:rPr>
          <w:rFonts w:ascii="Arial" w:hAnsi="Arial"/>
          <w:noProof/>
          <w:sz w:val="22"/>
          <w:szCs w:val="22"/>
        </w:rPr>
        <w:t>e submission’</w:t>
      </w:r>
      <w:r w:rsidR="00F361A4" w:rsidRPr="00EE2D44">
        <w:rPr>
          <w:rFonts w:ascii="Arial" w:hAnsi="Arial"/>
          <w:noProof/>
          <w:sz w:val="22"/>
          <w:szCs w:val="22"/>
        </w:rPr>
        <w:t>s estimates of utilisation and PBS costs are likely to be underestimated</w:t>
      </w:r>
      <w:r w:rsidR="00D54579" w:rsidRPr="00EE2D44">
        <w:rPr>
          <w:rFonts w:ascii="Arial" w:hAnsi="Arial"/>
          <w:noProof/>
          <w:sz w:val="22"/>
          <w:szCs w:val="22"/>
        </w:rPr>
        <w:t xml:space="preserve">. </w:t>
      </w:r>
      <w:r w:rsidR="00F361A4" w:rsidRPr="00EE2D44">
        <w:rPr>
          <w:rFonts w:ascii="Arial" w:hAnsi="Arial"/>
          <w:noProof/>
          <w:sz w:val="22"/>
          <w:szCs w:val="22"/>
        </w:rPr>
        <w:t xml:space="preserve">PBAC </w:t>
      </w:r>
      <w:r w:rsidR="00917856" w:rsidRPr="00EE2D44">
        <w:rPr>
          <w:rFonts w:ascii="Arial" w:hAnsi="Arial"/>
          <w:noProof/>
          <w:sz w:val="22"/>
          <w:szCs w:val="22"/>
        </w:rPr>
        <w:t xml:space="preserve">also </w:t>
      </w:r>
      <w:r w:rsidR="00F361A4" w:rsidRPr="00EE2D44">
        <w:rPr>
          <w:rFonts w:ascii="Arial" w:hAnsi="Arial"/>
          <w:noProof/>
          <w:sz w:val="22"/>
          <w:szCs w:val="22"/>
        </w:rPr>
        <w:t>questioned whether the submission’s claim that</w:t>
      </w:r>
      <w:r w:rsidR="00D54579" w:rsidRPr="00EE2D44">
        <w:rPr>
          <w:rFonts w:ascii="Arial" w:hAnsi="Arial"/>
          <w:noProof/>
          <w:sz w:val="22"/>
          <w:szCs w:val="22"/>
        </w:rPr>
        <w:t xml:space="preserve"> 4</w:t>
      </w:r>
      <w:r w:rsidRPr="00EE2D44">
        <w:rPr>
          <w:rFonts w:ascii="Arial" w:hAnsi="Arial"/>
          <w:noProof/>
          <w:sz w:val="22"/>
          <w:szCs w:val="22"/>
        </w:rPr>
        <w:t>0% of the paliperidone market will be absorbed by aripiprazole</w:t>
      </w:r>
      <w:r w:rsidR="00F361A4" w:rsidRPr="00EE2D44">
        <w:rPr>
          <w:rFonts w:ascii="Arial" w:hAnsi="Arial"/>
          <w:noProof/>
          <w:sz w:val="22"/>
          <w:szCs w:val="22"/>
        </w:rPr>
        <w:t xml:space="preserve"> is reliable</w:t>
      </w:r>
      <w:r w:rsidR="00AD50FF" w:rsidRPr="00EE2D44">
        <w:rPr>
          <w:rFonts w:ascii="Arial" w:hAnsi="Arial"/>
          <w:noProof/>
          <w:sz w:val="22"/>
          <w:szCs w:val="22"/>
        </w:rPr>
        <w:t>.</w:t>
      </w:r>
    </w:p>
    <w:p w:rsidR="00917856" w:rsidRPr="00EE2D44" w:rsidRDefault="00917856" w:rsidP="00917856">
      <w:pPr>
        <w:pStyle w:val="ListParagraph"/>
        <w:rPr>
          <w:rFonts w:ascii="Arial" w:hAnsi="Arial"/>
          <w:noProof/>
          <w:sz w:val="22"/>
          <w:szCs w:val="22"/>
        </w:rPr>
      </w:pPr>
    </w:p>
    <w:p w:rsidR="0007600F" w:rsidRPr="00EE2D44" w:rsidRDefault="0007600F" w:rsidP="0007600F">
      <w:pPr>
        <w:pStyle w:val="ListParagraph"/>
        <w:numPr>
          <w:ilvl w:val="1"/>
          <w:numId w:val="25"/>
        </w:numPr>
        <w:rPr>
          <w:rFonts w:ascii="Arial" w:hAnsi="Arial"/>
          <w:noProof/>
          <w:sz w:val="22"/>
          <w:szCs w:val="22"/>
        </w:rPr>
      </w:pPr>
      <w:r w:rsidRPr="00EE2D44">
        <w:rPr>
          <w:rFonts w:ascii="Arial" w:hAnsi="Arial"/>
          <w:noProof/>
          <w:sz w:val="22"/>
          <w:szCs w:val="22"/>
        </w:rPr>
        <w:t>The PBAC recommended that the Safety Net 20 Day Rule should apply.</w:t>
      </w:r>
    </w:p>
    <w:p w:rsidR="0007600F" w:rsidRPr="00EE2D44" w:rsidRDefault="0007600F" w:rsidP="00AD10AE">
      <w:pPr>
        <w:pStyle w:val="ListParagraph"/>
        <w:rPr>
          <w:rFonts w:ascii="Arial" w:hAnsi="Arial"/>
          <w:noProof/>
          <w:sz w:val="22"/>
          <w:szCs w:val="22"/>
        </w:rPr>
      </w:pPr>
    </w:p>
    <w:p w:rsidR="0007600F" w:rsidRPr="00EE2D44" w:rsidRDefault="0007600F" w:rsidP="0007600F">
      <w:pPr>
        <w:pStyle w:val="ListParagraph"/>
        <w:numPr>
          <w:ilvl w:val="1"/>
          <w:numId w:val="25"/>
        </w:numPr>
        <w:rPr>
          <w:rFonts w:ascii="Arial" w:hAnsi="Arial"/>
          <w:noProof/>
          <w:sz w:val="22"/>
          <w:szCs w:val="22"/>
        </w:rPr>
      </w:pPr>
      <w:r w:rsidRPr="00EE2D44">
        <w:rPr>
          <w:rFonts w:ascii="Arial" w:hAnsi="Arial"/>
          <w:noProof/>
          <w:sz w:val="22"/>
          <w:szCs w:val="22"/>
        </w:rPr>
        <w:t xml:space="preserve">The PBAC </w:t>
      </w:r>
      <w:r w:rsidR="00AD50FF" w:rsidRPr="00EE2D44">
        <w:rPr>
          <w:rFonts w:ascii="Arial" w:hAnsi="Arial"/>
          <w:noProof/>
          <w:sz w:val="22"/>
          <w:szCs w:val="22"/>
        </w:rPr>
        <w:t>recommended that</w:t>
      </w:r>
      <w:r w:rsidRPr="00EE2D44">
        <w:rPr>
          <w:rFonts w:ascii="Arial" w:hAnsi="Arial"/>
          <w:noProof/>
          <w:sz w:val="22"/>
          <w:szCs w:val="22"/>
        </w:rPr>
        <w:t xml:space="preserve"> aripiprazole is suitable for prescribing by nurse practitioners</w:t>
      </w:r>
      <w:r w:rsidR="00AD50FF" w:rsidRPr="00EE2D44">
        <w:rPr>
          <w:rFonts w:ascii="Arial" w:hAnsi="Arial" w:cs="Arial"/>
          <w:i/>
          <w:sz w:val="22"/>
        </w:rPr>
        <w:t xml:space="preserve"> </w:t>
      </w:r>
      <w:r w:rsidR="00AD50FF" w:rsidRPr="00EE2D44">
        <w:rPr>
          <w:rFonts w:ascii="Arial" w:hAnsi="Arial" w:cs="Arial"/>
          <w:sz w:val="22"/>
        </w:rPr>
        <w:t xml:space="preserve">within a shared care model. </w:t>
      </w:r>
    </w:p>
    <w:p w:rsidR="009C703C" w:rsidRPr="00EE2D44" w:rsidRDefault="009C703C" w:rsidP="00882085">
      <w:pPr>
        <w:pStyle w:val="ListParagraph"/>
        <w:ind w:left="709"/>
        <w:jc w:val="both"/>
        <w:rPr>
          <w:rFonts w:ascii="Arial" w:hAnsi="Arial"/>
          <w:noProof/>
          <w:sz w:val="22"/>
          <w:szCs w:val="22"/>
        </w:rPr>
      </w:pPr>
    </w:p>
    <w:p w:rsidR="00012913" w:rsidRPr="00EE2D44" w:rsidRDefault="00012913" w:rsidP="00012913">
      <w:pPr>
        <w:pStyle w:val="ListParagraph"/>
        <w:numPr>
          <w:ilvl w:val="1"/>
          <w:numId w:val="25"/>
        </w:numPr>
        <w:jc w:val="both"/>
        <w:rPr>
          <w:rFonts w:ascii="Arial" w:hAnsi="Arial"/>
          <w:noProof/>
          <w:sz w:val="22"/>
          <w:szCs w:val="22"/>
        </w:rPr>
      </w:pPr>
      <w:r w:rsidRPr="00EE2D44">
        <w:rPr>
          <w:rFonts w:ascii="Arial" w:hAnsi="Arial"/>
          <w:noProof/>
          <w:sz w:val="22"/>
          <w:szCs w:val="22"/>
        </w:rPr>
        <w:t>The PBAC recommended that aripiprazole</w:t>
      </w:r>
      <w:r w:rsidRPr="00EE2D44">
        <w:rPr>
          <w:rFonts w:ascii="Arial" w:hAnsi="Arial"/>
          <w:i/>
          <w:noProof/>
          <w:sz w:val="22"/>
          <w:szCs w:val="22"/>
        </w:rPr>
        <w:t xml:space="preserve"> </w:t>
      </w:r>
      <w:r w:rsidR="00917856" w:rsidRPr="00EE2D44">
        <w:rPr>
          <w:rFonts w:ascii="Arial" w:hAnsi="Arial"/>
          <w:noProof/>
          <w:sz w:val="22"/>
          <w:szCs w:val="22"/>
        </w:rPr>
        <w:t xml:space="preserve">LAI </w:t>
      </w:r>
      <w:r w:rsidRPr="00EE2D44">
        <w:rPr>
          <w:rFonts w:ascii="Arial" w:hAnsi="Arial"/>
          <w:noProof/>
          <w:sz w:val="22"/>
          <w:szCs w:val="22"/>
        </w:rPr>
        <w:t xml:space="preserve">should be treated as interchangeable on an individual patient basis with paliperidone </w:t>
      </w:r>
      <w:r w:rsidR="00917856" w:rsidRPr="00EE2D44">
        <w:rPr>
          <w:rFonts w:ascii="Arial" w:hAnsi="Arial"/>
          <w:noProof/>
          <w:sz w:val="22"/>
          <w:szCs w:val="22"/>
        </w:rPr>
        <w:t xml:space="preserve">LAI </w:t>
      </w:r>
      <w:r w:rsidRPr="00EE2D44">
        <w:rPr>
          <w:rFonts w:ascii="Arial" w:hAnsi="Arial"/>
          <w:noProof/>
          <w:sz w:val="22"/>
          <w:szCs w:val="22"/>
        </w:rPr>
        <w:t>and risperidone</w:t>
      </w:r>
      <w:r w:rsidR="00917856" w:rsidRPr="00EE2D44">
        <w:rPr>
          <w:rFonts w:ascii="Arial" w:hAnsi="Arial"/>
          <w:noProof/>
          <w:sz w:val="22"/>
          <w:szCs w:val="22"/>
        </w:rPr>
        <w:t xml:space="preserve"> LAI</w:t>
      </w:r>
      <w:r w:rsidRPr="00EE2D44">
        <w:rPr>
          <w:rFonts w:ascii="Arial" w:hAnsi="Arial"/>
          <w:i/>
          <w:noProof/>
          <w:sz w:val="22"/>
          <w:szCs w:val="22"/>
        </w:rPr>
        <w:t xml:space="preserve">, </w:t>
      </w:r>
      <w:r w:rsidRPr="00EE2D44">
        <w:rPr>
          <w:rFonts w:ascii="Arial" w:hAnsi="Arial"/>
          <w:noProof/>
          <w:sz w:val="22"/>
          <w:szCs w:val="22"/>
        </w:rPr>
        <w:t xml:space="preserve">according to </w:t>
      </w:r>
      <w:r w:rsidR="00EE11E8" w:rsidRPr="00EE2D44">
        <w:rPr>
          <w:rFonts w:ascii="Arial" w:hAnsi="Arial"/>
          <w:noProof/>
          <w:sz w:val="22"/>
          <w:szCs w:val="22"/>
        </w:rPr>
        <w:t>S</w:t>
      </w:r>
      <w:r w:rsidR="0007600F" w:rsidRPr="00EE2D44">
        <w:rPr>
          <w:rFonts w:ascii="Arial" w:hAnsi="Arial"/>
          <w:noProof/>
          <w:sz w:val="22"/>
          <w:szCs w:val="22"/>
        </w:rPr>
        <w:t xml:space="preserve">ection </w:t>
      </w:r>
      <w:r w:rsidRPr="00EE2D44">
        <w:rPr>
          <w:rFonts w:ascii="Arial" w:hAnsi="Arial"/>
          <w:noProof/>
          <w:sz w:val="22"/>
          <w:szCs w:val="22"/>
        </w:rPr>
        <w:t xml:space="preserve">101(3BA) of the </w:t>
      </w:r>
      <w:r w:rsidRPr="00EE2D44">
        <w:rPr>
          <w:rFonts w:ascii="Arial" w:hAnsi="Arial"/>
          <w:i/>
          <w:noProof/>
          <w:sz w:val="22"/>
          <w:szCs w:val="22"/>
        </w:rPr>
        <w:t>National Health Act 1953</w:t>
      </w:r>
      <w:r w:rsidRPr="00EE2D44">
        <w:rPr>
          <w:rFonts w:ascii="Arial" w:hAnsi="Arial"/>
          <w:noProof/>
          <w:sz w:val="22"/>
          <w:szCs w:val="22"/>
        </w:rPr>
        <w:t xml:space="preserve">. The PBAC </w:t>
      </w:r>
      <w:r w:rsidR="00EE2D44">
        <w:rPr>
          <w:rFonts w:ascii="Arial" w:hAnsi="Arial"/>
          <w:noProof/>
          <w:sz w:val="22"/>
          <w:szCs w:val="22"/>
        </w:rPr>
        <w:t>recommended</w:t>
      </w:r>
      <w:r w:rsidRPr="00EE2D44">
        <w:rPr>
          <w:rFonts w:ascii="Arial" w:hAnsi="Arial"/>
          <w:noProof/>
          <w:sz w:val="22"/>
          <w:szCs w:val="22"/>
        </w:rPr>
        <w:t xml:space="preserve"> that aripiprazole should not be treated as interchangeable with olanzapine</w:t>
      </w:r>
      <w:r w:rsidR="004F6371" w:rsidRPr="00EE2D44">
        <w:rPr>
          <w:rFonts w:ascii="Arial" w:hAnsi="Arial"/>
          <w:noProof/>
          <w:sz w:val="22"/>
          <w:szCs w:val="22"/>
        </w:rPr>
        <w:t xml:space="preserve"> LAI</w:t>
      </w:r>
      <w:r w:rsidRPr="00EE2D44">
        <w:rPr>
          <w:rFonts w:ascii="Arial" w:hAnsi="Arial"/>
          <w:noProof/>
          <w:sz w:val="22"/>
          <w:szCs w:val="22"/>
        </w:rPr>
        <w:t>.</w:t>
      </w:r>
    </w:p>
    <w:p w:rsidR="00663C87" w:rsidRDefault="00663C87" w:rsidP="00EE11E8">
      <w:pPr>
        <w:jc w:val="both"/>
        <w:rPr>
          <w:rFonts w:ascii="Arial" w:hAnsi="Arial"/>
          <w:noProof/>
          <w:sz w:val="22"/>
          <w:szCs w:val="22"/>
        </w:rPr>
      </w:pPr>
    </w:p>
    <w:p w:rsidR="00804141" w:rsidRPr="00EE2D44" w:rsidRDefault="00804141" w:rsidP="00EE11E8">
      <w:pPr>
        <w:jc w:val="both"/>
        <w:rPr>
          <w:rFonts w:ascii="Arial" w:hAnsi="Arial"/>
          <w:noProof/>
          <w:sz w:val="22"/>
          <w:szCs w:val="22"/>
        </w:rPr>
      </w:pPr>
    </w:p>
    <w:p w:rsidR="009C703C" w:rsidRPr="00EE2D44" w:rsidRDefault="009C703C" w:rsidP="00882085">
      <w:pPr>
        <w:jc w:val="both"/>
        <w:rPr>
          <w:rFonts w:ascii="Arial" w:hAnsi="Arial"/>
          <w:b/>
          <w:noProof/>
          <w:sz w:val="22"/>
          <w:szCs w:val="22"/>
        </w:rPr>
      </w:pPr>
      <w:r w:rsidRPr="00EE2D44">
        <w:rPr>
          <w:rFonts w:ascii="Arial" w:hAnsi="Arial"/>
          <w:b/>
          <w:noProof/>
          <w:sz w:val="22"/>
          <w:szCs w:val="22"/>
        </w:rPr>
        <w:t>Outcome:</w:t>
      </w:r>
    </w:p>
    <w:p w:rsidR="00BB7EC3" w:rsidRPr="00EE2D44" w:rsidRDefault="009C703C" w:rsidP="00882085">
      <w:pPr>
        <w:jc w:val="both"/>
        <w:rPr>
          <w:rFonts w:ascii="Arial" w:hAnsi="Arial"/>
          <w:noProof/>
          <w:sz w:val="22"/>
          <w:szCs w:val="22"/>
        </w:rPr>
      </w:pPr>
      <w:r w:rsidRPr="00EE2D44">
        <w:rPr>
          <w:rFonts w:ascii="Arial" w:hAnsi="Arial"/>
          <w:noProof/>
          <w:sz w:val="22"/>
          <w:szCs w:val="22"/>
        </w:rPr>
        <w:t>Recommended</w:t>
      </w:r>
    </w:p>
    <w:p w:rsidR="00F26C89" w:rsidRPr="00EE2D44" w:rsidRDefault="00F26C89" w:rsidP="00F26C89">
      <w:pPr>
        <w:jc w:val="both"/>
        <w:rPr>
          <w:rFonts w:ascii="Arial" w:hAnsi="Arial"/>
          <w:noProof/>
          <w:sz w:val="22"/>
          <w:szCs w:val="22"/>
        </w:rPr>
      </w:pPr>
    </w:p>
    <w:p w:rsidR="00027DA2" w:rsidRPr="00EE2D44" w:rsidRDefault="00027DA2" w:rsidP="00882085">
      <w:pPr>
        <w:jc w:val="both"/>
        <w:rPr>
          <w:rFonts w:ascii="Arial" w:hAnsi="Arial"/>
          <w:noProof/>
          <w:sz w:val="22"/>
          <w:szCs w:val="22"/>
        </w:rPr>
      </w:pPr>
    </w:p>
    <w:p w:rsidR="00911FC1" w:rsidRPr="00EE2D44" w:rsidRDefault="00911FC1" w:rsidP="00911FC1">
      <w:pPr>
        <w:pStyle w:val="ListParagraph"/>
        <w:numPr>
          <w:ilvl w:val="0"/>
          <w:numId w:val="25"/>
        </w:numPr>
        <w:jc w:val="both"/>
        <w:rPr>
          <w:rFonts w:ascii="Arial" w:hAnsi="Arial"/>
          <w:b/>
          <w:noProof/>
          <w:sz w:val="22"/>
          <w:szCs w:val="22"/>
        </w:rPr>
      </w:pPr>
      <w:r w:rsidRPr="00EE2D44">
        <w:rPr>
          <w:rFonts w:ascii="Arial" w:hAnsi="Arial" w:cs="Arial"/>
          <w:b/>
          <w:noProof/>
          <w:sz w:val="22"/>
          <w:szCs w:val="22"/>
        </w:rPr>
        <w:t>Recommended listing</w:t>
      </w:r>
    </w:p>
    <w:p w:rsidR="006906DB" w:rsidRPr="00EE2D44" w:rsidRDefault="006906DB" w:rsidP="00882085">
      <w:pPr>
        <w:jc w:val="both"/>
        <w:rPr>
          <w:rFonts w:ascii="Arial" w:hAnsi="Arial"/>
          <w:noProof/>
          <w:sz w:val="22"/>
          <w:szCs w:val="22"/>
        </w:rPr>
      </w:pPr>
    </w:p>
    <w:p w:rsidR="00D0321E" w:rsidRPr="00EE2D44" w:rsidRDefault="00D0321E" w:rsidP="00A9563A">
      <w:pPr>
        <w:pStyle w:val="ListParagraph"/>
        <w:numPr>
          <w:ilvl w:val="1"/>
          <w:numId w:val="25"/>
        </w:numPr>
        <w:jc w:val="both"/>
        <w:rPr>
          <w:rFonts w:ascii="Arial" w:hAnsi="Arial"/>
          <w:noProof/>
          <w:sz w:val="22"/>
          <w:szCs w:val="22"/>
        </w:rPr>
      </w:pPr>
      <w:r w:rsidRPr="00EE2D44">
        <w:rPr>
          <w:rFonts w:ascii="Arial" w:hAnsi="Arial"/>
          <w:noProof/>
          <w:sz w:val="22"/>
          <w:szCs w:val="22"/>
        </w:rPr>
        <w:t>Add new item:</w:t>
      </w:r>
    </w:p>
    <w:p w:rsidR="00D0321E" w:rsidRPr="00EE2D44" w:rsidRDefault="00D0321E" w:rsidP="00882085">
      <w:pPr>
        <w:pStyle w:val="ListParagraph"/>
        <w:ind w:left="709"/>
        <w:jc w:val="both"/>
        <w:rPr>
          <w:rFonts w:ascii="Arial" w:hAnsi="Arial"/>
          <w:noProof/>
          <w:sz w:val="22"/>
          <w:szCs w:val="22"/>
        </w:rPr>
      </w:pPr>
    </w:p>
    <w:tbl>
      <w:tblPr>
        <w:tblW w:w="8505" w:type="dxa"/>
        <w:tblInd w:w="817" w:type="dxa"/>
        <w:tblLayout w:type="fixed"/>
        <w:tblLook w:val="0000" w:firstRow="0" w:lastRow="0" w:firstColumn="0" w:lastColumn="0" w:noHBand="0" w:noVBand="0"/>
        <w:tblDescription w:val="listing aripiprazole"/>
      </w:tblPr>
      <w:tblGrid>
        <w:gridCol w:w="2126"/>
        <w:gridCol w:w="2977"/>
        <w:gridCol w:w="709"/>
        <w:gridCol w:w="567"/>
        <w:gridCol w:w="425"/>
        <w:gridCol w:w="709"/>
        <w:gridCol w:w="425"/>
        <w:gridCol w:w="567"/>
      </w:tblGrid>
      <w:tr w:rsidR="000F3B8E" w:rsidRPr="00EE2D44" w:rsidTr="000F3B8E">
        <w:trPr>
          <w:cantSplit/>
          <w:trHeight w:val="471"/>
        </w:trPr>
        <w:tc>
          <w:tcPr>
            <w:tcW w:w="5103" w:type="dxa"/>
            <w:gridSpan w:val="2"/>
            <w:tcBorders>
              <w:bottom w:val="single" w:sz="4" w:space="0" w:color="auto"/>
            </w:tcBorders>
          </w:tcPr>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Name, Restriction,</w:t>
            </w:r>
          </w:p>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Manner of administration and form</w:t>
            </w:r>
          </w:p>
        </w:tc>
        <w:tc>
          <w:tcPr>
            <w:tcW w:w="709" w:type="dxa"/>
            <w:tcBorders>
              <w:bottom w:val="single" w:sz="4" w:space="0" w:color="auto"/>
            </w:tcBorders>
          </w:tcPr>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Max</w:t>
            </w:r>
          </w:p>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Qty</w:t>
            </w:r>
          </w:p>
        </w:tc>
        <w:tc>
          <w:tcPr>
            <w:tcW w:w="567" w:type="dxa"/>
            <w:tcBorders>
              <w:bottom w:val="single" w:sz="4" w:space="0" w:color="auto"/>
            </w:tcBorders>
          </w:tcPr>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№.of</w:t>
            </w:r>
          </w:p>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Rpts</w:t>
            </w:r>
          </w:p>
        </w:tc>
        <w:tc>
          <w:tcPr>
            <w:tcW w:w="2126" w:type="dxa"/>
            <w:gridSpan w:val="4"/>
            <w:tcBorders>
              <w:bottom w:val="single" w:sz="4" w:space="0" w:color="auto"/>
            </w:tcBorders>
          </w:tcPr>
          <w:p w:rsidR="00A9563A" w:rsidRPr="00EE2D44" w:rsidRDefault="00A9563A" w:rsidP="00FB71F7">
            <w:pPr>
              <w:keepNext/>
              <w:jc w:val="both"/>
              <w:rPr>
                <w:rFonts w:ascii="Arial" w:hAnsi="Arial" w:cs="Arial"/>
                <w:noProof/>
                <w:sz w:val="20"/>
                <w:szCs w:val="22"/>
              </w:rPr>
            </w:pPr>
            <w:r w:rsidRPr="00EE2D44">
              <w:rPr>
                <w:rFonts w:ascii="Arial" w:hAnsi="Arial" w:cs="Arial"/>
                <w:noProof/>
                <w:sz w:val="20"/>
                <w:szCs w:val="22"/>
              </w:rPr>
              <w:t>Proprietary Name and Manufacturer</w:t>
            </w:r>
          </w:p>
        </w:tc>
      </w:tr>
      <w:tr w:rsidR="000F3B8E" w:rsidRPr="00EE2D44" w:rsidTr="000F3B8E">
        <w:trPr>
          <w:cantSplit/>
          <w:trHeight w:val="577"/>
        </w:trPr>
        <w:tc>
          <w:tcPr>
            <w:tcW w:w="5103" w:type="dxa"/>
            <w:gridSpan w:val="2"/>
          </w:tcPr>
          <w:p w:rsidR="00A9563A" w:rsidRPr="00EE2D44" w:rsidRDefault="00A9563A" w:rsidP="00FB71F7">
            <w:pPr>
              <w:keepNext/>
              <w:ind w:left="-108"/>
              <w:jc w:val="both"/>
              <w:rPr>
                <w:rFonts w:ascii="Arial" w:hAnsi="Arial" w:cs="Arial"/>
                <w:noProof/>
                <w:sz w:val="20"/>
                <w:szCs w:val="22"/>
              </w:rPr>
            </w:pPr>
            <w:r w:rsidRPr="00EE2D44">
              <w:rPr>
                <w:rFonts w:ascii="Arial" w:hAnsi="Arial" w:cs="Arial"/>
                <w:smallCaps/>
                <w:noProof/>
                <w:sz w:val="20"/>
                <w:szCs w:val="22"/>
              </w:rPr>
              <w:t>ARIPIPRAZOLE</w:t>
            </w:r>
          </w:p>
          <w:p w:rsidR="00A9563A" w:rsidRPr="00EE2D44" w:rsidRDefault="00A9563A" w:rsidP="00FB71F7">
            <w:pPr>
              <w:keepNext/>
              <w:ind w:left="-108"/>
              <w:jc w:val="both"/>
              <w:rPr>
                <w:rFonts w:ascii="Arial" w:hAnsi="Arial" w:cs="Arial"/>
                <w:noProof/>
                <w:sz w:val="20"/>
                <w:szCs w:val="22"/>
              </w:rPr>
            </w:pPr>
          </w:p>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aripiprazole 300 mg injection: modified release [1 x 300 mg vial] (&amp;) inert substance diluent [1 vial], 1 pack.</w:t>
            </w:r>
          </w:p>
        </w:tc>
        <w:tc>
          <w:tcPr>
            <w:tcW w:w="709" w:type="dxa"/>
          </w:tcPr>
          <w:p w:rsidR="00A9563A" w:rsidRPr="00EE2D44" w:rsidRDefault="00A9563A" w:rsidP="00FB71F7">
            <w:pPr>
              <w:keepNext/>
              <w:ind w:left="-108"/>
              <w:jc w:val="center"/>
              <w:rPr>
                <w:rFonts w:ascii="Arial" w:hAnsi="Arial" w:cs="Arial"/>
                <w:noProof/>
                <w:sz w:val="20"/>
                <w:szCs w:val="22"/>
              </w:rPr>
            </w:pPr>
          </w:p>
          <w:p w:rsidR="00A9563A" w:rsidRPr="00EE2D44" w:rsidRDefault="00A9563A" w:rsidP="00FB71F7">
            <w:pPr>
              <w:keepNext/>
              <w:ind w:left="-108"/>
              <w:jc w:val="center"/>
              <w:rPr>
                <w:rFonts w:ascii="Arial" w:hAnsi="Arial" w:cs="Arial"/>
                <w:noProof/>
                <w:sz w:val="20"/>
                <w:szCs w:val="22"/>
              </w:rPr>
            </w:pPr>
            <w:r w:rsidRPr="00EE2D44">
              <w:rPr>
                <w:rFonts w:ascii="Arial" w:hAnsi="Arial" w:cs="Arial"/>
                <w:noProof/>
                <w:sz w:val="20"/>
                <w:szCs w:val="22"/>
              </w:rPr>
              <w:t>1</w:t>
            </w:r>
          </w:p>
        </w:tc>
        <w:tc>
          <w:tcPr>
            <w:tcW w:w="567" w:type="dxa"/>
          </w:tcPr>
          <w:p w:rsidR="00A9563A" w:rsidRPr="00EE2D44" w:rsidRDefault="00A9563A" w:rsidP="00FB71F7">
            <w:pPr>
              <w:keepNext/>
              <w:ind w:left="-108"/>
              <w:jc w:val="center"/>
              <w:rPr>
                <w:rFonts w:ascii="Arial" w:hAnsi="Arial" w:cs="Arial"/>
                <w:noProof/>
                <w:sz w:val="20"/>
                <w:szCs w:val="22"/>
              </w:rPr>
            </w:pPr>
          </w:p>
          <w:p w:rsidR="00A9563A" w:rsidRPr="00EE2D44" w:rsidRDefault="00A9563A" w:rsidP="00FB71F7">
            <w:pPr>
              <w:keepNext/>
              <w:ind w:left="-108"/>
              <w:jc w:val="center"/>
              <w:rPr>
                <w:rFonts w:ascii="Arial" w:hAnsi="Arial" w:cs="Arial"/>
                <w:noProof/>
                <w:sz w:val="20"/>
                <w:szCs w:val="22"/>
              </w:rPr>
            </w:pPr>
            <w:r w:rsidRPr="00EE2D44">
              <w:rPr>
                <w:rFonts w:ascii="Arial" w:hAnsi="Arial" w:cs="Arial"/>
                <w:noProof/>
                <w:sz w:val="20"/>
                <w:szCs w:val="22"/>
              </w:rPr>
              <w:t>5</w:t>
            </w:r>
          </w:p>
        </w:tc>
        <w:tc>
          <w:tcPr>
            <w:tcW w:w="1559" w:type="dxa"/>
            <w:gridSpan w:val="3"/>
          </w:tcPr>
          <w:p w:rsidR="0038102B" w:rsidRPr="00EE2D44" w:rsidRDefault="0038102B" w:rsidP="00FB71F7">
            <w:pPr>
              <w:keepNext/>
              <w:jc w:val="both"/>
              <w:rPr>
                <w:rFonts w:ascii="Arial" w:hAnsi="Arial" w:cs="Arial"/>
                <w:noProof/>
                <w:sz w:val="20"/>
                <w:szCs w:val="22"/>
              </w:rPr>
            </w:pPr>
          </w:p>
          <w:p w:rsidR="00A9563A" w:rsidRPr="00EE2D44" w:rsidRDefault="00A9563A" w:rsidP="00FB71F7">
            <w:pPr>
              <w:keepNext/>
              <w:jc w:val="both"/>
              <w:rPr>
                <w:rFonts w:ascii="Arial" w:hAnsi="Arial" w:cs="Arial"/>
                <w:noProof/>
                <w:sz w:val="20"/>
                <w:szCs w:val="22"/>
              </w:rPr>
            </w:pPr>
            <w:r w:rsidRPr="00EE2D44">
              <w:rPr>
                <w:rFonts w:ascii="Arial" w:hAnsi="Arial" w:cs="Arial"/>
                <w:noProof/>
                <w:sz w:val="20"/>
                <w:szCs w:val="22"/>
              </w:rPr>
              <w:t>Abilify Maintena</w:t>
            </w:r>
          </w:p>
        </w:tc>
        <w:tc>
          <w:tcPr>
            <w:tcW w:w="567" w:type="dxa"/>
          </w:tcPr>
          <w:p w:rsidR="0038102B" w:rsidRPr="00EE2D44" w:rsidRDefault="0038102B" w:rsidP="00FB71F7">
            <w:pPr>
              <w:keepNext/>
              <w:jc w:val="both"/>
              <w:rPr>
                <w:rFonts w:ascii="Arial" w:hAnsi="Arial" w:cs="Arial"/>
                <w:noProof/>
                <w:sz w:val="20"/>
                <w:szCs w:val="22"/>
              </w:rPr>
            </w:pPr>
          </w:p>
          <w:p w:rsidR="00A9563A" w:rsidRPr="00EE2D44" w:rsidRDefault="00A9563A" w:rsidP="00FB71F7">
            <w:pPr>
              <w:keepNext/>
              <w:jc w:val="both"/>
              <w:rPr>
                <w:rFonts w:ascii="Arial" w:hAnsi="Arial" w:cs="Arial"/>
                <w:noProof/>
                <w:sz w:val="20"/>
                <w:szCs w:val="22"/>
              </w:rPr>
            </w:pPr>
            <w:r w:rsidRPr="00EE2D44">
              <w:rPr>
                <w:rFonts w:ascii="Arial" w:hAnsi="Arial" w:cs="Arial"/>
                <w:noProof/>
                <w:sz w:val="20"/>
                <w:szCs w:val="22"/>
              </w:rPr>
              <w:t>LU</w:t>
            </w:r>
          </w:p>
        </w:tc>
      </w:tr>
      <w:tr w:rsidR="000F3B8E" w:rsidRPr="00EE2D44" w:rsidTr="000F3B8E">
        <w:trPr>
          <w:cantSplit/>
          <w:trHeight w:val="577"/>
        </w:trPr>
        <w:tc>
          <w:tcPr>
            <w:tcW w:w="5103" w:type="dxa"/>
            <w:gridSpan w:val="2"/>
          </w:tcPr>
          <w:p w:rsidR="00A9563A" w:rsidRPr="00EE2D44" w:rsidRDefault="00A9563A" w:rsidP="00FB71F7">
            <w:pPr>
              <w:keepNext/>
              <w:ind w:left="-108"/>
              <w:jc w:val="both"/>
              <w:rPr>
                <w:rFonts w:ascii="Arial" w:hAnsi="Arial" w:cs="Arial"/>
                <w:noProof/>
                <w:sz w:val="20"/>
                <w:szCs w:val="22"/>
              </w:rPr>
            </w:pPr>
          </w:p>
          <w:p w:rsidR="00A9563A" w:rsidRPr="00EE2D44" w:rsidRDefault="00A9563A" w:rsidP="00FB71F7">
            <w:pPr>
              <w:keepNext/>
              <w:ind w:left="-108"/>
              <w:jc w:val="both"/>
              <w:rPr>
                <w:rFonts w:ascii="Arial" w:hAnsi="Arial" w:cs="Arial"/>
                <w:noProof/>
                <w:sz w:val="20"/>
                <w:szCs w:val="22"/>
              </w:rPr>
            </w:pPr>
            <w:r w:rsidRPr="00EE2D44">
              <w:rPr>
                <w:rFonts w:ascii="Arial" w:hAnsi="Arial" w:cs="Arial"/>
                <w:noProof/>
                <w:sz w:val="20"/>
                <w:szCs w:val="22"/>
              </w:rPr>
              <w:t>aripiprazole 400 mg injection: modified release [1 x 400 mg vial] (&amp;) inert substance diluent [1 vial], 1 pack</w:t>
            </w:r>
          </w:p>
        </w:tc>
        <w:tc>
          <w:tcPr>
            <w:tcW w:w="709" w:type="dxa"/>
          </w:tcPr>
          <w:p w:rsidR="00A9563A" w:rsidRPr="00EE2D44" w:rsidRDefault="00A9563A" w:rsidP="00FB71F7">
            <w:pPr>
              <w:keepNext/>
              <w:ind w:left="-108"/>
              <w:jc w:val="center"/>
              <w:rPr>
                <w:rFonts w:ascii="Arial" w:hAnsi="Arial" w:cs="Arial"/>
                <w:noProof/>
                <w:sz w:val="20"/>
                <w:szCs w:val="22"/>
              </w:rPr>
            </w:pPr>
          </w:p>
          <w:p w:rsidR="00A9563A" w:rsidRPr="00EE2D44" w:rsidRDefault="00A9563A" w:rsidP="00FB71F7">
            <w:pPr>
              <w:keepNext/>
              <w:ind w:left="-108"/>
              <w:jc w:val="center"/>
              <w:rPr>
                <w:rFonts w:ascii="Arial" w:hAnsi="Arial" w:cs="Arial"/>
                <w:noProof/>
                <w:sz w:val="20"/>
                <w:szCs w:val="22"/>
              </w:rPr>
            </w:pPr>
            <w:r w:rsidRPr="00EE2D44">
              <w:rPr>
                <w:rFonts w:ascii="Arial" w:hAnsi="Arial" w:cs="Arial"/>
                <w:noProof/>
                <w:sz w:val="20"/>
                <w:szCs w:val="22"/>
              </w:rPr>
              <w:t>1</w:t>
            </w:r>
          </w:p>
        </w:tc>
        <w:tc>
          <w:tcPr>
            <w:tcW w:w="567" w:type="dxa"/>
          </w:tcPr>
          <w:p w:rsidR="00A9563A" w:rsidRPr="00EE2D44" w:rsidRDefault="00A9563A" w:rsidP="00FB71F7">
            <w:pPr>
              <w:keepNext/>
              <w:ind w:left="-108"/>
              <w:jc w:val="center"/>
              <w:rPr>
                <w:rFonts w:ascii="Arial" w:hAnsi="Arial" w:cs="Arial"/>
                <w:noProof/>
                <w:sz w:val="20"/>
                <w:szCs w:val="22"/>
              </w:rPr>
            </w:pPr>
          </w:p>
          <w:p w:rsidR="00A9563A" w:rsidRPr="00EE2D44" w:rsidRDefault="00A9563A" w:rsidP="00FB71F7">
            <w:pPr>
              <w:keepNext/>
              <w:ind w:left="-108"/>
              <w:jc w:val="center"/>
              <w:rPr>
                <w:rFonts w:ascii="Arial" w:hAnsi="Arial" w:cs="Arial"/>
                <w:noProof/>
                <w:sz w:val="20"/>
                <w:szCs w:val="22"/>
              </w:rPr>
            </w:pPr>
            <w:r w:rsidRPr="00EE2D44">
              <w:rPr>
                <w:rFonts w:ascii="Arial" w:hAnsi="Arial" w:cs="Arial"/>
                <w:noProof/>
                <w:sz w:val="20"/>
                <w:szCs w:val="22"/>
              </w:rPr>
              <w:t>5</w:t>
            </w:r>
          </w:p>
        </w:tc>
        <w:tc>
          <w:tcPr>
            <w:tcW w:w="425" w:type="dxa"/>
          </w:tcPr>
          <w:p w:rsidR="00A9563A" w:rsidRPr="00EE2D44" w:rsidRDefault="00A9563A" w:rsidP="00FB71F7">
            <w:pPr>
              <w:keepNext/>
              <w:ind w:left="-108"/>
              <w:jc w:val="center"/>
              <w:rPr>
                <w:rFonts w:ascii="Arial" w:hAnsi="Arial" w:cs="Arial"/>
                <w:noProof/>
                <w:sz w:val="20"/>
                <w:szCs w:val="22"/>
              </w:rPr>
            </w:pPr>
          </w:p>
        </w:tc>
        <w:tc>
          <w:tcPr>
            <w:tcW w:w="709" w:type="dxa"/>
          </w:tcPr>
          <w:p w:rsidR="00A9563A" w:rsidRPr="00EE2D44" w:rsidRDefault="00A9563A" w:rsidP="00FB71F7">
            <w:pPr>
              <w:keepNext/>
              <w:jc w:val="both"/>
              <w:rPr>
                <w:rFonts w:ascii="Arial" w:hAnsi="Arial" w:cs="Arial"/>
                <w:noProof/>
                <w:sz w:val="20"/>
                <w:szCs w:val="22"/>
              </w:rPr>
            </w:pPr>
          </w:p>
        </w:tc>
        <w:tc>
          <w:tcPr>
            <w:tcW w:w="992" w:type="dxa"/>
            <w:gridSpan w:val="2"/>
          </w:tcPr>
          <w:p w:rsidR="00A9563A" w:rsidRPr="00EE2D44" w:rsidRDefault="00A9563A" w:rsidP="00FB71F7">
            <w:pPr>
              <w:keepNext/>
              <w:jc w:val="both"/>
              <w:rPr>
                <w:rFonts w:ascii="Arial" w:hAnsi="Arial" w:cs="Arial"/>
                <w:noProof/>
                <w:sz w:val="20"/>
                <w:szCs w:val="22"/>
              </w:rPr>
            </w:pPr>
          </w:p>
        </w:tc>
      </w:tr>
      <w:tr w:rsidR="00A9563A" w:rsidRPr="00EE2D44" w:rsidTr="000F3B8E">
        <w:trPr>
          <w:cantSplit/>
          <w:trHeight w:val="360"/>
        </w:trPr>
        <w:tc>
          <w:tcPr>
            <w:tcW w:w="8505" w:type="dxa"/>
            <w:gridSpan w:val="8"/>
          </w:tcPr>
          <w:p w:rsidR="00A9563A" w:rsidRPr="00EE2D44" w:rsidRDefault="00A9563A" w:rsidP="00FB71F7">
            <w:pPr>
              <w:ind w:left="-108"/>
              <w:jc w:val="both"/>
              <w:rPr>
                <w:rFonts w:ascii="Arial" w:hAnsi="Arial" w:cs="Arial"/>
                <w:i/>
                <w:noProof/>
                <w:sz w:val="22"/>
                <w:szCs w:val="22"/>
              </w:rPr>
            </w:pPr>
          </w:p>
        </w:tc>
      </w:tr>
      <w:tr w:rsidR="00C76E91"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C76E91" w:rsidRPr="00027DA2" w:rsidRDefault="00C76E91" w:rsidP="00FB71F7">
            <w:pPr>
              <w:jc w:val="both"/>
              <w:rPr>
                <w:rFonts w:ascii="Arial" w:hAnsi="Arial" w:cs="Arial"/>
                <w:b/>
                <w:noProof/>
                <w:sz w:val="20"/>
                <w:szCs w:val="22"/>
              </w:rPr>
            </w:pPr>
            <w:r w:rsidRPr="00027DA2">
              <w:rPr>
                <w:rFonts w:ascii="Arial" w:hAnsi="Arial" w:cs="Arial"/>
                <w:b/>
                <w:noProof/>
                <w:sz w:val="20"/>
                <w:szCs w:val="22"/>
              </w:rPr>
              <w:t>Category/</w:t>
            </w:r>
            <w:r w:rsidRPr="00027DA2">
              <w:rPr>
                <w:rFonts w:ascii="Arial" w:hAnsi="Arial" w:cs="Arial"/>
                <w:b/>
                <w:noProof/>
                <w:sz w:val="20"/>
                <w:szCs w:val="22"/>
              </w:rPr>
              <w:br/>
              <w:t>Program</w:t>
            </w:r>
          </w:p>
        </w:tc>
        <w:tc>
          <w:tcPr>
            <w:tcW w:w="6379" w:type="dxa"/>
            <w:gridSpan w:val="7"/>
            <w:tcBorders>
              <w:top w:val="single" w:sz="4" w:space="0" w:color="auto"/>
              <w:left w:val="single" w:sz="4" w:space="0" w:color="auto"/>
              <w:bottom w:val="single" w:sz="4" w:space="0" w:color="auto"/>
              <w:right w:val="single" w:sz="4" w:space="0" w:color="auto"/>
            </w:tcBorders>
          </w:tcPr>
          <w:p w:rsidR="00C76E91" w:rsidRPr="00027DA2" w:rsidRDefault="00C76E91" w:rsidP="00FB71F7">
            <w:pPr>
              <w:rPr>
                <w:rFonts w:ascii="Arial" w:hAnsi="Arial" w:cs="Arial"/>
                <w:noProof/>
                <w:sz w:val="20"/>
                <w:szCs w:val="22"/>
              </w:rPr>
            </w:pPr>
            <w:r w:rsidRPr="00027DA2">
              <w:rPr>
                <w:rFonts w:ascii="Arial" w:hAnsi="Arial" w:cs="Arial"/>
                <w:noProof/>
                <w:sz w:val="20"/>
                <w:szCs w:val="22"/>
              </w:rPr>
              <w:t>GENE</w:t>
            </w:r>
            <w:bookmarkStart w:id="1" w:name="_GoBack"/>
            <w:bookmarkEnd w:id="1"/>
            <w:r w:rsidRPr="00027DA2">
              <w:rPr>
                <w:rFonts w:ascii="Arial" w:hAnsi="Arial" w:cs="Arial"/>
                <w:noProof/>
                <w:sz w:val="20"/>
                <w:szCs w:val="22"/>
              </w:rPr>
              <w:t xml:space="preserve">RAL- General Schedule (Code GE) </w:t>
            </w:r>
          </w:p>
        </w:tc>
      </w:tr>
      <w:tr w:rsidR="00C76E91"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C76E91" w:rsidRPr="00027DA2" w:rsidRDefault="00C76E91" w:rsidP="00FB71F7">
            <w:pPr>
              <w:jc w:val="both"/>
              <w:rPr>
                <w:rFonts w:ascii="Arial" w:hAnsi="Arial" w:cs="Arial"/>
                <w:b/>
                <w:noProof/>
                <w:sz w:val="20"/>
                <w:szCs w:val="22"/>
              </w:rPr>
            </w:pPr>
            <w:r w:rsidRPr="00027DA2">
              <w:rPr>
                <w:rFonts w:ascii="Arial" w:hAnsi="Arial" w:cs="Arial"/>
                <w:b/>
                <w:noProof/>
                <w:sz w:val="20"/>
                <w:szCs w:val="22"/>
              </w:rPr>
              <w:t>Episodicity:</w:t>
            </w:r>
          </w:p>
        </w:tc>
        <w:tc>
          <w:tcPr>
            <w:tcW w:w="6379" w:type="dxa"/>
            <w:gridSpan w:val="7"/>
            <w:tcBorders>
              <w:top w:val="single" w:sz="4" w:space="0" w:color="auto"/>
              <w:left w:val="single" w:sz="4" w:space="0" w:color="auto"/>
              <w:bottom w:val="single" w:sz="4" w:space="0" w:color="auto"/>
              <w:right w:val="single" w:sz="4" w:space="0" w:color="auto"/>
            </w:tcBorders>
          </w:tcPr>
          <w:p w:rsidR="00C76E91" w:rsidRPr="00027DA2" w:rsidRDefault="00C76E91" w:rsidP="00FB71F7">
            <w:pPr>
              <w:rPr>
                <w:rFonts w:ascii="Arial" w:hAnsi="Arial" w:cs="Arial"/>
                <w:noProof/>
                <w:sz w:val="20"/>
                <w:szCs w:val="22"/>
              </w:rPr>
            </w:pPr>
            <w:r w:rsidRPr="00027DA2">
              <w:rPr>
                <w:rFonts w:ascii="Arial" w:hAnsi="Arial" w:cs="Arial"/>
                <w:noProof/>
                <w:sz w:val="20"/>
                <w:szCs w:val="22"/>
              </w:rPr>
              <w:t>---</w:t>
            </w:r>
          </w:p>
        </w:tc>
      </w:tr>
      <w:tr w:rsidR="00C76E91"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C76E91" w:rsidRPr="00027DA2" w:rsidRDefault="00C76E91" w:rsidP="00FB71F7">
            <w:pPr>
              <w:jc w:val="both"/>
              <w:rPr>
                <w:rFonts w:ascii="Arial" w:hAnsi="Arial" w:cs="Arial"/>
                <w:b/>
                <w:noProof/>
                <w:sz w:val="20"/>
                <w:szCs w:val="22"/>
              </w:rPr>
            </w:pPr>
            <w:r w:rsidRPr="00027DA2">
              <w:rPr>
                <w:rFonts w:ascii="Arial" w:hAnsi="Arial" w:cs="Arial"/>
                <w:b/>
                <w:noProof/>
                <w:sz w:val="20"/>
                <w:szCs w:val="22"/>
              </w:rPr>
              <w:t>Severity:</w:t>
            </w:r>
          </w:p>
        </w:tc>
        <w:tc>
          <w:tcPr>
            <w:tcW w:w="6379" w:type="dxa"/>
            <w:gridSpan w:val="7"/>
            <w:tcBorders>
              <w:top w:val="single" w:sz="4" w:space="0" w:color="auto"/>
              <w:left w:val="single" w:sz="4" w:space="0" w:color="auto"/>
              <w:bottom w:val="single" w:sz="4" w:space="0" w:color="auto"/>
              <w:right w:val="single" w:sz="4" w:space="0" w:color="auto"/>
            </w:tcBorders>
          </w:tcPr>
          <w:p w:rsidR="00C76E91" w:rsidRPr="00027DA2" w:rsidRDefault="00C76E91" w:rsidP="00FB71F7">
            <w:pPr>
              <w:rPr>
                <w:rFonts w:ascii="Arial" w:hAnsi="Arial" w:cs="Arial"/>
                <w:noProof/>
                <w:sz w:val="20"/>
                <w:szCs w:val="22"/>
              </w:rPr>
            </w:pPr>
            <w:r w:rsidRPr="00027DA2">
              <w:rPr>
                <w:rFonts w:ascii="Arial" w:hAnsi="Arial" w:cs="Arial"/>
                <w:noProof/>
                <w:sz w:val="20"/>
                <w:szCs w:val="22"/>
              </w:rPr>
              <w:t>---</w:t>
            </w:r>
          </w:p>
        </w:tc>
      </w:tr>
      <w:tr w:rsidR="00C76E91"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C76E91" w:rsidRPr="00027DA2" w:rsidRDefault="00C76E91" w:rsidP="00FB71F7">
            <w:pPr>
              <w:jc w:val="both"/>
              <w:rPr>
                <w:rFonts w:ascii="Arial" w:hAnsi="Arial" w:cs="Arial"/>
                <w:b/>
                <w:noProof/>
                <w:sz w:val="20"/>
                <w:szCs w:val="22"/>
              </w:rPr>
            </w:pPr>
            <w:r w:rsidRPr="00027DA2">
              <w:rPr>
                <w:rFonts w:ascii="Arial" w:hAnsi="Arial" w:cs="Arial"/>
                <w:b/>
                <w:noProof/>
                <w:sz w:val="20"/>
                <w:szCs w:val="22"/>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C76E91" w:rsidRPr="00027DA2" w:rsidRDefault="00C76E91" w:rsidP="00FB71F7">
            <w:pPr>
              <w:rPr>
                <w:rFonts w:ascii="Arial" w:hAnsi="Arial" w:cs="Arial"/>
                <w:noProof/>
                <w:sz w:val="20"/>
                <w:szCs w:val="22"/>
              </w:rPr>
            </w:pPr>
            <w:r w:rsidRPr="00027DA2">
              <w:rPr>
                <w:rFonts w:ascii="Arial" w:hAnsi="Arial" w:cs="Arial"/>
                <w:noProof/>
                <w:sz w:val="20"/>
                <w:szCs w:val="22"/>
              </w:rPr>
              <w:t>Schizophrenia</w:t>
            </w:r>
          </w:p>
        </w:tc>
      </w:tr>
      <w:tr w:rsidR="00C76E91"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C76E91" w:rsidRPr="00027DA2" w:rsidRDefault="00C76E91" w:rsidP="00027DA2">
            <w:pPr>
              <w:jc w:val="both"/>
              <w:rPr>
                <w:rFonts w:ascii="Arial" w:hAnsi="Arial" w:cs="Arial"/>
                <w:noProof/>
                <w:sz w:val="20"/>
                <w:szCs w:val="22"/>
              </w:rPr>
            </w:pPr>
            <w:r w:rsidRPr="00027DA2">
              <w:rPr>
                <w:rFonts w:ascii="Arial" w:hAnsi="Arial" w:cs="Arial"/>
                <w:b/>
                <w:noProof/>
                <w:sz w:val="20"/>
                <w:szCs w:val="22"/>
              </w:rPr>
              <w:t>Restriction:</w:t>
            </w:r>
          </w:p>
        </w:tc>
        <w:tc>
          <w:tcPr>
            <w:tcW w:w="6379" w:type="dxa"/>
            <w:gridSpan w:val="7"/>
            <w:tcBorders>
              <w:top w:val="single" w:sz="4" w:space="0" w:color="auto"/>
              <w:left w:val="single" w:sz="4" w:space="0" w:color="auto"/>
              <w:bottom w:val="single" w:sz="4" w:space="0" w:color="auto"/>
              <w:right w:val="single" w:sz="4" w:space="0" w:color="auto"/>
            </w:tcBorders>
          </w:tcPr>
          <w:p w:rsidR="00C76E91" w:rsidRPr="00027DA2" w:rsidRDefault="00C76E91" w:rsidP="00027DA2">
            <w:pPr>
              <w:rPr>
                <w:rFonts w:ascii="Arial" w:hAnsi="Arial" w:cs="Arial"/>
                <w:noProof/>
                <w:sz w:val="20"/>
                <w:szCs w:val="22"/>
              </w:rPr>
            </w:pPr>
            <w:r w:rsidRPr="00027DA2">
              <w:rPr>
                <w:rFonts w:ascii="Arial" w:hAnsi="Arial" w:cs="Arial"/>
                <w:noProof/>
                <w:sz w:val="20"/>
                <w:szCs w:val="22"/>
              </w:rPr>
              <w:t xml:space="preserve">Authority required (STREAMLINED) </w:t>
            </w:r>
          </w:p>
        </w:tc>
      </w:tr>
      <w:tr w:rsidR="00AD50FF" w:rsidRPr="00EE2D44" w:rsidTr="000F3B8E">
        <w:trPr>
          <w:cantSplit/>
          <w:trHeight w:val="360"/>
        </w:trPr>
        <w:tc>
          <w:tcPr>
            <w:tcW w:w="2126" w:type="dxa"/>
            <w:tcBorders>
              <w:top w:val="single" w:sz="4" w:space="0" w:color="auto"/>
              <w:left w:val="single" w:sz="4" w:space="0" w:color="auto"/>
              <w:bottom w:val="single" w:sz="4" w:space="0" w:color="auto"/>
              <w:right w:val="single" w:sz="4" w:space="0" w:color="auto"/>
            </w:tcBorders>
          </w:tcPr>
          <w:p w:rsidR="00AD50FF" w:rsidRPr="00027DA2" w:rsidRDefault="00AD50FF" w:rsidP="00FB71F7">
            <w:pPr>
              <w:jc w:val="both"/>
              <w:rPr>
                <w:rFonts w:ascii="Arial" w:hAnsi="Arial" w:cs="Arial"/>
                <w:b/>
                <w:noProof/>
                <w:sz w:val="20"/>
                <w:szCs w:val="22"/>
              </w:rPr>
            </w:pPr>
            <w:r w:rsidRPr="00027DA2">
              <w:rPr>
                <w:rFonts w:ascii="Arial" w:hAnsi="Arial" w:cs="Arial"/>
                <w:b/>
                <w:sz w:val="20"/>
                <w:szCs w:val="22"/>
              </w:rPr>
              <w:t>Administrative Advice</w:t>
            </w:r>
          </w:p>
        </w:tc>
        <w:tc>
          <w:tcPr>
            <w:tcW w:w="6379" w:type="dxa"/>
            <w:gridSpan w:val="7"/>
            <w:tcBorders>
              <w:top w:val="single" w:sz="4" w:space="0" w:color="auto"/>
              <w:left w:val="single" w:sz="4" w:space="0" w:color="auto"/>
              <w:bottom w:val="single" w:sz="4" w:space="0" w:color="auto"/>
              <w:right w:val="single" w:sz="4" w:space="0" w:color="auto"/>
            </w:tcBorders>
          </w:tcPr>
          <w:p w:rsidR="00AD50FF" w:rsidRPr="00027DA2" w:rsidRDefault="00AD50FF" w:rsidP="00AD50FF">
            <w:pPr>
              <w:rPr>
                <w:rFonts w:ascii="Arial" w:hAnsi="Arial" w:cs="Arial"/>
                <w:sz w:val="20"/>
                <w:szCs w:val="22"/>
                <w:u w:val="single"/>
              </w:rPr>
            </w:pPr>
            <w:r w:rsidRPr="00027DA2">
              <w:rPr>
                <w:rFonts w:ascii="Arial" w:hAnsi="Arial" w:cs="Arial"/>
                <w:sz w:val="20"/>
                <w:szCs w:val="22"/>
                <w:u w:val="single"/>
              </w:rPr>
              <w:t>Note</w:t>
            </w:r>
          </w:p>
          <w:p w:rsidR="00AD50FF" w:rsidRPr="00027DA2" w:rsidRDefault="00AD50FF" w:rsidP="00AD50FF">
            <w:pPr>
              <w:rPr>
                <w:rFonts w:ascii="Arial" w:hAnsi="Arial" w:cs="Arial"/>
                <w:sz w:val="20"/>
                <w:szCs w:val="22"/>
              </w:rPr>
            </w:pPr>
            <w:r w:rsidRPr="00027DA2">
              <w:rPr>
                <w:rFonts w:ascii="Arial" w:hAnsi="Arial" w:cs="Arial"/>
                <w:sz w:val="20"/>
                <w:szCs w:val="22"/>
              </w:rPr>
              <w:t>Shared Care Model:</w:t>
            </w:r>
          </w:p>
          <w:p w:rsidR="00AD50FF" w:rsidRPr="00027DA2" w:rsidRDefault="00AD50FF" w:rsidP="00AD50FF">
            <w:pPr>
              <w:rPr>
                <w:rFonts w:ascii="Arial" w:hAnsi="Arial" w:cs="Arial"/>
                <w:sz w:val="20"/>
                <w:szCs w:val="22"/>
              </w:rPr>
            </w:pPr>
          </w:p>
          <w:p w:rsidR="00AD50FF" w:rsidRPr="00027DA2" w:rsidRDefault="00AD50FF" w:rsidP="00FB71F7">
            <w:pPr>
              <w:rPr>
                <w:rFonts w:ascii="Arial" w:hAnsi="Arial" w:cs="Arial"/>
                <w:noProof/>
                <w:sz w:val="20"/>
                <w:szCs w:val="22"/>
              </w:rPr>
            </w:pPr>
            <w:r w:rsidRPr="00027DA2">
              <w:rPr>
                <w:rFonts w:ascii="Arial" w:hAnsi="Arial" w:cs="Arial"/>
                <w:sz w:val="20"/>
                <w:szCs w:val="22"/>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8F6475" w:rsidRDefault="008F6475" w:rsidP="00EE2D44">
      <w:pPr>
        <w:pStyle w:val="ListParagraph"/>
        <w:ind w:left="709"/>
        <w:jc w:val="both"/>
        <w:rPr>
          <w:rFonts w:ascii="Arial" w:hAnsi="Arial"/>
          <w:noProof/>
          <w:sz w:val="22"/>
          <w:szCs w:val="22"/>
        </w:rPr>
      </w:pPr>
    </w:p>
    <w:p w:rsidR="008F6475" w:rsidRDefault="008F6475" w:rsidP="008F6475">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8F6475" w:rsidRPr="00D4420F" w:rsidRDefault="008F6475" w:rsidP="008F6475">
      <w:pPr>
        <w:pStyle w:val="ListParagraph"/>
        <w:jc w:val="both"/>
        <w:rPr>
          <w:rFonts w:ascii="Arial" w:hAnsi="Arial" w:cs="Arial"/>
          <w:b/>
          <w:sz w:val="22"/>
        </w:rPr>
      </w:pPr>
    </w:p>
    <w:p w:rsidR="008F6475" w:rsidRPr="00D4420F" w:rsidRDefault="008F6475" w:rsidP="008F6475">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F6475" w:rsidRPr="00D4420F" w:rsidRDefault="008F6475" w:rsidP="008F6475">
      <w:pPr>
        <w:jc w:val="both"/>
        <w:rPr>
          <w:rFonts w:ascii="Arial" w:hAnsi="Arial" w:cs="Arial"/>
          <w:sz w:val="22"/>
        </w:rPr>
      </w:pPr>
    </w:p>
    <w:p w:rsidR="008F6475" w:rsidRDefault="008F6475" w:rsidP="008F6475">
      <w:pPr>
        <w:pStyle w:val="ListParagraph"/>
        <w:numPr>
          <w:ilvl w:val="0"/>
          <w:numId w:val="25"/>
        </w:numPr>
        <w:jc w:val="both"/>
        <w:rPr>
          <w:rFonts w:ascii="Arial" w:hAnsi="Arial" w:cs="Arial"/>
          <w:b/>
          <w:sz w:val="22"/>
        </w:rPr>
      </w:pPr>
      <w:r w:rsidRPr="00D4420F">
        <w:rPr>
          <w:rFonts w:ascii="Arial" w:hAnsi="Arial" w:cs="Arial"/>
          <w:b/>
          <w:sz w:val="22"/>
        </w:rPr>
        <w:t>Sponsor’s Comment</w:t>
      </w:r>
    </w:p>
    <w:p w:rsidR="00DC7D9A" w:rsidRPr="00D4420F" w:rsidRDefault="00DC7D9A" w:rsidP="00DC7D9A">
      <w:pPr>
        <w:pStyle w:val="ListParagraph"/>
        <w:jc w:val="both"/>
        <w:rPr>
          <w:rFonts w:ascii="Arial" w:hAnsi="Arial" w:cs="Arial"/>
          <w:b/>
          <w:sz w:val="22"/>
        </w:rPr>
      </w:pPr>
    </w:p>
    <w:p w:rsidR="008F6475" w:rsidRDefault="00141EBE" w:rsidP="00EE2D44">
      <w:pPr>
        <w:pStyle w:val="ListParagraph"/>
        <w:ind w:left="709"/>
        <w:jc w:val="both"/>
        <w:rPr>
          <w:rFonts w:ascii="Arial" w:hAnsi="Arial"/>
          <w:noProof/>
          <w:sz w:val="22"/>
          <w:szCs w:val="22"/>
        </w:rPr>
      </w:pPr>
      <w:r>
        <w:rPr>
          <w:rFonts w:ascii="Arial" w:hAnsi="Arial"/>
          <w:noProof/>
          <w:sz w:val="22"/>
          <w:szCs w:val="22"/>
        </w:rPr>
        <w:t>Lundbeck welcomes the recommendation to add Abilify Maintena to the PBS, but believes the dosage relativity to paliperidone LAI, as determined by the PBAC, is not reflective of clinical practice utilisation of these medicines.</w:t>
      </w:r>
    </w:p>
    <w:p w:rsidR="00EC2493" w:rsidRDefault="00EC2493" w:rsidP="00EE2D44">
      <w:pPr>
        <w:pStyle w:val="ListParagraph"/>
        <w:ind w:left="709"/>
        <w:jc w:val="both"/>
        <w:rPr>
          <w:rFonts w:ascii="Arial" w:hAnsi="Arial"/>
          <w:noProof/>
          <w:sz w:val="22"/>
          <w:szCs w:val="22"/>
        </w:rPr>
      </w:pPr>
    </w:p>
    <w:p w:rsidR="00EC2493" w:rsidRDefault="00EC2493" w:rsidP="00EC2493">
      <w:pPr>
        <w:pStyle w:val="ListParagraph"/>
        <w:ind w:left="709"/>
        <w:jc w:val="both"/>
        <w:rPr>
          <w:rFonts w:ascii="Arial" w:hAnsi="Arial"/>
          <w:noProof/>
          <w:sz w:val="22"/>
          <w:szCs w:val="22"/>
        </w:rPr>
      </w:pPr>
      <w:r>
        <w:rPr>
          <w:rFonts w:ascii="Arial" w:hAnsi="Arial"/>
          <w:noProof/>
          <w:sz w:val="22"/>
          <w:szCs w:val="22"/>
        </w:rPr>
        <w:t>Lundbeck would also like to clarify that in the ASPIRE US trial, the most common EPS event was tremor (rather than akathisia as stated above).</w:t>
      </w:r>
    </w:p>
    <w:p w:rsidR="00EC2493" w:rsidRPr="00EE2D44" w:rsidRDefault="00EC2493" w:rsidP="00EE2D44">
      <w:pPr>
        <w:pStyle w:val="ListParagraph"/>
        <w:ind w:left="709"/>
        <w:jc w:val="both"/>
        <w:rPr>
          <w:rFonts w:ascii="Arial" w:hAnsi="Arial"/>
          <w:noProof/>
          <w:sz w:val="22"/>
          <w:szCs w:val="22"/>
        </w:rPr>
      </w:pPr>
    </w:p>
    <w:sectPr w:rsidR="00EC2493" w:rsidRPr="00EE2D44"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44" w:rsidRDefault="00EE2D44">
      <w:r>
        <w:separator/>
      </w:r>
    </w:p>
  </w:endnote>
  <w:endnote w:type="continuationSeparator" w:id="0">
    <w:p w:rsidR="00EE2D44" w:rsidRDefault="00EE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2D44" w:rsidTr="005A3173">
      <w:trPr>
        <w:trHeight w:val="151"/>
      </w:trPr>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D44" w:rsidRPr="005A3173" w:rsidRDefault="00EE2D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r>
    <w:tr w:rsidR="00EE2D44" w:rsidTr="005A3173">
      <w:trPr>
        <w:trHeight w:val="150"/>
      </w:trPr>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0" w:type="auto"/>
          <w:vMerge/>
          <w:vAlign w:val="center"/>
          <w:hideMark/>
        </w:tcPr>
        <w:p w:rsidR="00EE2D44" w:rsidRPr="005A3173" w:rsidRDefault="00EE2D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r>
  </w:tbl>
  <w:p w:rsidR="00EE2D44" w:rsidRDefault="00EE2D4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2D44" w:rsidRDefault="00EE2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EE2D44" w:rsidRDefault="00EE2D44">
        <w:pPr>
          <w:pStyle w:val="Footer"/>
          <w:jc w:val="center"/>
        </w:pPr>
      </w:p>
      <w:p w:rsidR="00EE2D44" w:rsidRPr="00651169" w:rsidRDefault="00EE2D44">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25A8F">
          <w:rPr>
            <w:rFonts w:ascii="Arial" w:hAnsi="Arial" w:cs="Arial"/>
            <w:noProof/>
            <w:sz w:val="20"/>
            <w:szCs w:val="20"/>
          </w:rPr>
          <w:t>13</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E2D44" w:rsidTr="005A3173">
      <w:trPr>
        <w:trHeight w:val="151"/>
      </w:trPr>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D44" w:rsidRPr="005A3173" w:rsidRDefault="00EE2D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r>
    <w:tr w:rsidR="00EE2D44" w:rsidTr="005A3173">
      <w:trPr>
        <w:trHeight w:val="150"/>
      </w:trPr>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0" w:type="auto"/>
          <w:vMerge/>
          <w:vAlign w:val="center"/>
          <w:hideMark/>
        </w:tcPr>
        <w:p w:rsidR="00EE2D44" w:rsidRPr="005A3173" w:rsidRDefault="00EE2D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E2D44" w:rsidTr="005A3173">
      <w:trPr>
        <w:trHeight w:val="151"/>
      </w:trPr>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E2D44" w:rsidRPr="005A3173" w:rsidRDefault="00EE2D4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E2D44" w:rsidRPr="005A3173" w:rsidRDefault="00EE2D44" w:rsidP="005A3173">
          <w:pPr>
            <w:pStyle w:val="Header"/>
            <w:spacing w:line="276" w:lineRule="auto"/>
            <w:rPr>
              <w:rFonts w:ascii="Calibri" w:eastAsia="MS Gothic" w:hAnsi="Calibri"/>
              <w:b/>
              <w:bCs/>
              <w:color w:val="4F81BD"/>
            </w:rPr>
          </w:pPr>
        </w:p>
      </w:tc>
    </w:tr>
    <w:tr w:rsidR="00EE2D44" w:rsidTr="005A3173">
      <w:trPr>
        <w:trHeight w:val="150"/>
      </w:trPr>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c>
        <w:tcPr>
          <w:tcW w:w="0" w:type="auto"/>
          <w:vMerge/>
          <w:vAlign w:val="center"/>
          <w:hideMark/>
        </w:tcPr>
        <w:p w:rsidR="00EE2D44" w:rsidRPr="005A3173" w:rsidRDefault="00EE2D44" w:rsidP="005A3173">
          <w:pPr>
            <w:rPr>
              <w:rFonts w:ascii="Calibri" w:hAnsi="Calibri"/>
              <w:color w:val="365F91"/>
              <w:sz w:val="22"/>
              <w:szCs w:val="22"/>
            </w:rPr>
          </w:pPr>
        </w:p>
      </w:tc>
      <w:tc>
        <w:tcPr>
          <w:tcW w:w="2250" w:type="pct"/>
          <w:tcBorders>
            <w:top w:val="single" w:sz="4" w:space="0" w:color="4F81BD"/>
            <w:left w:val="nil"/>
            <w:bottom w:val="nil"/>
            <w:right w:val="nil"/>
          </w:tcBorders>
        </w:tcPr>
        <w:p w:rsidR="00EE2D44" w:rsidRPr="005A3173" w:rsidRDefault="00EE2D44" w:rsidP="005A3173">
          <w:pPr>
            <w:pStyle w:val="Header"/>
            <w:spacing w:line="276" w:lineRule="auto"/>
            <w:rPr>
              <w:rFonts w:ascii="Calibri" w:eastAsia="MS Gothic" w:hAnsi="Calibri"/>
              <w:b/>
              <w:bCs/>
              <w:color w:val="4F81BD"/>
            </w:rPr>
          </w:pPr>
        </w:p>
      </w:tc>
    </w:tr>
  </w:tbl>
  <w:p w:rsidR="00EE2D44" w:rsidRPr="007C0F57" w:rsidRDefault="00EE2D4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E2D44" w:rsidRPr="007C0F57" w:rsidRDefault="00EE2D44"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44" w:rsidRDefault="00EE2D44">
      <w:r>
        <w:separator/>
      </w:r>
    </w:p>
  </w:footnote>
  <w:footnote w:type="continuationSeparator" w:id="0">
    <w:p w:rsidR="00EE2D44" w:rsidRDefault="00EE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E2D44" w:rsidRPr="008E0D90" w:rsidTr="00A06225">
      <w:trPr>
        <w:trHeight w:val="151"/>
      </w:trPr>
      <w:tc>
        <w:tcPr>
          <w:tcW w:w="2389" w:type="pct"/>
          <w:tcBorders>
            <w:top w:val="nil"/>
            <w:left w:val="nil"/>
            <w:bottom w:val="single" w:sz="4" w:space="0" w:color="4F81BD"/>
            <w:right w:val="nil"/>
          </w:tcBorders>
        </w:tcPr>
        <w:p w:rsidR="00EE2D44" w:rsidRPr="00A06225" w:rsidRDefault="00EE2D44">
          <w:pPr>
            <w:pStyle w:val="Header"/>
            <w:spacing w:line="276" w:lineRule="auto"/>
            <w:rPr>
              <w:rFonts w:ascii="Cambria" w:eastAsia="MS Gothic" w:hAnsi="Cambria"/>
              <w:b/>
              <w:bCs/>
              <w:color w:val="4F81BD"/>
            </w:rPr>
          </w:pPr>
        </w:p>
      </w:tc>
      <w:tc>
        <w:tcPr>
          <w:tcW w:w="333" w:type="pct"/>
          <w:vMerge w:val="restart"/>
          <w:noWrap/>
          <w:vAlign w:val="center"/>
          <w:hideMark/>
        </w:tcPr>
        <w:p w:rsidR="00EE2D44" w:rsidRPr="00A06225" w:rsidRDefault="00EE2D4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E2D44" w:rsidRPr="00A06225" w:rsidRDefault="00EE2D44">
          <w:pPr>
            <w:pStyle w:val="Header"/>
            <w:spacing w:line="276" w:lineRule="auto"/>
            <w:rPr>
              <w:rFonts w:ascii="Cambria" w:eastAsia="MS Gothic" w:hAnsi="Cambria"/>
              <w:b/>
              <w:bCs/>
              <w:color w:val="4F81BD"/>
            </w:rPr>
          </w:pPr>
        </w:p>
      </w:tc>
    </w:tr>
    <w:tr w:rsidR="00EE2D44" w:rsidRPr="008E0D90" w:rsidTr="00A06225">
      <w:trPr>
        <w:trHeight w:val="150"/>
      </w:trPr>
      <w:tc>
        <w:tcPr>
          <w:tcW w:w="2389" w:type="pct"/>
          <w:tcBorders>
            <w:top w:val="single" w:sz="4" w:space="0" w:color="4F81BD"/>
            <w:left w:val="nil"/>
            <w:bottom w:val="nil"/>
            <w:right w:val="nil"/>
          </w:tcBorders>
        </w:tcPr>
        <w:p w:rsidR="00EE2D44" w:rsidRPr="00A06225" w:rsidRDefault="00EE2D44">
          <w:pPr>
            <w:pStyle w:val="Header"/>
            <w:spacing w:line="276" w:lineRule="auto"/>
            <w:rPr>
              <w:rFonts w:ascii="Cambria" w:eastAsia="MS Gothic" w:hAnsi="Cambria"/>
              <w:b/>
              <w:bCs/>
              <w:color w:val="4F81BD"/>
            </w:rPr>
          </w:pPr>
        </w:p>
      </w:tc>
      <w:tc>
        <w:tcPr>
          <w:tcW w:w="0" w:type="auto"/>
          <w:vMerge/>
          <w:vAlign w:val="center"/>
          <w:hideMark/>
        </w:tcPr>
        <w:p w:rsidR="00EE2D44" w:rsidRPr="00A06225" w:rsidRDefault="00EE2D44">
          <w:pPr>
            <w:rPr>
              <w:rFonts w:ascii="Cambria" w:hAnsi="Cambria"/>
              <w:color w:val="4F81BD"/>
              <w:sz w:val="22"/>
              <w:szCs w:val="22"/>
            </w:rPr>
          </w:pPr>
        </w:p>
      </w:tc>
      <w:tc>
        <w:tcPr>
          <w:tcW w:w="2278" w:type="pct"/>
          <w:tcBorders>
            <w:top w:val="single" w:sz="4" w:space="0" w:color="4F81BD"/>
            <w:left w:val="nil"/>
            <w:bottom w:val="nil"/>
            <w:right w:val="nil"/>
          </w:tcBorders>
        </w:tcPr>
        <w:p w:rsidR="00EE2D44" w:rsidRPr="00A06225" w:rsidRDefault="00EE2D44">
          <w:pPr>
            <w:pStyle w:val="Header"/>
            <w:spacing w:line="276" w:lineRule="auto"/>
            <w:rPr>
              <w:rFonts w:ascii="Cambria" w:eastAsia="MS Gothic" w:hAnsi="Cambria"/>
              <w:b/>
              <w:bCs/>
              <w:color w:val="4F81BD"/>
            </w:rPr>
          </w:pPr>
        </w:p>
      </w:tc>
    </w:tr>
  </w:tbl>
  <w:p w:rsidR="00EE2D44" w:rsidRDefault="00EE2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75" w:rsidRPr="00DF217D" w:rsidRDefault="008F6475" w:rsidP="008F6475">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E2D44" w:rsidRPr="00DF217D" w:rsidRDefault="00EE2D44"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7C53871"/>
    <w:multiLevelType w:val="hybridMultilevel"/>
    <w:tmpl w:val="28046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nsid w:val="2DC80C9C"/>
    <w:multiLevelType w:val="hybridMultilevel"/>
    <w:tmpl w:val="2E5C0322"/>
    <w:lvl w:ilvl="0" w:tplc="F942EC62">
      <w:start w:val="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5">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473E5434"/>
    <w:multiLevelType w:val="multilevel"/>
    <w:tmpl w:val="3140DA58"/>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72A8FAA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52EE6"/>
    <w:multiLevelType w:val="multilevel"/>
    <w:tmpl w:val="CA6629C8"/>
    <w:lvl w:ilvl="0">
      <w:start w:val="6"/>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D81706"/>
    <w:multiLevelType w:val="multilevel"/>
    <w:tmpl w:val="E3B4104C"/>
    <w:lvl w:ilvl="0">
      <w:start w:val="6"/>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3B0315"/>
    <w:multiLevelType w:val="hybridMultilevel"/>
    <w:tmpl w:val="BBD8E986"/>
    <w:lvl w:ilvl="0" w:tplc="5F524ED2">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89A4015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nsid w:val="7F290A40"/>
    <w:multiLevelType w:val="hybridMultilevel"/>
    <w:tmpl w:val="01B4B492"/>
    <w:lvl w:ilvl="0" w:tplc="BEE2659C">
      <w:start w:val="1"/>
      <w:numFmt w:val="bullet"/>
      <w:lvlText w:val="•"/>
      <w:lvlJc w:val="left"/>
      <w:pPr>
        <w:ind w:left="1069" w:hanging="360"/>
      </w:pPr>
      <w:rPr>
        <w:rFonts w:ascii="Arial" w:eastAsia="Times New Roman" w:hAnsi="Arial" w:cs="Aria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8"/>
  </w:num>
  <w:num w:numId="2">
    <w:abstractNumId w:val="33"/>
  </w:num>
  <w:num w:numId="3">
    <w:abstractNumId w:val="18"/>
  </w:num>
  <w:num w:numId="4">
    <w:abstractNumId w:val="0"/>
  </w:num>
  <w:num w:numId="5">
    <w:abstractNumId w:val="5"/>
  </w:num>
  <w:num w:numId="6">
    <w:abstractNumId w:val="16"/>
  </w:num>
  <w:num w:numId="7">
    <w:abstractNumId w:val="14"/>
  </w:num>
  <w:num w:numId="8">
    <w:abstractNumId w:val="4"/>
  </w:num>
  <w:num w:numId="9">
    <w:abstractNumId w:val="7"/>
  </w:num>
  <w:num w:numId="10">
    <w:abstractNumId w:val="3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4"/>
  </w:num>
  <w:num w:numId="15">
    <w:abstractNumId w:val="25"/>
  </w:num>
  <w:num w:numId="16">
    <w:abstractNumId w:val="21"/>
  </w:num>
  <w:num w:numId="17">
    <w:abstractNumId w:val="36"/>
  </w:num>
  <w:num w:numId="18">
    <w:abstractNumId w:val="11"/>
  </w:num>
  <w:num w:numId="19">
    <w:abstractNumId w:val="15"/>
  </w:num>
  <w:num w:numId="20">
    <w:abstractNumId w:val="3"/>
  </w:num>
  <w:num w:numId="21">
    <w:abstractNumId w:val="27"/>
  </w:num>
  <w:num w:numId="22">
    <w:abstractNumId w:val="32"/>
  </w:num>
  <w:num w:numId="23">
    <w:abstractNumId w:val="38"/>
  </w:num>
  <w:num w:numId="24">
    <w:abstractNumId w:val="13"/>
  </w:num>
  <w:num w:numId="25">
    <w:abstractNumId w:val="37"/>
  </w:num>
  <w:num w:numId="26">
    <w:abstractNumId w:val="26"/>
  </w:num>
  <w:num w:numId="27">
    <w:abstractNumId w:val="10"/>
  </w:num>
  <w:num w:numId="28">
    <w:abstractNumId w:val="6"/>
  </w:num>
  <w:num w:numId="29">
    <w:abstractNumId w:val="23"/>
  </w:num>
  <w:num w:numId="30">
    <w:abstractNumId w:val="2"/>
  </w:num>
  <w:num w:numId="31">
    <w:abstractNumId w:val="24"/>
  </w:num>
  <w:num w:numId="32">
    <w:abstractNumId w:val="35"/>
  </w:num>
  <w:num w:numId="33">
    <w:abstractNumId w:val="22"/>
  </w:num>
  <w:num w:numId="34">
    <w:abstractNumId w:val="39"/>
  </w:num>
  <w:num w:numId="35">
    <w:abstractNumId w:val="9"/>
  </w:num>
  <w:num w:numId="36">
    <w:abstractNumId w:val="20"/>
  </w:num>
  <w:num w:numId="37">
    <w:abstractNumId w:val="17"/>
  </w:num>
  <w:num w:numId="38">
    <w:abstractNumId w:val="29"/>
  </w:num>
  <w:num w:numId="39">
    <w:abstractNumId w:val="28"/>
  </w:num>
  <w:num w:numId="40">
    <w:abstractNumId w:val="40"/>
  </w:num>
  <w:num w:numId="41">
    <w:abstractNumId w:val="30"/>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913"/>
    <w:rsid w:val="00014B0D"/>
    <w:rsid w:val="0002464A"/>
    <w:rsid w:val="00027DA2"/>
    <w:rsid w:val="0003106B"/>
    <w:rsid w:val="000402DC"/>
    <w:rsid w:val="000421A1"/>
    <w:rsid w:val="0004240E"/>
    <w:rsid w:val="00045709"/>
    <w:rsid w:val="00045E26"/>
    <w:rsid w:val="000514B5"/>
    <w:rsid w:val="00054D76"/>
    <w:rsid w:val="00060E64"/>
    <w:rsid w:val="0007600F"/>
    <w:rsid w:val="0008015B"/>
    <w:rsid w:val="00081DBB"/>
    <w:rsid w:val="000969AD"/>
    <w:rsid w:val="000A0E59"/>
    <w:rsid w:val="000A3417"/>
    <w:rsid w:val="000A5CAC"/>
    <w:rsid w:val="000B40E0"/>
    <w:rsid w:val="000B558D"/>
    <w:rsid w:val="000C6996"/>
    <w:rsid w:val="000D23BA"/>
    <w:rsid w:val="000E681E"/>
    <w:rsid w:val="000F3B8E"/>
    <w:rsid w:val="000F4E6A"/>
    <w:rsid w:val="000F60CA"/>
    <w:rsid w:val="001107BF"/>
    <w:rsid w:val="0012417C"/>
    <w:rsid w:val="00136480"/>
    <w:rsid w:val="00141EBE"/>
    <w:rsid w:val="00141FC7"/>
    <w:rsid w:val="00142395"/>
    <w:rsid w:val="00142714"/>
    <w:rsid w:val="001452ED"/>
    <w:rsid w:val="0016002A"/>
    <w:rsid w:val="00174039"/>
    <w:rsid w:val="001830CE"/>
    <w:rsid w:val="00183BFE"/>
    <w:rsid w:val="00192F5B"/>
    <w:rsid w:val="001955FF"/>
    <w:rsid w:val="00196307"/>
    <w:rsid w:val="001A6F68"/>
    <w:rsid w:val="001B017F"/>
    <w:rsid w:val="001B5129"/>
    <w:rsid w:val="001C1195"/>
    <w:rsid w:val="001C76A0"/>
    <w:rsid w:val="001F48AE"/>
    <w:rsid w:val="001F7414"/>
    <w:rsid w:val="00200815"/>
    <w:rsid w:val="00201218"/>
    <w:rsid w:val="002111E7"/>
    <w:rsid w:val="002233DF"/>
    <w:rsid w:val="00227405"/>
    <w:rsid w:val="00233A96"/>
    <w:rsid w:val="002507D9"/>
    <w:rsid w:val="00256154"/>
    <w:rsid w:val="00271BA1"/>
    <w:rsid w:val="00277505"/>
    <w:rsid w:val="0029072F"/>
    <w:rsid w:val="0029458F"/>
    <w:rsid w:val="002A15ED"/>
    <w:rsid w:val="002A4960"/>
    <w:rsid w:val="002B1AE6"/>
    <w:rsid w:val="002B30F8"/>
    <w:rsid w:val="002C212F"/>
    <w:rsid w:val="003235C8"/>
    <w:rsid w:val="00326E79"/>
    <w:rsid w:val="00334888"/>
    <w:rsid w:val="003367EF"/>
    <w:rsid w:val="00341AE4"/>
    <w:rsid w:val="00343C46"/>
    <w:rsid w:val="0038102B"/>
    <w:rsid w:val="00383F7B"/>
    <w:rsid w:val="003A5B4A"/>
    <w:rsid w:val="003B23C5"/>
    <w:rsid w:val="003B2A75"/>
    <w:rsid w:val="003D378C"/>
    <w:rsid w:val="003D4AC4"/>
    <w:rsid w:val="003D63B7"/>
    <w:rsid w:val="003E468B"/>
    <w:rsid w:val="003E750D"/>
    <w:rsid w:val="003F4D46"/>
    <w:rsid w:val="003F5C8C"/>
    <w:rsid w:val="00402455"/>
    <w:rsid w:val="00444592"/>
    <w:rsid w:val="0046201E"/>
    <w:rsid w:val="00466ADA"/>
    <w:rsid w:val="00497DF1"/>
    <w:rsid w:val="004B3E66"/>
    <w:rsid w:val="004B5640"/>
    <w:rsid w:val="004C1A3A"/>
    <w:rsid w:val="004C1BD7"/>
    <w:rsid w:val="004C2928"/>
    <w:rsid w:val="004C691D"/>
    <w:rsid w:val="004C75AB"/>
    <w:rsid w:val="004D1680"/>
    <w:rsid w:val="004E692D"/>
    <w:rsid w:val="004F5292"/>
    <w:rsid w:val="004F6371"/>
    <w:rsid w:val="00514CD7"/>
    <w:rsid w:val="00534E2E"/>
    <w:rsid w:val="00544552"/>
    <w:rsid w:val="00546AF8"/>
    <w:rsid w:val="0055609C"/>
    <w:rsid w:val="00581932"/>
    <w:rsid w:val="00581B02"/>
    <w:rsid w:val="005A3173"/>
    <w:rsid w:val="005A3223"/>
    <w:rsid w:val="005A3DA3"/>
    <w:rsid w:val="005A52C4"/>
    <w:rsid w:val="005B3AD3"/>
    <w:rsid w:val="005B7FE2"/>
    <w:rsid w:val="005D03AB"/>
    <w:rsid w:val="005D5017"/>
    <w:rsid w:val="005E1E03"/>
    <w:rsid w:val="006019BB"/>
    <w:rsid w:val="00601A91"/>
    <w:rsid w:val="00602BA3"/>
    <w:rsid w:val="00614159"/>
    <w:rsid w:val="00617C00"/>
    <w:rsid w:val="00625A8F"/>
    <w:rsid w:val="006263BF"/>
    <w:rsid w:val="00630A2C"/>
    <w:rsid w:val="00642AE5"/>
    <w:rsid w:val="00651169"/>
    <w:rsid w:val="00653D69"/>
    <w:rsid w:val="00663C87"/>
    <w:rsid w:val="00664D46"/>
    <w:rsid w:val="00670A76"/>
    <w:rsid w:val="006711AA"/>
    <w:rsid w:val="00675622"/>
    <w:rsid w:val="00676175"/>
    <w:rsid w:val="006906DB"/>
    <w:rsid w:val="006A12A5"/>
    <w:rsid w:val="006B0D94"/>
    <w:rsid w:val="006B485D"/>
    <w:rsid w:val="006C1545"/>
    <w:rsid w:val="006D645C"/>
    <w:rsid w:val="006D6EC7"/>
    <w:rsid w:val="006F5125"/>
    <w:rsid w:val="00710240"/>
    <w:rsid w:val="007174BB"/>
    <w:rsid w:val="00743434"/>
    <w:rsid w:val="00763E9A"/>
    <w:rsid w:val="007753C2"/>
    <w:rsid w:val="007838B8"/>
    <w:rsid w:val="007861FE"/>
    <w:rsid w:val="007C0F57"/>
    <w:rsid w:val="007C40B6"/>
    <w:rsid w:val="007C729F"/>
    <w:rsid w:val="007D438C"/>
    <w:rsid w:val="007E1D28"/>
    <w:rsid w:val="007F2641"/>
    <w:rsid w:val="00804141"/>
    <w:rsid w:val="00806796"/>
    <w:rsid w:val="00840305"/>
    <w:rsid w:val="00840951"/>
    <w:rsid w:val="00845BFB"/>
    <w:rsid w:val="00860FC4"/>
    <w:rsid w:val="00863E68"/>
    <w:rsid w:val="00871638"/>
    <w:rsid w:val="00876DE8"/>
    <w:rsid w:val="00882085"/>
    <w:rsid w:val="00883188"/>
    <w:rsid w:val="0088534A"/>
    <w:rsid w:val="00897D58"/>
    <w:rsid w:val="008A31FB"/>
    <w:rsid w:val="008A4937"/>
    <w:rsid w:val="008B3C78"/>
    <w:rsid w:val="008C2583"/>
    <w:rsid w:val="008C2885"/>
    <w:rsid w:val="008D3C82"/>
    <w:rsid w:val="008D447E"/>
    <w:rsid w:val="008E16B8"/>
    <w:rsid w:val="008E3680"/>
    <w:rsid w:val="008E5870"/>
    <w:rsid w:val="008F1434"/>
    <w:rsid w:val="008F6475"/>
    <w:rsid w:val="008F7355"/>
    <w:rsid w:val="008F75BE"/>
    <w:rsid w:val="00904B4D"/>
    <w:rsid w:val="00911FC1"/>
    <w:rsid w:val="00917856"/>
    <w:rsid w:val="00930324"/>
    <w:rsid w:val="00930937"/>
    <w:rsid w:val="00941F24"/>
    <w:rsid w:val="00942160"/>
    <w:rsid w:val="00945D2C"/>
    <w:rsid w:val="00946CD0"/>
    <w:rsid w:val="00952735"/>
    <w:rsid w:val="009550AB"/>
    <w:rsid w:val="009602C5"/>
    <w:rsid w:val="00974C21"/>
    <w:rsid w:val="00974C92"/>
    <w:rsid w:val="009C703C"/>
    <w:rsid w:val="009D3CAA"/>
    <w:rsid w:val="009F5B65"/>
    <w:rsid w:val="00A04EB6"/>
    <w:rsid w:val="00A06225"/>
    <w:rsid w:val="00A10325"/>
    <w:rsid w:val="00A12584"/>
    <w:rsid w:val="00A37C8D"/>
    <w:rsid w:val="00A41824"/>
    <w:rsid w:val="00A5273B"/>
    <w:rsid w:val="00A53A9D"/>
    <w:rsid w:val="00A5646A"/>
    <w:rsid w:val="00A62C1A"/>
    <w:rsid w:val="00A6426D"/>
    <w:rsid w:val="00A6767E"/>
    <w:rsid w:val="00A70622"/>
    <w:rsid w:val="00A70977"/>
    <w:rsid w:val="00A8390C"/>
    <w:rsid w:val="00A936E9"/>
    <w:rsid w:val="00A9563A"/>
    <w:rsid w:val="00AA4D1C"/>
    <w:rsid w:val="00AC21D2"/>
    <w:rsid w:val="00AC5206"/>
    <w:rsid w:val="00AC7EA8"/>
    <w:rsid w:val="00AD10AE"/>
    <w:rsid w:val="00AD50FF"/>
    <w:rsid w:val="00AD7C2D"/>
    <w:rsid w:val="00AE11A5"/>
    <w:rsid w:val="00AF68CC"/>
    <w:rsid w:val="00B0456C"/>
    <w:rsid w:val="00B05D16"/>
    <w:rsid w:val="00B072DB"/>
    <w:rsid w:val="00B14BB8"/>
    <w:rsid w:val="00B205AA"/>
    <w:rsid w:val="00B25F75"/>
    <w:rsid w:val="00B32DBF"/>
    <w:rsid w:val="00B40960"/>
    <w:rsid w:val="00B43E90"/>
    <w:rsid w:val="00B56118"/>
    <w:rsid w:val="00B8220A"/>
    <w:rsid w:val="00B9052E"/>
    <w:rsid w:val="00B91513"/>
    <w:rsid w:val="00B93EC7"/>
    <w:rsid w:val="00BA218D"/>
    <w:rsid w:val="00BB077C"/>
    <w:rsid w:val="00BB69F5"/>
    <w:rsid w:val="00BB7EC3"/>
    <w:rsid w:val="00BC4B9A"/>
    <w:rsid w:val="00BF4CB6"/>
    <w:rsid w:val="00C12768"/>
    <w:rsid w:val="00C202C3"/>
    <w:rsid w:val="00C245C0"/>
    <w:rsid w:val="00C31B3E"/>
    <w:rsid w:val="00C35996"/>
    <w:rsid w:val="00C5342C"/>
    <w:rsid w:val="00C6256A"/>
    <w:rsid w:val="00C70C46"/>
    <w:rsid w:val="00C753F1"/>
    <w:rsid w:val="00C76E91"/>
    <w:rsid w:val="00C85A22"/>
    <w:rsid w:val="00C91449"/>
    <w:rsid w:val="00C92D10"/>
    <w:rsid w:val="00CD0FAE"/>
    <w:rsid w:val="00CE10C4"/>
    <w:rsid w:val="00CE10CE"/>
    <w:rsid w:val="00CE27B5"/>
    <w:rsid w:val="00CF3B43"/>
    <w:rsid w:val="00D0321E"/>
    <w:rsid w:val="00D3280C"/>
    <w:rsid w:val="00D3406A"/>
    <w:rsid w:val="00D469B2"/>
    <w:rsid w:val="00D54579"/>
    <w:rsid w:val="00D741EB"/>
    <w:rsid w:val="00D752C4"/>
    <w:rsid w:val="00D83F2B"/>
    <w:rsid w:val="00D91271"/>
    <w:rsid w:val="00D93AB3"/>
    <w:rsid w:val="00DA4BAC"/>
    <w:rsid w:val="00DC1B44"/>
    <w:rsid w:val="00DC6041"/>
    <w:rsid w:val="00DC7D9A"/>
    <w:rsid w:val="00DD7EE8"/>
    <w:rsid w:val="00DE6D27"/>
    <w:rsid w:val="00DF217D"/>
    <w:rsid w:val="00DF26A7"/>
    <w:rsid w:val="00DF2723"/>
    <w:rsid w:val="00E16910"/>
    <w:rsid w:val="00E27BA8"/>
    <w:rsid w:val="00E33B3F"/>
    <w:rsid w:val="00E4457D"/>
    <w:rsid w:val="00E46215"/>
    <w:rsid w:val="00E65E54"/>
    <w:rsid w:val="00E77E0F"/>
    <w:rsid w:val="00E80155"/>
    <w:rsid w:val="00E848C0"/>
    <w:rsid w:val="00E91B96"/>
    <w:rsid w:val="00E941A1"/>
    <w:rsid w:val="00E95CE3"/>
    <w:rsid w:val="00EA2825"/>
    <w:rsid w:val="00EA5DCF"/>
    <w:rsid w:val="00EA6A32"/>
    <w:rsid w:val="00EB5088"/>
    <w:rsid w:val="00EC1A94"/>
    <w:rsid w:val="00EC2493"/>
    <w:rsid w:val="00ED1644"/>
    <w:rsid w:val="00EE11E8"/>
    <w:rsid w:val="00EE2888"/>
    <w:rsid w:val="00EE2D44"/>
    <w:rsid w:val="00EF2E95"/>
    <w:rsid w:val="00EF41B7"/>
    <w:rsid w:val="00F050BD"/>
    <w:rsid w:val="00F05657"/>
    <w:rsid w:val="00F06DED"/>
    <w:rsid w:val="00F1470E"/>
    <w:rsid w:val="00F25578"/>
    <w:rsid w:val="00F258E5"/>
    <w:rsid w:val="00F26C89"/>
    <w:rsid w:val="00F300BC"/>
    <w:rsid w:val="00F32CDD"/>
    <w:rsid w:val="00F331C3"/>
    <w:rsid w:val="00F3334E"/>
    <w:rsid w:val="00F361A4"/>
    <w:rsid w:val="00F50EC4"/>
    <w:rsid w:val="00F57A6D"/>
    <w:rsid w:val="00F604D6"/>
    <w:rsid w:val="00F63268"/>
    <w:rsid w:val="00F638CC"/>
    <w:rsid w:val="00F75575"/>
    <w:rsid w:val="00F80D93"/>
    <w:rsid w:val="00F8247A"/>
    <w:rsid w:val="00F907D2"/>
    <w:rsid w:val="00F9788E"/>
    <w:rsid w:val="00FA5883"/>
    <w:rsid w:val="00FA6055"/>
    <w:rsid w:val="00FB1592"/>
    <w:rsid w:val="00FB322F"/>
    <w:rsid w:val="00FB442F"/>
    <w:rsid w:val="00FB71F7"/>
    <w:rsid w:val="00FC1929"/>
    <w:rsid w:val="00FC5B46"/>
    <w:rsid w:val="00FD18B9"/>
    <w:rsid w:val="00FE530C"/>
    <w:rsid w:val="00FF1E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743434"/>
    <w:pPr>
      <w:widowControl w:val="0"/>
      <w:jc w:val="both"/>
    </w:pPr>
    <w:rPr>
      <w:rFonts w:ascii="Arial Narrow" w:hAnsi="Arial Narrow" w:cs="Arial"/>
      <w:snapToGrid w:val="0"/>
      <w:sz w:val="18"/>
      <w:szCs w:val="20"/>
      <w:lang w:eastAsia="en-US"/>
    </w:rPr>
  </w:style>
  <w:style w:type="character" w:customStyle="1" w:styleId="ListParagraphChar">
    <w:name w:val="List Paragraph Char"/>
    <w:link w:val="ListParagraph"/>
    <w:uiPriority w:val="34"/>
    <w:rsid w:val="004D1680"/>
    <w:rPr>
      <w:sz w:val="24"/>
      <w:szCs w:val="24"/>
    </w:rPr>
  </w:style>
  <w:style w:type="paragraph" w:customStyle="1" w:styleId="TableText0">
    <w:name w:val="TableText"/>
    <w:basedOn w:val="Normal"/>
    <w:rsid w:val="00A04EB6"/>
    <w:pPr>
      <w:keepNext/>
      <w:spacing w:before="40" w:after="40"/>
    </w:pPr>
    <w:rPr>
      <w:rFonts w:ascii="Arial Narrow" w:eastAsia="Times New Roman" w:hAnsi="Arial Narrow" w:cs="Arial Narro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customStyle="1" w:styleId="TableFooter">
    <w:name w:val="Table Footer"/>
    <w:basedOn w:val="Normal"/>
    <w:qFormat/>
    <w:rsid w:val="00743434"/>
    <w:pPr>
      <w:widowControl w:val="0"/>
      <w:jc w:val="both"/>
    </w:pPr>
    <w:rPr>
      <w:rFonts w:ascii="Arial Narrow" w:hAnsi="Arial Narrow" w:cs="Arial"/>
      <w:snapToGrid w:val="0"/>
      <w:sz w:val="18"/>
      <w:szCs w:val="20"/>
      <w:lang w:eastAsia="en-US"/>
    </w:rPr>
  </w:style>
  <w:style w:type="character" w:customStyle="1" w:styleId="ListParagraphChar">
    <w:name w:val="List Paragraph Char"/>
    <w:link w:val="ListParagraph"/>
    <w:uiPriority w:val="34"/>
    <w:rsid w:val="004D1680"/>
    <w:rPr>
      <w:sz w:val="24"/>
      <w:szCs w:val="24"/>
    </w:rPr>
  </w:style>
  <w:style w:type="paragraph" w:customStyle="1" w:styleId="TableText0">
    <w:name w:val="TableText"/>
    <w:basedOn w:val="Normal"/>
    <w:rsid w:val="00A04EB6"/>
    <w:pPr>
      <w:keepNext/>
      <w:spacing w:before="40" w:after="40"/>
    </w:pPr>
    <w:rPr>
      <w:rFonts w:ascii="Arial Narrow" w:eastAsia="Times New Roman"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8E9D-3B46-4B86-9475-1E4A73C8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5518</Words>
  <Characters>31558</Characters>
  <Application>Microsoft Office Word</Application>
  <DocSecurity>6</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Thomas Gareth</cp:lastModifiedBy>
  <cp:revision>2</cp:revision>
  <cp:lastPrinted>2014-08-01T06:02:00Z</cp:lastPrinted>
  <dcterms:created xsi:type="dcterms:W3CDTF">2014-11-03T04:39:00Z</dcterms:created>
  <dcterms:modified xsi:type="dcterms:W3CDTF">2014-11-03T04:39:00Z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