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0B" w:rsidRPr="00671D38" w:rsidRDefault="00280385" w:rsidP="002E2EDF">
      <w:pPr>
        <w:ind w:left="720" w:hanging="720"/>
        <w:jc w:val="left"/>
        <w:rPr>
          <w:b/>
          <w:sz w:val="32"/>
        </w:rPr>
      </w:pPr>
      <w:r w:rsidRPr="00671D38">
        <w:rPr>
          <w:b/>
          <w:sz w:val="32"/>
        </w:rPr>
        <w:t>5.4</w:t>
      </w:r>
      <w:r w:rsidR="00E24B53" w:rsidRPr="00671D38">
        <w:rPr>
          <w:b/>
          <w:sz w:val="32"/>
        </w:rPr>
        <w:tab/>
      </w:r>
      <w:r w:rsidR="00BF6D0B" w:rsidRPr="0035157B">
        <w:rPr>
          <w:rStyle w:val="Heading1Char"/>
          <w:sz w:val="24"/>
          <w:szCs w:val="24"/>
        </w:rPr>
        <w:t>EMPAGLIFLOZIN,</w:t>
      </w:r>
      <w:r w:rsidR="007E294E" w:rsidRPr="0035157B">
        <w:rPr>
          <w:rStyle w:val="Heading1Char"/>
          <w:sz w:val="24"/>
          <w:szCs w:val="24"/>
        </w:rPr>
        <w:t xml:space="preserve"> </w:t>
      </w:r>
      <w:r w:rsidR="00ED2360" w:rsidRPr="0035157B">
        <w:rPr>
          <w:rStyle w:val="Heading1Char"/>
          <w:sz w:val="24"/>
          <w:szCs w:val="24"/>
        </w:rPr>
        <w:t>oral tablet, 10 mg, 25 mg,</w:t>
      </w:r>
      <w:r w:rsidR="002E2EDF" w:rsidRPr="0035157B">
        <w:rPr>
          <w:rStyle w:val="Heading1Char"/>
          <w:sz w:val="24"/>
          <w:szCs w:val="24"/>
        </w:rPr>
        <w:t xml:space="preserve"> </w:t>
      </w:r>
      <w:r w:rsidR="00ED2360" w:rsidRPr="0035157B">
        <w:rPr>
          <w:rStyle w:val="Heading1Char"/>
          <w:sz w:val="24"/>
          <w:szCs w:val="24"/>
        </w:rPr>
        <w:t>Jardiance®,</w:t>
      </w:r>
      <w:r w:rsidR="002E2EDF" w:rsidRPr="0035157B">
        <w:rPr>
          <w:rStyle w:val="Heading1Char"/>
          <w:sz w:val="24"/>
          <w:szCs w:val="24"/>
        </w:rPr>
        <w:t xml:space="preserve"> </w:t>
      </w:r>
      <w:r w:rsidR="00ED2360" w:rsidRPr="0035157B">
        <w:rPr>
          <w:rStyle w:val="Heading1Char"/>
          <w:sz w:val="24"/>
          <w:szCs w:val="24"/>
        </w:rPr>
        <w:t>Boehringer Ingelheim Pty Ltd</w:t>
      </w:r>
      <w:bookmarkStart w:id="0" w:name="_Toc341702043"/>
      <w:bookmarkStart w:id="1" w:name="_Toc380742621"/>
      <w:bookmarkStart w:id="2" w:name="_Toc380746188"/>
      <w:bookmarkStart w:id="3" w:name="_Toc380746314"/>
      <w:bookmarkStart w:id="4" w:name="_Toc380746595"/>
    </w:p>
    <w:p w:rsidR="002E2EDF" w:rsidRDefault="002E2EDF" w:rsidP="002E2EDF">
      <w:pPr>
        <w:jc w:val="left"/>
      </w:pPr>
    </w:p>
    <w:p w:rsidR="00F74625" w:rsidRPr="00671D38" w:rsidRDefault="00F74625" w:rsidP="002E2EDF">
      <w:pPr>
        <w:jc w:val="left"/>
      </w:pPr>
    </w:p>
    <w:p w:rsidR="00F74625" w:rsidRPr="00407F2D" w:rsidRDefault="00F74625" w:rsidP="00F74625">
      <w:pPr>
        <w:pStyle w:val="ListParagraph"/>
        <w:widowControl/>
        <w:numPr>
          <w:ilvl w:val="0"/>
          <w:numId w:val="20"/>
        </w:numPr>
        <w:rPr>
          <w:b/>
          <w:szCs w:val="22"/>
        </w:rPr>
      </w:pPr>
      <w:r w:rsidRPr="00407F2D">
        <w:rPr>
          <w:b/>
          <w:szCs w:val="22"/>
        </w:rPr>
        <w:t>Purpose of Application</w:t>
      </w:r>
    </w:p>
    <w:p w:rsidR="00F74625" w:rsidRPr="00F74625" w:rsidRDefault="00F74625" w:rsidP="00F74625">
      <w:pPr>
        <w:widowControl/>
        <w:rPr>
          <w:b/>
          <w:szCs w:val="22"/>
        </w:rPr>
      </w:pPr>
    </w:p>
    <w:p w:rsidR="00147D6D" w:rsidRPr="00F74625" w:rsidRDefault="00147D6D" w:rsidP="00F74625">
      <w:pPr>
        <w:pStyle w:val="ListParagraph"/>
        <w:widowControl/>
        <w:numPr>
          <w:ilvl w:val="1"/>
          <w:numId w:val="20"/>
        </w:numPr>
        <w:rPr>
          <w:szCs w:val="22"/>
        </w:rPr>
      </w:pPr>
      <w:r w:rsidRPr="00671D38">
        <w:t>This submission seeks</w:t>
      </w:r>
      <w:r w:rsidR="002E2EDF" w:rsidRPr="00671D38">
        <w:t xml:space="preserve"> an Authority r</w:t>
      </w:r>
      <w:r w:rsidR="00617CFD" w:rsidRPr="00671D38">
        <w:t>equired</w:t>
      </w:r>
      <w:r w:rsidRPr="00671D38">
        <w:t xml:space="preserve"> listing for </w:t>
      </w:r>
      <w:proofErr w:type="spellStart"/>
      <w:r w:rsidRPr="00671D38">
        <w:t>empagliflozin</w:t>
      </w:r>
      <w:proofErr w:type="spellEnd"/>
      <w:r w:rsidRPr="00671D38">
        <w:t xml:space="preserve"> (</w:t>
      </w:r>
      <w:proofErr w:type="spellStart"/>
      <w:r w:rsidRPr="00671D38">
        <w:t>Jardiance</w:t>
      </w:r>
      <w:proofErr w:type="spellEnd"/>
      <w:r w:rsidRPr="00F74625">
        <w:rPr>
          <w:vertAlign w:val="superscript"/>
        </w:rPr>
        <w:t>®</w:t>
      </w:r>
      <w:r w:rsidRPr="00671D38">
        <w:t xml:space="preserve">) </w:t>
      </w:r>
      <w:r w:rsidR="002E2EDF" w:rsidRPr="00671D38">
        <w:t>for the</w:t>
      </w:r>
      <w:r w:rsidRPr="00671D38">
        <w:t xml:space="preserve"> treatment of type 2 diabetes in combination with metformin or a sulfonylurea.</w:t>
      </w:r>
    </w:p>
    <w:p w:rsidR="00147D6D" w:rsidRDefault="00147D6D" w:rsidP="002E2EDF">
      <w:pPr>
        <w:ind w:left="709" w:hanging="709"/>
      </w:pPr>
    </w:p>
    <w:p w:rsidR="00F74625" w:rsidRPr="00671D38" w:rsidRDefault="00F74625" w:rsidP="002E2EDF">
      <w:pPr>
        <w:ind w:left="709" w:hanging="709"/>
      </w:pPr>
    </w:p>
    <w:p w:rsidR="00F74625" w:rsidRDefault="00F74625" w:rsidP="00F74625">
      <w:pPr>
        <w:pStyle w:val="ListParagraph"/>
        <w:widowControl/>
        <w:numPr>
          <w:ilvl w:val="0"/>
          <w:numId w:val="20"/>
        </w:numPr>
        <w:rPr>
          <w:b/>
          <w:szCs w:val="22"/>
        </w:rPr>
      </w:pPr>
      <w:r w:rsidRPr="00407F2D">
        <w:rPr>
          <w:b/>
          <w:szCs w:val="22"/>
        </w:rPr>
        <w:t>Requested listing</w:t>
      </w:r>
    </w:p>
    <w:p w:rsidR="00F74625" w:rsidRPr="00F74625" w:rsidRDefault="00F74625" w:rsidP="00F74625">
      <w:pPr>
        <w:widowControl/>
        <w:rPr>
          <w:b/>
          <w:szCs w:val="22"/>
        </w:rPr>
      </w:pPr>
    </w:p>
    <w:p w:rsidR="00F74625" w:rsidRPr="00F74625" w:rsidRDefault="00F74625" w:rsidP="00F74625">
      <w:pPr>
        <w:pStyle w:val="ListParagraph"/>
        <w:widowControl/>
        <w:numPr>
          <w:ilvl w:val="1"/>
          <w:numId w:val="20"/>
        </w:numPr>
        <w:rPr>
          <w:szCs w:val="22"/>
        </w:rPr>
      </w:pPr>
      <w:r>
        <w:t>The submission sought the following listing:</w:t>
      </w:r>
    </w:p>
    <w:tbl>
      <w:tblPr>
        <w:tblW w:w="4594" w:type="pct"/>
        <w:tblInd w:w="737" w:type="dxa"/>
        <w:tblCellMar>
          <w:left w:w="28" w:type="dxa"/>
          <w:right w:w="28" w:type="dxa"/>
        </w:tblCellMar>
        <w:tblLook w:val="04A0" w:firstRow="1" w:lastRow="0" w:firstColumn="1" w:lastColumn="0" w:noHBand="0" w:noVBand="1"/>
      </w:tblPr>
      <w:tblGrid>
        <w:gridCol w:w="3544"/>
        <w:gridCol w:w="851"/>
        <w:gridCol w:w="991"/>
        <w:gridCol w:w="1277"/>
        <w:gridCol w:w="1682"/>
      </w:tblGrid>
      <w:tr w:rsidR="001F4388" w:rsidRPr="00F74625" w:rsidTr="00F74625">
        <w:trPr>
          <w:cantSplit/>
          <w:trHeight w:val="471"/>
        </w:trPr>
        <w:tc>
          <w:tcPr>
            <w:tcW w:w="2123" w:type="pct"/>
            <w:tcBorders>
              <w:top w:val="single" w:sz="4" w:space="0" w:color="auto"/>
              <w:left w:val="single" w:sz="4" w:space="0" w:color="auto"/>
              <w:bottom w:val="single" w:sz="4" w:space="0" w:color="auto"/>
              <w:right w:val="single" w:sz="4" w:space="0" w:color="auto"/>
            </w:tcBorders>
            <w:vAlign w:val="center"/>
            <w:hideMark/>
          </w:tcPr>
          <w:p w:rsidR="001F4388" w:rsidRPr="00F74625" w:rsidRDefault="001F4388" w:rsidP="00F4721A">
            <w:pPr>
              <w:keepNext/>
              <w:jc w:val="left"/>
              <w:rPr>
                <w:rFonts w:ascii="Arial Narrow" w:hAnsi="Arial Narrow"/>
                <w:b/>
                <w:iCs/>
                <w:sz w:val="20"/>
              </w:rPr>
            </w:pPr>
            <w:r w:rsidRPr="00F74625">
              <w:rPr>
                <w:rFonts w:ascii="Arial Narrow" w:hAnsi="Arial Narrow"/>
                <w:b/>
                <w:iCs/>
                <w:sz w:val="20"/>
              </w:rPr>
              <w:t>Name, Restriction,</w:t>
            </w:r>
          </w:p>
          <w:p w:rsidR="001F4388" w:rsidRPr="00F74625" w:rsidRDefault="001F4388" w:rsidP="00F4721A">
            <w:pPr>
              <w:keepNext/>
              <w:jc w:val="left"/>
              <w:rPr>
                <w:rFonts w:ascii="Arial Narrow" w:hAnsi="Arial Narrow"/>
                <w:b/>
                <w:iCs/>
                <w:sz w:val="20"/>
              </w:rPr>
            </w:pPr>
            <w:r w:rsidRPr="00F74625">
              <w:rPr>
                <w:rFonts w:ascii="Arial Narrow" w:hAnsi="Arial Narrow"/>
                <w:b/>
                <w:iCs/>
                <w:sz w:val="20"/>
              </w:rPr>
              <w:t>Manner of administration and form</w:t>
            </w:r>
          </w:p>
        </w:tc>
        <w:tc>
          <w:tcPr>
            <w:tcW w:w="510" w:type="pct"/>
            <w:tcBorders>
              <w:top w:val="single" w:sz="4" w:space="0" w:color="auto"/>
              <w:left w:val="single" w:sz="4" w:space="0" w:color="auto"/>
              <w:bottom w:val="single" w:sz="4" w:space="0" w:color="auto"/>
              <w:right w:val="single" w:sz="4" w:space="0" w:color="auto"/>
            </w:tcBorders>
            <w:vAlign w:val="center"/>
            <w:hideMark/>
          </w:tcPr>
          <w:p w:rsidR="001F4388" w:rsidRPr="00F74625" w:rsidRDefault="001F4388" w:rsidP="00F74625">
            <w:pPr>
              <w:keepNext/>
              <w:jc w:val="center"/>
              <w:rPr>
                <w:rFonts w:ascii="Arial Narrow" w:hAnsi="Arial Narrow"/>
                <w:b/>
                <w:sz w:val="20"/>
              </w:rPr>
            </w:pPr>
            <w:r w:rsidRPr="00F74625">
              <w:rPr>
                <w:rFonts w:ascii="Arial Narrow" w:hAnsi="Arial Narrow"/>
                <w:b/>
                <w:sz w:val="20"/>
              </w:rPr>
              <w:t>Max.</w:t>
            </w:r>
          </w:p>
          <w:p w:rsidR="001F4388" w:rsidRPr="00F74625" w:rsidRDefault="001F4388" w:rsidP="00F74625">
            <w:pPr>
              <w:keepNext/>
              <w:jc w:val="center"/>
              <w:rPr>
                <w:rFonts w:ascii="Arial Narrow" w:hAnsi="Arial Narrow"/>
                <w:b/>
                <w:sz w:val="20"/>
              </w:rPr>
            </w:pPr>
            <w:proofErr w:type="spellStart"/>
            <w:r w:rsidRPr="00F74625">
              <w:rPr>
                <w:rFonts w:ascii="Arial Narrow" w:hAnsi="Arial Narrow"/>
                <w:b/>
                <w:sz w:val="20"/>
              </w:rPr>
              <w:t>Qty</w:t>
            </w:r>
            <w:proofErr w:type="spellEnd"/>
          </w:p>
        </w:tc>
        <w:tc>
          <w:tcPr>
            <w:tcW w:w="594" w:type="pct"/>
            <w:tcBorders>
              <w:top w:val="single" w:sz="4" w:space="0" w:color="auto"/>
              <w:left w:val="single" w:sz="4" w:space="0" w:color="auto"/>
              <w:bottom w:val="single" w:sz="4" w:space="0" w:color="auto"/>
              <w:right w:val="single" w:sz="4" w:space="0" w:color="auto"/>
            </w:tcBorders>
            <w:vAlign w:val="center"/>
            <w:hideMark/>
          </w:tcPr>
          <w:p w:rsidR="001F4388" w:rsidRPr="00F74625" w:rsidRDefault="001F4388" w:rsidP="00F74625">
            <w:pPr>
              <w:keepNext/>
              <w:jc w:val="center"/>
              <w:rPr>
                <w:rFonts w:ascii="Arial Narrow" w:hAnsi="Arial Narrow"/>
                <w:b/>
                <w:sz w:val="20"/>
              </w:rPr>
            </w:pPr>
            <w:r w:rsidRPr="00F74625">
              <w:rPr>
                <w:rFonts w:ascii="Arial Narrow" w:hAnsi="Arial Narrow"/>
                <w:b/>
                <w:sz w:val="20"/>
              </w:rPr>
              <w:t>№.of</w:t>
            </w:r>
          </w:p>
          <w:p w:rsidR="001F4388" w:rsidRPr="00F74625" w:rsidRDefault="001F4388" w:rsidP="00F74625">
            <w:pPr>
              <w:keepNext/>
              <w:jc w:val="center"/>
              <w:rPr>
                <w:rFonts w:ascii="Arial Narrow" w:hAnsi="Arial Narrow"/>
                <w:b/>
                <w:sz w:val="20"/>
              </w:rPr>
            </w:pPr>
            <w:proofErr w:type="spellStart"/>
            <w:r w:rsidRPr="00F74625">
              <w:rPr>
                <w:rFonts w:ascii="Arial Narrow" w:hAnsi="Arial Narrow"/>
                <w:b/>
                <w:sz w:val="20"/>
              </w:rPr>
              <w:t>Rpts</w:t>
            </w:r>
            <w:proofErr w:type="spellEnd"/>
          </w:p>
        </w:tc>
        <w:tc>
          <w:tcPr>
            <w:tcW w:w="1773" w:type="pct"/>
            <w:gridSpan w:val="2"/>
            <w:tcBorders>
              <w:top w:val="single" w:sz="4" w:space="0" w:color="auto"/>
              <w:left w:val="single" w:sz="4" w:space="0" w:color="auto"/>
              <w:bottom w:val="single" w:sz="4" w:space="0" w:color="auto"/>
              <w:right w:val="single" w:sz="4" w:space="0" w:color="auto"/>
            </w:tcBorders>
            <w:vAlign w:val="center"/>
            <w:hideMark/>
          </w:tcPr>
          <w:p w:rsidR="001F4388" w:rsidRPr="00F74625" w:rsidRDefault="001F4388" w:rsidP="00F4721A">
            <w:pPr>
              <w:keepNext/>
              <w:jc w:val="center"/>
              <w:rPr>
                <w:rFonts w:ascii="Arial Narrow" w:hAnsi="Arial Narrow"/>
                <w:b/>
                <w:sz w:val="20"/>
                <w:lang w:val="fr-FR"/>
              </w:rPr>
            </w:pPr>
            <w:r w:rsidRPr="00F74625">
              <w:rPr>
                <w:rFonts w:ascii="Arial Narrow" w:hAnsi="Arial Narrow"/>
                <w:b/>
                <w:sz w:val="20"/>
              </w:rPr>
              <w:t>Proprietary Name and Manufacturer</w:t>
            </w:r>
          </w:p>
        </w:tc>
      </w:tr>
      <w:tr w:rsidR="001F4388" w:rsidRPr="001003F7" w:rsidTr="00F74625">
        <w:trPr>
          <w:cantSplit/>
          <w:trHeight w:val="577"/>
        </w:trPr>
        <w:tc>
          <w:tcPr>
            <w:tcW w:w="2123" w:type="pct"/>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Description w:val="listing empagliflozin"/>
            </w:tblPr>
            <w:tblGrid>
              <w:gridCol w:w="1664"/>
            </w:tblGrid>
            <w:tr w:rsidR="001F4388" w:rsidRPr="001003F7">
              <w:trPr>
                <w:trHeight w:val="93"/>
              </w:trPr>
              <w:tc>
                <w:tcPr>
                  <w:tcW w:w="0" w:type="auto"/>
                  <w:tcBorders>
                    <w:top w:val="nil"/>
                    <w:left w:val="nil"/>
                    <w:bottom w:val="nil"/>
                    <w:right w:val="nil"/>
                  </w:tcBorders>
                </w:tcPr>
                <w:p w:rsidR="001F4388" w:rsidRPr="001003F7" w:rsidRDefault="001F4388" w:rsidP="00F4721A">
                  <w:pPr>
                    <w:keepNext/>
                    <w:jc w:val="left"/>
                    <w:rPr>
                      <w:rFonts w:ascii="Arial Narrow" w:hAnsi="Arial Narrow"/>
                      <w:smallCaps/>
                      <w:sz w:val="20"/>
                    </w:rPr>
                  </w:pPr>
                  <w:proofErr w:type="spellStart"/>
                  <w:r w:rsidRPr="001003F7">
                    <w:rPr>
                      <w:rFonts w:ascii="Arial Narrow" w:hAnsi="Arial Narrow"/>
                      <w:smallCaps/>
                      <w:sz w:val="20"/>
                    </w:rPr>
                    <w:t>Empagliflozin</w:t>
                  </w:r>
                  <w:proofErr w:type="spellEnd"/>
                  <w:r w:rsidRPr="001003F7">
                    <w:rPr>
                      <w:rFonts w:ascii="Arial Narrow" w:hAnsi="Arial Narrow"/>
                      <w:smallCaps/>
                      <w:sz w:val="20"/>
                    </w:rPr>
                    <w:t xml:space="preserve">, </w:t>
                  </w:r>
                </w:p>
                <w:p w:rsidR="001F4388" w:rsidRPr="001003F7" w:rsidRDefault="001F4388" w:rsidP="00F4721A">
                  <w:pPr>
                    <w:keepNext/>
                    <w:jc w:val="left"/>
                    <w:rPr>
                      <w:rFonts w:ascii="Arial Narrow" w:hAnsi="Arial Narrow"/>
                      <w:smallCaps/>
                      <w:sz w:val="20"/>
                    </w:rPr>
                  </w:pPr>
                  <w:r w:rsidRPr="001003F7">
                    <w:rPr>
                      <w:rFonts w:ascii="Arial Narrow" w:hAnsi="Arial Narrow"/>
                      <w:smallCaps/>
                      <w:sz w:val="20"/>
                    </w:rPr>
                    <w:t>oral tablet, 10 mg.</w:t>
                  </w:r>
                </w:p>
                <w:p w:rsidR="001F4388" w:rsidRPr="001003F7" w:rsidRDefault="001F4388" w:rsidP="00F4721A">
                  <w:pPr>
                    <w:keepNext/>
                    <w:jc w:val="left"/>
                    <w:rPr>
                      <w:rFonts w:ascii="Arial Narrow" w:hAnsi="Arial Narrow"/>
                      <w:smallCaps/>
                      <w:sz w:val="20"/>
                    </w:rPr>
                  </w:pPr>
                  <w:proofErr w:type="spellStart"/>
                  <w:r w:rsidRPr="001003F7">
                    <w:rPr>
                      <w:rFonts w:ascii="Arial Narrow" w:hAnsi="Arial Narrow"/>
                      <w:smallCaps/>
                      <w:sz w:val="20"/>
                    </w:rPr>
                    <w:t>Empagliflozin</w:t>
                  </w:r>
                  <w:proofErr w:type="spellEnd"/>
                </w:p>
                <w:p w:rsidR="001F4388" w:rsidRPr="001003F7" w:rsidRDefault="001F4388" w:rsidP="00F74625">
                  <w:pPr>
                    <w:keepNext/>
                    <w:jc w:val="left"/>
                    <w:rPr>
                      <w:rFonts w:ascii="Arial Narrow" w:hAnsi="Arial Narrow"/>
                      <w:smallCaps/>
                      <w:sz w:val="20"/>
                    </w:rPr>
                  </w:pPr>
                  <w:r w:rsidRPr="001003F7">
                    <w:rPr>
                      <w:rFonts w:ascii="Arial Narrow" w:hAnsi="Arial Narrow"/>
                      <w:smallCaps/>
                      <w:sz w:val="20"/>
                    </w:rPr>
                    <w:t>oral tablet, 25 mg.</w:t>
                  </w:r>
                </w:p>
              </w:tc>
            </w:tr>
          </w:tbl>
          <w:p w:rsidR="001F4388" w:rsidRPr="001003F7" w:rsidRDefault="001F4388" w:rsidP="00F4721A">
            <w:pPr>
              <w:keepNext/>
              <w:jc w:val="left"/>
              <w:rPr>
                <w:rFonts w:ascii="Arial Narrow" w:hAnsi="Arial Narrow"/>
                <w:iCs/>
                <w:sz w:val="20"/>
              </w:rPr>
            </w:pPr>
          </w:p>
        </w:tc>
        <w:tc>
          <w:tcPr>
            <w:tcW w:w="510" w:type="pct"/>
            <w:tcBorders>
              <w:top w:val="single" w:sz="4" w:space="0" w:color="auto"/>
              <w:left w:val="single" w:sz="4" w:space="0" w:color="auto"/>
              <w:bottom w:val="single" w:sz="4" w:space="0" w:color="auto"/>
              <w:right w:val="single" w:sz="4" w:space="0" w:color="auto"/>
            </w:tcBorders>
            <w:vAlign w:val="center"/>
            <w:hideMark/>
          </w:tcPr>
          <w:p w:rsidR="001F4388" w:rsidRPr="001003F7" w:rsidRDefault="001F4388" w:rsidP="00F74625">
            <w:pPr>
              <w:keepNext/>
              <w:jc w:val="center"/>
              <w:rPr>
                <w:rFonts w:ascii="Arial Narrow" w:hAnsi="Arial Narrow"/>
                <w:sz w:val="20"/>
              </w:rPr>
            </w:pPr>
            <w:r w:rsidRPr="001003F7">
              <w:rPr>
                <w:rFonts w:ascii="Arial Narrow" w:hAnsi="Arial Narrow"/>
                <w:sz w:val="20"/>
              </w:rPr>
              <w:t>30</w:t>
            </w:r>
          </w:p>
          <w:p w:rsidR="001F4388" w:rsidRPr="001003F7" w:rsidRDefault="001F4388" w:rsidP="00F74625">
            <w:pPr>
              <w:keepNext/>
              <w:jc w:val="center"/>
              <w:rPr>
                <w:rFonts w:ascii="Arial Narrow" w:hAnsi="Arial Narrow"/>
                <w:sz w:val="20"/>
              </w:rPr>
            </w:pPr>
          </w:p>
          <w:p w:rsidR="001F4388" w:rsidRPr="001003F7" w:rsidRDefault="001F4388" w:rsidP="00F74625">
            <w:pPr>
              <w:keepNext/>
              <w:jc w:val="center"/>
              <w:rPr>
                <w:rFonts w:ascii="Arial Narrow" w:hAnsi="Arial Narrow"/>
                <w:sz w:val="20"/>
              </w:rPr>
            </w:pPr>
            <w:r w:rsidRPr="001003F7">
              <w:rPr>
                <w:rFonts w:ascii="Arial Narrow" w:hAnsi="Arial Narrow"/>
                <w:sz w:val="20"/>
              </w:rPr>
              <w:t>30</w:t>
            </w:r>
          </w:p>
        </w:tc>
        <w:tc>
          <w:tcPr>
            <w:tcW w:w="594" w:type="pct"/>
            <w:tcBorders>
              <w:top w:val="single" w:sz="4" w:space="0" w:color="auto"/>
              <w:left w:val="single" w:sz="4" w:space="0" w:color="auto"/>
              <w:bottom w:val="single" w:sz="4" w:space="0" w:color="auto"/>
              <w:right w:val="single" w:sz="4" w:space="0" w:color="auto"/>
            </w:tcBorders>
            <w:vAlign w:val="center"/>
          </w:tcPr>
          <w:p w:rsidR="001F4388" w:rsidRPr="001003F7" w:rsidRDefault="001F4388" w:rsidP="00F74625">
            <w:pPr>
              <w:keepNext/>
              <w:jc w:val="center"/>
              <w:rPr>
                <w:rFonts w:ascii="Arial Narrow" w:hAnsi="Arial Narrow"/>
                <w:sz w:val="20"/>
              </w:rPr>
            </w:pPr>
            <w:r w:rsidRPr="001003F7">
              <w:rPr>
                <w:rFonts w:ascii="Arial Narrow" w:hAnsi="Arial Narrow"/>
                <w:sz w:val="20"/>
              </w:rPr>
              <w:t>5</w:t>
            </w:r>
          </w:p>
          <w:p w:rsidR="001F4388" w:rsidRPr="001003F7" w:rsidRDefault="001F4388" w:rsidP="00F74625">
            <w:pPr>
              <w:keepNext/>
              <w:jc w:val="center"/>
              <w:rPr>
                <w:rFonts w:ascii="Arial Narrow" w:hAnsi="Arial Narrow"/>
                <w:sz w:val="20"/>
              </w:rPr>
            </w:pPr>
          </w:p>
          <w:p w:rsidR="001F4388" w:rsidRPr="001003F7" w:rsidRDefault="001F4388" w:rsidP="00F74625">
            <w:pPr>
              <w:keepNext/>
              <w:jc w:val="center"/>
              <w:rPr>
                <w:rFonts w:ascii="Arial Narrow" w:hAnsi="Arial Narrow"/>
                <w:sz w:val="20"/>
              </w:rPr>
            </w:pPr>
            <w:r w:rsidRPr="001003F7">
              <w:rPr>
                <w:rFonts w:ascii="Arial Narrow" w:hAnsi="Arial Narrow"/>
                <w:sz w:val="20"/>
              </w:rPr>
              <w:t>5</w:t>
            </w:r>
          </w:p>
        </w:tc>
        <w:tc>
          <w:tcPr>
            <w:tcW w:w="765" w:type="pct"/>
            <w:tcBorders>
              <w:top w:val="single" w:sz="4" w:space="0" w:color="auto"/>
              <w:left w:val="single" w:sz="4" w:space="0" w:color="auto"/>
              <w:bottom w:val="single" w:sz="4" w:space="0" w:color="auto"/>
              <w:right w:val="single" w:sz="4" w:space="0" w:color="auto"/>
            </w:tcBorders>
            <w:vAlign w:val="center"/>
            <w:hideMark/>
          </w:tcPr>
          <w:p w:rsidR="001F4388" w:rsidRPr="001003F7" w:rsidRDefault="001F4388" w:rsidP="00F4721A">
            <w:pPr>
              <w:keepNext/>
              <w:rPr>
                <w:rFonts w:ascii="Arial Narrow" w:hAnsi="Arial Narrow"/>
                <w:sz w:val="20"/>
              </w:rPr>
            </w:pPr>
            <w:r w:rsidRPr="001003F7">
              <w:rPr>
                <w:rFonts w:ascii="Arial Narrow" w:hAnsi="Arial Narrow"/>
                <w:sz w:val="20"/>
              </w:rPr>
              <w:t>JARDIANCE®</w:t>
            </w:r>
          </w:p>
        </w:tc>
        <w:tc>
          <w:tcPr>
            <w:tcW w:w="1008" w:type="pct"/>
            <w:tcBorders>
              <w:top w:val="single" w:sz="4" w:space="0" w:color="auto"/>
              <w:left w:val="single" w:sz="4" w:space="0" w:color="auto"/>
              <w:bottom w:val="single" w:sz="4" w:space="0" w:color="auto"/>
              <w:right w:val="single" w:sz="4" w:space="0" w:color="auto"/>
            </w:tcBorders>
            <w:vAlign w:val="center"/>
            <w:hideMark/>
          </w:tcPr>
          <w:p w:rsidR="001F4388" w:rsidRPr="001003F7" w:rsidRDefault="001F4388" w:rsidP="00F4721A">
            <w:pPr>
              <w:keepNext/>
              <w:jc w:val="center"/>
              <w:rPr>
                <w:rFonts w:ascii="Arial Narrow" w:hAnsi="Arial Narrow"/>
                <w:sz w:val="20"/>
              </w:rPr>
            </w:pPr>
            <w:proofErr w:type="spellStart"/>
            <w:r w:rsidRPr="001003F7">
              <w:rPr>
                <w:rFonts w:ascii="Arial Narrow" w:hAnsi="Arial Narrow"/>
                <w:sz w:val="20"/>
              </w:rPr>
              <w:t>Boehringer</w:t>
            </w:r>
            <w:proofErr w:type="spellEnd"/>
            <w:r w:rsidRPr="001003F7">
              <w:rPr>
                <w:rFonts w:ascii="Arial Narrow" w:hAnsi="Arial Narrow"/>
                <w:sz w:val="20"/>
              </w:rPr>
              <w:t xml:space="preserve"> </w:t>
            </w:r>
            <w:proofErr w:type="spellStart"/>
            <w:r w:rsidRPr="001003F7">
              <w:rPr>
                <w:rFonts w:ascii="Arial Narrow" w:hAnsi="Arial Narrow"/>
                <w:sz w:val="20"/>
              </w:rPr>
              <w:t>Ingelheim</w:t>
            </w:r>
            <w:proofErr w:type="spellEnd"/>
          </w:p>
        </w:tc>
      </w:tr>
    </w:tbl>
    <w:p w:rsidR="00F74625" w:rsidRDefault="00F74625" w:rsidP="00F74625"/>
    <w:tbl>
      <w:tblPr>
        <w:tblW w:w="4594" w:type="pct"/>
        <w:tblInd w:w="737" w:type="dxa"/>
        <w:tblCellMar>
          <w:left w:w="28" w:type="dxa"/>
          <w:right w:w="28" w:type="dxa"/>
        </w:tblCellMar>
        <w:tblLook w:val="04A0" w:firstRow="1" w:lastRow="0" w:firstColumn="1" w:lastColumn="0" w:noHBand="0" w:noVBand="1"/>
        <w:tblDescription w:val="authority required"/>
      </w:tblPr>
      <w:tblGrid>
        <w:gridCol w:w="8345"/>
      </w:tblGrid>
      <w:tr w:rsidR="00F74625" w:rsidRPr="00F74625" w:rsidTr="00F74625">
        <w:trPr>
          <w:cantSplit/>
          <w:trHeight w:val="471"/>
        </w:trPr>
        <w:tc>
          <w:tcPr>
            <w:tcW w:w="5000" w:type="pct"/>
            <w:tcBorders>
              <w:top w:val="single" w:sz="4" w:space="0" w:color="auto"/>
              <w:left w:val="single" w:sz="4" w:space="0" w:color="auto"/>
              <w:bottom w:val="single" w:sz="4" w:space="0" w:color="auto"/>
              <w:right w:val="single" w:sz="4" w:space="0" w:color="auto"/>
            </w:tcBorders>
            <w:vAlign w:val="center"/>
          </w:tcPr>
          <w:p w:rsidR="00F74625" w:rsidRPr="00F74625" w:rsidRDefault="00F74625" w:rsidP="00F74625">
            <w:pPr>
              <w:keepNext/>
              <w:jc w:val="left"/>
              <w:rPr>
                <w:rFonts w:ascii="Arial Narrow" w:hAnsi="Arial Narrow"/>
                <w:b/>
                <w:sz w:val="20"/>
                <w:u w:val="single"/>
                <w:lang w:val="fr-FR"/>
              </w:rPr>
            </w:pPr>
            <w:proofErr w:type="spellStart"/>
            <w:r w:rsidRPr="00F74625">
              <w:rPr>
                <w:rFonts w:ascii="Arial Narrow" w:hAnsi="Arial Narrow"/>
                <w:b/>
                <w:sz w:val="20"/>
                <w:u w:val="single"/>
                <w:lang w:val="fr-FR"/>
              </w:rPr>
              <w:t>Authority</w:t>
            </w:r>
            <w:proofErr w:type="spellEnd"/>
            <w:r w:rsidRPr="00F74625">
              <w:rPr>
                <w:rFonts w:ascii="Arial Narrow" w:hAnsi="Arial Narrow"/>
                <w:b/>
                <w:sz w:val="20"/>
                <w:u w:val="single"/>
                <w:lang w:val="fr-FR"/>
              </w:rPr>
              <w:t xml:space="preserve"> </w:t>
            </w:r>
            <w:proofErr w:type="spellStart"/>
            <w:r w:rsidRPr="00F74625">
              <w:rPr>
                <w:rFonts w:ascii="Arial Narrow" w:hAnsi="Arial Narrow"/>
                <w:b/>
                <w:sz w:val="20"/>
                <w:u w:val="single"/>
                <w:lang w:val="fr-FR"/>
              </w:rPr>
              <w:t>required</w:t>
            </w:r>
            <w:proofErr w:type="spellEnd"/>
          </w:p>
          <w:p w:rsidR="00F74625" w:rsidRPr="00F74625" w:rsidRDefault="00F74625" w:rsidP="00F74625">
            <w:pPr>
              <w:keepNext/>
              <w:jc w:val="left"/>
              <w:rPr>
                <w:rFonts w:ascii="Arial Narrow" w:hAnsi="Arial Narrow"/>
                <w:sz w:val="20"/>
                <w:lang w:val="fr-FR"/>
              </w:rPr>
            </w:pPr>
            <w:r w:rsidRPr="00F74625">
              <w:rPr>
                <w:rFonts w:ascii="Arial Narrow" w:hAnsi="Arial Narrow"/>
                <w:sz w:val="20"/>
                <w:lang w:val="fr-FR"/>
              </w:rPr>
              <w:t xml:space="preserve">Dual </w:t>
            </w:r>
            <w:proofErr w:type="spellStart"/>
            <w:r w:rsidRPr="00F74625">
              <w:rPr>
                <w:rFonts w:ascii="Arial Narrow" w:hAnsi="Arial Narrow"/>
                <w:sz w:val="20"/>
                <w:lang w:val="fr-FR"/>
              </w:rPr>
              <w:t>therapy</w:t>
            </w:r>
            <w:proofErr w:type="spellEnd"/>
            <w:r w:rsidRPr="00F74625">
              <w:rPr>
                <w:rFonts w:ascii="Arial Narrow" w:hAnsi="Arial Narrow"/>
                <w:sz w:val="20"/>
                <w:lang w:val="fr-FR"/>
              </w:rPr>
              <w:t xml:space="preserve"> </w:t>
            </w:r>
            <w:proofErr w:type="spellStart"/>
            <w:r w:rsidRPr="00F74625">
              <w:rPr>
                <w:rFonts w:ascii="Arial Narrow" w:hAnsi="Arial Narrow"/>
                <w:sz w:val="20"/>
                <w:lang w:val="fr-FR"/>
              </w:rPr>
              <w:t>with</w:t>
            </w:r>
            <w:proofErr w:type="spellEnd"/>
            <w:r w:rsidRPr="00F74625">
              <w:rPr>
                <w:rFonts w:ascii="Arial Narrow" w:hAnsi="Arial Narrow"/>
                <w:sz w:val="20"/>
                <w:lang w:val="fr-FR"/>
              </w:rPr>
              <w:t xml:space="preserve"> </w:t>
            </w:r>
            <w:proofErr w:type="spellStart"/>
            <w:r w:rsidRPr="00F74625">
              <w:rPr>
                <w:rFonts w:ascii="Arial Narrow" w:hAnsi="Arial Narrow"/>
                <w:sz w:val="20"/>
                <w:lang w:val="fr-FR"/>
              </w:rPr>
              <w:t>metformin</w:t>
            </w:r>
            <w:proofErr w:type="spellEnd"/>
            <w:r w:rsidRPr="00F74625">
              <w:rPr>
                <w:rFonts w:ascii="Arial Narrow" w:hAnsi="Arial Narrow"/>
                <w:sz w:val="20"/>
                <w:lang w:val="fr-FR"/>
              </w:rPr>
              <w:t xml:space="preserve"> or a </w:t>
            </w:r>
            <w:proofErr w:type="spellStart"/>
            <w:r w:rsidRPr="00F74625">
              <w:rPr>
                <w:rFonts w:ascii="Arial Narrow" w:hAnsi="Arial Narrow"/>
                <w:sz w:val="20"/>
                <w:lang w:val="fr-FR"/>
              </w:rPr>
              <w:t>sulfonylurea</w:t>
            </w:r>
            <w:proofErr w:type="spellEnd"/>
            <w:r w:rsidRPr="00F74625">
              <w:rPr>
                <w:rFonts w:ascii="Arial Narrow" w:hAnsi="Arial Narrow"/>
                <w:sz w:val="20"/>
                <w:lang w:val="fr-FR"/>
              </w:rPr>
              <w:t xml:space="preserve"> in patients </w:t>
            </w:r>
            <w:proofErr w:type="spellStart"/>
            <w:r w:rsidRPr="00F74625">
              <w:rPr>
                <w:rFonts w:ascii="Arial Narrow" w:hAnsi="Arial Narrow"/>
                <w:sz w:val="20"/>
                <w:lang w:val="fr-FR"/>
              </w:rPr>
              <w:t>unable</w:t>
            </w:r>
            <w:proofErr w:type="spellEnd"/>
            <w:r w:rsidRPr="00F74625">
              <w:rPr>
                <w:rFonts w:ascii="Arial Narrow" w:hAnsi="Arial Narrow"/>
                <w:sz w:val="20"/>
                <w:lang w:val="fr-FR"/>
              </w:rPr>
              <w:t xml:space="preserve"> to </w:t>
            </w:r>
            <w:proofErr w:type="spellStart"/>
            <w:r w:rsidRPr="00F74625">
              <w:rPr>
                <w:rFonts w:ascii="Arial Narrow" w:hAnsi="Arial Narrow"/>
                <w:sz w:val="20"/>
                <w:lang w:val="fr-FR"/>
              </w:rPr>
              <w:t>be</w:t>
            </w:r>
            <w:proofErr w:type="spellEnd"/>
            <w:r w:rsidRPr="00F74625">
              <w:rPr>
                <w:rFonts w:ascii="Arial Narrow" w:hAnsi="Arial Narrow"/>
                <w:sz w:val="20"/>
                <w:lang w:val="fr-FR"/>
              </w:rPr>
              <w:t xml:space="preserve"> </w:t>
            </w:r>
            <w:proofErr w:type="spellStart"/>
            <w:r w:rsidRPr="00F74625">
              <w:rPr>
                <w:rFonts w:ascii="Arial Narrow" w:hAnsi="Arial Narrow"/>
                <w:sz w:val="20"/>
                <w:lang w:val="fr-FR"/>
              </w:rPr>
              <w:t>adequately</w:t>
            </w:r>
            <w:proofErr w:type="spellEnd"/>
            <w:r w:rsidRPr="00F74625">
              <w:rPr>
                <w:rFonts w:ascii="Arial Narrow" w:hAnsi="Arial Narrow"/>
                <w:sz w:val="20"/>
                <w:lang w:val="fr-FR"/>
              </w:rPr>
              <w:t xml:space="preserve"> </w:t>
            </w:r>
            <w:proofErr w:type="spellStart"/>
            <w:r w:rsidRPr="00F74625">
              <w:rPr>
                <w:rFonts w:ascii="Arial Narrow" w:hAnsi="Arial Narrow"/>
                <w:sz w:val="20"/>
                <w:lang w:val="fr-FR"/>
              </w:rPr>
              <w:t>controlled</w:t>
            </w:r>
            <w:proofErr w:type="spellEnd"/>
            <w:r w:rsidRPr="00F74625">
              <w:rPr>
                <w:rFonts w:ascii="Arial Narrow" w:hAnsi="Arial Narrow"/>
                <w:sz w:val="20"/>
                <w:lang w:val="fr-FR"/>
              </w:rPr>
              <w:t xml:space="preserve"> by </w:t>
            </w:r>
            <w:proofErr w:type="spellStart"/>
            <w:r w:rsidRPr="00F74625">
              <w:rPr>
                <w:rFonts w:ascii="Arial Narrow" w:hAnsi="Arial Narrow"/>
                <w:sz w:val="20"/>
                <w:lang w:val="fr-FR"/>
              </w:rPr>
              <w:t>treatment</w:t>
            </w:r>
            <w:proofErr w:type="spellEnd"/>
            <w:r w:rsidRPr="00F74625">
              <w:rPr>
                <w:rFonts w:ascii="Arial Narrow" w:hAnsi="Arial Narrow"/>
                <w:sz w:val="20"/>
                <w:lang w:val="fr-FR"/>
              </w:rPr>
              <w:t xml:space="preserve"> </w:t>
            </w:r>
            <w:proofErr w:type="spellStart"/>
            <w:r w:rsidRPr="00F74625">
              <w:rPr>
                <w:rFonts w:ascii="Arial Narrow" w:hAnsi="Arial Narrow"/>
                <w:sz w:val="20"/>
                <w:lang w:val="fr-FR"/>
              </w:rPr>
              <w:t>with</w:t>
            </w:r>
            <w:proofErr w:type="spellEnd"/>
            <w:r w:rsidRPr="00F74625">
              <w:rPr>
                <w:rFonts w:ascii="Arial Narrow" w:hAnsi="Arial Narrow"/>
                <w:sz w:val="20"/>
                <w:lang w:val="fr-FR"/>
              </w:rPr>
              <w:t xml:space="preserve"> </w:t>
            </w:r>
            <w:proofErr w:type="spellStart"/>
            <w:r w:rsidRPr="00F74625">
              <w:rPr>
                <w:rFonts w:ascii="Arial Narrow" w:hAnsi="Arial Narrow"/>
                <w:sz w:val="20"/>
                <w:lang w:val="fr-FR"/>
              </w:rPr>
              <w:t>metformin</w:t>
            </w:r>
            <w:proofErr w:type="spellEnd"/>
            <w:r w:rsidRPr="00F74625">
              <w:rPr>
                <w:rFonts w:ascii="Arial Narrow" w:hAnsi="Arial Narrow"/>
                <w:sz w:val="20"/>
                <w:lang w:val="fr-FR"/>
              </w:rPr>
              <w:t xml:space="preserve"> and a </w:t>
            </w:r>
            <w:proofErr w:type="spellStart"/>
            <w:r w:rsidRPr="00F74625">
              <w:rPr>
                <w:rFonts w:ascii="Arial Narrow" w:hAnsi="Arial Narrow"/>
                <w:sz w:val="20"/>
                <w:lang w:val="fr-FR"/>
              </w:rPr>
              <w:t>sulfonylurea</w:t>
            </w:r>
            <w:proofErr w:type="spellEnd"/>
            <w:r w:rsidRPr="00F74625">
              <w:rPr>
                <w:rFonts w:ascii="Arial Narrow" w:hAnsi="Arial Narrow"/>
                <w:sz w:val="20"/>
                <w:lang w:val="fr-FR"/>
              </w:rPr>
              <w:t>.</w:t>
            </w:r>
          </w:p>
        </w:tc>
      </w:tr>
    </w:tbl>
    <w:p w:rsidR="00F74625" w:rsidRDefault="00F74625" w:rsidP="00F74625"/>
    <w:p w:rsidR="007240DF" w:rsidRPr="00F74625" w:rsidRDefault="005133CA" w:rsidP="00F74625">
      <w:pPr>
        <w:pStyle w:val="ListParagraph"/>
        <w:widowControl/>
        <w:numPr>
          <w:ilvl w:val="1"/>
          <w:numId w:val="20"/>
        </w:numPr>
        <w:rPr>
          <w:szCs w:val="22"/>
        </w:rPr>
      </w:pPr>
      <w:r w:rsidRPr="00671D38">
        <w:t xml:space="preserve">The </w:t>
      </w:r>
      <w:r w:rsidR="007240DF" w:rsidRPr="00671D38">
        <w:t>evaluation noted</w:t>
      </w:r>
      <w:r w:rsidRPr="00671D38">
        <w:t xml:space="preserve"> that, following the </w:t>
      </w:r>
      <w:r w:rsidRPr="00F74625">
        <w:rPr>
          <w:szCs w:val="22"/>
        </w:rPr>
        <w:t>change</w:t>
      </w:r>
      <w:r w:rsidR="00533147" w:rsidRPr="00F74625">
        <w:rPr>
          <w:szCs w:val="22"/>
        </w:rPr>
        <w:t xml:space="preserve"> of</w:t>
      </w:r>
      <w:r w:rsidRPr="00F74625">
        <w:rPr>
          <w:szCs w:val="22"/>
        </w:rPr>
        <w:t xml:space="preserve"> </w:t>
      </w:r>
      <w:proofErr w:type="spellStart"/>
      <w:r w:rsidRPr="00F74625">
        <w:rPr>
          <w:szCs w:val="22"/>
        </w:rPr>
        <w:t>gliptins</w:t>
      </w:r>
      <w:proofErr w:type="spellEnd"/>
      <w:r w:rsidRPr="00F74625">
        <w:rPr>
          <w:szCs w:val="22"/>
        </w:rPr>
        <w:t xml:space="preserve"> to an earlier position in the PBS-subsidised treatment algorithm, </w:t>
      </w:r>
      <w:r w:rsidR="00533147" w:rsidRPr="00F74625">
        <w:rPr>
          <w:szCs w:val="22"/>
        </w:rPr>
        <w:t xml:space="preserve">(namely, </w:t>
      </w:r>
      <w:r w:rsidRPr="00F74625">
        <w:rPr>
          <w:szCs w:val="22"/>
        </w:rPr>
        <w:t>second-line treatment</w:t>
      </w:r>
      <w:r w:rsidR="00533147" w:rsidRPr="00F74625">
        <w:rPr>
          <w:szCs w:val="22"/>
        </w:rPr>
        <w:t>)</w:t>
      </w:r>
      <w:r w:rsidRPr="00F74625">
        <w:rPr>
          <w:szCs w:val="22"/>
        </w:rPr>
        <w:t xml:space="preserve">, the current review of the restrictions of third line treatment options </w:t>
      </w:r>
      <w:r w:rsidRPr="00671D38">
        <w:t xml:space="preserve">will alter the relative positioning of the </w:t>
      </w:r>
      <w:proofErr w:type="spellStart"/>
      <w:r w:rsidRPr="00671D38">
        <w:t>gliptins</w:t>
      </w:r>
      <w:proofErr w:type="spellEnd"/>
      <w:r w:rsidRPr="00671D38">
        <w:t xml:space="preserve"> and </w:t>
      </w:r>
      <w:proofErr w:type="spellStart"/>
      <w:r w:rsidRPr="00671D38">
        <w:t>gliflozins</w:t>
      </w:r>
      <w:proofErr w:type="spellEnd"/>
      <w:r w:rsidRPr="00671D38">
        <w:t xml:space="preserve"> in the treatment algorithm for type 2 diabetes, including the possibility that patients will be required to trial a </w:t>
      </w:r>
      <w:proofErr w:type="spellStart"/>
      <w:r w:rsidRPr="00671D38">
        <w:t>gliptin</w:t>
      </w:r>
      <w:proofErr w:type="spellEnd"/>
      <w:r w:rsidRPr="00671D38">
        <w:t xml:space="preserve"> prior to subsidised use of a </w:t>
      </w:r>
      <w:proofErr w:type="spellStart"/>
      <w:r w:rsidRPr="00671D38">
        <w:t>gliflozin</w:t>
      </w:r>
      <w:proofErr w:type="spellEnd"/>
      <w:r w:rsidRPr="00671D38">
        <w:t>.</w:t>
      </w:r>
    </w:p>
    <w:p w:rsidR="007240DF" w:rsidRPr="00671D38" w:rsidRDefault="007240DF" w:rsidP="007240DF">
      <w:pPr>
        <w:widowControl/>
        <w:spacing w:after="200"/>
        <w:ind w:left="720"/>
        <w:contextualSpacing/>
      </w:pPr>
    </w:p>
    <w:p w:rsidR="007240DF" w:rsidRPr="00F74625" w:rsidRDefault="00431B62" w:rsidP="00F74625">
      <w:pPr>
        <w:pStyle w:val="ListParagraph"/>
        <w:widowControl/>
        <w:numPr>
          <w:ilvl w:val="1"/>
          <w:numId w:val="20"/>
        </w:numPr>
        <w:rPr>
          <w:szCs w:val="22"/>
        </w:rPr>
      </w:pPr>
      <w:r w:rsidRPr="00F74625">
        <w:rPr>
          <w:szCs w:val="22"/>
        </w:rPr>
        <w:t xml:space="preserve">The Department’s proposed amendments to the restrictions for PBS-subsidised third-line treatments for type 2 diabetes and sponsor responses to consultation on the proposed changes were considered by PBAC in a separate item on this agenda.  </w:t>
      </w:r>
    </w:p>
    <w:p w:rsidR="00BF6D0B" w:rsidRPr="00671D38" w:rsidRDefault="00BF6D0B" w:rsidP="00BF6D0B">
      <w:pPr>
        <w:widowControl/>
        <w:spacing w:after="200"/>
        <w:ind w:left="720"/>
        <w:contextualSpacing/>
        <w:rPr>
          <w:i/>
        </w:rPr>
      </w:pPr>
    </w:p>
    <w:p w:rsidR="002E2EDF" w:rsidRPr="00F74625" w:rsidRDefault="00147D6D" w:rsidP="00F74625">
      <w:pPr>
        <w:pStyle w:val="ListParagraph"/>
        <w:widowControl/>
        <w:numPr>
          <w:ilvl w:val="1"/>
          <w:numId w:val="20"/>
        </w:numPr>
        <w:rPr>
          <w:szCs w:val="22"/>
        </w:rPr>
      </w:pPr>
      <w:r w:rsidRPr="00F74625">
        <w:rPr>
          <w:szCs w:val="22"/>
        </w:rPr>
        <w:t xml:space="preserve">Listing is requested on a cost-minimisation basis compared to </w:t>
      </w:r>
      <w:proofErr w:type="spellStart"/>
      <w:r w:rsidRPr="00F74625">
        <w:rPr>
          <w:szCs w:val="22"/>
        </w:rPr>
        <w:t>dapagliflozin</w:t>
      </w:r>
      <w:proofErr w:type="spellEnd"/>
      <w:r w:rsidRPr="00F74625">
        <w:rPr>
          <w:szCs w:val="22"/>
        </w:rPr>
        <w:t xml:space="preserve"> and </w:t>
      </w:r>
      <w:proofErr w:type="spellStart"/>
      <w:r w:rsidRPr="00F74625">
        <w:rPr>
          <w:szCs w:val="22"/>
        </w:rPr>
        <w:t>canagliflozin</w:t>
      </w:r>
      <w:proofErr w:type="spellEnd"/>
      <w:r w:rsidRPr="00F74625">
        <w:rPr>
          <w:szCs w:val="22"/>
        </w:rPr>
        <w:t>.</w:t>
      </w:r>
    </w:p>
    <w:p w:rsidR="00F74625" w:rsidRDefault="00F74625" w:rsidP="002E2EDF">
      <w:pPr>
        <w:pStyle w:val="ListParagraph"/>
        <w:ind w:left="709"/>
        <w:rPr>
          <w:i/>
          <w:szCs w:val="22"/>
        </w:rPr>
      </w:pPr>
    </w:p>
    <w:p w:rsidR="002E2EDF" w:rsidRDefault="002E2EDF" w:rsidP="002E2EDF">
      <w:pPr>
        <w:pStyle w:val="ListParagraph"/>
        <w:ind w:left="709"/>
        <w:rPr>
          <w:i/>
          <w:szCs w:val="22"/>
        </w:rPr>
      </w:pPr>
      <w:r w:rsidRPr="00671D38">
        <w:rPr>
          <w:i/>
          <w:szCs w:val="22"/>
        </w:rPr>
        <w:t>For PBAC’s view, see section 7 “PBAC outcome”</w:t>
      </w:r>
    </w:p>
    <w:p w:rsidR="00422BA6" w:rsidRPr="00671D38" w:rsidRDefault="00422BA6" w:rsidP="002E2EDF">
      <w:pPr>
        <w:pStyle w:val="ListParagraph"/>
        <w:ind w:left="709"/>
        <w:rPr>
          <w:i/>
          <w:szCs w:val="22"/>
        </w:rPr>
      </w:pPr>
    </w:p>
    <w:p w:rsidR="00147D6D" w:rsidRDefault="00147D6D" w:rsidP="00F4721A">
      <w:pPr>
        <w:widowControl/>
        <w:rPr>
          <w:szCs w:val="22"/>
        </w:rPr>
      </w:pPr>
    </w:p>
    <w:p w:rsidR="00F74625" w:rsidRPr="00407F2D" w:rsidRDefault="00F74625" w:rsidP="00F74625">
      <w:pPr>
        <w:pStyle w:val="ListParagraph"/>
        <w:widowControl/>
        <w:numPr>
          <w:ilvl w:val="0"/>
          <w:numId w:val="20"/>
        </w:numPr>
        <w:rPr>
          <w:szCs w:val="22"/>
        </w:rPr>
      </w:pPr>
      <w:r w:rsidRPr="00407F2D">
        <w:rPr>
          <w:b/>
          <w:szCs w:val="22"/>
        </w:rPr>
        <w:t>Background</w:t>
      </w:r>
    </w:p>
    <w:p w:rsidR="00F74625" w:rsidRPr="00407F2D" w:rsidRDefault="00F74625" w:rsidP="00F74625">
      <w:pPr>
        <w:pStyle w:val="ListParagraph"/>
        <w:widowControl/>
        <w:rPr>
          <w:szCs w:val="22"/>
        </w:rPr>
      </w:pPr>
    </w:p>
    <w:p w:rsidR="00147D6D" w:rsidRDefault="00147D6D" w:rsidP="00F74625">
      <w:pPr>
        <w:pStyle w:val="ListParagraph"/>
        <w:widowControl/>
        <w:numPr>
          <w:ilvl w:val="1"/>
          <w:numId w:val="20"/>
        </w:numPr>
        <w:rPr>
          <w:szCs w:val="22"/>
        </w:rPr>
      </w:pPr>
      <w:proofErr w:type="spellStart"/>
      <w:r w:rsidRPr="00F74625">
        <w:rPr>
          <w:szCs w:val="22"/>
        </w:rPr>
        <w:t>Empagliflozin</w:t>
      </w:r>
      <w:proofErr w:type="spellEnd"/>
      <w:r w:rsidRPr="00F74625">
        <w:rPr>
          <w:szCs w:val="22"/>
        </w:rPr>
        <w:t xml:space="preserve"> was recommended for </w:t>
      </w:r>
      <w:r w:rsidR="00C0627F" w:rsidRPr="00F74625">
        <w:rPr>
          <w:szCs w:val="22"/>
        </w:rPr>
        <w:t>inclusion on the ARTG</w:t>
      </w:r>
      <w:r w:rsidRPr="00F74625">
        <w:rPr>
          <w:szCs w:val="22"/>
        </w:rPr>
        <w:t xml:space="preserve"> at the 4 April 2014 meeting of the Advisory Committee on Prescription Medicines (ACPM).</w:t>
      </w:r>
      <w:r w:rsidR="00E30C91" w:rsidRPr="00F74625">
        <w:rPr>
          <w:szCs w:val="22"/>
        </w:rPr>
        <w:t xml:space="preserve"> The ESC noted that the TGA indication was broader</w:t>
      </w:r>
      <w:r w:rsidR="002967D2" w:rsidRPr="00F74625">
        <w:rPr>
          <w:szCs w:val="22"/>
        </w:rPr>
        <w:t xml:space="preserve"> than the proposed restriction, </w:t>
      </w:r>
      <w:r w:rsidR="00C0627F" w:rsidRPr="00F74625">
        <w:rPr>
          <w:szCs w:val="22"/>
        </w:rPr>
        <w:t xml:space="preserve">as it </w:t>
      </w:r>
      <w:r w:rsidR="002967D2" w:rsidRPr="00F74625">
        <w:rPr>
          <w:szCs w:val="22"/>
        </w:rPr>
        <w:t>include</w:t>
      </w:r>
      <w:r w:rsidR="00C0627F" w:rsidRPr="00F74625">
        <w:rPr>
          <w:szCs w:val="22"/>
        </w:rPr>
        <w:t>d</w:t>
      </w:r>
      <w:r w:rsidR="002967D2" w:rsidRPr="00F74625">
        <w:rPr>
          <w:szCs w:val="22"/>
        </w:rPr>
        <w:t xml:space="preserve"> treatment with </w:t>
      </w:r>
      <w:r w:rsidR="00533147" w:rsidRPr="00F74625">
        <w:rPr>
          <w:szCs w:val="22"/>
        </w:rPr>
        <w:t xml:space="preserve">a </w:t>
      </w:r>
      <w:proofErr w:type="spellStart"/>
      <w:r w:rsidR="002967D2" w:rsidRPr="00F74625">
        <w:rPr>
          <w:lang w:val="en-US"/>
        </w:rPr>
        <w:t>dipeptidyl</w:t>
      </w:r>
      <w:proofErr w:type="spellEnd"/>
      <w:r w:rsidR="002967D2" w:rsidRPr="00F74625">
        <w:rPr>
          <w:lang w:val="en-US"/>
        </w:rPr>
        <w:t xml:space="preserve"> peptidase-4</w:t>
      </w:r>
      <w:r w:rsidR="002967D2" w:rsidRPr="00671D38">
        <w:t xml:space="preserve"> (DPP</w:t>
      </w:r>
      <w:r w:rsidR="002967D2" w:rsidRPr="00671D38">
        <w:noBreakHyphen/>
        <w:t>4) inhibitor (</w:t>
      </w:r>
      <w:proofErr w:type="spellStart"/>
      <w:r w:rsidR="002967D2" w:rsidRPr="00671D38">
        <w:t>gliptin</w:t>
      </w:r>
      <w:proofErr w:type="spellEnd"/>
      <w:r w:rsidR="002967D2" w:rsidRPr="00671D38">
        <w:t>)</w:t>
      </w:r>
      <w:r w:rsidR="002967D2" w:rsidRPr="00F74625">
        <w:rPr>
          <w:szCs w:val="22"/>
        </w:rPr>
        <w:t xml:space="preserve">. </w:t>
      </w:r>
    </w:p>
    <w:p w:rsidR="00F74625" w:rsidRPr="00F74625" w:rsidRDefault="00F74625" w:rsidP="00F74625">
      <w:pPr>
        <w:pStyle w:val="ListParagraph"/>
        <w:widowControl/>
        <w:rPr>
          <w:szCs w:val="22"/>
        </w:rPr>
      </w:pPr>
    </w:p>
    <w:p w:rsidR="002E2EDF" w:rsidRPr="00F74625" w:rsidRDefault="002E2EDF" w:rsidP="00F74625">
      <w:pPr>
        <w:pStyle w:val="ListParagraph"/>
        <w:widowControl/>
        <w:numPr>
          <w:ilvl w:val="1"/>
          <w:numId w:val="20"/>
        </w:numPr>
        <w:rPr>
          <w:szCs w:val="22"/>
        </w:rPr>
      </w:pPr>
      <w:proofErr w:type="spellStart"/>
      <w:r w:rsidRPr="00F74625">
        <w:rPr>
          <w:szCs w:val="22"/>
        </w:rPr>
        <w:t>Empagliflozin</w:t>
      </w:r>
      <w:proofErr w:type="spellEnd"/>
      <w:r w:rsidRPr="00F74625">
        <w:rPr>
          <w:szCs w:val="22"/>
        </w:rPr>
        <w:t xml:space="preserve"> </w:t>
      </w:r>
      <w:r w:rsidRPr="00671D38">
        <w:t>has not previously been considered by the PBAC.</w:t>
      </w:r>
    </w:p>
    <w:p w:rsidR="00F74625" w:rsidRDefault="00F74625" w:rsidP="00F74625">
      <w:pPr>
        <w:widowControl/>
        <w:rPr>
          <w:i/>
        </w:rPr>
      </w:pPr>
    </w:p>
    <w:p w:rsidR="00F74625" w:rsidRDefault="00F74625" w:rsidP="00F74625">
      <w:pPr>
        <w:widowControl/>
        <w:rPr>
          <w:i/>
        </w:rPr>
      </w:pPr>
    </w:p>
    <w:p w:rsidR="00F74625" w:rsidRPr="00407F2D" w:rsidRDefault="00F74625" w:rsidP="00F74625">
      <w:pPr>
        <w:pStyle w:val="ListParagraph"/>
        <w:widowControl/>
        <w:numPr>
          <w:ilvl w:val="0"/>
          <w:numId w:val="20"/>
        </w:numPr>
        <w:rPr>
          <w:b/>
          <w:szCs w:val="22"/>
        </w:rPr>
      </w:pPr>
      <w:r w:rsidRPr="00407F2D">
        <w:rPr>
          <w:b/>
          <w:szCs w:val="22"/>
        </w:rPr>
        <w:t>Clinical place for the proposed therapy</w:t>
      </w:r>
    </w:p>
    <w:p w:rsidR="00F74625" w:rsidRDefault="00F74625" w:rsidP="00F74625">
      <w:pPr>
        <w:widowControl/>
        <w:rPr>
          <w:i/>
        </w:rPr>
      </w:pPr>
    </w:p>
    <w:p w:rsidR="00147D6D" w:rsidRPr="00F74625" w:rsidRDefault="00147D6D" w:rsidP="00F74625">
      <w:pPr>
        <w:pStyle w:val="ListParagraph"/>
        <w:widowControl/>
        <w:numPr>
          <w:ilvl w:val="1"/>
          <w:numId w:val="20"/>
        </w:numPr>
        <w:rPr>
          <w:szCs w:val="22"/>
        </w:rPr>
      </w:pPr>
      <w:r w:rsidRPr="00671D38">
        <w:lastRenderedPageBreak/>
        <w:t>When</w:t>
      </w:r>
      <w:r w:rsidR="006A00D1" w:rsidRPr="00671D38">
        <w:t xml:space="preserve"> diet, exercise and</w:t>
      </w:r>
      <w:r w:rsidRPr="00671D38">
        <w:t xml:space="preserve"> metformin monotherapy </w:t>
      </w:r>
      <w:r w:rsidR="006A00D1" w:rsidRPr="00671D38">
        <w:t>are</w:t>
      </w:r>
      <w:r w:rsidRPr="00671D38">
        <w:t xml:space="preserve"> inadequate in controlling blood glucose, current treatment guidelines</w:t>
      </w:r>
      <w:r w:rsidR="006A00D1" w:rsidRPr="00671D38">
        <w:t xml:space="preserve"> for type </w:t>
      </w:r>
      <w:r w:rsidR="00C0627F" w:rsidRPr="00671D38">
        <w:t>II</w:t>
      </w:r>
      <w:r w:rsidR="006A00D1" w:rsidRPr="00671D38">
        <w:t xml:space="preserve"> diabetes</w:t>
      </w:r>
      <w:r w:rsidRPr="00671D38">
        <w:t xml:space="preserve"> recommend adding a sulfonylurea. If dual therapy with metformin and a sulfonylurea is unsuccessful, treatmen</w:t>
      </w:r>
      <w:r w:rsidR="00847A10" w:rsidRPr="00671D38">
        <w:t>t options include addition of: i</w:t>
      </w:r>
      <w:r w:rsidRPr="00671D38">
        <w:t xml:space="preserve">nsulin, glucagon like peptide 1 (GLP-1) </w:t>
      </w:r>
      <w:r w:rsidR="00847A10" w:rsidRPr="00671D38">
        <w:t>analogues</w:t>
      </w:r>
      <w:r w:rsidRPr="00671D38">
        <w:t xml:space="preserve">, </w:t>
      </w:r>
      <w:proofErr w:type="spellStart"/>
      <w:r w:rsidRPr="00F74625">
        <w:rPr>
          <w:lang w:val="en-US"/>
        </w:rPr>
        <w:t>dipeptidyl</w:t>
      </w:r>
      <w:proofErr w:type="spellEnd"/>
      <w:r w:rsidRPr="00F74625">
        <w:rPr>
          <w:lang w:val="en-US"/>
        </w:rPr>
        <w:t xml:space="preserve"> peptidase-4</w:t>
      </w:r>
      <w:r w:rsidRPr="00671D38">
        <w:t xml:space="preserve"> (DPP</w:t>
      </w:r>
      <w:r w:rsidRPr="00671D38">
        <w:noBreakHyphen/>
      </w:r>
      <w:r w:rsidR="00847A10" w:rsidRPr="00671D38">
        <w:t>4</w:t>
      </w:r>
      <w:r w:rsidRPr="00671D38">
        <w:t>) inhibitors</w:t>
      </w:r>
      <w:r w:rsidR="006A00D1" w:rsidRPr="00671D38">
        <w:t xml:space="preserve"> (</w:t>
      </w:r>
      <w:proofErr w:type="spellStart"/>
      <w:r w:rsidR="006A00D1" w:rsidRPr="00671D38">
        <w:t>gliptins</w:t>
      </w:r>
      <w:proofErr w:type="spellEnd"/>
      <w:r w:rsidR="006A00D1" w:rsidRPr="00671D38">
        <w:t>)</w:t>
      </w:r>
      <w:r w:rsidRPr="00671D38">
        <w:t xml:space="preserve">, </w:t>
      </w:r>
      <w:proofErr w:type="spellStart"/>
      <w:r w:rsidRPr="00671D38">
        <w:t>thiazolidinediones</w:t>
      </w:r>
      <w:proofErr w:type="spellEnd"/>
      <w:r w:rsidRPr="00671D38">
        <w:t xml:space="preserve"> (TZDs)</w:t>
      </w:r>
      <w:r w:rsidR="006A00D1" w:rsidRPr="00671D38">
        <w:t xml:space="preserve"> (</w:t>
      </w:r>
      <w:proofErr w:type="spellStart"/>
      <w:r w:rsidR="006A00D1" w:rsidRPr="00671D38">
        <w:t>glitazones</w:t>
      </w:r>
      <w:proofErr w:type="spellEnd"/>
      <w:r w:rsidR="006A00D1" w:rsidRPr="00671D38">
        <w:t>)</w:t>
      </w:r>
      <w:r w:rsidRPr="00671D38">
        <w:t>, or a</w:t>
      </w:r>
      <w:r w:rsidR="00847A10" w:rsidRPr="00671D38">
        <w:t>n</w:t>
      </w:r>
      <w:r w:rsidRPr="00671D38">
        <w:t xml:space="preserve"> SGLT-2</w:t>
      </w:r>
      <w:r w:rsidR="006A00D1" w:rsidRPr="00671D38">
        <w:t xml:space="preserve"> inhibitor (</w:t>
      </w:r>
      <w:proofErr w:type="spellStart"/>
      <w:r w:rsidR="006A00D1" w:rsidRPr="00671D38">
        <w:t>gliflozin</w:t>
      </w:r>
      <w:proofErr w:type="spellEnd"/>
      <w:r w:rsidR="006A00D1" w:rsidRPr="00671D38">
        <w:t>)</w:t>
      </w:r>
      <w:r w:rsidRPr="00671D38">
        <w:t>.</w:t>
      </w:r>
    </w:p>
    <w:p w:rsidR="00147D6D" w:rsidRPr="00671D38" w:rsidRDefault="00147D6D" w:rsidP="00F4721A">
      <w:pPr>
        <w:ind w:left="720"/>
        <w:contextualSpacing/>
      </w:pPr>
    </w:p>
    <w:p w:rsidR="001737B8" w:rsidRPr="00F74625" w:rsidRDefault="00147D6D" w:rsidP="00F74625">
      <w:pPr>
        <w:pStyle w:val="ListParagraph"/>
        <w:widowControl/>
        <w:numPr>
          <w:ilvl w:val="1"/>
          <w:numId w:val="20"/>
        </w:numPr>
        <w:rPr>
          <w:szCs w:val="22"/>
        </w:rPr>
      </w:pPr>
      <w:r w:rsidRPr="00671D38">
        <w:t>The submission propose</w:t>
      </w:r>
      <w:r w:rsidR="008D0F89" w:rsidRPr="00671D38">
        <w:t>d</w:t>
      </w:r>
      <w:r w:rsidRPr="00671D38">
        <w:t xml:space="preserve"> that the place in therapy of </w:t>
      </w:r>
      <w:proofErr w:type="spellStart"/>
      <w:r w:rsidRPr="00671D38">
        <w:t>empagliflozin</w:t>
      </w:r>
      <w:proofErr w:type="spellEnd"/>
      <w:r w:rsidRPr="00671D38">
        <w:t xml:space="preserve"> is an alternative treatment option to the two currently listed </w:t>
      </w:r>
      <w:proofErr w:type="spellStart"/>
      <w:r w:rsidR="008371CB" w:rsidRPr="00671D38">
        <w:t>gliflozin</w:t>
      </w:r>
      <w:proofErr w:type="spellEnd"/>
      <w:r w:rsidR="008371CB" w:rsidRPr="00671D38">
        <w:t xml:space="preserve"> </w:t>
      </w:r>
      <w:r w:rsidRPr="00671D38">
        <w:t>(</w:t>
      </w:r>
      <w:proofErr w:type="spellStart"/>
      <w:r w:rsidRPr="00671D38">
        <w:t>dapagliflozin</w:t>
      </w:r>
      <w:proofErr w:type="spellEnd"/>
      <w:r w:rsidRPr="00671D38">
        <w:t xml:space="preserve"> and </w:t>
      </w:r>
      <w:proofErr w:type="spellStart"/>
      <w:r w:rsidRPr="00671D38">
        <w:t>canagliflozin</w:t>
      </w:r>
      <w:proofErr w:type="spellEnd"/>
      <w:r w:rsidRPr="00671D38">
        <w:t>).</w:t>
      </w:r>
      <w:r w:rsidR="0030681D" w:rsidRPr="00671D38">
        <w:t xml:space="preserve"> </w:t>
      </w:r>
    </w:p>
    <w:p w:rsidR="002E2EDF" w:rsidRPr="00671D38" w:rsidRDefault="002E2EDF" w:rsidP="002E2EDF">
      <w:pPr>
        <w:rPr>
          <w:szCs w:val="22"/>
        </w:rPr>
      </w:pPr>
    </w:p>
    <w:p w:rsidR="002E2EDF" w:rsidRPr="00671D38" w:rsidRDefault="002E2EDF" w:rsidP="002E2EDF">
      <w:pPr>
        <w:ind w:firstLine="720"/>
        <w:rPr>
          <w:i/>
          <w:szCs w:val="22"/>
        </w:rPr>
      </w:pPr>
      <w:r w:rsidRPr="00671D38">
        <w:rPr>
          <w:i/>
          <w:szCs w:val="22"/>
        </w:rPr>
        <w:t>For detail on PBAC’s view, see section 7 “PBAC outcome”</w:t>
      </w:r>
    </w:p>
    <w:p w:rsidR="002E2EDF" w:rsidRDefault="002E2EDF" w:rsidP="00F74625">
      <w:pPr>
        <w:pStyle w:val="COMBody"/>
      </w:pPr>
    </w:p>
    <w:p w:rsidR="00F74625" w:rsidRDefault="00F74625" w:rsidP="00F74625">
      <w:pPr>
        <w:pStyle w:val="COMBody"/>
      </w:pPr>
    </w:p>
    <w:p w:rsidR="00F74625" w:rsidRDefault="00F74625" w:rsidP="00F74625">
      <w:pPr>
        <w:pStyle w:val="Header"/>
        <w:widowControl/>
        <w:numPr>
          <w:ilvl w:val="0"/>
          <w:numId w:val="20"/>
        </w:numPr>
        <w:tabs>
          <w:tab w:val="clear" w:pos="4513"/>
          <w:tab w:val="clear" w:pos="9026"/>
        </w:tabs>
        <w:rPr>
          <w:b/>
          <w:szCs w:val="22"/>
        </w:rPr>
      </w:pPr>
      <w:r w:rsidRPr="00407F2D">
        <w:rPr>
          <w:b/>
          <w:szCs w:val="22"/>
        </w:rPr>
        <w:t>Comparator</w:t>
      </w:r>
    </w:p>
    <w:p w:rsidR="00F74625" w:rsidRPr="00407F2D" w:rsidRDefault="00F74625" w:rsidP="00F74625">
      <w:pPr>
        <w:pStyle w:val="Header"/>
        <w:widowControl/>
        <w:tabs>
          <w:tab w:val="clear" w:pos="4513"/>
          <w:tab w:val="clear" w:pos="9026"/>
        </w:tabs>
        <w:rPr>
          <w:b/>
          <w:szCs w:val="22"/>
        </w:rPr>
      </w:pPr>
    </w:p>
    <w:p w:rsidR="003313ED" w:rsidRPr="00F74625" w:rsidRDefault="003733B5" w:rsidP="00F74625">
      <w:pPr>
        <w:pStyle w:val="ListParagraph"/>
        <w:widowControl/>
        <w:numPr>
          <w:ilvl w:val="1"/>
          <w:numId w:val="20"/>
        </w:numPr>
        <w:rPr>
          <w:szCs w:val="22"/>
        </w:rPr>
      </w:pPr>
      <w:r w:rsidRPr="00671D38">
        <w:t>The submission nominated</w:t>
      </w:r>
      <w:r w:rsidR="00147D6D" w:rsidRPr="00671D38">
        <w:t xml:space="preserve"> </w:t>
      </w:r>
      <w:proofErr w:type="spellStart"/>
      <w:r w:rsidR="00147D6D" w:rsidRPr="00671D38">
        <w:t>dapagliflozin</w:t>
      </w:r>
      <w:proofErr w:type="spellEnd"/>
      <w:r w:rsidR="00147D6D" w:rsidRPr="00671D38">
        <w:t xml:space="preserve"> and </w:t>
      </w:r>
      <w:proofErr w:type="spellStart"/>
      <w:r w:rsidR="00147D6D" w:rsidRPr="00671D38">
        <w:t>canagliflozin</w:t>
      </w:r>
      <w:proofErr w:type="spellEnd"/>
      <w:r w:rsidR="00147D6D" w:rsidRPr="00671D38">
        <w:t xml:space="preserve"> as the main comparators. The main argument provided in support of the comparators is that </w:t>
      </w:r>
      <w:proofErr w:type="spellStart"/>
      <w:r w:rsidR="00147D6D" w:rsidRPr="00671D38">
        <w:t>empagliflozin</w:t>
      </w:r>
      <w:proofErr w:type="spellEnd"/>
      <w:r w:rsidR="00147D6D" w:rsidRPr="00671D38">
        <w:t xml:space="preserve"> is a pharmacological analogue of</w:t>
      </w:r>
      <w:r w:rsidR="00617CFD" w:rsidRPr="00671D38">
        <w:t xml:space="preserve"> both</w:t>
      </w:r>
      <w:r w:rsidR="00147D6D" w:rsidRPr="00671D38">
        <w:t xml:space="preserve"> </w:t>
      </w:r>
      <w:proofErr w:type="spellStart"/>
      <w:r w:rsidR="00147D6D" w:rsidRPr="00671D38">
        <w:t>canagliflozin</w:t>
      </w:r>
      <w:proofErr w:type="spellEnd"/>
      <w:r w:rsidR="00147D6D" w:rsidRPr="00671D38">
        <w:t xml:space="preserve"> and </w:t>
      </w:r>
      <w:proofErr w:type="spellStart"/>
      <w:r w:rsidR="00147D6D" w:rsidRPr="00671D38">
        <w:t>dapagliflozin</w:t>
      </w:r>
      <w:proofErr w:type="spellEnd"/>
      <w:r w:rsidR="00147D6D" w:rsidRPr="00671D38">
        <w:t xml:space="preserve">. </w:t>
      </w:r>
      <w:r w:rsidR="00617CFD" w:rsidRPr="00671D38">
        <w:t>The submission nominate</w:t>
      </w:r>
      <w:r w:rsidRPr="00671D38">
        <w:t>d</w:t>
      </w:r>
      <w:r w:rsidR="00617CFD" w:rsidRPr="00671D38">
        <w:t xml:space="preserve"> </w:t>
      </w:r>
      <w:proofErr w:type="spellStart"/>
      <w:r w:rsidR="00617CFD" w:rsidRPr="00671D38">
        <w:t>sitagliptin</w:t>
      </w:r>
      <w:proofErr w:type="spellEnd"/>
      <w:r w:rsidR="00617CFD" w:rsidRPr="00671D38">
        <w:t xml:space="preserve"> as a supplementary comparator. </w:t>
      </w:r>
      <w:r w:rsidR="00147D6D" w:rsidRPr="00671D38">
        <w:t xml:space="preserve">However, </w:t>
      </w:r>
      <w:proofErr w:type="spellStart"/>
      <w:r w:rsidR="00147D6D" w:rsidRPr="00671D38">
        <w:t>dapagliflozin</w:t>
      </w:r>
      <w:proofErr w:type="spellEnd"/>
      <w:r w:rsidR="00147D6D" w:rsidRPr="00671D38">
        <w:t xml:space="preserve"> and </w:t>
      </w:r>
      <w:proofErr w:type="spellStart"/>
      <w:r w:rsidR="00147D6D" w:rsidRPr="00671D38">
        <w:t>canagliflozin</w:t>
      </w:r>
      <w:proofErr w:type="spellEnd"/>
      <w:r w:rsidR="00147D6D" w:rsidRPr="00671D38">
        <w:t xml:space="preserve"> have only recently been PBS-listed (December 2013) and are yet to establish a market. Therefore, it is </w:t>
      </w:r>
      <w:r w:rsidR="00C645A4" w:rsidRPr="00671D38">
        <w:t>possible</w:t>
      </w:r>
      <w:r w:rsidR="00147D6D" w:rsidRPr="00671D38">
        <w:t xml:space="preserve"> that </w:t>
      </w:r>
      <w:proofErr w:type="spellStart"/>
      <w:r w:rsidR="00147D6D" w:rsidRPr="00671D38">
        <w:t>empagliflozin</w:t>
      </w:r>
      <w:proofErr w:type="spellEnd"/>
      <w:r w:rsidR="00147D6D" w:rsidRPr="00671D38">
        <w:t xml:space="preserve"> will substitute for </w:t>
      </w:r>
      <w:proofErr w:type="spellStart"/>
      <w:r w:rsidR="00147D6D" w:rsidRPr="00671D38">
        <w:t>gliptins</w:t>
      </w:r>
      <w:proofErr w:type="spellEnd"/>
      <w:r w:rsidR="00147D6D" w:rsidRPr="00671D38">
        <w:t xml:space="preserve">. </w:t>
      </w:r>
      <w:proofErr w:type="spellStart"/>
      <w:r w:rsidR="00147D6D" w:rsidRPr="00671D38">
        <w:t>Sitagliptin</w:t>
      </w:r>
      <w:proofErr w:type="spellEnd"/>
      <w:r w:rsidR="00147D6D" w:rsidRPr="00671D38">
        <w:t xml:space="preserve"> (the most widely used </w:t>
      </w:r>
      <w:proofErr w:type="spellStart"/>
      <w:r w:rsidR="00147D6D" w:rsidRPr="00671D38">
        <w:t>gliptin</w:t>
      </w:r>
      <w:proofErr w:type="spellEnd"/>
      <w:r w:rsidR="00147D6D" w:rsidRPr="00671D38">
        <w:t xml:space="preserve">) may therefore also be an appropriate main comparator. The previous </w:t>
      </w:r>
      <w:proofErr w:type="spellStart"/>
      <w:r w:rsidR="00147D6D" w:rsidRPr="00671D38">
        <w:t>dapagliflozin</w:t>
      </w:r>
      <w:proofErr w:type="spellEnd"/>
      <w:r w:rsidR="00147D6D" w:rsidRPr="00671D38">
        <w:t xml:space="preserve"> and </w:t>
      </w:r>
      <w:proofErr w:type="spellStart"/>
      <w:r w:rsidR="00147D6D" w:rsidRPr="00671D38">
        <w:t>canagliflozin</w:t>
      </w:r>
      <w:proofErr w:type="spellEnd"/>
      <w:r w:rsidR="00147D6D" w:rsidRPr="00671D38">
        <w:t xml:space="preserve"> submissions nominated </w:t>
      </w:r>
      <w:proofErr w:type="spellStart"/>
      <w:r w:rsidR="00147D6D" w:rsidRPr="00671D38">
        <w:t>sitagliptin</w:t>
      </w:r>
      <w:proofErr w:type="spellEnd"/>
      <w:r w:rsidR="00147D6D" w:rsidRPr="00671D38">
        <w:t xml:space="preserve"> as the main comparator.</w:t>
      </w:r>
      <w:r w:rsidR="002E2EDF" w:rsidRPr="00671D38">
        <w:t xml:space="preserve"> </w:t>
      </w:r>
    </w:p>
    <w:p w:rsidR="003313ED" w:rsidRPr="00671D38" w:rsidRDefault="003313ED" w:rsidP="00F74625">
      <w:pPr>
        <w:pStyle w:val="COMBody"/>
      </w:pPr>
    </w:p>
    <w:p w:rsidR="008A79E1" w:rsidRPr="00F74625" w:rsidRDefault="002E2EDF" w:rsidP="00F74625">
      <w:pPr>
        <w:pStyle w:val="ListParagraph"/>
        <w:widowControl/>
        <w:numPr>
          <w:ilvl w:val="1"/>
          <w:numId w:val="20"/>
        </w:numPr>
        <w:rPr>
          <w:szCs w:val="22"/>
        </w:rPr>
      </w:pPr>
      <w:r w:rsidRPr="00671D38">
        <w:t xml:space="preserve">The ESC considered that </w:t>
      </w:r>
      <w:proofErr w:type="spellStart"/>
      <w:r w:rsidRPr="00671D38">
        <w:t>dapagliflozin</w:t>
      </w:r>
      <w:proofErr w:type="spellEnd"/>
      <w:r w:rsidRPr="00671D38">
        <w:t xml:space="preserve"> and </w:t>
      </w:r>
      <w:proofErr w:type="spellStart"/>
      <w:r w:rsidRPr="00671D38">
        <w:t>canagliflozin</w:t>
      </w:r>
      <w:proofErr w:type="spellEnd"/>
      <w:r w:rsidRPr="00671D38">
        <w:t xml:space="preserve"> were the appropriate comparators as they are drugs of same pharmacological class and that the </w:t>
      </w:r>
      <w:proofErr w:type="spellStart"/>
      <w:r w:rsidRPr="00671D38">
        <w:t>gliptins</w:t>
      </w:r>
      <w:proofErr w:type="spellEnd"/>
      <w:r w:rsidRPr="00671D38">
        <w:t xml:space="preserve"> are now listed in an earlier line of therapy.</w:t>
      </w:r>
    </w:p>
    <w:p w:rsidR="00E30C91" w:rsidRPr="00671D38" w:rsidRDefault="00E30C91" w:rsidP="00E30C91">
      <w:pPr>
        <w:rPr>
          <w:i/>
        </w:rPr>
      </w:pPr>
    </w:p>
    <w:p w:rsidR="00453071" w:rsidRPr="00671D38" w:rsidRDefault="002E2EDF" w:rsidP="002E2EDF">
      <w:pPr>
        <w:pStyle w:val="ListParagraph"/>
        <w:ind w:left="709"/>
        <w:rPr>
          <w:i/>
          <w:szCs w:val="22"/>
        </w:rPr>
      </w:pPr>
      <w:r w:rsidRPr="00671D38">
        <w:rPr>
          <w:i/>
          <w:szCs w:val="22"/>
        </w:rPr>
        <w:t>For PBAC’s view, see section 7 “PBAC outcome”</w:t>
      </w:r>
    </w:p>
    <w:p w:rsidR="00F74625" w:rsidRDefault="00F74625" w:rsidP="002E2EDF"/>
    <w:p w:rsidR="00F74625" w:rsidRDefault="00F74625" w:rsidP="002E2EDF"/>
    <w:p w:rsidR="00F74625" w:rsidRPr="00407F2D" w:rsidRDefault="004D24BC" w:rsidP="00F74625">
      <w:pPr>
        <w:pStyle w:val="Header"/>
        <w:widowControl/>
        <w:numPr>
          <w:ilvl w:val="0"/>
          <w:numId w:val="20"/>
        </w:numPr>
        <w:tabs>
          <w:tab w:val="clear" w:pos="4513"/>
          <w:tab w:val="clear" w:pos="9026"/>
        </w:tabs>
        <w:rPr>
          <w:b/>
          <w:szCs w:val="22"/>
        </w:rPr>
      </w:pPr>
      <w:r>
        <w:rPr>
          <w:b/>
          <w:szCs w:val="22"/>
        </w:rPr>
        <w:t>C</w:t>
      </w:r>
      <w:r w:rsidR="00F74625" w:rsidRPr="00407F2D">
        <w:rPr>
          <w:b/>
          <w:szCs w:val="22"/>
        </w:rPr>
        <w:t>onsideration of the evidence</w:t>
      </w:r>
    </w:p>
    <w:p w:rsidR="00F74625" w:rsidRDefault="00F74625" w:rsidP="002E2EDF"/>
    <w:p w:rsidR="002E2EDF" w:rsidRPr="000C21DC" w:rsidRDefault="002E2EDF" w:rsidP="002E2EDF">
      <w:pPr>
        <w:rPr>
          <w:b/>
          <w:szCs w:val="22"/>
        </w:rPr>
      </w:pPr>
      <w:r w:rsidRPr="000C21DC">
        <w:rPr>
          <w:b/>
          <w:szCs w:val="22"/>
        </w:rPr>
        <w:t>Sponsor hearing</w:t>
      </w:r>
    </w:p>
    <w:p w:rsidR="002E2EDF" w:rsidRPr="00671D38" w:rsidRDefault="002E2EDF" w:rsidP="002E2EDF">
      <w:pPr>
        <w:rPr>
          <w:szCs w:val="22"/>
        </w:rPr>
      </w:pPr>
    </w:p>
    <w:p w:rsidR="002E2EDF" w:rsidRPr="00F74625" w:rsidRDefault="002E2EDF" w:rsidP="00F74625">
      <w:pPr>
        <w:pStyle w:val="ListParagraph"/>
        <w:widowControl/>
        <w:numPr>
          <w:ilvl w:val="1"/>
          <w:numId w:val="20"/>
        </w:numPr>
        <w:rPr>
          <w:szCs w:val="22"/>
        </w:rPr>
      </w:pPr>
      <w:r w:rsidRPr="00F74625">
        <w:rPr>
          <w:szCs w:val="22"/>
        </w:rPr>
        <w:t>There was no hearing for this item.</w:t>
      </w:r>
    </w:p>
    <w:p w:rsidR="002E2EDF" w:rsidRPr="00671D38" w:rsidRDefault="002E2EDF" w:rsidP="002E2EDF">
      <w:pPr>
        <w:pStyle w:val="ListParagraph"/>
        <w:ind w:left="709"/>
        <w:rPr>
          <w:szCs w:val="22"/>
        </w:rPr>
      </w:pPr>
    </w:p>
    <w:p w:rsidR="002E2EDF" w:rsidRPr="000C21DC" w:rsidRDefault="002E2EDF" w:rsidP="002E2EDF">
      <w:pPr>
        <w:rPr>
          <w:b/>
          <w:szCs w:val="22"/>
        </w:rPr>
      </w:pPr>
      <w:r w:rsidRPr="000C21DC">
        <w:rPr>
          <w:b/>
          <w:szCs w:val="22"/>
        </w:rPr>
        <w:t>Consumer comments</w:t>
      </w:r>
    </w:p>
    <w:p w:rsidR="002E2EDF" w:rsidRPr="00671D38" w:rsidRDefault="002E2EDF" w:rsidP="00777D2B">
      <w:pPr>
        <w:rPr>
          <w:szCs w:val="22"/>
        </w:rPr>
      </w:pPr>
    </w:p>
    <w:p w:rsidR="002E2EDF" w:rsidRPr="00F74625" w:rsidRDefault="002E2EDF" w:rsidP="00F74625">
      <w:pPr>
        <w:pStyle w:val="ListParagraph"/>
        <w:widowControl/>
        <w:numPr>
          <w:ilvl w:val="1"/>
          <w:numId w:val="20"/>
        </w:numPr>
        <w:rPr>
          <w:szCs w:val="22"/>
        </w:rPr>
      </w:pPr>
      <w:r w:rsidRPr="00F74625">
        <w:rPr>
          <w:szCs w:val="22"/>
        </w:rPr>
        <w:t>The PBAC noted that no consumer comments were received for this item.</w:t>
      </w:r>
    </w:p>
    <w:p w:rsidR="002E2EDF" w:rsidRPr="00671D38" w:rsidRDefault="002E2EDF" w:rsidP="002E2EDF">
      <w:pPr>
        <w:rPr>
          <w:b/>
          <w:szCs w:val="22"/>
        </w:rPr>
      </w:pPr>
    </w:p>
    <w:p w:rsidR="002E2EDF" w:rsidRPr="00671D38" w:rsidRDefault="002E2EDF" w:rsidP="002E2EDF">
      <w:pPr>
        <w:pStyle w:val="ListParagraph"/>
        <w:ind w:left="709"/>
        <w:rPr>
          <w:i/>
          <w:szCs w:val="22"/>
        </w:rPr>
      </w:pPr>
      <w:r w:rsidRPr="00671D38">
        <w:rPr>
          <w:i/>
          <w:szCs w:val="22"/>
        </w:rPr>
        <w:t>For more detail on PBAC’s view, see section 7 “PBAC outcome”</w:t>
      </w:r>
    </w:p>
    <w:p w:rsidR="00315D6C" w:rsidRPr="00671D38" w:rsidRDefault="00315D6C" w:rsidP="00F4721A">
      <w:pPr>
        <w:outlineLvl w:val="1"/>
        <w:rPr>
          <w:b/>
        </w:rPr>
      </w:pPr>
      <w:bookmarkStart w:id="5" w:name="_Toc386015340"/>
      <w:bookmarkStart w:id="6" w:name="_Toc387851404"/>
    </w:p>
    <w:p w:rsidR="00147D6D" w:rsidRPr="00671D38" w:rsidRDefault="00147D6D" w:rsidP="00F4721A">
      <w:pPr>
        <w:outlineLvl w:val="1"/>
        <w:rPr>
          <w:b/>
        </w:rPr>
      </w:pPr>
      <w:r w:rsidRPr="00671D38">
        <w:rPr>
          <w:b/>
        </w:rPr>
        <w:t>Clinical trials</w:t>
      </w:r>
      <w:bookmarkEnd w:id="5"/>
      <w:bookmarkEnd w:id="6"/>
    </w:p>
    <w:p w:rsidR="00147D6D" w:rsidRPr="00671D38" w:rsidRDefault="00147D6D" w:rsidP="00F4721A">
      <w:pPr>
        <w:rPr>
          <w:szCs w:val="22"/>
        </w:rPr>
      </w:pPr>
    </w:p>
    <w:p w:rsidR="00BB4CF2" w:rsidRPr="00F54CDC" w:rsidRDefault="00BB4CF2" w:rsidP="00F54CDC">
      <w:pPr>
        <w:pStyle w:val="ListParagraph"/>
        <w:widowControl/>
        <w:numPr>
          <w:ilvl w:val="1"/>
          <w:numId w:val="20"/>
        </w:numPr>
        <w:rPr>
          <w:szCs w:val="22"/>
        </w:rPr>
      </w:pPr>
      <w:r w:rsidRPr="00F54CDC">
        <w:rPr>
          <w:snapToGrid/>
          <w:szCs w:val="22"/>
          <w:lang w:eastAsia="en-AU"/>
        </w:rPr>
        <w:t xml:space="preserve">A head-to-head trial of </w:t>
      </w:r>
      <w:proofErr w:type="spellStart"/>
      <w:r w:rsidRPr="00F54CDC">
        <w:rPr>
          <w:snapToGrid/>
          <w:szCs w:val="22"/>
          <w:lang w:eastAsia="en-AU"/>
        </w:rPr>
        <w:t>empagliflozin</w:t>
      </w:r>
      <w:proofErr w:type="spellEnd"/>
      <w:r w:rsidRPr="00F54CDC">
        <w:rPr>
          <w:snapToGrid/>
          <w:szCs w:val="22"/>
          <w:lang w:eastAsia="en-AU"/>
        </w:rPr>
        <w:t xml:space="preserve"> and </w:t>
      </w:r>
      <w:proofErr w:type="spellStart"/>
      <w:r w:rsidRPr="00F54CDC">
        <w:rPr>
          <w:snapToGrid/>
          <w:szCs w:val="22"/>
          <w:lang w:eastAsia="en-AU"/>
        </w:rPr>
        <w:t>sitagliptin</w:t>
      </w:r>
      <w:proofErr w:type="spellEnd"/>
      <w:r w:rsidRPr="00F54CDC">
        <w:rPr>
          <w:snapToGrid/>
          <w:szCs w:val="22"/>
          <w:lang w:eastAsia="en-AU"/>
        </w:rPr>
        <w:t xml:space="preserve"> was identified</w:t>
      </w:r>
      <w:r w:rsidR="003313ED" w:rsidRPr="00F54CDC">
        <w:rPr>
          <w:snapToGrid/>
          <w:szCs w:val="22"/>
          <w:lang w:eastAsia="en-AU"/>
        </w:rPr>
        <w:t xml:space="preserve"> by the submission</w:t>
      </w:r>
      <w:r w:rsidRPr="00F54CDC">
        <w:rPr>
          <w:snapToGrid/>
          <w:szCs w:val="22"/>
          <w:lang w:eastAsia="en-AU"/>
        </w:rPr>
        <w:t xml:space="preserve">. Trial 1245.10 is a double-blind trial that compared </w:t>
      </w:r>
      <w:proofErr w:type="spellStart"/>
      <w:r w:rsidRPr="00F54CDC">
        <w:rPr>
          <w:snapToGrid/>
          <w:szCs w:val="22"/>
          <w:lang w:eastAsia="en-AU"/>
        </w:rPr>
        <w:t>empagliflozin</w:t>
      </w:r>
      <w:proofErr w:type="spellEnd"/>
      <w:r w:rsidRPr="00F54CDC">
        <w:rPr>
          <w:snapToGrid/>
          <w:szCs w:val="22"/>
          <w:lang w:eastAsia="en-AU"/>
        </w:rPr>
        <w:t xml:space="preserve"> 10</w:t>
      </w:r>
      <w:r w:rsidR="003733B5" w:rsidRPr="00F54CDC">
        <w:rPr>
          <w:snapToGrid/>
          <w:szCs w:val="22"/>
          <w:lang w:eastAsia="en-AU"/>
        </w:rPr>
        <w:t xml:space="preserve"> </w:t>
      </w:r>
      <w:r w:rsidRPr="00F54CDC">
        <w:rPr>
          <w:snapToGrid/>
          <w:szCs w:val="22"/>
          <w:lang w:eastAsia="en-AU"/>
        </w:rPr>
        <w:t>mg and 25</w:t>
      </w:r>
      <w:r w:rsidR="003733B5" w:rsidRPr="00F54CDC">
        <w:rPr>
          <w:snapToGrid/>
          <w:szCs w:val="22"/>
          <w:lang w:eastAsia="en-AU"/>
        </w:rPr>
        <w:t xml:space="preserve"> </w:t>
      </w:r>
      <w:r w:rsidRPr="00F54CDC">
        <w:rPr>
          <w:snapToGrid/>
          <w:szCs w:val="22"/>
          <w:lang w:eastAsia="en-AU"/>
        </w:rPr>
        <w:t xml:space="preserve">mg in combination with metformin with placebo plus metformin; and included an open label </w:t>
      </w:r>
      <w:proofErr w:type="spellStart"/>
      <w:r w:rsidRPr="00F54CDC">
        <w:rPr>
          <w:snapToGrid/>
          <w:szCs w:val="22"/>
          <w:lang w:eastAsia="en-AU"/>
        </w:rPr>
        <w:t>sitagliptin</w:t>
      </w:r>
      <w:proofErr w:type="spellEnd"/>
      <w:r w:rsidRPr="00F54CDC">
        <w:rPr>
          <w:snapToGrid/>
          <w:szCs w:val="22"/>
          <w:lang w:eastAsia="en-AU"/>
        </w:rPr>
        <w:t xml:space="preserve"> </w:t>
      </w:r>
      <w:r w:rsidR="00617CFD" w:rsidRPr="00F54CDC">
        <w:rPr>
          <w:snapToGrid/>
          <w:szCs w:val="22"/>
          <w:lang w:eastAsia="en-AU"/>
        </w:rPr>
        <w:t xml:space="preserve">with metformin </w:t>
      </w:r>
      <w:r w:rsidRPr="00F54CDC">
        <w:rPr>
          <w:snapToGrid/>
          <w:szCs w:val="22"/>
          <w:lang w:eastAsia="en-AU"/>
        </w:rPr>
        <w:t>arm for se</w:t>
      </w:r>
      <w:r w:rsidR="003733B5" w:rsidRPr="00F54CDC">
        <w:rPr>
          <w:snapToGrid/>
          <w:szCs w:val="22"/>
          <w:lang w:eastAsia="en-AU"/>
        </w:rPr>
        <w:t>nsitivity. The submission argued</w:t>
      </w:r>
      <w:r w:rsidRPr="00F54CDC">
        <w:rPr>
          <w:snapToGrid/>
          <w:szCs w:val="22"/>
          <w:lang w:eastAsia="en-AU"/>
        </w:rPr>
        <w:t xml:space="preserve"> that the open label design means that the trial does not represent a true head-to-head comparison of </w:t>
      </w:r>
      <w:proofErr w:type="spellStart"/>
      <w:r w:rsidRPr="00F54CDC">
        <w:rPr>
          <w:snapToGrid/>
          <w:szCs w:val="22"/>
          <w:lang w:eastAsia="en-AU"/>
        </w:rPr>
        <w:t>empagliflozin</w:t>
      </w:r>
      <w:proofErr w:type="spellEnd"/>
      <w:r w:rsidRPr="00F54CDC">
        <w:rPr>
          <w:snapToGrid/>
          <w:szCs w:val="22"/>
          <w:lang w:eastAsia="en-AU"/>
        </w:rPr>
        <w:t xml:space="preserve"> and </w:t>
      </w:r>
      <w:proofErr w:type="spellStart"/>
      <w:r w:rsidRPr="00F54CDC">
        <w:rPr>
          <w:snapToGrid/>
          <w:szCs w:val="22"/>
          <w:lang w:eastAsia="en-AU"/>
        </w:rPr>
        <w:t>sitagliptin</w:t>
      </w:r>
      <w:proofErr w:type="spellEnd"/>
      <w:r w:rsidRPr="00F54CDC">
        <w:rPr>
          <w:snapToGrid/>
          <w:szCs w:val="22"/>
          <w:lang w:eastAsia="en-AU"/>
        </w:rPr>
        <w:t xml:space="preserve"> and exposes the </w:t>
      </w:r>
      <w:r w:rsidR="001003F7" w:rsidRPr="00F54CDC">
        <w:rPr>
          <w:snapToGrid/>
          <w:szCs w:val="22"/>
          <w:lang w:eastAsia="en-AU"/>
        </w:rPr>
        <w:t>results</w:t>
      </w:r>
      <w:r w:rsidRPr="00F54CDC">
        <w:rPr>
          <w:snapToGrid/>
          <w:szCs w:val="22"/>
          <w:lang w:eastAsia="en-AU"/>
        </w:rPr>
        <w:t xml:space="preserve"> to b</w:t>
      </w:r>
      <w:r w:rsidR="003733B5" w:rsidRPr="00F54CDC">
        <w:rPr>
          <w:snapToGrid/>
          <w:szCs w:val="22"/>
          <w:lang w:eastAsia="en-AU"/>
        </w:rPr>
        <w:t>ias. The submission acknowledged</w:t>
      </w:r>
      <w:r w:rsidRPr="00F54CDC">
        <w:rPr>
          <w:snapToGrid/>
          <w:szCs w:val="22"/>
          <w:lang w:eastAsia="en-AU"/>
        </w:rPr>
        <w:t xml:space="preserve"> that the objective outcome of HbA1c lessens the risk of bias however safety outcomes are more likely to be subject to bias.</w:t>
      </w:r>
    </w:p>
    <w:p w:rsidR="00B15810" w:rsidRPr="00671D38" w:rsidRDefault="00B15810" w:rsidP="00F54CDC">
      <w:pPr>
        <w:pStyle w:val="COMBody"/>
        <w:rPr>
          <w:lang w:eastAsia="en-AU"/>
        </w:rPr>
      </w:pPr>
    </w:p>
    <w:p w:rsidR="00147D6D" w:rsidRPr="00F54CDC" w:rsidRDefault="00BB4CF2" w:rsidP="00F54CDC">
      <w:pPr>
        <w:pStyle w:val="ListParagraph"/>
        <w:widowControl/>
        <w:numPr>
          <w:ilvl w:val="1"/>
          <w:numId w:val="20"/>
        </w:numPr>
        <w:rPr>
          <w:szCs w:val="22"/>
        </w:rPr>
      </w:pPr>
      <w:r w:rsidRPr="00F54CDC">
        <w:rPr>
          <w:snapToGrid/>
          <w:szCs w:val="22"/>
          <w:lang w:eastAsia="en-AU"/>
        </w:rPr>
        <w:lastRenderedPageBreak/>
        <w:t xml:space="preserve">The submission is based on a series of indirect comparisons of </w:t>
      </w:r>
      <w:proofErr w:type="spellStart"/>
      <w:r w:rsidRPr="00F54CDC">
        <w:rPr>
          <w:snapToGrid/>
          <w:szCs w:val="22"/>
          <w:lang w:eastAsia="en-AU"/>
        </w:rPr>
        <w:t>empagliflozin</w:t>
      </w:r>
      <w:proofErr w:type="spellEnd"/>
      <w:r w:rsidRPr="00F54CDC">
        <w:rPr>
          <w:snapToGrid/>
          <w:szCs w:val="22"/>
          <w:lang w:eastAsia="en-AU"/>
        </w:rPr>
        <w:t xml:space="preserve"> and its comparators </w:t>
      </w:r>
      <w:proofErr w:type="spellStart"/>
      <w:r w:rsidRPr="00F54CDC">
        <w:rPr>
          <w:snapToGrid/>
          <w:szCs w:val="22"/>
          <w:lang w:eastAsia="en-AU"/>
        </w:rPr>
        <w:t>sitagliptin</w:t>
      </w:r>
      <w:proofErr w:type="spellEnd"/>
      <w:r w:rsidRPr="00F54CDC">
        <w:rPr>
          <w:snapToGrid/>
          <w:szCs w:val="22"/>
          <w:lang w:eastAsia="en-AU"/>
        </w:rPr>
        <w:t xml:space="preserve">, </w:t>
      </w:r>
      <w:proofErr w:type="spellStart"/>
      <w:r w:rsidRPr="00F54CDC">
        <w:rPr>
          <w:snapToGrid/>
          <w:szCs w:val="22"/>
          <w:lang w:eastAsia="en-AU"/>
        </w:rPr>
        <w:t>canagliflozin</w:t>
      </w:r>
      <w:proofErr w:type="spellEnd"/>
      <w:r w:rsidRPr="00F54CDC">
        <w:rPr>
          <w:snapToGrid/>
          <w:szCs w:val="22"/>
          <w:lang w:eastAsia="en-AU"/>
        </w:rPr>
        <w:t xml:space="preserve"> and </w:t>
      </w:r>
      <w:proofErr w:type="spellStart"/>
      <w:r w:rsidRPr="00F54CDC">
        <w:rPr>
          <w:snapToGrid/>
          <w:szCs w:val="22"/>
          <w:lang w:eastAsia="en-AU"/>
        </w:rPr>
        <w:t>dapagliflozin</w:t>
      </w:r>
      <w:proofErr w:type="spellEnd"/>
      <w:r w:rsidRPr="00F54CDC">
        <w:rPr>
          <w:snapToGrid/>
          <w:szCs w:val="22"/>
          <w:lang w:eastAsia="en-AU"/>
        </w:rPr>
        <w:t>:</w:t>
      </w:r>
    </w:p>
    <w:p w:rsidR="00BB4CF2" w:rsidRPr="00671D38" w:rsidRDefault="00BB4CF2" w:rsidP="00F4721A">
      <w:pPr>
        <w:snapToGrid w:val="0"/>
        <w:ind w:left="709"/>
        <w:rPr>
          <w:snapToGrid/>
          <w:szCs w:val="22"/>
          <w:lang w:eastAsia="en-AU"/>
        </w:rPr>
      </w:pPr>
    </w:p>
    <w:p w:rsidR="00147D6D" w:rsidRPr="00671D38" w:rsidRDefault="00BB4CF2" w:rsidP="00F4721A">
      <w:pPr>
        <w:snapToGrid w:val="0"/>
        <w:rPr>
          <w:snapToGrid/>
          <w:szCs w:val="22"/>
          <w:lang w:eastAsia="en-AU"/>
        </w:rPr>
      </w:pPr>
      <w:r w:rsidRPr="00671D38">
        <w:rPr>
          <w:snapToGrid/>
          <w:szCs w:val="22"/>
          <w:lang w:eastAsia="en-AU"/>
        </w:rPr>
        <w:tab/>
      </w:r>
      <w:r w:rsidR="00147D6D" w:rsidRPr="00671D38">
        <w:rPr>
          <w:snapToGrid/>
          <w:szCs w:val="22"/>
          <w:lang w:eastAsia="en-AU"/>
        </w:rPr>
        <w:t>Using placebo plus metformin as the common comparator:</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25mg plus metformin versus </w:t>
      </w:r>
      <w:proofErr w:type="spellStart"/>
      <w:r w:rsidRPr="00671D38">
        <w:rPr>
          <w:snapToGrid/>
          <w:szCs w:val="22"/>
          <w:lang w:eastAsia="en-AU"/>
        </w:rPr>
        <w:t>sitagliptin</w:t>
      </w:r>
      <w:proofErr w:type="spellEnd"/>
      <w:r w:rsidRPr="00671D38">
        <w:rPr>
          <w:snapToGrid/>
          <w:szCs w:val="22"/>
          <w:lang w:eastAsia="en-AU"/>
        </w:rPr>
        <w:t xml:space="preserve"> 100mg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25</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dapagliflozin</w:t>
      </w:r>
      <w:proofErr w:type="spellEnd"/>
      <w:r w:rsidRPr="00671D38">
        <w:rPr>
          <w:snapToGrid/>
          <w:szCs w:val="22"/>
          <w:lang w:eastAsia="en-AU"/>
        </w:rPr>
        <w:t xml:space="preserve"> 10</w:t>
      </w:r>
      <w:r w:rsidR="003733B5" w:rsidRPr="00671D38">
        <w:rPr>
          <w:snapToGrid/>
          <w:szCs w:val="22"/>
          <w:lang w:eastAsia="en-AU"/>
        </w:rPr>
        <w:t xml:space="preserve"> </w:t>
      </w:r>
      <w:r w:rsidRPr="00671D38">
        <w:rPr>
          <w:snapToGrid/>
          <w:szCs w:val="22"/>
          <w:lang w:eastAsia="en-AU"/>
        </w:rPr>
        <w:t>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10</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dapagliflozin</w:t>
      </w:r>
      <w:proofErr w:type="spellEnd"/>
      <w:r w:rsidRPr="00671D38">
        <w:rPr>
          <w:snapToGrid/>
          <w:szCs w:val="22"/>
          <w:lang w:eastAsia="en-AU"/>
        </w:rPr>
        <w:t xml:space="preserve"> 10</w:t>
      </w:r>
      <w:r w:rsidR="003733B5" w:rsidRPr="00671D38">
        <w:rPr>
          <w:snapToGrid/>
          <w:szCs w:val="22"/>
          <w:lang w:eastAsia="en-AU"/>
        </w:rPr>
        <w:t xml:space="preserve"> </w:t>
      </w:r>
      <w:r w:rsidRPr="00671D38">
        <w:rPr>
          <w:snapToGrid/>
          <w:szCs w:val="22"/>
          <w:lang w:eastAsia="en-AU"/>
        </w:rPr>
        <w:t>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25</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canagliflozin</w:t>
      </w:r>
      <w:proofErr w:type="spellEnd"/>
      <w:r w:rsidRPr="00671D38">
        <w:rPr>
          <w:snapToGrid/>
          <w:szCs w:val="22"/>
          <w:lang w:eastAsia="en-AU"/>
        </w:rPr>
        <w:t xml:space="preserve"> 300</w:t>
      </w:r>
      <w:r w:rsidR="003733B5" w:rsidRPr="00671D38">
        <w:rPr>
          <w:snapToGrid/>
          <w:szCs w:val="22"/>
          <w:lang w:eastAsia="en-AU"/>
        </w:rPr>
        <w:t xml:space="preserve"> </w:t>
      </w:r>
      <w:r w:rsidRPr="00671D38">
        <w:rPr>
          <w:snapToGrid/>
          <w:szCs w:val="22"/>
          <w:lang w:eastAsia="en-AU"/>
        </w:rPr>
        <w:t>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10</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canagliflozin</w:t>
      </w:r>
      <w:proofErr w:type="spellEnd"/>
      <w:r w:rsidRPr="00671D38">
        <w:rPr>
          <w:snapToGrid/>
          <w:szCs w:val="22"/>
          <w:lang w:eastAsia="en-AU"/>
        </w:rPr>
        <w:t xml:space="preserve"> 300</w:t>
      </w:r>
      <w:r w:rsidR="003733B5" w:rsidRPr="00671D38">
        <w:rPr>
          <w:snapToGrid/>
          <w:szCs w:val="22"/>
          <w:lang w:eastAsia="en-AU"/>
        </w:rPr>
        <w:t xml:space="preserve"> </w:t>
      </w:r>
      <w:r w:rsidRPr="00671D38">
        <w:rPr>
          <w:snapToGrid/>
          <w:szCs w:val="22"/>
          <w:lang w:eastAsia="en-AU"/>
        </w:rPr>
        <w:t>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25</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cana</w:t>
      </w:r>
      <w:r w:rsidR="00617CFD" w:rsidRPr="00671D38">
        <w:rPr>
          <w:snapToGrid/>
          <w:szCs w:val="22"/>
          <w:lang w:eastAsia="en-AU"/>
        </w:rPr>
        <w:t>gliflozin</w:t>
      </w:r>
      <w:proofErr w:type="spellEnd"/>
      <w:r w:rsidR="00617CFD" w:rsidRPr="00671D38">
        <w:rPr>
          <w:snapToGrid/>
          <w:szCs w:val="22"/>
          <w:lang w:eastAsia="en-AU"/>
        </w:rPr>
        <w:t xml:space="preserve"> 100</w:t>
      </w:r>
      <w:r w:rsidR="003733B5" w:rsidRPr="00671D38">
        <w:rPr>
          <w:snapToGrid/>
          <w:szCs w:val="22"/>
          <w:lang w:eastAsia="en-AU"/>
        </w:rPr>
        <w:t xml:space="preserve"> </w:t>
      </w:r>
      <w:r w:rsidR="00617CFD" w:rsidRPr="00671D38">
        <w:rPr>
          <w:snapToGrid/>
          <w:szCs w:val="22"/>
          <w:lang w:eastAsia="en-AU"/>
        </w:rPr>
        <w:t>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10</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canagliflozin</w:t>
      </w:r>
      <w:proofErr w:type="spellEnd"/>
      <w:r w:rsidRPr="00671D38">
        <w:rPr>
          <w:snapToGrid/>
          <w:szCs w:val="22"/>
          <w:lang w:eastAsia="en-AU"/>
        </w:rPr>
        <w:t xml:space="preserve"> 100</w:t>
      </w:r>
      <w:r w:rsidR="003733B5" w:rsidRPr="00671D38">
        <w:rPr>
          <w:snapToGrid/>
          <w:szCs w:val="22"/>
          <w:lang w:eastAsia="en-AU"/>
        </w:rPr>
        <w:t xml:space="preserve"> </w:t>
      </w:r>
      <w:r w:rsidRPr="00671D38">
        <w:rPr>
          <w:snapToGrid/>
          <w:szCs w:val="22"/>
          <w:lang w:eastAsia="en-AU"/>
        </w:rPr>
        <w:t>mg plus metformin.</w:t>
      </w:r>
    </w:p>
    <w:p w:rsidR="00147D6D" w:rsidRPr="00671D38" w:rsidRDefault="00147D6D" w:rsidP="00F4721A">
      <w:pPr>
        <w:snapToGrid w:val="0"/>
        <w:rPr>
          <w:snapToGrid/>
          <w:szCs w:val="22"/>
          <w:lang w:eastAsia="en-AU"/>
        </w:rPr>
      </w:pPr>
    </w:p>
    <w:p w:rsidR="00147D6D" w:rsidRPr="00671D38" w:rsidRDefault="00BB4CF2" w:rsidP="00F4721A">
      <w:pPr>
        <w:widowControl/>
        <w:snapToGrid w:val="0"/>
        <w:rPr>
          <w:snapToGrid/>
          <w:szCs w:val="22"/>
          <w:lang w:eastAsia="en-AU"/>
        </w:rPr>
      </w:pPr>
      <w:r w:rsidRPr="00671D38">
        <w:rPr>
          <w:snapToGrid/>
          <w:szCs w:val="22"/>
          <w:lang w:eastAsia="en-AU"/>
        </w:rPr>
        <w:tab/>
      </w:r>
      <w:r w:rsidR="00147D6D" w:rsidRPr="00671D38">
        <w:rPr>
          <w:snapToGrid/>
          <w:szCs w:val="22"/>
          <w:lang w:eastAsia="en-AU"/>
        </w:rPr>
        <w:t>Using a sulfonylurea plus metformin as the common comparator:</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25</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sitagliptin</w:t>
      </w:r>
      <w:proofErr w:type="spellEnd"/>
      <w:r w:rsidRPr="00671D38">
        <w:rPr>
          <w:snapToGrid/>
          <w:szCs w:val="22"/>
          <w:lang w:eastAsia="en-AU"/>
        </w:rPr>
        <w:t xml:space="preserve"> 100</w:t>
      </w:r>
      <w:r w:rsidR="003733B5" w:rsidRPr="00671D38">
        <w:rPr>
          <w:snapToGrid/>
          <w:szCs w:val="22"/>
          <w:lang w:eastAsia="en-AU"/>
        </w:rPr>
        <w:t xml:space="preserve"> </w:t>
      </w:r>
      <w:r w:rsidRPr="00671D38">
        <w:rPr>
          <w:snapToGrid/>
          <w:szCs w:val="22"/>
          <w:lang w:eastAsia="en-AU"/>
        </w:rPr>
        <w:t>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25</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dap</w:t>
      </w:r>
      <w:r w:rsidR="00617CFD" w:rsidRPr="00671D38">
        <w:rPr>
          <w:snapToGrid/>
          <w:szCs w:val="22"/>
          <w:lang w:eastAsia="en-AU"/>
        </w:rPr>
        <w:t>agliflozin</w:t>
      </w:r>
      <w:proofErr w:type="spellEnd"/>
      <w:r w:rsidR="00617CFD" w:rsidRPr="00671D38">
        <w:rPr>
          <w:snapToGrid/>
          <w:szCs w:val="22"/>
          <w:lang w:eastAsia="en-AU"/>
        </w:rPr>
        <w:t xml:space="preserve"> 10</w:t>
      </w:r>
      <w:r w:rsidR="003733B5" w:rsidRPr="00671D38">
        <w:rPr>
          <w:snapToGrid/>
          <w:szCs w:val="22"/>
          <w:lang w:eastAsia="en-AU"/>
        </w:rPr>
        <w:t xml:space="preserve"> </w:t>
      </w:r>
      <w:r w:rsidR="00617CFD" w:rsidRPr="00671D38">
        <w:rPr>
          <w:snapToGrid/>
          <w:szCs w:val="22"/>
          <w:lang w:eastAsia="en-AU"/>
        </w:rPr>
        <w:t>mg plus metformin;</w:t>
      </w:r>
    </w:p>
    <w:p w:rsidR="00147D6D" w:rsidRPr="00671D38" w:rsidRDefault="00147D6D" w:rsidP="00884BA0">
      <w:pPr>
        <w:widowControl/>
        <w:numPr>
          <w:ilvl w:val="1"/>
          <w:numId w:val="7"/>
        </w:numPr>
        <w:snapToGrid w:val="0"/>
        <w:ind w:left="1077" w:hanging="357"/>
        <w:rPr>
          <w:snapToGrid/>
          <w:szCs w:val="22"/>
          <w:lang w:eastAsia="en-AU"/>
        </w:rPr>
      </w:pPr>
      <w:proofErr w:type="spellStart"/>
      <w:r w:rsidRPr="00671D38">
        <w:rPr>
          <w:snapToGrid/>
          <w:szCs w:val="22"/>
          <w:lang w:eastAsia="en-AU"/>
        </w:rPr>
        <w:t>Empagliflozin</w:t>
      </w:r>
      <w:proofErr w:type="spellEnd"/>
      <w:r w:rsidRPr="00671D38">
        <w:rPr>
          <w:snapToGrid/>
          <w:szCs w:val="22"/>
          <w:lang w:eastAsia="en-AU"/>
        </w:rPr>
        <w:t xml:space="preserve"> 25</w:t>
      </w:r>
      <w:r w:rsidR="003733B5" w:rsidRPr="00671D38">
        <w:rPr>
          <w:snapToGrid/>
          <w:szCs w:val="22"/>
          <w:lang w:eastAsia="en-AU"/>
        </w:rPr>
        <w:t xml:space="preserve"> </w:t>
      </w:r>
      <w:r w:rsidRPr="00671D38">
        <w:rPr>
          <w:snapToGrid/>
          <w:szCs w:val="22"/>
          <w:lang w:eastAsia="en-AU"/>
        </w:rPr>
        <w:t xml:space="preserve">mg plus metformin versus </w:t>
      </w:r>
      <w:proofErr w:type="spellStart"/>
      <w:r w:rsidRPr="00671D38">
        <w:rPr>
          <w:snapToGrid/>
          <w:szCs w:val="22"/>
          <w:lang w:eastAsia="en-AU"/>
        </w:rPr>
        <w:t>canagliflozin</w:t>
      </w:r>
      <w:proofErr w:type="spellEnd"/>
      <w:r w:rsidRPr="00671D38">
        <w:rPr>
          <w:snapToGrid/>
          <w:szCs w:val="22"/>
          <w:lang w:eastAsia="en-AU"/>
        </w:rPr>
        <w:t xml:space="preserve"> 300</w:t>
      </w:r>
      <w:r w:rsidR="003733B5" w:rsidRPr="00671D38">
        <w:rPr>
          <w:snapToGrid/>
          <w:szCs w:val="22"/>
          <w:lang w:eastAsia="en-AU"/>
        </w:rPr>
        <w:t xml:space="preserve"> </w:t>
      </w:r>
      <w:r w:rsidRPr="00671D38">
        <w:rPr>
          <w:snapToGrid/>
          <w:szCs w:val="22"/>
          <w:lang w:eastAsia="en-AU"/>
        </w:rPr>
        <w:t>mg plus metformin.</w:t>
      </w:r>
    </w:p>
    <w:p w:rsidR="00147D6D" w:rsidRPr="00671D38" w:rsidRDefault="00147D6D" w:rsidP="00F4721A">
      <w:pPr>
        <w:widowControl/>
        <w:rPr>
          <w:szCs w:val="22"/>
        </w:rPr>
      </w:pPr>
    </w:p>
    <w:p w:rsidR="009F28D9" w:rsidRPr="00F54CDC" w:rsidRDefault="00147D6D" w:rsidP="00F54CDC">
      <w:pPr>
        <w:pStyle w:val="ListParagraph"/>
        <w:widowControl/>
        <w:numPr>
          <w:ilvl w:val="1"/>
          <w:numId w:val="20"/>
        </w:numPr>
        <w:rPr>
          <w:szCs w:val="22"/>
        </w:rPr>
      </w:pPr>
      <w:r w:rsidRPr="00F54CDC">
        <w:rPr>
          <w:szCs w:val="22"/>
        </w:rPr>
        <w:t xml:space="preserve">Details of the trials presented in the submission are provided in the table below.  </w:t>
      </w:r>
    </w:p>
    <w:p w:rsidR="00777D2B" w:rsidRPr="00671D38" w:rsidRDefault="00777D2B" w:rsidP="00777D2B">
      <w:pPr>
        <w:widowControl/>
        <w:spacing w:after="200"/>
        <w:ind w:left="709"/>
        <w:contextualSpacing/>
        <w:rPr>
          <w:szCs w:val="22"/>
        </w:rPr>
      </w:pPr>
    </w:p>
    <w:p w:rsidR="00147D6D" w:rsidRPr="00671D38" w:rsidRDefault="00147D6D" w:rsidP="001003F7">
      <w:pPr>
        <w:keepNext/>
        <w:ind w:left="709"/>
        <w:rPr>
          <w:rFonts w:ascii="Arial Narrow" w:hAnsi="Arial Narrow"/>
          <w:b/>
          <w:sz w:val="20"/>
        </w:rPr>
      </w:pPr>
      <w:r w:rsidRPr="00671D38">
        <w:rPr>
          <w:rFonts w:ascii="Arial Narrow" w:hAnsi="Arial Narrow"/>
          <w:b/>
          <w:sz w:val="20"/>
        </w:rPr>
        <w:t xml:space="preserve">Trials and associated reports presented in the submission for </w:t>
      </w:r>
      <w:proofErr w:type="spellStart"/>
      <w:r w:rsidRPr="00671D38">
        <w:rPr>
          <w:rFonts w:ascii="Arial Narrow" w:hAnsi="Arial Narrow"/>
          <w:b/>
          <w:sz w:val="20"/>
        </w:rPr>
        <w:t>empagliflozin</w:t>
      </w:r>
      <w:proofErr w:type="spellEnd"/>
      <w:r w:rsidRPr="00671D38">
        <w:rPr>
          <w:rFonts w:ascii="Arial Narrow" w:hAnsi="Arial Narrow"/>
          <w:b/>
          <w:sz w:val="20"/>
        </w:rPr>
        <w:t xml:space="preserve"> and its comparators </w:t>
      </w:r>
      <w:proofErr w:type="spellStart"/>
      <w:r w:rsidRPr="00671D38">
        <w:rPr>
          <w:rFonts w:ascii="Arial Narrow" w:hAnsi="Arial Narrow"/>
          <w:b/>
          <w:sz w:val="20"/>
        </w:rPr>
        <w:t>sitagliptin</w:t>
      </w:r>
      <w:proofErr w:type="spellEnd"/>
      <w:r w:rsidRPr="00671D38">
        <w:rPr>
          <w:rFonts w:ascii="Arial Narrow" w:hAnsi="Arial Narrow"/>
          <w:b/>
          <w:sz w:val="20"/>
        </w:rPr>
        <w:t xml:space="preserve">, </w:t>
      </w:r>
      <w:proofErr w:type="spellStart"/>
      <w:r w:rsidRPr="00671D38">
        <w:rPr>
          <w:rFonts w:ascii="Arial Narrow" w:hAnsi="Arial Narrow"/>
          <w:b/>
          <w:sz w:val="20"/>
        </w:rPr>
        <w:t>canagliflozin</w:t>
      </w:r>
      <w:proofErr w:type="spellEnd"/>
      <w:r w:rsidRPr="00671D38">
        <w:rPr>
          <w:rFonts w:ascii="Arial Narrow" w:hAnsi="Arial Narrow"/>
          <w:b/>
          <w:sz w:val="20"/>
        </w:rPr>
        <w:t xml:space="preserve"> and </w:t>
      </w:r>
      <w:proofErr w:type="spellStart"/>
      <w:r w:rsidRPr="00671D38">
        <w:rPr>
          <w:rFonts w:ascii="Arial Narrow" w:hAnsi="Arial Narrow"/>
          <w:b/>
          <w:sz w:val="20"/>
        </w:rPr>
        <w:t>dapagliflozin</w:t>
      </w:r>
      <w:proofErr w:type="spellEnd"/>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for empagliflozin and its comparators sitagliptin, canagliflozin and dapagliflozin"/>
      </w:tblPr>
      <w:tblGrid>
        <w:gridCol w:w="997"/>
        <w:gridCol w:w="5524"/>
        <w:gridCol w:w="1824"/>
      </w:tblGrid>
      <w:tr w:rsidR="00147D6D" w:rsidRPr="00671D38" w:rsidTr="001003F7">
        <w:trPr>
          <w:tblHeader/>
        </w:trPr>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b/>
                <w:sz w:val="20"/>
              </w:rPr>
              <w:t>Trial ID</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center"/>
              <w:rPr>
                <w:rFonts w:ascii="Arial Narrow" w:hAnsi="Arial Narrow"/>
                <w:b/>
                <w:sz w:val="20"/>
              </w:rPr>
            </w:pPr>
            <w:r w:rsidRPr="00671D38">
              <w:rPr>
                <w:rFonts w:ascii="Arial Narrow" w:hAnsi="Arial Narrow"/>
                <w:b/>
                <w:sz w:val="20"/>
              </w:rPr>
              <w:t>Protocol title/ Publication title</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center"/>
              <w:rPr>
                <w:rFonts w:ascii="Arial Narrow" w:hAnsi="Arial Narrow"/>
                <w:b/>
                <w:sz w:val="20"/>
              </w:rPr>
            </w:pPr>
            <w:r w:rsidRPr="00671D38">
              <w:rPr>
                <w:rFonts w:ascii="Arial Narrow" w:hAnsi="Arial Narrow"/>
                <w:b/>
                <w:sz w:val="20"/>
              </w:rPr>
              <w:t>Publication citation</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b/>
                <w:sz w:val="20"/>
              </w:rPr>
              <w:t xml:space="preserve">Common reference using </w:t>
            </w:r>
            <w:proofErr w:type="spellStart"/>
            <w:r w:rsidRPr="00671D38">
              <w:rPr>
                <w:rFonts w:ascii="Arial Narrow" w:hAnsi="Arial Narrow"/>
                <w:b/>
                <w:sz w:val="20"/>
              </w:rPr>
              <w:t>placebo+metformin</w:t>
            </w:r>
            <w:proofErr w:type="spellEnd"/>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iCs/>
                <w:sz w:val="20"/>
              </w:rPr>
              <w:t xml:space="preserve">EMPA+MET </w:t>
            </w:r>
            <w:r w:rsidR="00727B49" w:rsidRPr="00671D38">
              <w:rPr>
                <w:rFonts w:ascii="Arial Narrow" w:hAnsi="Arial Narrow"/>
                <w:b/>
                <w:iCs/>
                <w:sz w:val="20"/>
              </w:rPr>
              <w:t>vs.</w:t>
            </w:r>
            <w:r w:rsidRPr="00671D38">
              <w:rPr>
                <w:rFonts w:ascii="Arial Narrow" w:hAnsi="Arial Narrow"/>
                <w:b/>
                <w:iCs/>
                <w:sz w:val="20"/>
              </w:rPr>
              <w:t xml:space="preserve"> PBO+MET</w:t>
            </w:r>
            <w:r w:rsidR="00B15810" w:rsidRPr="00671D38">
              <w:rPr>
                <w:rFonts w:ascii="Arial Narrow" w:hAnsi="Arial Narrow"/>
                <w:b/>
                <w:iCs/>
                <w:sz w:val="20"/>
              </w:rPr>
              <w:t xml:space="preserve"> </w:t>
            </w:r>
            <w:r w:rsidRPr="00671D38">
              <w:rPr>
                <w:rFonts w:ascii="Arial Narrow" w:hAnsi="Arial Narrow"/>
                <w:b/>
                <w:iCs/>
                <w:sz w:val="20"/>
              </w:rPr>
              <w:t>(+OL SITA+MET)</w:t>
            </w:r>
          </w:p>
        </w:tc>
      </w:tr>
      <w:tr w:rsidR="00147D6D" w:rsidRPr="00671D38" w:rsidTr="001003F7">
        <w:tc>
          <w:tcPr>
            <w:tcW w:w="59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Study 1245.10 </w:t>
            </w: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A Phase II, Randomised, Parallel Group Safety, Efficacy, and Pharmacokinetics Study of BI 10773 (1 mg, 5 mg, 10 mg, 25 mg, and 50 mg) Administered Orally Once Daily Over 12 Weeks Compared Double-Blind to Placebo With an Additional Open-label </w:t>
            </w:r>
            <w:proofErr w:type="spellStart"/>
            <w:r w:rsidRPr="00671D38">
              <w:rPr>
                <w:rFonts w:ascii="Arial Narrow" w:hAnsi="Arial Narrow"/>
                <w:sz w:val="20"/>
              </w:rPr>
              <w:t>Sitagliptin</w:t>
            </w:r>
            <w:proofErr w:type="spellEnd"/>
            <w:r w:rsidRPr="00671D38">
              <w:rPr>
                <w:rFonts w:ascii="Arial Narrow" w:hAnsi="Arial Narrow"/>
                <w:sz w:val="20"/>
              </w:rPr>
              <w:t xml:space="preserve"> Arm in Type 2 Diabetic Patients With Insufficient </w:t>
            </w:r>
            <w:r w:rsidR="00727B49" w:rsidRPr="00671D38">
              <w:rPr>
                <w:rFonts w:ascii="Arial Narrow" w:hAnsi="Arial Narrow"/>
                <w:sz w:val="20"/>
              </w:rPr>
              <w:t>Glycaemic</w:t>
            </w:r>
            <w:r w:rsidRPr="00671D38">
              <w:rPr>
                <w:rFonts w:ascii="Arial Narrow" w:hAnsi="Arial Narrow"/>
                <w:sz w:val="20"/>
              </w:rPr>
              <w:t xml:space="preserve"> Control Despite Metformin Therapy. NCT00749190</w:t>
            </w:r>
          </w:p>
        </w:tc>
        <w:tc>
          <w:tcPr>
            <w:tcW w:w="1093" w:type="pct"/>
            <w:tcBorders>
              <w:top w:val="single" w:sz="4" w:space="0" w:color="auto"/>
              <w:left w:val="single" w:sz="4" w:space="0" w:color="auto"/>
              <w:bottom w:val="nil"/>
              <w:right w:val="single" w:sz="4" w:space="0" w:color="auto"/>
            </w:tcBorders>
            <w:hideMark/>
          </w:tcPr>
          <w:p w:rsidR="00147D6D" w:rsidRPr="00671D38" w:rsidRDefault="00147D6D" w:rsidP="00F4721A">
            <w:pPr>
              <w:jc w:val="left"/>
              <w:rPr>
                <w:rFonts w:ascii="Arial Narrow" w:hAnsi="Arial Narrow"/>
                <w:b/>
                <w:sz w:val="20"/>
              </w:rPr>
            </w:pPr>
            <w:r w:rsidRPr="00671D38">
              <w:rPr>
                <w:rFonts w:ascii="Arial Narrow" w:hAnsi="Arial Narrow"/>
                <w:iCs/>
                <w:sz w:val="20"/>
              </w:rPr>
              <w:t>Internal study report September 2010</w:t>
            </w: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Rosenstock</w:t>
            </w:r>
            <w:proofErr w:type="spellEnd"/>
            <w:r w:rsidRPr="00671D38">
              <w:rPr>
                <w:rFonts w:ascii="Arial Narrow" w:hAnsi="Arial Narrow"/>
                <w:sz w:val="20"/>
              </w:rPr>
              <w:t xml:space="preserve"> et al. Efficacy and safety of </w:t>
            </w:r>
            <w:proofErr w:type="spellStart"/>
            <w:r w:rsidRPr="00671D38">
              <w:rPr>
                <w:rFonts w:ascii="Arial Narrow" w:hAnsi="Arial Narrow"/>
                <w:sz w:val="20"/>
              </w:rPr>
              <w:t>empagliflozin</w:t>
            </w:r>
            <w:proofErr w:type="spellEnd"/>
            <w:r w:rsidRPr="00671D38">
              <w:rPr>
                <w:rFonts w:ascii="Arial Narrow" w:hAnsi="Arial Narrow"/>
                <w:sz w:val="20"/>
              </w:rPr>
              <w:t xml:space="preserve">, a sodium glucose </w:t>
            </w:r>
            <w:proofErr w:type="spellStart"/>
            <w:r w:rsidRPr="00671D38">
              <w:rPr>
                <w:rFonts w:ascii="Arial Narrow" w:hAnsi="Arial Narrow"/>
                <w:sz w:val="20"/>
              </w:rPr>
              <w:t>cotransporter</w:t>
            </w:r>
            <w:proofErr w:type="spellEnd"/>
            <w:r w:rsidRPr="00671D38">
              <w:rPr>
                <w:rFonts w:ascii="Arial Narrow" w:hAnsi="Arial Narrow"/>
                <w:sz w:val="20"/>
              </w:rPr>
              <w:t xml:space="preserve"> 2 (SGLT2) inhibitor, as add-on to metformin in type 2 diabetes with mild hyperglycaemia</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sz w:val="20"/>
              </w:rPr>
              <w:t xml:space="preserve">Diabetes </w:t>
            </w:r>
            <w:proofErr w:type="spellStart"/>
            <w:r w:rsidRPr="00671D38">
              <w:rPr>
                <w:rFonts w:ascii="Arial Narrow" w:hAnsi="Arial Narrow"/>
                <w:sz w:val="20"/>
              </w:rPr>
              <w:t>Obes</w:t>
            </w:r>
            <w:proofErr w:type="spellEnd"/>
            <w:r w:rsidRPr="00671D38">
              <w:rPr>
                <w:rFonts w:ascii="Arial Narrow" w:hAnsi="Arial Narrow"/>
                <w:sz w:val="20"/>
              </w:rPr>
              <w:t xml:space="preserve"> </w:t>
            </w:r>
            <w:proofErr w:type="spellStart"/>
            <w:r w:rsidRPr="00671D38">
              <w:rPr>
                <w:rFonts w:ascii="Arial Narrow" w:hAnsi="Arial Narrow"/>
                <w:sz w:val="20"/>
              </w:rPr>
              <w:t>Metab</w:t>
            </w:r>
            <w:proofErr w:type="spellEnd"/>
            <w:r w:rsidRPr="00671D38">
              <w:rPr>
                <w:rFonts w:ascii="Arial Narrow" w:hAnsi="Arial Narrow"/>
                <w:sz w:val="20"/>
              </w:rPr>
              <w:t xml:space="preserve"> 2013; 15(12):1154-60</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iCs/>
                <w:sz w:val="20"/>
              </w:rPr>
              <w:t xml:space="preserve">EMPA+MET </w:t>
            </w:r>
            <w:r w:rsidR="00727B49" w:rsidRPr="00671D38">
              <w:rPr>
                <w:rFonts w:ascii="Arial Narrow" w:hAnsi="Arial Narrow"/>
                <w:b/>
                <w:iCs/>
                <w:sz w:val="20"/>
              </w:rPr>
              <w:t>vs.</w:t>
            </w:r>
            <w:r w:rsidRPr="00671D38">
              <w:rPr>
                <w:rFonts w:ascii="Arial Narrow" w:hAnsi="Arial Narrow"/>
                <w:b/>
                <w:iCs/>
                <w:sz w:val="20"/>
              </w:rPr>
              <w:t xml:space="preserve"> PBO+MET</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Study 1245.23</w:t>
            </w:r>
          </w:p>
          <w:p w:rsidR="00147D6D" w:rsidRPr="00671D38" w:rsidRDefault="00147D6D" w:rsidP="00F4721A">
            <w:pPr>
              <w:tabs>
                <w:tab w:val="left" w:pos="720"/>
              </w:tabs>
              <w:jc w:val="left"/>
              <w:rPr>
                <w:rFonts w:ascii="Arial Narrow" w:hAnsi="Arial Narrow"/>
                <w:sz w:val="20"/>
              </w:rPr>
            </w:pP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Trial 1245.23. A Phase III randomised, double-blind, placebo-controlled, parallel group, efficacy and safety study of BI 10773 (10 mg, 25 mg) administered orally once daily over 24 weeks in patients with type 2 diabetes mellitus with insufficient glycaemic control despite treatment with metformin alone or metformin in combination with a </w:t>
            </w:r>
            <w:proofErr w:type="spellStart"/>
            <w:r w:rsidRPr="00671D38">
              <w:rPr>
                <w:rFonts w:ascii="Arial Narrow" w:hAnsi="Arial Narrow"/>
                <w:sz w:val="20"/>
              </w:rPr>
              <w:t>sulphonylurea</w:t>
            </w:r>
            <w:proofErr w:type="spellEnd"/>
            <w:r w:rsidRPr="00671D38">
              <w:rPr>
                <w:rFonts w:ascii="Arial Narrow" w:hAnsi="Arial Narrow"/>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Internal study report September 2012</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Study 1245.31</w:t>
            </w:r>
          </w:p>
          <w:p w:rsidR="00147D6D" w:rsidRPr="00671D38" w:rsidRDefault="00147D6D" w:rsidP="00F4721A">
            <w:pPr>
              <w:tabs>
                <w:tab w:val="left" w:pos="720"/>
              </w:tabs>
              <w:jc w:val="left"/>
              <w:rPr>
                <w:rFonts w:ascii="Arial Narrow" w:hAnsi="Arial Narrow"/>
                <w:sz w:val="20"/>
              </w:rPr>
            </w:pP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Trial 1245.31. A Phase III double-blind, extension, placebo-controlled parallel group safety and efficacy trial of BI 10773 (10 and 25 mg once daily) and </w:t>
            </w:r>
            <w:proofErr w:type="spellStart"/>
            <w:r w:rsidRPr="00671D38">
              <w:rPr>
                <w:rFonts w:ascii="Arial Narrow" w:hAnsi="Arial Narrow"/>
                <w:sz w:val="20"/>
              </w:rPr>
              <w:t>sitagliptin</w:t>
            </w:r>
            <w:proofErr w:type="spellEnd"/>
            <w:r w:rsidRPr="00671D38">
              <w:rPr>
                <w:rFonts w:ascii="Arial Narrow" w:hAnsi="Arial Narrow"/>
                <w:sz w:val="20"/>
              </w:rPr>
              <w:t xml:space="preserve"> (100 mg once daily) given for minimum 76 weeks (including 24 weeks of preceding trial) as monotherapy or with different background therapies in patients with type 2 diabetes mellitus previously completing trial 1245.19, 1245.20 or 1245.23.</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Internal study report December 2012</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sz w:val="20"/>
              </w:rPr>
              <w:t xml:space="preserve">SITA+MET </w:t>
            </w:r>
            <w:r w:rsidR="00727B49" w:rsidRPr="00671D38">
              <w:rPr>
                <w:rFonts w:ascii="Arial Narrow" w:hAnsi="Arial Narrow"/>
                <w:b/>
                <w:sz w:val="20"/>
              </w:rPr>
              <w:t>vs.</w:t>
            </w:r>
            <w:r w:rsidRPr="00671D38">
              <w:rPr>
                <w:rFonts w:ascii="Arial Narrow" w:hAnsi="Arial Narrow"/>
                <w:b/>
                <w:sz w:val="20"/>
              </w:rPr>
              <w:t xml:space="preserve"> PBO+MET</w:t>
            </w:r>
          </w:p>
        </w:tc>
      </w:tr>
      <w:tr w:rsidR="00147D6D" w:rsidRPr="00671D38" w:rsidTr="001003F7">
        <w:tc>
          <w:tcPr>
            <w:tcW w:w="59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Bergenstal</w:t>
            </w:r>
            <w:proofErr w:type="spellEnd"/>
            <w:r w:rsidRPr="00671D38">
              <w:rPr>
                <w:rFonts w:ascii="Arial Narrow" w:hAnsi="Arial Narrow"/>
                <w:sz w:val="20"/>
              </w:rPr>
              <w:t xml:space="preserve"> 2012</w:t>
            </w: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Bergenstal</w:t>
            </w:r>
            <w:proofErr w:type="spellEnd"/>
            <w:r w:rsidRPr="00671D38">
              <w:rPr>
                <w:rFonts w:ascii="Arial Narrow" w:hAnsi="Arial Narrow"/>
                <w:sz w:val="20"/>
              </w:rPr>
              <w:t xml:space="preserve"> et al. Efficacy and Safety of </w:t>
            </w:r>
            <w:proofErr w:type="spellStart"/>
            <w:r w:rsidRPr="00671D38">
              <w:rPr>
                <w:rFonts w:ascii="Arial Narrow" w:hAnsi="Arial Narrow"/>
                <w:sz w:val="20"/>
              </w:rPr>
              <w:t>Taspoglutide</w:t>
            </w:r>
            <w:proofErr w:type="spellEnd"/>
            <w:r w:rsidRPr="00671D38">
              <w:rPr>
                <w:rFonts w:ascii="Arial Narrow" w:hAnsi="Arial Narrow"/>
                <w:sz w:val="20"/>
              </w:rPr>
              <w:t xml:space="preserve"> Versus </w:t>
            </w:r>
            <w:proofErr w:type="spellStart"/>
            <w:r w:rsidRPr="00671D38">
              <w:rPr>
                <w:rFonts w:ascii="Arial Narrow" w:hAnsi="Arial Narrow"/>
                <w:sz w:val="20"/>
              </w:rPr>
              <w:t>Sitagliptin</w:t>
            </w:r>
            <w:proofErr w:type="spellEnd"/>
            <w:r w:rsidRPr="00671D38">
              <w:rPr>
                <w:rFonts w:ascii="Arial Narrow" w:hAnsi="Arial Narrow"/>
                <w:sz w:val="20"/>
              </w:rPr>
              <w:t xml:space="preserve"> for Type 2 Diabetes Mellitus (T-Emerge 4 Trial). </w:t>
            </w:r>
          </w:p>
        </w:tc>
        <w:tc>
          <w:tcPr>
            <w:tcW w:w="1093" w:type="pct"/>
            <w:tcBorders>
              <w:top w:val="single" w:sz="4" w:space="0" w:color="auto"/>
              <w:left w:val="single" w:sz="4" w:space="0" w:color="auto"/>
              <w:bottom w:val="nil"/>
              <w:right w:val="single" w:sz="4" w:space="0" w:color="auto"/>
            </w:tcBorders>
            <w:hideMark/>
          </w:tcPr>
          <w:p w:rsidR="00147D6D" w:rsidRPr="00671D38" w:rsidRDefault="00147D6D" w:rsidP="00F4721A">
            <w:pPr>
              <w:jc w:val="left"/>
              <w:rPr>
                <w:rFonts w:ascii="Arial Narrow" w:hAnsi="Arial Narrow"/>
                <w:sz w:val="20"/>
              </w:rPr>
            </w:pPr>
            <w:r w:rsidRPr="00671D38">
              <w:rPr>
                <w:rFonts w:ascii="Arial Narrow" w:hAnsi="Arial Narrow"/>
                <w:iCs/>
                <w:sz w:val="20"/>
              </w:rPr>
              <w:t xml:space="preserve">Diabetes </w:t>
            </w:r>
            <w:proofErr w:type="spellStart"/>
            <w:r w:rsidRPr="00671D38">
              <w:rPr>
                <w:rFonts w:ascii="Arial Narrow" w:hAnsi="Arial Narrow"/>
                <w:iCs/>
                <w:sz w:val="20"/>
              </w:rPr>
              <w:t>Ther</w:t>
            </w:r>
            <w:proofErr w:type="spellEnd"/>
            <w:r w:rsidRPr="00671D38">
              <w:rPr>
                <w:rFonts w:ascii="Arial Narrow" w:hAnsi="Arial Narrow"/>
                <w:iCs/>
                <w:sz w:val="20"/>
              </w:rPr>
              <w:t xml:space="preserve"> 2012; 3:13</w:t>
            </w: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Bergenstal</w:t>
            </w:r>
            <w:proofErr w:type="spellEnd"/>
            <w:r w:rsidRPr="00671D38">
              <w:rPr>
                <w:rFonts w:ascii="Arial Narrow" w:hAnsi="Arial Narrow"/>
                <w:sz w:val="20"/>
              </w:rPr>
              <w:t xml:space="preserve"> et al. Once weekly </w:t>
            </w:r>
            <w:proofErr w:type="spellStart"/>
            <w:r w:rsidRPr="00671D38">
              <w:rPr>
                <w:rFonts w:ascii="Arial Narrow" w:hAnsi="Arial Narrow"/>
                <w:sz w:val="20"/>
              </w:rPr>
              <w:t>taspoglutide</w:t>
            </w:r>
            <w:proofErr w:type="spellEnd"/>
            <w:r w:rsidRPr="00671D38">
              <w:rPr>
                <w:rFonts w:ascii="Arial Narrow" w:hAnsi="Arial Narrow"/>
                <w:sz w:val="20"/>
              </w:rPr>
              <w:t xml:space="preserve">, a human GLP-1 </w:t>
            </w:r>
            <w:proofErr w:type="spellStart"/>
            <w:r w:rsidRPr="00671D38">
              <w:rPr>
                <w:rFonts w:ascii="Arial Narrow" w:hAnsi="Arial Narrow"/>
                <w:sz w:val="20"/>
              </w:rPr>
              <w:t>analog</w:t>
            </w:r>
            <w:proofErr w:type="spellEnd"/>
            <w:r w:rsidRPr="00671D38">
              <w:rPr>
                <w:rFonts w:ascii="Arial Narrow" w:hAnsi="Arial Narrow"/>
                <w:sz w:val="20"/>
              </w:rPr>
              <w:t xml:space="preserve">, is superior to </w:t>
            </w:r>
            <w:proofErr w:type="spellStart"/>
            <w:r w:rsidRPr="00671D38">
              <w:rPr>
                <w:rFonts w:ascii="Arial Narrow" w:hAnsi="Arial Narrow"/>
                <w:sz w:val="20"/>
              </w:rPr>
              <w:t>sitagliptin</w:t>
            </w:r>
            <w:proofErr w:type="spellEnd"/>
            <w:r w:rsidRPr="00671D38">
              <w:rPr>
                <w:rFonts w:ascii="Arial Narrow" w:hAnsi="Arial Narrow"/>
                <w:sz w:val="20"/>
              </w:rPr>
              <w:t xml:space="preserve"> in improving </w:t>
            </w:r>
            <w:proofErr w:type="spellStart"/>
            <w:r w:rsidRPr="00671D38">
              <w:rPr>
                <w:rFonts w:ascii="Arial Narrow" w:hAnsi="Arial Narrow"/>
                <w:sz w:val="20"/>
              </w:rPr>
              <w:t>glycemic</w:t>
            </w:r>
            <w:proofErr w:type="spellEnd"/>
            <w:r w:rsidRPr="00671D38">
              <w:rPr>
                <w:rFonts w:ascii="Arial Narrow" w:hAnsi="Arial Narrow"/>
                <w:sz w:val="20"/>
              </w:rPr>
              <w:t xml:space="preserve"> control and weight loss in patients with type 2 diabetes (T2D): results from the T-emerge 4 trial.</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sz w:val="20"/>
              </w:rPr>
            </w:pPr>
            <w:r w:rsidRPr="00671D38">
              <w:rPr>
                <w:rFonts w:ascii="Arial Narrow" w:hAnsi="Arial Narrow"/>
                <w:iCs/>
                <w:sz w:val="20"/>
              </w:rPr>
              <w:t>Diabetes 2010b; 59(</w:t>
            </w:r>
            <w:proofErr w:type="spellStart"/>
            <w:r w:rsidRPr="00671D38">
              <w:rPr>
                <w:rFonts w:ascii="Arial Narrow" w:hAnsi="Arial Narrow"/>
                <w:iCs/>
                <w:sz w:val="20"/>
              </w:rPr>
              <w:t>Suppl</w:t>
            </w:r>
            <w:proofErr w:type="spellEnd"/>
            <w:r w:rsidRPr="00671D38">
              <w:rPr>
                <w:rFonts w:ascii="Arial Narrow" w:hAnsi="Arial Narrow"/>
                <w:iCs/>
                <w:sz w:val="20"/>
              </w:rPr>
              <w:t xml:space="preserve"> 1):A16</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Charbonnel</w:t>
            </w:r>
            <w:proofErr w:type="spellEnd"/>
            <w:r w:rsidRPr="00671D38">
              <w:rPr>
                <w:rFonts w:ascii="Arial Narrow" w:hAnsi="Arial Narrow"/>
                <w:sz w:val="20"/>
              </w:rPr>
              <w:t xml:space="preserve"> 2006</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Charbonnel</w:t>
            </w:r>
            <w:proofErr w:type="spellEnd"/>
            <w:r w:rsidRPr="00671D38">
              <w:rPr>
                <w:rFonts w:ascii="Arial Narrow" w:hAnsi="Arial Narrow"/>
                <w:sz w:val="20"/>
              </w:rPr>
              <w:t xml:space="preserve"> et al. Efficacy and safety of the </w:t>
            </w:r>
            <w:proofErr w:type="spellStart"/>
            <w:r w:rsidRPr="00671D38">
              <w:rPr>
                <w:rFonts w:ascii="Arial Narrow" w:hAnsi="Arial Narrow"/>
                <w:sz w:val="20"/>
              </w:rPr>
              <w:t>dipeptidyl</w:t>
            </w:r>
            <w:proofErr w:type="spellEnd"/>
            <w:r w:rsidRPr="00671D38">
              <w:rPr>
                <w:rFonts w:ascii="Arial Narrow" w:hAnsi="Arial Narrow"/>
                <w:sz w:val="20"/>
              </w:rPr>
              <w:t xml:space="preserve"> peptidase-4 inhibitor </w:t>
            </w:r>
            <w:proofErr w:type="spellStart"/>
            <w:r w:rsidRPr="00671D38">
              <w:rPr>
                <w:rFonts w:ascii="Arial Narrow" w:hAnsi="Arial Narrow"/>
                <w:sz w:val="20"/>
              </w:rPr>
              <w:t>sitagliptin</w:t>
            </w:r>
            <w:proofErr w:type="spellEnd"/>
            <w:r w:rsidRPr="00671D38">
              <w:rPr>
                <w:rFonts w:ascii="Arial Narrow" w:hAnsi="Arial Narrow"/>
                <w:sz w:val="20"/>
              </w:rPr>
              <w:t xml:space="preserve"> added to ongoing metformin therapy in patients with type 2 diabetes inadequately controlled with metformin alone.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Diabetes care 2006;  29:2638-2643</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Nucci</w:t>
            </w:r>
            <w:proofErr w:type="spellEnd"/>
            <w:r w:rsidRPr="00671D38">
              <w:rPr>
                <w:rFonts w:ascii="Arial Narrow" w:hAnsi="Arial Narrow"/>
                <w:sz w:val="20"/>
              </w:rPr>
              <w:t xml:space="preserve"> 2011</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Nucci</w:t>
            </w:r>
            <w:proofErr w:type="spellEnd"/>
            <w:r w:rsidRPr="00671D38">
              <w:rPr>
                <w:rFonts w:ascii="Arial Narrow" w:hAnsi="Arial Narrow"/>
                <w:sz w:val="20"/>
              </w:rPr>
              <w:t xml:space="preserve"> et al. The sodium glucose co-transporter-2 (SGLT2) inhibitor, PF04971729, provides multi-faceted improvements in diabetic patients inadequately controlled on metformin [Abstract].</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proofErr w:type="spellStart"/>
            <w:r w:rsidRPr="00671D38">
              <w:rPr>
                <w:rFonts w:ascii="Arial Narrow" w:hAnsi="Arial Narrow"/>
                <w:iCs/>
                <w:sz w:val="20"/>
              </w:rPr>
              <w:t>Diabetologia</w:t>
            </w:r>
            <w:proofErr w:type="spellEnd"/>
            <w:r w:rsidRPr="00671D38">
              <w:rPr>
                <w:rFonts w:ascii="Arial Narrow" w:hAnsi="Arial Narrow"/>
                <w:iCs/>
                <w:sz w:val="20"/>
              </w:rPr>
              <w:t>. 2011; 54(</w:t>
            </w:r>
            <w:proofErr w:type="spellStart"/>
            <w:r w:rsidRPr="00671D38">
              <w:rPr>
                <w:rFonts w:ascii="Arial Narrow" w:hAnsi="Arial Narrow"/>
                <w:iCs/>
                <w:sz w:val="20"/>
              </w:rPr>
              <w:t>Suppl</w:t>
            </w:r>
            <w:proofErr w:type="spellEnd"/>
            <w:r w:rsidRPr="00671D38">
              <w:rPr>
                <w:rFonts w:ascii="Arial Narrow" w:hAnsi="Arial Narrow"/>
                <w:iCs/>
                <w:sz w:val="20"/>
              </w:rPr>
              <w:t xml:space="preserve"> 1):S347.</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Raz</w:t>
            </w:r>
            <w:proofErr w:type="spellEnd"/>
            <w:r w:rsidRPr="00671D38">
              <w:rPr>
                <w:rFonts w:ascii="Arial Narrow" w:hAnsi="Arial Narrow"/>
                <w:sz w:val="20"/>
              </w:rPr>
              <w:t xml:space="preserve"> 2008</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Raz</w:t>
            </w:r>
            <w:proofErr w:type="spellEnd"/>
            <w:r w:rsidRPr="00671D38">
              <w:rPr>
                <w:rFonts w:ascii="Arial Narrow" w:hAnsi="Arial Narrow"/>
                <w:sz w:val="20"/>
              </w:rPr>
              <w:t xml:space="preserve"> et al. Efficacy and safety of </w:t>
            </w:r>
            <w:proofErr w:type="spellStart"/>
            <w:r w:rsidRPr="00671D38">
              <w:rPr>
                <w:rFonts w:ascii="Arial Narrow" w:hAnsi="Arial Narrow"/>
                <w:sz w:val="20"/>
              </w:rPr>
              <w:t>sitagliptin</w:t>
            </w:r>
            <w:proofErr w:type="spellEnd"/>
            <w:r w:rsidRPr="00671D38">
              <w:rPr>
                <w:rFonts w:ascii="Arial Narrow" w:hAnsi="Arial Narrow"/>
                <w:sz w:val="20"/>
              </w:rPr>
              <w:t xml:space="preserve"> added to ongoing metformin </w:t>
            </w:r>
            <w:r w:rsidRPr="00671D38">
              <w:rPr>
                <w:rFonts w:ascii="Arial Narrow" w:hAnsi="Arial Narrow"/>
                <w:sz w:val="20"/>
              </w:rPr>
              <w:lastRenderedPageBreak/>
              <w:t xml:space="preserve">therapy in patients with type 2 diabetes.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lastRenderedPageBreak/>
              <w:t xml:space="preserve">Current Medical </w:t>
            </w:r>
            <w:r w:rsidRPr="00671D38">
              <w:rPr>
                <w:rFonts w:ascii="Arial Narrow" w:hAnsi="Arial Narrow"/>
                <w:iCs/>
                <w:sz w:val="20"/>
              </w:rPr>
              <w:lastRenderedPageBreak/>
              <w:t>Research and Opinion 2008; 24:537-550.</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lastRenderedPageBreak/>
              <w:t>Scott 2008</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Scott et al. Efficacy and safety of </w:t>
            </w:r>
            <w:proofErr w:type="spellStart"/>
            <w:r w:rsidRPr="00671D38">
              <w:rPr>
                <w:rFonts w:ascii="Arial Narrow" w:hAnsi="Arial Narrow"/>
                <w:sz w:val="20"/>
              </w:rPr>
              <w:t>sitagliptin</w:t>
            </w:r>
            <w:proofErr w:type="spellEnd"/>
            <w:r w:rsidRPr="00671D38">
              <w:rPr>
                <w:rFonts w:ascii="Arial Narrow" w:hAnsi="Arial Narrow"/>
                <w:sz w:val="20"/>
              </w:rPr>
              <w:t xml:space="preserve"> when added to ongoing metformin therapy in patients with type 2 diabetes.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 xml:space="preserve">Diabetes </w:t>
            </w:r>
            <w:proofErr w:type="spellStart"/>
            <w:r w:rsidRPr="00671D38">
              <w:rPr>
                <w:rFonts w:ascii="Arial Narrow" w:hAnsi="Arial Narrow"/>
                <w:iCs/>
                <w:sz w:val="20"/>
              </w:rPr>
              <w:t>Obes</w:t>
            </w:r>
            <w:proofErr w:type="spellEnd"/>
            <w:r w:rsidRPr="00671D38">
              <w:rPr>
                <w:rFonts w:ascii="Arial Narrow" w:hAnsi="Arial Narrow"/>
                <w:iCs/>
                <w:sz w:val="20"/>
              </w:rPr>
              <w:t xml:space="preserve"> Met 2008; 10(10):959-969</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Yang 2012</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Yang et al. The addition of </w:t>
            </w:r>
            <w:proofErr w:type="spellStart"/>
            <w:r w:rsidRPr="00671D38">
              <w:rPr>
                <w:rFonts w:ascii="Arial Narrow" w:hAnsi="Arial Narrow"/>
                <w:sz w:val="20"/>
              </w:rPr>
              <w:t>sitagliptin</w:t>
            </w:r>
            <w:proofErr w:type="spellEnd"/>
            <w:r w:rsidRPr="00671D38">
              <w:rPr>
                <w:rFonts w:ascii="Arial Narrow" w:hAnsi="Arial Narrow"/>
                <w:sz w:val="20"/>
              </w:rPr>
              <w:t xml:space="preserve"> to ongoing metformin therapy significantly improves </w:t>
            </w:r>
            <w:proofErr w:type="spellStart"/>
            <w:r w:rsidRPr="00671D38">
              <w:rPr>
                <w:rFonts w:ascii="Arial Narrow" w:hAnsi="Arial Narrow"/>
                <w:sz w:val="20"/>
              </w:rPr>
              <w:t>glycemic</w:t>
            </w:r>
            <w:proofErr w:type="spellEnd"/>
            <w:r w:rsidRPr="00671D38">
              <w:rPr>
                <w:rFonts w:ascii="Arial Narrow" w:hAnsi="Arial Narrow"/>
                <w:sz w:val="20"/>
              </w:rPr>
              <w:t xml:space="preserve"> control in Chinese patients with type 2 diabetes.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Journal of Diabetes 2012; 4(3):227-237</w:t>
            </w:r>
          </w:p>
        </w:tc>
      </w:tr>
      <w:tr w:rsidR="00147D6D" w:rsidRPr="00671D38" w:rsidTr="001003F7">
        <w:tc>
          <w:tcPr>
            <w:tcW w:w="5000" w:type="pct"/>
            <w:gridSpan w:val="3"/>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b/>
                <w:iCs/>
                <w:sz w:val="20"/>
              </w:rPr>
              <w:t xml:space="preserve">SITA+MET </w:t>
            </w:r>
            <w:r w:rsidR="00727B49" w:rsidRPr="00671D38">
              <w:rPr>
                <w:rFonts w:ascii="Arial Narrow" w:hAnsi="Arial Narrow"/>
                <w:b/>
                <w:iCs/>
                <w:sz w:val="20"/>
              </w:rPr>
              <w:t>vs.</w:t>
            </w:r>
            <w:r w:rsidRPr="00671D38">
              <w:rPr>
                <w:rFonts w:ascii="Arial Narrow" w:hAnsi="Arial Narrow"/>
                <w:b/>
                <w:iCs/>
                <w:sz w:val="20"/>
              </w:rPr>
              <w:t xml:space="preserve"> CANA+MET </w:t>
            </w:r>
            <w:r w:rsidR="00727B49" w:rsidRPr="00671D38">
              <w:rPr>
                <w:rFonts w:ascii="Arial Narrow" w:hAnsi="Arial Narrow"/>
                <w:b/>
                <w:iCs/>
                <w:sz w:val="20"/>
              </w:rPr>
              <w:t>vs.</w:t>
            </w:r>
            <w:r w:rsidRPr="00671D38">
              <w:rPr>
                <w:rFonts w:ascii="Arial Narrow" w:hAnsi="Arial Narrow"/>
                <w:b/>
                <w:iCs/>
                <w:sz w:val="20"/>
              </w:rPr>
              <w:t xml:space="preserve"> PBO+MET</w:t>
            </w:r>
          </w:p>
        </w:tc>
      </w:tr>
      <w:tr w:rsidR="00147D6D" w:rsidRPr="00671D38" w:rsidTr="001003F7">
        <w:tc>
          <w:tcPr>
            <w:tcW w:w="59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CANTATA-D</w:t>
            </w: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A randomised, double-blind, placebo and active-controlled, 4-arm, parallel group, multicentre study to evaluate the efficacy, safety and tolerability of </w:t>
            </w:r>
            <w:proofErr w:type="spellStart"/>
            <w:r w:rsidRPr="00671D38">
              <w:rPr>
                <w:rFonts w:ascii="Arial Narrow" w:hAnsi="Arial Narrow"/>
                <w:sz w:val="20"/>
              </w:rPr>
              <w:t>canagliflozin</w:t>
            </w:r>
            <w:proofErr w:type="spellEnd"/>
            <w:r w:rsidRPr="00671D38">
              <w:rPr>
                <w:rFonts w:ascii="Arial Narrow" w:hAnsi="Arial Narrow"/>
                <w:sz w:val="20"/>
              </w:rPr>
              <w:t xml:space="preserve"> in the treatment of subjects with type 2 diabetes mellitus with inadequate </w:t>
            </w:r>
            <w:proofErr w:type="spellStart"/>
            <w:r w:rsidRPr="00671D38">
              <w:rPr>
                <w:rFonts w:ascii="Arial Narrow" w:hAnsi="Arial Narrow"/>
                <w:sz w:val="20"/>
              </w:rPr>
              <w:t>glycemic</w:t>
            </w:r>
            <w:proofErr w:type="spellEnd"/>
            <w:r w:rsidRPr="00671D38">
              <w:rPr>
                <w:rFonts w:ascii="Arial Narrow" w:hAnsi="Arial Narrow"/>
                <w:sz w:val="20"/>
              </w:rPr>
              <w:t xml:space="preserve"> control on metformin monotherapy. NCT01106677</w:t>
            </w:r>
          </w:p>
        </w:tc>
        <w:tc>
          <w:tcPr>
            <w:tcW w:w="1093" w:type="pct"/>
            <w:tcBorders>
              <w:top w:val="single" w:sz="4" w:space="0" w:color="auto"/>
              <w:left w:val="single" w:sz="4" w:space="0" w:color="auto"/>
              <w:bottom w:val="nil"/>
              <w:right w:val="single" w:sz="4" w:space="0" w:color="auto"/>
            </w:tcBorders>
          </w:tcPr>
          <w:p w:rsidR="00147D6D" w:rsidRPr="00671D38" w:rsidRDefault="00147D6D" w:rsidP="00F4721A">
            <w:pPr>
              <w:jc w:val="left"/>
              <w:rPr>
                <w:rFonts w:ascii="Arial Narrow" w:hAnsi="Arial Narrow"/>
                <w:iCs/>
                <w:sz w:val="20"/>
              </w:rPr>
            </w:pPr>
            <w:r w:rsidRPr="00671D38">
              <w:rPr>
                <w:rFonts w:ascii="Arial Narrow" w:hAnsi="Arial Narrow"/>
                <w:iCs/>
                <w:sz w:val="20"/>
              </w:rPr>
              <w:t>ClinicalTrials.gov</w:t>
            </w:r>
          </w:p>
          <w:p w:rsidR="00147D6D" w:rsidRPr="00671D38" w:rsidRDefault="00147D6D" w:rsidP="00F4721A">
            <w:pPr>
              <w:jc w:val="left"/>
              <w:rPr>
                <w:rFonts w:ascii="Arial Narrow" w:hAnsi="Arial Narrow"/>
                <w:iCs/>
                <w:sz w:val="20"/>
              </w:rPr>
            </w:pPr>
          </w:p>
        </w:tc>
      </w:tr>
      <w:tr w:rsidR="00147D6D" w:rsidRPr="00671D38" w:rsidTr="001003F7">
        <w:tc>
          <w:tcPr>
            <w:tcW w:w="597" w:type="pct"/>
            <w:tcBorders>
              <w:top w:val="nil"/>
              <w:left w:val="single" w:sz="4" w:space="0" w:color="auto"/>
              <w:bottom w:val="nil"/>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Lavalle</w:t>
            </w:r>
            <w:proofErr w:type="spellEnd"/>
            <w:r w:rsidRPr="00671D38">
              <w:rPr>
                <w:rFonts w:ascii="Arial Narrow" w:hAnsi="Arial Narrow"/>
                <w:sz w:val="20"/>
              </w:rPr>
              <w:t xml:space="preserve">-Gonzalez et al. Efficacy and safety of </w:t>
            </w:r>
            <w:proofErr w:type="spellStart"/>
            <w:r w:rsidRPr="00671D38">
              <w:rPr>
                <w:rFonts w:ascii="Arial Narrow" w:hAnsi="Arial Narrow"/>
                <w:sz w:val="20"/>
              </w:rPr>
              <w:t>canagliflozin</w:t>
            </w:r>
            <w:proofErr w:type="spellEnd"/>
            <w:r w:rsidRPr="00671D38">
              <w:rPr>
                <w:rFonts w:ascii="Arial Narrow" w:hAnsi="Arial Narrow"/>
                <w:sz w:val="20"/>
              </w:rPr>
              <w:t xml:space="preserve"> compared with placebo and </w:t>
            </w:r>
            <w:proofErr w:type="spellStart"/>
            <w:r w:rsidRPr="00671D38">
              <w:rPr>
                <w:rFonts w:ascii="Arial Narrow" w:hAnsi="Arial Narrow"/>
                <w:sz w:val="20"/>
              </w:rPr>
              <w:t>sitagliptin</w:t>
            </w:r>
            <w:proofErr w:type="spellEnd"/>
            <w:r w:rsidRPr="00671D38">
              <w:rPr>
                <w:rFonts w:ascii="Arial Narrow" w:hAnsi="Arial Narrow"/>
                <w:sz w:val="20"/>
              </w:rPr>
              <w:t xml:space="preserve"> in patients with type 2 diabetes on background metformin monotherapy: a randomised trial.</w:t>
            </w:r>
          </w:p>
        </w:tc>
        <w:tc>
          <w:tcPr>
            <w:tcW w:w="1093" w:type="pct"/>
            <w:tcBorders>
              <w:top w:val="nil"/>
              <w:left w:val="single" w:sz="4" w:space="0" w:color="auto"/>
              <w:bottom w:val="nil"/>
              <w:right w:val="single" w:sz="4" w:space="0" w:color="auto"/>
            </w:tcBorders>
            <w:hideMark/>
          </w:tcPr>
          <w:p w:rsidR="00147D6D" w:rsidRPr="00671D38" w:rsidRDefault="00147D6D" w:rsidP="00F4721A">
            <w:pPr>
              <w:jc w:val="left"/>
              <w:rPr>
                <w:rFonts w:ascii="Arial Narrow" w:hAnsi="Arial Narrow"/>
                <w:iCs/>
                <w:sz w:val="20"/>
              </w:rPr>
            </w:pPr>
            <w:proofErr w:type="spellStart"/>
            <w:r w:rsidRPr="00671D38">
              <w:rPr>
                <w:rFonts w:ascii="Arial Narrow" w:hAnsi="Arial Narrow"/>
                <w:iCs/>
                <w:sz w:val="20"/>
              </w:rPr>
              <w:t>Diabetologia</w:t>
            </w:r>
            <w:proofErr w:type="spellEnd"/>
            <w:r w:rsidRPr="00671D38">
              <w:rPr>
                <w:rFonts w:ascii="Arial Narrow" w:hAnsi="Arial Narrow"/>
                <w:iCs/>
                <w:sz w:val="20"/>
              </w:rPr>
              <w:t xml:space="preserve"> 2013; 56:2582–2592.</w:t>
            </w:r>
          </w:p>
        </w:tc>
      </w:tr>
      <w:tr w:rsidR="00147D6D" w:rsidRPr="00671D38" w:rsidTr="001003F7">
        <w:tc>
          <w:tcPr>
            <w:tcW w:w="597" w:type="pct"/>
            <w:tcBorders>
              <w:top w:val="nil"/>
              <w:left w:val="single" w:sz="4" w:space="0" w:color="auto"/>
              <w:bottom w:val="nil"/>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Nicolle, L. E., Capuano, G., Ways, K., &amp; </w:t>
            </w:r>
            <w:proofErr w:type="spellStart"/>
            <w:r w:rsidRPr="00671D38">
              <w:rPr>
                <w:rFonts w:ascii="Arial Narrow" w:hAnsi="Arial Narrow"/>
                <w:sz w:val="20"/>
              </w:rPr>
              <w:t>Usiskin</w:t>
            </w:r>
            <w:proofErr w:type="spellEnd"/>
            <w:r w:rsidRPr="00671D38">
              <w:rPr>
                <w:rFonts w:ascii="Arial Narrow" w:hAnsi="Arial Narrow"/>
                <w:sz w:val="20"/>
              </w:rPr>
              <w:t xml:space="preserve">, K. Effect of </w:t>
            </w:r>
            <w:proofErr w:type="spellStart"/>
            <w:r w:rsidRPr="00671D38">
              <w:rPr>
                <w:rFonts w:ascii="Arial Narrow" w:hAnsi="Arial Narrow"/>
                <w:sz w:val="20"/>
              </w:rPr>
              <w:t>canagliflozin</w:t>
            </w:r>
            <w:proofErr w:type="spellEnd"/>
            <w:r w:rsidRPr="00671D38">
              <w:rPr>
                <w:rFonts w:ascii="Arial Narrow" w:hAnsi="Arial Narrow"/>
                <w:sz w:val="20"/>
              </w:rPr>
              <w:t xml:space="preserve">, a sodium glucose co-transporter 2 (SGLT2) inhibitor, on </w:t>
            </w:r>
            <w:proofErr w:type="spellStart"/>
            <w:r w:rsidRPr="00671D38">
              <w:rPr>
                <w:rFonts w:ascii="Arial Narrow" w:hAnsi="Arial Narrow"/>
                <w:sz w:val="20"/>
              </w:rPr>
              <w:t>bacteriuria</w:t>
            </w:r>
            <w:proofErr w:type="spellEnd"/>
            <w:r w:rsidRPr="00671D38">
              <w:rPr>
                <w:rFonts w:ascii="Arial Narrow" w:hAnsi="Arial Narrow"/>
                <w:sz w:val="20"/>
              </w:rPr>
              <w:t xml:space="preserve"> and urinary tract infection in subjects with type 2 diabetes enrolled in a 12-week, phase 2 study. </w:t>
            </w:r>
          </w:p>
        </w:tc>
        <w:tc>
          <w:tcPr>
            <w:tcW w:w="1093" w:type="pct"/>
            <w:tcBorders>
              <w:top w:val="nil"/>
              <w:left w:val="single" w:sz="4" w:space="0" w:color="auto"/>
              <w:bottom w:val="nil"/>
              <w:right w:val="single" w:sz="4" w:space="0" w:color="auto"/>
            </w:tcBorders>
          </w:tcPr>
          <w:p w:rsidR="00147D6D" w:rsidRPr="00671D38" w:rsidRDefault="00147D6D" w:rsidP="00F4721A">
            <w:pPr>
              <w:jc w:val="left"/>
              <w:rPr>
                <w:rFonts w:ascii="Arial Narrow" w:hAnsi="Arial Narrow"/>
                <w:iCs/>
                <w:sz w:val="20"/>
              </w:rPr>
            </w:pPr>
            <w:r w:rsidRPr="00671D38">
              <w:rPr>
                <w:rFonts w:ascii="Arial Narrow" w:hAnsi="Arial Narrow"/>
                <w:iCs/>
                <w:sz w:val="20"/>
              </w:rPr>
              <w:t>Current Medical Research and Opinion 2012; 28(7):1167-1171.</w:t>
            </w:r>
          </w:p>
          <w:p w:rsidR="00147D6D" w:rsidRPr="00671D38" w:rsidRDefault="00147D6D" w:rsidP="00F4721A">
            <w:pPr>
              <w:jc w:val="left"/>
              <w:rPr>
                <w:rFonts w:ascii="Arial Narrow" w:hAnsi="Arial Narrow"/>
                <w:iCs/>
                <w:sz w:val="20"/>
              </w:rPr>
            </w:pP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Nyirjesy</w:t>
            </w:r>
            <w:proofErr w:type="spellEnd"/>
            <w:r w:rsidRPr="00671D38">
              <w:rPr>
                <w:rFonts w:ascii="Arial Narrow" w:hAnsi="Arial Narrow"/>
                <w:sz w:val="20"/>
              </w:rPr>
              <w:t xml:space="preserve"> et al. Evaluation of </w:t>
            </w:r>
            <w:proofErr w:type="spellStart"/>
            <w:r w:rsidRPr="00671D38">
              <w:rPr>
                <w:rFonts w:ascii="Arial Narrow" w:hAnsi="Arial Narrow"/>
                <w:sz w:val="20"/>
              </w:rPr>
              <w:t>vulvovaginal</w:t>
            </w:r>
            <w:proofErr w:type="spellEnd"/>
            <w:r w:rsidRPr="00671D38">
              <w:rPr>
                <w:rFonts w:ascii="Arial Narrow" w:hAnsi="Arial Narrow"/>
                <w:sz w:val="20"/>
              </w:rPr>
              <w:t xml:space="preserve"> symptoms and Candida colonization in women with type 2 diabetes mellitus treated with </w:t>
            </w:r>
            <w:proofErr w:type="spellStart"/>
            <w:r w:rsidRPr="00671D38">
              <w:rPr>
                <w:rFonts w:ascii="Arial Narrow" w:hAnsi="Arial Narrow"/>
                <w:sz w:val="20"/>
              </w:rPr>
              <w:t>canagliflozin</w:t>
            </w:r>
            <w:proofErr w:type="spellEnd"/>
            <w:r w:rsidRPr="00671D38">
              <w:rPr>
                <w:rFonts w:ascii="Arial Narrow" w:hAnsi="Arial Narrow"/>
                <w:sz w:val="20"/>
              </w:rPr>
              <w:t xml:space="preserve">, a sodium glucose co-transporter 2 inhibitor. </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Current Medical Research and Opinion 2012; 28(7):</w:t>
            </w:r>
            <w:r w:rsidRPr="00671D38">
              <w:rPr>
                <w:rFonts w:ascii="Arial Narrow" w:hAnsi="Arial Narrow"/>
                <w:sz w:val="20"/>
              </w:rPr>
              <w:t xml:space="preserve"> 1173-1178.</w:t>
            </w:r>
          </w:p>
        </w:tc>
      </w:tr>
      <w:tr w:rsidR="00147D6D" w:rsidRPr="00671D38" w:rsidTr="001003F7">
        <w:tc>
          <w:tcPr>
            <w:tcW w:w="597"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Rosenstock</w:t>
            </w:r>
            <w:proofErr w:type="spellEnd"/>
            <w:r w:rsidRPr="00671D38">
              <w:rPr>
                <w:rFonts w:ascii="Arial Narrow" w:hAnsi="Arial Narrow"/>
                <w:sz w:val="20"/>
              </w:rPr>
              <w:t xml:space="preserve"> 2012</w:t>
            </w: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Rosenstock</w:t>
            </w:r>
            <w:proofErr w:type="spellEnd"/>
            <w:r w:rsidRPr="00671D38">
              <w:rPr>
                <w:rFonts w:ascii="Arial Narrow" w:hAnsi="Arial Narrow"/>
                <w:sz w:val="20"/>
              </w:rPr>
              <w:t xml:space="preserve"> et al. Dose-ranging effects of </w:t>
            </w:r>
            <w:proofErr w:type="spellStart"/>
            <w:r w:rsidRPr="00671D38">
              <w:rPr>
                <w:rFonts w:ascii="Arial Narrow" w:hAnsi="Arial Narrow"/>
                <w:sz w:val="20"/>
              </w:rPr>
              <w:t>canagliflozin</w:t>
            </w:r>
            <w:proofErr w:type="spellEnd"/>
            <w:r w:rsidRPr="00671D38">
              <w:rPr>
                <w:rFonts w:ascii="Arial Narrow" w:hAnsi="Arial Narrow"/>
                <w:sz w:val="20"/>
              </w:rPr>
              <w:t xml:space="preserve">, a sodium-glucose </w:t>
            </w:r>
            <w:proofErr w:type="spellStart"/>
            <w:r w:rsidRPr="00671D38">
              <w:rPr>
                <w:rFonts w:ascii="Arial Narrow" w:hAnsi="Arial Narrow"/>
                <w:sz w:val="20"/>
              </w:rPr>
              <w:t>cotransporter</w:t>
            </w:r>
            <w:proofErr w:type="spellEnd"/>
            <w:r w:rsidRPr="00671D38">
              <w:rPr>
                <w:rFonts w:ascii="Arial Narrow" w:hAnsi="Arial Narrow"/>
                <w:sz w:val="20"/>
              </w:rPr>
              <w:t xml:space="preserve"> 2 inhibitor, as add-on to metformin in subjects with type 2 diabetes.</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Diabetes Care 2012; 35:1232–1238.</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iCs/>
                <w:sz w:val="20"/>
              </w:rPr>
              <w:t xml:space="preserve">DAPA+MET </w:t>
            </w:r>
            <w:r w:rsidR="00727B49" w:rsidRPr="00671D38">
              <w:rPr>
                <w:rFonts w:ascii="Arial Narrow" w:hAnsi="Arial Narrow"/>
                <w:b/>
                <w:iCs/>
                <w:sz w:val="20"/>
              </w:rPr>
              <w:t>vs.</w:t>
            </w:r>
            <w:r w:rsidRPr="00671D38">
              <w:rPr>
                <w:rFonts w:ascii="Arial Narrow" w:hAnsi="Arial Narrow"/>
                <w:b/>
                <w:iCs/>
                <w:sz w:val="20"/>
              </w:rPr>
              <w:t xml:space="preserve"> PBO+MET</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Study CT-003 </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A 16-week, multicentre, randomised, double-blind, placebo-controlled </w:t>
            </w:r>
            <w:r w:rsidR="00B125DD" w:rsidRPr="00671D38">
              <w:rPr>
                <w:rFonts w:ascii="Arial Narrow" w:hAnsi="Arial Narrow"/>
                <w:sz w:val="20"/>
              </w:rPr>
              <w:t>phase</w:t>
            </w:r>
            <w:r w:rsidRPr="00671D38">
              <w:rPr>
                <w:rFonts w:ascii="Arial Narrow" w:hAnsi="Arial Narrow"/>
                <w:sz w:val="20"/>
              </w:rPr>
              <w:t xml:space="preserve"> III study to evaluate the safety and efficacy of </w:t>
            </w:r>
            <w:proofErr w:type="spellStart"/>
            <w:r w:rsidRPr="00671D38">
              <w:rPr>
                <w:rFonts w:ascii="Arial Narrow" w:hAnsi="Arial Narrow"/>
                <w:sz w:val="20"/>
              </w:rPr>
              <w:t>dapagliflozin</w:t>
            </w:r>
            <w:proofErr w:type="spellEnd"/>
            <w:r w:rsidRPr="00671D38">
              <w:rPr>
                <w:rFonts w:ascii="Arial Narrow" w:hAnsi="Arial Narrow"/>
                <w:sz w:val="20"/>
              </w:rPr>
              <w:t xml:space="preserve"> 2.5 mg BID, 5 mg BI and 10 mg QD versus placebo in patients with type 2 diabetes who are inadequately controlled on metformin-IR monotherapy (NCT01217892)</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ClinicalTrials.gov</w:t>
            </w:r>
          </w:p>
        </w:tc>
      </w:tr>
      <w:tr w:rsidR="00147D6D" w:rsidRPr="00671D38" w:rsidTr="001003F7">
        <w:tc>
          <w:tcPr>
            <w:tcW w:w="597" w:type="pct"/>
            <w:tcBorders>
              <w:top w:val="single" w:sz="4" w:space="0" w:color="auto"/>
              <w:left w:val="single" w:sz="4" w:space="0" w:color="auto"/>
              <w:bottom w:val="nil"/>
              <w:right w:val="single" w:sz="4" w:space="0" w:color="auto"/>
            </w:tcBorders>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Study CT-012</w:t>
            </w:r>
          </w:p>
          <w:p w:rsidR="00147D6D" w:rsidRPr="00671D38" w:rsidRDefault="00147D6D" w:rsidP="00F4721A">
            <w:pPr>
              <w:tabs>
                <w:tab w:val="left" w:pos="720"/>
              </w:tabs>
              <w:jc w:val="left"/>
              <w:rPr>
                <w:rFonts w:ascii="Arial Narrow" w:hAnsi="Arial Narrow"/>
                <w:sz w:val="20"/>
              </w:rPr>
            </w:pP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A 24-week</w:t>
            </w:r>
            <w:r w:rsidR="00727B49" w:rsidRPr="00671D38">
              <w:rPr>
                <w:rFonts w:ascii="Arial Narrow" w:hAnsi="Arial Narrow"/>
                <w:sz w:val="20"/>
              </w:rPr>
              <w:t>, Multicentre,</w:t>
            </w:r>
            <w:proofErr w:type="spellStart"/>
            <w:r w:rsidR="00727B49" w:rsidRPr="00671D38">
              <w:rPr>
                <w:rFonts w:ascii="Arial Narrow" w:hAnsi="Arial Narrow"/>
                <w:sz w:val="20"/>
              </w:rPr>
              <w:t>Int</w:t>
            </w:r>
            <w:proofErr w:type="spellEnd"/>
            <w:r w:rsidRPr="00671D38">
              <w:rPr>
                <w:rFonts w:ascii="Arial Narrow" w:hAnsi="Arial Narrow"/>
                <w:sz w:val="20"/>
              </w:rPr>
              <w:t xml:space="preserve">.,Double </w:t>
            </w:r>
            <w:proofErr w:type="spellStart"/>
            <w:r w:rsidRPr="00671D38">
              <w:rPr>
                <w:rFonts w:ascii="Arial Narrow" w:hAnsi="Arial Narrow"/>
                <w:sz w:val="20"/>
              </w:rPr>
              <w:t>blind,Rand.,Parallel</w:t>
            </w:r>
            <w:proofErr w:type="spellEnd"/>
            <w:r w:rsidRPr="00671D38">
              <w:rPr>
                <w:rFonts w:ascii="Arial Narrow" w:hAnsi="Arial Narrow"/>
                <w:sz w:val="20"/>
              </w:rPr>
              <w:t xml:space="preserve"> </w:t>
            </w:r>
            <w:proofErr w:type="spellStart"/>
            <w:r w:rsidRPr="00671D38">
              <w:rPr>
                <w:rFonts w:ascii="Arial Narrow" w:hAnsi="Arial Narrow"/>
                <w:sz w:val="20"/>
              </w:rPr>
              <w:t>group,Plac</w:t>
            </w:r>
            <w:proofErr w:type="spellEnd"/>
            <w:r w:rsidRPr="00671D38">
              <w:rPr>
                <w:rFonts w:ascii="Arial Narrow" w:hAnsi="Arial Narrow"/>
                <w:sz w:val="20"/>
              </w:rPr>
              <w:t>.-</w:t>
            </w:r>
            <w:r w:rsidR="00727B49" w:rsidRPr="00671D38">
              <w:rPr>
                <w:rFonts w:ascii="Arial Narrow" w:hAnsi="Arial Narrow"/>
                <w:sz w:val="20"/>
              </w:rPr>
              <w:t>Controlled, Phase</w:t>
            </w:r>
            <w:r w:rsidRPr="00671D38">
              <w:rPr>
                <w:rFonts w:ascii="Arial Narrow" w:hAnsi="Arial Narrow"/>
                <w:sz w:val="20"/>
              </w:rPr>
              <w:t xml:space="preserve"> III Study With a 78-week </w:t>
            </w:r>
            <w:proofErr w:type="spellStart"/>
            <w:r w:rsidRPr="00671D38">
              <w:rPr>
                <w:rFonts w:ascii="Arial Narrow" w:hAnsi="Arial Narrow"/>
                <w:sz w:val="20"/>
              </w:rPr>
              <w:t>Ext.Per</w:t>
            </w:r>
            <w:proofErr w:type="spellEnd"/>
            <w:r w:rsidRPr="00671D38">
              <w:rPr>
                <w:rFonts w:ascii="Arial Narrow" w:hAnsi="Arial Narrow"/>
                <w:sz w:val="20"/>
              </w:rPr>
              <w:t xml:space="preserve">. to Evaluate the Effect of </w:t>
            </w:r>
            <w:proofErr w:type="spellStart"/>
            <w:r w:rsidRPr="00671D38">
              <w:rPr>
                <w:rFonts w:ascii="Arial Narrow" w:hAnsi="Arial Narrow"/>
                <w:sz w:val="20"/>
              </w:rPr>
              <w:t>Dapagliflozin</w:t>
            </w:r>
            <w:proofErr w:type="spellEnd"/>
            <w:r w:rsidRPr="00671D38">
              <w:rPr>
                <w:rFonts w:ascii="Arial Narrow" w:hAnsi="Arial Narrow"/>
                <w:sz w:val="20"/>
              </w:rPr>
              <w:t xml:space="preserve"> in Combination With Metformin on Body Weight in Subjects With Type2 Diabetes Mellitus Who Have Inadequate </w:t>
            </w:r>
            <w:proofErr w:type="spellStart"/>
            <w:r w:rsidRPr="00671D38">
              <w:rPr>
                <w:rFonts w:ascii="Arial Narrow" w:hAnsi="Arial Narrow"/>
                <w:sz w:val="20"/>
              </w:rPr>
              <w:t>Glycemic</w:t>
            </w:r>
            <w:proofErr w:type="spellEnd"/>
            <w:r w:rsidRPr="00671D38">
              <w:rPr>
                <w:rFonts w:ascii="Arial Narrow" w:hAnsi="Arial Narrow"/>
                <w:sz w:val="20"/>
              </w:rPr>
              <w:t xml:space="preserve"> Control on Metformin Alone. NCT00855166.</w:t>
            </w:r>
          </w:p>
        </w:tc>
        <w:tc>
          <w:tcPr>
            <w:tcW w:w="1093" w:type="pct"/>
            <w:tcBorders>
              <w:top w:val="single" w:sz="4" w:space="0" w:color="auto"/>
              <w:left w:val="single" w:sz="4" w:space="0" w:color="auto"/>
              <w:bottom w:val="nil"/>
              <w:right w:val="single" w:sz="4" w:space="0" w:color="auto"/>
            </w:tcBorders>
            <w:hideMark/>
          </w:tcPr>
          <w:p w:rsidR="00147D6D" w:rsidRPr="00671D38" w:rsidRDefault="00147D6D" w:rsidP="00F4721A">
            <w:pPr>
              <w:jc w:val="left"/>
              <w:rPr>
                <w:rFonts w:ascii="Arial Narrow" w:hAnsi="Arial Narrow"/>
                <w:sz w:val="20"/>
              </w:rPr>
            </w:pPr>
            <w:r w:rsidRPr="00671D38">
              <w:rPr>
                <w:rFonts w:ascii="Arial Narrow" w:hAnsi="Arial Narrow"/>
                <w:sz w:val="20"/>
              </w:rPr>
              <w:t>ClinicalTrials.gov</w:t>
            </w:r>
          </w:p>
        </w:tc>
      </w:tr>
      <w:tr w:rsidR="00147D6D" w:rsidRPr="00671D38" w:rsidTr="001003F7">
        <w:tc>
          <w:tcPr>
            <w:tcW w:w="597" w:type="pct"/>
            <w:tcBorders>
              <w:top w:val="nil"/>
              <w:left w:val="single" w:sz="4" w:space="0" w:color="auto"/>
              <w:bottom w:val="nil"/>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Bolinder</w:t>
            </w:r>
            <w:proofErr w:type="spellEnd"/>
            <w:r w:rsidRPr="00671D38">
              <w:rPr>
                <w:rFonts w:ascii="Arial Narrow" w:hAnsi="Arial Narrow"/>
                <w:sz w:val="20"/>
              </w:rPr>
              <w:t xml:space="preserve"> et al. Effects of </w:t>
            </w:r>
            <w:proofErr w:type="spellStart"/>
            <w:r w:rsidRPr="00671D38">
              <w:rPr>
                <w:rFonts w:ascii="Arial Narrow" w:hAnsi="Arial Narrow"/>
                <w:sz w:val="20"/>
              </w:rPr>
              <w:t>dapagliflozin</w:t>
            </w:r>
            <w:proofErr w:type="spellEnd"/>
            <w:r w:rsidRPr="00671D38">
              <w:rPr>
                <w:rFonts w:ascii="Arial Narrow" w:hAnsi="Arial Narrow"/>
                <w:sz w:val="20"/>
              </w:rPr>
              <w:t xml:space="preserve"> on body weight, total fat mass, and regional adipose tissue distribution in patients with type 2 diabetes mellitus with inadequate </w:t>
            </w:r>
            <w:proofErr w:type="spellStart"/>
            <w:r w:rsidRPr="00671D38">
              <w:rPr>
                <w:rFonts w:ascii="Arial Narrow" w:hAnsi="Arial Narrow"/>
                <w:sz w:val="20"/>
              </w:rPr>
              <w:t>glycemic</w:t>
            </w:r>
            <w:proofErr w:type="spellEnd"/>
            <w:r w:rsidRPr="00671D38">
              <w:rPr>
                <w:rFonts w:ascii="Arial Narrow" w:hAnsi="Arial Narrow"/>
                <w:sz w:val="20"/>
              </w:rPr>
              <w:t xml:space="preserve"> control on metformin.</w:t>
            </w:r>
          </w:p>
        </w:tc>
        <w:tc>
          <w:tcPr>
            <w:tcW w:w="1093" w:type="pct"/>
            <w:tcBorders>
              <w:top w:val="nil"/>
              <w:left w:val="single" w:sz="4" w:space="0" w:color="auto"/>
              <w:bottom w:val="nil"/>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sz w:val="20"/>
              </w:rPr>
              <w:t xml:space="preserve">J </w:t>
            </w:r>
            <w:proofErr w:type="spellStart"/>
            <w:r w:rsidRPr="00671D38">
              <w:rPr>
                <w:rFonts w:ascii="Arial Narrow" w:hAnsi="Arial Narrow"/>
                <w:sz w:val="20"/>
              </w:rPr>
              <w:t>Clin</w:t>
            </w:r>
            <w:proofErr w:type="spellEnd"/>
            <w:r w:rsidRPr="00671D38">
              <w:rPr>
                <w:rFonts w:ascii="Arial Narrow" w:hAnsi="Arial Narrow"/>
                <w:sz w:val="20"/>
              </w:rPr>
              <w:t xml:space="preserve"> </w:t>
            </w:r>
            <w:proofErr w:type="spellStart"/>
            <w:r w:rsidRPr="00671D38">
              <w:rPr>
                <w:rFonts w:ascii="Arial Narrow" w:hAnsi="Arial Narrow"/>
                <w:sz w:val="20"/>
              </w:rPr>
              <w:t>Endocrinol</w:t>
            </w:r>
            <w:proofErr w:type="spellEnd"/>
            <w:r w:rsidRPr="00671D38">
              <w:rPr>
                <w:rFonts w:ascii="Arial Narrow" w:hAnsi="Arial Narrow"/>
                <w:sz w:val="20"/>
              </w:rPr>
              <w:t xml:space="preserve"> </w:t>
            </w:r>
            <w:proofErr w:type="spellStart"/>
            <w:r w:rsidRPr="00671D38">
              <w:rPr>
                <w:rFonts w:ascii="Arial Narrow" w:hAnsi="Arial Narrow"/>
                <w:sz w:val="20"/>
              </w:rPr>
              <w:t>Metab</w:t>
            </w:r>
            <w:proofErr w:type="spellEnd"/>
            <w:r w:rsidRPr="00671D38">
              <w:rPr>
                <w:rFonts w:ascii="Arial Narrow" w:hAnsi="Arial Narrow"/>
                <w:sz w:val="20"/>
              </w:rPr>
              <w:t>. 2012; 97:1020- 31</w:t>
            </w:r>
          </w:p>
        </w:tc>
      </w:tr>
      <w:tr w:rsidR="00147D6D" w:rsidRPr="00671D38" w:rsidTr="001003F7">
        <w:tc>
          <w:tcPr>
            <w:tcW w:w="597" w:type="pct"/>
            <w:tcBorders>
              <w:top w:val="nil"/>
              <w:left w:val="single" w:sz="4" w:space="0" w:color="auto"/>
              <w:bottom w:val="nil"/>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Ljunggren</w:t>
            </w:r>
            <w:proofErr w:type="spellEnd"/>
            <w:r w:rsidRPr="00671D38">
              <w:rPr>
                <w:rFonts w:ascii="Arial Narrow" w:hAnsi="Arial Narrow"/>
                <w:sz w:val="20"/>
              </w:rPr>
              <w:t xml:space="preserve"> et al. </w:t>
            </w:r>
            <w:proofErr w:type="spellStart"/>
            <w:r w:rsidRPr="00671D38">
              <w:rPr>
                <w:rFonts w:ascii="Arial Narrow" w:hAnsi="Arial Narrow"/>
                <w:sz w:val="20"/>
              </w:rPr>
              <w:t>Dapagliflozin</w:t>
            </w:r>
            <w:proofErr w:type="spellEnd"/>
            <w:r w:rsidRPr="00671D38">
              <w:rPr>
                <w:rFonts w:ascii="Arial Narrow" w:hAnsi="Arial Narrow"/>
                <w:sz w:val="20"/>
              </w:rPr>
              <w:t xml:space="preserve"> has no effect on markers of bone formation and </w:t>
            </w:r>
            <w:proofErr w:type="spellStart"/>
            <w:r w:rsidRPr="00671D38">
              <w:rPr>
                <w:rFonts w:ascii="Arial Narrow" w:hAnsi="Arial Narrow"/>
                <w:sz w:val="20"/>
              </w:rPr>
              <w:t>resorption</w:t>
            </w:r>
            <w:proofErr w:type="spellEnd"/>
            <w:r w:rsidRPr="00671D38">
              <w:rPr>
                <w:rFonts w:ascii="Arial Narrow" w:hAnsi="Arial Narrow"/>
                <w:sz w:val="20"/>
              </w:rPr>
              <w:t xml:space="preserve"> or bone mineral density in patients with inadequately controlled type 2 diabetes mellitus on metformin.</w:t>
            </w:r>
          </w:p>
        </w:tc>
        <w:tc>
          <w:tcPr>
            <w:tcW w:w="1093" w:type="pct"/>
            <w:tcBorders>
              <w:top w:val="nil"/>
              <w:left w:val="single" w:sz="4" w:space="0" w:color="auto"/>
              <w:bottom w:val="nil"/>
              <w:right w:val="single" w:sz="4" w:space="0" w:color="auto"/>
            </w:tcBorders>
          </w:tcPr>
          <w:p w:rsidR="00147D6D" w:rsidRPr="00671D38" w:rsidRDefault="00147D6D" w:rsidP="00F4721A">
            <w:pPr>
              <w:jc w:val="left"/>
              <w:rPr>
                <w:rFonts w:ascii="Arial Narrow" w:hAnsi="Arial Narrow"/>
                <w:iCs/>
                <w:sz w:val="20"/>
              </w:rPr>
            </w:pPr>
            <w:r w:rsidRPr="00671D38">
              <w:rPr>
                <w:rFonts w:ascii="Arial Narrow" w:hAnsi="Arial Narrow"/>
                <w:iCs/>
                <w:sz w:val="20"/>
              </w:rPr>
              <w:t xml:space="preserve">Diabetes </w:t>
            </w:r>
            <w:proofErr w:type="spellStart"/>
            <w:r w:rsidRPr="00671D38">
              <w:rPr>
                <w:rFonts w:ascii="Arial Narrow" w:hAnsi="Arial Narrow"/>
                <w:iCs/>
                <w:sz w:val="20"/>
              </w:rPr>
              <w:t>Obes</w:t>
            </w:r>
            <w:proofErr w:type="spellEnd"/>
            <w:r w:rsidRPr="00671D38">
              <w:rPr>
                <w:rFonts w:ascii="Arial Narrow" w:hAnsi="Arial Narrow"/>
                <w:iCs/>
                <w:sz w:val="20"/>
              </w:rPr>
              <w:t xml:space="preserve"> </w:t>
            </w:r>
            <w:proofErr w:type="spellStart"/>
            <w:r w:rsidRPr="00671D38">
              <w:rPr>
                <w:rFonts w:ascii="Arial Narrow" w:hAnsi="Arial Narrow"/>
                <w:iCs/>
                <w:sz w:val="20"/>
              </w:rPr>
              <w:t>Metab</w:t>
            </w:r>
            <w:proofErr w:type="spellEnd"/>
            <w:r w:rsidRPr="00671D38">
              <w:rPr>
                <w:rFonts w:ascii="Arial Narrow" w:hAnsi="Arial Narrow"/>
                <w:iCs/>
                <w:sz w:val="20"/>
              </w:rPr>
              <w:t xml:space="preserve"> 2012;14:990-9</w:t>
            </w:r>
          </w:p>
          <w:p w:rsidR="00147D6D" w:rsidRPr="00671D38" w:rsidRDefault="00147D6D" w:rsidP="00F4721A">
            <w:pPr>
              <w:jc w:val="left"/>
              <w:rPr>
                <w:rFonts w:ascii="Arial Narrow" w:hAnsi="Arial Narrow"/>
                <w:iCs/>
                <w:sz w:val="20"/>
              </w:rPr>
            </w:pP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Bolinder</w:t>
            </w:r>
            <w:proofErr w:type="spellEnd"/>
            <w:r w:rsidRPr="00671D38">
              <w:rPr>
                <w:rFonts w:ascii="Arial Narrow" w:hAnsi="Arial Narrow"/>
                <w:sz w:val="20"/>
              </w:rPr>
              <w:t xml:space="preserve"> et al. </w:t>
            </w:r>
            <w:proofErr w:type="spellStart"/>
            <w:r w:rsidRPr="00671D38">
              <w:rPr>
                <w:rFonts w:ascii="Arial Narrow" w:hAnsi="Arial Narrow"/>
                <w:sz w:val="20"/>
              </w:rPr>
              <w:t>Dapagliflozin</w:t>
            </w:r>
            <w:proofErr w:type="spellEnd"/>
            <w:r w:rsidRPr="00671D38">
              <w:rPr>
                <w:rFonts w:ascii="Arial Narrow" w:hAnsi="Arial Narrow"/>
                <w:sz w:val="20"/>
              </w:rPr>
              <w:t xml:space="preserve"> maintains glycaemic control while reducing weight and body fat mass over 2 years in patients with type 2 diabetes mellitus inadequately controlled on metformin.</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 xml:space="preserve">Diabetes </w:t>
            </w:r>
            <w:proofErr w:type="spellStart"/>
            <w:r w:rsidRPr="00671D38">
              <w:rPr>
                <w:rFonts w:ascii="Arial Narrow" w:hAnsi="Arial Narrow"/>
                <w:iCs/>
                <w:sz w:val="20"/>
              </w:rPr>
              <w:t>Obes</w:t>
            </w:r>
            <w:proofErr w:type="spellEnd"/>
            <w:r w:rsidRPr="00671D38">
              <w:rPr>
                <w:rFonts w:ascii="Arial Narrow" w:hAnsi="Arial Narrow"/>
                <w:iCs/>
                <w:sz w:val="20"/>
              </w:rPr>
              <w:t xml:space="preserve"> </w:t>
            </w:r>
            <w:proofErr w:type="spellStart"/>
            <w:r w:rsidRPr="00671D38">
              <w:rPr>
                <w:rFonts w:ascii="Arial Narrow" w:hAnsi="Arial Narrow"/>
                <w:iCs/>
                <w:sz w:val="20"/>
              </w:rPr>
              <w:t>Metab</w:t>
            </w:r>
            <w:proofErr w:type="spellEnd"/>
            <w:r w:rsidRPr="00671D38">
              <w:rPr>
                <w:rFonts w:ascii="Arial Narrow" w:hAnsi="Arial Narrow"/>
                <w:iCs/>
                <w:sz w:val="20"/>
              </w:rPr>
              <w:t xml:space="preserve"> 2014; 16:159–169.</w:t>
            </w:r>
          </w:p>
        </w:tc>
      </w:tr>
      <w:tr w:rsidR="00147D6D" w:rsidRPr="00671D38" w:rsidTr="001003F7">
        <w:tc>
          <w:tcPr>
            <w:tcW w:w="59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Study CT-014</w:t>
            </w: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A Phase III Study of BMS-512148 (</w:t>
            </w:r>
            <w:proofErr w:type="spellStart"/>
            <w:r w:rsidRPr="00671D38">
              <w:rPr>
                <w:rFonts w:ascii="Arial Narrow" w:hAnsi="Arial Narrow"/>
                <w:sz w:val="20"/>
              </w:rPr>
              <w:t>Dapagliflozin</w:t>
            </w:r>
            <w:proofErr w:type="spellEnd"/>
            <w:r w:rsidRPr="00671D38">
              <w:rPr>
                <w:rFonts w:ascii="Arial Narrow" w:hAnsi="Arial Narrow"/>
                <w:sz w:val="20"/>
              </w:rPr>
              <w:t>) in Patients With Type 2 Diabetes Who Are Not Well Controlled on Metformin Alone. NCT00528879</w:t>
            </w:r>
          </w:p>
        </w:tc>
        <w:tc>
          <w:tcPr>
            <w:tcW w:w="1093" w:type="pct"/>
            <w:tcBorders>
              <w:top w:val="single" w:sz="4" w:space="0" w:color="auto"/>
              <w:left w:val="single" w:sz="4" w:space="0" w:color="auto"/>
              <w:bottom w:val="nil"/>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ClinicalTrials.gov</w:t>
            </w:r>
          </w:p>
        </w:tc>
      </w:tr>
      <w:tr w:rsidR="00147D6D" w:rsidRPr="00671D38" w:rsidTr="001003F7">
        <w:tc>
          <w:tcPr>
            <w:tcW w:w="597" w:type="pct"/>
            <w:tcBorders>
              <w:top w:val="nil"/>
              <w:left w:val="single" w:sz="4" w:space="0" w:color="auto"/>
              <w:bottom w:val="nil"/>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Bailey et al. Effect of </w:t>
            </w:r>
            <w:proofErr w:type="spellStart"/>
            <w:r w:rsidRPr="00671D38">
              <w:rPr>
                <w:rFonts w:ascii="Arial Narrow" w:hAnsi="Arial Narrow"/>
                <w:sz w:val="20"/>
              </w:rPr>
              <w:t>dapagliflozin</w:t>
            </w:r>
            <w:proofErr w:type="spellEnd"/>
            <w:r w:rsidRPr="00671D38">
              <w:rPr>
                <w:rFonts w:ascii="Arial Narrow" w:hAnsi="Arial Narrow"/>
                <w:sz w:val="20"/>
              </w:rPr>
              <w:t xml:space="preserve"> in patients with type 2 diabetes who have inadequate glycaemic control with metformin: a randomised, double-blind, placebo-controlled trial. </w:t>
            </w:r>
          </w:p>
        </w:tc>
        <w:tc>
          <w:tcPr>
            <w:tcW w:w="1093" w:type="pct"/>
            <w:tcBorders>
              <w:top w:val="nil"/>
              <w:left w:val="single" w:sz="4" w:space="0" w:color="auto"/>
              <w:bottom w:val="nil"/>
              <w:right w:val="single" w:sz="4" w:space="0" w:color="auto"/>
            </w:tcBorders>
          </w:tcPr>
          <w:p w:rsidR="00147D6D" w:rsidRPr="00671D38" w:rsidRDefault="00147D6D" w:rsidP="00F4721A">
            <w:pPr>
              <w:jc w:val="left"/>
              <w:rPr>
                <w:rFonts w:ascii="Arial Narrow" w:hAnsi="Arial Narrow"/>
                <w:sz w:val="20"/>
              </w:rPr>
            </w:pPr>
            <w:r w:rsidRPr="00671D38">
              <w:rPr>
                <w:rFonts w:ascii="Arial Narrow" w:hAnsi="Arial Narrow"/>
                <w:iCs/>
                <w:sz w:val="20"/>
              </w:rPr>
              <w:t>Lancet 2010; 375: 2223-2233</w:t>
            </w:r>
            <w:r w:rsidRPr="00671D38">
              <w:rPr>
                <w:rFonts w:ascii="Arial Narrow" w:hAnsi="Arial Narrow"/>
                <w:sz w:val="20"/>
              </w:rPr>
              <w:t xml:space="preserve"> </w:t>
            </w:r>
          </w:p>
          <w:p w:rsidR="00147D6D" w:rsidRPr="00671D38" w:rsidRDefault="00147D6D" w:rsidP="00F4721A">
            <w:pPr>
              <w:jc w:val="left"/>
              <w:rPr>
                <w:rFonts w:ascii="Arial Narrow" w:hAnsi="Arial Narrow"/>
                <w:iCs/>
                <w:sz w:val="20"/>
              </w:rPr>
            </w:pP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Bailey et al. </w:t>
            </w:r>
            <w:proofErr w:type="spellStart"/>
            <w:r w:rsidRPr="00671D38">
              <w:rPr>
                <w:rFonts w:ascii="Arial Narrow" w:hAnsi="Arial Narrow"/>
                <w:sz w:val="20"/>
              </w:rPr>
              <w:t>Dapagliflozin</w:t>
            </w:r>
            <w:proofErr w:type="spellEnd"/>
            <w:r w:rsidRPr="00671D38">
              <w:rPr>
                <w:rFonts w:ascii="Arial Narrow" w:hAnsi="Arial Narrow"/>
                <w:sz w:val="20"/>
              </w:rPr>
              <w:t xml:space="preserve"> add-on to metformin in type 2 diabetes inadequately controlled with metformin: a randomised, double-blind, placebo-controlled 102-week trial.</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BMC Med. 2013; 11:43</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iCs/>
                <w:sz w:val="20"/>
              </w:rPr>
              <w:t xml:space="preserve">Common reference using </w:t>
            </w:r>
            <w:proofErr w:type="spellStart"/>
            <w:r w:rsidRPr="00671D38">
              <w:rPr>
                <w:rFonts w:ascii="Arial Narrow" w:hAnsi="Arial Narrow"/>
                <w:b/>
                <w:iCs/>
                <w:sz w:val="20"/>
              </w:rPr>
              <w:t>sulfonylurea+metformin</w:t>
            </w:r>
            <w:proofErr w:type="spellEnd"/>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iCs/>
                <w:sz w:val="20"/>
              </w:rPr>
              <w:t>EMPA+MET vs SU+MET</w:t>
            </w:r>
          </w:p>
        </w:tc>
      </w:tr>
      <w:tr w:rsidR="00147D6D" w:rsidRPr="00671D38" w:rsidTr="001003F7">
        <w:tc>
          <w:tcPr>
            <w:tcW w:w="59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Trial 1245.28</w:t>
            </w: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A Phase III randomised, double-blind, active-controlled parallel group efficacy and safety study of BI 10773 compared to glimepiride administered orally during 104 weeks with a 104-week extension period in patients with type 2 diabetes mellitus and insufficient glycaemic control despite </w:t>
            </w:r>
            <w:r w:rsidRPr="00671D38">
              <w:rPr>
                <w:rFonts w:ascii="Arial Narrow" w:hAnsi="Arial Narrow"/>
                <w:sz w:val="20"/>
              </w:rPr>
              <w:lastRenderedPageBreak/>
              <w:t>metformin treatment.</w:t>
            </w:r>
          </w:p>
        </w:tc>
        <w:tc>
          <w:tcPr>
            <w:tcW w:w="1093" w:type="pct"/>
            <w:tcBorders>
              <w:top w:val="single" w:sz="4" w:space="0" w:color="auto"/>
              <w:left w:val="single" w:sz="4" w:space="0" w:color="auto"/>
              <w:bottom w:val="nil"/>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lastRenderedPageBreak/>
              <w:t>Internal study report January 2013</w:t>
            </w: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Ridderstrale</w:t>
            </w:r>
            <w:proofErr w:type="spellEnd"/>
            <w:r w:rsidRPr="00671D38">
              <w:rPr>
                <w:rFonts w:ascii="Arial Narrow" w:hAnsi="Arial Narrow"/>
                <w:sz w:val="20"/>
              </w:rPr>
              <w:t xml:space="preserve"> et al. Rationale, design and baseline characteristics of a 4-year (208-week) Phase III trial of </w:t>
            </w:r>
            <w:proofErr w:type="spellStart"/>
            <w:r w:rsidRPr="00671D38">
              <w:rPr>
                <w:rFonts w:ascii="Arial Narrow" w:hAnsi="Arial Narrow"/>
                <w:sz w:val="20"/>
              </w:rPr>
              <w:t>empagliflozin</w:t>
            </w:r>
            <w:proofErr w:type="spellEnd"/>
            <w:r w:rsidRPr="00671D38">
              <w:rPr>
                <w:rFonts w:ascii="Arial Narrow" w:hAnsi="Arial Narrow"/>
                <w:sz w:val="20"/>
              </w:rPr>
              <w:t xml:space="preserve">, an SGLT2 inhibitor, versus glimepiride as add-on to metformin in patients with type 2 diabetes mellitus with insufficient </w:t>
            </w:r>
            <w:proofErr w:type="spellStart"/>
            <w:r w:rsidRPr="00671D38">
              <w:rPr>
                <w:rFonts w:ascii="Arial Narrow" w:hAnsi="Arial Narrow"/>
                <w:sz w:val="20"/>
              </w:rPr>
              <w:t>glycemic</w:t>
            </w:r>
            <w:proofErr w:type="spellEnd"/>
            <w:r w:rsidRPr="00671D38">
              <w:rPr>
                <w:rFonts w:ascii="Arial Narrow" w:hAnsi="Arial Narrow"/>
                <w:sz w:val="20"/>
              </w:rPr>
              <w:t xml:space="preserve"> control</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 xml:space="preserve">Cardiovascular </w:t>
            </w:r>
            <w:proofErr w:type="spellStart"/>
            <w:r w:rsidRPr="00671D38">
              <w:rPr>
                <w:rFonts w:ascii="Arial Narrow" w:hAnsi="Arial Narrow"/>
                <w:iCs/>
                <w:sz w:val="20"/>
              </w:rPr>
              <w:t>Diabetology</w:t>
            </w:r>
            <w:proofErr w:type="spellEnd"/>
            <w:r w:rsidRPr="00671D38">
              <w:rPr>
                <w:rFonts w:ascii="Arial Narrow" w:hAnsi="Arial Narrow"/>
                <w:iCs/>
                <w:sz w:val="20"/>
              </w:rPr>
              <w:t xml:space="preserve"> 2013, 12(1): 129-139</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sz w:val="20"/>
              </w:rPr>
              <w:t>SITA+MET vs SU+MET</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Koren</w:t>
            </w:r>
            <w:proofErr w:type="spellEnd"/>
            <w:r w:rsidRPr="00671D38">
              <w:rPr>
                <w:rFonts w:ascii="Arial Narrow" w:hAnsi="Arial Narrow"/>
                <w:sz w:val="20"/>
              </w:rPr>
              <w:t xml:space="preserve"> 2012</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Koren</w:t>
            </w:r>
            <w:proofErr w:type="spellEnd"/>
            <w:r w:rsidRPr="00671D38">
              <w:rPr>
                <w:rFonts w:ascii="Arial Narrow" w:hAnsi="Arial Narrow"/>
                <w:sz w:val="20"/>
              </w:rPr>
              <w:t xml:space="preserve"> et al 2012. The effect of </w:t>
            </w:r>
            <w:proofErr w:type="spellStart"/>
            <w:r w:rsidRPr="00671D38">
              <w:rPr>
                <w:rFonts w:ascii="Arial Narrow" w:hAnsi="Arial Narrow"/>
                <w:sz w:val="20"/>
              </w:rPr>
              <w:t>sitagliptin</w:t>
            </w:r>
            <w:proofErr w:type="spellEnd"/>
            <w:r w:rsidRPr="00671D38">
              <w:rPr>
                <w:rFonts w:ascii="Arial Narrow" w:hAnsi="Arial Narrow"/>
                <w:sz w:val="20"/>
              </w:rPr>
              <w:t xml:space="preserve"> versus </w:t>
            </w:r>
            <w:proofErr w:type="spellStart"/>
            <w:r w:rsidRPr="00671D38">
              <w:rPr>
                <w:rFonts w:ascii="Arial Narrow" w:hAnsi="Arial Narrow"/>
                <w:sz w:val="20"/>
              </w:rPr>
              <w:t>glibenclamide</w:t>
            </w:r>
            <w:proofErr w:type="spellEnd"/>
            <w:r w:rsidRPr="00671D38">
              <w:rPr>
                <w:rFonts w:ascii="Arial Narrow" w:hAnsi="Arial Narrow"/>
                <w:sz w:val="20"/>
              </w:rPr>
              <w:t xml:space="preserve"> on arterial stiffness, blood pressure, lipids, and inflammation in type 2 diabetes mellitus patients.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Diabetes Technology and Therapeutics. 2012; 14(7): 561-567</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Nauck</w:t>
            </w:r>
            <w:proofErr w:type="spellEnd"/>
            <w:r w:rsidRPr="00671D38">
              <w:rPr>
                <w:rFonts w:ascii="Arial Narrow" w:hAnsi="Arial Narrow"/>
                <w:sz w:val="20"/>
              </w:rPr>
              <w:t xml:space="preserve"> 2007</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Nauck</w:t>
            </w:r>
            <w:proofErr w:type="spellEnd"/>
            <w:r w:rsidRPr="00671D38">
              <w:rPr>
                <w:rFonts w:ascii="Arial Narrow" w:hAnsi="Arial Narrow"/>
                <w:sz w:val="20"/>
              </w:rPr>
              <w:t xml:space="preserve"> MA et al. Efficacy and safety of the </w:t>
            </w:r>
            <w:proofErr w:type="spellStart"/>
            <w:r w:rsidRPr="00671D38">
              <w:rPr>
                <w:rFonts w:ascii="Arial Narrow" w:hAnsi="Arial Narrow"/>
                <w:sz w:val="20"/>
              </w:rPr>
              <w:t>dipeptidyl</w:t>
            </w:r>
            <w:proofErr w:type="spellEnd"/>
            <w:r w:rsidRPr="00671D38">
              <w:rPr>
                <w:rFonts w:ascii="Arial Narrow" w:hAnsi="Arial Narrow"/>
                <w:sz w:val="20"/>
              </w:rPr>
              <w:t xml:space="preserve"> peptidase-4 inhibitor, </w:t>
            </w:r>
            <w:proofErr w:type="spellStart"/>
            <w:r w:rsidRPr="00671D38">
              <w:rPr>
                <w:rFonts w:ascii="Arial Narrow" w:hAnsi="Arial Narrow"/>
                <w:sz w:val="20"/>
              </w:rPr>
              <w:t>sitagliptin</w:t>
            </w:r>
            <w:proofErr w:type="spellEnd"/>
            <w:r w:rsidRPr="00671D38">
              <w:rPr>
                <w:rFonts w:ascii="Arial Narrow" w:hAnsi="Arial Narrow"/>
                <w:sz w:val="20"/>
              </w:rPr>
              <w:t xml:space="preserve">, compared with the sulfonylurea, </w:t>
            </w:r>
            <w:proofErr w:type="spellStart"/>
            <w:r w:rsidRPr="00671D38">
              <w:rPr>
                <w:rFonts w:ascii="Arial Narrow" w:hAnsi="Arial Narrow"/>
                <w:sz w:val="20"/>
              </w:rPr>
              <w:t>glipizide</w:t>
            </w:r>
            <w:proofErr w:type="spellEnd"/>
            <w:r w:rsidRPr="00671D38">
              <w:rPr>
                <w:rFonts w:ascii="Arial Narrow" w:hAnsi="Arial Narrow"/>
                <w:sz w:val="20"/>
              </w:rPr>
              <w:t>, in patients with type 2 diabetes inadequately controlled on metformin alone: A randomized, double-blind, non-inferiority trial.</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 xml:space="preserve">Diabetes </w:t>
            </w:r>
            <w:proofErr w:type="spellStart"/>
            <w:r w:rsidRPr="00671D38">
              <w:rPr>
                <w:rFonts w:ascii="Arial Narrow" w:hAnsi="Arial Narrow"/>
                <w:iCs/>
                <w:sz w:val="20"/>
              </w:rPr>
              <w:t>Obes</w:t>
            </w:r>
            <w:proofErr w:type="spellEnd"/>
            <w:r w:rsidRPr="00671D38">
              <w:rPr>
                <w:rFonts w:ascii="Arial Narrow" w:hAnsi="Arial Narrow"/>
                <w:iCs/>
                <w:sz w:val="20"/>
              </w:rPr>
              <w:t xml:space="preserve"> Met 2007; 9(2):194-205</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Seck</w:t>
            </w:r>
            <w:proofErr w:type="spellEnd"/>
            <w:r w:rsidRPr="00671D38">
              <w:rPr>
                <w:rFonts w:ascii="Arial Narrow" w:hAnsi="Arial Narrow"/>
                <w:sz w:val="20"/>
              </w:rPr>
              <w:t xml:space="preserve"> 2010b</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Arechavaleta</w:t>
            </w:r>
            <w:proofErr w:type="spellEnd"/>
            <w:r w:rsidRPr="00671D38">
              <w:rPr>
                <w:rFonts w:ascii="Arial Narrow" w:hAnsi="Arial Narrow"/>
                <w:sz w:val="20"/>
              </w:rPr>
              <w:t xml:space="preserve"> R et al 2011. Efficacy and safety of treatment with </w:t>
            </w:r>
            <w:proofErr w:type="spellStart"/>
            <w:r w:rsidRPr="00671D38">
              <w:rPr>
                <w:rFonts w:ascii="Arial Narrow" w:hAnsi="Arial Narrow"/>
                <w:sz w:val="20"/>
              </w:rPr>
              <w:t>sitagliptin</w:t>
            </w:r>
            <w:proofErr w:type="spellEnd"/>
            <w:r w:rsidRPr="00671D38">
              <w:rPr>
                <w:rFonts w:ascii="Arial Narrow" w:hAnsi="Arial Narrow"/>
                <w:sz w:val="20"/>
              </w:rPr>
              <w:t xml:space="preserve"> or glimepiride in patients with type 2 diabetes inadequately controlled on metformin monotherapy: A randomized, double-blind, non-inferiority trial.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 xml:space="preserve">Diabetes </w:t>
            </w:r>
            <w:proofErr w:type="spellStart"/>
            <w:r w:rsidRPr="00671D38">
              <w:rPr>
                <w:rFonts w:ascii="Arial Narrow" w:hAnsi="Arial Narrow"/>
                <w:iCs/>
                <w:sz w:val="20"/>
              </w:rPr>
              <w:t>Obes</w:t>
            </w:r>
            <w:proofErr w:type="spellEnd"/>
            <w:r w:rsidRPr="00671D38">
              <w:rPr>
                <w:rFonts w:ascii="Arial Narrow" w:hAnsi="Arial Narrow"/>
                <w:iCs/>
                <w:sz w:val="20"/>
              </w:rPr>
              <w:t xml:space="preserve"> Met 2011; 13(2):160-168</w:t>
            </w:r>
          </w:p>
        </w:tc>
      </w:tr>
      <w:tr w:rsidR="00147D6D" w:rsidRPr="00671D38" w:rsidTr="001003F7">
        <w:tc>
          <w:tcPr>
            <w:tcW w:w="59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Srivastava 2012</w:t>
            </w:r>
          </w:p>
        </w:tc>
        <w:tc>
          <w:tcPr>
            <w:tcW w:w="3310"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Srivastava et al 2012. Comparing the efficacy and safety profile of </w:t>
            </w:r>
            <w:proofErr w:type="spellStart"/>
            <w:r w:rsidRPr="00671D38">
              <w:rPr>
                <w:rFonts w:ascii="Arial Narrow" w:hAnsi="Arial Narrow"/>
                <w:sz w:val="20"/>
              </w:rPr>
              <w:t>sitagliptin</w:t>
            </w:r>
            <w:proofErr w:type="spellEnd"/>
            <w:r w:rsidRPr="00671D38">
              <w:rPr>
                <w:rFonts w:ascii="Arial Narrow" w:hAnsi="Arial Narrow"/>
                <w:sz w:val="20"/>
              </w:rPr>
              <w:t xml:space="preserve"> versus glimepiride in patients of type 2 diabetes mellitus inadequately controlled with metformin alone. </w:t>
            </w:r>
          </w:p>
        </w:tc>
        <w:tc>
          <w:tcPr>
            <w:tcW w:w="1093"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Journal of Association of Physicians of India 2012; 60(3):27-30.</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iCs/>
                <w:sz w:val="20"/>
              </w:rPr>
              <w:t>DAPA+MET vs SU+MET</w:t>
            </w:r>
          </w:p>
        </w:tc>
      </w:tr>
      <w:tr w:rsidR="00147D6D" w:rsidRPr="00671D38" w:rsidTr="001003F7">
        <w:tc>
          <w:tcPr>
            <w:tcW w:w="59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Trial CT-004</w:t>
            </w: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A 52-Week International, Multicentre, Randomised, Parallel group, Double-blind, Active-controlled, Phase III Study With a 156-Week Extension Period to Evaluate the Efficacy and Safety of </w:t>
            </w:r>
            <w:proofErr w:type="spellStart"/>
            <w:r w:rsidRPr="00671D38">
              <w:rPr>
                <w:rFonts w:ascii="Arial Narrow" w:hAnsi="Arial Narrow"/>
                <w:sz w:val="20"/>
              </w:rPr>
              <w:t>Dapagliflozin</w:t>
            </w:r>
            <w:proofErr w:type="spellEnd"/>
            <w:r w:rsidRPr="00671D38">
              <w:rPr>
                <w:rFonts w:ascii="Arial Narrow" w:hAnsi="Arial Narrow"/>
                <w:sz w:val="20"/>
              </w:rPr>
              <w:t xml:space="preserve"> in Combination With Metformin Compared With </w:t>
            </w:r>
            <w:proofErr w:type="spellStart"/>
            <w:r w:rsidRPr="00671D38">
              <w:rPr>
                <w:rFonts w:ascii="Arial Narrow" w:hAnsi="Arial Narrow"/>
                <w:sz w:val="20"/>
              </w:rPr>
              <w:t>Sulphonylurea</w:t>
            </w:r>
            <w:proofErr w:type="spellEnd"/>
            <w:r w:rsidRPr="00671D38">
              <w:rPr>
                <w:rFonts w:ascii="Arial Narrow" w:hAnsi="Arial Narrow"/>
                <w:sz w:val="20"/>
              </w:rPr>
              <w:t xml:space="preserve"> in Combination With Metformin in Adult Patients With Type 2 Diabetes Who Have Inadequate Glycaemic Control on Metformin Therapy Alone. NCT00660907.</w:t>
            </w:r>
          </w:p>
        </w:tc>
        <w:tc>
          <w:tcPr>
            <w:tcW w:w="1093" w:type="pct"/>
            <w:tcBorders>
              <w:top w:val="single" w:sz="4" w:space="0" w:color="auto"/>
              <w:left w:val="single" w:sz="4" w:space="0" w:color="auto"/>
              <w:bottom w:val="nil"/>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ClinicalTrials.gov</w:t>
            </w: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Nauck</w:t>
            </w:r>
            <w:proofErr w:type="spellEnd"/>
            <w:r w:rsidRPr="00671D38">
              <w:rPr>
                <w:rFonts w:ascii="Arial Narrow" w:hAnsi="Arial Narrow"/>
                <w:sz w:val="20"/>
              </w:rPr>
              <w:t xml:space="preserve"> et al. </w:t>
            </w:r>
            <w:proofErr w:type="spellStart"/>
            <w:r w:rsidRPr="00671D38">
              <w:rPr>
                <w:rFonts w:ascii="Arial Narrow" w:hAnsi="Arial Narrow"/>
                <w:sz w:val="20"/>
              </w:rPr>
              <w:t>Dapagliflozin</w:t>
            </w:r>
            <w:proofErr w:type="spellEnd"/>
            <w:r w:rsidRPr="00671D38">
              <w:rPr>
                <w:rFonts w:ascii="Arial Narrow" w:hAnsi="Arial Narrow"/>
                <w:sz w:val="20"/>
              </w:rPr>
              <w:t xml:space="preserve"> versus </w:t>
            </w:r>
            <w:proofErr w:type="spellStart"/>
            <w:r w:rsidRPr="00671D38">
              <w:rPr>
                <w:rFonts w:ascii="Arial Narrow" w:hAnsi="Arial Narrow"/>
                <w:sz w:val="20"/>
              </w:rPr>
              <w:t>glipizide</w:t>
            </w:r>
            <w:proofErr w:type="spellEnd"/>
            <w:r w:rsidRPr="00671D38">
              <w:rPr>
                <w:rFonts w:ascii="Arial Narrow" w:hAnsi="Arial Narrow"/>
                <w:sz w:val="20"/>
              </w:rPr>
              <w:t xml:space="preserve"> as add-on therapy in patients with type 2 diabetes who have inadequate </w:t>
            </w:r>
            <w:proofErr w:type="spellStart"/>
            <w:r w:rsidRPr="00671D38">
              <w:rPr>
                <w:rFonts w:ascii="Arial Narrow" w:hAnsi="Arial Narrow"/>
                <w:sz w:val="20"/>
              </w:rPr>
              <w:t>glycemic</w:t>
            </w:r>
            <w:proofErr w:type="spellEnd"/>
            <w:r w:rsidRPr="00671D38">
              <w:rPr>
                <w:rFonts w:ascii="Arial Narrow" w:hAnsi="Arial Narrow"/>
                <w:sz w:val="20"/>
              </w:rPr>
              <w:t xml:space="preserve"> control with metformin: a randomised, 52-week, double-blind, active-controlled non-inferiority trial.</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Diabetes Care 2011; 34:2015-22</w:t>
            </w:r>
          </w:p>
        </w:tc>
      </w:tr>
      <w:tr w:rsidR="00147D6D" w:rsidRPr="00671D38" w:rsidTr="001003F7">
        <w:tc>
          <w:tcPr>
            <w:tcW w:w="5000" w:type="pct"/>
            <w:gridSpan w:val="3"/>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b/>
                <w:iCs/>
                <w:sz w:val="20"/>
              </w:rPr>
            </w:pPr>
            <w:r w:rsidRPr="00671D38">
              <w:rPr>
                <w:rFonts w:ascii="Arial Narrow" w:hAnsi="Arial Narrow"/>
                <w:b/>
                <w:iCs/>
                <w:sz w:val="20"/>
              </w:rPr>
              <w:t>CANA+MET vs SU+MET</w:t>
            </w:r>
          </w:p>
        </w:tc>
      </w:tr>
      <w:tr w:rsidR="00147D6D" w:rsidRPr="00671D38" w:rsidTr="001003F7">
        <w:tc>
          <w:tcPr>
            <w:tcW w:w="59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CANTATA-SU</w:t>
            </w:r>
          </w:p>
        </w:tc>
        <w:tc>
          <w:tcPr>
            <w:tcW w:w="3310"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A Randomised, Double-Blind, 3-Arm Parallel Group, 2-Year (104-Week), </w:t>
            </w:r>
            <w:proofErr w:type="spellStart"/>
            <w:r w:rsidRPr="00671D38">
              <w:rPr>
                <w:rFonts w:ascii="Arial Narrow" w:hAnsi="Arial Narrow"/>
                <w:sz w:val="20"/>
              </w:rPr>
              <w:t>Multicenter</w:t>
            </w:r>
            <w:proofErr w:type="spellEnd"/>
            <w:r w:rsidRPr="00671D38">
              <w:rPr>
                <w:rFonts w:ascii="Arial Narrow" w:hAnsi="Arial Narrow"/>
                <w:sz w:val="20"/>
              </w:rPr>
              <w:t xml:space="preserve"> Study to Evaluate the Efficacy, Safety, and Tolerability of JNJ-28431754 Compared With Glimepiride in the Treatment of Subjects With Type 2 Diabetes Mellitus Not Optimally Controlled on Metformin Monotherapy. NCT00968812.</w:t>
            </w:r>
          </w:p>
        </w:tc>
        <w:tc>
          <w:tcPr>
            <w:tcW w:w="1093" w:type="pct"/>
            <w:tcBorders>
              <w:top w:val="single" w:sz="4" w:space="0" w:color="auto"/>
              <w:left w:val="single" w:sz="4" w:space="0" w:color="auto"/>
              <w:bottom w:val="nil"/>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 xml:space="preserve">ClinicalTrials.gov </w:t>
            </w:r>
          </w:p>
        </w:tc>
      </w:tr>
      <w:tr w:rsidR="00147D6D" w:rsidRPr="00671D38" w:rsidTr="001003F7">
        <w:tc>
          <w:tcPr>
            <w:tcW w:w="597" w:type="pct"/>
            <w:tcBorders>
              <w:top w:val="nil"/>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p>
        </w:tc>
        <w:tc>
          <w:tcPr>
            <w:tcW w:w="3310" w:type="pct"/>
            <w:tcBorders>
              <w:top w:val="nil"/>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Cefalu</w:t>
            </w:r>
            <w:proofErr w:type="spellEnd"/>
            <w:r w:rsidRPr="00671D38">
              <w:rPr>
                <w:rFonts w:ascii="Arial Narrow" w:hAnsi="Arial Narrow"/>
                <w:sz w:val="20"/>
              </w:rPr>
              <w:t xml:space="preserve"> et al. Efficacy and safety of </w:t>
            </w:r>
            <w:proofErr w:type="spellStart"/>
            <w:r w:rsidRPr="00671D38">
              <w:rPr>
                <w:rFonts w:ascii="Arial Narrow" w:hAnsi="Arial Narrow"/>
                <w:sz w:val="20"/>
              </w:rPr>
              <w:t>canagliflozin</w:t>
            </w:r>
            <w:proofErr w:type="spellEnd"/>
            <w:r w:rsidRPr="00671D38">
              <w:rPr>
                <w:rFonts w:ascii="Arial Narrow" w:hAnsi="Arial Narrow"/>
                <w:sz w:val="20"/>
              </w:rPr>
              <w:t xml:space="preserve"> versus glimepiride in patients with type 2 diabetes inadequately controlled with metformin (CANTATA-SU): 52 week results from a randomised, double-blind, phase 3 non-inferiority trial. </w:t>
            </w:r>
          </w:p>
        </w:tc>
        <w:tc>
          <w:tcPr>
            <w:tcW w:w="1093" w:type="pct"/>
            <w:tcBorders>
              <w:top w:val="nil"/>
              <w:left w:val="single" w:sz="4" w:space="0" w:color="auto"/>
              <w:bottom w:val="single" w:sz="4" w:space="0" w:color="auto"/>
              <w:right w:val="single" w:sz="4" w:space="0" w:color="auto"/>
            </w:tcBorders>
            <w:hideMark/>
          </w:tcPr>
          <w:p w:rsidR="00147D6D" w:rsidRPr="00671D38" w:rsidRDefault="00147D6D" w:rsidP="00F4721A">
            <w:pPr>
              <w:jc w:val="left"/>
              <w:rPr>
                <w:rFonts w:ascii="Arial Narrow" w:hAnsi="Arial Narrow"/>
                <w:iCs/>
                <w:sz w:val="20"/>
              </w:rPr>
            </w:pPr>
            <w:r w:rsidRPr="00671D38">
              <w:rPr>
                <w:rFonts w:ascii="Arial Narrow" w:hAnsi="Arial Narrow"/>
                <w:iCs/>
                <w:sz w:val="20"/>
              </w:rPr>
              <w:t>Lancet. 2013, 382(9896): 941-950.</w:t>
            </w:r>
          </w:p>
        </w:tc>
      </w:tr>
    </w:tbl>
    <w:p w:rsidR="00147D6D" w:rsidRPr="00671D38" w:rsidRDefault="00147D6D" w:rsidP="001003F7">
      <w:pPr>
        <w:ind w:firstLine="720"/>
        <w:rPr>
          <w:rFonts w:ascii="Arial Narrow" w:hAnsi="Arial Narrow"/>
          <w:sz w:val="18"/>
        </w:rPr>
      </w:pPr>
      <w:r w:rsidRPr="00671D38">
        <w:rPr>
          <w:rFonts w:ascii="Arial Narrow" w:hAnsi="Arial Narrow"/>
          <w:sz w:val="18"/>
        </w:rPr>
        <w:t>Source: Table B.7 (pp44-47), Table 5 (pp12-15) Attachment 5 of the submission.</w:t>
      </w:r>
    </w:p>
    <w:p w:rsidR="00147D6D" w:rsidRPr="00671D38" w:rsidRDefault="00147D6D" w:rsidP="001003F7">
      <w:pPr>
        <w:ind w:left="709"/>
        <w:rPr>
          <w:rFonts w:ascii="Arial Narrow" w:hAnsi="Arial Narrow"/>
          <w:sz w:val="18"/>
        </w:rPr>
      </w:pPr>
      <w:r w:rsidRPr="00671D38">
        <w:rPr>
          <w:rFonts w:ascii="Arial Narrow" w:hAnsi="Arial Narrow"/>
          <w:sz w:val="18"/>
        </w:rPr>
        <w:t xml:space="preserve">Abbreviations: CANA, </w:t>
      </w:r>
      <w:proofErr w:type="spellStart"/>
      <w:r w:rsidRPr="00671D38">
        <w:rPr>
          <w:rFonts w:ascii="Arial Narrow" w:hAnsi="Arial Narrow"/>
          <w:sz w:val="18"/>
        </w:rPr>
        <w:t>canagliflozin</w:t>
      </w:r>
      <w:proofErr w:type="spellEnd"/>
      <w:r w:rsidRPr="00671D38">
        <w:rPr>
          <w:rFonts w:ascii="Arial Narrow" w:hAnsi="Arial Narrow"/>
          <w:sz w:val="18"/>
        </w:rPr>
        <w:t xml:space="preserve">; DAPA, </w:t>
      </w:r>
      <w:proofErr w:type="spellStart"/>
      <w:r w:rsidRPr="00671D38">
        <w:rPr>
          <w:rFonts w:ascii="Arial Narrow" w:hAnsi="Arial Narrow"/>
          <w:sz w:val="18"/>
        </w:rPr>
        <w:t>dapagliflozin</w:t>
      </w:r>
      <w:proofErr w:type="spellEnd"/>
      <w:r w:rsidRPr="00671D38">
        <w:rPr>
          <w:rFonts w:ascii="Arial Narrow" w:hAnsi="Arial Narrow"/>
          <w:sz w:val="18"/>
        </w:rPr>
        <w:t xml:space="preserve">; EMPA, </w:t>
      </w:r>
      <w:proofErr w:type="spellStart"/>
      <w:r w:rsidRPr="00671D38">
        <w:rPr>
          <w:rFonts w:ascii="Arial Narrow" w:hAnsi="Arial Narrow"/>
          <w:sz w:val="18"/>
        </w:rPr>
        <w:t>empagliflozin</w:t>
      </w:r>
      <w:proofErr w:type="spellEnd"/>
      <w:r w:rsidRPr="00671D38">
        <w:rPr>
          <w:rFonts w:ascii="Arial Narrow" w:hAnsi="Arial Narrow"/>
          <w:sz w:val="18"/>
        </w:rPr>
        <w:t xml:space="preserve">; MET, metformin; PBO, placebo; SITA, </w:t>
      </w:r>
      <w:proofErr w:type="spellStart"/>
      <w:r w:rsidRPr="00671D38">
        <w:rPr>
          <w:rFonts w:ascii="Arial Narrow" w:hAnsi="Arial Narrow"/>
          <w:sz w:val="18"/>
        </w:rPr>
        <w:t>sitagliptin</w:t>
      </w:r>
      <w:proofErr w:type="spellEnd"/>
      <w:r w:rsidRPr="00671D38">
        <w:rPr>
          <w:rFonts w:ascii="Arial Narrow" w:hAnsi="Arial Narrow"/>
          <w:sz w:val="18"/>
        </w:rPr>
        <w:t>; SU, sulfonylurea</w:t>
      </w:r>
    </w:p>
    <w:p w:rsidR="00147D6D" w:rsidRPr="00671D38" w:rsidRDefault="00147D6D" w:rsidP="00F4721A">
      <w:pPr>
        <w:widowControl/>
        <w:rPr>
          <w:szCs w:val="22"/>
        </w:rPr>
      </w:pPr>
    </w:p>
    <w:p w:rsidR="00147D6D" w:rsidRPr="00F54CDC" w:rsidRDefault="00147D6D" w:rsidP="00F54CDC">
      <w:pPr>
        <w:pStyle w:val="ListParagraph"/>
        <w:widowControl/>
        <w:numPr>
          <w:ilvl w:val="1"/>
          <w:numId w:val="20"/>
        </w:numPr>
        <w:rPr>
          <w:szCs w:val="22"/>
        </w:rPr>
      </w:pPr>
      <w:r w:rsidRPr="00F54CDC">
        <w:rPr>
          <w:szCs w:val="22"/>
        </w:rPr>
        <w:t xml:space="preserve">The key features of the randomised trials are summarised in the table below.  </w:t>
      </w:r>
    </w:p>
    <w:p w:rsidR="00147D6D" w:rsidRPr="00671D38" w:rsidRDefault="00147D6D" w:rsidP="001737B8"/>
    <w:p w:rsidR="00147D6D" w:rsidRPr="00671D38" w:rsidRDefault="00147D6D" w:rsidP="001003F7">
      <w:pPr>
        <w:ind w:firstLine="709"/>
        <w:rPr>
          <w:rFonts w:ascii="Arial Narrow" w:hAnsi="Arial Narrow"/>
          <w:b/>
          <w:sz w:val="20"/>
          <w:szCs w:val="16"/>
        </w:rPr>
      </w:pPr>
      <w:r w:rsidRPr="00671D38">
        <w:rPr>
          <w:rFonts w:ascii="Arial Narrow" w:hAnsi="Arial Narrow"/>
          <w:b/>
          <w:sz w:val="20"/>
          <w:szCs w:val="16"/>
        </w:rPr>
        <w:t xml:space="preserve"> 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Key features of the included evidence – indirect comparison"/>
      </w:tblPr>
      <w:tblGrid>
        <w:gridCol w:w="913"/>
        <w:gridCol w:w="3103"/>
        <w:gridCol w:w="693"/>
        <w:gridCol w:w="2111"/>
        <w:gridCol w:w="1525"/>
      </w:tblGrid>
      <w:tr w:rsidR="00147D6D" w:rsidRPr="00671D38" w:rsidTr="00F54CDC">
        <w:trPr>
          <w:tblHeader/>
        </w:trPr>
        <w:tc>
          <w:tcPr>
            <w:tcW w:w="547"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b/>
                <w:sz w:val="20"/>
              </w:rPr>
              <w:t>Trial ID</w:t>
            </w:r>
          </w:p>
        </w:tc>
        <w:tc>
          <w:tcPr>
            <w:tcW w:w="1859"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B15810" w:rsidP="00F4721A">
            <w:pPr>
              <w:tabs>
                <w:tab w:val="left" w:pos="720"/>
              </w:tabs>
              <w:jc w:val="center"/>
              <w:rPr>
                <w:rFonts w:ascii="Arial Narrow" w:hAnsi="Arial Narrow"/>
                <w:b/>
                <w:sz w:val="20"/>
              </w:rPr>
            </w:pPr>
            <w:r w:rsidRPr="00671D38">
              <w:rPr>
                <w:rFonts w:ascii="Arial Narrow" w:hAnsi="Arial Narrow"/>
                <w:b/>
                <w:sz w:val="20"/>
                <w:lang w:val="en-US"/>
              </w:rPr>
              <w:t>Design/</w:t>
            </w:r>
            <w:r w:rsidR="00147D6D" w:rsidRPr="00671D38">
              <w:rPr>
                <w:rFonts w:ascii="Arial Narrow" w:hAnsi="Arial Narrow"/>
                <w:b/>
                <w:sz w:val="20"/>
                <w:lang w:val="en-US"/>
              </w:rPr>
              <w:t>duration/participant numbers</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tabs>
                <w:tab w:val="left" w:pos="720"/>
              </w:tabs>
              <w:jc w:val="center"/>
              <w:rPr>
                <w:rFonts w:ascii="Arial Narrow" w:hAnsi="Arial Narrow"/>
                <w:b/>
                <w:sz w:val="20"/>
              </w:rPr>
            </w:pPr>
            <w:r w:rsidRPr="00671D38">
              <w:rPr>
                <w:rFonts w:ascii="Arial Narrow" w:hAnsi="Arial Narrow"/>
                <w:b/>
                <w:sz w:val="20"/>
              </w:rPr>
              <w:t>Risk of bias</w:t>
            </w:r>
          </w:p>
        </w:tc>
        <w:tc>
          <w:tcPr>
            <w:tcW w:w="126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tabs>
                <w:tab w:val="left" w:pos="720"/>
              </w:tabs>
              <w:jc w:val="center"/>
              <w:rPr>
                <w:rFonts w:ascii="Arial Narrow" w:hAnsi="Arial Narrow"/>
                <w:b/>
                <w:sz w:val="20"/>
              </w:rPr>
            </w:pPr>
            <w:r w:rsidRPr="00671D38">
              <w:rPr>
                <w:rFonts w:ascii="Arial Narrow" w:hAnsi="Arial Narrow"/>
                <w:b/>
                <w:sz w:val="20"/>
                <w:lang w:val="en-US"/>
              </w:rPr>
              <w:t>Patient population</w:t>
            </w:r>
          </w:p>
        </w:tc>
        <w:tc>
          <w:tcPr>
            <w:tcW w:w="9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tabs>
                <w:tab w:val="left" w:pos="720"/>
              </w:tabs>
              <w:jc w:val="center"/>
              <w:rPr>
                <w:rFonts w:ascii="Arial Narrow" w:hAnsi="Arial Narrow"/>
                <w:b/>
                <w:sz w:val="20"/>
                <w:lang w:val="en-US"/>
              </w:rPr>
            </w:pPr>
            <w:r w:rsidRPr="00671D38">
              <w:rPr>
                <w:rFonts w:ascii="Arial Narrow" w:hAnsi="Arial Narrow"/>
                <w:b/>
                <w:sz w:val="20"/>
              </w:rPr>
              <w:t>Primary</w:t>
            </w:r>
            <w:r w:rsidRPr="00671D38">
              <w:rPr>
                <w:rFonts w:ascii="Arial Narrow" w:hAnsi="Arial Narrow"/>
                <w:b/>
                <w:sz w:val="20"/>
                <w:lang w:val="en-US"/>
              </w:rPr>
              <w:t xml:space="preserve"> Outcome(s)</w:t>
            </w:r>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tabs>
                <w:tab w:val="left" w:pos="720"/>
              </w:tabs>
              <w:jc w:val="left"/>
              <w:rPr>
                <w:rFonts w:ascii="Arial Narrow" w:hAnsi="Arial Narrow"/>
                <w:b/>
                <w:sz w:val="20"/>
              </w:rPr>
            </w:pPr>
            <w:r w:rsidRPr="00671D38">
              <w:rPr>
                <w:rFonts w:ascii="Arial Narrow" w:hAnsi="Arial Narrow"/>
                <w:b/>
                <w:sz w:val="20"/>
              </w:rPr>
              <w:t xml:space="preserve">Common reference using </w:t>
            </w:r>
            <w:proofErr w:type="spellStart"/>
            <w:r w:rsidRPr="00671D38">
              <w:rPr>
                <w:rFonts w:ascii="Arial Narrow" w:hAnsi="Arial Narrow"/>
                <w:b/>
                <w:sz w:val="20"/>
              </w:rPr>
              <w:t>placebo+metformin</w:t>
            </w:r>
            <w:proofErr w:type="spellEnd"/>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EMPA+MET vs PBO+MET(+OL SITA+MET)</w:t>
            </w:r>
          </w:p>
        </w:tc>
      </w:tr>
      <w:tr w:rsidR="00147D6D" w:rsidRPr="00671D38" w:rsidTr="00F54CDC">
        <w:tc>
          <w:tcPr>
            <w:tcW w:w="54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Study 1245.10 </w:t>
            </w: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(12-week)</w:t>
            </w:r>
          </w:p>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EMPA 10mg (N=71), EMPA 25mg (N=70), </w:t>
            </w:r>
            <w:r w:rsidR="001E435F" w:rsidRPr="00671D38">
              <w:rPr>
                <w:rFonts w:ascii="Arial Narrow" w:hAnsi="Arial Narrow"/>
                <w:sz w:val="20"/>
              </w:rPr>
              <w:t xml:space="preserve">OL SITA 100mg (N=71), </w:t>
            </w:r>
            <w:r w:rsidRPr="00671D38">
              <w:rPr>
                <w:rFonts w:ascii="Arial Narrow" w:hAnsi="Arial Narrow"/>
                <w:sz w:val="20"/>
              </w:rPr>
              <w:t>PBO (N=71), 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snapToGrid/>
                <w:sz w:val="20"/>
              </w:rPr>
            </w:pPr>
            <w:r w:rsidRPr="00671D38">
              <w:rPr>
                <w:rFonts w:ascii="Arial Narrow" w:eastAsia="MS Mincho" w:hAnsi="Arial Narrow" w:cs="Times New Roman"/>
                <w:snapToGrid/>
                <w:sz w:val="20"/>
              </w:rPr>
              <w:t>Low</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snapToGrid/>
                <w:sz w:val="20"/>
              </w:rPr>
            </w:pPr>
            <w:r w:rsidRPr="00671D38">
              <w:rPr>
                <w:rFonts w:ascii="Arial Narrow" w:eastAsia="MS Mincho" w:hAnsi="Arial Narrow" w:cs="Times New Roman"/>
                <w:snapToGrid/>
                <w:sz w:val="20"/>
              </w:rPr>
              <w:t>Type 2 diabetes</w:t>
            </w:r>
            <w:r w:rsidR="00147D6D" w:rsidRPr="00671D38">
              <w:rPr>
                <w:rFonts w:ascii="Arial Narrow" w:eastAsia="MS Mincho" w:hAnsi="Arial Narrow" w:cs="Times New Roman"/>
                <w:snapToGrid/>
                <w:sz w:val="20"/>
              </w:rPr>
              <w:t xml:space="preserve"> p</w:t>
            </w:r>
            <w:r w:rsidRPr="00671D38">
              <w:rPr>
                <w:rFonts w:ascii="Arial Narrow" w:eastAsia="MS Mincho" w:hAnsi="Arial Narrow" w:cs="Times New Roman"/>
                <w:snapToGrid/>
                <w:sz w:val="20"/>
              </w:rPr>
              <w:t>atien</w:t>
            </w:r>
            <w:r w:rsidR="00147D6D" w:rsidRPr="00671D38">
              <w:rPr>
                <w:rFonts w:ascii="Arial Narrow" w:eastAsia="MS Mincho" w:hAnsi="Arial Narrow" w:cs="Times New Roman"/>
                <w:snapToGrid/>
                <w:sz w:val="20"/>
              </w:rPr>
              <w:t xml:space="preserve">ts inadequately controlled on metformin </w:t>
            </w:r>
          </w:p>
        </w:tc>
        <w:tc>
          <w:tcPr>
            <w:tcW w:w="915" w:type="pct"/>
            <w:tcBorders>
              <w:top w:val="single" w:sz="4" w:space="0" w:color="auto"/>
              <w:left w:val="single" w:sz="4" w:space="0" w:color="auto"/>
              <w:bottom w:val="nil"/>
              <w:right w:val="single" w:sz="4" w:space="0" w:color="auto"/>
            </w:tcBorders>
            <w:hideMark/>
          </w:tcPr>
          <w:p w:rsidR="00147D6D" w:rsidRPr="00671D38" w:rsidRDefault="00147D6D" w:rsidP="00F4721A">
            <w:pPr>
              <w:widowControl/>
              <w:jc w:val="left"/>
              <w:rPr>
                <w:rFonts w:ascii="Arial Narrow" w:eastAsia="MS Mincho" w:hAnsi="Arial Narrow" w:cs="Times New Roman"/>
                <w:snapToGrid/>
                <w:sz w:val="20"/>
              </w:rPr>
            </w:pPr>
            <w:r w:rsidRPr="00671D38">
              <w:rPr>
                <w:rFonts w:ascii="Arial Narrow" w:eastAsia="MS Mincho" w:hAnsi="Arial Narrow" w:cs="Times New Roman"/>
                <w:snapToGrid/>
                <w:sz w:val="20"/>
              </w:rPr>
              <w:t>Change in HbA1c from baseline to week 12</w:t>
            </w:r>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 xml:space="preserve">EMPA+MET </w:t>
            </w:r>
            <w:r w:rsidR="00727B49" w:rsidRPr="00671D38">
              <w:rPr>
                <w:rFonts w:ascii="Arial Narrow" w:eastAsia="MS Mincho" w:hAnsi="Arial Narrow" w:cs="Times New Roman"/>
                <w:b/>
                <w:iCs/>
                <w:snapToGrid/>
                <w:sz w:val="20"/>
              </w:rPr>
              <w:t>vs.</w:t>
            </w:r>
            <w:r w:rsidRPr="00671D38">
              <w:rPr>
                <w:rFonts w:ascii="Arial Narrow" w:eastAsia="MS Mincho" w:hAnsi="Arial Narrow" w:cs="Times New Roman"/>
                <w:b/>
                <w:iCs/>
                <w:snapToGrid/>
                <w:sz w:val="20"/>
              </w:rPr>
              <w:t xml:space="preserve"> PBO+MET</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Study 1245.23</w:t>
            </w:r>
          </w:p>
          <w:p w:rsidR="00147D6D" w:rsidRPr="00671D38" w:rsidRDefault="00147D6D" w:rsidP="00F4721A">
            <w:pPr>
              <w:tabs>
                <w:tab w:val="left" w:pos="720"/>
              </w:tabs>
              <w:jc w:val="left"/>
              <w:rPr>
                <w:rFonts w:ascii="Arial Narrow" w:hAnsi="Arial Narrow"/>
                <w:sz w:val="20"/>
              </w:rPr>
            </w:pP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(24-week)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EMPA 10mg (N=217), EMPA 25mg (N=213), PBO (N=207), 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24</w:t>
            </w:r>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snapToGrid/>
                <w:sz w:val="20"/>
              </w:rPr>
            </w:pPr>
            <w:r w:rsidRPr="00671D38">
              <w:rPr>
                <w:rFonts w:ascii="Arial Narrow" w:eastAsia="MS Mincho" w:hAnsi="Arial Narrow" w:cs="Times New Roman"/>
                <w:b/>
                <w:snapToGrid/>
                <w:sz w:val="20"/>
              </w:rPr>
              <w:lastRenderedPageBreak/>
              <w:t xml:space="preserve">SITA+MET </w:t>
            </w:r>
            <w:r w:rsidR="00727B49" w:rsidRPr="00671D38">
              <w:rPr>
                <w:rFonts w:ascii="Arial Narrow" w:eastAsia="MS Mincho" w:hAnsi="Arial Narrow" w:cs="Times New Roman"/>
                <w:b/>
                <w:snapToGrid/>
                <w:sz w:val="20"/>
              </w:rPr>
              <w:t>vs.</w:t>
            </w:r>
            <w:r w:rsidRPr="00671D38">
              <w:rPr>
                <w:rFonts w:ascii="Arial Narrow" w:eastAsia="MS Mincho" w:hAnsi="Arial Narrow" w:cs="Times New Roman"/>
                <w:b/>
                <w:snapToGrid/>
                <w:sz w:val="20"/>
              </w:rPr>
              <w:t xml:space="preserve"> PBO+MET</w:t>
            </w:r>
          </w:p>
        </w:tc>
      </w:tr>
      <w:tr w:rsidR="00147D6D" w:rsidRPr="00671D38" w:rsidTr="00F54CDC">
        <w:tc>
          <w:tcPr>
            <w:tcW w:w="54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Bergenstal</w:t>
            </w:r>
            <w:proofErr w:type="spellEnd"/>
            <w:r w:rsidRPr="00671D38">
              <w:rPr>
                <w:rFonts w:ascii="Arial Narrow" w:hAnsi="Arial Narrow"/>
                <w:sz w:val="20"/>
              </w:rPr>
              <w:t xml:space="preserve"> 2012</w:t>
            </w: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AC (24-week)</w:t>
            </w:r>
          </w:p>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SITA 100mg (N=177), PBO (N=90), 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snapToGrid/>
                <w:sz w:val="20"/>
              </w:rPr>
            </w:pPr>
            <w:r w:rsidRPr="00671D38">
              <w:rPr>
                <w:rFonts w:ascii="Arial Narrow" w:eastAsia="MS Mincho" w:hAnsi="Arial Narrow" w:cs="Times New Roman"/>
                <w:snapToGrid/>
                <w:sz w:val="20"/>
              </w:rPr>
              <w:t>Low</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snapToGrid/>
                <w:sz w:val="20"/>
              </w:rPr>
            </w:pPr>
            <w:r w:rsidRPr="00671D38">
              <w:rPr>
                <w:rFonts w:ascii="Arial Narrow" w:eastAsia="MS Mincho" w:hAnsi="Arial Narrow" w:cs="Times New Roman"/>
                <w:snapToGrid/>
                <w:sz w:val="20"/>
              </w:rPr>
              <w:t>Type 2 diabetes</w:t>
            </w:r>
            <w:r w:rsidR="00147D6D" w:rsidRPr="00671D38">
              <w:rPr>
                <w:rFonts w:ascii="Arial Narrow" w:eastAsia="MS Mincho" w:hAnsi="Arial Narrow" w:cs="Times New Roman"/>
                <w:snapToGrid/>
                <w:sz w:val="20"/>
              </w:rPr>
              <w:t xml:space="preserve"> p</w:t>
            </w:r>
            <w:r w:rsidRPr="00671D38">
              <w:rPr>
                <w:rFonts w:ascii="Arial Narrow" w:eastAsia="MS Mincho" w:hAnsi="Arial Narrow" w:cs="Times New Roman"/>
                <w:snapToGrid/>
                <w:sz w:val="20"/>
              </w:rPr>
              <w:t>atien</w:t>
            </w:r>
            <w:r w:rsidR="00147D6D" w:rsidRPr="00671D38">
              <w:rPr>
                <w:rFonts w:ascii="Arial Narrow" w:eastAsia="MS Mincho" w:hAnsi="Arial Narrow" w:cs="Times New Roman"/>
                <w:snapToGrid/>
                <w:sz w:val="20"/>
              </w:rPr>
              <w:t>ts inadequately controlled on metformin</w:t>
            </w:r>
          </w:p>
        </w:tc>
        <w:tc>
          <w:tcPr>
            <w:tcW w:w="915" w:type="pct"/>
            <w:tcBorders>
              <w:top w:val="single" w:sz="4" w:space="0" w:color="auto"/>
              <w:left w:val="single" w:sz="4" w:space="0" w:color="auto"/>
              <w:bottom w:val="nil"/>
              <w:right w:val="single" w:sz="4" w:space="0" w:color="auto"/>
            </w:tcBorders>
            <w:hideMark/>
          </w:tcPr>
          <w:p w:rsidR="00147D6D" w:rsidRPr="00671D38" w:rsidRDefault="00147D6D" w:rsidP="00F4721A">
            <w:pPr>
              <w:widowControl/>
              <w:jc w:val="left"/>
              <w:rPr>
                <w:rFonts w:ascii="Arial Narrow" w:eastAsia="MS Mincho" w:hAnsi="Arial Narrow" w:cs="Times New Roman"/>
                <w:snapToGrid/>
                <w:sz w:val="20"/>
              </w:rPr>
            </w:pPr>
            <w:r w:rsidRPr="00671D38">
              <w:rPr>
                <w:rFonts w:ascii="Arial Narrow" w:eastAsia="MS Mincho" w:hAnsi="Arial Narrow" w:cs="Times New Roman"/>
                <w:snapToGrid/>
                <w:sz w:val="20"/>
              </w:rPr>
              <w:t>Change in HbA1c from baseline to week 24</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Charbonnel</w:t>
            </w:r>
            <w:proofErr w:type="spellEnd"/>
            <w:r w:rsidRPr="00671D38">
              <w:rPr>
                <w:rFonts w:ascii="Arial Narrow" w:hAnsi="Arial Narrow"/>
                <w:sz w:val="20"/>
              </w:rPr>
              <w:t xml:space="preserve"> 2006</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R, DB, PC (24-week)</w:t>
            </w:r>
          </w:p>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SITA 100mg (N=464), PBO (N=237), 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Unclear</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ts inadequately controlled on metformin</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24</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Nucci</w:t>
            </w:r>
            <w:proofErr w:type="spellEnd"/>
            <w:r w:rsidRPr="00671D38">
              <w:rPr>
                <w:rFonts w:ascii="Arial Narrow" w:hAnsi="Arial Narrow"/>
                <w:sz w:val="20"/>
              </w:rPr>
              <w:t xml:space="preserve"> 2011</w:t>
            </w:r>
          </w:p>
          <w:p w:rsidR="00B15810" w:rsidRPr="00671D38" w:rsidRDefault="00B15810" w:rsidP="00F4721A">
            <w:pPr>
              <w:tabs>
                <w:tab w:val="left" w:pos="720"/>
              </w:tabs>
              <w:jc w:val="left"/>
              <w:rPr>
                <w:rFonts w:ascii="Arial Narrow" w:hAnsi="Arial Narrow"/>
                <w:sz w:val="20"/>
              </w:rPr>
            </w:pPr>
            <w:r w:rsidRPr="00671D38">
              <w:rPr>
                <w:rFonts w:ascii="Arial Narrow" w:hAnsi="Arial Narrow"/>
                <w:sz w:val="20"/>
              </w:rPr>
              <w:t>[abstract]</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(12-week)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SITA 100mg, PBO, added to MET (total N=328)</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B15810"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Unclear</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w:t>
            </w:r>
            <w:r w:rsidRPr="00671D38">
              <w:rPr>
                <w:rFonts w:ascii="Arial Narrow" w:eastAsia="MS Mincho" w:hAnsi="Arial Narrow" w:cs="Times New Roman"/>
                <w:iCs/>
                <w:snapToGrid/>
                <w:sz w:val="20"/>
              </w:rPr>
              <w:t>on metformin</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E435F"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12</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Raz</w:t>
            </w:r>
            <w:proofErr w:type="spellEnd"/>
            <w:r w:rsidRPr="00671D38">
              <w:rPr>
                <w:rFonts w:ascii="Arial Narrow" w:hAnsi="Arial Narrow"/>
                <w:sz w:val="20"/>
              </w:rPr>
              <w:t xml:space="preserve"> 2008</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(30-week)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SITA 100mg  (N=96), PBO (N=94), added to m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szCs w:val="22"/>
              </w:rPr>
              <w:t>Low</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 xml:space="preserve">atients </w:t>
            </w:r>
            <w:r w:rsidR="00147D6D" w:rsidRPr="00671D38">
              <w:rPr>
                <w:rFonts w:ascii="Arial Narrow" w:eastAsia="MS Mincho" w:hAnsi="Arial Narrow" w:cs="Times New Roman"/>
                <w:iCs/>
                <w:snapToGrid/>
                <w:sz w:val="20"/>
              </w:rPr>
              <w:t xml:space="preserve">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18</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Scott 2008</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AC (18-week)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SITA 100mg (N=94), PBO  (N=92), 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Unclear</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18</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Yang 2012</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(24-week)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SITA 100mg  (N=197), PBO (N=198), 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ts inadequately controlled on metformin</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24</w:t>
            </w:r>
          </w:p>
        </w:tc>
      </w:tr>
      <w:tr w:rsidR="00B15810" w:rsidRPr="00671D38" w:rsidTr="001003F7">
        <w:tc>
          <w:tcPr>
            <w:tcW w:w="5000" w:type="pct"/>
            <w:gridSpan w:val="5"/>
            <w:tcBorders>
              <w:top w:val="nil"/>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 xml:space="preserve">SITA+MET </w:t>
            </w:r>
            <w:r w:rsidR="00727B49" w:rsidRPr="00671D38">
              <w:rPr>
                <w:rFonts w:ascii="Arial Narrow" w:eastAsia="MS Mincho" w:hAnsi="Arial Narrow" w:cs="Times New Roman"/>
                <w:b/>
                <w:iCs/>
                <w:snapToGrid/>
                <w:sz w:val="20"/>
              </w:rPr>
              <w:t>vs.</w:t>
            </w:r>
            <w:r w:rsidRPr="00671D38">
              <w:rPr>
                <w:rFonts w:ascii="Arial Narrow" w:eastAsia="MS Mincho" w:hAnsi="Arial Narrow" w:cs="Times New Roman"/>
                <w:b/>
                <w:iCs/>
                <w:snapToGrid/>
                <w:sz w:val="20"/>
              </w:rPr>
              <w:t xml:space="preserve"> CANA+MET </w:t>
            </w:r>
            <w:r w:rsidR="00727B49" w:rsidRPr="00671D38">
              <w:rPr>
                <w:rFonts w:ascii="Arial Narrow" w:eastAsia="MS Mincho" w:hAnsi="Arial Narrow" w:cs="Times New Roman"/>
                <w:b/>
                <w:iCs/>
                <w:snapToGrid/>
                <w:sz w:val="20"/>
              </w:rPr>
              <w:t>vs.</w:t>
            </w:r>
            <w:r w:rsidRPr="00671D38">
              <w:rPr>
                <w:rFonts w:ascii="Arial Narrow" w:eastAsia="MS Mincho" w:hAnsi="Arial Narrow" w:cs="Times New Roman"/>
                <w:b/>
                <w:iCs/>
                <w:snapToGrid/>
                <w:sz w:val="20"/>
              </w:rPr>
              <w:t xml:space="preserve"> PBO+MET</w:t>
            </w:r>
          </w:p>
        </w:tc>
      </w:tr>
      <w:tr w:rsidR="00147D6D" w:rsidRPr="00671D38" w:rsidTr="00F54CDC">
        <w:tc>
          <w:tcPr>
            <w:tcW w:w="54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CANTATA-D</w:t>
            </w: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(26 weeks), AC (52 weeks)</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CANA 100mg (N=368), CANA 300mg (N=367), SITA 100mg   (N=366), PBO (N=183), 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ts inadequately controlled on metformin</w:t>
            </w:r>
          </w:p>
        </w:tc>
        <w:tc>
          <w:tcPr>
            <w:tcW w:w="915" w:type="pct"/>
            <w:tcBorders>
              <w:top w:val="single" w:sz="4" w:space="0" w:color="auto"/>
              <w:left w:val="single" w:sz="4" w:space="0" w:color="auto"/>
              <w:bottom w:val="nil"/>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26</w:t>
            </w:r>
          </w:p>
        </w:tc>
      </w:tr>
      <w:tr w:rsidR="00147D6D" w:rsidRPr="00671D38" w:rsidTr="00F54CDC">
        <w:tc>
          <w:tcPr>
            <w:tcW w:w="54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Rosenstock</w:t>
            </w:r>
            <w:proofErr w:type="spellEnd"/>
            <w:r w:rsidRPr="00671D38">
              <w:rPr>
                <w:rFonts w:ascii="Arial Narrow" w:hAnsi="Arial Narrow"/>
                <w:sz w:val="20"/>
              </w:rPr>
              <w:t xml:space="preserve"> 2012</w:t>
            </w: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AC (26/52-week)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CANA 100mg (N=64), CANA 300mg (N=64), SITA 100mg (N=65), PBO (N=65), 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Unclear</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nil"/>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12</w:t>
            </w:r>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DAPA+MET vs PBO+MET</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 xml:space="preserve">Study CT-003 </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(16-week)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DAPA 10mg (N=99), PBO (N=101), added to MET</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Unclear</w:t>
            </w:r>
          </w:p>
        </w:tc>
        <w:tc>
          <w:tcPr>
            <w:tcW w:w="1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16</w:t>
            </w:r>
          </w:p>
        </w:tc>
      </w:tr>
      <w:tr w:rsidR="00147D6D" w:rsidRPr="00671D38" w:rsidTr="00F54CDC">
        <w:tc>
          <w:tcPr>
            <w:tcW w:w="547" w:type="pct"/>
            <w:tcBorders>
              <w:top w:val="single" w:sz="4" w:space="0" w:color="auto"/>
              <w:left w:val="single" w:sz="4" w:space="0" w:color="auto"/>
              <w:bottom w:val="nil"/>
              <w:right w:val="single" w:sz="4" w:space="0" w:color="auto"/>
            </w:tcBorders>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Study CT-012</w:t>
            </w:r>
          </w:p>
          <w:p w:rsidR="00147D6D" w:rsidRPr="00671D38" w:rsidRDefault="00147D6D" w:rsidP="00F4721A">
            <w:pPr>
              <w:tabs>
                <w:tab w:val="left" w:pos="720"/>
              </w:tabs>
              <w:jc w:val="left"/>
              <w:rPr>
                <w:rFonts w:ascii="Arial Narrow" w:hAnsi="Arial Narrow"/>
                <w:sz w:val="20"/>
              </w:rPr>
            </w:pP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(24-week)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DAPA 10mg (N=89), PBO (N=91), 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E435F" w:rsidP="00F4721A">
            <w:pPr>
              <w:widowControl/>
              <w:jc w:val="center"/>
              <w:rPr>
                <w:rFonts w:ascii="Arial Narrow" w:eastAsia="MS Mincho" w:hAnsi="Arial Narrow" w:cs="Times New Roman"/>
                <w:snapToGrid/>
                <w:sz w:val="20"/>
              </w:rPr>
            </w:pPr>
            <w:r w:rsidRPr="00671D38">
              <w:rPr>
                <w:rFonts w:ascii="Arial Narrow" w:eastAsia="MS Mincho" w:hAnsi="Arial Narrow" w:cs="Times New Roman"/>
                <w:snapToGrid/>
                <w:sz w:val="20"/>
              </w:rPr>
              <w:t>Low</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snapToGrid/>
                <w:sz w:val="20"/>
              </w:rPr>
            </w:pPr>
            <w:r w:rsidRPr="00671D38">
              <w:rPr>
                <w:rFonts w:ascii="Arial Narrow" w:eastAsia="MS Mincho" w:hAnsi="Arial Narrow" w:cs="Times New Roman"/>
                <w:snapToGrid/>
                <w:sz w:val="20"/>
              </w:rPr>
              <w:t>Type 2 diabetes</w:t>
            </w:r>
            <w:r w:rsidR="00147D6D" w:rsidRPr="00671D38">
              <w:rPr>
                <w:rFonts w:ascii="Arial Narrow" w:eastAsia="MS Mincho" w:hAnsi="Arial Narrow" w:cs="Times New Roman"/>
                <w:snapToGrid/>
                <w:sz w:val="20"/>
              </w:rPr>
              <w:t xml:space="preserve"> p</w:t>
            </w:r>
            <w:r w:rsidRPr="00671D38">
              <w:rPr>
                <w:rFonts w:ascii="Arial Narrow" w:eastAsia="MS Mincho" w:hAnsi="Arial Narrow" w:cs="Times New Roman"/>
                <w:snapToGrid/>
                <w:sz w:val="20"/>
              </w:rPr>
              <w:t>atien</w:t>
            </w:r>
            <w:r w:rsidR="00147D6D" w:rsidRPr="00671D38">
              <w:rPr>
                <w:rFonts w:ascii="Arial Narrow" w:eastAsia="MS Mincho" w:hAnsi="Arial Narrow" w:cs="Times New Roman"/>
                <w:snapToGrid/>
                <w:sz w:val="20"/>
              </w:rPr>
              <w:t xml:space="preserve">ts inadequately controlled on metformin </w:t>
            </w:r>
          </w:p>
        </w:tc>
        <w:tc>
          <w:tcPr>
            <w:tcW w:w="915" w:type="pct"/>
            <w:tcBorders>
              <w:top w:val="single" w:sz="4" w:space="0" w:color="auto"/>
              <w:left w:val="single" w:sz="4" w:space="0" w:color="auto"/>
              <w:bottom w:val="nil"/>
              <w:right w:val="single" w:sz="4" w:space="0" w:color="auto"/>
            </w:tcBorders>
            <w:hideMark/>
          </w:tcPr>
          <w:p w:rsidR="00147D6D" w:rsidRPr="00671D38" w:rsidRDefault="00147D6D" w:rsidP="00F4721A">
            <w:pPr>
              <w:widowControl/>
              <w:jc w:val="left"/>
              <w:rPr>
                <w:rFonts w:ascii="Arial Narrow" w:eastAsia="MS Mincho" w:hAnsi="Arial Narrow" w:cs="Times New Roman"/>
                <w:snapToGrid/>
                <w:sz w:val="20"/>
              </w:rPr>
            </w:pPr>
            <w:r w:rsidRPr="00671D38">
              <w:rPr>
                <w:rFonts w:ascii="Arial Narrow" w:eastAsia="MS Mincho" w:hAnsi="Arial Narrow" w:cs="Times New Roman"/>
                <w:snapToGrid/>
                <w:sz w:val="20"/>
              </w:rPr>
              <w:t>Change in total body weight from baseline to week 24</w:t>
            </w:r>
          </w:p>
        </w:tc>
      </w:tr>
      <w:tr w:rsidR="00147D6D" w:rsidRPr="00671D38" w:rsidTr="00F54CDC">
        <w:tc>
          <w:tcPr>
            <w:tcW w:w="54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Study CT-014</w:t>
            </w: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PC (24-week)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bCs/>
                <w:sz w:val="20"/>
              </w:rPr>
              <w:t>DAPA 2</w:t>
            </w:r>
            <w:r w:rsidRPr="00671D38">
              <w:rPr>
                <w:rFonts w:ascii="MS Gothic" w:eastAsia="MS Gothic" w:hAnsi="MS Gothic" w:cs="MS Gothic" w:hint="eastAsia"/>
                <w:bCs/>
                <w:sz w:val="20"/>
              </w:rPr>
              <w:t>.</w:t>
            </w:r>
            <w:r w:rsidRPr="00671D38">
              <w:rPr>
                <w:rFonts w:ascii="Arial Narrow" w:hAnsi="Arial Narrow"/>
                <w:bCs/>
                <w:sz w:val="20"/>
              </w:rPr>
              <w:t>5 mg (N=137), DAPA 5 mg (N=137), DAPA 10 mg (N=135), PBO (N=137), 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w:t>
            </w:r>
            <w:r w:rsidR="00147D6D" w:rsidRPr="00671D38">
              <w:rPr>
                <w:rFonts w:ascii="Arial Narrow" w:eastAsia="MS Mincho" w:hAnsi="Arial Narrow" w:cs="Times New Roman"/>
                <w:iCs/>
                <w:snapToGrid/>
                <w:sz w:val="20"/>
              </w:rPr>
              <w:t>hange from baseline in HbA1c at week 24</w:t>
            </w:r>
          </w:p>
        </w:tc>
      </w:tr>
    </w:tbl>
    <w:p w:rsidR="00F54CDC" w:rsidRDefault="00F54CDC"/>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Common reference using sulfonylurea+metformin"/>
      </w:tblPr>
      <w:tblGrid>
        <w:gridCol w:w="913"/>
        <w:gridCol w:w="3103"/>
        <w:gridCol w:w="693"/>
        <w:gridCol w:w="2111"/>
        <w:gridCol w:w="1525"/>
      </w:tblGrid>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 xml:space="preserve">Common reference using </w:t>
            </w:r>
            <w:proofErr w:type="spellStart"/>
            <w:r w:rsidRPr="00671D38">
              <w:rPr>
                <w:rFonts w:ascii="Arial Narrow" w:eastAsia="MS Mincho" w:hAnsi="Arial Narrow" w:cs="Times New Roman"/>
                <w:b/>
                <w:iCs/>
                <w:snapToGrid/>
                <w:sz w:val="20"/>
              </w:rPr>
              <w:t>sulfonylurea+metformin</w:t>
            </w:r>
            <w:proofErr w:type="spellEnd"/>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EMPA+MET vs SU+MET</w:t>
            </w:r>
          </w:p>
        </w:tc>
      </w:tr>
      <w:tr w:rsidR="00147D6D" w:rsidRPr="00671D38" w:rsidTr="00F54CDC">
        <w:tc>
          <w:tcPr>
            <w:tcW w:w="54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Trial 1245.28</w:t>
            </w: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AC (104-week)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EMPA 25mg (N=769), glimepiride 1 to 4 m/day(N=780),</w:t>
            </w:r>
            <w:r w:rsidRPr="00671D38">
              <w:rPr>
                <w:rFonts w:ascii="Arial Narrow" w:hAnsi="Arial Narrow"/>
                <w:bCs/>
                <w:sz w:val="20"/>
              </w:rPr>
              <w:t xml:space="preserve"> 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atient</w:t>
            </w:r>
            <w:r w:rsidR="00147D6D" w:rsidRPr="00671D38">
              <w:rPr>
                <w:rFonts w:ascii="Arial Narrow" w:eastAsia="MS Mincho" w:hAnsi="Arial Narrow" w:cs="Times New Roman"/>
                <w:iCs/>
                <w:snapToGrid/>
                <w:sz w:val="20"/>
              </w:rPr>
              <w:t xml:space="preserve">s inadequately controlled on metformin </w:t>
            </w:r>
          </w:p>
        </w:tc>
        <w:tc>
          <w:tcPr>
            <w:tcW w:w="915" w:type="pct"/>
            <w:tcBorders>
              <w:top w:val="single" w:sz="4" w:space="0" w:color="auto"/>
              <w:left w:val="single" w:sz="4" w:space="0" w:color="auto"/>
              <w:bottom w:val="nil"/>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from baseline in HbA</w:t>
            </w:r>
            <w:r w:rsidR="00B15810" w:rsidRPr="00671D38">
              <w:rPr>
                <w:rFonts w:ascii="Arial Narrow" w:eastAsia="MS Mincho" w:hAnsi="Arial Narrow" w:cs="Times New Roman"/>
                <w:iCs/>
                <w:snapToGrid/>
                <w:sz w:val="20"/>
              </w:rPr>
              <w:t>1c after 104 weeks of treatment</w:t>
            </w:r>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snapToGrid/>
                <w:sz w:val="20"/>
              </w:rPr>
            </w:pPr>
            <w:r w:rsidRPr="00671D38">
              <w:rPr>
                <w:rFonts w:ascii="Arial Narrow" w:eastAsia="MS Mincho" w:hAnsi="Arial Narrow" w:cs="Times New Roman"/>
                <w:b/>
                <w:snapToGrid/>
                <w:sz w:val="20"/>
              </w:rPr>
              <w:t>SITA+MET vs SU+MET</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Koren</w:t>
            </w:r>
            <w:proofErr w:type="spellEnd"/>
            <w:r w:rsidRPr="00671D38">
              <w:rPr>
                <w:rFonts w:ascii="Arial Narrow" w:hAnsi="Arial Narrow"/>
                <w:sz w:val="20"/>
              </w:rPr>
              <w:t xml:space="preserve"> 2012</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P, OL, C</w:t>
            </w:r>
            <w:r w:rsidR="003D0851" w:rsidRPr="00671D38">
              <w:rPr>
                <w:rFonts w:ascii="Arial Narrow" w:hAnsi="Arial Narrow"/>
                <w:sz w:val="20"/>
              </w:rPr>
              <w:t>O</w:t>
            </w:r>
            <w:r w:rsidRPr="00671D38">
              <w:rPr>
                <w:rFonts w:ascii="Arial Narrow" w:hAnsi="Arial Narrow"/>
                <w:sz w:val="20"/>
              </w:rPr>
              <w:t xml:space="preserve"> (28-week)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b/>
                <w:sz w:val="20"/>
                <w:lang w:val="en-US"/>
              </w:rPr>
              <w:t>Participant numbers</w:t>
            </w:r>
            <w:r w:rsidRPr="00671D38">
              <w:rPr>
                <w:rFonts w:ascii="Arial Narrow" w:hAnsi="Arial Narrow"/>
                <w:b/>
                <w:sz w:val="20"/>
              </w:rPr>
              <w:t xml:space="preserve">: </w:t>
            </w:r>
            <w:r w:rsidRPr="00671D38">
              <w:rPr>
                <w:rFonts w:ascii="Arial Narrow" w:hAnsi="Arial Narrow"/>
                <w:sz w:val="20"/>
              </w:rPr>
              <w:t xml:space="preserve">SITA 100mg, </w:t>
            </w:r>
            <w:proofErr w:type="spellStart"/>
            <w:r w:rsidRPr="00671D38">
              <w:rPr>
                <w:rFonts w:ascii="Arial Narrow" w:hAnsi="Arial Narrow"/>
                <w:sz w:val="20"/>
              </w:rPr>
              <w:t>glibenclamide</w:t>
            </w:r>
            <w:proofErr w:type="spellEnd"/>
            <w:r w:rsidRPr="00671D38">
              <w:rPr>
                <w:rFonts w:ascii="Arial Narrow" w:hAnsi="Arial Narrow"/>
                <w:sz w:val="20"/>
              </w:rPr>
              <w:t xml:space="preserve"> (5 mg &amp; titrated as needed), </w:t>
            </w:r>
            <w:r w:rsidRPr="00671D38">
              <w:rPr>
                <w:rFonts w:ascii="Arial Narrow" w:hAnsi="Arial Narrow"/>
                <w:bCs/>
                <w:sz w:val="20"/>
              </w:rPr>
              <w:t>added to MET</w:t>
            </w:r>
            <w:r w:rsidRPr="00671D38">
              <w:rPr>
                <w:rFonts w:ascii="Arial Narrow" w:hAnsi="Arial Narrow"/>
                <w:sz w:val="20"/>
              </w:rPr>
              <w:t xml:space="preserve"> (total N=40)</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High</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E435F" w:rsidP="00F4721A">
            <w:pPr>
              <w:widowControl/>
              <w:jc w:val="left"/>
              <w:rPr>
                <w:rFonts w:ascii="Arial Narrow" w:eastAsia="MS Mincho" w:hAnsi="Arial Narrow" w:cs="Times New Roman"/>
                <w:iCs/>
                <w:snapToGrid/>
                <w:sz w:val="20"/>
              </w:rPr>
            </w:pPr>
            <w:r w:rsidRPr="00671D38">
              <w:rPr>
                <w:rFonts w:ascii="Arial Narrow" w:hAnsi="Arial Narrow"/>
                <w:sz w:val="20"/>
              </w:rPr>
              <w:t>Change from baseline to week 12 for cardiovascular risk factors</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proofErr w:type="spellStart"/>
            <w:r w:rsidRPr="00671D38">
              <w:rPr>
                <w:rFonts w:ascii="Arial Narrow" w:hAnsi="Arial Narrow"/>
                <w:sz w:val="20"/>
              </w:rPr>
              <w:t>Nauck</w:t>
            </w:r>
            <w:proofErr w:type="spellEnd"/>
            <w:r w:rsidRPr="00671D38">
              <w:rPr>
                <w:rFonts w:ascii="Arial Narrow" w:hAnsi="Arial Narrow"/>
                <w:sz w:val="20"/>
              </w:rPr>
              <w:t xml:space="preserve"> 2007</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AC (52-week)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 xml:space="preserve">SITA 100 mg (N = 588), </w:t>
            </w:r>
            <w:proofErr w:type="spellStart"/>
            <w:r w:rsidRPr="00671D38">
              <w:rPr>
                <w:rFonts w:ascii="Arial Narrow" w:hAnsi="Arial Narrow"/>
                <w:sz w:val="20"/>
              </w:rPr>
              <w:t>glipizide</w:t>
            </w:r>
            <w:proofErr w:type="spellEnd"/>
            <w:r w:rsidRPr="00671D38">
              <w:rPr>
                <w:rFonts w:ascii="Arial Narrow" w:hAnsi="Arial Narrow"/>
                <w:sz w:val="20"/>
              </w:rPr>
              <w:t xml:space="preserve"> 5 - 20 mg (N =584), </w:t>
            </w:r>
            <w:r w:rsidRPr="00671D38">
              <w:rPr>
                <w:rFonts w:ascii="Arial Narrow" w:hAnsi="Arial Narrow"/>
                <w:bCs/>
                <w:sz w:val="20"/>
              </w:rPr>
              <w:t>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w:t>
            </w:r>
            <w:r w:rsidR="00B15810" w:rsidRPr="00671D38">
              <w:rPr>
                <w:rFonts w:ascii="Arial Narrow" w:eastAsia="MS Mincho" w:hAnsi="Arial Narrow" w:cs="Times New Roman"/>
                <w:iCs/>
                <w:snapToGrid/>
                <w:sz w:val="20"/>
              </w:rPr>
              <w:t xml:space="preserve"> HbA1c from baseline at week 52</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1E435F">
            <w:pPr>
              <w:tabs>
                <w:tab w:val="left" w:pos="720"/>
              </w:tabs>
              <w:jc w:val="left"/>
              <w:rPr>
                <w:rFonts w:ascii="Arial Narrow" w:hAnsi="Arial Narrow"/>
                <w:sz w:val="20"/>
              </w:rPr>
            </w:pPr>
            <w:proofErr w:type="spellStart"/>
            <w:r w:rsidRPr="00671D38">
              <w:rPr>
                <w:rFonts w:ascii="Arial Narrow" w:hAnsi="Arial Narrow"/>
                <w:sz w:val="20"/>
              </w:rPr>
              <w:t>Seck</w:t>
            </w:r>
            <w:proofErr w:type="spellEnd"/>
            <w:r w:rsidRPr="00671D38">
              <w:rPr>
                <w:rFonts w:ascii="Arial Narrow" w:hAnsi="Arial Narrow"/>
                <w:sz w:val="20"/>
              </w:rPr>
              <w:t xml:space="preserve"> 2010b</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AC (30-week)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SITA 100 mg</w:t>
            </w:r>
            <w:r w:rsidRPr="00671D38">
              <w:rPr>
                <w:rFonts w:ascii="Times-Roman" w:hAnsi="Times-Roman" w:cs="Times-Roman"/>
                <w:snapToGrid/>
                <w:sz w:val="14"/>
                <w:szCs w:val="14"/>
                <w:lang w:eastAsia="en-AU"/>
              </w:rPr>
              <w:t xml:space="preserve"> </w:t>
            </w:r>
            <w:r w:rsidRPr="00671D38">
              <w:rPr>
                <w:rFonts w:ascii="Arial Narrow" w:hAnsi="Arial Narrow"/>
                <w:sz w:val="20"/>
              </w:rPr>
              <w:t>(n = 516), glimepiride 1- 6 mg)</w:t>
            </w:r>
            <w:r w:rsidRPr="00671D38">
              <w:rPr>
                <w:rFonts w:ascii="Times-Roman" w:hAnsi="Times-Roman" w:cs="Times-Roman"/>
                <w:snapToGrid/>
                <w:sz w:val="14"/>
                <w:szCs w:val="14"/>
                <w:lang w:eastAsia="en-AU"/>
              </w:rPr>
              <w:t xml:space="preserve"> </w:t>
            </w:r>
            <w:r w:rsidRPr="00671D38">
              <w:rPr>
                <w:rFonts w:ascii="Arial Narrow" w:hAnsi="Arial Narrow"/>
                <w:sz w:val="20"/>
              </w:rPr>
              <w:t xml:space="preserve">(n = 519), </w:t>
            </w:r>
            <w:r w:rsidRPr="00671D38">
              <w:rPr>
                <w:rFonts w:ascii="Arial Narrow" w:hAnsi="Arial Narrow"/>
                <w:bCs/>
                <w:sz w:val="20"/>
              </w:rPr>
              <w:t>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w:t>
            </w:r>
            <w:r w:rsidR="00B15810" w:rsidRPr="00671D38">
              <w:rPr>
                <w:rFonts w:ascii="Arial Narrow" w:eastAsia="MS Mincho" w:hAnsi="Arial Narrow" w:cs="Times New Roman"/>
                <w:iCs/>
                <w:snapToGrid/>
                <w:sz w:val="20"/>
              </w:rPr>
              <w:t xml:space="preserve"> HbA1c from baseline at week 30</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lastRenderedPageBreak/>
              <w:t>Srivastava 2012</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AC (18-week)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lang w:val="en-US"/>
              </w:rPr>
              <w:t>SITA</w:t>
            </w:r>
            <w:r w:rsidRPr="00671D38">
              <w:rPr>
                <w:rFonts w:ascii="Arial Narrow" w:hAnsi="Arial Narrow"/>
                <w:sz w:val="20"/>
              </w:rPr>
              <w:t xml:space="preserve"> 50/100-200 mg, glimepiride 1/2 - 4mg per day. (total N=50), </w:t>
            </w:r>
            <w:r w:rsidRPr="00671D38">
              <w:rPr>
                <w:rFonts w:ascii="Arial Narrow" w:hAnsi="Arial Narrow"/>
                <w:bCs/>
                <w:sz w:val="20"/>
              </w:rPr>
              <w:t>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High</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p</w:t>
            </w:r>
            <w:r w:rsidRPr="00671D38">
              <w:rPr>
                <w:rFonts w:ascii="Arial Narrow" w:eastAsia="MS Mincho" w:hAnsi="Arial Narrow" w:cs="Times New Roman"/>
                <w:iCs/>
                <w:snapToGrid/>
                <w:sz w:val="20"/>
              </w:rPr>
              <w:t>atien</w:t>
            </w:r>
            <w:r w:rsidR="00147D6D" w:rsidRPr="00671D38">
              <w:rPr>
                <w:rFonts w:ascii="Arial Narrow" w:eastAsia="MS Mincho" w:hAnsi="Arial Narrow" w:cs="Times New Roman"/>
                <w:iCs/>
                <w:snapToGrid/>
                <w:sz w:val="20"/>
              </w:rPr>
              <w:t xml:space="preserve">ts 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E435F"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 to week 52</w:t>
            </w:r>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DAPA+MET vs SU+MET</w:t>
            </w:r>
          </w:p>
        </w:tc>
      </w:tr>
      <w:tr w:rsidR="00147D6D" w:rsidRPr="00671D38" w:rsidTr="00F54CDC">
        <w:tc>
          <w:tcPr>
            <w:tcW w:w="547"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Trial CT-004</w:t>
            </w:r>
          </w:p>
        </w:tc>
        <w:tc>
          <w:tcPr>
            <w:tcW w:w="1859" w:type="pct"/>
            <w:tcBorders>
              <w:top w:val="single" w:sz="4" w:space="0" w:color="auto"/>
              <w:left w:val="single" w:sz="4" w:space="0" w:color="auto"/>
              <w:bottom w:val="nil"/>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AC (52-week)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lang w:val="en-US"/>
              </w:rPr>
              <w:t>DAPA</w:t>
            </w:r>
            <w:r w:rsidRPr="00671D38">
              <w:rPr>
                <w:rFonts w:ascii="Arial Narrow" w:hAnsi="Arial Narrow"/>
                <w:sz w:val="20"/>
              </w:rPr>
              <w:t xml:space="preserve"> 2.5- 10mg (n = 406), </w:t>
            </w:r>
            <w:proofErr w:type="spellStart"/>
            <w:r w:rsidRPr="00671D38">
              <w:rPr>
                <w:rFonts w:ascii="Arial Narrow" w:hAnsi="Arial Narrow"/>
                <w:sz w:val="20"/>
              </w:rPr>
              <w:t>glipizide</w:t>
            </w:r>
            <w:proofErr w:type="spellEnd"/>
            <w:r w:rsidRPr="00671D38">
              <w:rPr>
                <w:rFonts w:ascii="Arial Narrow" w:hAnsi="Arial Narrow"/>
                <w:sz w:val="20"/>
              </w:rPr>
              <w:t xml:space="preserve"> 5- 20mg) (n = 408), </w:t>
            </w:r>
            <w:r w:rsidRPr="00671D38">
              <w:rPr>
                <w:rFonts w:ascii="Arial Narrow" w:hAnsi="Arial Narrow"/>
                <w:bCs/>
                <w:sz w:val="20"/>
              </w:rPr>
              <w:t>added to MET</w:t>
            </w:r>
          </w:p>
        </w:tc>
        <w:tc>
          <w:tcPr>
            <w:tcW w:w="415" w:type="pct"/>
            <w:tcBorders>
              <w:top w:val="single" w:sz="4" w:space="0" w:color="auto"/>
              <w:left w:val="single" w:sz="4" w:space="0" w:color="auto"/>
              <w:bottom w:val="nil"/>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nil"/>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w:t>
            </w:r>
            <w:proofErr w:type="spellStart"/>
            <w:r w:rsidR="00147D6D" w:rsidRPr="00671D38">
              <w:rPr>
                <w:rFonts w:ascii="Arial Narrow" w:eastAsia="MS Mincho" w:hAnsi="Arial Narrow" w:cs="Times New Roman"/>
                <w:iCs/>
                <w:snapToGrid/>
                <w:sz w:val="20"/>
              </w:rPr>
              <w:t>pts</w:t>
            </w:r>
            <w:proofErr w:type="spellEnd"/>
            <w:r w:rsidR="00147D6D" w:rsidRPr="00671D38">
              <w:rPr>
                <w:rFonts w:ascii="Arial Narrow" w:eastAsia="MS Mincho" w:hAnsi="Arial Narrow" w:cs="Times New Roman"/>
                <w:iCs/>
                <w:snapToGrid/>
                <w:sz w:val="20"/>
              </w:rPr>
              <w:t xml:space="preserve"> inadequately controlled on metformin </w:t>
            </w:r>
          </w:p>
        </w:tc>
        <w:tc>
          <w:tcPr>
            <w:tcW w:w="915" w:type="pct"/>
            <w:tcBorders>
              <w:top w:val="single" w:sz="4" w:space="0" w:color="auto"/>
              <w:left w:val="single" w:sz="4" w:space="0" w:color="auto"/>
              <w:bottom w:val="nil"/>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 HbA1c from baseline</w:t>
            </w:r>
            <w:r w:rsidR="00B15810" w:rsidRPr="00671D38">
              <w:rPr>
                <w:rFonts w:ascii="Arial Narrow" w:eastAsia="MS Mincho" w:hAnsi="Arial Narrow" w:cs="Times New Roman"/>
                <w:iCs/>
                <w:snapToGrid/>
                <w:sz w:val="20"/>
              </w:rPr>
              <w:t xml:space="preserve"> to week 52</w:t>
            </w:r>
          </w:p>
        </w:tc>
      </w:tr>
      <w:tr w:rsidR="00B15810" w:rsidRPr="00671D38" w:rsidTr="001003F7">
        <w:tc>
          <w:tcPr>
            <w:tcW w:w="5000" w:type="pct"/>
            <w:gridSpan w:val="5"/>
            <w:tcBorders>
              <w:top w:val="single" w:sz="4" w:space="0" w:color="auto"/>
              <w:left w:val="single" w:sz="4" w:space="0" w:color="auto"/>
              <w:bottom w:val="single" w:sz="4" w:space="0" w:color="auto"/>
              <w:right w:val="single" w:sz="4" w:space="0" w:color="auto"/>
            </w:tcBorders>
            <w:hideMark/>
          </w:tcPr>
          <w:p w:rsidR="00B15810" w:rsidRPr="00671D38" w:rsidRDefault="00B15810" w:rsidP="00F4721A">
            <w:pPr>
              <w:widowControl/>
              <w:jc w:val="left"/>
              <w:rPr>
                <w:rFonts w:ascii="Arial Narrow" w:eastAsia="MS Mincho" w:hAnsi="Arial Narrow" w:cs="Times New Roman"/>
                <w:b/>
                <w:iCs/>
                <w:snapToGrid/>
                <w:sz w:val="20"/>
              </w:rPr>
            </w:pPr>
            <w:r w:rsidRPr="00671D38">
              <w:rPr>
                <w:rFonts w:ascii="Arial Narrow" w:eastAsia="MS Mincho" w:hAnsi="Arial Narrow" w:cs="Times New Roman"/>
                <w:b/>
                <w:iCs/>
                <w:snapToGrid/>
                <w:sz w:val="20"/>
              </w:rPr>
              <w:t>CANA+MET vs SU+MET</w:t>
            </w:r>
          </w:p>
        </w:tc>
      </w:tr>
      <w:tr w:rsidR="00147D6D" w:rsidRPr="00671D38" w:rsidTr="00F54CDC">
        <w:tc>
          <w:tcPr>
            <w:tcW w:w="547"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sz w:val="20"/>
              </w:rPr>
            </w:pPr>
            <w:r w:rsidRPr="00671D38">
              <w:rPr>
                <w:rFonts w:ascii="Arial Narrow" w:hAnsi="Arial Narrow"/>
                <w:sz w:val="20"/>
              </w:rPr>
              <w:t>CANTATA-SU</w:t>
            </w:r>
          </w:p>
        </w:tc>
        <w:tc>
          <w:tcPr>
            <w:tcW w:w="1859"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rPr>
              <w:t>R, DB, AC (52-week)</w:t>
            </w:r>
          </w:p>
          <w:p w:rsidR="00147D6D" w:rsidRPr="00671D38" w:rsidRDefault="00147D6D" w:rsidP="00F4721A">
            <w:pPr>
              <w:tabs>
                <w:tab w:val="left" w:pos="720"/>
              </w:tabs>
              <w:jc w:val="left"/>
              <w:rPr>
                <w:rFonts w:ascii="Arial Narrow" w:hAnsi="Arial Narrow"/>
                <w:b/>
                <w:sz w:val="20"/>
              </w:rPr>
            </w:pPr>
            <w:r w:rsidRPr="00671D38">
              <w:rPr>
                <w:rFonts w:ascii="Arial Narrow" w:hAnsi="Arial Narrow"/>
                <w:sz w:val="20"/>
                <w:lang w:val="en-US"/>
              </w:rPr>
              <w:t>CANA</w:t>
            </w:r>
            <w:r w:rsidRPr="00671D38">
              <w:rPr>
                <w:rFonts w:ascii="Arial Narrow" w:hAnsi="Arial Narrow"/>
                <w:sz w:val="20"/>
              </w:rPr>
              <w:t xml:space="preserve"> 100 mg (N=483), </w:t>
            </w:r>
            <w:r w:rsidRPr="00671D38">
              <w:rPr>
                <w:rFonts w:ascii="Arial Narrow" w:hAnsi="Arial Narrow"/>
                <w:sz w:val="20"/>
                <w:lang w:val="en-US"/>
              </w:rPr>
              <w:t>CANA</w:t>
            </w:r>
            <w:r w:rsidRPr="00671D38">
              <w:rPr>
                <w:rFonts w:ascii="Arial Narrow" w:hAnsi="Arial Narrow"/>
                <w:sz w:val="20"/>
              </w:rPr>
              <w:t xml:space="preserve"> 300 mg (N=485), glimepiride 1- 6/8 mg) (N=482), </w:t>
            </w:r>
            <w:r w:rsidRPr="00671D38">
              <w:rPr>
                <w:rFonts w:ascii="Arial Narrow" w:hAnsi="Arial Narrow"/>
                <w:bCs/>
                <w:sz w:val="20"/>
              </w:rPr>
              <w:t>added to MET</w:t>
            </w:r>
          </w:p>
        </w:tc>
        <w:tc>
          <w:tcPr>
            <w:tcW w:w="415" w:type="pc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eastAsia="MS Mincho" w:hAnsi="Arial Narrow" w:cs="Times New Roman"/>
                <w:iCs/>
                <w:snapToGrid/>
                <w:sz w:val="20"/>
              </w:rPr>
            </w:pPr>
            <w:r w:rsidRPr="00671D38">
              <w:rPr>
                <w:rFonts w:ascii="Arial Narrow" w:eastAsia="MS Mincho" w:hAnsi="Arial Narrow" w:cs="Times New Roman"/>
                <w:iCs/>
                <w:snapToGrid/>
                <w:sz w:val="20"/>
              </w:rPr>
              <w:t>Low</w:t>
            </w:r>
          </w:p>
        </w:tc>
        <w:tc>
          <w:tcPr>
            <w:tcW w:w="1265" w:type="pct"/>
            <w:tcBorders>
              <w:top w:val="single" w:sz="4" w:space="0" w:color="auto"/>
              <w:left w:val="single" w:sz="4" w:space="0" w:color="auto"/>
              <w:bottom w:val="single" w:sz="4" w:space="0" w:color="auto"/>
              <w:right w:val="single" w:sz="4" w:space="0" w:color="auto"/>
            </w:tcBorders>
            <w:hideMark/>
          </w:tcPr>
          <w:p w:rsidR="00147D6D" w:rsidRPr="00671D38" w:rsidRDefault="00B15810"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Type 2 diabetes</w:t>
            </w:r>
            <w:r w:rsidR="00147D6D" w:rsidRPr="00671D38">
              <w:rPr>
                <w:rFonts w:ascii="Arial Narrow" w:eastAsia="MS Mincho" w:hAnsi="Arial Narrow" w:cs="Times New Roman"/>
                <w:iCs/>
                <w:snapToGrid/>
                <w:sz w:val="20"/>
              </w:rPr>
              <w:t xml:space="preserve"> </w:t>
            </w:r>
            <w:proofErr w:type="spellStart"/>
            <w:r w:rsidR="00147D6D" w:rsidRPr="00671D38">
              <w:rPr>
                <w:rFonts w:ascii="Arial Narrow" w:eastAsia="MS Mincho" w:hAnsi="Arial Narrow" w:cs="Times New Roman"/>
                <w:iCs/>
                <w:snapToGrid/>
                <w:sz w:val="20"/>
              </w:rPr>
              <w:t>pts</w:t>
            </w:r>
            <w:proofErr w:type="spellEnd"/>
            <w:r w:rsidR="00147D6D" w:rsidRPr="00671D38">
              <w:rPr>
                <w:rFonts w:ascii="Arial Narrow" w:eastAsia="MS Mincho" w:hAnsi="Arial Narrow" w:cs="Times New Roman"/>
                <w:iCs/>
                <w:snapToGrid/>
                <w:sz w:val="20"/>
              </w:rPr>
              <w:t xml:space="preserve"> inadequately controlled on metformin </w:t>
            </w:r>
          </w:p>
        </w:tc>
        <w:tc>
          <w:tcPr>
            <w:tcW w:w="915" w:type="pct"/>
            <w:tcBorders>
              <w:top w:val="single" w:sz="4" w:space="0" w:color="auto"/>
              <w:left w:val="single" w:sz="4" w:space="0" w:color="auto"/>
              <w:bottom w:val="single" w:sz="4" w:space="0" w:color="auto"/>
              <w:right w:val="single" w:sz="4" w:space="0" w:color="auto"/>
            </w:tcBorders>
            <w:hideMark/>
          </w:tcPr>
          <w:p w:rsidR="00147D6D" w:rsidRPr="00671D38" w:rsidRDefault="00147D6D" w:rsidP="00F4721A">
            <w:pPr>
              <w:widowControl/>
              <w:jc w:val="left"/>
              <w:rPr>
                <w:rFonts w:ascii="Arial Narrow" w:eastAsia="MS Mincho" w:hAnsi="Arial Narrow" w:cs="Times New Roman"/>
                <w:iCs/>
                <w:snapToGrid/>
                <w:sz w:val="20"/>
              </w:rPr>
            </w:pPr>
            <w:r w:rsidRPr="00671D38">
              <w:rPr>
                <w:rFonts w:ascii="Arial Narrow" w:eastAsia="MS Mincho" w:hAnsi="Arial Narrow" w:cs="Times New Roman"/>
                <w:iCs/>
                <w:snapToGrid/>
                <w:sz w:val="20"/>
              </w:rPr>
              <w:t>Change in</w:t>
            </w:r>
            <w:r w:rsidR="00B15810" w:rsidRPr="00671D38">
              <w:rPr>
                <w:rFonts w:ascii="Arial Narrow" w:eastAsia="MS Mincho" w:hAnsi="Arial Narrow" w:cs="Times New Roman"/>
                <w:iCs/>
                <w:snapToGrid/>
                <w:sz w:val="20"/>
              </w:rPr>
              <w:t xml:space="preserve"> HbA1c from baseline to week 52</w:t>
            </w:r>
          </w:p>
        </w:tc>
      </w:tr>
    </w:tbl>
    <w:p w:rsidR="00147D6D" w:rsidRPr="00671D38" w:rsidRDefault="00147D6D" w:rsidP="001003F7">
      <w:pPr>
        <w:ind w:firstLine="720"/>
        <w:rPr>
          <w:rFonts w:ascii="Arial Narrow" w:hAnsi="Arial Narrow"/>
          <w:sz w:val="18"/>
        </w:rPr>
      </w:pPr>
      <w:r w:rsidRPr="00671D38">
        <w:rPr>
          <w:rFonts w:ascii="Arial Narrow" w:hAnsi="Arial Narrow"/>
          <w:sz w:val="18"/>
        </w:rPr>
        <w:t>Note: In studies with multiple arms and comparators table includes only arms of trials relevant to the submission</w:t>
      </w:r>
    </w:p>
    <w:p w:rsidR="00147D6D" w:rsidRPr="00671D38" w:rsidRDefault="00147D6D" w:rsidP="001003F7">
      <w:pPr>
        <w:ind w:firstLine="720"/>
        <w:rPr>
          <w:rFonts w:ascii="Arial Narrow" w:hAnsi="Arial Narrow"/>
          <w:sz w:val="18"/>
        </w:rPr>
      </w:pPr>
      <w:r w:rsidRPr="00671D38">
        <w:rPr>
          <w:rFonts w:ascii="Arial Narrow" w:hAnsi="Arial Narrow"/>
          <w:sz w:val="18"/>
        </w:rPr>
        <w:t>Source: from individual trial reports &amp; publications provided in the relevant references &amp; attachments of the submission.</w:t>
      </w:r>
    </w:p>
    <w:p w:rsidR="00147D6D" w:rsidRPr="00671D38" w:rsidRDefault="00147D6D" w:rsidP="001003F7">
      <w:pPr>
        <w:ind w:left="709"/>
        <w:rPr>
          <w:rFonts w:ascii="Arial Narrow" w:hAnsi="Arial Narrow"/>
          <w:iCs/>
          <w:sz w:val="18"/>
          <w:szCs w:val="18"/>
        </w:rPr>
      </w:pPr>
      <w:r w:rsidRPr="00671D38">
        <w:rPr>
          <w:rFonts w:ascii="Arial Narrow" w:hAnsi="Arial Narrow"/>
          <w:sz w:val="18"/>
        </w:rPr>
        <w:t>Abbreviations:</w:t>
      </w:r>
      <w:r w:rsidRPr="00671D38">
        <w:t xml:space="preserve"> </w:t>
      </w:r>
      <w:r w:rsidR="003D0851" w:rsidRPr="00671D38">
        <w:rPr>
          <w:rFonts w:ascii="Arial Narrow" w:hAnsi="Arial Narrow"/>
          <w:iCs/>
          <w:sz w:val="18"/>
          <w:szCs w:val="18"/>
        </w:rPr>
        <w:t xml:space="preserve">AC, active controlled; </w:t>
      </w:r>
      <w:r w:rsidR="00B15810" w:rsidRPr="00671D38">
        <w:rPr>
          <w:rFonts w:ascii="Arial Narrow" w:hAnsi="Arial Narrow"/>
          <w:sz w:val="18"/>
          <w:szCs w:val="18"/>
        </w:rPr>
        <w:t xml:space="preserve">CANA, </w:t>
      </w:r>
      <w:proofErr w:type="spellStart"/>
      <w:r w:rsidR="00B15810" w:rsidRPr="00671D38">
        <w:rPr>
          <w:rFonts w:ascii="Arial Narrow" w:hAnsi="Arial Narrow"/>
          <w:sz w:val="18"/>
          <w:szCs w:val="18"/>
        </w:rPr>
        <w:t>canagliflozin</w:t>
      </w:r>
      <w:proofErr w:type="spellEnd"/>
      <w:r w:rsidR="00B15810" w:rsidRPr="00671D38">
        <w:rPr>
          <w:rFonts w:ascii="Arial Narrow" w:hAnsi="Arial Narrow"/>
          <w:sz w:val="18"/>
          <w:szCs w:val="18"/>
        </w:rPr>
        <w:t xml:space="preserve">; DAPA, </w:t>
      </w:r>
      <w:proofErr w:type="spellStart"/>
      <w:r w:rsidR="00B15810" w:rsidRPr="00671D38">
        <w:rPr>
          <w:rFonts w:ascii="Arial Narrow" w:hAnsi="Arial Narrow"/>
          <w:sz w:val="18"/>
          <w:szCs w:val="18"/>
        </w:rPr>
        <w:t>dapagliflozin</w:t>
      </w:r>
      <w:proofErr w:type="spellEnd"/>
      <w:r w:rsidR="00B15810" w:rsidRPr="00671D38">
        <w:rPr>
          <w:rFonts w:ascii="Arial Narrow" w:hAnsi="Arial Narrow"/>
          <w:sz w:val="18"/>
          <w:szCs w:val="18"/>
        </w:rPr>
        <w:t xml:space="preserve">; </w:t>
      </w:r>
      <w:r w:rsidR="003D0851" w:rsidRPr="00671D38">
        <w:rPr>
          <w:rFonts w:ascii="Arial Narrow" w:hAnsi="Arial Narrow"/>
          <w:iCs/>
          <w:sz w:val="18"/>
          <w:szCs w:val="18"/>
        </w:rPr>
        <w:t xml:space="preserve">DB, double blind; </w:t>
      </w:r>
      <w:r w:rsidRPr="00671D38">
        <w:rPr>
          <w:rFonts w:ascii="Arial Narrow" w:hAnsi="Arial Narrow"/>
          <w:sz w:val="18"/>
          <w:szCs w:val="18"/>
        </w:rPr>
        <w:t>EMPA</w:t>
      </w:r>
      <w:r w:rsidR="00B15810" w:rsidRPr="00671D38">
        <w:rPr>
          <w:rFonts w:ascii="Arial Narrow" w:hAnsi="Arial Narrow"/>
          <w:sz w:val="18"/>
          <w:szCs w:val="18"/>
        </w:rPr>
        <w:t xml:space="preserve">, </w:t>
      </w:r>
      <w:proofErr w:type="spellStart"/>
      <w:r w:rsidRPr="00671D38">
        <w:rPr>
          <w:rFonts w:ascii="Arial Narrow" w:hAnsi="Arial Narrow"/>
          <w:sz w:val="18"/>
          <w:szCs w:val="18"/>
        </w:rPr>
        <w:t>empagliflozin</w:t>
      </w:r>
      <w:proofErr w:type="spellEnd"/>
      <w:r w:rsidR="00B15810" w:rsidRPr="00671D38">
        <w:rPr>
          <w:rFonts w:ascii="Arial Narrow" w:hAnsi="Arial Narrow"/>
          <w:sz w:val="18"/>
          <w:szCs w:val="18"/>
        </w:rPr>
        <w:t>; HbA1c, glycosylated haemoglobin</w:t>
      </w:r>
      <w:r w:rsidRPr="00671D38">
        <w:rPr>
          <w:rFonts w:ascii="Arial Narrow" w:hAnsi="Arial Narrow"/>
          <w:sz w:val="18"/>
          <w:szCs w:val="18"/>
        </w:rPr>
        <w:t xml:space="preserve">; </w:t>
      </w:r>
      <w:r w:rsidR="00B15810" w:rsidRPr="00671D38">
        <w:rPr>
          <w:rFonts w:ascii="Arial Narrow" w:hAnsi="Arial Narrow"/>
          <w:sz w:val="18"/>
          <w:szCs w:val="18"/>
        </w:rPr>
        <w:t xml:space="preserve">MET, metformin; OL, open label; </w:t>
      </w:r>
      <w:r w:rsidR="003D0851" w:rsidRPr="00671D38">
        <w:rPr>
          <w:rFonts w:ascii="Arial Narrow" w:hAnsi="Arial Narrow"/>
          <w:iCs/>
          <w:sz w:val="18"/>
          <w:szCs w:val="18"/>
        </w:rPr>
        <w:t xml:space="preserve">P, prospective; PC, placebo controlled; </w:t>
      </w:r>
      <w:r w:rsidR="00B15810" w:rsidRPr="00671D38">
        <w:rPr>
          <w:rFonts w:ascii="Arial Narrow" w:hAnsi="Arial Narrow"/>
          <w:sz w:val="18"/>
          <w:szCs w:val="18"/>
        </w:rPr>
        <w:t xml:space="preserve">PBO, placebo; </w:t>
      </w:r>
      <w:r w:rsidRPr="00671D38">
        <w:rPr>
          <w:rFonts w:ascii="Arial Narrow" w:hAnsi="Arial Narrow"/>
          <w:sz w:val="18"/>
          <w:szCs w:val="18"/>
        </w:rPr>
        <w:t>SU</w:t>
      </w:r>
      <w:r w:rsidR="00B15810" w:rsidRPr="00671D38">
        <w:rPr>
          <w:rFonts w:ascii="Arial Narrow" w:hAnsi="Arial Narrow"/>
          <w:sz w:val="18"/>
          <w:szCs w:val="18"/>
        </w:rPr>
        <w:t xml:space="preserve">, </w:t>
      </w:r>
      <w:r w:rsidRPr="00671D38">
        <w:rPr>
          <w:rFonts w:ascii="Arial Narrow" w:hAnsi="Arial Narrow"/>
          <w:sz w:val="18"/>
          <w:szCs w:val="18"/>
        </w:rPr>
        <w:t>sul</w:t>
      </w:r>
      <w:r w:rsidR="00B15810" w:rsidRPr="00671D38">
        <w:rPr>
          <w:rFonts w:ascii="Arial Narrow" w:hAnsi="Arial Narrow"/>
          <w:sz w:val="18"/>
          <w:szCs w:val="18"/>
        </w:rPr>
        <w:t>f</w:t>
      </w:r>
      <w:r w:rsidRPr="00671D38">
        <w:rPr>
          <w:rFonts w:ascii="Arial Narrow" w:hAnsi="Arial Narrow"/>
          <w:sz w:val="18"/>
          <w:szCs w:val="18"/>
        </w:rPr>
        <w:t xml:space="preserve">onylurea; </w:t>
      </w:r>
      <w:r w:rsidRPr="00671D38">
        <w:rPr>
          <w:rFonts w:ascii="Arial Narrow" w:hAnsi="Arial Narrow"/>
          <w:iCs/>
          <w:sz w:val="18"/>
          <w:szCs w:val="18"/>
        </w:rPr>
        <w:t>OL=open label; R=randomised; C</w:t>
      </w:r>
      <w:r w:rsidR="003D0851" w:rsidRPr="00671D38">
        <w:rPr>
          <w:rFonts w:ascii="Arial Narrow" w:hAnsi="Arial Narrow"/>
          <w:iCs/>
          <w:sz w:val="18"/>
          <w:szCs w:val="18"/>
        </w:rPr>
        <w:t>O</w:t>
      </w:r>
      <w:r w:rsidRPr="00671D38">
        <w:rPr>
          <w:rFonts w:ascii="Arial Narrow" w:hAnsi="Arial Narrow"/>
          <w:iCs/>
          <w:sz w:val="18"/>
          <w:szCs w:val="18"/>
        </w:rPr>
        <w:t xml:space="preserve">= crossover trial; SITA= </w:t>
      </w:r>
      <w:proofErr w:type="spellStart"/>
      <w:r w:rsidRPr="00671D38">
        <w:rPr>
          <w:rFonts w:ascii="Arial Narrow" w:hAnsi="Arial Narrow"/>
          <w:iCs/>
          <w:sz w:val="18"/>
          <w:szCs w:val="18"/>
        </w:rPr>
        <w:t>sitagliptin</w:t>
      </w:r>
      <w:proofErr w:type="spellEnd"/>
    </w:p>
    <w:p w:rsidR="00147D6D" w:rsidRPr="00671D38" w:rsidRDefault="00147D6D" w:rsidP="00F4721A">
      <w:pPr>
        <w:rPr>
          <w:szCs w:val="22"/>
        </w:rPr>
      </w:pPr>
    </w:p>
    <w:p w:rsidR="00777D2B" w:rsidRPr="00671D38" w:rsidRDefault="00777D2B" w:rsidP="00777D2B">
      <w:pPr>
        <w:pStyle w:val="ListParagraph"/>
        <w:ind w:left="709"/>
        <w:rPr>
          <w:i/>
          <w:szCs w:val="22"/>
        </w:rPr>
      </w:pPr>
      <w:r w:rsidRPr="00671D38">
        <w:rPr>
          <w:i/>
          <w:szCs w:val="22"/>
        </w:rPr>
        <w:t>For PBAC’s view, see section 7 “PBAC outcome”</w:t>
      </w:r>
    </w:p>
    <w:p w:rsidR="001737B8" w:rsidRPr="00671D38" w:rsidRDefault="001737B8" w:rsidP="001737B8"/>
    <w:p w:rsidR="00147D6D" w:rsidRPr="00671D38" w:rsidRDefault="00147D6D" w:rsidP="00F4721A">
      <w:pPr>
        <w:outlineLvl w:val="1"/>
        <w:rPr>
          <w:b/>
        </w:rPr>
      </w:pPr>
      <w:bookmarkStart w:id="7" w:name="_Toc386015341"/>
      <w:bookmarkStart w:id="8" w:name="_Toc387851405"/>
      <w:r w:rsidRPr="00671D38">
        <w:rPr>
          <w:b/>
        </w:rPr>
        <w:t>Comparative effectiveness</w:t>
      </w:r>
      <w:bookmarkEnd w:id="7"/>
      <w:bookmarkEnd w:id="8"/>
    </w:p>
    <w:p w:rsidR="00147D6D" w:rsidRPr="00671D38" w:rsidRDefault="00147D6D" w:rsidP="00F4721A">
      <w:pPr>
        <w:rPr>
          <w:szCs w:val="22"/>
        </w:rPr>
      </w:pPr>
    </w:p>
    <w:p w:rsidR="00F4721A" w:rsidRPr="00F54CDC" w:rsidRDefault="007240DF" w:rsidP="00F54CDC">
      <w:pPr>
        <w:pStyle w:val="ListParagraph"/>
        <w:widowControl/>
        <w:numPr>
          <w:ilvl w:val="1"/>
          <w:numId w:val="20"/>
        </w:numPr>
        <w:rPr>
          <w:szCs w:val="22"/>
        </w:rPr>
      </w:pPr>
      <w:r w:rsidRPr="00F54CDC">
        <w:rPr>
          <w:szCs w:val="22"/>
        </w:rPr>
        <w:t>The evaluation noted that n</w:t>
      </w:r>
      <w:r w:rsidR="00147D6D" w:rsidRPr="00F54CDC">
        <w:rPr>
          <w:szCs w:val="22"/>
        </w:rPr>
        <w:t xml:space="preserve">o data are presented to support the requested listing for </w:t>
      </w:r>
      <w:proofErr w:type="spellStart"/>
      <w:r w:rsidR="00147D6D" w:rsidRPr="00F54CDC">
        <w:rPr>
          <w:szCs w:val="22"/>
        </w:rPr>
        <w:t>empagliflozin</w:t>
      </w:r>
      <w:proofErr w:type="spellEnd"/>
      <w:r w:rsidR="00147D6D" w:rsidRPr="00F54CDC">
        <w:rPr>
          <w:szCs w:val="22"/>
        </w:rPr>
        <w:t xml:space="preserve"> in combination with a sulfonylurea.</w:t>
      </w:r>
      <w:r w:rsidR="00F8234C" w:rsidRPr="00F54CDC">
        <w:rPr>
          <w:szCs w:val="22"/>
        </w:rPr>
        <w:t xml:space="preserve"> </w:t>
      </w:r>
      <w:r w:rsidR="00C657E9" w:rsidRPr="00F54CDC">
        <w:rPr>
          <w:szCs w:val="22"/>
        </w:rPr>
        <w:t>The PSCR (p2) stated</w:t>
      </w:r>
      <w:r w:rsidR="005A0441" w:rsidRPr="00F54CDC">
        <w:rPr>
          <w:szCs w:val="22"/>
        </w:rPr>
        <w:t xml:space="preserve"> that the approved TGA indication allows </w:t>
      </w:r>
      <w:proofErr w:type="spellStart"/>
      <w:r w:rsidR="005A0441" w:rsidRPr="00F54CDC">
        <w:rPr>
          <w:szCs w:val="22"/>
        </w:rPr>
        <w:t>empagliflozin</w:t>
      </w:r>
      <w:proofErr w:type="spellEnd"/>
      <w:r w:rsidR="005A0441" w:rsidRPr="00F54CDC">
        <w:rPr>
          <w:szCs w:val="22"/>
        </w:rPr>
        <w:t xml:space="preserve"> to be used as an add-on therapy. The ESC noted that the approved TGA indication is more broad compared to the requested PBS indication, and that this has been acknowledged by the sponsor.</w:t>
      </w:r>
    </w:p>
    <w:p w:rsidR="005A0441" w:rsidRPr="00671D38" w:rsidRDefault="005A0441" w:rsidP="00F54CDC">
      <w:pPr>
        <w:pStyle w:val="COMBody"/>
      </w:pPr>
    </w:p>
    <w:p w:rsidR="00F4721A" w:rsidRPr="00F54CDC" w:rsidRDefault="00F4721A" w:rsidP="00F54CDC">
      <w:pPr>
        <w:pStyle w:val="ListParagraph"/>
        <w:widowControl/>
        <w:numPr>
          <w:ilvl w:val="1"/>
          <w:numId w:val="20"/>
        </w:numPr>
        <w:rPr>
          <w:szCs w:val="22"/>
        </w:rPr>
      </w:pPr>
      <w:r w:rsidRPr="00F54CDC">
        <w:rPr>
          <w:rFonts w:eastAsia="Calibri"/>
          <w:snapToGrid/>
          <w:szCs w:val="22"/>
        </w:rPr>
        <w:t xml:space="preserve">The result of </w:t>
      </w:r>
      <w:r w:rsidR="003313ED" w:rsidRPr="00F54CDC">
        <w:rPr>
          <w:rFonts w:eastAsia="Calibri"/>
          <w:snapToGrid/>
          <w:szCs w:val="22"/>
        </w:rPr>
        <w:t xml:space="preserve">the </w:t>
      </w:r>
      <w:r w:rsidRPr="00F54CDC">
        <w:rPr>
          <w:rFonts w:eastAsia="Calibri"/>
          <w:snapToGrid/>
          <w:szCs w:val="22"/>
        </w:rPr>
        <w:t xml:space="preserve">head-to-head comparison of </w:t>
      </w:r>
      <w:proofErr w:type="spellStart"/>
      <w:r w:rsidRPr="00F54CDC">
        <w:rPr>
          <w:rFonts w:eastAsia="Calibri"/>
          <w:snapToGrid/>
          <w:szCs w:val="22"/>
        </w:rPr>
        <w:t>empagliflozin</w:t>
      </w:r>
      <w:proofErr w:type="spellEnd"/>
      <w:r w:rsidRPr="00F54CDC">
        <w:rPr>
          <w:rFonts w:eastAsia="Calibri"/>
          <w:snapToGrid/>
          <w:szCs w:val="22"/>
        </w:rPr>
        <w:t xml:space="preserve"> 25</w:t>
      </w:r>
      <w:r w:rsidR="003733B5" w:rsidRPr="00F54CDC">
        <w:rPr>
          <w:rFonts w:eastAsia="Calibri"/>
          <w:snapToGrid/>
          <w:szCs w:val="22"/>
        </w:rPr>
        <w:t xml:space="preserve"> </w:t>
      </w:r>
      <w:r w:rsidRPr="00F54CDC">
        <w:rPr>
          <w:rFonts w:eastAsia="Calibri"/>
          <w:snapToGrid/>
          <w:szCs w:val="22"/>
        </w:rPr>
        <w:t xml:space="preserve">mg and </w:t>
      </w:r>
      <w:r w:rsidR="000A6D53" w:rsidRPr="00F54CDC">
        <w:rPr>
          <w:rFonts w:eastAsia="Calibri"/>
          <w:snapToGrid/>
          <w:szCs w:val="22"/>
        </w:rPr>
        <w:t xml:space="preserve">open-label </w:t>
      </w:r>
      <w:proofErr w:type="spellStart"/>
      <w:r w:rsidRPr="00F54CDC">
        <w:rPr>
          <w:rFonts w:eastAsia="Calibri"/>
          <w:snapToGrid/>
          <w:szCs w:val="22"/>
        </w:rPr>
        <w:t>sitagliptin</w:t>
      </w:r>
      <w:proofErr w:type="spellEnd"/>
      <w:r w:rsidRPr="00F54CDC">
        <w:rPr>
          <w:rFonts w:eastAsia="Calibri"/>
          <w:snapToGrid/>
          <w:szCs w:val="22"/>
        </w:rPr>
        <w:t xml:space="preserve"> 100</w:t>
      </w:r>
      <w:r w:rsidR="003733B5" w:rsidRPr="00F54CDC">
        <w:rPr>
          <w:rFonts w:eastAsia="Calibri"/>
          <w:snapToGrid/>
          <w:szCs w:val="22"/>
        </w:rPr>
        <w:t xml:space="preserve"> </w:t>
      </w:r>
      <w:r w:rsidRPr="00F54CDC">
        <w:rPr>
          <w:rFonts w:eastAsia="Calibri"/>
          <w:snapToGrid/>
          <w:szCs w:val="22"/>
        </w:rPr>
        <w:t>mg, in combination with metformin is summarised</w:t>
      </w:r>
      <w:r w:rsidR="003733B5" w:rsidRPr="00F54CDC">
        <w:rPr>
          <w:rFonts w:eastAsia="Calibri"/>
          <w:snapToGrid/>
          <w:szCs w:val="22"/>
        </w:rPr>
        <w:t xml:space="preserve"> below</w:t>
      </w:r>
      <w:r w:rsidRPr="00F54CDC">
        <w:rPr>
          <w:rFonts w:eastAsia="Calibri"/>
          <w:snapToGrid/>
          <w:szCs w:val="22"/>
        </w:rPr>
        <w:t>.</w:t>
      </w:r>
    </w:p>
    <w:p w:rsidR="00F4721A" w:rsidRPr="00671D38" w:rsidRDefault="00F4721A" w:rsidP="00F83114">
      <w:pPr>
        <w:pStyle w:val="COMTbl-cap"/>
        <w:ind w:firstLine="709"/>
        <w:rPr>
          <w:snapToGrid/>
        </w:rPr>
      </w:pPr>
      <w:r w:rsidRPr="00671D38">
        <w:rPr>
          <w:snapToGrid/>
        </w:rPr>
        <w:t xml:space="preserve">Study 1245.10: comparison of </w:t>
      </w:r>
      <w:proofErr w:type="spellStart"/>
      <w:r w:rsidRPr="00671D38">
        <w:rPr>
          <w:snapToGrid/>
        </w:rPr>
        <w:t>empagliflozin</w:t>
      </w:r>
      <w:proofErr w:type="spellEnd"/>
      <w:r w:rsidRPr="00671D38">
        <w:rPr>
          <w:snapToGrid/>
        </w:rPr>
        <w:t xml:space="preserve"> and</w:t>
      </w:r>
      <w:r w:rsidR="000A6D53" w:rsidRPr="00671D38">
        <w:rPr>
          <w:snapToGrid/>
        </w:rPr>
        <w:t xml:space="preserve"> (open-label)</w:t>
      </w:r>
      <w:r w:rsidRPr="00671D38">
        <w:rPr>
          <w:snapToGrid/>
        </w:rPr>
        <w:t xml:space="preserve"> </w:t>
      </w:r>
      <w:proofErr w:type="spellStart"/>
      <w:r w:rsidRPr="00671D38">
        <w:rPr>
          <w:snapToGrid/>
        </w:rPr>
        <w:t>sitagliptin</w:t>
      </w:r>
      <w:proofErr w:type="spellEnd"/>
      <w:r w:rsidRPr="00671D38">
        <w:rPr>
          <w:snapToGrid/>
        </w:rPr>
        <w:t xml:space="preserve"> with metformin</w:t>
      </w:r>
    </w:p>
    <w:tbl>
      <w:tblPr>
        <w:tblStyle w:val="TableGrid"/>
        <w:tblW w:w="0" w:type="auto"/>
        <w:tblInd w:w="817" w:type="dxa"/>
        <w:tblLook w:val="04A0" w:firstRow="1" w:lastRow="0" w:firstColumn="1" w:lastColumn="0" w:noHBand="0" w:noVBand="1"/>
        <w:tblDescription w:val="Study 1245.10: comparison of empagliflozin and (open-label) sitagliptin with metformin"/>
      </w:tblPr>
      <w:tblGrid>
        <w:gridCol w:w="1493"/>
        <w:gridCol w:w="2310"/>
        <w:gridCol w:w="2311"/>
        <w:gridCol w:w="2311"/>
      </w:tblGrid>
      <w:tr w:rsidR="00F4721A" w:rsidRPr="00671D38" w:rsidTr="001003F7">
        <w:tc>
          <w:tcPr>
            <w:tcW w:w="1493" w:type="dxa"/>
            <w:vAlign w:val="center"/>
          </w:tcPr>
          <w:p w:rsidR="00F4721A" w:rsidRPr="00671D38" w:rsidRDefault="00F4721A" w:rsidP="00F4721A">
            <w:pPr>
              <w:rPr>
                <w:rFonts w:ascii="Arial Narrow" w:hAnsi="Arial Narrow"/>
                <w:b/>
                <w:sz w:val="20"/>
              </w:rPr>
            </w:pPr>
          </w:p>
        </w:tc>
        <w:tc>
          <w:tcPr>
            <w:tcW w:w="2310" w:type="dxa"/>
            <w:vAlign w:val="center"/>
          </w:tcPr>
          <w:p w:rsidR="00F4721A" w:rsidRPr="00671D38" w:rsidRDefault="00F4721A" w:rsidP="00F4721A">
            <w:pPr>
              <w:jc w:val="center"/>
              <w:rPr>
                <w:rFonts w:ascii="Arial Narrow" w:hAnsi="Arial Narrow"/>
                <w:b/>
                <w:sz w:val="20"/>
              </w:rPr>
            </w:pPr>
            <w:r w:rsidRPr="00671D38">
              <w:rPr>
                <w:rFonts w:ascii="Arial Narrow" w:hAnsi="Arial Narrow"/>
                <w:b/>
                <w:sz w:val="20"/>
              </w:rPr>
              <w:t>EMPA 25mg+MET</w:t>
            </w:r>
          </w:p>
          <w:p w:rsidR="00F4721A" w:rsidRPr="00671D38" w:rsidRDefault="00F4721A" w:rsidP="00F4721A">
            <w:pPr>
              <w:jc w:val="center"/>
              <w:rPr>
                <w:rFonts w:ascii="Arial Narrow" w:hAnsi="Arial Narrow"/>
                <w:b/>
                <w:sz w:val="20"/>
              </w:rPr>
            </w:pPr>
            <w:r w:rsidRPr="00671D38">
              <w:rPr>
                <w:rFonts w:ascii="Arial Narrow" w:hAnsi="Arial Narrow"/>
                <w:b/>
                <w:sz w:val="20"/>
              </w:rPr>
              <w:t>N=70</w:t>
            </w:r>
          </w:p>
        </w:tc>
        <w:tc>
          <w:tcPr>
            <w:tcW w:w="2311" w:type="dxa"/>
            <w:vAlign w:val="center"/>
          </w:tcPr>
          <w:p w:rsidR="00F4721A" w:rsidRPr="00671D38" w:rsidRDefault="00F4721A" w:rsidP="00F4721A">
            <w:pPr>
              <w:jc w:val="center"/>
              <w:rPr>
                <w:rFonts w:ascii="Arial Narrow" w:hAnsi="Arial Narrow"/>
                <w:b/>
                <w:sz w:val="20"/>
              </w:rPr>
            </w:pPr>
            <w:r w:rsidRPr="00671D38">
              <w:rPr>
                <w:rFonts w:ascii="Arial Narrow" w:hAnsi="Arial Narrow"/>
                <w:b/>
                <w:sz w:val="20"/>
              </w:rPr>
              <w:t>SITA 100mg+MET</w:t>
            </w:r>
          </w:p>
          <w:p w:rsidR="00F4721A" w:rsidRPr="00671D38" w:rsidRDefault="00F4721A" w:rsidP="00F4721A">
            <w:pPr>
              <w:jc w:val="center"/>
              <w:rPr>
                <w:rFonts w:ascii="Arial Narrow" w:hAnsi="Arial Narrow"/>
                <w:b/>
                <w:sz w:val="20"/>
              </w:rPr>
            </w:pPr>
            <w:r w:rsidRPr="00671D38">
              <w:rPr>
                <w:rFonts w:ascii="Arial Narrow" w:hAnsi="Arial Narrow"/>
                <w:b/>
                <w:sz w:val="20"/>
              </w:rPr>
              <w:t>N=71</w:t>
            </w:r>
          </w:p>
        </w:tc>
        <w:tc>
          <w:tcPr>
            <w:tcW w:w="2311" w:type="dxa"/>
            <w:vAlign w:val="center"/>
          </w:tcPr>
          <w:p w:rsidR="00F4721A" w:rsidRPr="00671D38" w:rsidRDefault="00F4721A" w:rsidP="00F4721A">
            <w:pPr>
              <w:jc w:val="center"/>
              <w:rPr>
                <w:rFonts w:ascii="Arial Narrow" w:hAnsi="Arial Narrow"/>
                <w:b/>
                <w:sz w:val="20"/>
              </w:rPr>
            </w:pPr>
            <w:r w:rsidRPr="00671D38">
              <w:rPr>
                <w:rFonts w:ascii="Arial Narrow" w:hAnsi="Arial Narrow"/>
                <w:b/>
                <w:sz w:val="20"/>
              </w:rPr>
              <w:t>Mean difference (95% CI)</w:t>
            </w:r>
          </w:p>
        </w:tc>
      </w:tr>
      <w:tr w:rsidR="00F4721A" w:rsidRPr="00671D38" w:rsidTr="001003F7">
        <w:tc>
          <w:tcPr>
            <w:tcW w:w="1493" w:type="dxa"/>
            <w:vAlign w:val="center"/>
          </w:tcPr>
          <w:p w:rsidR="00F4721A" w:rsidRPr="00671D38" w:rsidRDefault="00F4721A" w:rsidP="00F4721A">
            <w:pPr>
              <w:jc w:val="left"/>
              <w:rPr>
                <w:rFonts w:ascii="Arial Narrow" w:hAnsi="Arial Narrow"/>
                <w:sz w:val="20"/>
              </w:rPr>
            </w:pPr>
            <w:r w:rsidRPr="00671D38">
              <w:rPr>
                <w:rFonts w:ascii="Arial Narrow" w:hAnsi="Arial Narrow"/>
                <w:sz w:val="20"/>
              </w:rPr>
              <w:t>Mean (SD) change from baseline in HbA1c</w:t>
            </w:r>
          </w:p>
        </w:tc>
        <w:tc>
          <w:tcPr>
            <w:tcW w:w="2310" w:type="dxa"/>
            <w:vAlign w:val="center"/>
          </w:tcPr>
          <w:p w:rsidR="00F4721A" w:rsidRPr="00671D38" w:rsidRDefault="00C05DA8" w:rsidP="0039236C">
            <w:pPr>
              <w:jc w:val="center"/>
              <w:rPr>
                <w:rFonts w:ascii="Arial Narrow" w:hAnsi="Arial Narrow"/>
                <w:sz w:val="20"/>
              </w:rPr>
            </w:pPr>
            <w:r>
              <w:rPr>
                <w:rFonts w:ascii="Arial Narrow" w:hAnsi="Arial Narrow"/>
                <w:i/>
                <w:noProof/>
                <w:color w:val="000000"/>
                <w:sz w:val="20"/>
                <w:highlight w:val="black"/>
              </w:rPr>
              <w:t>''''''''''''</w:t>
            </w:r>
            <w:r>
              <w:rPr>
                <w:rFonts w:ascii="Arial Narrow" w:hAnsi="Arial Narrow"/>
                <w:noProof/>
                <w:color w:val="000000"/>
                <w:sz w:val="20"/>
                <w:highlight w:val="black"/>
              </w:rPr>
              <w:t xml:space="preserve"> ''''''''''''''''</w:t>
            </w:r>
          </w:p>
        </w:tc>
        <w:tc>
          <w:tcPr>
            <w:tcW w:w="2311" w:type="dxa"/>
            <w:vAlign w:val="center"/>
          </w:tcPr>
          <w:p w:rsidR="00F4721A"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w:t>
            </w:r>
          </w:p>
        </w:tc>
        <w:tc>
          <w:tcPr>
            <w:tcW w:w="2311" w:type="dxa"/>
            <w:vAlign w:val="center"/>
          </w:tcPr>
          <w:p w:rsidR="00F4721A"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r>
    </w:tbl>
    <w:p w:rsidR="00F4721A" w:rsidRPr="00671D38" w:rsidRDefault="00F4721A" w:rsidP="00F83114">
      <w:pPr>
        <w:pStyle w:val="COMTbl-foot"/>
        <w:ind w:firstLine="720"/>
        <w:rPr>
          <w:snapToGrid/>
        </w:rPr>
      </w:pPr>
      <w:r w:rsidRPr="00671D38">
        <w:rPr>
          <w:snapToGrid/>
        </w:rPr>
        <w:t>Source: Table 45, p129 Attachment 5 of the submission</w:t>
      </w:r>
    </w:p>
    <w:p w:rsidR="00F4721A" w:rsidRPr="00671D38" w:rsidRDefault="00F4721A" w:rsidP="00F83114">
      <w:pPr>
        <w:pStyle w:val="COMTbl-foot"/>
        <w:ind w:firstLine="720"/>
        <w:rPr>
          <w:snapToGrid/>
        </w:rPr>
      </w:pPr>
      <w:r w:rsidRPr="00671D38">
        <w:rPr>
          <w:snapToGrid/>
        </w:rPr>
        <w:t xml:space="preserve">Abbreviations: EMPA, </w:t>
      </w:r>
      <w:proofErr w:type="spellStart"/>
      <w:r w:rsidRPr="00671D38">
        <w:rPr>
          <w:snapToGrid/>
        </w:rPr>
        <w:t>empagliflozin</w:t>
      </w:r>
      <w:proofErr w:type="spellEnd"/>
      <w:r w:rsidRPr="00671D38">
        <w:rPr>
          <w:snapToGrid/>
        </w:rPr>
        <w:t xml:space="preserve">; MET, metformin; SD, standard deviation; SITA, </w:t>
      </w:r>
      <w:proofErr w:type="spellStart"/>
      <w:r w:rsidRPr="00671D38">
        <w:rPr>
          <w:snapToGrid/>
        </w:rPr>
        <w:t>sitagliptin</w:t>
      </w:r>
      <w:proofErr w:type="spellEnd"/>
      <w:r w:rsidRPr="00671D38">
        <w:rPr>
          <w:snapToGrid/>
        </w:rPr>
        <w:t>.</w:t>
      </w:r>
    </w:p>
    <w:p w:rsidR="00F4721A" w:rsidRPr="00C05DA8" w:rsidRDefault="00C05DA8" w:rsidP="00F83114">
      <w:pPr>
        <w:pStyle w:val="COMTbl-foot"/>
        <w:ind w:left="709"/>
        <w:rPr>
          <w:snapToGrid/>
          <w:highlight w:val="black"/>
        </w:rPr>
      </w:pPr>
      <w:r>
        <w:rPr>
          <w:noProof/>
          <w:snapToGrid/>
          <w:color w:val="000000"/>
          <w:highlight w:val="black"/>
        </w:rPr>
        <w:t>'''''''''''''' ''''''''''''' '''''''''''''''' ''''''''''''' '''''''' ''''''' ''''''''''''''''' ''''''''' '''''''''''''''''''''''''''' '''''''''''''''''''''''' ''' ''''''''''' ''''' ''''''' '''''''''''''''''''''''''''' ''''' ''''''' ''''''''''''' ''''''''''''''' '''''''''''' ''''''''' '''''''' '''''''''''''''''' '''''''''' ''''''''' '''''''''''''''''''''''''''''</w:t>
      </w:r>
    </w:p>
    <w:p w:rsidR="00F4721A" w:rsidRPr="00671D38" w:rsidRDefault="00F4721A" w:rsidP="00F4721A">
      <w:pPr>
        <w:rPr>
          <w:snapToGrid/>
        </w:rPr>
      </w:pPr>
    </w:p>
    <w:p w:rsidR="00F4721A" w:rsidRPr="00F54CDC" w:rsidRDefault="00F4721A" w:rsidP="00F54CDC">
      <w:pPr>
        <w:pStyle w:val="ListParagraph"/>
        <w:widowControl/>
        <w:numPr>
          <w:ilvl w:val="1"/>
          <w:numId w:val="20"/>
        </w:numPr>
        <w:rPr>
          <w:szCs w:val="22"/>
        </w:rPr>
      </w:pPr>
      <w:r w:rsidRPr="00F54CDC">
        <w:rPr>
          <w:szCs w:val="22"/>
        </w:rPr>
        <w:t xml:space="preserve">There was no statistically significant difference between </w:t>
      </w:r>
      <w:proofErr w:type="spellStart"/>
      <w:r w:rsidRPr="00F54CDC">
        <w:rPr>
          <w:szCs w:val="22"/>
        </w:rPr>
        <w:t>empagliflozin</w:t>
      </w:r>
      <w:proofErr w:type="spellEnd"/>
      <w:r w:rsidRPr="00F54CDC">
        <w:rPr>
          <w:szCs w:val="22"/>
        </w:rPr>
        <w:t xml:space="preserve"> 25</w:t>
      </w:r>
      <w:r w:rsidR="003733B5" w:rsidRPr="00F54CDC">
        <w:rPr>
          <w:szCs w:val="22"/>
        </w:rPr>
        <w:t xml:space="preserve"> </w:t>
      </w:r>
      <w:r w:rsidRPr="00F54CDC">
        <w:rPr>
          <w:szCs w:val="22"/>
        </w:rPr>
        <w:t xml:space="preserve">mg and </w:t>
      </w:r>
      <w:proofErr w:type="spellStart"/>
      <w:r w:rsidRPr="00F54CDC">
        <w:rPr>
          <w:szCs w:val="22"/>
        </w:rPr>
        <w:t>sitagliptin</w:t>
      </w:r>
      <w:proofErr w:type="spellEnd"/>
      <w:r w:rsidRPr="00F54CDC">
        <w:rPr>
          <w:szCs w:val="22"/>
        </w:rPr>
        <w:t xml:space="preserve"> 100</w:t>
      </w:r>
      <w:r w:rsidR="003733B5" w:rsidRPr="00F54CDC">
        <w:rPr>
          <w:szCs w:val="22"/>
        </w:rPr>
        <w:t xml:space="preserve"> </w:t>
      </w:r>
      <w:r w:rsidRPr="00F54CDC">
        <w:rPr>
          <w:szCs w:val="22"/>
        </w:rPr>
        <w:t>mg</w:t>
      </w:r>
      <w:r w:rsidR="003313ED" w:rsidRPr="00F54CDC">
        <w:rPr>
          <w:szCs w:val="22"/>
        </w:rPr>
        <w:t>, both</w:t>
      </w:r>
      <w:r w:rsidRPr="00F54CDC">
        <w:rPr>
          <w:szCs w:val="22"/>
        </w:rPr>
        <w:t xml:space="preserve"> in combination with metformin. The results are consistent with non-inferiority using the nominated 0.4% non-inferiority margin. The submission does not present results comparing </w:t>
      </w:r>
      <w:proofErr w:type="spellStart"/>
      <w:r w:rsidRPr="00F54CDC">
        <w:rPr>
          <w:szCs w:val="22"/>
        </w:rPr>
        <w:t>empagliflozin</w:t>
      </w:r>
      <w:proofErr w:type="spellEnd"/>
      <w:r w:rsidRPr="00F54CDC">
        <w:rPr>
          <w:szCs w:val="22"/>
        </w:rPr>
        <w:t xml:space="preserve"> 10</w:t>
      </w:r>
      <w:r w:rsidR="003733B5" w:rsidRPr="00F54CDC">
        <w:rPr>
          <w:szCs w:val="22"/>
        </w:rPr>
        <w:t xml:space="preserve"> </w:t>
      </w:r>
      <w:r w:rsidRPr="00F54CDC">
        <w:rPr>
          <w:szCs w:val="22"/>
        </w:rPr>
        <w:t xml:space="preserve">mg with </w:t>
      </w:r>
      <w:proofErr w:type="spellStart"/>
      <w:r w:rsidRPr="00F54CDC">
        <w:rPr>
          <w:szCs w:val="22"/>
        </w:rPr>
        <w:t>sitagliptin</w:t>
      </w:r>
      <w:proofErr w:type="spellEnd"/>
      <w:r w:rsidRPr="00F54CDC">
        <w:rPr>
          <w:szCs w:val="22"/>
        </w:rPr>
        <w:t xml:space="preserve"> 100</w:t>
      </w:r>
      <w:r w:rsidR="003733B5" w:rsidRPr="00F54CDC">
        <w:rPr>
          <w:szCs w:val="22"/>
        </w:rPr>
        <w:t xml:space="preserve"> </w:t>
      </w:r>
      <w:r w:rsidRPr="00F54CDC">
        <w:rPr>
          <w:szCs w:val="22"/>
        </w:rPr>
        <w:t>mg.</w:t>
      </w:r>
    </w:p>
    <w:p w:rsidR="00F4721A" w:rsidRPr="00671D38" w:rsidRDefault="00F4721A" w:rsidP="00F54CDC">
      <w:pPr>
        <w:pStyle w:val="COMBody"/>
      </w:pPr>
    </w:p>
    <w:p w:rsidR="00946E60" w:rsidRPr="00F54CDC" w:rsidRDefault="00F4721A" w:rsidP="00F54CDC">
      <w:pPr>
        <w:pStyle w:val="ListParagraph"/>
        <w:widowControl/>
        <w:numPr>
          <w:ilvl w:val="1"/>
          <w:numId w:val="20"/>
        </w:numPr>
        <w:rPr>
          <w:szCs w:val="22"/>
        </w:rPr>
      </w:pPr>
      <w:r w:rsidRPr="00F54CDC">
        <w:rPr>
          <w:szCs w:val="22"/>
        </w:rPr>
        <w:t>The results of the indirect analyses using placebo plus metformin as the common compar</w:t>
      </w:r>
      <w:r w:rsidR="000A6D53" w:rsidRPr="00F54CDC">
        <w:rPr>
          <w:szCs w:val="22"/>
        </w:rPr>
        <w:t xml:space="preserve">ator are summarised </w:t>
      </w:r>
      <w:r w:rsidR="003733B5" w:rsidRPr="00F54CDC">
        <w:rPr>
          <w:szCs w:val="22"/>
        </w:rPr>
        <w:t>below</w:t>
      </w:r>
      <w:r w:rsidR="000A6D53" w:rsidRPr="00F54CDC">
        <w:rPr>
          <w:szCs w:val="22"/>
        </w:rPr>
        <w:t>.</w:t>
      </w:r>
      <w:r w:rsidR="00B81774" w:rsidRPr="00F54CDC">
        <w:rPr>
          <w:szCs w:val="22"/>
        </w:rPr>
        <w:t xml:space="preserve"> </w:t>
      </w:r>
      <w:r w:rsidR="000A6D53" w:rsidRPr="00F54CDC">
        <w:rPr>
          <w:szCs w:val="22"/>
        </w:rPr>
        <w:t>The submission appropriately considers these analyses as the primary analyses, due to the limited exchangeability between the trials included in the indirect analyses with a sulfonylurea and metformin as the common comparator (differences in the sulfonylurea used and the allowed sulfonylurea doses).</w:t>
      </w:r>
      <w:r w:rsidR="00946E60" w:rsidRPr="00F54CDC">
        <w:rPr>
          <w:szCs w:val="22"/>
        </w:rPr>
        <w:t>The submission arbitrarily divides results into short term (12-16 weeks), medium term (18-30 weeks) and long term (52-104 weeks).</w:t>
      </w:r>
    </w:p>
    <w:p w:rsidR="00946E60" w:rsidRPr="00671D38" w:rsidRDefault="00946E60" w:rsidP="00946E60">
      <w:pPr>
        <w:widowControl/>
        <w:spacing w:after="200"/>
        <w:contextualSpacing/>
        <w:rPr>
          <w:szCs w:val="22"/>
        </w:rPr>
      </w:pPr>
    </w:p>
    <w:p w:rsidR="00147D6D" w:rsidRPr="00671D38" w:rsidRDefault="00147D6D" w:rsidP="00F83114">
      <w:pPr>
        <w:widowControl/>
        <w:ind w:firstLine="709"/>
        <w:jc w:val="left"/>
        <w:rPr>
          <w:rFonts w:ascii="Arial Narrow" w:eastAsia="Calibri" w:hAnsi="Arial Narrow" w:cs="Times New Roman"/>
          <w:b/>
          <w:snapToGrid/>
          <w:sz w:val="20"/>
        </w:rPr>
      </w:pPr>
      <w:r w:rsidRPr="00671D38">
        <w:rPr>
          <w:rFonts w:ascii="Arial Narrow" w:eastAsia="Calibri" w:hAnsi="Arial Narrow" w:cs="Times New Roman"/>
          <w:b/>
          <w:snapToGrid/>
          <w:sz w:val="20"/>
        </w:rPr>
        <w:t>Mean change from baseline in HbA1c (%)</w:t>
      </w:r>
    </w:p>
    <w:tbl>
      <w:tblPr>
        <w:tblStyle w:val="TableGrid11"/>
        <w:tblW w:w="0" w:type="auto"/>
        <w:tblInd w:w="817" w:type="dxa"/>
        <w:tblLook w:val="04A0" w:firstRow="1" w:lastRow="0" w:firstColumn="1" w:lastColumn="0" w:noHBand="0" w:noVBand="1"/>
        <w:tblDescription w:val="Mean change from baseline in HbA1c (%)"/>
      </w:tblPr>
      <w:tblGrid>
        <w:gridCol w:w="1493"/>
        <w:gridCol w:w="2310"/>
        <w:gridCol w:w="2311"/>
        <w:gridCol w:w="2249"/>
      </w:tblGrid>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b/>
                <w:snapToGrid/>
                <w:sz w:val="20"/>
                <w:szCs w:val="20"/>
              </w:rPr>
            </w:pPr>
            <w:r w:rsidRPr="00671D38">
              <w:rPr>
                <w:rFonts w:ascii="Arial Narrow" w:hAnsi="Arial Narrow" w:cs="Times New Roman"/>
                <w:b/>
                <w:snapToGrid/>
                <w:sz w:val="20"/>
                <w:szCs w:val="20"/>
              </w:rPr>
              <w:t>Comparison</w:t>
            </w:r>
          </w:p>
          <w:p w:rsidR="00147D6D" w:rsidRPr="00671D38" w:rsidRDefault="00147D6D" w:rsidP="00F4721A">
            <w:pPr>
              <w:widowControl/>
              <w:jc w:val="left"/>
              <w:rPr>
                <w:rFonts w:ascii="Arial Narrow" w:hAnsi="Arial Narrow" w:cs="Times New Roman"/>
                <w:b/>
                <w:snapToGrid/>
                <w:sz w:val="20"/>
                <w:szCs w:val="20"/>
              </w:rPr>
            </w:pPr>
            <w:r w:rsidRPr="00671D38">
              <w:rPr>
                <w:rFonts w:ascii="Arial Narrow" w:hAnsi="Arial Narrow" w:cs="Times New Roman"/>
                <w:b/>
                <w:snapToGrid/>
                <w:sz w:val="20"/>
                <w:szCs w:val="20"/>
              </w:rPr>
              <w:t>Time period</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proofErr w:type="spellStart"/>
            <w:r w:rsidRPr="00671D38">
              <w:rPr>
                <w:rFonts w:ascii="Arial Narrow" w:hAnsi="Arial Narrow" w:cs="Times New Roman"/>
                <w:b/>
                <w:snapToGrid/>
                <w:sz w:val="20"/>
                <w:szCs w:val="20"/>
              </w:rPr>
              <w:t>Empagliflozin+metformin</w:t>
            </w:r>
            <w:proofErr w:type="spellEnd"/>
          </w:p>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mean difference (95% CI)</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proofErr w:type="spellStart"/>
            <w:r w:rsidRPr="00671D38">
              <w:rPr>
                <w:rFonts w:ascii="Arial Narrow" w:hAnsi="Arial Narrow" w:cs="Times New Roman"/>
                <w:b/>
                <w:snapToGrid/>
                <w:sz w:val="20"/>
                <w:szCs w:val="20"/>
              </w:rPr>
              <w:t>Comparator+metformin</w:t>
            </w:r>
            <w:proofErr w:type="spellEnd"/>
          </w:p>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mean difference (95% CI)</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WMD (95% CI)</w:t>
            </w:r>
          </w:p>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WMD&lt;0 favours EMPA</w:t>
            </w:r>
          </w:p>
        </w:tc>
      </w:tr>
      <w:tr w:rsidR="00147D6D" w:rsidRPr="00671D38" w:rsidTr="00F54CDC">
        <w:tc>
          <w:tcPr>
            <w:tcW w:w="8363" w:type="dxa"/>
            <w:gridSpan w:val="4"/>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b/>
                <w:snapToGrid/>
                <w:sz w:val="20"/>
                <w:szCs w:val="20"/>
              </w:rPr>
            </w:pPr>
            <w:proofErr w:type="spellStart"/>
            <w:r w:rsidRPr="00671D38">
              <w:rPr>
                <w:rFonts w:ascii="Arial Narrow" w:hAnsi="Arial Narrow" w:cs="Times New Roman"/>
                <w:b/>
                <w:snapToGrid/>
                <w:sz w:val="20"/>
                <w:szCs w:val="20"/>
              </w:rPr>
              <w:lastRenderedPageBreak/>
              <w:t>Empagliflozin</w:t>
            </w:r>
            <w:proofErr w:type="spellEnd"/>
            <w:r w:rsidRPr="00671D38">
              <w:rPr>
                <w:rFonts w:ascii="Arial Narrow" w:hAnsi="Arial Narrow" w:cs="Times New Roman"/>
                <w:b/>
                <w:snapToGrid/>
                <w:sz w:val="20"/>
                <w:szCs w:val="20"/>
              </w:rPr>
              <w:t xml:space="preserve"> versus </w:t>
            </w:r>
            <w:proofErr w:type="spellStart"/>
            <w:r w:rsidRPr="00671D38">
              <w:rPr>
                <w:rFonts w:ascii="Arial Narrow" w:hAnsi="Arial Narrow" w:cs="Times New Roman"/>
                <w:b/>
                <w:snapToGrid/>
                <w:sz w:val="20"/>
                <w:szCs w:val="20"/>
              </w:rPr>
              <w:t>sitagliptin</w:t>
            </w:r>
            <w:proofErr w:type="spellEnd"/>
            <w:r w:rsidRPr="00671D38">
              <w:rPr>
                <w:rFonts w:ascii="Arial Narrow" w:hAnsi="Arial Narrow" w:cs="Times New Roman"/>
                <w:b/>
                <w:snapToGrid/>
                <w:sz w:val="20"/>
                <w:szCs w:val="20"/>
              </w:rPr>
              <w:t xml:space="preserve"> with metformin (placebo plus metformin common comparator)</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left"/>
              <w:rPr>
                <w:rFonts w:ascii="Arial Narrow" w:hAnsi="Arial Narrow" w:cs="Times New Roman"/>
                <w:b/>
                <w:snapToGrid/>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EMPA 25mg+MET</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SITA 100mg+MET</w:t>
            </w:r>
          </w:p>
        </w:tc>
        <w:tc>
          <w:tcPr>
            <w:tcW w:w="2249"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center"/>
              <w:rPr>
                <w:rFonts w:ascii="Arial Narrow" w:hAnsi="Arial Narrow" w:cs="Times New Roman"/>
                <w:b/>
                <w:snapToGrid/>
                <w:sz w:val="20"/>
                <w:szCs w:val="20"/>
              </w:rPr>
            </w:pP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Short term (12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Medium term (18-30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rPr>
              <w:t>-0.64 (-0.78, -0.50)</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8363" w:type="dxa"/>
            <w:gridSpan w:val="4"/>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b/>
                <w:snapToGrid/>
                <w:sz w:val="20"/>
                <w:szCs w:val="20"/>
              </w:rPr>
            </w:pPr>
            <w:proofErr w:type="spellStart"/>
            <w:r w:rsidRPr="00671D38">
              <w:rPr>
                <w:rFonts w:ascii="Arial Narrow" w:hAnsi="Arial Narrow" w:cs="Times New Roman"/>
                <w:b/>
                <w:snapToGrid/>
                <w:sz w:val="20"/>
                <w:szCs w:val="20"/>
              </w:rPr>
              <w:t>Empagliflozin</w:t>
            </w:r>
            <w:proofErr w:type="spellEnd"/>
            <w:r w:rsidRPr="00671D38">
              <w:rPr>
                <w:rFonts w:ascii="Arial Narrow" w:hAnsi="Arial Narrow" w:cs="Times New Roman"/>
                <w:b/>
                <w:snapToGrid/>
                <w:sz w:val="20"/>
                <w:szCs w:val="20"/>
              </w:rPr>
              <w:t xml:space="preserve"> versus </w:t>
            </w:r>
            <w:proofErr w:type="spellStart"/>
            <w:r w:rsidRPr="00671D38">
              <w:rPr>
                <w:rFonts w:ascii="Arial Narrow" w:hAnsi="Arial Narrow" w:cs="Times New Roman"/>
                <w:b/>
                <w:snapToGrid/>
                <w:sz w:val="20"/>
                <w:szCs w:val="20"/>
              </w:rPr>
              <w:t>dapagliflozin</w:t>
            </w:r>
            <w:proofErr w:type="spellEnd"/>
            <w:r w:rsidRPr="00671D38">
              <w:rPr>
                <w:rFonts w:ascii="Arial Narrow" w:hAnsi="Arial Narrow" w:cs="Times New Roman"/>
                <w:b/>
                <w:snapToGrid/>
                <w:sz w:val="20"/>
                <w:szCs w:val="20"/>
              </w:rPr>
              <w:t xml:space="preserve"> with metformin (placebo plus metformin common comparator)</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left"/>
              <w:rPr>
                <w:rFonts w:ascii="Arial Narrow" w:hAnsi="Arial Narrow" w:cs="Times New Roman"/>
                <w:b/>
                <w:snapToGrid/>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EMPA 25mg+MET</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DAPA 10mg+MET</w:t>
            </w:r>
          </w:p>
        </w:tc>
        <w:tc>
          <w:tcPr>
            <w:tcW w:w="2249"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center"/>
              <w:rPr>
                <w:rFonts w:ascii="Arial Narrow" w:hAnsi="Arial Narrow" w:cs="Times New Roman"/>
                <w:snapToGrid/>
                <w:sz w:val="20"/>
                <w:szCs w:val="20"/>
              </w:rPr>
            </w:pP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Short term (12-16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rPr>
              <w:t>-0.29 (-0.45, -0.13)</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Medium term (24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rPr>
              <w:t>-0.64 (-0.78, -0.50)</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Long term (52-102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-0.70 (-0.84, -0.56)</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left"/>
              <w:rPr>
                <w:rFonts w:ascii="Arial Narrow" w:hAnsi="Arial Narrow" w:cs="Times New Roman"/>
                <w:snapToGrid/>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EMPA 10mg+MET</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DAPA 10mg+MET</w:t>
            </w:r>
          </w:p>
        </w:tc>
        <w:tc>
          <w:tcPr>
            <w:tcW w:w="2249"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center"/>
              <w:rPr>
                <w:rFonts w:ascii="Arial Narrow" w:hAnsi="Arial Narrow" w:cs="Times New Roman"/>
                <w:snapToGrid/>
                <w:sz w:val="20"/>
                <w:szCs w:val="20"/>
              </w:rPr>
            </w:pP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Short term (12-16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rPr>
              <w:t>-0.29 (-0.45, -0.13)</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Medium term (24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rPr>
              <w:t>-0.57 (-0.71, -0.43)</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Long term (52-102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rPr>
              <w:t>-0.62 (-0.76, -0.48)</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highlight w:val="black"/>
              </w:rPr>
              <w:t>'''''''''''''' '''''''''''''''' '''''''''''''</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8363" w:type="dxa"/>
            <w:gridSpan w:val="4"/>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proofErr w:type="spellStart"/>
            <w:r w:rsidRPr="00671D38">
              <w:rPr>
                <w:rFonts w:ascii="Arial Narrow" w:hAnsi="Arial Narrow" w:cs="Times New Roman"/>
                <w:b/>
                <w:snapToGrid/>
                <w:sz w:val="20"/>
                <w:szCs w:val="20"/>
              </w:rPr>
              <w:t>Empagliflozin</w:t>
            </w:r>
            <w:proofErr w:type="spellEnd"/>
            <w:r w:rsidRPr="00671D38">
              <w:rPr>
                <w:rFonts w:ascii="Arial Narrow" w:hAnsi="Arial Narrow" w:cs="Times New Roman"/>
                <w:b/>
                <w:snapToGrid/>
                <w:sz w:val="20"/>
                <w:szCs w:val="20"/>
              </w:rPr>
              <w:t xml:space="preserve"> versus </w:t>
            </w:r>
            <w:proofErr w:type="spellStart"/>
            <w:r w:rsidRPr="00671D38">
              <w:rPr>
                <w:rFonts w:ascii="Arial Narrow" w:hAnsi="Arial Narrow" w:cs="Times New Roman"/>
                <w:b/>
                <w:snapToGrid/>
                <w:sz w:val="20"/>
                <w:szCs w:val="20"/>
              </w:rPr>
              <w:t>canagliflozin</w:t>
            </w:r>
            <w:proofErr w:type="spellEnd"/>
            <w:r w:rsidRPr="00671D38">
              <w:rPr>
                <w:rFonts w:ascii="Arial Narrow" w:hAnsi="Arial Narrow" w:cs="Times New Roman"/>
                <w:b/>
                <w:snapToGrid/>
                <w:sz w:val="20"/>
                <w:szCs w:val="20"/>
              </w:rPr>
              <w:t xml:space="preserve"> with metformin (placebo plus metformin common comparator)</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left"/>
              <w:rPr>
                <w:rFonts w:ascii="Arial Narrow" w:hAnsi="Arial Narrow" w:cs="Times New Roman"/>
                <w:snapToGrid/>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EMPA 25mg+MET</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CANA 300mg+MET</w:t>
            </w:r>
          </w:p>
        </w:tc>
        <w:tc>
          <w:tcPr>
            <w:tcW w:w="2249"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center"/>
              <w:rPr>
                <w:rFonts w:ascii="Arial Narrow" w:hAnsi="Arial Narrow" w:cs="Times New Roman"/>
                <w:snapToGrid/>
                <w:sz w:val="20"/>
                <w:szCs w:val="20"/>
              </w:rPr>
            </w:pP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Short term (12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szCs w:val="20"/>
                <w:highlight w:val="black"/>
              </w:rPr>
              <w:t>''''''''''' '''''''''''''' ''''''''''''</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szCs w:val="20"/>
              </w:rPr>
              <w:t>-0.70 (-0.82, -0.58)</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Medium term (24-26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szCs w:val="20"/>
              </w:rPr>
              <w:t>-0.64 (-0.78, -0.50)</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szCs w:val="20"/>
              </w:rPr>
              <w:t>-0.76 (-0.90, -0.63)</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330"/>
              </w:tabs>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left"/>
              <w:rPr>
                <w:rFonts w:ascii="Arial Narrow" w:hAnsi="Arial Narrow" w:cs="Times New Roman"/>
                <w:snapToGrid/>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EMPA 10mg+MET</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b/>
                <w:snapToGrid/>
                <w:sz w:val="20"/>
                <w:szCs w:val="20"/>
              </w:rPr>
            </w:pPr>
            <w:r w:rsidRPr="00671D38">
              <w:rPr>
                <w:rFonts w:ascii="Arial Narrow" w:hAnsi="Arial Narrow" w:cs="Times New Roman"/>
                <w:b/>
                <w:snapToGrid/>
                <w:sz w:val="20"/>
                <w:szCs w:val="20"/>
              </w:rPr>
              <w:t>CANA 300mg+MET</w:t>
            </w:r>
          </w:p>
        </w:tc>
        <w:tc>
          <w:tcPr>
            <w:tcW w:w="2249" w:type="dxa"/>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widowControl/>
              <w:jc w:val="center"/>
              <w:rPr>
                <w:rFonts w:ascii="Arial Narrow" w:hAnsi="Arial Narrow" w:cs="Times New Roman"/>
                <w:snapToGrid/>
                <w:sz w:val="20"/>
                <w:szCs w:val="20"/>
              </w:rPr>
            </w:pP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Short term (12</w:t>
            </w:r>
            <w:r w:rsidR="00621ED4" w:rsidRPr="00671D38">
              <w:rPr>
                <w:rFonts w:ascii="Arial Narrow" w:hAnsi="Arial Narrow" w:cs="Times New Roman"/>
                <w:snapToGrid/>
                <w:sz w:val="20"/>
                <w:szCs w:val="20"/>
              </w:rPr>
              <w:t xml:space="preserve"> </w:t>
            </w:r>
            <w:r w:rsidRPr="00671D38">
              <w:rPr>
                <w:rFonts w:ascii="Arial Narrow" w:hAnsi="Arial Narrow" w:cs="Times New Roman"/>
                <w:snapToGrid/>
                <w:sz w:val="20"/>
                <w:szCs w:val="20"/>
              </w:rPr>
              <w:t>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szCs w:val="20"/>
              </w:rPr>
              <w:t>-0.73 (-0.98, -0.48)</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szCs w:val="20"/>
                <w:highlight w:val="black"/>
              </w:rPr>
              <w:t>'''''''''' '''''''''''''' ''''''''''''</w:t>
            </w:r>
          </w:p>
        </w:tc>
      </w:tr>
      <w:tr w:rsidR="00147D6D" w:rsidRPr="00671D38" w:rsidTr="00F54CDC">
        <w:tc>
          <w:tcPr>
            <w:tcW w:w="1493"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cs="Times New Roman"/>
                <w:snapToGrid/>
                <w:sz w:val="20"/>
                <w:szCs w:val="20"/>
              </w:rPr>
            </w:pPr>
            <w:r w:rsidRPr="00671D38">
              <w:rPr>
                <w:rFonts w:ascii="Arial Narrow" w:hAnsi="Arial Narrow" w:cs="Times New Roman"/>
                <w:snapToGrid/>
                <w:sz w:val="20"/>
                <w:szCs w:val="20"/>
              </w:rPr>
              <w:t>Medium term (24-26 weeks)</w:t>
            </w:r>
          </w:p>
        </w:tc>
        <w:tc>
          <w:tcPr>
            <w:tcW w:w="2310"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szCs w:val="20"/>
              </w:rPr>
              <w:t>-0.57 (-0.71, -0.43)</w:t>
            </w:r>
          </w:p>
        </w:tc>
        <w:tc>
          <w:tcPr>
            <w:tcW w:w="23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center"/>
              <w:rPr>
                <w:rFonts w:ascii="Arial Narrow" w:hAnsi="Arial Narrow" w:cs="Times New Roman"/>
                <w:snapToGrid/>
                <w:sz w:val="20"/>
                <w:szCs w:val="20"/>
              </w:rPr>
            </w:pPr>
            <w:r w:rsidRPr="00671D38">
              <w:rPr>
                <w:rFonts w:ascii="Arial Narrow" w:hAnsi="Arial Narrow"/>
                <w:sz w:val="20"/>
                <w:szCs w:val="20"/>
              </w:rPr>
              <w:t>-0.76 (-0.90, -0.63)</w:t>
            </w:r>
          </w:p>
        </w:tc>
        <w:tc>
          <w:tcPr>
            <w:tcW w:w="2249"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widowControl/>
              <w:jc w:val="center"/>
              <w:rPr>
                <w:rFonts w:ascii="Arial Narrow" w:hAnsi="Arial Narrow" w:cs="Times New Roman"/>
                <w:snapToGrid/>
                <w:sz w:val="20"/>
                <w:szCs w:val="20"/>
                <w:highlight w:val="black"/>
              </w:rPr>
            </w:pPr>
            <w:r>
              <w:rPr>
                <w:rFonts w:ascii="Arial Narrow" w:hAnsi="Arial Narrow"/>
                <w:noProof/>
                <w:color w:val="000000"/>
                <w:sz w:val="20"/>
                <w:szCs w:val="20"/>
                <w:highlight w:val="black"/>
              </w:rPr>
              <w:t>''''''''''' '''''''''''''''''' ''''''''''''''''</w:t>
            </w:r>
          </w:p>
        </w:tc>
      </w:tr>
    </w:tbl>
    <w:p w:rsidR="00147D6D" w:rsidRPr="00671D38" w:rsidRDefault="00147D6D" w:rsidP="00F83114">
      <w:pPr>
        <w:widowControl/>
        <w:ind w:firstLine="720"/>
        <w:jc w:val="left"/>
        <w:rPr>
          <w:rFonts w:ascii="Arial Narrow" w:eastAsia="Calibri" w:hAnsi="Arial Narrow" w:cs="Times New Roman"/>
          <w:snapToGrid/>
          <w:sz w:val="20"/>
        </w:rPr>
      </w:pPr>
      <w:r w:rsidRPr="00671D38">
        <w:rPr>
          <w:rFonts w:ascii="Arial Narrow" w:eastAsia="Calibri" w:hAnsi="Arial Narrow" w:cs="Times New Roman"/>
          <w:snapToGrid/>
          <w:sz w:val="20"/>
        </w:rPr>
        <w:t>Source: compiled during the evaluation</w:t>
      </w:r>
    </w:p>
    <w:p w:rsidR="00147D6D" w:rsidRPr="00671D38" w:rsidRDefault="00147D6D" w:rsidP="00F83114">
      <w:pPr>
        <w:widowControl/>
        <w:ind w:left="709"/>
        <w:jc w:val="left"/>
        <w:rPr>
          <w:rFonts w:ascii="Arial Narrow" w:eastAsia="Calibri" w:hAnsi="Arial Narrow" w:cs="Times New Roman"/>
          <w:snapToGrid/>
          <w:sz w:val="20"/>
        </w:rPr>
      </w:pPr>
      <w:r w:rsidRPr="00671D38">
        <w:rPr>
          <w:rFonts w:ascii="Arial Narrow" w:eastAsia="Calibri" w:hAnsi="Arial Narrow" w:cs="Times New Roman"/>
          <w:snapToGrid/>
          <w:sz w:val="20"/>
        </w:rPr>
        <w:t xml:space="preserve">Abbreviations: CANA, </w:t>
      </w:r>
      <w:proofErr w:type="spellStart"/>
      <w:r w:rsidRPr="00671D38">
        <w:rPr>
          <w:rFonts w:ascii="Arial Narrow" w:eastAsia="Calibri" w:hAnsi="Arial Narrow" w:cs="Times New Roman"/>
          <w:snapToGrid/>
          <w:sz w:val="20"/>
        </w:rPr>
        <w:t>canagliflozin</w:t>
      </w:r>
      <w:proofErr w:type="spellEnd"/>
      <w:r w:rsidRPr="00671D38">
        <w:rPr>
          <w:rFonts w:ascii="Arial Narrow" w:eastAsia="Calibri" w:hAnsi="Arial Narrow" w:cs="Times New Roman"/>
          <w:snapToGrid/>
          <w:sz w:val="20"/>
        </w:rPr>
        <w:t xml:space="preserve">; DAPA, </w:t>
      </w:r>
      <w:proofErr w:type="spellStart"/>
      <w:r w:rsidRPr="00671D38">
        <w:rPr>
          <w:rFonts w:ascii="Arial Narrow" w:eastAsia="Calibri" w:hAnsi="Arial Narrow" w:cs="Times New Roman"/>
          <w:snapToGrid/>
          <w:sz w:val="20"/>
        </w:rPr>
        <w:t>dapagliflozin</w:t>
      </w:r>
      <w:proofErr w:type="spellEnd"/>
      <w:r w:rsidRPr="00671D38">
        <w:rPr>
          <w:rFonts w:ascii="Arial Narrow" w:eastAsia="Calibri" w:hAnsi="Arial Narrow" w:cs="Times New Roman"/>
          <w:snapToGrid/>
          <w:sz w:val="20"/>
        </w:rPr>
        <w:t xml:space="preserve">; EMPA, </w:t>
      </w:r>
      <w:proofErr w:type="spellStart"/>
      <w:r w:rsidRPr="00671D38">
        <w:rPr>
          <w:rFonts w:ascii="Arial Narrow" w:eastAsia="Calibri" w:hAnsi="Arial Narrow" w:cs="Times New Roman"/>
          <w:snapToGrid/>
          <w:sz w:val="20"/>
        </w:rPr>
        <w:t>empagliflozin</w:t>
      </w:r>
      <w:proofErr w:type="spellEnd"/>
      <w:r w:rsidRPr="00671D38">
        <w:rPr>
          <w:rFonts w:ascii="Arial Narrow" w:eastAsia="Calibri" w:hAnsi="Arial Narrow" w:cs="Times New Roman"/>
          <w:snapToGrid/>
          <w:sz w:val="20"/>
        </w:rPr>
        <w:t xml:space="preserve">; MET, metformin; SITA, </w:t>
      </w:r>
      <w:proofErr w:type="spellStart"/>
      <w:r w:rsidRPr="00671D38">
        <w:rPr>
          <w:rFonts w:ascii="Arial Narrow" w:eastAsia="Calibri" w:hAnsi="Arial Narrow" w:cs="Times New Roman"/>
          <w:snapToGrid/>
          <w:sz w:val="20"/>
        </w:rPr>
        <w:t>sitagliptin</w:t>
      </w:r>
      <w:proofErr w:type="spellEnd"/>
      <w:r w:rsidRPr="00671D38">
        <w:rPr>
          <w:rFonts w:ascii="Arial Narrow" w:eastAsia="Calibri" w:hAnsi="Arial Narrow" w:cs="Times New Roman"/>
          <w:snapToGrid/>
          <w:sz w:val="20"/>
        </w:rPr>
        <w:t>; WMD, weighted mean difference</w:t>
      </w:r>
    </w:p>
    <w:p w:rsidR="00117D8E" w:rsidRPr="00671D38" w:rsidRDefault="00117D8E" w:rsidP="001737B8">
      <w:pPr>
        <w:rPr>
          <w:rFonts w:eastAsia="Calibri"/>
          <w:snapToGrid/>
        </w:rPr>
      </w:pPr>
    </w:p>
    <w:p w:rsidR="00621ED4" w:rsidRPr="00F54CDC" w:rsidRDefault="00946E60" w:rsidP="00F54CDC">
      <w:pPr>
        <w:pStyle w:val="ListParagraph"/>
        <w:widowControl/>
        <w:numPr>
          <w:ilvl w:val="1"/>
          <w:numId w:val="20"/>
        </w:numPr>
        <w:rPr>
          <w:szCs w:val="22"/>
        </w:rPr>
      </w:pPr>
      <w:r w:rsidRPr="00F54CDC">
        <w:rPr>
          <w:szCs w:val="22"/>
        </w:rPr>
        <w:t xml:space="preserve">The </w:t>
      </w:r>
      <w:r w:rsidR="007240DF" w:rsidRPr="00F54CDC">
        <w:rPr>
          <w:szCs w:val="22"/>
        </w:rPr>
        <w:t xml:space="preserve">evaluation </w:t>
      </w:r>
      <w:r w:rsidR="003733B5" w:rsidRPr="00F54CDC">
        <w:rPr>
          <w:szCs w:val="22"/>
        </w:rPr>
        <w:t xml:space="preserve">noted that the </w:t>
      </w:r>
      <w:r w:rsidRPr="00F54CDC">
        <w:rPr>
          <w:szCs w:val="22"/>
        </w:rPr>
        <w:t xml:space="preserve">results of the indirect analyses comparing </w:t>
      </w:r>
      <w:proofErr w:type="spellStart"/>
      <w:r w:rsidRPr="00F54CDC">
        <w:rPr>
          <w:szCs w:val="22"/>
        </w:rPr>
        <w:t>empagliflozin</w:t>
      </w:r>
      <w:proofErr w:type="spellEnd"/>
      <w:r w:rsidRPr="00F54CDC">
        <w:rPr>
          <w:szCs w:val="22"/>
        </w:rPr>
        <w:t xml:space="preserve"> </w:t>
      </w:r>
      <w:r w:rsidR="002F09E5" w:rsidRPr="00F54CDC">
        <w:rPr>
          <w:szCs w:val="22"/>
        </w:rPr>
        <w:t>(10</w:t>
      </w:r>
      <w:r w:rsidR="003733B5" w:rsidRPr="00F54CDC">
        <w:rPr>
          <w:szCs w:val="22"/>
        </w:rPr>
        <w:t xml:space="preserve"> </w:t>
      </w:r>
      <w:r w:rsidR="002F09E5" w:rsidRPr="00F54CDC">
        <w:rPr>
          <w:szCs w:val="22"/>
        </w:rPr>
        <w:t>mg and 25</w:t>
      </w:r>
      <w:r w:rsidR="003733B5" w:rsidRPr="00F54CDC">
        <w:rPr>
          <w:szCs w:val="22"/>
        </w:rPr>
        <w:t xml:space="preserve"> </w:t>
      </w:r>
      <w:r w:rsidR="002F09E5" w:rsidRPr="00F54CDC">
        <w:rPr>
          <w:szCs w:val="22"/>
        </w:rPr>
        <w:t xml:space="preserve">mg) </w:t>
      </w:r>
      <w:r w:rsidRPr="00F54CDC">
        <w:rPr>
          <w:szCs w:val="22"/>
        </w:rPr>
        <w:t xml:space="preserve">with its comparators </w:t>
      </w:r>
      <w:proofErr w:type="spellStart"/>
      <w:r w:rsidRPr="00F54CDC">
        <w:rPr>
          <w:szCs w:val="22"/>
        </w:rPr>
        <w:t>sitagliptin</w:t>
      </w:r>
      <w:proofErr w:type="spellEnd"/>
      <w:r w:rsidRPr="00F54CDC">
        <w:rPr>
          <w:szCs w:val="22"/>
        </w:rPr>
        <w:t xml:space="preserve">, </w:t>
      </w:r>
      <w:proofErr w:type="spellStart"/>
      <w:r w:rsidRPr="00F54CDC">
        <w:rPr>
          <w:szCs w:val="22"/>
        </w:rPr>
        <w:t>dapagliflozin</w:t>
      </w:r>
      <w:proofErr w:type="spellEnd"/>
      <w:r w:rsidRPr="00F54CDC">
        <w:rPr>
          <w:szCs w:val="22"/>
        </w:rPr>
        <w:t xml:space="preserve"> and </w:t>
      </w:r>
      <w:proofErr w:type="spellStart"/>
      <w:r w:rsidRPr="00F54CDC">
        <w:rPr>
          <w:szCs w:val="22"/>
        </w:rPr>
        <w:t>canagliflozin</w:t>
      </w:r>
      <w:proofErr w:type="spellEnd"/>
      <w:r w:rsidRPr="00F54CDC">
        <w:rPr>
          <w:szCs w:val="22"/>
        </w:rPr>
        <w:t xml:space="preserve"> are consistent with non-inferiority using the 0.4% non-inferiority margin nominated in the submission. However, </w:t>
      </w:r>
      <w:r w:rsidR="002F09E5" w:rsidRPr="00F54CDC">
        <w:rPr>
          <w:szCs w:val="22"/>
        </w:rPr>
        <w:t xml:space="preserve">results favoured </w:t>
      </w:r>
      <w:proofErr w:type="spellStart"/>
      <w:r w:rsidR="002F09E5" w:rsidRPr="00F54CDC">
        <w:rPr>
          <w:szCs w:val="22"/>
        </w:rPr>
        <w:t>canagliflozin</w:t>
      </w:r>
      <w:proofErr w:type="spellEnd"/>
      <w:r w:rsidR="002F09E5" w:rsidRPr="00F54CDC">
        <w:rPr>
          <w:szCs w:val="22"/>
        </w:rPr>
        <w:t xml:space="preserve"> with some outcomes failing the</w:t>
      </w:r>
      <w:r w:rsidRPr="00F54CDC">
        <w:rPr>
          <w:szCs w:val="22"/>
        </w:rPr>
        <w:t xml:space="preserve"> more stringent non-inferiority margin of 0.3%.</w:t>
      </w:r>
    </w:p>
    <w:p w:rsidR="00621ED4" w:rsidRPr="00671D38" w:rsidRDefault="00621ED4" w:rsidP="00F54CDC">
      <w:pPr>
        <w:pStyle w:val="COMBody"/>
      </w:pPr>
    </w:p>
    <w:p w:rsidR="00946E60" w:rsidRPr="00F54CDC" w:rsidRDefault="00946E60" w:rsidP="00F54CDC">
      <w:pPr>
        <w:pStyle w:val="ListParagraph"/>
        <w:widowControl/>
        <w:numPr>
          <w:ilvl w:val="1"/>
          <w:numId w:val="20"/>
        </w:numPr>
        <w:rPr>
          <w:szCs w:val="22"/>
        </w:rPr>
      </w:pPr>
      <w:r w:rsidRPr="00F54CDC">
        <w:rPr>
          <w:szCs w:val="22"/>
        </w:rPr>
        <w:t xml:space="preserve">The short term analyses include results measured at 12 weeks, which may not be sufficient </w:t>
      </w:r>
      <w:r w:rsidR="00621ED4" w:rsidRPr="00F54CDC">
        <w:rPr>
          <w:szCs w:val="22"/>
        </w:rPr>
        <w:t xml:space="preserve">for patients </w:t>
      </w:r>
      <w:r w:rsidR="00B81774" w:rsidRPr="00F54CDC">
        <w:rPr>
          <w:szCs w:val="22"/>
        </w:rPr>
        <w:t xml:space="preserve">to </w:t>
      </w:r>
      <w:r w:rsidR="00621ED4" w:rsidRPr="00F54CDC">
        <w:rPr>
          <w:szCs w:val="22"/>
        </w:rPr>
        <w:t>achieve optimal glycaemic control. For the medium term analyses t</w:t>
      </w:r>
      <w:r w:rsidR="00B81774" w:rsidRPr="00F54CDC">
        <w:rPr>
          <w:szCs w:val="22"/>
        </w:rPr>
        <w:t xml:space="preserve">here </w:t>
      </w:r>
      <w:r w:rsidR="00621ED4" w:rsidRPr="00F54CDC">
        <w:rPr>
          <w:szCs w:val="22"/>
        </w:rPr>
        <w:t>a</w:t>
      </w:r>
      <w:r w:rsidR="00B81774" w:rsidRPr="00F54CDC">
        <w:rPr>
          <w:szCs w:val="22"/>
        </w:rPr>
        <w:t xml:space="preserve">re large differences in the common comparator arms </w:t>
      </w:r>
      <w:r w:rsidR="00621ED4" w:rsidRPr="00F54CDC">
        <w:rPr>
          <w:szCs w:val="22"/>
        </w:rPr>
        <w:t xml:space="preserve">for the </w:t>
      </w:r>
      <w:proofErr w:type="spellStart"/>
      <w:r w:rsidR="00621ED4" w:rsidRPr="00F54CDC">
        <w:rPr>
          <w:szCs w:val="22"/>
        </w:rPr>
        <w:t>sitagliptin</w:t>
      </w:r>
      <w:proofErr w:type="spellEnd"/>
      <w:r w:rsidR="00621ED4" w:rsidRPr="00F54CDC">
        <w:rPr>
          <w:szCs w:val="22"/>
        </w:rPr>
        <w:t xml:space="preserve"> comparison and large placebo responses in the </w:t>
      </w:r>
      <w:proofErr w:type="spellStart"/>
      <w:r w:rsidR="00621ED4" w:rsidRPr="00F54CDC">
        <w:rPr>
          <w:szCs w:val="22"/>
        </w:rPr>
        <w:t>dapagliflozin</w:t>
      </w:r>
      <w:proofErr w:type="spellEnd"/>
      <w:r w:rsidR="00621ED4" w:rsidRPr="00F54CDC">
        <w:rPr>
          <w:szCs w:val="22"/>
        </w:rPr>
        <w:t xml:space="preserve"> trials (-0.3%), </w:t>
      </w:r>
      <w:r w:rsidR="00B81774" w:rsidRPr="00F54CDC">
        <w:rPr>
          <w:szCs w:val="22"/>
        </w:rPr>
        <w:t>suggesting the trials may not be exchangeable</w:t>
      </w:r>
      <w:r w:rsidR="00621ED4" w:rsidRPr="00F54CDC">
        <w:rPr>
          <w:szCs w:val="22"/>
        </w:rPr>
        <w:t xml:space="preserve">. </w:t>
      </w:r>
      <w:r w:rsidRPr="00F54CDC">
        <w:rPr>
          <w:szCs w:val="22"/>
        </w:rPr>
        <w:t>The long</w:t>
      </w:r>
      <w:r w:rsidR="00326669" w:rsidRPr="00F54CDC">
        <w:rPr>
          <w:szCs w:val="22"/>
        </w:rPr>
        <w:t xml:space="preserve"> term analyses</w:t>
      </w:r>
      <w:r w:rsidR="00621ED4" w:rsidRPr="00F54CDC">
        <w:rPr>
          <w:szCs w:val="22"/>
        </w:rPr>
        <w:t xml:space="preserve"> </w:t>
      </w:r>
      <w:r w:rsidR="006E7E36" w:rsidRPr="00F54CDC">
        <w:rPr>
          <w:szCs w:val="22"/>
        </w:rPr>
        <w:t>against</w:t>
      </w:r>
      <w:r w:rsidR="00621ED4" w:rsidRPr="00F54CDC">
        <w:rPr>
          <w:szCs w:val="22"/>
        </w:rPr>
        <w:t xml:space="preserve"> </w:t>
      </w:r>
      <w:proofErr w:type="spellStart"/>
      <w:r w:rsidR="00621ED4" w:rsidRPr="00F54CDC">
        <w:rPr>
          <w:szCs w:val="22"/>
        </w:rPr>
        <w:t>dapagliflozin</w:t>
      </w:r>
      <w:proofErr w:type="spellEnd"/>
      <w:r w:rsidR="00621ED4" w:rsidRPr="00F54CDC">
        <w:rPr>
          <w:szCs w:val="22"/>
        </w:rPr>
        <w:t xml:space="preserve"> may not be reasonable as they </w:t>
      </w:r>
      <w:r w:rsidR="00326669" w:rsidRPr="00F54CDC">
        <w:rPr>
          <w:szCs w:val="22"/>
        </w:rPr>
        <w:t xml:space="preserve">compare </w:t>
      </w:r>
      <w:r w:rsidR="00621ED4" w:rsidRPr="00F54CDC">
        <w:rPr>
          <w:szCs w:val="22"/>
        </w:rPr>
        <w:t xml:space="preserve">results at 52 </w:t>
      </w:r>
      <w:r w:rsidR="006E7E36" w:rsidRPr="00F54CDC">
        <w:rPr>
          <w:szCs w:val="22"/>
        </w:rPr>
        <w:t>versus</w:t>
      </w:r>
      <w:r w:rsidR="00621ED4" w:rsidRPr="00F54CDC">
        <w:rPr>
          <w:szCs w:val="22"/>
        </w:rPr>
        <w:t xml:space="preserve"> 102 weeks and the </w:t>
      </w:r>
      <w:proofErr w:type="spellStart"/>
      <w:r w:rsidR="00621ED4" w:rsidRPr="00F54CDC">
        <w:rPr>
          <w:szCs w:val="22"/>
        </w:rPr>
        <w:t>dapagliflozin</w:t>
      </w:r>
      <w:proofErr w:type="spellEnd"/>
      <w:r w:rsidR="00621ED4" w:rsidRPr="00F54CDC">
        <w:rPr>
          <w:szCs w:val="22"/>
        </w:rPr>
        <w:t xml:space="preserve"> trial had small patient numbers.</w:t>
      </w:r>
    </w:p>
    <w:p w:rsidR="00F83114" w:rsidRPr="00671D38" w:rsidRDefault="00F83114" w:rsidP="00F83114">
      <w:pPr>
        <w:rPr>
          <w:szCs w:val="22"/>
        </w:rPr>
      </w:pPr>
    </w:p>
    <w:p w:rsidR="00F83114" w:rsidRPr="00671D38" w:rsidRDefault="00F83114" w:rsidP="00F83114">
      <w:pPr>
        <w:ind w:firstLine="709"/>
        <w:rPr>
          <w:i/>
          <w:szCs w:val="22"/>
        </w:rPr>
      </w:pPr>
      <w:r w:rsidRPr="00671D38">
        <w:rPr>
          <w:i/>
          <w:szCs w:val="22"/>
        </w:rPr>
        <w:t>For PBAC’s view, see section 7 “PBAC outcome”</w:t>
      </w:r>
    </w:p>
    <w:p w:rsidR="00946E60" w:rsidRPr="00671D38" w:rsidRDefault="00946E60" w:rsidP="00F4721A">
      <w:pPr>
        <w:contextualSpacing/>
        <w:rPr>
          <w:szCs w:val="22"/>
        </w:rPr>
      </w:pPr>
    </w:p>
    <w:p w:rsidR="00147D6D" w:rsidRPr="00671D38" w:rsidRDefault="00147D6D" w:rsidP="00F4721A">
      <w:pPr>
        <w:outlineLvl w:val="1"/>
        <w:rPr>
          <w:b/>
        </w:rPr>
      </w:pPr>
      <w:bookmarkStart w:id="9" w:name="_Toc386015342"/>
      <w:bookmarkStart w:id="10" w:name="_Toc387851406"/>
      <w:r w:rsidRPr="00671D38">
        <w:rPr>
          <w:b/>
        </w:rPr>
        <w:t>Comparative harms</w:t>
      </w:r>
      <w:bookmarkEnd w:id="9"/>
      <w:bookmarkEnd w:id="10"/>
    </w:p>
    <w:p w:rsidR="00147D6D" w:rsidRPr="00671D38" w:rsidRDefault="00147D6D" w:rsidP="00F4721A">
      <w:pPr>
        <w:ind w:left="720" w:hanging="720"/>
        <w:rPr>
          <w:szCs w:val="22"/>
        </w:rPr>
      </w:pPr>
    </w:p>
    <w:p w:rsidR="00884BA0" w:rsidRPr="00F54CDC" w:rsidRDefault="00147D6D" w:rsidP="00F54CDC">
      <w:pPr>
        <w:pStyle w:val="ListParagraph"/>
        <w:widowControl/>
        <w:numPr>
          <w:ilvl w:val="1"/>
          <w:numId w:val="20"/>
        </w:numPr>
        <w:rPr>
          <w:szCs w:val="22"/>
        </w:rPr>
      </w:pPr>
      <w:r w:rsidRPr="00671D38">
        <w:t xml:space="preserve">In the </w:t>
      </w:r>
      <w:proofErr w:type="spellStart"/>
      <w:r w:rsidRPr="00671D38">
        <w:t>empagliflozin</w:t>
      </w:r>
      <w:proofErr w:type="spellEnd"/>
      <w:r w:rsidRPr="00671D38">
        <w:t xml:space="preserve"> trials, </w:t>
      </w:r>
      <w:proofErr w:type="spellStart"/>
      <w:r w:rsidRPr="00671D38">
        <w:t>empagliflozin</w:t>
      </w:r>
      <w:proofErr w:type="spellEnd"/>
      <w:r w:rsidRPr="00671D38">
        <w:t xml:space="preserve"> with metformin was associated with higher rates of genital infections compared with metformin alone or metformin plus a sulfonylurea.</w:t>
      </w:r>
    </w:p>
    <w:p w:rsidR="00884BA0" w:rsidRPr="00671D38" w:rsidRDefault="00884BA0" w:rsidP="00F54CDC">
      <w:pPr>
        <w:pStyle w:val="COMBody"/>
      </w:pPr>
    </w:p>
    <w:p w:rsidR="00884BA0" w:rsidRPr="00F54CDC" w:rsidRDefault="00147D6D" w:rsidP="00F54CDC">
      <w:pPr>
        <w:pStyle w:val="ListParagraph"/>
        <w:widowControl/>
        <w:numPr>
          <w:ilvl w:val="1"/>
          <w:numId w:val="20"/>
        </w:numPr>
        <w:rPr>
          <w:szCs w:val="22"/>
        </w:rPr>
      </w:pPr>
      <w:r w:rsidRPr="00671D38">
        <w:t xml:space="preserve">Indirect comparisons of a limited number of safety outcomes were presented in the submission. </w:t>
      </w:r>
      <w:proofErr w:type="spellStart"/>
      <w:r w:rsidRPr="00671D38">
        <w:t>Empagliflozin</w:t>
      </w:r>
      <w:proofErr w:type="spellEnd"/>
      <w:r w:rsidRPr="00671D38">
        <w:t xml:space="preserve"> plus metformin was associated with a statistically significantly lower proportion of patients with any adverse event compared with </w:t>
      </w:r>
      <w:proofErr w:type="spellStart"/>
      <w:r w:rsidRPr="00671D38">
        <w:t>dapagliflozin</w:t>
      </w:r>
      <w:proofErr w:type="spellEnd"/>
      <w:r w:rsidRPr="00671D38">
        <w:t xml:space="preserve"> plus metformin, at 24 weeks, but not at 52-102 weeks. There were no statistically significant differences between treatments in adverse events of special interest (hypoglycaemia, genital infections and urinary tract infections) however no data were presented versus </w:t>
      </w:r>
      <w:proofErr w:type="spellStart"/>
      <w:r w:rsidRPr="00671D38">
        <w:t>sitagliptin</w:t>
      </w:r>
      <w:proofErr w:type="spellEnd"/>
      <w:r w:rsidRPr="00671D38">
        <w:t>. The results based on indirect comparisons are of limited value and should be interpreted with caution, given differences in definitions of adverse events, different time points and wide confidence intervals.</w:t>
      </w:r>
    </w:p>
    <w:p w:rsidR="00884BA0" w:rsidRPr="00671D38" w:rsidRDefault="00884BA0" w:rsidP="00884BA0">
      <w:pPr>
        <w:rPr>
          <w:iCs/>
        </w:rPr>
      </w:pPr>
    </w:p>
    <w:p w:rsidR="00147D6D" w:rsidRPr="00F54CDC" w:rsidRDefault="00736226" w:rsidP="00F54CDC">
      <w:pPr>
        <w:pStyle w:val="ListParagraph"/>
        <w:widowControl/>
        <w:numPr>
          <w:ilvl w:val="1"/>
          <w:numId w:val="20"/>
        </w:numPr>
        <w:rPr>
          <w:szCs w:val="22"/>
        </w:rPr>
      </w:pPr>
      <w:r w:rsidRPr="00F54CDC">
        <w:rPr>
          <w:iCs/>
        </w:rPr>
        <w:t>The ESC noted that t</w:t>
      </w:r>
      <w:r w:rsidR="00147D6D" w:rsidRPr="00F54CDC">
        <w:rPr>
          <w:iCs/>
        </w:rPr>
        <w:t xml:space="preserve">here are limited long-term safety data for </w:t>
      </w:r>
      <w:proofErr w:type="spellStart"/>
      <w:r w:rsidR="00147D6D" w:rsidRPr="00F54CDC">
        <w:rPr>
          <w:iCs/>
        </w:rPr>
        <w:t>empagliflozin</w:t>
      </w:r>
      <w:proofErr w:type="spellEnd"/>
      <w:r w:rsidR="00147D6D" w:rsidRPr="00F54CDC">
        <w:rPr>
          <w:iCs/>
        </w:rPr>
        <w:t>.</w:t>
      </w:r>
    </w:p>
    <w:p w:rsidR="00147D6D" w:rsidRPr="00671D38" w:rsidRDefault="00147D6D" w:rsidP="00F4721A">
      <w:pPr>
        <w:ind w:left="709"/>
        <w:contextualSpacing/>
        <w:rPr>
          <w:szCs w:val="22"/>
        </w:rPr>
      </w:pPr>
    </w:p>
    <w:p w:rsidR="00147D6D" w:rsidRPr="00671D38" w:rsidRDefault="00147D6D" w:rsidP="00F4721A">
      <w:pPr>
        <w:outlineLvl w:val="1"/>
        <w:rPr>
          <w:b/>
          <w:szCs w:val="22"/>
        </w:rPr>
      </w:pPr>
      <w:bookmarkStart w:id="11" w:name="_Toc386015343"/>
      <w:bookmarkStart w:id="12" w:name="_Toc387851407"/>
      <w:r w:rsidRPr="00671D38">
        <w:rPr>
          <w:b/>
        </w:rPr>
        <w:t>Benefits/harms</w:t>
      </w:r>
      <w:bookmarkEnd w:id="11"/>
      <w:bookmarkEnd w:id="12"/>
    </w:p>
    <w:p w:rsidR="00147D6D" w:rsidRPr="00671D38" w:rsidRDefault="00147D6D" w:rsidP="00621ED4">
      <w:pPr>
        <w:contextualSpacing/>
      </w:pPr>
    </w:p>
    <w:p w:rsidR="00147D6D" w:rsidRPr="00F54CDC" w:rsidRDefault="00147D6D" w:rsidP="00F54CDC">
      <w:pPr>
        <w:pStyle w:val="ListParagraph"/>
        <w:widowControl/>
        <w:numPr>
          <w:ilvl w:val="1"/>
          <w:numId w:val="20"/>
        </w:numPr>
        <w:rPr>
          <w:szCs w:val="22"/>
        </w:rPr>
      </w:pPr>
      <w:r w:rsidRPr="00F54CDC">
        <w:rPr>
          <w:szCs w:val="22"/>
        </w:rPr>
        <w:t xml:space="preserve">A summary of the comparative benefits and harms for </w:t>
      </w:r>
      <w:proofErr w:type="spellStart"/>
      <w:r w:rsidRPr="00F54CDC">
        <w:rPr>
          <w:szCs w:val="22"/>
          <w:lang w:val="en-US"/>
        </w:rPr>
        <w:t>empagliflozin</w:t>
      </w:r>
      <w:proofErr w:type="spellEnd"/>
      <w:r w:rsidRPr="00F54CDC">
        <w:rPr>
          <w:szCs w:val="22"/>
          <w:lang w:val="en-US"/>
        </w:rPr>
        <w:t xml:space="preserve"> versus comparator drugs (</w:t>
      </w:r>
      <w:proofErr w:type="spellStart"/>
      <w:r w:rsidRPr="00F54CDC">
        <w:rPr>
          <w:szCs w:val="22"/>
          <w:lang w:val="en-US"/>
        </w:rPr>
        <w:t>sitagliptin</w:t>
      </w:r>
      <w:proofErr w:type="spellEnd"/>
      <w:r w:rsidRPr="00F54CDC">
        <w:rPr>
          <w:szCs w:val="22"/>
          <w:lang w:val="en-US"/>
        </w:rPr>
        <w:t xml:space="preserve">, </w:t>
      </w:r>
      <w:proofErr w:type="spellStart"/>
      <w:r w:rsidRPr="00F54CDC">
        <w:rPr>
          <w:szCs w:val="22"/>
          <w:lang w:val="en-US"/>
        </w:rPr>
        <w:t>dapagliflozin</w:t>
      </w:r>
      <w:proofErr w:type="spellEnd"/>
      <w:r w:rsidRPr="00F54CDC">
        <w:rPr>
          <w:szCs w:val="22"/>
          <w:lang w:val="en-US"/>
        </w:rPr>
        <w:t xml:space="preserve"> and </w:t>
      </w:r>
      <w:proofErr w:type="spellStart"/>
      <w:r w:rsidRPr="00F54CDC">
        <w:rPr>
          <w:szCs w:val="22"/>
          <w:lang w:val="en-US"/>
        </w:rPr>
        <w:t>canagliflozin</w:t>
      </w:r>
      <w:proofErr w:type="spellEnd"/>
      <w:r w:rsidRPr="00F54CDC">
        <w:rPr>
          <w:szCs w:val="22"/>
          <w:lang w:val="en-US"/>
        </w:rPr>
        <w:t xml:space="preserve">) </w:t>
      </w:r>
      <w:r w:rsidRPr="00F54CDC">
        <w:rPr>
          <w:szCs w:val="22"/>
        </w:rPr>
        <w:t xml:space="preserve">is presented </w:t>
      </w:r>
      <w:r w:rsidR="00736226" w:rsidRPr="00F54CDC">
        <w:rPr>
          <w:szCs w:val="22"/>
        </w:rPr>
        <w:t>below</w:t>
      </w:r>
      <w:r w:rsidRPr="00F54CDC">
        <w:rPr>
          <w:szCs w:val="22"/>
        </w:rPr>
        <w:t>.</w:t>
      </w:r>
    </w:p>
    <w:p w:rsidR="00147D6D" w:rsidRPr="00671D38" w:rsidRDefault="00147D6D" w:rsidP="00F4721A"/>
    <w:p w:rsidR="00147D6D" w:rsidRPr="00671D38" w:rsidRDefault="00147D6D" w:rsidP="00F83114">
      <w:pPr>
        <w:ind w:left="709"/>
        <w:rPr>
          <w:rFonts w:ascii="Arial Narrow" w:hAnsi="Arial Narrow"/>
          <w:b/>
          <w:sz w:val="20"/>
          <w:szCs w:val="16"/>
        </w:rPr>
      </w:pPr>
      <w:r w:rsidRPr="00671D38">
        <w:rPr>
          <w:rFonts w:ascii="Arial Narrow" w:hAnsi="Arial Narrow"/>
          <w:b/>
          <w:sz w:val="20"/>
          <w:szCs w:val="16"/>
        </w:rPr>
        <w:t xml:space="preserve">Summary of comparative benefits and harms for </w:t>
      </w:r>
      <w:proofErr w:type="spellStart"/>
      <w:r w:rsidRPr="00671D38">
        <w:rPr>
          <w:rFonts w:ascii="Arial Narrow" w:hAnsi="Arial Narrow"/>
          <w:b/>
          <w:sz w:val="20"/>
          <w:szCs w:val="16"/>
          <w:lang w:val="en-US"/>
        </w:rPr>
        <w:t>empagliflozin</w:t>
      </w:r>
      <w:proofErr w:type="spellEnd"/>
      <w:r w:rsidRPr="00671D38">
        <w:rPr>
          <w:rFonts w:ascii="Arial Narrow" w:hAnsi="Arial Narrow"/>
          <w:b/>
          <w:sz w:val="20"/>
          <w:szCs w:val="16"/>
          <w:lang w:val="en-US"/>
        </w:rPr>
        <w:t xml:space="preserve"> and comparator drugs (</w:t>
      </w:r>
      <w:proofErr w:type="spellStart"/>
      <w:r w:rsidRPr="00671D38">
        <w:rPr>
          <w:rFonts w:ascii="Arial Narrow" w:hAnsi="Arial Narrow"/>
          <w:b/>
          <w:sz w:val="20"/>
          <w:szCs w:val="16"/>
          <w:lang w:val="en-US"/>
        </w:rPr>
        <w:t>sitagliptin</w:t>
      </w:r>
      <w:proofErr w:type="spellEnd"/>
      <w:r w:rsidRPr="00671D38">
        <w:rPr>
          <w:rFonts w:ascii="Arial Narrow" w:hAnsi="Arial Narrow"/>
          <w:b/>
          <w:sz w:val="20"/>
          <w:szCs w:val="16"/>
          <w:lang w:val="en-US"/>
        </w:rPr>
        <w:t xml:space="preserve">, </w:t>
      </w:r>
      <w:proofErr w:type="spellStart"/>
      <w:r w:rsidRPr="00671D38">
        <w:rPr>
          <w:rFonts w:ascii="Arial Narrow" w:hAnsi="Arial Narrow"/>
          <w:b/>
          <w:sz w:val="20"/>
          <w:szCs w:val="16"/>
          <w:lang w:val="en-US"/>
        </w:rPr>
        <w:t>dapagliflozin</w:t>
      </w:r>
      <w:proofErr w:type="spellEnd"/>
      <w:r w:rsidRPr="00671D38">
        <w:rPr>
          <w:rFonts w:ascii="Arial Narrow" w:hAnsi="Arial Narrow"/>
          <w:b/>
          <w:sz w:val="20"/>
          <w:szCs w:val="16"/>
          <w:lang w:val="en-US"/>
        </w:rPr>
        <w:t xml:space="preserve"> and </w:t>
      </w:r>
      <w:proofErr w:type="spellStart"/>
      <w:r w:rsidRPr="00671D38">
        <w:rPr>
          <w:rFonts w:ascii="Arial Narrow" w:hAnsi="Arial Narrow"/>
          <w:b/>
          <w:sz w:val="20"/>
          <w:szCs w:val="16"/>
          <w:lang w:val="en-US"/>
        </w:rPr>
        <w:t>canagliflozin</w:t>
      </w:r>
      <w:proofErr w:type="spellEnd"/>
      <w:r w:rsidRPr="00671D38">
        <w:rPr>
          <w:rFonts w:ascii="Arial Narrow" w:hAnsi="Arial Narrow"/>
          <w:b/>
          <w:sz w:val="20"/>
          <w:szCs w:val="16"/>
          <w:lang w:val="en-US"/>
        </w:rPr>
        <w:t>)</w:t>
      </w:r>
      <w:r w:rsidR="00621ED4" w:rsidRPr="00671D38">
        <w:rPr>
          <w:rFonts w:ascii="Arial Narrow" w:hAnsi="Arial Narrow"/>
          <w:b/>
          <w:sz w:val="20"/>
          <w:szCs w:val="16"/>
          <w:lang w:val="en-US"/>
        </w:rPr>
        <w:t>: D</w:t>
      </w:r>
      <w:proofErr w:type="spellStart"/>
      <w:r w:rsidRPr="00671D38">
        <w:rPr>
          <w:rFonts w:ascii="Arial Narrow" w:hAnsi="Arial Narrow"/>
          <w:b/>
          <w:sz w:val="20"/>
        </w:rPr>
        <w:t>ata</w:t>
      </w:r>
      <w:proofErr w:type="spellEnd"/>
      <w:r w:rsidRPr="00671D38">
        <w:rPr>
          <w:rFonts w:ascii="Arial Narrow" w:hAnsi="Arial Narrow"/>
          <w:b/>
          <w:sz w:val="20"/>
        </w:rPr>
        <w:t xml:space="preserve"> from medium term </w:t>
      </w:r>
      <w:r w:rsidR="00621ED4" w:rsidRPr="00671D38">
        <w:rPr>
          <w:rFonts w:ascii="Arial Narrow" w:hAnsi="Arial Narrow"/>
          <w:b/>
          <w:sz w:val="20"/>
        </w:rPr>
        <w:t>analyses; 18-30 weeks’ duration</w:t>
      </w:r>
    </w:p>
    <w:tbl>
      <w:tblPr>
        <w:tblStyle w:val="TableGrid21"/>
        <w:tblW w:w="8363" w:type="dxa"/>
        <w:tblInd w:w="817" w:type="dxa"/>
        <w:tblLayout w:type="fixed"/>
        <w:tblLook w:val="04A0" w:firstRow="1" w:lastRow="0" w:firstColumn="1" w:lastColumn="0" w:noHBand="0" w:noVBand="1"/>
        <w:tblDescription w:val="Summary of comparative benefits and harms for empagliflozin and comparator drugs (sitagliptin, dapagliflozin and canagliflozin): Data from medium term analyses; 18-30 weeks’ duration"/>
      </w:tblPr>
      <w:tblGrid>
        <w:gridCol w:w="711"/>
        <w:gridCol w:w="140"/>
        <w:gridCol w:w="427"/>
        <w:gridCol w:w="709"/>
        <w:gridCol w:w="850"/>
        <w:gridCol w:w="552"/>
        <w:gridCol w:w="15"/>
        <w:gridCol w:w="142"/>
        <w:gridCol w:w="1277"/>
        <w:gridCol w:w="126"/>
        <w:gridCol w:w="15"/>
        <w:gridCol w:w="1419"/>
        <w:gridCol w:w="425"/>
        <w:gridCol w:w="851"/>
        <w:gridCol w:w="704"/>
      </w:tblGrid>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b/>
                <w:sz w:val="20"/>
              </w:rPr>
            </w:pPr>
            <w:r w:rsidRPr="00671D38">
              <w:rPr>
                <w:rFonts w:ascii="Arial Narrow" w:hAnsi="Arial Narrow"/>
                <w:b/>
                <w:sz w:val="20"/>
              </w:rPr>
              <w:t>Benefits: Mean change in HbA1c</w:t>
            </w:r>
          </w:p>
        </w:tc>
      </w:tr>
      <w:tr w:rsidR="00147D6D" w:rsidRPr="00671D38" w:rsidTr="00F54CDC">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b/>
                <w:sz w:val="20"/>
              </w:rPr>
            </w:pPr>
            <w:r w:rsidRPr="00671D38">
              <w:rPr>
                <w:rFonts w:ascii="Arial Narrow" w:hAnsi="Arial Narrow"/>
                <w:b/>
                <w:sz w:val="20"/>
              </w:rPr>
              <w:t>Comparison</w:t>
            </w:r>
          </w:p>
          <w:p w:rsidR="00147D6D" w:rsidRPr="00671D38" w:rsidRDefault="00147D6D" w:rsidP="00F4721A">
            <w:pPr>
              <w:rPr>
                <w:rFonts w:ascii="Arial Narrow" w:hAnsi="Arial Narrow"/>
                <w:b/>
                <w:sz w:val="20"/>
              </w:rPr>
            </w:pPr>
            <w:r w:rsidRPr="00671D38">
              <w:rPr>
                <w:rFonts w:ascii="Arial Narrow" w:hAnsi="Arial Narrow"/>
                <w:b/>
                <w:sz w:val="20"/>
              </w:rPr>
              <w:t>Trials</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Active treatment group</w:t>
            </w:r>
          </w:p>
        </w:tc>
        <w:tc>
          <w:tcPr>
            <w:tcW w:w="2127" w:type="dxa"/>
            <w:gridSpan w:val="6"/>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Common reference</w:t>
            </w:r>
          </w:p>
        </w:tc>
        <w:tc>
          <w:tcPr>
            <w:tcW w:w="18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 xml:space="preserve">Active treatment </w:t>
            </w:r>
            <w:r w:rsidR="00727B49" w:rsidRPr="00671D38">
              <w:rPr>
                <w:rFonts w:ascii="Arial Narrow" w:hAnsi="Arial Narrow"/>
                <w:b/>
                <w:sz w:val="20"/>
              </w:rPr>
              <w:t>vs.</w:t>
            </w:r>
            <w:r w:rsidRPr="00671D38">
              <w:rPr>
                <w:rFonts w:ascii="Arial Narrow" w:hAnsi="Arial Narrow"/>
                <w:b/>
                <w:sz w:val="20"/>
              </w:rPr>
              <w:t xml:space="preserve"> common reference Mean difference (95% CI)</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Indirect comparison: Mean difference (95% CI)</w:t>
            </w:r>
          </w:p>
        </w:tc>
      </w:tr>
      <w:tr w:rsidR="00147D6D" w:rsidRPr="00671D38" w:rsidTr="00F54CDC">
        <w:tc>
          <w:tcPr>
            <w:tcW w:w="711" w:type="dxa"/>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n</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Mean difference (SD)</w:t>
            </w:r>
          </w:p>
        </w:tc>
        <w:tc>
          <w:tcPr>
            <w:tcW w:w="552"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n</w:t>
            </w:r>
          </w:p>
        </w:tc>
        <w:tc>
          <w:tcPr>
            <w:tcW w:w="1575" w:type="dxa"/>
            <w:gridSpan w:val="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Mean difference (SD)</w:t>
            </w: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b/>
                <w:sz w:val="20"/>
              </w:rPr>
            </w:pPr>
            <w:proofErr w:type="spellStart"/>
            <w:r w:rsidRPr="00671D38">
              <w:rPr>
                <w:rFonts w:ascii="Arial Narrow" w:hAnsi="Arial Narrow"/>
                <w:b/>
                <w:sz w:val="20"/>
              </w:rPr>
              <w:t>Empagliflozin</w:t>
            </w:r>
            <w:proofErr w:type="spellEnd"/>
            <w:r w:rsidRPr="00671D38">
              <w:rPr>
                <w:rFonts w:ascii="Arial Narrow" w:hAnsi="Arial Narrow"/>
                <w:b/>
                <w:sz w:val="20"/>
              </w:rPr>
              <w:t xml:space="preserve"> 25mg+metformin </w:t>
            </w:r>
            <w:r w:rsidR="00727B49" w:rsidRPr="00671D38">
              <w:rPr>
                <w:rFonts w:ascii="Arial Narrow" w:hAnsi="Arial Narrow"/>
                <w:b/>
                <w:sz w:val="20"/>
              </w:rPr>
              <w:t>vs.</w:t>
            </w:r>
            <w:r w:rsidRPr="00671D38">
              <w:rPr>
                <w:rFonts w:ascii="Arial Narrow" w:hAnsi="Arial Narrow"/>
                <w:b/>
                <w:sz w:val="20"/>
              </w:rPr>
              <w:t xml:space="preserve"> </w:t>
            </w:r>
            <w:proofErr w:type="spellStart"/>
            <w:r w:rsidRPr="00671D38">
              <w:rPr>
                <w:rFonts w:ascii="Arial Narrow" w:hAnsi="Arial Narrow"/>
                <w:b/>
                <w:sz w:val="20"/>
              </w:rPr>
              <w:t>sitagliptin</w:t>
            </w:r>
            <w:proofErr w:type="spellEnd"/>
            <w:r w:rsidRPr="00671D38">
              <w:rPr>
                <w:rFonts w:ascii="Arial Narrow" w:hAnsi="Arial Narrow"/>
                <w:b/>
                <w:sz w:val="20"/>
              </w:rPr>
              <w:t xml:space="preserve"> 100mg+metformin (</w:t>
            </w:r>
            <w:proofErr w:type="spellStart"/>
            <w:r w:rsidRPr="00671D38">
              <w:rPr>
                <w:rFonts w:ascii="Arial Narrow" w:hAnsi="Arial Narrow"/>
                <w:b/>
                <w:sz w:val="20"/>
              </w:rPr>
              <w:t>placebo+metformin</w:t>
            </w:r>
            <w:proofErr w:type="spellEnd"/>
            <w:r w:rsidRPr="00671D38">
              <w:rPr>
                <w:rFonts w:ascii="Arial Narrow" w:hAnsi="Arial Narrow"/>
                <w:b/>
                <w:sz w:val="20"/>
              </w:rPr>
              <w:t xml:space="preserve"> common comparator)</w:t>
            </w:r>
          </w:p>
        </w:tc>
      </w:tr>
      <w:tr w:rsidR="00147D6D" w:rsidRPr="00671D38" w:rsidTr="00F54CDC">
        <w:tc>
          <w:tcPr>
            <w:tcW w:w="6808" w:type="dxa"/>
            <w:gridSpan w:val="13"/>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EMPA 25mg+MET vs PBO+MET</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rPr>
                <w:rFonts w:ascii="Arial Narrow" w:hAnsi="Arial Narrow"/>
                <w:sz w:val="20"/>
              </w:rPr>
            </w:pPr>
          </w:p>
        </w:tc>
      </w:tr>
      <w:tr w:rsidR="00147D6D" w:rsidRPr="00671D38" w:rsidTr="00F54CDC">
        <w:tc>
          <w:tcPr>
            <w:tcW w:w="7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1245.23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213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-0.77 (0.73)</w:t>
            </w:r>
          </w:p>
        </w:tc>
        <w:tc>
          <w:tcPr>
            <w:tcW w:w="552"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207</w:t>
            </w:r>
          </w:p>
        </w:tc>
        <w:tc>
          <w:tcPr>
            <w:tcW w:w="1560" w:type="dxa"/>
            <w:gridSpan w:val="4"/>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-0.13 (0.719)</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-0.64 (-0.78, -0.50)</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6808" w:type="dxa"/>
            <w:gridSpan w:val="13"/>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373BA7">
            <w:pPr>
              <w:rPr>
                <w:rFonts w:ascii="Arial Narrow" w:hAnsi="Arial Narrow"/>
                <w:sz w:val="20"/>
              </w:rPr>
            </w:pPr>
            <w:r w:rsidRPr="00671D38">
              <w:rPr>
                <w:rFonts w:ascii="Arial Narrow" w:hAnsi="Arial Narrow"/>
                <w:sz w:val="20"/>
              </w:rPr>
              <w:t xml:space="preserve">SITA 100mg+MET vs PBO+MET </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4964" w:type="dxa"/>
            <w:gridSpan w:val="11"/>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 xml:space="preserve">Meta-analysis of </w:t>
            </w:r>
            <w:proofErr w:type="spellStart"/>
            <w:r w:rsidRPr="00671D38">
              <w:rPr>
                <w:rFonts w:ascii="Arial Narrow" w:hAnsi="Arial Narrow"/>
                <w:sz w:val="20"/>
              </w:rPr>
              <w:t>sitagliptin</w:t>
            </w:r>
            <w:proofErr w:type="spellEnd"/>
            <w:r w:rsidRPr="00671D38">
              <w:rPr>
                <w:rFonts w:ascii="Arial Narrow" w:hAnsi="Arial Narrow"/>
                <w:sz w:val="20"/>
              </w:rPr>
              <w:t xml:space="preserve"> 100mg+metformin vs </w:t>
            </w:r>
            <w:proofErr w:type="spellStart"/>
            <w:r w:rsidRPr="00671D38">
              <w:rPr>
                <w:rFonts w:ascii="Arial Narrow" w:hAnsi="Arial Narrow"/>
                <w:sz w:val="20"/>
              </w:rPr>
              <w:t>placebo+metformin</w:t>
            </w:r>
            <w:r w:rsidRPr="00671D38">
              <w:rPr>
                <w:rFonts w:ascii="Arial Narrow" w:hAnsi="Arial Narrow"/>
                <w:sz w:val="20"/>
                <w:vertAlign w:val="superscript"/>
              </w:rPr>
              <w:t>a</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proofErr w:type="spellStart"/>
            <w:r w:rsidRPr="00671D38">
              <w:rPr>
                <w:rFonts w:ascii="Arial Narrow" w:hAnsi="Arial Narrow"/>
                <w:b/>
                <w:sz w:val="20"/>
              </w:rPr>
              <w:t>Empagliflozin</w:t>
            </w:r>
            <w:proofErr w:type="spellEnd"/>
            <w:r w:rsidRPr="00671D38">
              <w:rPr>
                <w:rFonts w:ascii="Arial Narrow" w:hAnsi="Arial Narrow"/>
                <w:b/>
                <w:sz w:val="20"/>
              </w:rPr>
              <w:t xml:space="preserve"> 25mg+metformin vs </w:t>
            </w:r>
            <w:proofErr w:type="spellStart"/>
            <w:r w:rsidRPr="00671D38">
              <w:rPr>
                <w:rFonts w:ascii="Arial Narrow" w:hAnsi="Arial Narrow"/>
                <w:b/>
                <w:sz w:val="20"/>
              </w:rPr>
              <w:t>dapagliflozin</w:t>
            </w:r>
            <w:proofErr w:type="spellEnd"/>
            <w:r w:rsidRPr="00671D38">
              <w:rPr>
                <w:rFonts w:ascii="Arial Narrow" w:hAnsi="Arial Narrow"/>
                <w:b/>
                <w:sz w:val="20"/>
              </w:rPr>
              <w:t xml:space="preserve"> 10mg+metformin (</w:t>
            </w:r>
            <w:proofErr w:type="spellStart"/>
            <w:r w:rsidRPr="00671D38">
              <w:rPr>
                <w:rFonts w:ascii="Arial Narrow" w:hAnsi="Arial Narrow"/>
                <w:b/>
                <w:sz w:val="20"/>
              </w:rPr>
              <w:t>placebo+metformin</w:t>
            </w:r>
            <w:proofErr w:type="spellEnd"/>
            <w:r w:rsidRPr="00671D38">
              <w:rPr>
                <w:rFonts w:ascii="Arial Narrow" w:hAnsi="Arial Narrow"/>
                <w:b/>
                <w:sz w:val="20"/>
              </w:rPr>
              <w:t xml:space="preserve"> common comparator)</w:t>
            </w:r>
          </w:p>
        </w:tc>
      </w:tr>
      <w:tr w:rsidR="00147D6D" w:rsidRPr="00671D38" w:rsidTr="00F54CDC">
        <w:tc>
          <w:tcPr>
            <w:tcW w:w="4964" w:type="dxa"/>
            <w:gridSpan w:val="11"/>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EMPA 25mg+MET vs PBO+MET</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-0.64 (-0.78, -0.50)</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6808" w:type="dxa"/>
            <w:gridSpan w:val="13"/>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373BA7">
            <w:pPr>
              <w:jc w:val="left"/>
              <w:rPr>
                <w:rFonts w:ascii="Arial Narrow" w:hAnsi="Arial Narrow"/>
                <w:sz w:val="20"/>
              </w:rPr>
            </w:pPr>
            <w:r w:rsidRPr="00671D38">
              <w:rPr>
                <w:rFonts w:ascii="Arial Narrow" w:hAnsi="Arial Narrow"/>
                <w:sz w:val="20"/>
              </w:rPr>
              <w:t xml:space="preserve">DAPA 10mg+MET vs PBO+MET </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4964" w:type="dxa"/>
            <w:gridSpan w:val="11"/>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r w:rsidRPr="00671D38">
              <w:rPr>
                <w:rFonts w:ascii="Arial Narrow" w:hAnsi="Arial Narrow"/>
                <w:sz w:val="20"/>
              </w:rPr>
              <w:t xml:space="preserve">Meta-analysis of </w:t>
            </w:r>
            <w:proofErr w:type="spellStart"/>
            <w:r w:rsidRPr="00671D38">
              <w:rPr>
                <w:rFonts w:ascii="Arial Narrow" w:hAnsi="Arial Narrow"/>
                <w:sz w:val="20"/>
              </w:rPr>
              <w:t>dapagliflozin</w:t>
            </w:r>
            <w:proofErr w:type="spellEnd"/>
            <w:r w:rsidRPr="00671D38">
              <w:rPr>
                <w:rFonts w:ascii="Arial Narrow" w:hAnsi="Arial Narrow"/>
                <w:sz w:val="20"/>
              </w:rPr>
              <w:t xml:space="preserve"> 10mg+metformin vs </w:t>
            </w:r>
            <w:proofErr w:type="spellStart"/>
            <w:r w:rsidRPr="00671D38">
              <w:rPr>
                <w:rFonts w:ascii="Arial Narrow" w:hAnsi="Arial Narrow"/>
                <w:sz w:val="20"/>
              </w:rPr>
              <w:t>placebo+metformin</w:t>
            </w:r>
            <w:r w:rsidRPr="00671D38">
              <w:rPr>
                <w:rFonts w:ascii="Arial Narrow" w:hAnsi="Arial Narrow"/>
                <w:sz w:val="20"/>
                <w:vertAlign w:val="superscript"/>
              </w:rPr>
              <w:t>b</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proofErr w:type="spellStart"/>
            <w:r w:rsidRPr="00671D38">
              <w:rPr>
                <w:rFonts w:ascii="Arial Narrow" w:hAnsi="Arial Narrow"/>
                <w:b/>
                <w:sz w:val="20"/>
              </w:rPr>
              <w:t>Empagliflozin</w:t>
            </w:r>
            <w:proofErr w:type="spellEnd"/>
            <w:r w:rsidRPr="00671D38">
              <w:rPr>
                <w:rFonts w:ascii="Arial Narrow" w:hAnsi="Arial Narrow"/>
                <w:b/>
                <w:sz w:val="20"/>
              </w:rPr>
              <w:t xml:space="preserve"> 10mg+metformin vs </w:t>
            </w:r>
            <w:proofErr w:type="spellStart"/>
            <w:r w:rsidRPr="00671D38">
              <w:rPr>
                <w:rFonts w:ascii="Arial Narrow" w:hAnsi="Arial Narrow"/>
                <w:b/>
                <w:sz w:val="20"/>
              </w:rPr>
              <w:t>dapagliflozin</w:t>
            </w:r>
            <w:proofErr w:type="spellEnd"/>
            <w:r w:rsidRPr="00671D38">
              <w:rPr>
                <w:rFonts w:ascii="Arial Narrow" w:hAnsi="Arial Narrow"/>
                <w:b/>
                <w:sz w:val="20"/>
              </w:rPr>
              <w:t xml:space="preserve"> 10mg+metformin (</w:t>
            </w:r>
            <w:proofErr w:type="spellStart"/>
            <w:r w:rsidRPr="00671D38">
              <w:rPr>
                <w:rFonts w:ascii="Arial Narrow" w:hAnsi="Arial Narrow"/>
                <w:b/>
                <w:sz w:val="20"/>
              </w:rPr>
              <w:t>placebo+metformin</w:t>
            </w:r>
            <w:proofErr w:type="spellEnd"/>
            <w:r w:rsidRPr="00671D38">
              <w:rPr>
                <w:rFonts w:ascii="Arial Narrow" w:hAnsi="Arial Narrow"/>
                <w:b/>
                <w:sz w:val="20"/>
              </w:rPr>
              <w:t xml:space="preserve"> common comparator)</w:t>
            </w:r>
          </w:p>
        </w:tc>
      </w:tr>
      <w:tr w:rsidR="00147D6D" w:rsidRPr="00671D38" w:rsidTr="00F54CDC">
        <w:tc>
          <w:tcPr>
            <w:tcW w:w="6808" w:type="dxa"/>
            <w:gridSpan w:val="13"/>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r w:rsidRPr="00671D38">
              <w:rPr>
                <w:rFonts w:ascii="Arial Narrow" w:hAnsi="Arial Narrow"/>
                <w:sz w:val="20"/>
              </w:rPr>
              <w:t>EMPA 10mg+MET vs PBO+MET</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147D6D" w:rsidRPr="00671D38" w:rsidRDefault="00147D6D" w:rsidP="00F4721A">
            <w:pPr>
              <w:tabs>
                <w:tab w:val="left" w:pos="330"/>
              </w:tabs>
              <w:jc w:val="center"/>
              <w:rPr>
                <w:rFonts w:ascii="Arial Narrow" w:hAnsi="Arial Narrow"/>
                <w:sz w:val="20"/>
              </w:rPr>
            </w:pPr>
          </w:p>
        </w:tc>
      </w:tr>
      <w:tr w:rsidR="00147D6D" w:rsidRPr="00671D38" w:rsidTr="00F54CDC">
        <w:tc>
          <w:tcPr>
            <w:tcW w:w="7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1245.23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217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-0.70 (0.74)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207</w:t>
            </w:r>
          </w:p>
        </w:tc>
        <w:tc>
          <w:tcPr>
            <w:tcW w:w="1560" w:type="dxa"/>
            <w:gridSpan w:val="4"/>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-0.13 (0.72)</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-0.57 (-0.71, -0.43)</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4964" w:type="dxa"/>
            <w:gridSpan w:val="11"/>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DAPA 10mg+MET vs PBO+MET</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 ''''''''''''''</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proofErr w:type="spellStart"/>
            <w:r w:rsidRPr="00671D38">
              <w:rPr>
                <w:rFonts w:ascii="Arial Narrow" w:hAnsi="Arial Narrow"/>
                <w:b/>
                <w:sz w:val="20"/>
              </w:rPr>
              <w:t>Empagliflozin</w:t>
            </w:r>
            <w:proofErr w:type="spellEnd"/>
            <w:r w:rsidRPr="00671D38">
              <w:rPr>
                <w:rFonts w:ascii="Arial Narrow" w:hAnsi="Arial Narrow"/>
                <w:b/>
                <w:sz w:val="20"/>
              </w:rPr>
              <w:t xml:space="preserve"> 25mg+metformin vs </w:t>
            </w:r>
            <w:proofErr w:type="spellStart"/>
            <w:r w:rsidRPr="00671D38">
              <w:rPr>
                <w:rFonts w:ascii="Arial Narrow" w:hAnsi="Arial Narrow"/>
                <w:b/>
                <w:sz w:val="20"/>
              </w:rPr>
              <w:t>canagliflozin</w:t>
            </w:r>
            <w:proofErr w:type="spellEnd"/>
            <w:r w:rsidRPr="00671D38">
              <w:rPr>
                <w:rFonts w:ascii="Arial Narrow" w:hAnsi="Arial Narrow"/>
                <w:b/>
                <w:sz w:val="20"/>
              </w:rPr>
              <w:t xml:space="preserve"> 300mg+metformin (</w:t>
            </w:r>
            <w:proofErr w:type="spellStart"/>
            <w:r w:rsidRPr="00671D38">
              <w:rPr>
                <w:rFonts w:ascii="Arial Narrow" w:hAnsi="Arial Narrow"/>
                <w:b/>
                <w:sz w:val="20"/>
              </w:rPr>
              <w:t>placebo+metformin</w:t>
            </w:r>
            <w:proofErr w:type="spellEnd"/>
            <w:r w:rsidRPr="00671D38">
              <w:rPr>
                <w:rFonts w:ascii="Arial Narrow" w:hAnsi="Arial Narrow"/>
                <w:b/>
                <w:sz w:val="20"/>
              </w:rPr>
              <w:t xml:space="preserve"> common comparator)</w:t>
            </w:r>
          </w:p>
        </w:tc>
      </w:tr>
      <w:tr w:rsidR="00147D6D" w:rsidRPr="00671D38" w:rsidTr="00F54CDC">
        <w:tc>
          <w:tcPr>
            <w:tcW w:w="4964" w:type="dxa"/>
            <w:gridSpan w:val="11"/>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EMPA 25mg+MET vs PBO+MET</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-0.64 (-0.78, -0.50)</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330"/>
              </w:tabs>
              <w:jc w:val="center"/>
              <w:rPr>
                <w:rFonts w:ascii="Arial Narrow" w:hAnsi="Arial Narrow"/>
                <w:sz w:val="20"/>
                <w:highlight w:val="black"/>
              </w:rPr>
            </w:pPr>
            <w:r>
              <w:rPr>
                <w:rFonts w:ascii="Arial Narrow" w:hAnsi="Arial Narrow"/>
                <w:noProof/>
                <w:color w:val="000000"/>
                <w:sz w:val="20"/>
                <w:highlight w:val="black"/>
              </w:rPr>
              <w:t>'''''''''' '''''''''''''''' '''''''''''''</w:t>
            </w:r>
          </w:p>
        </w:tc>
      </w:tr>
      <w:tr w:rsidR="00147D6D" w:rsidRPr="00671D38" w:rsidTr="00F54CDC">
        <w:tc>
          <w:tcPr>
            <w:tcW w:w="6808" w:type="dxa"/>
            <w:gridSpan w:val="13"/>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CANA 300mg+MET vs PBO+MET</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711"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CANTATA-D</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360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-0.94 (0.77)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181</w:t>
            </w:r>
          </w:p>
        </w:tc>
        <w:tc>
          <w:tcPr>
            <w:tcW w:w="1560" w:type="dxa"/>
            <w:gridSpan w:val="4"/>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-0.18 (0.76)</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-0.76 (-0.90, -0.63)</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proofErr w:type="spellStart"/>
            <w:r w:rsidRPr="00671D38">
              <w:rPr>
                <w:rFonts w:ascii="Arial Narrow" w:hAnsi="Arial Narrow"/>
                <w:b/>
                <w:sz w:val="20"/>
              </w:rPr>
              <w:t>Empagliflozin</w:t>
            </w:r>
            <w:proofErr w:type="spellEnd"/>
            <w:r w:rsidRPr="00671D38">
              <w:rPr>
                <w:rFonts w:ascii="Arial Narrow" w:hAnsi="Arial Narrow"/>
                <w:b/>
                <w:sz w:val="20"/>
              </w:rPr>
              <w:t xml:space="preserve"> 10mg+metformin vs </w:t>
            </w:r>
            <w:proofErr w:type="spellStart"/>
            <w:r w:rsidRPr="00671D38">
              <w:rPr>
                <w:rFonts w:ascii="Arial Narrow" w:hAnsi="Arial Narrow"/>
                <w:b/>
                <w:sz w:val="20"/>
              </w:rPr>
              <w:t>canagliflozin</w:t>
            </w:r>
            <w:proofErr w:type="spellEnd"/>
            <w:r w:rsidRPr="00671D38">
              <w:rPr>
                <w:rFonts w:ascii="Arial Narrow" w:hAnsi="Arial Narrow"/>
                <w:b/>
                <w:sz w:val="20"/>
              </w:rPr>
              <w:t xml:space="preserve"> 300mg+metformin (</w:t>
            </w:r>
            <w:proofErr w:type="spellStart"/>
            <w:r w:rsidRPr="00671D38">
              <w:rPr>
                <w:rFonts w:ascii="Arial Narrow" w:hAnsi="Arial Narrow"/>
                <w:b/>
                <w:sz w:val="20"/>
              </w:rPr>
              <w:t>placebo+metformin</w:t>
            </w:r>
            <w:proofErr w:type="spellEnd"/>
            <w:r w:rsidRPr="00671D38">
              <w:rPr>
                <w:rFonts w:ascii="Arial Narrow" w:hAnsi="Arial Narrow"/>
                <w:b/>
                <w:sz w:val="20"/>
              </w:rPr>
              <w:t xml:space="preserve"> common comparator)</w:t>
            </w:r>
          </w:p>
        </w:tc>
      </w:tr>
      <w:tr w:rsidR="00147D6D" w:rsidRPr="00671D38" w:rsidTr="00F54CDC">
        <w:tc>
          <w:tcPr>
            <w:tcW w:w="4964" w:type="dxa"/>
            <w:gridSpan w:val="11"/>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EMPA 10mg+MET vs PBO+MET</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-0.57 (-0.71, -0.43)</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C05DA8" w:rsidP="00F4721A">
            <w:pPr>
              <w:rPr>
                <w:rFonts w:ascii="Arial Narrow" w:hAnsi="Arial Narrow"/>
                <w:sz w:val="20"/>
              </w:rPr>
            </w:pPr>
            <w:r>
              <w:rPr>
                <w:rFonts w:ascii="Arial Narrow" w:hAnsi="Arial Narrow"/>
                <w:noProof/>
                <w:color w:val="000000"/>
                <w:sz w:val="20"/>
                <w:highlight w:val="black"/>
              </w:rPr>
              <w:t>'''''''''' ''''''''''''''''''</w:t>
            </w:r>
            <w:r w:rsidR="00147D6D" w:rsidRPr="00671D38">
              <w:rPr>
                <w:rFonts w:ascii="Arial Narrow" w:hAnsi="Arial Narrow"/>
                <w:sz w:val="20"/>
              </w:rPr>
              <w:t xml:space="preserve"> </w:t>
            </w:r>
            <w:r>
              <w:rPr>
                <w:rFonts w:ascii="Arial Narrow" w:hAnsi="Arial Narrow"/>
                <w:noProof/>
                <w:color w:val="000000"/>
                <w:sz w:val="20"/>
                <w:highlight w:val="black"/>
              </w:rPr>
              <w:t>''''''''''''''''</w:t>
            </w:r>
          </w:p>
        </w:tc>
      </w:tr>
      <w:tr w:rsidR="00147D6D" w:rsidRPr="00671D38" w:rsidTr="00F54CDC">
        <w:tc>
          <w:tcPr>
            <w:tcW w:w="4964" w:type="dxa"/>
            <w:gridSpan w:val="11"/>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CANA 300mg+MET vs PBO+MET</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-0.76 (-0.90, -0.63)</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sz w:val="20"/>
              </w:rPr>
            </w:pP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b/>
                <w:sz w:val="20"/>
              </w:rPr>
            </w:pPr>
            <w:r w:rsidRPr="00671D38">
              <w:rPr>
                <w:rFonts w:ascii="Arial Narrow" w:hAnsi="Arial Narrow"/>
                <w:b/>
                <w:sz w:val="20"/>
              </w:rPr>
              <w:t>Harms</w:t>
            </w:r>
          </w:p>
        </w:tc>
      </w:tr>
      <w:tr w:rsidR="00147D6D" w:rsidRPr="00671D38" w:rsidTr="00F54CD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b/>
                <w:sz w:val="20"/>
              </w:rPr>
            </w:pPr>
            <w:r w:rsidRPr="00671D38">
              <w:rPr>
                <w:rFonts w:ascii="Arial Narrow" w:hAnsi="Arial Narrow"/>
                <w:b/>
                <w:sz w:val="20"/>
              </w:rPr>
              <w:t>Compar</w:t>
            </w:r>
            <w:r w:rsidRPr="00671D38">
              <w:rPr>
                <w:rFonts w:ascii="Arial Narrow" w:hAnsi="Arial Narrow"/>
                <w:b/>
                <w:sz w:val="20"/>
              </w:rPr>
              <w:lastRenderedPageBreak/>
              <w:t>ison</w:t>
            </w:r>
          </w:p>
          <w:p w:rsidR="00147D6D" w:rsidRPr="00671D38" w:rsidRDefault="00147D6D" w:rsidP="00F4721A">
            <w:pPr>
              <w:jc w:val="left"/>
              <w:rPr>
                <w:rFonts w:ascii="Arial Narrow" w:hAnsi="Arial Narrow"/>
                <w:b/>
                <w:sz w:val="20"/>
              </w:rPr>
            </w:pPr>
            <w:r w:rsidRPr="00671D38">
              <w:rPr>
                <w:rFonts w:ascii="Arial Narrow" w:hAnsi="Arial Narrow"/>
                <w:b/>
                <w:sz w:val="20"/>
              </w:rPr>
              <w:t>Trials</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lastRenderedPageBreak/>
              <w:t xml:space="preserve">Active </w:t>
            </w:r>
            <w:r w:rsidRPr="00671D38">
              <w:rPr>
                <w:rFonts w:ascii="Arial Narrow" w:hAnsi="Arial Narrow"/>
                <w:b/>
                <w:sz w:val="20"/>
              </w:rPr>
              <w:lastRenderedPageBreak/>
              <w:t>treatment group</w:t>
            </w:r>
          </w:p>
        </w:tc>
        <w:tc>
          <w:tcPr>
            <w:tcW w:w="155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lastRenderedPageBreak/>
              <w:t xml:space="preserve">Common </w:t>
            </w:r>
            <w:r w:rsidRPr="00671D38">
              <w:rPr>
                <w:rFonts w:ascii="Arial Narrow" w:hAnsi="Arial Narrow"/>
                <w:b/>
                <w:sz w:val="20"/>
              </w:rPr>
              <w:lastRenderedPageBreak/>
              <w:t>reference</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lastRenderedPageBreak/>
              <w:t>OR</w:t>
            </w:r>
          </w:p>
          <w:p w:rsidR="00147D6D" w:rsidRPr="00671D38" w:rsidRDefault="00147D6D" w:rsidP="00F4721A">
            <w:pPr>
              <w:jc w:val="center"/>
              <w:rPr>
                <w:rFonts w:ascii="Arial Narrow" w:hAnsi="Arial Narrow"/>
                <w:b/>
                <w:sz w:val="20"/>
              </w:rPr>
            </w:pPr>
            <w:r w:rsidRPr="00671D38">
              <w:rPr>
                <w:rFonts w:ascii="Arial Narrow" w:hAnsi="Arial Narrow"/>
                <w:b/>
                <w:sz w:val="20"/>
              </w:rPr>
              <w:lastRenderedPageBreak/>
              <w:t>(95% CI)</w:t>
            </w:r>
          </w:p>
        </w:tc>
        <w:tc>
          <w:tcPr>
            <w:tcW w:w="2836" w:type="dxa"/>
            <w:gridSpan w:val="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lastRenderedPageBreak/>
              <w:t>Event rate/100 patients</w:t>
            </w:r>
          </w:p>
        </w:tc>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RD</w:t>
            </w:r>
          </w:p>
          <w:p w:rsidR="00147D6D" w:rsidRPr="00671D38" w:rsidRDefault="00147D6D" w:rsidP="00F4721A">
            <w:pPr>
              <w:jc w:val="center"/>
              <w:rPr>
                <w:rFonts w:ascii="Arial Narrow" w:hAnsi="Arial Narrow"/>
                <w:b/>
                <w:sz w:val="20"/>
              </w:rPr>
            </w:pPr>
            <w:r w:rsidRPr="00671D38">
              <w:rPr>
                <w:rFonts w:ascii="Arial Narrow" w:hAnsi="Arial Narrow"/>
                <w:b/>
                <w:sz w:val="20"/>
              </w:rPr>
              <w:lastRenderedPageBreak/>
              <w:t>(95% CI)</w:t>
            </w:r>
          </w:p>
        </w:tc>
      </w:tr>
      <w:tr w:rsidR="00147D6D" w:rsidRPr="00671D38" w:rsidTr="00F54CD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Active treatment group</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b/>
                <w:sz w:val="20"/>
              </w:rPr>
            </w:pPr>
            <w:r w:rsidRPr="00671D38">
              <w:rPr>
                <w:rFonts w:ascii="Arial Narrow" w:hAnsi="Arial Narrow"/>
                <w:b/>
                <w:sz w:val="20"/>
              </w:rPr>
              <w:t>Common reference</w:t>
            </w: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widowControl/>
              <w:jc w:val="left"/>
              <w:rPr>
                <w:rFonts w:ascii="Arial Narrow" w:hAnsi="Arial Narrow"/>
                <w:b/>
                <w:sz w:val="20"/>
              </w:rPr>
            </w:pP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b/>
                <w:sz w:val="20"/>
              </w:rPr>
            </w:pPr>
            <w:r w:rsidRPr="00671D38">
              <w:rPr>
                <w:rFonts w:ascii="Arial Narrow" w:hAnsi="Arial Narrow"/>
                <w:b/>
                <w:sz w:val="20"/>
              </w:rPr>
              <w:lastRenderedPageBreak/>
              <w:t>Discontinuations due to adverse events</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proofErr w:type="spellStart"/>
            <w:r w:rsidRPr="00671D38">
              <w:rPr>
                <w:rFonts w:ascii="Arial Narrow" w:hAnsi="Arial Narrow"/>
                <w:sz w:val="20"/>
              </w:rPr>
              <w:t>Empagliflozin</w:t>
            </w:r>
            <w:proofErr w:type="spellEnd"/>
            <w:r w:rsidRPr="00671D38">
              <w:rPr>
                <w:rFonts w:ascii="Arial Narrow" w:hAnsi="Arial Narrow"/>
                <w:sz w:val="20"/>
              </w:rPr>
              <w:t xml:space="preserve"> 10/25mg+metformin vs </w:t>
            </w:r>
            <w:proofErr w:type="spellStart"/>
            <w:r w:rsidRPr="00671D38">
              <w:rPr>
                <w:rFonts w:ascii="Arial Narrow" w:hAnsi="Arial Narrow"/>
                <w:sz w:val="20"/>
              </w:rPr>
              <w:t>sitagliptin</w:t>
            </w:r>
            <w:proofErr w:type="spellEnd"/>
            <w:r w:rsidRPr="00671D38">
              <w:rPr>
                <w:rFonts w:ascii="Arial Narrow" w:hAnsi="Arial Narrow"/>
                <w:sz w:val="20"/>
              </w:rPr>
              <w:t xml:space="preserve"> 100mg+metformin (</w:t>
            </w:r>
            <w:proofErr w:type="spellStart"/>
            <w:r w:rsidRPr="00671D38">
              <w:rPr>
                <w:rFonts w:ascii="Arial Narrow" w:hAnsi="Arial Narrow"/>
                <w:sz w:val="20"/>
              </w:rPr>
              <w:t>placebo+metformin</w:t>
            </w:r>
            <w:proofErr w:type="spellEnd"/>
            <w:r w:rsidRPr="00671D38">
              <w:rPr>
                <w:rFonts w:ascii="Arial Narrow" w:hAnsi="Arial Narrow"/>
                <w:sz w:val="20"/>
              </w:rPr>
              <w:t xml:space="preserve"> common comparator)</w:t>
            </w:r>
          </w:p>
        </w:tc>
      </w:tr>
      <w:tr w:rsidR="00147D6D" w:rsidRPr="00671D38" w:rsidTr="00F54CDC">
        <w:tc>
          <w:tcPr>
            <w:tcW w:w="3546" w:type="dxa"/>
            <w:gridSpan w:val="8"/>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r w:rsidRPr="00671D38">
              <w:rPr>
                <w:rFonts w:ascii="Arial Narrow" w:hAnsi="Arial Narrow"/>
                <w:sz w:val="20"/>
              </w:rPr>
              <w:t xml:space="preserve">Indirect comparison: 1245.23 and meta-analysis of </w:t>
            </w:r>
            <w:proofErr w:type="spellStart"/>
            <w:r w:rsidRPr="00671D38">
              <w:rPr>
                <w:rFonts w:ascii="Arial Narrow" w:hAnsi="Arial Narrow"/>
                <w:sz w:val="20"/>
              </w:rPr>
              <w:t>Charbonnel</w:t>
            </w:r>
            <w:proofErr w:type="spellEnd"/>
            <w:r w:rsidRPr="00671D38">
              <w:rPr>
                <w:rFonts w:ascii="Arial Narrow" w:hAnsi="Arial Narrow"/>
                <w:sz w:val="20"/>
              </w:rPr>
              <w:t xml:space="preserve"> 2006, </w:t>
            </w:r>
            <w:proofErr w:type="spellStart"/>
            <w:r w:rsidRPr="00671D38">
              <w:rPr>
                <w:rFonts w:ascii="Arial Narrow" w:hAnsi="Arial Narrow"/>
                <w:sz w:val="20"/>
              </w:rPr>
              <w:t>Raz</w:t>
            </w:r>
            <w:proofErr w:type="spellEnd"/>
            <w:r w:rsidRPr="00671D38">
              <w:rPr>
                <w:rFonts w:ascii="Arial Narrow" w:hAnsi="Arial Narrow"/>
                <w:sz w:val="20"/>
              </w:rPr>
              <w:t xml:space="preserve"> 2008, Scott 2008 and Yang 2012</w:t>
            </w:r>
          </w:p>
        </w:tc>
        <w:tc>
          <w:tcPr>
            <w:tcW w:w="1277"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w:t>
            </w:r>
          </w:p>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1F4388">
            <w:pPr>
              <w:jc w:val="center"/>
              <w:rPr>
                <w:rFonts w:ascii="Arial Narrow" w:hAnsi="Arial Narrow"/>
                <w:i/>
                <w:sz w:val="16"/>
                <w:highlight w:val="black"/>
              </w:rPr>
            </w:pPr>
            <w:r>
              <w:rPr>
                <w:rFonts w:ascii="Arial Narrow" w:hAnsi="Arial Narrow"/>
                <w:i/>
                <w:noProof/>
                <w:color w:val="000000"/>
                <w:sz w:val="16"/>
                <w:highlight w:val="black"/>
              </w:rPr>
              <w:t>''''''''''''' '''''''''''''''</w:t>
            </w:r>
          </w:p>
          <w:p w:rsidR="001F4388" w:rsidRPr="00671D38" w:rsidRDefault="001F4388" w:rsidP="001F4388">
            <w:pPr>
              <w:jc w:val="center"/>
              <w:rPr>
                <w:rFonts w:ascii="Arial Narrow" w:hAnsi="Arial Narrow"/>
                <w:i/>
                <w:sz w:val="20"/>
              </w:rPr>
            </w:pPr>
            <w:r w:rsidRPr="00671D38">
              <w:rPr>
                <w:rFonts w:ascii="Arial Narrow" w:hAnsi="Arial Narrow"/>
                <w:i/>
                <w:sz w:val="16"/>
              </w:rPr>
              <w:t>21/851 (2.5)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16"/>
                <w:highlight w:val="black"/>
              </w:rPr>
            </w:pPr>
            <w:r>
              <w:rPr>
                <w:rFonts w:ascii="Arial Narrow" w:hAnsi="Arial Narrow"/>
                <w:noProof/>
                <w:color w:val="000000"/>
                <w:sz w:val="16"/>
                <w:highlight w:val="black"/>
              </w:rPr>
              <w:t>''''''''''''' ''''''''''''</w:t>
            </w:r>
          </w:p>
          <w:p w:rsidR="001F4388" w:rsidRPr="00671D38" w:rsidRDefault="001F4388" w:rsidP="00F4721A">
            <w:pPr>
              <w:jc w:val="center"/>
              <w:rPr>
                <w:rFonts w:ascii="Arial Narrow" w:hAnsi="Arial Narrow"/>
                <w:sz w:val="20"/>
              </w:rPr>
            </w:pPr>
            <w:r w:rsidRPr="00671D38">
              <w:rPr>
                <w:rFonts w:ascii="Arial Narrow" w:hAnsi="Arial Narrow"/>
                <w:sz w:val="16"/>
              </w:rPr>
              <w:t>14/620 (2.3)</w:t>
            </w:r>
          </w:p>
        </w:tc>
        <w:tc>
          <w:tcPr>
            <w:tcW w:w="704"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NE</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proofErr w:type="spellStart"/>
            <w:r w:rsidRPr="00671D38">
              <w:rPr>
                <w:rFonts w:ascii="Arial Narrow" w:hAnsi="Arial Narrow"/>
                <w:sz w:val="20"/>
              </w:rPr>
              <w:t>Empagliflozin</w:t>
            </w:r>
            <w:proofErr w:type="spellEnd"/>
            <w:r w:rsidRPr="00671D38">
              <w:rPr>
                <w:rFonts w:ascii="Arial Narrow" w:hAnsi="Arial Narrow"/>
                <w:sz w:val="20"/>
              </w:rPr>
              <w:t xml:space="preserve"> 25mg+metformin vs </w:t>
            </w:r>
            <w:proofErr w:type="spellStart"/>
            <w:r w:rsidRPr="00671D38">
              <w:rPr>
                <w:rFonts w:ascii="Arial Narrow" w:hAnsi="Arial Narrow"/>
                <w:sz w:val="20"/>
              </w:rPr>
              <w:t>dapagliflozin</w:t>
            </w:r>
            <w:proofErr w:type="spellEnd"/>
            <w:r w:rsidRPr="00671D38">
              <w:rPr>
                <w:rFonts w:ascii="Arial Narrow" w:hAnsi="Arial Narrow"/>
                <w:sz w:val="20"/>
              </w:rPr>
              <w:t xml:space="preserve"> 10mg+metformin (</w:t>
            </w:r>
            <w:proofErr w:type="spellStart"/>
            <w:r w:rsidRPr="00671D38">
              <w:rPr>
                <w:rFonts w:ascii="Arial Narrow" w:hAnsi="Arial Narrow"/>
                <w:sz w:val="20"/>
              </w:rPr>
              <w:t>placebo+metformin</w:t>
            </w:r>
            <w:proofErr w:type="spellEnd"/>
            <w:r w:rsidRPr="00671D38">
              <w:rPr>
                <w:rFonts w:ascii="Arial Narrow" w:hAnsi="Arial Narrow"/>
                <w:sz w:val="20"/>
              </w:rPr>
              <w:t xml:space="preserve"> common comparator)</w:t>
            </w:r>
          </w:p>
        </w:tc>
      </w:tr>
      <w:tr w:rsidR="00147D6D" w:rsidRPr="00671D38" w:rsidTr="00F54CDC">
        <w:tc>
          <w:tcPr>
            <w:tcW w:w="3546" w:type="dxa"/>
            <w:gridSpan w:val="8"/>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r w:rsidRPr="00671D38">
              <w:rPr>
                <w:rFonts w:ascii="Arial Narrow" w:hAnsi="Arial Narrow"/>
                <w:sz w:val="20"/>
              </w:rPr>
              <w:t>Indirect comparison: 1245.23 and meta-analysis of CT-012 and CT-014</w:t>
            </w:r>
          </w:p>
        </w:tc>
        <w:tc>
          <w:tcPr>
            <w:tcW w:w="1277"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w:t>
            </w:r>
          </w:p>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i/>
                <w:sz w:val="16"/>
                <w:highlight w:val="black"/>
              </w:rPr>
            </w:pPr>
            <w:r>
              <w:rPr>
                <w:rFonts w:ascii="Arial Narrow" w:hAnsi="Arial Narrow"/>
                <w:i/>
                <w:noProof/>
                <w:color w:val="000000"/>
                <w:sz w:val="16"/>
                <w:highlight w:val="black"/>
              </w:rPr>
              <w:t>''''''''''''''' '''''''''''</w:t>
            </w:r>
          </w:p>
          <w:p w:rsidR="001F4388" w:rsidRPr="00671D38" w:rsidRDefault="001F4388" w:rsidP="00F4721A">
            <w:pPr>
              <w:jc w:val="center"/>
              <w:rPr>
                <w:rFonts w:ascii="Arial Narrow" w:hAnsi="Arial Narrow"/>
                <w:i/>
                <w:sz w:val="20"/>
              </w:rPr>
            </w:pPr>
            <w:r w:rsidRPr="00671D38">
              <w:rPr>
                <w:rFonts w:ascii="Arial Narrow" w:hAnsi="Arial Narrow"/>
                <w:i/>
                <w:sz w:val="16"/>
              </w:rPr>
              <w:t>8/226 (3.5)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i/>
                <w:sz w:val="16"/>
                <w:highlight w:val="black"/>
              </w:rPr>
            </w:pPr>
            <w:r>
              <w:rPr>
                <w:rFonts w:ascii="Arial Narrow" w:hAnsi="Arial Narrow"/>
                <w:i/>
                <w:noProof/>
                <w:color w:val="000000"/>
                <w:sz w:val="16"/>
                <w:highlight w:val="black"/>
              </w:rPr>
              <w:t>''''''''''''' '''''''''''</w:t>
            </w:r>
          </w:p>
          <w:p w:rsidR="001F4388" w:rsidRPr="00671D38" w:rsidRDefault="001F4388" w:rsidP="00F4721A">
            <w:pPr>
              <w:jc w:val="center"/>
              <w:rPr>
                <w:rFonts w:ascii="Arial Narrow" w:hAnsi="Arial Narrow"/>
                <w:i/>
                <w:sz w:val="20"/>
              </w:rPr>
            </w:pPr>
            <w:r w:rsidRPr="00671D38">
              <w:rPr>
                <w:rFonts w:ascii="Arial Narrow" w:hAnsi="Arial Narrow"/>
                <w:i/>
                <w:sz w:val="16"/>
              </w:rPr>
              <w:t>5/228 (2.2)</w:t>
            </w:r>
          </w:p>
        </w:tc>
        <w:tc>
          <w:tcPr>
            <w:tcW w:w="704"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NE</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proofErr w:type="spellStart"/>
            <w:r w:rsidRPr="00671D38">
              <w:rPr>
                <w:rFonts w:ascii="Arial Narrow" w:hAnsi="Arial Narrow"/>
                <w:sz w:val="20"/>
              </w:rPr>
              <w:t>Empagliflozin</w:t>
            </w:r>
            <w:proofErr w:type="spellEnd"/>
            <w:r w:rsidRPr="00671D38">
              <w:rPr>
                <w:rFonts w:ascii="Arial Narrow" w:hAnsi="Arial Narrow"/>
                <w:sz w:val="20"/>
              </w:rPr>
              <w:t xml:space="preserve"> 25mg+metformin vs </w:t>
            </w:r>
            <w:proofErr w:type="spellStart"/>
            <w:r w:rsidRPr="00671D38">
              <w:rPr>
                <w:rFonts w:ascii="Arial Narrow" w:hAnsi="Arial Narrow"/>
                <w:sz w:val="20"/>
              </w:rPr>
              <w:t>canagliflozin</w:t>
            </w:r>
            <w:proofErr w:type="spellEnd"/>
            <w:r w:rsidRPr="00671D38">
              <w:rPr>
                <w:rFonts w:ascii="Arial Narrow" w:hAnsi="Arial Narrow"/>
                <w:sz w:val="20"/>
              </w:rPr>
              <w:t xml:space="preserve"> 300mg+metformin (</w:t>
            </w:r>
            <w:proofErr w:type="spellStart"/>
            <w:r w:rsidRPr="00671D38">
              <w:rPr>
                <w:rFonts w:ascii="Arial Narrow" w:hAnsi="Arial Narrow"/>
                <w:sz w:val="20"/>
              </w:rPr>
              <w:t>placebo+metformin</w:t>
            </w:r>
            <w:proofErr w:type="spellEnd"/>
            <w:r w:rsidRPr="00671D38">
              <w:rPr>
                <w:rFonts w:ascii="Arial Narrow" w:hAnsi="Arial Narrow"/>
                <w:sz w:val="20"/>
              </w:rPr>
              <w:t xml:space="preserve"> common comparator)</w:t>
            </w:r>
          </w:p>
        </w:tc>
      </w:tr>
      <w:tr w:rsidR="00147D6D" w:rsidRPr="00671D38" w:rsidTr="00F54CDC">
        <w:tc>
          <w:tcPr>
            <w:tcW w:w="3546" w:type="dxa"/>
            <w:gridSpan w:val="8"/>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r w:rsidRPr="00671D38">
              <w:rPr>
                <w:rFonts w:ascii="Arial Narrow" w:hAnsi="Arial Narrow"/>
                <w:sz w:val="20"/>
              </w:rPr>
              <w:t>Indirect comparison: 1245.23 and CANTATA-D</w:t>
            </w:r>
          </w:p>
        </w:tc>
        <w:tc>
          <w:tcPr>
            <w:tcW w:w="1277"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w:t>
            </w:r>
          </w:p>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16"/>
                <w:highlight w:val="black"/>
              </w:rPr>
            </w:pPr>
            <w:r>
              <w:rPr>
                <w:rFonts w:ascii="Arial Narrow" w:hAnsi="Arial Narrow"/>
                <w:noProof/>
                <w:color w:val="000000"/>
                <w:sz w:val="16"/>
                <w:highlight w:val="black"/>
              </w:rPr>
              <w:t>''''''''''''''' ''''''''''''</w:t>
            </w:r>
          </w:p>
          <w:p w:rsidR="001F4388" w:rsidRPr="00671D38" w:rsidRDefault="001F4388" w:rsidP="00F4721A">
            <w:pPr>
              <w:jc w:val="center"/>
              <w:rPr>
                <w:rFonts w:ascii="Arial Narrow" w:hAnsi="Arial Narrow"/>
                <w:sz w:val="20"/>
              </w:rPr>
            </w:pPr>
            <w:r w:rsidRPr="00671D38">
              <w:rPr>
                <w:rFonts w:ascii="Arial Narrow" w:hAnsi="Arial Narrow"/>
                <w:sz w:val="16"/>
              </w:rPr>
              <w:t>6/367 (1.6)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i/>
                <w:sz w:val="16"/>
                <w:highlight w:val="black"/>
              </w:rPr>
            </w:pPr>
            <w:r>
              <w:rPr>
                <w:rFonts w:ascii="Arial Narrow" w:hAnsi="Arial Narrow"/>
                <w:i/>
                <w:noProof/>
                <w:color w:val="000000"/>
                <w:sz w:val="16"/>
                <w:highlight w:val="black"/>
              </w:rPr>
              <w:t>'''''''''''' ''''''''''''</w:t>
            </w:r>
          </w:p>
          <w:p w:rsidR="001F4388" w:rsidRPr="00671D38" w:rsidRDefault="001F4388" w:rsidP="00F4721A">
            <w:pPr>
              <w:jc w:val="center"/>
              <w:rPr>
                <w:rFonts w:ascii="Arial Narrow" w:hAnsi="Arial Narrow"/>
                <w:sz w:val="20"/>
              </w:rPr>
            </w:pPr>
            <w:r w:rsidRPr="00671D38">
              <w:rPr>
                <w:rFonts w:ascii="Arial Narrow" w:hAnsi="Arial Narrow"/>
                <w:i/>
                <w:sz w:val="16"/>
              </w:rPr>
              <w:t>7/183 (3.8)</w:t>
            </w:r>
          </w:p>
        </w:tc>
        <w:tc>
          <w:tcPr>
            <w:tcW w:w="704"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NE</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b/>
                <w:sz w:val="20"/>
              </w:rPr>
            </w:pPr>
            <w:r w:rsidRPr="00671D38">
              <w:rPr>
                <w:rFonts w:ascii="Arial Narrow" w:hAnsi="Arial Narrow"/>
                <w:b/>
                <w:sz w:val="20"/>
              </w:rPr>
              <w:t>Genital infections</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proofErr w:type="spellStart"/>
            <w:r w:rsidRPr="00671D38">
              <w:rPr>
                <w:rFonts w:ascii="Arial Narrow" w:hAnsi="Arial Narrow"/>
                <w:sz w:val="20"/>
              </w:rPr>
              <w:t>Empagliflozin</w:t>
            </w:r>
            <w:proofErr w:type="spellEnd"/>
            <w:r w:rsidRPr="00671D38">
              <w:rPr>
                <w:rFonts w:ascii="Arial Narrow" w:hAnsi="Arial Narrow"/>
                <w:sz w:val="20"/>
              </w:rPr>
              <w:t xml:space="preserve"> 25mg+metformin vs </w:t>
            </w:r>
            <w:proofErr w:type="spellStart"/>
            <w:r w:rsidRPr="00671D38">
              <w:rPr>
                <w:rFonts w:ascii="Arial Narrow" w:hAnsi="Arial Narrow"/>
                <w:sz w:val="20"/>
              </w:rPr>
              <w:t>dapagliflozin</w:t>
            </w:r>
            <w:proofErr w:type="spellEnd"/>
            <w:r w:rsidRPr="00671D38">
              <w:rPr>
                <w:rFonts w:ascii="Arial Narrow" w:hAnsi="Arial Narrow"/>
                <w:sz w:val="20"/>
              </w:rPr>
              <w:t xml:space="preserve"> 10mg+metformin (</w:t>
            </w:r>
            <w:proofErr w:type="spellStart"/>
            <w:r w:rsidRPr="00671D38">
              <w:rPr>
                <w:rFonts w:ascii="Arial Narrow" w:hAnsi="Arial Narrow"/>
                <w:sz w:val="20"/>
              </w:rPr>
              <w:t>placebo+metformin</w:t>
            </w:r>
            <w:proofErr w:type="spellEnd"/>
            <w:r w:rsidRPr="00671D38">
              <w:rPr>
                <w:rFonts w:ascii="Arial Narrow" w:hAnsi="Arial Narrow"/>
                <w:sz w:val="20"/>
              </w:rPr>
              <w:t xml:space="preserve"> common comparator)</w:t>
            </w:r>
          </w:p>
        </w:tc>
      </w:tr>
      <w:tr w:rsidR="00147D6D" w:rsidRPr="00671D38" w:rsidTr="00F54CDC">
        <w:tc>
          <w:tcPr>
            <w:tcW w:w="3546" w:type="dxa"/>
            <w:gridSpan w:val="8"/>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r w:rsidRPr="00671D38">
              <w:rPr>
                <w:rFonts w:ascii="Arial Narrow" w:hAnsi="Arial Narrow"/>
                <w:sz w:val="20"/>
              </w:rPr>
              <w:t>Indirect comparison of 1245.23 and meta-analysis of CT-012 and CT-014</w:t>
            </w:r>
          </w:p>
        </w:tc>
        <w:tc>
          <w:tcPr>
            <w:tcW w:w="1277"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w:t>
            </w:r>
          </w:p>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i/>
                <w:sz w:val="16"/>
                <w:highlight w:val="black"/>
              </w:rPr>
            </w:pPr>
            <w:r>
              <w:rPr>
                <w:rFonts w:ascii="Arial Narrow" w:hAnsi="Arial Narrow"/>
                <w:i/>
                <w:noProof/>
                <w:color w:val="000000"/>
                <w:sz w:val="16"/>
                <w:highlight w:val="black"/>
              </w:rPr>
              <w:t>'''''''''''''''' ''''''''''</w:t>
            </w:r>
          </w:p>
          <w:p w:rsidR="001F4388" w:rsidRPr="00671D38" w:rsidRDefault="001F4388" w:rsidP="00F4721A">
            <w:pPr>
              <w:jc w:val="center"/>
              <w:rPr>
                <w:rFonts w:ascii="Arial Narrow" w:hAnsi="Arial Narrow"/>
                <w:i/>
                <w:sz w:val="16"/>
              </w:rPr>
            </w:pPr>
            <w:r w:rsidRPr="00671D38">
              <w:rPr>
                <w:rFonts w:ascii="Arial Narrow" w:hAnsi="Arial Narrow"/>
                <w:i/>
                <w:sz w:val="16"/>
              </w:rPr>
              <w:t>11/226 (4.9)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i/>
                <w:sz w:val="16"/>
                <w:highlight w:val="black"/>
              </w:rPr>
            </w:pPr>
            <w:r>
              <w:rPr>
                <w:rFonts w:ascii="Arial Narrow" w:hAnsi="Arial Narrow"/>
                <w:i/>
                <w:noProof/>
                <w:color w:val="000000"/>
                <w:sz w:val="16"/>
                <w:highlight w:val="black"/>
              </w:rPr>
              <w:t>''''''''''''''' '''''''</w:t>
            </w:r>
          </w:p>
          <w:p w:rsidR="001F4388" w:rsidRPr="00671D38" w:rsidRDefault="001F4388" w:rsidP="00F4721A">
            <w:pPr>
              <w:jc w:val="center"/>
              <w:rPr>
                <w:rFonts w:ascii="Arial Narrow" w:hAnsi="Arial Narrow"/>
                <w:i/>
                <w:sz w:val="16"/>
              </w:rPr>
            </w:pPr>
            <w:r w:rsidRPr="00671D38">
              <w:rPr>
                <w:rFonts w:ascii="Arial Narrow" w:hAnsi="Arial Narrow"/>
                <w:i/>
                <w:sz w:val="16"/>
              </w:rPr>
              <w:t>7/228 (3.1)</w:t>
            </w:r>
          </w:p>
        </w:tc>
        <w:tc>
          <w:tcPr>
            <w:tcW w:w="704"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NE</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b/>
                <w:sz w:val="20"/>
              </w:rPr>
            </w:pPr>
            <w:r w:rsidRPr="00671D38">
              <w:rPr>
                <w:rFonts w:ascii="Arial Narrow" w:hAnsi="Arial Narrow"/>
                <w:b/>
                <w:sz w:val="20"/>
              </w:rPr>
              <w:t>Urinary tract infections</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proofErr w:type="spellStart"/>
            <w:r w:rsidRPr="00671D38">
              <w:rPr>
                <w:rFonts w:ascii="Arial Narrow" w:hAnsi="Arial Narrow"/>
                <w:sz w:val="20"/>
              </w:rPr>
              <w:t>Empagliflozin</w:t>
            </w:r>
            <w:proofErr w:type="spellEnd"/>
            <w:r w:rsidRPr="00671D38">
              <w:rPr>
                <w:rFonts w:ascii="Arial Narrow" w:hAnsi="Arial Narrow"/>
                <w:sz w:val="20"/>
              </w:rPr>
              <w:t xml:space="preserve"> 25mg+metformin vs </w:t>
            </w:r>
            <w:proofErr w:type="spellStart"/>
            <w:r w:rsidRPr="00671D38">
              <w:rPr>
                <w:rFonts w:ascii="Arial Narrow" w:hAnsi="Arial Narrow"/>
                <w:sz w:val="20"/>
              </w:rPr>
              <w:t>dapagliflozin</w:t>
            </w:r>
            <w:proofErr w:type="spellEnd"/>
            <w:r w:rsidRPr="00671D38">
              <w:rPr>
                <w:rFonts w:ascii="Arial Narrow" w:hAnsi="Arial Narrow"/>
                <w:sz w:val="20"/>
              </w:rPr>
              <w:t xml:space="preserve"> 10mg+metformin (</w:t>
            </w:r>
            <w:proofErr w:type="spellStart"/>
            <w:r w:rsidRPr="00671D38">
              <w:rPr>
                <w:rFonts w:ascii="Arial Narrow" w:hAnsi="Arial Narrow"/>
                <w:sz w:val="20"/>
              </w:rPr>
              <w:t>placebo+metformin</w:t>
            </w:r>
            <w:proofErr w:type="spellEnd"/>
            <w:r w:rsidRPr="00671D38">
              <w:rPr>
                <w:rFonts w:ascii="Arial Narrow" w:hAnsi="Arial Narrow"/>
                <w:sz w:val="20"/>
              </w:rPr>
              <w:t xml:space="preserve"> common comparator)</w:t>
            </w:r>
          </w:p>
        </w:tc>
      </w:tr>
      <w:tr w:rsidR="00147D6D" w:rsidRPr="00671D38" w:rsidTr="00F54CDC">
        <w:tc>
          <w:tcPr>
            <w:tcW w:w="3546" w:type="dxa"/>
            <w:gridSpan w:val="8"/>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r w:rsidRPr="00671D38">
              <w:rPr>
                <w:rFonts w:ascii="Arial Narrow" w:hAnsi="Arial Narrow"/>
                <w:sz w:val="20"/>
              </w:rPr>
              <w:t>Indirect comparison of 1245.23 and meta-analysis of CT-012 and CT-014</w:t>
            </w:r>
          </w:p>
        </w:tc>
        <w:tc>
          <w:tcPr>
            <w:tcW w:w="1277"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w:t>
            </w:r>
          </w:p>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47D6D" w:rsidRPr="00671D38" w:rsidRDefault="001F4388" w:rsidP="00F4721A">
            <w:pPr>
              <w:jc w:val="center"/>
              <w:rPr>
                <w:rFonts w:ascii="Arial Narrow" w:hAnsi="Arial Narrow"/>
                <w:i/>
                <w:sz w:val="16"/>
              </w:rPr>
            </w:pPr>
            <w:r w:rsidRPr="00671D38">
              <w:rPr>
                <w:rFonts w:ascii="Arial Narrow" w:hAnsi="Arial Narrow"/>
                <w:i/>
                <w:sz w:val="16"/>
              </w:rPr>
              <w:t xml:space="preserve">9/214 (4.2) </w:t>
            </w:r>
          </w:p>
          <w:p w:rsidR="001F4388" w:rsidRPr="00671D38" w:rsidRDefault="001F4388" w:rsidP="00F4721A">
            <w:pPr>
              <w:jc w:val="center"/>
              <w:rPr>
                <w:rFonts w:ascii="Arial Narrow" w:hAnsi="Arial Narrow"/>
                <w:i/>
                <w:sz w:val="16"/>
              </w:rPr>
            </w:pPr>
            <w:r w:rsidRPr="00671D38">
              <w:rPr>
                <w:rFonts w:ascii="Arial Narrow" w:hAnsi="Arial Narrow"/>
                <w:i/>
                <w:sz w:val="16"/>
              </w:rPr>
              <w:t>13/367 (3.5)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F4388" w:rsidP="00F4721A">
            <w:pPr>
              <w:jc w:val="center"/>
              <w:rPr>
                <w:rFonts w:ascii="Arial Narrow" w:hAnsi="Arial Narrow"/>
                <w:i/>
                <w:sz w:val="16"/>
              </w:rPr>
            </w:pPr>
            <w:r w:rsidRPr="00671D38">
              <w:rPr>
                <w:rFonts w:ascii="Arial Narrow" w:hAnsi="Arial Narrow"/>
                <w:i/>
                <w:sz w:val="16"/>
              </w:rPr>
              <w:t>8/206 (3.9)</w:t>
            </w:r>
          </w:p>
          <w:p w:rsidR="001F4388" w:rsidRPr="00671D38" w:rsidRDefault="001F4388" w:rsidP="00F4721A">
            <w:pPr>
              <w:jc w:val="center"/>
              <w:rPr>
                <w:rFonts w:ascii="Arial Narrow" w:hAnsi="Arial Narrow"/>
                <w:i/>
                <w:sz w:val="16"/>
              </w:rPr>
            </w:pPr>
            <w:r w:rsidRPr="00671D38">
              <w:rPr>
                <w:rFonts w:ascii="Arial Narrow" w:hAnsi="Arial Narrow"/>
                <w:i/>
                <w:sz w:val="16"/>
              </w:rPr>
              <w:t>7/228 (3.1)</w:t>
            </w:r>
          </w:p>
        </w:tc>
        <w:tc>
          <w:tcPr>
            <w:tcW w:w="704"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NE</w:t>
            </w:r>
          </w:p>
        </w:tc>
      </w:tr>
      <w:tr w:rsidR="00147D6D" w:rsidRPr="00671D38" w:rsidTr="00F54CDC">
        <w:tc>
          <w:tcPr>
            <w:tcW w:w="8363" w:type="dxa"/>
            <w:gridSpan w:val="15"/>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left"/>
              <w:rPr>
                <w:rFonts w:ascii="Arial Narrow" w:hAnsi="Arial Narrow"/>
                <w:sz w:val="20"/>
              </w:rPr>
            </w:pPr>
            <w:proofErr w:type="spellStart"/>
            <w:r w:rsidRPr="00671D38">
              <w:rPr>
                <w:rFonts w:ascii="Arial Narrow" w:hAnsi="Arial Narrow"/>
                <w:sz w:val="20"/>
              </w:rPr>
              <w:t>Empagliflozin</w:t>
            </w:r>
            <w:proofErr w:type="spellEnd"/>
            <w:r w:rsidRPr="00671D38">
              <w:rPr>
                <w:rFonts w:ascii="Arial Narrow" w:hAnsi="Arial Narrow"/>
                <w:sz w:val="20"/>
              </w:rPr>
              <w:t xml:space="preserve"> 25mg+metformin vs </w:t>
            </w:r>
            <w:proofErr w:type="spellStart"/>
            <w:r w:rsidRPr="00671D38">
              <w:rPr>
                <w:rFonts w:ascii="Arial Narrow" w:hAnsi="Arial Narrow"/>
                <w:sz w:val="20"/>
              </w:rPr>
              <w:t>canagliflozin</w:t>
            </w:r>
            <w:proofErr w:type="spellEnd"/>
            <w:r w:rsidRPr="00671D38">
              <w:rPr>
                <w:rFonts w:ascii="Arial Narrow" w:hAnsi="Arial Narrow"/>
                <w:sz w:val="20"/>
              </w:rPr>
              <w:t xml:space="preserve"> 300mg+metformin (</w:t>
            </w:r>
            <w:proofErr w:type="spellStart"/>
            <w:r w:rsidRPr="00671D38">
              <w:rPr>
                <w:rFonts w:ascii="Arial Narrow" w:hAnsi="Arial Narrow"/>
                <w:sz w:val="20"/>
              </w:rPr>
              <w:t>placebo+metformin</w:t>
            </w:r>
            <w:proofErr w:type="spellEnd"/>
            <w:r w:rsidRPr="00671D38">
              <w:rPr>
                <w:rFonts w:ascii="Arial Narrow" w:hAnsi="Arial Narrow"/>
                <w:sz w:val="20"/>
              </w:rPr>
              <w:t xml:space="preserve"> common comparator)</w:t>
            </w:r>
          </w:p>
        </w:tc>
      </w:tr>
      <w:tr w:rsidR="00147D6D" w:rsidRPr="00671D38" w:rsidTr="00F54CDC">
        <w:tc>
          <w:tcPr>
            <w:tcW w:w="3546" w:type="dxa"/>
            <w:gridSpan w:val="8"/>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rPr>
                <w:rFonts w:ascii="Arial Narrow" w:hAnsi="Arial Narrow"/>
                <w:sz w:val="20"/>
              </w:rPr>
            </w:pPr>
            <w:r w:rsidRPr="00671D38">
              <w:rPr>
                <w:rFonts w:ascii="Arial Narrow" w:hAnsi="Arial Narrow"/>
                <w:sz w:val="20"/>
              </w:rPr>
              <w:t>Indirect comparison: 1245.23 and CANTATA-D</w:t>
            </w:r>
          </w:p>
        </w:tc>
        <w:tc>
          <w:tcPr>
            <w:tcW w:w="1277"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w:t>
            </w:r>
          </w:p>
          <w:p w:rsidR="00147D6D" w:rsidRPr="00C05DA8" w:rsidRDefault="00C05DA8" w:rsidP="00F4721A">
            <w:pPr>
              <w:jc w:val="center"/>
              <w:rPr>
                <w:rFonts w:ascii="Arial Narrow" w:hAnsi="Arial Narrow"/>
                <w:sz w:val="20"/>
                <w:highlight w:val="black"/>
              </w:rPr>
            </w:pPr>
            <w:r>
              <w:rPr>
                <w:rFonts w:ascii="Arial Narrow" w:hAnsi="Arial Narrow"/>
                <w:noProof/>
                <w:color w:val="000000"/>
                <w:sz w:val="20"/>
                <w:highlight w:val="black"/>
              </w:rPr>
              <w:t>'''''''''''''' ''''''''''''</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47D6D" w:rsidRPr="00671D38" w:rsidRDefault="001F4388" w:rsidP="00F4721A">
            <w:pPr>
              <w:jc w:val="center"/>
              <w:rPr>
                <w:rFonts w:ascii="Arial Narrow" w:hAnsi="Arial Narrow"/>
                <w:i/>
                <w:sz w:val="16"/>
              </w:rPr>
            </w:pPr>
            <w:r w:rsidRPr="00671D38">
              <w:rPr>
                <w:rFonts w:ascii="Arial Narrow" w:hAnsi="Arial Narrow"/>
                <w:i/>
                <w:sz w:val="16"/>
              </w:rPr>
              <w:t>9/214 (4.2)</w:t>
            </w:r>
          </w:p>
          <w:p w:rsidR="001F4388" w:rsidRPr="00671D38" w:rsidRDefault="001F4388" w:rsidP="00F4721A">
            <w:pPr>
              <w:jc w:val="center"/>
              <w:rPr>
                <w:rFonts w:ascii="Arial Narrow" w:hAnsi="Arial Narrow"/>
                <w:i/>
                <w:sz w:val="16"/>
              </w:rPr>
            </w:pPr>
            <w:r w:rsidRPr="00671D38">
              <w:rPr>
                <w:rFonts w:ascii="Arial Narrow" w:hAnsi="Arial Narrow"/>
                <w:i/>
                <w:sz w:val="16"/>
              </w:rPr>
              <w:t>13/367 (3.5)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7D6D" w:rsidRPr="00671D38" w:rsidRDefault="001F4388" w:rsidP="00F4721A">
            <w:pPr>
              <w:jc w:val="center"/>
              <w:rPr>
                <w:rFonts w:ascii="Arial Narrow" w:hAnsi="Arial Narrow"/>
                <w:i/>
                <w:sz w:val="16"/>
              </w:rPr>
            </w:pPr>
            <w:r w:rsidRPr="00671D38">
              <w:rPr>
                <w:rFonts w:ascii="Arial Narrow" w:hAnsi="Arial Narrow"/>
                <w:i/>
                <w:sz w:val="16"/>
              </w:rPr>
              <w:t>8/206 (3.9)</w:t>
            </w:r>
          </w:p>
          <w:p w:rsidR="001F4388" w:rsidRPr="00671D38" w:rsidRDefault="001F4388" w:rsidP="00F4721A">
            <w:pPr>
              <w:jc w:val="center"/>
              <w:rPr>
                <w:rFonts w:ascii="Arial Narrow" w:hAnsi="Arial Narrow"/>
                <w:i/>
                <w:sz w:val="16"/>
              </w:rPr>
            </w:pPr>
            <w:r w:rsidRPr="00671D38">
              <w:rPr>
                <w:rFonts w:ascii="Arial Narrow" w:hAnsi="Arial Narrow"/>
                <w:i/>
                <w:sz w:val="16"/>
              </w:rPr>
              <w:t>4/183 (2.2)</w:t>
            </w:r>
          </w:p>
        </w:tc>
        <w:tc>
          <w:tcPr>
            <w:tcW w:w="704" w:type="dxa"/>
            <w:tcBorders>
              <w:top w:val="single" w:sz="4" w:space="0" w:color="auto"/>
              <w:left w:val="single" w:sz="4" w:space="0" w:color="auto"/>
              <w:bottom w:val="single" w:sz="4" w:space="0" w:color="auto"/>
              <w:right w:val="single" w:sz="4" w:space="0" w:color="auto"/>
            </w:tcBorders>
            <w:vAlign w:val="center"/>
            <w:hideMark/>
          </w:tcPr>
          <w:p w:rsidR="00147D6D" w:rsidRPr="00671D38" w:rsidRDefault="00147D6D" w:rsidP="00F4721A">
            <w:pPr>
              <w:jc w:val="center"/>
              <w:rPr>
                <w:rFonts w:ascii="Arial Narrow" w:hAnsi="Arial Narrow"/>
                <w:sz w:val="20"/>
              </w:rPr>
            </w:pPr>
            <w:r w:rsidRPr="00671D38">
              <w:rPr>
                <w:rFonts w:ascii="Arial Narrow" w:hAnsi="Arial Narrow"/>
                <w:sz w:val="20"/>
              </w:rPr>
              <w:t>NE</w:t>
            </w:r>
          </w:p>
        </w:tc>
      </w:tr>
    </w:tbl>
    <w:p w:rsidR="00147D6D" w:rsidRPr="006E5492" w:rsidRDefault="00147D6D" w:rsidP="00F83114">
      <w:pPr>
        <w:ind w:firstLine="720"/>
        <w:rPr>
          <w:rFonts w:ascii="Arial Narrow" w:hAnsi="Arial Narrow"/>
          <w:sz w:val="18"/>
          <w:szCs w:val="18"/>
        </w:rPr>
      </w:pPr>
      <w:r w:rsidRPr="006E5492">
        <w:rPr>
          <w:rFonts w:ascii="Arial Narrow" w:hAnsi="Arial Narrow"/>
          <w:sz w:val="18"/>
          <w:szCs w:val="18"/>
        </w:rPr>
        <w:t>Source: compiled during the evaluation</w:t>
      </w:r>
    </w:p>
    <w:p w:rsidR="00147D6D" w:rsidRPr="006E5492" w:rsidRDefault="00147D6D" w:rsidP="00F83114">
      <w:pPr>
        <w:ind w:left="720"/>
        <w:rPr>
          <w:rFonts w:ascii="Arial Narrow" w:hAnsi="Arial Narrow"/>
          <w:sz w:val="18"/>
          <w:szCs w:val="18"/>
        </w:rPr>
      </w:pPr>
      <w:r w:rsidRPr="006E5492">
        <w:rPr>
          <w:rFonts w:ascii="Arial Narrow" w:hAnsi="Arial Narrow"/>
          <w:sz w:val="18"/>
          <w:szCs w:val="18"/>
        </w:rPr>
        <w:t xml:space="preserve">Abbreviations: CANA, </w:t>
      </w:r>
      <w:proofErr w:type="spellStart"/>
      <w:r w:rsidRPr="006E5492">
        <w:rPr>
          <w:rFonts w:ascii="Arial Narrow" w:hAnsi="Arial Narrow"/>
          <w:sz w:val="18"/>
          <w:szCs w:val="18"/>
        </w:rPr>
        <w:t>canagliflozin</w:t>
      </w:r>
      <w:proofErr w:type="spellEnd"/>
      <w:r w:rsidRPr="006E5492">
        <w:rPr>
          <w:rFonts w:ascii="Arial Narrow" w:hAnsi="Arial Narrow"/>
          <w:sz w:val="18"/>
          <w:szCs w:val="18"/>
        </w:rPr>
        <w:t xml:space="preserve">; DAPA, </w:t>
      </w:r>
      <w:proofErr w:type="spellStart"/>
      <w:r w:rsidRPr="006E5492">
        <w:rPr>
          <w:rFonts w:ascii="Arial Narrow" w:hAnsi="Arial Narrow"/>
          <w:sz w:val="18"/>
          <w:szCs w:val="18"/>
        </w:rPr>
        <w:t>dapagliflozin</w:t>
      </w:r>
      <w:proofErr w:type="spellEnd"/>
      <w:r w:rsidRPr="006E5492">
        <w:rPr>
          <w:rFonts w:ascii="Arial Narrow" w:hAnsi="Arial Narrow"/>
          <w:sz w:val="18"/>
          <w:szCs w:val="18"/>
        </w:rPr>
        <w:t xml:space="preserve">; EMPA, </w:t>
      </w:r>
      <w:proofErr w:type="spellStart"/>
      <w:r w:rsidRPr="006E5492">
        <w:rPr>
          <w:rFonts w:ascii="Arial Narrow" w:hAnsi="Arial Narrow"/>
          <w:sz w:val="18"/>
          <w:szCs w:val="18"/>
        </w:rPr>
        <w:t>empagliflozin</w:t>
      </w:r>
      <w:proofErr w:type="spellEnd"/>
      <w:r w:rsidRPr="006E5492">
        <w:rPr>
          <w:rFonts w:ascii="Arial Narrow" w:hAnsi="Arial Narrow"/>
          <w:sz w:val="18"/>
          <w:szCs w:val="18"/>
        </w:rPr>
        <w:t xml:space="preserve">; MET, metformin; NE, not estimated; PBO, placebo; SD, standard deviation; SITA, </w:t>
      </w:r>
      <w:proofErr w:type="spellStart"/>
      <w:r w:rsidRPr="006E5492">
        <w:rPr>
          <w:rFonts w:ascii="Arial Narrow" w:hAnsi="Arial Narrow"/>
          <w:sz w:val="18"/>
          <w:szCs w:val="18"/>
        </w:rPr>
        <w:t>sitagliptin</w:t>
      </w:r>
      <w:proofErr w:type="spellEnd"/>
      <w:r w:rsidRPr="006E5492">
        <w:rPr>
          <w:rFonts w:ascii="Arial Narrow" w:hAnsi="Arial Narrow"/>
          <w:sz w:val="18"/>
          <w:szCs w:val="18"/>
        </w:rPr>
        <w:t>; OR, odds ratio; RD, risk difference.</w:t>
      </w:r>
    </w:p>
    <w:p w:rsidR="00147D6D" w:rsidRPr="006E5492" w:rsidRDefault="00147D6D" w:rsidP="00F83114">
      <w:pPr>
        <w:ind w:firstLine="720"/>
        <w:rPr>
          <w:rFonts w:ascii="Arial Narrow" w:hAnsi="Arial Narrow"/>
          <w:sz w:val="18"/>
          <w:szCs w:val="18"/>
        </w:rPr>
      </w:pPr>
      <w:r w:rsidRPr="006E5492">
        <w:rPr>
          <w:rFonts w:ascii="Arial Narrow" w:hAnsi="Arial Narrow"/>
          <w:sz w:val="18"/>
          <w:szCs w:val="18"/>
          <w:vertAlign w:val="superscript"/>
        </w:rPr>
        <w:t>a</w:t>
      </w:r>
      <w:r w:rsidRPr="006E5492">
        <w:rPr>
          <w:rFonts w:ascii="Arial Narrow" w:hAnsi="Arial Narrow"/>
          <w:sz w:val="18"/>
          <w:szCs w:val="18"/>
        </w:rPr>
        <w:t xml:space="preserve"> </w:t>
      </w:r>
      <w:r w:rsidRPr="006E5492">
        <w:rPr>
          <w:rFonts w:ascii="Arial Narrow" w:eastAsia="Calibri" w:hAnsi="Arial Narrow" w:cs="Times New Roman"/>
          <w:snapToGrid/>
          <w:sz w:val="18"/>
          <w:szCs w:val="18"/>
        </w:rPr>
        <w:t>Chi-square for heterogeneity: p=not reported; I</w:t>
      </w:r>
      <w:r w:rsidRPr="006E5492">
        <w:rPr>
          <w:rFonts w:ascii="Arial Narrow" w:eastAsia="Calibri" w:hAnsi="Arial Narrow" w:cs="Times New Roman"/>
          <w:snapToGrid/>
          <w:sz w:val="18"/>
          <w:szCs w:val="18"/>
          <w:vertAlign w:val="superscript"/>
        </w:rPr>
        <w:t>2</w:t>
      </w:r>
      <w:r w:rsidRPr="006E5492">
        <w:rPr>
          <w:rFonts w:ascii="Arial Narrow" w:eastAsia="Calibri" w:hAnsi="Arial Narrow" w:cs="Times New Roman"/>
          <w:snapToGrid/>
          <w:sz w:val="18"/>
          <w:szCs w:val="18"/>
        </w:rPr>
        <w:t xml:space="preserve"> statistic=66%</w:t>
      </w:r>
    </w:p>
    <w:p w:rsidR="00147D6D" w:rsidRPr="006E5492" w:rsidRDefault="00147D6D" w:rsidP="00F83114">
      <w:pPr>
        <w:ind w:firstLine="709"/>
        <w:rPr>
          <w:rFonts w:ascii="Arial Narrow" w:eastAsia="Calibri" w:hAnsi="Arial Narrow" w:cs="Times New Roman"/>
          <w:snapToGrid/>
          <w:sz w:val="18"/>
          <w:szCs w:val="18"/>
        </w:rPr>
      </w:pPr>
      <w:r w:rsidRPr="006E5492">
        <w:rPr>
          <w:rFonts w:ascii="Arial Narrow" w:hAnsi="Arial Narrow"/>
          <w:sz w:val="18"/>
          <w:szCs w:val="18"/>
          <w:vertAlign w:val="superscript"/>
        </w:rPr>
        <w:t>b</w:t>
      </w:r>
      <w:r w:rsidRPr="006E5492">
        <w:rPr>
          <w:rFonts w:ascii="Arial Narrow" w:hAnsi="Arial Narrow"/>
          <w:sz w:val="18"/>
          <w:szCs w:val="18"/>
        </w:rPr>
        <w:t xml:space="preserve"> </w:t>
      </w:r>
      <w:r w:rsidRPr="006E5492">
        <w:rPr>
          <w:rFonts w:ascii="Arial Narrow" w:eastAsia="Calibri" w:hAnsi="Arial Narrow" w:cs="Times New Roman"/>
          <w:snapToGrid/>
          <w:sz w:val="18"/>
          <w:szCs w:val="18"/>
        </w:rPr>
        <w:t>Chi-square for heterogeneity: p=0.04; I</w:t>
      </w:r>
      <w:r w:rsidRPr="006E5492">
        <w:rPr>
          <w:rFonts w:ascii="Arial Narrow" w:eastAsia="Calibri" w:hAnsi="Arial Narrow" w:cs="Times New Roman"/>
          <w:snapToGrid/>
          <w:sz w:val="18"/>
          <w:szCs w:val="18"/>
          <w:vertAlign w:val="superscript"/>
        </w:rPr>
        <w:t>2</w:t>
      </w:r>
      <w:r w:rsidRPr="006E5492">
        <w:rPr>
          <w:rFonts w:ascii="Arial Narrow" w:eastAsia="Calibri" w:hAnsi="Arial Narrow" w:cs="Times New Roman"/>
          <w:snapToGrid/>
          <w:sz w:val="18"/>
          <w:szCs w:val="18"/>
        </w:rPr>
        <w:t xml:space="preserve"> statistic=77%</w:t>
      </w:r>
    </w:p>
    <w:p w:rsidR="001F4388" w:rsidRPr="006E5492" w:rsidRDefault="001F4388" w:rsidP="00F83114">
      <w:pPr>
        <w:ind w:firstLine="709"/>
        <w:rPr>
          <w:rFonts w:ascii="Arial Narrow" w:hAnsi="Arial Narrow"/>
          <w:sz w:val="18"/>
          <w:szCs w:val="18"/>
        </w:rPr>
      </w:pPr>
      <w:r w:rsidRPr="006E5492">
        <w:rPr>
          <w:rFonts w:ascii="Arial Narrow" w:eastAsia="Calibri" w:hAnsi="Arial Narrow" w:cs="Times New Roman"/>
          <w:snapToGrid/>
          <w:sz w:val="18"/>
          <w:szCs w:val="18"/>
        </w:rPr>
        <w:t>Figures in italics have been updated from the pre-PBAC response</w:t>
      </w:r>
    </w:p>
    <w:p w:rsidR="00621ED4" w:rsidRDefault="00621ED4" w:rsidP="00F54CDC">
      <w:pPr>
        <w:pStyle w:val="COMBody"/>
        <w:rPr>
          <w:lang w:val="en-US"/>
        </w:rPr>
      </w:pPr>
    </w:p>
    <w:p w:rsidR="00F54CDC" w:rsidRPr="006E5492" w:rsidRDefault="00F54CDC" w:rsidP="00F54CDC">
      <w:pPr>
        <w:pStyle w:val="COMBody"/>
        <w:rPr>
          <w:lang w:val="en-US"/>
        </w:rPr>
      </w:pPr>
    </w:p>
    <w:p w:rsidR="001003F7" w:rsidRPr="00F54CDC" w:rsidRDefault="001003F7" w:rsidP="00F54CDC">
      <w:pPr>
        <w:pStyle w:val="ListParagraph"/>
        <w:widowControl/>
        <w:numPr>
          <w:ilvl w:val="1"/>
          <w:numId w:val="20"/>
        </w:numPr>
        <w:rPr>
          <w:szCs w:val="22"/>
        </w:rPr>
      </w:pPr>
      <w:r w:rsidRPr="00F54CDC">
        <w:rPr>
          <w:lang w:val="en-US"/>
        </w:rPr>
        <w:t xml:space="preserve">On the basis of the indirect evidence presented in the submission, the comparison of </w:t>
      </w:r>
      <w:proofErr w:type="spellStart"/>
      <w:r w:rsidRPr="00F54CDC">
        <w:rPr>
          <w:lang w:val="en-US"/>
        </w:rPr>
        <w:t>empagliflozin</w:t>
      </w:r>
      <w:proofErr w:type="spellEnd"/>
      <w:r w:rsidRPr="00F54CDC">
        <w:rPr>
          <w:lang w:val="en-US"/>
        </w:rPr>
        <w:t xml:space="preserve"> resulted in:</w:t>
      </w:r>
    </w:p>
    <w:p w:rsidR="001003F7" w:rsidRPr="001003F7" w:rsidRDefault="001003F7" w:rsidP="001003F7">
      <w:pPr>
        <w:widowControl/>
        <w:numPr>
          <w:ilvl w:val="1"/>
          <w:numId w:val="7"/>
        </w:numPr>
        <w:snapToGrid w:val="0"/>
        <w:spacing w:after="200"/>
        <w:ind w:left="1066" w:hanging="357"/>
        <w:contextualSpacing/>
        <w:rPr>
          <w:snapToGrid/>
        </w:rPr>
      </w:pPr>
      <w:r w:rsidRPr="001003F7">
        <w:rPr>
          <w:snapToGrid/>
        </w:rPr>
        <w:t xml:space="preserve">A similar effect on HbA1c over 30 weeks compared to </w:t>
      </w:r>
      <w:proofErr w:type="spellStart"/>
      <w:r w:rsidRPr="001003F7">
        <w:rPr>
          <w:lang w:val="en-US"/>
        </w:rPr>
        <w:t>sitagliptin</w:t>
      </w:r>
      <w:proofErr w:type="spellEnd"/>
      <w:r w:rsidRPr="001003F7">
        <w:rPr>
          <w:lang w:val="en-US"/>
        </w:rPr>
        <w:t xml:space="preserve">, </w:t>
      </w:r>
      <w:proofErr w:type="spellStart"/>
      <w:r w:rsidRPr="001003F7">
        <w:rPr>
          <w:lang w:val="en-US"/>
        </w:rPr>
        <w:t>dapagliflozin</w:t>
      </w:r>
      <w:proofErr w:type="spellEnd"/>
      <w:r w:rsidRPr="001003F7">
        <w:rPr>
          <w:lang w:val="en-US"/>
        </w:rPr>
        <w:t xml:space="preserve"> and </w:t>
      </w:r>
      <w:proofErr w:type="spellStart"/>
      <w:r w:rsidRPr="001003F7">
        <w:rPr>
          <w:lang w:val="en-US"/>
        </w:rPr>
        <w:t>canagliflozin</w:t>
      </w:r>
      <w:proofErr w:type="spellEnd"/>
      <w:r w:rsidRPr="001003F7">
        <w:rPr>
          <w:snapToGrid/>
        </w:rPr>
        <w:t xml:space="preserve">. </w:t>
      </w:r>
    </w:p>
    <w:p w:rsidR="001003F7" w:rsidRPr="001003F7" w:rsidRDefault="001003F7" w:rsidP="001003F7">
      <w:pPr>
        <w:widowControl/>
        <w:numPr>
          <w:ilvl w:val="1"/>
          <w:numId w:val="7"/>
        </w:numPr>
        <w:snapToGrid w:val="0"/>
        <w:spacing w:after="200"/>
        <w:ind w:left="1066" w:hanging="357"/>
        <w:contextualSpacing/>
        <w:rPr>
          <w:snapToGrid/>
        </w:rPr>
      </w:pPr>
      <w:r w:rsidRPr="001003F7">
        <w:rPr>
          <w:snapToGrid/>
        </w:rPr>
        <w:t xml:space="preserve">Similar odds of discontinuing due to adverse events, genital infections and urinary tract infections at 18-30 weeks compared to </w:t>
      </w:r>
      <w:proofErr w:type="spellStart"/>
      <w:r w:rsidRPr="001003F7">
        <w:rPr>
          <w:lang w:val="en-US"/>
        </w:rPr>
        <w:t>sitagliptin</w:t>
      </w:r>
      <w:proofErr w:type="spellEnd"/>
      <w:r w:rsidRPr="001003F7">
        <w:rPr>
          <w:lang w:val="en-US"/>
        </w:rPr>
        <w:t xml:space="preserve">, </w:t>
      </w:r>
      <w:proofErr w:type="spellStart"/>
      <w:r w:rsidRPr="001003F7">
        <w:rPr>
          <w:lang w:val="en-US"/>
        </w:rPr>
        <w:t>dapagliflozin</w:t>
      </w:r>
      <w:proofErr w:type="spellEnd"/>
      <w:r w:rsidRPr="001003F7">
        <w:rPr>
          <w:lang w:val="en-US"/>
        </w:rPr>
        <w:t xml:space="preserve"> and </w:t>
      </w:r>
      <w:proofErr w:type="spellStart"/>
      <w:r w:rsidRPr="001003F7">
        <w:rPr>
          <w:lang w:val="en-US"/>
        </w:rPr>
        <w:t>canagliflozin</w:t>
      </w:r>
      <w:proofErr w:type="spellEnd"/>
      <w:r w:rsidRPr="001003F7">
        <w:rPr>
          <w:snapToGrid/>
        </w:rPr>
        <w:t xml:space="preserve">. The submission considers that </w:t>
      </w:r>
      <w:proofErr w:type="spellStart"/>
      <w:r w:rsidRPr="001003F7">
        <w:rPr>
          <w:snapToGrid/>
        </w:rPr>
        <w:t>empagliflozin</w:t>
      </w:r>
      <w:proofErr w:type="spellEnd"/>
      <w:r w:rsidRPr="001003F7">
        <w:rPr>
          <w:snapToGrid/>
        </w:rPr>
        <w:t xml:space="preserve"> is non-inferior in terms of safety to the comparator drugs.</w:t>
      </w:r>
    </w:p>
    <w:p w:rsidR="00F83114" w:rsidRPr="00671D38" w:rsidRDefault="00F83114" w:rsidP="00F83114">
      <w:pPr>
        <w:pStyle w:val="ListParagraph"/>
        <w:ind w:left="709"/>
        <w:rPr>
          <w:i/>
          <w:szCs w:val="22"/>
        </w:rPr>
      </w:pPr>
      <w:r w:rsidRPr="00671D38">
        <w:rPr>
          <w:i/>
          <w:szCs w:val="22"/>
        </w:rPr>
        <w:t>For PBAC’s view, see section 7 “PBAC outcome”</w:t>
      </w:r>
    </w:p>
    <w:p w:rsidR="00147D6D" w:rsidRPr="00671D38" w:rsidRDefault="00147D6D" w:rsidP="00F4721A"/>
    <w:p w:rsidR="00147D6D" w:rsidRPr="00671D38" w:rsidRDefault="00147D6D" w:rsidP="00F4721A">
      <w:pPr>
        <w:outlineLvl w:val="1"/>
        <w:rPr>
          <w:b/>
        </w:rPr>
      </w:pPr>
      <w:bookmarkStart w:id="13" w:name="_Toc386015344"/>
      <w:bookmarkStart w:id="14" w:name="_Toc387851408"/>
      <w:r w:rsidRPr="00671D38">
        <w:rPr>
          <w:b/>
        </w:rPr>
        <w:t>Clinical claim</w:t>
      </w:r>
      <w:bookmarkEnd w:id="13"/>
      <w:bookmarkEnd w:id="14"/>
    </w:p>
    <w:p w:rsidR="00147D6D" w:rsidRPr="00671D38" w:rsidRDefault="00147D6D" w:rsidP="00F4721A">
      <w:pPr>
        <w:ind w:left="720" w:hanging="720"/>
        <w:rPr>
          <w:szCs w:val="22"/>
        </w:rPr>
      </w:pPr>
    </w:p>
    <w:p w:rsidR="00F83114" w:rsidRPr="00F54CDC" w:rsidRDefault="00F83114" w:rsidP="00F54CDC">
      <w:pPr>
        <w:pStyle w:val="ListParagraph"/>
        <w:widowControl/>
        <w:numPr>
          <w:ilvl w:val="1"/>
          <w:numId w:val="20"/>
        </w:numPr>
        <w:rPr>
          <w:szCs w:val="22"/>
        </w:rPr>
      </w:pPr>
      <w:r w:rsidRPr="00671D38">
        <w:t>The submission claimed</w:t>
      </w:r>
      <w:r w:rsidR="00147D6D" w:rsidRPr="00671D38">
        <w:t xml:space="preserve"> that </w:t>
      </w:r>
      <w:proofErr w:type="spellStart"/>
      <w:r w:rsidR="00147D6D" w:rsidRPr="00671D38">
        <w:t>empagliflozin</w:t>
      </w:r>
      <w:proofErr w:type="spellEnd"/>
      <w:r w:rsidR="00147D6D" w:rsidRPr="00671D38">
        <w:t xml:space="preserve"> is non-inferior to </w:t>
      </w:r>
      <w:proofErr w:type="spellStart"/>
      <w:r w:rsidR="00147D6D" w:rsidRPr="00671D38">
        <w:t>sitagliptin</w:t>
      </w:r>
      <w:proofErr w:type="spellEnd"/>
      <w:r w:rsidR="00147D6D" w:rsidRPr="00671D38">
        <w:t xml:space="preserve">, </w:t>
      </w:r>
      <w:proofErr w:type="spellStart"/>
      <w:r w:rsidR="00147D6D" w:rsidRPr="00671D38">
        <w:t>canagliflozin</w:t>
      </w:r>
      <w:proofErr w:type="spellEnd"/>
      <w:r w:rsidR="00147D6D" w:rsidRPr="00671D38">
        <w:t xml:space="preserve"> and </w:t>
      </w:r>
      <w:proofErr w:type="spellStart"/>
      <w:r w:rsidR="00147D6D" w:rsidRPr="00671D38">
        <w:t>dapagliflozin</w:t>
      </w:r>
      <w:proofErr w:type="spellEnd"/>
      <w:r w:rsidR="00147D6D" w:rsidRPr="00671D38">
        <w:t xml:space="preserve"> in terms of comparative efficacy and safe</w:t>
      </w:r>
      <w:r w:rsidR="00BD4572" w:rsidRPr="00671D38">
        <w:t>ty.</w:t>
      </w:r>
      <w:r w:rsidR="00A956BA" w:rsidRPr="00671D38">
        <w:t xml:space="preserve"> The ESC considered the </w:t>
      </w:r>
      <w:r w:rsidR="00FD7915" w:rsidRPr="00671D38">
        <w:t>non-inferiority</w:t>
      </w:r>
      <w:r w:rsidR="00A956BA" w:rsidRPr="00671D38">
        <w:t xml:space="preserve"> claim to </w:t>
      </w:r>
      <w:proofErr w:type="spellStart"/>
      <w:r w:rsidR="00A956BA" w:rsidRPr="00671D38">
        <w:t>dapagliflozin</w:t>
      </w:r>
      <w:proofErr w:type="spellEnd"/>
      <w:r w:rsidR="00A956BA" w:rsidRPr="00671D38">
        <w:t xml:space="preserve"> and </w:t>
      </w:r>
      <w:proofErr w:type="spellStart"/>
      <w:r w:rsidR="00A956BA" w:rsidRPr="00671D38">
        <w:t>canagliflozin</w:t>
      </w:r>
      <w:proofErr w:type="spellEnd"/>
      <w:r w:rsidR="00A956BA" w:rsidRPr="00671D38">
        <w:t xml:space="preserve"> to be reasonable. </w:t>
      </w:r>
    </w:p>
    <w:p w:rsidR="00F83114" w:rsidRPr="00671D38" w:rsidRDefault="00F83114" w:rsidP="00F54CDC">
      <w:pPr>
        <w:pStyle w:val="COMBody"/>
      </w:pPr>
    </w:p>
    <w:p w:rsidR="00F83114" w:rsidRPr="00F54CDC" w:rsidRDefault="00BD4572" w:rsidP="00F54CDC">
      <w:pPr>
        <w:pStyle w:val="ListParagraph"/>
        <w:widowControl/>
        <w:numPr>
          <w:ilvl w:val="1"/>
          <w:numId w:val="20"/>
        </w:numPr>
        <w:rPr>
          <w:szCs w:val="22"/>
        </w:rPr>
      </w:pPr>
      <w:r w:rsidRPr="00671D38">
        <w:t>T</w:t>
      </w:r>
      <w:r w:rsidR="00147D6D" w:rsidRPr="00671D38">
        <w:t xml:space="preserve">he </w:t>
      </w:r>
      <w:proofErr w:type="spellStart"/>
      <w:r w:rsidR="00147D6D" w:rsidRPr="00671D38">
        <w:t>sitagliptin</w:t>
      </w:r>
      <w:proofErr w:type="spellEnd"/>
      <w:r w:rsidR="00147D6D" w:rsidRPr="00671D38">
        <w:t xml:space="preserve"> and </w:t>
      </w:r>
      <w:proofErr w:type="spellStart"/>
      <w:r w:rsidR="00147D6D" w:rsidRPr="00671D38">
        <w:t>dapagliflozin</w:t>
      </w:r>
      <w:proofErr w:type="spellEnd"/>
      <w:r w:rsidR="00147D6D" w:rsidRPr="00671D38">
        <w:t xml:space="preserve"> </w:t>
      </w:r>
      <w:r w:rsidRPr="00671D38">
        <w:t xml:space="preserve">comparisons </w:t>
      </w:r>
      <w:r w:rsidR="00147D6D" w:rsidRPr="00671D38">
        <w:t xml:space="preserve">were generally consistent with non-inferiority in terms of mean change in HbA1c. The </w:t>
      </w:r>
      <w:proofErr w:type="spellStart"/>
      <w:r w:rsidR="00147D6D" w:rsidRPr="00671D38">
        <w:t>canagliflozin</w:t>
      </w:r>
      <w:proofErr w:type="spellEnd"/>
      <w:r w:rsidR="00147D6D" w:rsidRPr="00671D38">
        <w:t xml:space="preserve"> analyses were consistent with non-inferiority using the 0.4% non-inferiority margin, however non-inferiority was not consistently met using the more stringent 0.3% margin.</w:t>
      </w:r>
    </w:p>
    <w:p w:rsidR="00F83114" w:rsidRPr="00671D38" w:rsidRDefault="00F83114" w:rsidP="00F54CDC">
      <w:pPr>
        <w:pStyle w:val="COMBody"/>
      </w:pPr>
    </w:p>
    <w:p w:rsidR="001731A2" w:rsidRPr="00F54CDC" w:rsidRDefault="00736226" w:rsidP="00F54CDC">
      <w:pPr>
        <w:pStyle w:val="ListParagraph"/>
        <w:widowControl/>
        <w:numPr>
          <w:ilvl w:val="1"/>
          <w:numId w:val="20"/>
        </w:numPr>
        <w:rPr>
          <w:szCs w:val="22"/>
        </w:rPr>
      </w:pPr>
      <w:r w:rsidRPr="00671D38">
        <w:t xml:space="preserve">The ESC noted that </w:t>
      </w:r>
      <w:proofErr w:type="spellStart"/>
      <w:r w:rsidRPr="00671D38">
        <w:t>empagliflozin</w:t>
      </w:r>
      <w:proofErr w:type="spellEnd"/>
      <w:r w:rsidRPr="00671D38">
        <w:t xml:space="preserve"> appeared</w:t>
      </w:r>
      <w:r w:rsidR="00BD4572" w:rsidRPr="00671D38">
        <w:t xml:space="preserve"> to have a similar safety profile to </w:t>
      </w:r>
      <w:proofErr w:type="spellStart"/>
      <w:r w:rsidR="00BD4572" w:rsidRPr="00671D38">
        <w:t>dapagliflozin</w:t>
      </w:r>
      <w:proofErr w:type="spellEnd"/>
      <w:r w:rsidR="00BD4572" w:rsidRPr="00671D38">
        <w:t xml:space="preserve"> and </w:t>
      </w:r>
      <w:proofErr w:type="spellStart"/>
      <w:r w:rsidR="00BD4572" w:rsidRPr="00671D38">
        <w:t>canagliflozin</w:t>
      </w:r>
      <w:proofErr w:type="spellEnd"/>
      <w:r w:rsidR="00BD4572" w:rsidRPr="00671D38">
        <w:t xml:space="preserve">, however, there are inadequate data to determine comparative event rates. </w:t>
      </w:r>
    </w:p>
    <w:p w:rsidR="001731A2" w:rsidRPr="00671D38" w:rsidRDefault="001731A2" w:rsidP="00BE13AD">
      <w:pPr>
        <w:rPr>
          <w:color w:val="FF0000"/>
          <w:szCs w:val="22"/>
        </w:rPr>
      </w:pPr>
    </w:p>
    <w:p w:rsidR="001731A2" w:rsidRPr="00F54CDC" w:rsidRDefault="00F83114" w:rsidP="00F54CDC">
      <w:pPr>
        <w:pStyle w:val="ListParagraph"/>
        <w:widowControl/>
        <w:numPr>
          <w:ilvl w:val="1"/>
          <w:numId w:val="20"/>
        </w:numPr>
        <w:rPr>
          <w:szCs w:val="22"/>
        </w:rPr>
      </w:pPr>
      <w:r w:rsidRPr="00F54CDC">
        <w:rPr>
          <w:szCs w:val="22"/>
        </w:rPr>
        <w:t>The PBAC considered that the claim of non-inferior comparati</w:t>
      </w:r>
      <w:r w:rsidR="00184C30" w:rsidRPr="00F54CDC">
        <w:rPr>
          <w:szCs w:val="22"/>
        </w:rPr>
        <w:t xml:space="preserve">ve effectiveness </w:t>
      </w:r>
      <w:r w:rsidR="003313ED" w:rsidRPr="00F54CDC">
        <w:rPr>
          <w:szCs w:val="22"/>
        </w:rPr>
        <w:t xml:space="preserve">to </w:t>
      </w:r>
      <w:proofErr w:type="spellStart"/>
      <w:r w:rsidR="003313ED" w:rsidRPr="00F54CDC">
        <w:rPr>
          <w:szCs w:val="22"/>
        </w:rPr>
        <w:t>canagliflozin</w:t>
      </w:r>
      <w:proofErr w:type="spellEnd"/>
      <w:r w:rsidR="003313ED" w:rsidRPr="00F54CDC">
        <w:rPr>
          <w:szCs w:val="22"/>
        </w:rPr>
        <w:t xml:space="preserve"> and </w:t>
      </w:r>
      <w:proofErr w:type="spellStart"/>
      <w:r w:rsidR="003313ED" w:rsidRPr="00F54CDC">
        <w:rPr>
          <w:szCs w:val="22"/>
        </w:rPr>
        <w:t>dapagliflozin</w:t>
      </w:r>
      <w:proofErr w:type="spellEnd"/>
      <w:r w:rsidR="003313ED" w:rsidRPr="00F54CDC">
        <w:rPr>
          <w:szCs w:val="22"/>
        </w:rPr>
        <w:t xml:space="preserve"> </w:t>
      </w:r>
      <w:r w:rsidR="00184C30" w:rsidRPr="00F54CDC">
        <w:rPr>
          <w:szCs w:val="22"/>
        </w:rPr>
        <w:t>was reasonable</w:t>
      </w:r>
      <w:r w:rsidRPr="00F54CDC">
        <w:rPr>
          <w:szCs w:val="22"/>
        </w:rPr>
        <w:t>.</w:t>
      </w:r>
    </w:p>
    <w:p w:rsidR="001731A2" w:rsidRPr="00671D38" w:rsidRDefault="001731A2" w:rsidP="00BE13AD">
      <w:pPr>
        <w:rPr>
          <w:szCs w:val="22"/>
        </w:rPr>
      </w:pPr>
    </w:p>
    <w:p w:rsidR="001731A2" w:rsidRPr="00F54CDC" w:rsidRDefault="00022A1C" w:rsidP="00F54CDC">
      <w:pPr>
        <w:pStyle w:val="ListParagraph"/>
        <w:widowControl/>
        <w:numPr>
          <w:ilvl w:val="1"/>
          <w:numId w:val="20"/>
        </w:numPr>
        <w:rPr>
          <w:szCs w:val="22"/>
        </w:rPr>
      </w:pPr>
      <w:r w:rsidRPr="00F54CDC">
        <w:rPr>
          <w:szCs w:val="22"/>
        </w:rPr>
        <w:t>T</w:t>
      </w:r>
      <w:r w:rsidR="001731A2" w:rsidRPr="00F54CDC" w:rsidDel="00CE2964">
        <w:rPr>
          <w:szCs w:val="22"/>
        </w:rPr>
        <w:t xml:space="preserve">he PBAC noted the higher rates of </w:t>
      </w:r>
      <w:r w:rsidR="001731A2" w:rsidRPr="00F54CDC" w:rsidDel="00CE2964">
        <w:rPr>
          <w:szCs w:val="22"/>
          <w:lang w:val="en-GB"/>
        </w:rPr>
        <w:t xml:space="preserve">genital infections and urinary tract infections reported in the </w:t>
      </w:r>
      <w:proofErr w:type="spellStart"/>
      <w:r w:rsidR="001731A2" w:rsidRPr="00F54CDC" w:rsidDel="00CE2964">
        <w:rPr>
          <w:szCs w:val="22"/>
        </w:rPr>
        <w:t>empagliflozin</w:t>
      </w:r>
      <w:proofErr w:type="spellEnd"/>
      <w:r w:rsidR="001731A2" w:rsidRPr="00F54CDC" w:rsidDel="00CE2964">
        <w:rPr>
          <w:szCs w:val="22"/>
        </w:rPr>
        <w:t xml:space="preserve"> with metformin trials compared with metformin alone or metformin plus a sulfonylurea and considered that these adverse events are a </w:t>
      </w:r>
      <w:proofErr w:type="spellStart"/>
      <w:r w:rsidR="001731A2" w:rsidRPr="00F54CDC" w:rsidDel="00CE2964">
        <w:rPr>
          <w:szCs w:val="22"/>
        </w:rPr>
        <w:t>gliflozin</w:t>
      </w:r>
      <w:proofErr w:type="spellEnd"/>
      <w:r w:rsidR="001731A2" w:rsidRPr="00F54CDC" w:rsidDel="00CE2964">
        <w:rPr>
          <w:szCs w:val="22"/>
        </w:rPr>
        <w:t xml:space="preserve"> class effect and are related to the increased levels of glucose in urine. </w:t>
      </w:r>
    </w:p>
    <w:p w:rsidR="00022A1C" w:rsidRPr="00671D38" w:rsidRDefault="00022A1C" w:rsidP="00F54CDC">
      <w:pPr>
        <w:pStyle w:val="COMBody"/>
      </w:pPr>
    </w:p>
    <w:p w:rsidR="00F83114" w:rsidRPr="00F54CDC" w:rsidRDefault="00F83114" w:rsidP="00F54CDC">
      <w:pPr>
        <w:pStyle w:val="ListParagraph"/>
        <w:widowControl/>
        <w:numPr>
          <w:ilvl w:val="1"/>
          <w:numId w:val="20"/>
        </w:numPr>
        <w:rPr>
          <w:szCs w:val="22"/>
        </w:rPr>
      </w:pPr>
      <w:r w:rsidRPr="00F54CDC">
        <w:rPr>
          <w:szCs w:val="22"/>
        </w:rPr>
        <w:t>The PBAC considered that</w:t>
      </w:r>
      <w:r w:rsidR="00CE2964" w:rsidRPr="00F54CDC">
        <w:rPr>
          <w:szCs w:val="22"/>
        </w:rPr>
        <w:t>,</w:t>
      </w:r>
      <w:r w:rsidRPr="00F54CDC">
        <w:rPr>
          <w:szCs w:val="22"/>
        </w:rPr>
        <w:t xml:space="preserve"> </w:t>
      </w:r>
      <w:r w:rsidR="00CE2964" w:rsidRPr="00F54CDC">
        <w:rPr>
          <w:szCs w:val="22"/>
        </w:rPr>
        <w:t xml:space="preserve">overall, </w:t>
      </w:r>
      <w:r w:rsidRPr="00F54CDC">
        <w:rPr>
          <w:szCs w:val="22"/>
        </w:rPr>
        <w:t xml:space="preserve">the claim of non-inferior comparative safety </w:t>
      </w:r>
      <w:r w:rsidR="003313ED" w:rsidRPr="00F54CDC">
        <w:rPr>
          <w:szCs w:val="22"/>
        </w:rPr>
        <w:t xml:space="preserve">to </w:t>
      </w:r>
      <w:proofErr w:type="spellStart"/>
      <w:r w:rsidR="003313ED" w:rsidRPr="00F54CDC">
        <w:rPr>
          <w:szCs w:val="22"/>
        </w:rPr>
        <w:t>dapagliflozin</w:t>
      </w:r>
      <w:proofErr w:type="spellEnd"/>
      <w:r w:rsidR="003313ED" w:rsidRPr="00F54CDC">
        <w:rPr>
          <w:szCs w:val="22"/>
        </w:rPr>
        <w:t xml:space="preserve"> </w:t>
      </w:r>
      <w:r w:rsidRPr="00F54CDC">
        <w:rPr>
          <w:szCs w:val="22"/>
        </w:rPr>
        <w:t>was reasonable</w:t>
      </w:r>
      <w:r w:rsidR="003313ED" w:rsidRPr="00F54CDC">
        <w:rPr>
          <w:szCs w:val="22"/>
        </w:rPr>
        <w:t xml:space="preserve"> on the basis of the </w:t>
      </w:r>
      <w:r w:rsidR="007355A0" w:rsidRPr="00F54CDC">
        <w:rPr>
          <w:szCs w:val="22"/>
        </w:rPr>
        <w:t xml:space="preserve">adverse events </w:t>
      </w:r>
      <w:r w:rsidR="003313ED" w:rsidRPr="00F54CDC">
        <w:rPr>
          <w:szCs w:val="22"/>
        </w:rPr>
        <w:t xml:space="preserve">comparison of </w:t>
      </w:r>
      <w:proofErr w:type="spellStart"/>
      <w:r w:rsidR="003313ED" w:rsidRPr="00F54CDC">
        <w:rPr>
          <w:szCs w:val="22"/>
        </w:rPr>
        <w:t>empagliflozin</w:t>
      </w:r>
      <w:proofErr w:type="spellEnd"/>
      <w:r w:rsidR="003313ED" w:rsidRPr="00F54CDC">
        <w:rPr>
          <w:szCs w:val="22"/>
        </w:rPr>
        <w:t xml:space="preserve"> plus metformin with </w:t>
      </w:r>
      <w:proofErr w:type="spellStart"/>
      <w:r w:rsidR="003313ED" w:rsidRPr="00F54CDC">
        <w:rPr>
          <w:szCs w:val="22"/>
        </w:rPr>
        <w:t>dapagliflozin</w:t>
      </w:r>
      <w:proofErr w:type="spellEnd"/>
      <w:r w:rsidR="003313ED" w:rsidRPr="00F54CDC">
        <w:rPr>
          <w:szCs w:val="22"/>
        </w:rPr>
        <w:t xml:space="preserve"> plus metformin at 52-102 weeks</w:t>
      </w:r>
      <w:r w:rsidR="004F2B91" w:rsidRPr="00F54CDC">
        <w:rPr>
          <w:szCs w:val="22"/>
        </w:rPr>
        <w:t xml:space="preserve"> and on the information provided in the pre-PBAC response.</w:t>
      </w:r>
    </w:p>
    <w:p w:rsidR="00147D6D" w:rsidRPr="00671D38" w:rsidRDefault="00147D6D" w:rsidP="00F4721A">
      <w:pPr>
        <w:ind w:left="720" w:hanging="720"/>
        <w:rPr>
          <w:szCs w:val="22"/>
        </w:rPr>
      </w:pPr>
    </w:p>
    <w:p w:rsidR="00147D6D" w:rsidRPr="00671D38" w:rsidRDefault="00147D6D" w:rsidP="00F4721A">
      <w:pPr>
        <w:outlineLvl w:val="1"/>
        <w:rPr>
          <w:b/>
        </w:rPr>
      </w:pPr>
      <w:bookmarkStart w:id="15" w:name="_Toc386015345"/>
      <w:bookmarkStart w:id="16" w:name="_Toc387851409"/>
      <w:r w:rsidRPr="00671D38">
        <w:rPr>
          <w:b/>
        </w:rPr>
        <w:t>Economic analysis</w:t>
      </w:r>
      <w:bookmarkEnd w:id="15"/>
      <w:bookmarkEnd w:id="16"/>
    </w:p>
    <w:p w:rsidR="00147D6D" w:rsidRPr="00671D38" w:rsidRDefault="00147D6D" w:rsidP="00F4721A">
      <w:pPr>
        <w:ind w:left="720" w:hanging="720"/>
        <w:rPr>
          <w:szCs w:val="22"/>
        </w:rPr>
      </w:pPr>
    </w:p>
    <w:p w:rsidR="00F83114" w:rsidRPr="00F54CDC" w:rsidRDefault="00147D6D" w:rsidP="00F54CDC">
      <w:pPr>
        <w:pStyle w:val="ListParagraph"/>
        <w:widowControl/>
        <w:numPr>
          <w:ilvl w:val="1"/>
          <w:numId w:val="20"/>
        </w:numPr>
        <w:rPr>
          <w:szCs w:val="22"/>
        </w:rPr>
      </w:pPr>
      <w:r w:rsidRPr="00F54CDC">
        <w:rPr>
          <w:iCs/>
        </w:rPr>
        <w:t>The submission present</w:t>
      </w:r>
      <w:r w:rsidR="00736226" w:rsidRPr="00F54CDC">
        <w:rPr>
          <w:iCs/>
        </w:rPr>
        <w:t>ed</w:t>
      </w:r>
      <w:r w:rsidRPr="00F54CDC">
        <w:rPr>
          <w:iCs/>
        </w:rPr>
        <w:t xml:space="preserve"> a cost-minimisation analysis. This is consistent with the clinical claim of non-inferiority of </w:t>
      </w:r>
      <w:proofErr w:type="spellStart"/>
      <w:r w:rsidRPr="00F54CDC">
        <w:rPr>
          <w:iCs/>
        </w:rPr>
        <w:t>empagliflozin</w:t>
      </w:r>
      <w:proofErr w:type="spellEnd"/>
      <w:r w:rsidRPr="00F54CDC">
        <w:rPr>
          <w:iCs/>
        </w:rPr>
        <w:t xml:space="preserve"> to </w:t>
      </w:r>
      <w:proofErr w:type="spellStart"/>
      <w:r w:rsidRPr="00F54CDC">
        <w:rPr>
          <w:iCs/>
        </w:rPr>
        <w:t>dapagliflozin</w:t>
      </w:r>
      <w:proofErr w:type="spellEnd"/>
      <w:r w:rsidRPr="00F54CDC">
        <w:rPr>
          <w:iCs/>
        </w:rPr>
        <w:t xml:space="preserve"> and </w:t>
      </w:r>
      <w:proofErr w:type="spellStart"/>
      <w:r w:rsidRPr="00F54CDC">
        <w:rPr>
          <w:iCs/>
        </w:rPr>
        <w:t>canagliflozin</w:t>
      </w:r>
      <w:proofErr w:type="spellEnd"/>
      <w:r w:rsidRPr="00F54CDC">
        <w:rPr>
          <w:iCs/>
        </w:rPr>
        <w:t>.</w:t>
      </w:r>
      <w:r w:rsidRPr="00F54CDC">
        <w:rPr>
          <w:szCs w:val="22"/>
        </w:rPr>
        <w:t xml:space="preserve"> </w:t>
      </w:r>
    </w:p>
    <w:p w:rsidR="00F83114" w:rsidRPr="00671D38" w:rsidRDefault="00F83114" w:rsidP="00F54CDC">
      <w:pPr>
        <w:pStyle w:val="COMBody"/>
      </w:pPr>
    </w:p>
    <w:p w:rsidR="00147D6D" w:rsidRPr="00F54CDC" w:rsidRDefault="00147D6D" w:rsidP="00F54CDC">
      <w:pPr>
        <w:pStyle w:val="ListParagraph"/>
        <w:widowControl/>
        <w:numPr>
          <w:ilvl w:val="1"/>
          <w:numId w:val="20"/>
        </w:numPr>
        <w:rPr>
          <w:szCs w:val="22"/>
        </w:rPr>
      </w:pPr>
      <w:r w:rsidRPr="00671D38">
        <w:t xml:space="preserve">The </w:t>
      </w:r>
      <w:proofErr w:type="spellStart"/>
      <w:r w:rsidRPr="00671D38">
        <w:t>equi</w:t>
      </w:r>
      <w:proofErr w:type="spellEnd"/>
      <w:r w:rsidRPr="00671D38">
        <w:t xml:space="preserve">-effective doses are estimated </w:t>
      </w:r>
      <w:r w:rsidR="00B3647D" w:rsidRPr="00671D38">
        <w:t xml:space="preserve">by the submission </w:t>
      </w:r>
      <w:r w:rsidRPr="00671D38">
        <w:t>as:</w:t>
      </w:r>
    </w:p>
    <w:p w:rsidR="00147D6D" w:rsidRPr="00671D38" w:rsidRDefault="002B014E" w:rsidP="00884BA0">
      <w:pPr>
        <w:pStyle w:val="ListParagraph"/>
        <w:numPr>
          <w:ilvl w:val="0"/>
          <w:numId w:val="8"/>
        </w:numPr>
        <w:ind w:left="993" w:hanging="284"/>
        <w:rPr>
          <w:i/>
        </w:rPr>
      </w:pPr>
      <w:r w:rsidRPr="00671D38">
        <w:t xml:space="preserve"> </w:t>
      </w:r>
      <w:proofErr w:type="spellStart"/>
      <w:r w:rsidR="00147D6D" w:rsidRPr="00671D38">
        <w:t>Empagliflozin</w:t>
      </w:r>
      <w:proofErr w:type="spellEnd"/>
      <w:r w:rsidR="00147D6D" w:rsidRPr="00671D38">
        <w:t xml:space="preserve"> </w:t>
      </w:r>
      <w:r w:rsidR="00BD4572" w:rsidRPr="00671D38">
        <w:t>(</w:t>
      </w:r>
      <w:r w:rsidR="00147D6D" w:rsidRPr="00671D38">
        <w:t>10mg or 25mg</w:t>
      </w:r>
      <w:r w:rsidR="00BD4572" w:rsidRPr="00671D38">
        <w:t>)</w:t>
      </w:r>
      <w:r w:rsidR="00147D6D" w:rsidRPr="00671D38">
        <w:t xml:space="preserve"> is </w:t>
      </w:r>
      <w:proofErr w:type="spellStart"/>
      <w:r w:rsidR="00147D6D" w:rsidRPr="00671D38">
        <w:t>equi</w:t>
      </w:r>
      <w:proofErr w:type="spellEnd"/>
      <w:r w:rsidR="00147D6D" w:rsidRPr="00671D38">
        <w:t>-e</w:t>
      </w:r>
      <w:r w:rsidR="00F83114" w:rsidRPr="00671D38">
        <w:t xml:space="preserve">ffective to </w:t>
      </w:r>
      <w:proofErr w:type="spellStart"/>
      <w:r w:rsidR="00F83114" w:rsidRPr="00671D38">
        <w:t>canagliflozin</w:t>
      </w:r>
      <w:proofErr w:type="spellEnd"/>
      <w:r w:rsidR="00F83114" w:rsidRPr="00671D38">
        <w:t xml:space="preserve"> 100mg</w:t>
      </w:r>
      <w:r w:rsidR="00F66746" w:rsidRPr="00671D38">
        <w:t xml:space="preserve">. The ESC noted that </w:t>
      </w:r>
      <w:proofErr w:type="spellStart"/>
      <w:r w:rsidR="00BF6D0B" w:rsidRPr="00671D38">
        <w:t>empagliflozin</w:t>
      </w:r>
      <w:proofErr w:type="spellEnd"/>
      <w:r w:rsidR="00F66746" w:rsidRPr="00671D38">
        <w:t xml:space="preserve"> does not require any dose </w:t>
      </w:r>
      <w:r w:rsidRPr="00671D38">
        <w:t xml:space="preserve"> </w:t>
      </w:r>
      <w:r w:rsidR="00F66746" w:rsidRPr="00671D38">
        <w:t xml:space="preserve">adjustments in patients with renal inefficiency, </w:t>
      </w:r>
      <w:r w:rsidRPr="00671D38">
        <w:t>whereas</w:t>
      </w:r>
      <w:r w:rsidR="00F66746" w:rsidRPr="00671D38">
        <w:t xml:space="preserve"> efficacy of </w:t>
      </w:r>
      <w:proofErr w:type="spellStart"/>
      <w:r w:rsidRPr="00671D38">
        <w:t>canagliflozin</w:t>
      </w:r>
      <w:proofErr w:type="spellEnd"/>
      <w:r w:rsidRPr="00671D38">
        <w:t xml:space="preserve"> </w:t>
      </w:r>
      <w:r w:rsidR="00F66746" w:rsidRPr="00671D38">
        <w:t xml:space="preserve"> is </w:t>
      </w:r>
      <w:r w:rsidRPr="00671D38">
        <w:t xml:space="preserve"> </w:t>
      </w:r>
      <w:r w:rsidR="00F66746" w:rsidRPr="00671D38">
        <w:t>dependent on renal function</w:t>
      </w:r>
      <w:r w:rsidRPr="00671D38">
        <w:t xml:space="preserve"> in which </w:t>
      </w:r>
      <w:r w:rsidR="00F66746" w:rsidRPr="00671D38">
        <w:t xml:space="preserve"> 100 mg </w:t>
      </w:r>
      <w:proofErr w:type="spellStart"/>
      <w:r w:rsidR="00F66746" w:rsidRPr="00671D38">
        <w:t>canagliflozin</w:t>
      </w:r>
      <w:proofErr w:type="spellEnd"/>
      <w:r w:rsidR="00F66746" w:rsidRPr="00671D38">
        <w:t xml:space="preserve"> is recommended</w:t>
      </w:r>
      <w:r w:rsidRPr="00671D38">
        <w:t xml:space="preserve"> for patients with </w:t>
      </w:r>
      <w:proofErr w:type="spellStart"/>
      <w:r w:rsidRPr="00671D38">
        <w:t>eGFR</w:t>
      </w:r>
      <w:proofErr w:type="spellEnd"/>
      <w:r w:rsidRPr="00671D38">
        <w:t xml:space="preserve"> of 45 to &lt; 60 mL/min/1.73m)</w:t>
      </w:r>
    </w:p>
    <w:p w:rsidR="00A03D72" w:rsidRPr="00671D38" w:rsidRDefault="00A03D72" w:rsidP="00884BA0">
      <w:pPr>
        <w:pStyle w:val="ListParagraph"/>
        <w:numPr>
          <w:ilvl w:val="0"/>
          <w:numId w:val="8"/>
        </w:numPr>
        <w:ind w:left="1066" w:hanging="357"/>
      </w:pPr>
      <w:proofErr w:type="spellStart"/>
      <w:r w:rsidRPr="00671D38">
        <w:t>Empagliflozin</w:t>
      </w:r>
      <w:proofErr w:type="spellEnd"/>
      <w:r w:rsidRPr="00671D38">
        <w:t xml:space="preserve"> (10mg or 25mg) is </w:t>
      </w:r>
      <w:proofErr w:type="spellStart"/>
      <w:r w:rsidRPr="00671D38">
        <w:t>equi</w:t>
      </w:r>
      <w:proofErr w:type="spellEnd"/>
      <w:r w:rsidRPr="00671D38">
        <w:t xml:space="preserve">-effective to </w:t>
      </w:r>
      <w:proofErr w:type="spellStart"/>
      <w:r w:rsidRPr="00671D38">
        <w:t>canagliflozin</w:t>
      </w:r>
      <w:proofErr w:type="spellEnd"/>
      <w:r w:rsidRPr="00671D38">
        <w:t xml:space="preserve"> 300 mg.</w:t>
      </w:r>
    </w:p>
    <w:p w:rsidR="00147D6D" w:rsidRPr="00671D38" w:rsidRDefault="00147D6D" w:rsidP="00884BA0">
      <w:pPr>
        <w:pStyle w:val="ListParagraph"/>
        <w:numPr>
          <w:ilvl w:val="0"/>
          <w:numId w:val="8"/>
        </w:numPr>
        <w:ind w:left="1066" w:hanging="357"/>
      </w:pPr>
      <w:proofErr w:type="spellStart"/>
      <w:r w:rsidRPr="00671D38">
        <w:t>Empagliflozin</w:t>
      </w:r>
      <w:proofErr w:type="spellEnd"/>
      <w:r w:rsidRPr="00671D38">
        <w:t xml:space="preserve"> </w:t>
      </w:r>
      <w:r w:rsidR="00BD4572" w:rsidRPr="00671D38">
        <w:t>(</w:t>
      </w:r>
      <w:r w:rsidRPr="00671D38">
        <w:t>10mg or 25mg</w:t>
      </w:r>
      <w:r w:rsidR="00BD4572" w:rsidRPr="00671D38">
        <w:t>)</w:t>
      </w:r>
      <w:r w:rsidRPr="00671D38">
        <w:t xml:space="preserve"> is </w:t>
      </w:r>
      <w:proofErr w:type="spellStart"/>
      <w:r w:rsidRPr="00671D38">
        <w:t>equi</w:t>
      </w:r>
      <w:proofErr w:type="spellEnd"/>
      <w:r w:rsidRPr="00671D38">
        <w:t xml:space="preserve">-effective to </w:t>
      </w:r>
      <w:proofErr w:type="spellStart"/>
      <w:r w:rsidRPr="00671D38">
        <w:t>dapagliflozin</w:t>
      </w:r>
      <w:proofErr w:type="spellEnd"/>
      <w:r w:rsidRPr="00671D38">
        <w:t xml:space="preserve"> </w:t>
      </w:r>
      <w:r w:rsidR="00BD4572" w:rsidRPr="00671D38">
        <w:t>(</w:t>
      </w:r>
      <w:r w:rsidRPr="00671D38">
        <w:t>10mg</w:t>
      </w:r>
      <w:r w:rsidR="00BD4572" w:rsidRPr="00671D38">
        <w:t>)</w:t>
      </w:r>
      <w:r w:rsidRPr="00671D38">
        <w:t>.</w:t>
      </w:r>
    </w:p>
    <w:p w:rsidR="00BD4572" w:rsidRPr="00671D38" w:rsidRDefault="00BD4572" w:rsidP="00F4721A">
      <w:pPr>
        <w:ind w:left="709"/>
        <w:contextualSpacing/>
      </w:pPr>
    </w:p>
    <w:p w:rsidR="00BD4572" w:rsidRPr="00F54CDC" w:rsidRDefault="00BD4572" w:rsidP="00F54CDC">
      <w:pPr>
        <w:pStyle w:val="ListParagraph"/>
        <w:widowControl/>
        <w:numPr>
          <w:ilvl w:val="1"/>
          <w:numId w:val="20"/>
        </w:numPr>
        <w:rPr>
          <w:szCs w:val="22"/>
        </w:rPr>
      </w:pPr>
      <w:r w:rsidRPr="00F54CDC">
        <w:rPr>
          <w:snapToGrid/>
          <w:szCs w:val="22"/>
        </w:rPr>
        <w:t xml:space="preserve">The submission does not propose </w:t>
      </w:r>
      <w:proofErr w:type="spellStart"/>
      <w:r w:rsidRPr="00F54CDC">
        <w:rPr>
          <w:snapToGrid/>
          <w:szCs w:val="22"/>
        </w:rPr>
        <w:t>equi</w:t>
      </w:r>
      <w:proofErr w:type="spellEnd"/>
      <w:r w:rsidRPr="00F54CDC">
        <w:rPr>
          <w:snapToGrid/>
          <w:szCs w:val="22"/>
        </w:rPr>
        <w:t xml:space="preserve">-effective doses of </w:t>
      </w:r>
      <w:proofErr w:type="spellStart"/>
      <w:r w:rsidRPr="00F54CDC">
        <w:rPr>
          <w:snapToGrid/>
          <w:szCs w:val="22"/>
        </w:rPr>
        <w:t>empagliflozin</w:t>
      </w:r>
      <w:proofErr w:type="spellEnd"/>
      <w:r w:rsidRPr="00F54CDC">
        <w:rPr>
          <w:snapToGrid/>
          <w:szCs w:val="22"/>
        </w:rPr>
        <w:t xml:space="preserve"> and </w:t>
      </w:r>
      <w:proofErr w:type="spellStart"/>
      <w:r w:rsidRPr="00F54CDC">
        <w:rPr>
          <w:snapToGrid/>
          <w:szCs w:val="22"/>
        </w:rPr>
        <w:t>sitagliptin</w:t>
      </w:r>
      <w:proofErr w:type="spellEnd"/>
      <w:r w:rsidRPr="00F54CDC">
        <w:rPr>
          <w:snapToGrid/>
          <w:szCs w:val="22"/>
        </w:rPr>
        <w:t xml:space="preserve">. Based on the analyses presented in the submission, </w:t>
      </w:r>
      <w:proofErr w:type="spellStart"/>
      <w:r w:rsidRPr="00F54CDC">
        <w:rPr>
          <w:snapToGrid/>
          <w:szCs w:val="22"/>
        </w:rPr>
        <w:t>empagliflozin</w:t>
      </w:r>
      <w:proofErr w:type="spellEnd"/>
      <w:r w:rsidRPr="00F54CDC">
        <w:rPr>
          <w:snapToGrid/>
          <w:szCs w:val="22"/>
        </w:rPr>
        <w:t xml:space="preserve"> 25mg may be equivalent to </w:t>
      </w:r>
      <w:proofErr w:type="spellStart"/>
      <w:r w:rsidRPr="00F54CDC">
        <w:rPr>
          <w:snapToGrid/>
          <w:szCs w:val="22"/>
        </w:rPr>
        <w:t>sitagliptin</w:t>
      </w:r>
      <w:proofErr w:type="spellEnd"/>
      <w:r w:rsidRPr="00F54CDC">
        <w:rPr>
          <w:snapToGrid/>
          <w:szCs w:val="22"/>
        </w:rPr>
        <w:t xml:space="preserve"> 100mg. </w:t>
      </w:r>
    </w:p>
    <w:p w:rsidR="00F83114" w:rsidRPr="00671D38" w:rsidRDefault="00F83114" w:rsidP="00F54CDC">
      <w:pPr>
        <w:pStyle w:val="COMBody"/>
      </w:pPr>
    </w:p>
    <w:p w:rsidR="00147D6D" w:rsidRPr="00671D38" w:rsidRDefault="00BD4572" w:rsidP="00F83114">
      <w:pPr>
        <w:keepNext/>
        <w:ind w:left="709"/>
        <w:rPr>
          <w:rFonts w:ascii="Arial Narrow" w:hAnsi="Arial Narrow"/>
          <w:b/>
          <w:sz w:val="20"/>
        </w:rPr>
      </w:pPr>
      <w:proofErr w:type="spellStart"/>
      <w:r w:rsidRPr="00671D38">
        <w:rPr>
          <w:rFonts w:ascii="Arial Narrow" w:hAnsi="Arial Narrow"/>
          <w:b/>
          <w:sz w:val="20"/>
        </w:rPr>
        <w:t>Empagliflozin</w:t>
      </w:r>
      <w:proofErr w:type="spellEnd"/>
      <w:r w:rsidRPr="00671D38">
        <w:rPr>
          <w:rFonts w:ascii="Arial Narrow" w:hAnsi="Arial Narrow"/>
          <w:b/>
          <w:sz w:val="20"/>
        </w:rPr>
        <w:t xml:space="preserve"> proposed price and prices of comparators (</w:t>
      </w:r>
      <w:proofErr w:type="spellStart"/>
      <w:r w:rsidRPr="00671D38">
        <w:rPr>
          <w:rFonts w:ascii="Arial Narrow" w:hAnsi="Arial Narrow"/>
          <w:b/>
          <w:sz w:val="20"/>
        </w:rPr>
        <w:t>sitagliptin</w:t>
      </w:r>
      <w:proofErr w:type="spellEnd"/>
      <w:r w:rsidRPr="00671D38">
        <w:rPr>
          <w:rFonts w:ascii="Arial Narrow" w:hAnsi="Arial Narrow"/>
          <w:b/>
          <w:sz w:val="20"/>
        </w:rPr>
        <w:t xml:space="preserve">, </w:t>
      </w:r>
      <w:proofErr w:type="spellStart"/>
      <w:r w:rsidRPr="00671D38">
        <w:rPr>
          <w:rFonts w:ascii="Arial Narrow" w:hAnsi="Arial Narrow"/>
          <w:b/>
          <w:sz w:val="20"/>
        </w:rPr>
        <w:t>dapagliflozin</w:t>
      </w:r>
      <w:proofErr w:type="spellEnd"/>
      <w:r w:rsidRPr="00671D38">
        <w:rPr>
          <w:rFonts w:ascii="Arial Narrow" w:hAnsi="Arial Narrow"/>
          <w:b/>
          <w:sz w:val="20"/>
        </w:rPr>
        <w:t xml:space="preserve"> and </w:t>
      </w:r>
      <w:proofErr w:type="spellStart"/>
      <w:r w:rsidRPr="00671D38">
        <w:rPr>
          <w:rFonts w:ascii="Arial Narrow" w:hAnsi="Arial Narrow"/>
          <w:b/>
          <w:sz w:val="20"/>
        </w:rPr>
        <w:t>canagliflozin</w:t>
      </w:r>
      <w:proofErr w:type="spellEnd"/>
      <w:r w:rsidRPr="00671D38">
        <w:rPr>
          <w:rFonts w:ascii="Arial Narrow" w:hAnsi="Arial Narrow"/>
          <w:b/>
          <w:sz w:val="20"/>
        </w:rPr>
        <w:t>)</w:t>
      </w:r>
    </w:p>
    <w:tbl>
      <w:tblPr>
        <w:tblStyle w:val="TableGrid"/>
        <w:tblW w:w="4524" w:type="pct"/>
        <w:tblInd w:w="817" w:type="dxa"/>
        <w:tblLook w:val="04A0" w:firstRow="1" w:lastRow="0" w:firstColumn="1" w:lastColumn="0" w:noHBand="0" w:noVBand="1"/>
        <w:tblDescription w:val="Empagliflozin proposed price and prices of comparators (sitagliptin, dapagliflozin and canagliflozin)"/>
      </w:tblPr>
      <w:tblGrid>
        <w:gridCol w:w="1970"/>
        <w:gridCol w:w="1856"/>
        <w:gridCol w:w="2518"/>
        <w:gridCol w:w="2018"/>
      </w:tblGrid>
      <w:tr w:rsidR="00BD4572" w:rsidRPr="00671D38" w:rsidTr="00F54CDC">
        <w:tc>
          <w:tcPr>
            <w:tcW w:w="1971" w:type="dxa"/>
            <w:tcBorders>
              <w:top w:val="single" w:sz="4" w:space="0" w:color="auto"/>
              <w:left w:val="single" w:sz="4" w:space="0" w:color="auto"/>
              <w:bottom w:val="single" w:sz="4" w:space="0" w:color="auto"/>
              <w:right w:val="single" w:sz="4" w:space="0" w:color="auto"/>
            </w:tcBorders>
            <w:vAlign w:val="center"/>
            <w:hideMark/>
          </w:tcPr>
          <w:p w:rsidR="00BD4572" w:rsidRPr="00671D38" w:rsidRDefault="00BD4572" w:rsidP="001E435F">
            <w:pPr>
              <w:tabs>
                <w:tab w:val="left" w:pos="720"/>
              </w:tabs>
              <w:snapToGrid w:val="0"/>
              <w:jc w:val="left"/>
              <w:rPr>
                <w:rFonts w:ascii="Arial Narrow" w:hAnsi="Arial Narrow"/>
                <w:b/>
                <w:snapToGrid/>
                <w:sz w:val="20"/>
              </w:rPr>
            </w:pPr>
            <w:r w:rsidRPr="00671D38">
              <w:rPr>
                <w:rFonts w:ascii="Arial Narrow" w:hAnsi="Arial Narrow"/>
                <w:b/>
                <w:snapToGrid/>
                <w:sz w:val="20"/>
              </w:rPr>
              <w:t>Product</w:t>
            </w:r>
          </w:p>
        </w:tc>
        <w:tc>
          <w:tcPr>
            <w:tcW w:w="1856" w:type="dxa"/>
            <w:tcBorders>
              <w:top w:val="single" w:sz="4" w:space="0" w:color="auto"/>
              <w:left w:val="single" w:sz="4" w:space="0" w:color="auto"/>
              <w:bottom w:val="single" w:sz="4" w:space="0" w:color="auto"/>
              <w:right w:val="single" w:sz="4" w:space="0" w:color="auto"/>
            </w:tcBorders>
            <w:vAlign w:val="center"/>
            <w:hideMark/>
          </w:tcPr>
          <w:p w:rsidR="00BD4572" w:rsidRPr="00671D38" w:rsidRDefault="00BD4572" w:rsidP="001E435F">
            <w:pPr>
              <w:tabs>
                <w:tab w:val="left" w:pos="720"/>
              </w:tabs>
              <w:snapToGrid w:val="0"/>
              <w:jc w:val="center"/>
              <w:rPr>
                <w:rFonts w:ascii="Arial Narrow" w:hAnsi="Arial Narrow"/>
                <w:b/>
                <w:snapToGrid/>
                <w:sz w:val="20"/>
              </w:rPr>
            </w:pPr>
            <w:r w:rsidRPr="00671D38">
              <w:rPr>
                <w:rFonts w:ascii="Arial Narrow" w:hAnsi="Arial Narrow"/>
                <w:b/>
                <w:snapToGrid/>
                <w:sz w:val="20"/>
              </w:rPr>
              <w:t>Max Quantity</w:t>
            </w:r>
          </w:p>
        </w:tc>
        <w:tc>
          <w:tcPr>
            <w:tcW w:w="2518" w:type="dxa"/>
            <w:tcBorders>
              <w:top w:val="single" w:sz="4" w:space="0" w:color="auto"/>
              <w:left w:val="single" w:sz="4" w:space="0" w:color="auto"/>
              <w:bottom w:val="single" w:sz="4" w:space="0" w:color="auto"/>
              <w:right w:val="single" w:sz="4" w:space="0" w:color="auto"/>
            </w:tcBorders>
            <w:vAlign w:val="center"/>
            <w:hideMark/>
          </w:tcPr>
          <w:p w:rsidR="00BD4572" w:rsidRPr="00671D38" w:rsidRDefault="00BD4572" w:rsidP="001E435F">
            <w:pPr>
              <w:tabs>
                <w:tab w:val="left" w:pos="720"/>
              </w:tabs>
              <w:snapToGrid w:val="0"/>
              <w:jc w:val="center"/>
              <w:rPr>
                <w:rFonts w:ascii="Arial Narrow" w:hAnsi="Arial Narrow"/>
                <w:b/>
                <w:snapToGrid/>
                <w:sz w:val="20"/>
              </w:rPr>
            </w:pPr>
            <w:r w:rsidRPr="00671D38">
              <w:rPr>
                <w:rFonts w:ascii="Arial Narrow" w:hAnsi="Arial Narrow"/>
                <w:b/>
                <w:snapToGrid/>
                <w:sz w:val="20"/>
              </w:rPr>
              <w:t>Ex-manufacturer</w:t>
            </w:r>
          </w:p>
        </w:tc>
        <w:tc>
          <w:tcPr>
            <w:tcW w:w="2018" w:type="dxa"/>
            <w:tcBorders>
              <w:top w:val="single" w:sz="4" w:space="0" w:color="auto"/>
              <w:left w:val="single" w:sz="4" w:space="0" w:color="auto"/>
              <w:bottom w:val="single" w:sz="4" w:space="0" w:color="auto"/>
              <w:right w:val="single" w:sz="4" w:space="0" w:color="auto"/>
            </w:tcBorders>
            <w:vAlign w:val="center"/>
            <w:hideMark/>
          </w:tcPr>
          <w:p w:rsidR="00BD4572" w:rsidRPr="00671D38" w:rsidRDefault="00BD4572" w:rsidP="001E435F">
            <w:pPr>
              <w:tabs>
                <w:tab w:val="left" w:pos="720"/>
              </w:tabs>
              <w:snapToGrid w:val="0"/>
              <w:jc w:val="center"/>
              <w:rPr>
                <w:rFonts w:ascii="Arial Narrow" w:hAnsi="Arial Narrow"/>
                <w:b/>
                <w:snapToGrid/>
                <w:sz w:val="20"/>
              </w:rPr>
            </w:pPr>
            <w:r w:rsidRPr="00671D38">
              <w:rPr>
                <w:rFonts w:ascii="Arial Narrow" w:hAnsi="Arial Narrow"/>
                <w:b/>
                <w:snapToGrid/>
                <w:sz w:val="20"/>
              </w:rPr>
              <w:t>DPMQ</w:t>
            </w:r>
          </w:p>
        </w:tc>
      </w:tr>
      <w:tr w:rsidR="00BD4572" w:rsidRPr="00671D38" w:rsidTr="00F54CDC">
        <w:tc>
          <w:tcPr>
            <w:tcW w:w="1971"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left"/>
              <w:rPr>
                <w:rFonts w:ascii="Arial Narrow" w:hAnsi="Arial Narrow"/>
                <w:snapToGrid/>
                <w:sz w:val="20"/>
              </w:rPr>
            </w:pPr>
            <w:proofErr w:type="spellStart"/>
            <w:r w:rsidRPr="00671D38">
              <w:rPr>
                <w:rFonts w:ascii="Arial Narrow" w:hAnsi="Arial Narrow"/>
                <w:snapToGrid/>
                <w:sz w:val="20"/>
              </w:rPr>
              <w:t>Sitagliptin</w:t>
            </w:r>
            <w:proofErr w:type="spellEnd"/>
            <w:r w:rsidRPr="00671D38">
              <w:rPr>
                <w:rFonts w:ascii="Arial Narrow" w:hAnsi="Arial Narrow"/>
                <w:snapToGrid/>
                <w:sz w:val="20"/>
              </w:rPr>
              <w:t xml:space="preserve"> 100mg</w:t>
            </w:r>
            <w:r w:rsidRPr="00671D38">
              <w:rPr>
                <w:rFonts w:ascii="Arial Narrow" w:hAnsi="Arial Narrow"/>
                <w:snapToGrid/>
                <w:sz w:val="20"/>
                <w:vertAlign w:val="superscript"/>
              </w:rPr>
              <w:t>a</w:t>
            </w:r>
          </w:p>
        </w:tc>
        <w:tc>
          <w:tcPr>
            <w:tcW w:w="1856"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28</w:t>
            </w:r>
          </w:p>
        </w:tc>
        <w:tc>
          <w:tcPr>
            <w:tcW w:w="25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$44.34</w:t>
            </w:r>
          </w:p>
        </w:tc>
        <w:tc>
          <w:tcPr>
            <w:tcW w:w="20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$59.07</w:t>
            </w:r>
          </w:p>
        </w:tc>
      </w:tr>
      <w:tr w:rsidR="00BD4572" w:rsidRPr="00671D38" w:rsidTr="00F54CDC">
        <w:tc>
          <w:tcPr>
            <w:tcW w:w="1971"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left"/>
              <w:rPr>
                <w:rFonts w:ascii="Arial Narrow" w:hAnsi="Arial Narrow"/>
                <w:snapToGrid/>
                <w:sz w:val="20"/>
              </w:rPr>
            </w:pPr>
            <w:proofErr w:type="spellStart"/>
            <w:r w:rsidRPr="00671D38">
              <w:rPr>
                <w:rFonts w:ascii="Arial Narrow" w:hAnsi="Arial Narrow"/>
                <w:snapToGrid/>
                <w:sz w:val="20"/>
              </w:rPr>
              <w:t>Dapagliflozin</w:t>
            </w:r>
            <w:proofErr w:type="spellEnd"/>
            <w:r w:rsidRPr="00671D38">
              <w:rPr>
                <w:rFonts w:ascii="Arial Narrow" w:hAnsi="Arial Narrow"/>
                <w:snapToGrid/>
                <w:sz w:val="20"/>
              </w:rPr>
              <w:t xml:space="preserve"> 10mg</w:t>
            </w:r>
          </w:p>
        </w:tc>
        <w:tc>
          <w:tcPr>
            <w:tcW w:w="1856"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28</w:t>
            </w:r>
          </w:p>
        </w:tc>
        <w:tc>
          <w:tcPr>
            <w:tcW w:w="25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$70.72</w:t>
            </w:r>
          </w:p>
        </w:tc>
        <w:tc>
          <w:tcPr>
            <w:tcW w:w="20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$90.27</w:t>
            </w:r>
          </w:p>
        </w:tc>
      </w:tr>
      <w:tr w:rsidR="00BD4572" w:rsidRPr="00671D38" w:rsidTr="00F54CDC">
        <w:tc>
          <w:tcPr>
            <w:tcW w:w="1971"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left"/>
              <w:rPr>
                <w:rFonts w:ascii="Arial Narrow" w:hAnsi="Arial Narrow"/>
                <w:snapToGrid/>
                <w:sz w:val="20"/>
              </w:rPr>
            </w:pPr>
            <w:proofErr w:type="spellStart"/>
            <w:r w:rsidRPr="00671D38">
              <w:rPr>
                <w:rFonts w:ascii="Arial Narrow" w:hAnsi="Arial Narrow"/>
                <w:snapToGrid/>
                <w:sz w:val="20"/>
              </w:rPr>
              <w:t>Canagliflozin</w:t>
            </w:r>
            <w:proofErr w:type="spellEnd"/>
            <w:r w:rsidRPr="00671D38">
              <w:rPr>
                <w:rFonts w:ascii="Arial Narrow" w:hAnsi="Arial Narrow"/>
                <w:snapToGrid/>
                <w:sz w:val="20"/>
              </w:rPr>
              <w:t xml:space="preserve"> 100mg</w:t>
            </w:r>
          </w:p>
        </w:tc>
        <w:tc>
          <w:tcPr>
            <w:tcW w:w="1856"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30</w:t>
            </w:r>
          </w:p>
        </w:tc>
        <w:tc>
          <w:tcPr>
            <w:tcW w:w="25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$75.97</w:t>
            </w:r>
          </w:p>
        </w:tc>
        <w:tc>
          <w:tcPr>
            <w:tcW w:w="20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$96.48</w:t>
            </w:r>
          </w:p>
        </w:tc>
      </w:tr>
      <w:tr w:rsidR="00BD4572" w:rsidRPr="00671D38" w:rsidTr="00F54CDC">
        <w:tc>
          <w:tcPr>
            <w:tcW w:w="1971"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left"/>
              <w:rPr>
                <w:rFonts w:ascii="Arial Narrow" w:hAnsi="Arial Narrow"/>
                <w:snapToGrid/>
                <w:sz w:val="20"/>
              </w:rPr>
            </w:pPr>
            <w:proofErr w:type="spellStart"/>
            <w:r w:rsidRPr="00671D38">
              <w:rPr>
                <w:rFonts w:ascii="Arial Narrow" w:hAnsi="Arial Narrow"/>
                <w:snapToGrid/>
                <w:sz w:val="20"/>
              </w:rPr>
              <w:t>Canagliflozin</w:t>
            </w:r>
            <w:proofErr w:type="spellEnd"/>
            <w:r w:rsidRPr="00671D38">
              <w:rPr>
                <w:rFonts w:ascii="Arial Narrow" w:hAnsi="Arial Narrow"/>
                <w:snapToGrid/>
                <w:sz w:val="20"/>
              </w:rPr>
              <w:t xml:space="preserve"> 300mg </w:t>
            </w:r>
          </w:p>
        </w:tc>
        <w:tc>
          <w:tcPr>
            <w:tcW w:w="1856"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30</w:t>
            </w:r>
          </w:p>
        </w:tc>
        <w:tc>
          <w:tcPr>
            <w:tcW w:w="25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$75.97</w:t>
            </w:r>
          </w:p>
        </w:tc>
        <w:tc>
          <w:tcPr>
            <w:tcW w:w="20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$96.48</w:t>
            </w:r>
          </w:p>
        </w:tc>
      </w:tr>
      <w:tr w:rsidR="00BD4572" w:rsidRPr="00671D38" w:rsidTr="00F54CDC">
        <w:tc>
          <w:tcPr>
            <w:tcW w:w="1971"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left"/>
              <w:rPr>
                <w:rFonts w:ascii="Arial Narrow" w:hAnsi="Arial Narrow"/>
                <w:snapToGrid/>
                <w:sz w:val="20"/>
              </w:rPr>
            </w:pPr>
            <w:proofErr w:type="spellStart"/>
            <w:r w:rsidRPr="00671D38">
              <w:rPr>
                <w:rFonts w:ascii="Arial Narrow" w:hAnsi="Arial Narrow"/>
                <w:snapToGrid/>
                <w:sz w:val="20"/>
              </w:rPr>
              <w:t>Empagliflozin</w:t>
            </w:r>
            <w:proofErr w:type="spellEnd"/>
            <w:r w:rsidRPr="00671D38">
              <w:rPr>
                <w:rFonts w:ascii="Arial Narrow" w:hAnsi="Arial Narrow"/>
                <w:snapToGrid/>
                <w:sz w:val="20"/>
              </w:rPr>
              <w:t xml:space="preserve"> 10mg </w:t>
            </w:r>
          </w:p>
        </w:tc>
        <w:tc>
          <w:tcPr>
            <w:tcW w:w="1856"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30</w:t>
            </w:r>
          </w:p>
        </w:tc>
        <w:tc>
          <w:tcPr>
            <w:tcW w:w="25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$75.97</w:t>
            </w:r>
          </w:p>
        </w:tc>
        <w:tc>
          <w:tcPr>
            <w:tcW w:w="20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$96.48</w:t>
            </w:r>
          </w:p>
        </w:tc>
      </w:tr>
      <w:tr w:rsidR="00BD4572" w:rsidRPr="00671D38" w:rsidTr="00F54CDC">
        <w:tc>
          <w:tcPr>
            <w:tcW w:w="1971"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left"/>
              <w:rPr>
                <w:rFonts w:ascii="Arial Narrow" w:hAnsi="Arial Narrow"/>
                <w:snapToGrid/>
                <w:sz w:val="20"/>
              </w:rPr>
            </w:pPr>
            <w:proofErr w:type="spellStart"/>
            <w:r w:rsidRPr="00671D38">
              <w:rPr>
                <w:rFonts w:ascii="Arial Narrow" w:hAnsi="Arial Narrow"/>
                <w:snapToGrid/>
                <w:sz w:val="20"/>
              </w:rPr>
              <w:t>Empagliflozin</w:t>
            </w:r>
            <w:proofErr w:type="spellEnd"/>
            <w:r w:rsidRPr="00671D38">
              <w:rPr>
                <w:rFonts w:ascii="Arial Narrow" w:hAnsi="Arial Narrow"/>
                <w:snapToGrid/>
                <w:sz w:val="20"/>
              </w:rPr>
              <w:t xml:space="preserve"> 25mg </w:t>
            </w:r>
          </w:p>
        </w:tc>
        <w:tc>
          <w:tcPr>
            <w:tcW w:w="1856"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30</w:t>
            </w:r>
          </w:p>
        </w:tc>
        <w:tc>
          <w:tcPr>
            <w:tcW w:w="25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$75.97</w:t>
            </w:r>
          </w:p>
        </w:tc>
        <w:tc>
          <w:tcPr>
            <w:tcW w:w="2018" w:type="dxa"/>
            <w:tcBorders>
              <w:top w:val="single" w:sz="4" w:space="0" w:color="auto"/>
              <w:left w:val="single" w:sz="4" w:space="0" w:color="auto"/>
              <w:bottom w:val="single" w:sz="4" w:space="0" w:color="auto"/>
              <w:right w:val="single" w:sz="4" w:space="0" w:color="auto"/>
            </w:tcBorders>
            <w:hideMark/>
          </w:tcPr>
          <w:p w:rsidR="00BD4572" w:rsidRPr="00671D38" w:rsidRDefault="00BD4572" w:rsidP="001E435F">
            <w:pPr>
              <w:tabs>
                <w:tab w:val="left" w:pos="720"/>
              </w:tabs>
              <w:snapToGrid w:val="0"/>
              <w:jc w:val="center"/>
              <w:rPr>
                <w:rFonts w:ascii="Arial Narrow" w:hAnsi="Arial Narrow"/>
                <w:snapToGrid/>
                <w:sz w:val="20"/>
              </w:rPr>
            </w:pPr>
            <w:r w:rsidRPr="00671D38">
              <w:rPr>
                <w:rFonts w:ascii="Arial Narrow" w:hAnsi="Arial Narrow"/>
                <w:snapToGrid/>
                <w:sz w:val="20"/>
              </w:rPr>
              <w:t>$96.48</w:t>
            </w:r>
          </w:p>
        </w:tc>
      </w:tr>
    </w:tbl>
    <w:p w:rsidR="00BD4572" w:rsidRPr="00671D38" w:rsidRDefault="00BD4572" w:rsidP="00F83114">
      <w:pPr>
        <w:snapToGrid w:val="0"/>
        <w:ind w:firstLine="720"/>
        <w:rPr>
          <w:rFonts w:ascii="Arial Narrow" w:hAnsi="Arial Narrow"/>
          <w:snapToGrid/>
          <w:sz w:val="18"/>
          <w:szCs w:val="18"/>
        </w:rPr>
      </w:pPr>
      <w:r w:rsidRPr="00671D38">
        <w:rPr>
          <w:rFonts w:ascii="Arial Narrow" w:hAnsi="Arial Narrow"/>
          <w:snapToGrid/>
          <w:sz w:val="18"/>
          <w:szCs w:val="18"/>
        </w:rPr>
        <w:t>Source: Table D.3, p337 of the submission</w:t>
      </w:r>
    </w:p>
    <w:p w:rsidR="00BD4572" w:rsidRPr="00671D38" w:rsidRDefault="00BD4572" w:rsidP="00F83114">
      <w:pPr>
        <w:snapToGrid w:val="0"/>
        <w:ind w:firstLine="720"/>
        <w:rPr>
          <w:rFonts w:ascii="Arial Narrow" w:hAnsi="Arial Narrow"/>
          <w:snapToGrid/>
          <w:sz w:val="18"/>
          <w:szCs w:val="18"/>
        </w:rPr>
      </w:pPr>
      <w:r w:rsidRPr="00671D38">
        <w:rPr>
          <w:rFonts w:ascii="Arial Narrow" w:hAnsi="Arial Narrow"/>
          <w:snapToGrid/>
          <w:sz w:val="18"/>
          <w:szCs w:val="18"/>
        </w:rPr>
        <w:t>Abbreviations: DPMQ, dispensed price per maximum quantity</w:t>
      </w:r>
    </w:p>
    <w:p w:rsidR="00BD4572" w:rsidRPr="00671D38" w:rsidRDefault="00BD4572" w:rsidP="00F83114">
      <w:pPr>
        <w:snapToGrid w:val="0"/>
        <w:ind w:left="709"/>
        <w:rPr>
          <w:rFonts w:ascii="Arial Narrow" w:hAnsi="Arial Narrow"/>
          <w:snapToGrid/>
          <w:sz w:val="18"/>
          <w:szCs w:val="18"/>
        </w:rPr>
      </w:pPr>
      <w:proofErr w:type="spellStart"/>
      <w:r w:rsidRPr="00671D38">
        <w:rPr>
          <w:rFonts w:ascii="Arial Narrow" w:hAnsi="Arial Narrow"/>
          <w:snapToGrid/>
          <w:sz w:val="18"/>
          <w:szCs w:val="18"/>
          <w:vertAlign w:val="superscript"/>
        </w:rPr>
        <w:t>a</w:t>
      </w:r>
      <w:proofErr w:type="spellEnd"/>
      <w:r w:rsidRPr="00671D38">
        <w:rPr>
          <w:rFonts w:ascii="Arial Narrow" w:hAnsi="Arial Narrow"/>
          <w:snapToGrid/>
          <w:sz w:val="18"/>
          <w:szCs w:val="18"/>
        </w:rPr>
        <w:t xml:space="preserve"> On 1 April 2014, the DPMQ of </w:t>
      </w:r>
      <w:proofErr w:type="spellStart"/>
      <w:r w:rsidRPr="00671D38">
        <w:rPr>
          <w:rFonts w:ascii="Arial Narrow" w:hAnsi="Arial Narrow"/>
          <w:snapToGrid/>
          <w:sz w:val="18"/>
          <w:szCs w:val="18"/>
        </w:rPr>
        <w:t>sitagliptin</w:t>
      </w:r>
      <w:proofErr w:type="spellEnd"/>
      <w:r w:rsidRPr="00671D38">
        <w:rPr>
          <w:rFonts w:ascii="Arial Narrow" w:hAnsi="Arial Narrow"/>
          <w:snapToGrid/>
          <w:sz w:val="18"/>
          <w:szCs w:val="18"/>
        </w:rPr>
        <w:t xml:space="preserve"> was reduced from $90.81 to $59.07 and its restriction revised to remove the requirement that patients be contraindicated or intolerant to a combination of metformin and a sulfonylurea</w:t>
      </w:r>
    </w:p>
    <w:p w:rsidR="00180A86" w:rsidRPr="00671D38" w:rsidRDefault="00180A86" w:rsidP="00782F61">
      <w:pPr>
        <w:widowControl/>
        <w:rPr>
          <w:szCs w:val="22"/>
        </w:rPr>
      </w:pPr>
    </w:p>
    <w:p w:rsidR="001731A2" w:rsidRPr="00F54CDC" w:rsidRDefault="001731A2" w:rsidP="00F54CDC">
      <w:pPr>
        <w:pStyle w:val="ListParagraph"/>
        <w:widowControl/>
        <w:numPr>
          <w:ilvl w:val="1"/>
          <w:numId w:val="20"/>
        </w:numPr>
        <w:rPr>
          <w:szCs w:val="22"/>
        </w:rPr>
      </w:pPr>
      <w:r w:rsidRPr="00F54CDC">
        <w:rPr>
          <w:szCs w:val="22"/>
        </w:rPr>
        <w:t xml:space="preserve">The PBAC considered that, consistent with the approach taken with the other PBS-subsidised </w:t>
      </w:r>
      <w:proofErr w:type="spellStart"/>
      <w:r w:rsidRPr="00F54CDC">
        <w:rPr>
          <w:szCs w:val="22"/>
        </w:rPr>
        <w:t>gliflozins</w:t>
      </w:r>
      <w:proofErr w:type="spellEnd"/>
      <w:r w:rsidRPr="00F54CDC">
        <w:rPr>
          <w:szCs w:val="22"/>
        </w:rPr>
        <w:t xml:space="preserve">, the </w:t>
      </w:r>
      <w:proofErr w:type="spellStart"/>
      <w:r w:rsidRPr="00F54CDC">
        <w:rPr>
          <w:szCs w:val="22"/>
        </w:rPr>
        <w:t>equi</w:t>
      </w:r>
      <w:proofErr w:type="spellEnd"/>
      <w:r w:rsidRPr="00F54CDC">
        <w:rPr>
          <w:szCs w:val="22"/>
        </w:rPr>
        <w:t xml:space="preserve">-effective doses should be: </w:t>
      </w:r>
      <w:proofErr w:type="spellStart"/>
      <w:r w:rsidRPr="00F54CDC">
        <w:rPr>
          <w:szCs w:val="22"/>
        </w:rPr>
        <w:t>empagliflozin</w:t>
      </w:r>
      <w:proofErr w:type="spellEnd"/>
      <w:r w:rsidRPr="00F54CDC">
        <w:rPr>
          <w:szCs w:val="22"/>
        </w:rPr>
        <w:t xml:space="preserve"> 25 mg to </w:t>
      </w:r>
      <w:proofErr w:type="spellStart"/>
      <w:r w:rsidRPr="00F54CDC">
        <w:rPr>
          <w:szCs w:val="22"/>
        </w:rPr>
        <w:t>canagliflozin</w:t>
      </w:r>
      <w:proofErr w:type="spellEnd"/>
      <w:r w:rsidRPr="00F54CDC">
        <w:rPr>
          <w:szCs w:val="22"/>
        </w:rPr>
        <w:t xml:space="preserve"> 300 mg and </w:t>
      </w:r>
      <w:proofErr w:type="spellStart"/>
      <w:r w:rsidRPr="00F54CDC">
        <w:rPr>
          <w:szCs w:val="22"/>
        </w:rPr>
        <w:t>dapagliflozin</w:t>
      </w:r>
      <w:proofErr w:type="spellEnd"/>
      <w:r w:rsidRPr="00F54CDC">
        <w:rPr>
          <w:szCs w:val="22"/>
        </w:rPr>
        <w:t xml:space="preserve"> 10 mg.</w:t>
      </w:r>
    </w:p>
    <w:p w:rsidR="001731A2" w:rsidRPr="00671D38" w:rsidRDefault="001731A2" w:rsidP="00782F61">
      <w:pPr>
        <w:widowControl/>
        <w:rPr>
          <w:szCs w:val="22"/>
        </w:rPr>
      </w:pPr>
    </w:p>
    <w:p w:rsidR="00F83114" w:rsidRPr="000C21DC" w:rsidRDefault="00F83114" w:rsidP="00F83114">
      <w:pPr>
        <w:ind w:left="720" w:hanging="720"/>
        <w:rPr>
          <w:b/>
          <w:szCs w:val="22"/>
        </w:rPr>
      </w:pPr>
      <w:r w:rsidRPr="000C21DC">
        <w:rPr>
          <w:b/>
          <w:szCs w:val="22"/>
        </w:rPr>
        <w:t>Drug c</w:t>
      </w:r>
      <w:r w:rsidR="001003F7" w:rsidRPr="000C21DC">
        <w:rPr>
          <w:b/>
          <w:szCs w:val="22"/>
        </w:rPr>
        <w:t>ost/patient/</w:t>
      </w:r>
      <w:r w:rsidR="009A24B2" w:rsidRPr="000C21DC">
        <w:rPr>
          <w:b/>
          <w:szCs w:val="22"/>
        </w:rPr>
        <w:t>year}; $1173.84</w:t>
      </w:r>
    </w:p>
    <w:p w:rsidR="001737B8" w:rsidRPr="00671D38" w:rsidRDefault="001737B8" w:rsidP="00F4721A">
      <w:pPr>
        <w:widowControl/>
        <w:rPr>
          <w:szCs w:val="22"/>
        </w:rPr>
      </w:pPr>
    </w:p>
    <w:p w:rsidR="00E169E9" w:rsidRPr="00F54CDC" w:rsidRDefault="00E169E9" w:rsidP="00F54CDC">
      <w:pPr>
        <w:pStyle w:val="ListParagraph"/>
        <w:widowControl/>
        <w:numPr>
          <w:ilvl w:val="1"/>
          <w:numId w:val="20"/>
        </w:numPr>
        <w:rPr>
          <w:szCs w:val="22"/>
        </w:rPr>
      </w:pPr>
      <w:r w:rsidRPr="00F54CDC">
        <w:rPr>
          <w:szCs w:val="22"/>
        </w:rPr>
        <w:t xml:space="preserve">The cost per patient per year of </w:t>
      </w:r>
      <w:proofErr w:type="spellStart"/>
      <w:r w:rsidRPr="00F54CDC">
        <w:rPr>
          <w:szCs w:val="22"/>
        </w:rPr>
        <w:t>empagliflozin</w:t>
      </w:r>
      <w:proofErr w:type="spellEnd"/>
      <w:r w:rsidRPr="00F54CDC">
        <w:rPr>
          <w:szCs w:val="22"/>
        </w:rPr>
        <w:t xml:space="preserve"> is $1,173.84. (=$96.48/30×365). This is the same as the drug cost/patient/year for </w:t>
      </w:r>
      <w:proofErr w:type="spellStart"/>
      <w:r w:rsidRPr="00F54CDC">
        <w:rPr>
          <w:szCs w:val="22"/>
        </w:rPr>
        <w:t>canagliflozin</w:t>
      </w:r>
      <w:proofErr w:type="spellEnd"/>
      <w:r w:rsidRPr="00F54CDC">
        <w:rPr>
          <w:szCs w:val="22"/>
        </w:rPr>
        <w:t xml:space="preserve">; for </w:t>
      </w:r>
      <w:proofErr w:type="spellStart"/>
      <w:r w:rsidRPr="00F54CDC">
        <w:rPr>
          <w:szCs w:val="22"/>
        </w:rPr>
        <w:t>dapagliflozin</w:t>
      </w:r>
      <w:proofErr w:type="spellEnd"/>
      <w:r w:rsidRPr="00F54CDC">
        <w:rPr>
          <w:szCs w:val="22"/>
        </w:rPr>
        <w:t xml:space="preserve"> the drug cost/patient/year is $1,260.81; and for </w:t>
      </w:r>
      <w:proofErr w:type="spellStart"/>
      <w:r w:rsidRPr="00F54CDC">
        <w:rPr>
          <w:szCs w:val="22"/>
        </w:rPr>
        <w:t>sitagliptin</w:t>
      </w:r>
      <w:proofErr w:type="spellEnd"/>
      <w:r w:rsidRPr="00F54CDC">
        <w:rPr>
          <w:szCs w:val="22"/>
        </w:rPr>
        <w:t xml:space="preserve"> $770.02. </w:t>
      </w:r>
      <w:r w:rsidRPr="00671D38">
        <w:t xml:space="preserve">The ESC noted that </w:t>
      </w:r>
      <w:proofErr w:type="spellStart"/>
      <w:r w:rsidRPr="00671D38">
        <w:t>empagliflozin</w:t>
      </w:r>
      <w:proofErr w:type="spellEnd"/>
      <w:r w:rsidRPr="00671D38">
        <w:t xml:space="preserve"> has a flat pricing structure for 10 mg and 25 mg, as</w:t>
      </w:r>
      <w:r w:rsidR="001003F7">
        <w:t xml:space="preserve"> for</w:t>
      </w:r>
      <w:r w:rsidRPr="00671D38">
        <w:t xml:space="preserve"> </w:t>
      </w:r>
      <w:proofErr w:type="spellStart"/>
      <w:r w:rsidRPr="00671D38">
        <w:t>canagliflozin</w:t>
      </w:r>
      <w:proofErr w:type="spellEnd"/>
      <w:r w:rsidRPr="00671D38">
        <w:t xml:space="preserve"> </w:t>
      </w:r>
      <w:r w:rsidRPr="00671D38">
        <w:lastRenderedPageBreak/>
        <w:t>100 mg and 300 mg</w:t>
      </w:r>
      <w:r w:rsidR="00691CB6" w:rsidRPr="00671D38">
        <w:t xml:space="preserve">, but unlike </w:t>
      </w:r>
      <w:proofErr w:type="spellStart"/>
      <w:r w:rsidR="00691CB6" w:rsidRPr="00671D38">
        <w:t>canagliflozin</w:t>
      </w:r>
      <w:proofErr w:type="spellEnd"/>
      <w:r w:rsidR="00691CB6" w:rsidRPr="00671D38">
        <w:t xml:space="preserve">, dosing is not </w:t>
      </w:r>
      <w:r w:rsidR="00BF6D0B" w:rsidRPr="00671D38">
        <w:t>dependent</w:t>
      </w:r>
      <w:r w:rsidR="00691CB6" w:rsidRPr="00671D38">
        <w:t xml:space="preserve"> on patient renal function</w:t>
      </w:r>
      <w:r w:rsidRPr="00671D38">
        <w:t xml:space="preserve">. </w:t>
      </w:r>
    </w:p>
    <w:p w:rsidR="007E294E" w:rsidRPr="00671D38" w:rsidRDefault="007E294E" w:rsidP="00F54CDC">
      <w:pPr>
        <w:pStyle w:val="COMBody"/>
      </w:pPr>
    </w:p>
    <w:p w:rsidR="007E294E" w:rsidRPr="00F54CDC" w:rsidRDefault="007E294E" w:rsidP="00F54CDC">
      <w:pPr>
        <w:pStyle w:val="ListParagraph"/>
        <w:widowControl/>
        <w:numPr>
          <w:ilvl w:val="1"/>
          <w:numId w:val="20"/>
        </w:numPr>
        <w:rPr>
          <w:szCs w:val="22"/>
        </w:rPr>
      </w:pPr>
      <w:r w:rsidRPr="00F54CDC">
        <w:rPr>
          <w:szCs w:val="22"/>
        </w:rPr>
        <w:t xml:space="preserve">The PBAC noted that the dose of </w:t>
      </w:r>
      <w:proofErr w:type="spellStart"/>
      <w:r w:rsidRPr="00F54CDC">
        <w:rPr>
          <w:szCs w:val="22"/>
        </w:rPr>
        <w:t>empagliflozin</w:t>
      </w:r>
      <w:proofErr w:type="spellEnd"/>
      <w:r w:rsidRPr="00F54CDC">
        <w:rPr>
          <w:szCs w:val="22"/>
        </w:rPr>
        <w:t xml:space="preserve"> does not need to be adjusted in patients with renal impairment as</w:t>
      </w:r>
      <w:r w:rsidR="001003F7" w:rsidRPr="00F54CDC">
        <w:rPr>
          <w:szCs w:val="22"/>
        </w:rPr>
        <w:t xml:space="preserve"> is the case for </w:t>
      </w:r>
      <w:proofErr w:type="spellStart"/>
      <w:r w:rsidR="001003F7" w:rsidRPr="00F54CDC">
        <w:rPr>
          <w:szCs w:val="22"/>
        </w:rPr>
        <w:t>canagliflozin</w:t>
      </w:r>
      <w:proofErr w:type="spellEnd"/>
      <w:r w:rsidR="001003F7" w:rsidRPr="00F54CDC">
        <w:rPr>
          <w:szCs w:val="22"/>
        </w:rPr>
        <w:t xml:space="preserve">. </w:t>
      </w:r>
      <w:r w:rsidRPr="00F54CDC">
        <w:rPr>
          <w:szCs w:val="22"/>
        </w:rPr>
        <w:t xml:space="preserve">However, under the flat pricing structure proposed, if a patient who is initiated on </w:t>
      </w:r>
      <w:proofErr w:type="spellStart"/>
      <w:r w:rsidRPr="00F54CDC">
        <w:rPr>
          <w:szCs w:val="22"/>
        </w:rPr>
        <w:t>empagliflozin</w:t>
      </w:r>
      <w:proofErr w:type="spellEnd"/>
      <w:r w:rsidRPr="00F54CDC">
        <w:rPr>
          <w:szCs w:val="22"/>
        </w:rPr>
        <w:t xml:space="preserve"> 10 mg once daily has their dose increased to 2 x 10 mg tablets once daily (20 mg in total), then the cost at the ex-manufacturer level would be $0.506 per mg, which is four times the ex-manufacturer per mg cost for obtaining a likely similar response with the 25 mg </w:t>
      </w:r>
      <w:proofErr w:type="spellStart"/>
      <w:r w:rsidRPr="00F54CDC">
        <w:rPr>
          <w:szCs w:val="22"/>
        </w:rPr>
        <w:t>empagliflozin</w:t>
      </w:r>
      <w:proofErr w:type="spellEnd"/>
      <w:r w:rsidRPr="00F54CDC">
        <w:rPr>
          <w:szCs w:val="22"/>
        </w:rPr>
        <w:t xml:space="preserve"> tablet (ex-manufacturer cost of $0.101 per mg). The PBAC considered the financial risk to Government associated with this could be appropriately managed through a risk share arrangement.</w:t>
      </w:r>
    </w:p>
    <w:p w:rsidR="007E294E" w:rsidRPr="00671D38" w:rsidRDefault="007E294E" w:rsidP="007E294E">
      <w:pPr>
        <w:widowControl/>
        <w:spacing w:after="200"/>
        <w:ind w:left="360"/>
        <w:contextualSpacing/>
        <w:rPr>
          <w:szCs w:val="22"/>
        </w:rPr>
      </w:pPr>
    </w:p>
    <w:p w:rsidR="007E294E" w:rsidRPr="00671D38" w:rsidRDefault="007E294E" w:rsidP="007E294E">
      <w:pPr>
        <w:widowControl/>
        <w:spacing w:after="200"/>
        <w:ind w:left="360" w:firstLine="349"/>
        <w:contextualSpacing/>
        <w:rPr>
          <w:i/>
          <w:szCs w:val="22"/>
        </w:rPr>
      </w:pPr>
      <w:r w:rsidRPr="00671D38">
        <w:rPr>
          <w:i/>
          <w:szCs w:val="22"/>
        </w:rPr>
        <w:t>For more detail on PBAC’s view, see section 7 “PBAC outcome”</w:t>
      </w:r>
    </w:p>
    <w:p w:rsidR="007E294E" w:rsidRPr="00671D38" w:rsidRDefault="007E294E" w:rsidP="007E294E">
      <w:pPr>
        <w:widowControl/>
        <w:spacing w:after="200"/>
        <w:ind w:left="360"/>
        <w:contextualSpacing/>
        <w:rPr>
          <w:szCs w:val="22"/>
        </w:rPr>
      </w:pPr>
    </w:p>
    <w:p w:rsidR="00147D6D" w:rsidRPr="00671D38" w:rsidRDefault="00147D6D" w:rsidP="00F4721A">
      <w:pPr>
        <w:outlineLvl w:val="1"/>
        <w:rPr>
          <w:b/>
        </w:rPr>
      </w:pPr>
      <w:bookmarkStart w:id="17" w:name="_Toc386015347"/>
      <w:bookmarkStart w:id="18" w:name="_Toc387851410"/>
      <w:r w:rsidRPr="00671D38">
        <w:rPr>
          <w:b/>
        </w:rPr>
        <w:t>Estimated PBS usage &amp; financial implications</w:t>
      </w:r>
      <w:bookmarkEnd w:id="17"/>
      <w:bookmarkEnd w:id="18"/>
    </w:p>
    <w:p w:rsidR="00147D6D" w:rsidRPr="00671D38" w:rsidRDefault="00147D6D" w:rsidP="00F4721A">
      <w:pPr>
        <w:ind w:left="720" w:hanging="720"/>
        <w:rPr>
          <w:b/>
          <w:szCs w:val="22"/>
        </w:rPr>
      </w:pPr>
    </w:p>
    <w:p w:rsidR="00F83114" w:rsidRPr="00F54CDC" w:rsidRDefault="00147D6D" w:rsidP="00F54CDC">
      <w:pPr>
        <w:pStyle w:val="ListParagraph"/>
        <w:widowControl/>
        <w:numPr>
          <w:ilvl w:val="1"/>
          <w:numId w:val="20"/>
        </w:numPr>
        <w:rPr>
          <w:szCs w:val="22"/>
        </w:rPr>
      </w:pPr>
      <w:r w:rsidRPr="00671D38">
        <w:t xml:space="preserve">This submission </w:t>
      </w:r>
      <w:r w:rsidR="005B5C08" w:rsidRPr="00671D38">
        <w:t>was not</w:t>
      </w:r>
      <w:r w:rsidRPr="00671D38">
        <w:t xml:space="preserve"> considered by DUSC.  </w:t>
      </w:r>
    </w:p>
    <w:p w:rsidR="00F83114" w:rsidRPr="00671D38" w:rsidRDefault="00F83114" w:rsidP="00F54CDC">
      <w:pPr>
        <w:pStyle w:val="COMBody"/>
      </w:pPr>
    </w:p>
    <w:p w:rsidR="00147D6D" w:rsidRPr="00F54CDC" w:rsidRDefault="00147D6D" w:rsidP="00F54CDC">
      <w:pPr>
        <w:pStyle w:val="ListParagraph"/>
        <w:widowControl/>
        <w:numPr>
          <w:ilvl w:val="1"/>
          <w:numId w:val="20"/>
        </w:numPr>
        <w:rPr>
          <w:szCs w:val="22"/>
        </w:rPr>
      </w:pPr>
      <w:r w:rsidRPr="00671D38">
        <w:t xml:space="preserve">A market share approach is used </w:t>
      </w:r>
      <w:r w:rsidR="008371CB" w:rsidRPr="00671D38">
        <w:t xml:space="preserve">by the submission </w:t>
      </w:r>
      <w:r w:rsidRPr="00671D38">
        <w:t xml:space="preserve">to estimate the financial implications of listing </w:t>
      </w:r>
      <w:proofErr w:type="spellStart"/>
      <w:r w:rsidRPr="00671D38">
        <w:t>empagliflozin</w:t>
      </w:r>
      <w:proofErr w:type="spellEnd"/>
      <w:r w:rsidRPr="00671D38">
        <w:t xml:space="preserve">. The submission assumes that the majority of </w:t>
      </w:r>
      <w:proofErr w:type="spellStart"/>
      <w:r w:rsidRPr="00671D38">
        <w:t>empagliflozin’s</w:t>
      </w:r>
      <w:proofErr w:type="spellEnd"/>
      <w:r w:rsidRPr="00671D38">
        <w:t xml:space="preserve"> market share will come from </w:t>
      </w:r>
      <w:proofErr w:type="spellStart"/>
      <w:r w:rsidRPr="00671D38">
        <w:t>canagliflozin</w:t>
      </w:r>
      <w:proofErr w:type="spellEnd"/>
      <w:r w:rsidRPr="00671D38">
        <w:t xml:space="preserve"> and </w:t>
      </w:r>
      <w:proofErr w:type="spellStart"/>
      <w:r w:rsidRPr="00671D38">
        <w:t>dapagliflozin</w:t>
      </w:r>
      <w:proofErr w:type="spellEnd"/>
      <w:r w:rsidRPr="00671D38">
        <w:t xml:space="preserve">. The submission assumes that PBS listing of </w:t>
      </w:r>
      <w:proofErr w:type="spellStart"/>
      <w:r w:rsidRPr="00671D38">
        <w:t>empagliflozin</w:t>
      </w:r>
      <w:proofErr w:type="spellEnd"/>
      <w:r w:rsidRPr="00671D38">
        <w:t xml:space="preserve"> will not increase the overall market for </w:t>
      </w:r>
      <w:proofErr w:type="spellStart"/>
      <w:r w:rsidR="008371CB" w:rsidRPr="00671D38">
        <w:t>gliflozins</w:t>
      </w:r>
      <w:proofErr w:type="spellEnd"/>
      <w:r w:rsidRPr="00671D38">
        <w:t>.</w:t>
      </w:r>
    </w:p>
    <w:p w:rsidR="00147D6D" w:rsidRPr="00671D38" w:rsidRDefault="00147D6D" w:rsidP="00C81668">
      <w:pPr>
        <w:widowControl/>
        <w:spacing w:after="200"/>
        <w:contextualSpacing/>
        <w:jc w:val="left"/>
        <w:rPr>
          <w:szCs w:val="22"/>
        </w:rPr>
      </w:pPr>
    </w:p>
    <w:p w:rsidR="00147D6D" w:rsidRPr="00C05DA8" w:rsidRDefault="00C05DA8" w:rsidP="00F83114">
      <w:pPr>
        <w:ind w:firstLine="709"/>
        <w:rPr>
          <w:rFonts w:ascii="Arial Narrow" w:hAnsi="Arial Narrow"/>
          <w:b/>
          <w:sz w:val="20"/>
          <w:szCs w:val="16"/>
          <w:highlight w:val="black"/>
        </w:rPr>
      </w:pPr>
      <w:r>
        <w:rPr>
          <w:rFonts w:ascii="Arial Narrow" w:hAnsi="Arial Narrow"/>
          <w:b/>
          <w:noProof/>
          <w:color w:val="000000"/>
          <w:sz w:val="20"/>
          <w:szCs w:val="16"/>
          <w:highlight w:val="black"/>
        </w:rPr>
        <w:t>''''''''''''''''''' ''''''' ''''''''' ''''''''''''''''' '''''''''''''''''''''''</w:t>
      </w:r>
    </w:p>
    <w:tbl>
      <w:tblPr>
        <w:tblStyle w:val="TableGrid"/>
        <w:tblW w:w="0" w:type="auto"/>
        <w:tblInd w:w="817" w:type="dxa"/>
        <w:tblLook w:val="04A0" w:firstRow="1" w:lastRow="0" w:firstColumn="1" w:lastColumn="0" w:noHBand="0" w:noVBand="1"/>
      </w:tblPr>
      <w:tblGrid>
        <w:gridCol w:w="1985"/>
        <w:gridCol w:w="1288"/>
        <w:gridCol w:w="1288"/>
        <w:gridCol w:w="1288"/>
        <w:gridCol w:w="1288"/>
        <w:gridCol w:w="1288"/>
      </w:tblGrid>
      <w:tr w:rsidR="00147D6D" w:rsidRPr="00A35DC5" w:rsidTr="001003F7">
        <w:tc>
          <w:tcPr>
            <w:tcW w:w="1985" w:type="dxa"/>
            <w:tcBorders>
              <w:top w:val="single" w:sz="4" w:space="0" w:color="auto"/>
              <w:left w:val="single" w:sz="4" w:space="0" w:color="auto"/>
              <w:bottom w:val="single" w:sz="4" w:space="0" w:color="auto"/>
              <w:right w:val="single" w:sz="4" w:space="0" w:color="auto"/>
            </w:tcBorders>
            <w:vAlign w:val="center"/>
          </w:tcPr>
          <w:p w:rsidR="00147D6D" w:rsidRPr="00C05DA8" w:rsidRDefault="00147D6D" w:rsidP="00F4721A">
            <w:pPr>
              <w:tabs>
                <w:tab w:val="left" w:pos="720"/>
              </w:tabs>
              <w:jc w:val="left"/>
              <w:rPr>
                <w:rFonts w:ascii="Arial Narrow" w:eastAsia="Calibri" w:hAnsi="Arial Narrow"/>
                <w:b/>
                <w:sz w:val="20"/>
                <w:lang w:eastAsia="en-AU"/>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 '''</w:t>
            </w:r>
          </w:p>
        </w:tc>
      </w:tr>
      <w:tr w:rsidR="00147D6D" w:rsidRPr="00A35DC5" w:rsidTr="001003F7">
        <w:tc>
          <w:tcPr>
            <w:tcW w:w="8425" w:type="dxa"/>
            <w:gridSpan w:val="6"/>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left"/>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 ''''''''''''' ''''' '''''''</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sz w:val="20"/>
                <w:highlight w:val="black"/>
                <w:vertAlign w:val="superscript"/>
                <w:lang w:eastAsia="en-AU"/>
              </w:rPr>
            </w:pPr>
            <w:r>
              <w:rPr>
                <w:rFonts w:ascii="Arial Narrow" w:eastAsia="Calibri" w:hAnsi="Arial Narrow"/>
                <w:noProof/>
                <w:color w:val="000000"/>
                <w:sz w:val="20"/>
                <w:highlight w:val="black"/>
                <w:lang w:eastAsia="en-AU"/>
              </w:rPr>
              <w:t xml:space="preserve">'''''''''''''''''''''''' '''''''''''''''' ''''''''''''''''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 xml:space="preserve">'''''''''''''''' ''''' '''''''''''''''''' ''''''''''''''''''''''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sz w:val="20"/>
                <w:highlight w:val="black"/>
                <w:vertAlign w:val="superscript"/>
                <w:lang w:eastAsia="en-AU"/>
              </w:rPr>
            </w:pPr>
            <w:r>
              <w:rPr>
                <w:rFonts w:ascii="Arial Narrow" w:eastAsia="Calibri" w:hAnsi="Arial Narrow"/>
                <w:noProof/>
                <w:color w:val="000000"/>
                <w:sz w:val="20"/>
                <w:highlight w:val="black"/>
                <w:lang w:eastAsia="en-AU"/>
              </w:rPr>
              <w:t xml:space="preserve">''''''''''''''''''' ''''' '''''''''' ''''''''''''''''''' '''''''''''''''' </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 xml:space="preserve">''''''''''''''''''' '''' ''''''''''''''''''''''''''''''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 '''''''''''''''''''''''''''''''''' '''''''''''''''</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r>
      <w:tr w:rsidR="00147D6D" w:rsidRPr="00A35DC5" w:rsidTr="001003F7">
        <w:tc>
          <w:tcPr>
            <w:tcW w:w="8425" w:type="dxa"/>
            <w:gridSpan w:val="6"/>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sz w:val="20"/>
                <w:highlight w:val="black"/>
                <w:lang w:eastAsia="en-AU"/>
              </w:rPr>
            </w:pPr>
            <w:r>
              <w:rPr>
                <w:rFonts w:ascii="Arial Narrow" w:eastAsia="Calibri" w:hAnsi="Arial Narrow"/>
                <w:b/>
                <w:noProof/>
                <w:color w:val="000000"/>
                <w:sz w:val="20"/>
                <w:highlight w:val="black"/>
                <w:lang w:eastAsia="en-AU"/>
              </w:rPr>
              <w:t>'''''''''''''''''''''' ''''''' '''''''''' '''' ''''''''' ''''''''''' '''''''''''''' ''''''''''''''''''''''''''''''</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 ''''''''' '''''''''''''</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52E5B">
            <w:pPr>
              <w:tabs>
                <w:tab w:val="left" w:pos="720"/>
              </w:tabs>
              <w:jc w:val="left"/>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 ''''''''''''''''''''''''''' '''''''''' '''''''''''''''' '''''''''''''''''''''''</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sz w:val="20"/>
                <w:highlight w:val="black"/>
                <w:lang w:eastAsia="en-AU"/>
              </w:rPr>
            </w:pPr>
            <w:r>
              <w:rPr>
                <w:rFonts w:ascii="Arial Narrow" w:eastAsia="Calibri" w:hAnsi="Arial Narrow"/>
                <w:noProof/>
                <w:color w:val="000000"/>
                <w:sz w:val="20"/>
                <w:highlight w:val="black"/>
                <w:lang w:eastAsia="en-AU"/>
              </w:rPr>
              <w:t>'''''''''''''''''''''''''''''</w:t>
            </w:r>
          </w:p>
        </w:tc>
      </w:tr>
      <w:tr w:rsidR="00147D6D" w:rsidRPr="00A35DC5" w:rsidTr="001003F7">
        <w:tc>
          <w:tcPr>
            <w:tcW w:w="1985"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left"/>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 '''''''''''</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w:t>
            </w:r>
          </w:p>
        </w:tc>
        <w:tc>
          <w:tcPr>
            <w:tcW w:w="1288" w:type="dxa"/>
            <w:tcBorders>
              <w:top w:val="single" w:sz="4" w:space="0" w:color="auto"/>
              <w:left w:val="single" w:sz="4" w:space="0" w:color="auto"/>
              <w:bottom w:val="single" w:sz="4" w:space="0" w:color="auto"/>
              <w:right w:val="single" w:sz="4" w:space="0" w:color="auto"/>
            </w:tcBorders>
            <w:hideMark/>
          </w:tcPr>
          <w:p w:rsidR="00147D6D" w:rsidRPr="00C05DA8" w:rsidRDefault="00C05DA8" w:rsidP="00F4721A">
            <w:pPr>
              <w:tabs>
                <w:tab w:val="left" w:pos="720"/>
              </w:tabs>
              <w:jc w:val="center"/>
              <w:rPr>
                <w:rFonts w:ascii="Arial Narrow" w:eastAsia="Calibri" w:hAnsi="Arial Narrow"/>
                <w:b/>
                <w:sz w:val="20"/>
                <w:highlight w:val="black"/>
                <w:lang w:eastAsia="en-AU"/>
              </w:rPr>
            </w:pPr>
            <w:r>
              <w:rPr>
                <w:rFonts w:ascii="Arial Narrow" w:eastAsia="Calibri" w:hAnsi="Arial Narrow"/>
                <w:b/>
                <w:noProof/>
                <w:color w:val="000000"/>
                <w:sz w:val="20"/>
                <w:highlight w:val="black"/>
                <w:lang w:eastAsia="en-AU"/>
              </w:rPr>
              <w:t>'''''''''''''''''''</w:t>
            </w:r>
          </w:p>
        </w:tc>
      </w:tr>
    </w:tbl>
    <w:p w:rsidR="00147D6D" w:rsidRPr="00C05DA8" w:rsidRDefault="00C05DA8" w:rsidP="00F83114">
      <w:pPr>
        <w:ind w:firstLine="709"/>
        <w:rPr>
          <w:rFonts w:ascii="Arial Narrow" w:hAnsi="Arial Narrow"/>
          <w:sz w:val="18"/>
          <w:highlight w:val="black"/>
        </w:rPr>
      </w:pPr>
      <w:r>
        <w:rPr>
          <w:rFonts w:ascii="Arial Narrow" w:hAnsi="Arial Narrow"/>
          <w:noProof/>
          <w:color w:val="000000"/>
          <w:sz w:val="18"/>
          <w:highlight w:val="black"/>
        </w:rPr>
        <w:t>'''''''''''''''''' ''''''''''''''''''''''''''''''''' '''''''''''''''''' '''' ''''''''''''' '''''''''''' '''''''''''''' ''''''''''''''''''''''</w:t>
      </w:r>
      <w:r w:rsidR="00147D6D" w:rsidRPr="00C05DA8">
        <w:rPr>
          <w:rFonts w:ascii="Arial Narrow" w:hAnsi="Arial Narrow"/>
          <w:sz w:val="18"/>
          <w:highlight w:val="black"/>
        </w:rPr>
        <w:t xml:space="preserve"> </w:t>
      </w:r>
    </w:p>
    <w:p w:rsidR="00147D6D" w:rsidRPr="00671D38" w:rsidRDefault="00147D6D" w:rsidP="00F4721A">
      <w:pPr>
        <w:widowControl/>
        <w:rPr>
          <w:szCs w:val="22"/>
        </w:rPr>
      </w:pPr>
    </w:p>
    <w:p w:rsidR="00691CB6" w:rsidRPr="00F54CDC" w:rsidRDefault="00CD52BA" w:rsidP="00F54CDC">
      <w:pPr>
        <w:pStyle w:val="ListParagraph"/>
        <w:widowControl/>
        <w:numPr>
          <w:ilvl w:val="1"/>
          <w:numId w:val="20"/>
        </w:numPr>
        <w:rPr>
          <w:szCs w:val="22"/>
        </w:rPr>
      </w:pPr>
      <w:r w:rsidRPr="00F54CDC">
        <w:rPr>
          <w:iCs/>
        </w:rPr>
        <w:t xml:space="preserve">As </w:t>
      </w:r>
      <w:proofErr w:type="spellStart"/>
      <w:r w:rsidRPr="00F54CDC">
        <w:rPr>
          <w:iCs/>
        </w:rPr>
        <w:t>canagliflozin</w:t>
      </w:r>
      <w:proofErr w:type="spellEnd"/>
      <w:r w:rsidRPr="00F54CDC">
        <w:rPr>
          <w:iCs/>
        </w:rPr>
        <w:t xml:space="preserve"> and </w:t>
      </w:r>
      <w:proofErr w:type="spellStart"/>
      <w:r w:rsidRPr="00F54CDC">
        <w:rPr>
          <w:iCs/>
        </w:rPr>
        <w:t>dapagliflozin</w:t>
      </w:r>
      <w:proofErr w:type="spellEnd"/>
      <w:r w:rsidRPr="00F54CDC">
        <w:rPr>
          <w:iCs/>
        </w:rPr>
        <w:t xml:space="preserve"> were PBS listed in Decembe</w:t>
      </w:r>
      <w:r w:rsidR="00736226" w:rsidRPr="00F54CDC">
        <w:rPr>
          <w:iCs/>
        </w:rPr>
        <w:t>r 2013, the submission estimated</w:t>
      </w:r>
      <w:r w:rsidRPr="00F54CDC">
        <w:rPr>
          <w:iCs/>
        </w:rPr>
        <w:t xml:space="preserve"> the market for </w:t>
      </w:r>
      <w:proofErr w:type="spellStart"/>
      <w:r w:rsidR="008371CB" w:rsidRPr="00F54CDC">
        <w:rPr>
          <w:iCs/>
        </w:rPr>
        <w:t>gliflozins</w:t>
      </w:r>
      <w:proofErr w:type="spellEnd"/>
      <w:r w:rsidRPr="00F54CDC">
        <w:rPr>
          <w:iCs/>
        </w:rPr>
        <w:t xml:space="preserve"> based on the market for</w:t>
      </w:r>
      <w:r w:rsidR="001003F7" w:rsidRPr="00F54CDC">
        <w:rPr>
          <w:iCs/>
        </w:rPr>
        <w:t xml:space="preserve"> </w:t>
      </w:r>
      <w:proofErr w:type="spellStart"/>
      <w:r w:rsidR="008371CB" w:rsidRPr="00F54CDC">
        <w:rPr>
          <w:iCs/>
        </w:rPr>
        <w:t>gliptins</w:t>
      </w:r>
      <w:proofErr w:type="spellEnd"/>
      <w:r w:rsidRPr="00F54CDC">
        <w:rPr>
          <w:iCs/>
        </w:rPr>
        <w:t>. The submission assume</w:t>
      </w:r>
      <w:r w:rsidR="00736226" w:rsidRPr="00F54CDC">
        <w:rPr>
          <w:iCs/>
        </w:rPr>
        <w:t>d</w:t>
      </w:r>
      <w:r w:rsidRPr="00F54CDC">
        <w:rPr>
          <w:iCs/>
        </w:rPr>
        <w:t xml:space="preserve"> that </w:t>
      </w:r>
      <w:proofErr w:type="spellStart"/>
      <w:r w:rsidRPr="00F54CDC">
        <w:rPr>
          <w:iCs/>
        </w:rPr>
        <w:t>canagliflozin</w:t>
      </w:r>
      <w:proofErr w:type="spellEnd"/>
      <w:r w:rsidRPr="00F54CDC">
        <w:rPr>
          <w:iCs/>
        </w:rPr>
        <w:t xml:space="preserve"> and </w:t>
      </w:r>
      <w:proofErr w:type="spellStart"/>
      <w:r w:rsidRPr="00F54CDC">
        <w:rPr>
          <w:iCs/>
        </w:rPr>
        <w:t>dapagliflozin</w:t>
      </w:r>
      <w:proofErr w:type="spellEnd"/>
      <w:r w:rsidRPr="00F54CDC">
        <w:rPr>
          <w:iCs/>
        </w:rPr>
        <w:t xml:space="preserve"> will substitute for </w:t>
      </w:r>
      <w:r w:rsidR="00C05DA8">
        <w:rPr>
          <w:iCs/>
          <w:noProof/>
          <w:color w:val="000000"/>
          <w:highlight w:val="black"/>
        </w:rPr>
        <w:t xml:space="preserve">'''''''''' </w:t>
      </w:r>
      <w:r w:rsidRPr="00F54CDC">
        <w:rPr>
          <w:iCs/>
        </w:rPr>
        <w:t xml:space="preserve">of the DPP-4 inhibitor market in Year 5 of listing </w:t>
      </w:r>
      <w:proofErr w:type="spellStart"/>
      <w:r w:rsidRPr="00F54CDC">
        <w:rPr>
          <w:iCs/>
        </w:rPr>
        <w:t>empagliflozin</w:t>
      </w:r>
      <w:proofErr w:type="spellEnd"/>
      <w:r w:rsidRPr="00F54CDC">
        <w:rPr>
          <w:iCs/>
        </w:rPr>
        <w:t>. This estimate is highly uncertain and appears optimistic, as the DPP-4 inhibitors are an established class of drugs.</w:t>
      </w:r>
      <w:r w:rsidR="00691CB6" w:rsidRPr="00F54CDC">
        <w:rPr>
          <w:iCs/>
        </w:rPr>
        <w:t xml:space="preserve"> </w:t>
      </w:r>
    </w:p>
    <w:p w:rsidR="00F83114" w:rsidRPr="00671D38" w:rsidRDefault="00F83114" w:rsidP="00F54CDC">
      <w:pPr>
        <w:pStyle w:val="COMBody"/>
      </w:pPr>
    </w:p>
    <w:p w:rsidR="001F32D4" w:rsidRPr="00F54CDC" w:rsidRDefault="00736226" w:rsidP="00F54CDC">
      <w:pPr>
        <w:pStyle w:val="ListParagraph"/>
        <w:widowControl/>
        <w:numPr>
          <w:ilvl w:val="1"/>
          <w:numId w:val="20"/>
        </w:numPr>
        <w:rPr>
          <w:szCs w:val="22"/>
        </w:rPr>
      </w:pPr>
      <w:r w:rsidRPr="00F54CDC">
        <w:rPr>
          <w:iCs/>
        </w:rPr>
        <w:t>The ESC noted that g</w:t>
      </w:r>
      <w:r w:rsidR="00CD52BA" w:rsidRPr="00F54CDC">
        <w:rPr>
          <w:iCs/>
        </w:rPr>
        <w:t xml:space="preserve">iven </w:t>
      </w:r>
      <w:proofErr w:type="spellStart"/>
      <w:r w:rsidR="00BF6D0B" w:rsidRPr="00F54CDC">
        <w:rPr>
          <w:iCs/>
        </w:rPr>
        <w:t>canagliflozin</w:t>
      </w:r>
      <w:proofErr w:type="spellEnd"/>
      <w:r w:rsidR="00CD52BA" w:rsidRPr="00F54CDC">
        <w:rPr>
          <w:iCs/>
        </w:rPr>
        <w:t xml:space="preserve"> and </w:t>
      </w:r>
      <w:proofErr w:type="spellStart"/>
      <w:r w:rsidR="00CD52BA" w:rsidRPr="00F54CDC">
        <w:rPr>
          <w:iCs/>
        </w:rPr>
        <w:t>dapagliflozin</w:t>
      </w:r>
      <w:proofErr w:type="spellEnd"/>
      <w:r w:rsidR="00CD52BA" w:rsidRPr="00F54CDC">
        <w:rPr>
          <w:iCs/>
        </w:rPr>
        <w:t xml:space="preserve"> are yet to establish their market share, it </w:t>
      </w:r>
      <w:r w:rsidR="002D1AC8" w:rsidRPr="00F54CDC">
        <w:rPr>
          <w:iCs/>
        </w:rPr>
        <w:t xml:space="preserve">may be more appropriate to assume a </w:t>
      </w:r>
      <w:r w:rsidR="00BF6D0B" w:rsidRPr="00F54CDC">
        <w:rPr>
          <w:iCs/>
        </w:rPr>
        <w:t xml:space="preserve">more </w:t>
      </w:r>
      <w:r w:rsidR="002D1AC8" w:rsidRPr="00F54CDC">
        <w:rPr>
          <w:iCs/>
        </w:rPr>
        <w:t xml:space="preserve">substantial proportion of </w:t>
      </w:r>
      <w:proofErr w:type="spellStart"/>
      <w:r w:rsidR="002D1AC8" w:rsidRPr="00F54CDC">
        <w:rPr>
          <w:iCs/>
        </w:rPr>
        <w:t>empagliflozin</w:t>
      </w:r>
      <w:proofErr w:type="spellEnd"/>
      <w:r w:rsidR="002D1AC8" w:rsidRPr="00F54CDC">
        <w:rPr>
          <w:iCs/>
        </w:rPr>
        <w:t xml:space="preserve"> uptake from the </w:t>
      </w:r>
      <w:proofErr w:type="spellStart"/>
      <w:r w:rsidR="008371CB" w:rsidRPr="00F54CDC">
        <w:rPr>
          <w:iCs/>
        </w:rPr>
        <w:t>gliptins</w:t>
      </w:r>
      <w:proofErr w:type="spellEnd"/>
      <w:r w:rsidR="002D1AC8" w:rsidRPr="00F54CDC">
        <w:rPr>
          <w:iCs/>
        </w:rPr>
        <w:t xml:space="preserve"> rather than </w:t>
      </w:r>
      <w:proofErr w:type="spellStart"/>
      <w:r w:rsidR="002D1AC8" w:rsidRPr="00F54CDC">
        <w:rPr>
          <w:iCs/>
        </w:rPr>
        <w:t>canagliflozin</w:t>
      </w:r>
      <w:proofErr w:type="spellEnd"/>
      <w:r w:rsidR="002D1AC8" w:rsidRPr="00F54CDC">
        <w:rPr>
          <w:iCs/>
        </w:rPr>
        <w:t xml:space="preserve"> and </w:t>
      </w:r>
      <w:proofErr w:type="spellStart"/>
      <w:r w:rsidR="002D1AC8" w:rsidRPr="00F54CDC">
        <w:rPr>
          <w:iCs/>
        </w:rPr>
        <w:t>dapagliflozin</w:t>
      </w:r>
      <w:proofErr w:type="spellEnd"/>
      <w:r w:rsidR="00CD52BA" w:rsidRPr="00F54CDC">
        <w:rPr>
          <w:iCs/>
        </w:rPr>
        <w:t>.</w:t>
      </w:r>
      <w:r w:rsidR="009F28D9" w:rsidRPr="00F54CDC">
        <w:rPr>
          <w:iCs/>
        </w:rPr>
        <w:t xml:space="preserve"> </w:t>
      </w:r>
    </w:p>
    <w:p w:rsidR="001737B8" w:rsidRPr="00671D38" w:rsidRDefault="001737B8" w:rsidP="00F54CDC">
      <w:pPr>
        <w:pStyle w:val="COMBody"/>
      </w:pPr>
    </w:p>
    <w:p w:rsidR="00691CB6" w:rsidRPr="00F54CDC" w:rsidRDefault="001F32D4" w:rsidP="00F54CDC">
      <w:pPr>
        <w:pStyle w:val="ListParagraph"/>
        <w:widowControl/>
        <w:numPr>
          <w:ilvl w:val="1"/>
          <w:numId w:val="20"/>
        </w:numPr>
        <w:rPr>
          <w:szCs w:val="22"/>
        </w:rPr>
      </w:pPr>
      <w:r w:rsidRPr="00671D38">
        <w:lastRenderedPageBreak/>
        <w:t xml:space="preserve">The ESC considered that </w:t>
      </w:r>
      <w:r w:rsidR="000F2776" w:rsidRPr="00671D38">
        <w:t xml:space="preserve">the </w:t>
      </w:r>
      <w:r w:rsidRPr="00671D38">
        <w:t xml:space="preserve">market </w:t>
      </w:r>
      <w:r w:rsidR="000F2776" w:rsidRPr="00671D38">
        <w:t xml:space="preserve">uptake </w:t>
      </w:r>
      <w:r w:rsidRPr="00671D38">
        <w:t xml:space="preserve">of </w:t>
      </w:r>
      <w:proofErr w:type="spellStart"/>
      <w:r w:rsidR="009B0EDD" w:rsidRPr="00671D38">
        <w:t>empagliflozin</w:t>
      </w:r>
      <w:proofErr w:type="spellEnd"/>
      <w:r w:rsidR="009B0EDD" w:rsidRPr="00671D38">
        <w:t xml:space="preserve"> was</w:t>
      </w:r>
      <w:r w:rsidR="000F2776" w:rsidRPr="00671D38">
        <w:t xml:space="preserve"> currently difficult to estimate </w:t>
      </w:r>
      <w:r w:rsidR="009B0EDD" w:rsidRPr="00671D38">
        <w:t xml:space="preserve">because </w:t>
      </w:r>
      <w:proofErr w:type="spellStart"/>
      <w:r w:rsidR="009B0EDD" w:rsidRPr="00671D38">
        <w:t>canagliflozin</w:t>
      </w:r>
      <w:proofErr w:type="spellEnd"/>
      <w:r w:rsidRPr="00F54CDC">
        <w:rPr>
          <w:iCs/>
        </w:rPr>
        <w:t xml:space="preserve"> and </w:t>
      </w:r>
      <w:proofErr w:type="spellStart"/>
      <w:r w:rsidRPr="00F54CDC">
        <w:rPr>
          <w:iCs/>
        </w:rPr>
        <w:t>dapagliflozin</w:t>
      </w:r>
      <w:proofErr w:type="spellEnd"/>
      <w:r w:rsidRPr="00F54CDC">
        <w:rPr>
          <w:iCs/>
        </w:rPr>
        <w:t xml:space="preserve"> were newly PBS listed (December 2013) and the recent </w:t>
      </w:r>
      <w:r w:rsidRPr="00F54CDC">
        <w:rPr>
          <w:szCs w:val="22"/>
        </w:rPr>
        <w:t>amend</w:t>
      </w:r>
      <w:r w:rsidR="000F2776" w:rsidRPr="00F54CDC">
        <w:rPr>
          <w:szCs w:val="22"/>
        </w:rPr>
        <w:t>ment</w:t>
      </w:r>
      <w:r w:rsidRPr="00F54CDC">
        <w:rPr>
          <w:szCs w:val="22"/>
        </w:rPr>
        <w:t xml:space="preserve"> to the PBS restrictions of </w:t>
      </w:r>
      <w:proofErr w:type="spellStart"/>
      <w:r w:rsidRPr="00F54CDC">
        <w:rPr>
          <w:szCs w:val="22"/>
        </w:rPr>
        <w:t>gliptins</w:t>
      </w:r>
      <w:proofErr w:type="spellEnd"/>
      <w:r w:rsidRPr="00F54CDC">
        <w:rPr>
          <w:szCs w:val="22"/>
        </w:rPr>
        <w:t xml:space="preserve"> took effect </w:t>
      </w:r>
      <w:r w:rsidR="000F2776" w:rsidRPr="00F54CDC">
        <w:rPr>
          <w:szCs w:val="22"/>
        </w:rPr>
        <w:t>o</w:t>
      </w:r>
      <w:r w:rsidRPr="00F54CDC">
        <w:rPr>
          <w:szCs w:val="22"/>
        </w:rPr>
        <w:t xml:space="preserve">n </w:t>
      </w:r>
      <w:r w:rsidR="008371CB" w:rsidRPr="00F54CDC">
        <w:rPr>
          <w:szCs w:val="22"/>
        </w:rPr>
        <w:t xml:space="preserve">1 </w:t>
      </w:r>
      <w:r w:rsidRPr="00F54CDC">
        <w:rPr>
          <w:szCs w:val="22"/>
        </w:rPr>
        <w:t xml:space="preserve">April 2014. Overall, the ESC considered </w:t>
      </w:r>
      <w:r w:rsidR="009F28D9" w:rsidRPr="00671D38">
        <w:t xml:space="preserve">adding another </w:t>
      </w:r>
      <w:proofErr w:type="spellStart"/>
      <w:r w:rsidR="009F28D9" w:rsidRPr="00671D38">
        <w:t>gliflozin</w:t>
      </w:r>
      <w:proofErr w:type="spellEnd"/>
      <w:r w:rsidR="009F28D9" w:rsidRPr="00671D38">
        <w:t xml:space="preserve"> on the PBS </w:t>
      </w:r>
      <w:r w:rsidRPr="00671D38">
        <w:t>was unlikely</w:t>
      </w:r>
      <w:r w:rsidR="009F28D9" w:rsidRPr="00671D38">
        <w:t xml:space="preserve"> </w:t>
      </w:r>
      <w:r w:rsidRPr="00671D38">
        <w:t xml:space="preserve">to </w:t>
      </w:r>
      <w:r w:rsidR="009F28D9" w:rsidRPr="00671D38">
        <w:t xml:space="preserve">increase the substitution of a </w:t>
      </w:r>
      <w:proofErr w:type="spellStart"/>
      <w:r w:rsidR="00BF6D0B" w:rsidRPr="00671D38">
        <w:t>gliptin</w:t>
      </w:r>
      <w:proofErr w:type="spellEnd"/>
      <w:r w:rsidR="009F28D9" w:rsidRPr="00671D38">
        <w:t xml:space="preserve"> to a </w:t>
      </w:r>
      <w:proofErr w:type="spellStart"/>
      <w:r w:rsidR="009F28D9" w:rsidRPr="00671D38">
        <w:t>gliflozin</w:t>
      </w:r>
      <w:proofErr w:type="spellEnd"/>
      <w:r w:rsidRPr="00671D38">
        <w:t xml:space="preserve">, and any risk would be mitigated by a risk share agreement. </w:t>
      </w:r>
      <w:r w:rsidR="009F28D9" w:rsidRPr="00671D38">
        <w:t xml:space="preserve"> </w:t>
      </w:r>
    </w:p>
    <w:p w:rsidR="00691CB6" w:rsidRPr="00671D38" w:rsidRDefault="00691CB6" w:rsidP="00691CB6">
      <w:pPr>
        <w:widowControl/>
        <w:spacing w:after="200"/>
        <w:contextualSpacing/>
        <w:rPr>
          <w:i/>
        </w:rPr>
      </w:pPr>
    </w:p>
    <w:p w:rsidR="00691CB6" w:rsidRPr="00671D38" w:rsidRDefault="00691CB6" w:rsidP="00691CB6">
      <w:pPr>
        <w:outlineLvl w:val="1"/>
        <w:rPr>
          <w:b/>
          <w:szCs w:val="22"/>
        </w:rPr>
      </w:pPr>
      <w:bookmarkStart w:id="19" w:name="_Toc386015349"/>
      <w:bookmarkStart w:id="20" w:name="_Toc387851412"/>
      <w:r w:rsidRPr="00671D38">
        <w:rPr>
          <w:b/>
        </w:rPr>
        <w:t>Financial Management – Risk Sharing Arrangements</w:t>
      </w:r>
      <w:bookmarkEnd w:id="19"/>
      <w:bookmarkEnd w:id="20"/>
    </w:p>
    <w:p w:rsidR="00691CB6" w:rsidRPr="00671D38" w:rsidRDefault="00691CB6" w:rsidP="00F54CDC">
      <w:pPr>
        <w:pStyle w:val="COMBody"/>
      </w:pPr>
    </w:p>
    <w:p w:rsidR="00086810" w:rsidRPr="00F54CDC" w:rsidRDefault="00147D6D" w:rsidP="00F54CDC">
      <w:pPr>
        <w:pStyle w:val="ListParagraph"/>
        <w:widowControl/>
        <w:numPr>
          <w:ilvl w:val="1"/>
          <w:numId w:val="20"/>
        </w:numPr>
        <w:rPr>
          <w:szCs w:val="22"/>
        </w:rPr>
      </w:pPr>
      <w:r w:rsidRPr="00671D38">
        <w:t>At the July 2013 meeting, the PBAC recommended that a risk share arrangement</w:t>
      </w:r>
      <w:r w:rsidR="00C0627F" w:rsidRPr="00671D38">
        <w:t xml:space="preserve"> (RSA)</w:t>
      </w:r>
      <w:r w:rsidRPr="00671D38">
        <w:t xml:space="preserve"> should be put in place for </w:t>
      </w:r>
      <w:proofErr w:type="spellStart"/>
      <w:r w:rsidRPr="00671D38">
        <w:t>canagliflozin</w:t>
      </w:r>
      <w:proofErr w:type="spellEnd"/>
      <w:r w:rsidRPr="00671D38">
        <w:t xml:space="preserve"> and </w:t>
      </w:r>
      <w:proofErr w:type="spellStart"/>
      <w:r w:rsidRPr="00671D38">
        <w:t>dapagliflozin</w:t>
      </w:r>
      <w:proofErr w:type="spellEnd"/>
      <w:r w:rsidRPr="00671D38">
        <w:t xml:space="preserve">, “in order to manage the risk of possible usage outside the third line setting proposed by the sponsor” (July 2013 Public Summary Documents for </w:t>
      </w:r>
      <w:proofErr w:type="spellStart"/>
      <w:r w:rsidRPr="00671D38">
        <w:t>dapagliflozin</w:t>
      </w:r>
      <w:proofErr w:type="spellEnd"/>
      <w:r w:rsidRPr="00671D38">
        <w:t xml:space="preserve"> and for </w:t>
      </w:r>
      <w:proofErr w:type="spellStart"/>
      <w:r w:rsidRPr="00671D38">
        <w:t>canagliflozin</w:t>
      </w:r>
      <w:proofErr w:type="spellEnd"/>
      <w:r w:rsidRPr="00671D38">
        <w:t xml:space="preserve">). The Public Summary Documents state that any other </w:t>
      </w:r>
      <w:proofErr w:type="spellStart"/>
      <w:r w:rsidR="00C0627F" w:rsidRPr="00671D38">
        <w:t>gliflozin</w:t>
      </w:r>
      <w:proofErr w:type="spellEnd"/>
      <w:r w:rsidRPr="00671D38">
        <w:t xml:space="preserve"> listed on the PBS for use in the third line setting should be required to join the same </w:t>
      </w:r>
      <w:r w:rsidR="00C0627F" w:rsidRPr="00671D38">
        <w:t>RSA</w:t>
      </w:r>
      <w:r w:rsidRPr="00671D38">
        <w:t>.  </w:t>
      </w:r>
      <w:r w:rsidR="009F28D9" w:rsidRPr="00F54CDC">
        <w:rPr>
          <w:rFonts w:eastAsia="Calibri"/>
          <w:lang w:eastAsia="en-AU"/>
        </w:rPr>
        <w:t xml:space="preserve">The ESC noted that the </w:t>
      </w:r>
      <w:r w:rsidR="0030681D" w:rsidRPr="00F54CDC">
        <w:rPr>
          <w:rFonts w:eastAsia="Calibri"/>
          <w:lang w:eastAsia="en-AU"/>
        </w:rPr>
        <w:t>PSCR</w:t>
      </w:r>
      <w:r w:rsidR="009F28D9" w:rsidRPr="00F54CDC">
        <w:rPr>
          <w:rFonts w:eastAsia="Calibri"/>
          <w:lang w:eastAsia="en-AU"/>
        </w:rPr>
        <w:t xml:space="preserve"> (p4) states that it accepts </w:t>
      </w:r>
      <w:r w:rsidR="0030681D" w:rsidRPr="00F54CDC">
        <w:rPr>
          <w:rFonts w:eastAsia="Calibri"/>
          <w:lang w:eastAsia="en-AU"/>
        </w:rPr>
        <w:t xml:space="preserve">that the sponsor will enter </w:t>
      </w:r>
      <w:r w:rsidR="009F28D9" w:rsidRPr="00F54CDC">
        <w:rPr>
          <w:rFonts w:eastAsia="Calibri"/>
          <w:lang w:eastAsia="en-AU"/>
        </w:rPr>
        <w:t xml:space="preserve">the existing risk share arrangement of </w:t>
      </w:r>
      <w:proofErr w:type="spellStart"/>
      <w:r w:rsidR="009F28D9" w:rsidRPr="00F54CDC">
        <w:rPr>
          <w:rFonts w:eastAsia="Calibri"/>
          <w:lang w:eastAsia="en-AU"/>
        </w:rPr>
        <w:t>dapagliflozin</w:t>
      </w:r>
      <w:proofErr w:type="spellEnd"/>
      <w:r w:rsidR="009F28D9" w:rsidRPr="00F54CDC">
        <w:rPr>
          <w:rFonts w:eastAsia="Calibri"/>
          <w:lang w:eastAsia="en-AU"/>
        </w:rPr>
        <w:t xml:space="preserve"> and </w:t>
      </w:r>
      <w:proofErr w:type="spellStart"/>
      <w:r w:rsidR="009F28D9" w:rsidRPr="00F54CDC">
        <w:rPr>
          <w:rFonts w:eastAsia="Calibri"/>
          <w:lang w:eastAsia="en-AU"/>
        </w:rPr>
        <w:t>canagliflozin</w:t>
      </w:r>
      <w:proofErr w:type="spellEnd"/>
      <w:r w:rsidR="009F28D9" w:rsidRPr="00F54CDC">
        <w:rPr>
          <w:rFonts w:eastAsia="Calibri"/>
          <w:lang w:eastAsia="en-AU"/>
        </w:rPr>
        <w:t>.</w:t>
      </w:r>
    </w:p>
    <w:p w:rsidR="00F54CDC" w:rsidRPr="00F54CDC" w:rsidRDefault="00F54CDC" w:rsidP="00F54CDC">
      <w:pPr>
        <w:widowControl/>
        <w:rPr>
          <w:szCs w:val="22"/>
        </w:rPr>
      </w:pPr>
    </w:p>
    <w:p w:rsidR="00782F61" w:rsidRPr="00F54CDC" w:rsidRDefault="003B7E0E" w:rsidP="00F54CDC">
      <w:pPr>
        <w:pStyle w:val="ListParagraph"/>
        <w:widowControl/>
        <w:numPr>
          <w:ilvl w:val="1"/>
          <w:numId w:val="20"/>
        </w:numPr>
        <w:rPr>
          <w:szCs w:val="22"/>
        </w:rPr>
      </w:pPr>
      <w:r w:rsidRPr="00671D38">
        <w:t xml:space="preserve">The PBAC noted </w:t>
      </w:r>
      <w:r w:rsidR="0089198B" w:rsidRPr="00671D38">
        <w:t>the shifting</w:t>
      </w:r>
      <w:r w:rsidRPr="00F54CDC">
        <w:rPr>
          <w:szCs w:val="22"/>
        </w:rPr>
        <w:t xml:space="preserve"> PBS-subsidised treatment algorithm for Type II diabetes mellitus</w:t>
      </w:r>
      <w:r w:rsidR="0089198B" w:rsidRPr="00671D38">
        <w:t xml:space="preserve"> and that the </w:t>
      </w:r>
      <w:proofErr w:type="spellStart"/>
      <w:r w:rsidR="0089198B" w:rsidRPr="00671D38">
        <w:t>gliflozins</w:t>
      </w:r>
      <w:proofErr w:type="spellEnd"/>
      <w:r w:rsidR="0089198B" w:rsidRPr="00671D38">
        <w:t xml:space="preserve"> are yet to establish their market share</w:t>
      </w:r>
      <w:r w:rsidR="001003F7">
        <w:t xml:space="preserve"> and true clinical place</w:t>
      </w:r>
      <w:r w:rsidR="00980CAF" w:rsidRPr="00671D38">
        <w:t>.</w:t>
      </w:r>
      <w:r w:rsidR="00736226" w:rsidRPr="00671D38">
        <w:t xml:space="preserve"> The PBAC further noted</w:t>
      </w:r>
      <w:r w:rsidR="00980CAF" w:rsidRPr="00671D38">
        <w:t xml:space="preserve"> that </w:t>
      </w:r>
      <w:r w:rsidR="00C0627F" w:rsidRPr="00671D38">
        <w:t xml:space="preserve">the shift of the </w:t>
      </w:r>
      <w:proofErr w:type="spellStart"/>
      <w:r w:rsidR="00C0627F" w:rsidRPr="00671D38">
        <w:t>gliptins</w:t>
      </w:r>
      <w:proofErr w:type="spellEnd"/>
      <w:r w:rsidR="00C0627F" w:rsidRPr="00671D38">
        <w:t xml:space="preserve"> to</w:t>
      </w:r>
      <w:r w:rsidR="00980CAF" w:rsidRPr="00671D38">
        <w:t xml:space="preserve"> the second-line setting</w:t>
      </w:r>
      <w:r w:rsidR="00C0627F" w:rsidRPr="00671D38">
        <w:t xml:space="preserve"> for subsidy purposes is expected to reduce the potential number of patients eligible for treatment with PBS subsidised third-line treatments, </w:t>
      </w:r>
      <w:r w:rsidR="00980CAF" w:rsidRPr="00671D38">
        <w:t>and thereby require</w:t>
      </w:r>
      <w:r w:rsidR="00C0627F" w:rsidRPr="00671D38">
        <w:t>s</w:t>
      </w:r>
      <w:r w:rsidR="00980CAF" w:rsidRPr="00671D38">
        <w:t xml:space="preserve"> a re-evaluation of the cap</w:t>
      </w:r>
      <w:r w:rsidR="00C0627F" w:rsidRPr="00671D38">
        <w:t>s</w:t>
      </w:r>
      <w:r w:rsidR="00980CAF" w:rsidRPr="00671D38">
        <w:t xml:space="preserve"> </w:t>
      </w:r>
      <w:r w:rsidR="00C0627F" w:rsidRPr="00671D38">
        <w:t>i</w:t>
      </w:r>
      <w:r w:rsidR="00980CAF" w:rsidRPr="00671D38">
        <w:t>n the existing RSA.</w:t>
      </w:r>
    </w:p>
    <w:p w:rsidR="00D24BED" w:rsidRPr="00671D38" w:rsidRDefault="00980CAF" w:rsidP="00FC2823">
      <w:pPr>
        <w:pStyle w:val="ListParagraph"/>
        <w:rPr>
          <w:szCs w:val="22"/>
        </w:rPr>
      </w:pPr>
      <w:r w:rsidRPr="00671D38">
        <w:t xml:space="preserve"> </w:t>
      </w:r>
    </w:p>
    <w:p w:rsidR="00F83114" w:rsidRDefault="00F83114" w:rsidP="00F83114">
      <w:pPr>
        <w:pStyle w:val="ListParagraph"/>
        <w:ind w:left="709"/>
        <w:rPr>
          <w:i/>
          <w:szCs w:val="22"/>
        </w:rPr>
      </w:pPr>
      <w:r w:rsidRPr="00671D38">
        <w:rPr>
          <w:i/>
          <w:szCs w:val="22"/>
        </w:rPr>
        <w:t xml:space="preserve">For </w:t>
      </w:r>
      <w:r w:rsidR="00C2756B" w:rsidRPr="00671D38">
        <w:rPr>
          <w:i/>
          <w:szCs w:val="22"/>
        </w:rPr>
        <w:t xml:space="preserve">more detail on </w:t>
      </w:r>
      <w:r w:rsidRPr="00671D38">
        <w:rPr>
          <w:i/>
          <w:szCs w:val="22"/>
        </w:rPr>
        <w:t>PBAC’s view, see section 7 “PBAC outcome”</w:t>
      </w:r>
    </w:p>
    <w:p w:rsidR="00422BA6" w:rsidRPr="00671D38" w:rsidRDefault="00422BA6" w:rsidP="00F83114">
      <w:pPr>
        <w:pStyle w:val="ListParagraph"/>
        <w:ind w:left="709"/>
        <w:rPr>
          <w:i/>
          <w:szCs w:val="22"/>
        </w:rPr>
      </w:pPr>
    </w:p>
    <w:p w:rsidR="00F54CDC" w:rsidRPr="00407F2D" w:rsidRDefault="00F54CDC" w:rsidP="00F54CDC">
      <w:pPr>
        <w:pStyle w:val="ListParagraph"/>
        <w:widowControl/>
        <w:numPr>
          <w:ilvl w:val="0"/>
          <w:numId w:val="20"/>
        </w:numPr>
        <w:rPr>
          <w:b/>
          <w:szCs w:val="22"/>
        </w:rPr>
      </w:pPr>
      <w:r w:rsidRPr="00407F2D">
        <w:rPr>
          <w:b/>
          <w:szCs w:val="22"/>
        </w:rPr>
        <w:t xml:space="preserve">PBAC Outcome </w:t>
      </w:r>
    </w:p>
    <w:p w:rsidR="00F83114" w:rsidRPr="00671D38" w:rsidRDefault="00F83114" w:rsidP="0089198B">
      <w:pPr>
        <w:widowControl/>
        <w:rPr>
          <w:szCs w:val="22"/>
        </w:rPr>
      </w:pPr>
    </w:p>
    <w:p w:rsidR="00782F61" w:rsidRPr="00F54CDC" w:rsidRDefault="00F83114" w:rsidP="00F54CDC">
      <w:pPr>
        <w:pStyle w:val="ListParagraph"/>
        <w:widowControl/>
        <w:numPr>
          <w:ilvl w:val="1"/>
          <w:numId w:val="20"/>
        </w:numPr>
        <w:rPr>
          <w:szCs w:val="22"/>
        </w:rPr>
      </w:pPr>
      <w:r w:rsidRPr="00F54CDC">
        <w:rPr>
          <w:szCs w:val="22"/>
        </w:rPr>
        <w:t>The P</w:t>
      </w:r>
      <w:r w:rsidR="003B7E0E" w:rsidRPr="00F54CDC">
        <w:rPr>
          <w:szCs w:val="22"/>
        </w:rPr>
        <w:t xml:space="preserve">BAC recommended the </w:t>
      </w:r>
      <w:r w:rsidR="00506244" w:rsidRPr="00F54CDC">
        <w:rPr>
          <w:szCs w:val="22"/>
        </w:rPr>
        <w:t xml:space="preserve">Authority </w:t>
      </w:r>
      <w:r w:rsidR="001F4388" w:rsidRPr="00F54CDC">
        <w:rPr>
          <w:szCs w:val="22"/>
        </w:rPr>
        <w:t>required</w:t>
      </w:r>
      <w:r w:rsidR="00506244" w:rsidRPr="00F54CDC">
        <w:rPr>
          <w:szCs w:val="22"/>
        </w:rPr>
        <w:t xml:space="preserve"> </w:t>
      </w:r>
      <w:r w:rsidR="003B7E0E" w:rsidRPr="00F54CDC">
        <w:rPr>
          <w:szCs w:val="22"/>
        </w:rPr>
        <w:t xml:space="preserve">listing of </w:t>
      </w:r>
      <w:proofErr w:type="spellStart"/>
      <w:r w:rsidR="003B7E0E" w:rsidRPr="00F54CDC">
        <w:rPr>
          <w:szCs w:val="22"/>
        </w:rPr>
        <w:t>empagliflozin</w:t>
      </w:r>
      <w:proofErr w:type="spellEnd"/>
      <w:r w:rsidRPr="00F54CDC">
        <w:rPr>
          <w:szCs w:val="22"/>
        </w:rPr>
        <w:t xml:space="preserve"> </w:t>
      </w:r>
      <w:r w:rsidR="003B7E0E" w:rsidRPr="00F54CDC">
        <w:rPr>
          <w:szCs w:val="22"/>
        </w:rPr>
        <w:t xml:space="preserve">for the </w:t>
      </w:r>
      <w:r w:rsidR="001319DF" w:rsidRPr="00F54CDC">
        <w:rPr>
          <w:szCs w:val="22"/>
        </w:rPr>
        <w:t xml:space="preserve">third-line </w:t>
      </w:r>
      <w:r w:rsidR="003B7E0E" w:rsidRPr="00F54CDC">
        <w:rPr>
          <w:szCs w:val="22"/>
        </w:rPr>
        <w:t xml:space="preserve">treatment of Type II diabetes </w:t>
      </w:r>
      <w:r w:rsidR="001E1EA9" w:rsidRPr="00671D38">
        <w:t>in combination with metformin or a sulfonylurea</w:t>
      </w:r>
      <w:r w:rsidR="006F06AC" w:rsidRPr="00671D38">
        <w:t>.</w:t>
      </w:r>
    </w:p>
    <w:p w:rsidR="007E294E" w:rsidRPr="00671D38" w:rsidRDefault="007E294E" w:rsidP="007E294E">
      <w:pPr>
        <w:pStyle w:val="ListParagraph"/>
        <w:widowControl/>
        <w:ind w:left="709"/>
        <w:rPr>
          <w:szCs w:val="22"/>
        </w:rPr>
      </w:pPr>
    </w:p>
    <w:p w:rsidR="007E294E" w:rsidRPr="00F54CDC" w:rsidRDefault="007E294E" w:rsidP="00F54CDC">
      <w:pPr>
        <w:pStyle w:val="ListParagraph"/>
        <w:widowControl/>
        <w:numPr>
          <w:ilvl w:val="1"/>
          <w:numId w:val="20"/>
        </w:numPr>
        <w:rPr>
          <w:szCs w:val="22"/>
        </w:rPr>
      </w:pPr>
      <w:r w:rsidRPr="00F54CDC">
        <w:rPr>
          <w:szCs w:val="22"/>
        </w:rPr>
        <w:t xml:space="preserve">The PBAC considered, among other matters, that the cost-effectiveness of </w:t>
      </w:r>
      <w:proofErr w:type="spellStart"/>
      <w:r w:rsidRPr="00F54CDC">
        <w:rPr>
          <w:szCs w:val="22"/>
        </w:rPr>
        <w:t>empagliflozin</w:t>
      </w:r>
      <w:proofErr w:type="spellEnd"/>
      <w:r w:rsidRPr="00F54CDC">
        <w:rPr>
          <w:szCs w:val="22"/>
        </w:rPr>
        <w:t xml:space="preserve"> would </w:t>
      </w:r>
      <w:r w:rsidR="00781C4D" w:rsidRPr="00F54CDC">
        <w:rPr>
          <w:szCs w:val="22"/>
        </w:rPr>
        <w:t xml:space="preserve">in its assessment </w:t>
      </w:r>
      <w:r w:rsidRPr="00F54CDC">
        <w:rPr>
          <w:szCs w:val="22"/>
        </w:rPr>
        <w:t xml:space="preserve">be acceptable if it were cost-minimised against </w:t>
      </w:r>
      <w:proofErr w:type="spellStart"/>
      <w:r w:rsidRPr="00F54CDC">
        <w:rPr>
          <w:szCs w:val="22"/>
        </w:rPr>
        <w:t>dapagliflozin</w:t>
      </w:r>
      <w:proofErr w:type="spellEnd"/>
      <w:r w:rsidRPr="00F54CDC">
        <w:rPr>
          <w:szCs w:val="22"/>
        </w:rPr>
        <w:t xml:space="preserve"> and </w:t>
      </w:r>
      <w:proofErr w:type="spellStart"/>
      <w:r w:rsidRPr="00F54CDC">
        <w:rPr>
          <w:szCs w:val="22"/>
        </w:rPr>
        <w:t>canagliflozin</w:t>
      </w:r>
      <w:proofErr w:type="spellEnd"/>
      <w:r w:rsidRPr="00F54CDC">
        <w:rPr>
          <w:szCs w:val="22"/>
        </w:rPr>
        <w:t xml:space="preserve"> in terms of effectiveness</w:t>
      </w:r>
      <w:r w:rsidR="00781C4D" w:rsidRPr="00F54CDC">
        <w:rPr>
          <w:szCs w:val="22"/>
        </w:rPr>
        <w:t>,</w:t>
      </w:r>
      <w:r w:rsidRPr="00F54CDC">
        <w:rPr>
          <w:szCs w:val="22"/>
        </w:rPr>
        <w:t xml:space="preserve"> and </w:t>
      </w:r>
      <w:proofErr w:type="spellStart"/>
      <w:r w:rsidRPr="00F54CDC">
        <w:rPr>
          <w:szCs w:val="22"/>
        </w:rPr>
        <w:t>dapagliflozin</w:t>
      </w:r>
      <w:proofErr w:type="spellEnd"/>
      <w:r w:rsidRPr="00F54CDC">
        <w:rPr>
          <w:szCs w:val="22"/>
        </w:rPr>
        <w:t xml:space="preserve"> in terms of safety</w:t>
      </w:r>
      <w:r w:rsidR="00781C4D" w:rsidRPr="00F54CDC">
        <w:rPr>
          <w:szCs w:val="22"/>
        </w:rPr>
        <w:t>,</w:t>
      </w:r>
      <w:r w:rsidRPr="00F54CDC">
        <w:rPr>
          <w:szCs w:val="22"/>
        </w:rPr>
        <w:t xml:space="preserve"> and the measures below were implemented to contain risks associated with the cost of the drug to the PBS:</w:t>
      </w:r>
    </w:p>
    <w:p w:rsidR="007E294E" w:rsidRPr="00671D38" w:rsidRDefault="007E294E" w:rsidP="004B6219">
      <w:pPr>
        <w:pStyle w:val="ListParagraph"/>
        <w:widowControl/>
        <w:numPr>
          <w:ilvl w:val="0"/>
          <w:numId w:val="8"/>
        </w:numPr>
        <w:rPr>
          <w:szCs w:val="22"/>
        </w:rPr>
      </w:pPr>
      <w:proofErr w:type="spellStart"/>
      <w:r w:rsidRPr="00671D38">
        <w:rPr>
          <w:szCs w:val="22"/>
        </w:rPr>
        <w:t>Empagliflozin</w:t>
      </w:r>
      <w:proofErr w:type="spellEnd"/>
      <w:r w:rsidRPr="00671D38">
        <w:rPr>
          <w:szCs w:val="22"/>
        </w:rPr>
        <w:t xml:space="preserve"> should join the same risk share as </w:t>
      </w:r>
      <w:r w:rsidR="004B6219" w:rsidRPr="00671D38">
        <w:rPr>
          <w:szCs w:val="22"/>
        </w:rPr>
        <w:t xml:space="preserve">the other third-line PBS subsidised </w:t>
      </w:r>
      <w:proofErr w:type="spellStart"/>
      <w:r w:rsidR="004B6219" w:rsidRPr="00671D38">
        <w:rPr>
          <w:szCs w:val="22"/>
        </w:rPr>
        <w:t>gliflozins</w:t>
      </w:r>
      <w:proofErr w:type="spellEnd"/>
      <w:r w:rsidR="004B6219" w:rsidRPr="00671D38">
        <w:rPr>
          <w:szCs w:val="22"/>
        </w:rPr>
        <w:t xml:space="preserve">, noting that re-evaluation of the caps in the existing RSA is required following the shift of the </w:t>
      </w:r>
      <w:proofErr w:type="spellStart"/>
      <w:r w:rsidR="004B6219" w:rsidRPr="00671D38">
        <w:rPr>
          <w:szCs w:val="22"/>
        </w:rPr>
        <w:t>gliptins</w:t>
      </w:r>
      <w:proofErr w:type="spellEnd"/>
      <w:r w:rsidR="004B6219" w:rsidRPr="00671D38">
        <w:rPr>
          <w:szCs w:val="22"/>
        </w:rPr>
        <w:t xml:space="preserve"> to the second-line setting for subsidy purposes, and the potential for the Government to incur additional costs should patients received 2 x 10 mg </w:t>
      </w:r>
      <w:proofErr w:type="spellStart"/>
      <w:r w:rsidR="004B6219" w:rsidRPr="00671D38">
        <w:rPr>
          <w:szCs w:val="22"/>
        </w:rPr>
        <w:t>empagliflozin</w:t>
      </w:r>
      <w:proofErr w:type="spellEnd"/>
      <w:r w:rsidR="004B6219" w:rsidRPr="00671D38">
        <w:rPr>
          <w:szCs w:val="22"/>
        </w:rPr>
        <w:t xml:space="preserve"> tablets in place of 1 x 25 mg tablet.</w:t>
      </w:r>
    </w:p>
    <w:p w:rsidR="007E294E" w:rsidRPr="00671D38" w:rsidRDefault="007E294E" w:rsidP="00782F61">
      <w:pPr>
        <w:pStyle w:val="ListParagraph"/>
        <w:widowControl/>
        <w:ind w:left="709"/>
        <w:rPr>
          <w:szCs w:val="22"/>
        </w:rPr>
      </w:pPr>
    </w:p>
    <w:p w:rsidR="00601DB8" w:rsidRPr="00F54CDC" w:rsidRDefault="006F06AC" w:rsidP="00F54CDC">
      <w:pPr>
        <w:pStyle w:val="ListParagraph"/>
        <w:widowControl/>
        <w:numPr>
          <w:ilvl w:val="1"/>
          <w:numId w:val="20"/>
        </w:numPr>
        <w:rPr>
          <w:szCs w:val="22"/>
        </w:rPr>
      </w:pPr>
      <w:r w:rsidRPr="00F54CDC">
        <w:rPr>
          <w:szCs w:val="22"/>
        </w:rPr>
        <w:t xml:space="preserve">The </w:t>
      </w:r>
      <w:proofErr w:type="spellStart"/>
      <w:r w:rsidRPr="00F54CDC">
        <w:rPr>
          <w:szCs w:val="22"/>
        </w:rPr>
        <w:t>equi</w:t>
      </w:r>
      <w:proofErr w:type="spellEnd"/>
      <w:r w:rsidRPr="00F54CDC">
        <w:rPr>
          <w:szCs w:val="22"/>
        </w:rPr>
        <w:t xml:space="preserve">-effective doses are </w:t>
      </w:r>
      <w:proofErr w:type="spellStart"/>
      <w:r w:rsidRPr="00F54CDC">
        <w:rPr>
          <w:szCs w:val="22"/>
        </w:rPr>
        <w:t>empagliflozin</w:t>
      </w:r>
      <w:proofErr w:type="spellEnd"/>
      <w:r w:rsidRPr="00F54CDC">
        <w:rPr>
          <w:szCs w:val="22"/>
        </w:rPr>
        <w:t xml:space="preserve"> 25 mg to </w:t>
      </w:r>
      <w:proofErr w:type="spellStart"/>
      <w:r w:rsidRPr="00F54CDC">
        <w:rPr>
          <w:szCs w:val="22"/>
        </w:rPr>
        <w:t>canagliflozin</w:t>
      </w:r>
      <w:proofErr w:type="spellEnd"/>
      <w:r w:rsidRPr="00F54CDC">
        <w:rPr>
          <w:szCs w:val="22"/>
        </w:rPr>
        <w:t xml:space="preserve"> 300 mg and </w:t>
      </w:r>
      <w:proofErr w:type="spellStart"/>
      <w:r w:rsidRPr="00F54CDC">
        <w:rPr>
          <w:szCs w:val="22"/>
        </w:rPr>
        <w:t>dapagliflozin</w:t>
      </w:r>
      <w:proofErr w:type="spellEnd"/>
      <w:r w:rsidRPr="00F54CDC">
        <w:rPr>
          <w:szCs w:val="22"/>
        </w:rPr>
        <w:t xml:space="preserve"> 10 mg</w:t>
      </w:r>
      <w:r w:rsidR="002F65BA" w:rsidRPr="00F54CDC">
        <w:rPr>
          <w:szCs w:val="22"/>
        </w:rPr>
        <w:t>.</w:t>
      </w:r>
    </w:p>
    <w:p w:rsidR="00601DB8" w:rsidRPr="00671D38" w:rsidRDefault="00601DB8" w:rsidP="00601DB8">
      <w:pPr>
        <w:pStyle w:val="ListParagraph"/>
        <w:rPr>
          <w:szCs w:val="22"/>
        </w:rPr>
      </w:pPr>
    </w:p>
    <w:p w:rsidR="00F83114" w:rsidRPr="00F54CDC" w:rsidRDefault="00D679EF" w:rsidP="00F54CDC">
      <w:pPr>
        <w:pStyle w:val="ListParagraph"/>
        <w:widowControl/>
        <w:numPr>
          <w:ilvl w:val="1"/>
          <w:numId w:val="20"/>
        </w:numPr>
        <w:rPr>
          <w:szCs w:val="22"/>
        </w:rPr>
      </w:pPr>
      <w:r w:rsidRPr="00F54CDC">
        <w:rPr>
          <w:szCs w:val="22"/>
        </w:rPr>
        <w:t xml:space="preserve">The PBAC recommended that the PBS restriction of </w:t>
      </w:r>
      <w:proofErr w:type="spellStart"/>
      <w:r w:rsidRPr="00F54CDC">
        <w:rPr>
          <w:szCs w:val="22"/>
        </w:rPr>
        <w:t>empagliflozin</w:t>
      </w:r>
      <w:proofErr w:type="spellEnd"/>
      <w:r w:rsidRPr="00F54CDC">
        <w:rPr>
          <w:szCs w:val="22"/>
        </w:rPr>
        <w:t xml:space="preserve"> should be </w:t>
      </w:r>
      <w:r w:rsidR="001319DF" w:rsidRPr="00F54CDC">
        <w:rPr>
          <w:szCs w:val="22"/>
        </w:rPr>
        <w:t xml:space="preserve">the same as </w:t>
      </w:r>
      <w:r w:rsidRPr="00F54CDC">
        <w:rPr>
          <w:szCs w:val="22"/>
        </w:rPr>
        <w:t xml:space="preserve">the current </w:t>
      </w:r>
      <w:r w:rsidR="001319DF" w:rsidRPr="00F54CDC">
        <w:rPr>
          <w:szCs w:val="22"/>
        </w:rPr>
        <w:t xml:space="preserve">restriction for </w:t>
      </w:r>
      <w:proofErr w:type="spellStart"/>
      <w:r w:rsidRPr="00F54CDC">
        <w:rPr>
          <w:szCs w:val="22"/>
        </w:rPr>
        <w:t>dapagliflozin</w:t>
      </w:r>
      <w:proofErr w:type="spellEnd"/>
      <w:r w:rsidRPr="00F54CDC">
        <w:rPr>
          <w:szCs w:val="22"/>
        </w:rPr>
        <w:t xml:space="preserve"> and </w:t>
      </w:r>
      <w:proofErr w:type="spellStart"/>
      <w:r w:rsidRPr="00F54CDC">
        <w:rPr>
          <w:szCs w:val="22"/>
        </w:rPr>
        <w:t>canagliflozin</w:t>
      </w:r>
      <w:proofErr w:type="spellEnd"/>
      <w:r w:rsidR="001975DA" w:rsidRPr="00F54CDC">
        <w:rPr>
          <w:szCs w:val="22"/>
        </w:rPr>
        <w:t xml:space="preserve">.  Subject to any issue raised by the sponsor, the PBS restriction of </w:t>
      </w:r>
      <w:proofErr w:type="spellStart"/>
      <w:r w:rsidR="001975DA" w:rsidRPr="00F54CDC">
        <w:rPr>
          <w:szCs w:val="22"/>
        </w:rPr>
        <w:t>empagliflozin</w:t>
      </w:r>
      <w:proofErr w:type="spellEnd"/>
      <w:r w:rsidR="001975DA" w:rsidRPr="00F54CDC">
        <w:rPr>
          <w:szCs w:val="22"/>
        </w:rPr>
        <w:t xml:space="preserve"> </w:t>
      </w:r>
      <w:r w:rsidR="00886D8B" w:rsidRPr="00F54CDC">
        <w:rPr>
          <w:szCs w:val="22"/>
        </w:rPr>
        <w:t xml:space="preserve">should also be </w:t>
      </w:r>
      <w:r w:rsidR="001975DA" w:rsidRPr="00F54CDC">
        <w:rPr>
          <w:szCs w:val="22"/>
        </w:rPr>
        <w:t>amended in accordance with any change</w:t>
      </w:r>
      <w:r w:rsidR="00174FEA" w:rsidRPr="00F54CDC">
        <w:rPr>
          <w:szCs w:val="22"/>
        </w:rPr>
        <w:t>s</w:t>
      </w:r>
      <w:r w:rsidR="001975DA" w:rsidRPr="00F54CDC">
        <w:rPr>
          <w:szCs w:val="22"/>
        </w:rPr>
        <w:t xml:space="preserve"> to the </w:t>
      </w:r>
      <w:r w:rsidR="00886D8B" w:rsidRPr="00F54CDC">
        <w:rPr>
          <w:szCs w:val="22"/>
        </w:rPr>
        <w:t>restriction</w:t>
      </w:r>
      <w:r w:rsidR="00671D38" w:rsidRPr="00F54CDC">
        <w:rPr>
          <w:szCs w:val="22"/>
        </w:rPr>
        <w:t>s</w:t>
      </w:r>
      <w:r w:rsidR="00886D8B" w:rsidRPr="00F54CDC">
        <w:rPr>
          <w:szCs w:val="22"/>
        </w:rPr>
        <w:t xml:space="preserve"> </w:t>
      </w:r>
      <w:r w:rsidR="001975DA" w:rsidRPr="00F54CDC">
        <w:rPr>
          <w:szCs w:val="22"/>
        </w:rPr>
        <w:t xml:space="preserve">for </w:t>
      </w:r>
      <w:proofErr w:type="spellStart"/>
      <w:r w:rsidR="001975DA" w:rsidRPr="00F54CDC">
        <w:rPr>
          <w:szCs w:val="22"/>
        </w:rPr>
        <w:t>dapagliflozin</w:t>
      </w:r>
      <w:proofErr w:type="spellEnd"/>
      <w:r w:rsidR="001975DA" w:rsidRPr="00F54CDC">
        <w:rPr>
          <w:szCs w:val="22"/>
        </w:rPr>
        <w:t xml:space="preserve"> and </w:t>
      </w:r>
      <w:proofErr w:type="spellStart"/>
      <w:r w:rsidR="001975DA" w:rsidRPr="00F54CDC">
        <w:rPr>
          <w:szCs w:val="22"/>
        </w:rPr>
        <w:t>canagliflozin</w:t>
      </w:r>
      <w:proofErr w:type="spellEnd"/>
      <w:r w:rsidR="001975DA" w:rsidRPr="00F54CDC">
        <w:rPr>
          <w:szCs w:val="22"/>
        </w:rPr>
        <w:t xml:space="preserve"> arising </w:t>
      </w:r>
      <w:r w:rsidR="00886D8B" w:rsidRPr="00F54CDC">
        <w:rPr>
          <w:szCs w:val="22"/>
        </w:rPr>
        <w:t xml:space="preserve">from </w:t>
      </w:r>
      <w:r w:rsidR="001319DF" w:rsidRPr="00F54CDC">
        <w:rPr>
          <w:szCs w:val="22"/>
        </w:rPr>
        <w:t xml:space="preserve">the PBAC’s recommendations in relation to the review of the restrictions for the PBS subsidised third-line treatments for Type II diabetes (see </w:t>
      </w:r>
      <w:r w:rsidR="0003238A" w:rsidRPr="00F54CDC">
        <w:rPr>
          <w:szCs w:val="22"/>
        </w:rPr>
        <w:t>separate agenda item).</w:t>
      </w:r>
    </w:p>
    <w:p w:rsidR="00D9246F" w:rsidRPr="00671D38" w:rsidRDefault="00D9246F" w:rsidP="00D9246F">
      <w:pPr>
        <w:widowControl/>
        <w:rPr>
          <w:szCs w:val="22"/>
        </w:rPr>
      </w:pPr>
    </w:p>
    <w:p w:rsidR="00601DB8" w:rsidRPr="00F54CDC" w:rsidRDefault="00272EB0" w:rsidP="00F54CDC">
      <w:pPr>
        <w:pStyle w:val="ListParagraph"/>
        <w:widowControl/>
        <w:numPr>
          <w:ilvl w:val="1"/>
          <w:numId w:val="20"/>
        </w:numPr>
        <w:rPr>
          <w:szCs w:val="22"/>
        </w:rPr>
      </w:pPr>
      <w:r w:rsidRPr="00F54CDC">
        <w:rPr>
          <w:szCs w:val="22"/>
        </w:rPr>
        <w:lastRenderedPageBreak/>
        <w:t>The PBAC considered the</w:t>
      </w:r>
      <w:r w:rsidR="005D3D23" w:rsidRPr="00F54CDC">
        <w:rPr>
          <w:szCs w:val="22"/>
        </w:rPr>
        <w:t xml:space="preserve"> </w:t>
      </w:r>
      <w:r w:rsidR="00506244" w:rsidRPr="00F54CDC">
        <w:rPr>
          <w:szCs w:val="22"/>
        </w:rPr>
        <w:t xml:space="preserve">choice of </w:t>
      </w:r>
      <w:proofErr w:type="spellStart"/>
      <w:r w:rsidR="00506244" w:rsidRPr="00F54CDC">
        <w:rPr>
          <w:szCs w:val="22"/>
        </w:rPr>
        <w:t>dapaglifloz</w:t>
      </w:r>
      <w:r w:rsidR="00DB3B96" w:rsidRPr="00F54CDC">
        <w:rPr>
          <w:szCs w:val="22"/>
        </w:rPr>
        <w:t>i</w:t>
      </w:r>
      <w:r w:rsidR="00506244" w:rsidRPr="00F54CDC">
        <w:rPr>
          <w:szCs w:val="22"/>
        </w:rPr>
        <w:t>n</w:t>
      </w:r>
      <w:proofErr w:type="spellEnd"/>
      <w:r w:rsidR="00506244" w:rsidRPr="00F54CDC">
        <w:rPr>
          <w:szCs w:val="22"/>
        </w:rPr>
        <w:t xml:space="preserve"> and </w:t>
      </w:r>
      <w:proofErr w:type="spellStart"/>
      <w:r w:rsidR="00506244" w:rsidRPr="00F54CDC">
        <w:rPr>
          <w:szCs w:val="22"/>
        </w:rPr>
        <w:t>canagliflozin</w:t>
      </w:r>
      <w:proofErr w:type="spellEnd"/>
      <w:r w:rsidR="00506244" w:rsidRPr="00F54CDC">
        <w:rPr>
          <w:szCs w:val="22"/>
        </w:rPr>
        <w:t xml:space="preserve"> as </w:t>
      </w:r>
      <w:r w:rsidR="005D3D23" w:rsidRPr="00F54CDC">
        <w:rPr>
          <w:szCs w:val="22"/>
        </w:rPr>
        <w:t>comparators to be reasonable.</w:t>
      </w:r>
    </w:p>
    <w:p w:rsidR="00601DB8" w:rsidRPr="00671D38" w:rsidRDefault="00601DB8" w:rsidP="00601DB8">
      <w:pPr>
        <w:pStyle w:val="ListParagraph"/>
        <w:rPr>
          <w:szCs w:val="22"/>
        </w:rPr>
      </w:pPr>
    </w:p>
    <w:p w:rsidR="00CE2964" w:rsidRPr="00F54CDC" w:rsidRDefault="00A84167" w:rsidP="00F54CDC">
      <w:pPr>
        <w:pStyle w:val="ListParagraph"/>
        <w:widowControl/>
        <w:numPr>
          <w:ilvl w:val="1"/>
          <w:numId w:val="20"/>
        </w:numPr>
        <w:rPr>
          <w:szCs w:val="22"/>
        </w:rPr>
      </w:pPr>
      <w:r w:rsidRPr="00F54CDC">
        <w:rPr>
          <w:szCs w:val="22"/>
        </w:rPr>
        <w:t xml:space="preserve">From the data presented in </w:t>
      </w:r>
      <w:r w:rsidR="00272EB0" w:rsidRPr="00F54CDC">
        <w:rPr>
          <w:szCs w:val="22"/>
        </w:rPr>
        <w:t xml:space="preserve">the indirect analyses comparing </w:t>
      </w:r>
      <w:proofErr w:type="spellStart"/>
      <w:r w:rsidR="00272EB0" w:rsidRPr="00F54CDC">
        <w:rPr>
          <w:szCs w:val="22"/>
        </w:rPr>
        <w:t>empagliflozin</w:t>
      </w:r>
      <w:proofErr w:type="spellEnd"/>
      <w:r w:rsidR="00272EB0" w:rsidRPr="00F54CDC">
        <w:rPr>
          <w:szCs w:val="22"/>
        </w:rPr>
        <w:t xml:space="preserve"> (10</w:t>
      </w:r>
      <w:r w:rsidR="00736226" w:rsidRPr="00F54CDC">
        <w:rPr>
          <w:szCs w:val="22"/>
        </w:rPr>
        <w:t xml:space="preserve"> </w:t>
      </w:r>
      <w:r w:rsidR="00272EB0" w:rsidRPr="00F54CDC">
        <w:rPr>
          <w:szCs w:val="22"/>
        </w:rPr>
        <w:t>mg and 25</w:t>
      </w:r>
      <w:r w:rsidR="00736226" w:rsidRPr="00F54CDC">
        <w:rPr>
          <w:szCs w:val="22"/>
        </w:rPr>
        <w:t xml:space="preserve"> mg) with its comparators, </w:t>
      </w:r>
      <w:proofErr w:type="spellStart"/>
      <w:r w:rsidR="00272EB0" w:rsidRPr="00F54CDC">
        <w:rPr>
          <w:szCs w:val="22"/>
        </w:rPr>
        <w:t>dapagliflozin</w:t>
      </w:r>
      <w:proofErr w:type="spellEnd"/>
      <w:r w:rsidR="00272EB0" w:rsidRPr="00F54CDC">
        <w:rPr>
          <w:szCs w:val="22"/>
        </w:rPr>
        <w:t xml:space="preserve"> and </w:t>
      </w:r>
      <w:proofErr w:type="spellStart"/>
      <w:r w:rsidR="00272EB0" w:rsidRPr="00F54CDC">
        <w:rPr>
          <w:szCs w:val="22"/>
        </w:rPr>
        <w:t>canagliflozin</w:t>
      </w:r>
      <w:proofErr w:type="spellEnd"/>
      <w:r w:rsidRPr="00F54CDC">
        <w:rPr>
          <w:szCs w:val="22"/>
        </w:rPr>
        <w:t>, the PBAC accepted the non-inferiority of</w:t>
      </w:r>
      <w:r w:rsidR="00272EB0" w:rsidRPr="00F54CDC">
        <w:rPr>
          <w:szCs w:val="22"/>
        </w:rPr>
        <w:t xml:space="preserve"> </w:t>
      </w:r>
      <w:proofErr w:type="spellStart"/>
      <w:r w:rsidRPr="00F54CDC">
        <w:rPr>
          <w:szCs w:val="22"/>
        </w:rPr>
        <w:t>empagliflozin</w:t>
      </w:r>
      <w:proofErr w:type="spellEnd"/>
      <w:r w:rsidR="00CE2964" w:rsidRPr="00F54CDC">
        <w:rPr>
          <w:szCs w:val="22"/>
        </w:rPr>
        <w:t xml:space="preserve"> in terms of effectiveness using a non-</w:t>
      </w:r>
      <w:r w:rsidR="00DB3B96" w:rsidRPr="00F54CDC">
        <w:rPr>
          <w:szCs w:val="22"/>
        </w:rPr>
        <w:t>in</w:t>
      </w:r>
      <w:r w:rsidR="00CE2964" w:rsidRPr="00F54CDC">
        <w:rPr>
          <w:szCs w:val="22"/>
        </w:rPr>
        <w:t>ferio</w:t>
      </w:r>
      <w:r w:rsidR="00DB3B96" w:rsidRPr="00F54CDC">
        <w:rPr>
          <w:szCs w:val="22"/>
        </w:rPr>
        <w:t>ri</w:t>
      </w:r>
      <w:r w:rsidR="00CE2964" w:rsidRPr="00F54CDC">
        <w:rPr>
          <w:szCs w:val="22"/>
        </w:rPr>
        <w:t xml:space="preserve">ty margin of 0.4% for  HbA1c. </w:t>
      </w:r>
    </w:p>
    <w:p w:rsidR="004B6219" w:rsidRPr="00671D38" w:rsidRDefault="004B6219" w:rsidP="004B6219">
      <w:pPr>
        <w:pStyle w:val="ListParagraph"/>
        <w:rPr>
          <w:szCs w:val="22"/>
        </w:rPr>
      </w:pPr>
    </w:p>
    <w:p w:rsidR="004B6219" w:rsidRPr="00F54CDC" w:rsidRDefault="004B6219" w:rsidP="00F54CDC">
      <w:pPr>
        <w:pStyle w:val="ListParagraph"/>
        <w:widowControl/>
        <w:numPr>
          <w:ilvl w:val="1"/>
          <w:numId w:val="20"/>
        </w:numPr>
        <w:rPr>
          <w:szCs w:val="22"/>
        </w:rPr>
      </w:pPr>
      <w:r w:rsidRPr="00F54CDC">
        <w:rPr>
          <w:szCs w:val="22"/>
        </w:rPr>
        <w:t>Overall, the PBAC</w:t>
      </w:r>
      <w:r w:rsidR="00D70F27" w:rsidRPr="00F54CDC">
        <w:rPr>
          <w:szCs w:val="22"/>
        </w:rPr>
        <w:t xml:space="preserve"> accepted the non-inferiority of </w:t>
      </w:r>
      <w:proofErr w:type="spellStart"/>
      <w:r w:rsidR="00D70F27" w:rsidRPr="00F54CDC">
        <w:rPr>
          <w:szCs w:val="22"/>
        </w:rPr>
        <w:t>empagliflozin</w:t>
      </w:r>
      <w:proofErr w:type="spellEnd"/>
      <w:r w:rsidR="00D70F27" w:rsidRPr="00F54CDC">
        <w:rPr>
          <w:szCs w:val="22"/>
        </w:rPr>
        <w:t xml:space="preserve"> to </w:t>
      </w:r>
      <w:proofErr w:type="spellStart"/>
      <w:r w:rsidR="00D70F27" w:rsidRPr="00F54CDC">
        <w:rPr>
          <w:szCs w:val="22"/>
        </w:rPr>
        <w:t>dapagliflozin</w:t>
      </w:r>
      <w:proofErr w:type="spellEnd"/>
      <w:r w:rsidR="00D70F27" w:rsidRPr="00F54CDC">
        <w:rPr>
          <w:szCs w:val="22"/>
        </w:rPr>
        <w:t xml:space="preserve"> in terms of comparative safety.</w:t>
      </w:r>
    </w:p>
    <w:p w:rsidR="00F83114" w:rsidRPr="00671D38" w:rsidRDefault="00F83114" w:rsidP="00601DB8">
      <w:pPr>
        <w:rPr>
          <w:szCs w:val="22"/>
          <w:lang w:val="en-GB"/>
        </w:rPr>
      </w:pPr>
    </w:p>
    <w:p w:rsidR="00506244" w:rsidRPr="00F54CDC" w:rsidRDefault="00506244" w:rsidP="00F54CDC">
      <w:pPr>
        <w:pStyle w:val="ListParagraph"/>
        <w:widowControl/>
        <w:numPr>
          <w:ilvl w:val="1"/>
          <w:numId w:val="20"/>
        </w:numPr>
        <w:rPr>
          <w:szCs w:val="22"/>
        </w:rPr>
      </w:pPr>
      <w:r w:rsidRPr="00F54CDC">
        <w:rPr>
          <w:szCs w:val="22"/>
          <w:u w:val="single"/>
        </w:rPr>
        <w:t>Advice to the Minister under Section 101</w:t>
      </w:r>
      <w:r w:rsidR="00781C4D" w:rsidRPr="00F54CDC">
        <w:rPr>
          <w:szCs w:val="22"/>
          <w:u w:val="single"/>
        </w:rPr>
        <w:t>(</w:t>
      </w:r>
      <w:r w:rsidRPr="00F54CDC">
        <w:rPr>
          <w:szCs w:val="22"/>
          <w:u w:val="single"/>
        </w:rPr>
        <w:t>3BA</w:t>
      </w:r>
      <w:r w:rsidR="00781C4D" w:rsidRPr="00F54CDC">
        <w:rPr>
          <w:szCs w:val="22"/>
          <w:u w:val="single"/>
        </w:rPr>
        <w:t>)</w:t>
      </w:r>
      <w:r w:rsidRPr="00F54CDC">
        <w:rPr>
          <w:szCs w:val="22"/>
          <w:u w:val="single"/>
        </w:rPr>
        <w:t xml:space="preserve"> of the </w:t>
      </w:r>
      <w:r w:rsidRPr="00F54CDC">
        <w:rPr>
          <w:i/>
          <w:szCs w:val="22"/>
          <w:u w:val="single"/>
        </w:rPr>
        <w:t>National Health Act</w:t>
      </w:r>
    </w:p>
    <w:p w:rsidR="00915182" w:rsidRPr="00671D38" w:rsidRDefault="00506244" w:rsidP="00506244">
      <w:pPr>
        <w:pStyle w:val="ListParagraph"/>
        <w:widowControl/>
        <w:ind w:left="709"/>
        <w:rPr>
          <w:szCs w:val="22"/>
        </w:rPr>
      </w:pPr>
      <w:r w:rsidRPr="00671D38">
        <w:rPr>
          <w:szCs w:val="22"/>
        </w:rPr>
        <w:t>The PBAC advised the Minister that under Section 101</w:t>
      </w:r>
      <w:r w:rsidR="00781C4D" w:rsidRPr="00671D38">
        <w:rPr>
          <w:szCs w:val="22"/>
        </w:rPr>
        <w:t>(</w:t>
      </w:r>
      <w:r w:rsidRPr="00671D38">
        <w:rPr>
          <w:szCs w:val="22"/>
        </w:rPr>
        <w:t>3BA</w:t>
      </w:r>
      <w:r w:rsidR="00781C4D" w:rsidRPr="00671D38">
        <w:rPr>
          <w:szCs w:val="22"/>
        </w:rPr>
        <w:t>)</w:t>
      </w:r>
      <w:r w:rsidRPr="00671D38">
        <w:rPr>
          <w:szCs w:val="22"/>
        </w:rPr>
        <w:t xml:space="preserve"> of the </w:t>
      </w:r>
      <w:r w:rsidRPr="00671D38">
        <w:rPr>
          <w:i/>
          <w:szCs w:val="22"/>
        </w:rPr>
        <w:t xml:space="preserve">National Health Act, </w:t>
      </w:r>
      <w:proofErr w:type="spellStart"/>
      <w:r w:rsidR="00A75A0F" w:rsidRPr="00671D38">
        <w:rPr>
          <w:szCs w:val="22"/>
        </w:rPr>
        <w:t>empagliflozin</w:t>
      </w:r>
      <w:proofErr w:type="spellEnd"/>
      <w:r w:rsidR="00A75A0F" w:rsidRPr="00671D38">
        <w:rPr>
          <w:szCs w:val="22"/>
        </w:rPr>
        <w:t xml:space="preserve"> </w:t>
      </w:r>
      <w:r w:rsidR="00F83114" w:rsidRPr="00671D38">
        <w:rPr>
          <w:szCs w:val="22"/>
        </w:rPr>
        <w:t xml:space="preserve">should be treated as interchangeable on an individual patient basis with </w:t>
      </w:r>
      <w:proofErr w:type="spellStart"/>
      <w:r w:rsidR="00A75A0F" w:rsidRPr="00671D38">
        <w:rPr>
          <w:szCs w:val="22"/>
        </w:rPr>
        <w:t>dapagliflozin</w:t>
      </w:r>
      <w:proofErr w:type="spellEnd"/>
      <w:r w:rsidR="00A75A0F" w:rsidRPr="00671D38">
        <w:rPr>
          <w:szCs w:val="22"/>
        </w:rPr>
        <w:t xml:space="preserve"> and </w:t>
      </w:r>
      <w:proofErr w:type="spellStart"/>
      <w:r w:rsidR="00A75A0F" w:rsidRPr="00671D38">
        <w:rPr>
          <w:szCs w:val="22"/>
        </w:rPr>
        <w:t>canagliflozin</w:t>
      </w:r>
      <w:proofErr w:type="spellEnd"/>
      <w:r w:rsidR="00A75A0F" w:rsidRPr="00671D38">
        <w:rPr>
          <w:szCs w:val="22"/>
        </w:rPr>
        <w:t xml:space="preserve">. </w:t>
      </w:r>
    </w:p>
    <w:p w:rsidR="00915182" w:rsidRPr="00671D38" w:rsidRDefault="00915182" w:rsidP="00915182">
      <w:pPr>
        <w:pStyle w:val="ListParagraph"/>
        <w:rPr>
          <w:szCs w:val="22"/>
        </w:rPr>
      </w:pPr>
    </w:p>
    <w:p w:rsidR="00F83114" w:rsidRPr="00F54CDC" w:rsidRDefault="00F83114" w:rsidP="00F54CDC">
      <w:pPr>
        <w:pStyle w:val="ListParagraph"/>
        <w:widowControl/>
        <w:numPr>
          <w:ilvl w:val="1"/>
          <w:numId w:val="20"/>
        </w:numPr>
        <w:rPr>
          <w:szCs w:val="22"/>
        </w:rPr>
      </w:pPr>
      <w:r w:rsidRPr="00F54CDC">
        <w:rPr>
          <w:szCs w:val="22"/>
        </w:rPr>
        <w:t xml:space="preserve">The PBAC advised that </w:t>
      </w:r>
      <w:proofErr w:type="spellStart"/>
      <w:r w:rsidR="00A75A0F" w:rsidRPr="00F54CDC">
        <w:rPr>
          <w:szCs w:val="22"/>
        </w:rPr>
        <w:t>empagliflozin</w:t>
      </w:r>
      <w:proofErr w:type="spellEnd"/>
      <w:r w:rsidR="00A75A0F" w:rsidRPr="00F54CDC">
        <w:rPr>
          <w:szCs w:val="22"/>
        </w:rPr>
        <w:t xml:space="preserve"> is suitable</w:t>
      </w:r>
      <w:r w:rsidRPr="00F54CDC">
        <w:rPr>
          <w:szCs w:val="22"/>
        </w:rPr>
        <w:t xml:space="preserve"> for prescribing by nurse practitioners</w:t>
      </w:r>
      <w:r w:rsidR="00A75A0F" w:rsidRPr="00F54CDC">
        <w:rPr>
          <w:szCs w:val="22"/>
        </w:rPr>
        <w:t xml:space="preserve"> for </w:t>
      </w:r>
      <w:r w:rsidR="007B6C2D" w:rsidRPr="00F54CDC">
        <w:rPr>
          <w:szCs w:val="22"/>
        </w:rPr>
        <w:t>continuation</w:t>
      </w:r>
      <w:r w:rsidR="00A75A0F" w:rsidRPr="00F54CDC">
        <w:rPr>
          <w:szCs w:val="22"/>
        </w:rPr>
        <w:t xml:space="preserve"> therapy only where the patient is initiated by a medical practitioner. </w:t>
      </w:r>
      <w:r w:rsidRPr="00F54CDC">
        <w:rPr>
          <w:szCs w:val="22"/>
        </w:rPr>
        <w:t xml:space="preserve"> </w:t>
      </w:r>
    </w:p>
    <w:p w:rsidR="00F83114" w:rsidRPr="00671D38" w:rsidRDefault="00F83114" w:rsidP="00F83114">
      <w:pPr>
        <w:pStyle w:val="ListParagraph"/>
        <w:rPr>
          <w:szCs w:val="22"/>
        </w:rPr>
      </w:pPr>
    </w:p>
    <w:p w:rsidR="00F83114" w:rsidRPr="00F54CDC" w:rsidRDefault="00F83114" w:rsidP="00F54CDC">
      <w:pPr>
        <w:pStyle w:val="ListParagraph"/>
        <w:widowControl/>
        <w:numPr>
          <w:ilvl w:val="1"/>
          <w:numId w:val="20"/>
        </w:numPr>
        <w:rPr>
          <w:szCs w:val="22"/>
        </w:rPr>
      </w:pPr>
      <w:r w:rsidRPr="00F54CDC">
        <w:rPr>
          <w:szCs w:val="22"/>
        </w:rPr>
        <w:t>The PBAC recommended that th</w:t>
      </w:r>
      <w:r w:rsidR="00A75A0F" w:rsidRPr="00F54CDC">
        <w:rPr>
          <w:szCs w:val="22"/>
        </w:rPr>
        <w:t xml:space="preserve">e Safety Net 20 Day Rule </w:t>
      </w:r>
      <w:r w:rsidR="00D9246F" w:rsidRPr="00F54CDC">
        <w:rPr>
          <w:szCs w:val="22"/>
        </w:rPr>
        <w:t>should apply</w:t>
      </w:r>
      <w:r w:rsidRPr="00F54CDC">
        <w:rPr>
          <w:szCs w:val="22"/>
        </w:rPr>
        <w:t xml:space="preserve">. </w:t>
      </w:r>
    </w:p>
    <w:p w:rsidR="00F83114" w:rsidRDefault="00F83114" w:rsidP="00F83114">
      <w:pPr>
        <w:rPr>
          <w:szCs w:val="22"/>
        </w:rPr>
      </w:pPr>
    </w:p>
    <w:p w:rsidR="00F54CDC" w:rsidRPr="00671D38" w:rsidRDefault="00F54CDC" w:rsidP="00F83114">
      <w:pPr>
        <w:rPr>
          <w:szCs w:val="22"/>
        </w:rPr>
      </w:pPr>
    </w:p>
    <w:p w:rsidR="00F83114" w:rsidRPr="00671D38" w:rsidRDefault="00F83114" w:rsidP="00F83114">
      <w:pPr>
        <w:rPr>
          <w:b/>
          <w:szCs w:val="22"/>
        </w:rPr>
      </w:pPr>
      <w:r w:rsidRPr="00671D38">
        <w:rPr>
          <w:b/>
          <w:szCs w:val="22"/>
        </w:rPr>
        <w:t>Outcome:</w:t>
      </w:r>
    </w:p>
    <w:p w:rsidR="00F83114" w:rsidRPr="00671D38" w:rsidRDefault="00F54CDC" w:rsidP="00F83114">
      <w:pPr>
        <w:rPr>
          <w:szCs w:val="22"/>
        </w:rPr>
      </w:pPr>
      <w:r>
        <w:rPr>
          <w:szCs w:val="22"/>
        </w:rPr>
        <w:t>Recommended.</w:t>
      </w:r>
    </w:p>
    <w:p w:rsidR="000472E0" w:rsidRPr="00671D38" w:rsidRDefault="000472E0" w:rsidP="008371CB">
      <w:pPr>
        <w:rPr>
          <w:szCs w:val="22"/>
        </w:rPr>
      </w:pPr>
    </w:p>
    <w:p w:rsidR="00F54CDC" w:rsidRPr="00407F2D" w:rsidRDefault="00F54CDC" w:rsidP="00F54CDC">
      <w:pPr>
        <w:pStyle w:val="ListParagraph"/>
        <w:widowControl/>
        <w:numPr>
          <w:ilvl w:val="0"/>
          <w:numId w:val="20"/>
        </w:numPr>
        <w:rPr>
          <w:b/>
          <w:szCs w:val="22"/>
        </w:rPr>
      </w:pPr>
      <w:r w:rsidRPr="00407F2D">
        <w:rPr>
          <w:b/>
          <w:szCs w:val="22"/>
        </w:rPr>
        <w:t>Recommended listing</w:t>
      </w:r>
    </w:p>
    <w:p w:rsidR="00F83114" w:rsidRPr="00671D38" w:rsidRDefault="00F83114" w:rsidP="00F83114">
      <w:pPr>
        <w:pStyle w:val="ListParagraph"/>
        <w:ind w:left="709"/>
        <w:rPr>
          <w:szCs w:val="22"/>
        </w:rPr>
      </w:pPr>
    </w:p>
    <w:p w:rsidR="00657DF3" w:rsidRPr="00F54CDC" w:rsidRDefault="00657DF3" w:rsidP="00F54CDC">
      <w:pPr>
        <w:pStyle w:val="ListParagraph"/>
        <w:widowControl/>
        <w:numPr>
          <w:ilvl w:val="1"/>
          <w:numId w:val="20"/>
        </w:numPr>
        <w:rPr>
          <w:szCs w:val="22"/>
        </w:rPr>
      </w:pPr>
      <w:r w:rsidRPr="00F54CDC">
        <w:rPr>
          <w:szCs w:val="22"/>
        </w:rPr>
        <w:t>Add new item:</w:t>
      </w:r>
    </w:p>
    <w:tbl>
      <w:tblPr>
        <w:tblW w:w="8363" w:type="dxa"/>
        <w:tblInd w:w="817" w:type="dxa"/>
        <w:tblLayout w:type="fixed"/>
        <w:tblLook w:val="0000" w:firstRow="0" w:lastRow="0" w:firstColumn="0" w:lastColumn="0" w:noHBand="0" w:noVBand="0"/>
        <w:tblDescription w:val="empagliflozin listing"/>
      </w:tblPr>
      <w:tblGrid>
        <w:gridCol w:w="1276"/>
        <w:gridCol w:w="1974"/>
        <w:gridCol w:w="1060"/>
        <w:gridCol w:w="1061"/>
        <w:gridCol w:w="1769"/>
        <w:gridCol w:w="1060"/>
        <w:gridCol w:w="163"/>
      </w:tblGrid>
      <w:tr w:rsidR="007240DF" w:rsidRPr="00F54CDC" w:rsidTr="00F54CDC">
        <w:trPr>
          <w:gridAfter w:val="1"/>
          <w:wAfter w:w="163" w:type="dxa"/>
          <w:cantSplit/>
          <w:trHeight w:val="526"/>
        </w:trPr>
        <w:tc>
          <w:tcPr>
            <w:tcW w:w="3250" w:type="dxa"/>
            <w:gridSpan w:val="2"/>
            <w:tcBorders>
              <w:bottom w:val="single" w:sz="4" w:space="0" w:color="auto"/>
            </w:tcBorders>
          </w:tcPr>
          <w:p w:rsidR="005C76C6" w:rsidRDefault="005C76C6" w:rsidP="001319DF">
            <w:pPr>
              <w:keepNext/>
              <w:ind w:left="-108"/>
              <w:rPr>
                <w:rFonts w:ascii="Arial Narrow" w:hAnsi="Arial Narrow"/>
                <w:sz w:val="20"/>
                <w:szCs w:val="22"/>
              </w:rPr>
            </w:pPr>
          </w:p>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Name, Restriction,</w:t>
            </w:r>
          </w:p>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Manner of administration and form</w:t>
            </w:r>
          </w:p>
        </w:tc>
        <w:tc>
          <w:tcPr>
            <w:tcW w:w="1060" w:type="dxa"/>
            <w:tcBorders>
              <w:bottom w:val="single" w:sz="4" w:space="0" w:color="auto"/>
            </w:tcBorders>
          </w:tcPr>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Max.</w:t>
            </w:r>
          </w:p>
          <w:p w:rsidR="007240DF" w:rsidRPr="00F54CDC" w:rsidRDefault="007240DF" w:rsidP="001319DF">
            <w:pPr>
              <w:keepNext/>
              <w:ind w:left="-108"/>
              <w:rPr>
                <w:rFonts w:ascii="Arial Narrow" w:hAnsi="Arial Narrow"/>
                <w:sz w:val="20"/>
                <w:szCs w:val="22"/>
              </w:rPr>
            </w:pPr>
            <w:proofErr w:type="spellStart"/>
            <w:r w:rsidRPr="00F54CDC">
              <w:rPr>
                <w:rFonts w:ascii="Arial Narrow" w:hAnsi="Arial Narrow"/>
                <w:sz w:val="20"/>
                <w:szCs w:val="22"/>
              </w:rPr>
              <w:t>Qty</w:t>
            </w:r>
            <w:proofErr w:type="spellEnd"/>
          </w:p>
        </w:tc>
        <w:tc>
          <w:tcPr>
            <w:tcW w:w="1061" w:type="dxa"/>
            <w:tcBorders>
              <w:bottom w:val="single" w:sz="4" w:space="0" w:color="auto"/>
            </w:tcBorders>
          </w:tcPr>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№.of</w:t>
            </w:r>
          </w:p>
          <w:p w:rsidR="007240DF" w:rsidRPr="00F54CDC" w:rsidRDefault="007240DF" w:rsidP="001319DF">
            <w:pPr>
              <w:keepNext/>
              <w:ind w:left="-108"/>
              <w:rPr>
                <w:rFonts w:ascii="Arial Narrow" w:hAnsi="Arial Narrow"/>
                <w:sz w:val="20"/>
                <w:szCs w:val="22"/>
              </w:rPr>
            </w:pPr>
            <w:proofErr w:type="spellStart"/>
            <w:r w:rsidRPr="00F54CDC">
              <w:rPr>
                <w:rFonts w:ascii="Arial Narrow" w:hAnsi="Arial Narrow"/>
                <w:sz w:val="20"/>
                <w:szCs w:val="22"/>
              </w:rPr>
              <w:t>Rpts</w:t>
            </w:r>
            <w:proofErr w:type="spellEnd"/>
          </w:p>
        </w:tc>
        <w:tc>
          <w:tcPr>
            <w:tcW w:w="2829" w:type="dxa"/>
            <w:gridSpan w:val="2"/>
            <w:tcBorders>
              <w:bottom w:val="single" w:sz="4" w:space="0" w:color="auto"/>
            </w:tcBorders>
          </w:tcPr>
          <w:p w:rsidR="007240DF" w:rsidRPr="00F54CDC" w:rsidRDefault="007240DF" w:rsidP="001319DF">
            <w:pPr>
              <w:keepNext/>
              <w:rPr>
                <w:rFonts w:ascii="Arial Narrow" w:hAnsi="Arial Narrow"/>
                <w:sz w:val="20"/>
                <w:szCs w:val="22"/>
                <w:lang w:val="fr-FR"/>
              </w:rPr>
            </w:pPr>
            <w:r w:rsidRPr="00F54CDC">
              <w:rPr>
                <w:rFonts w:ascii="Arial Narrow" w:hAnsi="Arial Narrow"/>
                <w:sz w:val="20"/>
                <w:szCs w:val="22"/>
              </w:rPr>
              <w:t>Proprietary Name and Manufacturer</w:t>
            </w:r>
          </w:p>
        </w:tc>
      </w:tr>
      <w:tr w:rsidR="007240DF" w:rsidRPr="00F54CDC" w:rsidTr="00F54CDC">
        <w:trPr>
          <w:gridAfter w:val="1"/>
          <w:wAfter w:w="163" w:type="dxa"/>
          <w:cantSplit/>
          <w:trHeight w:val="645"/>
        </w:trPr>
        <w:tc>
          <w:tcPr>
            <w:tcW w:w="3250" w:type="dxa"/>
            <w:gridSpan w:val="2"/>
          </w:tcPr>
          <w:p w:rsidR="007240DF" w:rsidRPr="00F54CDC" w:rsidRDefault="007240DF" w:rsidP="001319DF">
            <w:pPr>
              <w:keepNext/>
              <w:ind w:left="-108"/>
              <w:rPr>
                <w:rFonts w:ascii="Arial Narrow" w:hAnsi="Arial Narrow"/>
                <w:sz w:val="20"/>
                <w:szCs w:val="22"/>
              </w:rPr>
            </w:pPr>
            <w:r w:rsidRPr="00F54CDC">
              <w:rPr>
                <w:rFonts w:ascii="Arial Narrow" w:hAnsi="Arial Narrow"/>
                <w:smallCaps/>
                <w:sz w:val="20"/>
                <w:szCs w:val="22"/>
              </w:rPr>
              <w:t>EMPAGLIFLOZIN</w:t>
            </w:r>
          </w:p>
          <w:p w:rsidR="007240DF" w:rsidRPr="00F54CDC" w:rsidRDefault="007240DF" w:rsidP="001319DF">
            <w:pPr>
              <w:keepNext/>
              <w:ind w:left="-108"/>
              <w:rPr>
                <w:rFonts w:ascii="Arial Narrow" w:hAnsi="Arial Narrow"/>
                <w:sz w:val="20"/>
                <w:szCs w:val="22"/>
              </w:rPr>
            </w:pPr>
            <w:proofErr w:type="spellStart"/>
            <w:r w:rsidRPr="00F54CDC">
              <w:rPr>
                <w:rFonts w:ascii="Arial Narrow" w:hAnsi="Arial Narrow"/>
                <w:sz w:val="20"/>
                <w:szCs w:val="22"/>
              </w:rPr>
              <w:t>Empagliflozin</w:t>
            </w:r>
            <w:proofErr w:type="spellEnd"/>
            <w:r w:rsidRPr="00F54CDC">
              <w:rPr>
                <w:rFonts w:ascii="Arial Narrow" w:hAnsi="Arial Narrow"/>
                <w:sz w:val="20"/>
                <w:szCs w:val="22"/>
              </w:rPr>
              <w:t xml:space="preserve"> 10 mg tablet, 30</w:t>
            </w:r>
          </w:p>
          <w:p w:rsidR="007240DF" w:rsidRPr="00F54CDC" w:rsidRDefault="007240DF" w:rsidP="001319DF">
            <w:pPr>
              <w:keepNext/>
              <w:ind w:left="-108"/>
              <w:rPr>
                <w:rFonts w:ascii="Arial Narrow" w:hAnsi="Arial Narrow"/>
                <w:sz w:val="20"/>
                <w:szCs w:val="22"/>
              </w:rPr>
            </w:pPr>
            <w:proofErr w:type="spellStart"/>
            <w:r w:rsidRPr="00F54CDC">
              <w:rPr>
                <w:rFonts w:ascii="Arial Narrow" w:hAnsi="Arial Narrow"/>
                <w:sz w:val="20"/>
                <w:szCs w:val="22"/>
              </w:rPr>
              <w:t>Empagliflozin</w:t>
            </w:r>
            <w:proofErr w:type="spellEnd"/>
            <w:r w:rsidRPr="00F54CDC">
              <w:rPr>
                <w:rFonts w:ascii="Arial Narrow" w:hAnsi="Arial Narrow"/>
                <w:sz w:val="20"/>
                <w:szCs w:val="22"/>
              </w:rPr>
              <w:t xml:space="preserve"> 25 mg tablet, 30</w:t>
            </w:r>
          </w:p>
          <w:p w:rsidR="007240DF" w:rsidRPr="00F54CDC" w:rsidRDefault="007240DF" w:rsidP="001319DF">
            <w:pPr>
              <w:keepNext/>
              <w:ind w:left="-108"/>
              <w:rPr>
                <w:rFonts w:ascii="Arial Narrow" w:hAnsi="Arial Narrow"/>
                <w:sz w:val="20"/>
                <w:szCs w:val="22"/>
              </w:rPr>
            </w:pPr>
            <w:bookmarkStart w:id="21" w:name="_GoBack"/>
            <w:bookmarkEnd w:id="21"/>
          </w:p>
        </w:tc>
        <w:tc>
          <w:tcPr>
            <w:tcW w:w="1060" w:type="dxa"/>
          </w:tcPr>
          <w:p w:rsidR="007240DF" w:rsidRPr="00F54CDC" w:rsidRDefault="007240DF" w:rsidP="001319DF">
            <w:pPr>
              <w:keepNext/>
              <w:ind w:left="-108"/>
              <w:rPr>
                <w:rFonts w:ascii="Arial Narrow" w:hAnsi="Arial Narrow"/>
                <w:sz w:val="20"/>
                <w:szCs w:val="22"/>
              </w:rPr>
            </w:pPr>
          </w:p>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1</w:t>
            </w:r>
          </w:p>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1</w:t>
            </w:r>
          </w:p>
        </w:tc>
        <w:tc>
          <w:tcPr>
            <w:tcW w:w="1061" w:type="dxa"/>
          </w:tcPr>
          <w:p w:rsidR="007240DF" w:rsidRPr="00F54CDC" w:rsidRDefault="007240DF" w:rsidP="001319DF">
            <w:pPr>
              <w:keepNext/>
              <w:ind w:left="-108"/>
              <w:rPr>
                <w:rFonts w:ascii="Arial Narrow" w:hAnsi="Arial Narrow"/>
                <w:sz w:val="20"/>
                <w:szCs w:val="22"/>
              </w:rPr>
            </w:pPr>
          </w:p>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5</w:t>
            </w:r>
          </w:p>
          <w:p w:rsidR="007240DF" w:rsidRPr="00F54CDC" w:rsidRDefault="007240DF" w:rsidP="001319DF">
            <w:pPr>
              <w:keepNext/>
              <w:ind w:left="-108"/>
              <w:rPr>
                <w:rFonts w:ascii="Arial Narrow" w:hAnsi="Arial Narrow"/>
                <w:sz w:val="20"/>
                <w:szCs w:val="22"/>
              </w:rPr>
            </w:pPr>
            <w:r w:rsidRPr="00F54CDC">
              <w:rPr>
                <w:rFonts w:ascii="Arial Narrow" w:hAnsi="Arial Narrow"/>
                <w:sz w:val="20"/>
                <w:szCs w:val="22"/>
              </w:rPr>
              <w:t>5</w:t>
            </w:r>
          </w:p>
        </w:tc>
        <w:tc>
          <w:tcPr>
            <w:tcW w:w="1769" w:type="dxa"/>
          </w:tcPr>
          <w:p w:rsidR="007240DF" w:rsidRPr="00F54CDC" w:rsidRDefault="007240DF" w:rsidP="001319DF">
            <w:pPr>
              <w:keepNext/>
              <w:rPr>
                <w:rFonts w:ascii="Arial Narrow" w:hAnsi="Arial Narrow"/>
                <w:sz w:val="20"/>
                <w:szCs w:val="22"/>
              </w:rPr>
            </w:pPr>
            <w:proofErr w:type="spellStart"/>
            <w:r w:rsidRPr="00F54CDC">
              <w:rPr>
                <w:rFonts w:ascii="Arial Narrow" w:hAnsi="Arial Narrow"/>
                <w:sz w:val="20"/>
                <w:szCs w:val="22"/>
              </w:rPr>
              <w:t>Jardiance</w:t>
            </w:r>
            <w:proofErr w:type="spellEnd"/>
          </w:p>
        </w:tc>
        <w:tc>
          <w:tcPr>
            <w:tcW w:w="1060" w:type="dxa"/>
          </w:tcPr>
          <w:p w:rsidR="007240DF" w:rsidRPr="00F54CDC" w:rsidRDefault="007240DF" w:rsidP="001319DF">
            <w:pPr>
              <w:keepNext/>
              <w:rPr>
                <w:rFonts w:ascii="Arial Narrow" w:hAnsi="Arial Narrow"/>
                <w:sz w:val="20"/>
                <w:szCs w:val="22"/>
              </w:rPr>
            </w:pPr>
            <w:r w:rsidRPr="00F54CDC">
              <w:rPr>
                <w:rFonts w:ascii="Arial Narrow" w:hAnsi="Arial Narrow"/>
                <w:sz w:val="20"/>
                <w:szCs w:val="22"/>
              </w:rPr>
              <w:t>BY</w:t>
            </w:r>
          </w:p>
        </w:tc>
      </w:tr>
      <w:tr w:rsidR="00657DF3" w:rsidRPr="00F54CDC" w:rsidTr="00F54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auto"/>
          </w:tcPr>
          <w:p w:rsidR="00F54CDC" w:rsidRDefault="00657DF3" w:rsidP="00315D6C">
            <w:pPr>
              <w:rPr>
                <w:rFonts w:ascii="Arial Narrow" w:hAnsi="Arial Narrow"/>
                <w:sz w:val="20"/>
                <w:szCs w:val="22"/>
              </w:rPr>
            </w:pPr>
            <w:r w:rsidRPr="00F54CDC">
              <w:rPr>
                <w:rFonts w:ascii="Arial Narrow" w:hAnsi="Arial Narrow"/>
                <w:sz w:val="20"/>
                <w:szCs w:val="22"/>
              </w:rPr>
              <w:t>Condition/</w:t>
            </w:r>
          </w:p>
          <w:p w:rsidR="00657DF3" w:rsidRPr="00F54CDC" w:rsidRDefault="00657DF3" w:rsidP="00315D6C">
            <w:pPr>
              <w:rPr>
                <w:rFonts w:ascii="Arial Narrow" w:hAnsi="Arial Narrow"/>
                <w:sz w:val="20"/>
                <w:szCs w:val="22"/>
              </w:rPr>
            </w:pPr>
            <w:r w:rsidRPr="00F54CDC">
              <w:rPr>
                <w:rFonts w:ascii="Arial Narrow" w:hAnsi="Arial Narrow"/>
                <w:sz w:val="20"/>
                <w:szCs w:val="22"/>
              </w:rPr>
              <w:t>Indication:</w:t>
            </w:r>
          </w:p>
        </w:tc>
        <w:tc>
          <w:tcPr>
            <w:tcW w:w="7087" w:type="dxa"/>
            <w:gridSpan w:val="6"/>
            <w:shd w:val="clear" w:color="auto" w:fill="auto"/>
          </w:tcPr>
          <w:p w:rsidR="00657DF3" w:rsidRPr="00F54CDC" w:rsidRDefault="00657DF3" w:rsidP="00315D6C">
            <w:pPr>
              <w:rPr>
                <w:rFonts w:ascii="Arial Narrow" w:hAnsi="Arial Narrow"/>
                <w:sz w:val="20"/>
                <w:szCs w:val="22"/>
              </w:rPr>
            </w:pPr>
            <w:r w:rsidRPr="00F54CDC">
              <w:rPr>
                <w:rFonts w:ascii="Arial Narrow" w:hAnsi="Arial Narrow"/>
                <w:sz w:val="20"/>
                <w:szCs w:val="22"/>
              </w:rPr>
              <w:t>Diabetes mellitus type 2</w:t>
            </w:r>
          </w:p>
        </w:tc>
      </w:tr>
      <w:tr w:rsidR="00657DF3" w:rsidRPr="00F54CDC" w:rsidTr="00F54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auto"/>
          </w:tcPr>
          <w:p w:rsidR="00657DF3" w:rsidRPr="00F54CDC" w:rsidRDefault="00657DF3" w:rsidP="00315D6C">
            <w:pPr>
              <w:rPr>
                <w:rFonts w:ascii="Arial Narrow" w:hAnsi="Arial Narrow"/>
                <w:sz w:val="20"/>
                <w:szCs w:val="22"/>
              </w:rPr>
            </w:pPr>
            <w:r w:rsidRPr="00F54CDC">
              <w:rPr>
                <w:rFonts w:ascii="Arial Narrow" w:hAnsi="Arial Narrow"/>
                <w:sz w:val="20"/>
                <w:szCs w:val="22"/>
              </w:rPr>
              <w:t>Restriction:</w:t>
            </w:r>
          </w:p>
        </w:tc>
        <w:tc>
          <w:tcPr>
            <w:tcW w:w="7087" w:type="dxa"/>
            <w:gridSpan w:val="6"/>
            <w:shd w:val="clear" w:color="auto" w:fill="auto"/>
          </w:tcPr>
          <w:p w:rsidR="00657DF3" w:rsidRPr="00F54CDC" w:rsidRDefault="00657DF3" w:rsidP="00315D6C">
            <w:pPr>
              <w:rPr>
                <w:rFonts w:ascii="Arial Narrow" w:hAnsi="Arial Narrow"/>
                <w:sz w:val="20"/>
                <w:szCs w:val="22"/>
              </w:rPr>
            </w:pPr>
            <w:r w:rsidRPr="00F54CDC">
              <w:rPr>
                <w:rFonts w:ascii="Arial Narrow" w:hAnsi="Arial Narrow"/>
                <w:sz w:val="20"/>
                <w:szCs w:val="22"/>
              </w:rPr>
              <w:t>Authority required</w:t>
            </w:r>
          </w:p>
        </w:tc>
      </w:tr>
      <w:tr w:rsidR="00657DF3" w:rsidRPr="00F54CDC" w:rsidTr="00F54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auto"/>
          </w:tcPr>
          <w:p w:rsidR="00657DF3" w:rsidRPr="00F54CDC" w:rsidRDefault="00657DF3" w:rsidP="00315D6C">
            <w:pPr>
              <w:rPr>
                <w:rFonts w:ascii="Arial Narrow" w:hAnsi="Arial Narrow"/>
                <w:sz w:val="20"/>
                <w:szCs w:val="22"/>
              </w:rPr>
            </w:pPr>
            <w:r w:rsidRPr="00F54CDC">
              <w:rPr>
                <w:rFonts w:ascii="Arial Narrow" w:hAnsi="Arial Narrow"/>
                <w:sz w:val="20"/>
                <w:szCs w:val="22"/>
              </w:rPr>
              <w:t>Clinical criteria</w:t>
            </w:r>
          </w:p>
        </w:tc>
        <w:tc>
          <w:tcPr>
            <w:tcW w:w="7087" w:type="dxa"/>
            <w:gridSpan w:val="6"/>
            <w:shd w:val="clear" w:color="auto" w:fill="auto"/>
          </w:tcPr>
          <w:p w:rsidR="008133EB" w:rsidRPr="00F54CDC" w:rsidRDefault="008133EB" w:rsidP="008133EB">
            <w:pPr>
              <w:rPr>
                <w:rFonts w:ascii="Arial Narrow" w:hAnsi="Arial Narrow"/>
                <w:sz w:val="20"/>
                <w:szCs w:val="22"/>
              </w:rPr>
            </w:pPr>
            <w:r w:rsidRPr="00F54CDC">
              <w:rPr>
                <w:rFonts w:ascii="Arial Narrow" w:hAnsi="Arial Narrow"/>
                <w:sz w:val="20"/>
                <w:szCs w:val="22"/>
              </w:rPr>
              <w:t>The treatment must be in combination with metformin; OR</w:t>
            </w:r>
          </w:p>
          <w:p w:rsidR="008133EB" w:rsidRPr="00F54CDC" w:rsidRDefault="008133EB" w:rsidP="008133EB">
            <w:pPr>
              <w:rPr>
                <w:rFonts w:ascii="Arial Narrow" w:hAnsi="Arial Narrow"/>
                <w:sz w:val="20"/>
                <w:szCs w:val="22"/>
              </w:rPr>
            </w:pPr>
            <w:r w:rsidRPr="00F54CDC">
              <w:rPr>
                <w:rFonts w:ascii="Arial Narrow" w:hAnsi="Arial Narrow"/>
                <w:sz w:val="20"/>
                <w:szCs w:val="22"/>
              </w:rPr>
              <w:t>The treatment must be in combination with a sulfonylurea,</w:t>
            </w:r>
          </w:p>
          <w:p w:rsidR="008133EB" w:rsidRPr="00F54CDC" w:rsidRDefault="008133EB" w:rsidP="008133EB">
            <w:pPr>
              <w:rPr>
                <w:rFonts w:ascii="Arial Narrow" w:hAnsi="Arial Narrow"/>
                <w:sz w:val="20"/>
                <w:szCs w:val="22"/>
              </w:rPr>
            </w:pPr>
          </w:p>
          <w:p w:rsidR="008133EB" w:rsidRPr="00F54CDC" w:rsidRDefault="008133EB" w:rsidP="008133EB">
            <w:pPr>
              <w:rPr>
                <w:rFonts w:ascii="Arial Narrow" w:hAnsi="Arial Narrow"/>
                <w:sz w:val="20"/>
                <w:szCs w:val="22"/>
              </w:rPr>
            </w:pPr>
            <w:r w:rsidRPr="00F54CDC">
              <w:rPr>
                <w:rFonts w:ascii="Arial Narrow" w:hAnsi="Arial Narrow"/>
                <w:sz w:val="20"/>
                <w:szCs w:val="22"/>
              </w:rPr>
              <w:t>AND</w:t>
            </w:r>
          </w:p>
          <w:p w:rsidR="008133EB" w:rsidRPr="00F54CDC" w:rsidRDefault="008133EB" w:rsidP="008133EB">
            <w:pPr>
              <w:rPr>
                <w:rFonts w:ascii="Arial Narrow" w:hAnsi="Arial Narrow"/>
                <w:sz w:val="20"/>
                <w:szCs w:val="22"/>
              </w:rPr>
            </w:pPr>
          </w:p>
          <w:p w:rsidR="008133EB" w:rsidRPr="00F54CDC" w:rsidRDefault="008133EB" w:rsidP="008133EB">
            <w:pPr>
              <w:rPr>
                <w:rFonts w:ascii="Arial Narrow" w:hAnsi="Arial Narrow"/>
                <w:sz w:val="20"/>
                <w:szCs w:val="22"/>
              </w:rPr>
            </w:pPr>
            <w:r w:rsidRPr="00F54CDC">
              <w:rPr>
                <w:rFonts w:ascii="Arial Narrow" w:hAnsi="Arial Narrow"/>
                <w:sz w:val="20"/>
                <w:szCs w:val="22"/>
              </w:rPr>
              <w:t>The condition must not be able to be adequately controlled by treatment with metformin and a sulfonylurea</w:t>
            </w:r>
          </w:p>
          <w:p w:rsidR="008133EB" w:rsidRPr="00F54CDC" w:rsidRDefault="008133EB" w:rsidP="008133EB">
            <w:pPr>
              <w:rPr>
                <w:rFonts w:ascii="Arial Narrow" w:hAnsi="Arial Narrow"/>
                <w:sz w:val="20"/>
                <w:szCs w:val="22"/>
              </w:rPr>
            </w:pPr>
          </w:p>
          <w:p w:rsidR="008133EB" w:rsidRPr="00F54CDC" w:rsidRDefault="008133EB" w:rsidP="008133EB">
            <w:pPr>
              <w:rPr>
                <w:rFonts w:ascii="Arial Narrow" w:hAnsi="Arial Narrow"/>
                <w:sz w:val="20"/>
                <w:szCs w:val="22"/>
              </w:rPr>
            </w:pPr>
            <w:r w:rsidRPr="00F54CDC">
              <w:rPr>
                <w:rFonts w:ascii="Arial Narrow" w:hAnsi="Arial Narrow"/>
                <w:sz w:val="20"/>
                <w:szCs w:val="22"/>
              </w:rPr>
              <w:t>AND</w:t>
            </w:r>
          </w:p>
          <w:p w:rsidR="008133EB" w:rsidRPr="00F54CDC" w:rsidRDefault="008133EB" w:rsidP="008133EB">
            <w:pPr>
              <w:rPr>
                <w:rFonts w:ascii="Arial Narrow" w:hAnsi="Arial Narrow"/>
                <w:sz w:val="20"/>
                <w:szCs w:val="22"/>
              </w:rPr>
            </w:pPr>
          </w:p>
          <w:p w:rsidR="008133EB" w:rsidRPr="00F54CDC" w:rsidRDefault="008133EB" w:rsidP="008133EB">
            <w:pPr>
              <w:rPr>
                <w:rFonts w:ascii="Arial Narrow" w:hAnsi="Arial Narrow"/>
                <w:sz w:val="20"/>
                <w:szCs w:val="22"/>
              </w:rPr>
            </w:pPr>
            <w:r w:rsidRPr="00F54CDC">
              <w:rPr>
                <w:rFonts w:ascii="Arial Narrow" w:hAnsi="Arial Narrow"/>
                <w:sz w:val="20"/>
                <w:szCs w:val="22"/>
              </w:rPr>
              <w:t xml:space="preserve">Patient must have, or have had, a HbA1c measurement greater than 7% prior to the initiation of a </w:t>
            </w:r>
            <w:proofErr w:type="spellStart"/>
            <w:r w:rsidRPr="00F54CDC">
              <w:rPr>
                <w:rFonts w:ascii="Arial Narrow" w:hAnsi="Arial Narrow"/>
                <w:sz w:val="20"/>
                <w:szCs w:val="22"/>
              </w:rPr>
              <w:t>dipeptidyl</w:t>
            </w:r>
            <w:proofErr w:type="spellEnd"/>
            <w:r w:rsidRPr="00F54CDC">
              <w:rPr>
                <w:rFonts w:ascii="Arial Narrow" w:hAnsi="Arial Narrow"/>
                <w:sz w:val="20"/>
                <w:szCs w:val="22"/>
              </w:rPr>
              <w:t xml:space="preserve"> peptidase 4 inhibitor (</w:t>
            </w:r>
            <w:proofErr w:type="spellStart"/>
            <w:r w:rsidRPr="00F54CDC">
              <w:rPr>
                <w:rFonts w:ascii="Arial Narrow" w:hAnsi="Arial Narrow"/>
                <w:sz w:val="20"/>
                <w:szCs w:val="22"/>
              </w:rPr>
              <w:t>gliptin</w:t>
            </w:r>
            <w:proofErr w:type="spellEnd"/>
            <w:r w:rsidRPr="00F54CDC">
              <w:rPr>
                <w:rFonts w:ascii="Arial Narrow" w:hAnsi="Arial Narrow"/>
                <w:sz w:val="20"/>
                <w:szCs w:val="22"/>
              </w:rPr>
              <w:t>), a thiazolidinedione (</w:t>
            </w:r>
            <w:proofErr w:type="spellStart"/>
            <w:r w:rsidRPr="00F54CDC">
              <w:rPr>
                <w:rFonts w:ascii="Arial Narrow" w:hAnsi="Arial Narrow"/>
                <w:sz w:val="20"/>
                <w:szCs w:val="22"/>
              </w:rPr>
              <w:t>glitazone</w:t>
            </w:r>
            <w:proofErr w:type="spellEnd"/>
            <w:r w:rsidRPr="00F54CDC">
              <w:rPr>
                <w:rFonts w:ascii="Arial Narrow" w:hAnsi="Arial Narrow"/>
                <w:sz w:val="20"/>
                <w:szCs w:val="22"/>
              </w:rPr>
              <w:t>), a glucagon-like peptide-1 (GLP1) or a sodium-glucose co-transporter 2 (SGLT2) inhibitor); OR</w:t>
            </w:r>
          </w:p>
          <w:p w:rsidR="008133EB" w:rsidRPr="00F54CDC" w:rsidRDefault="008133EB" w:rsidP="008133EB">
            <w:pPr>
              <w:rPr>
                <w:rFonts w:ascii="Arial Narrow" w:hAnsi="Arial Narrow"/>
                <w:sz w:val="20"/>
                <w:szCs w:val="22"/>
              </w:rPr>
            </w:pPr>
          </w:p>
          <w:p w:rsidR="008133EB" w:rsidRPr="00F54CDC" w:rsidRDefault="008133EB" w:rsidP="008133EB">
            <w:pPr>
              <w:rPr>
                <w:rFonts w:ascii="Arial Narrow" w:hAnsi="Arial Narrow"/>
                <w:sz w:val="20"/>
                <w:szCs w:val="22"/>
              </w:rPr>
            </w:pPr>
            <w:r w:rsidRPr="00F54CDC">
              <w:rPr>
                <w:rFonts w:ascii="Arial Narrow" w:hAnsi="Arial Narrow"/>
                <w:sz w:val="20"/>
                <w:szCs w:val="22"/>
              </w:rPr>
              <w:t xml:space="preserve">Patient must have, or have had, where HbA1c measurement is clinically inappropriate, blood glucose levels greater than 10 </w:t>
            </w:r>
            <w:proofErr w:type="spellStart"/>
            <w:r w:rsidRPr="00F54CDC">
              <w:rPr>
                <w:rFonts w:ascii="Arial Narrow" w:hAnsi="Arial Narrow"/>
                <w:sz w:val="20"/>
                <w:szCs w:val="22"/>
              </w:rPr>
              <w:t>mmol</w:t>
            </w:r>
            <w:proofErr w:type="spellEnd"/>
            <w:r w:rsidRPr="00F54CDC">
              <w:rPr>
                <w:rFonts w:ascii="Arial Narrow" w:hAnsi="Arial Narrow"/>
                <w:sz w:val="20"/>
                <w:szCs w:val="22"/>
              </w:rPr>
              <w:t xml:space="preserve"> per L in more than 20% of tests over a 2 week period prior to initiation with a </w:t>
            </w:r>
            <w:proofErr w:type="spellStart"/>
            <w:r w:rsidRPr="00F54CDC">
              <w:rPr>
                <w:rFonts w:ascii="Arial Narrow" w:hAnsi="Arial Narrow"/>
                <w:sz w:val="20"/>
                <w:szCs w:val="22"/>
              </w:rPr>
              <w:t>gliptin</w:t>
            </w:r>
            <w:proofErr w:type="spellEnd"/>
            <w:r w:rsidRPr="00F54CDC">
              <w:rPr>
                <w:rFonts w:ascii="Arial Narrow" w:hAnsi="Arial Narrow"/>
                <w:sz w:val="20"/>
                <w:szCs w:val="22"/>
              </w:rPr>
              <w:t xml:space="preserve">, </w:t>
            </w:r>
            <w:proofErr w:type="spellStart"/>
            <w:r w:rsidRPr="00F54CDC">
              <w:rPr>
                <w:rFonts w:ascii="Arial Narrow" w:hAnsi="Arial Narrow"/>
                <w:sz w:val="20"/>
                <w:szCs w:val="22"/>
              </w:rPr>
              <w:t>glitazone</w:t>
            </w:r>
            <w:proofErr w:type="spellEnd"/>
            <w:r w:rsidRPr="00F54CDC">
              <w:rPr>
                <w:rFonts w:ascii="Arial Narrow" w:hAnsi="Arial Narrow"/>
                <w:sz w:val="20"/>
                <w:szCs w:val="22"/>
              </w:rPr>
              <w:t>, glucagon-like peptide-1   or an SGLT2 inhibitor</w:t>
            </w:r>
          </w:p>
          <w:p w:rsidR="00657DF3" w:rsidRPr="00F54CDC" w:rsidRDefault="00657DF3" w:rsidP="00315D6C">
            <w:pPr>
              <w:rPr>
                <w:rFonts w:ascii="Arial Narrow" w:hAnsi="Arial Narrow"/>
                <w:sz w:val="20"/>
                <w:szCs w:val="22"/>
              </w:rPr>
            </w:pPr>
          </w:p>
        </w:tc>
      </w:tr>
      <w:tr w:rsidR="00657DF3" w:rsidRPr="00F54CDC" w:rsidTr="00F54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auto"/>
          </w:tcPr>
          <w:p w:rsidR="00657DF3" w:rsidRPr="00F54CDC" w:rsidRDefault="00657DF3" w:rsidP="00315D6C">
            <w:pPr>
              <w:rPr>
                <w:rFonts w:ascii="Arial Narrow" w:hAnsi="Arial Narrow"/>
                <w:sz w:val="20"/>
                <w:szCs w:val="22"/>
              </w:rPr>
            </w:pPr>
            <w:r w:rsidRPr="00F54CDC">
              <w:rPr>
                <w:rFonts w:ascii="Arial Narrow" w:hAnsi="Arial Narrow"/>
                <w:sz w:val="20"/>
                <w:szCs w:val="22"/>
              </w:rPr>
              <w:t xml:space="preserve">Prescriber </w:t>
            </w:r>
            <w:r w:rsidRPr="00F54CDC">
              <w:rPr>
                <w:rFonts w:ascii="Arial Narrow" w:hAnsi="Arial Narrow"/>
                <w:sz w:val="20"/>
                <w:szCs w:val="22"/>
              </w:rPr>
              <w:lastRenderedPageBreak/>
              <w:t>Instructions</w:t>
            </w:r>
          </w:p>
        </w:tc>
        <w:tc>
          <w:tcPr>
            <w:tcW w:w="7087" w:type="dxa"/>
            <w:gridSpan w:val="6"/>
            <w:shd w:val="clear" w:color="auto" w:fill="auto"/>
          </w:tcPr>
          <w:p w:rsidR="00657DF3" w:rsidRPr="00F54CDC" w:rsidRDefault="00657DF3" w:rsidP="00315D6C">
            <w:pPr>
              <w:rPr>
                <w:rFonts w:ascii="Arial Narrow" w:hAnsi="Arial Narrow"/>
                <w:sz w:val="20"/>
                <w:szCs w:val="22"/>
              </w:rPr>
            </w:pPr>
            <w:r w:rsidRPr="00F54CDC">
              <w:rPr>
                <w:rFonts w:ascii="Arial Narrow" w:hAnsi="Arial Narrow"/>
                <w:sz w:val="20"/>
                <w:szCs w:val="22"/>
              </w:rPr>
              <w:lastRenderedPageBreak/>
              <w:t xml:space="preserve">The date and level of the qualifying HbA1c measurement must be, or must have been, </w:t>
            </w:r>
            <w:r w:rsidRPr="00F54CDC">
              <w:rPr>
                <w:rFonts w:ascii="Arial Narrow" w:hAnsi="Arial Narrow"/>
                <w:sz w:val="20"/>
                <w:szCs w:val="22"/>
              </w:rPr>
              <w:lastRenderedPageBreak/>
              <w:t>documented in</w:t>
            </w:r>
            <w:r w:rsidR="008133EB" w:rsidRPr="00F54CDC">
              <w:rPr>
                <w:rFonts w:ascii="Arial Narrow" w:hAnsi="Arial Narrow"/>
                <w:sz w:val="20"/>
                <w:szCs w:val="22"/>
              </w:rPr>
              <w:t xml:space="preserve"> the patient’s medical records </w:t>
            </w:r>
            <w:r w:rsidRPr="00F54CDC">
              <w:rPr>
                <w:rFonts w:ascii="Arial Narrow" w:hAnsi="Arial Narrow"/>
                <w:sz w:val="20"/>
                <w:szCs w:val="22"/>
              </w:rPr>
              <w:t xml:space="preserve">at the time treatment with a </w:t>
            </w:r>
            <w:proofErr w:type="spellStart"/>
            <w:r w:rsidRPr="00F54CDC">
              <w:rPr>
                <w:rFonts w:ascii="Arial Narrow" w:hAnsi="Arial Narrow"/>
                <w:sz w:val="20"/>
                <w:szCs w:val="22"/>
              </w:rPr>
              <w:t>gliptin</w:t>
            </w:r>
            <w:proofErr w:type="spellEnd"/>
            <w:r w:rsidRPr="00F54CDC">
              <w:rPr>
                <w:rFonts w:ascii="Arial Narrow" w:hAnsi="Arial Narrow"/>
                <w:sz w:val="20"/>
                <w:szCs w:val="22"/>
              </w:rPr>
              <w:t xml:space="preserve">, a </w:t>
            </w:r>
            <w:proofErr w:type="spellStart"/>
            <w:r w:rsidRPr="00F54CDC">
              <w:rPr>
                <w:rFonts w:ascii="Arial Narrow" w:hAnsi="Arial Narrow"/>
                <w:sz w:val="20"/>
                <w:szCs w:val="22"/>
              </w:rPr>
              <w:t>glitazone</w:t>
            </w:r>
            <w:proofErr w:type="spellEnd"/>
            <w:r w:rsidRPr="00F54CDC">
              <w:rPr>
                <w:rFonts w:ascii="Arial Narrow" w:hAnsi="Arial Narrow"/>
                <w:sz w:val="20"/>
                <w:szCs w:val="22"/>
              </w:rPr>
              <w:t>, a GLP1 or an SGLT 2 inhibitor is initiated.</w:t>
            </w:r>
          </w:p>
          <w:p w:rsidR="00657DF3" w:rsidRPr="00F54CDC" w:rsidRDefault="00657DF3" w:rsidP="00315D6C">
            <w:pPr>
              <w:rPr>
                <w:rFonts w:ascii="Arial Narrow" w:hAnsi="Arial Narrow"/>
                <w:sz w:val="20"/>
                <w:szCs w:val="22"/>
              </w:rPr>
            </w:pPr>
          </w:p>
          <w:p w:rsidR="00657DF3" w:rsidRPr="00F54CDC" w:rsidRDefault="00657DF3" w:rsidP="00315D6C">
            <w:pPr>
              <w:rPr>
                <w:rFonts w:ascii="Arial Narrow" w:hAnsi="Arial Narrow"/>
                <w:sz w:val="20"/>
                <w:szCs w:val="22"/>
              </w:rPr>
            </w:pPr>
            <w:r w:rsidRPr="00F54CDC">
              <w:rPr>
                <w:rFonts w:ascii="Arial Narrow" w:hAnsi="Arial Narrow"/>
                <w:sz w:val="20"/>
                <w:szCs w:val="22"/>
              </w:rPr>
              <w:t xml:space="preserve">The HbA1c must be no more than 4 months old at the time treatment with a </w:t>
            </w:r>
            <w:proofErr w:type="spellStart"/>
            <w:r w:rsidRPr="00F54CDC">
              <w:rPr>
                <w:rFonts w:ascii="Arial Narrow" w:hAnsi="Arial Narrow"/>
                <w:sz w:val="20"/>
                <w:szCs w:val="22"/>
              </w:rPr>
              <w:t>gliptin</w:t>
            </w:r>
            <w:proofErr w:type="spellEnd"/>
            <w:r w:rsidRPr="00F54CDC">
              <w:rPr>
                <w:rFonts w:ascii="Arial Narrow" w:hAnsi="Arial Narrow"/>
                <w:sz w:val="20"/>
                <w:szCs w:val="22"/>
              </w:rPr>
              <w:t xml:space="preserve">, </w:t>
            </w:r>
            <w:proofErr w:type="spellStart"/>
            <w:r w:rsidRPr="00F54CDC">
              <w:rPr>
                <w:rFonts w:ascii="Arial Narrow" w:hAnsi="Arial Narrow"/>
                <w:sz w:val="20"/>
                <w:szCs w:val="22"/>
              </w:rPr>
              <w:t>glitazone</w:t>
            </w:r>
            <w:proofErr w:type="spellEnd"/>
            <w:r w:rsidRPr="00F54CDC">
              <w:rPr>
                <w:rFonts w:ascii="Arial Narrow" w:hAnsi="Arial Narrow"/>
                <w:sz w:val="20"/>
                <w:szCs w:val="22"/>
              </w:rPr>
              <w:t>, glucagon-like peptide-1   or an SGLT2 inhibitor was initiated.</w:t>
            </w:r>
          </w:p>
          <w:p w:rsidR="00657DF3" w:rsidRPr="00F54CDC" w:rsidRDefault="00657DF3" w:rsidP="00315D6C">
            <w:pPr>
              <w:rPr>
                <w:rFonts w:ascii="Arial Narrow" w:hAnsi="Arial Narrow"/>
                <w:sz w:val="20"/>
                <w:szCs w:val="22"/>
              </w:rPr>
            </w:pPr>
          </w:p>
          <w:p w:rsidR="00657DF3" w:rsidRPr="00F54CDC" w:rsidRDefault="00657DF3" w:rsidP="00315D6C">
            <w:pPr>
              <w:rPr>
                <w:rFonts w:ascii="Arial Narrow" w:hAnsi="Arial Narrow"/>
                <w:sz w:val="20"/>
                <w:szCs w:val="22"/>
              </w:rPr>
            </w:pPr>
            <w:r w:rsidRPr="00F54CDC">
              <w:rPr>
                <w:rFonts w:ascii="Arial Narrow" w:hAnsi="Arial Narrow"/>
                <w:sz w:val="20"/>
                <w:szCs w:val="22"/>
              </w:rPr>
              <w:t>Blood glucose monitoring may be used as an alternative assessment to HbA1c levels in the following circumstances:</w:t>
            </w:r>
          </w:p>
          <w:p w:rsidR="00657DF3" w:rsidRPr="00F54CDC" w:rsidRDefault="00657DF3" w:rsidP="00657DF3">
            <w:pPr>
              <w:pStyle w:val="ListParagraph"/>
              <w:numPr>
                <w:ilvl w:val="0"/>
                <w:numId w:val="18"/>
              </w:numPr>
              <w:spacing w:before="120" w:line="360" w:lineRule="auto"/>
              <w:ind w:left="0"/>
              <w:jc w:val="left"/>
              <w:rPr>
                <w:rFonts w:ascii="Arial Narrow" w:hAnsi="Arial Narrow"/>
                <w:sz w:val="20"/>
                <w:szCs w:val="22"/>
              </w:rPr>
            </w:pPr>
            <w:r w:rsidRPr="00F54CDC">
              <w:rPr>
                <w:rFonts w:ascii="Arial Narrow" w:hAnsi="Arial Narrow"/>
                <w:sz w:val="20"/>
                <w:szCs w:val="22"/>
              </w:rPr>
              <w:t xml:space="preserve">(a) A clinical condition with reduced red blood cell survival, including haemolytic </w:t>
            </w:r>
            <w:proofErr w:type="spellStart"/>
            <w:r w:rsidRPr="00F54CDC">
              <w:rPr>
                <w:rFonts w:ascii="Arial Narrow" w:hAnsi="Arial Narrow"/>
                <w:sz w:val="20"/>
                <w:szCs w:val="22"/>
              </w:rPr>
              <w:t>anaemias</w:t>
            </w:r>
            <w:proofErr w:type="spellEnd"/>
            <w:r w:rsidRPr="00F54CDC">
              <w:rPr>
                <w:rFonts w:ascii="Arial Narrow" w:hAnsi="Arial Narrow"/>
                <w:sz w:val="20"/>
                <w:szCs w:val="22"/>
              </w:rPr>
              <w:t xml:space="preserve"> and </w:t>
            </w:r>
            <w:proofErr w:type="spellStart"/>
            <w:r w:rsidRPr="00F54CDC">
              <w:rPr>
                <w:rFonts w:ascii="Arial Narrow" w:hAnsi="Arial Narrow"/>
                <w:sz w:val="20"/>
                <w:szCs w:val="22"/>
              </w:rPr>
              <w:t>haemoglobinopathies</w:t>
            </w:r>
            <w:proofErr w:type="spellEnd"/>
            <w:r w:rsidRPr="00F54CDC">
              <w:rPr>
                <w:rFonts w:ascii="Arial Narrow" w:hAnsi="Arial Narrow"/>
                <w:sz w:val="20"/>
                <w:szCs w:val="22"/>
              </w:rPr>
              <w:t>; and/or</w:t>
            </w:r>
          </w:p>
          <w:p w:rsidR="00657DF3" w:rsidRPr="00F54CDC" w:rsidRDefault="00657DF3" w:rsidP="00657DF3">
            <w:pPr>
              <w:pStyle w:val="ListParagraph"/>
              <w:numPr>
                <w:ilvl w:val="0"/>
                <w:numId w:val="18"/>
              </w:numPr>
              <w:spacing w:before="120" w:line="360" w:lineRule="auto"/>
              <w:ind w:left="0"/>
              <w:jc w:val="left"/>
              <w:rPr>
                <w:rFonts w:ascii="Arial Narrow" w:hAnsi="Arial Narrow"/>
                <w:sz w:val="20"/>
                <w:szCs w:val="22"/>
              </w:rPr>
            </w:pPr>
            <w:r w:rsidRPr="00F54CDC">
              <w:rPr>
                <w:rFonts w:ascii="Arial Narrow" w:hAnsi="Arial Narrow"/>
                <w:sz w:val="20"/>
                <w:szCs w:val="22"/>
              </w:rPr>
              <w:t>(b) Had red cell transfusion within the previous 3 months</w:t>
            </w:r>
          </w:p>
          <w:p w:rsidR="00657DF3" w:rsidRPr="00F54CDC" w:rsidRDefault="00657DF3" w:rsidP="00315D6C">
            <w:pPr>
              <w:rPr>
                <w:rFonts w:ascii="Arial Narrow" w:hAnsi="Arial Narrow"/>
                <w:sz w:val="20"/>
                <w:szCs w:val="22"/>
              </w:rPr>
            </w:pPr>
            <w:r w:rsidRPr="00F54CDC">
              <w:rPr>
                <w:rFonts w:ascii="Arial Narrow" w:hAnsi="Arial Narrow"/>
                <w:sz w:val="20"/>
                <w:szCs w:val="22"/>
              </w:rPr>
              <w:t xml:space="preserve">The result of the blood glucose monitoring, which must be no more than 4 months old at the time of initiation of treatment with a </w:t>
            </w:r>
            <w:proofErr w:type="spellStart"/>
            <w:r w:rsidRPr="00F54CDC">
              <w:rPr>
                <w:rFonts w:ascii="Arial Narrow" w:hAnsi="Arial Narrow"/>
                <w:sz w:val="20"/>
                <w:szCs w:val="22"/>
              </w:rPr>
              <w:t>gliptin</w:t>
            </w:r>
            <w:proofErr w:type="spellEnd"/>
            <w:r w:rsidRPr="00F54CDC">
              <w:rPr>
                <w:rFonts w:ascii="Arial Narrow" w:hAnsi="Arial Narrow"/>
                <w:sz w:val="20"/>
                <w:szCs w:val="22"/>
              </w:rPr>
              <w:t xml:space="preserve">, a </w:t>
            </w:r>
            <w:proofErr w:type="spellStart"/>
            <w:r w:rsidRPr="00F54CDC">
              <w:rPr>
                <w:rFonts w:ascii="Arial Narrow" w:hAnsi="Arial Narrow"/>
                <w:sz w:val="20"/>
                <w:szCs w:val="22"/>
              </w:rPr>
              <w:t>glitazone</w:t>
            </w:r>
            <w:proofErr w:type="spellEnd"/>
            <w:r w:rsidRPr="00F54CDC">
              <w:rPr>
                <w:rFonts w:ascii="Arial Narrow" w:hAnsi="Arial Narrow"/>
                <w:sz w:val="20"/>
                <w:szCs w:val="22"/>
              </w:rPr>
              <w:t>, a GLP1 or an SGLT2 inhibitor, must be documented in the patient’s medical records.</w:t>
            </w:r>
          </w:p>
          <w:p w:rsidR="00657DF3" w:rsidRPr="00F54CDC" w:rsidRDefault="00657DF3" w:rsidP="00315D6C">
            <w:pPr>
              <w:rPr>
                <w:rFonts w:ascii="Arial Narrow" w:hAnsi="Arial Narrow"/>
                <w:sz w:val="20"/>
                <w:szCs w:val="22"/>
              </w:rPr>
            </w:pPr>
          </w:p>
        </w:tc>
      </w:tr>
      <w:tr w:rsidR="00657DF3" w:rsidRPr="00F54CDC" w:rsidTr="00F54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auto"/>
          </w:tcPr>
          <w:p w:rsidR="00657DF3" w:rsidRPr="00F54CDC" w:rsidRDefault="00657DF3" w:rsidP="00315D6C">
            <w:pPr>
              <w:rPr>
                <w:rFonts w:ascii="Arial Narrow" w:hAnsi="Arial Narrow"/>
                <w:sz w:val="20"/>
                <w:szCs w:val="22"/>
              </w:rPr>
            </w:pPr>
            <w:r w:rsidRPr="00F54CDC">
              <w:rPr>
                <w:rFonts w:ascii="Arial Narrow" w:hAnsi="Arial Narrow"/>
                <w:sz w:val="20"/>
                <w:szCs w:val="22"/>
              </w:rPr>
              <w:lastRenderedPageBreak/>
              <w:t>Administrative advice</w:t>
            </w:r>
          </w:p>
        </w:tc>
        <w:tc>
          <w:tcPr>
            <w:tcW w:w="7087" w:type="dxa"/>
            <w:gridSpan w:val="6"/>
            <w:shd w:val="clear" w:color="auto" w:fill="auto"/>
          </w:tcPr>
          <w:p w:rsidR="00A264E7" w:rsidRPr="00F54CDC" w:rsidRDefault="00A264E7" w:rsidP="00A264E7">
            <w:pPr>
              <w:autoSpaceDE w:val="0"/>
              <w:autoSpaceDN w:val="0"/>
              <w:adjustRightInd w:val="0"/>
              <w:rPr>
                <w:rFonts w:ascii="Arial Narrow" w:hAnsi="Arial Narrow"/>
                <w:b/>
                <w:color w:val="000000"/>
                <w:sz w:val="20"/>
                <w:szCs w:val="22"/>
              </w:rPr>
            </w:pPr>
            <w:r w:rsidRPr="00F54CDC">
              <w:rPr>
                <w:rFonts w:ascii="Arial Narrow" w:hAnsi="Arial Narrow"/>
                <w:b/>
                <w:color w:val="000000"/>
                <w:sz w:val="20"/>
                <w:szCs w:val="22"/>
              </w:rPr>
              <w:t>Note:</w:t>
            </w:r>
          </w:p>
          <w:p w:rsidR="00A264E7" w:rsidRPr="00F54CDC" w:rsidRDefault="00A264E7" w:rsidP="00A264E7">
            <w:pPr>
              <w:autoSpaceDE w:val="0"/>
              <w:autoSpaceDN w:val="0"/>
              <w:adjustRightInd w:val="0"/>
              <w:rPr>
                <w:rFonts w:ascii="Arial Narrow" w:hAnsi="Arial Narrow"/>
                <w:b/>
                <w:color w:val="000000"/>
                <w:sz w:val="20"/>
                <w:szCs w:val="22"/>
              </w:rPr>
            </w:pPr>
            <w:r w:rsidRPr="00F54CDC">
              <w:rPr>
                <w:rFonts w:ascii="Arial Narrow" w:hAnsi="Arial Narrow"/>
                <w:b/>
                <w:color w:val="000000"/>
                <w:sz w:val="20"/>
                <w:szCs w:val="22"/>
              </w:rPr>
              <w:t>Continuing Therapy Only:</w:t>
            </w:r>
          </w:p>
          <w:p w:rsidR="00A264E7" w:rsidRPr="00F54CDC" w:rsidRDefault="00A264E7" w:rsidP="00A264E7">
            <w:pPr>
              <w:autoSpaceDE w:val="0"/>
              <w:autoSpaceDN w:val="0"/>
              <w:adjustRightInd w:val="0"/>
              <w:rPr>
                <w:rFonts w:ascii="Arial Narrow" w:hAnsi="Arial Narrow"/>
                <w:color w:val="000000"/>
                <w:sz w:val="20"/>
                <w:szCs w:val="22"/>
              </w:rPr>
            </w:pPr>
            <w:r w:rsidRPr="00F54CDC">
              <w:rPr>
                <w:rFonts w:ascii="Arial Narrow" w:hAnsi="Arial Narrow"/>
                <w:color w:val="000000"/>
                <w:sz w:val="20"/>
                <w:szCs w:val="22"/>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A264E7" w:rsidRPr="00F54CDC" w:rsidRDefault="00A264E7" w:rsidP="00164F40">
            <w:pPr>
              <w:rPr>
                <w:rFonts w:ascii="Arial Narrow" w:hAnsi="Arial Narrow"/>
                <w:sz w:val="20"/>
                <w:szCs w:val="22"/>
              </w:rPr>
            </w:pPr>
          </w:p>
          <w:p w:rsidR="00657DF3" w:rsidRPr="00F54CDC" w:rsidRDefault="00164F40" w:rsidP="00164F40">
            <w:pPr>
              <w:rPr>
                <w:rFonts w:ascii="Arial Narrow" w:hAnsi="Arial Narrow"/>
                <w:sz w:val="20"/>
                <w:szCs w:val="22"/>
              </w:rPr>
            </w:pPr>
            <w:r w:rsidRPr="00F54CDC">
              <w:rPr>
                <w:rFonts w:ascii="Arial Narrow" w:hAnsi="Arial Narrow"/>
                <w:sz w:val="20"/>
                <w:szCs w:val="22"/>
              </w:rPr>
              <w:t>This drug is not PBS subsidised for use in combination with metformin and a sulfonylurea (triple oral therapy), as monotherapy or in combination with insulin, a thiazolidinedione (</w:t>
            </w:r>
            <w:proofErr w:type="spellStart"/>
            <w:r w:rsidRPr="00F54CDC">
              <w:rPr>
                <w:rFonts w:ascii="Arial Narrow" w:hAnsi="Arial Narrow"/>
                <w:sz w:val="20"/>
                <w:szCs w:val="22"/>
              </w:rPr>
              <w:t>glitazone</w:t>
            </w:r>
            <w:proofErr w:type="spellEnd"/>
            <w:r w:rsidRPr="00F54CDC">
              <w:rPr>
                <w:rFonts w:ascii="Arial Narrow" w:hAnsi="Arial Narrow"/>
                <w:sz w:val="20"/>
                <w:szCs w:val="22"/>
              </w:rPr>
              <w:t xml:space="preserve">), a </w:t>
            </w:r>
            <w:proofErr w:type="spellStart"/>
            <w:r w:rsidRPr="00F54CDC">
              <w:rPr>
                <w:rFonts w:ascii="Arial Narrow" w:hAnsi="Arial Narrow"/>
                <w:sz w:val="20"/>
                <w:szCs w:val="22"/>
              </w:rPr>
              <w:t>dipeptidyl</w:t>
            </w:r>
            <w:proofErr w:type="spellEnd"/>
            <w:r w:rsidRPr="00F54CDC">
              <w:rPr>
                <w:rFonts w:ascii="Arial Narrow" w:hAnsi="Arial Narrow"/>
                <w:sz w:val="20"/>
                <w:szCs w:val="22"/>
              </w:rPr>
              <w:t xml:space="preserve"> peptidase 4 inhibitor (</w:t>
            </w:r>
            <w:proofErr w:type="spellStart"/>
            <w:r w:rsidRPr="00F54CDC">
              <w:rPr>
                <w:rFonts w:ascii="Arial Narrow" w:hAnsi="Arial Narrow"/>
                <w:sz w:val="20"/>
                <w:szCs w:val="22"/>
              </w:rPr>
              <w:t>gliptin</w:t>
            </w:r>
            <w:proofErr w:type="spellEnd"/>
            <w:r w:rsidRPr="00F54CDC">
              <w:rPr>
                <w:rFonts w:ascii="Arial Narrow" w:hAnsi="Arial Narrow"/>
                <w:sz w:val="20"/>
                <w:szCs w:val="22"/>
              </w:rPr>
              <w:t>) or a glucagon-like peptide-1.</w:t>
            </w:r>
            <w:r w:rsidR="00657DF3" w:rsidRPr="00F54CDC">
              <w:rPr>
                <w:rFonts w:ascii="Arial Narrow" w:hAnsi="Arial Narrow"/>
                <w:sz w:val="20"/>
                <w:szCs w:val="22"/>
              </w:rPr>
              <w:t xml:space="preserve"> </w:t>
            </w:r>
          </w:p>
        </w:tc>
      </w:tr>
      <w:bookmarkEnd w:id="0"/>
      <w:bookmarkEnd w:id="1"/>
      <w:bookmarkEnd w:id="2"/>
      <w:bookmarkEnd w:id="3"/>
      <w:bookmarkEnd w:id="4"/>
    </w:tbl>
    <w:p w:rsidR="00BF6D0B" w:rsidRDefault="00BF6D0B" w:rsidP="005C76C6">
      <w:pPr>
        <w:rPr>
          <w:rFonts w:eastAsia="Calibri"/>
          <w:i/>
          <w:lang w:eastAsia="en-AU"/>
        </w:rPr>
      </w:pPr>
    </w:p>
    <w:p w:rsidR="00422BA6" w:rsidRDefault="00422BA6" w:rsidP="00422BA6">
      <w:pPr>
        <w:pStyle w:val="ListParagraph"/>
        <w:widowControl/>
        <w:numPr>
          <w:ilvl w:val="0"/>
          <w:numId w:val="20"/>
        </w:numPr>
        <w:rPr>
          <w:b/>
        </w:rPr>
      </w:pPr>
      <w:r w:rsidRPr="00D4420F">
        <w:rPr>
          <w:b/>
        </w:rPr>
        <w:t>Context for Decision</w:t>
      </w:r>
    </w:p>
    <w:p w:rsidR="00422BA6" w:rsidRPr="00D4420F" w:rsidRDefault="00422BA6" w:rsidP="00B75F87">
      <w:pPr>
        <w:pStyle w:val="ListParagraph"/>
        <w:widowControl/>
        <w:rPr>
          <w:b/>
        </w:rPr>
      </w:pPr>
    </w:p>
    <w:p w:rsidR="00422BA6" w:rsidRPr="00D4420F" w:rsidRDefault="00422BA6" w:rsidP="00422BA6">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22BA6" w:rsidRPr="00D4420F" w:rsidRDefault="00422BA6" w:rsidP="00422BA6"/>
    <w:p w:rsidR="00422BA6" w:rsidRDefault="00422BA6" w:rsidP="00422BA6">
      <w:pPr>
        <w:pStyle w:val="ListParagraph"/>
        <w:widowControl/>
        <w:numPr>
          <w:ilvl w:val="0"/>
          <w:numId w:val="20"/>
        </w:numPr>
        <w:rPr>
          <w:b/>
        </w:rPr>
      </w:pPr>
      <w:r w:rsidRPr="00D4420F">
        <w:rPr>
          <w:b/>
        </w:rPr>
        <w:t>Sponsor’s Comment</w:t>
      </w:r>
    </w:p>
    <w:p w:rsidR="00B75F87" w:rsidRPr="00D4420F" w:rsidRDefault="00B75F87" w:rsidP="00B75F87">
      <w:pPr>
        <w:pStyle w:val="ListParagraph"/>
        <w:widowControl/>
        <w:rPr>
          <w:b/>
        </w:rPr>
      </w:pPr>
    </w:p>
    <w:p w:rsidR="00B318C4" w:rsidRPr="00B21822" w:rsidRDefault="008354AE" w:rsidP="00B318C4">
      <w:pPr>
        <w:pStyle w:val="ListParagraph"/>
        <w:widowControl/>
        <w:rPr>
          <w:bCs/>
        </w:rPr>
      </w:pPr>
      <w:r>
        <w:rPr>
          <w:bCs/>
        </w:rPr>
        <w:t>The s</w:t>
      </w:r>
      <w:r w:rsidR="00B318C4" w:rsidRPr="00B21822">
        <w:rPr>
          <w:bCs/>
        </w:rPr>
        <w:t xml:space="preserve">ponsor </w:t>
      </w:r>
      <w:r w:rsidR="00B318C4">
        <w:rPr>
          <w:bCs/>
        </w:rPr>
        <w:t>ha</w:t>
      </w:r>
      <w:r w:rsidR="00B75F87">
        <w:rPr>
          <w:bCs/>
        </w:rPr>
        <w:t>d</w:t>
      </w:r>
      <w:r w:rsidR="00B318C4">
        <w:rPr>
          <w:bCs/>
        </w:rPr>
        <w:t xml:space="preserve"> no comment.</w:t>
      </w:r>
    </w:p>
    <w:p w:rsidR="00422BA6" w:rsidRPr="00B318C4" w:rsidRDefault="00422BA6" w:rsidP="005C76C6">
      <w:pPr>
        <w:rPr>
          <w:rFonts w:eastAsia="Calibri"/>
          <w:lang w:eastAsia="en-AU"/>
        </w:rPr>
      </w:pPr>
    </w:p>
    <w:sectPr w:rsidR="00422BA6" w:rsidRPr="00B318C4" w:rsidSect="00F83114">
      <w:headerReference w:type="default" r:id="rId9"/>
      <w:footerReference w:type="default" r:id="rId10"/>
      <w:pgSz w:w="11906" w:h="16838"/>
      <w:pgMar w:top="1440" w:right="1440" w:bottom="1440" w:left="1440" w:header="851" w:footer="9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A8" w:rsidRDefault="00C05DA8" w:rsidP="00124A51">
      <w:r>
        <w:separator/>
      </w:r>
    </w:p>
  </w:endnote>
  <w:endnote w:type="continuationSeparator" w:id="0">
    <w:p w:rsidR="00C05DA8" w:rsidRDefault="00C05DA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85463"/>
      <w:docPartObj>
        <w:docPartGallery w:val="Page Numbers (Bottom of Page)"/>
        <w:docPartUnique/>
      </w:docPartObj>
    </w:sdtPr>
    <w:sdtEndPr>
      <w:rPr>
        <w:noProof/>
      </w:rPr>
    </w:sdtEndPr>
    <w:sdtContent>
      <w:p w:rsidR="00A35DC5" w:rsidRDefault="00A35DC5">
        <w:pPr>
          <w:pStyle w:val="Footer"/>
          <w:jc w:val="center"/>
        </w:pPr>
      </w:p>
      <w:p w:rsidR="00A35DC5" w:rsidRDefault="00A35DC5">
        <w:pPr>
          <w:pStyle w:val="Footer"/>
          <w:jc w:val="center"/>
        </w:pPr>
        <w:r>
          <w:fldChar w:fldCharType="begin"/>
        </w:r>
        <w:r>
          <w:instrText xml:space="preserve"> PAGE   \* MERGEFORMAT </w:instrText>
        </w:r>
        <w:r>
          <w:fldChar w:fldCharType="separate"/>
        </w:r>
        <w:r w:rsidR="0035157B">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A8" w:rsidRDefault="00C05DA8" w:rsidP="00124A51">
      <w:r>
        <w:separator/>
      </w:r>
    </w:p>
  </w:footnote>
  <w:footnote w:type="continuationSeparator" w:id="0">
    <w:p w:rsidR="00C05DA8" w:rsidRDefault="00C05DA8"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C5" w:rsidRPr="00DF217D" w:rsidRDefault="00A35DC5" w:rsidP="00422BA6">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A35DC5" w:rsidRPr="00422BA6" w:rsidRDefault="00A35DC5" w:rsidP="00422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BED"/>
    <w:multiLevelType w:val="multilevel"/>
    <w:tmpl w:val="5FF6D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5352B"/>
    <w:multiLevelType w:val="multilevel"/>
    <w:tmpl w:val="D40C7C50"/>
    <w:lvl w:ilvl="0">
      <w:start w:val="1"/>
      <w:numFmt w:val="decimal"/>
      <w:lvlText w:val="%1"/>
      <w:lvlJc w:val="left"/>
      <w:pPr>
        <w:ind w:left="720" w:hanging="720"/>
      </w:pPr>
      <w:rPr>
        <w:b/>
      </w:r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D7044A9"/>
    <w:multiLevelType w:val="multilevel"/>
    <w:tmpl w:val="6B3E9E12"/>
    <w:lvl w:ilvl="0">
      <w:start w:val="3"/>
      <w:numFmt w:val="decimal"/>
      <w:lvlText w:val="%1"/>
      <w:lvlJc w:val="left"/>
      <w:pPr>
        <w:ind w:left="720" w:hanging="720"/>
      </w:pPr>
      <w:rPr>
        <w:b/>
      </w:r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146473BD"/>
    <w:multiLevelType w:val="hybridMultilevel"/>
    <w:tmpl w:val="CA56C820"/>
    <w:lvl w:ilvl="0" w:tplc="253E0ADE">
      <w:start w:val="1"/>
      <w:numFmt w:val="bullet"/>
      <w:lvlText w:val="-"/>
      <w:lvlJc w:val="left"/>
      <w:pPr>
        <w:ind w:left="1429" w:hanging="360"/>
      </w:pPr>
      <w:rPr>
        <w:rFonts w:ascii="Arial" w:eastAsia="Times New Roman" w:hAnsi="Arial" w:cs="Aria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nsid w:val="355F4A5B"/>
    <w:multiLevelType w:val="multilevel"/>
    <w:tmpl w:val="949CB208"/>
    <w:lvl w:ilvl="0">
      <w:start w:val="2"/>
      <w:numFmt w:val="decimal"/>
      <w:lvlText w:val="%1"/>
      <w:lvlJc w:val="left"/>
      <w:pPr>
        <w:ind w:left="720" w:hanging="720"/>
      </w:pPr>
      <w:rPr>
        <w:b/>
      </w:rPr>
    </w:lvl>
    <w:lvl w:ilvl="1">
      <w:start w:val="2"/>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D170E3"/>
    <w:multiLevelType w:val="hybridMultilevel"/>
    <w:tmpl w:val="079A0BB4"/>
    <w:lvl w:ilvl="0" w:tplc="5CDA8758">
      <w:start w:val="1"/>
      <w:numFmt w:val="decimal"/>
      <w:lvlText w:val="5.%1"/>
      <w:lvlJc w:val="left"/>
      <w:pPr>
        <w:ind w:left="720" w:hanging="360"/>
      </w:pPr>
      <w:rPr>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AF912B7"/>
    <w:multiLevelType w:val="hybridMultilevel"/>
    <w:tmpl w:val="AF4478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BC5196"/>
    <w:multiLevelType w:val="multilevel"/>
    <w:tmpl w:val="306AD88E"/>
    <w:lvl w:ilvl="0">
      <w:start w:val="6"/>
      <w:numFmt w:val="decimal"/>
      <w:lvlText w:val="%1"/>
      <w:lvlJc w:val="left"/>
      <w:pPr>
        <w:ind w:left="360" w:hanging="360"/>
      </w:pPr>
      <w:rPr>
        <w:i w:val="0"/>
      </w:r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5AB471BD"/>
    <w:multiLevelType w:val="hybridMultilevel"/>
    <w:tmpl w:val="48567FE8"/>
    <w:lvl w:ilvl="0" w:tplc="5DFC1A08">
      <w:start w:val="1"/>
      <w:numFmt w:val="bullet"/>
      <w:lvlText w:val="•"/>
      <w:lvlJc w:val="left"/>
      <w:pPr>
        <w:tabs>
          <w:tab w:val="num" w:pos="720"/>
        </w:tabs>
        <w:ind w:left="720" w:hanging="360"/>
      </w:pPr>
      <w:rPr>
        <w:rFonts w:ascii="Arial" w:hAnsi="Arial" w:hint="default"/>
      </w:rPr>
    </w:lvl>
    <w:lvl w:ilvl="1" w:tplc="15D611A6" w:tentative="1">
      <w:start w:val="1"/>
      <w:numFmt w:val="bullet"/>
      <w:lvlText w:val="•"/>
      <w:lvlJc w:val="left"/>
      <w:pPr>
        <w:tabs>
          <w:tab w:val="num" w:pos="1440"/>
        </w:tabs>
        <w:ind w:left="1440" w:hanging="360"/>
      </w:pPr>
      <w:rPr>
        <w:rFonts w:ascii="Arial" w:hAnsi="Arial" w:hint="default"/>
      </w:rPr>
    </w:lvl>
    <w:lvl w:ilvl="2" w:tplc="492C9506" w:tentative="1">
      <w:start w:val="1"/>
      <w:numFmt w:val="bullet"/>
      <w:lvlText w:val="•"/>
      <w:lvlJc w:val="left"/>
      <w:pPr>
        <w:tabs>
          <w:tab w:val="num" w:pos="2160"/>
        </w:tabs>
        <w:ind w:left="2160" w:hanging="360"/>
      </w:pPr>
      <w:rPr>
        <w:rFonts w:ascii="Arial" w:hAnsi="Arial" w:hint="default"/>
      </w:rPr>
    </w:lvl>
    <w:lvl w:ilvl="3" w:tplc="9ADEC1AC" w:tentative="1">
      <w:start w:val="1"/>
      <w:numFmt w:val="bullet"/>
      <w:lvlText w:val="•"/>
      <w:lvlJc w:val="left"/>
      <w:pPr>
        <w:tabs>
          <w:tab w:val="num" w:pos="2880"/>
        </w:tabs>
        <w:ind w:left="2880" w:hanging="360"/>
      </w:pPr>
      <w:rPr>
        <w:rFonts w:ascii="Arial" w:hAnsi="Arial" w:hint="default"/>
      </w:rPr>
    </w:lvl>
    <w:lvl w:ilvl="4" w:tplc="9698C69E" w:tentative="1">
      <w:start w:val="1"/>
      <w:numFmt w:val="bullet"/>
      <w:lvlText w:val="•"/>
      <w:lvlJc w:val="left"/>
      <w:pPr>
        <w:tabs>
          <w:tab w:val="num" w:pos="3600"/>
        </w:tabs>
        <w:ind w:left="3600" w:hanging="360"/>
      </w:pPr>
      <w:rPr>
        <w:rFonts w:ascii="Arial" w:hAnsi="Arial" w:hint="default"/>
      </w:rPr>
    </w:lvl>
    <w:lvl w:ilvl="5" w:tplc="4F88A190" w:tentative="1">
      <w:start w:val="1"/>
      <w:numFmt w:val="bullet"/>
      <w:lvlText w:val="•"/>
      <w:lvlJc w:val="left"/>
      <w:pPr>
        <w:tabs>
          <w:tab w:val="num" w:pos="4320"/>
        </w:tabs>
        <w:ind w:left="4320" w:hanging="360"/>
      </w:pPr>
      <w:rPr>
        <w:rFonts w:ascii="Arial" w:hAnsi="Arial" w:hint="default"/>
      </w:rPr>
    </w:lvl>
    <w:lvl w:ilvl="6" w:tplc="95E4E814" w:tentative="1">
      <w:start w:val="1"/>
      <w:numFmt w:val="bullet"/>
      <w:lvlText w:val="•"/>
      <w:lvlJc w:val="left"/>
      <w:pPr>
        <w:tabs>
          <w:tab w:val="num" w:pos="5040"/>
        </w:tabs>
        <w:ind w:left="5040" w:hanging="360"/>
      </w:pPr>
      <w:rPr>
        <w:rFonts w:ascii="Arial" w:hAnsi="Arial" w:hint="default"/>
      </w:rPr>
    </w:lvl>
    <w:lvl w:ilvl="7" w:tplc="F5928CBE" w:tentative="1">
      <w:start w:val="1"/>
      <w:numFmt w:val="bullet"/>
      <w:lvlText w:val="•"/>
      <w:lvlJc w:val="left"/>
      <w:pPr>
        <w:tabs>
          <w:tab w:val="num" w:pos="5760"/>
        </w:tabs>
        <w:ind w:left="5760" w:hanging="360"/>
      </w:pPr>
      <w:rPr>
        <w:rFonts w:ascii="Arial" w:hAnsi="Arial" w:hint="default"/>
      </w:rPr>
    </w:lvl>
    <w:lvl w:ilvl="8" w:tplc="FA6CA126" w:tentative="1">
      <w:start w:val="1"/>
      <w:numFmt w:val="bullet"/>
      <w:lvlText w:val="•"/>
      <w:lvlJc w:val="left"/>
      <w:pPr>
        <w:tabs>
          <w:tab w:val="num" w:pos="6480"/>
        </w:tabs>
        <w:ind w:left="6480" w:hanging="360"/>
      </w:pPr>
      <w:rPr>
        <w:rFonts w:ascii="Arial" w:hAnsi="Arial" w:hint="default"/>
      </w:rPr>
    </w:lvl>
  </w:abstractNum>
  <w:abstractNum w:abstractNumId="13">
    <w:nsid w:val="642365D3"/>
    <w:multiLevelType w:val="hybridMultilevel"/>
    <w:tmpl w:val="FE665BA2"/>
    <w:lvl w:ilvl="0" w:tplc="FFFFFFFF">
      <w:start w:val="1"/>
      <w:numFmt w:val="bullet"/>
      <w:lvlText w:val=""/>
      <w:lvlJc w:val="left"/>
      <w:pPr>
        <w:ind w:left="720" w:hanging="360"/>
      </w:pPr>
      <w:rPr>
        <w:rFonts w:ascii="Symbol" w:hAnsi="Symbol" w:hint="default"/>
      </w:rPr>
    </w:lvl>
    <w:lvl w:ilvl="1" w:tplc="F488CFD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A3C3CBE"/>
    <w:multiLevelType w:val="hybridMultilevel"/>
    <w:tmpl w:val="157ED43A"/>
    <w:lvl w:ilvl="0" w:tplc="5C4C6454">
      <w:start w:val="1"/>
      <w:numFmt w:val="bullet"/>
      <w:lvlText w:val="•"/>
      <w:lvlJc w:val="left"/>
      <w:pPr>
        <w:tabs>
          <w:tab w:val="num" w:pos="720"/>
        </w:tabs>
        <w:ind w:left="720" w:hanging="360"/>
      </w:pPr>
      <w:rPr>
        <w:rFonts w:ascii="Arial" w:hAnsi="Arial" w:hint="default"/>
      </w:rPr>
    </w:lvl>
    <w:lvl w:ilvl="1" w:tplc="72DE2698" w:tentative="1">
      <w:start w:val="1"/>
      <w:numFmt w:val="bullet"/>
      <w:lvlText w:val="•"/>
      <w:lvlJc w:val="left"/>
      <w:pPr>
        <w:tabs>
          <w:tab w:val="num" w:pos="1440"/>
        </w:tabs>
        <w:ind w:left="1440" w:hanging="360"/>
      </w:pPr>
      <w:rPr>
        <w:rFonts w:ascii="Arial" w:hAnsi="Arial" w:hint="default"/>
      </w:rPr>
    </w:lvl>
    <w:lvl w:ilvl="2" w:tplc="F992ECB6" w:tentative="1">
      <w:start w:val="1"/>
      <w:numFmt w:val="bullet"/>
      <w:lvlText w:val="•"/>
      <w:lvlJc w:val="left"/>
      <w:pPr>
        <w:tabs>
          <w:tab w:val="num" w:pos="2160"/>
        </w:tabs>
        <w:ind w:left="2160" w:hanging="360"/>
      </w:pPr>
      <w:rPr>
        <w:rFonts w:ascii="Arial" w:hAnsi="Arial" w:hint="default"/>
      </w:rPr>
    </w:lvl>
    <w:lvl w:ilvl="3" w:tplc="88A0DD56" w:tentative="1">
      <w:start w:val="1"/>
      <w:numFmt w:val="bullet"/>
      <w:lvlText w:val="•"/>
      <w:lvlJc w:val="left"/>
      <w:pPr>
        <w:tabs>
          <w:tab w:val="num" w:pos="2880"/>
        </w:tabs>
        <w:ind w:left="2880" w:hanging="360"/>
      </w:pPr>
      <w:rPr>
        <w:rFonts w:ascii="Arial" w:hAnsi="Arial" w:hint="default"/>
      </w:rPr>
    </w:lvl>
    <w:lvl w:ilvl="4" w:tplc="CB086976" w:tentative="1">
      <w:start w:val="1"/>
      <w:numFmt w:val="bullet"/>
      <w:lvlText w:val="•"/>
      <w:lvlJc w:val="left"/>
      <w:pPr>
        <w:tabs>
          <w:tab w:val="num" w:pos="3600"/>
        </w:tabs>
        <w:ind w:left="3600" w:hanging="360"/>
      </w:pPr>
      <w:rPr>
        <w:rFonts w:ascii="Arial" w:hAnsi="Arial" w:hint="default"/>
      </w:rPr>
    </w:lvl>
    <w:lvl w:ilvl="5" w:tplc="645A3BCC" w:tentative="1">
      <w:start w:val="1"/>
      <w:numFmt w:val="bullet"/>
      <w:lvlText w:val="•"/>
      <w:lvlJc w:val="left"/>
      <w:pPr>
        <w:tabs>
          <w:tab w:val="num" w:pos="4320"/>
        </w:tabs>
        <w:ind w:left="4320" w:hanging="360"/>
      </w:pPr>
      <w:rPr>
        <w:rFonts w:ascii="Arial" w:hAnsi="Arial" w:hint="default"/>
      </w:rPr>
    </w:lvl>
    <w:lvl w:ilvl="6" w:tplc="5E02E918" w:tentative="1">
      <w:start w:val="1"/>
      <w:numFmt w:val="bullet"/>
      <w:lvlText w:val="•"/>
      <w:lvlJc w:val="left"/>
      <w:pPr>
        <w:tabs>
          <w:tab w:val="num" w:pos="5040"/>
        </w:tabs>
        <w:ind w:left="5040" w:hanging="360"/>
      </w:pPr>
      <w:rPr>
        <w:rFonts w:ascii="Arial" w:hAnsi="Arial" w:hint="default"/>
      </w:rPr>
    </w:lvl>
    <w:lvl w:ilvl="7" w:tplc="FA0418F8" w:tentative="1">
      <w:start w:val="1"/>
      <w:numFmt w:val="bullet"/>
      <w:lvlText w:val="•"/>
      <w:lvlJc w:val="left"/>
      <w:pPr>
        <w:tabs>
          <w:tab w:val="num" w:pos="5760"/>
        </w:tabs>
        <w:ind w:left="5760" w:hanging="360"/>
      </w:pPr>
      <w:rPr>
        <w:rFonts w:ascii="Arial" w:hAnsi="Arial" w:hint="default"/>
      </w:rPr>
    </w:lvl>
    <w:lvl w:ilvl="8" w:tplc="222C3F20" w:tentative="1">
      <w:start w:val="1"/>
      <w:numFmt w:val="bullet"/>
      <w:lvlText w:val="•"/>
      <w:lvlJc w:val="left"/>
      <w:pPr>
        <w:tabs>
          <w:tab w:val="num" w:pos="6480"/>
        </w:tabs>
        <w:ind w:left="6480" w:hanging="360"/>
      </w:pPr>
      <w:rPr>
        <w:rFonts w:ascii="Arial" w:hAnsi="Arial" w:hint="default"/>
      </w:rPr>
    </w:lvl>
  </w:abstractNum>
  <w:abstractNum w:abstractNumId="15">
    <w:nsid w:val="6D936ED5"/>
    <w:multiLevelType w:val="hybridMultilevel"/>
    <w:tmpl w:val="4F18C762"/>
    <w:lvl w:ilvl="0" w:tplc="9182CB7A">
      <w:start w:val="1"/>
      <w:numFmt w:val="bullet"/>
      <w:lvlText w:val="•"/>
      <w:lvlJc w:val="left"/>
      <w:pPr>
        <w:tabs>
          <w:tab w:val="num" w:pos="720"/>
        </w:tabs>
        <w:ind w:left="720" w:hanging="360"/>
      </w:pPr>
      <w:rPr>
        <w:rFonts w:ascii="Arial" w:hAnsi="Arial" w:hint="default"/>
      </w:rPr>
    </w:lvl>
    <w:lvl w:ilvl="1" w:tplc="9B5C7E04">
      <w:start w:val="2225"/>
      <w:numFmt w:val="bullet"/>
      <w:lvlText w:val="–"/>
      <w:lvlJc w:val="left"/>
      <w:pPr>
        <w:tabs>
          <w:tab w:val="num" w:pos="1440"/>
        </w:tabs>
        <w:ind w:left="1440" w:hanging="360"/>
      </w:pPr>
      <w:rPr>
        <w:rFonts w:ascii="Arial" w:hAnsi="Arial" w:hint="default"/>
      </w:rPr>
    </w:lvl>
    <w:lvl w:ilvl="2" w:tplc="D30E750E" w:tentative="1">
      <w:start w:val="1"/>
      <w:numFmt w:val="bullet"/>
      <w:lvlText w:val="•"/>
      <w:lvlJc w:val="left"/>
      <w:pPr>
        <w:tabs>
          <w:tab w:val="num" w:pos="2160"/>
        </w:tabs>
        <w:ind w:left="2160" w:hanging="360"/>
      </w:pPr>
      <w:rPr>
        <w:rFonts w:ascii="Arial" w:hAnsi="Arial" w:hint="default"/>
      </w:rPr>
    </w:lvl>
    <w:lvl w:ilvl="3" w:tplc="247ACE28" w:tentative="1">
      <w:start w:val="1"/>
      <w:numFmt w:val="bullet"/>
      <w:lvlText w:val="•"/>
      <w:lvlJc w:val="left"/>
      <w:pPr>
        <w:tabs>
          <w:tab w:val="num" w:pos="2880"/>
        </w:tabs>
        <w:ind w:left="2880" w:hanging="360"/>
      </w:pPr>
      <w:rPr>
        <w:rFonts w:ascii="Arial" w:hAnsi="Arial" w:hint="default"/>
      </w:rPr>
    </w:lvl>
    <w:lvl w:ilvl="4" w:tplc="87B82778" w:tentative="1">
      <w:start w:val="1"/>
      <w:numFmt w:val="bullet"/>
      <w:lvlText w:val="•"/>
      <w:lvlJc w:val="left"/>
      <w:pPr>
        <w:tabs>
          <w:tab w:val="num" w:pos="3600"/>
        </w:tabs>
        <w:ind w:left="3600" w:hanging="360"/>
      </w:pPr>
      <w:rPr>
        <w:rFonts w:ascii="Arial" w:hAnsi="Arial" w:hint="default"/>
      </w:rPr>
    </w:lvl>
    <w:lvl w:ilvl="5" w:tplc="923C7AB2" w:tentative="1">
      <w:start w:val="1"/>
      <w:numFmt w:val="bullet"/>
      <w:lvlText w:val="•"/>
      <w:lvlJc w:val="left"/>
      <w:pPr>
        <w:tabs>
          <w:tab w:val="num" w:pos="4320"/>
        </w:tabs>
        <w:ind w:left="4320" w:hanging="360"/>
      </w:pPr>
      <w:rPr>
        <w:rFonts w:ascii="Arial" w:hAnsi="Arial" w:hint="default"/>
      </w:rPr>
    </w:lvl>
    <w:lvl w:ilvl="6" w:tplc="64A8E462" w:tentative="1">
      <w:start w:val="1"/>
      <w:numFmt w:val="bullet"/>
      <w:lvlText w:val="•"/>
      <w:lvlJc w:val="left"/>
      <w:pPr>
        <w:tabs>
          <w:tab w:val="num" w:pos="5040"/>
        </w:tabs>
        <w:ind w:left="5040" w:hanging="360"/>
      </w:pPr>
      <w:rPr>
        <w:rFonts w:ascii="Arial" w:hAnsi="Arial" w:hint="default"/>
      </w:rPr>
    </w:lvl>
    <w:lvl w:ilvl="7" w:tplc="35E023B0" w:tentative="1">
      <w:start w:val="1"/>
      <w:numFmt w:val="bullet"/>
      <w:lvlText w:val="•"/>
      <w:lvlJc w:val="left"/>
      <w:pPr>
        <w:tabs>
          <w:tab w:val="num" w:pos="5760"/>
        </w:tabs>
        <w:ind w:left="5760" w:hanging="360"/>
      </w:pPr>
      <w:rPr>
        <w:rFonts w:ascii="Arial" w:hAnsi="Arial" w:hint="default"/>
      </w:rPr>
    </w:lvl>
    <w:lvl w:ilvl="8" w:tplc="59046D90" w:tentative="1">
      <w:start w:val="1"/>
      <w:numFmt w:val="bullet"/>
      <w:lvlText w:val="•"/>
      <w:lvlJc w:val="left"/>
      <w:pPr>
        <w:tabs>
          <w:tab w:val="num" w:pos="6480"/>
        </w:tabs>
        <w:ind w:left="6480" w:hanging="360"/>
      </w:pPr>
      <w:rPr>
        <w:rFonts w:ascii="Arial" w:hAnsi="Arial" w:hint="default"/>
      </w:rPr>
    </w:lvl>
  </w:abstractNum>
  <w:abstractNum w:abstractNumId="16">
    <w:nsid w:val="71854587"/>
    <w:multiLevelType w:val="multilevel"/>
    <w:tmpl w:val="146CB422"/>
    <w:lvl w:ilvl="0">
      <w:start w:val="3"/>
      <w:numFmt w:val="decimal"/>
      <w:lvlText w:val="%1"/>
      <w:lvlJc w:val="left"/>
      <w:pPr>
        <w:ind w:left="720" w:hanging="720"/>
      </w:pPr>
      <w:rPr>
        <w:b/>
      </w:rPr>
    </w:lvl>
    <w:lvl w:ilvl="1">
      <w:start w:val="1"/>
      <w:numFmt w:val="decimal"/>
      <w:lvlText w:val="4.%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nsid w:val="784D033C"/>
    <w:multiLevelType w:val="multilevel"/>
    <w:tmpl w:val="6B367D8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
  </w:num>
  <w:num w:numId="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3"/>
  </w:num>
  <w:num w:numId="9">
    <w:abstractNumId w:val="0"/>
  </w:num>
  <w:num w:numId="10">
    <w:abstractNumId w:val="9"/>
  </w:num>
  <w:num w:numId="11">
    <w:abstractNumId w:val="10"/>
  </w:num>
  <w:num w:numId="12">
    <w:abstractNumId w:val="17"/>
  </w:num>
  <w:num w:numId="13">
    <w:abstractNumId w:val="19"/>
  </w:num>
  <w:num w:numId="14">
    <w:abstractNumId w:val="4"/>
  </w:num>
  <w:num w:numId="15">
    <w:abstractNumId w:val="14"/>
  </w:num>
  <w:num w:numId="16">
    <w:abstractNumId w:val="12"/>
  </w:num>
  <w:num w:numId="17">
    <w:abstractNumId w:val="15"/>
  </w:num>
  <w:num w:numId="18">
    <w:abstractNumId w:val="8"/>
  </w:num>
  <w:num w:numId="19">
    <w:abstractNumId w:val="6"/>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110B"/>
    <w:rsid w:val="00006DF1"/>
    <w:rsid w:val="00007A83"/>
    <w:rsid w:val="00011E9C"/>
    <w:rsid w:val="0001238C"/>
    <w:rsid w:val="000130A3"/>
    <w:rsid w:val="00013247"/>
    <w:rsid w:val="00013A27"/>
    <w:rsid w:val="00015886"/>
    <w:rsid w:val="00015FCC"/>
    <w:rsid w:val="000162C0"/>
    <w:rsid w:val="000162EF"/>
    <w:rsid w:val="0001649B"/>
    <w:rsid w:val="00016F2D"/>
    <w:rsid w:val="0002225F"/>
    <w:rsid w:val="00022A1C"/>
    <w:rsid w:val="00023763"/>
    <w:rsid w:val="00030861"/>
    <w:rsid w:val="0003238A"/>
    <w:rsid w:val="00032699"/>
    <w:rsid w:val="00034122"/>
    <w:rsid w:val="00035300"/>
    <w:rsid w:val="00040506"/>
    <w:rsid w:val="00040895"/>
    <w:rsid w:val="00043C37"/>
    <w:rsid w:val="00046DE3"/>
    <w:rsid w:val="00046E78"/>
    <w:rsid w:val="000472E0"/>
    <w:rsid w:val="000500C0"/>
    <w:rsid w:val="000546D7"/>
    <w:rsid w:val="00055E72"/>
    <w:rsid w:val="000565CC"/>
    <w:rsid w:val="000602A0"/>
    <w:rsid w:val="00064CEC"/>
    <w:rsid w:val="00067B67"/>
    <w:rsid w:val="00067E1A"/>
    <w:rsid w:val="00071248"/>
    <w:rsid w:val="00071736"/>
    <w:rsid w:val="000718F6"/>
    <w:rsid w:val="000720B9"/>
    <w:rsid w:val="000737EC"/>
    <w:rsid w:val="000812CA"/>
    <w:rsid w:val="00086810"/>
    <w:rsid w:val="00086D3B"/>
    <w:rsid w:val="00086DB5"/>
    <w:rsid w:val="00087A1E"/>
    <w:rsid w:val="00090653"/>
    <w:rsid w:val="00090C7E"/>
    <w:rsid w:val="00090CF8"/>
    <w:rsid w:val="00092803"/>
    <w:rsid w:val="00094468"/>
    <w:rsid w:val="000A05A8"/>
    <w:rsid w:val="000A0DC2"/>
    <w:rsid w:val="000A490B"/>
    <w:rsid w:val="000A55EB"/>
    <w:rsid w:val="000A6D53"/>
    <w:rsid w:val="000A6F32"/>
    <w:rsid w:val="000B5833"/>
    <w:rsid w:val="000B5F94"/>
    <w:rsid w:val="000C01EC"/>
    <w:rsid w:val="000C21DC"/>
    <w:rsid w:val="000C2AA7"/>
    <w:rsid w:val="000C5FAE"/>
    <w:rsid w:val="000C64A6"/>
    <w:rsid w:val="000D14BE"/>
    <w:rsid w:val="000D1569"/>
    <w:rsid w:val="000D1BFC"/>
    <w:rsid w:val="000D1F74"/>
    <w:rsid w:val="000D446A"/>
    <w:rsid w:val="000D538A"/>
    <w:rsid w:val="000D6652"/>
    <w:rsid w:val="000D6DAB"/>
    <w:rsid w:val="000E1F10"/>
    <w:rsid w:val="000E3806"/>
    <w:rsid w:val="000E4823"/>
    <w:rsid w:val="000F00CB"/>
    <w:rsid w:val="000F0BED"/>
    <w:rsid w:val="000F2776"/>
    <w:rsid w:val="000F38F3"/>
    <w:rsid w:val="000F6903"/>
    <w:rsid w:val="000F7A49"/>
    <w:rsid w:val="001003F7"/>
    <w:rsid w:val="00100F8A"/>
    <w:rsid w:val="0011032E"/>
    <w:rsid w:val="00112F94"/>
    <w:rsid w:val="0011551E"/>
    <w:rsid w:val="00115E14"/>
    <w:rsid w:val="00117D8E"/>
    <w:rsid w:val="0012147A"/>
    <w:rsid w:val="00121799"/>
    <w:rsid w:val="001222FC"/>
    <w:rsid w:val="0012251F"/>
    <w:rsid w:val="001231E3"/>
    <w:rsid w:val="001242C4"/>
    <w:rsid w:val="00124A51"/>
    <w:rsid w:val="00126621"/>
    <w:rsid w:val="001301E9"/>
    <w:rsid w:val="001319DF"/>
    <w:rsid w:val="00131EF1"/>
    <w:rsid w:val="00131FB8"/>
    <w:rsid w:val="00132CD1"/>
    <w:rsid w:val="001359EF"/>
    <w:rsid w:val="0013750B"/>
    <w:rsid w:val="00137645"/>
    <w:rsid w:val="001406EC"/>
    <w:rsid w:val="00140C79"/>
    <w:rsid w:val="00140E99"/>
    <w:rsid w:val="001427E9"/>
    <w:rsid w:val="0014391D"/>
    <w:rsid w:val="001467FE"/>
    <w:rsid w:val="00147B91"/>
    <w:rsid w:val="00147D6D"/>
    <w:rsid w:val="001502E4"/>
    <w:rsid w:val="00150C8B"/>
    <w:rsid w:val="00151571"/>
    <w:rsid w:val="001528FC"/>
    <w:rsid w:val="00156C3A"/>
    <w:rsid w:val="00157130"/>
    <w:rsid w:val="0016055A"/>
    <w:rsid w:val="00164F40"/>
    <w:rsid w:val="00165616"/>
    <w:rsid w:val="00165C4D"/>
    <w:rsid w:val="001661FB"/>
    <w:rsid w:val="00170555"/>
    <w:rsid w:val="001731A2"/>
    <w:rsid w:val="001737B8"/>
    <w:rsid w:val="00174FEA"/>
    <w:rsid w:val="00176366"/>
    <w:rsid w:val="001768A3"/>
    <w:rsid w:val="00180A86"/>
    <w:rsid w:val="00184C30"/>
    <w:rsid w:val="00186C80"/>
    <w:rsid w:val="001870F7"/>
    <w:rsid w:val="00190FD7"/>
    <w:rsid w:val="00192E30"/>
    <w:rsid w:val="0019390B"/>
    <w:rsid w:val="00194938"/>
    <w:rsid w:val="00194A89"/>
    <w:rsid w:val="00195222"/>
    <w:rsid w:val="00196A3D"/>
    <w:rsid w:val="00196FFE"/>
    <w:rsid w:val="001975D8"/>
    <w:rsid w:val="001975DA"/>
    <w:rsid w:val="001A2170"/>
    <w:rsid w:val="001A432E"/>
    <w:rsid w:val="001A7C34"/>
    <w:rsid w:val="001B1C45"/>
    <w:rsid w:val="001B24DE"/>
    <w:rsid w:val="001B258E"/>
    <w:rsid w:val="001B25E6"/>
    <w:rsid w:val="001B3443"/>
    <w:rsid w:val="001B3473"/>
    <w:rsid w:val="001B5058"/>
    <w:rsid w:val="001C14E5"/>
    <w:rsid w:val="001C2301"/>
    <w:rsid w:val="001C33CD"/>
    <w:rsid w:val="001C3813"/>
    <w:rsid w:val="001C4296"/>
    <w:rsid w:val="001C6E66"/>
    <w:rsid w:val="001D15FD"/>
    <w:rsid w:val="001D2EA0"/>
    <w:rsid w:val="001D3567"/>
    <w:rsid w:val="001D75D4"/>
    <w:rsid w:val="001D7F36"/>
    <w:rsid w:val="001E1EA9"/>
    <w:rsid w:val="001E435F"/>
    <w:rsid w:val="001E52EB"/>
    <w:rsid w:val="001E6E04"/>
    <w:rsid w:val="001F1235"/>
    <w:rsid w:val="001F1CB3"/>
    <w:rsid w:val="001F32D4"/>
    <w:rsid w:val="001F3711"/>
    <w:rsid w:val="001F4388"/>
    <w:rsid w:val="001F7361"/>
    <w:rsid w:val="002023BD"/>
    <w:rsid w:val="00202B96"/>
    <w:rsid w:val="00203ADA"/>
    <w:rsid w:val="00203DD2"/>
    <w:rsid w:val="002105C1"/>
    <w:rsid w:val="002132DC"/>
    <w:rsid w:val="0021758B"/>
    <w:rsid w:val="002178E3"/>
    <w:rsid w:val="00217CEB"/>
    <w:rsid w:val="00220A97"/>
    <w:rsid w:val="002217C7"/>
    <w:rsid w:val="00223B49"/>
    <w:rsid w:val="00224DD4"/>
    <w:rsid w:val="002309CC"/>
    <w:rsid w:val="002334CA"/>
    <w:rsid w:val="00233664"/>
    <w:rsid w:val="00234586"/>
    <w:rsid w:val="002347FE"/>
    <w:rsid w:val="002376E6"/>
    <w:rsid w:val="0024421D"/>
    <w:rsid w:val="00246C25"/>
    <w:rsid w:val="0024726C"/>
    <w:rsid w:val="00255057"/>
    <w:rsid w:val="0025534B"/>
    <w:rsid w:val="00255BB7"/>
    <w:rsid w:val="0025632C"/>
    <w:rsid w:val="002607E6"/>
    <w:rsid w:val="00261C7D"/>
    <w:rsid w:val="00262A87"/>
    <w:rsid w:val="00271A42"/>
    <w:rsid w:val="00272EB0"/>
    <w:rsid w:val="00274475"/>
    <w:rsid w:val="00280385"/>
    <w:rsid w:val="00283179"/>
    <w:rsid w:val="002831EB"/>
    <w:rsid w:val="00283726"/>
    <w:rsid w:val="0028411E"/>
    <w:rsid w:val="002903A2"/>
    <w:rsid w:val="00292DF6"/>
    <w:rsid w:val="00292E80"/>
    <w:rsid w:val="00294A84"/>
    <w:rsid w:val="00295A31"/>
    <w:rsid w:val="00295E96"/>
    <w:rsid w:val="002967D2"/>
    <w:rsid w:val="0029742B"/>
    <w:rsid w:val="002A135A"/>
    <w:rsid w:val="002A14AB"/>
    <w:rsid w:val="002A3019"/>
    <w:rsid w:val="002B014E"/>
    <w:rsid w:val="002B1C1F"/>
    <w:rsid w:val="002B23D1"/>
    <w:rsid w:val="002B25B6"/>
    <w:rsid w:val="002B2A3B"/>
    <w:rsid w:val="002B432F"/>
    <w:rsid w:val="002B5988"/>
    <w:rsid w:val="002B6CCE"/>
    <w:rsid w:val="002B71BB"/>
    <w:rsid w:val="002C2174"/>
    <w:rsid w:val="002C27C1"/>
    <w:rsid w:val="002C717E"/>
    <w:rsid w:val="002D0E17"/>
    <w:rsid w:val="002D1AC8"/>
    <w:rsid w:val="002D53FC"/>
    <w:rsid w:val="002E24EE"/>
    <w:rsid w:val="002E2EDF"/>
    <w:rsid w:val="002E480E"/>
    <w:rsid w:val="002F09E5"/>
    <w:rsid w:val="002F125B"/>
    <w:rsid w:val="002F193B"/>
    <w:rsid w:val="002F34AD"/>
    <w:rsid w:val="002F4FE0"/>
    <w:rsid w:val="002F65BA"/>
    <w:rsid w:val="00301017"/>
    <w:rsid w:val="003024F5"/>
    <w:rsid w:val="00305068"/>
    <w:rsid w:val="0030681D"/>
    <w:rsid w:val="0030786C"/>
    <w:rsid w:val="0031031A"/>
    <w:rsid w:val="003144AF"/>
    <w:rsid w:val="00315498"/>
    <w:rsid w:val="003156F1"/>
    <w:rsid w:val="00315D6C"/>
    <w:rsid w:val="00325010"/>
    <w:rsid w:val="00326669"/>
    <w:rsid w:val="0032722D"/>
    <w:rsid w:val="00327929"/>
    <w:rsid w:val="00327DA5"/>
    <w:rsid w:val="003313ED"/>
    <w:rsid w:val="003366C9"/>
    <w:rsid w:val="00341DB9"/>
    <w:rsid w:val="00345215"/>
    <w:rsid w:val="003456B2"/>
    <w:rsid w:val="00350503"/>
    <w:rsid w:val="0035157B"/>
    <w:rsid w:val="00354CA6"/>
    <w:rsid w:val="00354DCB"/>
    <w:rsid w:val="00355A0B"/>
    <w:rsid w:val="003613D9"/>
    <w:rsid w:val="003733B5"/>
    <w:rsid w:val="00373737"/>
    <w:rsid w:val="00373BA7"/>
    <w:rsid w:val="00374450"/>
    <w:rsid w:val="00374FD8"/>
    <w:rsid w:val="00380102"/>
    <w:rsid w:val="0038365C"/>
    <w:rsid w:val="0039236C"/>
    <w:rsid w:val="003952F7"/>
    <w:rsid w:val="00395BB5"/>
    <w:rsid w:val="00396FD0"/>
    <w:rsid w:val="003A007A"/>
    <w:rsid w:val="003A1A7A"/>
    <w:rsid w:val="003A28F1"/>
    <w:rsid w:val="003A533F"/>
    <w:rsid w:val="003B0462"/>
    <w:rsid w:val="003B10B5"/>
    <w:rsid w:val="003B5264"/>
    <w:rsid w:val="003B5596"/>
    <w:rsid w:val="003B7E0E"/>
    <w:rsid w:val="003C3A75"/>
    <w:rsid w:val="003C49E5"/>
    <w:rsid w:val="003C7418"/>
    <w:rsid w:val="003D0851"/>
    <w:rsid w:val="003D1144"/>
    <w:rsid w:val="003D1190"/>
    <w:rsid w:val="003D1828"/>
    <w:rsid w:val="003D2422"/>
    <w:rsid w:val="003D3DCA"/>
    <w:rsid w:val="003D5830"/>
    <w:rsid w:val="003D7D2C"/>
    <w:rsid w:val="003E1F62"/>
    <w:rsid w:val="003E2883"/>
    <w:rsid w:val="003E32ED"/>
    <w:rsid w:val="003E45CA"/>
    <w:rsid w:val="003E571F"/>
    <w:rsid w:val="003E6D4A"/>
    <w:rsid w:val="003E7FE7"/>
    <w:rsid w:val="003F2724"/>
    <w:rsid w:val="003F4156"/>
    <w:rsid w:val="003F6E6D"/>
    <w:rsid w:val="003F77A7"/>
    <w:rsid w:val="003F7F4A"/>
    <w:rsid w:val="00400E4E"/>
    <w:rsid w:val="004029BE"/>
    <w:rsid w:val="00403ED1"/>
    <w:rsid w:val="004048EF"/>
    <w:rsid w:val="00404F6B"/>
    <w:rsid w:val="00410EC7"/>
    <w:rsid w:val="00411055"/>
    <w:rsid w:val="00412A50"/>
    <w:rsid w:val="00413B31"/>
    <w:rsid w:val="00413C81"/>
    <w:rsid w:val="00414476"/>
    <w:rsid w:val="00414C86"/>
    <w:rsid w:val="0041673C"/>
    <w:rsid w:val="004203A9"/>
    <w:rsid w:val="00420B9F"/>
    <w:rsid w:val="004219FD"/>
    <w:rsid w:val="00422BA6"/>
    <w:rsid w:val="004319F8"/>
    <w:rsid w:val="00431B62"/>
    <w:rsid w:val="00436B84"/>
    <w:rsid w:val="004442CC"/>
    <w:rsid w:val="00445008"/>
    <w:rsid w:val="004464EB"/>
    <w:rsid w:val="00447637"/>
    <w:rsid w:val="00451E5D"/>
    <w:rsid w:val="00453071"/>
    <w:rsid w:val="00455D45"/>
    <w:rsid w:val="004565EC"/>
    <w:rsid w:val="00464595"/>
    <w:rsid w:val="00465923"/>
    <w:rsid w:val="004706F0"/>
    <w:rsid w:val="0047094E"/>
    <w:rsid w:val="00472241"/>
    <w:rsid w:val="00473283"/>
    <w:rsid w:val="00474677"/>
    <w:rsid w:val="00481A93"/>
    <w:rsid w:val="00482ED0"/>
    <w:rsid w:val="0048605C"/>
    <w:rsid w:val="004867E2"/>
    <w:rsid w:val="004907CF"/>
    <w:rsid w:val="0049264A"/>
    <w:rsid w:val="004926D2"/>
    <w:rsid w:val="00494157"/>
    <w:rsid w:val="00494276"/>
    <w:rsid w:val="0049783D"/>
    <w:rsid w:val="004A0DA1"/>
    <w:rsid w:val="004A200A"/>
    <w:rsid w:val="004A3F03"/>
    <w:rsid w:val="004A5B1C"/>
    <w:rsid w:val="004A5BE4"/>
    <w:rsid w:val="004A654A"/>
    <w:rsid w:val="004A6597"/>
    <w:rsid w:val="004A76A1"/>
    <w:rsid w:val="004A7C14"/>
    <w:rsid w:val="004B06F7"/>
    <w:rsid w:val="004B2F18"/>
    <w:rsid w:val="004B3DDB"/>
    <w:rsid w:val="004B4427"/>
    <w:rsid w:val="004B44FD"/>
    <w:rsid w:val="004B5CFC"/>
    <w:rsid w:val="004B6219"/>
    <w:rsid w:val="004B6B8A"/>
    <w:rsid w:val="004C2326"/>
    <w:rsid w:val="004C4AED"/>
    <w:rsid w:val="004C60A3"/>
    <w:rsid w:val="004C64C9"/>
    <w:rsid w:val="004C6E63"/>
    <w:rsid w:val="004D24BC"/>
    <w:rsid w:val="004D3440"/>
    <w:rsid w:val="004D7D9B"/>
    <w:rsid w:val="004F1598"/>
    <w:rsid w:val="004F1D02"/>
    <w:rsid w:val="004F2679"/>
    <w:rsid w:val="004F2B91"/>
    <w:rsid w:val="004F3BBA"/>
    <w:rsid w:val="004F5500"/>
    <w:rsid w:val="004F61D6"/>
    <w:rsid w:val="00504AD2"/>
    <w:rsid w:val="00506244"/>
    <w:rsid w:val="0050740C"/>
    <w:rsid w:val="00507949"/>
    <w:rsid w:val="005133CA"/>
    <w:rsid w:val="005152B5"/>
    <w:rsid w:val="00517631"/>
    <w:rsid w:val="00521319"/>
    <w:rsid w:val="005231A1"/>
    <w:rsid w:val="00523A13"/>
    <w:rsid w:val="00523C28"/>
    <w:rsid w:val="00525360"/>
    <w:rsid w:val="00526075"/>
    <w:rsid w:val="00527046"/>
    <w:rsid w:val="00527285"/>
    <w:rsid w:val="0052761B"/>
    <w:rsid w:val="00527AED"/>
    <w:rsid w:val="00533147"/>
    <w:rsid w:val="00533AB7"/>
    <w:rsid w:val="00534511"/>
    <w:rsid w:val="0053562C"/>
    <w:rsid w:val="005369ED"/>
    <w:rsid w:val="0054508C"/>
    <w:rsid w:val="0054737A"/>
    <w:rsid w:val="005543BA"/>
    <w:rsid w:val="00555109"/>
    <w:rsid w:val="005565CA"/>
    <w:rsid w:val="00556E8E"/>
    <w:rsid w:val="00560A18"/>
    <w:rsid w:val="00563347"/>
    <w:rsid w:val="005657B6"/>
    <w:rsid w:val="005666F6"/>
    <w:rsid w:val="0056696F"/>
    <w:rsid w:val="005713B0"/>
    <w:rsid w:val="005727BD"/>
    <w:rsid w:val="00575E5D"/>
    <w:rsid w:val="00581601"/>
    <w:rsid w:val="00581664"/>
    <w:rsid w:val="00583699"/>
    <w:rsid w:val="0058407D"/>
    <w:rsid w:val="005931A3"/>
    <w:rsid w:val="005936AB"/>
    <w:rsid w:val="00593F1E"/>
    <w:rsid w:val="005940FB"/>
    <w:rsid w:val="005946D4"/>
    <w:rsid w:val="005A0441"/>
    <w:rsid w:val="005A6E28"/>
    <w:rsid w:val="005B0B7E"/>
    <w:rsid w:val="005B23E1"/>
    <w:rsid w:val="005B5857"/>
    <w:rsid w:val="005B5C08"/>
    <w:rsid w:val="005C104A"/>
    <w:rsid w:val="005C3233"/>
    <w:rsid w:val="005C346B"/>
    <w:rsid w:val="005C3DC4"/>
    <w:rsid w:val="005C5143"/>
    <w:rsid w:val="005C76C6"/>
    <w:rsid w:val="005D18AD"/>
    <w:rsid w:val="005D3D23"/>
    <w:rsid w:val="005D46D7"/>
    <w:rsid w:val="005D6694"/>
    <w:rsid w:val="005E05A6"/>
    <w:rsid w:val="005E6D30"/>
    <w:rsid w:val="005E6F11"/>
    <w:rsid w:val="005F1670"/>
    <w:rsid w:val="005F2706"/>
    <w:rsid w:val="005F4BB8"/>
    <w:rsid w:val="005F4DD9"/>
    <w:rsid w:val="005F6A8F"/>
    <w:rsid w:val="00601DB8"/>
    <w:rsid w:val="0060664E"/>
    <w:rsid w:val="00606CDF"/>
    <w:rsid w:val="00607669"/>
    <w:rsid w:val="00611ED4"/>
    <w:rsid w:val="00612F97"/>
    <w:rsid w:val="006130CC"/>
    <w:rsid w:val="00616802"/>
    <w:rsid w:val="00617CFD"/>
    <w:rsid w:val="00621477"/>
    <w:rsid w:val="00621ED4"/>
    <w:rsid w:val="006275A4"/>
    <w:rsid w:val="00631D6B"/>
    <w:rsid w:val="00632D5D"/>
    <w:rsid w:val="0063479F"/>
    <w:rsid w:val="00635FE0"/>
    <w:rsid w:val="006364A1"/>
    <w:rsid w:val="00636AA1"/>
    <w:rsid w:val="00637596"/>
    <w:rsid w:val="00637BFD"/>
    <w:rsid w:val="00640BF0"/>
    <w:rsid w:val="006449D0"/>
    <w:rsid w:val="006471CC"/>
    <w:rsid w:val="0065079F"/>
    <w:rsid w:val="00651E54"/>
    <w:rsid w:val="0065379B"/>
    <w:rsid w:val="00655068"/>
    <w:rsid w:val="006559E2"/>
    <w:rsid w:val="00657DF3"/>
    <w:rsid w:val="0066165D"/>
    <w:rsid w:val="00661A94"/>
    <w:rsid w:val="00662F09"/>
    <w:rsid w:val="00665E9D"/>
    <w:rsid w:val="00670A0B"/>
    <w:rsid w:val="00671D38"/>
    <w:rsid w:val="00672B9E"/>
    <w:rsid w:val="00681B27"/>
    <w:rsid w:val="00682112"/>
    <w:rsid w:val="00684851"/>
    <w:rsid w:val="00691CB6"/>
    <w:rsid w:val="00692763"/>
    <w:rsid w:val="00693AC3"/>
    <w:rsid w:val="00693E2D"/>
    <w:rsid w:val="0069401B"/>
    <w:rsid w:val="00695068"/>
    <w:rsid w:val="00695289"/>
    <w:rsid w:val="00696292"/>
    <w:rsid w:val="00696E4B"/>
    <w:rsid w:val="006A00D1"/>
    <w:rsid w:val="006A00FA"/>
    <w:rsid w:val="006A263D"/>
    <w:rsid w:val="006A309A"/>
    <w:rsid w:val="006A4911"/>
    <w:rsid w:val="006A52AA"/>
    <w:rsid w:val="006A5591"/>
    <w:rsid w:val="006A686F"/>
    <w:rsid w:val="006B0B5B"/>
    <w:rsid w:val="006B0C8A"/>
    <w:rsid w:val="006B2C8D"/>
    <w:rsid w:val="006B6462"/>
    <w:rsid w:val="006B7082"/>
    <w:rsid w:val="006C22D7"/>
    <w:rsid w:val="006C2A8E"/>
    <w:rsid w:val="006C4439"/>
    <w:rsid w:val="006C6BFB"/>
    <w:rsid w:val="006D23D2"/>
    <w:rsid w:val="006D3C7D"/>
    <w:rsid w:val="006D5F3F"/>
    <w:rsid w:val="006D73A5"/>
    <w:rsid w:val="006D743D"/>
    <w:rsid w:val="006E09C4"/>
    <w:rsid w:val="006E1158"/>
    <w:rsid w:val="006E5492"/>
    <w:rsid w:val="006E6164"/>
    <w:rsid w:val="006E7E36"/>
    <w:rsid w:val="006F06AC"/>
    <w:rsid w:val="006F0DB3"/>
    <w:rsid w:val="006F20AE"/>
    <w:rsid w:val="006F2F2A"/>
    <w:rsid w:val="006F63A5"/>
    <w:rsid w:val="0070276E"/>
    <w:rsid w:val="00704163"/>
    <w:rsid w:val="007066E8"/>
    <w:rsid w:val="00711A36"/>
    <w:rsid w:val="00713D13"/>
    <w:rsid w:val="0071589B"/>
    <w:rsid w:val="007172AD"/>
    <w:rsid w:val="00723B21"/>
    <w:rsid w:val="007240DF"/>
    <w:rsid w:val="00727B49"/>
    <w:rsid w:val="00730993"/>
    <w:rsid w:val="00730B62"/>
    <w:rsid w:val="00731111"/>
    <w:rsid w:val="007338F6"/>
    <w:rsid w:val="00735328"/>
    <w:rsid w:val="007355A0"/>
    <w:rsid w:val="00735729"/>
    <w:rsid w:val="007357D5"/>
    <w:rsid w:val="00736226"/>
    <w:rsid w:val="0073685B"/>
    <w:rsid w:val="00740303"/>
    <w:rsid w:val="00740760"/>
    <w:rsid w:val="00740A5A"/>
    <w:rsid w:val="007416B7"/>
    <w:rsid w:val="0074277B"/>
    <w:rsid w:val="00744FA8"/>
    <w:rsid w:val="0074668E"/>
    <w:rsid w:val="007475DE"/>
    <w:rsid w:val="00751E6D"/>
    <w:rsid w:val="00753F70"/>
    <w:rsid w:val="007556FF"/>
    <w:rsid w:val="00760F18"/>
    <w:rsid w:val="00766947"/>
    <w:rsid w:val="00774030"/>
    <w:rsid w:val="007749AA"/>
    <w:rsid w:val="0077708E"/>
    <w:rsid w:val="00777D2B"/>
    <w:rsid w:val="00781129"/>
    <w:rsid w:val="00781C4D"/>
    <w:rsid w:val="00782F61"/>
    <w:rsid w:val="00794088"/>
    <w:rsid w:val="007941A7"/>
    <w:rsid w:val="00796333"/>
    <w:rsid w:val="00796982"/>
    <w:rsid w:val="00797292"/>
    <w:rsid w:val="00797D6F"/>
    <w:rsid w:val="007A2F58"/>
    <w:rsid w:val="007A2F96"/>
    <w:rsid w:val="007A63D7"/>
    <w:rsid w:val="007B034F"/>
    <w:rsid w:val="007B17D1"/>
    <w:rsid w:val="007B251D"/>
    <w:rsid w:val="007B3431"/>
    <w:rsid w:val="007B6C2D"/>
    <w:rsid w:val="007B7215"/>
    <w:rsid w:val="007B77D1"/>
    <w:rsid w:val="007C1BB2"/>
    <w:rsid w:val="007C2456"/>
    <w:rsid w:val="007C28E6"/>
    <w:rsid w:val="007C60D8"/>
    <w:rsid w:val="007D0129"/>
    <w:rsid w:val="007D0B38"/>
    <w:rsid w:val="007D4AB2"/>
    <w:rsid w:val="007E18C3"/>
    <w:rsid w:val="007E294E"/>
    <w:rsid w:val="007F11A8"/>
    <w:rsid w:val="007F2349"/>
    <w:rsid w:val="007F7362"/>
    <w:rsid w:val="007F784F"/>
    <w:rsid w:val="00805142"/>
    <w:rsid w:val="00807A8B"/>
    <w:rsid w:val="00812149"/>
    <w:rsid w:val="00813029"/>
    <w:rsid w:val="008133EB"/>
    <w:rsid w:val="0081351B"/>
    <w:rsid w:val="0081436D"/>
    <w:rsid w:val="008165BE"/>
    <w:rsid w:val="008166EF"/>
    <w:rsid w:val="00820D15"/>
    <w:rsid w:val="00821FF5"/>
    <w:rsid w:val="008250A6"/>
    <w:rsid w:val="008264EB"/>
    <w:rsid w:val="00826F14"/>
    <w:rsid w:val="00830B42"/>
    <w:rsid w:val="00831274"/>
    <w:rsid w:val="008314D0"/>
    <w:rsid w:val="008353AE"/>
    <w:rsid w:val="008354AE"/>
    <w:rsid w:val="008371CB"/>
    <w:rsid w:val="00837E45"/>
    <w:rsid w:val="008401AA"/>
    <w:rsid w:val="00840430"/>
    <w:rsid w:val="00840457"/>
    <w:rsid w:val="00840CA2"/>
    <w:rsid w:val="00841ACB"/>
    <w:rsid w:val="00842FB4"/>
    <w:rsid w:val="00844FE9"/>
    <w:rsid w:val="00845BF6"/>
    <w:rsid w:val="00845E62"/>
    <w:rsid w:val="00847A10"/>
    <w:rsid w:val="00852584"/>
    <w:rsid w:val="00852E83"/>
    <w:rsid w:val="00856E9A"/>
    <w:rsid w:val="008658CA"/>
    <w:rsid w:val="00866890"/>
    <w:rsid w:val="00867783"/>
    <w:rsid w:val="008707F6"/>
    <w:rsid w:val="00870EE4"/>
    <w:rsid w:val="00874B27"/>
    <w:rsid w:val="00882874"/>
    <w:rsid w:val="00883787"/>
    <w:rsid w:val="00884BA0"/>
    <w:rsid w:val="00886D01"/>
    <w:rsid w:val="00886D8B"/>
    <w:rsid w:val="0088747E"/>
    <w:rsid w:val="00890A98"/>
    <w:rsid w:val="0089198B"/>
    <w:rsid w:val="00891D6A"/>
    <w:rsid w:val="008963A5"/>
    <w:rsid w:val="008A1295"/>
    <w:rsid w:val="008A3080"/>
    <w:rsid w:val="008A5928"/>
    <w:rsid w:val="008A5DF4"/>
    <w:rsid w:val="008A79DE"/>
    <w:rsid w:val="008A79E1"/>
    <w:rsid w:val="008A7BA3"/>
    <w:rsid w:val="008B1207"/>
    <w:rsid w:val="008B2281"/>
    <w:rsid w:val="008B27FD"/>
    <w:rsid w:val="008B42D2"/>
    <w:rsid w:val="008B7D7E"/>
    <w:rsid w:val="008C0F26"/>
    <w:rsid w:val="008C1B8F"/>
    <w:rsid w:val="008C3907"/>
    <w:rsid w:val="008C5469"/>
    <w:rsid w:val="008C6D12"/>
    <w:rsid w:val="008D0F89"/>
    <w:rsid w:val="008D6304"/>
    <w:rsid w:val="008D7C51"/>
    <w:rsid w:val="008E1B9E"/>
    <w:rsid w:val="008E2ADB"/>
    <w:rsid w:val="008E7DF6"/>
    <w:rsid w:val="008F1032"/>
    <w:rsid w:val="008F1EA3"/>
    <w:rsid w:val="008F1EC1"/>
    <w:rsid w:val="008F3C71"/>
    <w:rsid w:val="008F48EB"/>
    <w:rsid w:val="008F4F0B"/>
    <w:rsid w:val="00900666"/>
    <w:rsid w:val="009029A5"/>
    <w:rsid w:val="00902E59"/>
    <w:rsid w:val="00903FEA"/>
    <w:rsid w:val="00904AE7"/>
    <w:rsid w:val="0090582E"/>
    <w:rsid w:val="00906146"/>
    <w:rsid w:val="009062A5"/>
    <w:rsid w:val="00911272"/>
    <w:rsid w:val="009126DD"/>
    <w:rsid w:val="00914646"/>
    <w:rsid w:val="00914BB3"/>
    <w:rsid w:val="00914D7E"/>
    <w:rsid w:val="00914FB2"/>
    <w:rsid w:val="00915182"/>
    <w:rsid w:val="00915E73"/>
    <w:rsid w:val="00920A9E"/>
    <w:rsid w:val="0092160E"/>
    <w:rsid w:val="0092709E"/>
    <w:rsid w:val="00927762"/>
    <w:rsid w:val="00930FAB"/>
    <w:rsid w:val="0093468A"/>
    <w:rsid w:val="009349ED"/>
    <w:rsid w:val="00940244"/>
    <w:rsid w:val="009415F3"/>
    <w:rsid w:val="00942955"/>
    <w:rsid w:val="00943919"/>
    <w:rsid w:val="00943CA6"/>
    <w:rsid w:val="00946E60"/>
    <w:rsid w:val="00947BFD"/>
    <w:rsid w:val="00950744"/>
    <w:rsid w:val="00951E13"/>
    <w:rsid w:val="009569A1"/>
    <w:rsid w:val="00957F11"/>
    <w:rsid w:val="0096138E"/>
    <w:rsid w:val="009640FB"/>
    <w:rsid w:val="00964312"/>
    <w:rsid w:val="00965116"/>
    <w:rsid w:val="00965A1D"/>
    <w:rsid w:val="0097117C"/>
    <w:rsid w:val="00974CC3"/>
    <w:rsid w:val="00980CAF"/>
    <w:rsid w:val="00983E57"/>
    <w:rsid w:val="00986603"/>
    <w:rsid w:val="00991276"/>
    <w:rsid w:val="0099505F"/>
    <w:rsid w:val="0099687F"/>
    <w:rsid w:val="009A24B2"/>
    <w:rsid w:val="009A323E"/>
    <w:rsid w:val="009A3B5A"/>
    <w:rsid w:val="009A702A"/>
    <w:rsid w:val="009B0EDD"/>
    <w:rsid w:val="009B0FD5"/>
    <w:rsid w:val="009B1051"/>
    <w:rsid w:val="009B3E26"/>
    <w:rsid w:val="009B638F"/>
    <w:rsid w:val="009B7CDF"/>
    <w:rsid w:val="009C0E80"/>
    <w:rsid w:val="009C6466"/>
    <w:rsid w:val="009D1444"/>
    <w:rsid w:val="009D2659"/>
    <w:rsid w:val="009D48A6"/>
    <w:rsid w:val="009E491C"/>
    <w:rsid w:val="009E4C07"/>
    <w:rsid w:val="009F28D9"/>
    <w:rsid w:val="009F7118"/>
    <w:rsid w:val="00A02EF8"/>
    <w:rsid w:val="00A03D43"/>
    <w:rsid w:val="00A03D72"/>
    <w:rsid w:val="00A04380"/>
    <w:rsid w:val="00A050CE"/>
    <w:rsid w:val="00A05D74"/>
    <w:rsid w:val="00A0698B"/>
    <w:rsid w:val="00A12DDA"/>
    <w:rsid w:val="00A13948"/>
    <w:rsid w:val="00A142EE"/>
    <w:rsid w:val="00A14981"/>
    <w:rsid w:val="00A25105"/>
    <w:rsid w:val="00A2532A"/>
    <w:rsid w:val="00A25F9B"/>
    <w:rsid w:val="00A264E7"/>
    <w:rsid w:val="00A27AEC"/>
    <w:rsid w:val="00A3035B"/>
    <w:rsid w:val="00A30467"/>
    <w:rsid w:val="00A3277B"/>
    <w:rsid w:val="00A35DC5"/>
    <w:rsid w:val="00A364FE"/>
    <w:rsid w:val="00A40A53"/>
    <w:rsid w:val="00A43C59"/>
    <w:rsid w:val="00A44124"/>
    <w:rsid w:val="00A44214"/>
    <w:rsid w:val="00A46312"/>
    <w:rsid w:val="00A50A69"/>
    <w:rsid w:val="00A50ECD"/>
    <w:rsid w:val="00A52729"/>
    <w:rsid w:val="00A52D73"/>
    <w:rsid w:val="00A533CF"/>
    <w:rsid w:val="00A53675"/>
    <w:rsid w:val="00A53775"/>
    <w:rsid w:val="00A56B6A"/>
    <w:rsid w:val="00A57144"/>
    <w:rsid w:val="00A578DC"/>
    <w:rsid w:val="00A57F36"/>
    <w:rsid w:val="00A60D8A"/>
    <w:rsid w:val="00A62BED"/>
    <w:rsid w:val="00A64A4C"/>
    <w:rsid w:val="00A64C80"/>
    <w:rsid w:val="00A6689A"/>
    <w:rsid w:val="00A6725B"/>
    <w:rsid w:val="00A6769B"/>
    <w:rsid w:val="00A703EF"/>
    <w:rsid w:val="00A740B4"/>
    <w:rsid w:val="00A7429B"/>
    <w:rsid w:val="00A745F0"/>
    <w:rsid w:val="00A75A0F"/>
    <w:rsid w:val="00A84167"/>
    <w:rsid w:val="00A85889"/>
    <w:rsid w:val="00A90138"/>
    <w:rsid w:val="00A92925"/>
    <w:rsid w:val="00A93072"/>
    <w:rsid w:val="00A956BA"/>
    <w:rsid w:val="00A96568"/>
    <w:rsid w:val="00AA1EBA"/>
    <w:rsid w:val="00AA508A"/>
    <w:rsid w:val="00AB042A"/>
    <w:rsid w:val="00AB3430"/>
    <w:rsid w:val="00AB7A9B"/>
    <w:rsid w:val="00AB7CFA"/>
    <w:rsid w:val="00AC2136"/>
    <w:rsid w:val="00AC2F48"/>
    <w:rsid w:val="00AC31DC"/>
    <w:rsid w:val="00AD3718"/>
    <w:rsid w:val="00AD37FA"/>
    <w:rsid w:val="00AE67EB"/>
    <w:rsid w:val="00AE6A6D"/>
    <w:rsid w:val="00B01FB2"/>
    <w:rsid w:val="00B028B5"/>
    <w:rsid w:val="00B0290F"/>
    <w:rsid w:val="00B04AD3"/>
    <w:rsid w:val="00B125DD"/>
    <w:rsid w:val="00B15810"/>
    <w:rsid w:val="00B17463"/>
    <w:rsid w:val="00B22850"/>
    <w:rsid w:val="00B24DCB"/>
    <w:rsid w:val="00B25E71"/>
    <w:rsid w:val="00B30BDC"/>
    <w:rsid w:val="00B318C4"/>
    <w:rsid w:val="00B343EC"/>
    <w:rsid w:val="00B362EF"/>
    <w:rsid w:val="00B3647D"/>
    <w:rsid w:val="00B36900"/>
    <w:rsid w:val="00B40B8F"/>
    <w:rsid w:val="00B419D5"/>
    <w:rsid w:val="00B42851"/>
    <w:rsid w:val="00B44513"/>
    <w:rsid w:val="00B4535E"/>
    <w:rsid w:val="00B477D5"/>
    <w:rsid w:val="00B47C64"/>
    <w:rsid w:val="00B5314A"/>
    <w:rsid w:val="00B54266"/>
    <w:rsid w:val="00B54B5B"/>
    <w:rsid w:val="00B5562E"/>
    <w:rsid w:val="00B57000"/>
    <w:rsid w:val="00B60AFD"/>
    <w:rsid w:val="00B62522"/>
    <w:rsid w:val="00B65E77"/>
    <w:rsid w:val="00B66281"/>
    <w:rsid w:val="00B67EDF"/>
    <w:rsid w:val="00B75F87"/>
    <w:rsid w:val="00B7780B"/>
    <w:rsid w:val="00B81774"/>
    <w:rsid w:val="00B818A4"/>
    <w:rsid w:val="00B8798E"/>
    <w:rsid w:val="00B903DF"/>
    <w:rsid w:val="00B907A9"/>
    <w:rsid w:val="00B91573"/>
    <w:rsid w:val="00BA694D"/>
    <w:rsid w:val="00BB083E"/>
    <w:rsid w:val="00BB2627"/>
    <w:rsid w:val="00BB3089"/>
    <w:rsid w:val="00BB3466"/>
    <w:rsid w:val="00BB458A"/>
    <w:rsid w:val="00BB4CF2"/>
    <w:rsid w:val="00BC28C2"/>
    <w:rsid w:val="00BC5FBC"/>
    <w:rsid w:val="00BD1ECC"/>
    <w:rsid w:val="00BD1F17"/>
    <w:rsid w:val="00BD4572"/>
    <w:rsid w:val="00BE13AD"/>
    <w:rsid w:val="00BE18B3"/>
    <w:rsid w:val="00BE2180"/>
    <w:rsid w:val="00BE225A"/>
    <w:rsid w:val="00BE4275"/>
    <w:rsid w:val="00BF0170"/>
    <w:rsid w:val="00BF134D"/>
    <w:rsid w:val="00BF2433"/>
    <w:rsid w:val="00BF4A44"/>
    <w:rsid w:val="00BF61C9"/>
    <w:rsid w:val="00BF6D0B"/>
    <w:rsid w:val="00C00EBF"/>
    <w:rsid w:val="00C05DA8"/>
    <w:rsid w:val="00C0627F"/>
    <w:rsid w:val="00C123B0"/>
    <w:rsid w:val="00C156E4"/>
    <w:rsid w:val="00C21484"/>
    <w:rsid w:val="00C25418"/>
    <w:rsid w:val="00C2756B"/>
    <w:rsid w:val="00C27A39"/>
    <w:rsid w:val="00C31649"/>
    <w:rsid w:val="00C34C93"/>
    <w:rsid w:val="00C35C36"/>
    <w:rsid w:val="00C40385"/>
    <w:rsid w:val="00C4091A"/>
    <w:rsid w:val="00C4203C"/>
    <w:rsid w:val="00C4449F"/>
    <w:rsid w:val="00C4527A"/>
    <w:rsid w:val="00C507E7"/>
    <w:rsid w:val="00C52A93"/>
    <w:rsid w:val="00C557A6"/>
    <w:rsid w:val="00C57842"/>
    <w:rsid w:val="00C605CA"/>
    <w:rsid w:val="00C6228F"/>
    <w:rsid w:val="00C64121"/>
    <w:rsid w:val="00C645A4"/>
    <w:rsid w:val="00C65576"/>
    <w:rsid w:val="00C657E9"/>
    <w:rsid w:val="00C660CE"/>
    <w:rsid w:val="00C66165"/>
    <w:rsid w:val="00C71DB4"/>
    <w:rsid w:val="00C75012"/>
    <w:rsid w:val="00C75838"/>
    <w:rsid w:val="00C75B67"/>
    <w:rsid w:val="00C76B16"/>
    <w:rsid w:val="00C8061F"/>
    <w:rsid w:val="00C81368"/>
    <w:rsid w:val="00C81668"/>
    <w:rsid w:val="00C8213F"/>
    <w:rsid w:val="00C82DB6"/>
    <w:rsid w:val="00C86266"/>
    <w:rsid w:val="00C86346"/>
    <w:rsid w:val="00C87213"/>
    <w:rsid w:val="00C8797A"/>
    <w:rsid w:val="00C87FE5"/>
    <w:rsid w:val="00C909C3"/>
    <w:rsid w:val="00C90E15"/>
    <w:rsid w:val="00C921A6"/>
    <w:rsid w:val="00C92D80"/>
    <w:rsid w:val="00C938CF"/>
    <w:rsid w:val="00C94DA6"/>
    <w:rsid w:val="00C961A0"/>
    <w:rsid w:val="00CA09EA"/>
    <w:rsid w:val="00CA37DB"/>
    <w:rsid w:val="00CA5245"/>
    <w:rsid w:val="00CA75EC"/>
    <w:rsid w:val="00CA7B09"/>
    <w:rsid w:val="00CB5B1A"/>
    <w:rsid w:val="00CB6813"/>
    <w:rsid w:val="00CB6E19"/>
    <w:rsid w:val="00CC0ABD"/>
    <w:rsid w:val="00CC144B"/>
    <w:rsid w:val="00CC343E"/>
    <w:rsid w:val="00CC4A9E"/>
    <w:rsid w:val="00CC4D62"/>
    <w:rsid w:val="00CC4E50"/>
    <w:rsid w:val="00CD0F26"/>
    <w:rsid w:val="00CD151E"/>
    <w:rsid w:val="00CD52BA"/>
    <w:rsid w:val="00CD5E8C"/>
    <w:rsid w:val="00CD6ADC"/>
    <w:rsid w:val="00CD7F5C"/>
    <w:rsid w:val="00CE0D37"/>
    <w:rsid w:val="00CE1A49"/>
    <w:rsid w:val="00CE2964"/>
    <w:rsid w:val="00CE3A3D"/>
    <w:rsid w:val="00CE3BC0"/>
    <w:rsid w:val="00CE6274"/>
    <w:rsid w:val="00CF456B"/>
    <w:rsid w:val="00CF49E1"/>
    <w:rsid w:val="00CF5A22"/>
    <w:rsid w:val="00D0262E"/>
    <w:rsid w:val="00D027E9"/>
    <w:rsid w:val="00D041F2"/>
    <w:rsid w:val="00D11AA3"/>
    <w:rsid w:val="00D1305C"/>
    <w:rsid w:val="00D15C0A"/>
    <w:rsid w:val="00D17D6C"/>
    <w:rsid w:val="00D217F0"/>
    <w:rsid w:val="00D24177"/>
    <w:rsid w:val="00D24BED"/>
    <w:rsid w:val="00D274D4"/>
    <w:rsid w:val="00D30BB2"/>
    <w:rsid w:val="00D3295A"/>
    <w:rsid w:val="00D3608F"/>
    <w:rsid w:val="00D4362B"/>
    <w:rsid w:val="00D46B22"/>
    <w:rsid w:val="00D46C09"/>
    <w:rsid w:val="00D4707B"/>
    <w:rsid w:val="00D52C45"/>
    <w:rsid w:val="00D54655"/>
    <w:rsid w:val="00D5509F"/>
    <w:rsid w:val="00D60E7A"/>
    <w:rsid w:val="00D679EF"/>
    <w:rsid w:val="00D70F27"/>
    <w:rsid w:val="00D74AF7"/>
    <w:rsid w:val="00D76814"/>
    <w:rsid w:val="00D76A44"/>
    <w:rsid w:val="00D77D1F"/>
    <w:rsid w:val="00D81BE3"/>
    <w:rsid w:val="00D82F60"/>
    <w:rsid w:val="00D84786"/>
    <w:rsid w:val="00D91F09"/>
    <w:rsid w:val="00D9246F"/>
    <w:rsid w:val="00D92649"/>
    <w:rsid w:val="00D92B2D"/>
    <w:rsid w:val="00D93063"/>
    <w:rsid w:val="00D93753"/>
    <w:rsid w:val="00D957D7"/>
    <w:rsid w:val="00D96D73"/>
    <w:rsid w:val="00DA08E1"/>
    <w:rsid w:val="00DA77A5"/>
    <w:rsid w:val="00DA7C77"/>
    <w:rsid w:val="00DB0F55"/>
    <w:rsid w:val="00DB3B96"/>
    <w:rsid w:val="00DB5A74"/>
    <w:rsid w:val="00DB7BE4"/>
    <w:rsid w:val="00DC290A"/>
    <w:rsid w:val="00DC5501"/>
    <w:rsid w:val="00DD36AD"/>
    <w:rsid w:val="00DD3F28"/>
    <w:rsid w:val="00DD4537"/>
    <w:rsid w:val="00DD531F"/>
    <w:rsid w:val="00DD64C4"/>
    <w:rsid w:val="00DE08B6"/>
    <w:rsid w:val="00DE1000"/>
    <w:rsid w:val="00DE241E"/>
    <w:rsid w:val="00DE3B78"/>
    <w:rsid w:val="00DE3F4F"/>
    <w:rsid w:val="00DE73AA"/>
    <w:rsid w:val="00DF4880"/>
    <w:rsid w:val="00DF4941"/>
    <w:rsid w:val="00E10149"/>
    <w:rsid w:val="00E11192"/>
    <w:rsid w:val="00E1130F"/>
    <w:rsid w:val="00E11555"/>
    <w:rsid w:val="00E12361"/>
    <w:rsid w:val="00E157DA"/>
    <w:rsid w:val="00E16372"/>
    <w:rsid w:val="00E169E9"/>
    <w:rsid w:val="00E172FF"/>
    <w:rsid w:val="00E20ED6"/>
    <w:rsid w:val="00E21358"/>
    <w:rsid w:val="00E2249B"/>
    <w:rsid w:val="00E22A6C"/>
    <w:rsid w:val="00E232DB"/>
    <w:rsid w:val="00E24B53"/>
    <w:rsid w:val="00E26CFC"/>
    <w:rsid w:val="00E2776E"/>
    <w:rsid w:val="00E306ED"/>
    <w:rsid w:val="00E30C91"/>
    <w:rsid w:val="00E3171D"/>
    <w:rsid w:val="00E33C2A"/>
    <w:rsid w:val="00E35137"/>
    <w:rsid w:val="00E35844"/>
    <w:rsid w:val="00E35C89"/>
    <w:rsid w:val="00E37569"/>
    <w:rsid w:val="00E40231"/>
    <w:rsid w:val="00E40949"/>
    <w:rsid w:val="00E41E30"/>
    <w:rsid w:val="00E438EF"/>
    <w:rsid w:val="00E47140"/>
    <w:rsid w:val="00E47B2C"/>
    <w:rsid w:val="00E55424"/>
    <w:rsid w:val="00E610D9"/>
    <w:rsid w:val="00E6235F"/>
    <w:rsid w:val="00E6445B"/>
    <w:rsid w:val="00E65E79"/>
    <w:rsid w:val="00E661BD"/>
    <w:rsid w:val="00E67416"/>
    <w:rsid w:val="00E67C5C"/>
    <w:rsid w:val="00E67CC6"/>
    <w:rsid w:val="00E70C55"/>
    <w:rsid w:val="00E718B6"/>
    <w:rsid w:val="00E73581"/>
    <w:rsid w:val="00E75500"/>
    <w:rsid w:val="00E81C92"/>
    <w:rsid w:val="00E83BDF"/>
    <w:rsid w:val="00E83EAD"/>
    <w:rsid w:val="00E94C57"/>
    <w:rsid w:val="00E95B99"/>
    <w:rsid w:val="00E97C64"/>
    <w:rsid w:val="00EA3864"/>
    <w:rsid w:val="00EA76BC"/>
    <w:rsid w:val="00EB1ECC"/>
    <w:rsid w:val="00EB24FE"/>
    <w:rsid w:val="00EB531D"/>
    <w:rsid w:val="00EB714F"/>
    <w:rsid w:val="00EC4682"/>
    <w:rsid w:val="00ED0997"/>
    <w:rsid w:val="00ED1FDA"/>
    <w:rsid w:val="00ED2360"/>
    <w:rsid w:val="00ED5D3B"/>
    <w:rsid w:val="00ED6A0B"/>
    <w:rsid w:val="00ED7800"/>
    <w:rsid w:val="00EE07D3"/>
    <w:rsid w:val="00EE4BE7"/>
    <w:rsid w:val="00EE7D48"/>
    <w:rsid w:val="00EF5A2E"/>
    <w:rsid w:val="00F00F1E"/>
    <w:rsid w:val="00F01C63"/>
    <w:rsid w:val="00F03B9D"/>
    <w:rsid w:val="00F0594B"/>
    <w:rsid w:val="00F0789C"/>
    <w:rsid w:val="00F1029C"/>
    <w:rsid w:val="00F22852"/>
    <w:rsid w:val="00F228CA"/>
    <w:rsid w:val="00F2575F"/>
    <w:rsid w:val="00F26188"/>
    <w:rsid w:val="00F278D9"/>
    <w:rsid w:val="00F324E0"/>
    <w:rsid w:val="00F33B44"/>
    <w:rsid w:val="00F33DE9"/>
    <w:rsid w:val="00F3619A"/>
    <w:rsid w:val="00F364F2"/>
    <w:rsid w:val="00F43449"/>
    <w:rsid w:val="00F43CE7"/>
    <w:rsid w:val="00F43E05"/>
    <w:rsid w:val="00F44D7D"/>
    <w:rsid w:val="00F45F15"/>
    <w:rsid w:val="00F460A4"/>
    <w:rsid w:val="00F46CB6"/>
    <w:rsid w:val="00F4721A"/>
    <w:rsid w:val="00F522C8"/>
    <w:rsid w:val="00F52E5B"/>
    <w:rsid w:val="00F54CDC"/>
    <w:rsid w:val="00F54DDE"/>
    <w:rsid w:val="00F55850"/>
    <w:rsid w:val="00F55E73"/>
    <w:rsid w:val="00F56557"/>
    <w:rsid w:val="00F62321"/>
    <w:rsid w:val="00F635AF"/>
    <w:rsid w:val="00F66746"/>
    <w:rsid w:val="00F70C5C"/>
    <w:rsid w:val="00F71959"/>
    <w:rsid w:val="00F74625"/>
    <w:rsid w:val="00F77549"/>
    <w:rsid w:val="00F80E5D"/>
    <w:rsid w:val="00F81759"/>
    <w:rsid w:val="00F8234C"/>
    <w:rsid w:val="00F83114"/>
    <w:rsid w:val="00F85184"/>
    <w:rsid w:val="00F851CE"/>
    <w:rsid w:val="00FA78E5"/>
    <w:rsid w:val="00FB1ED9"/>
    <w:rsid w:val="00FB254D"/>
    <w:rsid w:val="00FB2FCB"/>
    <w:rsid w:val="00FC1074"/>
    <w:rsid w:val="00FC1641"/>
    <w:rsid w:val="00FC2823"/>
    <w:rsid w:val="00FC2E1B"/>
    <w:rsid w:val="00FD2100"/>
    <w:rsid w:val="00FD2305"/>
    <w:rsid w:val="00FD446D"/>
    <w:rsid w:val="00FD5760"/>
    <w:rsid w:val="00FD7915"/>
    <w:rsid w:val="00FE0294"/>
    <w:rsid w:val="00FE0D79"/>
    <w:rsid w:val="00FE334F"/>
    <w:rsid w:val="00FE67FE"/>
    <w:rsid w:val="00FF0188"/>
    <w:rsid w:val="00FF3BDF"/>
    <w:rsid w:val="00FF3DCF"/>
    <w:rsid w:val="00FF5AA3"/>
    <w:rsid w:val="00FF68D6"/>
    <w:rsid w:val="00FF70B1"/>
    <w:rsid w:val="00FF75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03A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33F"/>
    <w:rPr>
      <w:rFonts w:ascii="Arial Bold" w:hAnsi="Arial Bold" w:cs="Arial"/>
      <w:b/>
      <w:caps/>
      <w:snapToGrid w:val="0"/>
      <w:sz w:val="22"/>
      <w:lang w:eastAsia="en-US"/>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3Char">
    <w:name w:val="Heading 3 Char"/>
    <w:basedOn w:val="DefaultParagraphFont"/>
    <w:link w:val="Heading3"/>
    <w:rsid w:val="000D1569"/>
    <w:rPr>
      <w:rFonts w:ascii="Arial" w:hAnsi="Arial" w:cs="Arial"/>
      <w:snapToGrid w:val="0"/>
      <w:sz w:val="22"/>
      <w:u w:val="single"/>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uiPriority w:val="99"/>
    <w:qFormat/>
    <w:rsid w:val="00FD446D"/>
    <w:rPr>
      <w:sz w:val="18"/>
    </w:rPr>
  </w:style>
  <w:style w:type="character" w:customStyle="1" w:styleId="TableFooterChar">
    <w:name w:val="Table Footer Char"/>
    <w:basedOn w:val="DefaultParagraphFont"/>
    <w:link w:val="TableFooter"/>
    <w:rsid w:val="00E438EF"/>
    <w:rPr>
      <w:rFonts w:ascii="Arial" w:hAnsi="Arial" w:cs="Arial"/>
      <w:snapToGrid w:val="0"/>
      <w:sz w:val="18"/>
      <w:lang w:eastAsia="en-US"/>
    </w:rPr>
  </w:style>
  <w:style w:type="paragraph" w:customStyle="1" w:styleId="TableHeader">
    <w:name w:val="Table Header"/>
    <w:basedOn w:val="Normal"/>
    <w:uiPriority w:val="99"/>
    <w:rsid w:val="000D1BFC"/>
    <w:rPr>
      <w:b/>
      <w:sz w:val="20"/>
    </w:rPr>
  </w:style>
  <w:style w:type="paragraph" w:customStyle="1" w:styleId="COMtbl-HEADLeftAligned">
    <w:name w:val="COMtbl-HEAD Left Aligned"/>
    <w:basedOn w:val="Normal"/>
    <w:qFormat/>
    <w:rsid w:val="00C4449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C4449F"/>
    <w:pPr>
      <w:jc w:val="center"/>
    </w:p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071736"/>
    <w:pPr>
      <w:tabs>
        <w:tab w:val="left" w:pos="880"/>
        <w:tab w:val="right" w:leader="dot" w:pos="9016"/>
      </w:tabs>
      <w:ind w:left="910" w:hanging="689"/>
      <w:jc w:val="left"/>
    </w:pPr>
    <w:rPr>
      <w:iCs/>
    </w:rPr>
  </w:style>
  <w:style w:type="paragraph" w:styleId="TOC1">
    <w:name w:val="toc 1"/>
    <w:basedOn w:val="Normal"/>
    <w:next w:val="Normal"/>
    <w:autoRedefine/>
    <w:uiPriority w:val="39"/>
    <w:qFormat/>
    <w:rsid w:val="00632D5D"/>
    <w:pPr>
      <w:tabs>
        <w:tab w:val="right" w:leader="dot" w:pos="9016"/>
      </w:tabs>
      <w:jc w:val="left"/>
    </w:pPr>
    <w:rPr>
      <w:bCs/>
      <w:caps/>
      <w:noProof/>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semiHidden/>
    <w:unhideWhenUsed/>
    <w:rsid w:val="00327929"/>
    <w:rPr>
      <w:rFonts w:ascii="Tahoma" w:hAnsi="Tahoma" w:cs="Tahoma"/>
      <w:sz w:val="16"/>
      <w:szCs w:val="16"/>
    </w:rPr>
  </w:style>
  <w:style w:type="character" w:customStyle="1" w:styleId="BalloonTextChar">
    <w:name w:val="Balloon Text Char"/>
    <w:basedOn w:val="DefaultParagraphFont"/>
    <w:link w:val="BalloonText"/>
    <w:uiPriority w:val="99"/>
    <w:semiHidden/>
    <w:rsid w:val="00327929"/>
    <w:rPr>
      <w:rFonts w:ascii="Tahoma" w:hAnsi="Tahoma" w:cs="Tahoma"/>
      <w:snapToGrid w:val="0"/>
      <w:sz w:val="16"/>
      <w:szCs w:val="16"/>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Revision">
    <w:name w:val="Revision"/>
    <w:hidden/>
    <w:uiPriority w:val="99"/>
    <w:semiHidden/>
    <w:rsid w:val="00043C37"/>
    <w:rPr>
      <w:rFonts w:ascii="Arial" w:hAnsi="Arial" w:cs="Arial"/>
      <w:snapToGrid w:val="0"/>
      <w:sz w:val="22"/>
      <w:lang w:eastAsia="en-US"/>
    </w:rPr>
  </w:style>
  <w:style w:type="paragraph" w:customStyle="1" w:styleId="COMBody">
    <w:name w:val="COMBody"/>
    <w:basedOn w:val="Normal"/>
    <w:link w:val="COMBodyChar"/>
    <w:qFormat/>
    <w:rsid w:val="007A2F58"/>
    <w:rPr>
      <w:snapToGrid/>
      <w:szCs w:val="22"/>
    </w:rPr>
  </w:style>
  <w:style w:type="character" w:customStyle="1" w:styleId="COMBodyChar">
    <w:name w:val="COMBody Char"/>
    <w:basedOn w:val="DefaultParagraphFont"/>
    <w:link w:val="COMBody"/>
    <w:rsid w:val="007A2F58"/>
    <w:rPr>
      <w:rFonts w:ascii="Arial" w:hAnsi="Arial" w:cs="Arial"/>
      <w:sz w:val="22"/>
      <w:szCs w:val="22"/>
      <w:lang w:eastAsia="en-US"/>
    </w:rPr>
  </w:style>
  <w:style w:type="paragraph" w:customStyle="1" w:styleId="COMTbl-cap">
    <w:name w:val="COMTbl-cap"/>
    <w:basedOn w:val="Normal"/>
    <w:link w:val="COMTbl-capChar"/>
    <w:qFormat/>
    <w:rsid w:val="00305068"/>
    <w:pPr>
      <w:keepNext/>
    </w:pPr>
    <w:rPr>
      <w:rFonts w:ascii="Arial Narrow" w:hAnsi="Arial Narrow"/>
      <w:b/>
      <w:sz w:val="20"/>
    </w:rPr>
  </w:style>
  <w:style w:type="character" w:customStyle="1" w:styleId="COMTbl-capChar">
    <w:name w:val="COMTbl-cap Char"/>
    <w:basedOn w:val="DefaultParagraphFont"/>
    <w:link w:val="COMTbl-cap"/>
    <w:rsid w:val="00305068"/>
    <w:rPr>
      <w:rFonts w:ascii="Arial Narrow" w:hAnsi="Arial Narrow" w:cs="Arial"/>
      <w:b/>
      <w:snapToGrid w:val="0"/>
      <w:lang w:eastAsia="en-US"/>
    </w:rPr>
  </w:style>
  <w:style w:type="paragraph" w:customStyle="1" w:styleId="COMTbl-foot">
    <w:name w:val="COMTbl-foot"/>
    <w:basedOn w:val="TableFooter"/>
    <w:link w:val="COMTbl-footChar"/>
    <w:qFormat/>
    <w:rsid w:val="008353AE"/>
    <w:rPr>
      <w:rFonts w:ascii="Arial Narrow" w:hAnsi="Arial Narrow"/>
      <w:szCs w:val="18"/>
    </w:rPr>
  </w:style>
  <w:style w:type="character" w:customStyle="1" w:styleId="COMTbl-footChar">
    <w:name w:val="COMTbl-foot Char"/>
    <w:basedOn w:val="TableFooterChar"/>
    <w:link w:val="COMTbl-foot"/>
    <w:rsid w:val="008353AE"/>
    <w:rPr>
      <w:rFonts w:ascii="Arial Narrow" w:hAnsi="Arial Narrow" w:cs="Arial"/>
      <w:snapToGrid w:val="0"/>
      <w:sz w:val="18"/>
      <w:szCs w:val="18"/>
      <w:lang w:eastAsia="en-US"/>
    </w:rPr>
  </w:style>
  <w:style w:type="paragraph" w:customStyle="1" w:styleId="COM-CIChead">
    <w:name w:val="COM-CIChead"/>
    <w:basedOn w:val="Normal"/>
    <w:link w:val="COM-CICheadChar"/>
    <w:qFormat/>
    <w:rsid w:val="003A533F"/>
    <w:pPr>
      <w:jc w:val="center"/>
    </w:pPr>
    <w:rPr>
      <w:b/>
      <w:u w:val="single"/>
    </w:rPr>
  </w:style>
  <w:style w:type="character" w:customStyle="1" w:styleId="COM-CICheadChar">
    <w:name w:val="COM-CIChead Char"/>
    <w:basedOn w:val="DefaultParagraphFont"/>
    <w:link w:val="COM-CIChead"/>
    <w:rsid w:val="003A533F"/>
    <w:rPr>
      <w:rFonts w:ascii="Arial" w:hAnsi="Arial" w:cs="Arial"/>
      <w:b/>
      <w:snapToGrid w:val="0"/>
      <w:sz w:val="22"/>
      <w:u w:val="single"/>
      <w:lang w:eastAsia="en-US"/>
    </w:rPr>
  </w:style>
  <w:style w:type="paragraph" w:customStyle="1" w:styleId="COMH1-Attachments">
    <w:name w:val="COMH1-Attachments"/>
    <w:basedOn w:val="Heading1"/>
    <w:link w:val="COMH1-AttachmentsChar"/>
    <w:qFormat/>
    <w:rsid w:val="000602A0"/>
    <w:pPr>
      <w:spacing w:after="220"/>
      <w:jc w:val="right"/>
    </w:pPr>
  </w:style>
  <w:style w:type="character" w:customStyle="1" w:styleId="COMH1-AttachmentsChar">
    <w:name w:val="COMH1-Attachments Char"/>
    <w:basedOn w:val="Heading1Char"/>
    <w:link w:val="COMH1-Attachments"/>
    <w:rsid w:val="000602A0"/>
    <w:rPr>
      <w:rFonts w:ascii="Arial Bold" w:hAnsi="Arial Bold" w:cs="Arial"/>
      <w:b/>
      <w:caps/>
      <w:snapToGrid w:val="0"/>
      <w:sz w:val="22"/>
      <w:lang w:eastAsia="en-US"/>
    </w:rPr>
  </w:style>
  <w:style w:type="paragraph" w:customStyle="1" w:styleId="COMH1">
    <w:name w:val="COMH1"/>
    <w:basedOn w:val="Heading1"/>
    <w:next w:val="COMBody"/>
    <w:link w:val="COMH1Char"/>
    <w:qFormat/>
    <w:rsid w:val="000A6F32"/>
    <w:pPr>
      <w:spacing w:after="220"/>
    </w:pPr>
  </w:style>
  <w:style w:type="character" w:customStyle="1" w:styleId="COMH1Char">
    <w:name w:val="COMH1 Char"/>
    <w:basedOn w:val="Heading1Char"/>
    <w:link w:val="COMH1"/>
    <w:rsid w:val="000A6F32"/>
    <w:rPr>
      <w:rFonts w:ascii="Arial Bold" w:hAnsi="Arial Bold" w:cs="Arial"/>
      <w:b/>
      <w:caps/>
      <w:snapToGrid w:val="0"/>
      <w:sz w:val="22"/>
      <w:lang w:eastAsia="en-US"/>
    </w:rPr>
  </w:style>
  <w:style w:type="paragraph" w:customStyle="1" w:styleId="COMH2">
    <w:name w:val="COMH2"/>
    <w:basedOn w:val="Heading2"/>
    <w:link w:val="COMH2Char"/>
    <w:qFormat/>
    <w:rsid w:val="00C4449F"/>
    <w:pPr>
      <w:keepNext/>
      <w:spacing w:after="220"/>
    </w:pPr>
  </w:style>
  <w:style w:type="character" w:customStyle="1" w:styleId="COMH2Char">
    <w:name w:val="COMH2 Char"/>
    <w:basedOn w:val="Heading2Char"/>
    <w:link w:val="COMH2"/>
    <w:rsid w:val="00C4449F"/>
    <w:rPr>
      <w:rFonts w:ascii="Arial" w:hAnsi="Arial" w:cs="Arial"/>
      <w:b/>
      <w:snapToGrid w:val="0"/>
      <w:sz w:val="22"/>
      <w:lang w:eastAsia="en-US"/>
    </w:rPr>
  </w:style>
  <w:style w:type="paragraph" w:customStyle="1" w:styleId="COMTbl-reqlisting">
    <w:name w:val="COMTbl-reqlisting"/>
    <w:basedOn w:val="COMTbl-cap"/>
    <w:link w:val="COMTbl-reqlistingChar"/>
    <w:qFormat/>
    <w:rsid w:val="000A6F32"/>
    <w:rPr>
      <w:sz w:val="22"/>
      <w:szCs w:val="22"/>
    </w:rPr>
  </w:style>
  <w:style w:type="character" w:customStyle="1" w:styleId="COMTbl-reqlistingChar">
    <w:name w:val="COMTbl-reqlisting Char"/>
    <w:basedOn w:val="COMTbl-capChar"/>
    <w:link w:val="COMTbl-reqlisting"/>
    <w:rsid w:val="000A6F32"/>
    <w:rPr>
      <w:rFonts w:ascii="Arial" w:hAnsi="Arial" w:cs="Arial"/>
      <w:b/>
      <w:snapToGrid w:val="0"/>
      <w:color w:val="E36C0A" w:themeColor="accent6" w:themeShade="BF"/>
      <w:sz w:val="22"/>
      <w:szCs w:val="22"/>
      <w:lang w:eastAsia="en-US"/>
    </w:rPr>
  </w:style>
  <w:style w:type="paragraph" w:customStyle="1" w:styleId="COMH3">
    <w:name w:val="COMH3"/>
    <w:basedOn w:val="Heading3"/>
    <w:link w:val="COMH3Char"/>
    <w:qFormat/>
    <w:rsid w:val="000602A0"/>
    <w:pPr>
      <w:keepNext/>
      <w:spacing w:after="220"/>
    </w:pPr>
  </w:style>
  <w:style w:type="character" w:customStyle="1" w:styleId="COMH3Char">
    <w:name w:val="COMH3 Char"/>
    <w:basedOn w:val="Heading3Char"/>
    <w:link w:val="COMH3"/>
    <w:rsid w:val="000602A0"/>
    <w:rPr>
      <w:rFonts w:ascii="Arial" w:hAnsi="Arial" w:cs="Arial"/>
      <w:snapToGrid w:val="0"/>
      <w:sz w:val="22"/>
      <w:u w:val="single"/>
      <w:lang w:eastAsia="en-US"/>
    </w:rPr>
  </w:style>
  <w:style w:type="paragraph" w:customStyle="1" w:styleId="COMtbl-textLeftAligned">
    <w:name w:val="COMtbl-text Left Aligned"/>
    <w:basedOn w:val="COMtbl-HEADLeftAligned"/>
    <w:qFormat/>
    <w:rsid w:val="000D6DAB"/>
    <w:rPr>
      <w:b w:val="0"/>
    </w:rPr>
  </w:style>
  <w:style w:type="paragraph" w:customStyle="1" w:styleId="COMtbl-textCentred">
    <w:name w:val="COMtbl-text Centred"/>
    <w:basedOn w:val="COMtbl-HEADCentred"/>
    <w:qFormat/>
    <w:rsid w:val="000D6DAB"/>
    <w:rPr>
      <w:b w:val="0"/>
    </w:rPr>
  </w:style>
  <w:style w:type="paragraph" w:customStyle="1" w:styleId="Default">
    <w:name w:val="Default"/>
    <w:rsid w:val="008E7DF6"/>
    <w:pPr>
      <w:autoSpaceDE w:val="0"/>
      <w:autoSpaceDN w:val="0"/>
      <w:adjustRightInd w:val="0"/>
    </w:pPr>
    <w:rPr>
      <w:rFonts w:ascii="Arial" w:hAnsi="Arial" w:cs="Arial"/>
      <w:color w:val="000000"/>
      <w:sz w:val="24"/>
      <w:szCs w:val="24"/>
    </w:rPr>
  </w:style>
  <w:style w:type="character" w:styleId="CommentReference">
    <w:name w:val="annotation reference"/>
    <w:aliases w:val="Table Title"/>
    <w:basedOn w:val="DefaultParagraphFont"/>
    <w:unhideWhenUsed/>
    <w:qFormat/>
    <w:rsid w:val="003E6D4A"/>
    <w:rPr>
      <w:sz w:val="18"/>
      <w:szCs w:val="18"/>
    </w:rPr>
  </w:style>
  <w:style w:type="paragraph" w:styleId="CommentText">
    <w:name w:val="annotation text"/>
    <w:basedOn w:val="Normal"/>
    <w:link w:val="CommentTextChar"/>
    <w:unhideWhenUsed/>
    <w:rsid w:val="003E6D4A"/>
    <w:rPr>
      <w:sz w:val="24"/>
      <w:szCs w:val="24"/>
    </w:rPr>
  </w:style>
  <w:style w:type="character" w:customStyle="1" w:styleId="CommentTextChar">
    <w:name w:val="Comment Text Char"/>
    <w:basedOn w:val="DefaultParagraphFont"/>
    <w:link w:val="CommentText"/>
    <w:rsid w:val="003E6D4A"/>
    <w:rPr>
      <w:rFonts w:ascii="Arial" w:hAnsi="Arial" w:cs="Arial"/>
      <w:snapToGrid w:val="0"/>
      <w:sz w:val="24"/>
      <w:szCs w:val="24"/>
      <w:lang w:eastAsia="en-US"/>
    </w:rPr>
  </w:style>
  <w:style w:type="paragraph" w:styleId="CommentSubject">
    <w:name w:val="annotation subject"/>
    <w:basedOn w:val="CommentText"/>
    <w:next w:val="CommentText"/>
    <w:link w:val="CommentSubjectChar"/>
    <w:uiPriority w:val="99"/>
    <w:semiHidden/>
    <w:unhideWhenUsed/>
    <w:rsid w:val="003E6D4A"/>
    <w:rPr>
      <w:b/>
      <w:bCs/>
      <w:sz w:val="20"/>
      <w:szCs w:val="20"/>
    </w:rPr>
  </w:style>
  <w:style w:type="character" w:customStyle="1" w:styleId="CommentSubjectChar">
    <w:name w:val="Comment Subject Char"/>
    <w:basedOn w:val="CommentTextChar"/>
    <w:link w:val="CommentSubject"/>
    <w:uiPriority w:val="99"/>
    <w:semiHidden/>
    <w:rsid w:val="003E6D4A"/>
    <w:rPr>
      <w:rFonts w:ascii="Arial" w:hAnsi="Arial" w:cs="Arial"/>
      <w:b/>
      <w:bCs/>
      <w:snapToGrid w:val="0"/>
      <w:sz w:val="24"/>
      <w:szCs w:val="24"/>
      <w:lang w:eastAsia="en-US"/>
    </w:rPr>
  </w:style>
  <w:style w:type="paragraph" w:styleId="ListParagraph">
    <w:name w:val="List Paragraph"/>
    <w:basedOn w:val="Normal"/>
    <w:link w:val="ListParagraphChar"/>
    <w:uiPriority w:val="72"/>
    <w:qFormat/>
    <w:rsid w:val="00131EF1"/>
    <w:pPr>
      <w:ind w:left="720"/>
      <w:contextualSpacing/>
    </w:pPr>
  </w:style>
  <w:style w:type="character" w:customStyle="1" w:styleId="li-content">
    <w:name w:val="li-content"/>
    <w:basedOn w:val="DefaultParagraphFont"/>
    <w:rsid w:val="00090CF8"/>
  </w:style>
  <w:style w:type="numbering" w:customStyle="1" w:styleId="NoList1">
    <w:name w:val="No List1"/>
    <w:next w:val="NoList"/>
    <w:uiPriority w:val="99"/>
    <w:semiHidden/>
    <w:unhideWhenUsed/>
    <w:rsid w:val="008F1032"/>
  </w:style>
  <w:style w:type="paragraph" w:styleId="BodyText">
    <w:name w:val="Body Text"/>
    <w:basedOn w:val="Normal"/>
    <w:link w:val="BodyTextChar"/>
    <w:uiPriority w:val="99"/>
    <w:qFormat/>
    <w:rsid w:val="008F1032"/>
    <w:pPr>
      <w:widowControl/>
      <w:autoSpaceDE w:val="0"/>
      <w:autoSpaceDN w:val="0"/>
      <w:adjustRightInd w:val="0"/>
      <w:ind w:left="200"/>
      <w:jc w:val="left"/>
    </w:pPr>
    <w:rPr>
      <w:b/>
      <w:bCs/>
      <w:snapToGrid/>
      <w:szCs w:val="22"/>
      <w:lang w:eastAsia="en-AU"/>
    </w:rPr>
  </w:style>
  <w:style w:type="character" w:customStyle="1" w:styleId="BodyTextChar">
    <w:name w:val="Body Text Char"/>
    <w:basedOn w:val="DefaultParagraphFont"/>
    <w:link w:val="BodyText"/>
    <w:uiPriority w:val="99"/>
    <w:rsid w:val="008F1032"/>
    <w:rPr>
      <w:rFonts w:ascii="Arial" w:hAnsi="Arial" w:cs="Arial"/>
      <w:b/>
      <w:bCs/>
      <w:sz w:val="22"/>
      <w:szCs w:val="22"/>
    </w:rPr>
  </w:style>
  <w:style w:type="paragraph" w:customStyle="1" w:styleId="TableParagraph">
    <w:name w:val="Table Paragraph"/>
    <w:basedOn w:val="Normal"/>
    <w:uiPriority w:val="1"/>
    <w:qFormat/>
    <w:rsid w:val="008F1032"/>
    <w:pPr>
      <w:widowControl/>
      <w:autoSpaceDE w:val="0"/>
      <w:autoSpaceDN w:val="0"/>
      <w:adjustRightInd w:val="0"/>
      <w:jc w:val="left"/>
    </w:pPr>
    <w:rPr>
      <w:rFonts w:ascii="Times New Roman" w:hAnsi="Times New Roman" w:cs="Times New Roman"/>
      <w:snapToGrid/>
      <w:sz w:val="24"/>
      <w:szCs w:val="24"/>
      <w:lang w:eastAsia="en-AU"/>
    </w:rPr>
  </w:style>
  <w:style w:type="table" w:customStyle="1" w:styleId="TableGrid1">
    <w:name w:val="Table Grid1"/>
    <w:basedOn w:val="TableNormal"/>
    <w:next w:val="TableGrid"/>
    <w:uiPriority w:val="59"/>
    <w:rsid w:val="00760F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 Header,Header title,he=header,cntr/bld"/>
    <w:basedOn w:val="Normal"/>
    <w:link w:val="HeaderChar"/>
    <w:uiPriority w:val="99"/>
    <w:unhideWhenUsed/>
    <w:rsid w:val="00611ED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11ED4"/>
    <w:rPr>
      <w:rFonts w:ascii="Arial" w:hAnsi="Arial" w:cs="Arial"/>
      <w:snapToGrid w:val="0"/>
      <w:sz w:val="22"/>
      <w:lang w:eastAsia="en-US"/>
    </w:rPr>
  </w:style>
  <w:style w:type="paragraph" w:styleId="Footer">
    <w:name w:val="footer"/>
    <w:basedOn w:val="Normal"/>
    <w:link w:val="FooterChar"/>
    <w:uiPriority w:val="99"/>
    <w:unhideWhenUsed/>
    <w:rsid w:val="00611ED4"/>
    <w:pPr>
      <w:tabs>
        <w:tab w:val="center" w:pos="4513"/>
        <w:tab w:val="right" w:pos="9026"/>
      </w:tabs>
    </w:pPr>
  </w:style>
  <w:style w:type="character" w:customStyle="1" w:styleId="FooterChar">
    <w:name w:val="Footer Char"/>
    <w:basedOn w:val="DefaultParagraphFont"/>
    <w:link w:val="Footer"/>
    <w:uiPriority w:val="99"/>
    <w:rsid w:val="00611ED4"/>
    <w:rPr>
      <w:rFonts w:ascii="Arial" w:hAnsi="Arial" w:cs="Arial"/>
      <w:snapToGrid w:val="0"/>
      <w:sz w:val="22"/>
      <w:lang w:eastAsia="en-US"/>
    </w:rPr>
  </w:style>
  <w:style w:type="table" w:customStyle="1" w:styleId="TableGrid2">
    <w:name w:val="Table Grid2"/>
    <w:basedOn w:val="TableNormal"/>
    <w:next w:val="TableGrid"/>
    <w:uiPriority w:val="59"/>
    <w:rsid w:val="00B903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56E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47D6D"/>
  </w:style>
  <w:style w:type="character" w:customStyle="1" w:styleId="Heading4Char">
    <w:name w:val="Heading 4 Char"/>
    <w:basedOn w:val="DefaultParagraphFont"/>
    <w:link w:val="Heading4"/>
    <w:rsid w:val="00147D6D"/>
    <w:rPr>
      <w:rFonts w:ascii="Arial" w:hAnsi="Arial" w:cs="Arial"/>
      <w:b/>
      <w:bCs/>
      <w:i/>
      <w:snapToGrid w:val="0"/>
      <w:sz w:val="26"/>
      <w:szCs w:val="28"/>
      <w:lang w:eastAsia="en-US"/>
    </w:rPr>
  </w:style>
  <w:style w:type="character" w:customStyle="1" w:styleId="Heading5Char">
    <w:name w:val="Heading 5 Char"/>
    <w:basedOn w:val="DefaultParagraphFont"/>
    <w:link w:val="Heading5"/>
    <w:rsid w:val="00147D6D"/>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147D6D"/>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147D6D"/>
    <w:rPr>
      <w:color w:val="800080" w:themeColor="followedHyperlink"/>
      <w:u w:val="single"/>
    </w:rPr>
  </w:style>
  <w:style w:type="paragraph" w:styleId="TOC4">
    <w:name w:val="toc 4"/>
    <w:basedOn w:val="Normal"/>
    <w:next w:val="Normal"/>
    <w:autoRedefine/>
    <w:uiPriority w:val="99"/>
    <w:semiHidden/>
    <w:unhideWhenUsed/>
    <w:rsid w:val="00147D6D"/>
    <w:pPr>
      <w:snapToGrid w:val="0"/>
      <w:ind w:left="660"/>
      <w:jc w:val="left"/>
    </w:pPr>
    <w:rPr>
      <w:rFonts w:ascii="Calibri" w:hAnsi="Calibri"/>
      <w:snapToGrid/>
      <w:sz w:val="20"/>
    </w:rPr>
  </w:style>
  <w:style w:type="paragraph" w:styleId="TOC5">
    <w:name w:val="toc 5"/>
    <w:basedOn w:val="Normal"/>
    <w:next w:val="Normal"/>
    <w:autoRedefine/>
    <w:uiPriority w:val="99"/>
    <w:semiHidden/>
    <w:unhideWhenUsed/>
    <w:rsid w:val="00147D6D"/>
    <w:pPr>
      <w:snapToGrid w:val="0"/>
      <w:ind w:left="880"/>
      <w:jc w:val="left"/>
    </w:pPr>
    <w:rPr>
      <w:rFonts w:ascii="Calibri" w:hAnsi="Calibri"/>
      <w:snapToGrid/>
      <w:sz w:val="20"/>
    </w:rPr>
  </w:style>
  <w:style w:type="paragraph" w:styleId="TOC6">
    <w:name w:val="toc 6"/>
    <w:basedOn w:val="Normal"/>
    <w:next w:val="Normal"/>
    <w:autoRedefine/>
    <w:uiPriority w:val="99"/>
    <w:semiHidden/>
    <w:unhideWhenUsed/>
    <w:rsid w:val="00147D6D"/>
    <w:pPr>
      <w:snapToGrid w:val="0"/>
      <w:ind w:left="1100"/>
      <w:jc w:val="left"/>
    </w:pPr>
    <w:rPr>
      <w:rFonts w:ascii="Calibri" w:hAnsi="Calibri"/>
      <w:snapToGrid/>
      <w:sz w:val="20"/>
    </w:rPr>
  </w:style>
  <w:style w:type="paragraph" w:styleId="TOC7">
    <w:name w:val="toc 7"/>
    <w:basedOn w:val="Normal"/>
    <w:next w:val="Normal"/>
    <w:autoRedefine/>
    <w:uiPriority w:val="99"/>
    <w:semiHidden/>
    <w:unhideWhenUsed/>
    <w:rsid w:val="00147D6D"/>
    <w:pPr>
      <w:snapToGrid w:val="0"/>
      <w:ind w:left="1320"/>
      <w:jc w:val="left"/>
    </w:pPr>
    <w:rPr>
      <w:rFonts w:ascii="Calibri" w:hAnsi="Calibri"/>
      <w:snapToGrid/>
      <w:sz w:val="20"/>
    </w:rPr>
  </w:style>
  <w:style w:type="paragraph" w:styleId="TOC8">
    <w:name w:val="toc 8"/>
    <w:basedOn w:val="Normal"/>
    <w:next w:val="Normal"/>
    <w:autoRedefine/>
    <w:uiPriority w:val="99"/>
    <w:semiHidden/>
    <w:unhideWhenUsed/>
    <w:rsid w:val="00147D6D"/>
    <w:pPr>
      <w:snapToGrid w:val="0"/>
      <w:ind w:left="1540"/>
      <w:jc w:val="left"/>
    </w:pPr>
    <w:rPr>
      <w:rFonts w:ascii="Calibri" w:hAnsi="Calibri"/>
      <w:snapToGrid/>
      <w:sz w:val="20"/>
    </w:rPr>
  </w:style>
  <w:style w:type="paragraph" w:styleId="TOC9">
    <w:name w:val="toc 9"/>
    <w:basedOn w:val="Normal"/>
    <w:next w:val="Normal"/>
    <w:autoRedefine/>
    <w:uiPriority w:val="99"/>
    <w:semiHidden/>
    <w:unhideWhenUsed/>
    <w:rsid w:val="00147D6D"/>
    <w:pPr>
      <w:snapToGrid w:val="0"/>
      <w:ind w:left="1760"/>
      <w:jc w:val="left"/>
    </w:pPr>
    <w:rPr>
      <w:rFonts w:ascii="Calibri" w:hAnsi="Calibri"/>
      <w:snapToGrid/>
      <w:sz w:val="20"/>
    </w:rPr>
  </w:style>
  <w:style w:type="character" w:customStyle="1" w:styleId="HeaderChar1">
    <w:name w:val="Header Char1"/>
    <w:aliases w:val="Page Header Char1,Header title Char1,he=header Char1,cntr/bld Char1"/>
    <w:basedOn w:val="DefaultParagraphFont"/>
    <w:uiPriority w:val="99"/>
    <w:semiHidden/>
    <w:rsid w:val="00147D6D"/>
    <w:rPr>
      <w:rFonts w:ascii="Calibri" w:eastAsia="Calibri" w:hAnsi="Calibri"/>
      <w:sz w:val="22"/>
      <w:szCs w:val="22"/>
      <w:lang w:eastAsia="en-US"/>
    </w:rPr>
  </w:style>
  <w:style w:type="character" w:customStyle="1" w:styleId="CaptionChar">
    <w:name w:val="Caption Char"/>
    <w:link w:val="Caption"/>
    <w:semiHidden/>
    <w:locked/>
    <w:rsid w:val="00147D6D"/>
    <w:rPr>
      <w:rFonts w:ascii="Arial" w:hAnsi="Arial" w:cs="Arial"/>
      <w:b/>
      <w:bCs/>
      <w:color w:val="4F81BD" w:themeColor="accent1"/>
      <w:sz w:val="18"/>
      <w:szCs w:val="18"/>
    </w:rPr>
  </w:style>
  <w:style w:type="paragraph" w:styleId="Caption">
    <w:name w:val="caption"/>
    <w:basedOn w:val="Normal"/>
    <w:next w:val="Normal"/>
    <w:link w:val="CaptionChar"/>
    <w:semiHidden/>
    <w:unhideWhenUsed/>
    <w:qFormat/>
    <w:rsid w:val="00147D6D"/>
    <w:pPr>
      <w:snapToGrid w:val="0"/>
      <w:spacing w:after="200"/>
    </w:pPr>
    <w:rPr>
      <w:b/>
      <w:bCs/>
      <w:snapToGrid/>
      <w:color w:val="4F81BD" w:themeColor="accent1"/>
      <w:sz w:val="18"/>
      <w:szCs w:val="18"/>
      <w:lang w:eastAsia="en-AU"/>
    </w:rPr>
  </w:style>
  <w:style w:type="paragraph" w:styleId="Title">
    <w:name w:val="Title"/>
    <w:basedOn w:val="Normal"/>
    <w:next w:val="Normal"/>
    <w:link w:val="TitleChar"/>
    <w:uiPriority w:val="99"/>
    <w:qFormat/>
    <w:rsid w:val="00147D6D"/>
    <w:pPr>
      <w:snapToGrid w:val="0"/>
      <w:spacing w:before="240" w:after="60"/>
      <w:jc w:val="center"/>
      <w:outlineLvl w:val="0"/>
    </w:pPr>
    <w:rPr>
      <w:rFonts w:ascii="Cambria" w:hAnsi="Cambria"/>
      <w:b/>
      <w:bCs/>
      <w:snapToGrid/>
      <w:kern w:val="28"/>
      <w:sz w:val="32"/>
      <w:szCs w:val="32"/>
    </w:rPr>
  </w:style>
  <w:style w:type="character" w:customStyle="1" w:styleId="TitleChar">
    <w:name w:val="Title Char"/>
    <w:basedOn w:val="DefaultParagraphFont"/>
    <w:link w:val="Title"/>
    <w:uiPriority w:val="99"/>
    <w:rsid w:val="00147D6D"/>
    <w:rPr>
      <w:rFonts w:ascii="Cambria" w:hAnsi="Cambria" w:cs="Arial"/>
      <w:b/>
      <w:bCs/>
      <w:kern w:val="28"/>
      <w:sz w:val="32"/>
      <w:szCs w:val="32"/>
      <w:lang w:eastAsia="en-US"/>
    </w:rPr>
  </w:style>
  <w:style w:type="paragraph" w:styleId="BodyTextIndent">
    <w:name w:val="Body Text Indent"/>
    <w:basedOn w:val="Normal"/>
    <w:link w:val="BodyTextIndentChar"/>
    <w:uiPriority w:val="99"/>
    <w:semiHidden/>
    <w:unhideWhenUsed/>
    <w:rsid w:val="00147D6D"/>
    <w:pPr>
      <w:snapToGrid w:val="0"/>
      <w:spacing w:after="120"/>
      <w:ind w:left="283"/>
    </w:pPr>
    <w:rPr>
      <w:snapToGrid/>
    </w:rPr>
  </w:style>
  <w:style w:type="character" w:customStyle="1" w:styleId="BodyTextIndentChar">
    <w:name w:val="Body Text Indent Char"/>
    <w:basedOn w:val="DefaultParagraphFont"/>
    <w:link w:val="BodyTextIndent"/>
    <w:uiPriority w:val="99"/>
    <w:semiHidden/>
    <w:rsid w:val="00147D6D"/>
    <w:rPr>
      <w:rFonts w:ascii="Arial" w:hAnsi="Arial" w:cs="Arial"/>
      <w:sz w:val="22"/>
      <w:lang w:eastAsia="en-US"/>
    </w:rPr>
  </w:style>
  <w:style w:type="paragraph" w:styleId="BodyText2">
    <w:name w:val="Body Text 2"/>
    <w:basedOn w:val="Normal"/>
    <w:link w:val="BodyText2Char"/>
    <w:uiPriority w:val="99"/>
    <w:semiHidden/>
    <w:unhideWhenUsed/>
    <w:rsid w:val="00147D6D"/>
    <w:pPr>
      <w:snapToGrid w:val="0"/>
      <w:spacing w:after="120" w:line="480" w:lineRule="auto"/>
    </w:pPr>
    <w:rPr>
      <w:snapToGrid/>
    </w:rPr>
  </w:style>
  <w:style w:type="character" w:customStyle="1" w:styleId="BodyText2Char">
    <w:name w:val="Body Text 2 Char"/>
    <w:basedOn w:val="DefaultParagraphFont"/>
    <w:link w:val="BodyText2"/>
    <w:uiPriority w:val="99"/>
    <w:semiHidden/>
    <w:rsid w:val="00147D6D"/>
    <w:rPr>
      <w:rFonts w:ascii="Arial" w:hAnsi="Arial" w:cs="Arial"/>
      <w:sz w:val="22"/>
      <w:lang w:eastAsia="en-US"/>
    </w:rPr>
  </w:style>
  <w:style w:type="paragraph" w:styleId="BodyText3">
    <w:name w:val="Body Text 3"/>
    <w:basedOn w:val="Normal"/>
    <w:link w:val="BodyText3Char"/>
    <w:uiPriority w:val="99"/>
    <w:semiHidden/>
    <w:unhideWhenUsed/>
    <w:rsid w:val="00147D6D"/>
    <w:pPr>
      <w:snapToGrid w:val="0"/>
      <w:spacing w:after="120"/>
    </w:pPr>
    <w:rPr>
      <w:snapToGrid/>
      <w:sz w:val="16"/>
      <w:szCs w:val="16"/>
    </w:rPr>
  </w:style>
  <w:style w:type="character" w:customStyle="1" w:styleId="BodyText3Char">
    <w:name w:val="Body Text 3 Char"/>
    <w:basedOn w:val="DefaultParagraphFont"/>
    <w:link w:val="BodyText3"/>
    <w:uiPriority w:val="99"/>
    <w:semiHidden/>
    <w:rsid w:val="00147D6D"/>
    <w:rPr>
      <w:rFonts w:ascii="Arial" w:hAnsi="Arial" w:cs="Arial"/>
      <w:sz w:val="16"/>
      <w:szCs w:val="16"/>
      <w:lang w:eastAsia="en-US"/>
    </w:rPr>
  </w:style>
  <w:style w:type="paragraph" w:styleId="NoSpacing">
    <w:name w:val="No Spacing"/>
    <w:uiPriority w:val="1"/>
    <w:qFormat/>
    <w:rsid w:val="00147D6D"/>
    <w:pPr>
      <w:widowControl w:val="0"/>
      <w:snapToGrid w:val="0"/>
      <w:jc w:val="both"/>
    </w:pPr>
    <w:rPr>
      <w:rFonts w:ascii="Arial" w:hAnsi="Arial" w:cs="Arial"/>
      <w:sz w:val="22"/>
      <w:lang w:eastAsia="en-US"/>
    </w:rPr>
  </w:style>
  <w:style w:type="character" w:customStyle="1" w:styleId="RegularTextChar">
    <w:name w:val="Regular Text Char"/>
    <w:basedOn w:val="BodyTextChar"/>
    <w:link w:val="RegularText"/>
    <w:locked/>
    <w:rsid w:val="00147D6D"/>
    <w:rPr>
      <w:rFonts w:ascii="Arial" w:hAnsi="Arial" w:cs="Arial"/>
      <w:b/>
      <w:bCs w:val="0"/>
      <w:sz w:val="22"/>
      <w:szCs w:val="22"/>
      <w:lang w:eastAsia="en-US"/>
    </w:rPr>
  </w:style>
  <w:style w:type="paragraph" w:customStyle="1" w:styleId="RegularText">
    <w:name w:val="Regular Text"/>
    <w:basedOn w:val="BodyText"/>
    <w:link w:val="RegularTextChar"/>
    <w:rsid w:val="00147D6D"/>
    <w:pPr>
      <w:widowControl w:val="0"/>
      <w:autoSpaceDE/>
      <w:autoSpaceDN/>
      <w:adjustRightInd/>
      <w:snapToGrid w:val="0"/>
      <w:ind w:left="0"/>
    </w:pPr>
    <w:rPr>
      <w:bCs w:val="0"/>
      <w:szCs w:val="20"/>
      <w:lang w:eastAsia="en-US"/>
    </w:rPr>
  </w:style>
  <w:style w:type="paragraph" w:customStyle="1" w:styleId="Corpsdetextemarge">
    <w:name w:val="Corps de texte marge"/>
    <w:basedOn w:val="BodyText"/>
    <w:uiPriority w:val="99"/>
    <w:rsid w:val="00147D6D"/>
    <w:pPr>
      <w:autoSpaceDE/>
      <w:autoSpaceDN/>
      <w:adjustRightInd/>
      <w:ind w:left="0"/>
      <w:jc w:val="both"/>
    </w:pPr>
    <w:rPr>
      <w:rFonts w:ascii="Times" w:hAnsi="Times" w:cs="Times New Roman"/>
      <w:b w:val="0"/>
      <w:bCs w:val="0"/>
      <w:sz w:val="24"/>
      <w:szCs w:val="20"/>
      <w:lang w:val="en-US" w:eastAsia="en-US"/>
    </w:rPr>
  </w:style>
  <w:style w:type="paragraph" w:customStyle="1" w:styleId="TableName">
    <w:name w:val="TableName"/>
    <w:basedOn w:val="Normal"/>
    <w:uiPriority w:val="99"/>
    <w:rsid w:val="00147D6D"/>
    <w:pPr>
      <w:keepNext/>
      <w:widowControl/>
      <w:spacing w:before="120" w:after="120"/>
      <w:ind w:left="1800" w:hanging="1080"/>
      <w:jc w:val="left"/>
    </w:pPr>
    <w:rPr>
      <w:rFonts w:ascii="Arial Narrow" w:hAnsi="Arial Narrow" w:cs="Arial Narrow"/>
      <w:b/>
      <w:bCs/>
      <w:snapToGrid/>
      <w:szCs w:val="22"/>
    </w:rPr>
  </w:style>
  <w:style w:type="paragraph" w:customStyle="1" w:styleId="Char1CharCharChar">
    <w:name w:val="Char1 Char Char Char"/>
    <w:basedOn w:val="Normal"/>
    <w:uiPriority w:val="99"/>
    <w:rsid w:val="00147D6D"/>
    <w:pPr>
      <w:widowControl/>
      <w:spacing w:after="160" w:line="240" w:lineRule="exact"/>
      <w:jc w:val="left"/>
    </w:pPr>
    <w:rPr>
      <w:rFonts w:ascii="Verdana" w:eastAsia="MS Mincho" w:hAnsi="Verdana" w:cs="Verdana"/>
      <w:snapToGrid/>
      <w:sz w:val="20"/>
      <w:lang w:val="en-US"/>
    </w:rPr>
  </w:style>
  <w:style w:type="table" w:customStyle="1" w:styleId="TableGrid11">
    <w:name w:val="Table Grid11"/>
    <w:basedOn w:val="TableNormal"/>
    <w:uiPriority w:val="59"/>
    <w:rsid w:val="00147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47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C2174"/>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506244"/>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03A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33F"/>
    <w:rPr>
      <w:rFonts w:ascii="Arial Bold" w:hAnsi="Arial Bold" w:cs="Arial"/>
      <w:b/>
      <w:caps/>
      <w:snapToGrid w:val="0"/>
      <w:sz w:val="22"/>
      <w:lang w:eastAsia="en-US"/>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3Char">
    <w:name w:val="Heading 3 Char"/>
    <w:basedOn w:val="DefaultParagraphFont"/>
    <w:link w:val="Heading3"/>
    <w:rsid w:val="000D1569"/>
    <w:rPr>
      <w:rFonts w:ascii="Arial" w:hAnsi="Arial" w:cs="Arial"/>
      <w:snapToGrid w:val="0"/>
      <w:sz w:val="22"/>
      <w:u w:val="single"/>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uiPriority w:val="99"/>
    <w:qFormat/>
    <w:rsid w:val="00FD446D"/>
    <w:rPr>
      <w:sz w:val="18"/>
    </w:rPr>
  </w:style>
  <w:style w:type="character" w:customStyle="1" w:styleId="TableFooterChar">
    <w:name w:val="Table Footer Char"/>
    <w:basedOn w:val="DefaultParagraphFont"/>
    <w:link w:val="TableFooter"/>
    <w:rsid w:val="00E438EF"/>
    <w:rPr>
      <w:rFonts w:ascii="Arial" w:hAnsi="Arial" w:cs="Arial"/>
      <w:snapToGrid w:val="0"/>
      <w:sz w:val="18"/>
      <w:lang w:eastAsia="en-US"/>
    </w:rPr>
  </w:style>
  <w:style w:type="paragraph" w:customStyle="1" w:styleId="TableHeader">
    <w:name w:val="Table Header"/>
    <w:basedOn w:val="Normal"/>
    <w:uiPriority w:val="99"/>
    <w:rsid w:val="000D1BFC"/>
    <w:rPr>
      <w:b/>
      <w:sz w:val="20"/>
    </w:rPr>
  </w:style>
  <w:style w:type="paragraph" w:customStyle="1" w:styleId="COMtbl-HEADLeftAligned">
    <w:name w:val="COMtbl-HEAD Left Aligned"/>
    <w:basedOn w:val="Normal"/>
    <w:qFormat/>
    <w:rsid w:val="00C4449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C4449F"/>
    <w:pPr>
      <w:jc w:val="center"/>
    </w:p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071736"/>
    <w:pPr>
      <w:tabs>
        <w:tab w:val="left" w:pos="880"/>
        <w:tab w:val="right" w:leader="dot" w:pos="9016"/>
      </w:tabs>
      <w:ind w:left="910" w:hanging="689"/>
      <w:jc w:val="left"/>
    </w:pPr>
    <w:rPr>
      <w:iCs/>
    </w:rPr>
  </w:style>
  <w:style w:type="paragraph" w:styleId="TOC1">
    <w:name w:val="toc 1"/>
    <w:basedOn w:val="Normal"/>
    <w:next w:val="Normal"/>
    <w:autoRedefine/>
    <w:uiPriority w:val="39"/>
    <w:qFormat/>
    <w:rsid w:val="00632D5D"/>
    <w:pPr>
      <w:tabs>
        <w:tab w:val="right" w:leader="dot" w:pos="9016"/>
      </w:tabs>
      <w:jc w:val="left"/>
    </w:pPr>
    <w:rPr>
      <w:bCs/>
      <w:caps/>
      <w:noProof/>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semiHidden/>
    <w:unhideWhenUsed/>
    <w:rsid w:val="00327929"/>
    <w:rPr>
      <w:rFonts w:ascii="Tahoma" w:hAnsi="Tahoma" w:cs="Tahoma"/>
      <w:sz w:val="16"/>
      <w:szCs w:val="16"/>
    </w:rPr>
  </w:style>
  <w:style w:type="character" w:customStyle="1" w:styleId="BalloonTextChar">
    <w:name w:val="Balloon Text Char"/>
    <w:basedOn w:val="DefaultParagraphFont"/>
    <w:link w:val="BalloonText"/>
    <w:uiPriority w:val="99"/>
    <w:semiHidden/>
    <w:rsid w:val="00327929"/>
    <w:rPr>
      <w:rFonts w:ascii="Tahoma" w:hAnsi="Tahoma" w:cs="Tahoma"/>
      <w:snapToGrid w:val="0"/>
      <w:sz w:val="16"/>
      <w:szCs w:val="16"/>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Revision">
    <w:name w:val="Revision"/>
    <w:hidden/>
    <w:uiPriority w:val="99"/>
    <w:semiHidden/>
    <w:rsid w:val="00043C37"/>
    <w:rPr>
      <w:rFonts w:ascii="Arial" w:hAnsi="Arial" w:cs="Arial"/>
      <w:snapToGrid w:val="0"/>
      <w:sz w:val="22"/>
      <w:lang w:eastAsia="en-US"/>
    </w:rPr>
  </w:style>
  <w:style w:type="paragraph" w:customStyle="1" w:styleId="COMBody">
    <w:name w:val="COMBody"/>
    <w:basedOn w:val="Normal"/>
    <w:link w:val="COMBodyChar"/>
    <w:qFormat/>
    <w:rsid w:val="007A2F58"/>
    <w:rPr>
      <w:snapToGrid/>
      <w:szCs w:val="22"/>
    </w:rPr>
  </w:style>
  <w:style w:type="character" w:customStyle="1" w:styleId="COMBodyChar">
    <w:name w:val="COMBody Char"/>
    <w:basedOn w:val="DefaultParagraphFont"/>
    <w:link w:val="COMBody"/>
    <w:rsid w:val="007A2F58"/>
    <w:rPr>
      <w:rFonts w:ascii="Arial" w:hAnsi="Arial" w:cs="Arial"/>
      <w:sz w:val="22"/>
      <w:szCs w:val="22"/>
      <w:lang w:eastAsia="en-US"/>
    </w:rPr>
  </w:style>
  <w:style w:type="paragraph" w:customStyle="1" w:styleId="COMTbl-cap">
    <w:name w:val="COMTbl-cap"/>
    <w:basedOn w:val="Normal"/>
    <w:link w:val="COMTbl-capChar"/>
    <w:qFormat/>
    <w:rsid w:val="00305068"/>
    <w:pPr>
      <w:keepNext/>
    </w:pPr>
    <w:rPr>
      <w:rFonts w:ascii="Arial Narrow" w:hAnsi="Arial Narrow"/>
      <w:b/>
      <w:sz w:val="20"/>
    </w:rPr>
  </w:style>
  <w:style w:type="character" w:customStyle="1" w:styleId="COMTbl-capChar">
    <w:name w:val="COMTbl-cap Char"/>
    <w:basedOn w:val="DefaultParagraphFont"/>
    <w:link w:val="COMTbl-cap"/>
    <w:rsid w:val="00305068"/>
    <w:rPr>
      <w:rFonts w:ascii="Arial Narrow" w:hAnsi="Arial Narrow" w:cs="Arial"/>
      <w:b/>
      <w:snapToGrid w:val="0"/>
      <w:lang w:eastAsia="en-US"/>
    </w:rPr>
  </w:style>
  <w:style w:type="paragraph" w:customStyle="1" w:styleId="COMTbl-foot">
    <w:name w:val="COMTbl-foot"/>
    <w:basedOn w:val="TableFooter"/>
    <w:link w:val="COMTbl-footChar"/>
    <w:qFormat/>
    <w:rsid w:val="008353AE"/>
    <w:rPr>
      <w:rFonts w:ascii="Arial Narrow" w:hAnsi="Arial Narrow"/>
      <w:szCs w:val="18"/>
    </w:rPr>
  </w:style>
  <w:style w:type="character" w:customStyle="1" w:styleId="COMTbl-footChar">
    <w:name w:val="COMTbl-foot Char"/>
    <w:basedOn w:val="TableFooterChar"/>
    <w:link w:val="COMTbl-foot"/>
    <w:rsid w:val="008353AE"/>
    <w:rPr>
      <w:rFonts w:ascii="Arial Narrow" w:hAnsi="Arial Narrow" w:cs="Arial"/>
      <w:snapToGrid w:val="0"/>
      <w:sz w:val="18"/>
      <w:szCs w:val="18"/>
      <w:lang w:eastAsia="en-US"/>
    </w:rPr>
  </w:style>
  <w:style w:type="paragraph" w:customStyle="1" w:styleId="COM-CIChead">
    <w:name w:val="COM-CIChead"/>
    <w:basedOn w:val="Normal"/>
    <w:link w:val="COM-CICheadChar"/>
    <w:qFormat/>
    <w:rsid w:val="003A533F"/>
    <w:pPr>
      <w:jc w:val="center"/>
    </w:pPr>
    <w:rPr>
      <w:b/>
      <w:u w:val="single"/>
    </w:rPr>
  </w:style>
  <w:style w:type="character" w:customStyle="1" w:styleId="COM-CICheadChar">
    <w:name w:val="COM-CIChead Char"/>
    <w:basedOn w:val="DefaultParagraphFont"/>
    <w:link w:val="COM-CIChead"/>
    <w:rsid w:val="003A533F"/>
    <w:rPr>
      <w:rFonts w:ascii="Arial" w:hAnsi="Arial" w:cs="Arial"/>
      <w:b/>
      <w:snapToGrid w:val="0"/>
      <w:sz w:val="22"/>
      <w:u w:val="single"/>
      <w:lang w:eastAsia="en-US"/>
    </w:rPr>
  </w:style>
  <w:style w:type="paragraph" w:customStyle="1" w:styleId="COMH1-Attachments">
    <w:name w:val="COMH1-Attachments"/>
    <w:basedOn w:val="Heading1"/>
    <w:link w:val="COMH1-AttachmentsChar"/>
    <w:qFormat/>
    <w:rsid w:val="000602A0"/>
    <w:pPr>
      <w:spacing w:after="220"/>
      <w:jc w:val="right"/>
    </w:pPr>
  </w:style>
  <w:style w:type="character" w:customStyle="1" w:styleId="COMH1-AttachmentsChar">
    <w:name w:val="COMH1-Attachments Char"/>
    <w:basedOn w:val="Heading1Char"/>
    <w:link w:val="COMH1-Attachments"/>
    <w:rsid w:val="000602A0"/>
    <w:rPr>
      <w:rFonts w:ascii="Arial Bold" w:hAnsi="Arial Bold" w:cs="Arial"/>
      <w:b/>
      <w:caps/>
      <w:snapToGrid w:val="0"/>
      <w:sz w:val="22"/>
      <w:lang w:eastAsia="en-US"/>
    </w:rPr>
  </w:style>
  <w:style w:type="paragraph" w:customStyle="1" w:styleId="COMH1">
    <w:name w:val="COMH1"/>
    <w:basedOn w:val="Heading1"/>
    <w:next w:val="COMBody"/>
    <w:link w:val="COMH1Char"/>
    <w:qFormat/>
    <w:rsid w:val="000A6F32"/>
    <w:pPr>
      <w:spacing w:after="220"/>
    </w:pPr>
  </w:style>
  <w:style w:type="character" w:customStyle="1" w:styleId="COMH1Char">
    <w:name w:val="COMH1 Char"/>
    <w:basedOn w:val="Heading1Char"/>
    <w:link w:val="COMH1"/>
    <w:rsid w:val="000A6F32"/>
    <w:rPr>
      <w:rFonts w:ascii="Arial Bold" w:hAnsi="Arial Bold" w:cs="Arial"/>
      <w:b/>
      <w:caps/>
      <w:snapToGrid w:val="0"/>
      <w:sz w:val="22"/>
      <w:lang w:eastAsia="en-US"/>
    </w:rPr>
  </w:style>
  <w:style w:type="paragraph" w:customStyle="1" w:styleId="COMH2">
    <w:name w:val="COMH2"/>
    <w:basedOn w:val="Heading2"/>
    <w:link w:val="COMH2Char"/>
    <w:qFormat/>
    <w:rsid w:val="00C4449F"/>
    <w:pPr>
      <w:keepNext/>
      <w:spacing w:after="220"/>
    </w:pPr>
  </w:style>
  <w:style w:type="character" w:customStyle="1" w:styleId="COMH2Char">
    <w:name w:val="COMH2 Char"/>
    <w:basedOn w:val="Heading2Char"/>
    <w:link w:val="COMH2"/>
    <w:rsid w:val="00C4449F"/>
    <w:rPr>
      <w:rFonts w:ascii="Arial" w:hAnsi="Arial" w:cs="Arial"/>
      <w:b/>
      <w:snapToGrid w:val="0"/>
      <w:sz w:val="22"/>
      <w:lang w:eastAsia="en-US"/>
    </w:rPr>
  </w:style>
  <w:style w:type="paragraph" w:customStyle="1" w:styleId="COMTbl-reqlisting">
    <w:name w:val="COMTbl-reqlisting"/>
    <w:basedOn w:val="COMTbl-cap"/>
    <w:link w:val="COMTbl-reqlistingChar"/>
    <w:qFormat/>
    <w:rsid w:val="000A6F32"/>
    <w:rPr>
      <w:sz w:val="22"/>
      <w:szCs w:val="22"/>
    </w:rPr>
  </w:style>
  <w:style w:type="character" w:customStyle="1" w:styleId="COMTbl-reqlistingChar">
    <w:name w:val="COMTbl-reqlisting Char"/>
    <w:basedOn w:val="COMTbl-capChar"/>
    <w:link w:val="COMTbl-reqlisting"/>
    <w:rsid w:val="000A6F32"/>
    <w:rPr>
      <w:rFonts w:ascii="Arial" w:hAnsi="Arial" w:cs="Arial"/>
      <w:b/>
      <w:snapToGrid w:val="0"/>
      <w:color w:val="E36C0A" w:themeColor="accent6" w:themeShade="BF"/>
      <w:sz w:val="22"/>
      <w:szCs w:val="22"/>
      <w:lang w:eastAsia="en-US"/>
    </w:rPr>
  </w:style>
  <w:style w:type="paragraph" w:customStyle="1" w:styleId="COMH3">
    <w:name w:val="COMH3"/>
    <w:basedOn w:val="Heading3"/>
    <w:link w:val="COMH3Char"/>
    <w:qFormat/>
    <w:rsid w:val="000602A0"/>
    <w:pPr>
      <w:keepNext/>
      <w:spacing w:after="220"/>
    </w:pPr>
  </w:style>
  <w:style w:type="character" w:customStyle="1" w:styleId="COMH3Char">
    <w:name w:val="COMH3 Char"/>
    <w:basedOn w:val="Heading3Char"/>
    <w:link w:val="COMH3"/>
    <w:rsid w:val="000602A0"/>
    <w:rPr>
      <w:rFonts w:ascii="Arial" w:hAnsi="Arial" w:cs="Arial"/>
      <w:snapToGrid w:val="0"/>
      <w:sz w:val="22"/>
      <w:u w:val="single"/>
      <w:lang w:eastAsia="en-US"/>
    </w:rPr>
  </w:style>
  <w:style w:type="paragraph" w:customStyle="1" w:styleId="COMtbl-textLeftAligned">
    <w:name w:val="COMtbl-text Left Aligned"/>
    <w:basedOn w:val="COMtbl-HEADLeftAligned"/>
    <w:qFormat/>
    <w:rsid w:val="000D6DAB"/>
    <w:rPr>
      <w:b w:val="0"/>
    </w:rPr>
  </w:style>
  <w:style w:type="paragraph" w:customStyle="1" w:styleId="COMtbl-textCentred">
    <w:name w:val="COMtbl-text Centred"/>
    <w:basedOn w:val="COMtbl-HEADCentred"/>
    <w:qFormat/>
    <w:rsid w:val="000D6DAB"/>
    <w:rPr>
      <w:b w:val="0"/>
    </w:rPr>
  </w:style>
  <w:style w:type="paragraph" w:customStyle="1" w:styleId="Default">
    <w:name w:val="Default"/>
    <w:rsid w:val="008E7DF6"/>
    <w:pPr>
      <w:autoSpaceDE w:val="0"/>
      <w:autoSpaceDN w:val="0"/>
      <w:adjustRightInd w:val="0"/>
    </w:pPr>
    <w:rPr>
      <w:rFonts w:ascii="Arial" w:hAnsi="Arial" w:cs="Arial"/>
      <w:color w:val="000000"/>
      <w:sz w:val="24"/>
      <w:szCs w:val="24"/>
    </w:rPr>
  </w:style>
  <w:style w:type="character" w:styleId="CommentReference">
    <w:name w:val="annotation reference"/>
    <w:aliases w:val="Table Title"/>
    <w:basedOn w:val="DefaultParagraphFont"/>
    <w:unhideWhenUsed/>
    <w:qFormat/>
    <w:rsid w:val="003E6D4A"/>
    <w:rPr>
      <w:sz w:val="18"/>
      <w:szCs w:val="18"/>
    </w:rPr>
  </w:style>
  <w:style w:type="paragraph" w:styleId="CommentText">
    <w:name w:val="annotation text"/>
    <w:basedOn w:val="Normal"/>
    <w:link w:val="CommentTextChar"/>
    <w:unhideWhenUsed/>
    <w:rsid w:val="003E6D4A"/>
    <w:rPr>
      <w:sz w:val="24"/>
      <w:szCs w:val="24"/>
    </w:rPr>
  </w:style>
  <w:style w:type="character" w:customStyle="1" w:styleId="CommentTextChar">
    <w:name w:val="Comment Text Char"/>
    <w:basedOn w:val="DefaultParagraphFont"/>
    <w:link w:val="CommentText"/>
    <w:rsid w:val="003E6D4A"/>
    <w:rPr>
      <w:rFonts w:ascii="Arial" w:hAnsi="Arial" w:cs="Arial"/>
      <w:snapToGrid w:val="0"/>
      <w:sz w:val="24"/>
      <w:szCs w:val="24"/>
      <w:lang w:eastAsia="en-US"/>
    </w:rPr>
  </w:style>
  <w:style w:type="paragraph" w:styleId="CommentSubject">
    <w:name w:val="annotation subject"/>
    <w:basedOn w:val="CommentText"/>
    <w:next w:val="CommentText"/>
    <w:link w:val="CommentSubjectChar"/>
    <w:uiPriority w:val="99"/>
    <w:semiHidden/>
    <w:unhideWhenUsed/>
    <w:rsid w:val="003E6D4A"/>
    <w:rPr>
      <w:b/>
      <w:bCs/>
      <w:sz w:val="20"/>
      <w:szCs w:val="20"/>
    </w:rPr>
  </w:style>
  <w:style w:type="character" w:customStyle="1" w:styleId="CommentSubjectChar">
    <w:name w:val="Comment Subject Char"/>
    <w:basedOn w:val="CommentTextChar"/>
    <w:link w:val="CommentSubject"/>
    <w:uiPriority w:val="99"/>
    <w:semiHidden/>
    <w:rsid w:val="003E6D4A"/>
    <w:rPr>
      <w:rFonts w:ascii="Arial" w:hAnsi="Arial" w:cs="Arial"/>
      <w:b/>
      <w:bCs/>
      <w:snapToGrid w:val="0"/>
      <w:sz w:val="24"/>
      <w:szCs w:val="24"/>
      <w:lang w:eastAsia="en-US"/>
    </w:rPr>
  </w:style>
  <w:style w:type="paragraph" w:styleId="ListParagraph">
    <w:name w:val="List Paragraph"/>
    <w:basedOn w:val="Normal"/>
    <w:link w:val="ListParagraphChar"/>
    <w:uiPriority w:val="72"/>
    <w:qFormat/>
    <w:rsid w:val="00131EF1"/>
    <w:pPr>
      <w:ind w:left="720"/>
      <w:contextualSpacing/>
    </w:pPr>
  </w:style>
  <w:style w:type="character" w:customStyle="1" w:styleId="li-content">
    <w:name w:val="li-content"/>
    <w:basedOn w:val="DefaultParagraphFont"/>
    <w:rsid w:val="00090CF8"/>
  </w:style>
  <w:style w:type="numbering" w:customStyle="1" w:styleId="NoList1">
    <w:name w:val="No List1"/>
    <w:next w:val="NoList"/>
    <w:uiPriority w:val="99"/>
    <w:semiHidden/>
    <w:unhideWhenUsed/>
    <w:rsid w:val="008F1032"/>
  </w:style>
  <w:style w:type="paragraph" w:styleId="BodyText">
    <w:name w:val="Body Text"/>
    <w:basedOn w:val="Normal"/>
    <w:link w:val="BodyTextChar"/>
    <w:uiPriority w:val="99"/>
    <w:qFormat/>
    <w:rsid w:val="008F1032"/>
    <w:pPr>
      <w:widowControl/>
      <w:autoSpaceDE w:val="0"/>
      <w:autoSpaceDN w:val="0"/>
      <w:adjustRightInd w:val="0"/>
      <w:ind w:left="200"/>
      <w:jc w:val="left"/>
    </w:pPr>
    <w:rPr>
      <w:b/>
      <w:bCs/>
      <w:snapToGrid/>
      <w:szCs w:val="22"/>
      <w:lang w:eastAsia="en-AU"/>
    </w:rPr>
  </w:style>
  <w:style w:type="character" w:customStyle="1" w:styleId="BodyTextChar">
    <w:name w:val="Body Text Char"/>
    <w:basedOn w:val="DefaultParagraphFont"/>
    <w:link w:val="BodyText"/>
    <w:uiPriority w:val="99"/>
    <w:rsid w:val="008F1032"/>
    <w:rPr>
      <w:rFonts w:ascii="Arial" w:hAnsi="Arial" w:cs="Arial"/>
      <w:b/>
      <w:bCs/>
      <w:sz w:val="22"/>
      <w:szCs w:val="22"/>
    </w:rPr>
  </w:style>
  <w:style w:type="paragraph" w:customStyle="1" w:styleId="TableParagraph">
    <w:name w:val="Table Paragraph"/>
    <w:basedOn w:val="Normal"/>
    <w:uiPriority w:val="1"/>
    <w:qFormat/>
    <w:rsid w:val="008F1032"/>
    <w:pPr>
      <w:widowControl/>
      <w:autoSpaceDE w:val="0"/>
      <w:autoSpaceDN w:val="0"/>
      <w:adjustRightInd w:val="0"/>
      <w:jc w:val="left"/>
    </w:pPr>
    <w:rPr>
      <w:rFonts w:ascii="Times New Roman" w:hAnsi="Times New Roman" w:cs="Times New Roman"/>
      <w:snapToGrid/>
      <w:sz w:val="24"/>
      <w:szCs w:val="24"/>
      <w:lang w:eastAsia="en-AU"/>
    </w:rPr>
  </w:style>
  <w:style w:type="table" w:customStyle="1" w:styleId="TableGrid1">
    <w:name w:val="Table Grid1"/>
    <w:basedOn w:val="TableNormal"/>
    <w:next w:val="TableGrid"/>
    <w:uiPriority w:val="59"/>
    <w:rsid w:val="00760F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 Header,Header title,he=header,cntr/bld"/>
    <w:basedOn w:val="Normal"/>
    <w:link w:val="HeaderChar"/>
    <w:uiPriority w:val="99"/>
    <w:unhideWhenUsed/>
    <w:rsid w:val="00611ED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11ED4"/>
    <w:rPr>
      <w:rFonts w:ascii="Arial" w:hAnsi="Arial" w:cs="Arial"/>
      <w:snapToGrid w:val="0"/>
      <w:sz w:val="22"/>
      <w:lang w:eastAsia="en-US"/>
    </w:rPr>
  </w:style>
  <w:style w:type="paragraph" w:styleId="Footer">
    <w:name w:val="footer"/>
    <w:basedOn w:val="Normal"/>
    <w:link w:val="FooterChar"/>
    <w:uiPriority w:val="99"/>
    <w:unhideWhenUsed/>
    <w:rsid w:val="00611ED4"/>
    <w:pPr>
      <w:tabs>
        <w:tab w:val="center" w:pos="4513"/>
        <w:tab w:val="right" w:pos="9026"/>
      </w:tabs>
    </w:pPr>
  </w:style>
  <w:style w:type="character" w:customStyle="1" w:styleId="FooterChar">
    <w:name w:val="Footer Char"/>
    <w:basedOn w:val="DefaultParagraphFont"/>
    <w:link w:val="Footer"/>
    <w:uiPriority w:val="99"/>
    <w:rsid w:val="00611ED4"/>
    <w:rPr>
      <w:rFonts w:ascii="Arial" w:hAnsi="Arial" w:cs="Arial"/>
      <w:snapToGrid w:val="0"/>
      <w:sz w:val="22"/>
      <w:lang w:eastAsia="en-US"/>
    </w:rPr>
  </w:style>
  <w:style w:type="table" w:customStyle="1" w:styleId="TableGrid2">
    <w:name w:val="Table Grid2"/>
    <w:basedOn w:val="TableNormal"/>
    <w:next w:val="TableGrid"/>
    <w:uiPriority w:val="59"/>
    <w:rsid w:val="00B903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56E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47D6D"/>
  </w:style>
  <w:style w:type="character" w:customStyle="1" w:styleId="Heading4Char">
    <w:name w:val="Heading 4 Char"/>
    <w:basedOn w:val="DefaultParagraphFont"/>
    <w:link w:val="Heading4"/>
    <w:rsid w:val="00147D6D"/>
    <w:rPr>
      <w:rFonts w:ascii="Arial" w:hAnsi="Arial" w:cs="Arial"/>
      <w:b/>
      <w:bCs/>
      <w:i/>
      <w:snapToGrid w:val="0"/>
      <w:sz w:val="26"/>
      <w:szCs w:val="28"/>
      <w:lang w:eastAsia="en-US"/>
    </w:rPr>
  </w:style>
  <w:style w:type="character" w:customStyle="1" w:styleId="Heading5Char">
    <w:name w:val="Heading 5 Char"/>
    <w:basedOn w:val="DefaultParagraphFont"/>
    <w:link w:val="Heading5"/>
    <w:rsid w:val="00147D6D"/>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147D6D"/>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147D6D"/>
    <w:rPr>
      <w:color w:val="800080" w:themeColor="followedHyperlink"/>
      <w:u w:val="single"/>
    </w:rPr>
  </w:style>
  <w:style w:type="paragraph" w:styleId="TOC4">
    <w:name w:val="toc 4"/>
    <w:basedOn w:val="Normal"/>
    <w:next w:val="Normal"/>
    <w:autoRedefine/>
    <w:uiPriority w:val="99"/>
    <w:semiHidden/>
    <w:unhideWhenUsed/>
    <w:rsid w:val="00147D6D"/>
    <w:pPr>
      <w:snapToGrid w:val="0"/>
      <w:ind w:left="660"/>
      <w:jc w:val="left"/>
    </w:pPr>
    <w:rPr>
      <w:rFonts w:ascii="Calibri" w:hAnsi="Calibri"/>
      <w:snapToGrid/>
      <w:sz w:val="20"/>
    </w:rPr>
  </w:style>
  <w:style w:type="paragraph" w:styleId="TOC5">
    <w:name w:val="toc 5"/>
    <w:basedOn w:val="Normal"/>
    <w:next w:val="Normal"/>
    <w:autoRedefine/>
    <w:uiPriority w:val="99"/>
    <w:semiHidden/>
    <w:unhideWhenUsed/>
    <w:rsid w:val="00147D6D"/>
    <w:pPr>
      <w:snapToGrid w:val="0"/>
      <w:ind w:left="880"/>
      <w:jc w:val="left"/>
    </w:pPr>
    <w:rPr>
      <w:rFonts w:ascii="Calibri" w:hAnsi="Calibri"/>
      <w:snapToGrid/>
      <w:sz w:val="20"/>
    </w:rPr>
  </w:style>
  <w:style w:type="paragraph" w:styleId="TOC6">
    <w:name w:val="toc 6"/>
    <w:basedOn w:val="Normal"/>
    <w:next w:val="Normal"/>
    <w:autoRedefine/>
    <w:uiPriority w:val="99"/>
    <w:semiHidden/>
    <w:unhideWhenUsed/>
    <w:rsid w:val="00147D6D"/>
    <w:pPr>
      <w:snapToGrid w:val="0"/>
      <w:ind w:left="1100"/>
      <w:jc w:val="left"/>
    </w:pPr>
    <w:rPr>
      <w:rFonts w:ascii="Calibri" w:hAnsi="Calibri"/>
      <w:snapToGrid/>
      <w:sz w:val="20"/>
    </w:rPr>
  </w:style>
  <w:style w:type="paragraph" w:styleId="TOC7">
    <w:name w:val="toc 7"/>
    <w:basedOn w:val="Normal"/>
    <w:next w:val="Normal"/>
    <w:autoRedefine/>
    <w:uiPriority w:val="99"/>
    <w:semiHidden/>
    <w:unhideWhenUsed/>
    <w:rsid w:val="00147D6D"/>
    <w:pPr>
      <w:snapToGrid w:val="0"/>
      <w:ind w:left="1320"/>
      <w:jc w:val="left"/>
    </w:pPr>
    <w:rPr>
      <w:rFonts w:ascii="Calibri" w:hAnsi="Calibri"/>
      <w:snapToGrid/>
      <w:sz w:val="20"/>
    </w:rPr>
  </w:style>
  <w:style w:type="paragraph" w:styleId="TOC8">
    <w:name w:val="toc 8"/>
    <w:basedOn w:val="Normal"/>
    <w:next w:val="Normal"/>
    <w:autoRedefine/>
    <w:uiPriority w:val="99"/>
    <w:semiHidden/>
    <w:unhideWhenUsed/>
    <w:rsid w:val="00147D6D"/>
    <w:pPr>
      <w:snapToGrid w:val="0"/>
      <w:ind w:left="1540"/>
      <w:jc w:val="left"/>
    </w:pPr>
    <w:rPr>
      <w:rFonts w:ascii="Calibri" w:hAnsi="Calibri"/>
      <w:snapToGrid/>
      <w:sz w:val="20"/>
    </w:rPr>
  </w:style>
  <w:style w:type="paragraph" w:styleId="TOC9">
    <w:name w:val="toc 9"/>
    <w:basedOn w:val="Normal"/>
    <w:next w:val="Normal"/>
    <w:autoRedefine/>
    <w:uiPriority w:val="99"/>
    <w:semiHidden/>
    <w:unhideWhenUsed/>
    <w:rsid w:val="00147D6D"/>
    <w:pPr>
      <w:snapToGrid w:val="0"/>
      <w:ind w:left="1760"/>
      <w:jc w:val="left"/>
    </w:pPr>
    <w:rPr>
      <w:rFonts w:ascii="Calibri" w:hAnsi="Calibri"/>
      <w:snapToGrid/>
      <w:sz w:val="20"/>
    </w:rPr>
  </w:style>
  <w:style w:type="character" w:customStyle="1" w:styleId="HeaderChar1">
    <w:name w:val="Header Char1"/>
    <w:aliases w:val="Page Header Char1,Header title Char1,he=header Char1,cntr/bld Char1"/>
    <w:basedOn w:val="DefaultParagraphFont"/>
    <w:uiPriority w:val="99"/>
    <w:semiHidden/>
    <w:rsid w:val="00147D6D"/>
    <w:rPr>
      <w:rFonts w:ascii="Calibri" w:eastAsia="Calibri" w:hAnsi="Calibri"/>
      <w:sz w:val="22"/>
      <w:szCs w:val="22"/>
      <w:lang w:eastAsia="en-US"/>
    </w:rPr>
  </w:style>
  <w:style w:type="character" w:customStyle="1" w:styleId="CaptionChar">
    <w:name w:val="Caption Char"/>
    <w:link w:val="Caption"/>
    <w:semiHidden/>
    <w:locked/>
    <w:rsid w:val="00147D6D"/>
    <w:rPr>
      <w:rFonts w:ascii="Arial" w:hAnsi="Arial" w:cs="Arial"/>
      <w:b/>
      <w:bCs/>
      <w:color w:val="4F81BD" w:themeColor="accent1"/>
      <w:sz w:val="18"/>
      <w:szCs w:val="18"/>
    </w:rPr>
  </w:style>
  <w:style w:type="paragraph" w:styleId="Caption">
    <w:name w:val="caption"/>
    <w:basedOn w:val="Normal"/>
    <w:next w:val="Normal"/>
    <w:link w:val="CaptionChar"/>
    <w:semiHidden/>
    <w:unhideWhenUsed/>
    <w:qFormat/>
    <w:rsid w:val="00147D6D"/>
    <w:pPr>
      <w:snapToGrid w:val="0"/>
      <w:spacing w:after="200"/>
    </w:pPr>
    <w:rPr>
      <w:b/>
      <w:bCs/>
      <w:snapToGrid/>
      <w:color w:val="4F81BD" w:themeColor="accent1"/>
      <w:sz w:val="18"/>
      <w:szCs w:val="18"/>
      <w:lang w:eastAsia="en-AU"/>
    </w:rPr>
  </w:style>
  <w:style w:type="paragraph" w:styleId="Title">
    <w:name w:val="Title"/>
    <w:basedOn w:val="Normal"/>
    <w:next w:val="Normal"/>
    <w:link w:val="TitleChar"/>
    <w:uiPriority w:val="99"/>
    <w:qFormat/>
    <w:rsid w:val="00147D6D"/>
    <w:pPr>
      <w:snapToGrid w:val="0"/>
      <w:spacing w:before="240" w:after="60"/>
      <w:jc w:val="center"/>
      <w:outlineLvl w:val="0"/>
    </w:pPr>
    <w:rPr>
      <w:rFonts w:ascii="Cambria" w:hAnsi="Cambria"/>
      <w:b/>
      <w:bCs/>
      <w:snapToGrid/>
      <w:kern w:val="28"/>
      <w:sz w:val="32"/>
      <w:szCs w:val="32"/>
    </w:rPr>
  </w:style>
  <w:style w:type="character" w:customStyle="1" w:styleId="TitleChar">
    <w:name w:val="Title Char"/>
    <w:basedOn w:val="DefaultParagraphFont"/>
    <w:link w:val="Title"/>
    <w:uiPriority w:val="99"/>
    <w:rsid w:val="00147D6D"/>
    <w:rPr>
      <w:rFonts w:ascii="Cambria" w:hAnsi="Cambria" w:cs="Arial"/>
      <w:b/>
      <w:bCs/>
      <w:kern w:val="28"/>
      <w:sz w:val="32"/>
      <w:szCs w:val="32"/>
      <w:lang w:eastAsia="en-US"/>
    </w:rPr>
  </w:style>
  <w:style w:type="paragraph" w:styleId="BodyTextIndent">
    <w:name w:val="Body Text Indent"/>
    <w:basedOn w:val="Normal"/>
    <w:link w:val="BodyTextIndentChar"/>
    <w:uiPriority w:val="99"/>
    <w:semiHidden/>
    <w:unhideWhenUsed/>
    <w:rsid w:val="00147D6D"/>
    <w:pPr>
      <w:snapToGrid w:val="0"/>
      <w:spacing w:after="120"/>
      <w:ind w:left="283"/>
    </w:pPr>
    <w:rPr>
      <w:snapToGrid/>
    </w:rPr>
  </w:style>
  <w:style w:type="character" w:customStyle="1" w:styleId="BodyTextIndentChar">
    <w:name w:val="Body Text Indent Char"/>
    <w:basedOn w:val="DefaultParagraphFont"/>
    <w:link w:val="BodyTextIndent"/>
    <w:uiPriority w:val="99"/>
    <w:semiHidden/>
    <w:rsid w:val="00147D6D"/>
    <w:rPr>
      <w:rFonts w:ascii="Arial" w:hAnsi="Arial" w:cs="Arial"/>
      <w:sz w:val="22"/>
      <w:lang w:eastAsia="en-US"/>
    </w:rPr>
  </w:style>
  <w:style w:type="paragraph" w:styleId="BodyText2">
    <w:name w:val="Body Text 2"/>
    <w:basedOn w:val="Normal"/>
    <w:link w:val="BodyText2Char"/>
    <w:uiPriority w:val="99"/>
    <w:semiHidden/>
    <w:unhideWhenUsed/>
    <w:rsid w:val="00147D6D"/>
    <w:pPr>
      <w:snapToGrid w:val="0"/>
      <w:spacing w:after="120" w:line="480" w:lineRule="auto"/>
    </w:pPr>
    <w:rPr>
      <w:snapToGrid/>
    </w:rPr>
  </w:style>
  <w:style w:type="character" w:customStyle="1" w:styleId="BodyText2Char">
    <w:name w:val="Body Text 2 Char"/>
    <w:basedOn w:val="DefaultParagraphFont"/>
    <w:link w:val="BodyText2"/>
    <w:uiPriority w:val="99"/>
    <w:semiHidden/>
    <w:rsid w:val="00147D6D"/>
    <w:rPr>
      <w:rFonts w:ascii="Arial" w:hAnsi="Arial" w:cs="Arial"/>
      <w:sz w:val="22"/>
      <w:lang w:eastAsia="en-US"/>
    </w:rPr>
  </w:style>
  <w:style w:type="paragraph" w:styleId="BodyText3">
    <w:name w:val="Body Text 3"/>
    <w:basedOn w:val="Normal"/>
    <w:link w:val="BodyText3Char"/>
    <w:uiPriority w:val="99"/>
    <w:semiHidden/>
    <w:unhideWhenUsed/>
    <w:rsid w:val="00147D6D"/>
    <w:pPr>
      <w:snapToGrid w:val="0"/>
      <w:spacing w:after="120"/>
    </w:pPr>
    <w:rPr>
      <w:snapToGrid/>
      <w:sz w:val="16"/>
      <w:szCs w:val="16"/>
    </w:rPr>
  </w:style>
  <w:style w:type="character" w:customStyle="1" w:styleId="BodyText3Char">
    <w:name w:val="Body Text 3 Char"/>
    <w:basedOn w:val="DefaultParagraphFont"/>
    <w:link w:val="BodyText3"/>
    <w:uiPriority w:val="99"/>
    <w:semiHidden/>
    <w:rsid w:val="00147D6D"/>
    <w:rPr>
      <w:rFonts w:ascii="Arial" w:hAnsi="Arial" w:cs="Arial"/>
      <w:sz w:val="16"/>
      <w:szCs w:val="16"/>
      <w:lang w:eastAsia="en-US"/>
    </w:rPr>
  </w:style>
  <w:style w:type="paragraph" w:styleId="NoSpacing">
    <w:name w:val="No Spacing"/>
    <w:uiPriority w:val="1"/>
    <w:qFormat/>
    <w:rsid w:val="00147D6D"/>
    <w:pPr>
      <w:widowControl w:val="0"/>
      <w:snapToGrid w:val="0"/>
      <w:jc w:val="both"/>
    </w:pPr>
    <w:rPr>
      <w:rFonts w:ascii="Arial" w:hAnsi="Arial" w:cs="Arial"/>
      <w:sz w:val="22"/>
      <w:lang w:eastAsia="en-US"/>
    </w:rPr>
  </w:style>
  <w:style w:type="character" w:customStyle="1" w:styleId="RegularTextChar">
    <w:name w:val="Regular Text Char"/>
    <w:basedOn w:val="BodyTextChar"/>
    <w:link w:val="RegularText"/>
    <w:locked/>
    <w:rsid w:val="00147D6D"/>
    <w:rPr>
      <w:rFonts w:ascii="Arial" w:hAnsi="Arial" w:cs="Arial"/>
      <w:b/>
      <w:bCs w:val="0"/>
      <w:sz w:val="22"/>
      <w:szCs w:val="22"/>
      <w:lang w:eastAsia="en-US"/>
    </w:rPr>
  </w:style>
  <w:style w:type="paragraph" w:customStyle="1" w:styleId="RegularText">
    <w:name w:val="Regular Text"/>
    <w:basedOn w:val="BodyText"/>
    <w:link w:val="RegularTextChar"/>
    <w:rsid w:val="00147D6D"/>
    <w:pPr>
      <w:widowControl w:val="0"/>
      <w:autoSpaceDE/>
      <w:autoSpaceDN/>
      <w:adjustRightInd/>
      <w:snapToGrid w:val="0"/>
      <w:ind w:left="0"/>
    </w:pPr>
    <w:rPr>
      <w:bCs w:val="0"/>
      <w:szCs w:val="20"/>
      <w:lang w:eastAsia="en-US"/>
    </w:rPr>
  </w:style>
  <w:style w:type="paragraph" w:customStyle="1" w:styleId="Corpsdetextemarge">
    <w:name w:val="Corps de texte marge"/>
    <w:basedOn w:val="BodyText"/>
    <w:uiPriority w:val="99"/>
    <w:rsid w:val="00147D6D"/>
    <w:pPr>
      <w:autoSpaceDE/>
      <w:autoSpaceDN/>
      <w:adjustRightInd/>
      <w:ind w:left="0"/>
      <w:jc w:val="both"/>
    </w:pPr>
    <w:rPr>
      <w:rFonts w:ascii="Times" w:hAnsi="Times" w:cs="Times New Roman"/>
      <w:b w:val="0"/>
      <w:bCs w:val="0"/>
      <w:sz w:val="24"/>
      <w:szCs w:val="20"/>
      <w:lang w:val="en-US" w:eastAsia="en-US"/>
    </w:rPr>
  </w:style>
  <w:style w:type="paragraph" w:customStyle="1" w:styleId="TableName">
    <w:name w:val="TableName"/>
    <w:basedOn w:val="Normal"/>
    <w:uiPriority w:val="99"/>
    <w:rsid w:val="00147D6D"/>
    <w:pPr>
      <w:keepNext/>
      <w:widowControl/>
      <w:spacing w:before="120" w:after="120"/>
      <w:ind w:left="1800" w:hanging="1080"/>
      <w:jc w:val="left"/>
    </w:pPr>
    <w:rPr>
      <w:rFonts w:ascii="Arial Narrow" w:hAnsi="Arial Narrow" w:cs="Arial Narrow"/>
      <w:b/>
      <w:bCs/>
      <w:snapToGrid/>
      <w:szCs w:val="22"/>
    </w:rPr>
  </w:style>
  <w:style w:type="paragraph" w:customStyle="1" w:styleId="Char1CharCharChar">
    <w:name w:val="Char1 Char Char Char"/>
    <w:basedOn w:val="Normal"/>
    <w:uiPriority w:val="99"/>
    <w:rsid w:val="00147D6D"/>
    <w:pPr>
      <w:widowControl/>
      <w:spacing w:after="160" w:line="240" w:lineRule="exact"/>
      <w:jc w:val="left"/>
    </w:pPr>
    <w:rPr>
      <w:rFonts w:ascii="Verdana" w:eastAsia="MS Mincho" w:hAnsi="Verdana" w:cs="Verdana"/>
      <w:snapToGrid/>
      <w:sz w:val="20"/>
      <w:lang w:val="en-US"/>
    </w:rPr>
  </w:style>
  <w:style w:type="table" w:customStyle="1" w:styleId="TableGrid11">
    <w:name w:val="Table Grid11"/>
    <w:basedOn w:val="TableNormal"/>
    <w:uiPriority w:val="59"/>
    <w:rsid w:val="00147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47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C2174"/>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506244"/>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1835">
      <w:bodyDiv w:val="1"/>
      <w:marLeft w:val="0"/>
      <w:marRight w:val="0"/>
      <w:marTop w:val="0"/>
      <w:marBottom w:val="0"/>
      <w:divBdr>
        <w:top w:val="none" w:sz="0" w:space="0" w:color="auto"/>
        <w:left w:val="none" w:sz="0" w:space="0" w:color="auto"/>
        <w:bottom w:val="none" w:sz="0" w:space="0" w:color="auto"/>
        <w:right w:val="none" w:sz="0" w:space="0" w:color="auto"/>
      </w:divBdr>
    </w:div>
    <w:div w:id="145368025">
      <w:bodyDiv w:val="1"/>
      <w:marLeft w:val="0"/>
      <w:marRight w:val="0"/>
      <w:marTop w:val="0"/>
      <w:marBottom w:val="0"/>
      <w:divBdr>
        <w:top w:val="none" w:sz="0" w:space="0" w:color="auto"/>
        <w:left w:val="none" w:sz="0" w:space="0" w:color="auto"/>
        <w:bottom w:val="none" w:sz="0" w:space="0" w:color="auto"/>
        <w:right w:val="none" w:sz="0" w:space="0" w:color="auto"/>
      </w:divBdr>
      <w:divsChild>
        <w:div w:id="253782604">
          <w:marLeft w:val="547"/>
          <w:marRight w:val="0"/>
          <w:marTop w:val="144"/>
          <w:marBottom w:val="0"/>
          <w:divBdr>
            <w:top w:val="none" w:sz="0" w:space="0" w:color="auto"/>
            <w:left w:val="none" w:sz="0" w:space="0" w:color="auto"/>
            <w:bottom w:val="none" w:sz="0" w:space="0" w:color="auto"/>
            <w:right w:val="none" w:sz="0" w:space="0" w:color="auto"/>
          </w:divBdr>
        </w:div>
      </w:divsChild>
    </w:div>
    <w:div w:id="308243559">
      <w:bodyDiv w:val="1"/>
      <w:marLeft w:val="0"/>
      <w:marRight w:val="0"/>
      <w:marTop w:val="0"/>
      <w:marBottom w:val="0"/>
      <w:divBdr>
        <w:top w:val="none" w:sz="0" w:space="0" w:color="auto"/>
        <w:left w:val="none" w:sz="0" w:space="0" w:color="auto"/>
        <w:bottom w:val="none" w:sz="0" w:space="0" w:color="auto"/>
        <w:right w:val="none" w:sz="0" w:space="0" w:color="auto"/>
      </w:divBdr>
      <w:divsChild>
        <w:div w:id="262156633">
          <w:marLeft w:val="0"/>
          <w:marRight w:val="0"/>
          <w:marTop w:val="0"/>
          <w:marBottom w:val="0"/>
          <w:divBdr>
            <w:top w:val="none" w:sz="0" w:space="0" w:color="auto"/>
            <w:left w:val="none" w:sz="0" w:space="0" w:color="auto"/>
            <w:bottom w:val="none" w:sz="0" w:space="0" w:color="auto"/>
            <w:right w:val="none" w:sz="0" w:space="0" w:color="auto"/>
          </w:divBdr>
        </w:div>
        <w:div w:id="1110975134">
          <w:marLeft w:val="0"/>
          <w:marRight w:val="0"/>
          <w:marTop w:val="0"/>
          <w:marBottom w:val="0"/>
          <w:divBdr>
            <w:top w:val="none" w:sz="0" w:space="0" w:color="auto"/>
            <w:left w:val="none" w:sz="0" w:space="0" w:color="auto"/>
            <w:bottom w:val="none" w:sz="0" w:space="0" w:color="auto"/>
            <w:right w:val="none" w:sz="0" w:space="0" w:color="auto"/>
          </w:divBdr>
        </w:div>
      </w:divsChild>
    </w:div>
    <w:div w:id="570627569">
      <w:bodyDiv w:val="1"/>
      <w:marLeft w:val="0"/>
      <w:marRight w:val="0"/>
      <w:marTop w:val="0"/>
      <w:marBottom w:val="0"/>
      <w:divBdr>
        <w:top w:val="none" w:sz="0" w:space="0" w:color="auto"/>
        <w:left w:val="none" w:sz="0" w:space="0" w:color="auto"/>
        <w:bottom w:val="none" w:sz="0" w:space="0" w:color="auto"/>
        <w:right w:val="none" w:sz="0" w:space="0" w:color="auto"/>
      </w:divBdr>
    </w:div>
    <w:div w:id="895777651">
      <w:bodyDiv w:val="1"/>
      <w:marLeft w:val="0"/>
      <w:marRight w:val="0"/>
      <w:marTop w:val="0"/>
      <w:marBottom w:val="0"/>
      <w:divBdr>
        <w:top w:val="none" w:sz="0" w:space="0" w:color="auto"/>
        <w:left w:val="none" w:sz="0" w:space="0" w:color="auto"/>
        <w:bottom w:val="none" w:sz="0" w:space="0" w:color="auto"/>
        <w:right w:val="none" w:sz="0" w:space="0" w:color="auto"/>
      </w:divBdr>
    </w:div>
    <w:div w:id="1081175324">
      <w:bodyDiv w:val="1"/>
      <w:marLeft w:val="0"/>
      <w:marRight w:val="0"/>
      <w:marTop w:val="0"/>
      <w:marBottom w:val="0"/>
      <w:divBdr>
        <w:top w:val="none" w:sz="0" w:space="0" w:color="auto"/>
        <w:left w:val="none" w:sz="0" w:space="0" w:color="auto"/>
        <w:bottom w:val="none" w:sz="0" w:space="0" w:color="auto"/>
        <w:right w:val="none" w:sz="0" w:space="0" w:color="auto"/>
      </w:divBdr>
      <w:divsChild>
        <w:div w:id="576598173">
          <w:marLeft w:val="547"/>
          <w:marRight w:val="0"/>
          <w:marTop w:val="130"/>
          <w:marBottom w:val="0"/>
          <w:divBdr>
            <w:top w:val="none" w:sz="0" w:space="0" w:color="auto"/>
            <w:left w:val="none" w:sz="0" w:space="0" w:color="auto"/>
            <w:bottom w:val="none" w:sz="0" w:space="0" w:color="auto"/>
            <w:right w:val="none" w:sz="0" w:space="0" w:color="auto"/>
          </w:divBdr>
        </w:div>
        <w:div w:id="1560284406">
          <w:marLeft w:val="1166"/>
          <w:marRight w:val="0"/>
          <w:marTop w:val="115"/>
          <w:marBottom w:val="0"/>
          <w:divBdr>
            <w:top w:val="none" w:sz="0" w:space="0" w:color="auto"/>
            <w:left w:val="none" w:sz="0" w:space="0" w:color="auto"/>
            <w:bottom w:val="none" w:sz="0" w:space="0" w:color="auto"/>
            <w:right w:val="none" w:sz="0" w:space="0" w:color="auto"/>
          </w:divBdr>
        </w:div>
      </w:divsChild>
    </w:div>
    <w:div w:id="1114329290">
      <w:bodyDiv w:val="1"/>
      <w:marLeft w:val="0"/>
      <w:marRight w:val="0"/>
      <w:marTop w:val="0"/>
      <w:marBottom w:val="0"/>
      <w:divBdr>
        <w:top w:val="none" w:sz="0" w:space="0" w:color="auto"/>
        <w:left w:val="none" w:sz="0" w:space="0" w:color="auto"/>
        <w:bottom w:val="none" w:sz="0" w:space="0" w:color="auto"/>
        <w:right w:val="none" w:sz="0" w:space="0" w:color="auto"/>
      </w:divBdr>
    </w:div>
    <w:div w:id="1195390442">
      <w:bodyDiv w:val="1"/>
      <w:marLeft w:val="0"/>
      <w:marRight w:val="0"/>
      <w:marTop w:val="0"/>
      <w:marBottom w:val="0"/>
      <w:divBdr>
        <w:top w:val="none" w:sz="0" w:space="0" w:color="auto"/>
        <w:left w:val="none" w:sz="0" w:space="0" w:color="auto"/>
        <w:bottom w:val="none" w:sz="0" w:space="0" w:color="auto"/>
        <w:right w:val="none" w:sz="0" w:space="0" w:color="auto"/>
      </w:divBdr>
      <w:divsChild>
        <w:div w:id="1362052747">
          <w:marLeft w:val="0"/>
          <w:marRight w:val="0"/>
          <w:marTop w:val="0"/>
          <w:marBottom w:val="0"/>
          <w:divBdr>
            <w:top w:val="none" w:sz="0" w:space="0" w:color="auto"/>
            <w:left w:val="none" w:sz="0" w:space="0" w:color="auto"/>
            <w:bottom w:val="none" w:sz="0" w:space="0" w:color="auto"/>
            <w:right w:val="none" w:sz="0" w:space="0" w:color="auto"/>
          </w:divBdr>
        </w:div>
        <w:div w:id="1571503110">
          <w:marLeft w:val="0"/>
          <w:marRight w:val="0"/>
          <w:marTop w:val="0"/>
          <w:marBottom w:val="0"/>
          <w:divBdr>
            <w:top w:val="none" w:sz="0" w:space="0" w:color="auto"/>
            <w:left w:val="none" w:sz="0" w:space="0" w:color="auto"/>
            <w:bottom w:val="none" w:sz="0" w:space="0" w:color="auto"/>
            <w:right w:val="none" w:sz="0" w:space="0" w:color="auto"/>
          </w:divBdr>
        </w:div>
      </w:divsChild>
    </w:div>
    <w:div w:id="1241712552">
      <w:bodyDiv w:val="1"/>
      <w:marLeft w:val="0"/>
      <w:marRight w:val="0"/>
      <w:marTop w:val="0"/>
      <w:marBottom w:val="0"/>
      <w:divBdr>
        <w:top w:val="none" w:sz="0" w:space="0" w:color="auto"/>
        <w:left w:val="none" w:sz="0" w:space="0" w:color="auto"/>
        <w:bottom w:val="none" w:sz="0" w:space="0" w:color="auto"/>
        <w:right w:val="none" w:sz="0" w:space="0" w:color="auto"/>
      </w:divBdr>
      <w:divsChild>
        <w:div w:id="630287812">
          <w:marLeft w:val="0"/>
          <w:marRight w:val="0"/>
          <w:marTop w:val="0"/>
          <w:marBottom w:val="0"/>
          <w:divBdr>
            <w:top w:val="none" w:sz="0" w:space="0" w:color="auto"/>
            <w:left w:val="none" w:sz="0" w:space="0" w:color="auto"/>
            <w:bottom w:val="none" w:sz="0" w:space="0" w:color="auto"/>
            <w:right w:val="none" w:sz="0" w:space="0" w:color="auto"/>
          </w:divBdr>
        </w:div>
        <w:div w:id="759109166">
          <w:marLeft w:val="0"/>
          <w:marRight w:val="0"/>
          <w:marTop w:val="0"/>
          <w:marBottom w:val="0"/>
          <w:divBdr>
            <w:top w:val="none" w:sz="0" w:space="0" w:color="auto"/>
            <w:left w:val="none" w:sz="0" w:space="0" w:color="auto"/>
            <w:bottom w:val="none" w:sz="0" w:space="0" w:color="auto"/>
            <w:right w:val="none" w:sz="0" w:space="0" w:color="auto"/>
          </w:divBdr>
        </w:div>
        <w:div w:id="2069331170">
          <w:marLeft w:val="0"/>
          <w:marRight w:val="0"/>
          <w:marTop w:val="0"/>
          <w:marBottom w:val="0"/>
          <w:divBdr>
            <w:top w:val="none" w:sz="0" w:space="0" w:color="auto"/>
            <w:left w:val="none" w:sz="0" w:space="0" w:color="auto"/>
            <w:bottom w:val="none" w:sz="0" w:space="0" w:color="auto"/>
            <w:right w:val="none" w:sz="0" w:space="0" w:color="auto"/>
          </w:divBdr>
        </w:div>
        <w:div w:id="569123441">
          <w:marLeft w:val="0"/>
          <w:marRight w:val="0"/>
          <w:marTop w:val="0"/>
          <w:marBottom w:val="0"/>
          <w:divBdr>
            <w:top w:val="none" w:sz="0" w:space="0" w:color="auto"/>
            <w:left w:val="none" w:sz="0" w:space="0" w:color="auto"/>
            <w:bottom w:val="none" w:sz="0" w:space="0" w:color="auto"/>
            <w:right w:val="none" w:sz="0" w:space="0" w:color="auto"/>
          </w:divBdr>
        </w:div>
        <w:div w:id="1774940162">
          <w:marLeft w:val="0"/>
          <w:marRight w:val="0"/>
          <w:marTop w:val="0"/>
          <w:marBottom w:val="0"/>
          <w:divBdr>
            <w:top w:val="none" w:sz="0" w:space="0" w:color="auto"/>
            <w:left w:val="none" w:sz="0" w:space="0" w:color="auto"/>
            <w:bottom w:val="none" w:sz="0" w:space="0" w:color="auto"/>
            <w:right w:val="none" w:sz="0" w:space="0" w:color="auto"/>
          </w:divBdr>
        </w:div>
        <w:div w:id="652367026">
          <w:marLeft w:val="0"/>
          <w:marRight w:val="0"/>
          <w:marTop w:val="0"/>
          <w:marBottom w:val="0"/>
          <w:divBdr>
            <w:top w:val="none" w:sz="0" w:space="0" w:color="auto"/>
            <w:left w:val="none" w:sz="0" w:space="0" w:color="auto"/>
            <w:bottom w:val="none" w:sz="0" w:space="0" w:color="auto"/>
            <w:right w:val="none" w:sz="0" w:space="0" w:color="auto"/>
          </w:divBdr>
        </w:div>
        <w:div w:id="1241062711">
          <w:marLeft w:val="0"/>
          <w:marRight w:val="0"/>
          <w:marTop w:val="0"/>
          <w:marBottom w:val="0"/>
          <w:divBdr>
            <w:top w:val="none" w:sz="0" w:space="0" w:color="auto"/>
            <w:left w:val="none" w:sz="0" w:space="0" w:color="auto"/>
            <w:bottom w:val="none" w:sz="0" w:space="0" w:color="auto"/>
            <w:right w:val="none" w:sz="0" w:space="0" w:color="auto"/>
          </w:divBdr>
        </w:div>
        <w:div w:id="1336028868">
          <w:marLeft w:val="0"/>
          <w:marRight w:val="0"/>
          <w:marTop w:val="0"/>
          <w:marBottom w:val="0"/>
          <w:divBdr>
            <w:top w:val="none" w:sz="0" w:space="0" w:color="auto"/>
            <w:left w:val="none" w:sz="0" w:space="0" w:color="auto"/>
            <w:bottom w:val="none" w:sz="0" w:space="0" w:color="auto"/>
            <w:right w:val="none" w:sz="0" w:space="0" w:color="auto"/>
          </w:divBdr>
        </w:div>
        <w:div w:id="656500324">
          <w:marLeft w:val="0"/>
          <w:marRight w:val="0"/>
          <w:marTop w:val="0"/>
          <w:marBottom w:val="0"/>
          <w:divBdr>
            <w:top w:val="none" w:sz="0" w:space="0" w:color="auto"/>
            <w:left w:val="none" w:sz="0" w:space="0" w:color="auto"/>
            <w:bottom w:val="none" w:sz="0" w:space="0" w:color="auto"/>
            <w:right w:val="none" w:sz="0" w:space="0" w:color="auto"/>
          </w:divBdr>
        </w:div>
        <w:div w:id="677000592">
          <w:marLeft w:val="0"/>
          <w:marRight w:val="0"/>
          <w:marTop w:val="0"/>
          <w:marBottom w:val="0"/>
          <w:divBdr>
            <w:top w:val="none" w:sz="0" w:space="0" w:color="auto"/>
            <w:left w:val="none" w:sz="0" w:space="0" w:color="auto"/>
            <w:bottom w:val="none" w:sz="0" w:space="0" w:color="auto"/>
            <w:right w:val="none" w:sz="0" w:space="0" w:color="auto"/>
          </w:divBdr>
        </w:div>
        <w:div w:id="1578709020">
          <w:marLeft w:val="0"/>
          <w:marRight w:val="0"/>
          <w:marTop w:val="0"/>
          <w:marBottom w:val="0"/>
          <w:divBdr>
            <w:top w:val="none" w:sz="0" w:space="0" w:color="auto"/>
            <w:left w:val="none" w:sz="0" w:space="0" w:color="auto"/>
            <w:bottom w:val="none" w:sz="0" w:space="0" w:color="auto"/>
            <w:right w:val="none" w:sz="0" w:space="0" w:color="auto"/>
          </w:divBdr>
        </w:div>
      </w:divsChild>
    </w:div>
    <w:div w:id="1560633851">
      <w:bodyDiv w:val="1"/>
      <w:marLeft w:val="0"/>
      <w:marRight w:val="0"/>
      <w:marTop w:val="0"/>
      <w:marBottom w:val="0"/>
      <w:divBdr>
        <w:top w:val="none" w:sz="0" w:space="0" w:color="auto"/>
        <w:left w:val="none" w:sz="0" w:space="0" w:color="auto"/>
        <w:bottom w:val="none" w:sz="0" w:space="0" w:color="auto"/>
        <w:right w:val="none" w:sz="0" w:space="0" w:color="auto"/>
      </w:divBdr>
    </w:div>
    <w:div w:id="1650136727">
      <w:bodyDiv w:val="1"/>
      <w:marLeft w:val="0"/>
      <w:marRight w:val="0"/>
      <w:marTop w:val="0"/>
      <w:marBottom w:val="0"/>
      <w:divBdr>
        <w:top w:val="none" w:sz="0" w:space="0" w:color="auto"/>
        <w:left w:val="none" w:sz="0" w:space="0" w:color="auto"/>
        <w:bottom w:val="none" w:sz="0" w:space="0" w:color="auto"/>
        <w:right w:val="none" w:sz="0" w:space="0" w:color="auto"/>
      </w:divBdr>
      <w:divsChild>
        <w:div w:id="21638700">
          <w:marLeft w:val="547"/>
          <w:marRight w:val="0"/>
          <w:marTop w:val="154"/>
          <w:marBottom w:val="0"/>
          <w:divBdr>
            <w:top w:val="none" w:sz="0" w:space="0" w:color="auto"/>
            <w:left w:val="none" w:sz="0" w:space="0" w:color="auto"/>
            <w:bottom w:val="none" w:sz="0" w:space="0" w:color="auto"/>
            <w:right w:val="none" w:sz="0" w:space="0" w:color="auto"/>
          </w:divBdr>
        </w:div>
      </w:divsChild>
    </w:div>
    <w:div w:id="1895894756">
      <w:bodyDiv w:val="1"/>
      <w:marLeft w:val="0"/>
      <w:marRight w:val="0"/>
      <w:marTop w:val="0"/>
      <w:marBottom w:val="0"/>
      <w:divBdr>
        <w:top w:val="none" w:sz="0" w:space="0" w:color="auto"/>
        <w:left w:val="none" w:sz="0" w:space="0" w:color="auto"/>
        <w:bottom w:val="none" w:sz="0" w:space="0" w:color="auto"/>
        <w:right w:val="none" w:sz="0" w:space="0" w:color="auto"/>
      </w:divBdr>
    </w:div>
    <w:div w:id="1980305887">
      <w:bodyDiv w:val="1"/>
      <w:marLeft w:val="0"/>
      <w:marRight w:val="0"/>
      <w:marTop w:val="0"/>
      <w:marBottom w:val="0"/>
      <w:divBdr>
        <w:top w:val="none" w:sz="0" w:space="0" w:color="auto"/>
        <w:left w:val="none" w:sz="0" w:space="0" w:color="auto"/>
        <w:bottom w:val="none" w:sz="0" w:space="0" w:color="auto"/>
        <w:right w:val="none" w:sz="0" w:space="0" w:color="auto"/>
      </w:divBdr>
      <w:divsChild>
        <w:div w:id="1804229308">
          <w:marLeft w:val="0"/>
          <w:marRight w:val="0"/>
          <w:marTop w:val="120"/>
          <w:marBottom w:val="0"/>
          <w:divBdr>
            <w:top w:val="none" w:sz="0" w:space="0" w:color="auto"/>
            <w:left w:val="none" w:sz="0" w:space="0" w:color="auto"/>
            <w:bottom w:val="none" w:sz="0" w:space="0" w:color="auto"/>
            <w:right w:val="none" w:sz="0" w:space="0" w:color="auto"/>
          </w:divBdr>
        </w:div>
      </w:divsChild>
    </w:div>
    <w:div w:id="20325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8938-83B1-4F3B-9B0A-BEB82091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6592</Words>
  <Characters>41198</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3</cp:revision>
  <cp:lastPrinted>2014-08-01T01:18:00Z</cp:lastPrinted>
  <dcterms:created xsi:type="dcterms:W3CDTF">2014-10-08T22:04:00Z</dcterms:created>
  <dcterms:modified xsi:type="dcterms:W3CDTF">2014-11-03T03:24:00Z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AdHocReviewCycleID">
    <vt:i4>-1345080411</vt:i4>
  </property>
  <property fmtid="{D5CDD505-2E9C-101B-9397-08002B2CF9AE}" pid="9" name="_NewReviewCycle">
    <vt:lpwstr/>
  </property>
  <property fmtid="{D5CDD505-2E9C-101B-9397-08002B2CF9AE}" pid="10" name="_EmailSubject">
    <vt:lpwstr>Draft PBAC Minutes for dapagliflozin with metformin and empagliflozin **prepared for the purpose of obtaining legal advice** [SEC=UNCLASSIFIED]</vt:lpwstr>
  </property>
  <property fmtid="{D5CDD505-2E9C-101B-9397-08002B2CF9AE}" pid="11" name="_AuthorEmail">
    <vt:lpwstr>Andrew.Korbel@corrs.com.au</vt:lpwstr>
  </property>
  <property fmtid="{D5CDD505-2E9C-101B-9397-08002B2CF9AE}" pid="12" name="_AuthorEmailDisplayName">
    <vt:lpwstr>Andrew Korbel</vt:lpwstr>
  </property>
  <property fmtid="{D5CDD505-2E9C-101B-9397-08002B2CF9AE}" pid="13" name="_ReviewingToolsShownOnce">
    <vt:lpwstr/>
  </property>
</Properties>
</file>