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3E" w:rsidRPr="002B10CA" w:rsidRDefault="00B95D3E" w:rsidP="002B10CA">
      <w:pPr>
        <w:pStyle w:val="Heading1"/>
        <w:rPr>
          <w:sz w:val="28"/>
          <w:szCs w:val="28"/>
        </w:rPr>
      </w:pPr>
      <w:bookmarkStart w:id="0" w:name="_Toc341702017"/>
      <w:bookmarkStart w:id="1" w:name="_Toc380679747"/>
      <w:bookmarkStart w:id="2" w:name="_Toc380742604"/>
      <w:bookmarkStart w:id="3" w:name="_Toc380746171"/>
      <w:bookmarkStart w:id="4" w:name="_Toc380746294"/>
      <w:bookmarkStart w:id="5" w:name="_Toc380746578"/>
      <w:r>
        <w:t>5.5</w:t>
      </w:r>
      <w:r>
        <w:tab/>
      </w:r>
      <w:r w:rsidR="00E83AE8" w:rsidRPr="002B10CA">
        <w:rPr>
          <w:sz w:val="28"/>
          <w:szCs w:val="28"/>
        </w:rPr>
        <w:t>ENZALUTAMIDE,</w:t>
      </w:r>
      <w:r w:rsidR="00FA6E89" w:rsidRPr="002B10CA">
        <w:rPr>
          <w:sz w:val="28"/>
          <w:szCs w:val="28"/>
        </w:rPr>
        <w:t xml:space="preserve"> capsule, </w:t>
      </w:r>
      <w:r w:rsidRPr="002B10CA">
        <w:rPr>
          <w:sz w:val="28"/>
          <w:szCs w:val="28"/>
        </w:rPr>
        <w:t>40 mg,</w:t>
      </w:r>
    </w:p>
    <w:p w:rsidR="00E83AE8" w:rsidRPr="002B10CA" w:rsidRDefault="00E83AE8" w:rsidP="002B10CA">
      <w:pPr>
        <w:pStyle w:val="Heading1"/>
        <w:rPr>
          <w:sz w:val="28"/>
          <w:szCs w:val="28"/>
        </w:rPr>
      </w:pPr>
      <w:r w:rsidRPr="002B10CA">
        <w:rPr>
          <w:sz w:val="28"/>
          <w:szCs w:val="28"/>
        </w:rPr>
        <w:t>Xtandi</w:t>
      </w:r>
      <w:r w:rsidRPr="002B10CA">
        <w:rPr>
          <w:sz w:val="28"/>
          <w:szCs w:val="28"/>
          <w:vertAlign w:val="superscript"/>
        </w:rPr>
        <w:t>®</w:t>
      </w:r>
      <w:r w:rsidR="00141AC0" w:rsidRPr="002B10CA">
        <w:rPr>
          <w:sz w:val="28"/>
          <w:szCs w:val="28"/>
        </w:rPr>
        <w:t>,</w:t>
      </w:r>
      <w:r w:rsidR="00FA6E89" w:rsidRPr="002B10CA">
        <w:rPr>
          <w:sz w:val="28"/>
          <w:szCs w:val="28"/>
        </w:rPr>
        <w:t xml:space="preserve"> Astellas Pharma </w:t>
      </w:r>
      <w:r w:rsidRPr="002B10CA">
        <w:rPr>
          <w:sz w:val="28"/>
          <w:szCs w:val="28"/>
        </w:rPr>
        <w:t>Australia Pty Ltd,</w:t>
      </w:r>
    </w:p>
    <w:p w:rsidR="00C424F5" w:rsidRDefault="00C424F5">
      <w:pPr>
        <w:widowControl/>
        <w:jc w:val="left"/>
        <w:rPr>
          <w:b/>
        </w:rPr>
      </w:pPr>
      <w:bookmarkStart w:id="6" w:name="_Toc386015333"/>
      <w:bookmarkStart w:id="7" w:name="_Toc387918009"/>
      <w:bookmarkEnd w:id="0"/>
      <w:bookmarkEnd w:id="1"/>
      <w:bookmarkEnd w:id="2"/>
      <w:bookmarkEnd w:id="3"/>
      <w:bookmarkEnd w:id="4"/>
      <w:bookmarkEnd w:id="5"/>
    </w:p>
    <w:bookmarkEnd w:id="6"/>
    <w:bookmarkEnd w:id="7"/>
    <w:p w:rsidR="00B95D3E" w:rsidRPr="00407F2D" w:rsidRDefault="00B95D3E" w:rsidP="00B95D3E">
      <w:pPr>
        <w:pStyle w:val="ListParagraph"/>
        <w:widowControl/>
        <w:numPr>
          <w:ilvl w:val="0"/>
          <w:numId w:val="2"/>
        </w:numPr>
        <w:rPr>
          <w:b/>
          <w:szCs w:val="22"/>
        </w:rPr>
      </w:pPr>
      <w:r w:rsidRPr="00407F2D">
        <w:rPr>
          <w:b/>
          <w:szCs w:val="22"/>
        </w:rPr>
        <w:t>Purpose of Application</w:t>
      </w:r>
    </w:p>
    <w:p w:rsidR="009C3950" w:rsidRPr="00C35233" w:rsidRDefault="009C3950" w:rsidP="009C3950">
      <w:pPr>
        <w:rPr>
          <w:szCs w:val="22"/>
        </w:rPr>
      </w:pPr>
    </w:p>
    <w:p w:rsidR="009C3950" w:rsidRPr="00B95D3E" w:rsidRDefault="000B34BC" w:rsidP="00B95D3E">
      <w:pPr>
        <w:pStyle w:val="ListParagraph"/>
        <w:widowControl/>
        <w:numPr>
          <w:ilvl w:val="1"/>
          <w:numId w:val="2"/>
        </w:numPr>
        <w:rPr>
          <w:szCs w:val="22"/>
        </w:rPr>
      </w:pPr>
      <w:r w:rsidRPr="00C35233">
        <w:t>Authority r</w:t>
      </w:r>
      <w:r w:rsidR="009C3950" w:rsidRPr="00C35233">
        <w:t>equired</w:t>
      </w:r>
      <w:r w:rsidR="00360AC0" w:rsidRPr="00C35233">
        <w:t xml:space="preserve"> (Streamlined)</w:t>
      </w:r>
      <w:r w:rsidR="009C3950" w:rsidRPr="00C35233">
        <w:t xml:space="preserve"> listing for </w:t>
      </w:r>
      <w:r w:rsidR="00360AC0" w:rsidRPr="00C35233">
        <w:t>enzalutamide</w:t>
      </w:r>
      <w:r w:rsidR="009C3950" w:rsidRPr="00C35233">
        <w:t xml:space="preserve"> for treatment of </w:t>
      </w:r>
      <w:r w:rsidR="00360AC0" w:rsidRPr="00C35233">
        <w:t xml:space="preserve">metastatic prostate cancer after treatment failure with </w:t>
      </w:r>
      <w:proofErr w:type="spellStart"/>
      <w:r w:rsidR="00360AC0" w:rsidRPr="00C35233">
        <w:t>docetaxel</w:t>
      </w:r>
      <w:proofErr w:type="spellEnd"/>
      <w:r w:rsidR="00360AC0" w:rsidRPr="00C35233">
        <w:t xml:space="preserve">. </w:t>
      </w:r>
    </w:p>
    <w:p w:rsidR="009C3950" w:rsidRDefault="009C3950" w:rsidP="009C3950"/>
    <w:p w:rsidR="00B95D3E" w:rsidRPr="00C35233" w:rsidRDefault="00B95D3E" w:rsidP="009C3950"/>
    <w:p w:rsidR="00B95D3E" w:rsidRPr="00407F2D" w:rsidRDefault="00B95D3E" w:rsidP="00B95D3E">
      <w:pPr>
        <w:pStyle w:val="ListParagraph"/>
        <w:widowControl/>
        <w:numPr>
          <w:ilvl w:val="0"/>
          <w:numId w:val="2"/>
        </w:numPr>
        <w:rPr>
          <w:b/>
          <w:szCs w:val="22"/>
        </w:rPr>
      </w:pPr>
      <w:r w:rsidRPr="00407F2D">
        <w:rPr>
          <w:b/>
          <w:szCs w:val="22"/>
        </w:rPr>
        <w:t>Requested listing</w:t>
      </w:r>
    </w:p>
    <w:p w:rsidR="002F4D39" w:rsidRPr="00C35233" w:rsidRDefault="002F4D39" w:rsidP="002F4D39">
      <w:pPr>
        <w:pStyle w:val="ListParagraph"/>
        <w:widowControl/>
        <w:rPr>
          <w:szCs w:val="22"/>
        </w:rPr>
      </w:pPr>
    </w:p>
    <w:p w:rsidR="000B34BC" w:rsidRPr="00B95D3E" w:rsidRDefault="000B34BC" w:rsidP="00B95D3E">
      <w:pPr>
        <w:pStyle w:val="ListParagraph"/>
        <w:widowControl/>
        <w:numPr>
          <w:ilvl w:val="1"/>
          <w:numId w:val="2"/>
        </w:numPr>
        <w:rPr>
          <w:szCs w:val="22"/>
        </w:rPr>
      </w:pPr>
      <w:r w:rsidRPr="00B95D3E">
        <w:rPr>
          <w:szCs w:val="22"/>
        </w:rPr>
        <w:t>The submission sought the following listing:</w:t>
      </w:r>
    </w:p>
    <w:p w:rsidR="005472F3" w:rsidRPr="00C35233" w:rsidRDefault="005472F3" w:rsidP="005472F3">
      <w:pPr>
        <w:pStyle w:val="ListParagraph"/>
        <w:widowControl/>
        <w:rPr>
          <w:szCs w:val="22"/>
        </w:rPr>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3"/>
        <w:gridCol w:w="702"/>
        <w:gridCol w:w="912"/>
        <w:gridCol w:w="1097"/>
        <w:gridCol w:w="1179"/>
      </w:tblGrid>
      <w:tr w:rsidR="005472F3" w:rsidRPr="00C35233" w:rsidTr="00B95D3E">
        <w:trPr>
          <w:cantSplit/>
          <w:trHeight w:val="599"/>
        </w:trPr>
        <w:tc>
          <w:tcPr>
            <w:tcW w:w="2673" w:type="pct"/>
            <w:vAlign w:val="center"/>
          </w:tcPr>
          <w:p w:rsidR="005472F3" w:rsidRPr="00C35233" w:rsidRDefault="005472F3" w:rsidP="009E7F5F">
            <w:pPr>
              <w:keepNext/>
              <w:jc w:val="left"/>
              <w:rPr>
                <w:rFonts w:ascii="Arial Narrow" w:hAnsi="Arial Narrow"/>
                <w:sz w:val="20"/>
              </w:rPr>
            </w:pPr>
            <w:r w:rsidRPr="00C35233">
              <w:rPr>
                <w:rFonts w:ascii="Arial Narrow" w:hAnsi="Arial Narrow"/>
                <w:sz w:val="20"/>
              </w:rPr>
              <w:t>Name, Restriction,</w:t>
            </w:r>
          </w:p>
          <w:p w:rsidR="005472F3" w:rsidRPr="00C35233" w:rsidRDefault="005472F3" w:rsidP="009E7F5F">
            <w:pPr>
              <w:keepNext/>
              <w:jc w:val="left"/>
              <w:rPr>
                <w:rFonts w:ascii="Arial Narrow" w:hAnsi="Arial Narrow"/>
                <w:sz w:val="20"/>
              </w:rPr>
            </w:pPr>
            <w:r w:rsidRPr="00C35233">
              <w:rPr>
                <w:rFonts w:ascii="Arial Narrow" w:hAnsi="Arial Narrow"/>
                <w:sz w:val="20"/>
              </w:rPr>
              <w:t>Manner of administration and form</w:t>
            </w:r>
          </w:p>
        </w:tc>
        <w:tc>
          <w:tcPr>
            <w:tcW w:w="420" w:type="pct"/>
            <w:vAlign w:val="center"/>
          </w:tcPr>
          <w:p w:rsidR="005472F3" w:rsidRPr="00C35233" w:rsidRDefault="005472F3" w:rsidP="009E7F5F">
            <w:pPr>
              <w:keepNext/>
              <w:jc w:val="center"/>
              <w:rPr>
                <w:rFonts w:ascii="Arial Narrow" w:hAnsi="Arial Narrow"/>
                <w:sz w:val="20"/>
              </w:rPr>
            </w:pPr>
            <w:r w:rsidRPr="00C35233">
              <w:rPr>
                <w:rFonts w:ascii="Arial Narrow" w:hAnsi="Arial Narrow"/>
                <w:sz w:val="20"/>
              </w:rPr>
              <w:t>Max.</w:t>
            </w:r>
          </w:p>
          <w:p w:rsidR="005472F3" w:rsidRPr="00C35233" w:rsidRDefault="005472F3" w:rsidP="009E7F5F">
            <w:pPr>
              <w:keepNext/>
              <w:jc w:val="center"/>
              <w:rPr>
                <w:rFonts w:ascii="Arial Narrow" w:hAnsi="Arial Narrow"/>
                <w:sz w:val="20"/>
              </w:rPr>
            </w:pPr>
            <w:proofErr w:type="spellStart"/>
            <w:r w:rsidRPr="00C35233">
              <w:rPr>
                <w:rFonts w:ascii="Arial Narrow" w:hAnsi="Arial Narrow"/>
                <w:sz w:val="20"/>
              </w:rPr>
              <w:t>Qty</w:t>
            </w:r>
            <w:proofErr w:type="spellEnd"/>
          </w:p>
        </w:tc>
        <w:tc>
          <w:tcPr>
            <w:tcW w:w="545" w:type="pct"/>
            <w:vAlign w:val="center"/>
          </w:tcPr>
          <w:p w:rsidR="005472F3" w:rsidRPr="00C35233" w:rsidRDefault="005472F3" w:rsidP="009E7F5F">
            <w:pPr>
              <w:keepNext/>
              <w:jc w:val="center"/>
              <w:rPr>
                <w:rFonts w:ascii="Arial Narrow" w:hAnsi="Arial Narrow"/>
                <w:sz w:val="20"/>
              </w:rPr>
            </w:pPr>
            <w:r w:rsidRPr="00C35233">
              <w:rPr>
                <w:rFonts w:ascii="Arial Narrow" w:hAnsi="Arial Narrow"/>
                <w:sz w:val="20"/>
              </w:rPr>
              <w:t>№.of</w:t>
            </w:r>
          </w:p>
          <w:p w:rsidR="005472F3" w:rsidRPr="00C35233" w:rsidRDefault="005472F3" w:rsidP="009E7F5F">
            <w:pPr>
              <w:keepNext/>
              <w:jc w:val="center"/>
              <w:rPr>
                <w:rFonts w:ascii="Arial Narrow" w:hAnsi="Arial Narrow"/>
                <w:sz w:val="20"/>
              </w:rPr>
            </w:pPr>
            <w:proofErr w:type="spellStart"/>
            <w:r w:rsidRPr="00C35233">
              <w:rPr>
                <w:rFonts w:ascii="Arial Narrow" w:hAnsi="Arial Narrow"/>
                <w:sz w:val="20"/>
              </w:rPr>
              <w:t>Rpts</w:t>
            </w:r>
            <w:proofErr w:type="spellEnd"/>
          </w:p>
        </w:tc>
        <w:tc>
          <w:tcPr>
            <w:tcW w:w="1361" w:type="pct"/>
            <w:gridSpan w:val="2"/>
            <w:vAlign w:val="center"/>
          </w:tcPr>
          <w:p w:rsidR="005472F3" w:rsidRPr="00C35233" w:rsidRDefault="005472F3" w:rsidP="009E7F5F">
            <w:pPr>
              <w:keepNext/>
              <w:jc w:val="center"/>
              <w:rPr>
                <w:rFonts w:ascii="Arial Narrow" w:hAnsi="Arial Narrow"/>
                <w:sz w:val="20"/>
                <w:lang w:val="fr-FR"/>
              </w:rPr>
            </w:pPr>
            <w:r w:rsidRPr="00C35233">
              <w:rPr>
                <w:rFonts w:ascii="Arial Narrow" w:hAnsi="Arial Narrow"/>
                <w:sz w:val="20"/>
              </w:rPr>
              <w:t>Proprietary Name and Manufacturer</w:t>
            </w:r>
          </w:p>
        </w:tc>
      </w:tr>
      <w:tr w:rsidR="005472F3" w:rsidRPr="00C35233" w:rsidTr="00B95D3E">
        <w:trPr>
          <w:cantSplit/>
          <w:trHeight w:val="733"/>
        </w:trPr>
        <w:tc>
          <w:tcPr>
            <w:tcW w:w="2673" w:type="pct"/>
            <w:vAlign w:val="center"/>
          </w:tcPr>
          <w:p w:rsidR="005472F3" w:rsidRPr="00C35233" w:rsidRDefault="005472F3" w:rsidP="009E7F5F">
            <w:pPr>
              <w:keepNext/>
              <w:jc w:val="left"/>
              <w:rPr>
                <w:rFonts w:ascii="Arial Narrow" w:hAnsi="Arial Narrow"/>
                <w:sz w:val="20"/>
              </w:rPr>
            </w:pPr>
            <w:r w:rsidRPr="00C35233">
              <w:rPr>
                <w:rFonts w:ascii="Arial Narrow" w:hAnsi="Arial Narrow"/>
                <w:sz w:val="20"/>
              </w:rPr>
              <w:t>Enzalutamide</w:t>
            </w:r>
          </w:p>
          <w:p w:rsidR="005472F3" w:rsidRPr="00C35233" w:rsidRDefault="005472F3" w:rsidP="009E7F5F">
            <w:pPr>
              <w:keepNext/>
              <w:jc w:val="left"/>
              <w:rPr>
                <w:rFonts w:ascii="Arial Narrow" w:hAnsi="Arial Narrow"/>
                <w:sz w:val="20"/>
              </w:rPr>
            </w:pPr>
            <w:r w:rsidRPr="00C35233">
              <w:rPr>
                <w:rFonts w:ascii="Arial Narrow" w:hAnsi="Arial Narrow"/>
                <w:sz w:val="20"/>
              </w:rPr>
              <w:t>Capsules, 40mg, 112</w:t>
            </w:r>
          </w:p>
        </w:tc>
        <w:tc>
          <w:tcPr>
            <w:tcW w:w="420" w:type="pct"/>
            <w:vAlign w:val="center"/>
          </w:tcPr>
          <w:p w:rsidR="005472F3" w:rsidRPr="00C35233" w:rsidRDefault="005472F3" w:rsidP="009E7F5F">
            <w:pPr>
              <w:keepNext/>
              <w:jc w:val="center"/>
              <w:rPr>
                <w:rFonts w:ascii="Arial Narrow" w:hAnsi="Arial Narrow"/>
                <w:sz w:val="20"/>
              </w:rPr>
            </w:pPr>
            <w:r w:rsidRPr="00C35233">
              <w:rPr>
                <w:rFonts w:ascii="Arial Narrow" w:hAnsi="Arial Narrow"/>
                <w:sz w:val="20"/>
              </w:rPr>
              <w:t>1</w:t>
            </w:r>
          </w:p>
        </w:tc>
        <w:tc>
          <w:tcPr>
            <w:tcW w:w="545" w:type="pct"/>
            <w:vAlign w:val="center"/>
          </w:tcPr>
          <w:p w:rsidR="005472F3" w:rsidRPr="00C35233" w:rsidRDefault="005472F3" w:rsidP="009E7F5F">
            <w:pPr>
              <w:keepNext/>
              <w:jc w:val="center"/>
              <w:rPr>
                <w:rFonts w:ascii="Arial Narrow" w:hAnsi="Arial Narrow"/>
                <w:sz w:val="20"/>
              </w:rPr>
            </w:pPr>
            <w:r w:rsidRPr="00C35233">
              <w:rPr>
                <w:rFonts w:ascii="Arial Narrow" w:hAnsi="Arial Narrow"/>
                <w:sz w:val="20"/>
              </w:rPr>
              <w:t>2</w:t>
            </w:r>
          </w:p>
        </w:tc>
        <w:tc>
          <w:tcPr>
            <w:tcW w:w="656" w:type="pct"/>
            <w:vAlign w:val="center"/>
          </w:tcPr>
          <w:p w:rsidR="005472F3" w:rsidRPr="00C35233" w:rsidRDefault="005472F3" w:rsidP="009E7F5F">
            <w:pPr>
              <w:keepNext/>
              <w:jc w:val="center"/>
              <w:rPr>
                <w:rFonts w:ascii="Arial Narrow" w:hAnsi="Arial Narrow"/>
                <w:sz w:val="20"/>
              </w:rPr>
            </w:pPr>
            <w:proofErr w:type="spellStart"/>
            <w:r w:rsidRPr="00C35233">
              <w:rPr>
                <w:rFonts w:ascii="Arial Narrow" w:hAnsi="Arial Narrow"/>
                <w:sz w:val="20"/>
              </w:rPr>
              <w:t>Xtandi</w:t>
            </w:r>
            <w:proofErr w:type="spellEnd"/>
            <w:r w:rsidRPr="00C35233">
              <w:rPr>
                <w:rFonts w:ascii="Arial Narrow" w:hAnsi="Arial Narrow"/>
                <w:sz w:val="20"/>
              </w:rPr>
              <w:t>®</w:t>
            </w:r>
          </w:p>
        </w:tc>
        <w:tc>
          <w:tcPr>
            <w:tcW w:w="705" w:type="pct"/>
            <w:vAlign w:val="center"/>
          </w:tcPr>
          <w:p w:rsidR="005472F3" w:rsidRPr="00C35233" w:rsidRDefault="005472F3" w:rsidP="009E7F5F">
            <w:pPr>
              <w:keepNext/>
              <w:jc w:val="center"/>
              <w:rPr>
                <w:rFonts w:ascii="Arial Narrow" w:hAnsi="Arial Narrow"/>
                <w:sz w:val="20"/>
              </w:rPr>
            </w:pPr>
            <w:proofErr w:type="spellStart"/>
            <w:r w:rsidRPr="00C35233">
              <w:rPr>
                <w:rFonts w:ascii="Arial Narrow" w:hAnsi="Arial Narrow"/>
                <w:sz w:val="20"/>
              </w:rPr>
              <w:t>Astellas</w:t>
            </w:r>
            <w:proofErr w:type="spellEnd"/>
          </w:p>
        </w:tc>
      </w:tr>
    </w:tbl>
    <w:p w:rsidR="00583B4F" w:rsidRPr="00C35233" w:rsidRDefault="00583B4F" w:rsidP="005472F3">
      <w:pPr>
        <w:widowControl/>
        <w:rPr>
          <w:szCs w:val="22"/>
        </w:rPr>
      </w:pPr>
    </w:p>
    <w:tbl>
      <w:tblPr>
        <w:tblW w:w="4524" w:type="pct"/>
        <w:tblInd w:w="817" w:type="dxa"/>
        <w:tblLook w:val="0000" w:firstRow="0" w:lastRow="0" w:firstColumn="0" w:lastColumn="0" w:noHBand="0" w:noVBand="0"/>
      </w:tblPr>
      <w:tblGrid>
        <w:gridCol w:w="1763"/>
        <w:gridCol w:w="6599"/>
      </w:tblGrid>
      <w:tr w:rsidR="000B34BC" w:rsidRPr="00C35233" w:rsidTr="00B95D3E">
        <w:trPr>
          <w:cantSplit/>
          <w:trHeight w:val="360"/>
        </w:trPr>
        <w:tc>
          <w:tcPr>
            <w:tcW w:w="1054" w:type="pct"/>
            <w:tcBorders>
              <w:top w:val="single" w:sz="4" w:space="0" w:color="auto"/>
              <w:left w:val="single" w:sz="4" w:space="0" w:color="auto"/>
              <w:bottom w:val="single" w:sz="4" w:space="0" w:color="auto"/>
              <w:right w:val="single" w:sz="4" w:space="0" w:color="auto"/>
            </w:tcBorders>
          </w:tcPr>
          <w:p w:rsidR="000B34BC" w:rsidRPr="00C35233" w:rsidRDefault="000B34BC" w:rsidP="00DA4D52">
            <w:pPr>
              <w:rPr>
                <w:rFonts w:ascii="Arial Narrow" w:hAnsi="Arial Narrow"/>
                <w:b/>
                <w:sz w:val="20"/>
              </w:rPr>
            </w:pPr>
            <w:r w:rsidRPr="00C35233">
              <w:rPr>
                <w:rFonts w:ascii="Arial Narrow" w:hAnsi="Arial Narrow"/>
                <w:b/>
                <w:sz w:val="20"/>
              </w:rPr>
              <w:t>Severity:</w:t>
            </w:r>
          </w:p>
        </w:tc>
        <w:tc>
          <w:tcPr>
            <w:tcW w:w="3946" w:type="pct"/>
            <w:tcBorders>
              <w:top w:val="single" w:sz="4" w:space="0" w:color="auto"/>
              <w:left w:val="single" w:sz="4" w:space="0" w:color="auto"/>
              <w:bottom w:val="single" w:sz="4" w:space="0" w:color="auto"/>
              <w:right w:val="single" w:sz="4" w:space="0" w:color="auto"/>
            </w:tcBorders>
          </w:tcPr>
          <w:p w:rsidR="00D800AF" w:rsidRPr="00C35233" w:rsidRDefault="00D800AF" w:rsidP="00DA4D52">
            <w:pPr>
              <w:rPr>
                <w:rFonts w:ascii="Arial Narrow" w:hAnsi="Arial Narrow"/>
                <w:sz w:val="20"/>
              </w:rPr>
            </w:pPr>
            <w:r>
              <w:rPr>
                <w:rFonts w:ascii="Arial Narrow" w:hAnsi="Arial Narrow"/>
                <w:sz w:val="20"/>
              </w:rPr>
              <w:t>Patients with metastatic castration resistant prostate cancer.</w:t>
            </w:r>
          </w:p>
        </w:tc>
      </w:tr>
      <w:tr w:rsidR="000B34BC" w:rsidRPr="00C35233" w:rsidTr="00B95D3E">
        <w:trPr>
          <w:cantSplit/>
          <w:trHeight w:val="360"/>
        </w:trPr>
        <w:tc>
          <w:tcPr>
            <w:tcW w:w="1054" w:type="pct"/>
            <w:tcBorders>
              <w:top w:val="single" w:sz="4" w:space="0" w:color="auto"/>
              <w:left w:val="single" w:sz="4" w:space="0" w:color="auto"/>
              <w:bottom w:val="single" w:sz="4" w:space="0" w:color="auto"/>
              <w:right w:val="single" w:sz="4" w:space="0" w:color="auto"/>
            </w:tcBorders>
          </w:tcPr>
          <w:p w:rsidR="000B34BC" w:rsidRPr="00C35233" w:rsidRDefault="000B34BC" w:rsidP="00DA4D52">
            <w:pPr>
              <w:rPr>
                <w:rFonts w:ascii="Arial Narrow" w:hAnsi="Arial Narrow"/>
                <w:b/>
                <w:sz w:val="20"/>
              </w:rPr>
            </w:pPr>
            <w:r w:rsidRPr="00C35233">
              <w:rPr>
                <w:rFonts w:ascii="Arial Narrow" w:hAnsi="Arial Narrow"/>
                <w:b/>
                <w:sz w:val="20"/>
              </w:rPr>
              <w:t>Condition:</w:t>
            </w:r>
          </w:p>
        </w:tc>
        <w:tc>
          <w:tcPr>
            <w:tcW w:w="3946" w:type="pct"/>
            <w:tcBorders>
              <w:top w:val="single" w:sz="4" w:space="0" w:color="auto"/>
              <w:left w:val="single" w:sz="4" w:space="0" w:color="auto"/>
              <w:bottom w:val="single" w:sz="4" w:space="0" w:color="auto"/>
              <w:right w:val="single" w:sz="4" w:space="0" w:color="auto"/>
            </w:tcBorders>
          </w:tcPr>
          <w:p w:rsidR="00D800AF" w:rsidRPr="00C35233" w:rsidRDefault="00D800AF" w:rsidP="00DA4D52">
            <w:pPr>
              <w:rPr>
                <w:rFonts w:ascii="Arial Narrow" w:hAnsi="Arial Narrow"/>
                <w:sz w:val="20"/>
              </w:rPr>
            </w:pPr>
            <w:r w:rsidRPr="00094D4B">
              <w:rPr>
                <w:rFonts w:ascii="Arial Narrow" w:hAnsi="Arial Narrow"/>
                <w:sz w:val="20"/>
              </w:rPr>
              <w:t>Castration resistant metastatic carcinoma of the prostate</w:t>
            </w:r>
          </w:p>
        </w:tc>
      </w:tr>
      <w:tr w:rsidR="000B34BC" w:rsidRPr="00C35233" w:rsidTr="00B95D3E">
        <w:trPr>
          <w:cantSplit/>
          <w:trHeight w:val="360"/>
        </w:trPr>
        <w:tc>
          <w:tcPr>
            <w:tcW w:w="1054" w:type="pct"/>
            <w:tcBorders>
              <w:top w:val="single" w:sz="4" w:space="0" w:color="auto"/>
              <w:left w:val="single" w:sz="4" w:space="0" w:color="auto"/>
              <w:bottom w:val="single" w:sz="4" w:space="0" w:color="auto"/>
              <w:right w:val="single" w:sz="4" w:space="0" w:color="auto"/>
            </w:tcBorders>
          </w:tcPr>
          <w:p w:rsidR="000B34BC" w:rsidRPr="00C35233" w:rsidRDefault="000B34BC" w:rsidP="00DA4D52">
            <w:pPr>
              <w:rPr>
                <w:rFonts w:ascii="Arial Narrow" w:hAnsi="Arial Narrow"/>
                <w:b/>
                <w:sz w:val="20"/>
              </w:rPr>
            </w:pPr>
            <w:r w:rsidRPr="00C35233">
              <w:rPr>
                <w:rFonts w:ascii="Arial Narrow" w:hAnsi="Arial Narrow"/>
                <w:b/>
                <w:sz w:val="20"/>
              </w:rPr>
              <w:t>Restriction:</w:t>
            </w:r>
          </w:p>
        </w:tc>
        <w:tc>
          <w:tcPr>
            <w:tcW w:w="3946" w:type="pct"/>
            <w:tcBorders>
              <w:top w:val="single" w:sz="4" w:space="0" w:color="auto"/>
              <w:left w:val="single" w:sz="4" w:space="0" w:color="auto"/>
              <w:bottom w:val="single" w:sz="4" w:space="0" w:color="auto"/>
              <w:right w:val="single" w:sz="4" w:space="0" w:color="auto"/>
            </w:tcBorders>
          </w:tcPr>
          <w:p w:rsidR="000B34BC" w:rsidRPr="00C35233" w:rsidRDefault="000B34BC" w:rsidP="00DA4D52">
            <w:pPr>
              <w:rPr>
                <w:rFonts w:ascii="Arial Narrow" w:hAnsi="Arial Narrow"/>
                <w:sz w:val="20"/>
              </w:rPr>
            </w:pPr>
            <w:r w:rsidRPr="00C35233">
              <w:rPr>
                <w:rFonts w:ascii="Arial Narrow" w:hAnsi="Arial Narrow"/>
                <w:sz w:val="20"/>
              </w:rPr>
              <w:t xml:space="preserve">Authority required </w:t>
            </w:r>
            <w:r w:rsidRPr="00C35233">
              <w:rPr>
                <w:rFonts w:ascii="Arial Narrow" w:hAnsi="Arial Narrow"/>
                <w:strike/>
                <w:sz w:val="20"/>
              </w:rPr>
              <w:t>(STREAMLINED)</w:t>
            </w:r>
          </w:p>
        </w:tc>
      </w:tr>
      <w:tr w:rsidR="000B34BC" w:rsidRPr="00C35233" w:rsidTr="00B95D3E">
        <w:trPr>
          <w:cantSplit/>
          <w:trHeight w:val="360"/>
        </w:trPr>
        <w:tc>
          <w:tcPr>
            <w:tcW w:w="1054" w:type="pct"/>
            <w:tcBorders>
              <w:top w:val="single" w:sz="4" w:space="0" w:color="auto"/>
              <w:left w:val="single" w:sz="4" w:space="0" w:color="auto"/>
              <w:bottom w:val="single" w:sz="4" w:space="0" w:color="auto"/>
              <w:right w:val="single" w:sz="4" w:space="0" w:color="auto"/>
            </w:tcBorders>
          </w:tcPr>
          <w:p w:rsidR="000B34BC" w:rsidRPr="00C35233" w:rsidRDefault="000B34BC" w:rsidP="00DA4D52">
            <w:pPr>
              <w:rPr>
                <w:rFonts w:ascii="Arial Narrow" w:hAnsi="Arial Narrow"/>
                <w:b/>
                <w:sz w:val="20"/>
              </w:rPr>
            </w:pPr>
            <w:r w:rsidRPr="00C35233">
              <w:rPr>
                <w:rFonts w:ascii="Arial Narrow" w:hAnsi="Arial Narrow"/>
                <w:b/>
                <w:sz w:val="20"/>
              </w:rPr>
              <w:t>Clinical criteria:</w:t>
            </w:r>
          </w:p>
          <w:p w:rsidR="000B34BC" w:rsidRPr="00C35233" w:rsidRDefault="000B34BC" w:rsidP="00DA4D52">
            <w:pPr>
              <w:rPr>
                <w:rFonts w:ascii="Arial Narrow" w:hAnsi="Arial Narrow"/>
                <w:sz w:val="20"/>
              </w:rPr>
            </w:pPr>
          </w:p>
        </w:tc>
        <w:tc>
          <w:tcPr>
            <w:tcW w:w="3946" w:type="pct"/>
            <w:tcBorders>
              <w:top w:val="single" w:sz="4" w:space="0" w:color="auto"/>
              <w:left w:val="single" w:sz="4" w:space="0" w:color="auto"/>
              <w:bottom w:val="single" w:sz="4" w:space="0" w:color="auto"/>
              <w:right w:val="single" w:sz="4" w:space="0" w:color="auto"/>
            </w:tcBorders>
          </w:tcPr>
          <w:p w:rsidR="000B34BC" w:rsidRPr="00C35233" w:rsidRDefault="000B34BC" w:rsidP="00DA4D52">
            <w:pPr>
              <w:rPr>
                <w:rFonts w:ascii="Arial Narrow" w:hAnsi="Arial Narrow"/>
                <w:sz w:val="20"/>
              </w:rPr>
            </w:pPr>
            <w:r w:rsidRPr="00C35233">
              <w:rPr>
                <w:rFonts w:ascii="Arial Narrow" w:hAnsi="Arial Narrow"/>
                <w:sz w:val="20"/>
              </w:rPr>
              <w:t>The treatment must not be used in combination with chemotherapy</w:t>
            </w:r>
          </w:p>
          <w:p w:rsidR="000B34BC" w:rsidRPr="00C35233" w:rsidRDefault="000B34BC" w:rsidP="00DA4D52">
            <w:pPr>
              <w:rPr>
                <w:rFonts w:ascii="Arial Narrow" w:hAnsi="Arial Narrow"/>
                <w:sz w:val="20"/>
              </w:rPr>
            </w:pPr>
          </w:p>
          <w:p w:rsidR="000B34BC" w:rsidRPr="00C35233" w:rsidRDefault="000B34BC" w:rsidP="00DA4D52">
            <w:pPr>
              <w:rPr>
                <w:rFonts w:ascii="Arial Narrow" w:hAnsi="Arial Narrow"/>
                <w:sz w:val="20"/>
              </w:rPr>
            </w:pPr>
            <w:r w:rsidRPr="00C35233">
              <w:rPr>
                <w:rFonts w:ascii="Arial Narrow" w:hAnsi="Arial Narrow"/>
                <w:sz w:val="20"/>
              </w:rPr>
              <w:t>AND</w:t>
            </w:r>
          </w:p>
          <w:p w:rsidR="000B34BC" w:rsidRPr="00C35233" w:rsidRDefault="000B34BC" w:rsidP="00DA4D52">
            <w:pPr>
              <w:rPr>
                <w:rFonts w:ascii="Arial Narrow" w:hAnsi="Arial Narrow"/>
                <w:sz w:val="20"/>
              </w:rPr>
            </w:pPr>
          </w:p>
          <w:p w:rsidR="000B34BC" w:rsidRPr="00C35233" w:rsidRDefault="000B34BC" w:rsidP="00DA4D52">
            <w:pPr>
              <w:rPr>
                <w:rFonts w:ascii="Arial Narrow" w:hAnsi="Arial Narrow"/>
                <w:sz w:val="20"/>
              </w:rPr>
            </w:pPr>
            <w:r w:rsidRPr="00C35233">
              <w:rPr>
                <w:rFonts w:ascii="Arial Narrow" w:hAnsi="Arial Narrow"/>
                <w:sz w:val="20"/>
              </w:rPr>
              <w:t xml:space="preserve">Patient must have failed treatment with </w:t>
            </w:r>
            <w:proofErr w:type="spellStart"/>
            <w:r w:rsidRPr="00C35233">
              <w:rPr>
                <w:rFonts w:ascii="Arial Narrow" w:hAnsi="Arial Narrow"/>
                <w:sz w:val="20"/>
              </w:rPr>
              <w:t>docetaxel</w:t>
            </w:r>
            <w:proofErr w:type="spellEnd"/>
            <w:r w:rsidRPr="00C35233">
              <w:rPr>
                <w:rFonts w:ascii="Arial Narrow" w:hAnsi="Arial Narrow"/>
                <w:sz w:val="20"/>
              </w:rPr>
              <w:t xml:space="preserve"> due to resistance or intolerance</w:t>
            </w:r>
          </w:p>
          <w:p w:rsidR="000B34BC" w:rsidRPr="00C35233" w:rsidRDefault="000B34BC" w:rsidP="00DA4D52">
            <w:pPr>
              <w:rPr>
                <w:rFonts w:ascii="Arial Narrow" w:hAnsi="Arial Narrow"/>
                <w:sz w:val="20"/>
              </w:rPr>
            </w:pPr>
          </w:p>
          <w:p w:rsidR="000B34BC" w:rsidRPr="00C35233" w:rsidRDefault="000B34BC" w:rsidP="00DA4D52">
            <w:pPr>
              <w:rPr>
                <w:rFonts w:ascii="Arial Narrow" w:hAnsi="Arial Narrow"/>
                <w:sz w:val="20"/>
              </w:rPr>
            </w:pPr>
            <w:r w:rsidRPr="00C35233">
              <w:rPr>
                <w:rFonts w:ascii="Arial Narrow" w:hAnsi="Arial Narrow"/>
                <w:sz w:val="20"/>
              </w:rPr>
              <w:t>AND</w:t>
            </w:r>
          </w:p>
          <w:p w:rsidR="000B34BC" w:rsidRPr="00C35233" w:rsidRDefault="000B34BC" w:rsidP="00DA4D52">
            <w:pPr>
              <w:rPr>
                <w:rFonts w:ascii="Arial Narrow" w:hAnsi="Arial Narrow"/>
                <w:sz w:val="20"/>
              </w:rPr>
            </w:pPr>
          </w:p>
          <w:p w:rsidR="000B34BC" w:rsidRPr="00C35233" w:rsidRDefault="000B34BC" w:rsidP="00DA4D52">
            <w:pPr>
              <w:rPr>
                <w:rFonts w:ascii="Arial Narrow" w:hAnsi="Arial Narrow"/>
                <w:sz w:val="20"/>
              </w:rPr>
            </w:pPr>
            <w:r w:rsidRPr="00C35233">
              <w:rPr>
                <w:rFonts w:ascii="Arial Narrow" w:hAnsi="Arial Narrow"/>
                <w:sz w:val="20"/>
              </w:rPr>
              <w:t>Patient must have a WHO performance status of 2 or less</w:t>
            </w:r>
          </w:p>
          <w:p w:rsidR="000B34BC" w:rsidRPr="00C35233" w:rsidRDefault="000B34BC" w:rsidP="00DA4D52">
            <w:pPr>
              <w:rPr>
                <w:rFonts w:ascii="Arial Narrow" w:hAnsi="Arial Narrow"/>
                <w:sz w:val="20"/>
              </w:rPr>
            </w:pPr>
          </w:p>
          <w:p w:rsidR="000B34BC" w:rsidRPr="00C35233" w:rsidRDefault="000B34BC" w:rsidP="00DA4D52">
            <w:pPr>
              <w:rPr>
                <w:rFonts w:ascii="Arial Narrow" w:hAnsi="Arial Narrow"/>
                <w:sz w:val="20"/>
              </w:rPr>
            </w:pPr>
            <w:r w:rsidRPr="00C35233">
              <w:rPr>
                <w:rFonts w:ascii="Arial Narrow" w:hAnsi="Arial Narrow"/>
                <w:sz w:val="20"/>
              </w:rPr>
              <w:t>AND</w:t>
            </w:r>
          </w:p>
          <w:p w:rsidR="000B34BC" w:rsidRPr="00C35233" w:rsidRDefault="000B34BC" w:rsidP="00DA4D52">
            <w:pPr>
              <w:rPr>
                <w:rFonts w:ascii="Arial Narrow" w:hAnsi="Arial Narrow"/>
                <w:sz w:val="20"/>
              </w:rPr>
            </w:pPr>
          </w:p>
          <w:p w:rsidR="000B34BC" w:rsidRPr="00C35233" w:rsidRDefault="000B34BC" w:rsidP="00DA4D52">
            <w:pPr>
              <w:rPr>
                <w:rFonts w:ascii="Arial Narrow" w:hAnsi="Arial Narrow"/>
                <w:sz w:val="20"/>
              </w:rPr>
            </w:pPr>
            <w:r w:rsidRPr="00C35233">
              <w:rPr>
                <w:rFonts w:ascii="Arial Narrow" w:hAnsi="Arial Narrow"/>
                <w:sz w:val="20"/>
              </w:rPr>
              <w:t>Patient must not receive PBS-subsidised enzalutamide if progressive disease develops while on enzalutamide.</w:t>
            </w:r>
          </w:p>
        </w:tc>
      </w:tr>
    </w:tbl>
    <w:p w:rsidR="000B34BC" w:rsidRPr="00C35233" w:rsidRDefault="00C35233" w:rsidP="000B34BC">
      <w:pPr>
        <w:tabs>
          <w:tab w:val="left" w:pos="180"/>
        </w:tabs>
        <w:rPr>
          <w:rFonts w:ascii="Arial Narrow" w:hAnsi="Arial Narrow"/>
          <w:sz w:val="18"/>
          <w:szCs w:val="18"/>
        </w:rPr>
      </w:pPr>
      <w:r>
        <w:rPr>
          <w:rFonts w:ascii="Arial Narrow" w:hAnsi="Arial Narrow"/>
          <w:sz w:val="18"/>
          <w:szCs w:val="18"/>
        </w:rPr>
        <w:tab/>
      </w:r>
      <w:r>
        <w:rPr>
          <w:rFonts w:ascii="Arial Narrow" w:hAnsi="Arial Narrow"/>
          <w:sz w:val="18"/>
          <w:szCs w:val="18"/>
        </w:rPr>
        <w:tab/>
      </w:r>
      <w:r w:rsidR="000B34BC" w:rsidRPr="00C35233">
        <w:rPr>
          <w:rFonts w:ascii="Arial Narrow" w:hAnsi="Arial Narrow"/>
          <w:sz w:val="18"/>
          <w:szCs w:val="18"/>
        </w:rPr>
        <w:t xml:space="preserve"> </w:t>
      </w:r>
    </w:p>
    <w:p w:rsidR="002F4D39" w:rsidRPr="00C35233" w:rsidRDefault="002F4D39" w:rsidP="002F4D39">
      <w:pPr>
        <w:pStyle w:val="ListParagraph"/>
        <w:rPr>
          <w:i/>
          <w:szCs w:val="22"/>
        </w:rPr>
      </w:pPr>
    </w:p>
    <w:p w:rsidR="000B34BC" w:rsidRPr="00B95D3E" w:rsidRDefault="000B34BC" w:rsidP="00B95D3E">
      <w:pPr>
        <w:pStyle w:val="ListParagraph"/>
        <w:widowControl/>
        <w:numPr>
          <w:ilvl w:val="1"/>
          <w:numId w:val="2"/>
        </w:numPr>
        <w:rPr>
          <w:szCs w:val="22"/>
        </w:rPr>
      </w:pPr>
      <w:r w:rsidRPr="00C35233">
        <w:t xml:space="preserve">The PSCR (p5) agreed with the recommendation in the Commentary that </w:t>
      </w:r>
      <w:r w:rsidRPr="00B95D3E">
        <w:rPr>
          <w:iCs/>
        </w:rPr>
        <w:t xml:space="preserve">a </w:t>
      </w:r>
      <w:r w:rsidRPr="00B95D3E">
        <w:rPr>
          <w:szCs w:val="22"/>
        </w:rPr>
        <w:t>non-streamlined Authority listing for enzalutamide is appropriate. This would be consistent with the listing for abiraterone. The ESC noted that the c</w:t>
      </w:r>
      <w:r w:rsidRPr="00C35233">
        <w:t xml:space="preserve">ost-offset for prescription processing claimed for enzalutamide will need to be removed from the financial estimates. </w:t>
      </w:r>
    </w:p>
    <w:p w:rsidR="000B34BC" w:rsidRPr="00C35233" w:rsidRDefault="000B34BC" w:rsidP="00324B69">
      <w:pPr>
        <w:pStyle w:val="ListParagraph"/>
        <w:widowControl/>
        <w:rPr>
          <w:i/>
        </w:rPr>
      </w:pPr>
    </w:p>
    <w:p w:rsidR="00226302" w:rsidRPr="00B95D3E" w:rsidRDefault="00226302" w:rsidP="00B95D3E">
      <w:pPr>
        <w:pStyle w:val="ListParagraph"/>
        <w:widowControl/>
        <w:numPr>
          <w:ilvl w:val="1"/>
          <w:numId w:val="2"/>
        </w:numPr>
        <w:rPr>
          <w:szCs w:val="22"/>
        </w:rPr>
      </w:pPr>
      <w:r w:rsidRPr="00B95D3E">
        <w:rPr>
          <w:szCs w:val="22"/>
        </w:rPr>
        <w:t xml:space="preserve">Given the draft PI states that the efficacy of enzalutamide in patients who have previously received abiraterone has not been studied, the Commentary suggests the PBAC consider including Prescriber Instructions in the restriction to prevent subsidised use of enzalutamide in patients who have experienced disease progression following treatment with PBS-subsidised abiraterone. </w:t>
      </w:r>
      <w:r w:rsidRPr="00B95D3E">
        <w:rPr>
          <w:iCs/>
        </w:rPr>
        <w:t xml:space="preserve">The PSCR (p5) </w:t>
      </w:r>
      <w:r w:rsidR="00583B4F" w:rsidRPr="00B95D3E">
        <w:rPr>
          <w:iCs/>
        </w:rPr>
        <w:t>strongly disagreed</w:t>
      </w:r>
      <w:r w:rsidRPr="00B95D3E">
        <w:rPr>
          <w:iCs/>
        </w:rPr>
        <w:t xml:space="preserve"> with the suggestion of restricting sequential use of these agents as “[t]his presupposes that prescribers can identify in which patients each medication is most likely to be effective, no such criteria exist and such a restriction would be unusual, cruel and manifestly unjust in an end-stage disease”. </w:t>
      </w:r>
      <w:r w:rsidR="00583B4F" w:rsidRPr="00B95D3E">
        <w:rPr>
          <w:iCs/>
        </w:rPr>
        <w:t xml:space="preserve">The PSCR (p3) further </w:t>
      </w:r>
      <w:r w:rsidR="00583B4F" w:rsidRPr="00B95D3E">
        <w:rPr>
          <w:iCs/>
        </w:rPr>
        <w:lastRenderedPageBreak/>
        <w:t>highlighted</w:t>
      </w:r>
      <w:r w:rsidRPr="00B95D3E">
        <w:rPr>
          <w:iCs/>
        </w:rPr>
        <w:t xml:space="preserve"> evidence that was presented</w:t>
      </w:r>
      <w:r w:rsidR="00D63674" w:rsidRPr="00B95D3E">
        <w:rPr>
          <w:iCs/>
        </w:rPr>
        <w:t xml:space="preserve"> in Section B.8.3 of the submission, about</w:t>
      </w:r>
      <w:r w:rsidRPr="00B95D3E">
        <w:rPr>
          <w:iCs/>
        </w:rPr>
        <w:t xml:space="preserve"> the efficacy of these agents when the other has failed. The ESC noted that this evidence is based on small observational studies which do not provide </w:t>
      </w:r>
      <w:r w:rsidRPr="00C35233">
        <w:t xml:space="preserve">reliable </w:t>
      </w:r>
      <w:r w:rsidR="000F1626" w:rsidRPr="00C35233">
        <w:t xml:space="preserve">clinical or </w:t>
      </w:r>
      <w:r w:rsidRPr="00C35233">
        <w:t xml:space="preserve">economic evidence for </w:t>
      </w:r>
      <w:r w:rsidR="000F1626" w:rsidRPr="00C35233">
        <w:t>using these agents in a</w:t>
      </w:r>
      <w:r w:rsidRPr="00C35233">
        <w:t xml:space="preserve"> sequential or </w:t>
      </w:r>
      <w:r w:rsidR="000F1626" w:rsidRPr="00C35233">
        <w:t>concomitant fashion</w:t>
      </w:r>
      <w:r w:rsidRPr="00C35233">
        <w:t xml:space="preserve">. </w:t>
      </w:r>
    </w:p>
    <w:p w:rsidR="00324B69" w:rsidRPr="00C35233" w:rsidRDefault="00324B69" w:rsidP="00324B69">
      <w:pPr>
        <w:rPr>
          <w:b/>
          <w:szCs w:val="22"/>
        </w:rPr>
      </w:pPr>
    </w:p>
    <w:p w:rsidR="00324B69" w:rsidRPr="00C35233" w:rsidRDefault="00324B69" w:rsidP="00324B69">
      <w:pPr>
        <w:pStyle w:val="ListParagraph"/>
        <w:ind w:left="709"/>
        <w:rPr>
          <w:i/>
          <w:szCs w:val="22"/>
        </w:rPr>
      </w:pPr>
      <w:r w:rsidRPr="00C35233">
        <w:rPr>
          <w:i/>
          <w:szCs w:val="22"/>
        </w:rPr>
        <w:t>For more detail on PBAC’s view, see section 7 “PBAC outcome”</w:t>
      </w:r>
    </w:p>
    <w:p w:rsidR="00226302" w:rsidRPr="00B95D3E" w:rsidRDefault="00226302" w:rsidP="00B95D3E">
      <w:pPr>
        <w:rPr>
          <w:i/>
          <w:iCs/>
        </w:rPr>
      </w:pPr>
    </w:p>
    <w:p w:rsidR="00B95D3E" w:rsidRPr="00B95D3E" w:rsidRDefault="00B95D3E" w:rsidP="00B95D3E">
      <w:pPr>
        <w:rPr>
          <w:i/>
          <w:iCs/>
        </w:rPr>
      </w:pPr>
    </w:p>
    <w:p w:rsidR="00B95D3E" w:rsidRPr="00407F2D" w:rsidRDefault="00B95D3E" w:rsidP="00B95D3E">
      <w:pPr>
        <w:pStyle w:val="ListParagraph"/>
        <w:widowControl/>
        <w:numPr>
          <w:ilvl w:val="0"/>
          <w:numId w:val="2"/>
        </w:numPr>
        <w:rPr>
          <w:szCs w:val="22"/>
        </w:rPr>
      </w:pPr>
      <w:r w:rsidRPr="00407F2D">
        <w:rPr>
          <w:b/>
          <w:szCs w:val="22"/>
        </w:rPr>
        <w:t>Background</w:t>
      </w:r>
    </w:p>
    <w:p w:rsidR="009C3950" w:rsidRPr="00C35233" w:rsidRDefault="009C3950" w:rsidP="00F70E54"/>
    <w:p w:rsidR="009C3950" w:rsidRPr="00B95D3E" w:rsidRDefault="009C3950" w:rsidP="00B95D3E">
      <w:pPr>
        <w:pStyle w:val="ListParagraph"/>
        <w:widowControl/>
        <w:numPr>
          <w:ilvl w:val="1"/>
          <w:numId w:val="2"/>
        </w:numPr>
        <w:rPr>
          <w:szCs w:val="22"/>
        </w:rPr>
      </w:pPr>
      <w:r w:rsidRPr="00C35233">
        <w:t xml:space="preserve">The submission was made under TGA/PBAC Parallel Process.  At the time of </w:t>
      </w:r>
      <w:r w:rsidR="00324B69" w:rsidRPr="00B95D3E">
        <w:rPr>
          <w:szCs w:val="22"/>
        </w:rPr>
        <w:t>PBAC consideration,</w:t>
      </w:r>
      <w:r w:rsidRPr="00C35233">
        <w:t xml:space="preserve"> </w:t>
      </w:r>
      <w:r w:rsidR="00432EFB" w:rsidRPr="00C35233">
        <w:t>a positive TGA Delegate’s report</w:t>
      </w:r>
      <w:r w:rsidRPr="00C35233">
        <w:t xml:space="preserve"> w</w:t>
      </w:r>
      <w:r w:rsidR="00545918" w:rsidRPr="00C35233">
        <w:t>as</w:t>
      </w:r>
      <w:r w:rsidRPr="00C35233">
        <w:t xml:space="preserve"> </w:t>
      </w:r>
      <w:r w:rsidR="001D019A" w:rsidRPr="00C35233">
        <w:t>received</w:t>
      </w:r>
      <w:r w:rsidRPr="00C35233">
        <w:t xml:space="preserve">.  </w:t>
      </w:r>
    </w:p>
    <w:p w:rsidR="009C3950" w:rsidRPr="00C35233" w:rsidRDefault="001339D7" w:rsidP="001339D7">
      <w:pPr>
        <w:pStyle w:val="ListParagraph"/>
        <w:tabs>
          <w:tab w:val="left" w:pos="5535"/>
        </w:tabs>
        <w:rPr>
          <w:szCs w:val="22"/>
        </w:rPr>
      </w:pPr>
      <w:r w:rsidRPr="00C35233">
        <w:rPr>
          <w:szCs w:val="22"/>
        </w:rPr>
        <w:tab/>
      </w:r>
    </w:p>
    <w:p w:rsidR="00F70E54" w:rsidRPr="00B95D3E" w:rsidRDefault="00F70E54" w:rsidP="00B95D3E">
      <w:pPr>
        <w:pStyle w:val="ListParagraph"/>
        <w:widowControl/>
        <w:numPr>
          <w:ilvl w:val="1"/>
          <w:numId w:val="2"/>
        </w:numPr>
        <w:rPr>
          <w:szCs w:val="22"/>
        </w:rPr>
      </w:pPr>
      <w:r w:rsidRPr="00C35233">
        <w:t xml:space="preserve">Enzalutamide has not previously been considered by the PBAC.  </w:t>
      </w:r>
      <w:proofErr w:type="spellStart"/>
      <w:r w:rsidRPr="00C35233">
        <w:t>Cabazitaxel</w:t>
      </w:r>
      <w:proofErr w:type="spellEnd"/>
      <w:r w:rsidRPr="00C35233">
        <w:t xml:space="preserve"> and </w:t>
      </w:r>
      <w:proofErr w:type="spellStart"/>
      <w:r w:rsidRPr="00C35233">
        <w:t>abiraterone</w:t>
      </w:r>
      <w:proofErr w:type="spellEnd"/>
      <w:r w:rsidRPr="00C35233">
        <w:t xml:space="preserve"> were listed on the PBS for the treatment of patients with </w:t>
      </w:r>
      <w:proofErr w:type="spellStart"/>
      <w:r w:rsidRPr="00C35233">
        <w:t>mCRPC</w:t>
      </w:r>
      <w:proofErr w:type="spellEnd"/>
      <w:r w:rsidRPr="00C35233">
        <w:t xml:space="preserve"> whose disease had progressed following treatment with </w:t>
      </w:r>
      <w:proofErr w:type="spellStart"/>
      <w:r w:rsidRPr="00C35233">
        <w:t>docetaxel</w:t>
      </w:r>
      <w:proofErr w:type="spellEnd"/>
      <w:r w:rsidRPr="00C35233">
        <w:t>, following positive recommendation at the March and November 2012 PBAC meetings</w:t>
      </w:r>
      <w:r w:rsidR="00FB59BA" w:rsidRPr="00C35233">
        <w:t>,</w:t>
      </w:r>
      <w:r w:rsidRPr="00C35233">
        <w:t xml:space="preserve"> respectively.  </w:t>
      </w:r>
    </w:p>
    <w:p w:rsidR="00F70E54" w:rsidRDefault="00F70E54" w:rsidP="00F70E54"/>
    <w:p w:rsidR="00B95D3E" w:rsidRPr="00C35233" w:rsidRDefault="00B95D3E" w:rsidP="00F70E54"/>
    <w:p w:rsidR="00B95D3E" w:rsidRPr="00407F2D" w:rsidRDefault="00B95D3E" w:rsidP="00B95D3E">
      <w:pPr>
        <w:pStyle w:val="ListParagraph"/>
        <w:widowControl/>
        <w:numPr>
          <w:ilvl w:val="0"/>
          <w:numId w:val="2"/>
        </w:numPr>
        <w:rPr>
          <w:b/>
          <w:szCs w:val="22"/>
        </w:rPr>
      </w:pPr>
      <w:r w:rsidRPr="00407F2D">
        <w:rPr>
          <w:b/>
          <w:szCs w:val="22"/>
        </w:rPr>
        <w:t>Clinical place for the proposed therapy</w:t>
      </w:r>
    </w:p>
    <w:p w:rsidR="0001247F" w:rsidRPr="00C35233" w:rsidRDefault="0001247F" w:rsidP="0001247F"/>
    <w:p w:rsidR="0001247F" w:rsidRPr="00B95D3E" w:rsidRDefault="0001247F" w:rsidP="00B95D3E">
      <w:pPr>
        <w:pStyle w:val="ListParagraph"/>
        <w:widowControl/>
        <w:numPr>
          <w:ilvl w:val="1"/>
          <w:numId w:val="2"/>
        </w:numPr>
        <w:rPr>
          <w:szCs w:val="22"/>
        </w:rPr>
      </w:pPr>
      <w:r w:rsidRPr="00C35233">
        <w:t>Metastatic castrate resistant prostate cancer (</w:t>
      </w:r>
      <w:proofErr w:type="spellStart"/>
      <w:r w:rsidRPr="00C35233">
        <w:t>mCRPC</w:t>
      </w:r>
      <w:proofErr w:type="spellEnd"/>
      <w:r w:rsidRPr="00C35233">
        <w:t xml:space="preserve">) is advanced cancer of the prostate gland that has spread to the lymph nodes, bones or other organs of the body and is no longer sensitive to hormonal castration (surgical or medical).  The first-line of treatment for </w:t>
      </w:r>
      <w:proofErr w:type="spellStart"/>
      <w:r w:rsidRPr="00C35233">
        <w:t>mCRPC</w:t>
      </w:r>
      <w:proofErr w:type="spellEnd"/>
      <w:r w:rsidRPr="00C35233">
        <w:t xml:space="preserve"> is </w:t>
      </w:r>
      <w:proofErr w:type="spellStart"/>
      <w:r w:rsidRPr="00C35233">
        <w:t>docetaxel</w:t>
      </w:r>
      <w:proofErr w:type="spellEnd"/>
      <w:r w:rsidRPr="00C35233">
        <w:t xml:space="preserve"> provided chemotherapy is suitable, followed by </w:t>
      </w:r>
      <w:proofErr w:type="spellStart"/>
      <w:r w:rsidRPr="00C35233">
        <w:t>abiraterone</w:t>
      </w:r>
      <w:proofErr w:type="spellEnd"/>
      <w:r w:rsidRPr="00C35233">
        <w:t xml:space="preserve"> or </w:t>
      </w:r>
      <w:proofErr w:type="spellStart"/>
      <w:r w:rsidRPr="00C35233">
        <w:t>cabazitaxel</w:t>
      </w:r>
      <w:proofErr w:type="spellEnd"/>
      <w:r w:rsidRPr="00C35233">
        <w:t xml:space="preserve"> after failure with </w:t>
      </w:r>
      <w:proofErr w:type="spellStart"/>
      <w:r w:rsidRPr="00C35233">
        <w:t>docetaxel</w:t>
      </w:r>
      <w:proofErr w:type="spellEnd"/>
      <w:r w:rsidRPr="00C35233">
        <w:t xml:space="preserve"> therapies. </w:t>
      </w:r>
      <w:r w:rsidRPr="00B95D3E">
        <w:rPr>
          <w:snapToGrid/>
          <w:szCs w:val="22"/>
          <w:lang w:val="en-US" w:eastAsia="en-AU"/>
        </w:rPr>
        <w:t>Enzalutamide is an androgen receptor inhibitor that acts on different steps in the androgen receptor signaling pathway. Enzalutamide has been shown to competitively inhibit androgen binding to androgen receptors, and inhibit androgen receptor nuclear translocation and interaction with DNA.</w:t>
      </w:r>
    </w:p>
    <w:p w:rsidR="004D727B" w:rsidRPr="00B95D3E" w:rsidRDefault="00690201" w:rsidP="00B95D3E">
      <w:pPr>
        <w:pStyle w:val="ListParagraph"/>
        <w:widowControl/>
        <w:numPr>
          <w:ilvl w:val="1"/>
          <w:numId w:val="2"/>
        </w:numPr>
        <w:rPr>
          <w:szCs w:val="22"/>
        </w:rPr>
      </w:pPr>
      <w:r w:rsidRPr="00B95D3E">
        <w:rPr>
          <w:szCs w:val="22"/>
        </w:rPr>
        <w:t xml:space="preserve">Enzalutamide is a proposed third treatment option for </w:t>
      </w:r>
      <w:proofErr w:type="spellStart"/>
      <w:r w:rsidRPr="00B95D3E">
        <w:rPr>
          <w:szCs w:val="22"/>
        </w:rPr>
        <w:t>mCRPC</w:t>
      </w:r>
      <w:proofErr w:type="spellEnd"/>
      <w:r w:rsidRPr="00B95D3E">
        <w:rPr>
          <w:szCs w:val="22"/>
        </w:rPr>
        <w:t xml:space="preserve"> after failure with </w:t>
      </w:r>
      <w:proofErr w:type="spellStart"/>
      <w:r w:rsidRPr="00B95D3E">
        <w:rPr>
          <w:szCs w:val="22"/>
        </w:rPr>
        <w:t>docetaxel</w:t>
      </w:r>
      <w:proofErr w:type="spellEnd"/>
      <w:r w:rsidRPr="00B95D3E">
        <w:rPr>
          <w:szCs w:val="22"/>
        </w:rPr>
        <w:t>.</w:t>
      </w:r>
      <w:r w:rsidR="008F15D5" w:rsidRPr="00B95D3E">
        <w:rPr>
          <w:szCs w:val="22"/>
        </w:rPr>
        <w:t xml:space="preserve"> </w:t>
      </w:r>
      <w:r w:rsidR="00324B69" w:rsidRPr="00B95D3E">
        <w:rPr>
          <w:szCs w:val="22"/>
        </w:rPr>
        <w:t>The PBAC</w:t>
      </w:r>
      <w:r w:rsidR="008F15D5" w:rsidRPr="00B95D3E">
        <w:rPr>
          <w:szCs w:val="22"/>
        </w:rPr>
        <w:t xml:space="preserve"> noted the recent publication of the PREVAIL trial in the New England Journal of Medicine (1 June 2014) which </w:t>
      </w:r>
      <w:r w:rsidR="004920B5" w:rsidRPr="00B95D3E">
        <w:rPr>
          <w:szCs w:val="22"/>
        </w:rPr>
        <w:t>evaluated</w:t>
      </w:r>
      <w:r w:rsidR="008F15D5" w:rsidRPr="00B95D3E">
        <w:rPr>
          <w:szCs w:val="22"/>
        </w:rPr>
        <w:t xml:space="preserve"> the effectiveness of </w:t>
      </w:r>
      <w:proofErr w:type="spellStart"/>
      <w:r w:rsidR="008F15D5" w:rsidRPr="00B95D3E">
        <w:rPr>
          <w:szCs w:val="22"/>
        </w:rPr>
        <w:t>enzalutamide</w:t>
      </w:r>
      <w:proofErr w:type="spellEnd"/>
      <w:r w:rsidR="008F15D5" w:rsidRPr="00B95D3E">
        <w:rPr>
          <w:szCs w:val="22"/>
        </w:rPr>
        <w:t xml:space="preserve"> in the pre-</w:t>
      </w:r>
      <w:proofErr w:type="spellStart"/>
      <w:r w:rsidR="008F15D5" w:rsidRPr="00B95D3E">
        <w:rPr>
          <w:szCs w:val="22"/>
        </w:rPr>
        <w:t>docetaxel</w:t>
      </w:r>
      <w:proofErr w:type="spellEnd"/>
      <w:r w:rsidR="008F15D5" w:rsidRPr="00B95D3E">
        <w:rPr>
          <w:szCs w:val="22"/>
        </w:rPr>
        <w:t xml:space="preserve"> setting</w:t>
      </w:r>
      <w:r w:rsidR="00720A56" w:rsidRPr="00B95D3E">
        <w:rPr>
          <w:szCs w:val="22"/>
        </w:rPr>
        <w:t xml:space="preserve"> vs placebo</w:t>
      </w:r>
      <w:r w:rsidR="008F15D5" w:rsidRPr="00B95D3E">
        <w:rPr>
          <w:szCs w:val="22"/>
        </w:rPr>
        <w:t>.</w:t>
      </w:r>
    </w:p>
    <w:p w:rsidR="00324B69" w:rsidRPr="00C35233" w:rsidRDefault="00324B69" w:rsidP="00324B69">
      <w:pPr>
        <w:pStyle w:val="ListParagraph"/>
        <w:rPr>
          <w:szCs w:val="22"/>
        </w:rPr>
      </w:pPr>
    </w:p>
    <w:p w:rsidR="00324B69" w:rsidRPr="00C35233" w:rsidRDefault="00324B69" w:rsidP="00324B69">
      <w:pPr>
        <w:pStyle w:val="ListParagraph"/>
        <w:rPr>
          <w:i/>
          <w:szCs w:val="22"/>
        </w:rPr>
      </w:pPr>
      <w:r w:rsidRPr="00C35233">
        <w:rPr>
          <w:i/>
          <w:szCs w:val="22"/>
        </w:rPr>
        <w:t>For more detail on PBAC’s view, see section 7 “PBAC outcome”</w:t>
      </w:r>
    </w:p>
    <w:p w:rsidR="002F4D39" w:rsidRDefault="002F4D39" w:rsidP="002F4D39">
      <w:pPr>
        <w:pStyle w:val="ListParagraph"/>
        <w:rPr>
          <w:i/>
          <w:iCs/>
        </w:rPr>
      </w:pPr>
    </w:p>
    <w:p w:rsidR="00B95D3E" w:rsidRPr="00C35233" w:rsidRDefault="00B95D3E" w:rsidP="002F4D39">
      <w:pPr>
        <w:pStyle w:val="ListParagraph"/>
        <w:rPr>
          <w:i/>
          <w:iCs/>
        </w:rPr>
      </w:pPr>
    </w:p>
    <w:p w:rsidR="00B95D3E" w:rsidRPr="00407F2D" w:rsidRDefault="00B95D3E" w:rsidP="00B95D3E">
      <w:pPr>
        <w:pStyle w:val="Header"/>
        <w:widowControl/>
        <w:numPr>
          <w:ilvl w:val="0"/>
          <w:numId w:val="2"/>
        </w:numPr>
        <w:tabs>
          <w:tab w:val="clear" w:pos="4513"/>
          <w:tab w:val="clear" w:pos="9026"/>
        </w:tabs>
        <w:rPr>
          <w:b/>
          <w:szCs w:val="22"/>
        </w:rPr>
      </w:pPr>
      <w:r w:rsidRPr="00407F2D">
        <w:rPr>
          <w:b/>
          <w:szCs w:val="22"/>
        </w:rPr>
        <w:t>Comparator</w:t>
      </w:r>
    </w:p>
    <w:p w:rsidR="00476EFD" w:rsidRPr="00C35233" w:rsidRDefault="00476EFD" w:rsidP="00476EFD"/>
    <w:p w:rsidR="00324B69" w:rsidRPr="00B95D3E" w:rsidRDefault="00F42E60" w:rsidP="00B95D3E">
      <w:pPr>
        <w:pStyle w:val="ListParagraph"/>
        <w:widowControl/>
        <w:numPr>
          <w:ilvl w:val="1"/>
          <w:numId w:val="2"/>
        </w:numPr>
        <w:rPr>
          <w:szCs w:val="22"/>
        </w:rPr>
      </w:pPr>
      <w:r w:rsidRPr="00B95D3E">
        <w:t xml:space="preserve">The submission nominated abiraterone as the comparator. </w:t>
      </w:r>
    </w:p>
    <w:p w:rsidR="004D6418" w:rsidRPr="00C35233" w:rsidRDefault="004D6418" w:rsidP="004D6418"/>
    <w:p w:rsidR="00814842" w:rsidRPr="00B95D3E" w:rsidRDefault="004D6418" w:rsidP="00814842">
      <w:pPr>
        <w:pStyle w:val="ListParagraph"/>
        <w:widowControl/>
        <w:numPr>
          <w:ilvl w:val="1"/>
          <w:numId w:val="2"/>
        </w:numPr>
        <w:rPr>
          <w:szCs w:val="22"/>
        </w:rPr>
      </w:pPr>
      <w:r w:rsidRPr="00B95D3E">
        <w:t xml:space="preserve">The ESC accepted the comparator on the basis of </w:t>
      </w:r>
      <w:r w:rsidRPr="00B95D3E">
        <w:rPr>
          <w:iCs/>
        </w:rPr>
        <w:t>the intended place in therapy of enzalutamide.  However, the ESC noted that there is potential for use of enzalutamide beyond the requested restriction in earlier disease, where it may replace other anti-androgens (</w:t>
      </w:r>
      <w:proofErr w:type="spellStart"/>
      <w:r w:rsidRPr="00B95D3E">
        <w:rPr>
          <w:iCs/>
        </w:rPr>
        <w:t>bicalutamide</w:t>
      </w:r>
      <w:proofErr w:type="spellEnd"/>
      <w:r w:rsidRPr="00B95D3E">
        <w:rPr>
          <w:iCs/>
        </w:rPr>
        <w:t xml:space="preserve">, </w:t>
      </w:r>
      <w:proofErr w:type="spellStart"/>
      <w:r w:rsidRPr="00B95D3E">
        <w:rPr>
          <w:iCs/>
        </w:rPr>
        <w:t>flutamide</w:t>
      </w:r>
      <w:proofErr w:type="spellEnd"/>
      <w:r w:rsidRPr="00B95D3E">
        <w:rPr>
          <w:iCs/>
        </w:rPr>
        <w:t xml:space="preserve"> and </w:t>
      </w:r>
      <w:proofErr w:type="spellStart"/>
      <w:r w:rsidRPr="00B95D3E">
        <w:rPr>
          <w:iCs/>
        </w:rPr>
        <w:t>nilutamide</w:t>
      </w:r>
      <w:proofErr w:type="spellEnd"/>
      <w:r w:rsidRPr="00B95D3E">
        <w:rPr>
          <w:iCs/>
        </w:rPr>
        <w:t>).</w:t>
      </w:r>
      <w:r w:rsidR="00814842" w:rsidRPr="00814842">
        <w:rPr>
          <w:rStyle w:val="CommentReference"/>
          <w:rFonts w:cs="Times New Roman"/>
        </w:rPr>
        <w:t xml:space="preserve"> </w:t>
      </w:r>
      <w:r w:rsidR="00D17F15" w:rsidRPr="00814842">
        <w:rPr>
          <w:rStyle w:val="CommentReference"/>
          <w:rFonts w:cs="Times New Roman"/>
        </w:rPr>
        <w:t xml:space="preserve"> </w:t>
      </w:r>
    </w:p>
    <w:p w:rsidR="00D27ADC" w:rsidRPr="00C35233" w:rsidRDefault="00D27ADC" w:rsidP="00D27ADC"/>
    <w:p w:rsidR="00324B69" w:rsidRPr="00C35233" w:rsidRDefault="00324B69" w:rsidP="00324B69">
      <w:pPr>
        <w:pStyle w:val="ListParagraph"/>
        <w:ind w:left="709"/>
        <w:rPr>
          <w:i/>
          <w:szCs w:val="22"/>
        </w:rPr>
      </w:pPr>
      <w:r w:rsidRPr="00C35233">
        <w:rPr>
          <w:i/>
          <w:szCs w:val="22"/>
        </w:rPr>
        <w:t>For more detail on PBAC’s view, see section 7 “PBAC outcome”</w:t>
      </w:r>
    </w:p>
    <w:p w:rsidR="003E4440" w:rsidRDefault="003E4440" w:rsidP="003E4440">
      <w:pPr>
        <w:rPr>
          <w:szCs w:val="22"/>
        </w:rPr>
      </w:pPr>
    </w:p>
    <w:p w:rsidR="00B95D3E" w:rsidRPr="00C35233" w:rsidRDefault="00B95D3E" w:rsidP="003E4440">
      <w:pPr>
        <w:rPr>
          <w:szCs w:val="22"/>
        </w:rPr>
      </w:pPr>
    </w:p>
    <w:p w:rsidR="00B95D3E" w:rsidRPr="00407F2D" w:rsidRDefault="00B95D3E" w:rsidP="00B95D3E">
      <w:pPr>
        <w:pStyle w:val="Header"/>
        <w:widowControl/>
        <w:numPr>
          <w:ilvl w:val="0"/>
          <w:numId w:val="2"/>
        </w:numPr>
        <w:tabs>
          <w:tab w:val="clear" w:pos="4513"/>
          <w:tab w:val="clear" w:pos="9026"/>
        </w:tabs>
        <w:rPr>
          <w:b/>
          <w:szCs w:val="22"/>
        </w:rPr>
      </w:pPr>
      <w:r>
        <w:rPr>
          <w:b/>
          <w:szCs w:val="22"/>
        </w:rPr>
        <w:t>C</w:t>
      </w:r>
      <w:r w:rsidRPr="00407F2D">
        <w:rPr>
          <w:b/>
          <w:szCs w:val="22"/>
        </w:rPr>
        <w:t>onsideration of the evidence</w:t>
      </w:r>
    </w:p>
    <w:p w:rsidR="00D27ADC" w:rsidRPr="00C35233" w:rsidRDefault="00D27ADC" w:rsidP="00D27ADC"/>
    <w:p w:rsidR="00D27ADC" w:rsidRPr="00C35233" w:rsidRDefault="00D27ADC" w:rsidP="00D27ADC">
      <w:pPr>
        <w:rPr>
          <w:b/>
          <w:i/>
          <w:szCs w:val="22"/>
        </w:rPr>
      </w:pPr>
      <w:r w:rsidRPr="00C35233">
        <w:rPr>
          <w:b/>
          <w:i/>
          <w:szCs w:val="22"/>
        </w:rPr>
        <w:t>Sponsor hearing</w:t>
      </w:r>
    </w:p>
    <w:p w:rsidR="00D27ADC" w:rsidRPr="00C35233" w:rsidRDefault="00D27ADC" w:rsidP="00D27ADC">
      <w:pPr>
        <w:ind w:left="709"/>
        <w:rPr>
          <w:b/>
          <w:szCs w:val="22"/>
        </w:rPr>
      </w:pPr>
    </w:p>
    <w:p w:rsidR="00D27ADC" w:rsidRPr="00B95D3E" w:rsidRDefault="005D1AB7" w:rsidP="00B95D3E">
      <w:pPr>
        <w:pStyle w:val="ListParagraph"/>
        <w:widowControl/>
        <w:numPr>
          <w:ilvl w:val="1"/>
          <w:numId w:val="2"/>
        </w:numPr>
        <w:rPr>
          <w:szCs w:val="22"/>
        </w:rPr>
      </w:pPr>
      <w:r>
        <w:rPr>
          <w:szCs w:val="22"/>
        </w:rPr>
        <w:t>There was no hearing for this item</w:t>
      </w:r>
      <w:r w:rsidR="00466121" w:rsidRPr="00B95D3E">
        <w:rPr>
          <w:szCs w:val="22"/>
        </w:rPr>
        <w:t>.</w:t>
      </w:r>
    </w:p>
    <w:p w:rsidR="00D27ADC" w:rsidRPr="00C35233" w:rsidRDefault="00D27ADC" w:rsidP="00D27ADC">
      <w:pPr>
        <w:rPr>
          <w:szCs w:val="22"/>
        </w:rPr>
      </w:pPr>
    </w:p>
    <w:p w:rsidR="00D27ADC" w:rsidRPr="00C35233" w:rsidRDefault="00D27ADC" w:rsidP="00D27ADC">
      <w:pPr>
        <w:rPr>
          <w:b/>
          <w:i/>
          <w:szCs w:val="22"/>
        </w:rPr>
      </w:pPr>
      <w:r w:rsidRPr="00C35233">
        <w:rPr>
          <w:b/>
          <w:i/>
          <w:szCs w:val="22"/>
        </w:rPr>
        <w:t>Consumer comments</w:t>
      </w:r>
    </w:p>
    <w:p w:rsidR="00D27ADC" w:rsidRPr="00C35233" w:rsidRDefault="00D27ADC" w:rsidP="00D27ADC">
      <w:pPr>
        <w:pStyle w:val="ListParagraph"/>
        <w:ind w:left="709"/>
        <w:rPr>
          <w:szCs w:val="22"/>
        </w:rPr>
      </w:pPr>
    </w:p>
    <w:p w:rsidR="00D27ADC" w:rsidRPr="00B95D3E" w:rsidRDefault="00D27ADC" w:rsidP="00B95D3E">
      <w:pPr>
        <w:pStyle w:val="ListParagraph"/>
        <w:widowControl/>
        <w:numPr>
          <w:ilvl w:val="1"/>
          <w:numId w:val="2"/>
        </w:numPr>
        <w:rPr>
          <w:szCs w:val="22"/>
        </w:rPr>
      </w:pPr>
      <w:r w:rsidRPr="00B95D3E">
        <w:rPr>
          <w:szCs w:val="22"/>
        </w:rPr>
        <w:t>The PBAC noted and welcomed the input from an organisation (1) via the Consumer Comments facility on the PBS website.  The comments described a range</w:t>
      </w:r>
      <w:r w:rsidR="00DA4D52" w:rsidRPr="00B95D3E">
        <w:rPr>
          <w:szCs w:val="22"/>
        </w:rPr>
        <w:t xml:space="preserve"> of benefits of treatment with enzalutamide </w:t>
      </w:r>
      <w:r w:rsidRPr="00B95D3E">
        <w:rPr>
          <w:szCs w:val="22"/>
        </w:rPr>
        <w:t xml:space="preserve">including </w:t>
      </w:r>
      <w:r w:rsidR="00DA4D52" w:rsidRPr="00B95D3E">
        <w:rPr>
          <w:szCs w:val="22"/>
        </w:rPr>
        <w:t xml:space="preserve">improvement in survival and quality of life. </w:t>
      </w:r>
      <w:r w:rsidRPr="00B95D3E">
        <w:rPr>
          <w:szCs w:val="22"/>
        </w:rPr>
        <w:t xml:space="preserve">  </w:t>
      </w:r>
    </w:p>
    <w:p w:rsidR="00D27ADC" w:rsidRPr="00C35233" w:rsidRDefault="00D27ADC" w:rsidP="00D27ADC">
      <w:pPr>
        <w:rPr>
          <w:b/>
          <w:szCs w:val="22"/>
        </w:rPr>
      </w:pPr>
    </w:p>
    <w:p w:rsidR="00D27ADC" w:rsidRPr="00C35233" w:rsidRDefault="00D27ADC" w:rsidP="00D27ADC">
      <w:pPr>
        <w:pStyle w:val="ListParagraph"/>
        <w:ind w:left="709"/>
        <w:rPr>
          <w:i/>
          <w:szCs w:val="22"/>
        </w:rPr>
      </w:pPr>
      <w:r w:rsidRPr="00C35233">
        <w:rPr>
          <w:i/>
          <w:szCs w:val="22"/>
        </w:rPr>
        <w:t>For more detail on PBAC’s view, see section 7 “PBAC outcome”</w:t>
      </w:r>
    </w:p>
    <w:p w:rsidR="003E4440" w:rsidRPr="00C35233" w:rsidRDefault="003E4440" w:rsidP="003E4440"/>
    <w:p w:rsidR="003E4440" w:rsidRPr="00C35233" w:rsidRDefault="003E4440" w:rsidP="003E4440">
      <w:pPr>
        <w:pStyle w:val="Heading2"/>
      </w:pPr>
      <w:bookmarkStart w:id="8" w:name="_Toc386015340"/>
      <w:bookmarkStart w:id="9" w:name="_Toc387918015"/>
      <w:r w:rsidRPr="00C35233">
        <w:t>Clinical trials</w:t>
      </w:r>
      <w:bookmarkEnd w:id="8"/>
      <w:bookmarkEnd w:id="9"/>
    </w:p>
    <w:p w:rsidR="003E4440" w:rsidRPr="00C35233" w:rsidRDefault="003E4440" w:rsidP="003E4440">
      <w:pPr>
        <w:rPr>
          <w:szCs w:val="22"/>
        </w:rPr>
      </w:pPr>
    </w:p>
    <w:p w:rsidR="00690201" w:rsidRPr="00B95D3E" w:rsidRDefault="003E4440" w:rsidP="00B95D3E">
      <w:pPr>
        <w:pStyle w:val="ListParagraph"/>
        <w:widowControl/>
        <w:numPr>
          <w:ilvl w:val="1"/>
          <w:numId w:val="2"/>
        </w:numPr>
        <w:rPr>
          <w:szCs w:val="22"/>
        </w:rPr>
      </w:pPr>
      <w:r w:rsidRPr="00C35233">
        <w:t xml:space="preserve">The submission </w:t>
      </w:r>
      <w:r w:rsidR="00292DB2" w:rsidRPr="00C35233">
        <w:t>wa</w:t>
      </w:r>
      <w:r w:rsidRPr="00C35233">
        <w:t>s based on</w:t>
      </w:r>
      <w:r w:rsidR="00763CBA" w:rsidRPr="00C35233">
        <w:t>:</w:t>
      </w:r>
      <w:r w:rsidRPr="00B95D3E">
        <w:rPr>
          <w:color w:val="3366FF"/>
        </w:rPr>
        <w:t xml:space="preserve"> </w:t>
      </w:r>
    </w:p>
    <w:p w:rsidR="00763CBA" w:rsidRPr="00C35233" w:rsidRDefault="00690201" w:rsidP="00710E3C">
      <w:pPr>
        <w:pStyle w:val="ListParagraph"/>
        <w:widowControl/>
        <w:numPr>
          <w:ilvl w:val="0"/>
          <w:numId w:val="8"/>
        </w:numPr>
        <w:ind w:left="1080"/>
        <w:rPr>
          <w:szCs w:val="22"/>
        </w:rPr>
      </w:pPr>
      <w:r w:rsidRPr="00C35233">
        <w:t xml:space="preserve">one direct randomised trial comparing enzalutamide ± prednisone/prednisolone </w:t>
      </w:r>
      <w:r w:rsidR="00292DB2" w:rsidRPr="00C35233">
        <w:t xml:space="preserve"> </w:t>
      </w:r>
      <w:r w:rsidRPr="00C35233">
        <w:t>with placebo ± prednisone/prednisolone (AFFIRM</w:t>
      </w:r>
      <w:r w:rsidR="00763CBA" w:rsidRPr="00C35233">
        <w:t>, n=1199</w:t>
      </w:r>
      <w:r w:rsidRPr="00C35233">
        <w:t xml:space="preserve">); and </w:t>
      </w:r>
    </w:p>
    <w:p w:rsidR="00253469" w:rsidRPr="00C35233" w:rsidRDefault="00690201" w:rsidP="00253469">
      <w:pPr>
        <w:pStyle w:val="ListParagraph"/>
        <w:widowControl/>
        <w:numPr>
          <w:ilvl w:val="0"/>
          <w:numId w:val="8"/>
        </w:numPr>
        <w:tabs>
          <w:tab w:val="left" w:pos="1134"/>
        </w:tabs>
        <w:ind w:left="1134" w:hanging="425"/>
        <w:rPr>
          <w:szCs w:val="22"/>
        </w:rPr>
      </w:pPr>
      <w:proofErr w:type="gramStart"/>
      <w:r w:rsidRPr="00C35233">
        <w:t>one</w:t>
      </w:r>
      <w:proofErr w:type="gramEnd"/>
      <w:r w:rsidRPr="00C35233">
        <w:t xml:space="preserve"> direct randomised trial comparing abiraterone + prednisone/prednisolone with placebo + prednisone/prednisolone (Trial 301,</w:t>
      </w:r>
      <w:r w:rsidR="00763CBA" w:rsidRPr="00C35233">
        <w:rPr>
          <w:iCs/>
        </w:rPr>
        <w:t xml:space="preserve"> n=1195</w:t>
      </w:r>
      <w:r w:rsidR="004B1B96" w:rsidRPr="00C35233">
        <w:rPr>
          <w:iCs/>
        </w:rPr>
        <w:t>).</w:t>
      </w:r>
      <w:r w:rsidR="00E350E8" w:rsidRPr="00C35233">
        <w:t xml:space="preserve">The abiraterone data from Trial 301 are the same as those considered by the PBAC for the abiraterone submissions </w:t>
      </w:r>
      <w:r w:rsidR="00F53992" w:rsidRPr="00C35233">
        <w:t>i.e.</w:t>
      </w:r>
      <w:r w:rsidR="00E350E8" w:rsidRPr="00C35233">
        <w:t>, pre-cross-over analysis in which the constant proportional hazards assumptions are satisfied.</w:t>
      </w:r>
    </w:p>
    <w:p w:rsidR="00253469" w:rsidRPr="00C35233" w:rsidRDefault="00253469" w:rsidP="00253469">
      <w:pPr>
        <w:pStyle w:val="ListParagraph"/>
        <w:widowControl/>
        <w:tabs>
          <w:tab w:val="left" w:pos="1134"/>
        </w:tabs>
        <w:ind w:left="1134"/>
      </w:pPr>
    </w:p>
    <w:p w:rsidR="001D1D77" w:rsidRPr="00C35233" w:rsidRDefault="001D1D77" w:rsidP="00253469">
      <w:pPr>
        <w:pStyle w:val="ListParagraph"/>
        <w:widowControl/>
        <w:tabs>
          <w:tab w:val="left" w:pos="709"/>
        </w:tabs>
        <w:ind w:left="709"/>
        <w:rPr>
          <w:szCs w:val="22"/>
        </w:rPr>
      </w:pPr>
      <w:r w:rsidRPr="00C35233">
        <w:rPr>
          <w:szCs w:val="22"/>
        </w:rPr>
        <w:t xml:space="preserve">Although there are differences in the common reference between the two trials (placebo with optional (AFFIRM) or mandatory (Trial 301) prednisone/prednisolone), the indirect comparison of the ITT populations is considered to be appropriate.  The submission also presents </w:t>
      </w:r>
      <w:r w:rsidRPr="00C35233">
        <w:rPr>
          <w:iCs/>
          <w:szCs w:val="22"/>
        </w:rPr>
        <w:t xml:space="preserve">post-hoc </w:t>
      </w:r>
      <w:r w:rsidRPr="00C35233">
        <w:rPr>
          <w:szCs w:val="22"/>
        </w:rPr>
        <w:t>sub-group analyses of patients in AFFIRM who did and did not use concomitant corticosteroids.  These analyses are considered to not be as relevant as those reported for the ITT populations, because the population who use concomitant corticosteroids in the AFFIRM trial are likely to be more sick and have a poorer prognosis. The PSCR (p3) argue</w:t>
      </w:r>
      <w:r w:rsidR="004B1B96" w:rsidRPr="00C35233">
        <w:rPr>
          <w:szCs w:val="22"/>
        </w:rPr>
        <w:t>d</w:t>
      </w:r>
      <w:r w:rsidRPr="00C35233">
        <w:rPr>
          <w:szCs w:val="22"/>
        </w:rPr>
        <w:t xml:space="preserve"> that the sub-group analyses are valuable in demonstrating that enzalutamide not only remains effective even in the more difficult to treat population but by providing the option to not co-administer prednisolone which may avoid activating the mutated androgen-receptor causing disease progression. The ESC did not agree with the response and considered that the ITT population is most appropriate for evaluating clinical efficacy given the sub-group analyses was post-hoc and the requested restriction is not limited to patients with more or less difficult to treat disease in the post-</w:t>
      </w:r>
      <w:proofErr w:type="spellStart"/>
      <w:r w:rsidRPr="00C35233">
        <w:rPr>
          <w:szCs w:val="22"/>
        </w:rPr>
        <w:t>docetaxel</w:t>
      </w:r>
      <w:proofErr w:type="spellEnd"/>
      <w:r w:rsidRPr="00C35233">
        <w:rPr>
          <w:szCs w:val="22"/>
        </w:rPr>
        <w:t xml:space="preserve"> setting.</w:t>
      </w:r>
      <w:r w:rsidRPr="00C35233">
        <w:rPr>
          <w:i/>
          <w:szCs w:val="22"/>
        </w:rPr>
        <w:t xml:space="preserve"> </w:t>
      </w:r>
    </w:p>
    <w:p w:rsidR="00466121" w:rsidRPr="00C35233" w:rsidRDefault="00466121" w:rsidP="001D1D77">
      <w:pPr>
        <w:ind w:left="709"/>
        <w:rPr>
          <w:i/>
          <w:szCs w:val="22"/>
        </w:rPr>
      </w:pPr>
    </w:p>
    <w:p w:rsidR="00466121" w:rsidRPr="00C35233" w:rsidRDefault="00466121" w:rsidP="00466121">
      <w:pPr>
        <w:pStyle w:val="ListParagraph"/>
        <w:ind w:left="709"/>
        <w:rPr>
          <w:i/>
          <w:szCs w:val="22"/>
        </w:rPr>
      </w:pPr>
      <w:r w:rsidRPr="00C35233">
        <w:rPr>
          <w:i/>
          <w:szCs w:val="22"/>
        </w:rPr>
        <w:t>For more detail on PBAC’s view, see section 7 “PBAC outcome”</w:t>
      </w:r>
    </w:p>
    <w:p w:rsidR="00C424F5" w:rsidRPr="00C35233" w:rsidRDefault="00C424F5">
      <w:pPr>
        <w:widowControl/>
        <w:jc w:val="left"/>
        <w:rPr>
          <w:szCs w:val="22"/>
        </w:rPr>
      </w:pPr>
    </w:p>
    <w:p w:rsidR="003E4440" w:rsidRPr="00B95D3E" w:rsidRDefault="003E4440" w:rsidP="00B95D3E">
      <w:pPr>
        <w:pStyle w:val="ListParagraph"/>
        <w:widowControl/>
        <w:numPr>
          <w:ilvl w:val="1"/>
          <w:numId w:val="2"/>
        </w:numPr>
        <w:rPr>
          <w:szCs w:val="22"/>
        </w:rPr>
      </w:pPr>
      <w:r w:rsidRPr="00B95D3E">
        <w:rPr>
          <w:szCs w:val="22"/>
        </w:rPr>
        <w:t xml:space="preserve">Details of the trials presented in the submission are provided in the table below.  </w:t>
      </w:r>
    </w:p>
    <w:p w:rsidR="00FD446D" w:rsidRPr="00C35233" w:rsidRDefault="00FD446D" w:rsidP="0025534B"/>
    <w:p w:rsidR="003E4440" w:rsidRPr="00C35233" w:rsidRDefault="003E4440" w:rsidP="0095094B">
      <w:pPr>
        <w:ind w:firstLine="709"/>
        <w:rPr>
          <w:rStyle w:val="CommentReference"/>
        </w:rPr>
      </w:pPr>
      <w:r w:rsidRPr="00C35233">
        <w:rPr>
          <w:rStyle w:val="CommentReference"/>
        </w:rPr>
        <w:t>Trials and associated reports presented in the submission</w:t>
      </w:r>
    </w:p>
    <w:tbl>
      <w:tblPr>
        <w:tblW w:w="4632"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submission"/>
      </w:tblPr>
      <w:tblGrid>
        <w:gridCol w:w="667"/>
        <w:gridCol w:w="4747"/>
        <w:gridCol w:w="3000"/>
      </w:tblGrid>
      <w:tr w:rsidR="008338C5" w:rsidRPr="00C35233" w:rsidTr="00C35233">
        <w:tc>
          <w:tcPr>
            <w:tcW w:w="45" w:type="pct"/>
          </w:tcPr>
          <w:p w:rsidR="008338C5" w:rsidRPr="00C35233" w:rsidRDefault="008338C5" w:rsidP="00FB59BA">
            <w:pPr>
              <w:jc w:val="left"/>
              <w:rPr>
                <w:rFonts w:ascii="Arial Narrow" w:hAnsi="Arial Narrow"/>
                <w:b/>
                <w:sz w:val="20"/>
              </w:rPr>
            </w:pPr>
            <w:r w:rsidRPr="00C35233">
              <w:rPr>
                <w:rFonts w:ascii="Arial Narrow" w:hAnsi="Arial Narrow"/>
                <w:b/>
                <w:sz w:val="20"/>
              </w:rPr>
              <w:t>Trial ID</w:t>
            </w:r>
          </w:p>
        </w:tc>
        <w:tc>
          <w:tcPr>
            <w:tcW w:w="2997" w:type="pct"/>
          </w:tcPr>
          <w:p w:rsidR="008338C5" w:rsidRPr="00C35233" w:rsidRDefault="008338C5" w:rsidP="00FB59BA">
            <w:pPr>
              <w:jc w:val="center"/>
              <w:rPr>
                <w:rFonts w:ascii="Arial Narrow" w:hAnsi="Arial Narrow"/>
                <w:b/>
                <w:sz w:val="20"/>
              </w:rPr>
            </w:pPr>
            <w:r w:rsidRPr="00C35233">
              <w:rPr>
                <w:rFonts w:ascii="Arial Narrow" w:hAnsi="Arial Narrow"/>
                <w:b/>
                <w:sz w:val="20"/>
              </w:rPr>
              <w:t>Protocol title/ Publication title</w:t>
            </w:r>
          </w:p>
        </w:tc>
        <w:tc>
          <w:tcPr>
            <w:tcW w:w="1958" w:type="pct"/>
          </w:tcPr>
          <w:p w:rsidR="008338C5" w:rsidRPr="00C35233" w:rsidRDefault="008338C5" w:rsidP="00FB59BA">
            <w:pPr>
              <w:jc w:val="center"/>
              <w:rPr>
                <w:rFonts w:ascii="Arial Narrow" w:hAnsi="Arial Narrow"/>
                <w:b/>
                <w:sz w:val="20"/>
              </w:rPr>
            </w:pPr>
            <w:r w:rsidRPr="00C35233">
              <w:rPr>
                <w:rFonts w:ascii="Arial Narrow" w:hAnsi="Arial Narrow"/>
                <w:b/>
                <w:sz w:val="20"/>
              </w:rPr>
              <w:t>Publication citation</w:t>
            </w:r>
          </w:p>
        </w:tc>
      </w:tr>
      <w:tr w:rsidR="008338C5" w:rsidRPr="00C35233" w:rsidTr="00C35233">
        <w:tc>
          <w:tcPr>
            <w:tcW w:w="5000" w:type="pct"/>
            <w:gridSpan w:val="3"/>
          </w:tcPr>
          <w:p w:rsidR="008338C5" w:rsidRPr="00C35233" w:rsidRDefault="008338C5" w:rsidP="00FB59BA">
            <w:pPr>
              <w:jc w:val="left"/>
              <w:rPr>
                <w:rFonts w:ascii="Arial Narrow" w:hAnsi="Arial Narrow"/>
                <w:b/>
                <w:sz w:val="20"/>
              </w:rPr>
            </w:pPr>
            <w:r w:rsidRPr="00C35233">
              <w:rPr>
                <w:rFonts w:ascii="Arial Narrow" w:hAnsi="Arial Narrow"/>
                <w:b/>
                <w:sz w:val="20"/>
              </w:rPr>
              <w:t>Direct randomised trials</w:t>
            </w:r>
          </w:p>
        </w:tc>
      </w:tr>
      <w:tr w:rsidR="008338C5" w:rsidRPr="00C35233" w:rsidTr="00C35233">
        <w:tc>
          <w:tcPr>
            <w:tcW w:w="45" w:type="pct"/>
            <w:vMerge w:val="restart"/>
            <w:vAlign w:val="center"/>
          </w:tcPr>
          <w:p w:rsidR="008338C5" w:rsidRPr="00C35233" w:rsidRDefault="008338C5" w:rsidP="00FB59BA">
            <w:pPr>
              <w:jc w:val="left"/>
              <w:rPr>
                <w:rFonts w:ascii="Arial Narrow" w:hAnsi="Arial Narrow"/>
                <w:sz w:val="20"/>
              </w:rPr>
            </w:pPr>
            <w:r w:rsidRPr="00C35233">
              <w:rPr>
                <w:rFonts w:ascii="Arial Narrow" w:hAnsi="Arial Narrow"/>
                <w:sz w:val="20"/>
              </w:rPr>
              <w:t>AFFIRM</w:t>
            </w: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 xml:space="preserve">AFFIRM: A Multinational Phase </w:t>
            </w:r>
            <w:proofErr w:type="gramStart"/>
            <w:r w:rsidRPr="00C35233">
              <w:rPr>
                <w:rFonts w:ascii="Arial Narrow" w:hAnsi="Arial Narrow"/>
                <w:sz w:val="20"/>
              </w:rPr>
              <w:t>3,</w:t>
            </w:r>
            <w:proofErr w:type="gramEnd"/>
            <w:r w:rsidRPr="00C35233">
              <w:rPr>
                <w:rFonts w:ascii="Arial Narrow" w:hAnsi="Arial Narrow"/>
                <w:sz w:val="20"/>
              </w:rPr>
              <w:t xml:space="preserve"> Randomised, Double-Blind, Placebo-Controlled Efficacy and Safety Study of Oral MDV3100 in Patients with Progressive Castration-Resistant Prostate Cancer Previously Treated with </w:t>
            </w:r>
            <w:proofErr w:type="spellStart"/>
            <w:r w:rsidRPr="00C35233">
              <w:rPr>
                <w:rFonts w:ascii="Arial Narrow" w:hAnsi="Arial Narrow"/>
                <w:sz w:val="20"/>
              </w:rPr>
              <w:t>Docetaxel</w:t>
            </w:r>
            <w:proofErr w:type="spellEnd"/>
            <w:r w:rsidRPr="00C35233">
              <w:rPr>
                <w:rFonts w:ascii="Arial Narrow" w:hAnsi="Arial Narrow"/>
                <w:sz w:val="20"/>
              </w:rPr>
              <w:t>-Based Chemotherapy.</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sz w:val="20"/>
              </w:rPr>
              <w:t>CRPC2; Version 1.0 FINAL – 24 APR 2012</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proofErr w:type="spellStart"/>
            <w:r w:rsidRPr="00C35233">
              <w:rPr>
                <w:rFonts w:ascii="Arial Narrow" w:hAnsi="Arial Narrow"/>
                <w:sz w:val="20"/>
              </w:rPr>
              <w:t>Scher</w:t>
            </w:r>
            <w:proofErr w:type="spellEnd"/>
            <w:r w:rsidRPr="00C35233">
              <w:rPr>
                <w:rFonts w:ascii="Arial Narrow" w:hAnsi="Arial Narrow"/>
                <w:sz w:val="20"/>
              </w:rPr>
              <w:t xml:space="preserve">, H.I., et al. Increased survival with enzalutamide in prostate cancer after chemotherapy. </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The New England Journal of Medicine</w:t>
            </w:r>
            <w:r w:rsidRPr="00C35233">
              <w:rPr>
                <w:rFonts w:ascii="Arial Narrow" w:hAnsi="Arial Narrow"/>
                <w:sz w:val="20"/>
              </w:rPr>
              <w:t xml:space="preserve"> 2012; 367(13): 1187-1197.</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Miller, K., et al. Effect of enzalutamide on health-related quality of life (</w:t>
            </w:r>
            <w:proofErr w:type="spellStart"/>
            <w:r w:rsidRPr="00C35233">
              <w:rPr>
                <w:rFonts w:ascii="Arial Narrow" w:hAnsi="Arial Narrow"/>
                <w:sz w:val="20"/>
              </w:rPr>
              <w:t>hrqol</w:t>
            </w:r>
            <w:proofErr w:type="spellEnd"/>
            <w:r w:rsidRPr="00C35233">
              <w:rPr>
                <w:rFonts w:ascii="Arial Narrow" w:hAnsi="Arial Narrow"/>
                <w:sz w:val="20"/>
              </w:rPr>
              <w:t>) in men with metastatic castration-resistant prostate cancer (</w:t>
            </w:r>
            <w:proofErr w:type="spellStart"/>
            <w:r w:rsidRPr="00C35233">
              <w:rPr>
                <w:rFonts w:ascii="Arial Narrow" w:hAnsi="Arial Narrow"/>
                <w:sz w:val="20"/>
              </w:rPr>
              <w:t>mcrpc</w:t>
            </w:r>
            <w:proofErr w:type="spellEnd"/>
            <w:r w:rsidRPr="00C35233">
              <w:rPr>
                <w:rFonts w:ascii="Arial Narrow" w:hAnsi="Arial Narrow"/>
                <w:sz w:val="20"/>
              </w:rPr>
              <w:t xml:space="preserve">) following </w:t>
            </w:r>
            <w:proofErr w:type="spellStart"/>
            <w:r w:rsidRPr="00C35233">
              <w:rPr>
                <w:rFonts w:ascii="Arial Narrow" w:hAnsi="Arial Narrow"/>
                <w:sz w:val="20"/>
              </w:rPr>
              <w:t>docetaxel</w:t>
            </w:r>
            <w:proofErr w:type="spellEnd"/>
            <w:r w:rsidRPr="00C35233">
              <w:rPr>
                <w:rFonts w:ascii="Arial Narrow" w:hAnsi="Arial Narrow"/>
                <w:sz w:val="20"/>
              </w:rPr>
              <w:t xml:space="preserve">-based therapy: Results from </w:t>
            </w:r>
            <w:r w:rsidRPr="00C35233">
              <w:rPr>
                <w:rFonts w:ascii="Arial Narrow" w:hAnsi="Arial Narrow"/>
                <w:sz w:val="20"/>
              </w:rPr>
              <w:lastRenderedPageBreak/>
              <w:t>the affirm study.</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lastRenderedPageBreak/>
              <w:t>Journal of Clinical Oncology</w:t>
            </w:r>
            <w:r w:rsidRPr="00C35233">
              <w:rPr>
                <w:rFonts w:ascii="Arial Narrow" w:hAnsi="Arial Narrow"/>
                <w:sz w:val="20"/>
              </w:rPr>
              <w:t xml:space="preserve"> 2013; 31(6_suppl):17</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Sternberg, C.N., et al. Improved outcomes in elderly patients with metastatic castration-resistant prostate cancer treated with the androgen receptor inhibitor enzalutamide: Results from the phase III affirm trial.</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Annals of Oncology</w:t>
            </w:r>
            <w:r w:rsidRPr="00C35233">
              <w:rPr>
                <w:rFonts w:ascii="Arial Narrow" w:hAnsi="Arial Narrow"/>
                <w:sz w:val="20"/>
              </w:rPr>
              <w:t xml:space="preserve"> 2014; 25(2): 429-434.</w:t>
            </w:r>
          </w:p>
        </w:tc>
      </w:tr>
      <w:tr w:rsidR="008338C5" w:rsidRPr="00C35233" w:rsidTr="00C35233">
        <w:tc>
          <w:tcPr>
            <w:tcW w:w="45" w:type="pct"/>
            <w:vMerge w:val="restart"/>
            <w:vAlign w:val="center"/>
          </w:tcPr>
          <w:p w:rsidR="008338C5" w:rsidRPr="00C35233" w:rsidRDefault="008338C5" w:rsidP="00FB59BA">
            <w:pPr>
              <w:jc w:val="left"/>
              <w:rPr>
                <w:rFonts w:ascii="Arial Narrow" w:hAnsi="Arial Narrow"/>
                <w:sz w:val="20"/>
              </w:rPr>
            </w:pPr>
            <w:r w:rsidRPr="00C35233">
              <w:rPr>
                <w:rFonts w:ascii="Arial Narrow" w:hAnsi="Arial Narrow"/>
                <w:sz w:val="20"/>
              </w:rPr>
              <w:t>Trial 301</w:t>
            </w: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De Bono, J., et al. Abiraterone and increased survival in metastatic prostate cancer.</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The New England Journal of Medicine</w:t>
            </w:r>
            <w:r w:rsidRPr="00C35233">
              <w:rPr>
                <w:rFonts w:ascii="Arial Narrow" w:hAnsi="Arial Narrow"/>
                <w:sz w:val="20"/>
              </w:rPr>
              <w:t xml:space="preserve"> 2011; 364(21): 1995-2005.</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proofErr w:type="spellStart"/>
            <w:r w:rsidRPr="00C35233">
              <w:rPr>
                <w:rFonts w:ascii="Arial Narrow" w:hAnsi="Arial Narrow"/>
                <w:sz w:val="20"/>
              </w:rPr>
              <w:t>Fizazi</w:t>
            </w:r>
            <w:proofErr w:type="spellEnd"/>
            <w:r w:rsidRPr="00C35233">
              <w:rPr>
                <w:rFonts w:ascii="Arial Narrow" w:hAnsi="Arial Narrow"/>
                <w:sz w:val="20"/>
              </w:rPr>
              <w:t>, K., et al. Abiraterone acetate for treatment of metastatic castration-resistant prostate cancer: Final overall survival analysis of the cou-ABI-301 randomised, double-blind, placebo-controlled phase 3 study.</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 xml:space="preserve">The Lancet Oncology </w:t>
            </w:r>
            <w:r w:rsidRPr="00C35233">
              <w:rPr>
                <w:rFonts w:ascii="Arial Narrow" w:hAnsi="Arial Narrow"/>
                <w:sz w:val="20"/>
              </w:rPr>
              <w:t>2012; 13: 983-992.</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Montgomery RB, et al. Effect of corticosteroid (CS) use at baseline (CUB) on overall survival (OS) in patients (</w:t>
            </w:r>
            <w:proofErr w:type="spellStart"/>
            <w:r w:rsidRPr="00C35233">
              <w:rPr>
                <w:rFonts w:ascii="Arial Narrow" w:hAnsi="Arial Narrow"/>
                <w:sz w:val="20"/>
              </w:rPr>
              <w:t>pts</w:t>
            </w:r>
            <w:proofErr w:type="spellEnd"/>
            <w:r w:rsidRPr="00C35233">
              <w:rPr>
                <w:rFonts w:ascii="Arial Narrow" w:hAnsi="Arial Narrow"/>
                <w:sz w:val="20"/>
              </w:rPr>
              <w:t xml:space="preserve">) receiving </w:t>
            </w:r>
            <w:proofErr w:type="spellStart"/>
            <w:r w:rsidRPr="00C35233">
              <w:rPr>
                <w:rFonts w:ascii="Arial Narrow" w:hAnsi="Arial Narrow"/>
                <w:sz w:val="20"/>
              </w:rPr>
              <w:t>abiraterone</w:t>
            </w:r>
            <w:proofErr w:type="spellEnd"/>
            <w:r w:rsidRPr="00C35233">
              <w:rPr>
                <w:rFonts w:ascii="Arial Narrow" w:hAnsi="Arial Narrow"/>
                <w:sz w:val="20"/>
              </w:rPr>
              <w:t xml:space="preserve"> acetate (ABI): Results from a randomised study (COU-AA-301) in metastatic castration-resistant prostate cancer (</w:t>
            </w:r>
            <w:proofErr w:type="spellStart"/>
            <w:r w:rsidRPr="00C35233">
              <w:rPr>
                <w:rFonts w:ascii="Arial Narrow" w:hAnsi="Arial Narrow"/>
                <w:sz w:val="20"/>
              </w:rPr>
              <w:t>mCRPC</w:t>
            </w:r>
            <w:proofErr w:type="spellEnd"/>
            <w:r w:rsidRPr="00C35233">
              <w:rPr>
                <w:rFonts w:ascii="Arial Narrow" w:hAnsi="Arial Narrow"/>
                <w:sz w:val="20"/>
              </w:rPr>
              <w:t xml:space="preserve">) post </w:t>
            </w:r>
            <w:proofErr w:type="spellStart"/>
            <w:r w:rsidRPr="00C35233">
              <w:rPr>
                <w:rFonts w:ascii="Arial Narrow" w:hAnsi="Arial Narrow"/>
                <w:sz w:val="20"/>
              </w:rPr>
              <w:t>docetaxel</w:t>
            </w:r>
            <w:proofErr w:type="spellEnd"/>
            <w:r w:rsidRPr="00C35233">
              <w:rPr>
                <w:rFonts w:ascii="Arial Narrow" w:hAnsi="Arial Narrow"/>
                <w:sz w:val="20"/>
              </w:rPr>
              <w:t xml:space="preserve"> (D) (abstract).</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Journal of Clinical Oncology</w:t>
            </w:r>
            <w:r w:rsidRPr="00C35233">
              <w:rPr>
                <w:rFonts w:ascii="Arial Narrow" w:hAnsi="Arial Narrow"/>
                <w:sz w:val="20"/>
              </w:rPr>
              <w:t xml:space="preserve"> 2013; 31(15_suppl (May 20 Supplement)): 5014.</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Ryan, C., et al. Serum androgens as prognostic biomarkers in castration-resistant prostate cancer: Results from an analysis of a randomised phase III trial.</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Journal of Clinical Oncology</w:t>
            </w:r>
            <w:r w:rsidRPr="00C35233">
              <w:rPr>
                <w:rFonts w:ascii="Arial Narrow" w:hAnsi="Arial Narrow"/>
                <w:sz w:val="20"/>
              </w:rPr>
              <w:t xml:space="preserve"> 2013; 31(27): 2791-2798.</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Azad, A.A., et al. Outcomes with abiraterone acetate in metastatic castration-resistant prostate cancer patients who have poor performance status.</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European Urology.</w:t>
            </w:r>
            <w:r w:rsidRPr="00C35233">
              <w:rPr>
                <w:rFonts w:ascii="Arial Narrow" w:hAnsi="Arial Narrow"/>
                <w:sz w:val="20"/>
              </w:rPr>
              <w:t xml:space="preserve"> 2014 Jan 31; [</w:t>
            </w:r>
            <w:proofErr w:type="spellStart"/>
            <w:r w:rsidRPr="00C35233">
              <w:rPr>
                <w:rFonts w:ascii="Arial Narrow" w:hAnsi="Arial Narrow"/>
                <w:sz w:val="20"/>
              </w:rPr>
              <w:t>epub</w:t>
            </w:r>
            <w:proofErr w:type="spellEnd"/>
            <w:r w:rsidRPr="00C35233">
              <w:rPr>
                <w:rFonts w:ascii="Arial Narrow" w:hAnsi="Arial Narrow"/>
                <w:sz w:val="20"/>
              </w:rPr>
              <w:t>] DOI:10.1016/j.eururo.2014.01.030</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proofErr w:type="spellStart"/>
            <w:r w:rsidRPr="00C35233">
              <w:rPr>
                <w:rFonts w:ascii="Arial Narrow" w:hAnsi="Arial Narrow"/>
                <w:sz w:val="20"/>
              </w:rPr>
              <w:t>Logothetis</w:t>
            </w:r>
            <w:proofErr w:type="spellEnd"/>
            <w:r w:rsidRPr="00C35233">
              <w:rPr>
                <w:rFonts w:ascii="Arial Narrow" w:hAnsi="Arial Narrow"/>
                <w:sz w:val="20"/>
              </w:rPr>
              <w:t>, C., et al. Effect of abiraterone acetate and prednisone compared with placebo and prednisone on pain control and skeletal-related events in patients with metastatic castration-resistant prostate cancer: Exploratory analysis of data from the COU-AA-301 randomised trial.</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 xml:space="preserve">Lancet Oncology </w:t>
            </w:r>
            <w:r w:rsidRPr="00C35233">
              <w:rPr>
                <w:rFonts w:ascii="Arial Narrow" w:hAnsi="Arial Narrow"/>
                <w:sz w:val="20"/>
              </w:rPr>
              <w:t>2012; 13(12): 1210-1217.</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 xml:space="preserve">Sternberg, C., et al. Effect of abiraterone acetate on fatigue in patients with metastatic castration-resistant prostate cancer after </w:t>
            </w:r>
            <w:proofErr w:type="spellStart"/>
            <w:r w:rsidRPr="00C35233">
              <w:rPr>
                <w:rFonts w:ascii="Arial Narrow" w:hAnsi="Arial Narrow"/>
                <w:sz w:val="20"/>
              </w:rPr>
              <w:t>docetaxel</w:t>
            </w:r>
            <w:proofErr w:type="spellEnd"/>
            <w:r w:rsidRPr="00C35233">
              <w:rPr>
                <w:rFonts w:ascii="Arial Narrow" w:hAnsi="Arial Narrow"/>
                <w:sz w:val="20"/>
              </w:rPr>
              <w:t xml:space="preserve"> chemotherapy.</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Annals of Oncology</w:t>
            </w:r>
            <w:r w:rsidRPr="00C35233">
              <w:rPr>
                <w:rFonts w:ascii="Arial Narrow" w:hAnsi="Arial Narrow"/>
                <w:sz w:val="20"/>
              </w:rPr>
              <w:t xml:space="preserve"> 2013; 24(4): 1017-1015.</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 xml:space="preserve">Harland, S., et al. Effect of abiraterone acetate treatment on the quality of life of patients with metastatic castration-resistant prostate cancer after failure of </w:t>
            </w:r>
            <w:proofErr w:type="spellStart"/>
            <w:r w:rsidRPr="00C35233">
              <w:rPr>
                <w:rFonts w:ascii="Arial Narrow" w:hAnsi="Arial Narrow"/>
                <w:sz w:val="20"/>
              </w:rPr>
              <w:t>docetaxel</w:t>
            </w:r>
            <w:proofErr w:type="spellEnd"/>
            <w:r w:rsidRPr="00C35233">
              <w:rPr>
                <w:rFonts w:ascii="Arial Narrow" w:hAnsi="Arial Narrow"/>
                <w:sz w:val="20"/>
              </w:rPr>
              <w:t xml:space="preserve"> chemotherapy.</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iCs/>
                <w:sz w:val="20"/>
              </w:rPr>
              <w:t xml:space="preserve">European Journal of Cancer </w:t>
            </w:r>
            <w:r w:rsidRPr="00C35233">
              <w:rPr>
                <w:rFonts w:ascii="Arial Narrow" w:hAnsi="Arial Narrow"/>
                <w:sz w:val="20"/>
              </w:rPr>
              <w:t>2013; 49: 3648-3657</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 xml:space="preserve">Abiraterone Acetate in Castration-Resistant Prostate Cancer Previously Treated With </w:t>
            </w:r>
            <w:proofErr w:type="spellStart"/>
            <w:r w:rsidRPr="00C35233">
              <w:rPr>
                <w:rFonts w:ascii="Arial Narrow" w:hAnsi="Arial Narrow"/>
                <w:sz w:val="20"/>
              </w:rPr>
              <w:t>Docetaxel</w:t>
            </w:r>
            <w:proofErr w:type="spellEnd"/>
            <w:r w:rsidRPr="00C35233">
              <w:rPr>
                <w:rFonts w:ascii="Arial Narrow" w:hAnsi="Arial Narrow"/>
                <w:sz w:val="20"/>
              </w:rPr>
              <w:t>-Based Chemotherapy</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sz w:val="20"/>
              </w:rPr>
              <w:t>ClinicalTrials.gov Identifier:</w:t>
            </w:r>
          </w:p>
          <w:p w:rsidR="008338C5" w:rsidRPr="00C35233" w:rsidRDefault="008338C5" w:rsidP="00FB59BA">
            <w:pPr>
              <w:jc w:val="left"/>
              <w:rPr>
                <w:rFonts w:ascii="Arial Narrow" w:hAnsi="Arial Narrow"/>
                <w:sz w:val="20"/>
              </w:rPr>
            </w:pPr>
            <w:r w:rsidRPr="00C35233">
              <w:rPr>
                <w:rFonts w:ascii="Arial Narrow" w:hAnsi="Arial Narrow"/>
                <w:sz w:val="20"/>
              </w:rPr>
              <w:t>NCT00638690</w:t>
            </w:r>
          </w:p>
        </w:tc>
      </w:tr>
      <w:tr w:rsidR="008338C5" w:rsidRPr="00C35233" w:rsidTr="00C35233">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 xml:space="preserve">An Extended Study of Abiraterone Acetate in Patients With Advanced Prostate Cancer Who Have Failed Androgen Deprivation and </w:t>
            </w:r>
            <w:proofErr w:type="spellStart"/>
            <w:r w:rsidRPr="00C35233">
              <w:rPr>
                <w:rFonts w:ascii="Arial Narrow" w:hAnsi="Arial Narrow"/>
                <w:sz w:val="20"/>
              </w:rPr>
              <w:t>Docetaxel</w:t>
            </w:r>
            <w:proofErr w:type="spellEnd"/>
            <w:r w:rsidRPr="00C35233">
              <w:rPr>
                <w:rFonts w:ascii="Arial Narrow" w:hAnsi="Arial Narrow"/>
                <w:sz w:val="20"/>
              </w:rPr>
              <w:t>-Based Chemotherapy and Completed Clinical Study COU-ABI-003.</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sz w:val="20"/>
              </w:rPr>
              <w:t>ClinicalTrials.gov Identifier:</w:t>
            </w:r>
          </w:p>
          <w:p w:rsidR="008338C5" w:rsidRPr="00C35233" w:rsidRDefault="008338C5" w:rsidP="00FB59BA">
            <w:pPr>
              <w:jc w:val="left"/>
              <w:rPr>
                <w:rFonts w:ascii="Arial Narrow" w:hAnsi="Arial Narrow"/>
                <w:sz w:val="20"/>
              </w:rPr>
            </w:pPr>
            <w:r w:rsidRPr="00C35233">
              <w:rPr>
                <w:rFonts w:ascii="Arial Narrow" w:hAnsi="Arial Narrow"/>
                <w:sz w:val="20"/>
              </w:rPr>
              <w:t>NCT01798615:</w:t>
            </w:r>
          </w:p>
        </w:tc>
      </w:tr>
      <w:tr w:rsidR="008338C5" w:rsidRPr="00C35233" w:rsidTr="00C35233">
        <w:trPr>
          <w:trHeight w:val="918"/>
        </w:trPr>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 xml:space="preserve">FDA New Drug Application for abiraterone: Clinical Review </w:t>
            </w: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sz w:val="20"/>
              </w:rPr>
              <w:t>Centre for drug evaluation and research. Application number:  202379Orig1s00</w:t>
            </w:r>
          </w:p>
          <w:p w:rsidR="008338C5" w:rsidRPr="00C35233" w:rsidRDefault="008338C5" w:rsidP="00FB59BA">
            <w:pPr>
              <w:jc w:val="left"/>
              <w:rPr>
                <w:rStyle w:val="Hyperlink"/>
              </w:rPr>
            </w:pPr>
            <w:r w:rsidRPr="00E73118">
              <w:rPr>
                <w:rFonts w:ascii="Arial Narrow" w:hAnsi="Arial Narrow"/>
                <w:sz w:val="20"/>
              </w:rPr>
              <w:t>http://www.accessdata.fda.gov/</w:t>
            </w:r>
          </w:p>
          <w:p w:rsidR="008338C5" w:rsidRPr="00C35233" w:rsidRDefault="008338C5" w:rsidP="00FB59BA">
            <w:pPr>
              <w:jc w:val="left"/>
              <w:rPr>
                <w:rStyle w:val="Hyperlink"/>
                <w:rFonts w:ascii="Arial Narrow" w:hAnsi="Arial Narrow"/>
                <w:sz w:val="20"/>
              </w:rPr>
            </w:pPr>
            <w:proofErr w:type="spellStart"/>
            <w:r w:rsidRPr="00C35233">
              <w:rPr>
                <w:rStyle w:val="Hyperlink"/>
                <w:rFonts w:ascii="Arial Narrow" w:hAnsi="Arial Narrow"/>
                <w:sz w:val="20"/>
              </w:rPr>
              <w:t>drugsatfda_docs</w:t>
            </w:r>
            <w:proofErr w:type="spellEnd"/>
            <w:r w:rsidRPr="00C35233">
              <w:rPr>
                <w:rStyle w:val="Hyperlink"/>
                <w:rFonts w:ascii="Arial Narrow" w:hAnsi="Arial Narrow"/>
                <w:sz w:val="20"/>
              </w:rPr>
              <w:t>/</w:t>
            </w:r>
            <w:proofErr w:type="spellStart"/>
            <w:r w:rsidRPr="00C35233">
              <w:rPr>
                <w:rStyle w:val="Hyperlink"/>
                <w:rFonts w:ascii="Arial Narrow" w:hAnsi="Arial Narrow"/>
                <w:sz w:val="20"/>
              </w:rPr>
              <w:t>nda</w:t>
            </w:r>
            <w:proofErr w:type="spellEnd"/>
            <w:r w:rsidRPr="00C35233">
              <w:rPr>
                <w:rStyle w:val="Hyperlink"/>
                <w:rFonts w:ascii="Arial Narrow" w:hAnsi="Arial Narrow"/>
                <w:sz w:val="20"/>
              </w:rPr>
              <w:t>/2011/</w:t>
            </w:r>
          </w:p>
          <w:p w:rsidR="008338C5" w:rsidRPr="00C35233" w:rsidRDefault="008338C5" w:rsidP="00FB59BA">
            <w:pPr>
              <w:jc w:val="left"/>
              <w:rPr>
                <w:rFonts w:ascii="Arial Narrow" w:hAnsi="Arial Narrow"/>
                <w:sz w:val="20"/>
              </w:rPr>
            </w:pPr>
            <w:r w:rsidRPr="00C35233">
              <w:rPr>
                <w:rStyle w:val="Hyperlink"/>
                <w:rFonts w:ascii="Arial Narrow" w:hAnsi="Arial Narrow"/>
                <w:sz w:val="20"/>
              </w:rPr>
              <w:t>202379Orig1s000PharmR.pdf</w:t>
            </w:r>
          </w:p>
        </w:tc>
      </w:tr>
      <w:tr w:rsidR="008338C5" w:rsidRPr="00C35233" w:rsidTr="00C35233">
        <w:trPr>
          <w:trHeight w:val="918"/>
        </w:trPr>
        <w:tc>
          <w:tcPr>
            <w:tcW w:w="45" w:type="pct"/>
            <w:vMerge/>
          </w:tcPr>
          <w:p w:rsidR="008338C5" w:rsidRPr="00C35233" w:rsidRDefault="008338C5" w:rsidP="00FB59BA">
            <w:pPr>
              <w:jc w:val="left"/>
              <w:rPr>
                <w:rFonts w:ascii="Arial Narrow" w:hAnsi="Arial Narrow"/>
                <w:sz w:val="20"/>
              </w:rPr>
            </w:pPr>
          </w:p>
        </w:tc>
        <w:tc>
          <w:tcPr>
            <w:tcW w:w="2997" w:type="pct"/>
          </w:tcPr>
          <w:p w:rsidR="008338C5" w:rsidRPr="00C35233" w:rsidRDefault="008338C5" w:rsidP="00FB59BA">
            <w:pPr>
              <w:jc w:val="left"/>
              <w:rPr>
                <w:rFonts w:ascii="Arial Narrow" w:hAnsi="Arial Narrow"/>
                <w:sz w:val="20"/>
              </w:rPr>
            </w:pPr>
            <w:r w:rsidRPr="00C35233">
              <w:rPr>
                <w:rFonts w:ascii="Arial Narrow" w:hAnsi="Arial Narrow"/>
                <w:sz w:val="20"/>
              </w:rPr>
              <w:t>FDA New Drug Application for abiraterone: Statistical Review</w:t>
            </w:r>
          </w:p>
          <w:p w:rsidR="008338C5" w:rsidRPr="00C35233" w:rsidRDefault="008338C5" w:rsidP="00FB59BA">
            <w:pPr>
              <w:jc w:val="left"/>
              <w:rPr>
                <w:rFonts w:ascii="Arial Narrow" w:hAnsi="Arial Narrow"/>
                <w:sz w:val="20"/>
              </w:rPr>
            </w:pPr>
          </w:p>
        </w:tc>
        <w:tc>
          <w:tcPr>
            <w:tcW w:w="1958" w:type="pct"/>
          </w:tcPr>
          <w:p w:rsidR="008338C5" w:rsidRPr="00C35233" w:rsidRDefault="008338C5" w:rsidP="00FB59BA">
            <w:pPr>
              <w:jc w:val="left"/>
              <w:rPr>
                <w:rFonts w:ascii="Arial Narrow" w:hAnsi="Arial Narrow"/>
                <w:sz w:val="20"/>
              </w:rPr>
            </w:pPr>
            <w:r w:rsidRPr="00C35233">
              <w:rPr>
                <w:rFonts w:ascii="Arial Narrow" w:hAnsi="Arial Narrow"/>
                <w:sz w:val="20"/>
              </w:rPr>
              <w:t>Centre for drug evaluation and research. Application number:  202379Orig1s00</w:t>
            </w:r>
          </w:p>
          <w:p w:rsidR="008338C5" w:rsidRPr="00C35233" w:rsidRDefault="008338C5" w:rsidP="00FB59BA">
            <w:pPr>
              <w:jc w:val="left"/>
              <w:rPr>
                <w:rStyle w:val="Hyperlink"/>
                <w:rFonts w:ascii="Arial Narrow" w:hAnsi="Arial Narrow"/>
                <w:sz w:val="20"/>
              </w:rPr>
            </w:pPr>
            <w:r w:rsidRPr="00E73118">
              <w:rPr>
                <w:rFonts w:ascii="Arial Narrow" w:hAnsi="Arial Narrow"/>
                <w:sz w:val="20"/>
              </w:rPr>
              <w:t>http://www.accessdata.fda.gov/</w:t>
            </w:r>
          </w:p>
          <w:p w:rsidR="008338C5" w:rsidRPr="00C35233" w:rsidRDefault="008338C5" w:rsidP="00FB59BA">
            <w:pPr>
              <w:jc w:val="left"/>
              <w:rPr>
                <w:rStyle w:val="Hyperlink"/>
                <w:rFonts w:ascii="Arial Narrow" w:hAnsi="Arial Narrow"/>
                <w:sz w:val="20"/>
              </w:rPr>
            </w:pPr>
            <w:proofErr w:type="spellStart"/>
            <w:r w:rsidRPr="00C35233">
              <w:rPr>
                <w:rStyle w:val="Hyperlink"/>
                <w:rFonts w:ascii="Arial Narrow" w:hAnsi="Arial Narrow"/>
                <w:sz w:val="20"/>
              </w:rPr>
              <w:t>drugsatfda_docs</w:t>
            </w:r>
            <w:proofErr w:type="spellEnd"/>
            <w:r w:rsidRPr="00C35233">
              <w:rPr>
                <w:rStyle w:val="Hyperlink"/>
                <w:rFonts w:ascii="Arial Narrow" w:hAnsi="Arial Narrow"/>
                <w:sz w:val="20"/>
              </w:rPr>
              <w:t>/</w:t>
            </w:r>
            <w:proofErr w:type="spellStart"/>
            <w:r w:rsidRPr="00C35233">
              <w:rPr>
                <w:rStyle w:val="Hyperlink"/>
                <w:rFonts w:ascii="Arial Narrow" w:hAnsi="Arial Narrow"/>
                <w:sz w:val="20"/>
              </w:rPr>
              <w:t>nda</w:t>
            </w:r>
            <w:proofErr w:type="spellEnd"/>
            <w:r w:rsidRPr="00C35233">
              <w:rPr>
                <w:rStyle w:val="Hyperlink"/>
                <w:rFonts w:ascii="Arial Narrow" w:hAnsi="Arial Narrow"/>
                <w:sz w:val="20"/>
              </w:rPr>
              <w:t>/2011/</w:t>
            </w:r>
          </w:p>
          <w:p w:rsidR="008338C5" w:rsidRPr="00C35233" w:rsidRDefault="008338C5" w:rsidP="00FB59BA">
            <w:pPr>
              <w:jc w:val="left"/>
              <w:rPr>
                <w:rFonts w:ascii="Arial Narrow" w:hAnsi="Arial Narrow"/>
                <w:sz w:val="20"/>
              </w:rPr>
            </w:pPr>
            <w:r w:rsidRPr="00C35233">
              <w:rPr>
                <w:rStyle w:val="Hyperlink"/>
                <w:rFonts w:ascii="Arial Narrow" w:hAnsi="Arial Narrow"/>
                <w:sz w:val="20"/>
              </w:rPr>
              <w:t>202379Orig1s000StatR.pdf</w:t>
            </w:r>
          </w:p>
        </w:tc>
      </w:tr>
    </w:tbl>
    <w:p w:rsidR="00DA4D52" w:rsidRPr="00C35233" w:rsidRDefault="00DA4D52" w:rsidP="00DA4D52">
      <w:pPr>
        <w:widowControl/>
        <w:rPr>
          <w:szCs w:val="22"/>
        </w:rPr>
      </w:pPr>
    </w:p>
    <w:p w:rsidR="00DA4D52" w:rsidRPr="00B95D3E" w:rsidRDefault="003E4440" w:rsidP="00B95D3E">
      <w:pPr>
        <w:pStyle w:val="ListParagraph"/>
        <w:widowControl/>
        <w:numPr>
          <w:ilvl w:val="1"/>
          <w:numId w:val="2"/>
        </w:numPr>
        <w:rPr>
          <w:szCs w:val="22"/>
        </w:rPr>
      </w:pPr>
      <w:r w:rsidRPr="00B95D3E">
        <w:rPr>
          <w:szCs w:val="22"/>
        </w:rPr>
        <w:t>The key features</w:t>
      </w:r>
      <w:r w:rsidR="00FB59BA" w:rsidRPr="00B95D3E">
        <w:rPr>
          <w:szCs w:val="22"/>
        </w:rPr>
        <w:t xml:space="preserve"> of the direct randomised trial</w:t>
      </w:r>
      <w:r w:rsidRPr="00B95D3E">
        <w:rPr>
          <w:szCs w:val="22"/>
        </w:rPr>
        <w:t xml:space="preserve">s are summarised in the table below.  </w:t>
      </w:r>
    </w:p>
    <w:p w:rsidR="003E4440" w:rsidRPr="00C35233" w:rsidRDefault="003E4440" w:rsidP="0025534B"/>
    <w:p w:rsidR="00FD446D" w:rsidRPr="00C35233" w:rsidRDefault="00FD446D" w:rsidP="0095094B">
      <w:pPr>
        <w:ind w:firstLine="709"/>
        <w:rPr>
          <w:rStyle w:val="CommentReference"/>
        </w:rPr>
      </w:pPr>
      <w:r w:rsidRPr="00C35233">
        <w:rPr>
          <w:rStyle w:val="CommentReference"/>
        </w:rPr>
        <w:t>Key features of the included evidence</w:t>
      </w:r>
    </w:p>
    <w:tbl>
      <w:tblPr>
        <w:tblW w:w="4629" w:type="pct"/>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features of the included evidence"/>
      </w:tblPr>
      <w:tblGrid>
        <w:gridCol w:w="667"/>
        <w:gridCol w:w="621"/>
        <w:gridCol w:w="1520"/>
        <w:gridCol w:w="981"/>
        <w:gridCol w:w="1703"/>
        <w:gridCol w:w="1341"/>
        <w:gridCol w:w="1575"/>
      </w:tblGrid>
      <w:tr w:rsidR="008338C5" w:rsidRPr="00C35233" w:rsidTr="00C35233">
        <w:trPr>
          <w:tblHeader/>
        </w:trPr>
        <w:tc>
          <w:tcPr>
            <w:tcW w:w="45" w:type="pct"/>
            <w:shd w:val="clear" w:color="auto" w:fill="auto"/>
            <w:vAlign w:val="center"/>
          </w:tcPr>
          <w:p w:rsidR="008338C5" w:rsidRPr="00C35233" w:rsidRDefault="008338C5" w:rsidP="00FB59BA">
            <w:pPr>
              <w:jc w:val="left"/>
              <w:rPr>
                <w:rFonts w:ascii="Arial Narrow" w:hAnsi="Arial Narrow"/>
                <w:b/>
                <w:sz w:val="20"/>
                <w:szCs w:val="16"/>
                <w:lang w:val="en-US"/>
              </w:rPr>
            </w:pPr>
            <w:r w:rsidRPr="00C35233">
              <w:rPr>
                <w:rFonts w:ascii="Arial Narrow" w:hAnsi="Arial Narrow"/>
                <w:b/>
                <w:sz w:val="20"/>
                <w:szCs w:val="16"/>
                <w:lang w:val="en-US"/>
              </w:rPr>
              <w:t>Trial</w:t>
            </w:r>
          </w:p>
        </w:tc>
        <w:tc>
          <w:tcPr>
            <w:tcW w:w="428" w:type="pct"/>
            <w:shd w:val="clear" w:color="auto" w:fill="auto"/>
            <w:vAlign w:val="center"/>
          </w:tcPr>
          <w:p w:rsidR="008338C5" w:rsidRPr="00C35233" w:rsidRDefault="008338C5" w:rsidP="00FB59BA">
            <w:pPr>
              <w:jc w:val="center"/>
              <w:rPr>
                <w:rFonts w:ascii="Arial Narrow" w:hAnsi="Arial Narrow"/>
                <w:b/>
                <w:sz w:val="20"/>
                <w:szCs w:val="16"/>
                <w:lang w:val="en-US"/>
              </w:rPr>
            </w:pPr>
            <w:r w:rsidRPr="00C35233">
              <w:rPr>
                <w:rFonts w:ascii="Arial Narrow" w:hAnsi="Arial Narrow"/>
                <w:b/>
                <w:sz w:val="20"/>
                <w:szCs w:val="16"/>
                <w:lang w:val="en-US"/>
              </w:rPr>
              <w:t>N</w:t>
            </w:r>
          </w:p>
        </w:tc>
        <w:tc>
          <w:tcPr>
            <w:tcW w:w="963" w:type="pct"/>
            <w:shd w:val="clear" w:color="auto" w:fill="auto"/>
            <w:vAlign w:val="center"/>
          </w:tcPr>
          <w:p w:rsidR="008338C5" w:rsidRPr="00C35233" w:rsidRDefault="008338C5" w:rsidP="00FB59BA">
            <w:pPr>
              <w:jc w:val="center"/>
              <w:rPr>
                <w:rFonts w:ascii="Arial Narrow" w:hAnsi="Arial Narrow"/>
                <w:b/>
                <w:sz w:val="20"/>
                <w:szCs w:val="16"/>
                <w:lang w:val="en-US"/>
              </w:rPr>
            </w:pPr>
            <w:r w:rsidRPr="00C35233">
              <w:rPr>
                <w:rFonts w:ascii="Arial Narrow" w:hAnsi="Arial Narrow"/>
                <w:b/>
                <w:sz w:val="20"/>
                <w:szCs w:val="16"/>
                <w:lang w:val="en-US"/>
              </w:rPr>
              <w:t>Design/ duration</w:t>
            </w:r>
          </w:p>
        </w:tc>
        <w:tc>
          <w:tcPr>
            <w:tcW w:w="642" w:type="pct"/>
            <w:shd w:val="clear" w:color="auto" w:fill="auto"/>
            <w:vAlign w:val="center"/>
          </w:tcPr>
          <w:p w:rsidR="008338C5" w:rsidRPr="00C35233" w:rsidRDefault="008338C5" w:rsidP="00FB59BA">
            <w:pPr>
              <w:jc w:val="center"/>
              <w:rPr>
                <w:rFonts w:ascii="Arial Narrow" w:hAnsi="Arial Narrow"/>
                <w:b/>
                <w:sz w:val="20"/>
                <w:szCs w:val="16"/>
                <w:lang w:val="en-US"/>
              </w:rPr>
            </w:pPr>
            <w:r w:rsidRPr="00C35233">
              <w:rPr>
                <w:rFonts w:ascii="Arial Narrow" w:hAnsi="Arial Narrow"/>
                <w:b/>
                <w:sz w:val="20"/>
                <w:szCs w:val="16"/>
                <w:lang w:val="en-US"/>
              </w:rPr>
              <w:t>Risk of bias</w:t>
            </w:r>
          </w:p>
        </w:tc>
        <w:tc>
          <w:tcPr>
            <w:tcW w:w="1071" w:type="pct"/>
            <w:shd w:val="clear" w:color="auto" w:fill="auto"/>
            <w:vAlign w:val="center"/>
          </w:tcPr>
          <w:p w:rsidR="008338C5" w:rsidRPr="00C35233" w:rsidRDefault="008338C5" w:rsidP="00FB59BA">
            <w:pPr>
              <w:jc w:val="center"/>
              <w:rPr>
                <w:rFonts w:ascii="Arial Narrow" w:hAnsi="Arial Narrow"/>
                <w:b/>
                <w:sz w:val="20"/>
                <w:szCs w:val="16"/>
                <w:lang w:val="en-US"/>
              </w:rPr>
            </w:pPr>
            <w:r w:rsidRPr="00C35233">
              <w:rPr>
                <w:rFonts w:ascii="Arial Narrow" w:hAnsi="Arial Narrow"/>
                <w:b/>
                <w:sz w:val="20"/>
                <w:szCs w:val="16"/>
                <w:lang w:val="en-US"/>
              </w:rPr>
              <w:t>Patient population</w:t>
            </w:r>
          </w:p>
        </w:tc>
        <w:tc>
          <w:tcPr>
            <w:tcW w:w="856" w:type="pct"/>
            <w:shd w:val="clear" w:color="auto" w:fill="auto"/>
            <w:vAlign w:val="center"/>
          </w:tcPr>
          <w:p w:rsidR="008338C5" w:rsidRPr="00C35233" w:rsidRDefault="008338C5" w:rsidP="00FB59BA">
            <w:pPr>
              <w:jc w:val="center"/>
              <w:rPr>
                <w:rFonts w:ascii="Arial Narrow" w:hAnsi="Arial Narrow"/>
                <w:b/>
                <w:sz w:val="20"/>
                <w:szCs w:val="16"/>
                <w:lang w:val="en-US"/>
              </w:rPr>
            </w:pPr>
            <w:r w:rsidRPr="00C35233">
              <w:rPr>
                <w:rFonts w:ascii="Arial Narrow" w:hAnsi="Arial Narrow"/>
                <w:b/>
                <w:sz w:val="20"/>
                <w:szCs w:val="16"/>
                <w:lang w:val="en-US"/>
              </w:rPr>
              <w:t>Outcome(s)</w:t>
            </w:r>
          </w:p>
        </w:tc>
        <w:tc>
          <w:tcPr>
            <w:tcW w:w="995" w:type="pct"/>
            <w:shd w:val="clear" w:color="auto" w:fill="auto"/>
            <w:vAlign w:val="center"/>
          </w:tcPr>
          <w:p w:rsidR="008338C5" w:rsidRPr="00C35233" w:rsidRDefault="008338C5" w:rsidP="00FB59BA">
            <w:pPr>
              <w:jc w:val="center"/>
              <w:rPr>
                <w:rFonts w:ascii="Arial Narrow" w:hAnsi="Arial Narrow"/>
                <w:b/>
                <w:sz w:val="20"/>
                <w:szCs w:val="16"/>
                <w:lang w:val="en-US"/>
              </w:rPr>
            </w:pPr>
            <w:r w:rsidRPr="00C35233">
              <w:rPr>
                <w:rFonts w:ascii="Arial Narrow" w:hAnsi="Arial Narrow"/>
                <w:b/>
                <w:sz w:val="20"/>
                <w:szCs w:val="16"/>
                <w:lang w:val="en-US"/>
              </w:rPr>
              <w:t>Indirect comparison</w:t>
            </w:r>
          </w:p>
        </w:tc>
      </w:tr>
      <w:tr w:rsidR="008338C5" w:rsidRPr="00C35233" w:rsidTr="00C35233">
        <w:tc>
          <w:tcPr>
            <w:tcW w:w="5000" w:type="pct"/>
            <w:gridSpan w:val="7"/>
            <w:shd w:val="clear" w:color="auto" w:fill="auto"/>
            <w:vAlign w:val="center"/>
          </w:tcPr>
          <w:p w:rsidR="008338C5" w:rsidRPr="00C35233" w:rsidRDefault="008338C5" w:rsidP="00FB59BA">
            <w:pPr>
              <w:jc w:val="left"/>
              <w:rPr>
                <w:rFonts w:ascii="Arial Narrow" w:hAnsi="Arial Narrow"/>
                <w:b/>
                <w:sz w:val="20"/>
                <w:szCs w:val="16"/>
                <w:lang w:val="en-US"/>
              </w:rPr>
            </w:pPr>
            <w:r w:rsidRPr="00C35233">
              <w:rPr>
                <w:rFonts w:ascii="Arial Narrow" w:hAnsi="Arial Narrow"/>
                <w:b/>
                <w:sz w:val="20"/>
                <w:szCs w:val="16"/>
                <w:lang w:val="en-US"/>
              </w:rPr>
              <w:t>Enzalutamide versus common reference</w:t>
            </w:r>
          </w:p>
        </w:tc>
      </w:tr>
      <w:tr w:rsidR="008338C5" w:rsidRPr="00C35233" w:rsidTr="00C35233">
        <w:tc>
          <w:tcPr>
            <w:tcW w:w="45" w:type="pct"/>
            <w:shd w:val="clear" w:color="auto" w:fill="auto"/>
            <w:vAlign w:val="center"/>
          </w:tcPr>
          <w:p w:rsidR="008338C5" w:rsidRPr="00C35233" w:rsidRDefault="008338C5" w:rsidP="00FB59BA">
            <w:pPr>
              <w:jc w:val="left"/>
              <w:rPr>
                <w:rFonts w:ascii="Arial Narrow" w:hAnsi="Arial Narrow"/>
                <w:bCs/>
                <w:sz w:val="20"/>
                <w:szCs w:val="16"/>
                <w:lang w:val="en-US"/>
              </w:rPr>
            </w:pPr>
            <w:r w:rsidRPr="00C35233">
              <w:rPr>
                <w:rFonts w:ascii="Arial Narrow" w:hAnsi="Arial Narrow"/>
                <w:bCs/>
                <w:sz w:val="20"/>
                <w:szCs w:val="16"/>
                <w:lang w:val="en-US"/>
              </w:rPr>
              <w:t>AFFIRM</w:t>
            </w:r>
          </w:p>
        </w:tc>
        <w:tc>
          <w:tcPr>
            <w:tcW w:w="428" w:type="pct"/>
            <w:shd w:val="clear" w:color="auto" w:fill="auto"/>
            <w:vAlign w:val="center"/>
          </w:tcPr>
          <w:p w:rsidR="008338C5" w:rsidRPr="00C35233" w:rsidRDefault="008338C5" w:rsidP="00FB59BA">
            <w:pPr>
              <w:jc w:val="center"/>
              <w:rPr>
                <w:rFonts w:ascii="Arial Narrow" w:hAnsi="Arial Narrow"/>
                <w:bCs/>
                <w:sz w:val="20"/>
                <w:szCs w:val="16"/>
                <w:lang w:val="en-US"/>
              </w:rPr>
            </w:pPr>
            <w:r w:rsidRPr="00C35233">
              <w:rPr>
                <w:rFonts w:ascii="Arial Narrow" w:hAnsi="Arial Narrow"/>
                <w:bCs/>
                <w:sz w:val="20"/>
                <w:szCs w:val="16"/>
                <w:lang w:val="en-US"/>
              </w:rPr>
              <w:t>1199</w:t>
            </w:r>
          </w:p>
        </w:tc>
        <w:tc>
          <w:tcPr>
            <w:tcW w:w="963" w:type="pct"/>
            <w:shd w:val="clear" w:color="auto" w:fill="auto"/>
            <w:vAlign w:val="center"/>
          </w:tcPr>
          <w:p w:rsidR="008338C5" w:rsidRPr="00C35233" w:rsidRDefault="008338C5" w:rsidP="00FB59BA">
            <w:pPr>
              <w:jc w:val="center"/>
              <w:rPr>
                <w:rFonts w:ascii="Arial Narrow" w:hAnsi="Arial Narrow"/>
                <w:bCs/>
                <w:sz w:val="20"/>
                <w:szCs w:val="16"/>
                <w:lang w:val="en-US"/>
              </w:rPr>
            </w:pPr>
            <w:r w:rsidRPr="00C35233">
              <w:rPr>
                <w:rFonts w:ascii="Arial Narrow" w:hAnsi="Arial Narrow"/>
                <w:bCs/>
                <w:sz w:val="20"/>
                <w:szCs w:val="16"/>
                <w:lang w:val="en-US"/>
              </w:rPr>
              <w:t>R, DB, 14.4 months</w:t>
            </w:r>
          </w:p>
          <w:p w:rsidR="008338C5" w:rsidRPr="00C35233" w:rsidRDefault="008338C5" w:rsidP="00FB59BA">
            <w:pPr>
              <w:jc w:val="center"/>
              <w:rPr>
                <w:rFonts w:ascii="Arial Narrow" w:hAnsi="Arial Narrow"/>
                <w:bCs/>
                <w:sz w:val="20"/>
                <w:szCs w:val="16"/>
                <w:lang w:val="en-US"/>
              </w:rPr>
            </w:pPr>
            <w:r w:rsidRPr="00C35233">
              <w:rPr>
                <w:rFonts w:ascii="Arial Narrow" w:hAnsi="Arial Narrow"/>
                <w:bCs/>
                <w:sz w:val="20"/>
                <w:szCs w:val="16"/>
                <w:lang w:val="en-US"/>
              </w:rPr>
              <w:lastRenderedPageBreak/>
              <w:t>(median follow up)</w:t>
            </w:r>
          </w:p>
        </w:tc>
        <w:tc>
          <w:tcPr>
            <w:tcW w:w="642" w:type="pct"/>
            <w:shd w:val="clear" w:color="auto" w:fill="auto"/>
            <w:vAlign w:val="center"/>
          </w:tcPr>
          <w:p w:rsidR="008338C5" w:rsidRPr="00C35233" w:rsidRDefault="008338C5" w:rsidP="00FB59BA">
            <w:pPr>
              <w:jc w:val="center"/>
              <w:rPr>
                <w:rFonts w:ascii="Arial Narrow" w:hAnsi="Arial Narrow"/>
                <w:bCs/>
                <w:sz w:val="20"/>
                <w:szCs w:val="16"/>
                <w:lang w:val="en-US"/>
              </w:rPr>
            </w:pPr>
            <w:r w:rsidRPr="00C35233">
              <w:rPr>
                <w:rFonts w:ascii="Arial Narrow" w:hAnsi="Arial Narrow"/>
                <w:bCs/>
                <w:sz w:val="20"/>
                <w:szCs w:val="16"/>
                <w:lang w:val="en-US"/>
              </w:rPr>
              <w:lastRenderedPageBreak/>
              <w:t>Low</w:t>
            </w:r>
          </w:p>
        </w:tc>
        <w:tc>
          <w:tcPr>
            <w:tcW w:w="1071" w:type="pct"/>
            <w:shd w:val="clear" w:color="auto" w:fill="auto"/>
            <w:vAlign w:val="center"/>
          </w:tcPr>
          <w:p w:rsidR="008338C5" w:rsidRPr="00C35233" w:rsidRDefault="008338C5" w:rsidP="00FB59BA">
            <w:pPr>
              <w:jc w:val="center"/>
              <w:rPr>
                <w:rFonts w:ascii="Arial Narrow" w:hAnsi="Arial Narrow"/>
                <w:bCs/>
                <w:sz w:val="20"/>
                <w:szCs w:val="16"/>
                <w:lang w:val="en-US"/>
              </w:rPr>
            </w:pPr>
            <w:proofErr w:type="spellStart"/>
            <w:r w:rsidRPr="00C35233">
              <w:rPr>
                <w:rFonts w:ascii="Arial Narrow" w:hAnsi="Arial Narrow"/>
                <w:bCs/>
                <w:sz w:val="20"/>
                <w:szCs w:val="16"/>
                <w:lang w:val="en-US"/>
              </w:rPr>
              <w:t>mCRPC</w:t>
            </w:r>
            <w:proofErr w:type="spellEnd"/>
            <w:r w:rsidRPr="00C35233">
              <w:rPr>
                <w:rFonts w:ascii="Arial Narrow" w:hAnsi="Arial Narrow"/>
                <w:bCs/>
                <w:sz w:val="20"/>
                <w:szCs w:val="16"/>
                <w:lang w:val="en-US"/>
              </w:rPr>
              <w:t xml:space="preserve"> post-</w:t>
            </w:r>
            <w:proofErr w:type="spellStart"/>
            <w:r w:rsidRPr="00C35233">
              <w:rPr>
                <w:rFonts w:ascii="Arial Narrow" w:hAnsi="Arial Narrow"/>
                <w:bCs/>
                <w:sz w:val="20"/>
                <w:szCs w:val="16"/>
                <w:lang w:val="en-US"/>
              </w:rPr>
              <w:lastRenderedPageBreak/>
              <w:t>docetaxel</w:t>
            </w:r>
            <w:proofErr w:type="spellEnd"/>
          </w:p>
        </w:tc>
        <w:tc>
          <w:tcPr>
            <w:tcW w:w="856" w:type="pct"/>
            <w:shd w:val="clear" w:color="auto" w:fill="auto"/>
            <w:vAlign w:val="center"/>
          </w:tcPr>
          <w:p w:rsidR="008338C5" w:rsidRPr="00C35233" w:rsidRDefault="008338C5" w:rsidP="00FB59BA">
            <w:pPr>
              <w:jc w:val="center"/>
              <w:rPr>
                <w:rFonts w:ascii="Arial Narrow" w:hAnsi="Arial Narrow"/>
                <w:bCs/>
                <w:sz w:val="20"/>
                <w:szCs w:val="16"/>
                <w:lang w:val="en-US"/>
              </w:rPr>
            </w:pPr>
            <w:r w:rsidRPr="00C35233">
              <w:rPr>
                <w:rFonts w:ascii="Arial Narrow" w:hAnsi="Arial Narrow"/>
                <w:bCs/>
                <w:sz w:val="20"/>
                <w:szCs w:val="16"/>
                <w:lang w:val="en-US"/>
              </w:rPr>
              <w:lastRenderedPageBreak/>
              <w:t>OS, PFS, FACT-</w:t>
            </w:r>
            <w:r w:rsidRPr="00C35233">
              <w:rPr>
                <w:rFonts w:ascii="Arial Narrow" w:hAnsi="Arial Narrow"/>
                <w:bCs/>
                <w:sz w:val="20"/>
                <w:szCs w:val="16"/>
                <w:lang w:val="en-US"/>
              </w:rPr>
              <w:lastRenderedPageBreak/>
              <w:t>P</w:t>
            </w:r>
          </w:p>
        </w:tc>
        <w:tc>
          <w:tcPr>
            <w:tcW w:w="995" w:type="pct"/>
            <w:shd w:val="clear" w:color="auto" w:fill="auto"/>
            <w:vAlign w:val="center"/>
          </w:tcPr>
          <w:p w:rsidR="008338C5" w:rsidRPr="00C35233" w:rsidRDefault="008338C5" w:rsidP="00FB59BA">
            <w:pPr>
              <w:jc w:val="center"/>
              <w:rPr>
                <w:rFonts w:ascii="Arial Narrow" w:hAnsi="Arial Narrow"/>
                <w:bCs/>
                <w:sz w:val="20"/>
                <w:szCs w:val="16"/>
                <w:lang w:val="en-US"/>
              </w:rPr>
            </w:pPr>
            <w:r w:rsidRPr="00C35233">
              <w:rPr>
                <w:rFonts w:ascii="Arial Narrow" w:hAnsi="Arial Narrow"/>
                <w:bCs/>
                <w:sz w:val="20"/>
                <w:szCs w:val="16"/>
                <w:lang w:val="en-US"/>
              </w:rPr>
              <w:lastRenderedPageBreak/>
              <w:t>OS, PFS, FACT-P</w:t>
            </w:r>
          </w:p>
        </w:tc>
      </w:tr>
      <w:tr w:rsidR="008338C5" w:rsidRPr="00C35233" w:rsidTr="00C35233">
        <w:tc>
          <w:tcPr>
            <w:tcW w:w="5000" w:type="pct"/>
            <w:gridSpan w:val="7"/>
            <w:shd w:val="clear" w:color="auto" w:fill="auto"/>
            <w:vAlign w:val="center"/>
          </w:tcPr>
          <w:p w:rsidR="008338C5" w:rsidRPr="00C35233" w:rsidRDefault="008338C5" w:rsidP="00FB59BA">
            <w:pPr>
              <w:jc w:val="left"/>
              <w:rPr>
                <w:rFonts w:ascii="Arial Narrow" w:hAnsi="Arial Narrow"/>
                <w:b/>
                <w:sz w:val="20"/>
                <w:szCs w:val="16"/>
                <w:lang w:val="en-US"/>
              </w:rPr>
            </w:pPr>
            <w:r w:rsidRPr="00C35233">
              <w:rPr>
                <w:rFonts w:ascii="Arial Narrow" w:hAnsi="Arial Narrow"/>
                <w:b/>
                <w:sz w:val="20"/>
                <w:szCs w:val="16"/>
                <w:lang w:val="en-US"/>
              </w:rPr>
              <w:lastRenderedPageBreak/>
              <w:t>Abiraterone versus common reference</w:t>
            </w:r>
          </w:p>
        </w:tc>
      </w:tr>
      <w:tr w:rsidR="008338C5" w:rsidRPr="00C35233" w:rsidTr="00C35233">
        <w:tc>
          <w:tcPr>
            <w:tcW w:w="45" w:type="pct"/>
            <w:shd w:val="clear" w:color="auto" w:fill="auto"/>
            <w:vAlign w:val="center"/>
          </w:tcPr>
          <w:p w:rsidR="008338C5" w:rsidRPr="00C35233" w:rsidRDefault="008338C5" w:rsidP="00FB59BA">
            <w:pPr>
              <w:jc w:val="left"/>
              <w:rPr>
                <w:rFonts w:ascii="Arial Narrow" w:hAnsi="Arial Narrow"/>
                <w:sz w:val="20"/>
                <w:szCs w:val="16"/>
                <w:lang w:val="en-US"/>
              </w:rPr>
            </w:pPr>
            <w:r w:rsidRPr="00C35233">
              <w:rPr>
                <w:rFonts w:ascii="Arial Narrow" w:hAnsi="Arial Narrow"/>
                <w:sz w:val="20"/>
                <w:szCs w:val="16"/>
                <w:lang w:val="en-US"/>
              </w:rPr>
              <w:t>Trial 301</w:t>
            </w:r>
          </w:p>
        </w:tc>
        <w:tc>
          <w:tcPr>
            <w:tcW w:w="428" w:type="pct"/>
            <w:shd w:val="clear" w:color="auto" w:fill="auto"/>
            <w:vAlign w:val="center"/>
          </w:tcPr>
          <w:p w:rsidR="008338C5" w:rsidRPr="00C35233" w:rsidRDefault="008338C5" w:rsidP="00FB59BA">
            <w:pPr>
              <w:jc w:val="center"/>
              <w:rPr>
                <w:rFonts w:ascii="Arial Narrow" w:hAnsi="Arial Narrow"/>
                <w:sz w:val="20"/>
                <w:szCs w:val="16"/>
                <w:lang w:val="en-US"/>
              </w:rPr>
            </w:pPr>
            <w:r w:rsidRPr="00C35233">
              <w:rPr>
                <w:rFonts w:ascii="Arial Narrow" w:hAnsi="Arial Narrow"/>
                <w:sz w:val="20"/>
                <w:szCs w:val="16"/>
                <w:lang w:val="en-US"/>
              </w:rPr>
              <w:t>1195</w:t>
            </w:r>
          </w:p>
        </w:tc>
        <w:tc>
          <w:tcPr>
            <w:tcW w:w="963" w:type="pct"/>
            <w:shd w:val="clear" w:color="auto" w:fill="auto"/>
            <w:vAlign w:val="center"/>
          </w:tcPr>
          <w:p w:rsidR="008338C5" w:rsidRPr="00C35233" w:rsidRDefault="008338C5" w:rsidP="00336615">
            <w:pPr>
              <w:jc w:val="center"/>
              <w:rPr>
                <w:rFonts w:ascii="Arial Narrow" w:hAnsi="Arial Narrow"/>
                <w:bCs/>
                <w:sz w:val="20"/>
                <w:szCs w:val="16"/>
                <w:lang w:val="en-US"/>
              </w:rPr>
            </w:pPr>
            <w:r w:rsidRPr="00C35233">
              <w:rPr>
                <w:rFonts w:ascii="Arial Narrow" w:hAnsi="Arial Narrow"/>
                <w:bCs/>
                <w:sz w:val="20"/>
                <w:szCs w:val="16"/>
                <w:lang w:val="en-US"/>
              </w:rPr>
              <w:t xml:space="preserve">R, DB, </w:t>
            </w:r>
            <w:r w:rsidR="004A303B">
              <w:rPr>
                <w:rFonts w:ascii="Arial Narrow" w:hAnsi="Arial Narrow"/>
                <w:bCs/>
                <w:sz w:val="20"/>
                <w:szCs w:val="16"/>
                <w:lang w:val="en-US"/>
              </w:rPr>
              <w:t>12.8</w:t>
            </w:r>
            <w:r w:rsidRPr="00C35233">
              <w:rPr>
                <w:rFonts w:ascii="Arial Narrow" w:hAnsi="Arial Narrow"/>
                <w:bCs/>
                <w:sz w:val="20"/>
                <w:szCs w:val="16"/>
                <w:lang w:val="en-US"/>
              </w:rPr>
              <w:t xml:space="preserve"> months (median follow up)</w:t>
            </w:r>
          </w:p>
        </w:tc>
        <w:tc>
          <w:tcPr>
            <w:tcW w:w="642" w:type="pct"/>
            <w:shd w:val="clear" w:color="auto" w:fill="auto"/>
            <w:vAlign w:val="center"/>
          </w:tcPr>
          <w:p w:rsidR="008338C5" w:rsidRPr="00C35233" w:rsidRDefault="008338C5" w:rsidP="00FB59BA">
            <w:pPr>
              <w:jc w:val="center"/>
              <w:rPr>
                <w:rFonts w:ascii="Arial Narrow" w:hAnsi="Arial Narrow"/>
                <w:sz w:val="20"/>
                <w:szCs w:val="16"/>
                <w:lang w:val="en-US"/>
              </w:rPr>
            </w:pPr>
            <w:r w:rsidRPr="00C35233">
              <w:rPr>
                <w:rFonts w:ascii="Arial Narrow" w:hAnsi="Arial Narrow"/>
                <w:sz w:val="20"/>
                <w:szCs w:val="16"/>
                <w:lang w:val="en-US"/>
              </w:rPr>
              <w:t>Low</w:t>
            </w:r>
          </w:p>
        </w:tc>
        <w:tc>
          <w:tcPr>
            <w:tcW w:w="1071" w:type="pct"/>
            <w:shd w:val="clear" w:color="auto" w:fill="auto"/>
            <w:vAlign w:val="center"/>
          </w:tcPr>
          <w:p w:rsidR="008338C5" w:rsidRPr="00C35233" w:rsidRDefault="008338C5" w:rsidP="00FB59BA">
            <w:pPr>
              <w:jc w:val="center"/>
              <w:rPr>
                <w:rFonts w:ascii="Arial Narrow" w:hAnsi="Arial Narrow"/>
                <w:sz w:val="20"/>
                <w:szCs w:val="16"/>
                <w:lang w:val="en-US"/>
              </w:rPr>
            </w:pPr>
            <w:proofErr w:type="spellStart"/>
            <w:r w:rsidRPr="00C35233">
              <w:rPr>
                <w:rFonts w:ascii="Arial Narrow" w:hAnsi="Arial Narrow"/>
                <w:bCs/>
                <w:sz w:val="20"/>
                <w:szCs w:val="16"/>
                <w:lang w:val="en-US"/>
              </w:rPr>
              <w:t>mCRPC</w:t>
            </w:r>
            <w:proofErr w:type="spellEnd"/>
            <w:r w:rsidRPr="00C35233">
              <w:rPr>
                <w:rFonts w:ascii="Arial Narrow" w:hAnsi="Arial Narrow"/>
                <w:bCs/>
                <w:sz w:val="20"/>
                <w:szCs w:val="16"/>
                <w:lang w:val="en-US"/>
              </w:rPr>
              <w:t xml:space="preserve"> post-</w:t>
            </w:r>
            <w:proofErr w:type="spellStart"/>
            <w:r w:rsidRPr="00C35233">
              <w:rPr>
                <w:rFonts w:ascii="Arial Narrow" w:hAnsi="Arial Narrow"/>
                <w:bCs/>
                <w:sz w:val="20"/>
                <w:szCs w:val="16"/>
                <w:lang w:val="en-US"/>
              </w:rPr>
              <w:t>docetaxel</w:t>
            </w:r>
            <w:proofErr w:type="spellEnd"/>
          </w:p>
        </w:tc>
        <w:tc>
          <w:tcPr>
            <w:tcW w:w="856" w:type="pct"/>
            <w:shd w:val="clear" w:color="auto" w:fill="auto"/>
            <w:vAlign w:val="center"/>
          </w:tcPr>
          <w:p w:rsidR="008338C5" w:rsidRPr="00C35233" w:rsidRDefault="008338C5" w:rsidP="00FB59BA">
            <w:pPr>
              <w:jc w:val="center"/>
              <w:rPr>
                <w:rFonts w:ascii="Arial Narrow" w:hAnsi="Arial Narrow"/>
                <w:sz w:val="20"/>
                <w:szCs w:val="16"/>
                <w:lang w:val="en-US"/>
              </w:rPr>
            </w:pPr>
            <w:r w:rsidRPr="00C35233">
              <w:rPr>
                <w:rFonts w:ascii="Arial Narrow" w:hAnsi="Arial Narrow"/>
                <w:sz w:val="20"/>
                <w:szCs w:val="16"/>
                <w:lang w:val="en-US"/>
              </w:rPr>
              <w:t>OS, PFS, FACT-P</w:t>
            </w:r>
          </w:p>
        </w:tc>
        <w:tc>
          <w:tcPr>
            <w:tcW w:w="995" w:type="pct"/>
            <w:shd w:val="clear" w:color="auto" w:fill="auto"/>
            <w:vAlign w:val="center"/>
          </w:tcPr>
          <w:p w:rsidR="008338C5" w:rsidRPr="00C35233" w:rsidRDefault="008338C5" w:rsidP="00FB59BA">
            <w:pPr>
              <w:jc w:val="center"/>
              <w:rPr>
                <w:rFonts w:ascii="Arial Narrow" w:hAnsi="Arial Narrow"/>
                <w:sz w:val="20"/>
                <w:szCs w:val="16"/>
                <w:lang w:val="en-US"/>
              </w:rPr>
            </w:pPr>
            <w:r w:rsidRPr="00C35233">
              <w:rPr>
                <w:rFonts w:ascii="Arial Narrow" w:hAnsi="Arial Narrow"/>
                <w:bCs/>
                <w:sz w:val="20"/>
                <w:szCs w:val="16"/>
                <w:lang w:val="en-US"/>
              </w:rPr>
              <w:t>OS, PFS, FACT-P</w:t>
            </w:r>
          </w:p>
        </w:tc>
      </w:tr>
    </w:tbl>
    <w:p w:rsidR="00FD446D" w:rsidRPr="00C35233" w:rsidRDefault="00FD446D" w:rsidP="0095094B">
      <w:pPr>
        <w:pStyle w:val="TableFooter"/>
        <w:ind w:firstLine="720"/>
      </w:pPr>
      <w:r w:rsidRPr="00C35233">
        <w:t>DB=double blind; OS=overall survival; PFS=progression-free survival; R=randomised.</w:t>
      </w:r>
    </w:p>
    <w:p w:rsidR="00FD446D" w:rsidRPr="00C35233" w:rsidRDefault="00FD446D" w:rsidP="0095094B">
      <w:pPr>
        <w:pStyle w:val="TableFooter"/>
        <w:ind w:firstLine="709"/>
      </w:pPr>
      <w:r w:rsidRPr="00C35233">
        <w:t>Source: compiled during the evaluation</w:t>
      </w:r>
    </w:p>
    <w:p w:rsidR="00DA4D52" w:rsidRPr="00C35233" w:rsidRDefault="00DA4D52" w:rsidP="00DA4D52"/>
    <w:p w:rsidR="005F1641" w:rsidRPr="00B95D3E" w:rsidRDefault="005F1641" w:rsidP="00B95D3E">
      <w:pPr>
        <w:pStyle w:val="ListParagraph"/>
        <w:widowControl/>
        <w:numPr>
          <w:ilvl w:val="1"/>
          <w:numId w:val="2"/>
        </w:numPr>
        <w:rPr>
          <w:szCs w:val="22"/>
        </w:rPr>
      </w:pPr>
      <w:r w:rsidRPr="00B95D3E">
        <w:rPr>
          <w:iCs/>
        </w:rPr>
        <w:t>Whilst both trial designs generally have a low risk of bias, patients randomised to the placebo arms in both trials were crossed-over to the active therapy before trial completion:</w:t>
      </w:r>
    </w:p>
    <w:p w:rsidR="005F1641" w:rsidRPr="00C35233" w:rsidRDefault="005F1641" w:rsidP="005F1641">
      <w:pPr>
        <w:pStyle w:val="ListParagraph"/>
        <w:widowControl/>
        <w:numPr>
          <w:ilvl w:val="0"/>
          <w:numId w:val="19"/>
        </w:numPr>
        <w:rPr>
          <w:szCs w:val="22"/>
        </w:rPr>
      </w:pPr>
      <w:r w:rsidRPr="00C35233">
        <w:rPr>
          <w:iCs/>
        </w:rPr>
        <w:t>In Trial 301, the cross-over was planned in the protocol following 67% of the planned 797 deaths;</w:t>
      </w:r>
    </w:p>
    <w:p w:rsidR="00947DFE" w:rsidRPr="00C35233" w:rsidRDefault="005F1641" w:rsidP="00947DFE">
      <w:pPr>
        <w:pStyle w:val="ListParagraph"/>
        <w:widowControl/>
        <w:numPr>
          <w:ilvl w:val="0"/>
          <w:numId w:val="19"/>
        </w:numPr>
        <w:rPr>
          <w:szCs w:val="22"/>
        </w:rPr>
      </w:pPr>
      <w:r w:rsidRPr="00C35233">
        <w:rPr>
          <w:iCs/>
        </w:rPr>
        <w:t>In AFFIRM</w:t>
      </w:r>
      <w:proofErr w:type="gramStart"/>
      <w:r w:rsidRPr="00C35233">
        <w:rPr>
          <w:iCs/>
        </w:rPr>
        <w:t>,</w:t>
      </w:r>
      <w:proofErr w:type="gramEnd"/>
      <w:r w:rsidRPr="00C35233">
        <w:rPr>
          <w:iCs/>
        </w:rPr>
        <w:t xml:space="preserve"> the cross-over occurred following review by an independent Data   Monitoring Committee, performed after 80% of the planned 650 deaths.</w:t>
      </w:r>
    </w:p>
    <w:p w:rsidR="00947DFE" w:rsidRPr="00C35233" w:rsidRDefault="00947DFE" w:rsidP="00947DFE">
      <w:pPr>
        <w:ind w:left="720"/>
        <w:rPr>
          <w:iCs/>
        </w:rPr>
      </w:pPr>
    </w:p>
    <w:p w:rsidR="005F1641" w:rsidRPr="00C35233" w:rsidRDefault="005F1641" w:rsidP="005F1641">
      <w:pPr>
        <w:pStyle w:val="ListParagraph"/>
        <w:widowControl/>
        <w:numPr>
          <w:ilvl w:val="0"/>
          <w:numId w:val="19"/>
        </w:numPr>
        <w:rPr>
          <w:szCs w:val="22"/>
        </w:rPr>
      </w:pPr>
    </w:p>
    <w:p w:rsidR="005365E5" w:rsidRPr="00C35233" w:rsidRDefault="005365E5" w:rsidP="005F1641">
      <w:pPr>
        <w:ind w:left="720"/>
        <w:rPr>
          <w:iCs/>
        </w:rPr>
      </w:pPr>
    </w:p>
    <w:p w:rsidR="005365E5" w:rsidRDefault="005365E5" w:rsidP="005365E5">
      <w:pPr>
        <w:pStyle w:val="ListParagraph"/>
        <w:ind w:left="709"/>
        <w:rPr>
          <w:i/>
          <w:szCs w:val="22"/>
        </w:rPr>
      </w:pPr>
      <w:r w:rsidRPr="00C35233">
        <w:rPr>
          <w:i/>
          <w:szCs w:val="22"/>
        </w:rPr>
        <w:t>For more detail on PBAC’s view, see section 7 “PBAC outcome”</w:t>
      </w:r>
    </w:p>
    <w:p w:rsidR="00221AB7" w:rsidRPr="00C35233" w:rsidRDefault="00221AB7" w:rsidP="005365E5">
      <w:pPr>
        <w:pStyle w:val="ListParagraph"/>
        <w:ind w:left="709"/>
        <w:rPr>
          <w:i/>
          <w:szCs w:val="22"/>
        </w:rPr>
      </w:pPr>
    </w:p>
    <w:p w:rsidR="003E4440" w:rsidRPr="00C35233" w:rsidRDefault="003E4440" w:rsidP="003E4440">
      <w:pPr>
        <w:pStyle w:val="Heading2"/>
      </w:pPr>
      <w:bookmarkStart w:id="10" w:name="_Toc386015341"/>
      <w:bookmarkStart w:id="11" w:name="_Toc387918016"/>
      <w:r w:rsidRPr="00C35233">
        <w:t>Comparative effectiveness</w:t>
      </w:r>
      <w:bookmarkEnd w:id="10"/>
      <w:bookmarkEnd w:id="11"/>
    </w:p>
    <w:p w:rsidR="003E4440" w:rsidRPr="00C35233" w:rsidRDefault="003E4440" w:rsidP="003E4440">
      <w:pPr>
        <w:rPr>
          <w:szCs w:val="22"/>
        </w:rPr>
      </w:pPr>
    </w:p>
    <w:p w:rsidR="003E4440" w:rsidRPr="00B95D3E" w:rsidRDefault="00AD7742" w:rsidP="00B95D3E">
      <w:pPr>
        <w:pStyle w:val="ListParagraph"/>
        <w:widowControl/>
        <w:numPr>
          <w:ilvl w:val="1"/>
          <w:numId w:val="2"/>
        </w:numPr>
        <w:rPr>
          <w:szCs w:val="22"/>
        </w:rPr>
      </w:pPr>
      <w:r w:rsidRPr="00B95D3E">
        <w:rPr>
          <w:szCs w:val="22"/>
        </w:rPr>
        <w:t>Results of overall survival across the direct randomised trials</w:t>
      </w:r>
    </w:p>
    <w:p w:rsidR="00FD022E" w:rsidRDefault="00FD022E" w:rsidP="003E4440">
      <w:pPr>
        <w:widowControl/>
        <w:rPr>
          <w:szCs w:val="22"/>
        </w:rPr>
      </w:pPr>
    </w:p>
    <w:p w:rsidR="003E4440" w:rsidRPr="00C35233" w:rsidRDefault="003E4440" w:rsidP="0095094B">
      <w:pPr>
        <w:ind w:firstLine="709"/>
        <w:rPr>
          <w:rStyle w:val="CommentReference"/>
        </w:rPr>
      </w:pPr>
      <w:r w:rsidRPr="00C35233">
        <w:rPr>
          <w:rStyle w:val="CommentReference"/>
        </w:rPr>
        <w:t xml:space="preserve">Results of </w:t>
      </w:r>
      <w:r w:rsidR="00C95240" w:rsidRPr="00C35233">
        <w:rPr>
          <w:rStyle w:val="CommentReference"/>
        </w:rPr>
        <w:t>overall survival</w:t>
      </w:r>
      <w:r w:rsidRPr="00C35233">
        <w:rPr>
          <w:rStyle w:val="CommentReference"/>
        </w:rPr>
        <w:t xml:space="preserve"> across the direct randomised trials </w:t>
      </w:r>
    </w:p>
    <w:tbl>
      <w:tblPr>
        <w:tblStyle w:val="TableGrid"/>
        <w:tblW w:w="8505" w:type="dxa"/>
        <w:tblInd w:w="737" w:type="dxa"/>
        <w:tblLayout w:type="fixed"/>
        <w:tblCellMar>
          <w:left w:w="28" w:type="dxa"/>
          <w:right w:w="28" w:type="dxa"/>
        </w:tblCellMar>
        <w:tblLook w:val="04A0" w:firstRow="1" w:lastRow="0" w:firstColumn="1" w:lastColumn="0" w:noHBand="0" w:noVBand="1"/>
        <w:tblDescription w:val="Results of overall survival across the direct randomised trials"/>
      </w:tblPr>
      <w:tblGrid>
        <w:gridCol w:w="851"/>
        <w:gridCol w:w="705"/>
        <w:gridCol w:w="993"/>
        <w:gridCol w:w="993"/>
        <w:gridCol w:w="993"/>
        <w:gridCol w:w="992"/>
        <w:gridCol w:w="993"/>
        <w:gridCol w:w="992"/>
        <w:gridCol w:w="993"/>
      </w:tblGrid>
      <w:tr w:rsidR="00C95240" w:rsidRPr="00C35233" w:rsidTr="00EC2306">
        <w:trPr>
          <w:tblHeader/>
        </w:trPr>
        <w:tc>
          <w:tcPr>
            <w:tcW w:w="851" w:type="dxa"/>
            <w:vMerge w:val="restart"/>
            <w:vAlign w:val="center"/>
          </w:tcPr>
          <w:p w:rsidR="00C95240" w:rsidRPr="00C35233" w:rsidRDefault="00C95240" w:rsidP="00FB59BA">
            <w:pPr>
              <w:jc w:val="left"/>
              <w:rPr>
                <w:rFonts w:ascii="Arial Narrow" w:hAnsi="Arial Narrow"/>
                <w:sz w:val="20"/>
              </w:rPr>
            </w:pPr>
          </w:p>
        </w:tc>
        <w:tc>
          <w:tcPr>
            <w:tcW w:w="1698" w:type="dxa"/>
            <w:gridSpan w:val="2"/>
            <w:vAlign w:val="center"/>
          </w:tcPr>
          <w:p w:rsidR="00C95240" w:rsidRPr="00C35233" w:rsidRDefault="00C95240" w:rsidP="00FB59BA">
            <w:pPr>
              <w:jc w:val="center"/>
              <w:rPr>
                <w:rFonts w:ascii="Arial Narrow" w:hAnsi="Arial Narrow"/>
                <w:b/>
                <w:bCs/>
                <w:sz w:val="20"/>
              </w:rPr>
            </w:pPr>
            <w:r w:rsidRPr="00C35233">
              <w:rPr>
                <w:rFonts w:ascii="Arial Narrow" w:hAnsi="Arial Narrow"/>
                <w:b/>
                <w:bCs/>
                <w:sz w:val="20"/>
              </w:rPr>
              <w:t>Trial 301</w:t>
            </w:r>
          </w:p>
        </w:tc>
        <w:tc>
          <w:tcPr>
            <w:tcW w:w="5956" w:type="dxa"/>
            <w:gridSpan w:val="6"/>
            <w:vAlign w:val="center"/>
          </w:tcPr>
          <w:p w:rsidR="00C95240" w:rsidRPr="00C35233" w:rsidRDefault="00C95240" w:rsidP="00FB59BA">
            <w:pPr>
              <w:jc w:val="center"/>
              <w:rPr>
                <w:rFonts w:ascii="Arial Narrow" w:hAnsi="Arial Narrow"/>
                <w:b/>
                <w:bCs/>
                <w:sz w:val="20"/>
              </w:rPr>
            </w:pPr>
            <w:r w:rsidRPr="00C35233">
              <w:rPr>
                <w:rFonts w:ascii="Arial Narrow" w:hAnsi="Arial Narrow"/>
                <w:b/>
                <w:bCs/>
                <w:sz w:val="20"/>
              </w:rPr>
              <w:t>AFFIRM</w:t>
            </w:r>
          </w:p>
        </w:tc>
      </w:tr>
      <w:tr w:rsidR="00C95240" w:rsidRPr="00C35233" w:rsidTr="00EC2306">
        <w:trPr>
          <w:tblHeader/>
        </w:trPr>
        <w:tc>
          <w:tcPr>
            <w:tcW w:w="851" w:type="dxa"/>
            <w:vMerge/>
            <w:vAlign w:val="center"/>
          </w:tcPr>
          <w:p w:rsidR="00C95240" w:rsidRPr="00C35233" w:rsidRDefault="00C95240" w:rsidP="00FB59BA">
            <w:pPr>
              <w:jc w:val="left"/>
              <w:rPr>
                <w:rFonts w:ascii="Arial Narrow" w:hAnsi="Arial Narrow"/>
                <w:sz w:val="20"/>
              </w:rPr>
            </w:pPr>
          </w:p>
        </w:tc>
        <w:tc>
          <w:tcPr>
            <w:tcW w:w="1698" w:type="dxa"/>
            <w:gridSpan w:val="2"/>
            <w:vAlign w:val="center"/>
          </w:tcPr>
          <w:p w:rsidR="00C95240" w:rsidRPr="00C35233" w:rsidRDefault="00C95240" w:rsidP="00FB59BA">
            <w:pPr>
              <w:jc w:val="center"/>
              <w:rPr>
                <w:rFonts w:ascii="Arial Narrow" w:hAnsi="Arial Narrow"/>
                <w:b/>
                <w:bCs/>
                <w:sz w:val="20"/>
              </w:rPr>
            </w:pPr>
            <w:r w:rsidRPr="00C35233">
              <w:rPr>
                <w:rFonts w:ascii="Arial Narrow" w:hAnsi="Arial Narrow"/>
                <w:b/>
                <w:bCs/>
                <w:sz w:val="20"/>
              </w:rPr>
              <w:t>ITT population</w:t>
            </w:r>
          </w:p>
          <w:p w:rsidR="00C95240" w:rsidRPr="00C35233" w:rsidRDefault="00C95240" w:rsidP="00FB59BA">
            <w:pPr>
              <w:jc w:val="center"/>
              <w:rPr>
                <w:rFonts w:ascii="Arial Narrow" w:hAnsi="Arial Narrow"/>
                <w:b/>
                <w:bCs/>
                <w:sz w:val="20"/>
              </w:rPr>
            </w:pPr>
            <w:r w:rsidRPr="00C35233">
              <w:rPr>
                <w:rFonts w:ascii="Arial Narrow" w:hAnsi="Arial Narrow"/>
                <w:b/>
                <w:bCs/>
                <w:sz w:val="20"/>
              </w:rPr>
              <w:t>(</w:t>
            </w:r>
            <w:proofErr w:type="spellStart"/>
            <w:r w:rsidRPr="00C35233">
              <w:rPr>
                <w:rFonts w:ascii="Arial Narrow" w:hAnsi="Arial Narrow"/>
                <w:b/>
                <w:bCs/>
                <w:sz w:val="20"/>
              </w:rPr>
              <w:t>abiraterone</w:t>
            </w:r>
            <w:proofErr w:type="spellEnd"/>
            <w:r w:rsidRPr="00C35233">
              <w:rPr>
                <w:rFonts w:ascii="Arial Narrow" w:hAnsi="Arial Narrow"/>
                <w:b/>
                <w:bCs/>
                <w:sz w:val="20"/>
              </w:rPr>
              <w:t xml:space="preserve"> + </w:t>
            </w:r>
            <w:proofErr w:type="spellStart"/>
            <w:r w:rsidRPr="00C35233">
              <w:rPr>
                <w:rFonts w:ascii="Arial Narrow" w:hAnsi="Arial Narrow"/>
                <w:b/>
                <w:bCs/>
                <w:sz w:val="20"/>
              </w:rPr>
              <w:t>pred</w:t>
            </w:r>
            <w:proofErr w:type="spellEnd"/>
            <w:r w:rsidRPr="00C35233">
              <w:rPr>
                <w:rFonts w:ascii="Arial Narrow" w:hAnsi="Arial Narrow"/>
                <w:b/>
                <w:bCs/>
                <w:sz w:val="20"/>
              </w:rPr>
              <w:t>)</w:t>
            </w:r>
          </w:p>
        </w:tc>
        <w:tc>
          <w:tcPr>
            <w:tcW w:w="1986" w:type="dxa"/>
            <w:gridSpan w:val="2"/>
            <w:vAlign w:val="center"/>
          </w:tcPr>
          <w:p w:rsidR="00C95240" w:rsidRPr="00C35233" w:rsidRDefault="00C95240" w:rsidP="00FB59BA">
            <w:pPr>
              <w:jc w:val="center"/>
              <w:rPr>
                <w:rFonts w:ascii="Arial Narrow" w:hAnsi="Arial Narrow"/>
                <w:b/>
                <w:bCs/>
                <w:sz w:val="20"/>
              </w:rPr>
            </w:pPr>
            <w:r w:rsidRPr="00C35233">
              <w:rPr>
                <w:rFonts w:ascii="Arial Narrow" w:hAnsi="Arial Narrow"/>
                <w:b/>
                <w:bCs/>
                <w:sz w:val="20"/>
              </w:rPr>
              <w:t>ITT population</w:t>
            </w:r>
          </w:p>
          <w:p w:rsidR="00C95240" w:rsidRPr="00C35233" w:rsidRDefault="00C95240" w:rsidP="00FB59BA">
            <w:pPr>
              <w:jc w:val="center"/>
              <w:rPr>
                <w:rFonts w:ascii="Arial Narrow" w:hAnsi="Arial Narrow"/>
                <w:sz w:val="20"/>
                <w:vertAlign w:val="superscript"/>
              </w:rPr>
            </w:pPr>
            <w:r w:rsidRPr="00C35233">
              <w:rPr>
                <w:rFonts w:ascii="Arial Narrow" w:hAnsi="Arial Narrow"/>
                <w:b/>
                <w:bCs/>
                <w:sz w:val="20"/>
              </w:rPr>
              <w:t>(</w:t>
            </w:r>
            <w:proofErr w:type="spellStart"/>
            <w:r w:rsidRPr="00C35233">
              <w:rPr>
                <w:rFonts w:ascii="Arial Narrow" w:hAnsi="Arial Narrow"/>
                <w:b/>
                <w:bCs/>
                <w:sz w:val="20"/>
              </w:rPr>
              <w:t>enzalutamide</w:t>
            </w:r>
            <w:proofErr w:type="spellEnd"/>
            <w:r w:rsidRPr="00C35233">
              <w:rPr>
                <w:rFonts w:ascii="Arial Narrow" w:hAnsi="Arial Narrow"/>
                <w:b/>
                <w:bCs/>
                <w:sz w:val="20"/>
              </w:rPr>
              <w:t xml:space="preserve"> ± </w:t>
            </w:r>
            <w:proofErr w:type="spellStart"/>
            <w:r w:rsidRPr="00C35233">
              <w:rPr>
                <w:rFonts w:ascii="Arial Narrow" w:hAnsi="Arial Narrow"/>
                <w:b/>
                <w:bCs/>
                <w:sz w:val="20"/>
              </w:rPr>
              <w:t>pred</w:t>
            </w:r>
            <w:proofErr w:type="spellEnd"/>
            <w:r w:rsidRPr="00C35233">
              <w:rPr>
                <w:rFonts w:ascii="Arial Narrow" w:hAnsi="Arial Narrow"/>
                <w:b/>
                <w:bCs/>
                <w:sz w:val="20"/>
              </w:rPr>
              <w:t>)</w:t>
            </w:r>
          </w:p>
        </w:tc>
        <w:tc>
          <w:tcPr>
            <w:tcW w:w="1985" w:type="dxa"/>
            <w:gridSpan w:val="2"/>
            <w:vAlign w:val="center"/>
          </w:tcPr>
          <w:p w:rsidR="00C95240" w:rsidRPr="00C35233" w:rsidRDefault="00C95240" w:rsidP="00FB59BA">
            <w:pPr>
              <w:jc w:val="center"/>
              <w:rPr>
                <w:rFonts w:ascii="Arial Narrow" w:hAnsi="Arial Narrow"/>
                <w:b/>
                <w:bCs/>
                <w:sz w:val="20"/>
              </w:rPr>
            </w:pPr>
            <w:r w:rsidRPr="00947DFE">
              <w:rPr>
                <w:rFonts w:ascii="Arial Narrow" w:hAnsi="Arial Narrow"/>
                <w:b/>
                <w:iCs/>
                <w:sz w:val="20"/>
              </w:rPr>
              <w:t xml:space="preserve">post-hoc </w:t>
            </w:r>
            <w:r w:rsidRPr="00947DFE">
              <w:rPr>
                <w:rFonts w:ascii="Arial Narrow" w:hAnsi="Arial Narrow"/>
                <w:b/>
                <w:sz w:val="20"/>
              </w:rPr>
              <w:t>Subgroup 1 (</w:t>
            </w:r>
            <w:proofErr w:type="spellStart"/>
            <w:r w:rsidRPr="00947DFE">
              <w:rPr>
                <w:rFonts w:ascii="Arial Narrow" w:hAnsi="Arial Narrow"/>
                <w:b/>
                <w:sz w:val="20"/>
              </w:rPr>
              <w:t>enzalutamide</w:t>
            </w:r>
            <w:proofErr w:type="spellEnd"/>
            <w:r w:rsidRPr="00947DFE">
              <w:rPr>
                <w:rFonts w:ascii="Arial Narrow" w:hAnsi="Arial Narrow"/>
                <w:b/>
                <w:sz w:val="20"/>
              </w:rPr>
              <w:t xml:space="preserve"> + </w:t>
            </w:r>
            <w:proofErr w:type="spellStart"/>
            <w:r w:rsidRPr="00947DFE">
              <w:rPr>
                <w:rFonts w:ascii="Arial Narrow" w:hAnsi="Arial Narrow"/>
                <w:b/>
                <w:sz w:val="20"/>
              </w:rPr>
              <w:t>pred</w:t>
            </w:r>
            <w:proofErr w:type="spellEnd"/>
            <w:r w:rsidRPr="00947DFE">
              <w:rPr>
                <w:rFonts w:ascii="Arial Narrow" w:hAnsi="Arial Narrow"/>
                <w:b/>
                <w:sz w:val="20"/>
              </w:rPr>
              <w:t>)</w:t>
            </w:r>
          </w:p>
        </w:tc>
        <w:tc>
          <w:tcPr>
            <w:tcW w:w="1985" w:type="dxa"/>
            <w:gridSpan w:val="2"/>
            <w:vAlign w:val="center"/>
          </w:tcPr>
          <w:p w:rsidR="00C95240" w:rsidRPr="00C35233" w:rsidRDefault="00C95240" w:rsidP="00E73118">
            <w:pPr>
              <w:jc w:val="center"/>
              <w:rPr>
                <w:rFonts w:ascii="Arial Narrow" w:hAnsi="Arial Narrow"/>
                <w:b/>
                <w:bCs/>
                <w:sz w:val="20"/>
              </w:rPr>
            </w:pPr>
            <w:r w:rsidRPr="00947DFE">
              <w:rPr>
                <w:rFonts w:ascii="Arial Narrow" w:hAnsi="Arial Narrow"/>
                <w:b/>
                <w:iCs/>
                <w:sz w:val="20"/>
              </w:rPr>
              <w:t xml:space="preserve">post-hoc </w:t>
            </w:r>
            <w:r w:rsidRPr="00947DFE">
              <w:rPr>
                <w:rFonts w:ascii="Arial Narrow" w:hAnsi="Arial Narrow"/>
                <w:b/>
                <w:sz w:val="20"/>
              </w:rPr>
              <w:t>Subgroup 2 (enzalutamide only</w:t>
            </w:r>
            <w:r w:rsidR="00E73118">
              <w:rPr>
                <w:rFonts w:ascii="Arial Narrow" w:hAnsi="Arial Narrow"/>
                <w:b/>
                <w:sz w:val="20"/>
              </w:rPr>
              <w:t>)</w:t>
            </w:r>
          </w:p>
        </w:tc>
      </w:tr>
      <w:tr w:rsidR="00C95240" w:rsidRPr="00C35233" w:rsidTr="00EC2306">
        <w:trPr>
          <w:tblHeader/>
        </w:trPr>
        <w:tc>
          <w:tcPr>
            <w:tcW w:w="851" w:type="dxa"/>
            <w:vMerge/>
            <w:vAlign w:val="center"/>
          </w:tcPr>
          <w:p w:rsidR="00C95240" w:rsidRPr="00C35233" w:rsidRDefault="00C95240" w:rsidP="00FB59BA">
            <w:pPr>
              <w:jc w:val="left"/>
              <w:rPr>
                <w:rFonts w:ascii="Arial Narrow" w:hAnsi="Arial Narrow"/>
                <w:sz w:val="20"/>
              </w:rPr>
            </w:pPr>
          </w:p>
        </w:tc>
        <w:tc>
          <w:tcPr>
            <w:tcW w:w="705" w:type="dxa"/>
            <w:vAlign w:val="center"/>
          </w:tcPr>
          <w:p w:rsidR="00C95240" w:rsidRPr="00C35233" w:rsidRDefault="00C95240" w:rsidP="00FB59BA">
            <w:pPr>
              <w:jc w:val="center"/>
              <w:rPr>
                <w:rFonts w:ascii="Arial Narrow" w:hAnsi="Arial Narrow"/>
                <w:b/>
                <w:bCs/>
                <w:sz w:val="19"/>
                <w:szCs w:val="19"/>
              </w:rPr>
            </w:pPr>
            <w:r w:rsidRPr="00C35233">
              <w:rPr>
                <w:rFonts w:ascii="Arial Narrow" w:hAnsi="Arial Narrow"/>
                <w:b/>
                <w:bCs/>
                <w:sz w:val="19"/>
                <w:szCs w:val="19"/>
              </w:rPr>
              <w:t>AB +PRED</w:t>
            </w:r>
          </w:p>
          <w:p w:rsidR="00C95240" w:rsidRPr="00C35233" w:rsidRDefault="00C95240" w:rsidP="00FB59BA">
            <w:pPr>
              <w:jc w:val="center"/>
              <w:rPr>
                <w:rFonts w:ascii="Arial Narrow" w:hAnsi="Arial Narrow"/>
                <w:b/>
                <w:bCs/>
                <w:sz w:val="19"/>
                <w:szCs w:val="19"/>
              </w:rPr>
            </w:pPr>
            <w:r w:rsidRPr="00C35233">
              <w:rPr>
                <w:rFonts w:ascii="Arial Narrow" w:hAnsi="Arial Narrow"/>
                <w:b/>
                <w:bCs/>
                <w:sz w:val="19"/>
                <w:szCs w:val="19"/>
              </w:rPr>
              <w:t>(N=797)</w:t>
            </w:r>
          </w:p>
        </w:tc>
        <w:tc>
          <w:tcPr>
            <w:tcW w:w="993" w:type="dxa"/>
            <w:vAlign w:val="center"/>
          </w:tcPr>
          <w:p w:rsidR="00C95240" w:rsidRPr="00C35233" w:rsidRDefault="00C95240" w:rsidP="00FB59BA">
            <w:pPr>
              <w:jc w:val="center"/>
              <w:rPr>
                <w:rFonts w:ascii="Arial Narrow" w:hAnsi="Arial Narrow"/>
                <w:b/>
                <w:bCs/>
                <w:sz w:val="19"/>
                <w:szCs w:val="19"/>
              </w:rPr>
            </w:pPr>
            <w:r w:rsidRPr="00C35233">
              <w:rPr>
                <w:rFonts w:ascii="Arial Narrow" w:hAnsi="Arial Narrow"/>
                <w:b/>
                <w:bCs/>
                <w:sz w:val="19"/>
                <w:szCs w:val="19"/>
              </w:rPr>
              <w:t>PLA +PRED</w:t>
            </w:r>
          </w:p>
          <w:p w:rsidR="00C95240" w:rsidRPr="00C35233" w:rsidRDefault="00C95240" w:rsidP="00FB59BA">
            <w:pPr>
              <w:jc w:val="center"/>
              <w:rPr>
                <w:rFonts w:ascii="Arial Narrow" w:hAnsi="Arial Narrow"/>
                <w:b/>
                <w:bCs/>
                <w:sz w:val="19"/>
                <w:szCs w:val="19"/>
              </w:rPr>
            </w:pPr>
            <w:r w:rsidRPr="00C35233">
              <w:rPr>
                <w:rFonts w:ascii="Arial Narrow" w:hAnsi="Arial Narrow"/>
                <w:b/>
                <w:bCs/>
                <w:sz w:val="19"/>
                <w:szCs w:val="19"/>
              </w:rPr>
              <w:t>(N=398)</w:t>
            </w:r>
          </w:p>
        </w:tc>
        <w:tc>
          <w:tcPr>
            <w:tcW w:w="993" w:type="dxa"/>
            <w:vAlign w:val="center"/>
          </w:tcPr>
          <w:p w:rsidR="00C95240" w:rsidRPr="00C35233" w:rsidRDefault="00C95240" w:rsidP="00FB59BA">
            <w:pPr>
              <w:jc w:val="center"/>
              <w:rPr>
                <w:rFonts w:ascii="Arial Narrow" w:hAnsi="Arial Narrow"/>
                <w:b/>
                <w:bCs/>
                <w:sz w:val="19"/>
                <w:szCs w:val="19"/>
              </w:rPr>
            </w:pPr>
            <w:r w:rsidRPr="00C35233">
              <w:rPr>
                <w:rFonts w:ascii="Arial Narrow" w:hAnsi="Arial Narrow"/>
                <w:b/>
                <w:bCs/>
                <w:sz w:val="19"/>
                <w:szCs w:val="19"/>
              </w:rPr>
              <w:t>EN ±PRED</w:t>
            </w:r>
          </w:p>
          <w:p w:rsidR="00C95240" w:rsidRPr="00C35233" w:rsidRDefault="00C95240" w:rsidP="00FB59BA">
            <w:pPr>
              <w:jc w:val="center"/>
              <w:rPr>
                <w:rFonts w:ascii="Arial Narrow" w:hAnsi="Arial Narrow"/>
                <w:b/>
                <w:bCs/>
                <w:sz w:val="19"/>
                <w:szCs w:val="19"/>
              </w:rPr>
            </w:pPr>
            <w:r w:rsidRPr="00C35233">
              <w:rPr>
                <w:rFonts w:ascii="Arial Narrow" w:hAnsi="Arial Narrow"/>
                <w:b/>
                <w:bCs/>
                <w:sz w:val="19"/>
                <w:szCs w:val="19"/>
              </w:rPr>
              <w:t>(N=800)</w:t>
            </w:r>
          </w:p>
        </w:tc>
        <w:tc>
          <w:tcPr>
            <w:tcW w:w="993" w:type="dxa"/>
            <w:vAlign w:val="center"/>
          </w:tcPr>
          <w:p w:rsidR="00C95240" w:rsidRPr="00C35233" w:rsidRDefault="00C95240" w:rsidP="00FB59BA">
            <w:pPr>
              <w:jc w:val="center"/>
              <w:rPr>
                <w:rFonts w:ascii="Arial Narrow" w:hAnsi="Arial Narrow"/>
                <w:b/>
                <w:bCs/>
                <w:sz w:val="19"/>
                <w:szCs w:val="19"/>
              </w:rPr>
            </w:pPr>
            <w:r w:rsidRPr="00C35233">
              <w:rPr>
                <w:rFonts w:ascii="Arial Narrow" w:hAnsi="Arial Narrow"/>
                <w:b/>
                <w:bCs/>
                <w:sz w:val="19"/>
                <w:szCs w:val="19"/>
              </w:rPr>
              <w:t>PLA ±PRED (N=399)</w:t>
            </w:r>
          </w:p>
        </w:tc>
        <w:tc>
          <w:tcPr>
            <w:tcW w:w="992" w:type="dxa"/>
            <w:vAlign w:val="center"/>
          </w:tcPr>
          <w:p w:rsidR="00C95240" w:rsidRPr="00947DFE" w:rsidRDefault="00C95240" w:rsidP="00FB59BA">
            <w:pPr>
              <w:jc w:val="center"/>
              <w:rPr>
                <w:rFonts w:ascii="Arial Narrow" w:hAnsi="Arial Narrow"/>
                <w:b/>
                <w:bCs/>
                <w:sz w:val="19"/>
                <w:szCs w:val="19"/>
              </w:rPr>
            </w:pPr>
            <w:r w:rsidRPr="00947DFE">
              <w:rPr>
                <w:rFonts w:ascii="Arial Narrow" w:hAnsi="Arial Narrow"/>
                <w:b/>
                <w:bCs/>
                <w:sz w:val="19"/>
                <w:szCs w:val="19"/>
              </w:rPr>
              <w:t>EN +PRED</w:t>
            </w:r>
          </w:p>
          <w:p w:rsidR="00C95240" w:rsidRPr="00C35233" w:rsidRDefault="00C95240" w:rsidP="00FB59BA">
            <w:pPr>
              <w:jc w:val="center"/>
              <w:rPr>
                <w:rFonts w:ascii="Arial Narrow" w:hAnsi="Arial Narrow"/>
                <w:b/>
                <w:bCs/>
                <w:sz w:val="19"/>
                <w:szCs w:val="19"/>
              </w:rPr>
            </w:pPr>
            <w:r w:rsidRPr="00947DFE">
              <w:rPr>
                <w:rFonts w:ascii="Arial Narrow" w:hAnsi="Arial Narrow"/>
                <w:b/>
                <w:bCs/>
                <w:sz w:val="19"/>
                <w:szCs w:val="19"/>
              </w:rPr>
              <w:t>(N=382)</w:t>
            </w:r>
          </w:p>
        </w:tc>
        <w:tc>
          <w:tcPr>
            <w:tcW w:w="993" w:type="dxa"/>
            <w:vAlign w:val="center"/>
          </w:tcPr>
          <w:p w:rsidR="00C95240" w:rsidRPr="00947DFE" w:rsidRDefault="00C95240" w:rsidP="00FB59BA">
            <w:pPr>
              <w:jc w:val="center"/>
              <w:rPr>
                <w:rFonts w:ascii="Arial Narrow" w:hAnsi="Arial Narrow"/>
                <w:b/>
                <w:bCs/>
                <w:sz w:val="19"/>
                <w:szCs w:val="19"/>
              </w:rPr>
            </w:pPr>
            <w:r w:rsidRPr="00947DFE">
              <w:rPr>
                <w:rFonts w:ascii="Arial Narrow" w:hAnsi="Arial Narrow"/>
                <w:b/>
                <w:bCs/>
                <w:sz w:val="19"/>
                <w:szCs w:val="19"/>
              </w:rPr>
              <w:t>PLA +PRED</w:t>
            </w:r>
          </w:p>
          <w:p w:rsidR="00C95240" w:rsidRPr="00C35233" w:rsidRDefault="00C95240" w:rsidP="00FB59BA">
            <w:pPr>
              <w:jc w:val="center"/>
              <w:rPr>
                <w:rFonts w:ascii="Arial Narrow" w:hAnsi="Arial Narrow"/>
                <w:b/>
                <w:bCs/>
                <w:sz w:val="19"/>
                <w:szCs w:val="19"/>
              </w:rPr>
            </w:pPr>
            <w:r w:rsidRPr="00947DFE">
              <w:rPr>
                <w:rFonts w:ascii="Arial Narrow" w:hAnsi="Arial Narrow"/>
                <w:b/>
                <w:bCs/>
                <w:sz w:val="19"/>
                <w:szCs w:val="19"/>
              </w:rPr>
              <w:t>(N=182)</w:t>
            </w:r>
          </w:p>
        </w:tc>
        <w:tc>
          <w:tcPr>
            <w:tcW w:w="992" w:type="dxa"/>
            <w:vAlign w:val="center"/>
          </w:tcPr>
          <w:p w:rsidR="00C95240" w:rsidRPr="00947DFE" w:rsidRDefault="00C95240" w:rsidP="00FB59BA">
            <w:pPr>
              <w:jc w:val="center"/>
              <w:rPr>
                <w:rFonts w:ascii="Arial Narrow" w:hAnsi="Arial Narrow"/>
                <w:b/>
                <w:bCs/>
                <w:sz w:val="19"/>
                <w:szCs w:val="19"/>
              </w:rPr>
            </w:pPr>
            <w:r w:rsidRPr="00947DFE">
              <w:rPr>
                <w:rFonts w:ascii="Arial Narrow" w:hAnsi="Arial Narrow"/>
                <w:b/>
                <w:bCs/>
                <w:sz w:val="19"/>
                <w:szCs w:val="19"/>
              </w:rPr>
              <w:t>EN only</w:t>
            </w:r>
          </w:p>
          <w:p w:rsidR="00C95240" w:rsidRPr="00C35233" w:rsidRDefault="00C95240" w:rsidP="00FB59BA">
            <w:pPr>
              <w:jc w:val="center"/>
              <w:rPr>
                <w:rFonts w:ascii="Arial Narrow" w:hAnsi="Arial Narrow"/>
                <w:b/>
                <w:bCs/>
                <w:sz w:val="19"/>
                <w:szCs w:val="19"/>
              </w:rPr>
            </w:pPr>
            <w:r w:rsidRPr="00947DFE">
              <w:rPr>
                <w:rFonts w:ascii="Arial Narrow" w:hAnsi="Arial Narrow"/>
                <w:b/>
                <w:bCs/>
                <w:sz w:val="19"/>
                <w:szCs w:val="19"/>
              </w:rPr>
              <w:t>(N=418)</w:t>
            </w:r>
          </w:p>
        </w:tc>
        <w:tc>
          <w:tcPr>
            <w:tcW w:w="993" w:type="dxa"/>
            <w:vAlign w:val="center"/>
          </w:tcPr>
          <w:p w:rsidR="00C95240" w:rsidRPr="00947DFE" w:rsidRDefault="00C95240" w:rsidP="00FB59BA">
            <w:pPr>
              <w:jc w:val="center"/>
              <w:rPr>
                <w:rFonts w:ascii="Arial Narrow" w:hAnsi="Arial Narrow"/>
                <w:b/>
                <w:bCs/>
                <w:sz w:val="19"/>
                <w:szCs w:val="19"/>
              </w:rPr>
            </w:pPr>
            <w:r w:rsidRPr="00947DFE">
              <w:rPr>
                <w:rFonts w:ascii="Arial Narrow" w:hAnsi="Arial Narrow"/>
                <w:b/>
                <w:bCs/>
                <w:sz w:val="19"/>
                <w:szCs w:val="19"/>
              </w:rPr>
              <w:t>PLA only</w:t>
            </w:r>
          </w:p>
          <w:p w:rsidR="00C95240" w:rsidRPr="00C35233" w:rsidRDefault="00C95240" w:rsidP="00FB59BA">
            <w:pPr>
              <w:jc w:val="center"/>
              <w:rPr>
                <w:rFonts w:ascii="Arial Narrow" w:hAnsi="Arial Narrow"/>
                <w:b/>
                <w:bCs/>
                <w:sz w:val="19"/>
                <w:szCs w:val="19"/>
              </w:rPr>
            </w:pPr>
            <w:r w:rsidRPr="00947DFE">
              <w:rPr>
                <w:rFonts w:ascii="Arial Narrow" w:hAnsi="Arial Narrow"/>
                <w:b/>
                <w:bCs/>
                <w:sz w:val="19"/>
                <w:szCs w:val="19"/>
              </w:rPr>
              <w:t>(N=217)</w:t>
            </w:r>
          </w:p>
        </w:tc>
      </w:tr>
      <w:tr w:rsidR="00C95240" w:rsidRPr="00C35233" w:rsidTr="00C35233">
        <w:tc>
          <w:tcPr>
            <w:tcW w:w="851" w:type="dxa"/>
            <w:vAlign w:val="center"/>
          </w:tcPr>
          <w:p w:rsidR="00C95240" w:rsidRPr="00C35233" w:rsidRDefault="00C95240" w:rsidP="00FB59BA">
            <w:pPr>
              <w:jc w:val="left"/>
              <w:rPr>
                <w:rFonts w:ascii="Arial Narrow" w:hAnsi="Arial Narrow"/>
                <w:sz w:val="20"/>
              </w:rPr>
            </w:pPr>
            <w:r w:rsidRPr="00C35233">
              <w:rPr>
                <w:rFonts w:ascii="Arial Narrow" w:hAnsi="Arial Narrow"/>
                <w:sz w:val="20"/>
              </w:rPr>
              <w:t>Event</w:t>
            </w:r>
          </w:p>
        </w:tc>
        <w:tc>
          <w:tcPr>
            <w:tcW w:w="705" w:type="dxa"/>
          </w:tcPr>
          <w:p w:rsidR="00C95240" w:rsidRPr="00C35233" w:rsidRDefault="00C95240" w:rsidP="00FB59BA">
            <w:pPr>
              <w:jc w:val="center"/>
              <w:rPr>
                <w:rFonts w:ascii="Arial Narrow" w:hAnsi="Arial Narrow"/>
                <w:sz w:val="20"/>
              </w:rPr>
            </w:pPr>
            <w:r w:rsidRPr="00C35233">
              <w:rPr>
                <w:rFonts w:ascii="Arial Narrow" w:hAnsi="Arial Narrow"/>
                <w:sz w:val="20"/>
              </w:rPr>
              <w:t>333 (42%)</w:t>
            </w:r>
          </w:p>
        </w:tc>
        <w:tc>
          <w:tcPr>
            <w:tcW w:w="993" w:type="dxa"/>
          </w:tcPr>
          <w:p w:rsidR="00C95240" w:rsidRPr="00C35233" w:rsidRDefault="00C95240" w:rsidP="00FB59BA">
            <w:pPr>
              <w:jc w:val="center"/>
              <w:rPr>
                <w:rFonts w:ascii="Arial Narrow" w:hAnsi="Arial Narrow"/>
                <w:sz w:val="20"/>
              </w:rPr>
            </w:pPr>
            <w:r w:rsidRPr="00C35233">
              <w:rPr>
                <w:rFonts w:ascii="Arial Narrow" w:hAnsi="Arial Narrow"/>
                <w:sz w:val="20"/>
              </w:rPr>
              <w:t>219 (55%)</w:t>
            </w:r>
          </w:p>
        </w:tc>
        <w:tc>
          <w:tcPr>
            <w:tcW w:w="993" w:type="dxa"/>
            <w:vAlign w:val="center"/>
          </w:tcPr>
          <w:p w:rsidR="00C95240" w:rsidRPr="00C35233" w:rsidRDefault="00C95240" w:rsidP="00FB59BA">
            <w:pPr>
              <w:jc w:val="center"/>
              <w:rPr>
                <w:rFonts w:ascii="Arial Narrow" w:hAnsi="Arial Narrow"/>
                <w:sz w:val="20"/>
              </w:rPr>
            </w:pPr>
            <w:r w:rsidRPr="00C35233">
              <w:rPr>
                <w:rFonts w:ascii="Arial Narrow" w:hAnsi="Arial Narrow"/>
                <w:sz w:val="20"/>
              </w:rPr>
              <w:t>308 (38.5%)</w:t>
            </w:r>
          </w:p>
        </w:tc>
        <w:tc>
          <w:tcPr>
            <w:tcW w:w="993" w:type="dxa"/>
            <w:vAlign w:val="center"/>
          </w:tcPr>
          <w:p w:rsidR="00C95240" w:rsidRPr="00C35233" w:rsidRDefault="00C95240" w:rsidP="00FB59BA">
            <w:pPr>
              <w:jc w:val="center"/>
              <w:rPr>
                <w:rFonts w:ascii="Arial Narrow" w:hAnsi="Arial Narrow"/>
                <w:sz w:val="20"/>
              </w:rPr>
            </w:pPr>
            <w:r w:rsidRPr="00C35233">
              <w:rPr>
                <w:rFonts w:ascii="Arial Narrow" w:hAnsi="Arial Narrow"/>
                <w:sz w:val="20"/>
              </w:rPr>
              <w:t>212 (53.1%)</w:t>
            </w:r>
          </w:p>
        </w:tc>
        <w:tc>
          <w:tcPr>
            <w:tcW w:w="992"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3"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2"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3"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r>
      <w:tr w:rsidR="00C95240" w:rsidRPr="00C35233" w:rsidTr="00C35233">
        <w:tc>
          <w:tcPr>
            <w:tcW w:w="851" w:type="dxa"/>
            <w:vAlign w:val="center"/>
          </w:tcPr>
          <w:p w:rsidR="00C95240" w:rsidRPr="00C35233" w:rsidRDefault="00C95240" w:rsidP="00FB59BA">
            <w:pPr>
              <w:jc w:val="left"/>
              <w:rPr>
                <w:rFonts w:ascii="Arial Narrow" w:hAnsi="Arial Narrow"/>
                <w:sz w:val="20"/>
              </w:rPr>
            </w:pPr>
            <w:r w:rsidRPr="00961C4D">
              <w:rPr>
                <w:rFonts w:ascii="Arial Narrow" w:hAnsi="Arial Narrow"/>
                <w:sz w:val="20"/>
              </w:rPr>
              <w:t>Censored</w:t>
            </w:r>
          </w:p>
        </w:tc>
        <w:tc>
          <w:tcPr>
            <w:tcW w:w="705" w:type="dxa"/>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3" w:type="dxa"/>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3"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3"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2"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3"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2"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993"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r>
      <w:tr w:rsidR="00C95240" w:rsidRPr="00C35233" w:rsidTr="00C35233">
        <w:tc>
          <w:tcPr>
            <w:tcW w:w="851" w:type="dxa"/>
            <w:vAlign w:val="center"/>
          </w:tcPr>
          <w:p w:rsidR="00C95240" w:rsidRPr="00C35233" w:rsidRDefault="00C95240" w:rsidP="00FB59BA">
            <w:pPr>
              <w:jc w:val="left"/>
              <w:rPr>
                <w:rFonts w:ascii="Arial Narrow" w:hAnsi="Arial Narrow"/>
                <w:sz w:val="20"/>
              </w:rPr>
            </w:pPr>
            <w:r w:rsidRPr="00C35233">
              <w:rPr>
                <w:rFonts w:ascii="Arial Narrow" w:hAnsi="Arial Narrow"/>
                <w:sz w:val="20"/>
              </w:rPr>
              <w:t>Median survival (months)</w:t>
            </w:r>
          </w:p>
        </w:tc>
        <w:tc>
          <w:tcPr>
            <w:tcW w:w="705" w:type="dxa"/>
            <w:vAlign w:val="center"/>
          </w:tcPr>
          <w:p w:rsidR="00C95240" w:rsidRPr="00C35233" w:rsidRDefault="00C95240" w:rsidP="00FB59BA">
            <w:pPr>
              <w:jc w:val="center"/>
              <w:rPr>
                <w:rFonts w:ascii="Arial Narrow" w:hAnsi="Arial Narrow"/>
                <w:sz w:val="20"/>
              </w:rPr>
            </w:pPr>
            <w:r w:rsidRPr="00C35233">
              <w:rPr>
                <w:rFonts w:ascii="Arial Narrow" w:hAnsi="Arial Narrow"/>
                <w:sz w:val="20"/>
              </w:rPr>
              <w:t>14.8</w:t>
            </w:r>
          </w:p>
          <w:p w:rsidR="00C95240" w:rsidRPr="00C35233" w:rsidRDefault="00C95240" w:rsidP="00FB59BA">
            <w:pPr>
              <w:jc w:val="center"/>
              <w:rPr>
                <w:rFonts w:ascii="Arial Narrow" w:hAnsi="Arial Narrow"/>
                <w:sz w:val="20"/>
              </w:rPr>
            </w:pPr>
            <w:r w:rsidRPr="00C35233">
              <w:rPr>
                <w:rFonts w:ascii="Arial Narrow" w:hAnsi="Arial Narrow"/>
                <w:sz w:val="20"/>
              </w:rPr>
              <w:t>(NR)</w:t>
            </w:r>
          </w:p>
        </w:tc>
        <w:tc>
          <w:tcPr>
            <w:tcW w:w="993" w:type="dxa"/>
            <w:vAlign w:val="center"/>
          </w:tcPr>
          <w:p w:rsidR="00C95240" w:rsidRPr="00C35233" w:rsidRDefault="00C95240" w:rsidP="00FB59BA">
            <w:pPr>
              <w:jc w:val="center"/>
              <w:rPr>
                <w:rFonts w:ascii="Arial Narrow" w:hAnsi="Arial Narrow"/>
                <w:sz w:val="20"/>
              </w:rPr>
            </w:pPr>
            <w:r w:rsidRPr="00C35233">
              <w:rPr>
                <w:rFonts w:ascii="Arial Narrow" w:hAnsi="Arial Narrow"/>
                <w:sz w:val="20"/>
              </w:rPr>
              <w:t>10.9</w:t>
            </w:r>
          </w:p>
          <w:p w:rsidR="00C95240" w:rsidRPr="00C35233" w:rsidRDefault="00C95240" w:rsidP="00FB59BA">
            <w:pPr>
              <w:jc w:val="center"/>
              <w:rPr>
                <w:rFonts w:ascii="Arial Narrow" w:hAnsi="Arial Narrow"/>
                <w:sz w:val="20"/>
              </w:rPr>
            </w:pPr>
            <w:r w:rsidRPr="00C35233">
              <w:rPr>
                <w:rFonts w:ascii="Arial Narrow" w:hAnsi="Arial Narrow"/>
                <w:sz w:val="20"/>
              </w:rPr>
              <w:t>(NR)</w:t>
            </w:r>
          </w:p>
        </w:tc>
        <w:tc>
          <w:tcPr>
            <w:tcW w:w="993" w:type="dxa"/>
            <w:vAlign w:val="center"/>
          </w:tcPr>
          <w:p w:rsidR="00C95240" w:rsidRPr="00C35233" w:rsidRDefault="00C95240" w:rsidP="00FB59BA">
            <w:pPr>
              <w:jc w:val="center"/>
              <w:rPr>
                <w:rFonts w:ascii="Arial Narrow" w:hAnsi="Arial Narrow"/>
                <w:sz w:val="20"/>
              </w:rPr>
            </w:pPr>
            <w:r w:rsidRPr="00C35233">
              <w:rPr>
                <w:rFonts w:ascii="Arial Narrow" w:hAnsi="Arial Narrow"/>
                <w:sz w:val="20"/>
              </w:rPr>
              <w:t xml:space="preserve">18.4 </w:t>
            </w:r>
          </w:p>
          <w:p w:rsidR="00C95240" w:rsidRPr="00C35233" w:rsidRDefault="00C95240" w:rsidP="00FB59BA">
            <w:pPr>
              <w:jc w:val="center"/>
              <w:rPr>
                <w:rFonts w:ascii="Arial Narrow" w:hAnsi="Arial Narrow"/>
                <w:sz w:val="20"/>
              </w:rPr>
            </w:pPr>
            <w:r w:rsidRPr="00C35233">
              <w:rPr>
                <w:rFonts w:ascii="Arial Narrow" w:hAnsi="Arial Narrow"/>
                <w:sz w:val="20"/>
              </w:rPr>
              <w:t>(17.3, NE)</w:t>
            </w:r>
          </w:p>
        </w:tc>
        <w:tc>
          <w:tcPr>
            <w:tcW w:w="993" w:type="dxa"/>
            <w:vAlign w:val="center"/>
          </w:tcPr>
          <w:p w:rsidR="00C95240" w:rsidRPr="00C35233" w:rsidRDefault="00C95240" w:rsidP="00FB59BA">
            <w:pPr>
              <w:jc w:val="center"/>
              <w:rPr>
                <w:rFonts w:ascii="Arial Narrow" w:hAnsi="Arial Narrow"/>
                <w:sz w:val="20"/>
              </w:rPr>
            </w:pPr>
            <w:r w:rsidRPr="00C35233">
              <w:rPr>
                <w:rFonts w:ascii="Arial Narrow" w:hAnsi="Arial Narrow"/>
                <w:sz w:val="20"/>
              </w:rPr>
              <w:t>13.6</w:t>
            </w:r>
          </w:p>
          <w:p w:rsidR="00C95240" w:rsidRPr="00C35233" w:rsidRDefault="00C95240" w:rsidP="00FB59BA">
            <w:pPr>
              <w:jc w:val="center"/>
              <w:rPr>
                <w:rFonts w:ascii="Arial Narrow" w:hAnsi="Arial Narrow"/>
                <w:sz w:val="20"/>
              </w:rPr>
            </w:pPr>
            <w:r w:rsidRPr="00C35233">
              <w:rPr>
                <w:rFonts w:ascii="Arial Narrow" w:hAnsi="Arial Narrow"/>
                <w:sz w:val="20"/>
              </w:rPr>
              <w:t>(11.3, 15.8)</w:t>
            </w:r>
          </w:p>
        </w:tc>
        <w:tc>
          <w:tcPr>
            <w:tcW w:w="992"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993"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992"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993" w:type="dxa"/>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r>
      <w:tr w:rsidR="00C95240" w:rsidRPr="00C35233" w:rsidTr="00C35233">
        <w:tc>
          <w:tcPr>
            <w:tcW w:w="851" w:type="dxa"/>
            <w:vAlign w:val="center"/>
          </w:tcPr>
          <w:p w:rsidR="00C95240" w:rsidRPr="00C35233" w:rsidRDefault="00C95240" w:rsidP="00FB59BA">
            <w:pPr>
              <w:jc w:val="left"/>
              <w:rPr>
                <w:rFonts w:ascii="Arial Narrow" w:hAnsi="Arial Narrow"/>
                <w:sz w:val="20"/>
              </w:rPr>
            </w:pPr>
            <w:r w:rsidRPr="00961C4D">
              <w:rPr>
                <w:rFonts w:ascii="Arial Narrow" w:hAnsi="Arial Narrow"/>
                <w:sz w:val="20"/>
              </w:rPr>
              <w:t>Abs. difference</w:t>
            </w:r>
          </w:p>
        </w:tc>
        <w:tc>
          <w:tcPr>
            <w:tcW w:w="1698" w:type="dxa"/>
            <w:gridSpan w:val="2"/>
            <w:vAlign w:val="center"/>
          </w:tcPr>
          <w:p w:rsidR="00C95240" w:rsidRPr="00E73118" w:rsidRDefault="00E73118" w:rsidP="00FB59BA">
            <w:pPr>
              <w:jc w:val="center"/>
              <w:rPr>
                <w:rFonts w:ascii="Arial Narrow" w:hAnsi="Arial Narrow"/>
                <w:iCs/>
                <w:sz w:val="20"/>
                <w:highlight w:val="black"/>
              </w:rPr>
            </w:pPr>
            <w:r>
              <w:rPr>
                <w:rFonts w:ascii="Arial Narrow" w:hAnsi="Arial Narrow"/>
                <w:iCs/>
                <w:noProof/>
                <w:color w:val="000000"/>
                <w:sz w:val="20"/>
                <w:highlight w:val="black"/>
              </w:rPr>
              <w:t>''''''''</w:t>
            </w:r>
          </w:p>
        </w:tc>
        <w:tc>
          <w:tcPr>
            <w:tcW w:w="1986" w:type="dxa"/>
            <w:gridSpan w:val="2"/>
            <w:vAlign w:val="center"/>
          </w:tcPr>
          <w:p w:rsidR="00C95240" w:rsidRPr="00E73118" w:rsidRDefault="00E73118" w:rsidP="00FB59BA">
            <w:pPr>
              <w:jc w:val="center"/>
              <w:rPr>
                <w:rFonts w:ascii="Arial Narrow" w:hAnsi="Arial Narrow"/>
                <w:iCs/>
                <w:sz w:val="20"/>
                <w:highlight w:val="black"/>
              </w:rPr>
            </w:pPr>
            <w:r>
              <w:rPr>
                <w:rFonts w:ascii="Arial Narrow" w:hAnsi="Arial Narrow"/>
                <w:iCs/>
                <w:noProof/>
                <w:color w:val="000000"/>
                <w:sz w:val="20"/>
                <w:highlight w:val="black"/>
              </w:rPr>
              <w:t>'''''''''</w:t>
            </w:r>
          </w:p>
        </w:tc>
        <w:tc>
          <w:tcPr>
            <w:tcW w:w="1985" w:type="dxa"/>
            <w:gridSpan w:val="2"/>
            <w:vAlign w:val="center"/>
          </w:tcPr>
          <w:p w:rsidR="00C95240" w:rsidRPr="00E73118" w:rsidRDefault="00E73118" w:rsidP="00FB59BA">
            <w:pPr>
              <w:jc w:val="center"/>
              <w:rPr>
                <w:rFonts w:ascii="Arial Narrow" w:hAnsi="Arial Narrow"/>
                <w:iCs/>
                <w:sz w:val="20"/>
                <w:highlight w:val="black"/>
              </w:rPr>
            </w:pPr>
            <w:r>
              <w:rPr>
                <w:rFonts w:ascii="Arial Narrow" w:hAnsi="Arial Narrow"/>
                <w:iCs/>
                <w:noProof/>
                <w:color w:val="000000"/>
                <w:sz w:val="20"/>
                <w:highlight w:val="black"/>
              </w:rPr>
              <w:t>'''''''</w:t>
            </w:r>
          </w:p>
        </w:tc>
        <w:tc>
          <w:tcPr>
            <w:tcW w:w="1985" w:type="dxa"/>
            <w:gridSpan w:val="2"/>
            <w:vAlign w:val="center"/>
          </w:tcPr>
          <w:p w:rsidR="00C95240" w:rsidRPr="00E73118" w:rsidRDefault="00E73118" w:rsidP="00FB59BA">
            <w:pPr>
              <w:jc w:val="center"/>
              <w:rPr>
                <w:rFonts w:ascii="Arial Narrow" w:hAnsi="Arial Narrow"/>
                <w:iCs/>
                <w:sz w:val="20"/>
                <w:highlight w:val="black"/>
              </w:rPr>
            </w:pPr>
            <w:r>
              <w:rPr>
                <w:rFonts w:ascii="Arial Narrow" w:hAnsi="Arial Narrow"/>
                <w:iCs/>
                <w:noProof/>
                <w:color w:val="000000"/>
                <w:sz w:val="20"/>
                <w:highlight w:val="black"/>
              </w:rPr>
              <w:t>'''</w:t>
            </w:r>
          </w:p>
        </w:tc>
      </w:tr>
      <w:tr w:rsidR="00C95240" w:rsidRPr="00C35233" w:rsidTr="00C35233">
        <w:tc>
          <w:tcPr>
            <w:tcW w:w="851" w:type="dxa"/>
            <w:vAlign w:val="center"/>
          </w:tcPr>
          <w:p w:rsidR="00C95240" w:rsidRPr="00C35233" w:rsidRDefault="00C95240" w:rsidP="00FB59BA">
            <w:pPr>
              <w:jc w:val="left"/>
              <w:rPr>
                <w:rFonts w:ascii="Arial Narrow" w:hAnsi="Arial Narrow"/>
                <w:sz w:val="20"/>
              </w:rPr>
            </w:pPr>
            <w:r w:rsidRPr="00C35233">
              <w:rPr>
                <w:rFonts w:ascii="Arial Narrow" w:hAnsi="Arial Narrow"/>
                <w:sz w:val="20"/>
              </w:rPr>
              <w:t xml:space="preserve">HR (95%CI) </w:t>
            </w:r>
          </w:p>
        </w:tc>
        <w:tc>
          <w:tcPr>
            <w:tcW w:w="1698" w:type="dxa"/>
            <w:gridSpan w:val="2"/>
          </w:tcPr>
          <w:p w:rsidR="00C95240" w:rsidRPr="00C35233" w:rsidRDefault="00C95240" w:rsidP="00FB59BA">
            <w:pPr>
              <w:jc w:val="center"/>
              <w:rPr>
                <w:rFonts w:ascii="Arial Narrow" w:hAnsi="Arial Narrow"/>
                <w:sz w:val="20"/>
              </w:rPr>
            </w:pPr>
            <w:r w:rsidRPr="00C35233">
              <w:rPr>
                <w:rFonts w:ascii="Arial Narrow" w:hAnsi="Arial Narrow"/>
                <w:b/>
                <w:sz w:val="20"/>
              </w:rPr>
              <w:t>0.65 (0.54, 0.77)</w:t>
            </w:r>
          </w:p>
        </w:tc>
        <w:tc>
          <w:tcPr>
            <w:tcW w:w="1986" w:type="dxa"/>
            <w:gridSpan w:val="2"/>
          </w:tcPr>
          <w:p w:rsidR="00C95240" w:rsidRPr="00C35233" w:rsidRDefault="00C95240" w:rsidP="00FB59BA">
            <w:pPr>
              <w:jc w:val="center"/>
              <w:rPr>
                <w:rFonts w:ascii="Arial Narrow" w:hAnsi="Arial Narrow"/>
                <w:sz w:val="20"/>
              </w:rPr>
            </w:pPr>
            <w:r w:rsidRPr="00C35233">
              <w:rPr>
                <w:rFonts w:ascii="Arial Narrow" w:hAnsi="Arial Narrow"/>
                <w:b/>
                <w:sz w:val="20"/>
              </w:rPr>
              <w:t>0.63</w:t>
            </w:r>
            <w:r w:rsidRPr="00C35233">
              <w:rPr>
                <w:rFonts w:ascii="Arial Narrow" w:hAnsi="Arial Narrow"/>
                <w:b/>
                <w:sz w:val="20"/>
                <w:vertAlign w:val="superscript"/>
              </w:rPr>
              <w:t xml:space="preserve"># </w:t>
            </w:r>
            <w:r w:rsidRPr="00C35233">
              <w:rPr>
                <w:rFonts w:ascii="Arial Narrow" w:hAnsi="Arial Narrow"/>
                <w:b/>
                <w:sz w:val="20"/>
              </w:rPr>
              <w:t>(0.53, 0.75)</w:t>
            </w:r>
          </w:p>
        </w:tc>
        <w:tc>
          <w:tcPr>
            <w:tcW w:w="1985" w:type="dxa"/>
            <w:gridSpan w:val="2"/>
          </w:tcPr>
          <w:p w:rsidR="00C95240" w:rsidRPr="00E73118" w:rsidRDefault="00E73118" w:rsidP="00FB59BA">
            <w:pPr>
              <w:jc w:val="center"/>
              <w:rPr>
                <w:rFonts w:ascii="Arial Narrow" w:hAnsi="Arial Narrow"/>
                <w:sz w:val="20"/>
                <w:highlight w:val="black"/>
              </w:rPr>
            </w:pPr>
            <w:r>
              <w:rPr>
                <w:rFonts w:ascii="Arial Narrow" w:hAnsi="Arial Narrow"/>
                <w:b/>
                <w:noProof/>
                <w:color w:val="000000"/>
                <w:sz w:val="20"/>
                <w:highlight w:val="black"/>
              </w:rPr>
              <w:t>'''''''' '''''''''''' ''''''''''</w:t>
            </w:r>
          </w:p>
        </w:tc>
        <w:tc>
          <w:tcPr>
            <w:tcW w:w="1985" w:type="dxa"/>
            <w:gridSpan w:val="2"/>
          </w:tcPr>
          <w:p w:rsidR="00C95240" w:rsidRPr="00E73118" w:rsidRDefault="00E73118" w:rsidP="00FB59BA">
            <w:pPr>
              <w:jc w:val="center"/>
              <w:rPr>
                <w:rFonts w:ascii="Arial Narrow" w:hAnsi="Arial Narrow"/>
                <w:sz w:val="20"/>
                <w:highlight w:val="black"/>
              </w:rPr>
            </w:pPr>
            <w:r>
              <w:rPr>
                <w:rFonts w:ascii="Arial Narrow" w:hAnsi="Arial Narrow"/>
                <w:b/>
                <w:noProof/>
                <w:color w:val="000000"/>
                <w:sz w:val="20"/>
                <w:highlight w:val="black"/>
              </w:rPr>
              <w:t>''''''''' ''''''''''''' ''''''''''</w:t>
            </w:r>
          </w:p>
        </w:tc>
      </w:tr>
      <w:tr w:rsidR="00C95240" w:rsidRPr="00C35233" w:rsidTr="00C35233">
        <w:tc>
          <w:tcPr>
            <w:tcW w:w="851" w:type="dxa"/>
            <w:vAlign w:val="center"/>
          </w:tcPr>
          <w:p w:rsidR="00C95240" w:rsidRPr="00C35233" w:rsidRDefault="00C95240" w:rsidP="00FB59BA">
            <w:pPr>
              <w:jc w:val="left"/>
              <w:rPr>
                <w:rFonts w:ascii="Arial Narrow" w:hAnsi="Arial Narrow"/>
                <w:sz w:val="20"/>
              </w:rPr>
            </w:pPr>
            <w:r w:rsidRPr="00961C4D">
              <w:rPr>
                <w:rFonts w:ascii="Arial Narrow" w:hAnsi="Arial Narrow"/>
                <w:sz w:val="20"/>
              </w:rPr>
              <w:t>Indirect HR (95%CI)</w:t>
            </w:r>
          </w:p>
        </w:tc>
        <w:tc>
          <w:tcPr>
            <w:tcW w:w="1698" w:type="dxa"/>
            <w:gridSpan w:val="2"/>
            <w:vAlign w:val="center"/>
          </w:tcPr>
          <w:p w:rsidR="00C95240" w:rsidRPr="00E73118" w:rsidRDefault="00E73118" w:rsidP="00FB59BA">
            <w:pPr>
              <w:bidi/>
              <w:jc w:val="center"/>
              <w:rPr>
                <w:rFonts w:ascii="Arial Narrow" w:hAnsi="Arial Narrow"/>
                <w:sz w:val="20"/>
                <w:highlight w:val="black"/>
              </w:rPr>
            </w:pPr>
            <w:r>
              <w:rPr>
                <w:rFonts w:ascii="Arial Narrow" w:hAnsi="Arial Narrow"/>
                <w:noProof/>
                <w:color w:val="000000"/>
                <w:sz w:val="20"/>
                <w:highlight w:val="black"/>
              </w:rPr>
              <w:t>''</w:t>
            </w:r>
          </w:p>
        </w:tc>
        <w:tc>
          <w:tcPr>
            <w:tcW w:w="1986" w:type="dxa"/>
            <w:gridSpan w:val="2"/>
            <w:vAlign w:val="center"/>
          </w:tcPr>
          <w:p w:rsidR="00C95240"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 ''''''''''''</w:t>
            </w:r>
          </w:p>
        </w:tc>
        <w:tc>
          <w:tcPr>
            <w:tcW w:w="1985" w:type="dxa"/>
            <w:gridSpan w:val="2"/>
            <w:shd w:val="clear" w:color="auto" w:fill="auto"/>
            <w:vAlign w:val="center"/>
          </w:tcPr>
          <w:p w:rsidR="00C95240" w:rsidRPr="00E73118" w:rsidRDefault="00E73118" w:rsidP="00FB59BA">
            <w:pPr>
              <w:jc w:val="center"/>
              <w:rPr>
                <w:rFonts w:ascii="Arial Narrow" w:hAnsi="Arial Narrow"/>
                <w:sz w:val="20"/>
                <w:highlight w:val="black"/>
              </w:rPr>
            </w:pPr>
            <w:r>
              <w:rPr>
                <w:rFonts w:ascii="Arial Narrow" w:hAnsi="Arial Narrow"/>
                <w:iCs/>
                <w:noProof/>
                <w:color w:val="000000"/>
                <w:sz w:val="20"/>
                <w:highlight w:val="black"/>
              </w:rPr>
              <w:t>'''''''''' ''''''''''''' ''''''''''''''</w:t>
            </w:r>
          </w:p>
        </w:tc>
        <w:tc>
          <w:tcPr>
            <w:tcW w:w="1985" w:type="dxa"/>
            <w:gridSpan w:val="2"/>
            <w:shd w:val="clear" w:color="auto" w:fill="auto"/>
            <w:vAlign w:val="center"/>
          </w:tcPr>
          <w:p w:rsidR="00C95240" w:rsidRPr="00E73118" w:rsidRDefault="00E73118" w:rsidP="00FB59BA">
            <w:pPr>
              <w:jc w:val="center"/>
              <w:rPr>
                <w:rFonts w:ascii="Arial Narrow" w:hAnsi="Arial Narrow"/>
                <w:sz w:val="20"/>
                <w:highlight w:val="black"/>
              </w:rPr>
            </w:pPr>
            <w:r>
              <w:rPr>
                <w:rFonts w:ascii="Arial Narrow" w:hAnsi="Arial Narrow"/>
                <w:iCs/>
                <w:noProof/>
                <w:color w:val="000000"/>
                <w:sz w:val="20"/>
                <w:highlight w:val="black"/>
              </w:rPr>
              <w:t>'''''''''' '''''''''''''' '''''''''''''''</w:t>
            </w:r>
          </w:p>
        </w:tc>
      </w:tr>
      <w:tr w:rsidR="00C95240" w:rsidRPr="00C35233" w:rsidTr="00C35233">
        <w:tc>
          <w:tcPr>
            <w:tcW w:w="4535" w:type="dxa"/>
            <w:gridSpan w:val="5"/>
            <w:vAlign w:val="center"/>
          </w:tcPr>
          <w:p w:rsidR="00C95240" w:rsidRPr="00C35233" w:rsidRDefault="00C95240" w:rsidP="00FB59BA">
            <w:pPr>
              <w:bidi/>
              <w:jc w:val="left"/>
              <w:rPr>
                <w:rFonts w:ascii="Arial Narrow" w:hAnsi="Arial Narrow" w:cs="CourierNew,Regular"/>
                <w:sz w:val="20"/>
                <w:szCs w:val="16"/>
              </w:rPr>
            </w:pPr>
            <w:r w:rsidRPr="00961C4D">
              <w:rPr>
                <w:rFonts w:ascii="Arial Narrow" w:hAnsi="Arial Narrow" w:cs="CourierNew,Regular"/>
                <w:sz w:val="20"/>
                <w:szCs w:val="16"/>
              </w:rPr>
              <w:t>Treatment interaction</w:t>
            </w:r>
          </w:p>
        </w:tc>
        <w:tc>
          <w:tcPr>
            <w:tcW w:w="3970" w:type="dxa"/>
            <w:gridSpan w:val="4"/>
            <w:vAlign w:val="center"/>
          </w:tcPr>
          <w:p w:rsidR="00C95240" w:rsidRPr="00E73118" w:rsidRDefault="00E73118" w:rsidP="00FB59BA">
            <w:pPr>
              <w:jc w:val="center"/>
              <w:rPr>
                <w:rFonts w:ascii="Arial Narrow" w:hAnsi="Arial Narrow" w:cs="CourierNew,Regular"/>
                <w:sz w:val="20"/>
                <w:szCs w:val="16"/>
                <w:highlight w:val="black"/>
              </w:rPr>
            </w:pPr>
            <w:r>
              <w:rPr>
                <w:rFonts w:ascii="Arial Narrow" w:hAnsi="Arial Narrow" w:cs="CourierNew,Regular"/>
                <w:noProof/>
                <w:color w:val="000000"/>
                <w:sz w:val="20"/>
                <w:szCs w:val="16"/>
                <w:highlight w:val="black"/>
              </w:rPr>
              <w:t>''''''''''''''''''''</w:t>
            </w:r>
          </w:p>
        </w:tc>
      </w:tr>
    </w:tbl>
    <w:p w:rsidR="00C95240" w:rsidRPr="00C35233" w:rsidRDefault="00C95240" w:rsidP="0095094B">
      <w:pPr>
        <w:ind w:firstLine="720"/>
        <w:rPr>
          <w:rFonts w:ascii="Arial Narrow" w:hAnsi="Arial Narrow"/>
          <w:sz w:val="18"/>
          <w:szCs w:val="18"/>
        </w:rPr>
      </w:pPr>
      <w:r w:rsidRPr="00C35233">
        <w:rPr>
          <w:rFonts w:ascii="Arial Narrow" w:hAnsi="Arial Narrow"/>
          <w:sz w:val="18"/>
          <w:szCs w:val="18"/>
        </w:rPr>
        <w:t>Abbreviations: AB=abiraterone; ENZ=enzalutamide; PLA = placebo;</w:t>
      </w:r>
    </w:p>
    <w:p w:rsidR="00C95240" w:rsidRPr="00E73118" w:rsidRDefault="00C95240" w:rsidP="0095094B">
      <w:pPr>
        <w:tabs>
          <w:tab w:val="left" w:pos="180"/>
          <w:tab w:val="left" w:pos="709"/>
          <w:tab w:val="left" w:pos="6148"/>
        </w:tabs>
        <w:ind w:left="720"/>
        <w:rPr>
          <w:rFonts w:ascii="Arial Narrow" w:hAnsi="Arial Narrow"/>
          <w:sz w:val="18"/>
          <w:szCs w:val="18"/>
        </w:rPr>
      </w:pPr>
      <w:r w:rsidRPr="00BB6AE2">
        <w:rPr>
          <w:rFonts w:ascii="Arial Narrow" w:hAnsi="Arial Narrow"/>
          <w:sz w:val="18"/>
          <w:szCs w:val="18"/>
          <w:vertAlign w:val="superscript"/>
        </w:rPr>
        <w:t>#</w:t>
      </w:r>
      <w:r w:rsidR="0095094B" w:rsidRPr="00BB6AE2">
        <w:rPr>
          <w:rFonts w:ascii="Arial Narrow" w:hAnsi="Arial Narrow"/>
          <w:sz w:val="18"/>
          <w:szCs w:val="18"/>
        </w:rPr>
        <w:t xml:space="preserve"> </w:t>
      </w:r>
      <w:r w:rsidRPr="00BB6AE2">
        <w:rPr>
          <w:rFonts w:ascii="Arial Narrow" w:hAnsi="Arial Narrow"/>
          <w:sz w:val="18"/>
          <w:szCs w:val="18"/>
        </w:rPr>
        <w:t>FDA anal</w:t>
      </w:r>
      <w:r w:rsidR="00FF13DE" w:rsidRPr="00BB6AE2">
        <w:rPr>
          <w:rFonts w:ascii="Arial Narrow" w:hAnsi="Arial Narrow"/>
          <w:sz w:val="18"/>
          <w:szCs w:val="18"/>
        </w:rPr>
        <w:t xml:space="preserve">ysis </w:t>
      </w:r>
      <w:r w:rsidR="00E73118">
        <w:rPr>
          <w:rFonts w:ascii="Arial Narrow" w:hAnsi="Arial Narrow"/>
          <w:noProof/>
          <w:color w:val="000000"/>
          <w:sz w:val="18"/>
          <w:szCs w:val="18"/>
          <w:highlight w:val="black"/>
        </w:rPr>
        <w:t xml:space="preserve">'''''''''''''''''' '''''' '''''''''''''''''''''' '''''''''''' '''''''''''''''''''''' '''''''''''' '''''''' ''''''''''''' '''''''''''  </w:t>
      </w:r>
    </w:p>
    <w:p w:rsidR="00C95240" w:rsidRPr="00E73118" w:rsidRDefault="0095094B" w:rsidP="0095094B">
      <w:pPr>
        <w:tabs>
          <w:tab w:val="left" w:pos="709"/>
          <w:tab w:val="left" w:pos="6148"/>
        </w:tabs>
        <w:rPr>
          <w:rFonts w:ascii="Arial Narrow" w:hAnsi="Arial Narrow"/>
          <w:sz w:val="18"/>
          <w:szCs w:val="18"/>
        </w:rPr>
      </w:pPr>
      <w:r w:rsidRPr="00D800AF">
        <w:rPr>
          <w:rFonts w:ascii="Arial Narrow" w:hAnsi="Arial Narrow"/>
          <w:sz w:val="18"/>
          <w:szCs w:val="18"/>
        </w:rPr>
        <w:tab/>
      </w:r>
      <w:r w:rsidRPr="00BB6AE2">
        <w:rPr>
          <w:rFonts w:ascii="Arial Narrow" w:hAnsi="Arial Narrow"/>
          <w:sz w:val="18"/>
          <w:szCs w:val="18"/>
        </w:rPr>
        <w:t>*</w:t>
      </w:r>
      <w:r w:rsidR="00C95240" w:rsidRPr="00BB6AE2">
        <w:rPr>
          <w:rFonts w:ascii="Arial Narrow" w:hAnsi="Arial Narrow"/>
          <w:sz w:val="18"/>
          <w:szCs w:val="18"/>
        </w:rPr>
        <w:t xml:space="preserve">estimated during the evaluation </w:t>
      </w:r>
      <w:r w:rsidR="00C95240" w:rsidRPr="00BB6AE2">
        <w:rPr>
          <w:rFonts w:ascii="Arial Narrow" w:hAnsi="Arial Narrow"/>
          <w:sz w:val="18"/>
          <w:szCs w:val="18"/>
        </w:rPr>
        <w:tab/>
      </w:r>
    </w:p>
    <w:p w:rsidR="00C95240" w:rsidRPr="00E73118" w:rsidRDefault="00E73118" w:rsidP="0095094B">
      <w:pPr>
        <w:ind w:firstLine="720"/>
        <w:rPr>
          <w:rFonts w:ascii="Arial Narrow" w:hAnsi="Arial Narrow"/>
          <w:sz w:val="18"/>
          <w:szCs w:val="18"/>
          <w:highlight w:val="black"/>
        </w:rPr>
      </w:pPr>
      <w:r>
        <w:rPr>
          <w:rFonts w:ascii="Arial Narrow" w:hAnsi="Arial Narrow"/>
          <w:noProof/>
          <w:color w:val="000000"/>
          <w:sz w:val="18"/>
          <w:szCs w:val="18"/>
          <w:highlight w:val="black"/>
        </w:rPr>
        <w:t>'''''''''''''''' ''''''''''''''' ''''''''''''' ''''''''' '''''''''''' ''''''''''''''' '''''''''' ''''''''''''''' ''''' '''''''' ''''''''''''''''''''''''</w:t>
      </w:r>
    </w:p>
    <w:p w:rsidR="005365E5" w:rsidRPr="00C35233" w:rsidRDefault="005365E5" w:rsidP="00C95240">
      <w:pPr>
        <w:rPr>
          <w:rFonts w:ascii="Arial Narrow" w:hAnsi="Arial Narrow"/>
          <w:sz w:val="18"/>
          <w:szCs w:val="18"/>
        </w:rPr>
      </w:pPr>
    </w:p>
    <w:p w:rsidR="005365E5" w:rsidRPr="00C35233" w:rsidRDefault="005365E5" w:rsidP="005365E5">
      <w:pPr>
        <w:ind w:firstLine="720"/>
        <w:rPr>
          <w:i/>
          <w:szCs w:val="22"/>
        </w:rPr>
      </w:pPr>
      <w:r w:rsidRPr="00C35233">
        <w:rPr>
          <w:i/>
          <w:szCs w:val="22"/>
        </w:rPr>
        <w:t>For more detail on PBAC’s view, see section 7 “PBAC outcome”</w:t>
      </w:r>
    </w:p>
    <w:p w:rsidR="003E4440" w:rsidRPr="00C35233" w:rsidRDefault="003E4440" w:rsidP="003E4440">
      <w:pPr>
        <w:rPr>
          <w:szCs w:val="22"/>
        </w:rPr>
      </w:pPr>
    </w:p>
    <w:p w:rsidR="003E4440" w:rsidRPr="00C35233" w:rsidRDefault="003E4440" w:rsidP="003E4440">
      <w:pPr>
        <w:pStyle w:val="Heading2"/>
      </w:pPr>
      <w:bookmarkStart w:id="12" w:name="_Toc386015342"/>
      <w:bookmarkStart w:id="13" w:name="_Toc387918017"/>
      <w:r w:rsidRPr="00C35233">
        <w:t>Comparative harms</w:t>
      </w:r>
      <w:bookmarkEnd w:id="12"/>
      <w:bookmarkEnd w:id="13"/>
    </w:p>
    <w:p w:rsidR="003E4440" w:rsidRPr="00C35233" w:rsidRDefault="003E4440" w:rsidP="003E4440">
      <w:pPr>
        <w:ind w:left="720" w:hanging="720"/>
        <w:rPr>
          <w:szCs w:val="22"/>
        </w:rPr>
      </w:pPr>
    </w:p>
    <w:p w:rsidR="00C95240" w:rsidRPr="00B95D3E" w:rsidRDefault="007408AE" w:rsidP="00B95D3E">
      <w:pPr>
        <w:pStyle w:val="ListParagraph"/>
        <w:widowControl/>
        <w:numPr>
          <w:ilvl w:val="1"/>
          <w:numId w:val="2"/>
        </w:numPr>
        <w:rPr>
          <w:szCs w:val="22"/>
        </w:rPr>
      </w:pPr>
      <w:r w:rsidRPr="00C35233">
        <w:t xml:space="preserve">A similar incidence of adverse events was reported in both arms of AFFIRM.  Grade three and higher adverse events were reported more frequently in the placebo arm of </w:t>
      </w:r>
      <w:r w:rsidR="000551BA" w:rsidRPr="00C35233">
        <w:lastRenderedPageBreak/>
        <w:t>both the AFFIRM trial and Trial 301.</w:t>
      </w:r>
      <w:r w:rsidR="00C35233">
        <w:t xml:space="preserve"> </w:t>
      </w:r>
      <w:r w:rsidRPr="00B95D3E">
        <w:rPr>
          <w:iCs/>
        </w:rPr>
        <w:t>The most common adverse events reported more frequently in the enzalutamide arm include: fatigue, diarrhoea, hot flush, musculoskeletal pain, headache, insomnia, paraesthesia, haematuria anxiety and hypertension.  The risk of seizures was slightly elevated in the enzalutamide group with a frequency of 0.9% versus 0%.</w:t>
      </w:r>
    </w:p>
    <w:p w:rsidR="00603B77" w:rsidRPr="00C35233" w:rsidRDefault="00603B77" w:rsidP="00C95240">
      <w:pPr>
        <w:widowControl/>
      </w:pPr>
    </w:p>
    <w:p w:rsidR="003E4440" w:rsidRPr="00C35233" w:rsidRDefault="003E4440" w:rsidP="003E4440">
      <w:pPr>
        <w:pStyle w:val="Heading2"/>
        <w:rPr>
          <w:szCs w:val="22"/>
        </w:rPr>
      </w:pPr>
      <w:bookmarkStart w:id="14" w:name="_Toc386015343"/>
      <w:bookmarkStart w:id="15" w:name="_Toc387918018"/>
      <w:r w:rsidRPr="00C35233">
        <w:t>Benefits/harms</w:t>
      </w:r>
      <w:bookmarkEnd w:id="14"/>
      <w:bookmarkEnd w:id="15"/>
    </w:p>
    <w:p w:rsidR="003E4440" w:rsidRPr="00C35233" w:rsidRDefault="003E4440" w:rsidP="003E4440">
      <w:pPr>
        <w:pStyle w:val="ListParagraph"/>
        <w:ind w:left="0"/>
        <w:rPr>
          <w:szCs w:val="22"/>
        </w:rPr>
      </w:pPr>
    </w:p>
    <w:p w:rsidR="005B5C66" w:rsidRPr="00B95D3E" w:rsidRDefault="007408AE" w:rsidP="00B95D3E">
      <w:pPr>
        <w:pStyle w:val="ListParagraph"/>
        <w:widowControl/>
        <w:numPr>
          <w:ilvl w:val="1"/>
          <w:numId w:val="2"/>
        </w:numPr>
        <w:rPr>
          <w:szCs w:val="22"/>
        </w:rPr>
      </w:pPr>
      <w:r w:rsidRPr="00B95D3E">
        <w:rPr>
          <w:szCs w:val="22"/>
        </w:rPr>
        <w:t xml:space="preserve">A summary of the comparative benefits and harms for enzalutamide versus abiraterone is presented in the table below.  </w:t>
      </w:r>
      <w:r w:rsidRPr="00B95D3E">
        <w:rPr>
          <w:iCs/>
          <w:szCs w:val="22"/>
        </w:rPr>
        <w:t>A comparison of specific adverse events of any grade could not be performed because of limited available safety data for Trial 301</w:t>
      </w:r>
      <w:r w:rsidR="00693703" w:rsidRPr="00B95D3E">
        <w:rPr>
          <w:iCs/>
          <w:szCs w:val="22"/>
        </w:rPr>
        <w:t>.</w:t>
      </w:r>
    </w:p>
    <w:p w:rsidR="005B5C66" w:rsidRPr="00C35233" w:rsidRDefault="005B5C66" w:rsidP="00603B77">
      <w:pPr>
        <w:rPr>
          <w:rStyle w:val="CommentReference"/>
        </w:rPr>
      </w:pPr>
    </w:p>
    <w:p w:rsidR="00603B77" w:rsidRPr="00C35233" w:rsidRDefault="00E20ED6" w:rsidP="0095094B">
      <w:pPr>
        <w:ind w:firstLine="709"/>
        <w:rPr>
          <w:rStyle w:val="CommentReference"/>
        </w:rPr>
      </w:pPr>
      <w:r w:rsidRPr="00C35233">
        <w:rPr>
          <w:rStyle w:val="CommentReference"/>
        </w:rPr>
        <w:t xml:space="preserve">Summary of comparative benefits and harms </w:t>
      </w:r>
      <w:r w:rsidR="005E19CC" w:rsidRPr="00C35233">
        <w:rPr>
          <w:rStyle w:val="CommentReference"/>
        </w:rPr>
        <w:t xml:space="preserve">for </w:t>
      </w:r>
      <w:r w:rsidR="005E19CC" w:rsidRPr="005E19CC">
        <w:rPr>
          <w:rStyle w:val="CommentReference"/>
        </w:rPr>
        <w:t>enzalutamide</w:t>
      </w:r>
      <w:r w:rsidR="00D800AF" w:rsidRPr="005E19CC">
        <w:rPr>
          <w:rStyle w:val="CommentReference"/>
        </w:rPr>
        <w:t xml:space="preserve">-abiraterone </w:t>
      </w:r>
      <w:r w:rsidRPr="00C35233">
        <w:rPr>
          <w:rStyle w:val="CommentReference"/>
        </w:rPr>
        <w:t>and comparator/PBO</w:t>
      </w:r>
    </w:p>
    <w:tbl>
      <w:tblPr>
        <w:tblStyle w:val="TableGrid"/>
        <w:tblW w:w="4571" w:type="pct"/>
        <w:tblInd w:w="737" w:type="dxa"/>
        <w:tblLayout w:type="fixed"/>
        <w:tblCellMar>
          <w:left w:w="28" w:type="dxa"/>
          <w:right w:w="28" w:type="dxa"/>
        </w:tblCellMar>
        <w:tblLook w:val="04A0" w:firstRow="1" w:lastRow="0" w:firstColumn="1" w:lastColumn="0" w:noHBand="0" w:noVBand="1"/>
        <w:tblDescription w:val="Summary of comparative benefits and harms for enzalutamide-abiraterone and comparator/PBO"/>
      </w:tblPr>
      <w:tblGrid>
        <w:gridCol w:w="579"/>
        <w:gridCol w:w="500"/>
        <w:gridCol w:w="671"/>
        <w:gridCol w:w="1054"/>
        <w:gridCol w:w="1058"/>
        <w:gridCol w:w="1058"/>
        <w:gridCol w:w="837"/>
        <w:gridCol w:w="837"/>
        <w:gridCol w:w="859"/>
        <w:gridCol w:w="850"/>
      </w:tblGrid>
      <w:tr w:rsidR="00831575" w:rsidRPr="00C35233" w:rsidTr="00EC2306">
        <w:trPr>
          <w:trHeight w:val="229"/>
          <w:tblHeader/>
        </w:trPr>
        <w:tc>
          <w:tcPr>
            <w:tcW w:w="5000" w:type="pct"/>
            <w:gridSpan w:val="10"/>
            <w:vAlign w:val="center"/>
          </w:tcPr>
          <w:p w:rsidR="00831575" w:rsidRPr="00C35233" w:rsidRDefault="00831575" w:rsidP="00831575">
            <w:pPr>
              <w:jc w:val="left"/>
              <w:rPr>
                <w:rFonts w:ascii="Arial Narrow" w:hAnsi="Arial Narrow"/>
                <w:b/>
                <w:color w:val="000000"/>
                <w:sz w:val="20"/>
                <w:szCs w:val="18"/>
              </w:rPr>
            </w:pPr>
            <w:r w:rsidRPr="00C35233">
              <w:rPr>
                <w:rFonts w:ascii="Arial Narrow" w:hAnsi="Arial Narrow"/>
                <w:b/>
                <w:color w:val="000000"/>
                <w:sz w:val="20"/>
                <w:szCs w:val="18"/>
              </w:rPr>
              <w:t>Benefits: Overall survival</w:t>
            </w:r>
          </w:p>
        </w:tc>
      </w:tr>
      <w:tr w:rsidR="002F3345" w:rsidRPr="00C35233" w:rsidTr="00C35233">
        <w:trPr>
          <w:trHeight w:val="472"/>
        </w:trPr>
        <w:tc>
          <w:tcPr>
            <w:tcW w:w="1053" w:type="pct"/>
            <w:gridSpan w:val="3"/>
          </w:tcPr>
          <w:p w:rsidR="002F3345" w:rsidRPr="00C35233" w:rsidRDefault="002F3345" w:rsidP="00E20ED6">
            <w:pPr>
              <w:jc w:val="center"/>
              <w:rPr>
                <w:rFonts w:ascii="Arial Narrow" w:hAnsi="Arial Narrow"/>
                <w:color w:val="000000"/>
                <w:sz w:val="20"/>
                <w:szCs w:val="18"/>
              </w:rPr>
            </w:pPr>
          </w:p>
        </w:tc>
        <w:tc>
          <w:tcPr>
            <w:tcW w:w="635" w:type="pct"/>
            <w:vAlign w:val="center"/>
          </w:tcPr>
          <w:p w:rsidR="002F3345" w:rsidRPr="00C35233" w:rsidRDefault="002F3345" w:rsidP="00E20ED6">
            <w:pPr>
              <w:jc w:val="center"/>
              <w:rPr>
                <w:rFonts w:ascii="Arial Narrow" w:hAnsi="Arial Narrow"/>
                <w:b/>
                <w:color w:val="000000"/>
                <w:sz w:val="20"/>
                <w:szCs w:val="18"/>
              </w:rPr>
            </w:pPr>
            <w:r w:rsidRPr="00C35233">
              <w:rPr>
                <w:rFonts w:ascii="Arial Narrow" w:hAnsi="Arial Narrow"/>
                <w:b/>
                <w:color w:val="000000"/>
                <w:sz w:val="20"/>
                <w:szCs w:val="18"/>
              </w:rPr>
              <w:t>enzalutamide</w:t>
            </w:r>
          </w:p>
        </w:tc>
        <w:tc>
          <w:tcPr>
            <w:tcW w:w="637" w:type="pct"/>
            <w:vAlign w:val="center"/>
          </w:tcPr>
          <w:p w:rsidR="002F3345" w:rsidRPr="00C35233" w:rsidRDefault="002F3345" w:rsidP="00E20ED6">
            <w:pPr>
              <w:jc w:val="center"/>
              <w:rPr>
                <w:rFonts w:ascii="Arial Narrow" w:hAnsi="Arial Narrow"/>
                <w:b/>
                <w:color w:val="000000"/>
                <w:sz w:val="20"/>
                <w:szCs w:val="18"/>
              </w:rPr>
            </w:pPr>
            <w:r w:rsidRPr="00C35233">
              <w:rPr>
                <w:rFonts w:ascii="Arial Narrow" w:hAnsi="Arial Narrow"/>
                <w:b/>
                <w:color w:val="000000"/>
                <w:sz w:val="20"/>
                <w:szCs w:val="18"/>
              </w:rPr>
              <w:t>placebo</w:t>
            </w:r>
          </w:p>
        </w:tc>
        <w:tc>
          <w:tcPr>
            <w:tcW w:w="637" w:type="pct"/>
            <w:vAlign w:val="center"/>
          </w:tcPr>
          <w:p w:rsidR="002F3345" w:rsidRPr="00C35233" w:rsidRDefault="002F3345" w:rsidP="002F3345">
            <w:pPr>
              <w:jc w:val="center"/>
              <w:rPr>
                <w:rFonts w:ascii="Arial Narrow" w:hAnsi="Arial Narrow"/>
                <w:b/>
                <w:color w:val="000000"/>
                <w:sz w:val="20"/>
                <w:szCs w:val="18"/>
              </w:rPr>
            </w:pPr>
            <w:r w:rsidRPr="00C35233">
              <w:rPr>
                <w:rFonts w:ascii="Arial Narrow" w:hAnsi="Arial Narrow"/>
                <w:b/>
                <w:color w:val="000000"/>
                <w:sz w:val="20"/>
                <w:szCs w:val="18"/>
              </w:rPr>
              <w:t>abiraterone</w:t>
            </w:r>
          </w:p>
        </w:tc>
        <w:tc>
          <w:tcPr>
            <w:tcW w:w="504" w:type="pct"/>
            <w:vAlign w:val="center"/>
          </w:tcPr>
          <w:p w:rsidR="002F3345" w:rsidRPr="00C35233" w:rsidRDefault="002F3345" w:rsidP="00E20ED6">
            <w:pPr>
              <w:jc w:val="center"/>
              <w:rPr>
                <w:rFonts w:ascii="Arial Narrow" w:hAnsi="Arial Narrow"/>
                <w:b/>
                <w:color w:val="000000"/>
                <w:sz w:val="20"/>
                <w:szCs w:val="18"/>
              </w:rPr>
            </w:pPr>
            <w:r w:rsidRPr="00C35233">
              <w:rPr>
                <w:rFonts w:ascii="Arial Narrow" w:hAnsi="Arial Narrow"/>
                <w:b/>
                <w:color w:val="000000"/>
                <w:sz w:val="20"/>
                <w:szCs w:val="18"/>
              </w:rPr>
              <w:t>Difference</w:t>
            </w:r>
          </w:p>
        </w:tc>
        <w:tc>
          <w:tcPr>
            <w:tcW w:w="504" w:type="pct"/>
            <w:vAlign w:val="center"/>
          </w:tcPr>
          <w:p w:rsidR="002F3345" w:rsidRPr="00C35233" w:rsidRDefault="002F3345" w:rsidP="00E20ED6">
            <w:pPr>
              <w:jc w:val="center"/>
              <w:rPr>
                <w:rFonts w:ascii="Arial Narrow" w:hAnsi="Arial Narrow"/>
                <w:b/>
                <w:color w:val="000000"/>
                <w:sz w:val="20"/>
                <w:szCs w:val="18"/>
              </w:rPr>
            </w:pPr>
            <w:r w:rsidRPr="00C35233">
              <w:rPr>
                <w:rFonts w:ascii="Arial Narrow" w:hAnsi="Arial Narrow"/>
                <w:b/>
                <w:color w:val="000000"/>
                <w:sz w:val="20"/>
                <w:szCs w:val="18"/>
              </w:rPr>
              <w:t xml:space="preserve">HR </w:t>
            </w:r>
          </w:p>
          <w:p w:rsidR="002F3345" w:rsidRPr="00C35233" w:rsidRDefault="002F3345" w:rsidP="00E20ED6">
            <w:pPr>
              <w:jc w:val="center"/>
              <w:rPr>
                <w:rFonts w:ascii="Arial Narrow" w:hAnsi="Arial Narrow"/>
                <w:b/>
                <w:color w:val="000000"/>
                <w:sz w:val="20"/>
                <w:szCs w:val="18"/>
              </w:rPr>
            </w:pPr>
            <w:r w:rsidRPr="00C35233">
              <w:rPr>
                <w:rFonts w:ascii="Arial Narrow" w:hAnsi="Arial Narrow"/>
                <w:b/>
                <w:color w:val="000000"/>
                <w:sz w:val="20"/>
                <w:szCs w:val="18"/>
              </w:rPr>
              <w:t>(95% CI)</w:t>
            </w:r>
          </w:p>
        </w:tc>
        <w:tc>
          <w:tcPr>
            <w:tcW w:w="517" w:type="pct"/>
            <w:vAlign w:val="center"/>
          </w:tcPr>
          <w:p w:rsidR="002F3345" w:rsidRPr="00C35233" w:rsidRDefault="00831575" w:rsidP="00831575">
            <w:pPr>
              <w:jc w:val="center"/>
              <w:rPr>
                <w:rFonts w:ascii="Arial Narrow" w:hAnsi="Arial Narrow"/>
                <w:b/>
                <w:color w:val="000000"/>
                <w:sz w:val="20"/>
                <w:szCs w:val="18"/>
              </w:rPr>
            </w:pPr>
            <w:r w:rsidRPr="00C35233">
              <w:rPr>
                <w:rFonts w:ascii="Arial Narrow" w:hAnsi="Arial Narrow"/>
                <w:b/>
                <w:color w:val="000000"/>
                <w:sz w:val="20"/>
                <w:szCs w:val="18"/>
              </w:rPr>
              <w:t xml:space="preserve">Ind. </w:t>
            </w:r>
            <w:r w:rsidR="002F3345" w:rsidRPr="00C35233">
              <w:rPr>
                <w:rFonts w:ascii="Arial Narrow" w:hAnsi="Arial Narrow"/>
                <w:b/>
                <w:color w:val="000000"/>
                <w:sz w:val="20"/>
                <w:szCs w:val="18"/>
              </w:rPr>
              <w:t>difference</w:t>
            </w:r>
          </w:p>
        </w:tc>
        <w:tc>
          <w:tcPr>
            <w:tcW w:w="513" w:type="pct"/>
            <w:vAlign w:val="center"/>
          </w:tcPr>
          <w:p w:rsidR="002F3345" w:rsidRPr="00C35233" w:rsidRDefault="00831575" w:rsidP="002F3345">
            <w:pPr>
              <w:jc w:val="center"/>
              <w:rPr>
                <w:rFonts w:ascii="Arial Narrow" w:hAnsi="Arial Narrow"/>
                <w:b/>
                <w:color w:val="000000"/>
                <w:sz w:val="20"/>
                <w:szCs w:val="18"/>
              </w:rPr>
            </w:pPr>
            <w:r w:rsidRPr="00C35233">
              <w:rPr>
                <w:rFonts w:ascii="Arial Narrow" w:hAnsi="Arial Narrow"/>
                <w:b/>
                <w:color w:val="000000"/>
                <w:sz w:val="20"/>
                <w:szCs w:val="18"/>
              </w:rPr>
              <w:t xml:space="preserve">Ind. </w:t>
            </w:r>
            <w:r w:rsidR="002F3345" w:rsidRPr="00C35233">
              <w:rPr>
                <w:rFonts w:ascii="Arial Narrow" w:hAnsi="Arial Narrow"/>
                <w:b/>
                <w:color w:val="000000"/>
                <w:sz w:val="20"/>
                <w:szCs w:val="18"/>
              </w:rPr>
              <w:t xml:space="preserve">HR </w:t>
            </w:r>
          </w:p>
          <w:p w:rsidR="002F3345" w:rsidRPr="00C35233" w:rsidRDefault="002F3345" w:rsidP="002F3345">
            <w:pPr>
              <w:jc w:val="center"/>
              <w:rPr>
                <w:rFonts w:ascii="Arial Narrow" w:hAnsi="Arial Narrow"/>
                <w:b/>
                <w:color w:val="000000"/>
                <w:sz w:val="20"/>
                <w:szCs w:val="18"/>
              </w:rPr>
            </w:pPr>
            <w:r w:rsidRPr="00C35233">
              <w:rPr>
                <w:rFonts w:ascii="Arial Narrow" w:hAnsi="Arial Narrow"/>
                <w:b/>
                <w:color w:val="000000"/>
                <w:sz w:val="20"/>
                <w:szCs w:val="18"/>
              </w:rPr>
              <w:t>(95% CI)</w:t>
            </w:r>
          </w:p>
        </w:tc>
      </w:tr>
      <w:tr w:rsidR="002F3345" w:rsidRPr="00C35233" w:rsidTr="00C35233">
        <w:trPr>
          <w:trHeight w:val="229"/>
        </w:trPr>
        <w:tc>
          <w:tcPr>
            <w:tcW w:w="349" w:type="pct"/>
            <w:vMerge w:val="restart"/>
            <w:vAlign w:val="center"/>
          </w:tcPr>
          <w:p w:rsidR="002F3345" w:rsidRPr="00C35233" w:rsidRDefault="002F3345" w:rsidP="002F3345">
            <w:pPr>
              <w:jc w:val="left"/>
              <w:rPr>
                <w:rFonts w:ascii="Arial Narrow" w:hAnsi="Arial Narrow"/>
                <w:color w:val="000000"/>
                <w:sz w:val="20"/>
                <w:szCs w:val="18"/>
              </w:rPr>
            </w:pPr>
            <w:r w:rsidRPr="00C35233">
              <w:rPr>
                <w:rFonts w:ascii="Arial Narrow" w:hAnsi="Arial Narrow"/>
                <w:color w:val="000000"/>
                <w:sz w:val="20"/>
                <w:szCs w:val="18"/>
              </w:rPr>
              <w:t>Trial 301</w:t>
            </w:r>
          </w:p>
        </w:tc>
        <w:tc>
          <w:tcPr>
            <w:tcW w:w="705" w:type="pct"/>
            <w:gridSpan w:val="2"/>
            <w:shd w:val="clear" w:color="auto" w:fill="auto"/>
            <w:vAlign w:val="center"/>
          </w:tcPr>
          <w:p w:rsidR="002F3345" w:rsidRPr="00C35233" w:rsidRDefault="005B5C66" w:rsidP="00E20ED6">
            <w:pPr>
              <w:rPr>
                <w:rFonts w:ascii="Arial Narrow" w:hAnsi="Arial Narrow"/>
                <w:color w:val="000000"/>
                <w:sz w:val="20"/>
                <w:szCs w:val="18"/>
              </w:rPr>
            </w:pPr>
            <w:r w:rsidRPr="00C35233">
              <w:rPr>
                <w:rFonts w:ascii="Arial Narrow" w:hAnsi="Arial Narrow"/>
                <w:color w:val="000000"/>
                <w:sz w:val="20"/>
                <w:szCs w:val="18"/>
              </w:rPr>
              <w:t>Survival</w:t>
            </w:r>
          </w:p>
        </w:tc>
        <w:tc>
          <w:tcPr>
            <w:tcW w:w="635" w:type="pct"/>
          </w:tcPr>
          <w:p w:rsidR="002F3345" w:rsidRPr="00C35233" w:rsidRDefault="002F3345" w:rsidP="00E20ED6">
            <w:pPr>
              <w:jc w:val="center"/>
              <w:rPr>
                <w:rFonts w:ascii="Arial Narrow" w:hAnsi="Arial Narrow"/>
                <w:sz w:val="20"/>
              </w:rPr>
            </w:pPr>
            <w:r w:rsidRPr="00C35233">
              <w:rPr>
                <w:rFonts w:ascii="Arial Narrow" w:hAnsi="Arial Narrow"/>
                <w:sz w:val="20"/>
              </w:rPr>
              <w:t>-</w:t>
            </w:r>
          </w:p>
        </w:tc>
        <w:tc>
          <w:tcPr>
            <w:tcW w:w="637" w:type="pct"/>
          </w:tcPr>
          <w:p w:rsidR="002F3345" w:rsidRPr="00C35233" w:rsidRDefault="002F3345" w:rsidP="00E20ED6">
            <w:pPr>
              <w:jc w:val="center"/>
              <w:rPr>
                <w:rFonts w:ascii="Arial Narrow" w:hAnsi="Arial Narrow"/>
                <w:sz w:val="20"/>
              </w:rPr>
            </w:pPr>
            <w:r w:rsidRPr="00C35233">
              <w:rPr>
                <w:rFonts w:ascii="Arial Narrow" w:hAnsi="Arial Narrow"/>
                <w:sz w:val="20"/>
              </w:rPr>
              <w:t>219/398 (55%)</w:t>
            </w:r>
          </w:p>
        </w:tc>
        <w:tc>
          <w:tcPr>
            <w:tcW w:w="637" w:type="pct"/>
          </w:tcPr>
          <w:p w:rsidR="002F3345" w:rsidRPr="00C35233" w:rsidRDefault="002F3345" w:rsidP="00E20ED6">
            <w:pPr>
              <w:jc w:val="center"/>
              <w:rPr>
                <w:rFonts w:ascii="Arial Narrow" w:hAnsi="Arial Narrow"/>
                <w:color w:val="000000"/>
                <w:sz w:val="20"/>
                <w:szCs w:val="18"/>
              </w:rPr>
            </w:pPr>
            <w:r w:rsidRPr="00C35233">
              <w:rPr>
                <w:rFonts w:ascii="Arial Narrow" w:hAnsi="Arial Narrow"/>
                <w:sz w:val="20"/>
              </w:rPr>
              <w:t>333/797 (42%)</w:t>
            </w:r>
          </w:p>
        </w:tc>
        <w:tc>
          <w:tcPr>
            <w:tcW w:w="504" w:type="pct"/>
            <w:vMerge w:val="restart"/>
            <w:vAlign w:val="center"/>
          </w:tcPr>
          <w:p w:rsidR="002F3345" w:rsidRPr="00E73118" w:rsidRDefault="00E73118" w:rsidP="002F3345">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04" w:type="pct"/>
            <w:vMerge w:val="restart"/>
            <w:vAlign w:val="center"/>
          </w:tcPr>
          <w:p w:rsidR="002F3345" w:rsidRPr="00E73118" w:rsidRDefault="00E73118" w:rsidP="00E20ED6">
            <w:pPr>
              <w:jc w:val="center"/>
              <w:rPr>
                <w:rFonts w:ascii="Arial Narrow" w:hAnsi="Arial Narrow"/>
                <w:sz w:val="20"/>
                <w:highlight w:val="black"/>
              </w:rPr>
            </w:pPr>
            <w:r>
              <w:rPr>
                <w:rFonts w:ascii="Arial Narrow" w:hAnsi="Arial Narrow"/>
                <w:noProof/>
                <w:color w:val="000000"/>
                <w:sz w:val="20"/>
                <w:highlight w:val="black"/>
              </w:rPr>
              <w:t>''''''''''</w:t>
            </w:r>
          </w:p>
          <w:p w:rsidR="002F3345" w:rsidRPr="00E73118" w:rsidRDefault="00E73118" w:rsidP="00E20ED6">
            <w:pPr>
              <w:jc w:val="center"/>
              <w:rPr>
                <w:rFonts w:ascii="Arial Narrow" w:hAnsi="Arial Narrow"/>
                <w:sz w:val="20"/>
                <w:highlight w:val="black"/>
              </w:rPr>
            </w:pPr>
            <w:r>
              <w:rPr>
                <w:rFonts w:ascii="Arial Narrow" w:hAnsi="Arial Narrow"/>
                <w:noProof/>
                <w:color w:val="000000"/>
                <w:sz w:val="20"/>
                <w:highlight w:val="black"/>
              </w:rPr>
              <w:t>''''''''''''''''''''''''''''</w:t>
            </w:r>
          </w:p>
        </w:tc>
        <w:tc>
          <w:tcPr>
            <w:tcW w:w="517" w:type="pct"/>
            <w:vMerge w:val="restart"/>
            <w:vAlign w:val="center"/>
          </w:tcPr>
          <w:p w:rsidR="002F3345" w:rsidRPr="00E73118" w:rsidRDefault="00E73118" w:rsidP="002F3345">
            <w:pPr>
              <w:jc w:val="center"/>
              <w:rPr>
                <w:rFonts w:ascii="Arial Narrow" w:hAnsi="Arial Narrow"/>
                <w:sz w:val="20"/>
                <w:highlight w:val="black"/>
              </w:rPr>
            </w:pPr>
            <w:r>
              <w:rPr>
                <w:rFonts w:ascii="Arial Narrow" w:hAnsi="Arial Narrow"/>
                <w:noProof/>
                <w:color w:val="000000"/>
                <w:sz w:val="20"/>
                <w:highlight w:val="black"/>
              </w:rPr>
              <w:t>''''''''</w:t>
            </w:r>
          </w:p>
        </w:tc>
        <w:tc>
          <w:tcPr>
            <w:tcW w:w="513" w:type="pct"/>
            <w:vMerge w:val="restart"/>
            <w:vAlign w:val="center"/>
          </w:tcPr>
          <w:p w:rsidR="00C9760D" w:rsidRPr="00E73118" w:rsidRDefault="00E73118" w:rsidP="002F3345">
            <w:pPr>
              <w:jc w:val="center"/>
              <w:rPr>
                <w:rFonts w:ascii="Arial Narrow" w:hAnsi="Arial Narrow"/>
                <w:sz w:val="20"/>
                <w:highlight w:val="black"/>
              </w:rPr>
            </w:pPr>
            <w:r>
              <w:rPr>
                <w:rFonts w:ascii="Arial Narrow" w:hAnsi="Arial Narrow"/>
                <w:noProof/>
                <w:color w:val="000000"/>
                <w:sz w:val="20"/>
                <w:highlight w:val="black"/>
              </w:rPr>
              <w:t xml:space="preserve">''''''''''' </w:t>
            </w:r>
          </w:p>
          <w:p w:rsidR="002F3345" w:rsidRPr="00E73118" w:rsidRDefault="00E73118" w:rsidP="002F3345">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r>
      <w:tr w:rsidR="002F3345" w:rsidRPr="00C35233" w:rsidTr="00C35233">
        <w:trPr>
          <w:trHeight w:val="147"/>
        </w:trPr>
        <w:tc>
          <w:tcPr>
            <w:tcW w:w="349" w:type="pct"/>
            <w:vMerge/>
            <w:vAlign w:val="center"/>
          </w:tcPr>
          <w:p w:rsidR="002F3345" w:rsidRPr="00C35233" w:rsidRDefault="002F3345" w:rsidP="002F3345">
            <w:pPr>
              <w:jc w:val="left"/>
              <w:rPr>
                <w:rFonts w:ascii="Arial Narrow" w:hAnsi="Arial Narrow"/>
                <w:color w:val="000000"/>
                <w:sz w:val="20"/>
                <w:szCs w:val="18"/>
              </w:rPr>
            </w:pPr>
          </w:p>
        </w:tc>
        <w:tc>
          <w:tcPr>
            <w:tcW w:w="705" w:type="pct"/>
            <w:gridSpan w:val="2"/>
            <w:shd w:val="clear" w:color="auto" w:fill="auto"/>
            <w:vAlign w:val="center"/>
          </w:tcPr>
          <w:p w:rsidR="002F3345" w:rsidRPr="00C35233" w:rsidRDefault="002F3345" w:rsidP="00E20ED6">
            <w:pPr>
              <w:rPr>
                <w:rFonts w:ascii="Arial Narrow" w:hAnsi="Arial Narrow"/>
                <w:color w:val="000000"/>
                <w:sz w:val="20"/>
                <w:szCs w:val="18"/>
              </w:rPr>
            </w:pPr>
            <w:r w:rsidRPr="00C35233">
              <w:rPr>
                <w:rFonts w:ascii="Arial Narrow" w:hAnsi="Arial Narrow"/>
                <w:color w:val="000000"/>
                <w:sz w:val="20"/>
                <w:szCs w:val="18"/>
              </w:rPr>
              <w:t>Median</w:t>
            </w:r>
            <w:r w:rsidRPr="00136082">
              <w:rPr>
                <w:rFonts w:ascii="Arial Narrow" w:hAnsi="Arial Narrow"/>
                <w:strike/>
                <w:color w:val="000000"/>
                <w:sz w:val="20"/>
                <w:szCs w:val="18"/>
              </w:rPr>
              <w:t xml:space="preserve"> </w:t>
            </w:r>
            <w:r w:rsidRPr="00C35233">
              <w:rPr>
                <w:rFonts w:ascii="Arial Narrow" w:hAnsi="Arial Narrow"/>
                <w:color w:val="000000"/>
                <w:sz w:val="20"/>
                <w:szCs w:val="18"/>
              </w:rPr>
              <w:t>(</w:t>
            </w:r>
            <w:proofErr w:type="spellStart"/>
            <w:r w:rsidRPr="00C35233">
              <w:rPr>
                <w:rFonts w:ascii="Arial Narrow" w:hAnsi="Arial Narrow"/>
                <w:color w:val="000000"/>
                <w:sz w:val="20"/>
                <w:szCs w:val="18"/>
              </w:rPr>
              <w:t>mths</w:t>
            </w:r>
            <w:proofErr w:type="spellEnd"/>
            <w:r w:rsidRPr="00C35233">
              <w:rPr>
                <w:rFonts w:ascii="Arial Narrow" w:hAnsi="Arial Narrow"/>
                <w:color w:val="000000"/>
                <w:sz w:val="20"/>
                <w:szCs w:val="18"/>
              </w:rPr>
              <w:t>)</w:t>
            </w:r>
          </w:p>
        </w:tc>
        <w:tc>
          <w:tcPr>
            <w:tcW w:w="635" w:type="pct"/>
          </w:tcPr>
          <w:p w:rsidR="002F3345" w:rsidRPr="00C35233" w:rsidRDefault="002F3345" w:rsidP="00E20ED6">
            <w:pPr>
              <w:jc w:val="center"/>
              <w:rPr>
                <w:rFonts w:ascii="Arial Narrow" w:hAnsi="Arial Narrow"/>
                <w:sz w:val="20"/>
              </w:rPr>
            </w:pPr>
            <w:r w:rsidRPr="00C35233">
              <w:rPr>
                <w:rFonts w:ascii="Arial Narrow" w:hAnsi="Arial Narrow"/>
                <w:sz w:val="20"/>
              </w:rPr>
              <w:t>-</w:t>
            </w:r>
          </w:p>
        </w:tc>
        <w:tc>
          <w:tcPr>
            <w:tcW w:w="637" w:type="pct"/>
          </w:tcPr>
          <w:p w:rsidR="002F3345" w:rsidRPr="00C35233" w:rsidRDefault="002F3345" w:rsidP="002F3345">
            <w:pPr>
              <w:jc w:val="center"/>
              <w:rPr>
                <w:rFonts w:ascii="Arial Narrow" w:hAnsi="Arial Narrow"/>
                <w:sz w:val="20"/>
              </w:rPr>
            </w:pPr>
            <w:r w:rsidRPr="00C35233">
              <w:rPr>
                <w:rFonts w:ascii="Arial Narrow" w:hAnsi="Arial Narrow"/>
                <w:sz w:val="20"/>
              </w:rPr>
              <w:t>10.9</w:t>
            </w:r>
          </w:p>
        </w:tc>
        <w:tc>
          <w:tcPr>
            <w:tcW w:w="637" w:type="pct"/>
          </w:tcPr>
          <w:p w:rsidR="002F3345" w:rsidRPr="00C35233" w:rsidRDefault="002F3345" w:rsidP="002F3345">
            <w:pPr>
              <w:jc w:val="center"/>
              <w:rPr>
                <w:rFonts w:ascii="Arial Narrow" w:hAnsi="Arial Narrow"/>
                <w:sz w:val="20"/>
              </w:rPr>
            </w:pPr>
            <w:r w:rsidRPr="00C35233">
              <w:rPr>
                <w:rFonts w:ascii="Arial Narrow" w:hAnsi="Arial Narrow"/>
                <w:sz w:val="20"/>
              </w:rPr>
              <w:t>14.8</w:t>
            </w:r>
          </w:p>
        </w:tc>
        <w:tc>
          <w:tcPr>
            <w:tcW w:w="504" w:type="pct"/>
            <w:vMerge/>
            <w:vAlign w:val="center"/>
          </w:tcPr>
          <w:p w:rsidR="002F3345" w:rsidRPr="00C35233" w:rsidRDefault="002F3345" w:rsidP="00E20ED6">
            <w:pPr>
              <w:jc w:val="center"/>
              <w:rPr>
                <w:rFonts w:ascii="Arial Narrow" w:hAnsi="Arial Narrow"/>
                <w:color w:val="000000"/>
                <w:sz w:val="20"/>
                <w:szCs w:val="18"/>
              </w:rPr>
            </w:pPr>
          </w:p>
        </w:tc>
        <w:tc>
          <w:tcPr>
            <w:tcW w:w="504" w:type="pct"/>
            <w:vMerge/>
          </w:tcPr>
          <w:p w:rsidR="002F3345" w:rsidRPr="00C35233" w:rsidRDefault="002F3345" w:rsidP="00E20ED6">
            <w:pPr>
              <w:jc w:val="center"/>
              <w:rPr>
                <w:rFonts w:ascii="Arial Narrow" w:hAnsi="Arial Narrow"/>
                <w:color w:val="000000"/>
                <w:sz w:val="20"/>
                <w:szCs w:val="18"/>
              </w:rPr>
            </w:pPr>
          </w:p>
        </w:tc>
        <w:tc>
          <w:tcPr>
            <w:tcW w:w="517" w:type="pct"/>
            <w:vMerge/>
            <w:vAlign w:val="center"/>
          </w:tcPr>
          <w:p w:rsidR="002F3345" w:rsidRPr="00C35233" w:rsidRDefault="002F3345" w:rsidP="002F3345">
            <w:pPr>
              <w:jc w:val="center"/>
              <w:rPr>
                <w:rFonts w:ascii="Arial Narrow" w:hAnsi="Arial Narrow"/>
                <w:color w:val="000000"/>
                <w:sz w:val="20"/>
                <w:szCs w:val="18"/>
              </w:rPr>
            </w:pPr>
          </w:p>
        </w:tc>
        <w:tc>
          <w:tcPr>
            <w:tcW w:w="513" w:type="pct"/>
            <w:vMerge/>
            <w:vAlign w:val="center"/>
          </w:tcPr>
          <w:p w:rsidR="002F3345" w:rsidRPr="00C35233" w:rsidRDefault="002F3345" w:rsidP="002F3345">
            <w:pPr>
              <w:jc w:val="center"/>
              <w:rPr>
                <w:rFonts w:ascii="Arial Narrow" w:hAnsi="Arial Narrow"/>
                <w:color w:val="000000"/>
                <w:sz w:val="20"/>
                <w:szCs w:val="18"/>
              </w:rPr>
            </w:pPr>
          </w:p>
        </w:tc>
      </w:tr>
      <w:tr w:rsidR="002F3345" w:rsidRPr="00C35233" w:rsidTr="00C35233">
        <w:trPr>
          <w:trHeight w:val="229"/>
        </w:trPr>
        <w:tc>
          <w:tcPr>
            <w:tcW w:w="349" w:type="pct"/>
            <w:vMerge w:val="restart"/>
            <w:vAlign w:val="center"/>
          </w:tcPr>
          <w:p w:rsidR="002F3345" w:rsidRPr="00C35233" w:rsidRDefault="002F3345" w:rsidP="002F3345">
            <w:pPr>
              <w:jc w:val="left"/>
              <w:rPr>
                <w:rFonts w:ascii="Arial Narrow" w:hAnsi="Arial Narrow"/>
                <w:color w:val="000000"/>
                <w:sz w:val="20"/>
                <w:szCs w:val="18"/>
              </w:rPr>
            </w:pPr>
            <w:r w:rsidRPr="00C35233">
              <w:rPr>
                <w:rFonts w:ascii="Arial Narrow" w:hAnsi="Arial Narrow"/>
                <w:color w:val="000000"/>
                <w:sz w:val="20"/>
                <w:szCs w:val="18"/>
              </w:rPr>
              <w:t>AFFIRM</w:t>
            </w:r>
          </w:p>
        </w:tc>
        <w:tc>
          <w:tcPr>
            <w:tcW w:w="705" w:type="pct"/>
            <w:gridSpan w:val="2"/>
            <w:shd w:val="clear" w:color="auto" w:fill="auto"/>
            <w:vAlign w:val="center"/>
          </w:tcPr>
          <w:p w:rsidR="002F3345" w:rsidRPr="00C35233" w:rsidRDefault="002F3345" w:rsidP="00E20ED6">
            <w:pPr>
              <w:rPr>
                <w:rFonts w:ascii="Arial Narrow" w:hAnsi="Arial Narrow"/>
                <w:color w:val="000000"/>
                <w:sz w:val="20"/>
                <w:szCs w:val="18"/>
              </w:rPr>
            </w:pPr>
            <w:r w:rsidRPr="00C35233">
              <w:rPr>
                <w:rFonts w:ascii="Arial Narrow" w:hAnsi="Arial Narrow"/>
                <w:color w:val="000000"/>
                <w:sz w:val="20"/>
                <w:szCs w:val="18"/>
              </w:rPr>
              <w:t>Survival</w:t>
            </w:r>
          </w:p>
        </w:tc>
        <w:tc>
          <w:tcPr>
            <w:tcW w:w="635" w:type="pct"/>
          </w:tcPr>
          <w:p w:rsidR="002F3345" w:rsidRPr="00C35233" w:rsidRDefault="002F3345" w:rsidP="002F3345">
            <w:pPr>
              <w:jc w:val="center"/>
              <w:rPr>
                <w:rFonts w:ascii="Arial Narrow" w:hAnsi="Arial Narrow"/>
                <w:sz w:val="20"/>
              </w:rPr>
            </w:pPr>
            <w:r w:rsidRPr="00C35233">
              <w:rPr>
                <w:rFonts w:ascii="Arial Narrow" w:hAnsi="Arial Narrow"/>
                <w:sz w:val="20"/>
              </w:rPr>
              <w:t>308/800 (39%)</w:t>
            </w:r>
          </w:p>
        </w:tc>
        <w:tc>
          <w:tcPr>
            <w:tcW w:w="637" w:type="pct"/>
          </w:tcPr>
          <w:p w:rsidR="002F3345" w:rsidRPr="00C35233" w:rsidRDefault="002F3345" w:rsidP="002F3345">
            <w:pPr>
              <w:jc w:val="center"/>
              <w:rPr>
                <w:rFonts w:ascii="Arial Narrow" w:hAnsi="Arial Narrow"/>
                <w:sz w:val="20"/>
              </w:rPr>
            </w:pPr>
            <w:r w:rsidRPr="00C35233">
              <w:rPr>
                <w:rFonts w:ascii="Arial Narrow" w:hAnsi="Arial Narrow"/>
                <w:sz w:val="20"/>
              </w:rPr>
              <w:t>212/399 (53%)</w:t>
            </w:r>
          </w:p>
        </w:tc>
        <w:tc>
          <w:tcPr>
            <w:tcW w:w="637" w:type="pct"/>
          </w:tcPr>
          <w:p w:rsidR="002F3345" w:rsidRPr="00C35233" w:rsidRDefault="002F3345" w:rsidP="00E20ED6">
            <w:pPr>
              <w:jc w:val="center"/>
              <w:rPr>
                <w:rFonts w:ascii="Arial Narrow" w:hAnsi="Arial Narrow"/>
                <w:color w:val="000000"/>
                <w:sz w:val="20"/>
                <w:szCs w:val="18"/>
              </w:rPr>
            </w:pPr>
            <w:r w:rsidRPr="00C35233">
              <w:rPr>
                <w:rFonts w:ascii="Arial Narrow" w:hAnsi="Arial Narrow"/>
                <w:sz w:val="20"/>
              </w:rPr>
              <w:t>-</w:t>
            </w:r>
          </w:p>
        </w:tc>
        <w:tc>
          <w:tcPr>
            <w:tcW w:w="504" w:type="pct"/>
            <w:vMerge w:val="restart"/>
            <w:vAlign w:val="center"/>
          </w:tcPr>
          <w:p w:rsidR="002F3345" w:rsidRPr="00E73118" w:rsidRDefault="00E73118" w:rsidP="00E20ED6">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04" w:type="pct"/>
            <w:vMerge w:val="restart"/>
          </w:tcPr>
          <w:p w:rsidR="00C9760D" w:rsidRPr="00E73118" w:rsidRDefault="00E73118" w:rsidP="00E20ED6">
            <w:pPr>
              <w:jc w:val="center"/>
              <w:rPr>
                <w:rFonts w:ascii="Arial Narrow" w:hAnsi="Arial Narrow"/>
                <w:sz w:val="20"/>
                <w:highlight w:val="black"/>
              </w:rPr>
            </w:pPr>
            <w:r>
              <w:rPr>
                <w:rFonts w:ascii="Arial Narrow" w:hAnsi="Arial Narrow"/>
                <w:noProof/>
                <w:color w:val="000000"/>
                <w:sz w:val="20"/>
                <w:highlight w:val="black"/>
              </w:rPr>
              <w:t xml:space="preserve">'''''''''' </w:t>
            </w:r>
          </w:p>
          <w:p w:rsidR="002F3345" w:rsidRPr="00E73118" w:rsidRDefault="00E73118" w:rsidP="00E20ED6">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517" w:type="pct"/>
            <w:vMerge/>
            <w:vAlign w:val="center"/>
          </w:tcPr>
          <w:p w:rsidR="002F3345" w:rsidRPr="00C35233" w:rsidRDefault="002F3345" w:rsidP="002F3345">
            <w:pPr>
              <w:jc w:val="center"/>
              <w:rPr>
                <w:rFonts w:ascii="Arial Narrow" w:hAnsi="Arial Narrow"/>
                <w:color w:val="000000"/>
                <w:sz w:val="20"/>
                <w:szCs w:val="18"/>
              </w:rPr>
            </w:pPr>
          </w:p>
        </w:tc>
        <w:tc>
          <w:tcPr>
            <w:tcW w:w="513" w:type="pct"/>
            <w:vMerge/>
            <w:vAlign w:val="center"/>
          </w:tcPr>
          <w:p w:rsidR="002F3345" w:rsidRPr="00C35233" w:rsidRDefault="002F3345" w:rsidP="002F3345">
            <w:pPr>
              <w:jc w:val="center"/>
              <w:rPr>
                <w:rFonts w:ascii="Arial Narrow" w:hAnsi="Arial Narrow"/>
                <w:color w:val="000000"/>
                <w:sz w:val="20"/>
                <w:szCs w:val="18"/>
              </w:rPr>
            </w:pPr>
          </w:p>
        </w:tc>
      </w:tr>
      <w:tr w:rsidR="002F3345" w:rsidRPr="00C35233" w:rsidTr="00C35233">
        <w:trPr>
          <w:trHeight w:val="147"/>
        </w:trPr>
        <w:tc>
          <w:tcPr>
            <w:tcW w:w="349" w:type="pct"/>
            <w:vMerge/>
          </w:tcPr>
          <w:p w:rsidR="002F3345" w:rsidRPr="00C35233" w:rsidRDefault="002F3345" w:rsidP="00E20ED6">
            <w:pPr>
              <w:rPr>
                <w:rFonts w:ascii="Arial Narrow" w:hAnsi="Arial Narrow"/>
                <w:color w:val="000000"/>
                <w:sz w:val="20"/>
                <w:szCs w:val="18"/>
              </w:rPr>
            </w:pPr>
          </w:p>
        </w:tc>
        <w:tc>
          <w:tcPr>
            <w:tcW w:w="705" w:type="pct"/>
            <w:gridSpan w:val="2"/>
            <w:shd w:val="clear" w:color="auto" w:fill="auto"/>
            <w:vAlign w:val="center"/>
          </w:tcPr>
          <w:p w:rsidR="002F3345" w:rsidRPr="00C35233" w:rsidRDefault="002F3345" w:rsidP="00E20ED6">
            <w:pPr>
              <w:rPr>
                <w:rFonts w:ascii="Arial Narrow" w:hAnsi="Arial Narrow"/>
                <w:color w:val="000000"/>
                <w:sz w:val="20"/>
                <w:szCs w:val="18"/>
              </w:rPr>
            </w:pPr>
            <w:r w:rsidRPr="00C35233">
              <w:rPr>
                <w:rFonts w:ascii="Arial Narrow" w:hAnsi="Arial Narrow"/>
                <w:color w:val="000000"/>
                <w:sz w:val="20"/>
                <w:szCs w:val="18"/>
              </w:rPr>
              <w:t>Median (</w:t>
            </w:r>
            <w:proofErr w:type="spellStart"/>
            <w:r w:rsidRPr="00C35233">
              <w:rPr>
                <w:rFonts w:ascii="Arial Narrow" w:hAnsi="Arial Narrow"/>
                <w:color w:val="000000"/>
                <w:sz w:val="20"/>
                <w:szCs w:val="18"/>
              </w:rPr>
              <w:t>mths</w:t>
            </w:r>
            <w:proofErr w:type="spellEnd"/>
            <w:r w:rsidR="00BB6AE2" w:rsidRPr="00C35233">
              <w:rPr>
                <w:rFonts w:ascii="Arial Narrow" w:hAnsi="Arial Narrow"/>
                <w:color w:val="000000"/>
                <w:sz w:val="20"/>
                <w:szCs w:val="18"/>
              </w:rPr>
              <w:t>)</w:t>
            </w:r>
            <w:r w:rsidRPr="00C35233">
              <w:rPr>
                <w:rFonts w:ascii="Arial Narrow" w:hAnsi="Arial Narrow"/>
                <w:color w:val="000000"/>
                <w:sz w:val="20"/>
                <w:szCs w:val="18"/>
              </w:rPr>
              <w:t>)</w:t>
            </w:r>
          </w:p>
        </w:tc>
        <w:tc>
          <w:tcPr>
            <w:tcW w:w="635" w:type="pct"/>
          </w:tcPr>
          <w:p w:rsidR="002F3345" w:rsidRPr="00C35233" w:rsidRDefault="00C9760D" w:rsidP="00C9760D">
            <w:pPr>
              <w:jc w:val="center"/>
              <w:rPr>
                <w:rFonts w:ascii="Arial Narrow" w:hAnsi="Arial Narrow"/>
                <w:sz w:val="20"/>
              </w:rPr>
            </w:pPr>
            <w:r w:rsidRPr="00C35233">
              <w:rPr>
                <w:rFonts w:ascii="Arial Narrow" w:hAnsi="Arial Narrow"/>
                <w:sz w:val="20"/>
              </w:rPr>
              <w:t xml:space="preserve">18.4 </w:t>
            </w:r>
          </w:p>
        </w:tc>
        <w:tc>
          <w:tcPr>
            <w:tcW w:w="637" w:type="pct"/>
          </w:tcPr>
          <w:p w:rsidR="002F3345" w:rsidRPr="00C35233" w:rsidRDefault="00C9760D" w:rsidP="00C9760D">
            <w:pPr>
              <w:jc w:val="center"/>
              <w:rPr>
                <w:rFonts w:ascii="Arial Narrow" w:hAnsi="Arial Narrow"/>
                <w:sz w:val="20"/>
              </w:rPr>
            </w:pPr>
            <w:r w:rsidRPr="00C35233">
              <w:rPr>
                <w:rFonts w:ascii="Arial Narrow" w:hAnsi="Arial Narrow"/>
                <w:sz w:val="20"/>
              </w:rPr>
              <w:t>13.6</w:t>
            </w:r>
          </w:p>
        </w:tc>
        <w:tc>
          <w:tcPr>
            <w:tcW w:w="637" w:type="pct"/>
          </w:tcPr>
          <w:p w:rsidR="002F3345" w:rsidRPr="00C35233" w:rsidRDefault="002F3345" w:rsidP="00E20ED6">
            <w:pPr>
              <w:jc w:val="center"/>
              <w:rPr>
                <w:rFonts w:ascii="Arial Narrow" w:hAnsi="Arial Narrow"/>
                <w:color w:val="000000"/>
                <w:sz w:val="20"/>
                <w:szCs w:val="18"/>
              </w:rPr>
            </w:pPr>
            <w:r w:rsidRPr="00C35233">
              <w:rPr>
                <w:rFonts w:ascii="Arial Narrow" w:hAnsi="Arial Narrow"/>
                <w:sz w:val="20"/>
              </w:rPr>
              <w:t>-</w:t>
            </w:r>
          </w:p>
        </w:tc>
        <w:tc>
          <w:tcPr>
            <w:tcW w:w="504" w:type="pct"/>
            <w:vMerge/>
            <w:vAlign w:val="center"/>
          </w:tcPr>
          <w:p w:rsidR="002F3345" w:rsidRPr="00C35233" w:rsidRDefault="002F3345" w:rsidP="00E20ED6">
            <w:pPr>
              <w:jc w:val="center"/>
              <w:rPr>
                <w:rFonts w:ascii="Arial Narrow" w:hAnsi="Arial Narrow"/>
                <w:color w:val="000000"/>
                <w:sz w:val="20"/>
                <w:szCs w:val="18"/>
              </w:rPr>
            </w:pPr>
          </w:p>
        </w:tc>
        <w:tc>
          <w:tcPr>
            <w:tcW w:w="504" w:type="pct"/>
            <w:vMerge/>
          </w:tcPr>
          <w:p w:rsidR="002F3345" w:rsidRPr="00C35233" w:rsidRDefault="002F3345" w:rsidP="00E20ED6">
            <w:pPr>
              <w:jc w:val="center"/>
              <w:rPr>
                <w:rFonts w:ascii="Arial Narrow" w:hAnsi="Arial Narrow"/>
                <w:color w:val="000000"/>
                <w:sz w:val="20"/>
                <w:szCs w:val="18"/>
              </w:rPr>
            </w:pPr>
          </w:p>
        </w:tc>
        <w:tc>
          <w:tcPr>
            <w:tcW w:w="517" w:type="pct"/>
            <w:vMerge/>
            <w:vAlign w:val="center"/>
          </w:tcPr>
          <w:p w:rsidR="002F3345" w:rsidRPr="00C35233" w:rsidRDefault="002F3345" w:rsidP="002F3345">
            <w:pPr>
              <w:jc w:val="center"/>
              <w:rPr>
                <w:rFonts w:ascii="Arial Narrow" w:hAnsi="Arial Narrow"/>
                <w:color w:val="000000"/>
                <w:sz w:val="20"/>
                <w:szCs w:val="18"/>
              </w:rPr>
            </w:pPr>
          </w:p>
        </w:tc>
        <w:tc>
          <w:tcPr>
            <w:tcW w:w="513" w:type="pct"/>
            <w:vMerge/>
            <w:vAlign w:val="center"/>
          </w:tcPr>
          <w:p w:rsidR="002F3345" w:rsidRPr="00C35233" w:rsidRDefault="002F3345" w:rsidP="002F3345">
            <w:pPr>
              <w:jc w:val="center"/>
              <w:rPr>
                <w:rFonts w:ascii="Arial Narrow" w:hAnsi="Arial Narrow"/>
                <w:color w:val="000000"/>
                <w:sz w:val="20"/>
                <w:szCs w:val="18"/>
              </w:rPr>
            </w:pPr>
          </w:p>
        </w:tc>
      </w:tr>
      <w:tr w:rsidR="00831575" w:rsidRPr="00C35233" w:rsidTr="00C35233">
        <w:trPr>
          <w:trHeight w:val="229"/>
        </w:trPr>
        <w:tc>
          <w:tcPr>
            <w:tcW w:w="5000" w:type="pct"/>
            <w:gridSpan w:val="10"/>
            <w:vAlign w:val="center"/>
          </w:tcPr>
          <w:p w:rsidR="00831575" w:rsidRPr="00C35233" w:rsidRDefault="00831575" w:rsidP="00831575">
            <w:pPr>
              <w:jc w:val="left"/>
              <w:rPr>
                <w:rFonts w:ascii="Arial Narrow" w:hAnsi="Arial Narrow"/>
                <w:b/>
                <w:color w:val="000000"/>
                <w:sz w:val="20"/>
                <w:szCs w:val="18"/>
              </w:rPr>
            </w:pPr>
            <w:r w:rsidRPr="00C35233">
              <w:rPr>
                <w:rFonts w:ascii="Arial Narrow" w:hAnsi="Arial Narrow"/>
                <w:b/>
                <w:color w:val="000000"/>
                <w:sz w:val="20"/>
                <w:szCs w:val="18"/>
              </w:rPr>
              <w:t>Harms</w:t>
            </w:r>
          </w:p>
        </w:tc>
      </w:tr>
      <w:tr w:rsidR="00831575" w:rsidRPr="00C35233" w:rsidTr="00C35233">
        <w:trPr>
          <w:trHeight w:val="472"/>
        </w:trPr>
        <w:tc>
          <w:tcPr>
            <w:tcW w:w="1053" w:type="pct"/>
            <w:gridSpan w:val="3"/>
          </w:tcPr>
          <w:p w:rsidR="00831575" w:rsidRPr="00C35233" w:rsidRDefault="00831575" w:rsidP="00FB59BA">
            <w:pPr>
              <w:jc w:val="center"/>
              <w:rPr>
                <w:rFonts w:ascii="Arial Narrow" w:hAnsi="Arial Narrow"/>
                <w:color w:val="000000"/>
                <w:sz w:val="20"/>
                <w:szCs w:val="18"/>
              </w:rPr>
            </w:pPr>
          </w:p>
        </w:tc>
        <w:tc>
          <w:tcPr>
            <w:tcW w:w="635" w:type="pct"/>
            <w:vAlign w:val="center"/>
          </w:tcPr>
          <w:p w:rsidR="00831575" w:rsidRPr="00C35233" w:rsidRDefault="00831575" w:rsidP="00FB59BA">
            <w:pPr>
              <w:jc w:val="center"/>
              <w:rPr>
                <w:rFonts w:ascii="Arial Narrow" w:hAnsi="Arial Narrow"/>
                <w:b/>
                <w:color w:val="000000"/>
                <w:sz w:val="20"/>
                <w:szCs w:val="18"/>
              </w:rPr>
            </w:pPr>
            <w:r w:rsidRPr="00C35233">
              <w:rPr>
                <w:rFonts w:ascii="Arial Narrow" w:hAnsi="Arial Narrow"/>
                <w:b/>
                <w:color w:val="000000"/>
                <w:sz w:val="20"/>
                <w:szCs w:val="18"/>
              </w:rPr>
              <w:t>enzalutamide</w:t>
            </w:r>
          </w:p>
        </w:tc>
        <w:tc>
          <w:tcPr>
            <w:tcW w:w="637" w:type="pct"/>
            <w:vAlign w:val="center"/>
          </w:tcPr>
          <w:p w:rsidR="00831575" w:rsidRPr="00C35233" w:rsidRDefault="00831575" w:rsidP="00FB59BA">
            <w:pPr>
              <w:jc w:val="center"/>
              <w:rPr>
                <w:rFonts w:ascii="Arial Narrow" w:hAnsi="Arial Narrow"/>
                <w:b/>
                <w:color w:val="000000"/>
                <w:sz w:val="20"/>
                <w:szCs w:val="18"/>
              </w:rPr>
            </w:pPr>
            <w:r w:rsidRPr="00C35233">
              <w:rPr>
                <w:rFonts w:ascii="Arial Narrow" w:hAnsi="Arial Narrow"/>
                <w:b/>
                <w:color w:val="000000"/>
                <w:sz w:val="20"/>
                <w:szCs w:val="18"/>
              </w:rPr>
              <w:t>placebo</w:t>
            </w:r>
          </w:p>
        </w:tc>
        <w:tc>
          <w:tcPr>
            <w:tcW w:w="637" w:type="pct"/>
            <w:vAlign w:val="center"/>
          </w:tcPr>
          <w:p w:rsidR="00831575" w:rsidRPr="00C35233" w:rsidRDefault="00831575" w:rsidP="00FB59BA">
            <w:pPr>
              <w:jc w:val="center"/>
              <w:rPr>
                <w:rFonts w:ascii="Arial Narrow" w:hAnsi="Arial Narrow"/>
                <w:b/>
                <w:color w:val="000000"/>
                <w:sz w:val="20"/>
                <w:szCs w:val="18"/>
              </w:rPr>
            </w:pPr>
            <w:r w:rsidRPr="00C35233">
              <w:rPr>
                <w:rFonts w:ascii="Arial Narrow" w:hAnsi="Arial Narrow"/>
                <w:b/>
                <w:color w:val="000000"/>
                <w:sz w:val="20"/>
                <w:szCs w:val="18"/>
              </w:rPr>
              <w:t>abiraterone</w:t>
            </w:r>
          </w:p>
        </w:tc>
        <w:tc>
          <w:tcPr>
            <w:tcW w:w="1008" w:type="pct"/>
            <w:gridSpan w:val="2"/>
            <w:vAlign w:val="center"/>
          </w:tcPr>
          <w:p w:rsidR="00831575" w:rsidRPr="003A44FB" w:rsidRDefault="00831575" w:rsidP="00831575">
            <w:pPr>
              <w:jc w:val="center"/>
              <w:rPr>
                <w:rFonts w:ascii="Arial Narrow" w:hAnsi="Arial Narrow"/>
                <w:b/>
                <w:color w:val="000000"/>
                <w:sz w:val="20"/>
                <w:szCs w:val="18"/>
              </w:rPr>
            </w:pPr>
            <w:r w:rsidRPr="003A44FB">
              <w:rPr>
                <w:rFonts w:ascii="Arial Narrow" w:hAnsi="Arial Narrow"/>
                <w:b/>
                <w:color w:val="000000"/>
                <w:sz w:val="20"/>
                <w:szCs w:val="18"/>
              </w:rPr>
              <w:t>RR</w:t>
            </w:r>
          </w:p>
          <w:p w:rsidR="00831575" w:rsidRPr="00C35233" w:rsidRDefault="00831575" w:rsidP="00831575">
            <w:pPr>
              <w:jc w:val="center"/>
              <w:rPr>
                <w:rFonts w:ascii="Arial Narrow" w:hAnsi="Arial Narrow"/>
                <w:b/>
                <w:color w:val="000000"/>
                <w:sz w:val="20"/>
                <w:szCs w:val="18"/>
              </w:rPr>
            </w:pPr>
            <w:r w:rsidRPr="003A44FB">
              <w:rPr>
                <w:rFonts w:ascii="Arial Narrow" w:hAnsi="Arial Narrow"/>
                <w:b/>
                <w:color w:val="000000"/>
                <w:sz w:val="20"/>
                <w:szCs w:val="18"/>
              </w:rPr>
              <w:t>(95% CI)</w:t>
            </w:r>
          </w:p>
        </w:tc>
        <w:tc>
          <w:tcPr>
            <w:tcW w:w="1030" w:type="pct"/>
            <w:gridSpan w:val="2"/>
            <w:vAlign w:val="center"/>
          </w:tcPr>
          <w:p w:rsidR="00831575" w:rsidRPr="003A44FB" w:rsidRDefault="00831575" w:rsidP="00FB59BA">
            <w:pPr>
              <w:jc w:val="center"/>
              <w:rPr>
                <w:rFonts w:ascii="Arial Narrow" w:hAnsi="Arial Narrow"/>
                <w:b/>
                <w:color w:val="000000"/>
                <w:sz w:val="20"/>
                <w:szCs w:val="18"/>
              </w:rPr>
            </w:pPr>
            <w:r w:rsidRPr="003A44FB">
              <w:rPr>
                <w:rFonts w:ascii="Arial Narrow" w:hAnsi="Arial Narrow"/>
                <w:b/>
                <w:color w:val="000000"/>
                <w:sz w:val="20"/>
                <w:szCs w:val="18"/>
              </w:rPr>
              <w:t xml:space="preserve">Ind. RR </w:t>
            </w:r>
          </w:p>
          <w:p w:rsidR="00831575" w:rsidRPr="00C35233" w:rsidRDefault="00831575" w:rsidP="00FB59BA">
            <w:pPr>
              <w:jc w:val="center"/>
              <w:rPr>
                <w:rFonts w:ascii="Arial Narrow" w:hAnsi="Arial Narrow"/>
                <w:b/>
                <w:color w:val="000000"/>
                <w:sz w:val="20"/>
                <w:szCs w:val="18"/>
              </w:rPr>
            </w:pPr>
            <w:r w:rsidRPr="003A44FB">
              <w:rPr>
                <w:rFonts w:ascii="Arial Narrow" w:hAnsi="Arial Narrow"/>
                <w:b/>
                <w:color w:val="000000"/>
                <w:sz w:val="20"/>
                <w:szCs w:val="18"/>
              </w:rPr>
              <w:t>(95% CI)</w:t>
            </w:r>
          </w:p>
        </w:tc>
      </w:tr>
      <w:tr w:rsidR="00831575" w:rsidRPr="00C35233" w:rsidTr="00C35233">
        <w:trPr>
          <w:trHeight w:val="229"/>
        </w:trPr>
        <w:tc>
          <w:tcPr>
            <w:tcW w:w="650" w:type="pct"/>
            <w:gridSpan w:val="2"/>
            <w:vMerge w:val="restart"/>
            <w:vAlign w:val="center"/>
          </w:tcPr>
          <w:p w:rsidR="00831575" w:rsidRPr="00C35233" w:rsidRDefault="00831575" w:rsidP="00FB59BA">
            <w:pPr>
              <w:jc w:val="left"/>
              <w:rPr>
                <w:rFonts w:ascii="Arial Narrow" w:hAnsi="Arial Narrow"/>
                <w:color w:val="000000"/>
                <w:sz w:val="20"/>
                <w:szCs w:val="18"/>
              </w:rPr>
            </w:pPr>
            <w:r w:rsidRPr="00C35233">
              <w:rPr>
                <w:rFonts w:ascii="Arial Narrow" w:hAnsi="Arial Narrow"/>
                <w:color w:val="000000"/>
                <w:sz w:val="20"/>
                <w:szCs w:val="18"/>
              </w:rPr>
              <w:t>AEs</w:t>
            </w:r>
          </w:p>
        </w:tc>
        <w:tc>
          <w:tcPr>
            <w:tcW w:w="403" w:type="pct"/>
            <w:shd w:val="clear" w:color="auto" w:fill="auto"/>
            <w:vAlign w:val="center"/>
          </w:tcPr>
          <w:p w:rsidR="00831575" w:rsidRPr="00C35233" w:rsidRDefault="00831575" w:rsidP="00FB59BA">
            <w:pPr>
              <w:rPr>
                <w:rFonts w:ascii="Arial Narrow" w:hAnsi="Arial Narrow"/>
                <w:color w:val="000000"/>
                <w:sz w:val="20"/>
                <w:szCs w:val="18"/>
              </w:rPr>
            </w:pPr>
            <w:r w:rsidRPr="00C35233">
              <w:rPr>
                <w:rFonts w:ascii="Arial Narrow" w:hAnsi="Arial Narrow"/>
                <w:color w:val="000000"/>
                <w:sz w:val="20"/>
                <w:szCs w:val="18"/>
              </w:rPr>
              <w:t>Trial 301</w:t>
            </w:r>
          </w:p>
        </w:tc>
        <w:tc>
          <w:tcPr>
            <w:tcW w:w="635" w:type="pct"/>
          </w:tcPr>
          <w:p w:rsidR="00831575" w:rsidRPr="00C35233" w:rsidRDefault="00831575" w:rsidP="00FB59BA">
            <w:pPr>
              <w:jc w:val="center"/>
              <w:rPr>
                <w:rFonts w:ascii="Arial Narrow" w:hAnsi="Arial Narrow"/>
                <w:sz w:val="20"/>
              </w:rPr>
            </w:pPr>
            <w:r w:rsidRPr="00C35233">
              <w:rPr>
                <w:rFonts w:ascii="Arial Narrow" w:hAnsi="Arial Narrow"/>
                <w:sz w:val="20"/>
              </w:rPr>
              <w:t>-</w:t>
            </w:r>
          </w:p>
        </w:tc>
        <w:tc>
          <w:tcPr>
            <w:tcW w:w="637" w:type="pct"/>
          </w:tcPr>
          <w:p w:rsidR="00831575" w:rsidRPr="00C35233" w:rsidRDefault="00831575" w:rsidP="00FB59BA">
            <w:pPr>
              <w:jc w:val="center"/>
              <w:rPr>
                <w:rFonts w:ascii="Arial Narrow" w:hAnsi="Arial Narrow"/>
                <w:sz w:val="20"/>
              </w:rPr>
            </w:pPr>
            <w:r w:rsidRPr="00C35233">
              <w:rPr>
                <w:rFonts w:ascii="Arial Narrow" w:hAnsi="Arial Narrow"/>
                <w:sz w:val="20"/>
              </w:rPr>
              <w:t>390/394 (99%)</w:t>
            </w:r>
          </w:p>
        </w:tc>
        <w:tc>
          <w:tcPr>
            <w:tcW w:w="637" w:type="pct"/>
          </w:tcPr>
          <w:p w:rsidR="00831575" w:rsidRPr="00C35233" w:rsidRDefault="00831575" w:rsidP="00FB59BA">
            <w:pPr>
              <w:jc w:val="center"/>
              <w:rPr>
                <w:rFonts w:ascii="Arial Narrow" w:hAnsi="Arial Narrow"/>
                <w:color w:val="000000"/>
                <w:sz w:val="20"/>
                <w:szCs w:val="18"/>
              </w:rPr>
            </w:pPr>
            <w:r w:rsidRPr="00C35233">
              <w:rPr>
                <w:rFonts w:ascii="Arial Narrow" w:hAnsi="Arial Narrow"/>
                <w:sz w:val="20"/>
              </w:rPr>
              <w:t>782/791 (99%)</w:t>
            </w:r>
          </w:p>
        </w:tc>
        <w:tc>
          <w:tcPr>
            <w:tcW w:w="1008" w:type="pct"/>
            <w:gridSpan w:val="2"/>
            <w:vAlign w:val="center"/>
          </w:tcPr>
          <w:p w:rsidR="00831575"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1030" w:type="pct"/>
            <w:gridSpan w:val="2"/>
            <w:vMerge w:val="restart"/>
            <w:vAlign w:val="center"/>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r>
      <w:tr w:rsidR="00831575" w:rsidRPr="00C35233" w:rsidTr="00C35233">
        <w:trPr>
          <w:trHeight w:val="147"/>
        </w:trPr>
        <w:tc>
          <w:tcPr>
            <w:tcW w:w="650" w:type="pct"/>
            <w:gridSpan w:val="2"/>
            <w:vMerge/>
            <w:vAlign w:val="center"/>
          </w:tcPr>
          <w:p w:rsidR="00831575" w:rsidRPr="00C35233" w:rsidRDefault="00831575" w:rsidP="00FB59BA">
            <w:pPr>
              <w:jc w:val="left"/>
              <w:rPr>
                <w:rFonts w:ascii="Arial Narrow" w:hAnsi="Arial Narrow"/>
                <w:color w:val="000000"/>
                <w:sz w:val="20"/>
                <w:szCs w:val="18"/>
              </w:rPr>
            </w:pPr>
          </w:p>
        </w:tc>
        <w:tc>
          <w:tcPr>
            <w:tcW w:w="403" w:type="pct"/>
            <w:shd w:val="clear" w:color="auto" w:fill="auto"/>
            <w:vAlign w:val="center"/>
          </w:tcPr>
          <w:p w:rsidR="00831575" w:rsidRPr="00C35233" w:rsidRDefault="00831575" w:rsidP="00FB59BA">
            <w:pPr>
              <w:rPr>
                <w:rFonts w:ascii="Arial Narrow" w:hAnsi="Arial Narrow"/>
                <w:color w:val="000000"/>
                <w:sz w:val="20"/>
                <w:szCs w:val="18"/>
              </w:rPr>
            </w:pPr>
            <w:r w:rsidRPr="00C35233">
              <w:rPr>
                <w:rFonts w:ascii="Arial Narrow" w:hAnsi="Arial Narrow"/>
                <w:color w:val="000000"/>
                <w:sz w:val="20"/>
                <w:szCs w:val="18"/>
              </w:rPr>
              <w:t>AFFIRM</w:t>
            </w:r>
          </w:p>
        </w:tc>
        <w:tc>
          <w:tcPr>
            <w:tcW w:w="635" w:type="pct"/>
          </w:tcPr>
          <w:p w:rsidR="00831575" w:rsidRPr="00C35233" w:rsidRDefault="00831575" w:rsidP="00FB59BA">
            <w:pPr>
              <w:jc w:val="center"/>
              <w:rPr>
                <w:rFonts w:ascii="Arial Narrow" w:hAnsi="Arial Narrow"/>
                <w:sz w:val="20"/>
              </w:rPr>
            </w:pPr>
            <w:r w:rsidRPr="00C35233">
              <w:rPr>
                <w:rFonts w:ascii="Arial Narrow" w:hAnsi="Arial Narrow"/>
                <w:sz w:val="20"/>
              </w:rPr>
              <w:t>785/800 (98%)</w:t>
            </w:r>
          </w:p>
        </w:tc>
        <w:tc>
          <w:tcPr>
            <w:tcW w:w="637" w:type="pct"/>
          </w:tcPr>
          <w:p w:rsidR="00831575" w:rsidRPr="00C35233" w:rsidRDefault="00831575" w:rsidP="00FB59BA">
            <w:pPr>
              <w:jc w:val="center"/>
              <w:rPr>
                <w:rFonts w:ascii="Arial Narrow" w:hAnsi="Arial Narrow"/>
                <w:sz w:val="20"/>
              </w:rPr>
            </w:pPr>
            <w:r w:rsidRPr="00C35233">
              <w:rPr>
                <w:rFonts w:ascii="Arial Narrow" w:hAnsi="Arial Narrow"/>
                <w:sz w:val="20"/>
              </w:rPr>
              <w:t>390/399 (98%)</w:t>
            </w:r>
          </w:p>
        </w:tc>
        <w:tc>
          <w:tcPr>
            <w:tcW w:w="637" w:type="pct"/>
          </w:tcPr>
          <w:p w:rsidR="00831575" w:rsidRPr="00C35233" w:rsidRDefault="00831575" w:rsidP="00FB59BA">
            <w:pPr>
              <w:jc w:val="center"/>
              <w:rPr>
                <w:rFonts w:ascii="Arial Narrow" w:hAnsi="Arial Narrow"/>
                <w:sz w:val="20"/>
              </w:rPr>
            </w:pPr>
            <w:r w:rsidRPr="00C35233">
              <w:rPr>
                <w:rFonts w:ascii="Arial Narrow" w:hAnsi="Arial Narrow"/>
                <w:sz w:val="20"/>
              </w:rPr>
              <w:t>-</w:t>
            </w:r>
          </w:p>
        </w:tc>
        <w:tc>
          <w:tcPr>
            <w:tcW w:w="1008" w:type="pct"/>
            <w:gridSpan w:val="2"/>
            <w:vAlign w:val="center"/>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c>
          <w:tcPr>
            <w:tcW w:w="1030" w:type="pct"/>
            <w:gridSpan w:val="2"/>
            <w:vMerge/>
            <w:vAlign w:val="center"/>
          </w:tcPr>
          <w:p w:rsidR="00831575" w:rsidRPr="00C35233" w:rsidRDefault="00831575" w:rsidP="00FB59BA">
            <w:pPr>
              <w:jc w:val="center"/>
              <w:rPr>
                <w:rFonts w:ascii="Arial Narrow" w:hAnsi="Arial Narrow"/>
                <w:color w:val="000000"/>
                <w:sz w:val="20"/>
                <w:szCs w:val="18"/>
              </w:rPr>
            </w:pPr>
          </w:p>
        </w:tc>
      </w:tr>
      <w:tr w:rsidR="00831575" w:rsidRPr="00C35233" w:rsidTr="00C35233">
        <w:trPr>
          <w:trHeight w:val="229"/>
        </w:trPr>
        <w:tc>
          <w:tcPr>
            <w:tcW w:w="650" w:type="pct"/>
            <w:gridSpan w:val="2"/>
            <w:vMerge w:val="restart"/>
            <w:vAlign w:val="center"/>
          </w:tcPr>
          <w:p w:rsidR="00831575" w:rsidRPr="00C35233" w:rsidRDefault="00831575" w:rsidP="00FB59BA">
            <w:pPr>
              <w:jc w:val="left"/>
              <w:rPr>
                <w:rFonts w:ascii="Arial Narrow" w:hAnsi="Arial Narrow"/>
                <w:color w:val="000000"/>
                <w:sz w:val="20"/>
                <w:szCs w:val="18"/>
              </w:rPr>
            </w:pPr>
            <w:r w:rsidRPr="00C35233">
              <w:rPr>
                <w:rFonts w:ascii="Arial Narrow" w:hAnsi="Arial Narrow"/>
                <w:color w:val="000000"/>
                <w:sz w:val="20"/>
                <w:szCs w:val="18"/>
              </w:rPr>
              <w:t>SAEs</w:t>
            </w:r>
          </w:p>
        </w:tc>
        <w:tc>
          <w:tcPr>
            <w:tcW w:w="403" w:type="pct"/>
            <w:shd w:val="clear" w:color="auto" w:fill="auto"/>
            <w:vAlign w:val="center"/>
          </w:tcPr>
          <w:p w:rsidR="00831575" w:rsidRPr="00C35233" w:rsidRDefault="00831575" w:rsidP="00FB59BA">
            <w:pPr>
              <w:rPr>
                <w:rFonts w:ascii="Arial Narrow" w:hAnsi="Arial Narrow"/>
                <w:color w:val="000000"/>
                <w:sz w:val="20"/>
                <w:szCs w:val="18"/>
              </w:rPr>
            </w:pPr>
            <w:r w:rsidRPr="00C35233">
              <w:rPr>
                <w:rFonts w:ascii="Arial Narrow" w:hAnsi="Arial Narrow"/>
                <w:color w:val="000000"/>
                <w:sz w:val="20"/>
                <w:szCs w:val="18"/>
              </w:rPr>
              <w:t>Trial 301</w:t>
            </w:r>
          </w:p>
        </w:tc>
        <w:tc>
          <w:tcPr>
            <w:tcW w:w="635" w:type="pct"/>
          </w:tcPr>
          <w:p w:rsidR="00831575" w:rsidRPr="00C35233" w:rsidRDefault="00831575" w:rsidP="00FB59BA">
            <w:pPr>
              <w:jc w:val="center"/>
              <w:rPr>
                <w:rFonts w:ascii="Arial Narrow" w:hAnsi="Arial Narrow"/>
                <w:sz w:val="20"/>
              </w:rPr>
            </w:pPr>
            <w:r w:rsidRPr="00C35233">
              <w:rPr>
                <w:rFonts w:ascii="Arial Narrow" w:hAnsi="Arial Narrow"/>
                <w:sz w:val="20"/>
              </w:rPr>
              <w:t>-</w:t>
            </w:r>
          </w:p>
        </w:tc>
        <w:tc>
          <w:tcPr>
            <w:tcW w:w="637" w:type="pct"/>
          </w:tcPr>
          <w:p w:rsidR="00831575" w:rsidRPr="00C35233" w:rsidRDefault="00831575" w:rsidP="00FB59BA">
            <w:pPr>
              <w:jc w:val="center"/>
              <w:rPr>
                <w:rFonts w:ascii="Arial Narrow" w:hAnsi="Arial Narrow"/>
                <w:sz w:val="20"/>
              </w:rPr>
            </w:pPr>
            <w:r w:rsidRPr="00C35233">
              <w:rPr>
                <w:rFonts w:ascii="Arial Narrow" w:hAnsi="Arial Narrow"/>
                <w:sz w:val="20"/>
              </w:rPr>
              <w:t>163/394 (41%)</w:t>
            </w:r>
          </w:p>
        </w:tc>
        <w:tc>
          <w:tcPr>
            <w:tcW w:w="637" w:type="pct"/>
            <w:vAlign w:val="center"/>
          </w:tcPr>
          <w:p w:rsidR="00831575" w:rsidRPr="00C35233" w:rsidRDefault="00831575" w:rsidP="00FB59BA">
            <w:pPr>
              <w:jc w:val="center"/>
              <w:rPr>
                <w:rFonts w:ascii="Arial Narrow" w:hAnsi="Arial Narrow"/>
                <w:color w:val="000000"/>
                <w:sz w:val="20"/>
                <w:szCs w:val="18"/>
              </w:rPr>
            </w:pPr>
            <w:r w:rsidRPr="00C35233">
              <w:rPr>
                <w:rFonts w:ascii="Arial Narrow" w:hAnsi="Arial Narrow"/>
                <w:sz w:val="20"/>
              </w:rPr>
              <w:t>297/791 (38%)</w:t>
            </w:r>
          </w:p>
        </w:tc>
        <w:tc>
          <w:tcPr>
            <w:tcW w:w="1008" w:type="pct"/>
            <w:gridSpan w:val="2"/>
            <w:vAlign w:val="center"/>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c>
          <w:tcPr>
            <w:tcW w:w="1030" w:type="pct"/>
            <w:gridSpan w:val="2"/>
            <w:vMerge w:val="restart"/>
            <w:vAlign w:val="center"/>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r>
      <w:tr w:rsidR="00831575" w:rsidRPr="00C35233" w:rsidTr="00C35233">
        <w:trPr>
          <w:trHeight w:val="147"/>
        </w:trPr>
        <w:tc>
          <w:tcPr>
            <w:tcW w:w="650" w:type="pct"/>
            <w:gridSpan w:val="2"/>
            <w:vMerge/>
          </w:tcPr>
          <w:p w:rsidR="00831575" w:rsidRPr="00C35233" w:rsidRDefault="00831575" w:rsidP="00FB59BA">
            <w:pPr>
              <w:rPr>
                <w:rFonts w:ascii="Arial Narrow" w:hAnsi="Arial Narrow"/>
                <w:color w:val="000000"/>
                <w:sz w:val="20"/>
                <w:szCs w:val="18"/>
              </w:rPr>
            </w:pPr>
          </w:p>
        </w:tc>
        <w:tc>
          <w:tcPr>
            <w:tcW w:w="403" w:type="pct"/>
            <w:shd w:val="clear" w:color="auto" w:fill="auto"/>
            <w:vAlign w:val="center"/>
          </w:tcPr>
          <w:p w:rsidR="00831575" w:rsidRPr="00C35233" w:rsidRDefault="00831575" w:rsidP="00FB59BA">
            <w:pPr>
              <w:rPr>
                <w:rFonts w:ascii="Arial Narrow" w:hAnsi="Arial Narrow"/>
                <w:color w:val="000000"/>
                <w:sz w:val="20"/>
                <w:szCs w:val="18"/>
              </w:rPr>
            </w:pPr>
            <w:r w:rsidRPr="00C35233">
              <w:rPr>
                <w:rFonts w:ascii="Arial Narrow" w:hAnsi="Arial Narrow"/>
                <w:color w:val="000000"/>
                <w:sz w:val="20"/>
                <w:szCs w:val="18"/>
              </w:rPr>
              <w:t>AFFIRM</w:t>
            </w:r>
          </w:p>
        </w:tc>
        <w:tc>
          <w:tcPr>
            <w:tcW w:w="635" w:type="pct"/>
          </w:tcPr>
          <w:p w:rsidR="00831575" w:rsidRPr="00C35233" w:rsidRDefault="00831575" w:rsidP="00FB59BA">
            <w:pPr>
              <w:jc w:val="center"/>
              <w:rPr>
                <w:rFonts w:ascii="Arial Narrow" w:hAnsi="Arial Narrow"/>
                <w:sz w:val="20"/>
              </w:rPr>
            </w:pPr>
            <w:r w:rsidRPr="00C35233">
              <w:rPr>
                <w:rFonts w:ascii="Arial Narrow" w:hAnsi="Arial Narrow"/>
                <w:sz w:val="20"/>
              </w:rPr>
              <w:t>268/800 (34%)</w:t>
            </w:r>
          </w:p>
        </w:tc>
        <w:tc>
          <w:tcPr>
            <w:tcW w:w="637" w:type="pct"/>
          </w:tcPr>
          <w:p w:rsidR="00831575" w:rsidRPr="00C35233" w:rsidRDefault="00831575" w:rsidP="00FB59BA">
            <w:pPr>
              <w:jc w:val="center"/>
              <w:rPr>
                <w:rFonts w:ascii="Arial Narrow" w:hAnsi="Arial Narrow"/>
                <w:sz w:val="20"/>
              </w:rPr>
            </w:pPr>
            <w:r w:rsidRPr="00C35233">
              <w:rPr>
                <w:rFonts w:ascii="Arial Narrow" w:hAnsi="Arial Narrow"/>
                <w:sz w:val="20"/>
              </w:rPr>
              <w:t>154/399 (39%)</w:t>
            </w:r>
          </w:p>
        </w:tc>
        <w:tc>
          <w:tcPr>
            <w:tcW w:w="637" w:type="pct"/>
          </w:tcPr>
          <w:p w:rsidR="00831575" w:rsidRPr="00C35233" w:rsidRDefault="00831575" w:rsidP="00FB59BA">
            <w:pPr>
              <w:jc w:val="center"/>
              <w:rPr>
                <w:rFonts w:ascii="Arial Narrow" w:hAnsi="Arial Narrow"/>
                <w:color w:val="000000"/>
                <w:sz w:val="20"/>
                <w:szCs w:val="18"/>
              </w:rPr>
            </w:pPr>
            <w:r w:rsidRPr="00C35233">
              <w:rPr>
                <w:rFonts w:ascii="Arial Narrow" w:hAnsi="Arial Narrow"/>
                <w:color w:val="000000"/>
                <w:sz w:val="20"/>
                <w:szCs w:val="18"/>
              </w:rPr>
              <w:t>-</w:t>
            </w:r>
          </w:p>
        </w:tc>
        <w:tc>
          <w:tcPr>
            <w:tcW w:w="1008" w:type="pct"/>
            <w:gridSpan w:val="2"/>
            <w:vAlign w:val="center"/>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c>
          <w:tcPr>
            <w:tcW w:w="1030" w:type="pct"/>
            <w:gridSpan w:val="2"/>
            <w:vMerge/>
            <w:vAlign w:val="center"/>
          </w:tcPr>
          <w:p w:rsidR="00831575" w:rsidRPr="00C35233" w:rsidRDefault="00831575" w:rsidP="00FB59BA">
            <w:pPr>
              <w:jc w:val="center"/>
              <w:rPr>
                <w:rFonts w:ascii="Arial Narrow" w:hAnsi="Arial Narrow"/>
                <w:color w:val="000000"/>
                <w:sz w:val="20"/>
                <w:szCs w:val="18"/>
              </w:rPr>
            </w:pPr>
          </w:p>
        </w:tc>
      </w:tr>
      <w:tr w:rsidR="00831575" w:rsidRPr="00C35233" w:rsidTr="00C35233">
        <w:trPr>
          <w:trHeight w:val="229"/>
        </w:trPr>
        <w:tc>
          <w:tcPr>
            <w:tcW w:w="650" w:type="pct"/>
            <w:gridSpan w:val="2"/>
            <w:vMerge w:val="restart"/>
            <w:vAlign w:val="center"/>
          </w:tcPr>
          <w:p w:rsidR="00831575" w:rsidRPr="00E73118" w:rsidRDefault="00E73118" w:rsidP="00831575">
            <w:pPr>
              <w:jc w:val="left"/>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03" w:type="pct"/>
            <w:shd w:val="clear" w:color="auto" w:fill="auto"/>
            <w:vAlign w:val="center"/>
          </w:tcPr>
          <w:p w:rsidR="00831575" w:rsidRPr="00C35233" w:rsidRDefault="00831575" w:rsidP="00FB59BA">
            <w:pPr>
              <w:rPr>
                <w:rFonts w:ascii="Arial Narrow" w:hAnsi="Arial Narrow"/>
                <w:color w:val="000000"/>
                <w:sz w:val="20"/>
                <w:szCs w:val="18"/>
              </w:rPr>
            </w:pPr>
            <w:r w:rsidRPr="003A44FB">
              <w:rPr>
                <w:rFonts w:ascii="Arial Narrow" w:hAnsi="Arial Narrow"/>
                <w:color w:val="000000"/>
                <w:sz w:val="20"/>
                <w:szCs w:val="18"/>
              </w:rPr>
              <w:t>Trial 301</w:t>
            </w:r>
          </w:p>
        </w:tc>
        <w:tc>
          <w:tcPr>
            <w:tcW w:w="635" w:type="pct"/>
          </w:tcPr>
          <w:p w:rsidR="00831575"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637" w:type="pct"/>
          </w:tcPr>
          <w:p w:rsidR="00831575"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 '''''''''''''</w:t>
            </w:r>
          </w:p>
        </w:tc>
        <w:tc>
          <w:tcPr>
            <w:tcW w:w="637" w:type="pct"/>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c>
          <w:tcPr>
            <w:tcW w:w="1008" w:type="pct"/>
            <w:gridSpan w:val="2"/>
            <w:vAlign w:val="center"/>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c>
          <w:tcPr>
            <w:tcW w:w="1030" w:type="pct"/>
            <w:gridSpan w:val="2"/>
            <w:vMerge w:val="restart"/>
            <w:vAlign w:val="center"/>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 '''''''''''''</w:t>
            </w:r>
          </w:p>
        </w:tc>
      </w:tr>
      <w:tr w:rsidR="00831575" w:rsidRPr="00C35233" w:rsidTr="00C35233">
        <w:trPr>
          <w:trHeight w:val="147"/>
        </w:trPr>
        <w:tc>
          <w:tcPr>
            <w:tcW w:w="650" w:type="pct"/>
            <w:gridSpan w:val="2"/>
            <w:vMerge/>
          </w:tcPr>
          <w:p w:rsidR="00831575" w:rsidRPr="00C35233" w:rsidRDefault="00831575" w:rsidP="00FB59BA">
            <w:pPr>
              <w:rPr>
                <w:rFonts w:ascii="Arial Narrow" w:hAnsi="Arial Narrow"/>
                <w:color w:val="000000"/>
                <w:sz w:val="20"/>
                <w:szCs w:val="18"/>
              </w:rPr>
            </w:pPr>
          </w:p>
        </w:tc>
        <w:tc>
          <w:tcPr>
            <w:tcW w:w="403" w:type="pct"/>
            <w:shd w:val="clear" w:color="auto" w:fill="auto"/>
            <w:vAlign w:val="center"/>
          </w:tcPr>
          <w:p w:rsidR="00831575" w:rsidRPr="00C35233" w:rsidRDefault="00831575" w:rsidP="00FB59BA">
            <w:pPr>
              <w:rPr>
                <w:rFonts w:ascii="Arial Narrow" w:hAnsi="Arial Narrow"/>
                <w:color w:val="000000"/>
                <w:sz w:val="20"/>
                <w:szCs w:val="18"/>
              </w:rPr>
            </w:pPr>
            <w:r w:rsidRPr="00C35233">
              <w:rPr>
                <w:rFonts w:ascii="Arial Narrow" w:hAnsi="Arial Narrow"/>
                <w:color w:val="000000"/>
                <w:sz w:val="20"/>
                <w:szCs w:val="18"/>
              </w:rPr>
              <w:t>AFFIRM</w:t>
            </w:r>
          </w:p>
        </w:tc>
        <w:tc>
          <w:tcPr>
            <w:tcW w:w="635" w:type="pct"/>
          </w:tcPr>
          <w:p w:rsidR="00831575" w:rsidRPr="00C35233" w:rsidRDefault="00831575" w:rsidP="00FB59BA">
            <w:pPr>
              <w:jc w:val="center"/>
              <w:rPr>
                <w:rFonts w:ascii="Arial Narrow" w:hAnsi="Arial Narrow"/>
                <w:sz w:val="20"/>
              </w:rPr>
            </w:pPr>
            <w:r w:rsidRPr="00C35233">
              <w:rPr>
                <w:rFonts w:ascii="Arial Narrow" w:hAnsi="Arial Narrow"/>
                <w:sz w:val="20"/>
              </w:rPr>
              <w:t>227/800 (28%)</w:t>
            </w:r>
          </w:p>
        </w:tc>
        <w:tc>
          <w:tcPr>
            <w:tcW w:w="637" w:type="pct"/>
          </w:tcPr>
          <w:p w:rsidR="00831575" w:rsidRPr="00C35233" w:rsidRDefault="00831575" w:rsidP="00FB59BA">
            <w:pPr>
              <w:jc w:val="center"/>
              <w:rPr>
                <w:rFonts w:ascii="Arial Narrow" w:hAnsi="Arial Narrow"/>
                <w:sz w:val="20"/>
              </w:rPr>
            </w:pPr>
            <w:r w:rsidRPr="00C35233">
              <w:rPr>
                <w:rFonts w:ascii="Arial Narrow" w:hAnsi="Arial Narrow"/>
                <w:sz w:val="20"/>
              </w:rPr>
              <w:t>134/399 (34%)</w:t>
            </w:r>
          </w:p>
        </w:tc>
        <w:tc>
          <w:tcPr>
            <w:tcW w:w="637" w:type="pct"/>
          </w:tcPr>
          <w:p w:rsidR="00831575" w:rsidRPr="00C35233" w:rsidRDefault="00831575" w:rsidP="00FB59BA">
            <w:pPr>
              <w:jc w:val="center"/>
              <w:rPr>
                <w:rFonts w:ascii="Arial Narrow" w:hAnsi="Arial Narrow"/>
                <w:color w:val="000000"/>
                <w:sz w:val="20"/>
                <w:szCs w:val="18"/>
              </w:rPr>
            </w:pPr>
            <w:r w:rsidRPr="00C35233">
              <w:rPr>
                <w:rFonts w:ascii="Arial Narrow" w:hAnsi="Arial Narrow"/>
                <w:color w:val="000000"/>
                <w:sz w:val="20"/>
                <w:szCs w:val="18"/>
              </w:rPr>
              <w:t>-</w:t>
            </w:r>
          </w:p>
        </w:tc>
        <w:tc>
          <w:tcPr>
            <w:tcW w:w="1008" w:type="pct"/>
            <w:gridSpan w:val="2"/>
            <w:vAlign w:val="center"/>
          </w:tcPr>
          <w:p w:rsidR="00831575" w:rsidRPr="00E73118" w:rsidRDefault="00E73118" w:rsidP="00FB59BA">
            <w:pPr>
              <w:jc w:val="center"/>
              <w:rPr>
                <w:rFonts w:ascii="Arial Narrow" w:hAnsi="Arial Narrow"/>
                <w:color w:val="000000"/>
                <w:sz w:val="20"/>
                <w:szCs w:val="18"/>
                <w:highlight w:val="black"/>
              </w:rPr>
            </w:pPr>
            <w:r>
              <w:rPr>
                <w:rFonts w:ascii="Arial Narrow" w:hAnsi="Arial Narrow"/>
                <w:noProof/>
                <w:color w:val="000000"/>
                <w:sz w:val="20"/>
                <w:highlight w:val="black"/>
              </w:rPr>
              <w:t>'''''''''' '''''''''''''''''''''''''''</w:t>
            </w:r>
          </w:p>
        </w:tc>
        <w:tc>
          <w:tcPr>
            <w:tcW w:w="1030" w:type="pct"/>
            <w:gridSpan w:val="2"/>
            <w:vMerge/>
            <w:vAlign w:val="center"/>
          </w:tcPr>
          <w:p w:rsidR="00831575" w:rsidRPr="00C35233" w:rsidRDefault="00831575" w:rsidP="00FB59BA">
            <w:pPr>
              <w:jc w:val="center"/>
              <w:rPr>
                <w:rFonts w:ascii="Arial Narrow" w:hAnsi="Arial Narrow"/>
                <w:color w:val="000000"/>
                <w:sz w:val="20"/>
                <w:szCs w:val="18"/>
              </w:rPr>
            </w:pPr>
          </w:p>
        </w:tc>
      </w:tr>
    </w:tbl>
    <w:p w:rsidR="001139F1" w:rsidRPr="00E73118" w:rsidRDefault="00E73118" w:rsidP="0095094B">
      <w:pPr>
        <w:ind w:firstLine="709"/>
        <w:rPr>
          <w:rFonts w:ascii="Arial Narrow" w:hAnsi="Arial Narrow"/>
          <w:sz w:val="18"/>
          <w:szCs w:val="18"/>
          <w:highlight w:val="black"/>
        </w:rPr>
      </w:pPr>
      <w:r>
        <w:rPr>
          <w:rFonts w:ascii="Arial Narrow" w:hAnsi="Arial Narrow"/>
          <w:noProof/>
          <w:color w:val="000000"/>
          <w:sz w:val="18"/>
          <w:szCs w:val="18"/>
          <w:highlight w:val="black"/>
        </w:rPr>
        <w:t>''''''''''''''''' ''''''''''''''''''''' ''''''''''' '''''''''''''' ''''''''''''''''''''' '''''''''''''''''''''''''''''' ''''''' '''''''''''' ''''' ''''' ''''''''''''''''' ''''''''''''''' ''''' ''''''''''''''''</w:t>
      </w:r>
    </w:p>
    <w:p w:rsidR="00E20ED6" w:rsidRPr="00C35233" w:rsidRDefault="00E20ED6" w:rsidP="00E20ED6"/>
    <w:p w:rsidR="0008178A" w:rsidRPr="00B95D3E" w:rsidRDefault="0008178A" w:rsidP="00B95D3E">
      <w:pPr>
        <w:pStyle w:val="ListParagraph"/>
        <w:widowControl/>
        <w:numPr>
          <w:ilvl w:val="1"/>
          <w:numId w:val="2"/>
        </w:numPr>
        <w:rPr>
          <w:szCs w:val="22"/>
        </w:rPr>
      </w:pPr>
      <w:r w:rsidRPr="00C35233">
        <w:t xml:space="preserve">On the basis of indirect evidence presented by the submission, the comparison of enzalutamide and abiraterone </w:t>
      </w:r>
      <w:r w:rsidR="00ED1904" w:rsidRPr="00C35233">
        <w:t>suggested</w:t>
      </w:r>
      <w:r w:rsidRPr="00C35233">
        <w:t xml:space="preserve"> a similar benefit in overall survival. However, the </w:t>
      </w:r>
      <w:r w:rsidR="00CD571E" w:rsidRPr="00C35233">
        <w:t xml:space="preserve">ESC noted that the </w:t>
      </w:r>
      <w:r w:rsidRPr="00C35233">
        <w:t xml:space="preserve">magnitude of the incremental benefit of enzalutamide compared </w:t>
      </w:r>
      <w:r w:rsidR="007408AE" w:rsidRPr="00C35233">
        <w:t>with</w:t>
      </w:r>
      <w:r w:rsidRPr="00C35233">
        <w:t xml:space="preserve"> abiraterone is uncertain as the overall survival reported in the enzalutamide trial is confounded by the subsequent use of other effective treatments which were not approved for use when the abiraterone trial was conducted. </w:t>
      </w:r>
    </w:p>
    <w:p w:rsidR="0042711D" w:rsidRPr="00C35233" w:rsidRDefault="0042711D" w:rsidP="0042711D">
      <w:pPr>
        <w:pStyle w:val="ListParagraph"/>
        <w:widowControl/>
        <w:ind w:left="709"/>
        <w:rPr>
          <w:szCs w:val="22"/>
        </w:rPr>
      </w:pPr>
    </w:p>
    <w:p w:rsidR="00A23085" w:rsidRPr="00B95D3E" w:rsidRDefault="00A23085" w:rsidP="00B95D3E">
      <w:pPr>
        <w:pStyle w:val="ListParagraph"/>
        <w:widowControl/>
        <w:numPr>
          <w:ilvl w:val="1"/>
          <w:numId w:val="2"/>
        </w:numPr>
        <w:rPr>
          <w:szCs w:val="22"/>
        </w:rPr>
      </w:pPr>
      <w:r w:rsidRPr="00C35233">
        <w:t>On the basis of indirect evidence presented by the submission, enzalutamide is well tolerated and appears to have a similar safety profile to abiraterone, but does not require monitoring of liver function and blood pressure, which is required with abiraterone.</w:t>
      </w:r>
    </w:p>
    <w:p w:rsidR="005365E5" w:rsidRPr="00C35233" w:rsidRDefault="005365E5" w:rsidP="00A23085">
      <w:pPr>
        <w:ind w:left="709"/>
      </w:pPr>
    </w:p>
    <w:p w:rsidR="005365E5" w:rsidRPr="00C35233" w:rsidRDefault="005365E5" w:rsidP="005365E5">
      <w:pPr>
        <w:pStyle w:val="ListParagraph"/>
        <w:ind w:left="709"/>
        <w:rPr>
          <w:i/>
          <w:szCs w:val="22"/>
        </w:rPr>
      </w:pPr>
      <w:r w:rsidRPr="00C35233">
        <w:rPr>
          <w:i/>
          <w:szCs w:val="22"/>
        </w:rPr>
        <w:t>For more detail on PBAC’s view, see section 7 “PBAC outcome”</w:t>
      </w:r>
    </w:p>
    <w:p w:rsidR="0001627E" w:rsidRPr="00C35233" w:rsidRDefault="0001627E" w:rsidP="0001627E"/>
    <w:p w:rsidR="0001627E" w:rsidRPr="00C35233" w:rsidRDefault="0001627E" w:rsidP="0001627E">
      <w:pPr>
        <w:pStyle w:val="Heading2"/>
      </w:pPr>
      <w:bookmarkStart w:id="16" w:name="_Toc386015344"/>
      <w:bookmarkStart w:id="17" w:name="_Toc387918019"/>
      <w:r w:rsidRPr="00C35233">
        <w:t>Clinical claim</w:t>
      </w:r>
      <w:bookmarkEnd w:id="16"/>
      <w:bookmarkEnd w:id="17"/>
    </w:p>
    <w:p w:rsidR="0001627E" w:rsidRPr="00C35233" w:rsidRDefault="0001627E" w:rsidP="0001627E">
      <w:pPr>
        <w:ind w:left="720" w:hanging="720"/>
        <w:rPr>
          <w:szCs w:val="22"/>
        </w:rPr>
      </w:pPr>
    </w:p>
    <w:p w:rsidR="00476EFD" w:rsidRPr="00B95D3E" w:rsidRDefault="00FF43C2" w:rsidP="00B95D3E">
      <w:pPr>
        <w:pStyle w:val="ListParagraph"/>
        <w:widowControl/>
        <w:numPr>
          <w:ilvl w:val="1"/>
          <w:numId w:val="2"/>
        </w:numPr>
        <w:rPr>
          <w:szCs w:val="22"/>
        </w:rPr>
      </w:pPr>
      <w:r w:rsidRPr="00C35233">
        <w:t xml:space="preserve">The submission </w:t>
      </w:r>
      <w:r w:rsidR="005F1641" w:rsidRPr="00C35233">
        <w:t>claimed</w:t>
      </w:r>
      <w:r w:rsidRPr="00C35233">
        <w:t xml:space="preserve"> enzalutamide as non-inferior in terms of comparative effectiveness and non-inferior in terms of comparative safety over abiraterone.  This claim is adequately supported in terms of safety.  However the claim regarding effectiveness requires some consideration in light of the potential for differences in the subsequent treatments undertaken by patients in the AFFIRM and Trial 301 trials.  Given </w:t>
      </w:r>
      <w:proofErr w:type="spellStart"/>
      <w:r w:rsidRPr="00C35233">
        <w:t>enzalutamide</w:t>
      </w:r>
      <w:proofErr w:type="spellEnd"/>
      <w:r w:rsidRPr="00C35233">
        <w:t xml:space="preserve"> and </w:t>
      </w:r>
      <w:proofErr w:type="spellStart"/>
      <w:r w:rsidRPr="00C35233">
        <w:t>cabazitaxel</w:t>
      </w:r>
      <w:proofErr w:type="spellEnd"/>
      <w:r w:rsidRPr="00C35233">
        <w:t xml:space="preserve"> were not approved when Trial 301 was conducted, but </w:t>
      </w:r>
      <w:proofErr w:type="spellStart"/>
      <w:r w:rsidRPr="00C35233">
        <w:t>abiraterone</w:t>
      </w:r>
      <w:proofErr w:type="spellEnd"/>
      <w:r w:rsidRPr="00C35233">
        <w:t xml:space="preserve"> and </w:t>
      </w:r>
      <w:proofErr w:type="spellStart"/>
      <w:r w:rsidRPr="00C35233">
        <w:t>cabazitaxel</w:t>
      </w:r>
      <w:proofErr w:type="spellEnd"/>
      <w:r w:rsidRPr="00C35233">
        <w:t xml:space="preserve"> were approved when AFFIRM was conducted and used by a relatively high proportion of patients as subsequent treatment, this may have affected the results of overall survival.  This discrepancy may partly explain the observed differences in the median survival in the control arms of the trials (</w:t>
      </w:r>
      <w:r w:rsidR="00F53992" w:rsidRPr="00C35233">
        <w:t>i.e.</w:t>
      </w:r>
      <w:r w:rsidRPr="00C35233">
        <w:t xml:space="preserve">, </w:t>
      </w:r>
      <w:r w:rsidRPr="00961C4D">
        <w:t>13.6</w:t>
      </w:r>
      <w:r w:rsidRPr="00C35233">
        <w:t xml:space="preserve"> months and </w:t>
      </w:r>
      <w:r w:rsidRPr="00961C4D">
        <w:t>10.9</w:t>
      </w:r>
      <w:r w:rsidRPr="00C35233">
        <w:t xml:space="preserve"> months in AFFIRM and Trial 301, respectively) given the PBAC has</w:t>
      </w:r>
      <w:r w:rsidR="004B1B96" w:rsidRPr="00C35233">
        <w:t xml:space="preserve"> previously</w:t>
      </w:r>
      <w:r w:rsidRPr="00C35233">
        <w:t xml:space="preserve"> accepted that both </w:t>
      </w:r>
      <w:proofErr w:type="spellStart"/>
      <w:r w:rsidRPr="00C35233">
        <w:t>abiraterone</w:t>
      </w:r>
      <w:proofErr w:type="spellEnd"/>
      <w:r w:rsidRPr="00C35233">
        <w:t xml:space="preserve"> and </w:t>
      </w:r>
      <w:proofErr w:type="spellStart"/>
      <w:r w:rsidRPr="00C35233">
        <w:t>cabazitaxel</w:t>
      </w:r>
      <w:proofErr w:type="spellEnd"/>
      <w:r w:rsidRPr="00C35233">
        <w:t xml:space="preserve"> offer survival benefits.  Thus, the magnitude of the incremental benefit of enzalutamide is uncertain as the overall survival reported in AFFIRM is confounded by the use of other effective treatments.</w:t>
      </w:r>
    </w:p>
    <w:p w:rsidR="00476EFD" w:rsidRPr="00C35233" w:rsidRDefault="00476EFD" w:rsidP="00476EFD">
      <w:pPr>
        <w:pStyle w:val="ListParagraph"/>
        <w:widowControl/>
        <w:ind w:left="709"/>
        <w:rPr>
          <w:szCs w:val="22"/>
        </w:rPr>
      </w:pPr>
    </w:p>
    <w:p w:rsidR="00B4576B" w:rsidRPr="00B95D3E" w:rsidRDefault="00ED1904" w:rsidP="00B95D3E">
      <w:pPr>
        <w:pStyle w:val="ListParagraph"/>
        <w:widowControl/>
        <w:numPr>
          <w:ilvl w:val="1"/>
          <w:numId w:val="2"/>
        </w:numPr>
        <w:rPr>
          <w:szCs w:val="22"/>
        </w:rPr>
      </w:pPr>
      <w:r w:rsidRPr="00C35233">
        <w:t>The PSCR disagreed</w:t>
      </w:r>
      <w:r w:rsidR="00B4576B" w:rsidRPr="00C35233">
        <w:t xml:space="preserve"> with the potential effect of subsequent therapies on overall survival and argue</w:t>
      </w:r>
      <w:r w:rsidRPr="00C35233">
        <w:t>d</w:t>
      </w:r>
      <w:r w:rsidR="00B4576B" w:rsidRPr="00C35233">
        <w:t xml:space="preserve"> that the overall survival indirect comparison is based on incremental differences in r</w:t>
      </w:r>
      <w:r w:rsidRPr="00C35233">
        <w:t>esults. Further, the PSCR claimed</w:t>
      </w:r>
      <w:r w:rsidR="00B4576B" w:rsidRPr="00C35233">
        <w:t xml:space="preserve"> that the available data </w:t>
      </w:r>
      <w:r w:rsidR="00A23085" w:rsidRPr="00C35233">
        <w:t>does not favour</w:t>
      </w:r>
      <w:r w:rsidR="00B4576B" w:rsidRPr="00C35233">
        <w:t xml:space="preserve"> enzalutamide given:</w:t>
      </w:r>
    </w:p>
    <w:p w:rsidR="00B4576B" w:rsidRPr="00C35233" w:rsidRDefault="00B4576B" w:rsidP="00710E3C">
      <w:pPr>
        <w:pStyle w:val="ListParagraph"/>
        <w:widowControl/>
        <w:numPr>
          <w:ilvl w:val="0"/>
          <w:numId w:val="9"/>
        </w:numPr>
        <w:rPr>
          <w:szCs w:val="22"/>
        </w:rPr>
      </w:pPr>
      <w:r w:rsidRPr="00C35233">
        <w:rPr>
          <w:szCs w:val="22"/>
        </w:rPr>
        <w:t>A higher rate of usage of other therapies in the placebo arm of AFFIRM using the ITT population</w:t>
      </w:r>
    </w:p>
    <w:p w:rsidR="00B4576B" w:rsidRPr="00C35233" w:rsidRDefault="00B4576B" w:rsidP="00710E3C">
      <w:pPr>
        <w:pStyle w:val="ListParagraph"/>
        <w:widowControl/>
        <w:numPr>
          <w:ilvl w:val="0"/>
          <w:numId w:val="9"/>
        </w:numPr>
        <w:rPr>
          <w:szCs w:val="22"/>
        </w:rPr>
      </w:pPr>
      <w:r w:rsidRPr="00C35233">
        <w:rPr>
          <w:szCs w:val="22"/>
        </w:rPr>
        <w:t xml:space="preserve">Similar use of </w:t>
      </w:r>
      <w:proofErr w:type="spellStart"/>
      <w:r w:rsidRPr="00C35233">
        <w:rPr>
          <w:szCs w:val="22"/>
        </w:rPr>
        <w:t>abiraterone</w:t>
      </w:r>
      <w:proofErr w:type="spellEnd"/>
      <w:r w:rsidRPr="00C35233">
        <w:rPr>
          <w:szCs w:val="22"/>
        </w:rPr>
        <w:t xml:space="preserve"> and </w:t>
      </w:r>
      <w:proofErr w:type="spellStart"/>
      <w:r w:rsidRPr="00C35233">
        <w:rPr>
          <w:szCs w:val="22"/>
        </w:rPr>
        <w:t>cabazitaxel</w:t>
      </w:r>
      <w:proofErr w:type="spellEnd"/>
      <w:r w:rsidRPr="00C35233">
        <w:rPr>
          <w:szCs w:val="22"/>
        </w:rPr>
        <w:t xml:space="preserve"> between both </w:t>
      </w:r>
      <w:proofErr w:type="spellStart"/>
      <w:r w:rsidRPr="00C35233">
        <w:rPr>
          <w:szCs w:val="22"/>
        </w:rPr>
        <w:t>enzalutamide</w:t>
      </w:r>
      <w:proofErr w:type="spellEnd"/>
      <w:r w:rsidRPr="00C35233">
        <w:rPr>
          <w:szCs w:val="22"/>
        </w:rPr>
        <w:t xml:space="preserve"> and placebo arms using the ITT population as the denominator</w:t>
      </w:r>
    </w:p>
    <w:p w:rsidR="00476EFD" w:rsidRPr="00C35233" w:rsidRDefault="00B4576B" w:rsidP="00710E3C">
      <w:pPr>
        <w:pStyle w:val="ListParagraph"/>
        <w:widowControl/>
        <w:numPr>
          <w:ilvl w:val="0"/>
          <w:numId w:val="9"/>
        </w:numPr>
        <w:rPr>
          <w:szCs w:val="22"/>
        </w:rPr>
      </w:pPr>
      <w:r w:rsidRPr="00C35233">
        <w:rPr>
          <w:szCs w:val="22"/>
        </w:rPr>
        <w:t xml:space="preserve">Earlier start and longer duration of </w:t>
      </w:r>
      <w:proofErr w:type="spellStart"/>
      <w:r w:rsidRPr="00C35233">
        <w:rPr>
          <w:szCs w:val="22"/>
        </w:rPr>
        <w:t>abiraterone</w:t>
      </w:r>
      <w:proofErr w:type="spellEnd"/>
      <w:r w:rsidRPr="00C35233">
        <w:rPr>
          <w:szCs w:val="22"/>
        </w:rPr>
        <w:t xml:space="preserve"> and </w:t>
      </w:r>
      <w:proofErr w:type="spellStart"/>
      <w:r w:rsidRPr="00C35233">
        <w:rPr>
          <w:szCs w:val="22"/>
        </w:rPr>
        <w:t>cabazitaxel</w:t>
      </w:r>
      <w:proofErr w:type="spellEnd"/>
      <w:r w:rsidRPr="00C35233">
        <w:rPr>
          <w:szCs w:val="22"/>
        </w:rPr>
        <w:t xml:space="preserve"> in the placebo arm</w:t>
      </w:r>
      <w:r w:rsidR="00FA7079" w:rsidRPr="00C35233">
        <w:rPr>
          <w:szCs w:val="22"/>
        </w:rPr>
        <w:t>.</w:t>
      </w:r>
    </w:p>
    <w:p w:rsidR="00476EFD" w:rsidRPr="00C35233" w:rsidRDefault="00476EFD" w:rsidP="00476EFD">
      <w:pPr>
        <w:widowControl/>
        <w:rPr>
          <w:szCs w:val="22"/>
        </w:rPr>
      </w:pPr>
    </w:p>
    <w:p w:rsidR="00D67DD3" w:rsidRPr="00B95D3E" w:rsidRDefault="005F1641" w:rsidP="00B95D3E">
      <w:pPr>
        <w:pStyle w:val="ListParagraph"/>
        <w:widowControl/>
        <w:numPr>
          <w:ilvl w:val="1"/>
          <w:numId w:val="2"/>
        </w:numPr>
        <w:rPr>
          <w:szCs w:val="22"/>
        </w:rPr>
      </w:pPr>
      <w:r w:rsidRPr="00C35233">
        <w:t xml:space="preserve">The </w:t>
      </w:r>
      <w:r w:rsidR="00B4576B" w:rsidRPr="00B95D3E">
        <w:rPr>
          <w:szCs w:val="22"/>
        </w:rPr>
        <w:t xml:space="preserve">ESC considered </w:t>
      </w:r>
      <w:r w:rsidR="00FA7079" w:rsidRPr="00B95D3E">
        <w:rPr>
          <w:szCs w:val="22"/>
        </w:rPr>
        <w:t>the difference in OS between the common reference arms suggest</w:t>
      </w:r>
      <w:r w:rsidR="00292DB2" w:rsidRPr="00B95D3E">
        <w:rPr>
          <w:szCs w:val="22"/>
        </w:rPr>
        <w:t>ed</w:t>
      </w:r>
      <w:r w:rsidR="00FA7079" w:rsidRPr="00B95D3E">
        <w:rPr>
          <w:szCs w:val="22"/>
        </w:rPr>
        <w:t xml:space="preserve"> there may be an </w:t>
      </w:r>
      <w:r w:rsidR="00D67DD3" w:rsidRPr="00B95D3E">
        <w:rPr>
          <w:szCs w:val="22"/>
        </w:rPr>
        <w:t xml:space="preserve">effect of </w:t>
      </w:r>
      <w:r w:rsidR="00FA7079" w:rsidRPr="00B95D3E">
        <w:rPr>
          <w:szCs w:val="22"/>
        </w:rPr>
        <w:t xml:space="preserve">post-discontinuation therapies. </w:t>
      </w:r>
    </w:p>
    <w:p w:rsidR="002D69D4" w:rsidRPr="00C35233" w:rsidRDefault="002D69D4" w:rsidP="002D69D4">
      <w:pPr>
        <w:pStyle w:val="ListParagraph"/>
        <w:widowControl/>
        <w:ind w:left="709"/>
        <w:rPr>
          <w:szCs w:val="22"/>
        </w:rPr>
      </w:pPr>
    </w:p>
    <w:p w:rsidR="002D69D4" w:rsidRPr="00C35233" w:rsidRDefault="002D69D4" w:rsidP="002D69D4">
      <w:pPr>
        <w:pStyle w:val="ListParagraph"/>
        <w:ind w:left="709"/>
        <w:rPr>
          <w:i/>
          <w:szCs w:val="22"/>
        </w:rPr>
      </w:pPr>
      <w:r w:rsidRPr="00C35233">
        <w:rPr>
          <w:i/>
          <w:szCs w:val="22"/>
        </w:rPr>
        <w:t>For more detail on PBAC’s view, see section 7 “PBAC outcome”</w:t>
      </w:r>
    </w:p>
    <w:p w:rsidR="00D67DD3" w:rsidRPr="00C35233" w:rsidRDefault="00D67DD3" w:rsidP="005365E5">
      <w:pPr>
        <w:widowControl/>
        <w:rPr>
          <w:szCs w:val="22"/>
        </w:rPr>
      </w:pPr>
    </w:p>
    <w:p w:rsidR="0001627E" w:rsidRPr="00C35233" w:rsidRDefault="0001627E" w:rsidP="0001627E">
      <w:pPr>
        <w:pStyle w:val="Heading2"/>
      </w:pPr>
      <w:bookmarkStart w:id="18" w:name="_Toc386015345"/>
      <w:bookmarkStart w:id="19" w:name="_Toc387918020"/>
      <w:r w:rsidRPr="00C35233">
        <w:t>Economic analysis</w:t>
      </w:r>
      <w:bookmarkEnd w:id="18"/>
      <w:bookmarkEnd w:id="19"/>
    </w:p>
    <w:p w:rsidR="0001627E" w:rsidRPr="00C35233" w:rsidRDefault="0001627E" w:rsidP="0001627E">
      <w:pPr>
        <w:ind w:left="720" w:hanging="720"/>
        <w:rPr>
          <w:szCs w:val="22"/>
        </w:rPr>
      </w:pPr>
    </w:p>
    <w:p w:rsidR="00476EFD" w:rsidRPr="00B95D3E" w:rsidRDefault="0001627E" w:rsidP="00B95D3E">
      <w:pPr>
        <w:pStyle w:val="ListParagraph"/>
        <w:widowControl/>
        <w:numPr>
          <w:ilvl w:val="1"/>
          <w:numId w:val="2"/>
        </w:numPr>
        <w:rPr>
          <w:szCs w:val="22"/>
        </w:rPr>
      </w:pPr>
      <w:r w:rsidRPr="00C35233">
        <w:t xml:space="preserve">The </w:t>
      </w:r>
      <w:proofErr w:type="spellStart"/>
      <w:r w:rsidRPr="00C35233">
        <w:t>equi</w:t>
      </w:r>
      <w:proofErr w:type="spellEnd"/>
      <w:r w:rsidRPr="00C35233">
        <w:t xml:space="preserve">-effective doses are estimated as </w:t>
      </w:r>
      <w:r w:rsidR="00711AC7" w:rsidRPr="00C35233">
        <w:t xml:space="preserve">enzalutamide 160mg </w:t>
      </w:r>
      <w:r w:rsidRPr="00C35233">
        <w:t xml:space="preserve">and </w:t>
      </w:r>
      <w:r w:rsidR="00711AC7" w:rsidRPr="00C35233">
        <w:t xml:space="preserve">abiraterone 1000mg, based on the </w:t>
      </w:r>
      <w:r w:rsidR="00914511" w:rsidRPr="00C35233">
        <w:t>indirect comparison</w:t>
      </w:r>
      <w:r w:rsidR="00711AC7" w:rsidRPr="00C35233">
        <w:t>.</w:t>
      </w:r>
    </w:p>
    <w:p w:rsidR="00A722A0" w:rsidRPr="00C35233" w:rsidRDefault="00A722A0" w:rsidP="00A722A0">
      <w:pPr>
        <w:pStyle w:val="ListParagraph"/>
        <w:widowControl/>
        <w:ind w:left="709"/>
      </w:pPr>
    </w:p>
    <w:p w:rsidR="00781DEF" w:rsidRPr="00B95D3E" w:rsidRDefault="00E24E96" w:rsidP="00B95D3E">
      <w:pPr>
        <w:pStyle w:val="ListParagraph"/>
        <w:widowControl/>
        <w:numPr>
          <w:ilvl w:val="1"/>
          <w:numId w:val="2"/>
        </w:numPr>
        <w:rPr>
          <w:szCs w:val="22"/>
        </w:rPr>
      </w:pPr>
      <w:r w:rsidRPr="00C35233">
        <w:t xml:space="preserve">The requested DPMQ of enzalutamide </w:t>
      </w:r>
      <w:r w:rsidRPr="00EE1394">
        <w:t>($</w:t>
      </w:r>
      <w:r w:rsidR="00E73118">
        <w:rPr>
          <w:noProof/>
          <w:color w:val="000000"/>
          <w:highlight w:val="black"/>
        </w:rPr>
        <w:t>''''''''''''''''''''</w:t>
      </w:r>
      <w:r w:rsidRPr="00EE1394">
        <w:t xml:space="preserve">) </w:t>
      </w:r>
      <w:r w:rsidRPr="00C35233">
        <w:t xml:space="preserve">is based on the published DPMQ of abiraterone </w:t>
      </w:r>
      <w:r w:rsidRPr="00EE1394">
        <w:t>($</w:t>
      </w:r>
      <w:r w:rsidR="00E73118">
        <w:rPr>
          <w:noProof/>
          <w:color w:val="000000"/>
          <w:highlight w:val="black"/>
        </w:rPr>
        <w:t>''''''''''''''''''''''</w:t>
      </w:r>
      <w:r w:rsidRPr="00EE1394">
        <w:t>)</w:t>
      </w:r>
      <w:r w:rsidRPr="00C35233">
        <w:t xml:space="preserve"> and cost-offsets of liver function tests and prednisolone use.  </w:t>
      </w:r>
      <w:r w:rsidR="00781DEF" w:rsidRPr="00B95D3E">
        <w:rPr>
          <w:iCs/>
        </w:rPr>
        <w:t>The submission does not incorporate the cost of concomitant prednisolone associated with enzalutamide. The PSCR argue</w:t>
      </w:r>
      <w:r w:rsidR="00ED1904" w:rsidRPr="00B95D3E">
        <w:rPr>
          <w:iCs/>
        </w:rPr>
        <w:t>d</w:t>
      </w:r>
      <w:r w:rsidR="00781DEF" w:rsidRPr="00B95D3E">
        <w:rPr>
          <w:iCs/>
        </w:rPr>
        <w:t xml:space="preserve"> that the cost calculations should not incorporate costs of prednisolone as it is unrelated to the use of enzalutamide. The ESC agreed with the sponsor response.</w:t>
      </w:r>
      <w:r w:rsidR="00781DEF" w:rsidRPr="00B95D3E">
        <w:rPr>
          <w:i/>
          <w:iCs/>
        </w:rPr>
        <w:t xml:space="preserve"> </w:t>
      </w:r>
    </w:p>
    <w:p w:rsidR="00B4576B" w:rsidRPr="00C35233" w:rsidRDefault="00B4576B" w:rsidP="00476EFD">
      <w:pPr>
        <w:pStyle w:val="ListParagraph"/>
        <w:widowControl/>
        <w:ind w:left="709"/>
        <w:rPr>
          <w:szCs w:val="22"/>
        </w:rPr>
      </w:pPr>
    </w:p>
    <w:p w:rsidR="00711AC7" w:rsidRPr="00C35233" w:rsidRDefault="00292DB2" w:rsidP="0095094B">
      <w:pPr>
        <w:widowControl/>
        <w:ind w:firstLine="709"/>
        <w:rPr>
          <w:rFonts w:ascii="Arial Narrow" w:hAnsi="Arial Narrow"/>
          <w:b/>
          <w:bCs/>
          <w:sz w:val="20"/>
        </w:rPr>
      </w:pPr>
      <w:r w:rsidRPr="00C35233">
        <w:rPr>
          <w:rFonts w:ascii="Arial Narrow" w:hAnsi="Arial Narrow"/>
          <w:b/>
          <w:bCs/>
          <w:sz w:val="20"/>
        </w:rPr>
        <w:t>C</w:t>
      </w:r>
      <w:r w:rsidR="006B2861" w:rsidRPr="00C35233">
        <w:rPr>
          <w:rFonts w:ascii="Arial Narrow" w:hAnsi="Arial Narrow"/>
          <w:b/>
          <w:bCs/>
          <w:sz w:val="20"/>
        </w:rPr>
        <w:t>ost-minimisation analysis of enzalutamide compared with abiraterone</w:t>
      </w:r>
    </w:p>
    <w:tbl>
      <w:tblPr>
        <w:tblStyle w:val="TableGrid"/>
        <w:tblW w:w="8363" w:type="dxa"/>
        <w:tblInd w:w="737" w:type="dxa"/>
        <w:tblCellMar>
          <w:left w:w="28" w:type="dxa"/>
          <w:right w:w="28" w:type="dxa"/>
        </w:tblCellMar>
        <w:tblLook w:val="04A0" w:firstRow="1" w:lastRow="0" w:firstColumn="1" w:lastColumn="0" w:noHBand="0" w:noVBand="1"/>
        <w:tblDescription w:val="Cost-minimisation analysis of enzalutamide compared with abiraterone"/>
      </w:tblPr>
      <w:tblGrid>
        <w:gridCol w:w="1050"/>
        <w:gridCol w:w="1658"/>
        <w:gridCol w:w="1100"/>
        <w:gridCol w:w="1000"/>
        <w:gridCol w:w="878"/>
        <w:gridCol w:w="990"/>
        <w:gridCol w:w="1687"/>
      </w:tblGrid>
      <w:tr w:rsidR="00711AC7" w:rsidRPr="00C35233" w:rsidTr="00EC2306">
        <w:trPr>
          <w:trHeight w:val="225"/>
          <w:tblHeader/>
        </w:trPr>
        <w:tc>
          <w:tcPr>
            <w:tcW w:w="1050" w:type="dxa"/>
            <w:vMerge w:val="restart"/>
            <w:vAlign w:val="center"/>
          </w:tcPr>
          <w:p w:rsidR="00711AC7" w:rsidRPr="00C35233" w:rsidRDefault="00711AC7" w:rsidP="00FB59BA">
            <w:pPr>
              <w:jc w:val="left"/>
              <w:rPr>
                <w:rFonts w:ascii="Arial Narrow" w:hAnsi="Arial Narrow"/>
                <w:b/>
                <w:bCs/>
                <w:sz w:val="20"/>
              </w:rPr>
            </w:pPr>
            <w:bookmarkStart w:id="20" w:name="_GoBack" w:colFirst="0" w:colLast="6"/>
            <w:r w:rsidRPr="00C35233">
              <w:rPr>
                <w:rFonts w:ascii="Arial Narrow" w:hAnsi="Arial Narrow"/>
                <w:b/>
                <w:bCs/>
                <w:sz w:val="20"/>
              </w:rPr>
              <w:t>Product</w:t>
            </w:r>
          </w:p>
        </w:tc>
        <w:tc>
          <w:tcPr>
            <w:tcW w:w="1658" w:type="dxa"/>
            <w:vMerge w:val="restart"/>
            <w:vAlign w:val="center"/>
          </w:tcPr>
          <w:p w:rsidR="00711AC7" w:rsidRPr="00C35233" w:rsidRDefault="00711AC7" w:rsidP="00FB59BA">
            <w:pPr>
              <w:jc w:val="center"/>
              <w:rPr>
                <w:rFonts w:ascii="Arial Narrow" w:hAnsi="Arial Narrow"/>
                <w:b/>
                <w:bCs/>
                <w:sz w:val="20"/>
              </w:rPr>
            </w:pPr>
            <w:r w:rsidRPr="00C35233">
              <w:rPr>
                <w:rFonts w:ascii="Arial Narrow" w:hAnsi="Arial Narrow"/>
                <w:b/>
                <w:bCs/>
                <w:sz w:val="20"/>
              </w:rPr>
              <w:t>Category</w:t>
            </w:r>
          </w:p>
        </w:tc>
        <w:tc>
          <w:tcPr>
            <w:tcW w:w="1100" w:type="dxa"/>
            <w:vMerge w:val="restart"/>
            <w:vAlign w:val="center"/>
          </w:tcPr>
          <w:p w:rsidR="00711AC7" w:rsidRPr="00C35233" w:rsidRDefault="00711AC7" w:rsidP="00FB59BA">
            <w:pPr>
              <w:jc w:val="center"/>
              <w:rPr>
                <w:rFonts w:ascii="Arial Narrow" w:hAnsi="Arial Narrow"/>
                <w:b/>
                <w:bCs/>
                <w:sz w:val="20"/>
              </w:rPr>
            </w:pPr>
            <w:r w:rsidRPr="00C35233">
              <w:rPr>
                <w:rFonts w:ascii="Arial Narrow" w:hAnsi="Arial Narrow"/>
                <w:b/>
                <w:bCs/>
                <w:sz w:val="20"/>
              </w:rPr>
              <w:t>Units</w:t>
            </w:r>
          </w:p>
        </w:tc>
        <w:tc>
          <w:tcPr>
            <w:tcW w:w="1878" w:type="dxa"/>
            <w:gridSpan w:val="2"/>
            <w:vAlign w:val="center"/>
          </w:tcPr>
          <w:p w:rsidR="00711AC7" w:rsidRPr="00C35233" w:rsidRDefault="00711AC7" w:rsidP="00FB59BA">
            <w:pPr>
              <w:jc w:val="center"/>
              <w:rPr>
                <w:rFonts w:ascii="Arial Narrow" w:hAnsi="Arial Narrow"/>
                <w:b/>
                <w:bCs/>
                <w:sz w:val="20"/>
              </w:rPr>
            </w:pPr>
            <w:r w:rsidRPr="00C35233">
              <w:rPr>
                <w:rFonts w:ascii="Arial Narrow" w:hAnsi="Arial Narrow"/>
                <w:b/>
                <w:bCs/>
                <w:sz w:val="20"/>
              </w:rPr>
              <w:t>Cost per unit</w:t>
            </w:r>
          </w:p>
        </w:tc>
        <w:tc>
          <w:tcPr>
            <w:tcW w:w="990" w:type="dxa"/>
            <w:vMerge w:val="restart"/>
            <w:vAlign w:val="center"/>
          </w:tcPr>
          <w:p w:rsidR="00711AC7" w:rsidRPr="00C35233" w:rsidRDefault="00711AC7" w:rsidP="00FB59BA">
            <w:pPr>
              <w:jc w:val="center"/>
              <w:rPr>
                <w:rFonts w:ascii="Arial Narrow" w:hAnsi="Arial Narrow"/>
                <w:b/>
                <w:bCs/>
                <w:sz w:val="20"/>
              </w:rPr>
            </w:pPr>
            <w:r w:rsidRPr="00C35233">
              <w:rPr>
                <w:rFonts w:ascii="Arial Narrow" w:hAnsi="Arial Narrow"/>
                <w:b/>
                <w:bCs/>
                <w:sz w:val="20"/>
              </w:rPr>
              <w:t xml:space="preserve">Cost per </w:t>
            </w:r>
          </w:p>
          <w:p w:rsidR="00711AC7" w:rsidRPr="00C35233" w:rsidRDefault="00711AC7" w:rsidP="00FB59BA">
            <w:pPr>
              <w:jc w:val="center"/>
              <w:rPr>
                <w:rFonts w:ascii="Arial Narrow" w:hAnsi="Arial Narrow"/>
                <w:b/>
                <w:bCs/>
                <w:sz w:val="20"/>
              </w:rPr>
            </w:pPr>
            <w:r w:rsidRPr="00C35233">
              <w:rPr>
                <w:rFonts w:ascii="Arial Narrow" w:hAnsi="Arial Narrow"/>
                <w:b/>
                <w:bCs/>
                <w:sz w:val="20"/>
              </w:rPr>
              <w:t>30 days</w:t>
            </w:r>
          </w:p>
        </w:tc>
        <w:tc>
          <w:tcPr>
            <w:tcW w:w="1687" w:type="dxa"/>
            <w:vMerge w:val="restart"/>
          </w:tcPr>
          <w:p w:rsidR="00711AC7" w:rsidRPr="00C35233" w:rsidRDefault="00711AC7" w:rsidP="00FB59BA">
            <w:pPr>
              <w:jc w:val="center"/>
              <w:rPr>
                <w:rFonts w:ascii="Arial Narrow" w:hAnsi="Arial Narrow"/>
                <w:b/>
                <w:bCs/>
                <w:sz w:val="20"/>
              </w:rPr>
            </w:pPr>
            <w:r w:rsidRPr="00C35233">
              <w:rPr>
                <w:rFonts w:ascii="Arial Narrow" w:hAnsi="Arial Narrow"/>
                <w:b/>
                <w:bCs/>
                <w:sz w:val="20"/>
              </w:rPr>
              <w:t xml:space="preserve">Cost per </w:t>
            </w:r>
          </w:p>
          <w:p w:rsidR="00711AC7" w:rsidRPr="00C35233" w:rsidRDefault="00711AC7" w:rsidP="00FB59BA">
            <w:pPr>
              <w:jc w:val="center"/>
              <w:rPr>
                <w:rFonts w:ascii="Arial Narrow" w:hAnsi="Arial Narrow"/>
                <w:b/>
                <w:bCs/>
                <w:sz w:val="20"/>
              </w:rPr>
            </w:pPr>
            <w:r w:rsidRPr="00C35233">
              <w:rPr>
                <w:rFonts w:ascii="Arial Narrow" w:hAnsi="Arial Narrow"/>
                <w:b/>
                <w:bCs/>
                <w:sz w:val="20"/>
              </w:rPr>
              <w:t>28 days</w:t>
            </w:r>
          </w:p>
        </w:tc>
      </w:tr>
      <w:bookmarkEnd w:id="20"/>
      <w:tr w:rsidR="00711AC7" w:rsidRPr="00C35233" w:rsidTr="00EC2306">
        <w:trPr>
          <w:trHeight w:val="144"/>
          <w:tblHeader/>
        </w:trPr>
        <w:tc>
          <w:tcPr>
            <w:tcW w:w="1050" w:type="dxa"/>
            <w:vMerge/>
          </w:tcPr>
          <w:p w:rsidR="00711AC7" w:rsidRPr="00C35233" w:rsidRDefault="00711AC7" w:rsidP="00FB59BA">
            <w:pPr>
              <w:rPr>
                <w:rFonts w:ascii="Arial Narrow" w:hAnsi="Arial Narrow"/>
                <w:sz w:val="20"/>
              </w:rPr>
            </w:pPr>
          </w:p>
        </w:tc>
        <w:tc>
          <w:tcPr>
            <w:tcW w:w="1658" w:type="dxa"/>
            <w:vMerge/>
          </w:tcPr>
          <w:p w:rsidR="00711AC7" w:rsidRPr="00C35233" w:rsidRDefault="00711AC7" w:rsidP="00FB59BA">
            <w:pPr>
              <w:rPr>
                <w:rFonts w:ascii="Arial Narrow" w:hAnsi="Arial Narrow"/>
                <w:sz w:val="20"/>
              </w:rPr>
            </w:pPr>
          </w:p>
        </w:tc>
        <w:tc>
          <w:tcPr>
            <w:tcW w:w="1100" w:type="dxa"/>
            <w:vMerge/>
          </w:tcPr>
          <w:p w:rsidR="00711AC7" w:rsidRPr="00C35233" w:rsidRDefault="00711AC7" w:rsidP="00FB59BA">
            <w:pPr>
              <w:rPr>
                <w:rFonts w:ascii="Arial Narrow" w:hAnsi="Arial Narrow"/>
                <w:sz w:val="20"/>
              </w:rPr>
            </w:pPr>
          </w:p>
        </w:tc>
        <w:tc>
          <w:tcPr>
            <w:tcW w:w="1000" w:type="dxa"/>
            <w:vAlign w:val="center"/>
          </w:tcPr>
          <w:p w:rsidR="00711AC7" w:rsidRPr="00C35233" w:rsidRDefault="00711AC7" w:rsidP="00FB59BA">
            <w:pPr>
              <w:jc w:val="center"/>
              <w:rPr>
                <w:rFonts w:ascii="Arial Narrow" w:hAnsi="Arial Narrow"/>
                <w:b/>
                <w:bCs/>
                <w:sz w:val="20"/>
              </w:rPr>
            </w:pPr>
            <w:r w:rsidRPr="00C35233">
              <w:rPr>
                <w:rFonts w:ascii="Arial Narrow" w:hAnsi="Arial Narrow"/>
                <w:b/>
                <w:bCs/>
                <w:sz w:val="20"/>
              </w:rPr>
              <w:t xml:space="preserve">PBS </w:t>
            </w:r>
          </w:p>
        </w:tc>
        <w:tc>
          <w:tcPr>
            <w:tcW w:w="878" w:type="dxa"/>
            <w:vAlign w:val="center"/>
          </w:tcPr>
          <w:p w:rsidR="00711AC7" w:rsidRPr="00C35233" w:rsidRDefault="00711AC7" w:rsidP="00FB59BA">
            <w:pPr>
              <w:jc w:val="center"/>
              <w:rPr>
                <w:rFonts w:ascii="Arial Narrow" w:hAnsi="Arial Narrow"/>
                <w:b/>
                <w:bCs/>
                <w:sz w:val="20"/>
              </w:rPr>
            </w:pPr>
            <w:r w:rsidRPr="00C35233">
              <w:rPr>
                <w:rFonts w:ascii="Arial Narrow" w:hAnsi="Arial Narrow"/>
                <w:b/>
                <w:bCs/>
                <w:sz w:val="20"/>
              </w:rPr>
              <w:t>MBS</w:t>
            </w:r>
          </w:p>
        </w:tc>
        <w:tc>
          <w:tcPr>
            <w:tcW w:w="990" w:type="dxa"/>
            <w:vMerge/>
          </w:tcPr>
          <w:p w:rsidR="00711AC7" w:rsidRPr="00C35233" w:rsidRDefault="00711AC7" w:rsidP="00FB59BA">
            <w:pPr>
              <w:rPr>
                <w:rFonts w:ascii="Arial Narrow" w:hAnsi="Arial Narrow"/>
                <w:sz w:val="20"/>
              </w:rPr>
            </w:pPr>
          </w:p>
        </w:tc>
        <w:tc>
          <w:tcPr>
            <w:tcW w:w="1687" w:type="dxa"/>
            <w:vMerge/>
          </w:tcPr>
          <w:p w:rsidR="00711AC7" w:rsidRPr="00C35233" w:rsidRDefault="00711AC7" w:rsidP="00FB59BA">
            <w:pPr>
              <w:rPr>
                <w:rFonts w:ascii="Arial Narrow" w:hAnsi="Arial Narrow"/>
                <w:sz w:val="20"/>
              </w:rPr>
            </w:pPr>
          </w:p>
        </w:tc>
      </w:tr>
      <w:tr w:rsidR="00711AC7" w:rsidRPr="00C35233" w:rsidTr="00B95D3E">
        <w:trPr>
          <w:trHeight w:val="451"/>
        </w:trPr>
        <w:tc>
          <w:tcPr>
            <w:tcW w:w="1050" w:type="dxa"/>
            <w:vMerge w:val="restart"/>
            <w:vAlign w:val="center"/>
          </w:tcPr>
          <w:p w:rsidR="00711AC7" w:rsidRPr="00C35233" w:rsidRDefault="00711AC7" w:rsidP="00FB59BA">
            <w:pPr>
              <w:jc w:val="left"/>
              <w:rPr>
                <w:rFonts w:ascii="Arial Narrow" w:hAnsi="Arial Narrow"/>
                <w:sz w:val="20"/>
              </w:rPr>
            </w:pPr>
            <w:r w:rsidRPr="00C35233">
              <w:rPr>
                <w:rFonts w:ascii="Arial Narrow" w:hAnsi="Arial Narrow"/>
                <w:sz w:val="20"/>
              </w:rPr>
              <w:t>Abiraterone</w:t>
            </w:r>
          </w:p>
        </w:tc>
        <w:tc>
          <w:tcPr>
            <w:tcW w:w="1658" w:type="dxa"/>
            <w:vAlign w:val="center"/>
          </w:tcPr>
          <w:p w:rsidR="00711AC7" w:rsidRPr="00C35233" w:rsidRDefault="00711AC7" w:rsidP="00FB59BA">
            <w:pPr>
              <w:jc w:val="center"/>
              <w:rPr>
                <w:rFonts w:ascii="Arial Narrow" w:hAnsi="Arial Narrow"/>
                <w:sz w:val="20"/>
              </w:rPr>
            </w:pPr>
            <w:r w:rsidRPr="00C35233">
              <w:rPr>
                <w:rFonts w:ascii="Arial Narrow" w:hAnsi="Arial Narrow"/>
                <w:sz w:val="20"/>
              </w:rPr>
              <w:t>Abiraterone 250mg tabs</w:t>
            </w:r>
          </w:p>
        </w:tc>
        <w:tc>
          <w:tcPr>
            <w:tcW w:w="1100" w:type="dxa"/>
            <w:vAlign w:val="center"/>
          </w:tcPr>
          <w:p w:rsidR="00711AC7" w:rsidRPr="00C35233" w:rsidRDefault="00711AC7" w:rsidP="00FB59BA">
            <w:pPr>
              <w:jc w:val="center"/>
              <w:rPr>
                <w:rFonts w:ascii="Arial Narrow" w:hAnsi="Arial Narrow"/>
                <w:sz w:val="20"/>
              </w:rPr>
            </w:pPr>
            <w:r w:rsidRPr="00C35233">
              <w:rPr>
                <w:rFonts w:ascii="Arial Narrow" w:hAnsi="Arial Narrow"/>
                <w:sz w:val="20"/>
              </w:rPr>
              <w:t>1 box (120 tablets)</w:t>
            </w:r>
          </w:p>
        </w:tc>
        <w:tc>
          <w:tcPr>
            <w:tcW w:w="1000" w:type="dxa"/>
            <w:vAlign w:val="center"/>
          </w:tcPr>
          <w:p w:rsidR="00711AC7" w:rsidRPr="00C35233" w:rsidRDefault="00711AC7" w:rsidP="00FB59BA">
            <w:pPr>
              <w:jc w:val="center"/>
              <w:rPr>
                <w:rFonts w:ascii="Arial Narrow" w:hAnsi="Arial Narrow"/>
                <w:sz w:val="20"/>
              </w:rPr>
            </w:pPr>
            <w:r w:rsidRPr="00136082">
              <w:rPr>
                <w:rFonts w:ascii="Arial Narrow" w:hAnsi="Arial Narrow"/>
                <w:sz w:val="20"/>
              </w:rPr>
              <w:t>$</w:t>
            </w:r>
            <w:r w:rsidR="00E73118">
              <w:rPr>
                <w:rFonts w:ascii="Arial Narrow" w:hAnsi="Arial Narrow"/>
                <w:noProof/>
                <w:color w:val="000000"/>
                <w:sz w:val="20"/>
                <w:highlight w:val="black"/>
              </w:rPr>
              <w:t>''''''''''''''''''''''''''</w:t>
            </w:r>
          </w:p>
        </w:tc>
        <w:tc>
          <w:tcPr>
            <w:tcW w:w="878" w:type="dxa"/>
            <w:vAlign w:val="center"/>
          </w:tcPr>
          <w:p w:rsidR="00711AC7"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990" w:type="dxa"/>
            <w:vMerge w:val="restart"/>
            <w:vAlign w:val="center"/>
          </w:tcPr>
          <w:p w:rsidR="00711AC7" w:rsidRPr="00C35233" w:rsidRDefault="00711AC7" w:rsidP="00FB59BA">
            <w:pPr>
              <w:jc w:val="center"/>
              <w:rPr>
                <w:rFonts w:ascii="Arial Narrow" w:hAnsi="Arial Narrow"/>
                <w:sz w:val="20"/>
              </w:rPr>
            </w:pPr>
            <w:r w:rsidRPr="00136082">
              <w:rPr>
                <w:rFonts w:ascii="Arial Narrow" w:hAnsi="Arial Narrow"/>
                <w:sz w:val="20"/>
              </w:rPr>
              <w:t>$</w:t>
            </w:r>
            <w:r w:rsidR="00E73118">
              <w:rPr>
                <w:rFonts w:ascii="Arial Narrow" w:hAnsi="Arial Narrow"/>
                <w:noProof/>
                <w:color w:val="000000"/>
                <w:sz w:val="20"/>
                <w:highlight w:val="black"/>
              </w:rPr>
              <w:t>''''''''''''''''''''''</w:t>
            </w:r>
          </w:p>
        </w:tc>
        <w:tc>
          <w:tcPr>
            <w:tcW w:w="1687" w:type="dxa"/>
            <w:vMerge w:val="restart"/>
            <w:vAlign w:val="center"/>
          </w:tcPr>
          <w:p w:rsidR="00711AC7" w:rsidRPr="00E73118" w:rsidRDefault="00711AC7" w:rsidP="00FB59BA">
            <w:pPr>
              <w:jc w:val="center"/>
              <w:rPr>
                <w:rFonts w:ascii="Arial Narrow" w:hAnsi="Arial Narrow"/>
                <w:sz w:val="20"/>
              </w:rPr>
            </w:pPr>
            <w:r w:rsidRPr="00136082">
              <w:rPr>
                <w:rFonts w:ascii="Arial Narrow" w:hAnsi="Arial Narrow"/>
                <w:sz w:val="20"/>
              </w:rPr>
              <w:t>$</w:t>
            </w:r>
            <w:r w:rsidR="00E73118">
              <w:rPr>
                <w:rFonts w:ascii="Arial Narrow" w:hAnsi="Arial Narrow"/>
                <w:noProof/>
                <w:color w:val="000000"/>
                <w:sz w:val="20"/>
                <w:highlight w:val="black"/>
              </w:rPr>
              <w:t>''''''''''''''''''''</w:t>
            </w:r>
          </w:p>
          <w:p w:rsidR="00711AC7" w:rsidRPr="00E73118" w:rsidRDefault="00E73118" w:rsidP="00FB59BA">
            <w:pPr>
              <w:jc w:val="center"/>
              <w:rPr>
                <w:rFonts w:ascii="Arial Narrow" w:hAnsi="Arial Narrow"/>
                <w:sz w:val="20"/>
              </w:rPr>
            </w:pPr>
            <w:r>
              <w:rPr>
                <w:rFonts w:ascii="Arial Narrow" w:hAnsi="Arial Narrow"/>
                <w:noProof/>
                <w:color w:val="000000"/>
                <w:sz w:val="20"/>
                <w:highlight w:val="black"/>
              </w:rPr>
              <w:t>'''</w:t>
            </w:r>
            <w:r w:rsidR="00711AC7" w:rsidRPr="00136082">
              <w:rPr>
                <w:rFonts w:ascii="Arial Narrow" w:hAnsi="Arial Narrow"/>
                <w:sz w:val="20"/>
              </w:rPr>
              <w:t>$</w:t>
            </w:r>
            <w:r>
              <w:rPr>
                <w:rFonts w:ascii="Arial Narrow" w:hAnsi="Arial Narrow"/>
                <w:noProof/>
                <w:color w:val="000000"/>
                <w:sz w:val="20"/>
                <w:highlight w:val="black"/>
              </w:rPr>
              <w:t>'''''''''''''''''''</w:t>
            </w:r>
          </w:p>
          <w:p w:rsidR="00711AC7"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r>
      <w:tr w:rsidR="00711AC7" w:rsidRPr="00C35233" w:rsidTr="00B95D3E">
        <w:trPr>
          <w:trHeight w:val="144"/>
        </w:trPr>
        <w:tc>
          <w:tcPr>
            <w:tcW w:w="1050" w:type="dxa"/>
            <w:vMerge/>
          </w:tcPr>
          <w:p w:rsidR="00711AC7" w:rsidRPr="00C35233" w:rsidRDefault="00711AC7" w:rsidP="00FB59BA">
            <w:pPr>
              <w:rPr>
                <w:rFonts w:ascii="Arial Narrow" w:hAnsi="Arial Narrow"/>
                <w:sz w:val="20"/>
              </w:rPr>
            </w:pPr>
          </w:p>
        </w:tc>
        <w:tc>
          <w:tcPr>
            <w:tcW w:w="1658" w:type="dxa"/>
            <w:vAlign w:val="center"/>
          </w:tcPr>
          <w:p w:rsidR="00711AC7" w:rsidRPr="00C35233" w:rsidRDefault="00711AC7" w:rsidP="00FB59BA">
            <w:pPr>
              <w:jc w:val="center"/>
              <w:rPr>
                <w:rFonts w:ascii="Arial Narrow" w:hAnsi="Arial Narrow"/>
                <w:sz w:val="20"/>
              </w:rPr>
            </w:pPr>
            <w:r w:rsidRPr="00C35233">
              <w:rPr>
                <w:rFonts w:ascii="Arial Narrow" w:hAnsi="Arial Narrow"/>
                <w:sz w:val="20"/>
              </w:rPr>
              <w:t>Prednisolone 5mg tabs</w:t>
            </w:r>
          </w:p>
        </w:tc>
        <w:tc>
          <w:tcPr>
            <w:tcW w:w="1100" w:type="dxa"/>
            <w:vAlign w:val="center"/>
          </w:tcPr>
          <w:p w:rsidR="00711AC7" w:rsidRPr="00C35233" w:rsidRDefault="00711AC7" w:rsidP="00FB59BA">
            <w:pPr>
              <w:jc w:val="center"/>
              <w:rPr>
                <w:rFonts w:ascii="Arial Narrow" w:hAnsi="Arial Narrow"/>
                <w:sz w:val="20"/>
              </w:rPr>
            </w:pPr>
            <w:r w:rsidRPr="00C35233">
              <w:rPr>
                <w:rFonts w:ascii="Arial Narrow" w:hAnsi="Arial Narrow"/>
                <w:sz w:val="20"/>
              </w:rPr>
              <w:t>1 bottle (60 tablets)</w:t>
            </w:r>
          </w:p>
        </w:tc>
        <w:tc>
          <w:tcPr>
            <w:tcW w:w="1000" w:type="dxa"/>
            <w:vAlign w:val="center"/>
          </w:tcPr>
          <w:p w:rsidR="00711AC7" w:rsidRPr="00C35233" w:rsidRDefault="00711AC7" w:rsidP="00FB59BA">
            <w:pPr>
              <w:jc w:val="center"/>
              <w:rPr>
                <w:rFonts w:ascii="Arial Narrow" w:hAnsi="Arial Narrow"/>
                <w:sz w:val="20"/>
              </w:rPr>
            </w:pPr>
            <w:r w:rsidRPr="00136082">
              <w:rPr>
                <w:rFonts w:ascii="Arial Narrow" w:hAnsi="Arial Narrow"/>
                <w:sz w:val="20"/>
              </w:rPr>
              <w:t>$</w:t>
            </w:r>
            <w:r w:rsidR="00E73118">
              <w:rPr>
                <w:rFonts w:ascii="Arial Narrow" w:hAnsi="Arial Narrow"/>
                <w:noProof/>
                <w:color w:val="000000"/>
                <w:sz w:val="20"/>
                <w:highlight w:val="black"/>
              </w:rPr>
              <w:t>'''''''''''</w:t>
            </w:r>
          </w:p>
        </w:tc>
        <w:tc>
          <w:tcPr>
            <w:tcW w:w="878" w:type="dxa"/>
            <w:vAlign w:val="center"/>
          </w:tcPr>
          <w:p w:rsidR="00711AC7"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990" w:type="dxa"/>
            <w:vMerge/>
          </w:tcPr>
          <w:p w:rsidR="00711AC7" w:rsidRPr="00C35233" w:rsidRDefault="00711AC7" w:rsidP="00FB59BA">
            <w:pPr>
              <w:rPr>
                <w:rFonts w:ascii="Arial Narrow" w:hAnsi="Arial Narrow"/>
                <w:sz w:val="20"/>
              </w:rPr>
            </w:pPr>
          </w:p>
        </w:tc>
        <w:tc>
          <w:tcPr>
            <w:tcW w:w="1687" w:type="dxa"/>
            <w:vMerge/>
          </w:tcPr>
          <w:p w:rsidR="00711AC7" w:rsidRPr="00C35233" w:rsidRDefault="00711AC7" w:rsidP="00FB59BA">
            <w:pPr>
              <w:rPr>
                <w:rFonts w:ascii="Arial Narrow" w:hAnsi="Arial Narrow"/>
                <w:sz w:val="20"/>
              </w:rPr>
            </w:pPr>
          </w:p>
        </w:tc>
      </w:tr>
      <w:tr w:rsidR="00711AC7" w:rsidRPr="00C35233" w:rsidTr="00B95D3E">
        <w:trPr>
          <w:trHeight w:val="144"/>
        </w:trPr>
        <w:tc>
          <w:tcPr>
            <w:tcW w:w="1050" w:type="dxa"/>
            <w:vMerge/>
          </w:tcPr>
          <w:p w:rsidR="00711AC7" w:rsidRPr="00C35233" w:rsidRDefault="00711AC7" w:rsidP="00FB59BA">
            <w:pPr>
              <w:rPr>
                <w:rFonts w:ascii="Arial Narrow" w:hAnsi="Arial Narrow"/>
                <w:sz w:val="20"/>
              </w:rPr>
            </w:pPr>
          </w:p>
        </w:tc>
        <w:tc>
          <w:tcPr>
            <w:tcW w:w="1658" w:type="dxa"/>
            <w:vAlign w:val="center"/>
          </w:tcPr>
          <w:p w:rsidR="00711AC7" w:rsidRPr="00C35233" w:rsidRDefault="00711AC7" w:rsidP="00FB59BA">
            <w:pPr>
              <w:jc w:val="center"/>
              <w:rPr>
                <w:rFonts w:ascii="Arial Narrow" w:hAnsi="Arial Narrow"/>
                <w:sz w:val="20"/>
              </w:rPr>
            </w:pPr>
            <w:r w:rsidRPr="00C35233">
              <w:rPr>
                <w:rFonts w:ascii="Arial Narrow" w:hAnsi="Arial Narrow"/>
                <w:sz w:val="20"/>
              </w:rPr>
              <w:t>Liver function testing</w:t>
            </w:r>
          </w:p>
        </w:tc>
        <w:tc>
          <w:tcPr>
            <w:tcW w:w="1100" w:type="dxa"/>
            <w:vAlign w:val="center"/>
          </w:tcPr>
          <w:p w:rsidR="00711AC7" w:rsidRPr="00C35233" w:rsidRDefault="00711AC7" w:rsidP="00FB59BA">
            <w:pPr>
              <w:jc w:val="center"/>
              <w:rPr>
                <w:rFonts w:ascii="Arial Narrow" w:hAnsi="Arial Narrow"/>
                <w:sz w:val="20"/>
              </w:rPr>
            </w:pPr>
            <w:r w:rsidRPr="00C35233">
              <w:rPr>
                <w:rFonts w:ascii="Arial Narrow" w:hAnsi="Arial Narrow"/>
                <w:sz w:val="20"/>
              </w:rPr>
              <w:t>1.54 tests</w:t>
            </w:r>
          </w:p>
        </w:tc>
        <w:tc>
          <w:tcPr>
            <w:tcW w:w="1000" w:type="dxa"/>
            <w:vAlign w:val="center"/>
          </w:tcPr>
          <w:p w:rsidR="00711AC7"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878" w:type="dxa"/>
            <w:vAlign w:val="center"/>
          </w:tcPr>
          <w:p w:rsidR="00711AC7" w:rsidRPr="00C35233" w:rsidRDefault="00711AC7" w:rsidP="00FB59BA">
            <w:pPr>
              <w:jc w:val="center"/>
              <w:rPr>
                <w:rFonts w:ascii="Arial Narrow" w:hAnsi="Arial Narrow"/>
                <w:sz w:val="20"/>
                <w:vertAlign w:val="superscript"/>
              </w:rPr>
            </w:pPr>
            <w:r w:rsidRPr="00136082">
              <w:rPr>
                <w:rFonts w:ascii="Arial Narrow" w:hAnsi="Arial Narrow"/>
                <w:sz w:val="20"/>
              </w:rPr>
              <w:t>$</w:t>
            </w:r>
            <w:r w:rsidR="00E73118">
              <w:rPr>
                <w:rFonts w:ascii="Arial Narrow" w:hAnsi="Arial Narrow"/>
                <w:noProof/>
                <w:color w:val="000000"/>
                <w:sz w:val="20"/>
                <w:highlight w:val="black"/>
              </w:rPr>
              <w:t>'''''''''''''''</w:t>
            </w:r>
          </w:p>
        </w:tc>
        <w:tc>
          <w:tcPr>
            <w:tcW w:w="990" w:type="dxa"/>
            <w:vMerge/>
          </w:tcPr>
          <w:p w:rsidR="00711AC7" w:rsidRPr="00C35233" w:rsidRDefault="00711AC7" w:rsidP="00FB59BA">
            <w:pPr>
              <w:rPr>
                <w:rFonts w:ascii="Arial Narrow" w:hAnsi="Arial Narrow"/>
                <w:sz w:val="20"/>
              </w:rPr>
            </w:pPr>
          </w:p>
        </w:tc>
        <w:tc>
          <w:tcPr>
            <w:tcW w:w="1687" w:type="dxa"/>
            <w:vMerge/>
          </w:tcPr>
          <w:p w:rsidR="00711AC7" w:rsidRPr="00C35233" w:rsidRDefault="00711AC7" w:rsidP="00FB59BA">
            <w:pPr>
              <w:rPr>
                <w:rFonts w:ascii="Arial Narrow" w:hAnsi="Arial Narrow"/>
                <w:sz w:val="20"/>
              </w:rPr>
            </w:pPr>
          </w:p>
        </w:tc>
      </w:tr>
      <w:tr w:rsidR="00711AC7" w:rsidRPr="00C35233" w:rsidTr="00B95D3E">
        <w:trPr>
          <w:trHeight w:val="463"/>
        </w:trPr>
        <w:tc>
          <w:tcPr>
            <w:tcW w:w="1050" w:type="dxa"/>
            <w:vAlign w:val="center"/>
          </w:tcPr>
          <w:p w:rsidR="00711AC7" w:rsidRPr="00C35233" w:rsidRDefault="00711AC7" w:rsidP="00FB59BA">
            <w:pPr>
              <w:jc w:val="left"/>
              <w:rPr>
                <w:rFonts w:ascii="Arial Narrow" w:hAnsi="Arial Narrow"/>
                <w:sz w:val="20"/>
              </w:rPr>
            </w:pPr>
            <w:r w:rsidRPr="00C35233">
              <w:rPr>
                <w:rFonts w:ascii="Arial Narrow" w:hAnsi="Arial Narrow"/>
                <w:sz w:val="20"/>
              </w:rPr>
              <w:t>Enzalutamide</w:t>
            </w:r>
          </w:p>
        </w:tc>
        <w:tc>
          <w:tcPr>
            <w:tcW w:w="1658" w:type="dxa"/>
            <w:vAlign w:val="center"/>
          </w:tcPr>
          <w:p w:rsidR="00711AC7" w:rsidRPr="00C35233" w:rsidRDefault="00711AC7" w:rsidP="00FB59BA">
            <w:pPr>
              <w:jc w:val="center"/>
              <w:rPr>
                <w:rFonts w:ascii="Arial Narrow" w:hAnsi="Arial Narrow"/>
                <w:sz w:val="20"/>
              </w:rPr>
            </w:pPr>
            <w:r w:rsidRPr="00C35233">
              <w:rPr>
                <w:rFonts w:ascii="Arial Narrow" w:hAnsi="Arial Narrow"/>
                <w:sz w:val="20"/>
              </w:rPr>
              <w:t>Enzalutamide 40mg caps</w:t>
            </w:r>
          </w:p>
        </w:tc>
        <w:tc>
          <w:tcPr>
            <w:tcW w:w="1100" w:type="dxa"/>
            <w:vAlign w:val="center"/>
          </w:tcPr>
          <w:p w:rsidR="00711AC7" w:rsidRPr="00C35233" w:rsidRDefault="00711AC7" w:rsidP="00FB59BA">
            <w:pPr>
              <w:jc w:val="center"/>
              <w:rPr>
                <w:rFonts w:ascii="Arial Narrow" w:hAnsi="Arial Narrow"/>
                <w:sz w:val="20"/>
              </w:rPr>
            </w:pPr>
            <w:r w:rsidRPr="00C35233">
              <w:rPr>
                <w:rFonts w:ascii="Arial Narrow" w:hAnsi="Arial Narrow"/>
                <w:sz w:val="20"/>
              </w:rPr>
              <w:t>1 box (112 capsules)</w:t>
            </w:r>
          </w:p>
        </w:tc>
        <w:tc>
          <w:tcPr>
            <w:tcW w:w="1000" w:type="dxa"/>
            <w:vAlign w:val="center"/>
          </w:tcPr>
          <w:p w:rsidR="00711AC7" w:rsidRPr="00C35233" w:rsidRDefault="00711AC7" w:rsidP="00FB59BA">
            <w:pPr>
              <w:jc w:val="center"/>
              <w:rPr>
                <w:rFonts w:ascii="Arial Narrow" w:hAnsi="Arial Narrow"/>
                <w:sz w:val="20"/>
                <w:vertAlign w:val="superscript"/>
              </w:rPr>
            </w:pPr>
            <w:r w:rsidRPr="00136082">
              <w:rPr>
                <w:rFonts w:ascii="Arial Narrow" w:hAnsi="Arial Narrow"/>
                <w:sz w:val="20"/>
              </w:rPr>
              <w:t>$</w:t>
            </w:r>
            <w:r w:rsidR="00E73118">
              <w:rPr>
                <w:rFonts w:ascii="Arial Narrow" w:hAnsi="Arial Narrow"/>
                <w:noProof/>
                <w:color w:val="000000"/>
                <w:sz w:val="20"/>
                <w:highlight w:val="black"/>
              </w:rPr>
              <w:t>'''''''''''''''''''''''</w:t>
            </w:r>
          </w:p>
        </w:tc>
        <w:tc>
          <w:tcPr>
            <w:tcW w:w="878" w:type="dxa"/>
            <w:vAlign w:val="center"/>
          </w:tcPr>
          <w:p w:rsidR="00711AC7"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990" w:type="dxa"/>
            <w:vAlign w:val="center"/>
          </w:tcPr>
          <w:p w:rsidR="00711AC7" w:rsidRPr="00E73118" w:rsidRDefault="00E73118" w:rsidP="00FB59BA">
            <w:pPr>
              <w:jc w:val="center"/>
              <w:rPr>
                <w:rFonts w:ascii="Arial Narrow" w:hAnsi="Arial Narrow"/>
                <w:sz w:val="20"/>
                <w:highlight w:val="black"/>
              </w:rPr>
            </w:pPr>
            <w:r>
              <w:rPr>
                <w:rFonts w:ascii="Arial Narrow" w:hAnsi="Arial Narrow"/>
                <w:noProof/>
                <w:color w:val="000000"/>
                <w:sz w:val="20"/>
                <w:highlight w:val="black"/>
              </w:rPr>
              <w:t>''</w:t>
            </w:r>
          </w:p>
        </w:tc>
        <w:tc>
          <w:tcPr>
            <w:tcW w:w="1687" w:type="dxa"/>
            <w:vMerge/>
          </w:tcPr>
          <w:p w:rsidR="00711AC7" w:rsidRPr="00C35233" w:rsidRDefault="00711AC7" w:rsidP="00FB59BA">
            <w:pPr>
              <w:rPr>
                <w:rFonts w:ascii="Arial Narrow" w:hAnsi="Arial Narrow"/>
                <w:sz w:val="20"/>
              </w:rPr>
            </w:pPr>
          </w:p>
        </w:tc>
      </w:tr>
    </w:tbl>
    <w:p w:rsidR="00711AC7" w:rsidRPr="00E73118" w:rsidRDefault="0095094B" w:rsidP="00295455">
      <w:pPr>
        <w:widowControl/>
        <w:tabs>
          <w:tab w:val="left" w:pos="180"/>
        </w:tabs>
        <w:rPr>
          <w:szCs w:val="22"/>
        </w:rPr>
      </w:pPr>
      <w:r w:rsidRPr="00C35233">
        <w:rPr>
          <w:rFonts w:ascii="Arial Narrow" w:hAnsi="Arial Narrow"/>
          <w:sz w:val="18"/>
          <w:szCs w:val="18"/>
          <w:vertAlign w:val="superscript"/>
        </w:rPr>
        <w:lastRenderedPageBreak/>
        <w:tab/>
      </w:r>
      <w:r w:rsidRPr="00C35233">
        <w:rPr>
          <w:rFonts w:ascii="Arial Narrow" w:hAnsi="Arial Narrow"/>
          <w:sz w:val="18"/>
          <w:szCs w:val="18"/>
          <w:vertAlign w:val="superscript"/>
        </w:rPr>
        <w:tab/>
      </w:r>
      <w:r w:rsidR="00295455" w:rsidRPr="00FA313A">
        <w:rPr>
          <w:rFonts w:ascii="Arial Narrow" w:hAnsi="Arial Narrow"/>
          <w:sz w:val="18"/>
          <w:szCs w:val="18"/>
          <w:vertAlign w:val="superscript"/>
        </w:rPr>
        <w:t>#</w:t>
      </w:r>
      <w:r w:rsidRPr="00FA313A">
        <w:rPr>
          <w:rFonts w:ascii="Arial Narrow" w:hAnsi="Arial Narrow"/>
          <w:sz w:val="18"/>
          <w:szCs w:val="18"/>
        </w:rPr>
        <w:t xml:space="preserve"> </w:t>
      </w:r>
      <w:r w:rsidR="00BA752C" w:rsidRPr="00FA313A">
        <w:rPr>
          <w:rFonts w:ascii="Arial Narrow" w:hAnsi="Arial Narrow"/>
          <w:sz w:val="18"/>
          <w:szCs w:val="18"/>
        </w:rPr>
        <w:t xml:space="preserve">Ex-manufacturer price for item </w:t>
      </w:r>
      <w:r w:rsidR="00295455" w:rsidRPr="00FA313A">
        <w:rPr>
          <w:rFonts w:ascii="Arial Narrow" w:hAnsi="Arial Narrow"/>
          <w:sz w:val="18"/>
          <w:szCs w:val="18"/>
        </w:rPr>
        <w:t>abiraterone</w:t>
      </w:r>
      <w:r w:rsidR="00BA752C" w:rsidRPr="00FA313A">
        <w:rPr>
          <w:rFonts w:ascii="Arial Narrow" w:hAnsi="Arial Narrow"/>
          <w:sz w:val="18"/>
          <w:szCs w:val="18"/>
        </w:rPr>
        <w:t xml:space="preserve"> </w:t>
      </w:r>
      <w:r w:rsidR="00E73118">
        <w:rPr>
          <w:rFonts w:ascii="Arial Narrow" w:hAnsi="Arial Narrow"/>
          <w:noProof/>
          <w:color w:val="000000"/>
          <w:sz w:val="18"/>
          <w:szCs w:val="18"/>
          <w:highlight w:val="black"/>
        </w:rPr>
        <w:t>''''''''''''''''''''''''''''''''''''''''''''' ''''''''''''''''''''''''''''''''''''''</w:t>
      </w:r>
    </w:p>
    <w:p w:rsidR="00295455" w:rsidRPr="00E73118" w:rsidRDefault="0095094B" w:rsidP="00295455">
      <w:pPr>
        <w:tabs>
          <w:tab w:val="left" w:pos="180"/>
        </w:tabs>
        <w:rPr>
          <w:rFonts w:ascii="Arial Narrow" w:hAnsi="Arial Narrow"/>
          <w:sz w:val="18"/>
          <w:szCs w:val="18"/>
        </w:rPr>
      </w:pPr>
      <w:r w:rsidRPr="000323EF">
        <w:rPr>
          <w:rFonts w:ascii="Arial Narrow" w:hAnsi="Arial Narrow"/>
          <w:vertAlign w:val="superscript"/>
        </w:rPr>
        <w:tab/>
      </w:r>
      <w:r w:rsidRPr="000323EF">
        <w:rPr>
          <w:rFonts w:ascii="Arial Narrow" w:hAnsi="Arial Narrow"/>
          <w:vertAlign w:val="superscript"/>
        </w:rPr>
        <w:tab/>
      </w:r>
      <w:r w:rsidR="00295455" w:rsidRPr="00FA313A">
        <w:rPr>
          <w:rFonts w:ascii="Arial Narrow" w:hAnsi="Arial Narrow"/>
          <w:vertAlign w:val="superscript"/>
        </w:rPr>
        <w:t>^</w:t>
      </w:r>
      <w:r w:rsidRPr="00FA313A">
        <w:rPr>
          <w:rFonts w:ascii="Arial Narrow" w:hAnsi="Arial Narrow"/>
        </w:rPr>
        <w:t xml:space="preserve"> </w:t>
      </w:r>
      <w:r w:rsidR="00295455" w:rsidRPr="00FA313A">
        <w:rPr>
          <w:rFonts w:ascii="Arial Narrow" w:hAnsi="Arial Narrow"/>
          <w:sz w:val="18"/>
          <w:szCs w:val="18"/>
        </w:rPr>
        <w:t xml:space="preserve">Ex-manufacturer price for prednisolone </w:t>
      </w:r>
      <w:r w:rsidR="00E73118">
        <w:rPr>
          <w:rFonts w:ascii="Arial Narrow" w:hAnsi="Arial Narrow"/>
          <w:noProof/>
          <w:color w:val="000000"/>
          <w:sz w:val="18"/>
          <w:szCs w:val="18"/>
          <w:highlight w:val="black"/>
        </w:rPr>
        <w:t>'''''''''''''''''''''''''''''''''''''' '''''''''''''''''''''''''''''</w:t>
      </w:r>
    </w:p>
    <w:p w:rsidR="00CB2A12" w:rsidRPr="00E73118" w:rsidRDefault="0095094B" w:rsidP="00CB2A12">
      <w:pPr>
        <w:widowControl/>
        <w:tabs>
          <w:tab w:val="left" w:pos="180"/>
        </w:tabs>
        <w:rPr>
          <w:rFonts w:ascii="Arial Narrow" w:hAnsi="Arial Narrow"/>
          <w:sz w:val="18"/>
          <w:szCs w:val="18"/>
        </w:rPr>
      </w:pPr>
      <w:r w:rsidRPr="000323EF">
        <w:rPr>
          <w:rFonts w:ascii="Arial Narrow" w:hAnsi="Arial Narrow"/>
          <w:sz w:val="18"/>
          <w:szCs w:val="18"/>
          <w:vertAlign w:val="superscript"/>
        </w:rPr>
        <w:tab/>
      </w:r>
      <w:r w:rsidRPr="000323EF">
        <w:rPr>
          <w:rFonts w:ascii="Arial Narrow" w:hAnsi="Arial Narrow"/>
          <w:sz w:val="18"/>
          <w:szCs w:val="18"/>
          <w:vertAlign w:val="superscript"/>
        </w:rPr>
        <w:tab/>
      </w:r>
      <w:proofErr w:type="gramStart"/>
      <w:r w:rsidR="00295455" w:rsidRPr="00FA313A">
        <w:rPr>
          <w:rFonts w:ascii="Arial Narrow" w:hAnsi="Arial Narrow"/>
          <w:sz w:val="18"/>
          <w:szCs w:val="18"/>
          <w:vertAlign w:val="superscript"/>
        </w:rPr>
        <w:t>a</w:t>
      </w:r>
      <w:proofErr w:type="gramEnd"/>
      <w:r w:rsidRPr="00FA313A">
        <w:rPr>
          <w:rFonts w:ascii="Arial Narrow" w:hAnsi="Arial Narrow"/>
          <w:sz w:val="18"/>
          <w:szCs w:val="18"/>
        </w:rPr>
        <w:t xml:space="preserve"> </w:t>
      </w:r>
      <w:r w:rsidR="00BA752C" w:rsidRPr="00FA313A">
        <w:rPr>
          <w:rFonts w:ascii="Arial Narrow" w:hAnsi="Arial Narrow"/>
          <w:sz w:val="18"/>
          <w:szCs w:val="18"/>
        </w:rPr>
        <w:t xml:space="preserve">Requested ex-man price for enzalutamide </w:t>
      </w:r>
      <w:r w:rsidR="00E73118">
        <w:rPr>
          <w:rFonts w:ascii="Arial Narrow" w:hAnsi="Arial Narrow"/>
          <w:noProof/>
          <w:color w:val="000000"/>
          <w:sz w:val="18"/>
          <w:szCs w:val="18"/>
          <w:highlight w:val="black"/>
        </w:rPr>
        <w:t>'''''''''''''''''''''''''''''''''''''''''''''''''' ''''''''''''''''''''''''''''''''''''</w:t>
      </w:r>
    </w:p>
    <w:p w:rsidR="002D69D4" w:rsidRPr="00C35233" w:rsidRDefault="00C35233" w:rsidP="00CB2A12">
      <w:pPr>
        <w:widowControl/>
        <w:tabs>
          <w:tab w:val="left" w:pos="180"/>
        </w:tabs>
        <w:rPr>
          <w:rFonts w:ascii="Arial Narrow" w:hAnsi="Arial Narrow"/>
          <w:sz w:val="18"/>
          <w:szCs w:val="18"/>
        </w:rPr>
      </w:pPr>
      <w:r w:rsidRPr="000323EF">
        <w:rPr>
          <w:rFonts w:ascii="Arial Narrow" w:hAnsi="Arial Narrow"/>
          <w:sz w:val="18"/>
          <w:szCs w:val="18"/>
        </w:rPr>
        <w:tab/>
      </w:r>
      <w:r w:rsidRPr="000323EF">
        <w:rPr>
          <w:rFonts w:ascii="Arial Narrow" w:hAnsi="Arial Narrow"/>
          <w:sz w:val="18"/>
          <w:szCs w:val="18"/>
        </w:rPr>
        <w:tab/>
      </w:r>
      <w:r w:rsidR="002D69D4" w:rsidRPr="00FA313A">
        <w:rPr>
          <w:rFonts w:ascii="Arial Narrow" w:hAnsi="Arial Narrow"/>
          <w:sz w:val="18"/>
          <w:szCs w:val="18"/>
        </w:rPr>
        <w:t>Note: the prices in the table reflect published prices of abiraterone</w:t>
      </w:r>
      <w:r w:rsidR="00E73118">
        <w:rPr>
          <w:rFonts w:ascii="Arial Narrow" w:hAnsi="Arial Narrow"/>
          <w:noProof/>
          <w:color w:val="000000"/>
          <w:sz w:val="18"/>
          <w:szCs w:val="18"/>
          <w:highlight w:val="black"/>
        </w:rPr>
        <w:t>''</w:t>
      </w:r>
    </w:p>
    <w:p w:rsidR="005365E5" w:rsidRPr="00C35233" w:rsidRDefault="005365E5" w:rsidP="005365E5">
      <w:pPr>
        <w:pStyle w:val="ListParagraph"/>
        <w:ind w:left="709"/>
        <w:rPr>
          <w:i/>
          <w:szCs w:val="22"/>
        </w:rPr>
      </w:pPr>
      <w:bookmarkStart w:id="21" w:name="_Toc387918021"/>
      <w:bookmarkStart w:id="22" w:name="_Toc386015346"/>
    </w:p>
    <w:p w:rsidR="005365E5" w:rsidRPr="00C35233" w:rsidRDefault="005365E5" w:rsidP="005365E5">
      <w:pPr>
        <w:pStyle w:val="ListParagraph"/>
        <w:ind w:left="709"/>
        <w:rPr>
          <w:i/>
          <w:szCs w:val="22"/>
        </w:rPr>
      </w:pPr>
      <w:r w:rsidRPr="00C35233">
        <w:rPr>
          <w:i/>
          <w:szCs w:val="22"/>
        </w:rPr>
        <w:t>For more detail on PBAC’s view, see section 7 “PBAC outcome”</w:t>
      </w:r>
    </w:p>
    <w:p w:rsidR="00852903" w:rsidRPr="00C35233" w:rsidRDefault="00852903" w:rsidP="00BA752C">
      <w:pPr>
        <w:pStyle w:val="Heading2"/>
      </w:pPr>
    </w:p>
    <w:p w:rsidR="0001627E" w:rsidRPr="00C35233" w:rsidRDefault="00BA752C" w:rsidP="00BA752C">
      <w:pPr>
        <w:pStyle w:val="Heading2"/>
        <w:rPr>
          <w:szCs w:val="22"/>
        </w:rPr>
      </w:pPr>
      <w:r w:rsidRPr="00C35233">
        <w:t>Drug cost/patient</w:t>
      </w:r>
      <w:r w:rsidR="0001627E" w:rsidRPr="00C35233">
        <w:t>:</w:t>
      </w:r>
      <w:bookmarkEnd w:id="21"/>
      <w:r w:rsidR="0001627E" w:rsidRPr="00C35233">
        <w:t xml:space="preserve"> </w:t>
      </w:r>
      <w:bookmarkEnd w:id="22"/>
    </w:p>
    <w:p w:rsidR="0001627E" w:rsidRPr="00C35233" w:rsidRDefault="0001627E" w:rsidP="0001627E">
      <w:pPr>
        <w:widowControl/>
        <w:rPr>
          <w:szCs w:val="22"/>
        </w:rPr>
      </w:pPr>
    </w:p>
    <w:p w:rsidR="00B95D3E" w:rsidRPr="00B95D3E" w:rsidRDefault="00ED1904" w:rsidP="00B95D3E">
      <w:pPr>
        <w:pStyle w:val="ListParagraph"/>
        <w:widowControl/>
        <w:numPr>
          <w:ilvl w:val="1"/>
          <w:numId w:val="2"/>
        </w:numPr>
        <w:rPr>
          <w:szCs w:val="22"/>
        </w:rPr>
      </w:pPr>
      <w:r w:rsidRPr="00B95D3E">
        <w:rPr>
          <w:iCs/>
        </w:rPr>
        <w:t xml:space="preserve">The drug cost is </w:t>
      </w:r>
      <w:r w:rsidR="00BA752C" w:rsidRPr="00FA313A">
        <w:rPr>
          <w:iCs/>
        </w:rPr>
        <w:t>$</w:t>
      </w:r>
      <w:r w:rsidR="00E73118">
        <w:rPr>
          <w:iCs/>
          <w:noProof/>
          <w:color w:val="000000"/>
          <w:highlight w:val="black"/>
        </w:rPr>
        <w:t>''''''''''''''''''''''</w:t>
      </w:r>
      <w:r w:rsidR="00BA752C" w:rsidRPr="00B95D3E">
        <w:rPr>
          <w:iCs/>
        </w:rPr>
        <w:t xml:space="preserve"> per patient </w:t>
      </w:r>
      <w:r w:rsidR="00BA752C" w:rsidRPr="00FA313A">
        <w:rPr>
          <w:iCs/>
        </w:rPr>
        <w:t>($</w:t>
      </w:r>
      <w:r w:rsidR="00E73118">
        <w:rPr>
          <w:iCs/>
          <w:noProof/>
          <w:color w:val="000000"/>
          <w:highlight w:val="black"/>
        </w:rPr>
        <w:t>'''''''''''''''''''''''''''''''''''''''''''''''</w:t>
      </w:r>
      <w:r w:rsidR="00BA752C" w:rsidRPr="00FA313A">
        <w:rPr>
          <w:iCs/>
        </w:rPr>
        <w:t>months</w:t>
      </w:r>
      <w:r w:rsidR="00BA752C" w:rsidRPr="00B95D3E">
        <w:rPr>
          <w:iCs/>
        </w:rPr>
        <w:t>).</w:t>
      </w:r>
      <w:r w:rsidR="00BA752C" w:rsidRPr="00B95D3E">
        <w:rPr>
          <w:szCs w:val="22"/>
        </w:rPr>
        <w:t xml:space="preserve"> </w:t>
      </w:r>
      <w:r w:rsidR="00914511" w:rsidRPr="00B95D3E">
        <w:rPr>
          <w:szCs w:val="22"/>
        </w:rPr>
        <w:t xml:space="preserve"> </w:t>
      </w:r>
      <w:r w:rsidR="00BA752C" w:rsidRPr="00B95D3E">
        <w:rPr>
          <w:szCs w:val="22"/>
        </w:rPr>
        <w:t xml:space="preserve">This compares to </w:t>
      </w:r>
      <w:r w:rsidR="00BA752C" w:rsidRPr="00FA313A">
        <w:rPr>
          <w:szCs w:val="22"/>
        </w:rPr>
        <w:t>$</w:t>
      </w:r>
      <w:r w:rsidR="00E73118">
        <w:rPr>
          <w:noProof/>
          <w:color w:val="000000"/>
          <w:szCs w:val="22"/>
          <w:highlight w:val="black"/>
        </w:rPr>
        <w:t>''''''''''''''''''''''''</w:t>
      </w:r>
      <w:r w:rsidR="00BA752C" w:rsidRPr="00B95D3E">
        <w:rPr>
          <w:szCs w:val="22"/>
        </w:rPr>
        <w:t xml:space="preserve"> per patient with abiraterone </w:t>
      </w:r>
      <w:r w:rsidR="00BA752C" w:rsidRPr="00FA313A">
        <w:rPr>
          <w:szCs w:val="22"/>
        </w:rPr>
        <w:t>($</w:t>
      </w:r>
      <w:r w:rsidR="00E73118">
        <w:rPr>
          <w:noProof/>
          <w:color w:val="000000"/>
          <w:szCs w:val="22"/>
          <w:highlight w:val="black"/>
        </w:rPr>
        <w:t>'''''''''''''''''''''''''''''</w:t>
      </w:r>
      <w:r w:rsidR="00BA752C" w:rsidRPr="00FA313A">
        <w:rPr>
          <w:szCs w:val="22"/>
        </w:rPr>
        <w:t>months</w:t>
      </w:r>
      <w:r w:rsidR="00BA752C" w:rsidRPr="00B95D3E">
        <w:rPr>
          <w:szCs w:val="22"/>
        </w:rPr>
        <w:t xml:space="preserve">).  </w:t>
      </w:r>
    </w:p>
    <w:p w:rsidR="0001627E" w:rsidRPr="00C35233" w:rsidRDefault="00BA752C" w:rsidP="00FD022E">
      <w:pPr>
        <w:pStyle w:val="ListParagraph"/>
        <w:widowControl/>
        <w:ind w:left="709"/>
        <w:rPr>
          <w:szCs w:val="22"/>
        </w:rPr>
      </w:pPr>
      <w:r w:rsidRPr="00C35233">
        <w:rPr>
          <w:szCs w:val="22"/>
        </w:rPr>
        <w:t>These estimates are based on the published (not effective</w:t>
      </w:r>
      <w:r w:rsidR="006B2861" w:rsidRPr="00C35233">
        <w:rPr>
          <w:szCs w:val="22"/>
        </w:rPr>
        <w:t>) prices</w:t>
      </w:r>
      <w:r w:rsidRPr="00C35233">
        <w:rPr>
          <w:szCs w:val="22"/>
        </w:rPr>
        <w:t xml:space="preserve"> and </w:t>
      </w:r>
      <w:r w:rsidR="00914511" w:rsidRPr="00C35233">
        <w:rPr>
          <w:szCs w:val="22"/>
        </w:rPr>
        <w:t>the assumption</w:t>
      </w:r>
      <w:r w:rsidRPr="00C35233">
        <w:rPr>
          <w:szCs w:val="22"/>
        </w:rPr>
        <w:t xml:space="preserve"> patients will only receive </w:t>
      </w:r>
      <w:r w:rsidR="00E73118">
        <w:rPr>
          <w:noProof/>
          <w:color w:val="000000"/>
          <w:szCs w:val="22"/>
          <w:highlight w:val="black"/>
        </w:rPr>
        <w:t>'''''''</w:t>
      </w:r>
      <w:r w:rsidRPr="00C35233">
        <w:rPr>
          <w:szCs w:val="22"/>
        </w:rPr>
        <w:t xml:space="preserve"> months of each treatment.</w:t>
      </w:r>
    </w:p>
    <w:p w:rsidR="004D6418" w:rsidRPr="00C35233" w:rsidRDefault="004D6418" w:rsidP="004D6418">
      <w:pPr>
        <w:pStyle w:val="ListParagraph"/>
        <w:widowControl/>
        <w:ind w:left="360"/>
        <w:rPr>
          <w:szCs w:val="22"/>
        </w:rPr>
      </w:pPr>
    </w:p>
    <w:p w:rsidR="0001627E" w:rsidRPr="00C35233" w:rsidRDefault="0001627E" w:rsidP="0001627E">
      <w:pPr>
        <w:pStyle w:val="Heading2"/>
      </w:pPr>
      <w:bookmarkStart w:id="23" w:name="_Toc386015347"/>
      <w:bookmarkStart w:id="24" w:name="_Toc387918022"/>
      <w:r w:rsidRPr="00C35233">
        <w:t>Estimated PBS usage &amp; financial implications</w:t>
      </w:r>
      <w:bookmarkEnd w:id="23"/>
      <w:bookmarkEnd w:id="24"/>
    </w:p>
    <w:p w:rsidR="0001627E" w:rsidRPr="00C35233" w:rsidRDefault="0001627E" w:rsidP="0001627E">
      <w:pPr>
        <w:ind w:left="720" w:hanging="720"/>
        <w:rPr>
          <w:b/>
          <w:szCs w:val="22"/>
        </w:rPr>
      </w:pPr>
    </w:p>
    <w:p w:rsidR="009E1071" w:rsidRPr="00B95D3E" w:rsidRDefault="0001627E" w:rsidP="00B95D3E">
      <w:pPr>
        <w:pStyle w:val="ListParagraph"/>
        <w:widowControl/>
        <w:numPr>
          <w:ilvl w:val="1"/>
          <w:numId w:val="2"/>
        </w:numPr>
        <w:rPr>
          <w:szCs w:val="22"/>
        </w:rPr>
      </w:pPr>
      <w:r w:rsidRPr="00C35233">
        <w:t xml:space="preserve">This submission </w:t>
      </w:r>
      <w:r w:rsidR="009E1071" w:rsidRPr="00C35233">
        <w:t>was</w:t>
      </w:r>
      <w:r w:rsidRPr="00C35233">
        <w:t xml:space="preserve"> considered by</w:t>
      </w:r>
      <w:r w:rsidR="004B1B96" w:rsidRPr="00C35233">
        <w:t xml:space="preserve"> the</w:t>
      </w:r>
      <w:r w:rsidRPr="00C35233">
        <w:t xml:space="preserve"> DUSC</w:t>
      </w:r>
      <w:r w:rsidRPr="00B95D3E">
        <w:rPr>
          <w:color w:val="0070C0"/>
        </w:rPr>
        <w:t xml:space="preserve">. </w:t>
      </w:r>
      <w:r w:rsidR="00295455" w:rsidRPr="00B95D3E">
        <w:rPr>
          <w:color w:val="0070C0"/>
        </w:rPr>
        <w:t xml:space="preserve"> </w:t>
      </w:r>
      <w:r w:rsidR="00ED1904" w:rsidRPr="00C35233">
        <w:t>T</w:t>
      </w:r>
      <w:r w:rsidR="00A722A0" w:rsidRPr="00B95D3E">
        <w:rPr>
          <w:snapToGrid/>
          <w:color w:val="000000"/>
          <w:szCs w:val="22"/>
          <w:lang w:eastAsia="en-AU"/>
        </w:rPr>
        <w:t xml:space="preserve">he main issues </w:t>
      </w:r>
      <w:r w:rsidR="004B1B96" w:rsidRPr="00B95D3E">
        <w:rPr>
          <w:snapToGrid/>
          <w:color w:val="000000"/>
          <w:szCs w:val="22"/>
          <w:lang w:eastAsia="en-AU"/>
        </w:rPr>
        <w:t xml:space="preserve">noted </w:t>
      </w:r>
      <w:r w:rsidR="00A722A0" w:rsidRPr="00B95D3E">
        <w:rPr>
          <w:snapToGrid/>
          <w:color w:val="000000"/>
          <w:szCs w:val="22"/>
          <w:lang w:eastAsia="en-AU"/>
        </w:rPr>
        <w:t>by DUSC include the following:</w:t>
      </w:r>
      <w:r w:rsidR="00A722A0" w:rsidRPr="00C35233">
        <w:t xml:space="preserve"> </w:t>
      </w:r>
    </w:p>
    <w:p w:rsidR="00A722A0" w:rsidRPr="00C35233" w:rsidRDefault="00A722A0" w:rsidP="00A722A0">
      <w:pPr>
        <w:pStyle w:val="Header"/>
        <w:numPr>
          <w:ilvl w:val="0"/>
          <w:numId w:val="22"/>
        </w:numPr>
        <w:spacing w:after="120"/>
        <w:rPr>
          <w:szCs w:val="22"/>
        </w:rPr>
      </w:pPr>
      <w:r w:rsidRPr="00C35233">
        <w:rPr>
          <w:szCs w:val="22"/>
        </w:rPr>
        <w:t xml:space="preserve">The base case estimates assume that use of enzalutamide will be entirely offset by a reduction in the use of </w:t>
      </w:r>
      <w:proofErr w:type="spellStart"/>
      <w:r w:rsidRPr="00C35233">
        <w:rPr>
          <w:szCs w:val="22"/>
        </w:rPr>
        <w:t>abiraterone</w:t>
      </w:r>
      <w:proofErr w:type="spellEnd"/>
      <w:r w:rsidRPr="00C35233">
        <w:rPr>
          <w:szCs w:val="22"/>
        </w:rPr>
        <w:t xml:space="preserve"> and </w:t>
      </w:r>
      <w:proofErr w:type="spellStart"/>
      <w:r w:rsidRPr="00C35233">
        <w:rPr>
          <w:szCs w:val="22"/>
        </w:rPr>
        <w:t>cabazitaxel</w:t>
      </w:r>
      <w:proofErr w:type="spellEnd"/>
      <w:r w:rsidRPr="00C35233">
        <w:rPr>
          <w:szCs w:val="22"/>
        </w:rPr>
        <w:t>. This may underestimate the financial implications to the government upon listing enzalutamide due to:</w:t>
      </w:r>
    </w:p>
    <w:p w:rsidR="00A722A0" w:rsidRPr="00C35233" w:rsidRDefault="00A722A0" w:rsidP="00A722A0">
      <w:pPr>
        <w:pStyle w:val="Header"/>
        <w:numPr>
          <w:ilvl w:val="0"/>
          <w:numId w:val="9"/>
        </w:numPr>
        <w:spacing w:after="120"/>
        <w:rPr>
          <w:szCs w:val="22"/>
        </w:rPr>
      </w:pPr>
      <w:r w:rsidRPr="00C35233">
        <w:rPr>
          <w:szCs w:val="22"/>
        </w:rPr>
        <w:t xml:space="preserve">The potential for enzalutamide to be used subsequent to, rather than only as a substitute for </w:t>
      </w:r>
      <w:proofErr w:type="spellStart"/>
      <w:r w:rsidRPr="00C35233">
        <w:rPr>
          <w:szCs w:val="22"/>
        </w:rPr>
        <w:t>abiraterone</w:t>
      </w:r>
      <w:proofErr w:type="spellEnd"/>
      <w:r w:rsidRPr="00C35233">
        <w:rPr>
          <w:szCs w:val="22"/>
        </w:rPr>
        <w:t xml:space="preserve"> (and </w:t>
      </w:r>
      <w:proofErr w:type="spellStart"/>
      <w:r w:rsidRPr="00C35233">
        <w:rPr>
          <w:szCs w:val="22"/>
        </w:rPr>
        <w:t>cabazitaxel</w:t>
      </w:r>
      <w:proofErr w:type="spellEnd"/>
      <w:r w:rsidRPr="00C35233">
        <w:rPr>
          <w:szCs w:val="22"/>
        </w:rPr>
        <w:t>) (i.e. an increased market in the post-</w:t>
      </w:r>
      <w:proofErr w:type="spellStart"/>
      <w:r w:rsidRPr="00C35233">
        <w:rPr>
          <w:szCs w:val="22"/>
        </w:rPr>
        <w:t>docetaxel</w:t>
      </w:r>
      <w:proofErr w:type="spellEnd"/>
      <w:r w:rsidRPr="00C35233">
        <w:rPr>
          <w:szCs w:val="22"/>
        </w:rPr>
        <w:t xml:space="preserve"> setting);</w:t>
      </w:r>
    </w:p>
    <w:p w:rsidR="00A722A0" w:rsidRPr="00C35233" w:rsidRDefault="00A722A0" w:rsidP="00A722A0">
      <w:pPr>
        <w:pStyle w:val="Header"/>
        <w:numPr>
          <w:ilvl w:val="0"/>
          <w:numId w:val="9"/>
        </w:numPr>
        <w:spacing w:after="120"/>
        <w:rPr>
          <w:szCs w:val="22"/>
        </w:rPr>
      </w:pPr>
      <w:r w:rsidRPr="00C35233">
        <w:rPr>
          <w:szCs w:val="22"/>
        </w:rPr>
        <w:t xml:space="preserve">The potential for concomitant use of enzalutamide and abiraterone, rather than only as a substitute for </w:t>
      </w:r>
      <w:proofErr w:type="spellStart"/>
      <w:r w:rsidRPr="00C35233">
        <w:rPr>
          <w:szCs w:val="22"/>
        </w:rPr>
        <w:t>abiraterone</w:t>
      </w:r>
      <w:proofErr w:type="spellEnd"/>
      <w:r w:rsidRPr="00C35233">
        <w:rPr>
          <w:szCs w:val="22"/>
        </w:rPr>
        <w:t>, (</w:t>
      </w:r>
      <w:proofErr w:type="spellStart"/>
      <w:r w:rsidRPr="00C35233">
        <w:rPr>
          <w:szCs w:val="22"/>
        </w:rPr>
        <w:t>nb</w:t>
      </w:r>
      <w:proofErr w:type="spellEnd"/>
      <w:r w:rsidRPr="00C35233">
        <w:rPr>
          <w:szCs w:val="22"/>
        </w:rPr>
        <w:t>: currently possible under the proposed restriction);</w:t>
      </w:r>
    </w:p>
    <w:p w:rsidR="00A722A0" w:rsidRPr="00C35233" w:rsidRDefault="00A722A0" w:rsidP="00A722A0">
      <w:pPr>
        <w:pStyle w:val="Header"/>
        <w:numPr>
          <w:ilvl w:val="0"/>
          <w:numId w:val="9"/>
        </w:numPr>
        <w:spacing w:after="120"/>
        <w:rPr>
          <w:szCs w:val="22"/>
        </w:rPr>
      </w:pPr>
      <w:r w:rsidRPr="00C35233">
        <w:rPr>
          <w:szCs w:val="22"/>
        </w:rPr>
        <w:t xml:space="preserve">The extent of the population with an “unmet clinical need”, i.e. those unable to take </w:t>
      </w:r>
      <w:proofErr w:type="spellStart"/>
      <w:r w:rsidRPr="00C35233">
        <w:rPr>
          <w:szCs w:val="22"/>
        </w:rPr>
        <w:t>abiraterone</w:t>
      </w:r>
      <w:proofErr w:type="spellEnd"/>
      <w:r w:rsidRPr="00C35233">
        <w:rPr>
          <w:szCs w:val="22"/>
        </w:rPr>
        <w:t xml:space="preserve"> or </w:t>
      </w:r>
      <w:proofErr w:type="spellStart"/>
      <w:r w:rsidRPr="00C35233">
        <w:rPr>
          <w:szCs w:val="22"/>
        </w:rPr>
        <w:t>cabazitaxel</w:t>
      </w:r>
      <w:proofErr w:type="spellEnd"/>
      <w:r w:rsidRPr="00C35233">
        <w:rPr>
          <w:szCs w:val="22"/>
        </w:rPr>
        <w:t xml:space="preserve"> or prednisone/prednisolone (which is required for treatment with </w:t>
      </w:r>
      <w:proofErr w:type="spellStart"/>
      <w:r w:rsidRPr="00C35233">
        <w:rPr>
          <w:szCs w:val="22"/>
        </w:rPr>
        <w:t>abiraterone</w:t>
      </w:r>
      <w:proofErr w:type="spellEnd"/>
      <w:r w:rsidRPr="00C35233">
        <w:rPr>
          <w:szCs w:val="22"/>
        </w:rPr>
        <w:t xml:space="preserve"> or </w:t>
      </w:r>
      <w:proofErr w:type="spellStart"/>
      <w:r w:rsidRPr="00C35233">
        <w:rPr>
          <w:szCs w:val="22"/>
        </w:rPr>
        <w:t>cabazitaxel</w:t>
      </w:r>
      <w:proofErr w:type="spellEnd"/>
      <w:r w:rsidRPr="00C35233">
        <w:rPr>
          <w:szCs w:val="22"/>
        </w:rPr>
        <w:t xml:space="preserve">). This has been </w:t>
      </w:r>
      <w:r w:rsidR="00E438DB" w:rsidRPr="00C35233">
        <w:rPr>
          <w:szCs w:val="22"/>
        </w:rPr>
        <w:t xml:space="preserve">neither </w:t>
      </w:r>
      <w:r w:rsidRPr="00C35233">
        <w:rPr>
          <w:szCs w:val="22"/>
        </w:rPr>
        <w:t xml:space="preserve">quantified nor accounted for in the current estimates. </w:t>
      </w:r>
    </w:p>
    <w:p w:rsidR="00A722A0" w:rsidRPr="00C35233" w:rsidRDefault="00A722A0" w:rsidP="00A722A0">
      <w:pPr>
        <w:pStyle w:val="Header"/>
        <w:numPr>
          <w:ilvl w:val="0"/>
          <w:numId w:val="22"/>
        </w:numPr>
        <w:spacing w:after="120"/>
        <w:rPr>
          <w:szCs w:val="22"/>
        </w:rPr>
      </w:pPr>
      <w:r w:rsidRPr="00C35233">
        <w:rPr>
          <w:szCs w:val="22"/>
        </w:rPr>
        <w:t>Using an epidemiological approach, the prevalent patient population has been estimated from the modelled incidence rate (derived from answers provided in a commissioned survey) and using a mortality rate that may or may not be relevant to the Australian context nor accounts for factors that may drive prevalence (e.g. age, improved diagnosis, effective therapies). This may over or underestimate the potential number of patients eligible for treatment.</w:t>
      </w:r>
    </w:p>
    <w:p w:rsidR="00A722A0" w:rsidRDefault="00A722A0" w:rsidP="005365E5">
      <w:pPr>
        <w:pStyle w:val="Header"/>
        <w:numPr>
          <w:ilvl w:val="0"/>
          <w:numId w:val="22"/>
        </w:numPr>
        <w:spacing w:after="120"/>
        <w:rPr>
          <w:szCs w:val="22"/>
        </w:rPr>
      </w:pPr>
      <w:r w:rsidRPr="00C35233">
        <w:rPr>
          <w:szCs w:val="22"/>
        </w:rPr>
        <w:t>The potential for use beyond the restriction: (</w:t>
      </w:r>
      <w:proofErr w:type="spellStart"/>
      <w:r w:rsidRPr="00C35233">
        <w:rPr>
          <w:szCs w:val="22"/>
        </w:rPr>
        <w:t>i</w:t>
      </w:r>
      <w:proofErr w:type="spellEnd"/>
      <w:r w:rsidRPr="00C35233">
        <w:rPr>
          <w:szCs w:val="22"/>
        </w:rPr>
        <w:t>) use in ‘sicker’ patients (i.e. WHO &gt;2); (ii) use beyond disease progression; and (iii) use in earlier stages of disease (i.e. replacing other anti-androgens) and in light of the Phase 3 PREVAIL study.</w:t>
      </w:r>
    </w:p>
    <w:p w:rsidR="00B95D3E" w:rsidRPr="00C35233" w:rsidRDefault="00B95D3E" w:rsidP="00B95D3E">
      <w:pPr>
        <w:pStyle w:val="Header"/>
        <w:spacing w:after="120"/>
        <w:rPr>
          <w:szCs w:val="22"/>
        </w:rPr>
      </w:pPr>
    </w:p>
    <w:p w:rsidR="00A722A0" w:rsidRPr="00B95D3E" w:rsidRDefault="00A722A0" w:rsidP="00B95D3E">
      <w:pPr>
        <w:pStyle w:val="ListParagraph"/>
        <w:widowControl/>
        <w:numPr>
          <w:ilvl w:val="1"/>
          <w:numId w:val="2"/>
        </w:numPr>
        <w:rPr>
          <w:szCs w:val="22"/>
        </w:rPr>
      </w:pPr>
      <w:r w:rsidRPr="00B95D3E">
        <w:rPr>
          <w:snapToGrid/>
          <w:color w:val="000000"/>
          <w:szCs w:val="22"/>
          <w:lang w:eastAsia="en-AU"/>
        </w:rPr>
        <w:t>The estimated PBS usage and financial implications are presented in the table below.</w:t>
      </w:r>
    </w:p>
    <w:p w:rsidR="00A722A0" w:rsidRPr="00FA313A" w:rsidDel="00DB57CE" w:rsidRDefault="00A722A0" w:rsidP="005E3A71">
      <w:pPr>
        <w:widowControl/>
        <w:ind w:firstLine="709"/>
        <w:contextualSpacing/>
        <w:jc w:val="left"/>
        <w:rPr>
          <w:rFonts w:ascii="Arial Narrow" w:hAnsi="Arial Narrow"/>
          <w:b/>
          <w:iCs/>
          <w:sz w:val="20"/>
        </w:rPr>
      </w:pPr>
      <w:r w:rsidRPr="00FA313A">
        <w:rPr>
          <w:rFonts w:ascii="Arial Narrow" w:hAnsi="Arial Narrow"/>
          <w:b/>
          <w:iCs/>
          <w:sz w:val="20"/>
        </w:rPr>
        <w:t>Estimated use and financial implications</w:t>
      </w:r>
      <w:r w:rsidR="004D6418" w:rsidRPr="00FA313A">
        <w:rPr>
          <w:rFonts w:ascii="Arial Narrow" w:hAnsi="Arial Narrow"/>
          <w:b/>
          <w:iCs/>
          <w:sz w:val="20"/>
        </w:rPr>
        <w:t xml:space="preserve"> </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stimated use and financial implications"/>
      </w:tblPr>
      <w:tblGrid>
        <w:gridCol w:w="1642"/>
        <w:gridCol w:w="1328"/>
        <w:gridCol w:w="1328"/>
        <w:gridCol w:w="1328"/>
        <w:gridCol w:w="1328"/>
        <w:gridCol w:w="1408"/>
      </w:tblGrid>
      <w:tr w:rsidR="00A722A0" w:rsidRPr="000323EF" w:rsidTr="00B95D3E">
        <w:trPr>
          <w:trHeight w:val="324"/>
        </w:trPr>
        <w:tc>
          <w:tcPr>
            <w:tcW w:w="982" w:type="pct"/>
            <w:shd w:val="clear" w:color="auto" w:fill="auto"/>
            <w:vAlign w:val="center"/>
            <w:hideMark/>
          </w:tcPr>
          <w:p w:rsidR="00A722A0" w:rsidRPr="00FA313A" w:rsidRDefault="00A722A0" w:rsidP="001339D7">
            <w:pPr>
              <w:widowControl/>
              <w:rPr>
                <w:rFonts w:ascii="Arial Narrow" w:hAnsi="Arial Narrow"/>
                <w:snapToGrid/>
                <w:color w:val="000000"/>
                <w:sz w:val="20"/>
                <w:lang w:eastAsia="en-AU"/>
              </w:rPr>
            </w:pPr>
            <w:r w:rsidRPr="00FA313A">
              <w:rPr>
                <w:rFonts w:ascii="Arial Narrow" w:hAnsi="Arial Narrow"/>
                <w:snapToGrid/>
                <w:color w:val="000000"/>
                <w:sz w:val="20"/>
                <w:lang w:eastAsia="en-AU"/>
              </w:rPr>
              <w:t> </w:t>
            </w:r>
          </w:p>
        </w:tc>
        <w:tc>
          <w:tcPr>
            <w:tcW w:w="794" w:type="pct"/>
            <w:shd w:val="clear" w:color="auto" w:fill="auto"/>
            <w:vAlign w:val="center"/>
            <w:hideMark/>
          </w:tcPr>
          <w:p w:rsidR="00A722A0" w:rsidRPr="00FA313A" w:rsidRDefault="00A722A0" w:rsidP="001339D7">
            <w:pPr>
              <w:widowControl/>
              <w:jc w:val="center"/>
              <w:rPr>
                <w:rFonts w:ascii="Arial Narrow" w:hAnsi="Arial Narrow"/>
                <w:b/>
                <w:bCs/>
                <w:snapToGrid/>
                <w:color w:val="000000"/>
                <w:sz w:val="20"/>
                <w:lang w:eastAsia="en-AU"/>
              </w:rPr>
            </w:pPr>
            <w:r w:rsidRPr="00FA313A">
              <w:rPr>
                <w:rFonts w:ascii="Arial Narrow" w:hAnsi="Arial Narrow"/>
                <w:b/>
                <w:bCs/>
                <w:snapToGrid/>
                <w:color w:val="000000"/>
                <w:sz w:val="20"/>
                <w:lang w:eastAsia="en-AU"/>
              </w:rPr>
              <w:t>2015</w:t>
            </w:r>
          </w:p>
        </w:tc>
        <w:tc>
          <w:tcPr>
            <w:tcW w:w="794" w:type="pct"/>
            <w:shd w:val="clear" w:color="auto" w:fill="auto"/>
            <w:vAlign w:val="center"/>
            <w:hideMark/>
          </w:tcPr>
          <w:p w:rsidR="00A722A0" w:rsidRPr="00FA313A" w:rsidRDefault="00A722A0" w:rsidP="001339D7">
            <w:pPr>
              <w:widowControl/>
              <w:jc w:val="center"/>
              <w:rPr>
                <w:rFonts w:ascii="Arial Narrow" w:hAnsi="Arial Narrow"/>
                <w:b/>
                <w:bCs/>
                <w:snapToGrid/>
                <w:color w:val="000000"/>
                <w:sz w:val="20"/>
                <w:lang w:eastAsia="en-AU"/>
              </w:rPr>
            </w:pPr>
            <w:r w:rsidRPr="00FA313A">
              <w:rPr>
                <w:rFonts w:ascii="Arial Narrow" w:hAnsi="Arial Narrow"/>
                <w:b/>
                <w:bCs/>
                <w:snapToGrid/>
                <w:color w:val="000000"/>
                <w:sz w:val="20"/>
                <w:lang w:eastAsia="en-AU"/>
              </w:rPr>
              <w:t>2016</w:t>
            </w:r>
          </w:p>
        </w:tc>
        <w:tc>
          <w:tcPr>
            <w:tcW w:w="794" w:type="pct"/>
            <w:shd w:val="clear" w:color="auto" w:fill="auto"/>
            <w:vAlign w:val="center"/>
            <w:hideMark/>
          </w:tcPr>
          <w:p w:rsidR="00A722A0" w:rsidRPr="00FA313A" w:rsidRDefault="00A722A0" w:rsidP="001339D7">
            <w:pPr>
              <w:widowControl/>
              <w:jc w:val="center"/>
              <w:rPr>
                <w:rFonts w:ascii="Arial Narrow" w:hAnsi="Arial Narrow"/>
                <w:b/>
                <w:bCs/>
                <w:snapToGrid/>
                <w:color w:val="000000"/>
                <w:sz w:val="20"/>
                <w:lang w:eastAsia="en-AU"/>
              </w:rPr>
            </w:pPr>
            <w:r w:rsidRPr="00FA313A">
              <w:rPr>
                <w:rFonts w:ascii="Arial Narrow" w:hAnsi="Arial Narrow"/>
                <w:b/>
                <w:bCs/>
                <w:snapToGrid/>
                <w:color w:val="000000"/>
                <w:sz w:val="20"/>
                <w:lang w:eastAsia="en-AU"/>
              </w:rPr>
              <w:t>2017</w:t>
            </w:r>
          </w:p>
        </w:tc>
        <w:tc>
          <w:tcPr>
            <w:tcW w:w="794" w:type="pct"/>
            <w:shd w:val="clear" w:color="auto" w:fill="auto"/>
            <w:vAlign w:val="center"/>
            <w:hideMark/>
          </w:tcPr>
          <w:p w:rsidR="00A722A0" w:rsidRPr="00FA313A" w:rsidRDefault="00A722A0" w:rsidP="001339D7">
            <w:pPr>
              <w:widowControl/>
              <w:jc w:val="center"/>
              <w:rPr>
                <w:rFonts w:ascii="Arial Narrow" w:hAnsi="Arial Narrow"/>
                <w:b/>
                <w:bCs/>
                <w:snapToGrid/>
                <w:color w:val="000000"/>
                <w:sz w:val="20"/>
                <w:lang w:eastAsia="en-AU"/>
              </w:rPr>
            </w:pPr>
            <w:r w:rsidRPr="00FA313A">
              <w:rPr>
                <w:rFonts w:ascii="Arial Narrow" w:hAnsi="Arial Narrow"/>
                <w:b/>
                <w:bCs/>
                <w:snapToGrid/>
                <w:color w:val="000000"/>
                <w:sz w:val="20"/>
                <w:lang w:eastAsia="en-AU"/>
              </w:rPr>
              <w:t>2018</w:t>
            </w:r>
          </w:p>
        </w:tc>
        <w:tc>
          <w:tcPr>
            <w:tcW w:w="842" w:type="pct"/>
            <w:shd w:val="clear" w:color="auto" w:fill="auto"/>
            <w:vAlign w:val="center"/>
            <w:hideMark/>
          </w:tcPr>
          <w:p w:rsidR="00A722A0" w:rsidRPr="00FA313A" w:rsidRDefault="00A722A0" w:rsidP="001339D7">
            <w:pPr>
              <w:widowControl/>
              <w:jc w:val="center"/>
              <w:rPr>
                <w:rFonts w:ascii="Arial Narrow" w:hAnsi="Arial Narrow"/>
                <w:b/>
                <w:bCs/>
                <w:snapToGrid/>
                <w:color w:val="000000"/>
                <w:sz w:val="20"/>
                <w:lang w:eastAsia="en-AU"/>
              </w:rPr>
            </w:pPr>
            <w:r w:rsidRPr="00FA313A">
              <w:rPr>
                <w:rFonts w:ascii="Arial Narrow" w:hAnsi="Arial Narrow"/>
                <w:b/>
                <w:bCs/>
                <w:snapToGrid/>
                <w:color w:val="000000"/>
                <w:sz w:val="20"/>
                <w:lang w:eastAsia="en-AU"/>
              </w:rPr>
              <w:t>2019</w:t>
            </w:r>
          </w:p>
        </w:tc>
      </w:tr>
      <w:tr w:rsidR="00A722A0" w:rsidRPr="000323EF" w:rsidTr="00B95D3E">
        <w:trPr>
          <w:trHeight w:val="324"/>
        </w:trPr>
        <w:tc>
          <w:tcPr>
            <w:tcW w:w="5000" w:type="pct"/>
            <w:gridSpan w:val="6"/>
            <w:shd w:val="clear" w:color="auto" w:fill="auto"/>
            <w:vAlign w:val="center"/>
            <w:hideMark/>
          </w:tcPr>
          <w:p w:rsidR="00A722A0" w:rsidRPr="00FA313A" w:rsidRDefault="00A722A0" w:rsidP="001339D7">
            <w:pPr>
              <w:widowControl/>
              <w:rPr>
                <w:rFonts w:ascii="Arial Narrow" w:hAnsi="Arial Narrow"/>
                <w:b/>
                <w:bCs/>
                <w:snapToGrid/>
                <w:color w:val="000000"/>
                <w:sz w:val="20"/>
                <w:lang w:eastAsia="en-AU"/>
              </w:rPr>
            </w:pPr>
            <w:r w:rsidRPr="00FA313A">
              <w:rPr>
                <w:rFonts w:ascii="Arial Narrow" w:hAnsi="Arial Narrow"/>
                <w:b/>
                <w:bCs/>
                <w:snapToGrid/>
                <w:color w:val="000000"/>
                <w:sz w:val="20"/>
                <w:lang w:eastAsia="en-AU"/>
              </w:rPr>
              <w:t>Estimation of use and costs of the proposed drug</w:t>
            </w:r>
          </w:p>
        </w:tc>
      </w:tr>
      <w:tr w:rsidR="00A722A0" w:rsidRPr="000323EF" w:rsidTr="00B95D3E">
        <w:trPr>
          <w:trHeight w:val="310"/>
        </w:trPr>
        <w:tc>
          <w:tcPr>
            <w:tcW w:w="982" w:type="pct"/>
            <w:shd w:val="clear" w:color="auto" w:fill="auto"/>
            <w:vAlign w:val="center"/>
            <w:hideMark/>
          </w:tcPr>
          <w:p w:rsidR="00A722A0" w:rsidRPr="00FA313A" w:rsidRDefault="00A722A0" w:rsidP="001339D7">
            <w:pPr>
              <w:widowControl/>
              <w:rPr>
                <w:rFonts w:ascii="Arial Narrow" w:hAnsi="Arial Narrow"/>
                <w:snapToGrid/>
                <w:color w:val="000000"/>
                <w:sz w:val="20"/>
                <w:lang w:eastAsia="en-AU"/>
              </w:rPr>
            </w:pPr>
            <w:r w:rsidRPr="00FA313A">
              <w:rPr>
                <w:rFonts w:ascii="Arial Narrow" w:hAnsi="Arial Narrow"/>
                <w:snapToGrid/>
                <w:color w:val="000000"/>
                <w:sz w:val="20"/>
                <w:lang w:eastAsia="en-AU"/>
              </w:rPr>
              <w:t>Eligible patients</w:t>
            </w:r>
          </w:p>
        </w:tc>
        <w:tc>
          <w:tcPr>
            <w:tcW w:w="794" w:type="pct"/>
            <w:shd w:val="clear" w:color="auto" w:fill="auto"/>
            <w:vAlign w:val="center"/>
            <w:hideMark/>
          </w:tcPr>
          <w:p w:rsidR="00A722A0" w:rsidRPr="00FA313A" w:rsidRDefault="00A722A0" w:rsidP="001339D7">
            <w:pPr>
              <w:widowControl/>
              <w:jc w:val="center"/>
              <w:rPr>
                <w:rFonts w:ascii="Arial Narrow" w:hAnsi="Arial Narrow"/>
                <w:snapToGrid/>
                <w:color w:val="000000"/>
                <w:sz w:val="20"/>
                <w:lang w:eastAsia="en-AU"/>
              </w:rPr>
            </w:pPr>
            <w:r w:rsidRPr="00FA313A">
              <w:rPr>
                <w:rFonts w:ascii="Arial Narrow" w:hAnsi="Arial Narrow"/>
                <w:snapToGrid/>
                <w:color w:val="000000"/>
                <w:sz w:val="20"/>
                <w:lang w:eastAsia="en-AU"/>
              </w:rPr>
              <w:t>2,432</w:t>
            </w:r>
          </w:p>
        </w:tc>
        <w:tc>
          <w:tcPr>
            <w:tcW w:w="794" w:type="pct"/>
            <w:shd w:val="clear" w:color="auto" w:fill="auto"/>
            <w:vAlign w:val="center"/>
            <w:hideMark/>
          </w:tcPr>
          <w:p w:rsidR="00A722A0" w:rsidRPr="00FA313A" w:rsidRDefault="00A722A0" w:rsidP="001339D7">
            <w:pPr>
              <w:widowControl/>
              <w:jc w:val="center"/>
              <w:rPr>
                <w:rFonts w:ascii="Arial Narrow" w:hAnsi="Arial Narrow"/>
                <w:snapToGrid/>
                <w:color w:val="000000"/>
                <w:sz w:val="20"/>
                <w:lang w:eastAsia="en-AU"/>
              </w:rPr>
            </w:pPr>
            <w:r w:rsidRPr="00FA313A">
              <w:rPr>
                <w:rFonts w:ascii="Arial Narrow" w:hAnsi="Arial Narrow"/>
                <w:snapToGrid/>
                <w:color w:val="000000"/>
                <w:sz w:val="20"/>
                <w:lang w:eastAsia="en-AU"/>
              </w:rPr>
              <w:t>2,541</w:t>
            </w:r>
          </w:p>
        </w:tc>
        <w:tc>
          <w:tcPr>
            <w:tcW w:w="794" w:type="pct"/>
            <w:shd w:val="clear" w:color="auto" w:fill="auto"/>
            <w:vAlign w:val="center"/>
            <w:hideMark/>
          </w:tcPr>
          <w:p w:rsidR="00A722A0" w:rsidRPr="00FA313A" w:rsidRDefault="00A722A0" w:rsidP="001339D7">
            <w:pPr>
              <w:widowControl/>
              <w:jc w:val="center"/>
              <w:rPr>
                <w:rFonts w:ascii="Arial Narrow" w:hAnsi="Arial Narrow"/>
                <w:snapToGrid/>
                <w:color w:val="000000"/>
                <w:sz w:val="20"/>
                <w:lang w:eastAsia="en-AU"/>
              </w:rPr>
            </w:pPr>
            <w:r w:rsidRPr="00FA313A">
              <w:rPr>
                <w:rFonts w:ascii="Arial Narrow" w:hAnsi="Arial Narrow"/>
                <w:snapToGrid/>
                <w:color w:val="000000"/>
                <w:sz w:val="20"/>
                <w:lang w:eastAsia="en-AU"/>
              </w:rPr>
              <w:t>2,645</w:t>
            </w:r>
          </w:p>
        </w:tc>
        <w:tc>
          <w:tcPr>
            <w:tcW w:w="794" w:type="pct"/>
            <w:shd w:val="clear" w:color="auto" w:fill="auto"/>
            <w:vAlign w:val="center"/>
            <w:hideMark/>
          </w:tcPr>
          <w:p w:rsidR="00A722A0" w:rsidRPr="00FA313A" w:rsidRDefault="00A722A0" w:rsidP="001339D7">
            <w:pPr>
              <w:widowControl/>
              <w:jc w:val="center"/>
              <w:rPr>
                <w:rFonts w:ascii="Arial Narrow" w:hAnsi="Arial Narrow"/>
                <w:snapToGrid/>
                <w:color w:val="000000"/>
                <w:sz w:val="20"/>
                <w:lang w:eastAsia="en-AU"/>
              </w:rPr>
            </w:pPr>
            <w:r w:rsidRPr="00FA313A">
              <w:rPr>
                <w:rFonts w:ascii="Arial Narrow" w:hAnsi="Arial Narrow"/>
                <w:snapToGrid/>
                <w:color w:val="000000"/>
                <w:sz w:val="20"/>
                <w:lang w:eastAsia="en-AU"/>
              </w:rPr>
              <w:t>2,752</w:t>
            </w:r>
          </w:p>
        </w:tc>
        <w:tc>
          <w:tcPr>
            <w:tcW w:w="842" w:type="pct"/>
            <w:shd w:val="clear" w:color="auto" w:fill="auto"/>
            <w:vAlign w:val="center"/>
            <w:hideMark/>
          </w:tcPr>
          <w:p w:rsidR="00A722A0" w:rsidRPr="00FA313A" w:rsidRDefault="00A722A0" w:rsidP="001339D7">
            <w:pPr>
              <w:widowControl/>
              <w:jc w:val="center"/>
              <w:rPr>
                <w:rFonts w:ascii="Arial Narrow" w:hAnsi="Arial Narrow"/>
                <w:snapToGrid/>
                <w:color w:val="000000"/>
                <w:sz w:val="20"/>
                <w:lang w:eastAsia="en-AU"/>
              </w:rPr>
            </w:pPr>
            <w:r w:rsidRPr="00FA313A">
              <w:rPr>
                <w:rFonts w:ascii="Arial Narrow" w:hAnsi="Arial Narrow"/>
                <w:snapToGrid/>
                <w:color w:val="000000"/>
                <w:sz w:val="20"/>
                <w:lang w:eastAsia="en-AU"/>
              </w:rPr>
              <w:t>2,864</w:t>
            </w:r>
          </w:p>
        </w:tc>
      </w:tr>
      <w:tr w:rsidR="00A722A0" w:rsidRPr="000323EF" w:rsidTr="00B95D3E">
        <w:trPr>
          <w:trHeight w:val="324"/>
        </w:trPr>
        <w:tc>
          <w:tcPr>
            <w:tcW w:w="982" w:type="pct"/>
            <w:shd w:val="clear" w:color="auto" w:fill="auto"/>
            <w:vAlign w:val="center"/>
            <w:hideMark/>
          </w:tcPr>
          <w:p w:rsidR="00A722A0" w:rsidRPr="00E73118" w:rsidRDefault="00A722A0" w:rsidP="001339D7">
            <w:pPr>
              <w:widowControl/>
              <w:rPr>
                <w:rFonts w:ascii="Arial Narrow" w:hAnsi="Arial Narrow"/>
                <w:snapToGrid/>
                <w:color w:val="000000"/>
                <w:sz w:val="20"/>
                <w:lang w:eastAsia="en-AU"/>
              </w:rPr>
            </w:pPr>
            <w:r w:rsidRPr="00FA313A">
              <w:rPr>
                <w:rFonts w:ascii="Arial Narrow" w:hAnsi="Arial Narrow"/>
                <w:snapToGrid/>
                <w:color w:val="000000"/>
                <w:sz w:val="20"/>
                <w:lang w:eastAsia="en-AU"/>
              </w:rPr>
              <w:t>ENZ scripts</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842"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r>
      <w:tr w:rsidR="00A722A0" w:rsidRPr="000323EF" w:rsidTr="00B95D3E">
        <w:trPr>
          <w:trHeight w:val="539"/>
        </w:trPr>
        <w:tc>
          <w:tcPr>
            <w:tcW w:w="982" w:type="pct"/>
            <w:shd w:val="clear" w:color="auto" w:fill="auto"/>
            <w:vAlign w:val="center"/>
            <w:hideMark/>
          </w:tcPr>
          <w:p w:rsidR="00A722A0" w:rsidRPr="00E73118" w:rsidRDefault="00A722A0" w:rsidP="001339D7">
            <w:pPr>
              <w:widowControl/>
              <w:rPr>
                <w:rFonts w:ascii="Arial Narrow" w:hAnsi="Arial Narrow"/>
                <w:b/>
                <w:bCs/>
                <w:snapToGrid/>
                <w:color w:val="000000"/>
                <w:sz w:val="20"/>
                <w:lang w:eastAsia="en-AU"/>
              </w:rPr>
            </w:pPr>
            <w:r w:rsidRPr="00FA313A">
              <w:rPr>
                <w:rFonts w:ascii="Arial Narrow" w:hAnsi="Arial Narrow"/>
                <w:b/>
                <w:bCs/>
                <w:snapToGrid/>
                <w:color w:val="000000"/>
                <w:sz w:val="20"/>
                <w:lang w:eastAsia="en-AU"/>
              </w:rPr>
              <w:t xml:space="preserve">ENZ cost to PBS/RPBS (net </w:t>
            </w:r>
            <w:r w:rsidRPr="00FA313A">
              <w:rPr>
                <w:rFonts w:ascii="Arial Narrow" w:hAnsi="Arial Narrow"/>
                <w:b/>
                <w:bCs/>
                <w:snapToGrid/>
                <w:color w:val="000000"/>
                <w:sz w:val="20"/>
                <w:lang w:eastAsia="en-AU"/>
              </w:rPr>
              <w:lastRenderedPageBreak/>
              <w:t>co-payment)</w:t>
            </w:r>
          </w:p>
        </w:tc>
        <w:tc>
          <w:tcPr>
            <w:tcW w:w="794"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lastRenderedPageBreak/>
              <w:t>'''''''''''''''''''''''''</w:t>
            </w:r>
          </w:p>
        </w:tc>
        <w:tc>
          <w:tcPr>
            <w:tcW w:w="794"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4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r>
      <w:tr w:rsidR="00A722A0" w:rsidRPr="000323EF" w:rsidTr="00B95D3E">
        <w:trPr>
          <w:trHeight w:val="326"/>
        </w:trPr>
        <w:tc>
          <w:tcPr>
            <w:tcW w:w="5000" w:type="pct"/>
            <w:gridSpan w:val="6"/>
            <w:shd w:val="clear" w:color="auto" w:fill="auto"/>
            <w:vAlign w:val="center"/>
          </w:tcPr>
          <w:p w:rsidR="00A722A0" w:rsidRPr="00E73118" w:rsidRDefault="00A722A0" w:rsidP="001339D7">
            <w:pPr>
              <w:widowControl/>
              <w:jc w:val="left"/>
              <w:rPr>
                <w:rFonts w:ascii="Arial Narrow" w:hAnsi="Arial Narrow"/>
                <w:snapToGrid/>
                <w:color w:val="000000"/>
                <w:sz w:val="20"/>
                <w:lang w:eastAsia="en-AU"/>
              </w:rPr>
            </w:pPr>
            <w:r w:rsidRPr="00FA313A">
              <w:rPr>
                <w:rFonts w:ascii="Arial Narrow" w:hAnsi="Arial Narrow"/>
                <w:b/>
                <w:bCs/>
                <w:snapToGrid/>
                <w:color w:val="000000"/>
                <w:sz w:val="20"/>
                <w:lang w:eastAsia="en-AU"/>
              </w:rPr>
              <w:lastRenderedPageBreak/>
              <w:t>Estimation of changes in use and costs of other drugs</w:t>
            </w:r>
          </w:p>
        </w:tc>
      </w:tr>
      <w:tr w:rsidR="00A722A0" w:rsidRPr="000323EF" w:rsidTr="00B95D3E">
        <w:trPr>
          <w:trHeight w:val="613"/>
        </w:trPr>
        <w:tc>
          <w:tcPr>
            <w:tcW w:w="982" w:type="pct"/>
            <w:shd w:val="clear" w:color="auto" w:fill="auto"/>
            <w:vAlign w:val="center"/>
            <w:hideMark/>
          </w:tcPr>
          <w:p w:rsidR="00A722A0" w:rsidRPr="00E73118" w:rsidRDefault="00A722A0" w:rsidP="001339D7">
            <w:pPr>
              <w:widowControl/>
              <w:rPr>
                <w:rFonts w:ascii="Arial Narrow" w:hAnsi="Arial Narrow"/>
                <w:snapToGrid/>
                <w:color w:val="000000"/>
                <w:sz w:val="20"/>
                <w:lang w:eastAsia="en-AU"/>
              </w:rPr>
            </w:pPr>
            <w:r w:rsidRPr="00FA313A">
              <w:rPr>
                <w:rFonts w:ascii="Arial Narrow" w:hAnsi="Arial Narrow"/>
                <w:snapToGrid/>
                <w:color w:val="000000"/>
                <w:sz w:val="20"/>
                <w:lang w:eastAsia="en-AU"/>
              </w:rPr>
              <w:t>‘Current’ cost to PBS/RPBS (net co-payment)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842"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r>
      <w:tr w:rsidR="00A722A0" w:rsidRPr="000323EF" w:rsidTr="00B95D3E">
        <w:trPr>
          <w:trHeight w:val="555"/>
        </w:trPr>
        <w:tc>
          <w:tcPr>
            <w:tcW w:w="982" w:type="pct"/>
            <w:shd w:val="clear" w:color="auto" w:fill="auto"/>
            <w:vAlign w:val="center"/>
            <w:hideMark/>
          </w:tcPr>
          <w:p w:rsidR="00A722A0" w:rsidRPr="00E73118" w:rsidRDefault="00A722A0" w:rsidP="001339D7">
            <w:pPr>
              <w:widowControl/>
              <w:rPr>
                <w:rFonts w:ascii="Arial Narrow" w:hAnsi="Arial Narrow"/>
                <w:snapToGrid/>
                <w:color w:val="000000"/>
                <w:sz w:val="20"/>
                <w:lang w:eastAsia="en-AU"/>
              </w:rPr>
            </w:pPr>
            <w:r w:rsidRPr="00FA313A">
              <w:rPr>
                <w:rFonts w:ascii="Arial Narrow" w:hAnsi="Arial Narrow"/>
                <w:snapToGrid/>
                <w:color w:val="000000"/>
                <w:sz w:val="20"/>
                <w:lang w:eastAsia="en-AU"/>
              </w:rPr>
              <w:t>Change in ‘current’ cost to PBS/RPBS (net co-payment)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842" w:type="pct"/>
            <w:shd w:val="clear" w:color="auto" w:fill="auto"/>
            <w:vAlign w:val="center"/>
            <w:hideMark/>
          </w:tcPr>
          <w:p w:rsidR="00A722A0" w:rsidRPr="00E73118" w:rsidRDefault="00E73118" w:rsidP="001339D7">
            <w:pPr>
              <w:widowControl/>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r>
      <w:tr w:rsidR="00A722A0" w:rsidRPr="000323EF" w:rsidTr="00B95D3E">
        <w:trPr>
          <w:trHeight w:val="324"/>
        </w:trPr>
        <w:tc>
          <w:tcPr>
            <w:tcW w:w="982" w:type="pct"/>
            <w:shd w:val="clear" w:color="auto" w:fill="auto"/>
            <w:vAlign w:val="center"/>
            <w:hideMark/>
          </w:tcPr>
          <w:p w:rsidR="00A722A0" w:rsidRPr="00E73118" w:rsidRDefault="00A722A0" w:rsidP="001339D7">
            <w:pPr>
              <w:widowControl/>
              <w:rPr>
                <w:rFonts w:ascii="Arial Narrow" w:hAnsi="Arial Narrow"/>
                <w:b/>
                <w:bCs/>
                <w:snapToGrid/>
                <w:color w:val="000000"/>
                <w:sz w:val="20"/>
                <w:lang w:eastAsia="en-AU"/>
              </w:rPr>
            </w:pPr>
            <w:r w:rsidRPr="00FA313A">
              <w:rPr>
                <w:rFonts w:ascii="Arial Narrow" w:hAnsi="Arial Narrow"/>
                <w:b/>
                <w:bCs/>
                <w:snapToGrid/>
                <w:color w:val="000000"/>
                <w:sz w:val="20"/>
                <w:lang w:eastAsia="en-AU"/>
              </w:rPr>
              <w:t>Net Cost to PBS/RPBS</w:t>
            </w:r>
          </w:p>
        </w:tc>
        <w:tc>
          <w:tcPr>
            <w:tcW w:w="794"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794"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4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r>
    </w:tbl>
    <w:p w:rsidR="00F53992" w:rsidRPr="00E73118" w:rsidRDefault="00F53992"/>
    <w:tbl>
      <w:tblPr>
        <w:tblW w:w="451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339"/>
        <w:gridCol w:w="1339"/>
        <w:gridCol w:w="1339"/>
        <w:gridCol w:w="1339"/>
        <w:gridCol w:w="1338"/>
      </w:tblGrid>
      <w:tr w:rsidR="00A722A0" w:rsidRPr="000323EF" w:rsidTr="00B95D3E">
        <w:trPr>
          <w:trHeight w:val="315"/>
        </w:trPr>
        <w:tc>
          <w:tcPr>
            <w:tcW w:w="5000" w:type="pct"/>
            <w:gridSpan w:val="6"/>
            <w:shd w:val="clear" w:color="auto" w:fill="auto"/>
            <w:vAlign w:val="center"/>
            <w:hideMark/>
          </w:tcPr>
          <w:p w:rsidR="00A722A0" w:rsidRPr="00E73118" w:rsidRDefault="00A722A0" w:rsidP="001339D7">
            <w:pPr>
              <w:widowControl/>
              <w:rPr>
                <w:rFonts w:ascii="Arial Narrow" w:hAnsi="Arial Narrow"/>
                <w:b/>
                <w:bCs/>
                <w:snapToGrid/>
                <w:color w:val="000000"/>
                <w:sz w:val="20"/>
                <w:lang w:eastAsia="en-AU"/>
              </w:rPr>
            </w:pPr>
            <w:r w:rsidRPr="00FA313A">
              <w:rPr>
                <w:rFonts w:ascii="Arial Narrow" w:hAnsi="Arial Narrow"/>
                <w:b/>
                <w:bCs/>
                <w:snapToGrid/>
                <w:color w:val="000000"/>
                <w:sz w:val="20"/>
                <w:lang w:eastAsia="en-AU"/>
              </w:rPr>
              <w:t>Estimated financial implications for government health budgets</w:t>
            </w:r>
          </w:p>
        </w:tc>
      </w:tr>
      <w:tr w:rsidR="00A722A0" w:rsidRPr="000323EF" w:rsidTr="00B95D3E">
        <w:trPr>
          <w:trHeight w:val="315"/>
        </w:trPr>
        <w:tc>
          <w:tcPr>
            <w:tcW w:w="991" w:type="pct"/>
            <w:shd w:val="clear" w:color="auto" w:fill="auto"/>
            <w:vAlign w:val="center"/>
            <w:hideMark/>
          </w:tcPr>
          <w:p w:rsidR="00A722A0" w:rsidRPr="00E73118" w:rsidRDefault="00A722A0" w:rsidP="001339D7">
            <w:pPr>
              <w:widowControl/>
              <w:jc w:val="left"/>
              <w:rPr>
                <w:rFonts w:ascii="Arial Narrow" w:hAnsi="Arial Narrow"/>
                <w:b/>
                <w:bCs/>
                <w:snapToGrid/>
                <w:color w:val="000000"/>
                <w:sz w:val="20"/>
                <w:lang w:eastAsia="en-AU"/>
              </w:rPr>
            </w:pPr>
            <w:r w:rsidRPr="00FA313A">
              <w:rPr>
                <w:rFonts w:ascii="Arial Narrow" w:hAnsi="Arial Narrow"/>
                <w:b/>
                <w:bCs/>
                <w:snapToGrid/>
                <w:color w:val="000000"/>
                <w:sz w:val="20"/>
                <w:lang w:eastAsia="en-AU"/>
              </w:rPr>
              <w:t>Net cost to the MBS</w:t>
            </w:r>
          </w:p>
        </w:tc>
        <w:tc>
          <w:tcPr>
            <w:tcW w:w="80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0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0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0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01"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r>
      <w:tr w:rsidR="00A722A0" w:rsidRPr="000323EF" w:rsidTr="00B95D3E">
        <w:trPr>
          <w:trHeight w:val="315"/>
        </w:trPr>
        <w:tc>
          <w:tcPr>
            <w:tcW w:w="991" w:type="pct"/>
            <w:shd w:val="clear" w:color="auto" w:fill="auto"/>
            <w:vAlign w:val="center"/>
            <w:hideMark/>
          </w:tcPr>
          <w:p w:rsidR="00A722A0" w:rsidRPr="00E73118" w:rsidRDefault="00A722A0" w:rsidP="001339D7">
            <w:pPr>
              <w:widowControl/>
              <w:jc w:val="left"/>
              <w:rPr>
                <w:rFonts w:ascii="Arial Narrow" w:hAnsi="Arial Narrow"/>
                <w:b/>
                <w:bCs/>
                <w:snapToGrid/>
                <w:color w:val="000000"/>
                <w:sz w:val="20"/>
                <w:lang w:eastAsia="en-AU"/>
              </w:rPr>
            </w:pPr>
            <w:r w:rsidRPr="00FA313A">
              <w:rPr>
                <w:rFonts w:ascii="Arial Narrow" w:hAnsi="Arial Narrow"/>
                <w:b/>
                <w:bCs/>
                <w:snapToGrid/>
                <w:color w:val="000000"/>
                <w:sz w:val="20"/>
                <w:lang w:eastAsia="en-AU"/>
              </w:rPr>
              <w:t>Net cost to health budgets</w:t>
            </w:r>
          </w:p>
        </w:tc>
        <w:tc>
          <w:tcPr>
            <w:tcW w:w="80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0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0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02"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c>
          <w:tcPr>
            <w:tcW w:w="801" w:type="pct"/>
            <w:shd w:val="clear" w:color="auto" w:fill="auto"/>
            <w:vAlign w:val="center"/>
            <w:hideMark/>
          </w:tcPr>
          <w:p w:rsidR="00A722A0" w:rsidRPr="00E73118" w:rsidRDefault="00E73118" w:rsidP="001339D7">
            <w:pPr>
              <w:widowControl/>
              <w:jc w:val="center"/>
              <w:rPr>
                <w:rFonts w:ascii="Arial Narrow" w:hAnsi="Arial Narrow"/>
                <w:b/>
                <w:bCs/>
                <w:snapToGrid/>
                <w:color w:val="000000"/>
                <w:sz w:val="20"/>
                <w:highlight w:val="black"/>
                <w:lang w:eastAsia="en-AU"/>
              </w:rPr>
            </w:pPr>
            <w:r>
              <w:rPr>
                <w:rFonts w:ascii="Arial Narrow" w:hAnsi="Arial Narrow"/>
                <w:b/>
                <w:bCs/>
                <w:noProof/>
                <w:snapToGrid/>
                <w:color w:val="000000"/>
                <w:sz w:val="20"/>
                <w:highlight w:val="black"/>
                <w:lang w:eastAsia="en-AU"/>
              </w:rPr>
              <w:t>''''''''''''''''''''''''</w:t>
            </w:r>
          </w:p>
        </w:tc>
      </w:tr>
    </w:tbl>
    <w:p w:rsidR="00A722A0" w:rsidRPr="00C35233" w:rsidRDefault="00A722A0" w:rsidP="005E3A71">
      <w:pPr>
        <w:ind w:firstLine="709"/>
        <w:rPr>
          <w:rFonts w:ascii="Arial Narrow" w:hAnsi="Arial Narrow"/>
          <w:bCs/>
          <w:snapToGrid/>
          <w:color w:val="000000"/>
          <w:sz w:val="18"/>
          <w:lang w:eastAsia="en-AU"/>
        </w:rPr>
      </w:pPr>
      <w:r w:rsidRPr="00C35233">
        <w:rPr>
          <w:rFonts w:ascii="Arial Narrow" w:hAnsi="Arial Narrow"/>
          <w:bCs/>
          <w:snapToGrid/>
          <w:color w:val="000000"/>
          <w:sz w:val="18"/>
          <w:lang w:eastAsia="en-AU"/>
        </w:rPr>
        <w:t>Source: modified from pp43-44 of the commentary.</w:t>
      </w:r>
    </w:p>
    <w:p w:rsidR="004D6418" w:rsidRPr="00C35233" w:rsidRDefault="004D6418" w:rsidP="004A3027">
      <w:pPr>
        <w:rPr>
          <w:szCs w:val="22"/>
        </w:rPr>
      </w:pPr>
    </w:p>
    <w:p w:rsidR="004D6418" w:rsidRPr="00B95D3E" w:rsidRDefault="004D6418" w:rsidP="00B95D3E">
      <w:pPr>
        <w:pStyle w:val="ListParagraph"/>
        <w:widowControl/>
        <w:numPr>
          <w:ilvl w:val="1"/>
          <w:numId w:val="2"/>
        </w:numPr>
        <w:rPr>
          <w:szCs w:val="22"/>
        </w:rPr>
      </w:pPr>
      <w:r w:rsidRPr="00C35233">
        <w:t>T</w:t>
      </w:r>
      <w:r w:rsidR="00583B4F" w:rsidRPr="00C35233">
        <w:t>he Sponsor acknowledged</w:t>
      </w:r>
      <w:r w:rsidRPr="00C35233">
        <w:t xml:space="preserve"> enzalutamide would join the current risk-sharing     agreements with </w:t>
      </w:r>
      <w:proofErr w:type="spellStart"/>
      <w:r w:rsidRPr="00C35233">
        <w:t>abiraterone</w:t>
      </w:r>
      <w:proofErr w:type="spellEnd"/>
      <w:r w:rsidRPr="00C35233">
        <w:t xml:space="preserve"> and </w:t>
      </w:r>
      <w:proofErr w:type="spellStart"/>
      <w:r w:rsidRPr="00C35233">
        <w:t>cabazitaxel</w:t>
      </w:r>
      <w:proofErr w:type="spellEnd"/>
      <w:r w:rsidRPr="00C35233">
        <w:t xml:space="preserve">, but is concerned the current risk-share agreements may significantly underestimate the likely number of patients eligible for treatment.  </w:t>
      </w:r>
      <w:r w:rsidR="00583B4F" w:rsidRPr="00C35233">
        <w:t>The Sponsor therefore requested</w:t>
      </w:r>
      <w:r w:rsidRPr="00C35233">
        <w:t xml:space="preserve"> the PBAC and DUSC re-assess the likely patient population and the likely number of scripts these patients are expected to require.</w:t>
      </w:r>
    </w:p>
    <w:p w:rsidR="004D6418" w:rsidRPr="00C35233" w:rsidRDefault="004D6418" w:rsidP="004D6418">
      <w:pPr>
        <w:pStyle w:val="ListParagraph"/>
        <w:widowControl/>
        <w:ind w:left="709"/>
        <w:rPr>
          <w:szCs w:val="22"/>
        </w:rPr>
      </w:pPr>
    </w:p>
    <w:p w:rsidR="004D6418" w:rsidRPr="00B95D3E" w:rsidRDefault="004D6418" w:rsidP="00B95D3E">
      <w:pPr>
        <w:pStyle w:val="ListParagraph"/>
        <w:widowControl/>
        <w:numPr>
          <w:ilvl w:val="1"/>
          <w:numId w:val="2"/>
        </w:numPr>
        <w:rPr>
          <w:szCs w:val="22"/>
        </w:rPr>
      </w:pPr>
      <w:r w:rsidRPr="00C35233">
        <w:t>The submission state</w:t>
      </w:r>
      <w:r w:rsidR="00292DB2" w:rsidRPr="00C35233">
        <w:t>d</w:t>
      </w:r>
      <w:r w:rsidRPr="00C35233">
        <w:t xml:space="preserve"> (pF-5) that leakage of </w:t>
      </w:r>
      <w:proofErr w:type="spellStart"/>
      <w:r w:rsidRPr="00C35233">
        <w:t>enzalutamide</w:t>
      </w:r>
      <w:proofErr w:type="spellEnd"/>
      <w:r w:rsidRPr="00C35233">
        <w:t xml:space="preserve"> into the pre-</w:t>
      </w:r>
      <w:proofErr w:type="spellStart"/>
      <w:r w:rsidRPr="00C35233">
        <w:t>docetaxel</w:t>
      </w:r>
      <w:proofErr w:type="spellEnd"/>
      <w:r w:rsidRPr="00C35233">
        <w:t xml:space="preserve"> setting</w:t>
      </w:r>
      <w:r w:rsidR="00583B4F" w:rsidRPr="00C35233">
        <w:t xml:space="preserve"> is </w:t>
      </w:r>
      <w:proofErr w:type="gramStart"/>
      <w:r w:rsidR="00583B4F" w:rsidRPr="00C35233">
        <w:t>possible,</w:t>
      </w:r>
      <w:proofErr w:type="gramEnd"/>
      <w:r w:rsidR="00583B4F" w:rsidRPr="00C35233">
        <w:t xml:space="preserve"> however</w:t>
      </w:r>
      <w:r w:rsidR="004B1B96" w:rsidRPr="00C35233">
        <w:t xml:space="preserve"> this</w:t>
      </w:r>
      <w:r w:rsidR="00583B4F" w:rsidRPr="00C35233">
        <w:t xml:space="preserve"> represented</w:t>
      </w:r>
      <w:r w:rsidRPr="00C35233">
        <w:t xml:space="preserve"> limited financial risk to the government should the listing of enzalutamide join the current risk-sharing agreements with </w:t>
      </w:r>
      <w:proofErr w:type="spellStart"/>
      <w:r w:rsidRPr="00C35233">
        <w:t>abiraterone</w:t>
      </w:r>
      <w:proofErr w:type="spellEnd"/>
      <w:r w:rsidRPr="00C35233">
        <w:t xml:space="preserve"> and </w:t>
      </w:r>
      <w:proofErr w:type="spellStart"/>
      <w:r w:rsidRPr="00C35233">
        <w:t>cabazitaxel</w:t>
      </w:r>
      <w:proofErr w:type="spellEnd"/>
      <w:r w:rsidRPr="00C35233">
        <w:t xml:space="preserve">.  </w:t>
      </w:r>
      <w:r w:rsidRPr="00B95D3E">
        <w:rPr>
          <w:iCs/>
        </w:rPr>
        <w:t xml:space="preserve">Other sources of leakage include the use in ‘sicker’ patients (WHO &gt;2) and use beyond progression, given enzalutamide </w:t>
      </w:r>
      <w:r w:rsidR="004B1B96" w:rsidRPr="00B95D3E">
        <w:rPr>
          <w:iCs/>
        </w:rPr>
        <w:t xml:space="preserve">appears to </w:t>
      </w:r>
      <w:r w:rsidR="00F53992" w:rsidRPr="00B95D3E">
        <w:rPr>
          <w:iCs/>
        </w:rPr>
        <w:t>be a</w:t>
      </w:r>
      <w:r w:rsidRPr="00B95D3E">
        <w:rPr>
          <w:iCs/>
        </w:rPr>
        <w:t xml:space="preserve"> relatively well-tolerated oral therapy.  Although comparable leakage is possible with </w:t>
      </w:r>
      <w:proofErr w:type="spellStart"/>
      <w:r w:rsidRPr="00B95D3E">
        <w:rPr>
          <w:iCs/>
        </w:rPr>
        <w:t>abiraterone</w:t>
      </w:r>
      <w:proofErr w:type="spellEnd"/>
      <w:r w:rsidRPr="00B95D3E">
        <w:rPr>
          <w:iCs/>
        </w:rPr>
        <w:t xml:space="preserve"> and </w:t>
      </w:r>
      <w:proofErr w:type="spellStart"/>
      <w:r w:rsidRPr="00B95D3E">
        <w:rPr>
          <w:iCs/>
        </w:rPr>
        <w:t>cabazitaxel</w:t>
      </w:r>
      <w:proofErr w:type="spellEnd"/>
      <w:r w:rsidRPr="00B95D3E">
        <w:rPr>
          <w:iCs/>
        </w:rPr>
        <w:t>, the total risk is increased with the listing of enzalutamide due to additional sequential and/or concurrent use of treatments</w:t>
      </w:r>
      <w:r w:rsidR="00ED1904" w:rsidRPr="00B95D3E">
        <w:rPr>
          <w:iCs/>
        </w:rPr>
        <w:t>.</w:t>
      </w:r>
      <w:r w:rsidRPr="00B95D3E">
        <w:rPr>
          <w:iCs/>
        </w:rPr>
        <w:t xml:space="preserve"> Additional use beyond the restriction in earlier stage disease may also occur (substituting for other anti-androgens).</w:t>
      </w:r>
    </w:p>
    <w:p w:rsidR="004D6418" w:rsidRPr="0088568E" w:rsidRDefault="004D6418" w:rsidP="0068726F">
      <w:pPr>
        <w:widowControl/>
        <w:rPr>
          <w:szCs w:val="22"/>
        </w:rPr>
      </w:pPr>
    </w:p>
    <w:p w:rsidR="004D6418" w:rsidRPr="00B95D3E" w:rsidRDefault="0088568E" w:rsidP="00B95D3E">
      <w:pPr>
        <w:pStyle w:val="ListParagraph"/>
        <w:widowControl/>
        <w:numPr>
          <w:ilvl w:val="1"/>
          <w:numId w:val="2"/>
        </w:numPr>
        <w:rPr>
          <w:szCs w:val="22"/>
        </w:rPr>
      </w:pPr>
      <w:r w:rsidRPr="00B95D3E">
        <w:rPr>
          <w:szCs w:val="22"/>
        </w:rPr>
        <w:t>The PBAC considered</w:t>
      </w:r>
      <w:r w:rsidR="004D6418" w:rsidRPr="00B95D3E">
        <w:rPr>
          <w:szCs w:val="22"/>
        </w:rPr>
        <w:t xml:space="preserve"> </w:t>
      </w:r>
      <w:r w:rsidR="005F388B" w:rsidRPr="00B95D3E">
        <w:rPr>
          <w:szCs w:val="22"/>
        </w:rPr>
        <w:t>enzalutamide</w:t>
      </w:r>
      <w:r w:rsidR="00431462" w:rsidRPr="00B95D3E">
        <w:rPr>
          <w:szCs w:val="22"/>
        </w:rPr>
        <w:t xml:space="preserve"> should join the same risk share </w:t>
      </w:r>
      <w:r w:rsidRPr="00B95D3E">
        <w:rPr>
          <w:szCs w:val="22"/>
        </w:rPr>
        <w:t xml:space="preserve">arrangements </w:t>
      </w:r>
      <w:r w:rsidR="00431462" w:rsidRPr="00B95D3E">
        <w:rPr>
          <w:szCs w:val="22"/>
        </w:rPr>
        <w:t>as abiraterone</w:t>
      </w:r>
      <w:r w:rsidRPr="00B95D3E">
        <w:rPr>
          <w:szCs w:val="22"/>
        </w:rPr>
        <w:t>.</w:t>
      </w:r>
    </w:p>
    <w:p w:rsidR="00431462" w:rsidRDefault="00431462" w:rsidP="00431462">
      <w:pPr>
        <w:pStyle w:val="ListParagraph"/>
        <w:rPr>
          <w:i/>
          <w:szCs w:val="22"/>
        </w:rPr>
      </w:pPr>
    </w:p>
    <w:p w:rsidR="004D6418" w:rsidRPr="00BB7EC3" w:rsidRDefault="004D6418" w:rsidP="004D6418">
      <w:pPr>
        <w:pStyle w:val="ListParagraph"/>
        <w:ind w:left="709"/>
        <w:rPr>
          <w:i/>
          <w:szCs w:val="22"/>
        </w:rPr>
      </w:pPr>
      <w:r>
        <w:rPr>
          <w:i/>
          <w:szCs w:val="22"/>
        </w:rPr>
        <w:t>For more detail on PBAC’s view, see section 7 “PBAC outcome”</w:t>
      </w:r>
    </w:p>
    <w:p w:rsidR="004D6418" w:rsidRDefault="004D6418" w:rsidP="00A722A0">
      <w:pPr>
        <w:rPr>
          <w:bCs/>
          <w:snapToGrid/>
          <w:color w:val="000000"/>
          <w:sz w:val="20"/>
          <w:lang w:eastAsia="en-AU"/>
        </w:rPr>
      </w:pPr>
    </w:p>
    <w:p w:rsidR="00CE13ED" w:rsidRDefault="00CE13ED" w:rsidP="00A722A0">
      <w:pPr>
        <w:rPr>
          <w:bCs/>
          <w:snapToGrid/>
          <w:color w:val="000000"/>
          <w:sz w:val="20"/>
          <w:lang w:eastAsia="en-AU"/>
        </w:rPr>
      </w:pPr>
    </w:p>
    <w:p w:rsidR="00B95D3E" w:rsidRPr="00407F2D" w:rsidRDefault="00B95D3E" w:rsidP="00B95D3E">
      <w:pPr>
        <w:pStyle w:val="ListParagraph"/>
        <w:widowControl/>
        <w:numPr>
          <w:ilvl w:val="0"/>
          <w:numId w:val="2"/>
        </w:numPr>
        <w:rPr>
          <w:b/>
          <w:szCs w:val="22"/>
        </w:rPr>
      </w:pPr>
      <w:r w:rsidRPr="00407F2D">
        <w:rPr>
          <w:b/>
          <w:szCs w:val="22"/>
        </w:rPr>
        <w:t xml:space="preserve">PBAC Outcome </w:t>
      </w:r>
    </w:p>
    <w:p w:rsidR="009E7F5F" w:rsidRDefault="009E7F5F" w:rsidP="009E7F5F">
      <w:pPr>
        <w:pStyle w:val="ListParagraph"/>
        <w:widowControl/>
        <w:ind w:left="360"/>
        <w:rPr>
          <w:b/>
          <w:szCs w:val="22"/>
        </w:rPr>
      </w:pPr>
    </w:p>
    <w:p w:rsidR="004D6418" w:rsidRPr="00B95D3E" w:rsidRDefault="004D6418" w:rsidP="00B95D3E">
      <w:pPr>
        <w:pStyle w:val="ListParagraph"/>
        <w:widowControl/>
        <w:numPr>
          <w:ilvl w:val="1"/>
          <w:numId w:val="2"/>
        </w:numPr>
        <w:rPr>
          <w:szCs w:val="22"/>
        </w:rPr>
      </w:pPr>
      <w:r w:rsidRPr="00B95D3E">
        <w:rPr>
          <w:szCs w:val="22"/>
        </w:rPr>
        <w:t>The P</w:t>
      </w:r>
      <w:r w:rsidR="00AA0E32" w:rsidRPr="00B95D3E">
        <w:rPr>
          <w:szCs w:val="22"/>
        </w:rPr>
        <w:t>BAC</w:t>
      </w:r>
      <w:r w:rsidR="0068726F" w:rsidRPr="00B95D3E">
        <w:rPr>
          <w:szCs w:val="22"/>
        </w:rPr>
        <w:t xml:space="preserve"> recommended an Authority</w:t>
      </w:r>
      <w:r w:rsidR="00636FE9">
        <w:t xml:space="preserve"> r</w:t>
      </w:r>
      <w:r w:rsidR="00636FE9" w:rsidRPr="000559D0">
        <w:t>equired</w:t>
      </w:r>
      <w:r w:rsidR="00A174E1">
        <w:t xml:space="preserve"> </w:t>
      </w:r>
      <w:r w:rsidR="00636FE9" w:rsidRPr="000559D0">
        <w:t xml:space="preserve">listing for enzalutamide for </w:t>
      </w:r>
      <w:r w:rsidR="0068726F">
        <w:t xml:space="preserve">the </w:t>
      </w:r>
      <w:r w:rsidR="00636FE9" w:rsidRPr="000559D0">
        <w:t>treatment of metastatic prostate cancer after tr</w:t>
      </w:r>
      <w:r w:rsidR="00636FE9">
        <w:t xml:space="preserve">eatment failure with </w:t>
      </w:r>
      <w:proofErr w:type="spellStart"/>
      <w:r w:rsidR="00636FE9">
        <w:t>docetaxel</w:t>
      </w:r>
      <w:proofErr w:type="spellEnd"/>
      <w:r w:rsidR="0068726F">
        <w:t>,</w:t>
      </w:r>
      <w:r w:rsidR="00636FE9">
        <w:t xml:space="preserve"> o</w:t>
      </w:r>
      <w:r w:rsidR="00636FE9" w:rsidRPr="00B95D3E">
        <w:rPr>
          <w:szCs w:val="22"/>
        </w:rPr>
        <w:t>n</w:t>
      </w:r>
      <w:r w:rsidRPr="00B95D3E">
        <w:rPr>
          <w:szCs w:val="22"/>
        </w:rPr>
        <w:t xml:space="preserve"> a cost-minimisation basis</w:t>
      </w:r>
      <w:r w:rsidR="00636FE9" w:rsidRPr="00B95D3E">
        <w:rPr>
          <w:szCs w:val="22"/>
        </w:rPr>
        <w:t xml:space="preserve"> </w:t>
      </w:r>
      <w:r w:rsidR="00AA0E32" w:rsidRPr="00B95D3E">
        <w:rPr>
          <w:szCs w:val="22"/>
        </w:rPr>
        <w:t xml:space="preserve">with abiraterone. The </w:t>
      </w:r>
      <w:proofErr w:type="spellStart"/>
      <w:r w:rsidRPr="00B95D3E">
        <w:rPr>
          <w:szCs w:val="22"/>
        </w:rPr>
        <w:t>equi</w:t>
      </w:r>
      <w:proofErr w:type="spellEnd"/>
      <w:r w:rsidRPr="00B95D3E">
        <w:rPr>
          <w:szCs w:val="22"/>
        </w:rPr>
        <w:t xml:space="preserve">-effective doses are </w:t>
      </w:r>
      <w:proofErr w:type="spellStart"/>
      <w:r w:rsidR="00636FE9">
        <w:t>enzalutamide</w:t>
      </w:r>
      <w:proofErr w:type="spellEnd"/>
      <w:r w:rsidR="00636FE9" w:rsidRPr="001222FC">
        <w:t xml:space="preserve"> </w:t>
      </w:r>
      <w:r w:rsidR="00636FE9">
        <w:t xml:space="preserve">160 </w:t>
      </w:r>
      <w:r w:rsidR="00636FE9" w:rsidRPr="001222FC">
        <w:t xml:space="preserve">mg and </w:t>
      </w:r>
      <w:r w:rsidR="00636FE9">
        <w:t>abiraterone</w:t>
      </w:r>
      <w:r w:rsidR="00636FE9" w:rsidRPr="001222FC">
        <w:t xml:space="preserve"> </w:t>
      </w:r>
      <w:r w:rsidR="00636FE9">
        <w:t xml:space="preserve">1000 </w:t>
      </w:r>
      <w:r w:rsidR="00636FE9" w:rsidRPr="001222FC">
        <w:t>mg</w:t>
      </w:r>
      <w:r w:rsidR="00636FE9">
        <w:t>.</w:t>
      </w:r>
    </w:p>
    <w:p w:rsidR="00A13450" w:rsidRDefault="00A13450" w:rsidP="00A13450">
      <w:pPr>
        <w:pStyle w:val="ListParagraph"/>
        <w:widowControl/>
        <w:ind w:left="709"/>
        <w:rPr>
          <w:szCs w:val="22"/>
        </w:rPr>
      </w:pPr>
    </w:p>
    <w:p w:rsidR="001A1D3F" w:rsidRPr="00B95D3E" w:rsidRDefault="002B5BF4" w:rsidP="00B95D3E">
      <w:pPr>
        <w:pStyle w:val="ListParagraph"/>
        <w:widowControl/>
        <w:numPr>
          <w:ilvl w:val="1"/>
          <w:numId w:val="2"/>
        </w:numPr>
        <w:rPr>
          <w:szCs w:val="22"/>
        </w:rPr>
      </w:pPr>
      <w:r w:rsidRPr="00B95D3E">
        <w:rPr>
          <w:szCs w:val="22"/>
        </w:rPr>
        <w:t xml:space="preserve">The PBAC accepted that abiraterone was the appropriate comparator given the intended place of enzalutamide in the current treatment of metastatic prostate.  </w:t>
      </w:r>
      <w:r w:rsidR="007D7B3F" w:rsidRPr="00B95D3E">
        <w:rPr>
          <w:szCs w:val="22"/>
        </w:rPr>
        <w:t xml:space="preserve">The </w:t>
      </w:r>
      <w:r w:rsidR="00260304" w:rsidRPr="00B95D3E">
        <w:rPr>
          <w:szCs w:val="22"/>
        </w:rPr>
        <w:t>PBAC</w:t>
      </w:r>
      <w:r w:rsidR="005B2D33" w:rsidRPr="00B95D3E">
        <w:rPr>
          <w:szCs w:val="22"/>
        </w:rPr>
        <w:t xml:space="preserve"> </w:t>
      </w:r>
      <w:r w:rsidR="001C341A" w:rsidRPr="00B95D3E">
        <w:rPr>
          <w:szCs w:val="22"/>
        </w:rPr>
        <w:t>noted</w:t>
      </w:r>
      <w:r w:rsidRPr="00B95D3E">
        <w:rPr>
          <w:szCs w:val="22"/>
        </w:rPr>
        <w:t xml:space="preserve"> that there are now a number of new effective agents for </w:t>
      </w:r>
      <w:r w:rsidRPr="000559D0">
        <w:t>metastatic prostate cancer</w:t>
      </w:r>
      <w:r>
        <w:t xml:space="preserve"> </w:t>
      </w:r>
      <w:r w:rsidRPr="00B95D3E">
        <w:rPr>
          <w:szCs w:val="22"/>
        </w:rPr>
        <w:t xml:space="preserve">and therefore the treatment algorithm for </w:t>
      </w:r>
      <w:r>
        <w:t>may continue to evolve over the short-medium term</w:t>
      </w:r>
      <w:r w:rsidR="0001247F">
        <w:t xml:space="preserve">. </w:t>
      </w:r>
    </w:p>
    <w:p w:rsidR="001A1D3F" w:rsidRDefault="001A1D3F" w:rsidP="001A1D3F">
      <w:pPr>
        <w:pStyle w:val="ListParagraph"/>
      </w:pPr>
    </w:p>
    <w:p w:rsidR="00260304" w:rsidRPr="00B95D3E" w:rsidRDefault="001A1D3F" w:rsidP="00B95D3E">
      <w:pPr>
        <w:pStyle w:val="ListParagraph"/>
        <w:widowControl/>
        <w:numPr>
          <w:ilvl w:val="1"/>
          <w:numId w:val="2"/>
        </w:numPr>
        <w:rPr>
          <w:szCs w:val="22"/>
        </w:rPr>
      </w:pPr>
      <w:r>
        <w:t xml:space="preserve">The PBAC acknowledged that radium-223 injection </w:t>
      </w:r>
      <w:r w:rsidR="002B5BF4">
        <w:t xml:space="preserve">was </w:t>
      </w:r>
      <w:r>
        <w:t xml:space="preserve">assessed by MSAC </w:t>
      </w:r>
      <w:r w:rsidR="002B5BF4">
        <w:t>at the 61</w:t>
      </w:r>
      <w:r w:rsidR="002B5BF4" w:rsidRPr="00B95D3E">
        <w:rPr>
          <w:vertAlign w:val="superscript"/>
        </w:rPr>
        <w:t>st</w:t>
      </w:r>
      <w:r w:rsidR="002B5BF4">
        <w:t xml:space="preserve"> meeting (</w:t>
      </w:r>
      <w:r w:rsidR="00C35233">
        <w:t xml:space="preserve">for more information, </w:t>
      </w:r>
      <w:r w:rsidR="00443DAD">
        <w:t>refer to</w:t>
      </w:r>
      <w:r w:rsidR="00C35233">
        <w:t xml:space="preserve"> </w:t>
      </w:r>
      <w:r w:rsidR="00C35233" w:rsidRPr="00C35233">
        <w:t>www.msac.gov.au</w:t>
      </w:r>
      <w:r w:rsidR="002B5BF4">
        <w:t xml:space="preserve">) </w:t>
      </w:r>
      <w:r>
        <w:t xml:space="preserve">for the treatment of patients with symptomatic castrate resistant prostate cancer with skeletal metastases. Should radium-223 be MBS listed this therapy would </w:t>
      </w:r>
      <w:r w:rsidR="002B5BF4">
        <w:t xml:space="preserve">also </w:t>
      </w:r>
      <w:r>
        <w:t>become a relevant comparator.</w:t>
      </w:r>
      <w:r w:rsidR="00260304" w:rsidRPr="00B95D3E">
        <w:rPr>
          <w:szCs w:val="22"/>
        </w:rPr>
        <w:t xml:space="preserve"> </w:t>
      </w:r>
      <w:r w:rsidR="005B2D33">
        <w:t xml:space="preserve"> </w:t>
      </w:r>
    </w:p>
    <w:p w:rsidR="001423C9" w:rsidRPr="001423C9" w:rsidRDefault="001423C9" w:rsidP="001423C9">
      <w:pPr>
        <w:pStyle w:val="ListParagraph"/>
        <w:rPr>
          <w:szCs w:val="22"/>
        </w:rPr>
      </w:pPr>
    </w:p>
    <w:p w:rsidR="001D1D77" w:rsidRPr="00B95D3E" w:rsidRDefault="001A1337" w:rsidP="00B95D3E">
      <w:pPr>
        <w:pStyle w:val="ListParagraph"/>
        <w:widowControl/>
        <w:numPr>
          <w:ilvl w:val="1"/>
          <w:numId w:val="2"/>
        </w:numPr>
        <w:rPr>
          <w:szCs w:val="22"/>
        </w:rPr>
      </w:pPr>
      <w:r w:rsidRPr="00B95D3E">
        <w:rPr>
          <w:szCs w:val="22"/>
        </w:rPr>
        <w:t>The PBAC further</w:t>
      </w:r>
      <w:r w:rsidR="00F655A1" w:rsidRPr="00B95D3E">
        <w:rPr>
          <w:szCs w:val="22"/>
        </w:rPr>
        <w:t xml:space="preserve"> </w:t>
      </w:r>
      <w:r w:rsidR="001D1D77" w:rsidRPr="00B95D3E">
        <w:rPr>
          <w:szCs w:val="22"/>
        </w:rPr>
        <w:t>considered</w:t>
      </w:r>
      <w:r w:rsidRPr="00B95D3E">
        <w:rPr>
          <w:szCs w:val="22"/>
        </w:rPr>
        <w:t xml:space="preserve"> that </w:t>
      </w:r>
      <w:r w:rsidR="00F655A1" w:rsidRPr="00B95D3E">
        <w:rPr>
          <w:szCs w:val="22"/>
        </w:rPr>
        <w:t xml:space="preserve">given the lack of evidence of efficacy of </w:t>
      </w:r>
      <w:r w:rsidR="005F388B" w:rsidRPr="00B95D3E">
        <w:rPr>
          <w:szCs w:val="22"/>
        </w:rPr>
        <w:t>enzalutamide</w:t>
      </w:r>
      <w:r w:rsidR="00F655A1" w:rsidRPr="00B95D3E">
        <w:rPr>
          <w:szCs w:val="22"/>
        </w:rPr>
        <w:t xml:space="preserve"> in patients who have previously received abiraterone, a note should be included in the restrictions to prevent subsidised use in this patient population. </w:t>
      </w:r>
    </w:p>
    <w:p w:rsidR="001D1D77" w:rsidRPr="001D1D77" w:rsidRDefault="001D1D77" w:rsidP="001D1D77">
      <w:pPr>
        <w:pStyle w:val="ListParagraph"/>
        <w:rPr>
          <w:szCs w:val="22"/>
        </w:rPr>
      </w:pPr>
    </w:p>
    <w:p w:rsidR="00640259" w:rsidRPr="00B95D3E" w:rsidRDefault="001D1D77" w:rsidP="00B95D3E">
      <w:pPr>
        <w:pStyle w:val="ListParagraph"/>
        <w:widowControl/>
        <w:numPr>
          <w:ilvl w:val="1"/>
          <w:numId w:val="2"/>
        </w:numPr>
        <w:rPr>
          <w:szCs w:val="22"/>
        </w:rPr>
      </w:pPr>
      <w:r w:rsidRPr="00B95D3E">
        <w:rPr>
          <w:szCs w:val="22"/>
        </w:rPr>
        <w:t>Regarding the clinical trials, t</w:t>
      </w:r>
      <w:r w:rsidR="00006760" w:rsidRPr="00B95D3E">
        <w:rPr>
          <w:szCs w:val="22"/>
        </w:rPr>
        <w:t xml:space="preserve">he PBAC </w:t>
      </w:r>
      <w:r w:rsidRPr="00B95D3E">
        <w:rPr>
          <w:szCs w:val="22"/>
        </w:rPr>
        <w:t>agreed with the ESC that the ITT population is considered to be most appropriate fo</w:t>
      </w:r>
      <w:r w:rsidR="00640259" w:rsidRPr="00B95D3E">
        <w:rPr>
          <w:szCs w:val="22"/>
        </w:rPr>
        <w:t>r determining clinical efficacy and the</w:t>
      </w:r>
      <w:r w:rsidRPr="00B95D3E">
        <w:rPr>
          <w:szCs w:val="22"/>
        </w:rPr>
        <w:t xml:space="preserve"> post-hoc sub-group analyses of patients who did and did not </w:t>
      </w:r>
      <w:r w:rsidR="00640259" w:rsidRPr="00B95D3E">
        <w:rPr>
          <w:szCs w:val="22"/>
        </w:rPr>
        <w:t xml:space="preserve">use </w:t>
      </w:r>
      <w:r w:rsidRPr="00B95D3E">
        <w:rPr>
          <w:szCs w:val="22"/>
        </w:rPr>
        <w:t xml:space="preserve">concomitant corticosteroids </w:t>
      </w:r>
      <w:r w:rsidR="00640259" w:rsidRPr="00B95D3E">
        <w:rPr>
          <w:szCs w:val="22"/>
        </w:rPr>
        <w:t>were not as relevant</w:t>
      </w:r>
      <w:r w:rsidR="00006760" w:rsidRPr="00B95D3E">
        <w:rPr>
          <w:szCs w:val="22"/>
        </w:rPr>
        <w:t>.</w:t>
      </w:r>
      <w:r w:rsidR="000E56B9" w:rsidRPr="00B95D3E">
        <w:rPr>
          <w:szCs w:val="22"/>
        </w:rPr>
        <w:t xml:space="preserve"> </w:t>
      </w:r>
      <w:r w:rsidR="00640259" w:rsidRPr="00B95D3E">
        <w:rPr>
          <w:szCs w:val="22"/>
        </w:rPr>
        <w:t xml:space="preserve">The Pre-PBAC response agreed with the use of the ITT population. </w:t>
      </w:r>
    </w:p>
    <w:p w:rsidR="00640259" w:rsidRPr="00640259" w:rsidRDefault="00640259" w:rsidP="00640259">
      <w:pPr>
        <w:pStyle w:val="ListParagraph"/>
        <w:rPr>
          <w:szCs w:val="22"/>
        </w:rPr>
      </w:pPr>
    </w:p>
    <w:p w:rsidR="004D6418" w:rsidRPr="00B95D3E" w:rsidRDefault="00640259" w:rsidP="00B95D3E">
      <w:pPr>
        <w:pStyle w:val="ListParagraph"/>
        <w:widowControl/>
        <w:numPr>
          <w:ilvl w:val="1"/>
          <w:numId w:val="2"/>
        </w:numPr>
        <w:rPr>
          <w:szCs w:val="22"/>
        </w:rPr>
      </w:pPr>
      <w:r w:rsidRPr="00B95D3E">
        <w:rPr>
          <w:szCs w:val="22"/>
        </w:rPr>
        <w:t>The PBAC accepted that enzalutamide is non-inferior to abiraterone in terms of comparative effectiveness,</w:t>
      </w:r>
      <w:r w:rsidR="00A70D80" w:rsidRPr="00B95D3E">
        <w:rPr>
          <w:szCs w:val="22"/>
        </w:rPr>
        <w:t xml:space="preserve"> although</w:t>
      </w:r>
      <w:r w:rsidR="00006760" w:rsidRPr="00B95D3E">
        <w:rPr>
          <w:szCs w:val="22"/>
        </w:rPr>
        <w:t xml:space="preserve"> the differences in the </w:t>
      </w:r>
      <w:r w:rsidRPr="00B95D3E">
        <w:rPr>
          <w:szCs w:val="22"/>
        </w:rPr>
        <w:t xml:space="preserve">results of the </w:t>
      </w:r>
      <w:r w:rsidR="00006760" w:rsidRPr="00B95D3E">
        <w:rPr>
          <w:szCs w:val="22"/>
        </w:rPr>
        <w:t xml:space="preserve">common reference </w:t>
      </w:r>
      <w:r w:rsidRPr="00B95D3E">
        <w:rPr>
          <w:szCs w:val="22"/>
        </w:rPr>
        <w:t xml:space="preserve">arms </w:t>
      </w:r>
      <w:r w:rsidR="00006760" w:rsidRPr="00B95D3E">
        <w:rPr>
          <w:szCs w:val="22"/>
        </w:rPr>
        <w:t xml:space="preserve">between </w:t>
      </w:r>
      <w:r w:rsidR="00A70D80" w:rsidRPr="00B95D3E">
        <w:rPr>
          <w:szCs w:val="22"/>
        </w:rPr>
        <w:t>AFFIRM and Trial 30</w:t>
      </w:r>
      <w:r w:rsidRPr="00B95D3E">
        <w:rPr>
          <w:szCs w:val="22"/>
        </w:rPr>
        <w:t xml:space="preserve">1 undermine the validity of the indirect comparison. </w:t>
      </w:r>
    </w:p>
    <w:p w:rsidR="00640259" w:rsidRPr="00640259" w:rsidRDefault="00640259" w:rsidP="00640259">
      <w:pPr>
        <w:pStyle w:val="ListParagraph"/>
        <w:rPr>
          <w:szCs w:val="22"/>
        </w:rPr>
      </w:pPr>
    </w:p>
    <w:p w:rsidR="003972CE" w:rsidRPr="00B95D3E" w:rsidRDefault="00640259" w:rsidP="00B95D3E">
      <w:pPr>
        <w:pStyle w:val="ListParagraph"/>
        <w:widowControl/>
        <w:numPr>
          <w:ilvl w:val="1"/>
          <w:numId w:val="2"/>
        </w:numPr>
        <w:rPr>
          <w:szCs w:val="22"/>
        </w:rPr>
      </w:pPr>
      <w:r w:rsidRPr="00B95D3E">
        <w:rPr>
          <w:szCs w:val="22"/>
        </w:rPr>
        <w:t xml:space="preserve">The PBAC considered that the claim of non-inferior comparative safety was reasonable. </w:t>
      </w:r>
      <w:r w:rsidR="001C341A" w:rsidRPr="00B95D3E">
        <w:rPr>
          <w:szCs w:val="22"/>
        </w:rPr>
        <w:t>The PBA</w:t>
      </w:r>
      <w:r w:rsidR="003972CE" w:rsidRPr="00B95D3E">
        <w:rPr>
          <w:szCs w:val="22"/>
        </w:rPr>
        <w:t>C</w:t>
      </w:r>
      <w:r w:rsidR="001C341A" w:rsidRPr="00B95D3E">
        <w:rPr>
          <w:szCs w:val="22"/>
        </w:rPr>
        <w:t xml:space="preserve"> noted the adverse </w:t>
      </w:r>
      <w:r w:rsidR="006D66F1" w:rsidRPr="00B95D3E">
        <w:rPr>
          <w:szCs w:val="22"/>
        </w:rPr>
        <w:t>event</w:t>
      </w:r>
      <w:r w:rsidR="001C341A" w:rsidRPr="00B95D3E">
        <w:rPr>
          <w:szCs w:val="22"/>
        </w:rPr>
        <w:t xml:space="preserve"> </w:t>
      </w:r>
      <w:r w:rsidR="006D66F1" w:rsidRPr="00B95D3E">
        <w:rPr>
          <w:szCs w:val="22"/>
        </w:rPr>
        <w:t>profile</w:t>
      </w:r>
      <w:r w:rsidR="003972CE" w:rsidRPr="00B95D3E">
        <w:rPr>
          <w:szCs w:val="22"/>
        </w:rPr>
        <w:t xml:space="preserve"> of enzalutamide is different to abiraterone and that enzalutamide </w:t>
      </w:r>
      <w:r w:rsidR="00292DB2" w:rsidRPr="00B95D3E">
        <w:rPr>
          <w:szCs w:val="22"/>
        </w:rPr>
        <w:t>does not</w:t>
      </w:r>
      <w:r w:rsidR="003972CE" w:rsidRPr="00B95D3E">
        <w:rPr>
          <w:szCs w:val="22"/>
        </w:rPr>
        <w:t xml:space="preserve"> require liver function monitoring. </w:t>
      </w:r>
    </w:p>
    <w:p w:rsidR="00B11AFC" w:rsidRPr="00B11AFC" w:rsidRDefault="00B11AFC" w:rsidP="00B11AFC">
      <w:pPr>
        <w:widowControl/>
        <w:rPr>
          <w:szCs w:val="22"/>
        </w:rPr>
      </w:pPr>
    </w:p>
    <w:p w:rsidR="004D6418" w:rsidRPr="00B95D3E" w:rsidRDefault="00B11AFC" w:rsidP="00B95D3E">
      <w:pPr>
        <w:pStyle w:val="ListParagraph"/>
        <w:widowControl/>
        <w:numPr>
          <w:ilvl w:val="1"/>
          <w:numId w:val="2"/>
        </w:numPr>
        <w:rPr>
          <w:szCs w:val="22"/>
        </w:rPr>
      </w:pPr>
      <w:r w:rsidRPr="00B95D3E">
        <w:rPr>
          <w:szCs w:val="22"/>
        </w:rPr>
        <w:t>The c</w:t>
      </w:r>
      <w:r w:rsidR="002D786B" w:rsidRPr="00B95D3E">
        <w:rPr>
          <w:szCs w:val="22"/>
        </w:rPr>
        <w:t xml:space="preserve">ost-minimisation analysis </w:t>
      </w:r>
      <w:r w:rsidRPr="00B95D3E">
        <w:rPr>
          <w:szCs w:val="22"/>
        </w:rPr>
        <w:t xml:space="preserve">of enzalutamide </w:t>
      </w:r>
      <w:r w:rsidR="002D786B" w:rsidRPr="00B95D3E">
        <w:rPr>
          <w:szCs w:val="22"/>
        </w:rPr>
        <w:t>allow</w:t>
      </w:r>
      <w:r w:rsidRPr="00B95D3E">
        <w:rPr>
          <w:szCs w:val="22"/>
        </w:rPr>
        <w:t>ed</w:t>
      </w:r>
      <w:r w:rsidR="002D786B" w:rsidRPr="00B95D3E">
        <w:rPr>
          <w:szCs w:val="22"/>
        </w:rPr>
        <w:t xml:space="preserve"> for cost offsets for prednisolone use and liver function tests</w:t>
      </w:r>
      <w:r w:rsidRPr="00B95D3E">
        <w:rPr>
          <w:szCs w:val="22"/>
        </w:rPr>
        <w:t xml:space="preserve">. The PBAC considered </w:t>
      </w:r>
      <w:r w:rsidR="00640259" w:rsidRPr="00B95D3E">
        <w:rPr>
          <w:szCs w:val="22"/>
        </w:rPr>
        <w:t>this</w:t>
      </w:r>
      <w:r w:rsidRPr="00B95D3E">
        <w:rPr>
          <w:szCs w:val="22"/>
        </w:rPr>
        <w:t xml:space="preserve"> to be reasonable. </w:t>
      </w:r>
    </w:p>
    <w:p w:rsidR="00B11AFC" w:rsidRPr="00B11AFC" w:rsidRDefault="00B11AFC" w:rsidP="00B11AFC">
      <w:pPr>
        <w:widowControl/>
        <w:rPr>
          <w:szCs w:val="22"/>
        </w:rPr>
      </w:pPr>
    </w:p>
    <w:p w:rsidR="004D6418" w:rsidRPr="00B95D3E" w:rsidRDefault="00ED6C8F" w:rsidP="00B95D3E">
      <w:pPr>
        <w:pStyle w:val="ListParagraph"/>
        <w:widowControl/>
        <w:numPr>
          <w:ilvl w:val="1"/>
          <w:numId w:val="2"/>
        </w:numPr>
        <w:rPr>
          <w:szCs w:val="22"/>
        </w:rPr>
      </w:pPr>
      <w:r w:rsidRPr="00B95D3E">
        <w:rPr>
          <w:szCs w:val="22"/>
        </w:rPr>
        <w:t xml:space="preserve">The </w:t>
      </w:r>
      <w:r w:rsidR="00640259" w:rsidRPr="00B95D3E">
        <w:rPr>
          <w:szCs w:val="22"/>
        </w:rPr>
        <w:t>PBAC noted the</w:t>
      </w:r>
      <w:r w:rsidR="00DF5178" w:rsidRPr="00B95D3E">
        <w:rPr>
          <w:szCs w:val="22"/>
        </w:rPr>
        <w:t xml:space="preserve"> submission and pre-PBAC response expressed concerns that the current risk share </w:t>
      </w:r>
      <w:r w:rsidR="005F388B" w:rsidRPr="00B95D3E">
        <w:rPr>
          <w:szCs w:val="22"/>
        </w:rPr>
        <w:t>arrangement</w:t>
      </w:r>
      <w:r w:rsidR="00DF5178" w:rsidRPr="00B95D3E">
        <w:rPr>
          <w:szCs w:val="22"/>
        </w:rPr>
        <w:t xml:space="preserve"> for </w:t>
      </w:r>
      <w:proofErr w:type="spellStart"/>
      <w:r w:rsidR="00DF5178" w:rsidRPr="00B95D3E">
        <w:rPr>
          <w:szCs w:val="22"/>
        </w:rPr>
        <w:t>cabazitaxel</w:t>
      </w:r>
      <w:proofErr w:type="spellEnd"/>
      <w:r w:rsidR="00DF5178" w:rsidRPr="00B95D3E">
        <w:rPr>
          <w:szCs w:val="22"/>
        </w:rPr>
        <w:t xml:space="preserve"> and </w:t>
      </w:r>
      <w:proofErr w:type="spellStart"/>
      <w:r w:rsidR="00DF5178" w:rsidRPr="00B95D3E">
        <w:rPr>
          <w:szCs w:val="22"/>
        </w:rPr>
        <w:t>abiraterone</w:t>
      </w:r>
      <w:proofErr w:type="spellEnd"/>
      <w:r w:rsidR="00DF5178" w:rsidRPr="00B95D3E">
        <w:rPr>
          <w:szCs w:val="22"/>
        </w:rPr>
        <w:t xml:space="preserve"> underestimates the patient pool in the post-</w:t>
      </w:r>
      <w:proofErr w:type="spellStart"/>
      <w:r w:rsidR="00DF5178" w:rsidRPr="00B95D3E">
        <w:rPr>
          <w:szCs w:val="22"/>
        </w:rPr>
        <w:t>docetaxel</w:t>
      </w:r>
      <w:proofErr w:type="spellEnd"/>
      <w:r w:rsidR="00DF5178" w:rsidRPr="00B95D3E">
        <w:rPr>
          <w:szCs w:val="22"/>
        </w:rPr>
        <w:t xml:space="preserve"> setting. </w:t>
      </w:r>
      <w:r w:rsidR="002B5BF4">
        <w:t xml:space="preserve">The PBAC did not consider that the submission had provided evidence to support this claim, and </w:t>
      </w:r>
      <w:r w:rsidR="00DF5178" w:rsidRPr="00B95D3E">
        <w:rPr>
          <w:szCs w:val="22"/>
        </w:rPr>
        <w:t xml:space="preserve">recommended that enzalutamide join the same risk share as abiraterone.  </w:t>
      </w:r>
    </w:p>
    <w:p w:rsidR="00DF5178" w:rsidRPr="00DF5178" w:rsidRDefault="00DF5178" w:rsidP="00DF5178">
      <w:pPr>
        <w:pStyle w:val="ListParagraph"/>
        <w:rPr>
          <w:szCs w:val="22"/>
        </w:rPr>
      </w:pPr>
    </w:p>
    <w:p w:rsidR="007A3043" w:rsidRPr="00B95D3E" w:rsidRDefault="00E47B9D" w:rsidP="00B95D3E">
      <w:pPr>
        <w:pStyle w:val="ListParagraph"/>
        <w:widowControl/>
        <w:numPr>
          <w:ilvl w:val="1"/>
          <w:numId w:val="2"/>
        </w:numPr>
        <w:rPr>
          <w:szCs w:val="22"/>
        </w:rPr>
      </w:pPr>
      <w:r w:rsidRPr="00B95D3E">
        <w:rPr>
          <w:szCs w:val="22"/>
          <w:u w:val="single"/>
        </w:rPr>
        <w:t>Advice to the Minister under Section 101 3BA of the National Health Act:</w:t>
      </w:r>
    </w:p>
    <w:p w:rsidR="004D6418" w:rsidRPr="007A3043" w:rsidRDefault="00E47B9D" w:rsidP="007A3043">
      <w:pPr>
        <w:widowControl/>
        <w:ind w:left="709"/>
        <w:rPr>
          <w:szCs w:val="22"/>
        </w:rPr>
      </w:pPr>
      <w:r w:rsidRPr="007A3043">
        <w:rPr>
          <w:szCs w:val="22"/>
        </w:rPr>
        <w:t xml:space="preserve">The PBAC advised the Minister that under Section 101 3BA of the National Health Act, </w:t>
      </w:r>
      <w:r w:rsidR="00852D77" w:rsidRPr="007A3043">
        <w:rPr>
          <w:szCs w:val="22"/>
        </w:rPr>
        <w:t>enzalutamide</w:t>
      </w:r>
      <w:r w:rsidR="00852D77" w:rsidRPr="007A3043">
        <w:rPr>
          <w:i/>
          <w:szCs w:val="22"/>
        </w:rPr>
        <w:t xml:space="preserve"> </w:t>
      </w:r>
      <w:r w:rsidR="00852D77" w:rsidRPr="007A3043">
        <w:rPr>
          <w:szCs w:val="22"/>
        </w:rPr>
        <w:t>should</w:t>
      </w:r>
      <w:r w:rsidR="004D6418" w:rsidRPr="007A3043">
        <w:rPr>
          <w:szCs w:val="22"/>
        </w:rPr>
        <w:t xml:space="preserve"> </w:t>
      </w:r>
      <w:r w:rsidR="006D66F1" w:rsidRPr="007A3043">
        <w:rPr>
          <w:szCs w:val="22"/>
        </w:rPr>
        <w:t xml:space="preserve">not </w:t>
      </w:r>
      <w:r w:rsidR="004D6418" w:rsidRPr="007A3043">
        <w:rPr>
          <w:szCs w:val="22"/>
        </w:rPr>
        <w:t>be treated as interchangeable with any other drugs</w:t>
      </w:r>
      <w:r w:rsidR="006D66F1" w:rsidRPr="007A3043">
        <w:rPr>
          <w:szCs w:val="22"/>
        </w:rPr>
        <w:t>.</w:t>
      </w:r>
    </w:p>
    <w:p w:rsidR="004D6418" w:rsidRPr="00BB7EC3" w:rsidRDefault="004D6418" w:rsidP="004D6418">
      <w:pPr>
        <w:rPr>
          <w:szCs w:val="22"/>
        </w:rPr>
      </w:pPr>
    </w:p>
    <w:p w:rsidR="004D6418" w:rsidRPr="00B95D3E" w:rsidRDefault="004D6418" w:rsidP="00B95D3E">
      <w:pPr>
        <w:pStyle w:val="ListParagraph"/>
        <w:widowControl/>
        <w:numPr>
          <w:ilvl w:val="1"/>
          <w:numId w:val="2"/>
        </w:numPr>
        <w:rPr>
          <w:szCs w:val="22"/>
        </w:rPr>
      </w:pPr>
      <w:r w:rsidRPr="00B95D3E">
        <w:rPr>
          <w:szCs w:val="22"/>
        </w:rPr>
        <w:t xml:space="preserve">The PBAC advised that </w:t>
      </w:r>
      <w:r w:rsidR="004402C8" w:rsidRPr="00B95D3E">
        <w:rPr>
          <w:szCs w:val="22"/>
        </w:rPr>
        <w:t>enzalutamide</w:t>
      </w:r>
      <w:r w:rsidRPr="00B95D3E">
        <w:rPr>
          <w:szCs w:val="22"/>
        </w:rPr>
        <w:t xml:space="preserve"> is not suitable for prescribing by nurse practitioners.  </w:t>
      </w:r>
    </w:p>
    <w:p w:rsidR="004D6418" w:rsidRPr="00BB7EC3" w:rsidRDefault="004D6418" w:rsidP="004D6418">
      <w:pPr>
        <w:pStyle w:val="ListParagraph"/>
        <w:rPr>
          <w:szCs w:val="22"/>
        </w:rPr>
      </w:pPr>
    </w:p>
    <w:p w:rsidR="008A3C58" w:rsidRPr="00B95D3E" w:rsidRDefault="004D6418" w:rsidP="00B95D3E">
      <w:pPr>
        <w:pStyle w:val="ListParagraph"/>
        <w:widowControl/>
        <w:numPr>
          <w:ilvl w:val="1"/>
          <w:numId w:val="2"/>
        </w:numPr>
        <w:rPr>
          <w:szCs w:val="22"/>
        </w:rPr>
      </w:pPr>
      <w:r w:rsidRPr="00B95D3E">
        <w:rPr>
          <w:szCs w:val="22"/>
        </w:rPr>
        <w:t>The PBAC recommended that the Safety Net 20 Day Rule shoul</w:t>
      </w:r>
      <w:r w:rsidR="00852D77" w:rsidRPr="00B95D3E">
        <w:rPr>
          <w:szCs w:val="22"/>
        </w:rPr>
        <w:t>d</w:t>
      </w:r>
      <w:r w:rsidRPr="00B95D3E">
        <w:rPr>
          <w:szCs w:val="22"/>
        </w:rPr>
        <w:t xml:space="preserve"> apply. </w:t>
      </w:r>
    </w:p>
    <w:p w:rsidR="008A3C58" w:rsidRDefault="008A3C58" w:rsidP="008A3C58">
      <w:pPr>
        <w:pStyle w:val="ListParagraph"/>
        <w:widowControl/>
        <w:ind w:left="709"/>
        <w:rPr>
          <w:szCs w:val="22"/>
        </w:rPr>
      </w:pPr>
    </w:p>
    <w:p w:rsidR="00B95D3E" w:rsidRPr="00882085" w:rsidRDefault="00B95D3E" w:rsidP="008A3C58">
      <w:pPr>
        <w:pStyle w:val="ListParagraph"/>
        <w:widowControl/>
        <w:ind w:left="709"/>
        <w:rPr>
          <w:szCs w:val="22"/>
        </w:rPr>
      </w:pPr>
    </w:p>
    <w:p w:rsidR="004D6418" w:rsidRPr="00882085" w:rsidRDefault="004D6418" w:rsidP="004D6418">
      <w:pPr>
        <w:rPr>
          <w:b/>
          <w:szCs w:val="22"/>
        </w:rPr>
      </w:pPr>
      <w:r w:rsidRPr="00882085">
        <w:rPr>
          <w:b/>
          <w:szCs w:val="22"/>
        </w:rPr>
        <w:t>Outcome:</w:t>
      </w:r>
    </w:p>
    <w:p w:rsidR="004D6418" w:rsidRDefault="004D6418" w:rsidP="004D6418">
      <w:pPr>
        <w:rPr>
          <w:szCs w:val="22"/>
        </w:rPr>
      </w:pPr>
      <w:r w:rsidRPr="00882085">
        <w:rPr>
          <w:szCs w:val="22"/>
        </w:rPr>
        <w:t xml:space="preserve">Recommended </w:t>
      </w:r>
    </w:p>
    <w:p w:rsidR="005472F3" w:rsidRDefault="005472F3" w:rsidP="004D6418">
      <w:pPr>
        <w:rPr>
          <w:szCs w:val="22"/>
        </w:rPr>
      </w:pPr>
    </w:p>
    <w:p w:rsidR="00B95D3E" w:rsidRDefault="00B95D3E" w:rsidP="004D6418">
      <w:pPr>
        <w:rPr>
          <w:szCs w:val="22"/>
        </w:rPr>
      </w:pPr>
    </w:p>
    <w:p w:rsidR="00B95D3E" w:rsidRPr="00407F2D" w:rsidRDefault="00B95D3E" w:rsidP="00B95D3E">
      <w:pPr>
        <w:pStyle w:val="ListParagraph"/>
        <w:widowControl/>
        <w:numPr>
          <w:ilvl w:val="0"/>
          <w:numId w:val="2"/>
        </w:numPr>
        <w:rPr>
          <w:b/>
          <w:szCs w:val="22"/>
        </w:rPr>
      </w:pPr>
      <w:r w:rsidRPr="00407F2D">
        <w:rPr>
          <w:b/>
          <w:szCs w:val="22"/>
        </w:rPr>
        <w:t>Recommended listing</w:t>
      </w:r>
    </w:p>
    <w:p w:rsidR="004D6418" w:rsidRPr="00882085" w:rsidRDefault="004D6418" w:rsidP="004D6418">
      <w:pPr>
        <w:rPr>
          <w:szCs w:val="22"/>
        </w:rPr>
      </w:pPr>
    </w:p>
    <w:p w:rsidR="004D6418" w:rsidRPr="00B95D3E" w:rsidRDefault="004D6418" w:rsidP="00B95D3E">
      <w:pPr>
        <w:pStyle w:val="ListParagraph"/>
        <w:widowControl/>
        <w:numPr>
          <w:ilvl w:val="1"/>
          <w:numId w:val="2"/>
        </w:numPr>
        <w:rPr>
          <w:szCs w:val="22"/>
        </w:rPr>
      </w:pPr>
      <w:r w:rsidRPr="00B95D3E">
        <w:rPr>
          <w:szCs w:val="22"/>
        </w:rPr>
        <w:t>Add new item:</w:t>
      </w:r>
    </w:p>
    <w:p w:rsidR="00997FA9" w:rsidRDefault="00997FA9" w:rsidP="00997FA9">
      <w:pPr>
        <w:pStyle w:val="ListParagraph"/>
        <w:widowControl/>
        <w:ind w:left="709"/>
        <w:rPr>
          <w:szCs w:val="22"/>
        </w:rPr>
      </w:pPr>
    </w:p>
    <w:tbl>
      <w:tblPr>
        <w:tblW w:w="8292" w:type="dxa"/>
        <w:tblInd w:w="817" w:type="dxa"/>
        <w:tblLayout w:type="fixed"/>
        <w:tblLook w:val="0000" w:firstRow="0" w:lastRow="0" w:firstColumn="0" w:lastColumn="0" w:noHBand="0" w:noVBand="0"/>
      </w:tblPr>
      <w:tblGrid>
        <w:gridCol w:w="3367"/>
        <w:gridCol w:w="849"/>
        <w:gridCol w:w="849"/>
        <w:gridCol w:w="1698"/>
        <w:gridCol w:w="1529"/>
      </w:tblGrid>
      <w:tr w:rsidR="00997FA9" w:rsidRPr="00F655A1" w:rsidTr="00B95D3E">
        <w:trPr>
          <w:cantSplit/>
          <w:trHeight w:val="589"/>
        </w:trPr>
        <w:tc>
          <w:tcPr>
            <w:tcW w:w="3367" w:type="dxa"/>
            <w:tcBorders>
              <w:bottom w:val="single" w:sz="4" w:space="0" w:color="auto"/>
            </w:tcBorders>
          </w:tcPr>
          <w:p w:rsidR="00997FA9" w:rsidRPr="00F655A1" w:rsidRDefault="00997FA9" w:rsidP="009E7F5F">
            <w:pPr>
              <w:keepNext/>
              <w:ind w:left="-108"/>
              <w:rPr>
                <w:rFonts w:ascii="Arial Narrow" w:hAnsi="Arial Narrow"/>
                <w:szCs w:val="22"/>
              </w:rPr>
            </w:pPr>
            <w:r w:rsidRPr="00F655A1">
              <w:rPr>
                <w:rFonts w:ascii="Arial Narrow" w:hAnsi="Arial Narrow"/>
                <w:szCs w:val="22"/>
              </w:rPr>
              <w:lastRenderedPageBreak/>
              <w:t>Name, Restriction,</w:t>
            </w:r>
          </w:p>
          <w:p w:rsidR="00997FA9" w:rsidRPr="00F655A1" w:rsidRDefault="00997FA9" w:rsidP="009E7F5F">
            <w:pPr>
              <w:keepNext/>
              <w:ind w:left="-108"/>
              <w:rPr>
                <w:rFonts w:ascii="Arial Narrow" w:hAnsi="Arial Narrow"/>
                <w:szCs w:val="22"/>
              </w:rPr>
            </w:pPr>
            <w:r w:rsidRPr="00F655A1">
              <w:rPr>
                <w:rFonts w:ascii="Arial Narrow" w:hAnsi="Arial Narrow"/>
                <w:szCs w:val="22"/>
              </w:rPr>
              <w:t>Manner of administration and form</w:t>
            </w:r>
          </w:p>
        </w:tc>
        <w:tc>
          <w:tcPr>
            <w:tcW w:w="849" w:type="dxa"/>
            <w:tcBorders>
              <w:bottom w:val="single" w:sz="4" w:space="0" w:color="auto"/>
            </w:tcBorders>
          </w:tcPr>
          <w:p w:rsidR="00997FA9" w:rsidRPr="00F655A1" w:rsidRDefault="00997FA9" w:rsidP="009E7F5F">
            <w:pPr>
              <w:keepNext/>
              <w:ind w:left="-108"/>
              <w:rPr>
                <w:rFonts w:ascii="Arial Narrow" w:hAnsi="Arial Narrow"/>
                <w:szCs w:val="22"/>
              </w:rPr>
            </w:pPr>
            <w:r w:rsidRPr="00F655A1">
              <w:rPr>
                <w:rFonts w:ascii="Arial Narrow" w:hAnsi="Arial Narrow"/>
                <w:szCs w:val="22"/>
              </w:rPr>
              <w:t>Max</w:t>
            </w:r>
          </w:p>
          <w:p w:rsidR="00997FA9" w:rsidRPr="00F655A1" w:rsidRDefault="00997FA9" w:rsidP="009E7F5F">
            <w:pPr>
              <w:keepNext/>
              <w:ind w:left="-108"/>
              <w:rPr>
                <w:rFonts w:ascii="Arial Narrow" w:hAnsi="Arial Narrow"/>
                <w:szCs w:val="22"/>
              </w:rPr>
            </w:pPr>
            <w:proofErr w:type="spellStart"/>
            <w:r w:rsidRPr="00F655A1">
              <w:rPr>
                <w:rFonts w:ascii="Arial Narrow" w:hAnsi="Arial Narrow"/>
                <w:szCs w:val="22"/>
              </w:rPr>
              <w:t>Qty</w:t>
            </w:r>
            <w:proofErr w:type="spellEnd"/>
          </w:p>
        </w:tc>
        <w:tc>
          <w:tcPr>
            <w:tcW w:w="849" w:type="dxa"/>
            <w:tcBorders>
              <w:bottom w:val="single" w:sz="4" w:space="0" w:color="auto"/>
            </w:tcBorders>
          </w:tcPr>
          <w:p w:rsidR="00997FA9" w:rsidRPr="00F655A1" w:rsidRDefault="00997FA9" w:rsidP="009E7F5F">
            <w:pPr>
              <w:keepNext/>
              <w:ind w:left="-108"/>
              <w:rPr>
                <w:rFonts w:ascii="Arial Narrow" w:hAnsi="Arial Narrow"/>
                <w:szCs w:val="22"/>
              </w:rPr>
            </w:pPr>
            <w:r w:rsidRPr="00F655A1">
              <w:rPr>
                <w:rFonts w:ascii="Arial Narrow" w:hAnsi="Arial Narrow"/>
                <w:szCs w:val="22"/>
              </w:rPr>
              <w:t>№.of</w:t>
            </w:r>
          </w:p>
          <w:p w:rsidR="00997FA9" w:rsidRPr="00F655A1" w:rsidRDefault="00997FA9" w:rsidP="009E7F5F">
            <w:pPr>
              <w:keepNext/>
              <w:ind w:left="-108"/>
              <w:rPr>
                <w:rFonts w:ascii="Arial Narrow" w:hAnsi="Arial Narrow"/>
                <w:szCs w:val="22"/>
              </w:rPr>
            </w:pPr>
            <w:proofErr w:type="spellStart"/>
            <w:r w:rsidRPr="00F655A1">
              <w:rPr>
                <w:rFonts w:ascii="Arial Narrow" w:hAnsi="Arial Narrow"/>
                <w:szCs w:val="22"/>
              </w:rPr>
              <w:t>Rpts</w:t>
            </w:r>
            <w:proofErr w:type="spellEnd"/>
          </w:p>
        </w:tc>
        <w:tc>
          <w:tcPr>
            <w:tcW w:w="3227" w:type="dxa"/>
            <w:gridSpan w:val="2"/>
            <w:tcBorders>
              <w:bottom w:val="single" w:sz="4" w:space="0" w:color="auto"/>
            </w:tcBorders>
          </w:tcPr>
          <w:p w:rsidR="00997FA9" w:rsidRPr="00F655A1" w:rsidRDefault="00997FA9" w:rsidP="009E7F5F">
            <w:pPr>
              <w:keepNext/>
              <w:rPr>
                <w:rFonts w:ascii="Arial Narrow" w:hAnsi="Arial Narrow"/>
                <w:szCs w:val="22"/>
                <w:lang w:val="fr-FR"/>
              </w:rPr>
            </w:pPr>
            <w:r w:rsidRPr="00F655A1">
              <w:rPr>
                <w:rFonts w:ascii="Arial Narrow" w:hAnsi="Arial Narrow"/>
                <w:szCs w:val="22"/>
              </w:rPr>
              <w:t>Proprietary Name and Manufacturer</w:t>
            </w:r>
          </w:p>
        </w:tc>
      </w:tr>
      <w:tr w:rsidR="00997FA9" w:rsidRPr="00F655A1" w:rsidTr="00B95D3E">
        <w:trPr>
          <w:cantSplit/>
          <w:trHeight w:val="721"/>
        </w:trPr>
        <w:tc>
          <w:tcPr>
            <w:tcW w:w="3367" w:type="dxa"/>
          </w:tcPr>
          <w:p w:rsidR="00997FA9" w:rsidRPr="00F655A1" w:rsidRDefault="00997FA9" w:rsidP="009E7F5F">
            <w:pPr>
              <w:keepNext/>
              <w:ind w:left="-108"/>
              <w:rPr>
                <w:rFonts w:ascii="Arial Narrow" w:hAnsi="Arial Narrow"/>
                <w:szCs w:val="22"/>
              </w:rPr>
            </w:pPr>
            <w:r w:rsidRPr="00F655A1">
              <w:rPr>
                <w:rFonts w:ascii="Arial Narrow" w:hAnsi="Arial Narrow"/>
                <w:smallCaps/>
                <w:szCs w:val="22"/>
              </w:rPr>
              <w:t>ENZALUTAMIDE</w:t>
            </w:r>
          </w:p>
          <w:p w:rsidR="00997FA9" w:rsidRPr="00F655A1" w:rsidRDefault="00997FA9" w:rsidP="009E7F5F">
            <w:pPr>
              <w:keepNext/>
              <w:ind w:left="-108"/>
              <w:rPr>
                <w:rFonts w:ascii="Arial Narrow" w:hAnsi="Arial Narrow"/>
                <w:szCs w:val="22"/>
              </w:rPr>
            </w:pPr>
            <w:r w:rsidRPr="00F655A1">
              <w:rPr>
                <w:rFonts w:ascii="Arial Narrow" w:hAnsi="Arial Narrow"/>
                <w:szCs w:val="22"/>
              </w:rPr>
              <w:t>enzalutamide 40 mg capsule, 112</w:t>
            </w:r>
          </w:p>
        </w:tc>
        <w:tc>
          <w:tcPr>
            <w:tcW w:w="849" w:type="dxa"/>
          </w:tcPr>
          <w:p w:rsidR="00997FA9" w:rsidRPr="00F655A1" w:rsidRDefault="00997FA9" w:rsidP="009E7F5F">
            <w:pPr>
              <w:keepNext/>
              <w:ind w:left="-108"/>
              <w:rPr>
                <w:rFonts w:ascii="Arial Narrow" w:hAnsi="Arial Narrow"/>
                <w:szCs w:val="22"/>
              </w:rPr>
            </w:pPr>
          </w:p>
          <w:p w:rsidR="00997FA9" w:rsidRPr="00F655A1" w:rsidRDefault="00997FA9" w:rsidP="009E7F5F">
            <w:pPr>
              <w:keepNext/>
              <w:ind w:left="-108"/>
              <w:rPr>
                <w:rFonts w:ascii="Arial Narrow" w:hAnsi="Arial Narrow"/>
                <w:szCs w:val="22"/>
              </w:rPr>
            </w:pPr>
            <w:r w:rsidRPr="00F655A1">
              <w:rPr>
                <w:rFonts w:ascii="Arial Narrow" w:hAnsi="Arial Narrow"/>
                <w:szCs w:val="22"/>
              </w:rPr>
              <w:t>1</w:t>
            </w:r>
          </w:p>
        </w:tc>
        <w:tc>
          <w:tcPr>
            <w:tcW w:w="849" w:type="dxa"/>
          </w:tcPr>
          <w:p w:rsidR="00997FA9" w:rsidRPr="00F655A1" w:rsidRDefault="00997FA9" w:rsidP="009E7F5F">
            <w:pPr>
              <w:keepNext/>
              <w:ind w:left="-108"/>
              <w:rPr>
                <w:rFonts w:ascii="Arial Narrow" w:hAnsi="Arial Narrow"/>
                <w:szCs w:val="22"/>
              </w:rPr>
            </w:pPr>
          </w:p>
          <w:p w:rsidR="00997FA9" w:rsidRPr="00F655A1" w:rsidRDefault="00997FA9" w:rsidP="009E7F5F">
            <w:pPr>
              <w:keepNext/>
              <w:ind w:left="-108"/>
              <w:rPr>
                <w:rFonts w:ascii="Arial Narrow" w:hAnsi="Arial Narrow"/>
                <w:szCs w:val="22"/>
              </w:rPr>
            </w:pPr>
            <w:r w:rsidRPr="00F655A1">
              <w:rPr>
                <w:rFonts w:ascii="Arial Narrow" w:hAnsi="Arial Narrow"/>
                <w:szCs w:val="22"/>
              </w:rPr>
              <w:t>2</w:t>
            </w:r>
          </w:p>
        </w:tc>
        <w:tc>
          <w:tcPr>
            <w:tcW w:w="1698" w:type="dxa"/>
          </w:tcPr>
          <w:p w:rsidR="00997FA9" w:rsidRPr="00F655A1" w:rsidRDefault="00997FA9" w:rsidP="009E7F5F">
            <w:pPr>
              <w:keepNext/>
              <w:rPr>
                <w:rFonts w:ascii="Arial Narrow" w:hAnsi="Arial Narrow"/>
                <w:szCs w:val="22"/>
              </w:rPr>
            </w:pPr>
            <w:proofErr w:type="spellStart"/>
            <w:r w:rsidRPr="00F655A1">
              <w:rPr>
                <w:rFonts w:ascii="Arial Narrow" w:hAnsi="Arial Narrow"/>
                <w:szCs w:val="22"/>
              </w:rPr>
              <w:t>Xtandi</w:t>
            </w:r>
            <w:proofErr w:type="spellEnd"/>
          </w:p>
        </w:tc>
        <w:tc>
          <w:tcPr>
            <w:tcW w:w="1529" w:type="dxa"/>
          </w:tcPr>
          <w:p w:rsidR="00997FA9" w:rsidRPr="00F655A1" w:rsidRDefault="00997FA9" w:rsidP="009E7F5F">
            <w:pPr>
              <w:keepNext/>
              <w:rPr>
                <w:rFonts w:ascii="Arial Narrow" w:hAnsi="Arial Narrow"/>
                <w:szCs w:val="22"/>
              </w:rPr>
            </w:pPr>
            <w:proofErr w:type="spellStart"/>
            <w:r w:rsidRPr="00F655A1">
              <w:rPr>
                <w:rFonts w:ascii="Arial Narrow" w:hAnsi="Arial Narrow"/>
                <w:szCs w:val="22"/>
              </w:rPr>
              <w:t>Astellas</w:t>
            </w:r>
            <w:proofErr w:type="spellEnd"/>
          </w:p>
        </w:tc>
      </w:tr>
    </w:tbl>
    <w:p w:rsidR="00997FA9" w:rsidRPr="00F655A1" w:rsidRDefault="00997FA9" w:rsidP="00997FA9">
      <w:pPr>
        <w:widowControl/>
        <w:rPr>
          <w:rFonts w:ascii="Arial Narrow" w:hAnsi="Arial Narrow"/>
          <w:szCs w:val="22"/>
        </w:rPr>
      </w:pPr>
    </w:p>
    <w:tbl>
      <w:tblPr>
        <w:tblW w:w="8363" w:type="dxa"/>
        <w:tblInd w:w="817" w:type="dxa"/>
        <w:tblLayout w:type="fixed"/>
        <w:tblLook w:val="0000" w:firstRow="0" w:lastRow="0" w:firstColumn="0" w:lastColumn="0" w:noHBand="0" w:noVBand="0"/>
        <w:tblDescription w:val="listing - enzalutamide"/>
      </w:tblPr>
      <w:tblGrid>
        <w:gridCol w:w="2126"/>
        <w:gridCol w:w="6237"/>
      </w:tblGrid>
      <w:tr w:rsidR="00691297" w:rsidRPr="00F655A1" w:rsidTr="00B95D3E">
        <w:trPr>
          <w:cantSplit/>
          <w:trHeight w:val="360"/>
        </w:trPr>
        <w:tc>
          <w:tcPr>
            <w:tcW w:w="2126" w:type="dxa"/>
            <w:tcBorders>
              <w:top w:val="single" w:sz="4" w:space="0" w:color="auto"/>
              <w:left w:val="single" w:sz="4" w:space="0" w:color="auto"/>
              <w:bottom w:val="single" w:sz="4" w:space="0" w:color="auto"/>
              <w:right w:val="single" w:sz="4" w:space="0" w:color="auto"/>
            </w:tcBorders>
          </w:tcPr>
          <w:p w:rsidR="00691297" w:rsidRPr="00F655A1" w:rsidRDefault="00691297" w:rsidP="009E7F5F">
            <w:pPr>
              <w:rPr>
                <w:rFonts w:ascii="Arial Narrow" w:hAnsi="Arial Narrow"/>
                <w:b/>
                <w:szCs w:val="22"/>
              </w:rPr>
            </w:pPr>
            <w:r>
              <w:rPr>
                <w:rFonts w:ascii="Arial Narrow" w:hAnsi="Arial Narrow"/>
                <w:b/>
                <w:szCs w:val="22"/>
              </w:rPr>
              <w:t>Category/Program:</w:t>
            </w:r>
          </w:p>
        </w:tc>
        <w:tc>
          <w:tcPr>
            <w:tcW w:w="6237" w:type="dxa"/>
            <w:tcBorders>
              <w:top w:val="single" w:sz="4" w:space="0" w:color="auto"/>
              <w:left w:val="single" w:sz="4" w:space="0" w:color="auto"/>
              <w:bottom w:val="single" w:sz="4" w:space="0" w:color="auto"/>
              <w:right w:val="single" w:sz="4" w:space="0" w:color="auto"/>
            </w:tcBorders>
          </w:tcPr>
          <w:p w:rsidR="00691297" w:rsidRPr="00F655A1" w:rsidRDefault="00691297" w:rsidP="009E7F5F">
            <w:pPr>
              <w:rPr>
                <w:rFonts w:ascii="Arial Narrow" w:hAnsi="Arial Narrow"/>
                <w:szCs w:val="22"/>
              </w:rPr>
            </w:pPr>
            <w:r>
              <w:rPr>
                <w:rFonts w:ascii="Arial Narrow" w:hAnsi="Arial Narrow"/>
                <w:szCs w:val="22"/>
              </w:rPr>
              <w:t>GENERAL- General Schedule (GE)</w:t>
            </w:r>
          </w:p>
        </w:tc>
      </w:tr>
      <w:tr w:rsidR="00D47EDD" w:rsidRPr="002B4E71" w:rsidTr="00B95D3E">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7EDD" w:rsidRPr="002B4E71" w:rsidRDefault="00D47EDD" w:rsidP="009644AA">
            <w:pPr>
              <w:rPr>
                <w:rFonts w:ascii="Arial Narrow" w:hAnsi="Arial Narrow"/>
                <w:b/>
                <w:szCs w:val="22"/>
              </w:rPr>
            </w:pPr>
            <w:proofErr w:type="spellStart"/>
            <w:r w:rsidRPr="002B4E71">
              <w:rPr>
                <w:rFonts w:ascii="Arial Narrow" w:hAnsi="Arial Narrow"/>
                <w:b/>
                <w:szCs w:val="22"/>
              </w:rPr>
              <w:t>Episodicity</w:t>
            </w:r>
            <w:proofErr w:type="spellEnd"/>
            <w:r w:rsidRPr="002B4E71">
              <w:rPr>
                <w:rFonts w:ascii="Arial Narrow" w:hAnsi="Arial Narrow"/>
                <w:b/>
                <w:szCs w:val="22"/>
              </w:rPr>
              <w:t>:</w:t>
            </w:r>
          </w:p>
        </w:tc>
        <w:tc>
          <w:tcPr>
            <w:tcW w:w="6237" w:type="dxa"/>
            <w:tcBorders>
              <w:top w:val="single" w:sz="4" w:space="0" w:color="auto"/>
              <w:left w:val="single" w:sz="4" w:space="0" w:color="auto"/>
              <w:bottom w:val="single" w:sz="4" w:space="0" w:color="auto"/>
              <w:right w:val="single" w:sz="4" w:space="0" w:color="auto"/>
            </w:tcBorders>
          </w:tcPr>
          <w:p w:rsidR="00D47EDD" w:rsidRPr="002B4E71" w:rsidRDefault="00D47EDD" w:rsidP="009644AA">
            <w:pPr>
              <w:rPr>
                <w:rFonts w:ascii="Arial Narrow" w:hAnsi="Arial Narrow"/>
                <w:szCs w:val="22"/>
              </w:rPr>
            </w:pPr>
          </w:p>
        </w:tc>
      </w:tr>
      <w:tr w:rsidR="00D47EDD" w:rsidRPr="00F655A1" w:rsidTr="00B95D3E">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7EDD" w:rsidRPr="00F655A1" w:rsidRDefault="00D47EDD" w:rsidP="009E7F5F">
            <w:pPr>
              <w:rPr>
                <w:rFonts w:ascii="Arial Narrow" w:hAnsi="Arial Narrow"/>
                <w:b/>
                <w:szCs w:val="22"/>
              </w:rPr>
            </w:pPr>
            <w:r w:rsidRPr="00F655A1">
              <w:rPr>
                <w:rFonts w:ascii="Arial Narrow" w:hAnsi="Arial Narrow"/>
                <w:b/>
                <w:szCs w:val="22"/>
              </w:rPr>
              <w:t>Severity:</w:t>
            </w:r>
          </w:p>
        </w:tc>
        <w:tc>
          <w:tcPr>
            <w:tcW w:w="6237" w:type="dxa"/>
            <w:tcBorders>
              <w:top w:val="single" w:sz="4" w:space="0" w:color="auto"/>
              <w:left w:val="single" w:sz="4" w:space="0" w:color="auto"/>
              <w:bottom w:val="single" w:sz="4" w:space="0" w:color="auto"/>
              <w:right w:val="single" w:sz="4" w:space="0" w:color="auto"/>
            </w:tcBorders>
          </w:tcPr>
          <w:p w:rsidR="00D47EDD" w:rsidRPr="00F655A1" w:rsidRDefault="00D47EDD" w:rsidP="009E7F5F">
            <w:pPr>
              <w:rPr>
                <w:rFonts w:ascii="Arial Narrow" w:hAnsi="Arial Narrow"/>
                <w:szCs w:val="22"/>
              </w:rPr>
            </w:pPr>
            <w:r w:rsidRPr="00F655A1">
              <w:rPr>
                <w:rFonts w:ascii="Arial Narrow" w:hAnsi="Arial Narrow"/>
                <w:szCs w:val="22"/>
              </w:rPr>
              <w:t>Castration resistant metastatic</w:t>
            </w:r>
          </w:p>
        </w:tc>
      </w:tr>
      <w:tr w:rsidR="00D47EDD" w:rsidRPr="00F655A1" w:rsidTr="00B95D3E">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7EDD" w:rsidRPr="00F655A1" w:rsidRDefault="00D47EDD" w:rsidP="009E7F5F">
            <w:pPr>
              <w:rPr>
                <w:rFonts w:ascii="Arial Narrow" w:hAnsi="Arial Narrow"/>
                <w:b/>
                <w:szCs w:val="22"/>
              </w:rPr>
            </w:pPr>
            <w:r w:rsidRPr="00F655A1">
              <w:rPr>
                <w:rFonts w:ascii="Arial Narrow" w:hAnsi="Arial Narrow"/>
                <w:b/>
                <w:szCs w:val="22"/>
              </w:rPr>
              <w:t>Condition:</w:t>
            </w:r>
          </w:p>
        </w:tc>
        <w:tc>
          <w:tcPr>
            <w:tcW w:w="6237" w:type="dxa"/>
            <w:tcBorders>
              <w:top w:val="single" w:sz="4" w:space="0" w:color="auto"/>
              <w:left w:val="single" w:sz="4" w:space="0" w:color="auto"/>
              <w:bottom w:val="single" w:sz="4" w:space="0" w:color="auto"/>
              <w:right w:val="single" w:sz="4" w:space="0" w:color="auto"/>
            </w:tcBorders>
          </w:tcPr>
          <w:p w:rsidR="00D47EDD" w:rsidRPr="00F655A1" w:rsidRDefault="00D47EDD" w:rsidP="009E7F5F">
            <w:pPr>
              <w:rPr>
                <w:rFonts w:ascii="Arial Narrow" w:hAnsi="Arial Narrow"/>
                <w:szCs w:val="22"/>
              </w:rPr>
            </w:pPr>
            <w:r>
              <w:rPr>
                <w:rFonts w:ascii="Arial Narrow" w:hAnsi="Arial Narrow"/>
                <w:szCs w:val="22"/>
              </w:rPr>
              <w:t>c</w:t>
            </w:r>
            <w:r w:rsidRPr="00F655A1">
              <w:rPr>
                <w:rFonts w:ascii="Arial Narrow" w:hAnsi="Arial Narrow"/>
                <w:szCs w:val="22"/>
              </w:rPr>
              <w:t>arcinoma of the prostate</w:t>
            </w:r>
          </w:p>
        </w:tc>
      </w:tr>
      <w:tr w:rsidR="00D47EDD" w:rsidRPr="00F655A1" w:rsidTr="00B95D3E">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7EDD" w:rsidRPr="00F655A1" w:rsidRDefault="00D47EDD" w:rsidP="009E7F5F">
            <w:pPr>
              <w:rPr>
                <w:rFonts w:ascii="Arial Narrow" w:hAnsi="Arial Narrow"/>
                <w:b/>
                <w:szCs w:val="22"/>
              </w:rPr>
            </w:pPr>
            <w:r w:rsidRPr="00F655A1">
              <w:rPr>
                <w:rFonts w:ascii="Arial Narrow" w:hAnsi="Arial Narrow"/>
                <w:b/>
                <w:szCs w:val="22"/>
              </w:rPr>
              <w:t>Clinical criteria:</w:t>
            </w:r>
          </w:p>
          <w:p w:rsidR="00D47EDD" w:rsidRPr="00F655A1" w:rsidRDefault="00D47EDD" w:rsidP="009E7F5F">
            <w:pPr>
              <w:rPr>
                <w:rFonts w:ascii="Arial Narrow" w:hAnsi="Arial Narrow"/>
                <w:szCs w:val="22"/>
              </w:rPr>
            </w:pPr>
          </w:p>
        </w:tc>
        <w:tc>
          <w:tcPr>
            <w:tcW w:w="6237" w:type="dxa"/>
            <w:tcBorders>
              <w:top w:val="single" w:sz="4" w:space="0" w:color="auto"/>
              <w:left w:val="single" w:sz="4" w:space="0" w:color="auto"/>
              <w:bottom w:val="single" w:sz="4" w:space="0" w:color="auto"/>
              <w:right w:val="single" w:sz="4" w:space="0" w:color="auto"/>
            </w:tcBorders>
          </w:tcPr>
          <w:p w:rsidR="00D47EDD" w:rsidRPr="00BE2EBE" w:rsidRDefault="00D47EDD" w:rsidP="009E7F5F">
            <w:pPr>
              <w:rPr>
                <w:rFonts w:ascii="Arial Narrow" w:hAnsi="Arial Narrow"/>
                <w:szCs w:val="22"/>
              </w:rPr>
            </w:pPr>
            <w:r w:rsidRPr="00BE2EBE">
              <w:rPr>
                <w:rFonts w:ascii="Arial Narrow" w:hAnsi="Arial Narrow"/>
                <w:szCs w:val="22"/>
              </w:rPr>
              <w:t>The treatment must not be used in combination with chemotherapy</w:t>
            </w:r>
          </w:p>
          <w:p w:rsidR="00D47EDD" w:rsidRPr="00BE2EBE" w:rsidRDefault="00D47EDD" w:rsidP="009E7F5F">
            <w:pPr>
              <w:rPr>
                <w:rFonts w:ascii="Arial Narrow" w:hAnsi="Arial Narrow"/>
                <w:szCs w:val="22"/>
              </w:rPr>
            </w:pPr>
          </w:p>
          <w:p w:rsidR="00D47EDD" w:rsidRPr="00BE2EBE" w:rsidRDefault="00D47EDD" w:rsidP="009E7F5F">
            <w:pPr>
              <w:rPr>
                <w:rFonts w:ascii="Arial Narrow" w:hAnsi="Arial Narrow"/>
                <w:szCs w:val="22"/>
              </w:rPr>
            </w:pPr>
            <w:r w:rsidRPr="00BE2EBE">
              <w:rPr>
                <w:rFonts w:ascii="Arial Narrow" w:hAnsi="Arial Narrow"/>
                <w:szCs w:val="22"/>
              </w:rPr>
              <w:t>AND</w:t>
            </w:r>
          </w:p>
          <w:p w:rsidR="00D47EDD" w:rsidRPr="00BE2EBE" w:rsidRDefault="00D47EDD" w:rsidP="009E7F5F">
            <w:pPr>
              <w:rPr>
                <w:rFonts w:ascii="Arial Narrow" w:hAnsi="Arial Narrow"/>
                <w:szCs w:val="22"/>
              </w:rPr>
            </w:pPr>
          </w:p>
          <w:p w:rsidR="00D47EDD" w:rsidRDefault="00D47EDD" w:rsidP="009E7F5F">
            <w:pPr>
              <w:rPr>
                <w:rFonts w:ascii="Arial Narrow" w:hAnsi="Arial Narrow"/>
                <w:szCs w:val="22"/>
              </w:rPr>
            </w:pPr>
            <w:r w:rsidRPr="00687F81">
              <w:rPr>
                <w:rFonts w:ascii="Arial Narrow" w:hAnsi="Arial Narrow"/>
                <w:szCs w:val="22"/>
              </w:rPr>
              <w:t xml:space="preserve">Patient must have failed treatment with </w:t>
            </w:r>
            <w:proofErr w:type="spellStart"/>
            <w:r w:rsidRPr="00687F81">
              <w:rPr>
                <w:rFonts w:ascii="Arial Narrow" w:hAnsi="Arial Narrow"/>
                <w:szCs w:val="22"/>
              </w:rPr>
              <w:t>docetaxel</w:t>
            </w:r>
            <w:proofErr w:type="spellEnd"/>
            <w:r w:rsidRPr="00687F81">
              <w:rPr>
                <w:rFonts w:ascii="Arial Narrow" w:hAnsi="Arial Narrow"/>
                <w:szCs w:val="22"/>
              </w:rPr>
              <w:t xml:space="preserve"> due to resistance or intolerance</w:t>
            </w:r>
          </w:p>
          <w:p w:rsidR="00D47EDD" w:rsidRPr="00BE2EBE" w:rsidRDefault="00D47EDD" w:rsidP="009E7F5F">
            <w:pPr>
              <w:rPr>
                <w:rFonts w:ascii="Arial Narrow" w:hAnsi="Arial Narrow"/>
                <w:szCs w:val="22"/>
              </w:rPr>
            </w:pPr>
          </w:p>
          <w:p w:rsidR="00D47EDD" w:rsidRPr="00BE2EBE" w:rsidRDefault="00D47EDD" w:rsidP="009E7F5F">
            <w:pPr>
              <w:rPr>
                <w:rFonts w:ascii="Arial Narrow" w:hAnsi="Arial Narrow"/>
                <w:szCs w:val="22"/>
              </w:rPr>
            </w:pPr>
            <w:r w:rsidRPr="00BE2EBE">
              <w:rPr>
                <w:rFonts w:ascii="Arial Narrow" w:hAnsi="Arial Narrow"/>
                <w:szCs w:val="22"/>
              </w:rPr>
              <w:t>AND</w:t>
            </w:r>
          </w:p>
          <w:p w:rsidR="00D47EDD" w:rsidRPr="00BE2EBE" w:rsidRDefault="00D47EDD" w:rsidP="009E7F5F">
            <w:pPr>
              <w:rPr>
                <w:rFonts w:ascii="Arial Narrow" w:hAnsi="Arial Narrow"/>
                <w:szCs w:val="22"/>
              </w:rPr>
            </w:pPr>
          </w:p>
          <w:p w:rsidR="00D47EDD" w:rsidRPr="00BE2EBE" w:rsidRDefault="00D47EDD" w:rsidP="009E7F5F">
            <w:pPr>
              <w:rPr>
                <w:rFonts w:ascii="Arial Narrow" w:hAnsi="Arial Narrow"/>
                <w:szCs w:val="22"/>
              </w:rPr>
            </w:pPr>
            <w:r w:rsidRPr="00BE2EBE">
              <w:rPr>
                <w:rFonts w:ascii="Arial Narrow" w:hAnsi="Arial Narrow"/>
                <w:szCs w:val="22"/>
              </w:rPr>
              <w:t>Patient must have a WHO performance status of 2 or less</w:t>
            </w:r>
          </w:p>
          <w:p w:rsidR="00D47EDD" w:rsidRPr="00BE2EBE" w:rsidRDefault="00D47EDD" w:rsidP="009E7F5F">
            <w:pPr>
              <w:rPr>
                <w:rFonts w:ascii="Arial Narrow" w:hAnsi="Arial Narrow"/>
                <w:szCs w:val="22"/>
              </w:rPr>
            </w:pPr>
          </w:p>
          <w:p w:rsidR="00D47EDD" w:rsidRPr="00BE2EBE" w:rsidRDefault="00D47EDD" w:rsidP="009E7F5F">
            <w:pPr>
              <w:rPr>
                <w:rFonts w:ascii="Arial Narrow" w:hAnsi="Arial Narrow"/>
                <w:szCs w:val="22"/>
              </w:rPr>
            </w:pPr>
            <w:r w:rsidRPr="00BE2EBE">
              <w:rPr>
                <w:rFonts w:ascii="Arial Narrow" w:hAnsi="Arial Narrow"/>
                <w:szCs w:val="22"/>
              </w:rPr>
              <w:t>AND</w:t>
            </w:r>
          </w:p>
          <w:p w:rsidR="00D47EDD" w:rsidRPr="00BE2EBE" w:rsidRDefault="00D47EDD" w:rsidP="009E7F5F">
            <w:pPr>
              <w:rPr>
                <w:rFonts w:ascii="Arial Narrow" w:hAnsi="Arial Narrow"/>
                <w:szCs w:val="22"/>
              </w:rPr>
            </w:pPr>
          </w:p>
          <w:p w:rsidR="00D47EDD" w:rsidRDefault="00D47EDD" w:rsidP="009E7F5F">
            <w:pPr>
              <w:rPr>
                <w:rFonts w:ascii="Arial Narrow" w:hAnsi="Arial Narrow"/>
                <w:szCs w:val="22"/>
              </w:rPr>
            </w:pPr>
            <w:r w:rsidRPr="00BE2EBE">
              <w:rPr>
                <w:rFonts w:ascii="Arial Narrow" w:hAnsi="Arial Narrow"/>
                <w:szCs w:val="22"/>
              </w:rPr>
              <w:t xml:space="preserve">Patient must not receive PBS-subsidised </w:t>
            </w:r>
            <w:r>
              <w:rPr>
                <w:rFonts w:ascii="Arial Narrow" w:hAnsi="Arial Narrow"/>
                <w:szCs w:val="22"/>
              </w:rPr>
              <w:t>treatment with this drug</w:t>
            </w:r>
            <w:r w:rsidRPr="00BE2EBE">
              <w:rPr>
                <w:rFonts w:ascii="Arial Narrow" w:hAnsi="Arial Narrow"/>
                <w:szCs w:val="22"/>
              </w:rPr>
              <w:t xml:space="preserve"> if progressive disease develops while on </w:t>
            </w:r>
            <w:r>
              <w:rPr>
                <w:rFonts w:ascii="Arial Narrow" w:hAnsi="Arial Narrow"/>
                <w:szCs w:val="22"/>
              </w:rPr>
              <w:t>this drug</w:t>
            </w:r>
          </w:p>
          <w:p w:rsidR="00D47EDD" w:rsidRDefault="00D47EDD" w:rsidP="009E7F5F">
            <w:pPr>
              <w:rPr>
                <w:rFonts w:ascii="Arial Narrow" w:hAnsi="Arial Narrow"/>
                <w:szCs w:val="22"/>
              </w:rPr>
            </w:pPr>
          </w:p>
          <w:p w:rsidR="00D47EDD" w:rsidRDefault="00D47EDD" w:rsidP="009E7F5F">
            <w:pPr>
              <w:rPr>
                <w:rFonts w:ascii="Arial Narrow" w:hAnsi="Arial Narrow"/>
                <w:szCs w:val="22"/>
              </w:rPr>
            </w:pPr>
            <w:r>
              <w:rPr>
                <w:rFonts w:ascii="Arial Narrow" w:hAnsi="Arial Narrow"/>
                <w:szCs w:val="22"/>
              </w:rPr>
              <w:t>AND</w:t>
            </w:r>
          </w:p>
          <w:p w:rsidR="00D47EDD" w:rsidRDefault="00D47EDD" w:rsidP="009E7F5F">
            <w:pPr>
              <w:rPr>
                <w:rFonts w:ascii="Arial Narrow" w:hAnsi="Arial Narrow"/>
                <w:szCs w:val="22"/>
              </w:rPr>
            </w:pPr>
          </w:p>
          <w:p w:rsidR="00D47EDD" w:rsidRDefault="00D47EDD" w:rsidP="00BE2EBE">
            <w:pPr>
              <w:rPr>
                <w:rFonts w:ascii="Arial Narrow" w:hAnsi="Arial Narrow"/>
                <w:szCs w:val="22"/>
              </w:rPr>
            </w:pPr>
            <w:r>
              <w:rPr>
                <w:rFonts w:ascii="Arial Narrow" w:hAnsi="Arial Narrow"/>
                <w:szCs w:val="22"/>
              </w:rPr>
              <w:t>Patient</w:t>
            </w:r>
            <w:r w:rsidRPr="00BE2EBE">
              <w:rPr>
                <w:rFonts w:ascii="Arial Narrow" w:hAnsi="Arial Narrow"/>
                <w:szCs w:val="22"/>
              </w:rPr>
              <w:t xml:space="preserve"> </w:t>
            </w:r>
            <w:r>
              <w:rPr>
                <w:rFonts w:ascii="Arial Narrow" w:hAnsi="Arial Narrow"/>
                <w:szCs w:val="22"/>
              </w:rPr>
              <w:t xml:space="preserve">must not </w:t>
            </w:r>
            <w:r w:rsidRPr="00BE2EBE">
              <w:rPr>
                <w:rFonts w:ascii="Arial Narrow" w:hAnsi="Arial Narrow"/>
                <w:szCs w:val="22"/>
              </w:rPr>
              <w:t>have</w:t>
            </w:r>
            <w:r>
              <w:rPr>
                <w:rFonts w:ascii="Arial Narrow" w:hAnsi="Arial Narrow"/>
                <w:szCs w:val="22"/>
              </w:rPr>
              <w:t xml:space="preserve"> received prior treatment with abiraterone </w:t>
            </w:r>
          </w:p>
          <w:p w:rsidR="00D47EDD" w:rsidRDefault="00D47EDD" w:rsidP="00BE2EBE">
            <w:pPr>
              <w:rPr>
                <w:rFonts w:ascii="Arial Narrow" w:hAnsi="Arial Narrow"/>
                <w:szCs w:val="22"/>
              </w:rPr>
            </w:pPr>
          </w:p>
          <w:p w:rsidR="00D47EDD" w:rsidRDefault="00D47EDD" w:rsidP="00BE2EBE">
            <w:pPr>
              <w:rPr>
                <w:rFonts w:ascii="Arial Narrow" w:hAnsi="Arial Narrow"/>
                <w:szCs w:val="22"/>
              </w:rPr>
            </w:pPr>
            <w:r>
              <w:rPr>
                <w:rFonts w:ascii="Arial Narrow" w:hAnsi="Arial Narrow"/>
                <w:szCs w:val="22"/>
              </w:rPr>
              <w:t>OR</w:t>
            </w:r>
          </w:p>
          <w:p w:rsidR="00D47EDD" w:rsidRDefault="00D47EDD" w:rsidP="00BE2EBE">
            <w:pPr>
              <w:rPr>
                <w:rFonts w:ascii="Arial Narrow" w:hAnsi="Arial Narrow"/>
                <w:szCs w:val="22"/>
              </w:rPr>
            </w:pPr>
          </w:p>
          <w:p w:rsidR="00D47EDD" w:rsidRPr="00BE2EBE" w:rsidRDefault="00D47EDD" w:rsidP="00BE2EBE">
            <w:pPr>
              <w:rPr>
                <w:rFonts w:ascii="Arial Narrow" w:hAnsi="Arial Narrow"/>
                <w:szCs w:val="22"/>
              </w:rPr>
            </w:pPr>
            <w:r>
              <w:rPr>
                <w:rFonts w:ascii="Arial Narrow" w:hAnsi="Arial Narrow"/>
                <w:szCs w:val="22"/>
              </w:rPr>
              <w:t xml:space="preserve">Patient must have developed intolerance to </w:t>
            </w:r>
            <w:r w:rsidRPr="00BE2EBE">
              <w:rPr>
                <w:rFonts w:ascii="Arial Narrow" w:hAnsi="Arial Narrow"/>
                <w:szCs w:val="22"/>
              </w:rPr>
              <w:t>abiraterone of a severity necessitating permanent treatment withdrawal.</w:t>
            </w:r>
          </w:p>
          <w:p w:rsidR="00D47EDD" w:rsidRPr="00BE2EBE" w:rsidRDefault="00D47EDD" w:rsidP="009E7F5F">
            <w:pPr>
              <w:rPr>
                <w:rFonts w:ascii="Arial Narrow" w:hAnsi="Arial Narrow"/>
                <w:szCs w:val="22"/>
              </w:rPr>
            </w:pPr>
          </w:p>
          <w:p w:rsidR="00D47EDD" w:rsidRPr="00BE2EBE" w:rsidRDefault="00D47EDD" w:rsidP="009E7F5F">
            <w:pPr>
              <w:rPr>
                <w:rFonts w:ascii="Arial Narrow" w:hAnsi="Arial Narrow"/>
                <w:szCs w:val="22"/>
              </w:rPr>
            </w:pPr>
          </w:p>
        </w:tc>
      </w:tr>
      <w:tr w:rsidR="00D47EDD" w:rsidRPr="00F655A1" w:rsidTr="00B95D3E">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7EDD" w:rsidRPr="00F655A1" w:rsidRDefault="00D47EDD" w:rsidP="009E7F5F">
            <w:pPr>
              <w:rPr>
                <w:rFonts w:ascii="Arial Narrow" w:hAnsi="Arial Narrow"/>
                <w:b/>
                <w:szCs w:val="22"/>
              </w:rPr>
            </w:pPr>
            <w:r w:rsidRPr="00F655A1">
              <w:rPr>
                <w:rFonts w:ascii="Arial Narrow" w:hAnsi="Arial Narrow"/>
                <w:b/>
                <w:szCs w:val="22"/>
              </w:rPr>
              <w:t>Administrative Advice</w:t>
            </w:r>
          </w:p>
          <w:p w:rsidR="00D47EDD" w:rsidRPr="00F655A1" w:rsidRDefault="00D47EDD" w:rsidP="009E7F5F">
            <w:pPr>
              <w:rPr>
                <w:rFonts w:ascii="Arial Narrow" w:hAnsi="Arial Narrow"/>
                <w:i/>
                <w:szCs w:val="22"/>
              </w:rPr>
            </w:pPr>
          </w:p>
        </w:tc>
        <w:tc>
          <w:tcPr>
            <w:tcW w:w="6237" w:type="dxa"/>
            <w:tcBorders>
              <w:top w:val="single" w:sz="4" w:space="0" w:color="auto"/>
              <w:left w:val="single" w:sz="4" w:space="0" w:color="auto"/>
              <w:bottom w:val="single" w:sz="4" w:space="0" w:color="auto"/>
              <w:right w:val="single" w:sz="4" w:space="0" w:color="auto"/>
            </w:tcBorders>
          </w:tcPr>
          <w:p w:rsidR="00D47EDD" w:rsidRPr="00BE2EBE" w:rsidRDefault="00D47EDD" w:rsidP="009E7F5F">
            <w:pPr>
              <w:rPr>
                <w:rFonts w:ascii="Arial Narrow" w:hAnsi="Arial Narrow"/>
                <w:szCs w:val="22"/>
              </w:rPr>
            </w:pPr>
            <w:r w:rsidRPr="00BE2EBE">
              <w:rPr>
                <w:rFonts w:ascii="Arial Narrow" w:hAnsi="Arial Narrow"/>
                <w:szCs w:val="22"/>
              </w:rPr>
              <w:t>Note:</w:t>
            </w:r>
          </w:p>
          <w:p w:rsidR="00D47EDD" w:rsidRPr="00BE2EBE" w:rsidRDefault="00D47EDD" w:rsidP="009E7F5F">
            <w:pPr>
              <w:rPr>
                <w:rFonts w:ascii="Arial Narrow" w:hAnsi="Arial Narrow"/>
                <w:szCs w:val="22"/>
              </w:rPr>
            </w:pPr>
            <w:r w:rsidRPr="00BE2EBE">
              <w:rPr>
                <w:rFonts w:ascii="Arial Narrow" w:hAnsi="Arial Narrow"/>
                <w:szCs w:val="22"/>
              </w:rPr>
              <w:t>Special Pricing Arrangements apply.</w:t>
            </w:r>
          </w:p>
          <w:p w:rsidR="00D47EDD" w:rsidRPr="00BE2EBE" w:rsidRDefault="00D47EDD" w:rsidP="009E7F5F">
            <w:pPr>
              <w:rPr>
                <w:rFonts w:ascii="Arial Narrow" w:hAnsi="Arial Narrow"/>
                <w:szCs w:val="22"/>
              </w:rPr>
            </w:pPr>
          </w:p>
          <w:p w:rsidR="00D47EDD" w:rsidRPr="00BE2EBE" w:rsidRDefault="00D47EDD" w:rsidP="009E7F5F">
            <w:pPr>
              <w:rPr>
                <w:rFonts w:ascii="Arial Narrow" w:hAnsi="Arial Narrow"/>
                <w:szCs w:val="22"/>
              </w:rPr>
            </w:pPr>
            <w:r w:rsidRPr="00BE2EBE">
              <w:rPr>
                <w:rFonts w:ascii="Arial Narrow" w:hAnsi="Arial Narrow"/>
                <w:szCs w:val="22"/>
              </w:rPr>
              <w:t>Note:</w:t>
            </w:r>
          </w:p>
          <w:p w:rsidR="00D47EDD" w:rsidRPr="00BE2EBE" w:rsidRDefault="00D47EDD" w:rsidP="009E7F5F">
            <w:pPr>
              <w:rPr>
                <w:rFonts w:ascii="Arial Narrow" w:hAnsi="Arial Narrow"/>
                <w:szCs w:val="22"/>
              </w:rPr>
            </w:pPr>
            <w:r w:rsidRPr="00BE2EBE">
              <w:rPr>
                <w:rFonts w:ascii="Arial Narrow" w:hAnsi="Arial Narrow"/>
                <w:szCs w:val="22"/>
              </w:rPr>
              <w:t>No increase in the maximum quantity or number of units may be authorised.</w:t>
            </w:r>
          </w:p>
          <w:p w:rsidR="00D47EDD" w:rsidRPr="00BE2EBE" w:rsidRDefault="00D47EDD" w:rsidP="009E7F5F">
            <w:pPr>
              <w:rPr>
                <w:rFonts w:ascii="Arial Narrow" w:hAnsi="Arial Narrow"/>
                <w:szCs w:val="22"/>
              </w:rPr>
            </w:pPr>
          </w:p>
          <w:p w:rsidR="00D47EDD" w:rsidRPr="00BE2EBE" w:rsidRDefault="00D47EDD" w:rsidP="009E7F5F">
            <w:pPr>
              <w:rPr>
                <w:rFonts w:ascii="Arial Narrow" w:hAnsi="Arial Narrow"/>
                <w:szCs w:val="22"/>
              </w:rPr>
            </w:pPr>
            <w:r w:rsidRPr="00BE2EBE">
              <w:rPr>
                <w:rFonts w:ascii="Arial Narrow" w:hAnsi="Arial Narrow"/>
                <w:szCs w:val="22"/>
              </w:rPr>
              <w:t>Note:</w:t>
            </w:r>
          </w:p>
          <w:p w:rsidR="00D47EDD" w:rsidRPr="00BE2EBE" w:rsidRDefault="00D47EDD" w:rsidP="009E7F5F">
            <w:pPr>
              <w:rPr>
                <w:rFonts w:ascii="Arial Narrow" w:hAnsi="Arial Narrow"/>
                <w:szCs w:val="22"/>
              </w:rPr>
            </w:pPr>
            <w:r w:rsidRPr="00BE2EBE">
              <w:rPr>
                <w:rFonts w:ascii="Arial Narrow" w:hAnsi="Arial Narrow"/>
                <w:szCs w:val="22"/>
              </w:rPr>
              <w:t>No increase in the maximum number of repeats may be authorised</w:t>
            </w:r>
          </w:p>
          <w:p w:rsidR="00D47EDD" w:rsidRPr="00F655A1" w:rsidRDefault="00D47EDD" w:rsidP="009E7F5F">
            <w:pPr>
              <w:rPr>
                <w:rFonts w:ascii="Arial Narrow" w:hAnsi="Arial Narrow"/>
                <w:i/>
                <w:szCs w:val="22"/>
              </w:rPr>
            </w:pPr>
          </w:p>
        </w:tc>
      </w:tr>
    </w:tbl>
    <w:p w:rsidR="004D6418" w:rsidRDefault="004D6418" w:rsidP="004D6418"/>
    <w:p w:rsidR="00221AB7" w:rsidRDefault="00221AB7" w:rsidP="00221AB7">
      <w:pPr>
        <w:pStyle w:val="ListParagraph"/>
        <w:widowControl/>
        <w:numPr>
          <w:ilvl w:val="0"/>
          <w:numId w:val="2"/>
        </w:numPr>
        <w:rPr>
          <w:b/>
        </w:rPr>
      </w:pPr>
      <w:r w:rsidRPr="00D4420F">
        <w:rPr>
          <w:b/>
        </w:rPr>
        <w:t>Context for Decision</w:t>
      </w:r>
    </w:p>
    <w:p w:rsidR="00221AB7" w:rsidRPr="00D4420F" w:rsidRDefault="00221AB7" w:rsidP="00221AB7">
      <w:pPr>
        <w:pStyle w:val="ListParagraph"/>
        <w:widowControl/>
        <w:rPr>
          <w:b/>
        </w:rPr>
      </w:pPr>
    </w:p>
    <w:p w:rsidR="00221AB7" w:rsidRPr="00D4420F" w:rsidRDefault="00221AB7" w:rsidP="00221AB7">
      <w:pPr>
        <w:ind w:left="720"/>
      </w:pPr>
      <w:r w:rsidRPr="00D4420F">
        <w:t xml:space="preserve">The PBAC helps decide whether and, if so, how medicines should be subsidised in Australia. It considers submissions in this context. A PBAC decision not to recommend listing or not to recommend changing a listing does not represent a final </w:t>
      </w:r>
      <w:r w:rsidRPr="00D4420F">
        <w:lastRenderedPageBreak/>
        <w:t>PBAC view about the merits of the medicine. A company can resubmit to the PBAC or seek independent review of the PBAC decision.</w:t>
      </w:r>
    </w:p>
    <w:p w:rsidR="00221AB7" w:rsidRPr="00D4420F" w:rsidRDefault="00221AB7" w:rsidP="00221AB7"/>
    <w:p w:rsidR="00221AB7" w:rsidRDefault="00221AB7" w:rsidP="00221AB7">
      <w:pPr>
        <w:pStyle w:val="ListParagraph"/>
        <w:widowControl/>
        <w:numPr>
          <w:ilvl w:val="0"/>
          <w:numId w:val="2"/>
        </w:numPr>
        <w:rPr>
          <w:b/>
        </w:rPr>
      </w:pPr>
      <w:r w:rsidRPr="00D4420F">
        <w:rPr>
          <w:b/>
        </w:rPr>
        <w:t>Sponsor’s Comment</w:t>
      </w:r>
    </w:p>
    <w:p w:rsidR="000323EF" w:rsidRDefault="000323EF" w:rsidP="000323EF">
      <w:pPr>
        <w:pStyle w:val="ListParagraph"/>
        <w:widowControl/>
        <w:rPr>
          <w:b/>
        </w:rPr>
      </w:pPr>
    </w:p>
    <w:p w:rsidR="000323EF" w:rsidRPr="00D4420F" w:rsidRDefault="000323EF" w:rsidP="000323EF">
      <w:pPr>
        <w:pStyle w:val="ListParagraph"/>
        <w:widowControl/>
        <w:rPr>
          <w:b/>
        </w:rPr>
      </w:pPr>
      <w:r>
        <w:t xml:space="preserve">The </w:t>
      </w:r>
      <w:r w:rsidR="00961C4D">
        <w:t>s</w:t>
      </w:r>
      <w:r>
        <w:t xml:space="preserve">ponsor is pleased that enzalutamide will be available to patients with </w:t>
      </w:r>
      <w:proofErr w:type="spellStart"/>
      <w:r>
        <w:t>mCRPC</w:t>
      </w:r>
      <w:proofErr w:type="spellEnd"/>
      <w:r>
        <w:t>.</w:t>
      </w:r>
      <w:r w:rsidR="00A03626">
        <w:t xml:space="preserve"> The sponsor is not in agreement with the reporting of some of the data as presented in the PSD and is currently in the process of rectifying data errors with the PBAC.</w:t>
      </w:r>
    </w:p>
    <w:p w:rsidR="00221AB7" w:rsidRDefault="00221AB7" w:rsidP="004D6418"/>
    <w:p w:rsidR="00221AB7" w:rsidRPr="00221AB7" w:rsidRDefault="00221AB7" w:rsidP="00221AB7"/>
    <w:p w:rsidR="00221AB7" w:rsidRPr="00221AB7" w:rsidRDefault="00221AB7" w:rsidP="00221AB7"/>
    <w:p w:rsidR="00221AB7" w:rsidRDefault="00221AB7" w:rsidP="00221AB7"/>
    <w:p w:rsidR="00221AB7" w:rsidRPr="00221AB7" w:rsidRDefault="00221AB7" w:rsidP="00221AB7">
      <w:pPr>
        <w:jc w:val="center"/>
      </w:pPr>
    </w:p>
    <w:sectPr w:rsidR="00221AB7" w:rsidRPr="00221AB7" w:rsidSect="000B34BC">
      <w:headerReference w:type="even" r:id="rId8"/>
      <w:headerReference w:type="default" r:id="rId9"/>
      <w:footerReference w:type="even" r:id="rId10"/>
      <w:footerReference w:type="default" r:id="rId11"/>
      <w:headerReference w:type="first" r:id="rId12"/>
      <w:footerReference w:type="first" r:id="rId13"/>
      <w:pgSz w:w="11906" w:h="16838"/>
      <w:pgMar w:top="1528" w:right="1440" w:bottom="1440" w:left="1440" w:header="709" w:footer="762"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545A2" w15:done="0"/>
  <w15:commentEx w15:paraId="5ABDE20F" w15:done="0"/>
  <w15:commentEx w15:paraId="020FDB35" w15:done="0"/>
  <w15:commentEx w15:paraId="412A8BC4" w15:done="0"/>
  <w15:commentEx w15:paraId="15450053" w15:done="0"/>
  <w15:commentEx w15:paraId="4D04FC54" w15:done="0"/>
  <w15:commentEx w15:paraId="1336DCE7" w15:done="0"/>
  <w15:commentEx w15:paraId="0D4FEF2A" w15:done="0"/>
  <w15:commentEx w15:paraId="0F20F1F5" w15:done="0"/>
  <w15:commentEx w15:paraId="6EB4EAAE" w15:done="0"/>
  <w15:commentEx w15:paraId="1B97FF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C6" w:rsidRDefault="00033BC6" w:rsidP="00124A51">
      <w:r>
        <w:separator/>
      </w:r>
    </w:p>
  </w:endnote>
  <w:endnote w:type="continuationSeparator" w:id="0">
    <w:p w:rsidR="00033BC6" w:rsidRDefault="00033BC6"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New,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C6" w:rsidRDefault="00033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497176"/>
      <w:docPartObj>
        <w:docPartGallery w:val="Page Numbers (Bottom of Page)"/>
        <w:docPartUnique/>
      </w:docPartObj>
    </w:sdtPr>
    <w:sdtEndPr>
      <w:rPr>
        <w:noProof/>
      </w:rPr>
    </w:sdtEndPr>
    <w:sdtContent>
      <w:p w:rsidR="00033BC6" w:rsidRDefault="00033BC6">
        <w:pPr>
          <w:pStyle w:val="Footer"/>
          <w:jc w:val="center"/>
        </w:pPr>
      </w:p>
      <w:p w:rsidR="00033BC6" w:rsidRDefault="00033BC6">
        <w:pPr>
          <w:pStyle w:val="Footer"/>
          <w:jc w:val="center"/>
        </w:pPr>
        <w:r>
          <w:fldChar w:fldCharType="begin"/>
        </w:r>
        <w:r>
          <w:instrText xml:space="preserve"> PAGE   \* MERGEFORMAT </w:instrText>
        </w:r>
        <w:r>
          <w:fldChar w:fldCharType="separate"/>
        </w:r>
        <w:r w:rsidR="00EC2306">
          <w:rPr>
            <w:noProof/>
          </w:rPr>
          <w:t>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C6" w:rsidRDefault="00033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C6" w:rsidRDefault="00033BC6" w:rsidP="00124A51">
      <w:r>
        <w:separator/>
      </w:r>
    </w:p>
  </w:footnote>
  <w:footnote w:type="continuationSeparator" w:id="0">
    <w:p w:rsidR="00033BC6" w:rsidRDefault="00033BC6"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C6" w:rsidRDefault="00033B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C6" w:rsidRPr="00DF217D" w:rsidRDefault="00033BC6" w:rsidP="00221AB7">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033BC6" w:rsidRPr="00EE07D3" w:rsidRDefault="00033BC6">
    <w:pPr>
      <w:pStyle w:val="Header"/>
      <w:rPr>
        <w:color w:val="D9D9D9" w:themeColor="background1" w:themeShade="D9"/>
      </w:rPr>
    </w:pPr>
  </w:p>
  <w:p w:rsidR="00033BC6" w:rsidRPr="008C7ECB" w:rsidRDefault="00033B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C6" w:rsidRDefault="00033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118"/>
    <w:multiLevelType w:val="hybridMultilevel"/>
    <w:tmpl w:val="3E989E04"/>
    <w:lvl w:ilvl="0" w:tplc="683E722A">
      <w:start w:val="1"/>
      <w:numFmt w:val="bullet"/>
      <w:lvlText w:val="•"/>
      <w:lvlJc w:val="left"/>
      <w:pPr>
        <w:tabs>
          <w:tab w:val="num" w:pos="720"/>
        </w:tabs>
        <w:ind w:left="720" w:hanging="360"/>
      </w:pPr>
      <w:rPr>
        <w:rFonts w:ascii="Times New Roman" w:hAnsi="Times New Roman" w:hint="default"/>
      </w:rPr>
    </w:lvl>
    <w:lvl w:ilvl="1" w:tplc="40649F24" w:tentative="1">
      <w:start w:val="1"/>
      <w:numFmt w:val="bullet"/>
      <w:lvlText w:val="•"/>
      <w:lvlJc w:val="left"/>
      <w:pPr>
        <w:tabs>
          <w:tab w:val="num" w:pos="1440"/>
        </w:tabs>
        <w:ind w:left="1440" w:hanging="360"/>
      </w:pPr>
      <w:rPr>
        <w:rFonts w:ascii="Times New Roman" w:hAnsi="Times New Roman" w:hint="default"/>
      </w:rPr>
    </w:lvl>
    <w:lvl w:ilvl="2" w:tplc="D12C0080" w:tentative="1">
      <w:start w:val="1"/>
      <w:numFmt w:val="bullet"/>
      <w:lvlText w:val="•"/>
      <w:lvlJc w:val="left"/>
      <w:pPr>
        <w:tabs>
          <w:tab w:val="num" w:pos="2160"/>
        </w:tabs>
        <w:ind w:left="2160" w:hanging="360"/>
      </w:pPr>
      <w:rPr>
        <w:rFonts w:ascii="Times New Roman" w:hAnsi="Times New Roman" w:hint="default"/>
      </w:rPr>
    </w:lvl>
    <w:lvl w:ilvl="3" w:tplc="8B0E09FC" w:tentative="1">
      <w:start w:val="1"/>
      <w:numFmt w:val="bullet"/>
      <w:lvlText w:val="•"/>
      <w:lvlJc w:val="left"/>
      <w:pPr>
        <w:tabs>
          <w:tab w:val="num" w:pos="2880"/>
        </w:tabs>
        <w:ind w:left="2880" w:hanging="360"/>
      </w:pPr>
      <w:rPr>
        <w:rFonts w:ascii="Times New Roman" w:hAnsi="Times New Roman" w:hint="default"/>
      </w:rPr>
    </w:lvl>
    <w:lvl w:ilvl="4" w:tplc="4200829A" w:tentative="1">
      <w:start w:val="1"/>
      <w:numFmt w:val="bullet"/>
      <w:lvlText w:val="•"/>
      <w:lvlJc w:val="left"/>
      <w:pPr>
        <w:tabs>
          <w:tab w:val="num" w:pos="3600"/>
        </w:tabs>
        <w:ind w:left="3600" w:hanging="360"/>
      </w:pPr>
      <w:rPr>
        <w:rFonts w:ascii="Times New Roman" w:hAnsi="Times New Roman" w:hint="default"/>
      </w:rPr>
    </w:lvl>
    <w:lvl w:ilvl="5" w:tplc="DE90C232" w:tentative="1">
      <w:start w:val="1"/>
      <w:numFmt w:val="bullet"/>
      <w:lvlText w:val="•"/>
      <w:lvlJc w:val="left"/>
      <w:pPr>
        <w:tabs>
          <w:tab w:val="num" w:pos="4320"/>
        </w:tabs>
        <w:ind w:left="4320" w:hanging="360"/>
      </w:pPr>
      <w:rPr>
        <w:rFonts w:ascii="Times New Roman" w:hAnsi="Times New Roman" w:hint="default"/>
      </w:rPr>
    </w:lvl>
    <w:lvl w:ilvl="6" w:tplc="7C3C8430" w:tentative="1">
      <w:start w:val="1"/>
      <w:numFmt w:val="bullet"/>
      <w:lvlText w:val="•"/>
      <w:lvlJc w:val="left"/>
      <w:pPr>
        <w:tabs>
          <w:tab w:val="num" w:pos="5040"/>
        </w:tabs>
        <w:ind w:left="5040" w:hanging="360"/>
      </w:pPr>
      <w:rPr>
        <w:rFonts w:ascii="Times New Roman" w:hAnsi="Times New Roman" w:hint="default"/>
      </w:rPr>
    </w:lvl>
    <w:lvl w:ilvl="7" w:tplc="A01256FA" w:tentative="1">
      <w:start w:val="1"/>
      <w:numFmt w:val="bullet"/>
      <w:lvlText w:val="•"/>
      <w:lvlJc w:val="left"/>
      <w:pPr>
        <w:tabs>
          <w:tab w:val="num" w:pos="5760"/>
        </w:tabs>
        <w:ind w:left="5760" w:hanging="360"/>
      </w:pPr>
      <w:rPr>
        <w:rFonts w:ascii="Times New Roman" w:hAnsi="Times New Roman" w:hint="default"/>
      </w:rPr>
    </w:lvl>
    <w:lvl w:ilvl="8" w:tplc="0B1EFD8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213007"/>
    <w:multiLevelType w:val="hybridMultilevel"/>
    <w:tmpl w:val="92C883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55352B"/>
    <w:multiLevelType w:val="multilevel"/>
    <w:tmpl w:val="D40C7C50"/>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A62034"/>
    <w:multiLevelType w:val="hybridMultilevel"/>
    <w:tmpl w:val="569C2280"/>
    <w:lvl w:ilvl="0" w:tplc="0C090001">
      <w:start w:val="1"/>
      <w:numFmt w:val="bullet"/>
      <w:lvlText w:val=""/>
      <w:lvlJc w:val="left"/>
      <w:pPr>
        <w:ind w:left="3578" w:hanging="360"/>
      </w:pPr>
      <w:rPr>
        <w:rFonts w:ascii="Symbol" w:hAnsi="Symbol" w:hint="default"/>
      </w:rPr>
    </w:lvl>
    <w:lvl w:ilvl="1" w:tplc="0C090003">
      <w:start w:val="1"/>
      <w:numFmt w:val="bullet"/>
      <w:lvlText w:val="o"/>
      <w:lvlJc w:val="left"/>
      <w:pPr>
        <w:ind w:left="4298" w:hanging="360"/>
      </w:pPr>
      <w:rPr>
        <w:rFonts w:ascii="Courier New" w:hAnsi="Courier New" w:cs="Courier New" w:hint="default"/>
      </w:rPr>
    </w:lvl>
    <w:lvl w:ilvl="2" w:tplc="0C090005" w:tentative="1">
      <w:start w:val="1"/>
      <w:numFmt w:val="bullet"/>
      <w:lvlText w:val=""/>
      <w:lvlJc w:val="left"/>
      <w:pPr>
        <w:ind w:left="5018" w:hanging="360"/>
      </w:pPr>
      <w:rPr>
        <w:rFonts w:ascii="Wingdings" w:hAnsi="Wingdings" w:hint="default"/>
      </w:rPr>
    </w:lvl>
    <w:lvl w:ilvl="3" w:tplc="0C090001" w:tentative="1">
      <w:start w:val="1"/>
      <w:numFmt w:val="bullet"/>
      <w:lvlText w:val=""/>
      <w:lvlJc w:val="left"/>
      <w:pPr>
        <w:ind w:left="5738" w:hanging="360"/>
      </w:pPr>
      <w:rPr>
        <w:rFonts w:ascii="Symbol" w:hAnsi="Symbol" w:hint="default"/>
      </w:rPr>
    </w:lvl>
    <w:lvl w:ilvl="4" w:tplc="0C090003" w:tentative="1">
      <w:start w:val="1"/>
      <w:numFmt w:val="bullet"/>
      <w:lvlText w:val="o"/>
      <w:lvlJc w:val="left"/>
      <w:pPr>
        <w:ind w:left="6458" w:hanging="360"/>
      </w:pPr>
      <w:rPr>
        <w:rFonts w:ascii="Courier New" w:hAnsi="Courier New" w:cs="Courier New" w:hint="default"/>
      </w:rPr>
    </w:lvl>
    <w:lvl w:ilvl="5" w:tplc="0C090005" w:tentative="1">
      <w:start w:val="1"/>
      <w:numFmt w:val="bullet"/>
      <w:lvlText w:val=""/>
      <w:lvlJc w:val="left"/>
      <w:pPr>
        <w:ind w:left="7178" w:hanging="360"/>
      </w:pPr>
      <w:rPr>
        <w:rFonts w:ascii="Wingdings" w:hAnsi="Wingdings" w:hint="default"/>
      </w:rPr>
    </w:lvl>
    <w:lvl w:ilvl="6" w:tplc="0C090001" w:tentative="1">
      <w:start w:val="1"/>
      <w:numFmt w:val="bullet"/>
      <w:lvlText w:val=""/>
      <w:lvlJc w:val="left"/>
      <w:pPr>
        <w:ind w:left="7898" w:hanging="360"/>
      </w:pPr>
      <w:rPr>
        <w:rFonts w:ascii="Symbol" w:hAnsi="Symbol" w:hint="default"/>
      </w:rPr>
    </w:lvl>
    <w:lvl w:ilvl="7" w:tplc="0C090003" w:tentative="1">
      <w:start w:val="1"/>
      <w:numFmt w:val="bullet"/>
      <w:lvlText w:val="o"/>
      <w:lvlJc w:val="left"/>
      <w:pPr>
        <w:ind w:left="8618" w:hanging="360"/>
      </w:pPr>
      <w:rPr>
        <w:rFonts w:ascii="Courier New" w:hAnsi="Courier New" w:cs="Courier New" w:hint="default"/>
      </w:rPr>
    </w:lvl>
    <w:lvl w:ilvl="8" w:tplc="0C090005" w:tentative="1">
      <w:start w:val="1"/>
      <w:numFmt w:val="bullet"/>
      <w:lvlText w:val=""/>
      <w:lvlJc w:val="left"/>
      <w:pPr>
        <w:ind w:left="9338" w:hanging="360"/>
      </w:pPr>
      <w:rPr>
        <w:rFonts w:ascii="Wingdings" w:hAnsi="Wingdings" w:hint="default"/>
      </w:rPr>
    </w:lvl>
  </w:abstractNum>
  <w:abstractNum w:abstractNumId="4">
    <w:nsid w:val="0D7044A9"/>
    <w:multiLevelType w:val="multilevel"/>
    <w:tmpl w:val="12D6FC6C"/>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C8424C"/>
    <w:multiLevelType w:val="hybridMultilevel"/>
    <w:tmpl w:val="1A50BC30"/>
    <w:lvl w:ilvl="0" w:tplc="0D7CB0BC">
      <w:start w:val="1"/>
      <w:numFmt w:val="bullet"/>
      <w:lvlText w:val="–"/>
      <w:lvlJc w:val="left"/>
      <w:pPr>
        <w:tabs>
          <w:tab w:val="num" w:pos="720"/>
        </w:tabs>
        <w:ind w:left="720" w:hanging="360"/>
      </w:pPr>
      <w:rPr>
        <w:rFonts w:ascii="Times New Roman" w:hAnsi="Times New Roman" w:hint="default"/>
      </w:rPr>
    </w:lvl>
    <w:lvl w:ilvl="1" w:tplc="BA04C37C">
      <w:start w:val="1"/>
      <w:numFmt w:val="bullet"/>
      <w:lvlText w:val="–"/>
      <w:lvlJc w:val="left"/>
      <w:pPr>
        <w:tabs>
          <w:tab w:val="num" w:pos="1440"/>
        </w:tabs>
        <w:ind w:left="1440" w:hanging="360"/>
      </w:pPr>
      <w:rPr>
        <w:rFonts w:ascii="Times New Roman" w:hAnsi="Times New Roman" w:hint="default"/>
      </w:rPr>
    </w:lvl>
    <w:lvl w:ilvl="2" w:tplc="0E3C8994" w:tentative="1">
      <w:start w:val="1"/>
      <w:numFmt w:val="bullet"/>
      <w:lvlText w:val="–"/>
      <w:lvlJc w:val="left"/>
      <w:pPr>
        <w:tabs>
          <w:tab w:val="num" w:pos="2160"/>
        </w:tabs>
        <w:ind w:left="2160" w:hanging="360"/>
      </w:pPr>
      <w:rPr>
        <w:rFonts w:ascii="Times New Roman" w:hAnsi="Times New Roman" w:hint="default"/>
      </w:rPr>
    </w:lvl>
    <w:lvl w:ilvl="3" w:tplc="5B82F11A" w:tentative="1">
      <w:start w:val="1"/>
      <w:numFmt w:val="bullet"/>
      <w:lvlText w:val="–"/>
      <w:lvlJc w:val="left"/>
      <w:pPr>
        <w:tabs>
          <w:tab w:val="num" w:pos="2880"/>
        </w:tabs>
        <w:ind w:left="2880" w:hanging="360"/>
      </w:pPr>
      <w:rPr>
        <w:rFonts w:ascii="Times New Roman" w:hAnsi="Times New Roman" w:hint="default"/>
      </w:rPr>
    </w:lvl>
    <w:lvl w:ilvl="4" w:tplc="F46A0AA8" w:tentative="1">
      <w:start w:val="1"/>
      <w:numFmt w:val="bullet"/>
      <w:lvlText w:val="–"/>
      <w:lvlJc w:val="left"/>
      <w:pPr>
        <w:tabs>
          <w:tab w:val="num" w:pos="3600"/>
        </w:tabs>
        <w:ind w:left="3600" w:hanging="360"/>
      </w:pPr>
      <w:rPr>
        <w:rFonts w:ascii="Times New Roman" w:hAnsi="Times New Roman" w:hint="default"/>
      </w:rPr>
    </w:lvl>
    <w:lvl w:ilvl="5" w:tplc="45B22AD0" w:tentative="1">
      <w:start w:val="1"/>
      <w:numFmt w:val="bullet"/>
      <w:lvlText w:val="–"/>
      <w:lvlJc w:val="left"/>
      <w:pPr>
        <w:tabs>
          <w:tab w:val="num" w:pos="4320"/>
        </w:tabs>
        <w:ind w:left="4320" w:hanging="360"/>
      </w:pPr>
      <w:rPr>
        <w:rFonts w:ascii="Times New Roman" w:hAnsi="Times New Roman" w:hint="default"/>
      </w:rPr>
    </w:lvl>
    <w:lvl w:ilvl="6" w:tplc="C9F45306" w:tentative="1">
      <w:start w:val="1"/>
      <w:numFmt w:val="bullet"/>
      <w:lvlText w:val="–"/>
      <w:lvlJc w:val="left"/>
      <w:pPr>
        <w:tabs>
          <w:tab w:val="num" w:pos="5040"/>
        </w:tabs>
        <w:ind w:left="5040" w:hanging="360"/>
      </w:pPr>
      <w:rPr>
        <w:rFonts w:ascii="Times New Roman" w:hAnsi="Times New Roman" w:hint="default"/>
      </w:rPr>
    </w:lvl>
    <w:lvl w:ilvl="7" w:tplc="8D6E2372" w:tentative="1">
      <w:start w:val="1"/>
      <w:numFmt w:val="bullet"/>
      <w:lvlText w:val="–"/>
      <w:lvlJc w:val="left"/>
      <w:pPr>
        <w:tabs>
          <w:tab w:val="num" w:pos="5760"/>
        </w:tabs>
        <w:ind w:left="5760" w:hanging="360"/>
      </w:pPr>
      <w:rPr>
        <w:rFonts w:ascii="Times New Roman" w:hAnsi="Times New Roman" w:hint="default"/>
      </w:rPr>
    </w:lvl>
    <w:lvl w:ilvl="8" w:tplc="0FC8D6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E34370"/>
    <w:multiLevelType w:val="multilevel"/>
    <w:tmpl w:val="CB6C970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EFC1AB1"/>
    <w:multiLevelType w:val="multilevel"/>
    <w:tmpl w:val="AC24727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0B130B"/>
    <w:multiLevelType w:val="hybridMultilevel"/>
    <w:tmpl w:val="EAC64A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1A6358E"/>
    <w:multiLevelType w:val="multilevel"/>
    <w:tmpl w:val="8D706B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6C2938"/>
    <w:multiLevelType w:val="hybridMultilevel"/>
    <w:tmpl w:val="129C313A"/>
    <w:lvl w:ilvl="0" w:tplc="FC1ECAF2">
      <w:start w:val="1"/>
      <w:numFmt w:val="bullet"/>
      <w:lvlText w:val="•"/>
      <w:lvlJc w:val="left"/>
      <w:pPr>
        <w:tabs>
          <w:tab w:val="num" w:pos="720"/>
        </w:tabs>
        <w:ind w:left="720" w:hanging="360"/>
      </w:pPr>
      <w:rPr>
        <w:rFonts w:ascii="Times New Roman" w:hAnsi="Times New Roman" w:hint="default"/>
      </w:rPr>
    </w:lvl>
    <w:lvl w:ilvl="1" w:tplc="379850D4" w:tentative="1">
      <w:start w:val="1"/>
      <w:numFmt w:val="bullet"/>
      <w:lvlText w:val="•"/>
      <w:lvlJc w:val="left"/>
      <w:pPr>
        <w:tabs>
          <w:tab w:val="num" w:pos="1440"/>
        </w:tabs>
        <w:ind w:left="1440" w:hanging="360"/>
      </w:pPr>
      <w:rPr>
        <w:rFonts w:ascii="Times New Roman" w:hAnsi="Times New Roman" w:hint="default"/>
      </w:rPr>
    </w:lvl>
    <w:lvl w:ilvl="2" w:tplc="31D64042" w:tentative="1">
      <w:start w:val="1"/>
      <w:numFmt w:val="bullet"/>
      <w:lvlText w:val="•"/>
      <w:lvlJc w:val="left"/>
      <w:pPr>
        <w:tabs>
          <w:tab w:val="num" w:pos="2160"/>
        </w:tabs>
        <w:ind w:left="2160" w:hanging="360"/>
      </w:pPr>
      <w:rPr>
        <w:rFonts w:ascii="Times New Roman" w:hAnsi="Times New Roman" w:hint="default"/>
      </w:rPr>
    </w:lvl>
    <w:lvl w:ilvl="3" w:tplc="753036F0" w:tentative="1">
      <w:start w:val="1"/>
      <w:numFmt w:val="bullet"/>
      <w:lvlText w:val="•"/>
      <w:lvlJc w:val="left"/>
      <w:pPr>
        <w:tabs>
          <w:tab w:val="num" w:pos="2880"/>
        </w:tabs>
        <w:ind w:left="2880" w:hanging="360"/>
      </w:pPr>
      <w:rPr>
        <w:rFonts w:ascii="Times New Roman" w:hAnsi="Times New Roman" w:hint="default"/>
      </w:rPr>
    </w:lvl>
    <w:lvl w:ilvl="4" w:tplc="232A56E4" w:tentative="1">
      <w:start w:val="1"/>
      <w:numFmt w:val="bullet"/>
      <w:lvlText w:val="•"/>
      <w:lvlJc w:val="left"/>
      <w:pPr>
        <w:tabs>
          <w:tab w:val="num" w:pos="3600"/>
        </w:tabs>
        <w:ind w:left="3600" w:hanging="360"/>
      </w:pPr>
      <w:rPr>
        <w:rFonts w:ascii="Times New Roman" w:hAnsi="Times New Roman" w:hint="default"/>
      </w:rPr>
    </w:lvl>
    <w:lvl w:ilvl="5" w:tplc="F9803A50" w:tentative="1">
      <w:start w:val="1"/>
      <w:numFmt w:val="bullet"/>
      <w:lvlText w:val="•"/>
      <w:lvlJc w:val="left"/>
      <w:pPr>
        <w:tabs>
          <w:tab w:val="num" w:pos="4320"/>
        </w:tabs>
        <w:ind w:left="4320" w:hanging="360"/>
      </w:pPr>
      <w:rPr>
        <w:rFonts w:ascii="Times New Roman" w:hAnsi="Times New Roman" w:hint="default"/>
      </w:rPr>
    </w:lvl>
    <w:lvl w:ilvl="6" w:tplc="8FD8F7B6" w:tentative="1">
      <w:start w:val="1"/>
      <w:numFmt w:val="bullet"/>
      <w:lvlText w:val="•"/>
      <w:lvlJc w:val="left"/>
      <w:pPr>
        <w:tabs>
          <w:tab w:val="num" w:pos="5040"/>
        </w:tabs>
        <w:ind w:left="5040" w:hanging="360"/>
      </w:pPr>
      <w:rPr>
        <w:rFonts w:ascii="Times New Roman" w:hAnsi="Times New Roman" w:hint="default"/>
      </w:rPr>
    </w:lvl>
    <w:lvl w:ilvl="7" w:tplc="87D6B1C6" w:tentative="1">
      <w:start w:val="1"/>
      <w:numFmt w:val="bullet"/>
      <w:lvlText w:val="•"/>
      <w:lvlJc w:val="left"/>
      <w:pPr>
        <w:tabs>
          <w:tab w:val="num" w:pos="5760"/>
        </w:tabs>
        <w:ind w:left="5760" w:hanging="360"/>
      </w:pPr>
      <w:rPr>
        <w:rFonts w:ascii="Times New Roman" w:hAnsi="Times New Roman" w:hint="default"/>
      </w:rPr>
    </w:lvl>
    <w:lvl w:ilvl="8" w:tplc="9CE0EC2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20FE6DBD"/>
    <w:multiLevelType w:val="hybridMultilevel"/>
    <w:tmpl w:val="885C9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4950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0071EC"/>
    <w:multiLevelType w:val="hybridMultilevel"/>
    <w:tmpl w:val="8040789A"/>
    <w:lvl w:ilvl="0" w:tplc="D81C4C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7F47EB"/>
    <w:multiLevelType w:val="hybridMultilevel"/>
    <w:tmpl w:val="D25A7762"/>
    <w:lvl w:ilvl="0" w:tplc="366AFDCA">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355F4A5B"/>
    <w:multiLevelType w:val="multilevel"/>
    <w:tmpl w:val="EF7ACA32"/>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A9E7E1B"/>
    <w:multiLevelType w:val="hybridMultilevel"/>
    <w:tmpl w:val="394EDA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3E841FCB"/>
    <w:multiLevelType w:val="hybridMultilevel"/>
    <w:tmpl w:val="890AB7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602063F"/>
    <w:multiLevelType w:val="hybridMultilevel"/>
    <w:tmpl w:val="ABC42830"/>
    <w:lvl w:ilvl="0" w:tplc="0C090001">
      <w:start w:val="1"/>
      <w:numFmt w:val="bullet"/>
      <w:lvlText w:val=""/>
      <w:lvlJc w:val="left"/>
      <w:pPr>
        <w:ind w:left="360" w:hanging="360"/>
      </w:pPr>
      <w:rPr>
        <w:rFonts w:ascii="Symbol" w:hAnsi="Symbol" w:hint="default"/>
      </w:rPr>
    </w:lvl>
    <w:lvl w:ilvl="1" w:tplc="DFC8BF7E">
      <w:start w:val="2000"/>
      <w:numFmt w:val="bullet"/>
      <w:lvlText w:val="-"/>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8094CB0"/>
    <w:multiLevelType w:val="hybridMultilevel"/>
    <w:tmpl w:val="7BB8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C405FF"/>
    <w:multiLevelType w:val="hybridMultilevel"/>
    <w:tmpl w:val="545A99C0"/>
    <w:lvl w:ilvl="0" w:tplc="27E62F2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BD2697B"/>
    <w:multiLevelType w:val="hybridMultilevel"/>
    <w:tmpl w:val="DCA2F5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597089"/>
    <w:multiLevelType w:val="hybridMultilevel"/>
    <w:tmpl w:val="EC12F6C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5880C80"/>
    <w:multiLevelType w:val="hybridMultilevel"/>
    <w:tmpl w:val="6B62F2BA"/>
    <w:lvl w:ilvl="0" w:tplc="870EC20C">
      <w:start w:val="1"/>
      <w:numFmt w:val="bullet"/>
      <w:lvlText w:val="•"/>
      <w:lvlJc w:val="left"/>
      <w:pPr>
        <w:tabs>
          <w:tab w:val="num" w:pos="720"/>
        </w:tabs>
        <w:ind w:left="720" w:hanging="360"/>
      </w:pPr>
      <w:rPr>
        <w:rFonts w:ascii="Times New Roman" w:hAnsi="Times New Roman" w:hint="default"/>
      </w:rPr>
    </w:lvl>
    <w:lvl w:ilvl="1" w:tplc="DCA66776">
      <w:start w:val="3644"/>
      <w:numFmt w:val="bullet"/>
      <w:lvlText w:val="–"/>
      <w:lvlJc w:val="left"/>
      <w:pPr>
        <w:tabs>
          <w:tab w:val="num" w:pos="1440"/>
        </w:tabs>
        <w:ind w:left="1440" w:hanging="360"/>
      </w:pPr>
      <w:rPr>
        <w:rFonts w:ascii="Times New Roman" w:hAnsi="Times New Roman" w:hint="default"/>
      </w:rPr>
    </w:lvl>
    <w:lvl w:ilvl="2" w:tplc="8A4A9950" w:tentative="1">
      <w:start w:val="1"/>
      <w:numFmt w:val="bullet"/>
      <w:lvlText w:val="•"/>
      <w:lvlJc w:val="left"/>
      <w:pPr>
        <w:tabs>
          <w:tab w:val="num" w:pos="2160"/>
        </w:tabs>
        <w:ind w:left="2160" w:hanging="360"/>
      </w:pPr>
      <w:rPr>
        <w:rFonts w:ascii="Times New Roman" w:hAnsi="Times New Roman" w:hint="default"/>
      </w:rPr>
    </w:lvl>
    <w:lvl w:ilvl="3" w:tplc="F69EA168" w:tentative="1">
      <w:start w:val="1"/>
      <w:numFmt w:val="bullet"/>
      <w:lvlText w:val="•"/>
      <w:lvlJc w:val="left"/>
      <w:pPr>
        <w:tabs>
          <w:tab w:val="num" w:pos="2880"/>
        </w:tabs>
        <w:ind w:left="2880" w:hanging="360"/>
      </w:pPr>
      <w:rPr>
        <w:rFonts w:ascii="Times New Roman" w:hAnsi="Times New Roman" w:hint="default"/>
      </w:rPr>
    </w:lvl>
    <w:lvl w:ilvl="4" w:tplc="90C6A918" w:tentative="1">
      <w:start w:val="1"/>
      <w:numFmt w:val="bullet"/>
      <w:lvlText w:val="•"/>
      <w:lvlJc w:val="left"/>
      <w:pPr>
        <w:tabs>
          <w:tab w:val="num" w:pos="3600"/>
        </w:tabs>
        <w:ind w:left="3600" w:hanging="360"/>
      </w:pPr>
      <w:rPr>
        <w:rFonts w:ascii="Times New Roman" w:hAnsi="Times New Roman" w:hint="default"/>
      </w:rPr>
    </w:lvl>
    <w:lvl w:ilvl="5" w:tplc="9982824A" w:tentative="1">
      <w:start w:val="1"/>
      <w:numFmt w:val="bullet"/>
      <w:lvlText w:val="•"/>
      <w:lvlJc w:val="left"/>
      <w:pPr>
        <w:tabs>
          <w:tab w:val="num" w:pos="4320"/>
        </w:tabs>
        <w:ind w:left="4320" w:hanging="360"/>
      </w:pPr>
      <w:rPr>
        <w:rFonts w:ascii="Times New Roman" w:hAnsi="Times New Roman" w:hint="default"/>
      </w:rPr>
    </w:lvl>
    <w:lvl w:ilvl="6" w:tplc="F6E67B5E" w:tentative="1">
      <w:start w:val="1"/>
      <w:numFmt w:val="bullet"/>
      <w:lvlText w:val="•"/>
      <w:lvlJc w:val="left"/>
      <w:pPr>
        <w:tabs>
          <w:tab w:val="num" w:pos="5040"/>
        </w:tabs>
        <w:ind w:left="5040" w:hanging="360"/>
      </w:pPr>
      <w:rPr>
        <w:rFonts w:ascii="Times New Roman" w:hAnsi="Times New Roman" w:hint="default"/>
      </w:rPr>
    </w:lvl>
    <w:lvl w:ilvl="7" w:tplc="32401D36" w:tentative="1">
      <w:start w:val="1"/>
      <w:numFmt w:val="bullet"/>
      <w:lvlText w:val="•"/>
      <w:lvlJc w:val="left"/>
      <w:pPr>
        <w:tabs>
          <w:tab w:val="num" w:pos="5760"/>
        </w:tabs>
        <w:ind w:left="5760" w:hanging="360"/>
      </w:pPr>
      <w:rPr>
        <w:rFonts w:ascii="Times New Roman" w:hAnsi="Times New Roman" w:hint="default"/>
      </w:rPr>
    </w:lvl>
    <w:lvl w:ilvl="8" w:tplc="23C0DF7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840570F"/>
    <w:multiLevelType w:val="hybridMultilevel"/>
    <w:tmpl w:val="29CE298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nsid w:val="59BC5196"/>
    <w:multiLevelType w:val="multilevel"/>
    <w:tmpl w:val="F82A13BC"/>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194BB0"/>
    <w:multiLevelType w:val="hybridMultilevel"/>
    <w:tmpl w:val="CFA81162"/>
    <w:lvl w:ilvl="0" w:tplc="0C090001">
      <w:start w:val="1"/>
      <w:numFmt w:val="bullet"/>
      <w:lvlText w:val=""/>
      <w:lvlJc w:val="left"/>
      <w:pPr>
        <w:ind w:left="1548" w:hanging="360"/>
      </w:pPr>
      <w:rPr>
        <w:rFonts w:ascii="Symbol" w:hAnsi="Symbol" w:hint="default"/>
      </w:rPr>
    </w:lvl>
    <w:lvl w:ilvl="1" w:tplc="0C090003">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31">
    <w:nsid w:val="5F93492B"/>
    <w:multiLevelType w:val="hybridMultilevel"/>
    <w:tmpl w:val="9AFA0A0C"/>
    <w:lvl w:ilvl="0" w:tplc="EA66DC94">
      <w:start w:val="1"/>
      <w:numFmt w:val="bullet"/>
      <w:lvlText w:val="•"/>
      <w:lvlJc w:val="left"/>
      <w:pPr>
        <w:tabs>
          <w:tab w:val="num" w:pos="720"/>
        </w:tabs>
        <w:ind w:left="720" w:hanging="360"/>
      </w:pPr>
      <w:rPr>
        <w:rFonts w:ascii="Times New Roman" w:hAnsi="Times New Roman" w:hint="default"/>
      </w:rPr>
    </w:lvl>
    <w:lvl w:ilvl="1" w:tplc="A20AD61C" w:tentative="1">
      <w:start w:val="1"/>
      <w:numFmt w:val="bullet"/>
      <w:lvlText w:val="•"/>
      <w:lvlJc w:val="left"/>
      <w:pPr>
        <w:tabs>
          <w:tab w:val="num" w:pos="1440"/>
        </w:tabs>
        <w:ind w:left="1440" w:hanging="360"/>
      </w:pPr>
      <w:rPr>
        <w:rFonts w:ascii="Times New Roman" w:hAnsi="Times New Roman" w:hint="default"/>
      </w:rPr>
    </w:lvl>
    <w:lvl w:ilvl="2" w:tplc="87069442" w:tentative="1">
      <w:start w:val="1"/>
      <w:numFmt w:val="bullet"/>
      <w:lvlText w:val="•"/>
      <w:lvlJc w:val="left"/>
      <w:pPr>
        <w:tabs>
          <w:tab w:val="num" w:pos="2160"/>
        </w:tabs>
        <w:ind w:left="2160" w:hanging="360"/>
      </w:pPr>
      <w:rPr>
        <w:rFonts w:ascii="Times New Roman" w:hAnsi="Times New Roman" w:hint="default"/>
      </w:rPr>
    </w:lvl>
    <w:lvl w:ilvl="3" w:tplc="1C3EEA6E" w:tentative="1">
      <w:start w:val="1"/>
      <w:numFmt w:val="bullet"/>
      <w:lvlText w:val="•"/>
      <w:lvlJc w:val="left"/>
      <w:pPr>
        <w:tabs>
          <w:tab w:val="num" w:pos="2880"/>
        </w:tabs>
        <w:ind w:left="2880" w:hanging="360"/>
      </w:pPr>
      <w:rPr>
        <w:rFonts w:ascii="Times New Roman" w:hAnsi="Times New Roman" w:hint="default"/>
      </w:rPr>
    </w:lvl>
    <w:lvl w:ilvl="4" w:tplc="2F041BF0" w:tentative="1">
      <w:start w:val="1"/>
      <w:numFmt w:val="bullet"/>
      <w:lvlText w:val="•"/>
      <w:lvlJc w:val="left"/>
      <w:pPr>
        <w:tabs>
          <w:tab w:val="num" w:pos="3600"/>
        </w:tabs>
        <w:ind w:left="3600" w:hanging="360"/>
      </w:pPr>
      <w:rPr>
        <w:rFonts w:ascii="Times New Roman" w:hAnsi="Times New Roman" w:hint="default"/>
      </w:rPr>
    </w:lvl>
    <w:lvl w:ilvl="5" w:tplc="2152974A" w:tentative="1">
      <w:start w:val="1"/>
      <w:numFmt w:val="bullet"/>
      <w:lvlText w:val="•"/>
      <w:lvlJc w:val="left"/>
      <w:pPr>
        <w:tabs>
          <w:tab w:val="num" w:pos="4320"/>
        </w:tabs>
        <w:ind w:left="4320" w:hanging="360"/>
      </w:pPr>
      <w:rPr>
        <w:rFonts w:ascii="Times New Roman" w:hAnsi="Times New Roman" w:hint="default"/>
      </w:rPr>
    </w:lvl>
    <w:lvl w:ilvl="6" w:tplc="95648E00" w:tentative="1">
      <w:start w:val="1"/>
      <w:numFmt w:val="bullet"/>
      <w:lvlText w:val="•"/>
      <w:lvlJc w:val="left"/>
      <w:pPr>
        <w:tabs>
          <w:tab w:val="num" w:pos="5040"/>
        </w:tabs>
        <w:ind w:left="5040" w:hanging="360"/>
      </w:pPr>
      <w:rPr>
        <w:rFonts w:ascii="Times New Roman" w:hAnsi="Times New Roman" w:hint="default"/>
      </w:rPr>
    </w:lvl>
    <w:lvl w:ilvl="7" w:tplc="0BEA8A6A" w:tentative="1">
      <w:start w:val="1"/>
      <w:numFmt w:val="bullet"/>
      <w:lvlText w:val="•"/>
      <w:lvlJc w:val="left"/>
      <w:pPr>
        <w:tabs>
          <w:tab w:val="num" w:pos="5760"/>
        </w:tabs>
        <w:ind w:left="5760" w:hanging="360"/>
      </w:pPr>
      <w:rPr>
        <w:rFonts w:ascii="Times New Roman" w:hAnsi="Times New Roman" w:hint="default"/>
      </w:rPr>
    </w:lvl>
    <w:lvl w:ilvl="8" w:tplc="9C26F6F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2354457"/>
    <w:multiLevelType w:val="hybridMultilevel"/>
    <w:tmpl w:val="1564F4AE"/>
    <w:lvl w:ilvl="0" w:tplc="27E62F28">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nsid w:val="6BAA1E6F"/>
    <w:multiLevelType w:val="multilevel"/>
    <w:tmpl w:val="D5EAE904"/>
    <w:lvl w:ilvl="0">
      <w:start w:val="7"/>
      <w:numFmt w:val="decimal"/>
      <w:lvlText w:val="%1"/>
      <w:lvlJc w:val="left"/>
      <w:pPr>
        <w:ind w:left="0" w:firstLine="0"/>
      </w:pPr>
      <w:rPr>
        <w:rFonts w:hint="default"/>
        <w:i w:val="0"/>
      </w:rPr>
    </w:lvl>
    <w:lvl w:ilvl="1">
      <w:start w:val="1"/>
      <w:numFmt w:val="decimal"/>
      <w:lvlText w:val="%1.%2"/>
      <w:lvlJc w:val="left"/>
      <w:pPr>
        <w:ind w:left="0" w:firstLine="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360" w:hanging="36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720" w:hanging="72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abstractNum w:abstractNumId="34">
    <w:nsid w:val="71854587"/>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3"/>
  </w:num>
  <w:num w:numId="2">
    <w:abstractNumId w:val="36"/>
  </w:num>
  <w:num w:numId="3">
    <w:abstractNumId w:val="2"/>
  </w:num>
  <w:num w:numId="4">
    <w:abstractNumId w:val="16"/>
  </w:num>
  <w:num w:numId="5">
    <w:abstractNumId w:val="4"/>
  </w:num>
  <w:num w:numId="6">
    <w:abstractNumId w:val="29"/>
  </w:num>
  <w:num w:numId="7">
    <w:abstractNumId w:val="34"/>
  </w:num>
  <w:num w:numId="8">
    <w:abstractNumId w:val="30"/>
  </w:num>
  <w:num w:numId="9">
    <w:abstractNumId w:val="15"/>
  </w:num>
  <w:num w:numId="10">
    <w:abstractNumId w:val="9"/>
  </w:num>
  <w:num w:numId="11">
    <w:abstractNumId w:val="12"/>
  </w:num>
  <w:num w:numId="12">
    <w:abstractNumId w:val="21"/>
  </w:num>
  <w:num w:numId="13">
    <w:abstractNumId w:val="7"/>
  </w:num>
  <w:num w:numId="14">
    <w:abstractNumId w:val="24"/>
  </w:num>
  <w:num w:numId="15">
    <w:abstractNumId w:val="8"/>
  </w:num>
  <w:num w:numId="16">
    <w:abstractNumId w:val="13"/>
  </w:num>
  <w:num w:numId="17">
    <w:abstractNumId w:val="17"/>
  </w:num>
  <w:num w:numId="18">
    <w:abstractNumId w:val="26"/>
  </w:num>
  <w:num w:numId="19">
    <w:abstractNumId w:val="32"/>
  </w:num>
  <w:num w:numId="20">
    <w:abstractNumId w:val="19"/>
  </w:num>
  <w:num w:numId="21">
    <w:abstractNumId w:val="20"/>
  </w:num>
  <w:num w:numId="22">
    <w:abstractNumId w:val="22"/>
  </w:num>
  <w:num w:numId="23">
    <w:abstractNumId w:val="23"/>
  </w:num>
  <w:num w:numId="24">
    <w:abstractNumId w:val="25"/>
  </w:num>
  <w:num w:numId="25">
    <w:abstractNumId w:val="35"/>
  </w:num>
  <w:num w:numId="26">
    <w:abstractNumId w:val="37"/>
  </w:num>
  <w:num w:numId="27">
    <w:abstractNumId w:val="11"/>
  </w:num>
  <w:num w:numId="28">
    <w:abstractNumId w:val="28"/>
  </w:num>
  <w:num w:numId="29">
    <w:abstractNumId w:val="1"/>
  </w:num>
  <w:num w:numId="30">
    <w:abstractNumId w:val="6"/>
  </w:num>
  <w:num w:numId="31">
    <w:abstractNumId w:val="27"/>
  </w:num>
  <w:num w:numId="32">
    <w:abstractNumId w:val="0"/>
  </w:num>
  <w:num w:numId="33">
    <w:abstractNumId w:val="31"/>
  </w:num>
  <w:num w:numId="34">
    <w:abstractNumId w:val="5"/>
  </w:num>
  <w:num w:numId="35">
    <w:abstractNumId w:val="10"/>
  </w:num>
  <w:num w:numId="36">
    <w:abstractNumId w:val="18"/>
  </w:num>
  <w:num w:numId="37">
    <w:abstractNumId w:val="33"/>
  </w:num>
  <w:num w:numId="38">
    <w:abstractNumId w:val="1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us Tan">
    <w15:presenceInfo w15:providerId="AD" w15:userId="S-1-5-21-248963057-614103661-3067232799-29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110B"/>
    <w:rsid w:val="00001923"/>
    <w:rsid w:val="00001BEC"/>
    <w:rsid w:val="00003138"/>
    <w:rsid w:val="000035F7"/>
    <w:rsid w:val="0000432E"/>
    <w:rsid w:val="000045EC"/>
    <w:rsid w:val="000065BF"/>
    <w:rsid w:val="00006760"/>
    <w:rsid w:val="000072E8"/>
    <w:rsid w:val="00007869"/>
    <w:rsid w:val="000116AE"/>
    <w:rsid w:val="0001247F"/>
    <w:rsid w:val="00013247"/>
    <w:rsid w:val="00013DE6"/>
    <w:rsid w:val="00014939"/>
    <w:rsid w:val="00014C17"/>
    <w:rsid w:val="00015886"/>
    <w:rsid w:val="00015A47"/>
    <w:rsid w:val="0001626A"/>
    <w:rsid w:val="0001627E"/>
    <w:rsid w:val="000162EF"/>
    <w:rsid w:val="0002035E"/>
    <w:rsid w:val="0002225F"/>
    <w:rsid w:val="00022801"/>
    <w:rsid w:val="00022E19"/>
    <w:rsid w:val="000235D1"/>
    <w:rsid w:val="00023763"/>
    <w:rsid w:val="0002700D"/>
    <w:rsid w:val="00030969"/>
    <w:rsid w:val="000323EF"/>
    <w:rsid w:val="00033866"/>
    <w:rsid w:val="00033BC6"/>
    <w:rsid w:val="00035706"/>
    <w:rsid w:val="00035BD3"/>
    <w:rsid w:val="000363E4"/>
    <w:rsid w:val="00037DE9"/>
    <w:rsid w:val="00040895"/>
    <w:rsid w:val="00040EBB"/>
    <w:rsid w:val="000416E8"/>
    <w:rsid w:val="0004209D"/>
    <w:rsid w:val="00043C37"/>
    <w:rsid w:val="000451FF"/>
    <w:rsid w:val="00045F1E"/>
    <w:rsid w:val="0005088F"/>
    <w:rsid w:val="0005092F"/>
    <w:rsid w:val="00050B1A"/>
    <w:rsid w:val="00050FDC"/>
    <w:rsid w:val="00051897"/>
    <w:rsid w:val="00052BE1"/>
    <w:rsid w:val="000533CB"/>
    <w:rsid w:val="000546D7"/>
    <w:rsid w:val="000551BA"/>
    <w:rsid w:val="0005570E"/>
    <w:rsid w:val="000559D0"/>
    <w:rsid w:val="00055A27"/>
    <w:rsid w:val="00057736"/>
    <w:rsid w:val="00060F15"/>
    <w:rsid w:val="0006737B"/>
    <w:rsid w:val="00071248"/>
    <w:rsid w:val="000720B9"/>
    <w:rsid w:val="00072711"/>
    <w:rsid w:val="000732E1"/>
    <w:rsid w:val="00073353"/>
    <w:rsid w:val="00073768"/>
    <w:rsid w:val="00080288"/>
    <w:rsid w:val="0008087C"/>
    <w:rsid w:val="000812CA"/>
    <w:rsid w:val="0008139E"/>
    <w:rsid w:val="0008178A"/>
    <w:rsid w:val="00081972"/>
    <w:rsid w:val="00081E61"/>
    <w:rsid w:val="00082C01"/>
    <w:rsid w:val="00083BA1"/>
    <w:rsid w:val="00084A5B"/>
    <w:rsid w:val="00085D57"/>
    <w:rsid w:val="00086D61"/>
    <w:rsid w:val="00086E23"/>
    <w:rsid w:val="00090509"/>
    <w:rsid w:val="00090AF4"/>
    <w:rsid w:val="00090C7E"/>
    <w:rsid w:val="00091913"/>
    <w:rsid w:val="00091EE2"/>
    <w:rsid w:val="0009349C"/>
    <w:rsid w:val="000944E6"/>
    <w:rsid w:val="0009460D"/>
    <w:rsid w:val="000956A5"/>
    <w:rsid w:val="000A0C3B"/>
    <w:rsid w:val="000A1931"/>
    <w:rsid w:val="000A1F0F"/>
    <w:rsid w:val="000A21C5"/>
    <w:rsid w:val="000B2620"/>
    <w:rsid w:val="000B26C4"/>
    <w:rsid w:val="000B2C57"/>
    <w:rsid w:val="000B2FE9"/>
    <w:rsid w:val="000B34BC"/>
    <w:rsid w:val="000B4C3A"/>
    <w:rsid w:val="000B5036"/>
    <w:rsid w:val="000C03BE"/>
    <w:rsid w:val="000C1C71"/>
    <w:rsid w:val="000C4AAE"/>
    <w:rsid w:val="000C4E85"/>
    <w:rsid w:val="000C52AC"/>
    <w:rsid w:val="000C549A"/>
    <w:rsid w:val="000C66F1"/>
    <w:rsid w:val="000D0970"/>
    <w:rsid w:val="000D1860"/>
    <w:rsid w:val="000D1AC1"/>
    <w:rsid w:val="000D1BAA"/>
    <w:rsid w:val="000D1BFC"/>
    <w:rsid w:val="000D34F1"/>
    <w:rsid w:val="000D4A27"/>
    <w:rsid w:val="000D4B6E"/>
    <w:rsid w:val="000D4B8B"/>
    <w:rsid w:val="000D66FF"/>
    <w:rsid w:val="000E20FB"/>
    <w:rsid w:val="000E2392"/>
    <w:rsid w:val="000E285B"/>
    <w:rsid w:val="000E3160"/>
    <w:rsid w:val="000E41FE"/>
    <w:rsid w:val="000E4BA7"/>
    <w:rsid w:val="000E4D17"/>
    <w:rsid w:val="000E56B9"/>
    <w:rsid w:val="000E7A3B"/>
    <w:rsid w:val="000F0717"/>
    <w:rsid w:val="000F1626"/>
    <w:rsid w:val="000F30D0"/>
    <w:rsid w:val="000F53C2"/>
    <w:rsid w:val="000F69D1"/>
    <w:rsid w:val="000F7060"/>
    <w:rsid w:val="000F7343"/>
    <w:rsid w:val="0010071C"/>
    <w:rsid w:val="00100F8A"/>
    <w:rsid w:val="0010238D"/>
    <w:rsid w:val="00102576"/>
    <w:rsid w:val="00103C2D"/>
    <w:rsid w:val="0010504C"/>
    <w:rsid w:val="001075AE"/>
    <w:rsid w:val="00107CBA"/>
    <w:rsid w:val="0011032E"/>
    <w:rsid w:val="00110CA7"/>
    <w:rsid w:val="0011321B"/>
    <w:rsid w:val="001139F1"/>
    <w:rsid w:val="00114016"/>
    <w:rsid w:val="00116431"/>
    <w:rsid w:val="00116D7F"/>
    <w:rsid w:val="00120520"/>
    <w:rsid w:val="00121799"/>
    <w:rsid w:val="00121F7D"/>
    <w:rsid w:val="001222FC"/>
    <w:rsid w:val="00123F0E"/>
    <w:rsid w:val="00124A51"/>
    <w:rsid w:val="001255A0"/>
    <w:rsid w:val="001255F6"/>
    <w:rsid w:val="00125758"/>
    <w:rsid w:val="0012621F"/>
    <w:rsid w:val="00126400"/>
    <w:rsid w:val="00126588"/>
    <w:rsid w:val="00126621"/>
    <w:rsid w:val="00127FEA"/>
    <w:rsid w:val="001301E9"/>
    <w:rsid w:val="00130339"/>
    <w:rsid w:val="001303D9"/>
    <w:rsid w:val="00131493"/>
    <w:rsid w:val="00133328"/>
    <w:rsid w:val="001337CE"/>
    <w:rsid w:val="001339D7"/>
    <w:rsid w:val="00135B9C"/>
    <w:rsid w:val="00136082"/>
    <w:rsid w:val="00137645"/>
    <w:rsid w:val="00140D92"/>
    <w:rsid w:val="00140E99"/>
    <w:rsid w:val="00141AC0"/>
    <w:rsid w:val="001423C9"/>
    <w:rsid w:val="0014362A"/>
    <w:rsid w:val="0014465C"/>
    <w:rsid w:val="0014473C"/>
    <w:rsid w:val="00144779"/>
    <w:rsid w:val="00144A04"/>
    <w:rsid w:val="0014574C"/>
    <w:rsid w:val="00146782"/>
    <w:rsid w:val="001474F0"/>
    <w:rsid w:val="00151941"/>
    <w:rsid w:val="001539A1"/>
    <w:rsid w:val="00153A55"/>
    <w:rsid w:val="00155B9B"/>
    <w:rsid w:val="001562E8"/>
    <w:rsid w:val="0015651A"/>
    <w:rsid w:val="00156E9C"/>
    <w:rsid w:val="00156F64"/>
    <w:rsid w:val="00157130"/>
    <w:rsid w:val="001578C4"/>
    <w:rsid w:val="00157AFB"/>
    <w:rsid w:val="00157DB5"/>
    <w:rsid w:val="001641BB"/>
    <w:rsid w:val="001661FB"/>
    <w:rsid w:val="0016669C"/>
    <w:rsid w:val="00166E91"/>
    <w:rsid w:val="00172FFF"/>
    <w:rsid w:val="00173877"/>
    <w:rsid w:val="00180AA7"/>
    <w:rsid w:val="0018259A"/>
    <w:rsid w:val="00182766"/>
    <w:rsid w:val="00184AEA"/>
    <w:rsid w:val="0018605A"/>
    <w:rsid w:val="0018689C"/>
    <w:rsid w:val="00187412"/>
    <w:rsid w:val="00191F2D"/>
    <w:rsid w:val="00193F68"/>
    <w:rsid w:val="00195222"/>
    <w:rsid w:val="0019606C"/>
    <w:rsid w:val="0019653F"/>
    <w:rsid w:val="001975D8"/>
    <w:rsid w:val="001A05C5"/>
    <w:rsid w:val="001A1337"/>
    <w:rsid w:val="001A1D3F"/>
    <w:rsid w:val="001A1DC7"/>
    <w:rsid w:val="001A471A"/>
    <w:rsid w:val="001A50DE"/>
    <w:rsid w:val="001A5694"/>
    <w:rsid w:val="001A5E30"/>
    <w:rsid w:val="001B1362"/>
    <w:rsid w:val="001B1466"/>
    <w:rsid w:val="001B181A"/>
    <w:rsid w:val="001B2FDA"/>
    <w:rsid w:val="001B3443"/>
    <w:rsid w:val="001B48D8"/>
    <w:rsid w:val="001B6F87"/>
    <w:rsid w:val="001C0FBA"/>
    <w:rsid w:val="001C128B"/>
    <w:rsid w:val="001C341A"/>
    <w:rsid w:val="001C398E"/>
    <w:rsid w:val="001C4192"/>
    <w:rsid w:val="001C6E5D"/>
    <w:rsid w:val="001C6E66"/>
    <w:rsid w:val="001D019A"/>
    <w:rsid w:val="001D0D32"/>
    <w:rsid w:val="001D1163"/>
    <w:rsid w:val="001D1343"/>
    <w:rsid w:val="001D1A03"/>
    <w:rsid w:val="001D1D77"/>
    <w:rsid w:val="001D262D"/>
    <w:rsid w:val="001D6031"/>
    <w:rsid w:val="001D664F"/>
    <w:rsid w:val="001D6777"/>
    <w:rsid w:val="001D6D55"/>
    <w:rsid w:val="001E004F"/>
    <w:rsid w:val="001E0558"/>
    <w:rsid w:val="001E0BC0"/>
    <w:rsid w:val="001E1B76"/>
    <w:rsid w:val="001E2753"/>
    <w:rsid w:val="001E52EB"/>
    <w:rsid w:val="001E5DDE"/>
    <w:rsid w:val="001F044A"/>
    <w:rsid w:val="001F1235"/>
    <w:rsid w:val="001F1CB3"/>
    <w:rsid w:val="001F3E3F"/>
    <w:rsid w:val="001F5516"/>
    <w:rsid w:val="001F5C9B"/>
    <w:rsid w:val="001F642F"/>
    <w:rsid w:val="001F65D1"/>
    <w:rsid w:val="001F7361"/>
    <w:rsid w:val="00201F2A"/>
    <w:rsid w:val="00202E64"/>
    <w:rsid w:val="00203CC6"/>
    <w:rsid w:val="002105C1"/>
    <w:rsid w:val="0021080D"/>
    <w:rsid w:val="00211D85"/>
    <w:rsid w:val="0021202C"/>
    <w:rsid w:val="0021292E"/>
    <w:rsid w:val="002140D3"/>
    <w:rsid w:val="002160BC"/>
    <w:rsid w:val="00217D87"/>
    <w:rsid w:val="00217F6D"/>
    <w:rsid w:val="002208BB"/>
    <w:rsid w:val="00221152"/>
    <w:rsid w:val="00221AB7"/>
    <w:rsid w:val="00222B5B"/>
    <w:rsid w:val="00222D27"/>
    <w:rsid w:val="00223B49"/>
    <w:rsid w:val="0022419B"/>
    <w:rsid w:val="00224DD4"/>
    <w:rsid w:val="00226302"/>
    <w:rsid w:val="00227BA8"/>
    <w:rsid w:val="002309CC"/>
    <w:rsid w:val="00233D25"/>
    <w:rsid w:val="00234E6F"/>
    <w:rsid w:val="00235497"/>
    <w:rsid w:val="002357FC"/>
    <w:rsid w:val="0023693F"/>
    <w:rsid w:val="00237063"/>
    <w:rsid w:val="00237B4B"/>
    <w:rsid w:val="00241941"/>
    <w:rsid w:val="00242886"/>
    <w:rsid w:val="00244920"/>
    <w:rsid w:val="00245383"/>
    <w:rsid w:val="00247044"/>
    <w:rsid w:val="0025074A"/>
    <w:rsid w:val="00251494"/>
    <w:rsid w:val="00251731"/>
    <w:rsid w:val="00253469"/>
    <w:rsid w:val="00253B9F"/>
    <w:rsid w:val="0025440A"/>
    <w:rsid w:val="00254432"/>
    <w:rsid w:val="002551D0"/>
    <w:rsid w:val="0025534B"/>
    <w:rsid w:val="00255BB7"/>
    <w:rsid w:val="00260304"/>
    <w:rsid w:val="002605DC"/>
    <w:rsid w:val="00262A87"/>
    <w:rsid w:val="00263FAD"/>
    <w:rsid w:val="00264406"/>
    <w:rsid w:val="00264A93"/>
    <w:rsid w:val="002660B1"/>
    <w:rsid w:val="00272AE8"/>
    <w:rsid w:val="002747FE"/>
    <w:rsid w:val="002768CC"/>
    <w:rsid w:val="00276A77"/>
    <w:rsid w:val="00276AE2"/>
    <w:rsid w:val="002773B6"/>
    <w:rsid w:val="0028066A"/>
    <w:rsid w:val="002849D4"/>
    <w:rsid w:val="00285567"/>
    <w:rsid w:val="00285889"/>
    <w:rsid w:val="00292DB2"/>
    <w:rsid w:val="002931B3"/>
    <w:rsid w:val="00293F67"/>
    <w:rsid w:val="00294283"/>
    <w:rsid w:val="00294E9C"/>
    <w:rsid w:val="00295455"/>
    <w:rsid w:val="0029596C"/>
    <w:rsid w:val="00297271"/>
    <w:rsid w:val="002A14AB"/>
    <w:rsid w:val="002A21D6"/>
    <w:rsid w:val="002A2AA6"/>
    <w:rsid w:val="002A2C35"/>
    <w:rsid w:val="002A328A"/>
    <w:rsid w:val="002A69CA"/>
    <w:rsid w:val="002A6FAD"/>
    <w:rsid w:val="002A7462"/>
    <w:rsid w:val="002B037F"/>
    <w:rsid w:val="002B07BE"/>
    <w:rsid w:val="002B0BAC"/>
    <w:rsid w:val="002B10CA"/>
    <w:rsid w:val="002B17CB"/>
    <w:rsid w:val="002B1C1F"/>
    <w:rsid w:val="002B3BA8"/>
    <w:rsid w:val="002B3BF7"/>
    <w:rsid w:val="002B423B"/>
    <w:rsid w:val="002B432F"/>
    <w:rsid w:val="002B485C"/>
    <w:rsid w:val="002B4CD2"/>
    <w:rsid w:val="002B4DB6"/>
    <w:rsid w:val="002B5570"/>
    <w:rsid w:val="002B5BF4"/>
    <w:rsid w:val="002B6276"/>
    <w:rsid w:val="002B6CCE"/>
    <w:rsid w:val="002B6EE0"/>
    <w:rsid w:val="002B75E7"/>
    <w:rsid w:val="002B7FC6"/>
    <w:rsid w:val="002C032B"/>
    <w:rsid w:val="002C27C1"/>
    <w:rsid w:val="002C395C"/>
    <w:rsid w:val="002C41FD"/>
    <w:rsid w:val="002C6CE1"/>
    <w:rsid w:val="002C702E"/>
    <w:rsid w:val="002D1721"/>
    <w:rsid w:val="002D29CE"/>
    <w:rsid w:val="002D4755"/>
    <w:rsid w:val="002D4CA7"/>
    <w:rsid w:val="002D655C"/>
    <w:rsid w:val="002D69D4"/>
    <w:rsid w:val="002D786B"/>
    <w:rsid w:val="002D7E03"/>
    <w:rsid w:val="002E16BD"/>
    <w:rsid w:val="002E1DA4"/>
    <w:rsid w:val="002E1FFC"/>
    <w:rsid w:val="002E2CF7"/>
    <w:rsid w:val="002E33B4"/>
    <w:rsid w:val="002E3570"/>
    <w:rsid w:val="002E4BBB"/>
    <w:rsid w:val="002E5294"/>
    <w:rsid w:val="002E5337"/>
    <w:rsid w:val="002F057A"/>
    <w:rsid w:val="002F0FE7"/>
    <w:rsid w:val="002F21B1"/>
    <w:rsid w:val="002F3345"/>
    <w:rsid w:val="002F4D39"/>
    <w:rsid w:val="002F58D3"/>
    <w:rsid w:val="002F5D25"/>
    <w:rsid w:val="002F63DB"/>
    <w:rsid w:val="002F79A7"/>
    <w:rsid w:val="00300310"/>
    <w:rsid w:val="00300746"/>
    <w:rsid w:val="0030086A"/>
    <w:rsid w:val="00301017"/>
    <w:rsid w:val="00302025"/>
    <w:rsid w:val="00304E79"/>
    <w:rsid w:val="00305550"/>
    <w:rsid w:val="003063F4"/>
    <w:rsid w:val="0030786C"/>
    <w:rsid w:val="00307A1E"/>
    <w:rsid w:val="0031031A"/>
    <w:rsid w:val="00310EA3"/>
    <w:rsid w:val="003123D0"/>
    <w:rsid w:val="003127AC"/>
    <w:rsid w:val="00314F81"/>
    <w:rsid w:val="00315498"/>
    <w:rsid w:val="00317556"/>
    <w:rsid w:val="00320047"/>
    <w:rsid w:val="00320AD1"/>
    <w:rsid w:val="00321F63"/>
    <w:rsid w:val="003244A7"/>
    <w:rsid w:val="00324B69"/>
    <w:rsid w:val="003256A1"/>
    <w:rsid w:val="003275F7"/>
    <w:rsid w:val="00327DD9"/>
    <w:rsid w:val="00331C37"/>
    <w:rsid w:val="00332FDB"/>
    <w:rsid w:val="003330C3"/>
    <w:rsid w:val="00334854"/>
    <w:rsid w:val="0033526D"/>
    <w:rsid w:val="00335383"/>
    <w:rsid w:val="00335B01"/>
    <w:rsid w:val="00336615"/>
    <w:rsid w:val="003366C9"/>
    <w:rsid w:val="003368E1"/>
    <w:rsid w:val="00341103"/>
    <w:rsid w:val="003426DA"/>
    <w:rsid w:val="00342ACE"/>
    <w:rsid w:val="00343230"/>
    <w:rsid w:val="00343A94"/>
    <w:rsid w:val="00344DA5"/>
    <w:rsid w:val="00345884"/>
    <w:rsid w:val="00347653"/>
    <w:rsid w:val="00350A4E"/>
    <w:rsid w:val="00351EA2"/>
    <w:rsid w:val="00351F97"/>
    <w:rsid w:val="00352A73"/>
    <w:rsid w:val="00353B88"/>
    <w:rsid w:val="003548D7"/>
    <w:rsid w:val="003558A8"/>
    <w:rsid w:val="00355A0A"/>
    <w:rsid w:val="00355E6D"/>
    <w:rsid w:val="0035620E"/>
    <w:rsid w:val="00360AC0"/>
    <w:rsid w:val="00361B2E"/>
    <w:rsid w:val="00361C65"/>
    <w:rsid w:val="0036203B"/>
    <w:rsid w:val="003630CB"/>
    <w:rsid w:val="00363100"/>
    <w:rsid w:val="00364DED"/>
    <w:rsid w:val="003663AA"/>
    <w:rsid w:val="00366EB9"/>
    <w:rsid w:val="003704FB"/>
    <w:rsid w:val="00370D3A"/>
    <w:rsid w:val="00371389"/>
    <w:rsid w:val="00372544"/>
    <w:rsid w:val="00373F02"/>
    <w:rsid w:val="00374D12"/>
    <w:rsid w:val="00375C76"/>
    <w:rsid w:val="00376825"/>
    <w:rsid w:val="00377762"/>
    <w:rsid w:val="003779A7"/>
    <w:rsid w:val="00383080"/>
    <w:rsid w:val="0038365C"/>
    <w:rsid w:val="003853BD"/>
    <w:rsid w:val="00385BB2"/>
    <w:rsid w:val="00386C68"/>
    <w:rsid w:val="00387E17"/>
    <w:rsid w:val="00390584"/>
    <w:rsid w:val="00392F1D"/>
    <w:rsid w:val="0039415F"/>
    <w:rsid w:val="0039422F"/>
    <w:rsid w:val="00394252"/>
    <w:rsid w:val="003947A6"/>
    <w:rsid w:val="00396FD0"/>
    <w:rsid w:val="003972CE"/>
    <w:rsid w:val="00397C67"/>
    <w:rsid w:val="003A1A7A"/>
    <w:rsid w:val="003A2ECF"/>
    <w:rsid w:val="003A30ED"/>
    <w:rsid w:val="003A4230"/>
    <w:rsid w:val="003A44FB"/>
    <w:rsid w:val="003A484F"/>
    <w:rsid w:val="003A72DB"/>
    <w:rsid w:val="003A7E42"/>
    <w:rsid w:val="003B16A2"/>
    <w:rsid w:val="003B1C33"/>
    <w:rsid w:val="003B2277"/>
    <w:rsid w:val="003B2AF2"/>
    <w:rsid w:val="003B2BEB"/>
    <w:rsid w:val="003B3F0A"/>
    <w:rsid w:val="003B5AB2"/>
    <w:rsid w:val="003B6023"/>
    <w:rsid w:val="003B6714"/>
    <w:rsid w:val="003C0278"/>
    <w:rsid w:val="003C05D3"/>
    <w:rsid w:val="003C5A2D"/>
    <w:rsid w:val="003C720F"/>
    <w:rsid w:val="003D00C3"/>
    <w:rsid w:val="003D1599"/>
    <w:rsid w:val="003D1828"/>
    <w:rsid w:val="003D2422"/>
    <w:rsid w:val="003D5683"/>
    <w:rsid w:val="003D5F45"/>
    <w:rsid w:val="003D6083"/>
    <w:rsid w:val="003D77FC"/>
    <w:rsid w:val="003E08E6"/>
    <w:rsid w:val="003E12BC"/>
    <w:rsid w:val="003E4440"/>
    <w:rsid w:val="003E5275"/>
    <w:rsid w:val="003E5645"/>
    <w:rsid w:val="003E72FB"/>
    <w:rsid w:val="003F106A"/>
    <w:rsid w:val="003F230E"/>
    <w:rsid w:val="003F31A1"/>
    <w:rsid w:val="003F3670"/>
    <w:rsid w:val="003F3DB8"/>
    <w:rsid w:val="003F4156"/>
    <w:rsid w:val="003F510B"/>
    <w:rsid w:val="003F53C4"/>
    <w:rsid w:val="003F5528"/>
    <w:rsid w:val="00400938"/>
    <w:rsid w:val="00400E83"/>
    <w:rsid w:val="00400F8D"/>
    <w:rsid w:val="00401513"/>
    <w:rsid w:val="00402736"/>
    <w:rsid w:val="00403C56"/>
    <w:rsid w:val="00403E68"/>
    <w:rsid w:val="00404291"/>
    <w:rsid w:val="00404E6E"/>
    <w:rsid w:val="00406E16"/>
    <w:rsid w:val="00406EB0"/>
    <w:rsid w:val="00407AE2"/>
    <w:rsid w:val="00410EC7"/>
    <w:rsid w:val="004139BF"/>
    <w:rsid w:val="00414476"/>
    <w:rsid w:val="00415171"/>
    <w:rsid w:val="00415946"/>
    <w:rsid w:val="00415AC2"/>
    <w:rsid w:val="00416040"/>
    <w:rsid w:val="00416ECC"/>
    <w:rsid w:val="004178CD"/>
    <w:rsid w:val="00420595"/>
    <w:rsid w:val="00420B9F"/>
    <w:rsid w:val="00424B90"/>
    <w:rsid w:val="00424EAC"/>
    <w:rsid w:val="004259DA"/>
    <w:rsid w:val="004269CC"/>
    <w:rsid w:val="00426CEA"/>
    <w:rsid w:val="0042711D"/>
    <w:rsid w:val="00431462"/>
    <w:rsid w:val="004319F8"/>
    <w:rsid w:val="00432EFB"/>
    <w:rsid w:val="00433B84"/>
    <w:rsid w:val="00434DD9"/>
    <w:rsid w:val="00437492"/>
    <w:rsid w:val="004402C8"/>
    <w:rsid w:val="00442CCB"/>
    <w:rsid w:val="00443DAD"/>
    <w:rsid w:val="004443A7"/>
    <w:rsid w:val="00445222"/>
    <w:rsid w:val="004464EB"/>
    <w:rsid w:val="00450C37"/>
    <w:rsid w:val="00452752"/>
    <w:rsid w:val="004539AB"/>
    <w:rsid w:val="00455D45"/>
    <w:rsid w:val="00460ADA"/>
    <w:rsid w:val="00460C27"/>
    <w:rsid w:val="00464595"/>
    <w:rsid w:val="004652C3"/>
    <w:rsid w:val="00466121"/>
    <w:rsid w:val="00467864"/>
    <w:rsid w:val="0046798A"/>
    <w:rsid w:val="00467E86"/>
    <w:rsid w:val="004700B7"/>
    <w:rsid w:val="00470D99"/>
    <w:rsid w:val="00472DF3"/>
    <w:rsid w:val="00473DDA"/>
    <w:rsid w:val="00475437"/>
    <w:rsid w:val="00476EFD"/>
    <w:rsid w:val="004814C1"/>
    <w:rsid w:val="00485371"/>
    <w:rsid w:val="004867E2"/>
    <w:rsid w:val="00486E69"/>
    <w:rsid w:val="00490BBE"/>
    <w:rsid w:val="004920B5"/>
    <w:rsid w:val="004926E4"/>
    <w:rsid w:val="0049325C"/>
    <w:rsid w:val="0049413C"/>
    <w:rsid w:val="00494FCD"/>
    <w:rsid w:val="004964A7"/>
    <w:rsid w:val="004970F5"/>
    <w:rsid w:val="00497248"/>
    <w:rsid w:val="004A0DA1"/>
    <w:rsid w:val="004A17A3"/>
    <w:rsid w:val="004A1C5A"/>
    <w:rsid w:val="004A263D"/>
    <w:rsid w:val="004A3027"/>
    <w:rsid w:val="004A303B"/>
    <w:rsid w:val="004A48BE"/>
    <w:rsid w:val="004A5153"/>
    <w:rsid w:val="004A6597"/>
    <w:rsid w:val="004A6965"/>
    <w:rsid w:val="004A79E2"/>
    <w:rsid w:val="004B107B"/>
    <w:rsid w:val="004B1B3B"/>
    <w:rsid w:val="004B1B96"/>
    <w:rsid w:val="004B2F18"/>
    <w:rsid w:val="004B2FD4"/>
    <w:rsid w:val="004B32BF"/>
    <w:rsid w:val="004B3DDB"/>
    <w:rsid w:val="004B3EB1"/>
    <w:rsid w:val="004B44FD"/>
    <w:rsid w:val="004B5790"/>
    <w:rsid w:val="004B5CFC"/>
    <w:rsid w:val="004B7E71"/>
    <w:rsid w:val="004C000E"/>
    <w:rsid w:val="004C4AED"/>
    <w:rsid w:val="004C5C84"/>
    <w:rsid w:val="004C5D2C"/>
    <w:rsid w:val="004C6F15"/>
    <w:rsid w:val="004D05D7"/>
    <w:rsid w:val="004D0BFE"/>
    <w:rsid w:val="004D0C34"/>
    <w:rsid w:val="004D4337"/>
    <w:rsid w:val="004D4FDE"/>
    <w:rsid w:val="004D52CC"/>
    <w:rsid w:val="004D59CB"/>
    <w:rsid w:val="004D6101"/>
    <w:rsid w:val="004D6418"/>
    <w:rsid w:val="004D727B"/>
    <w:rsid w:val="004E1297"/>
    <w:rsid w:val="004E1783"/>
    <w:rsid w:val="004E1F65"/>
    <w:rsid w:val="004E2707"/>
    <w:rsid w:val="004E2ADC"/>
    <w:rsid w:val="004E3E35"/>
    <w:rsid w:val="004E6938"/>
    <w:rsid w:val="004F07CD"/>
    <w:rsid w:val="004F1D02"/>
    <w:rsid w:val="004F1ED0"/>
    <w:rsid w:val="004F2100"/>
    <w:rsid w:val="004F2679"/>
    <w:rsid w:val="004F2C8D"/>
    <w:rsid w:val="004F4B27"/>
    <w:rsid w:val="004F7A5A"/>
    <w:rsid w:val="00501D1F"/>
    <w:rsid w:val="00501DCB"/>
    <w:rsid w:val="0050290F"/>
    <w:rsid w:val="005032B3"/>
    <w:rsid w:val="00503676"/>
    <w:rsid w:val="0050487D"/>
    <w:rsid w:val="005053E9"/>
    <w:rsid w:val="00511244"/>
    <w:rsid w:val="00513722"/>
    <w:rsid w:val="00513CD0"/>
    <w:rsid w:val="00514698"/>
    <w:rsid w:val="005152B5"/>
    <w:rsid w:val="00520B17"/>
    <w:rsid w:val="00521034"/>
    <w:rsid w:val="00521319"/>
    <w:rsid w:val="00522422"/>
    <w:rsid w:val="00522FCE"/>
    <w:rsid w:val="005230C8"/>
    <w:rsid w:val="005236AE"/>
    <w:rsid w:val="00523C28"/>
    <w:rsid w:val="005261DF"/>
    <w:rsid w:val="0052648E"/>
    <w:rsid w:val="00526F80"/>
    <w:rsid w:val="00531163"/>
    <w:rsid w:val="005321F3"/>
    <w:rsid w:val="005330EB"/>
    <w:rsid w:val="0053352D"/>
    <w:rsid w:val="0053369E"/>
    <w:rsid w:val="00534342"/>
    <w:rsid w:val="00534F9D"/>
    <w:rsid w:val="005352E5"/>
    <w:rsid w:val="005365E5"/>
    <w:rsid w:val="00540B9C"/>
    <w:rsid w:val="005410EF"/>
    <w:rsid w:val="00542A65"/>
    <w:rsid w:val="00543992"/>
    <w:rsid w:val="00543DBE"/>
    <w:rsid w:val="00544BF4"/>
    <w:rsid w:val="00544E87"/>
    <w:rsid w:val="00545918"/>
    <w:rsid w:val="00546038"/>
    <w:rsid w:val="005472F3"/>
    <w:rsid w:val="00550EA9"/>
    <w:rsid w:val="005516BB"/>
    <w:rsid w:val="0055240B"/>
    <w:rsid w:val="0055376F"/>
    <w:rsid w:val="00553B09"/>
    <w:rsid w:val="00553F77"/>
    <w:rsid w:val="00554342"/>
    <w:rsid w:val="00555109"/>
    <w:rsid w:val="00555461"/>
    <w:rsid w:val="005570EC"/>
    <w:rsid w:val="00557D84"/>
    <w:rsid w:val="0056065D"/>
    <w:rsid w:val="005620AE"/>
    <w:rsid w:val="0056216E"/>
    <w:rsid w:val="00563C79"/>
    <w:rsid w:val="0056430C"/>
    <w:rsid w:val="0056539F"/>
    <w:rsid w:val="0056696F"/>
    <w:rsid w:val="00570B56"/>
    <w:rsid w:val="0057173D"/>
    <w:rsid w:val="00572B3A"/>
    <w:rsid w:val="00572B5C"/>
    <w:rsid w:val="005733E4"/>
    <w:rsid w:val="00575ADB"/>
    <w:rsid w:val="00581DED"/>
    <w:rsid w:val="00583699"/>
    <w:rsid w:val="00583733"/>
    <w:rsid w:val="00583B4F"/>
    <w:rsid w:val="00591942"/>
    <w:rsid w:val="005955E4"/>
    <w:rsid w:val="005964BF"/>
    <w:rsid w:val="00596804"/>
    <w:rsid w:val="00597A5F"/>
    <w:rsid w:val="005A01C2"/>
    <w:rsid w:val="005A2EF9"/>
    <w:rsid w:val="005A3135"/>
    <w:rsid w:val="005A48DE"/>
    <w:rsid w:val="005A72EE"/>
    <w:rsid w:val="005A7978"/>
    <w:rsid w:val="005B0FB1"/>
    <w:rsid w:val="005B121C"/>
    <w:rsid w:val="005B2D33"/>
    <w:rsid w:val="005B3B93"/>
    <w:rsid w:val="005B4A52"/>
    <w:rsid w:val="005B5857"/>
    <w:rsid w:val="005B5C66"/>
    <w:rsid w:val="005B5CAA"/>
    <w:rsid w:val="005B6903"/>
    <w:rsid w:val="005B7609"/>
    <w:rsid w:val="005C04F9"/>
    <w:rsid w:val="005C2D60"/>
    <w:rsid w:val="005C3043"/>
    <w:rsid w:val="005C346B"/>
    <w:rsid w:val="005C44BF"/>
    <w:rsid w:val="005C4AE8"/>
    <w:rsid w:val="005C5E69"/>
    <w:rsid w:val="005C6999"/>
    <w:rsid w:val="005C771D"/>
    <w:rsid w:val="005D06EE"/>
    <w:rsid w:val="005D0703"/>
    <w:rsid w:val="005D18AD"/>
    <w:rsid w:val="005D1AB7"/>
    <w:rsid w:val="005D2251"/>
    <w:rsid w:val="005D4DD3"/>
    <w:rsid w:val="005D732C"/>
    <w:rsid w:val="005D7452"/>
    <w:rsid w:val="005E0644"/>
    <w:rsid w:val="005E19CC"/>
    <w:rsid w:val="005E3A71"/>
    <w:rsid w:val="005E6488"/>
    <w:rsid w:val="005E7763"/>
    <w:rsid w:val="005F0A06"/>
    <w:rsid w:val="005F1641"/>
    <w:rsid w:val="005F1914"/>
    <w:rsid w:val="005F1A54"/>
    <w:rsid w:val="005F2706"/>
    <w:rsid w:val="005F2C9F"/>
    <w:rsid w:val="005F2DC5"/>
    <w:rsid w:val="005F388B"/>
    <w:rsid w:val="005F39F9"/>
    <w:rsid w:val="005F4FC5"/>
    <w:rsid w:val="005F6A8F"/>
    <w:rsid w:val="006014B3"/>
    <w:rsid w:val="00602A4F"/>
    <w:rsid w:val="00602DC5"/>
    <w:rsid w:val="00603B77"/>
    <w:rsid w:val="006054DC"/>
    <w:rsid w:val="0060712F"/>
    <w:rsid w:val="00607669"/>
    <w:rsid w:val="006077FD"/>
    <w:rsid w:val="00611FD2"/>
    <w:rsid w:val="006121C7"/>
    <w:rsid w:val="00612F97"/>
    <w:rsid w:val="00613E5E"/>
    <w:rsid w:val="00614964"/>
    <w:rsid w:val="00614D4C"/>
    <w:rsid w:val="006165A4"/>
    <w:rsid w:val="00616802"/>
    <w:rsid w:val="00616F4D"/>
    <w:rsid w:val="006173B2"/>
    <w:rsid w:val="00620296"/>
    <w:rsid w:val="00621477"/>
    <w:rsid w:val="006214C2"/>
    <w:rsid w:val="00625839"/>
    <w:rsid w:val="0062794B"/>
    <w:rsid w:val="00630AA4"/>
    <w:rsid w:val="00631C32"/>
    <w:rsid w:val="00631D6B"/>
    <w:rsid w:val="00631F39"/>
    <w:rsid w:val="00633722"/>
    <w:rsid w:val="0063479F"/>
    <w:rsid w:val="00635A9A"/>
    <w:rsid w:val="0063607B"/>
    <w:rsid w:val="006364A1"/>
    <w:rsid w:val="00636FE9"/>
    <w:rsid w:val="00637204"/>
    <w:rsid w:val="00637BFD"/>
    <w:rsid w:val="00640259"/>
    <w:rsid w:val="00640C8A"/>
    <w:rsid w:val="006410FF"/>
    <w:rsid w:val="0064227B"/>
    <w:rsid w:val="00643026"/>
    <w:rsid w:val="00643F2A"/>
    <w:rsid w:val="00644ADC"/>
    <w:rsid w:val="006471CC"/>
    <w:rsid w:val="00647731"/>
    <w:rsid w:val="0065079F"/>
    <w:rsid w:val="00651AA7"/>
    <w:rsid w:val="00651D3D"/>
    <w:rsid w:val="00651E21"/>
    <w:rsid w:val="006522F6"/>
    <w:rsid w:val="0065259B"/>
    <w:rsid w:val="006538B6"/>
    <w:rsid w:val="00654E9D"/>
    <w:rsid w:val="00660C75"/>
    <w:rsid w:val="00661E1B"/>
    <w:rsid w:val="006625B0"/>
    <w:rsid w:val="00662CA6"/>
    <w:rsid w:val="00663466"/>
    <w:rsid w:val="006637E8"/>
    <w:rsid w:val="0067053B"/>
    <w:rsid w:val="006709B6"/>
    <w:rsid w:val="00670C8E"/>
    <w:rsid w:val="00672563"/>
    <w:rsid w:val="0067288D"/>
    <w:rsid w:val="00672946"/>
    <w:rsid w:val="00673A80"/>
    <w:rsid w:val="00673B76"/>
    <w:rsid w:val="00674799"/>
    <w:rsid w:val="00674E42"/>
    <w:rsid w:val="006750AD"/>
    <w:rsid w:val="00675782"/>
    <w:rsid w:val="006768D7"/>
    <w:rsid w:val="006770F9"/>
    <w:rsid w:val="006804F7"/>
    <w:rsid w:val="00681264"/>
    <w:rsid w:val="006820C9"/>
    <w:rsid w:val="00682112"/>
    <w:rsid w:val="00682C7E"/>
    <w:rsid w:val="00684BC9"/>
    <w:rsid w:val="0068726F"/>
    <w:rsid w:val="00687BE1"/>
    <w:rsid w:val="00687F81"/>
    <w:rsid w:val="00690201"/>
    <w:rsid w:val="00691297"/>
    <w:rsid w:val="00691B57"/>
    <w:rsid w:val="00693703"/>
    <w:rsid w:val="00693DB5"/>
    <w:rsid w:val="00694C01"/>
    <w:rsid w:val="00695B85"/>
    <w:rsid w:val="00696B7F"/>
    <w:rsid w:val="006A2545"/>
    <w:rsid w:val="006A2B8F"/>
    <w:rsid w:val="006A3E8A"/>
    <w:rsid w:val="006A7548"/>
    <w:rsid w:val="006B0458"/>
    <w:rsid w:val="006B1A0A"/>
    <w:rsid w:val="006B2634"/>
    <w:rsid w:val="006B2861"/>
    <w:rsid w:val="006B29DF"/>
    <w:rsid w:val="006B44D0"/>
    <w:rsid w:val="006B4803"/>
    <w:rsid w:val="006B521B"/>
    <w:rsid w:val="006B7E67"/>
    <w:rsid w:val="006C084F"/>
    <w:rsid w:val="006C2A8E"/>
    <w:rsid w:val="006C44D9"/>
    <w:rsid w:val="006C4AC8"/>
    <w:rsid w:val="006C69AB"/>
    <w:rsid w:val="006C77E7"/>
    <w:rsid w:val="006C7906"/>
    <w:rsid w:val="006C79B3"/>
    <w:rsid w:val="006D07CA"/>
    <w:rsid w:val="006D0C9A"/>
    <w:rsid w:val="006D1A42"/>
    <w:rsid w:val="006D3429"/>
    <w:rsid w:val="006D3C7D"/>
    <w:rsid w:val="006D66F1"/>
    <w:rsid w:val="006D7969"/>
    <w:rsid w:val="006E2972"/>
    <w:rsid w:val="006E3C64"/>
    <w:rsid w:val="006E3E6A"/>
    <w:rsid w:val="006E477D"/>
    <w:rsid w:val="006E4783"/>
    <w:rsid w:val="006E491A"/>
    <w:rsid w:val="006E51AB"/>
    <w:rsid w:val="006E55C7"/>
    <w:rsid w:val="006F1545"/>
    <w:rsid w:val="006F35BB"/>
    <w:rsid w:val="006F51DC"/>
    <w:rsid w:val="006F5FCA"/>
    <w:rsid w:val="006F637B"/>
    <w:rsid w:val="006F63A5"/>
    <w:rsid w:val="006F6730"/>
    <w:rsid w:val="006F7213"/>
    <w:rsid w:val="00700114"/>
    <w:rsid w:val="0070130B"/>
    <w:rsid w:val="0070147B"/>
    <w:rsid w:val="0070181A"/>
    <w:rsid w:val="0070276E"/>
    <w:rsid w:val="007053A3"/>
    <w:rsid w:val="007063A8"/>
    <w:rsid w:val="00706B81"/>
    <w:rsid w:val="00710E3C"/>
    <w:rsid w:val="007113C5"/>
    <w:rsid w:val="00711A36"/>
    <w:rsid w:val="00711AC7"/>
    <w:rsid w:val="00711DFD"/>
    <w:rsid w:val="00712216"/>
    <w:rsid w:val="0071325E"/>
    <w:rsid w:val="0071476F"/>
    <w:rsid w:val="007172AD"/>
    <w:rsid w:val="00717A89"/>
    <w:rsid w:val="00720A56"/>
    <w:rsid w:val="00721371"/>
    <w:rsid w:val="007213AA"/>
    <w:rsid w:val="0072150B"/>
    <w:rsid w:val="00721DAB"/>
    <w:rsid w:val="0072237E"/>
    <w:rsid w:val="007233C3"/>
    <w:rsid w:val="0072378F"/>
    <w:rsid w:val="007239B9"/>
    <w:rsid w:val="00723AD8"/>
    <w:rsid w:val="00725CBB"/>
    <w:rsid w:val="00725F27"/>
    <w:rsid w:val="0072635A"/>
    <w:rsid w:val="007301FD"/>
    <w:rsid w:val="00730290"/>
    <w:rsid w:val="00730625"/>
    <w:rsid w:val="00733CE1"/>
    <w:rsid w:val="007344F3"/>
    <w:rsid w:val="00734F15"/>
    <w:rsid w:val="00735328"/>
    <w:rsid w:val="00735779"/>
    <w:rsid w:val="0073685B"/>
    <w:rsid w:val="0073703C"/>
    <w:rsid w:val="00737B4A"/>
    <w:rsid w:val="00737D19"/>
    <w:rsid w:val="00740191"/>
    <w:rsid w:val="007408AE"/>
    <w:rsid w:val="00740EB9"/>
    <w:rsid w:val="00742E15"/>
    <w:rsid w:val="00742F39"/>
    <w:rsid w:val="00746137"/>
    <w:rsid w:val="007462DE"/>
    <w:rsid w:val="00746FBC"/>
    <w:rsid w:val="00747B4B"/>
    <w:rsid w:val="007502E4"/>
    <w:rsid w:val="00752739"/>
    <w:rsid w:val="00753EC9"/>
    <w:rsid w:val="00755317"/>
    <w:rsid w:val="00757F20"/>
    <w:rsid w:val="00760865"/>
    <w:rsid w:val="0076179D"/>
    <w:rsid w:val="0076305D"/>
    <w:rsid w:val="007632BB"/>
    <w:rsid w:val="007638D0"/>
    <w:rsid w:val="00763CBA"/>
    <w:rsid w:val="00765D74"/>
    <w:rsid w:val="00767DDC"/>
    <w:rsid w:val="0077227F"/>
    <w:rsid w:val="00775807"/>
    <w:rsid w:val="00781DEF"/>
    <w:rsid w:val="007828FF"/>
    <w:rsid w:val="00784866"/>
    <w:rsid w:val="0078548C"/>
    <w:rsid w:val="0078597F"/>
    <w:rsid w:val="00785CB1"/>
    <w:rsid w:val="007868F7"/>
    <w:rsid w:val="00786B10"/>
    <w:rsid w:val="00790C8E"/>
    <w:rsid w:val="00794D00"/>
    <w:rsid w:val="007952F8"/>
    <w:rsid w:val="007A0422"/>
    <w:rsid w:val="007A2949"/>
    <w:rsid w:val="007A3043"/>
    <w:rsid w:val="007A3148"/>
    <w:rsid w:val="007A3FA2"/>
    <w:rsid w:val="007A5305"/>
    <w:rsid w:val="007B029B"/>
    <w:rsid w:val="007B0449"/>
    <w:rsid w:val="007B251D"/>
    <w:rsid w:val="007B5B60"/>
    <w:rsid w:val="007B645B"/>
    <w:rsid w:val="007B77D1"/>
    <w:rsid w:val="007B7816"/>
    <w:rsid w:val="007C05B2"/>
    <w:rsid w:val="007C1FC0"/>
    <w:rsid w:val="007C34C4"/>
    <w:rsid w:val="007C3996"/>
    <w:rsid w:val="007C5367"/>
    <w:rsid w:val="007C71DC"/>
    <w:rsid w:val="007D0B38"/>
    <w:rsid w:val="007D2148"/>
    <w:rsid w:val="007D2201"/>
    <w:rsid w:val="007D3095"/>
    <w:rsid w:val="007D3381"/>
    <w:rsid w:val="007D4332"/>
    <w:rsid w:val="007D723D"/>
    <w:rsid w:val="007D7B3F"/>
    <w:rsid w:val="007E0794"/>
    <w:rsid w:val="007E1041"/>
    <w:rsid w:val="007E2EA5"/>
    <w:rsid w:val="007E3784"/>
    <w:rsid w:val="007E5B42"/>
    <w:rsid w:val="007E7EDD"/>
    <w:rsid w:val="007F09A8"/>
    <w:rsid w:val="007F1611"/>
    <w:rsid w:val="007F35C6"/>
    <w:rsid w:val="007F3C9F"/>
    <w:rsid w:val="007F637F"/>
    <w:rsid w:val="007F73FF"/>
    <w:rsid w:val="007F79C3"/>
    <w:rsid w:val="008016BE"/>
    <w:rsid w:val="00802FE9"/>
    <w:rsid w:val="00803E8D"/>
    <w:rsid w:val="00805142"/>
    <w:rsid w:val="00805415"/>
    <w:rsid w:val="008054EE"/>
    <w:rsid w:val="00807814"/>
    <w:rsid w:val="008078F7"/>
    <w:rsid w:val="00807A8B"/>
    <w:rsid w:val="00811816"/>
    <w:rsid w:val="00812149"/>
    <w:rsid w:val="008124D4"/>
    <w:rsid w:val="008128D0"/>
    <w:rsid w:val="00814842"/>
    <w:rsid w:val="008166EF"/>
    <w:rsid w:val="008201F1"/>
    <w:rsid w:val="00821020"/>
    <w:rsid w:val="00823373"/>
    <w:rsid w:val="008264EB"/>
    <w:rsid w:val="00830582"/>
    <w:rsid w:val="00830883"/>
    <w:rsid w:val="00830A1D"/>
    <w:rsid w:val="00830C4A"/>
    <w:rsid w:val="00831575"/>
    <w:rsid w:val="008327A6"/>
    <w:rsid w:val="008338C5"/>
    <w:rsid w:val="00833D6B"/>
    <w:rsid w:val="00837C9E"/>
    <w:rsid w:val="00840CA2"/>
    <w:rsid w:val="0084239E"/>
    <w:rsid w:val="00845A35"/>
    <w:rsid w:val="0084649D"/>
    <w:rsid w:val="008501B2"/>
    <w:rsid w:val="00852903"/>
    <w:rsid w:val="00852D77"/>
    <w:rsid w:val="00856E9A"/>
    <w:rsid w:val="00860FFB"/>
    <w:rsid w:val="0086323C"/>
    <w:rsid w:val="00863ED6"/>
    <w:rsid w:val="008640D8"/>
    <w:rsid w:val="008656EB"/>
    <w:rsid w:val="0086624C"/>
    <w:rsid w:val="00866BA7"/>
    <w:rsid w:val="0086745E"/>
    <w:rsid w:val="00871A10"/>
    <w:rsid w:val="00871B67"/>
    <w:rsid w:val="00874465"/>
    <w:rsid w:val="00882874"/>
    <w:rsid w:val="0088288F"/>
    <w:rsid w:val="008831B3"/>
    <w:rsid w:val="00883787"/>
    <w:rsid w:val="00883934"/>
    <w:rsid w:val="008844AA"/>
    <w:rsid w:val="0088568E"/>
    <w:rsid w:val="0088764A"/>
    <w:rsid w:val="0089052B"/>
    <w:rsid w:val="00890A2A"/>
    <w:rsid w:val="00895357"/>
    <w:rsid w:val="008963A5"/>
    <w:rsid w:val="00897F20"/>
    <w:rsid w:val="008A07B2"/>
    <w:rsid w:val="008A3C58"/>
    <w:rsid w:val="008A4316"/>
    <w:rsid w:val="008A491F"/>
    <w:rsid w:val="008A741C"/>
    <w:rsid w:val="008A79DE"/>
    <w:rsid w:val="008B36CD"/>
    <w:rsid w:val="008B3CAF"/>
    <w:rsid w:val="008B58F0"/>
    <w:rsid w:val="008B5FDB"/>
    <w:rsid w:val="008B6E27"/>
    <w:rsid w:val="008B70C1"/>
    <w:rsid w:val="008B7D7E"/>
    <w:rsid w:val="008C4550"/>
    <w:rsid w:val="008C7ECB"/>
    <w:rsid w:val="008D0859"/>
    <w:rsid w:val="008D16E3"/>
    <w:rsid w:val="008D215F"/>
    <w:rsid w:val="008D47EC"/>
    <w:rsid w:val="008D5F5F"/>
    <w:rsid w:val="008D648D"/>
    <w:rsid w:val="008D6833"/>
    <w:rsid w:val="008E1713"/>
    <w:rsid w:val="008E1B9E"/>
    <w:rsid w:val="008E3363"/>
    <w:rsid w:val="008E5117"/>
    <w:rsid w:val="008E5247"/>
    <w:rsid w:val="008E625F"/>
    <w:rsid w:val="008F07F3"/>
    <w:rsid w:val="008F15D5"/>
    <w:rsid w:val="008F26E3"/>
    <w:rsid w:val="008F447A"/>
    <w:rsid w:val="008F482B"/>
    <w:rsid w:val="008F48EB"/>
    <w:rsid w:val="008F4F0B"/>
    <w:rsid w:val="008F520E"/>
    <w:rsid w:val="008F668D"/>
    <w:rsid w:val="008F6C3E"/>
    <w:rsid w:val="00900F1A"/>
    <w:rsid w:val="009027D5"/>
    <w:rsid w:val="009062A5"/>
    <w:rsid w:val="0090652F"/>
    <w:rsid w:val="00907F8E"/>
    <w:rsid w:val="00911272"/>
    <w:rsid w:val="00912FE5"/>
    <w:rsid w:val="00913C5A"/>
    <w:rsid w:val="00914511"/>
    <w:rsid w:val="009151E6"/>
    <w:rsid w:val="00915247"/>
    <w:rsid w:val="00915E03"/>
    <w:rsid w:val="009164BB"/>
    <w:rsid w:val="00916CCF"/>
    <w:rsid w:val="009214B0"/>
    <w:rsid w:val="00925A84"/>
    <w:rsid w:val="00926221"/>
    <w:rsid w:val="00930690"/>
    <w:rsid w:val="00930704"/>
    <w:rsid w:val="009324E8"/>
    <w:rsid w:val="00933170"/>
    <w:rsid w:val="00933FCF"/>
    <w:rsid w:val="00935BAB"/>
    <w:rsid w:val="00936EF2"/>
    <w:rsid w:val="00940A94"/>
    <w:rsid w:val="00942AF3"/>
    <w:rsid w:val="0094397C"/>
    <w:rsid w:val="00943DF8"/>
    <w:rsid w:val="009457F4"/>
    <w:rsid w:val="009473DA"/>
    <w:rsid w:val="00947DFE"/>
    <w:rsid w:val="0095094B"/>
    <w:rsid w:val="00950AE3"/>
    <w:rsid w:val="009529BC"/>
    <w:rsid w:val="009549E3"/>
    <w:rsid w:val="00956B49"/>
    <w:rsid w:val="009579A8"/>
    <w:rsid w:val="00961C4D"/>
    <w:rsid w:val="0096233E"/>
    <w:rsid w:val="00962911"/>
    <w:rsid w:val="009630A8"/>
    <w:rsid w:val="00964312"/>
    <w:rsid w:val="009644AA"/>
    <w:rsid w:val="0096491A"/>
    <w:rsid w:val="009650EA"/>
    <w:rsid w:val="00965763"/>
    <w:rsid w:val="00966575"/>
    <w:rsid w:val="00967741"/>
    <w:rsid w:val="0097088E"/>
    <w:rsid w:val="00971A5A"/>
    <w:rsid w:val="009720D1"/>
    <w:rsid w:val="009735F6"/>
    <w:rsid w:val="00975F63"/>
    <w:rsid w:val="00976627"/>
    <w:rsid w:val="0098124B"/>
    <w:rsid w:val="00982762"/>
    <w:rsid w:val="00983E57"/>
    <w:rsid w:val="0098427A"/>
    <w:rsid w:val="00985052"/>
    <w:rsid w:val="00987DB6"/>
    <w:rsid w:val="009900BA"/>
    <w:rsid w:val="0099116A"/>
    <w:rsid w:val="00992E5C"/>
    <w:rsid w:val="00994DA4"/>
    <w:rsid w:val="00997FA9"/>
    <w:rsid w:val="009A0D0C"/>
    <w:rsid w:val="009A1454"/>
    <w:rsid w:val="009A14F2"/>
    <w:rsid w:val="009A17E0"/>
    <w:rsid w:val="009A45AE"/>
    <w:rsid w:val="009A4F56"/>
    <w:rsid w:val="009B2C6D"/>
    <w:rsid w:val="009B3E26"/>
    <w:rsid w:val="009B4388"/>
    <w:rsid w:val="009B54C9"/>
    <w:rsid w:val="009B54D2"/>
    <w:rsid w:val="009B5D06"/>
    <w:rsid w:val="009B6459"/>
    <w:rsid w:val="009C0FC7"/>
    <w:rsid w:val="009C1A49"/>
    <w:rsid w:val="009C35B8"/>
    <w:rsid w:val="009C3688"/>
    <w:rsid w:val="009C3950"/>
    <w:rsid w:val="009C3D65"/>
    <w:rsid w:val="009C6453"/>
    <w:rsid w:val="009C6B67"/>
    <w:rsid w:val="009C7C42"/>
    <w:rsid w:val="009D4811"/>
    <w:rsid w:val="009D5D6C"/>
    <w:rsid w:val="009D5FC9"/>
    <w:rsid w:val="009D6100"/>
    <w:rsid w:val="009D6382"/>
    <w:rsid w:val="009D6ED8"/>
    <w:rsid w:val="009D7D37"/>
    <w:rsid w:val="009E07A4"/>
    <w:rsid w:val="009E1071"/>
    <w:rsid w:val="009E3592"/>
    <w:rsid w:val="009E3864"/>
    <w:rsid w:val="009E3F7C"/>
    <w:rsid w:val="009E3FFE"/>
    <w:rsid w:val="009E4C07"/>
    <w:rsid w:val="009E4FEA"/>
    <w:rsid w:val="009E52AB"/>
    <w:rsid w:val="009E5E81"/>
    <w:rsid w:val="009E7F5F"/>
    <w:rsid w:val="009F2BF4"/>
    <w:rsid w:val="009F4842"/>
    <w:rsid w:val="009F5A77"/>
    <w:rsid w:val="009F61DF"/>
    <w:rsid w:val="009F6746"/>
    <w:rsid w:val="00A0002F"/>
    <w:rsid w:val="00A0166F"/>
    <w:rsid w:val="00A01A24"/>
    <w:rsid w:val="00A01E84"/>
    <w:rsid w:val="00A03626"/>
    <w:rsid w:val="00A03D43"/>
    <w:rsid w:val="00A04380"/>
    <w:rsid w:val="00A058CF"/>
    <w:rsid w:val="00A06168"/>
    <w:rsid w:val="00A062E1"/>
    <w:rsid w:val="00A06E52"/>
    <w:rsid w:val="00A10271"/>
    <w:rsid w:val="00A120DB"/>
    <w:rsid w:val="00A13450"/>
    <w:rsid w:val="00A13948"/>
    <w:rsid w:val="00A14FAA"/>
    <w:rsid w:val="00A174E1"/>
    <w:rsid w:val="00A204B5"/>
    <w:rsid w:val="00A21847"/>
    <w:rsid w:val="00A22127"/>
    <w:rsid w:val="00A22983"/>
    <w:rsid w:val="00A23085"/>
    <w:rsid w:val="00A27AEC"/>
    <w:rsid w:val="00A314C7"/>
    <w:rsid w:val="00A31BC5"/>
    <w:rsid w:val="00A3252E"/>
    <w:rsid w:val="00A32D50"/>
    <w:rsid w:val="00A33CD6"/>
    <w:rsid w:val="00A3432E"/>
    <w:rsid w:val="00A35B67"/>
    <w:rsid w:val="00A37460"/>
    <w:rsid w:val="00A374CD"/>
    <w:rsid w:val="00A40679"/>
    <w:rsid w:val="00A4182E"/>
    <w:rsid w:val="00A43C59"/>
    <w:rsid w:val="00A44CC1"/>
    <w:rsid w:val="00A455EC"/>
    <w:rsid w:val="00A468E0"/>
    <w:rsid w:val="00A50ECD"/>
    <w:rsid w:val="00A51040"/>
    <w:rsid w:val="00A51564"/>
    <w:rsid w:val="00A525FD"/>
    <w:rsid w:val="00A52729"/>
    <w:rsid w:val="00A5300B"/>
    <w:rsid w:val="00A53134"/>
    <w:rsid w:val="00A53675"/>
    <w:rsid w:val="00A54EB5"/>
    <w:rsid w:val="00A56B6A"/>
    <w:rsid w:val="00A578DC"/>
    <w:rsid w:val="00A57CE9"/>
    <w:rsid w:val="00A57D7E"/>
    <w:rsid w:val="00A605E8"/>
    <w:rsid w:val="00A61348"/>
    <w:rsid w:val="00A61882"/>
    <w:rsid w:val="00A62135"/>
    <w:rsid w:val="00A66A2B"/>
    <w:rsid w:val="00A6725B"/>
    <w:rsid w:val="00A70D80"/>
    <w:rsid w:val="00A722A0"/>
    <w:rsid w:val="00A722B2"/>
    <w:rsid w:val="00A72713"/>
    <w:rsid w:val="00A7333C"/>
    <w:rsid w:val="00A75942"/>
    <w:rsid w:val="00A762E6"/>
    <w:rsid w:val="00A76629"/>
    <w:rsid w:val="00A77F91"/>
    <w:rsid w:val="00A802E6"/>
    <w:rsid w:val="00A81A70"/>
    <w:rsid w:val="00A83D7C"/>
    <w:rsid w:val="00A83DE9"/>
    <w:rsid w:val="00A83E59"/>
    <w:rsid w:val="00A8417C"/>
    <w:rsid w:val="00A85BEE"/>
    <w:rsid w:val="00A86C78"/>
    <w:rsid w:val="00A87801"/>
    <w:rsid w:val="00A87FB0"/>
    <w:rsid w:val="00A92482"/>
    <w:rsid w:val="00A93072"/>
    <w:rsid w:val="00A93C1E"/>
    <w:rsid w:val="00A96DEE"/>
    <w:rsid w:val="00A9794D"/>
    <w:rsid w:val="00AA09CC"/>
    <w:rsid w:val="00AA0CEA"/>
    <w:rsid w:val="00AA0E32"/>
    <w:rsid w:val="00AA2DB6"/>
    <w:rsid w:val="00AA587F"/>
    <w:rsid w:val="00AA60EB"/>
    <w:rsid w:val="00AB042A"/>
    <w:rsid w:val="00AB3430"/>
    <w:rsid w:val="00AB64E3"/>
    <w:rsid w:val="00AB6E39"/>
    <w:rsid w:val="00AB7CFA"/>
    <w:rsid w:val="00AC11AB"/>
    <w:rsid w:val="00AC5687"/>
    <w:rsid w:val="00AC63F8"/>
    <w:rsid w:val="00AC6503"/>
    <w:rsid w:val="00AD136C"/>
    <w:rsid w:val="00AD1F95"/>
    <w:rsid w:val="00AD24AB"/>
    <w:rsid w:val="00AD3481"/>
    <w:rsid w:val="00AD34D7"/>
    <w:rsid w:val="00AD3A58"/>
    <w:rsid w:val="00AD3CFC"/>
    <w:rsid w:val="00AD3E4D"/>
    <w:rsid w:val="00AD566F"/>
    <w:rsid w:val="00AD5B56"/>
    <w:rsid w:val="00AD7742"/>
    <w:rsid w:val="00AE0B46"/>
    <w:rsid w:val="00AE43B3"/>
    <w:rsid w:val="00AE463C"/>
    <w:rsid w:val="00AE48F6"/>
    <w:rsid w:val="00AE553D"/>
    <w:rsid w:val="00AE56D5"/>
    <w:rsid w:val="00AE7070"/>
    <w:rsid w:val="00AE74FF"/>
    <w:rsid w:val="00AE7D00"/>
    <w:rsid w:val="00AF19C3"/>
    <w:rsid w:val="00AF2842"/>
    <w:rsid w:val="00AF28CA"/>
    <w:rsid w:val="00AF38B3"/>
    <w:rsid w:val="00AF5978"/>
    <w:rsid w:val="00AF63D1"/>
    <w:rsid w:val="00AF6DEE"/>
    <w:rsid w:val="00AF765C"/>
    <w:rsid w:val="00AF79CB"/>
    <w:rsid w:val="00AF7CC7"/>
    <w:rsid w:val="00B00C02"/>
    <w:rsid w:val="00B01AF2"/>
    <w:rsid w:val="00B02ACE"/>
    <w:rsid w:val="00B04AB5"/>
    <w:rsid w:val="00B0612D"/>
    <w:rsid w:val="00B0676C"/>
    <w:rsid w:val="00B07A63"/>
    <w:rsid w:val="00B1015C"/>
    <w:rsid w:val="00B11AFC"/>
    <w:rsid w:val="00B13B6E"/>
    <w:rsid w:val="00B13B86"/>
    <w:rsid w:val="00B14319"/>
    <w:rsid w:val="00B17624"/>
    <w:rsid w:val="00B22338"/>
    <w:rsid w:val="00B22F54"/>
    <w:rsid w:val="00B23BEF"/>
    <w:rsid w:val="00B24C66"/>
    <w:rsid w:val="00B24FBC"/>
    <w:rsid w:val="00B258EA"/>
    <w:rsid w:val="00B25C46"/>
    <w:rsid w:val="00B25D52"/>
    <w:rsid w:val="00B26A63"/>
    <w:rsid w:val="00B27D21"/>
    <w:rsid w:val="00B30C28"/>
    <w:rsid w:val="00B3238D"/>
    <w:rsid w:val="00B35402"/>
    <w:rsid w:val="00B36C4C"/>
    <w:rsid w:val="00B36F6F"/>
    <w:rsid w:val="00B37A81"/>
    <w:rsid w:val="00B37CDC"/>
    <w:rsid w:val="00B4029B"/>
    <w:rsid w:val="00B406AA"/>
    <w:rsid w:val="00B40A27"/>
    <w:rsid w:val="00B412D2"/>
    <w:rsid w:val="00B42851"/>
    <w:rsid w:val="00B42D15"/>
    <w:rsid w:val="00B45113"/>
    <w:rsid w:val="00B4576B"/>
    <w:rsid w:val="00B45AAD"/>
    <w:rsid w:val="00B46230"/>
    <w:rsid w:val="00B46A49"/>
    <w:rsid w:val="00B52B60"/>
    <w:rsid w:val="00B53499"/>
    <w:rsid w:val="00B542B2"/>
    <w:rsid w:val="00B54B5B"/>
    <w:rsid w:val="00B5562E"/>
    <w:rsid w:val="00B57000"/>
    <w:rsid w:val="00B57355"/>
    <w:rsid w:val="00B57EC3"/>
    <w:rsid w:val="00B57FA6"/>
    <w:rsid w:val="00B60AFD"/>
    <w:rsid w:val="00B615FB"/>
    <w:rsid w:val="00B63E75"/>
    <w:rsid w:val="00B63ED2"/>
    <w:rsid w:val="00B64F83"/>
    <w:rsid w:val="00B64FFA"/>
    <w:rsid w:val="00B6505A"/>
    <w:rsid w:val="00B6662B"/>
    <w:rsid w:val="00B669EC"/>
    <w:rsid w:val="00B678AB"/>
    <w:rsid w:val="00B710C6"/>
    <w:rsid w:val="00B74C23"/>
    <w:rsid w:val="00B770C3"/>
    <w:rsid w:val="00B81217"/>
    <w:rsid w:val="00B818A4"/>
    <w:rsid w:val="00B81E1F"/>
    <w:rsid w:val="00B8277F"/>
    <w:rsid w:val="00B8390E"/>
    <w:rsid w:val="00B84D37"/>
    <w:rsid w:val="00B85488"/>
    <w:rsid w:val="00B85839"/>
    <w:rsid w:val="00B85B2C"/>
    <w:rsid w:val="00B85E8F"/>
    <w:rsid w:val="00B8703B"/>
    <w:rsid w:val="00B914A4"/>
    <w:rsid w:val="00B9257F"/>
    <w:rsid w:val="00B9292E"/>
    <w:rsid w:val="00B93642"/>
    <w:rsid w:val="00B93735"/>
    <w:rsid w:val="00B94945"/>
    <w:rsid w:val="00B94E28"/>
    <w:rsid w:val="00B95D3E"/>
    <w:rsid w:val="00B96921"/>
    <w:rsid w:val="00BA08AE"/>
    <w:rsid w:val="00BA1F8B"/>
    <w:rsid w:val="00BA38C4"/>
    <w:rsid w:val="00BA4809"/>
    <w:rsid w:val="00BA6403"/>
    <w:rsid w:val="00BA752C"/>
    <w:rsid w:val="00BA7BAC"/>
    <w:rsid w:val="00BB110C"/>
    <w:rsid w:val="00BB1AA3"/>
    <w:rsid w:val="00BB3F88"/>
    <w:rsid w:val="00BB3F99"/>
    <w:rsid w:val="00BB474F"/>
    <w:rsid w:val="00BB48B6"/>
    <w:rsid w:val="00BB49FF"/>
    <w:rsid w:val="00BB6209"/>
    <w:rsid w:val="00BB6AE2"/>
    <w:rsid w:val="00BC31E7"/>
    <w:rsid w:val="00BC3AF5"/>
    <w:rsid w:val="00BC4CB3"/>
    <w:rsid w:val="00BC57EB"/>
    <w:rsid w:val="00BC766A"/>
    <w:rsid w:val="00BD0393"/>
    <w:rsid w:val="00BD08FA"/>
    <w:rsid w:val="00BD0B41"/>
    <w:rsid w:val="00BD0E39"/>
    <w:rsid w:val="00BD13DA"/>
    <w:rsid w:val="00BD20AE"/>
    <w:rsid w:val="00BD4976"/>
    <w:rsid w:val="00BD5AA5"/>
    <w:rsid w:val="00BD7A41"/>
    <w:rsid w:val="00BE2180"/>
    <w:rsid w:val="00BE2EBE"/>
    <w:rsid w:val="00BE4275"/>
    <w:rsid w:val="00BE795E"/>
    <w:rsid w:val="00BF06DD"/>
    <w:rsid w:val="00BF076F"/>
    <w:rsid w:val="00BF0EE4"/>
    <w:rsid w:val="00BF2433"/>
    <w:rsid w:val="00BF308E"/>
    <w:rsid w:val="00BF458B"/>
    <w:rsid w:val="00BF4FE7"/>
    <w:rsid w:val="00BF61C9"/>
    <w:rsid w:val="00BF6C50"/>
    <w:rsid w:val="00BF6CF4"/>
    <w:rsid w:val="00C041DB"/>
    <w:rsid w:val="00C0460C"/>
    <w:rsid w:val="00C069A2"/>
    <w:rsid w:val="00C075DF"/>
    <w:rsid w:val="00C076C5"/>
    <w:rsid w:val="00C07C17"/>
    <w:rsid w:val="00C07FF3"/>
    <w:rsid w:val="00C13483"/>
    <w:rsid w:val="00C15355"/>
    <w:rsid w:val="00C15C64"/>
    <w:rsid w:val="00C16137"/>
    <w:rsid w:val="00C16E1E"/>
    <w:rsid w:val="00C17111"/>
    <w:rsid w:val="00C20636"/>
    <w:rsid w:val="00C22B53"/>
    <w:rsid w:val="00C2516D"/>
    <w:rsid w:val="00C25231"/>
    <w:rsid w:val="00C25418"/>
    <w:rsid w:val="00C27213"/>
    <w:rsid w:val="00C31621"/>
    <w:rsid w:val="00C31649"/>
    <w:rsid w:val="00C31FAB"/>
    <w:rsid w:val="00C335A1"/>
    <w:rsid w:val="00C34E39"/>
    <w:rsid w:val="00C35233"/>
    <w:rsid w:val="00C35425"/>
    <w:rsid w:val="00C35780"/>
    <w:rsid w:val="00C36053"/>
    <w:rsid w:val="00C36CD8"/>
    <w:rsid w:val="00C36CDD"/>
    <w:rsid w:val="00C37584"/>
    <w:rsid w:val="00C37B0E"/>
    <w:rsid w:val="00C40385"/>
    <w:rsid w:val="00C424F5"/>
    <w:rsid w:val="00C431CD"/>
    <w:rsid w:val="00C445B9"/>
    <w:rsid w:val="00C44EA1"/>
    <w:rsid w:val="00C47C83"/>
    <w:rsid w:val="00C52730"/>
    <w:rsid w:val="00C52B03"/>
    <w:rsid w:val="00C52CCD"/>
    <w:rsid w:val="00C54396"/>
    <w:rsid w:val="00C54A39"/>
    <w:rsid w:val="00C60CE9"/>
    <w:rsid w:val="00C61906"/>
    <w:rsid w:val="00C62FC3"/>
    <w:rsid w:val="00C6380A"/>
    <w:rsid w:val="00C6487A"/>
    <w:rsid w:val="00C64E9C"/>
    <w:rsid w:val="00C65576"/>
    <w:rsid w:val="00C655B0"/>
    <w:rsid w:val="00C66165"/>
    <w:rsid w:val="00C6637B"/>
    <w:rsid w:val="00C667AF"/>
    <w:rsid w:val="00C66839"/>
    <w:rsid w:val="00C66861"/>
    <w:rsid w:val="00C66A89"/>
    <w:rsid w:val="00C7058C"/>
    <w:rsid w:val="00C71F5E"/>
    <w:rsid w:val="00C721FD"/>
    <w:rsid w:val="00C75549"/>
    <w:rsid w:val="00C76859"/>
    <w:rsid w:val="00C76C5C"/>
    <w:rsid w:val="00C806F0"/>
    <w:rsid w:val="00C81814"/>
    <w:rsid w:val="00C8213F"/>
    <w:rsid w:val="00C83371"/>
    <w:rsid w:val="00C859EB"/>
    <w:rsid w:val="00C85CA8"/>
    <w:rsid w:val="00C86D49"/>
    <w:rsid w:val="00C8797A"/>
    <w:rsid w:val="00C920C4"/>
    <w:rsid w:val="00C92BC9"/>
    <w:rsid w:val="00C9364E"/>
    <w:rsid w:val="00C938CF"/>
    <w:rsid w:val="00C95240"/>
    <w:rsid w:val="00C96487"/>
    <w:rsid w:val="00C968E1"/>
    <w:rsid w:val="00C9760D"/>
    <w:rsid w:val="00C976F1"/>
    <w:rsid w:val="00CA3577"/>
    <w:rsid w:val="00CA3C1B"/>
    <w:rsid w:val="00CA5245"/>
    <w:rsid w:val="00CA532D"/>
    <w:rsid w:val="00CA570C"/>
    <w:rsid w:val="00CA70BC"/>
    <w:rsid w:val="00CA76E2"/>
    <w:rsid w:val="00CA7B09"/>
    <w:rsid w:val="00CB00F6"/>
    <w:rsid w:val="00CB2A12"/>
    <w:rsid w:val="00CB4075"/>
    <w:rsid w:val="00CB5B1A"/>
    <w:rsid w:val="00CB7319"/>
    <w:rsid w:val="00CC00F1"/>
    <w:rsid w:val="00CC0CFD"/>
    <w:rsid w:val="00CC19DD"/>
    <w:rsid w:val="00CC5578"/>
    <w:rsid w:val="00CC5BF8"/>
    <w:rsid w:val="00CD091D"/>
    <w:rsid w:val="00CD0DDE"/>
    <w:rsid w:val="00CD452B"/>
    <w:rsid w:val="00CD4EFD"/>
    <w:rsid w:val="00CD52E1"/>
    <w:rsid w:val="00CD571E"/>
    <w:rsid w:val="00CD6ADC"/>
    <w:rsid w:val="00CD7250"/>
    <w:rsid w:val="00CD7913"/>
    <w:rsid w:val="00CE01D7"/>
    <w:rsid w:val="00CE13ED"/>
    <w:rsid w:val="00CE3DF5"/>
    <w:rsid w:val="00CE6274"/>
    <w:rsid w:val="00CF1F23"/>
    <w:rsid w:val="00CF2E94"/>
    <w:rsid w:val="00CF3F9B"/>
    <w:rsid w:val="00CF456B"/>
    <w:rsid w:val="00CF491E"/>
    <w:rsid w:val="00CF5A22"/>
    <w:rsid w:val="00CF6112"/>
    <w:rsid w:val="00D0152E"/>
    <w:rsid w:val="00D0262E"/>
    <w:rsid w:val="00D0359D"/>
    <w:rsid w:val="00D04113"/>
    <w:rsid w:val="00D1208B"/>
    <w:rsid w:val="00D14C49"/>
    <w:rsid w:val="00D16CD4"/>
    <w:rsid w:val="00D16E0B"/>
    <w:rsid w:val="00D16FFC"/>
    <w:rsid w:val="00D17D6C"/>
    <w:rsid w:val="00D17F15"/>
    <w:rsid w:val="00D21F62"/>
    <w:rsid w:val="00D22988"/>
    <w:rsid w:val="00D23B75"/>
    <w:rsid w:val="00D23E39"/>
    <w:rsid w:val="00D24D12"/>
    <w:rsid w:val="00D255DC"/>
    <w:rsid w:val="00D26380"/>
    <w:rsid w:val="00D2738E"/>
    <w:rsid w:val="00D27ADC"/>
    <w:rsid w:val="00D3035F"/>
    <w:rsid w:val="00D31888"/>
    <w:rsid w:val="00D3272F"/>
    <w:rsid w:val="00D33371"/>
    <w:rsid w:val="00D35159"/>
    <w:rsid w:val="00D36966"/>
    <w:rsid w:val="00D40757"/>
    <w:rsid w:val="00D4117E"/>
    <w:rsid w:val="00D413E9"/>
    <w:rsid w:val="00D4145C"/>
    <w:rsid w:val="00D415E8"/>
    <w:rsid w:val="00D421B1"/>
    <w:rsid w:val="00D43741"/>
    <w:rsid w:val="00D448E0"/>
    <w:rsid w:val="00D44FFF"/>
    <w:rsid w:val="00D457AB"/>
    <w:rsid w:val="00D476AF"/>
    <w:rsid w:val="00D47EDD"/>
    <w:rsid w:val="00D50374"/>
    <w:rsid w:val="00D50C89"/>
    <w:rsid w:val="00D51690"/>
    <w:rsid w:val="00D52AB5"/>
    <w:rsid w:val="00D5655C"/>
    <w:rsid w:val="00D60718"/>
    <w:rsid w:val="00D60D53"/>
    <w:rsid w:val="00D61EF8"/>
    <w:rsid w:val="00D62C62"/>
    <w:rsid w:val="00D63674"/>
    <w:rsid w:val="00D665F2"/>
    <w:rsid w:val="00D66CE1"/>
    <w:rsid w:val="00D66F85"/>
    <w:rsid w:val="00D67B95"/>
    <w:rsid w:val="00D67CB8"/>
    <w:rsid w:val="00D67DD3"/>
    <w:rsid w:val="00D67E56"/>
    <w:rsid w:val="00D70936"/>
    <w:rsid w:val="00D7343D"/>
    <w:rsid w:val="00D755CA"/>
    <w:rsid w:val="00D764B9"/>
    <w:rsid w:val="00D76A44"/>
    <w:rsid w:val="00D77164"/>
    <w:rsid w:val="00D7782C"/>
    <w:rsid w:val="00D800AF"/>
    <w:rsid w:val="00D812EC"/>
    <w:rsid w:val="00D81B1E"/>
    <w:rsid w:val="00D82820"/>
    <w:rsid w:val="00D84286"/>
    <w:rsid w:val="00D8567C"/>
    <w:rsid w:val="00D876E6"/>
    <w:rsid w:val="00D8789E"/>
    <w:rsid w:val="00D9323C"/>
    <w:rsid w:val="00D93753"/>
    <w:rsid w:val="00D938E5"/>
    <w:rsid w:val="00D96DA0"/>
    <w:rsid w:val="00DA036B"/>
    <w:rsid w:val="00DA0B5C"/>
    <w:rsid w:val="00DA3008"/>
    <w:rsid w:val="00DA3CF8"/>
    <w:rsid w:val="00DA4D52"/>
    <w:rsid w:val="00DA6011"/>
    <w:rsid w:val="00DA6EA4"/>
    <w:rsid w:val="00DA77A5"/>
    <w:rsid w:val="00DB05FD"/>
    <w:rsid w:val="00DB2F0D"/>
    <w:rsid w:val="00DB4126"/>
    <w:rsid w:val="00DB5D21"/>
    <w:rsid w:val="00DB6966"/>
    <w:rsid w:val="00DB6F8C"/>
    <w:rsid w:val="00DB744B"/>
    <w:rsid w:val="00DB7471"/>
    <w:rsid w:val="00DC0820"/>
    <w:rsid w:val="00DC4357"/>
    <w:rsid w:val="00DC53DF"/>
    <w:rsid w:val="00DC5501"/>
    <w:rsid w:val="00DC5BE0"/>
    <w:rsid w:val="00DC6523"/>
    <w:rsid w:val="00DC761F"/>
    <w:rsid w:val="00DC7A6C"/>
    <w:rsid w:val="00DD1168"/>
    <w:rsid w:val="00DD1EF9"/>
    <w:rsid w:val="00DD22A3"/>
    <w:rsid w:val="00DD2F7C"/>
    <w:rsid w:val="00DD3132"/>
    <w:rsid w:val="00DD3400"/>
    <w:rsid w:val="00DD3F28"/>
    <w:rsid w:val="00DD4537"/>
    <w:rsid w:val="00DD59B5"/>
    <w:rsid w:val="00DD59DE"/>
    <w:rsid w:val="00DD66A8"/>
    <w:rsid w:val="00DE01EC"/>
    <w:rsid w:val="00DE0DD9"/>
    <w:rsid w:val="00DE1F80"/>
    <w:rsid w:val="00DE4FCB"/>
    <w:rsid w:val="00DE70EE"/>
    <w:rsid w:val="00DF085E"/>
    <w:rsid w:val="00DF0B0D"/>
    <w:rsid w:val="00DF20FA"/>
    <w:rsid w:val="00DF3935"/>
    <w:rsid w:val="00DF48B1"/>
    <w:rsid w:val="00DF5178"/>
    <w:rsid w:val="00DF565D"/>
    <w:rsid w:val="00DF5C4D"/>
    <w:rsid w:val="00DF68C1"/>
    <w:rsid w:val="00DF7317"/>
    <w:rsid w:val="00E004FA"/>
    <w:rsid w:val="00E0111A"/>
    <w:rsid w:val="00E03853"/>
    <w:rsid w:val="00E03D07"/>
    <w:rsid w:val="00E044BB"/>
    <w:rsid w:val="00E10149"/>
    <w:rsid w:val="00E10259"/>
    <w:rsid w:val="00E10FCB"/>
    <w:rsid w:val="00E1154D"/>
    <w:rsid w:val="00E11B94"/>
    <w:rsid w:val="00E13381"/>
    <w:rsid w:val="00E1372E"/>
    <w:rsid w:val="00E14CCE"/>
    <w:rsid w:val="00E14D25"/>
    <w:rsid w:val="00E154D2"/>
    <w:rsid w:val="00E16372"/>
    <w:rsid w:val="00E174E5"/>
    <w:rsid w:val="00E20CBD"/>
    <w:rsid w:val="00E20ED6"/>
    <w:rsid w:val="00E21358"/>
    <w:rsid w:val="00E21434"/>
    <w:rsid w:val="00E2249B"/>
    <w:rsid w:val="00E24CEF"/>
    <w:rsid w:val="00E24E96"/>
    <w:rsid w:val="00E24FA3"/>
    <w:rsid w:val="00E25176"/>
    <w:rsid w:val="00E2771E"/>
    <w:rsid w:val="00E30929"/>
    <w:rsid w:val="00E35007"/>
    <w:rsid w:val="00E350E8"/>
    <w:rsid w:val="00E3524F"/>
    <w:rsid w:val="00E36BD4"/>
    <w:rsid w:val="00E37569"/>
    <w:rsid w:val="00E4138A"/>
    <w:rsid w:val="00E41E30"/>
    <w:rsid w:val="00E420D0"/>
    <w:rsid w:val="00E4361F"/>
    <w:rsid w:val="00E438DB"/>
    <w:rsid w:val="00E44200"/>
    <w:rsid w:val="00E4476D"/>
    <w:rsid w:val="00E44F0C"/>
    <w:rsid w:val="00E45300"/>
    <w:rsid w:val="00E47B2C"/>
    <w:rsid w:val="00E47B6B"/>
    <w:rsid w:val="00E47B9D"/>
    <w:rsid w:val="00E55424"/>
    <w:rsid w:val="00E55469"/>
    <w:rsid w:val="00E564F7"/>
    <w:rsid w:val="00E57B2B"/>
    <w:rsid w:val="00E607BC"/>
    <w:rsid w:val="00E60C47"/>
    <w:rsid w:val="00E61538"/>
    <w:rsid w:val="00E61E57"/>
    <w:rsid w:val="00E62B47"/>
    <w:rsid w:val="00E635B6"/>
    <w:rsid w:val="00E656B7"/>
    <w:rsid w:val="00E65E79"/>
    <w:rsid w:val="00E67416"/>
    <w:rsid w:val="00E67A20"/>
    <w:rsid w:val="00E704CA"/>
    <w:rsid w:val="00E718B6"/>
    <w:rsid w:val="00E720E0"/>
    <w:rsid w:val="00E73118"/>
    <w:rsid w:val="00E73469"/>
    <w:rsid w:val="00E73581"/>
    <w:rsid w:val="00E73D69"/>
    <w:rsid w:val="00E73FBF"/>
    <w:rsid w:val="00E760D3"/>
    <w:rsid w:val="00E77C1D"/>
    <w:rsid w:val="00E801A1"/>
    <w:rsid w:val="00E821CC"/>
    <w:rsid w:val="00E82459"/>
    <w:rsid w:val="00E83AE8"/>
    <w:rsid w:val="00E83BDF"/>
    <w:rsid w:val="00E876AD"/>
    <w:rsid w:val="00E90DC3"/>
    <w:rsid w:val="00E9233C"/>
    <w:rsid w:val="00E9235C"/>
    <w:rsid w:val="00E92A04"/>
    <w:rsid w:val="00E94662"/>
    <w:rsid w:val="00E957C9"/>
    <w:rsid w:val="00E95C20"/>
    <w:rsid w:val="00EA0C13"/>
    <w:rsid w:val="00EA3864"/>
    <w:rsid w:val="00EA7529"/>
    <w:rsid w:val="00EA75F6"/>
    <w:rsid w:val="00EB6711"/>
    <w:rsid w:val="00EB6CFE"/>
    <w:rsid w:val="00EB738A"/>
    <w:rsid w:val="00EC03C2"/>
    <w:rsid w:val="00EC0FE4"/>
    <w:rsid w:val="00EC2306"/>
    <w:rsid w:val="00EC2453"/>
    <w:rsid w:val="00EC26CE"/>
    <w:rsid w:val="00EC2EA4"/>
    <w:rsid w:val="00EC5E9C"/>
    <w:rsid w:val="00EC6B3B"/>
    <w:rsid w:val="00EC73E4"/>
    <w:rsid w:val="00EC7726"/>
    <w:rsid w:val="00ED1904"/>
    <w:rsid w:val="00ED2B05"/>
    <w:rsid w:val="00ED6C8F"/>
    <w:rsid w:val="00ED7582"/>
    <w:rsid w:val="00ED7DF7"/>
    <w:rsid w:val="00EE07D3"/>
    <w:rsid w:val="00EE1394"/>
    <w:rsid w:val="00EE1A62"/>
    <w:rsid w:val="00EE1DC4"/>
    <w:rsid w:val="00EE3265"/>
    <w:rsid w:val="00EE41B2"/>
    <w:rsid w:val="00EE589B"/>
    <w:rsid w:val="00EE66D6"/>
    <w:rsid w:val="00EE74BF"/>
    <w:rsid w:val="00EE7AF1"/>
    <w:rsid w:val="00EF02F6"/>
    <w:rsid w:val="00EF601E"/>
    <w:rsid w:val="00EF6BF9"/>
    <w:rsid w:val="00EF7171"/>
    <w:rsid w:val="00EF78CF"/>
    <w:rsid w:val="00F01068"/>
    <w:rsid w:val="00F0114A"/>
    <w:rsid w:val="00F03D8E"/>
    <w:rsid w:val="00F0498F"/>
    <w:rsid w:val="00F06F66"/>
    <w:rsid w:val="00F07EE6"/>
    <w:rsid w:val="00F103C5"/>
    <w:rsid w:val="00F10C7A"/>
    <w:rsid w:val="00F12DE7"/>
    <w:rsid w:val="00F14A82"/>
    <w:rsid w:val="00F14FF1"/>
    <w:rsid w:val="00F15953"/>
    <w:rsid w:val="00F15DE6"/>
    <w:rsid w:val="00F168DE"/>
    <w:rsid w:val="00F20CE8"/>
    <w:rsid w:val="00F23232"/>
    <w:rsid w:val="00F2354E"/>
    <w:rsid w:val="00F23EC6"/>
    <w:rsid w:val="00F24A7C"/>
    <w:rsid w:val="00F2575F"/>
    <w:rsid w:val="00F25842"/>
    <w:rsid w:val="00F26CD9"/>
    <w:rsid w:val="00F27588"/>
    <w:rsid w:val="00F308D1"/>
    <w:rsid w:val="00F32744"/>
    <w:rsid w:val="00F33D44"/>
    <w:rsid w:val="00F33DE9"/>
    <w:rsid w:val="00F35172"/>
    <w:rsid w:val="00F35842"/>
    <w:rsid w:val="00F35F00"/>
    <w:rsid w:val="00F3619A"/>
    <w:rsid w:val="00F36C47"/>
    <w:rsid w:val="00F37FF0"/>
    <w:rsid w:val="00F419CA"/>
    <w:rsid w:val="00F42E60"/>
    <w:rsid w:val="00F4510D"/>
    <w:rsid w:val="00F4674E"/>
    <w:rsid w:val="00F4695A"/>
    <w:rsid w:val="00F46CB6"/>
    <w:rsid w:val="00F5002A"/>
    <w:rsid w:val="00F500FC"/>
    <w:rsid w:val="00F52325"/>
    <w:rsid w:val="00F53992"/>
    <w:rsid w:val="00F54395"/>
    <w:rsid w:val="00F554F7"/>
    <w:rsid w:val="00F55A20"/>
    <w:rsid w:val="00F55E73"/>
    <w:rsid w:val="00F561A9"/>
    <w:rsid w:val="00F573C1"/>
    <w:rsid w:val="00F57E8F"/>
    <w:rsid w:val="00F60DD1"/>
    <w:rsid w:val="00F655A1"/>
    <w:rsid w:val="00F66A94"/>
    <w:rsid w:val="00F66B3C"/>
    <w:rsid w:val="00F706C6"/>
    <w:rsid w:val="00F70E54"/>
    <w:rsid w:val="00F72411"/>
    <w:rsid w:val="00F72A30"/>
    <w:rsid w:val="00F73D1A"/>
    <w:rsid w:val="00F75470"/>
    <w:rsid w:val="00F77C6E"/>
    <w:rsid w:val="00F80E5D"/>
    <w:rsid w:val="00F82008"/>
    <w:rsid w:val="00F82CF3"/>
    <w:rsid w:val="00F851CE"/>
    <w:rsid w:val="00F85458"/>
    <w:rsid w:val="00F85951"/>
    <w:rsid w:val="00F859C4"/>
    <w:rsid w:val="00F85FF0"/>
    <w:rsid w:val="00F8642D"/>
    <w:rsid w:val="00F86CBE"/>
    <w:rsid w:val="00F904B8"/>
    <w:rsid w:val="00F90D52"/>
    <w:rsid w:val="00F918B9"/>
    <w:rsid w:val="00F91D97"/>
    <w:rsid w:val="00F91F17"/>
    <w:rsid w:val="00F92652"/>
    <w:rsid w:val="00F938BC"/>
    <w:rsid w:val="00F94E69"/>
    <w:rsid w:val="00F956B5"/>
    <w:rsid w:val="00F972B5"/>
    <w:rsid w:val="00F97B14"/>
    <w:rsid w:val="00FA0A7E"/>
    <w:rsid w:val="00FA313A"/>
    <w:rsid w:val="00FA3AD0"/>
    <w:rsid w:val="00FA4859"/>
    <w:rsid w:val="00FA62C3"/>
    <w:rsid w:val="00FA6E89"/>
    <w:rsid w:val="00FA7079"/>
    <w:rsid w:val="00FA761C"/>
    <w:rsid w:val="00FB12B8"/>
    <w:rsid w:val="00FB2FCB"/>
    <w:rsid w:val="00FB36C3"/>
    <w:rsid w:val="00FB45A6"/>
    <w:rsid w:val="00FB49AD"/>
    <w:rsid w:val="00FB59BA"/>
    <w:rsid w:val="00FB7A39"/>
    <w:rsid w:val="00FC1074"/>
    <w:rsid w:val="00FC29A9"/>
    <w:rsid w:val="00FC39D8"/>
    <w:rsid w:val="00FC4501"/>
    <w:rsid w:val="00FC5F16"/>
    <w:rsid w:val="00FD022E"/>
    <w:rsid w:val="00FD2100"/>
    <w:rsid w:val="00FD23B0"/>
    <w:rsid w:val="00FD2CB7"/>
    <w:rsid w:val="00FD3429"/>
    <w:rsid w:val="00FD3851"/>
    <w:rsid w:val="00FD446D"/>
    <w:rsid w:val="00FD4706"/>
    <w:rsid w:val="00FD7D70"/>
    <w:rsid w:val="00FE2572"/>
    <w:rsid w:val="00FE36FE"/>
    <w:rsid w:val="00FE3E17"/>
    <w:rsid w:val="00FE582C"/>
    <w:rsid w:val="00FF13DE"/>
    <w:rsid w:val="00FF1501"/>
    <w:rsid w:val="00FF2B90"/>
    <w:rsid w:val="00FF3DCF"/>
    <w:rsid w:val="00FF43C2"/>
    <w:rsid w:val="00FF4FC7"/>
    <w:rsid w:val="00FF5AA3"/>
    <w:rsid w:val="00FF7C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TableBodyText">
    <w:name w:val="Table Body Text"/>
    <w:basedOn w:val="BodyText"/>
    <w:qFormat/>
    <w:rsid w:val="00A35B67"/>
    <w:pPr>
      <w:spacing w:before="40" w:after="40"/>
    </w:pPr>
    <w:rPr>
      <w:rFonts w:ascii="Arial Narrow" w:hAnsi="Arial Narrow" w:cs="Times New Roman"/>
      <w:snapToGrid/>
      <w:sz w:val="20"/>
      <w:lang w:val="en-GB"/>
    </w:rPr>
  </w:style>
  <w:style w:type="paragraph" w:styleId="FootnoteText">
    <w:name w:val="footnote text"/>
    <w:basedOn w:val="Normal"/>
    <w:link w:val="FootnoteTextChar"/>
    <w:uiPriority w:val="99"/>
    <w:semiHidden/>
    <w:rsid w:val="002B6276"/>
    <w:pPr>
      <w:widowControl/>
      <w:spacing w:before="40" w:after="40"/>
    </w:pPr>
    <w:rPr>
      <w:rFonts w:cs="Times New Roman"/>
      <w:snapToGrid/>
      <w:sz w:val="18"/>
      <w:lang w:eastAsia="en-AU"/>
    </w:rPr>
  </w:style>
  <w:style w:type="character" w:customStyle="1" w:styleId="FootnoteTextChar">
    <w:name w:val="Footnote Text Char"/>
    <w:basedOn w:val="DefaultParagraphFont"/>
    <w:link w:val="FootnoteText"/>
    <w:uiPriority w:val="99"/>
    <w:semiHidden/>
    <w:rsid w:val="002B6276"/>
    <w:rPr>
      <w:rFonts w:ascii="Arial" w:hAnsi="Arial"/>
      <w:sz w:val="18"/>
    </w:rPr>
  </w:style>
  <w:style w:type="character" w:styleId="FootnoteReference">
    <w:name w:val="footnote reference"/>
    <w:basedOn w:val="DefaultParagraphFont"/>
    <w:uiPriority w:val="99"/>
    <w:semiHidden/>
    <w:rsid w:val="002B6276"/>
    <w:rPr>
      <w:vertAlign w:val="superscript"/>
    </w:rPr>
  </w:style>
  <w:style w:type="character" w:styleId="PlaceholderText">
    <w:name w:val="Placeholder Text"/>
    <w:basedOn w:val="DefaultParagraphFont"/>
    <w:uiPriority w:val="99"/>
    <w:semiHidden/>
    <w:rsid w:val="00866BA7"/>
    <w:rPr>
      <w:color w:val="808080"/>
    </w:rPr>
  </w:style>
  <w:style w:type="character" w:styleId="FollowedHyperlink">
    <w:name w:val="FollowedHyperlink"/>
    <w:basedOn w:val="DefaultParagraphFont"/>
    <w:semiHidden/>
    <w:unhideWhenUsed/>
    <w:rsid w:val="00F4510D"/>
    <w:rPr>
      <w:color w:val="800080" w:themeColor="followedHyperlink"/>
      <w:u w:val="single"/>
    </w:rPr>
  </w:style>
  <w:style w:type="paragraph" w:customStyle="1" w:styleId="PBSnormal">
    <w:name w:val="PBS normal"/>
    <w:basedOn w:val="Normal"/>
    <w:link w:val="PBSnormalChar"/>
    <w:qFormat/>
    <w:rsid w:val="00C75549"/>
    <w:pPr>
      <w:widowControl/>
      <w:spacing w:before="120" w:after="240" w:line="360" w:lineRule="auto"/>
    </w:pPr>
    <w:rPr>
      <w:snapToGrid/>
      <w:lang w:eastAsia="en-AU"/>
    </w:rPr>
  </w:style>
  <w:style w:type="character" w:customStyle="1" w:styleId="PBSnormalChar">
    <w:name w:val="PBS normal Char"/>
    <w:basedOn w:val="DefaultParagraphFont"/>
    <w:link w:val="PBSnormal"/>
    <w:rsid w:val="00C75549"/>
    <w:rPr>
      <w:rFonts w:ascii="Arial" w:hAnsi="Arial" w:cs="Arial"/>
      <w:sz w:val="22"/>
    </w:rPr>
  </w:style>
  <w:style w:type="paragraph" w:customStyle="1" w:styleId="PBSNormal0">
    <w:name w:val="PBS Normal"/>
    <w:basedOn w:val="Normal"/>
    <w:link w:val="PBSNormalChar1"/>
    <w:rsid w:val="00C75549"/>
    <w:pPr>
      <w:widowControl/>
      <w:spacing w:before="120" w:after="120" w:line="360" w:lineRule="auto"/>
    </w:pPr>
    <w:rPr>
      <w:snapToGrid/>
      <w:lang w:eastAsia="en-AU"/>
    </w:rPr>
  </w:style>
  <w:style w:type="character" w:customStyle="1" w:styleId="PBSNormalChar1">
    <w:name w:val="PBS Normal Char1"/>
    <w:basedOn w:val="DefaultParagraphFont"/>
    <w:link w:val="PBSNormal0"/>
    <w:rsid w:val="00C75549"/>
    <w:rPr>
      <w:rFonts w:ascii="Arial" w:hAnsi="Arial" w:cs="Arial"/>
      <w:sz w:val="22"/>
    </w:rPr>
  </w:style>
  <w:style w:type="character" w:customStyle="1" w:styleId="SubtitleChar">
    <w:name w:val="Subtitle Char"/>
    <w:link w:val="Subtitle"/>
    <w:rsid w:val="00E47B9D"/>
    <w:rPr>
      <w:lang w:eastAsia="en-US"/>
    </w:rPr>
  </w:style>
  <w:style w:type="paragraph" w:styleId="Subtitle">
    <w:name w:val="Subtitle"/>
    <w:basedOn w:val="Normal"/>
    <w:link w:val="SubtitleChar"/>
    <w:qFormat/>
    <w:rsid w:val="00E47B9D"/>
    <w:pPr>
      <w:widowControl/>
    </w:pPr>
    <w:rPr>
      <w:rFonts w:ascii="Times New Roman" w:hAnsi="Times New Roman" w:cs="Times New Roman"/>
      <w:snapToGrid/>
      <w:sz w:val="20"/>
    </w:rPr>
  </w:style>
  <w:style w:type="character" w:customStyle="1" w:styleId="SubtitleChar1">
    <w:name w:val="Subtitle Char1"/>
    <w:basedOn w:val="DefaultParagraphFont"/>
    <w:rsid w:val="00E47B9D"/>
    <w:rPr>
      <w:rFonts w:asciiTheme="majorHAnsi" w:eastAsiaTheme="majorEastAsia" w:hAnsiTheme="majorHAnsi" w:cstheme="majorBidi"/>
      <w:i/>
      <w:iCs/>
      <w:snapToGrid w:val="0"/>
      <w:color w:val="4F81BD" w:themeColor="accent1"/>
      <w:spacing w:val="15"/>
      <w:sz w:val="24"/>
      <w:szCs w:val="24"/>
      <w:lang w:eastAsia="en-US"/>
    </w:rPr>
  </w:style>
  <w:style w:type="character" w:customStyle="1" w:styleId="ListParagraphChar">
    <w:name w:val="List Paragraph Char"/>
    <w:link w:val="ListParagraph"/>
    <w:uiPriority w:val="34"/>
    <w:locked/>
    <w:rsid w:val="00E47B9D"/>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TableBodyText">
    <w:name w:val="Table Body Text"/>
    <w:basedOn w:val="BodyText"/>
    <w:qFormat/>
    <w:rsid w:val="00A35B67"/>
    <w:pPr>
      <w:spacing w:before="40" w:after="40"/>
    </w:pPr>
    <w:rPr>
      <w:rFonts w:ascii="Arial Narrow" w:hAnsi="Arial Narrow" w:cs="Times New Roman"/>
      <w:snapToGrid/>
      <w:sz w:val="20"/>
      <w:lang w:val="en-GB"/>
    </w:rPr>
  </w:style>
  <w:style w:type="paragraph" w:styleId="FootnoteText">
    <w:name w:val="footnote text"/>
    <w:basedOn w:val="Normal"/>
    <w:link w:val="FootnoteTextChar"/>
    <w:uiPriority w:val="99"/>
    <w:semiHidden/>
    <w:rsid w:val="002B6276"/>
    <w:pPr>
      <w:widowControl/>
      <w:spacing w:before="40" w:after="40"/>
    </w:pPr>
    <w:rPr>
      <w:rFonts w:cs="Times New Roman"/>
      <w:snapToGrid/>
      <w:sz w:val="18"/>
      <w:lang w:eastAsia="en-AU"/>
    </w:rPr>
  </w:style>
  <w:style w:type="character" w:customStyle="1" w:styleId="FootnoteTextChar">
    <w:name w:val="Footnote Text Char"/>
    <w:basedOn w:val="DefaultParagraphFont"/>
    <w:link w:val="FootnoteText"/>
    <w:uiPriority w:val="99"/>
    <w:semiHidden/>
    <w:rsid w:val="002B6276"/>
    <w:rPr>
      <w:rFonts w:ascii="Arial" w:hAnsi="Arial"/>
      <w:sz w:val="18"/>
    </w:rPr>
  </w:style>
  <w:style w:type="character" w:styleId="FootnoteReference">
    <w:name w:val="footnote reference"/>
    <w:basedOn w:val="DefaultParagraphFont"/>
    <w:uiPriority w:val="99"/>
    <w:semiHidden/>
    <w:rsid w:val="002B6276"/>
    <w:rPr>
      <w:vertAlign w:val="superscript"/>
    </w:rPr>
  </w:style>
  <w:style w:type="character" w:styleId="PlaceholderText">
    <w:name w:val="Placeholder Text"/>
    <w:basedOn w:val="DefaultParagraphFont"/>
    <w:uiPriority w:val="99"/>
    <w:semiHidden/>
    <w:rsid w:val="00866BA7"/>
    <w:rPr>
      <w:color w:val="808080"/>
    </w:rPr>
  </w:style>
  <w:style w:type="character" w:styleId="FollowedHyperlink">
    <w:name w:val="FollowedHyperlink"/>
    <w:basedOn w:val="DefaultParagraphFont"/>
    <w:semiHidden/>
    <w:unhideWhenUsed/>
    <w:rsid w:val="00F4510D"/>
    <w:rPr>
      <w:color w:val="800080" w:themeColor="followedHyperlink"/>
      <w:u w:val="single"/>
    </w:rPr>
  </w:style>
  <w:style w:type="paragraph" w:customStyle="1" w:styleId="PBSnormal">
    <w:name w:val="PBS normal"/>
    <w:basedOn w:val="Normal"/>
    <w:link w:val="PBSnormalChar"/>
    <w:qFormat/>
    <w:rsid w:val="00C75549"/>
    <w:pPr>
      <w:widowControl/>
      <w:spacing w:before="120" w:after="240" w:line="360" w:lineRule="auto"/>
    </w:pPr>
    <w:rPr>
      <w:snapToGrid/>
      <w:lang w:eastAsia="en-AU"/>
    </w:rPr>
  </w:style>
  <w:style w:type="character" w:customStyle="1" w:styleId="PBSnormalChar">
    <w:name w:val="PBS normal Char"/>
    <w:basedOn w:val="DefaultParagraphFont"/>
    <w:link w:val="PBSnormal"/>
    <w:rsid w:val="00C75549"/>
    <w:rPr>
      <w:rFonts w:ascii="Arial" w:hAnsi="Arial" w:cs="Arial"/>
      <w:sz w:val="22"/>
    </w:rPr>
  </w:style>
  <w:style w:type="paragraph" w:customStyle="1" w:styleId="PBSNormal0">
    <w:name w:val="PBS Normal"/>
    <w:basedOn w:val="Normal"/>
    <w:link w:val="PBSNormalChar1"/>
    <w:rsid w:val="00C75549"/>
    <w:pPr>
      <w:widowControl/>
      <w:spacing w:before="120" w:after="120" w:line="360" w:lineRule="auto"/>
    </w:pPr>
    <w:rPr>
      <w:snapToGrid/>
      <w:lang w:eastAsia="en-AU"/>
    </w:rPr>
  </w:style>
  <w:style w:type="character" w:customStyle="1" w:styleId="PBSNormalChar1">
    <w:name w:val="PBS Normal Char1"/>
    <w:basedOn w:val="DefaultParagraphFont"/>
    <w:link w:val="PBSNormal0"/>
    <w:rsid w:val="00C75549"/>
    <w:rPr>
      <w:rFonts w:ascii="Arial" w:hAnsi="Arial" w:cs="Arial"/>
      <w:sz w:val="22"/>
    </w:rPr>
  </w:style>
  <w:style w:type="character" w:customStyle="1" w:styleId="SubtitleChar">
    <w:name w:val="Subtitle Char"/>
    <w:link w:val="Subtitle"/>
    <w:rsid w:val="00E47B9D"/>
    <w:rPr>
      <w:lang w:eastAsia="en-US"/>
    </w:rPr>
  </w:style>
  <w:style w:type="paragraph" w:styleId="Subtitle">
    <w:name w:val="Subtitle"/>
    <w:basedOn w:val="Normal"/>
    <w:link w:val="SubtitleChar"/>
    <w:qFormat/>
    <w:rsid w:val="00E47B9D"/>
    <w:pPr>
      <w:widowControl/>
    </w:pPr>
    <w:rPr>
      <w:rFonts w:ascii="Times New Roman" w:hAnsi="Times New Roman" w:cs="Times New Roman"/>
      <w:snapToGrid/>
      <w:sz w:val="20"/>
    </w:rPr>
  </w:style>
  <w:style w:type="character" w:customStyle="1" w:styleId="SubtitleChar1">
    <w:name w:val="Subtitle Char1"/>
    <w:basedOn w:val="DefaultParagraphFont"/>
    <w:rsid w:val="00E47B9D"/>
    <w:rPr>
      <w:rFonts w:asciiTheme="majorHAnsi" w:eastAsiaTheme="majorEastAsia" w:hAnsiTheme="majorHAnsi" w:cstheme="majorBidi"/>
      <w:i/>
      <w:iCs/>
      <w:snapToGrid w:val="0"/>
      <w:color w:val="4F81BD" w:themeColor="accent1"/>
      <w:spacing w:val="15"/>
      <w:sz w:val="24"/>
      <w:szCs w:val="24"/>
      <w:lang w:eastAsia="en-US"/>
    </w:rPr>
  </w:style>
  <w:style w:type="character" w:customStyle="1" w:styleId="ListParagraphChar">
    <w:name w:val="List Paragraph Char"/>
    <w:link w:val="ListParagraph"/>
    <w:uiPriority w:val="34"/>
    <w:locked/>
    <w:rsid w:val="00E47B9D"/>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71">
      <w:bodyDiv w:val="1"/>
      <w:marLeft w:val="0"/>
      <w:marRight w:val="0"/>
      <w:marTop w:val="0"/>
      <w:marBottom w:val="0"/>
      <w:divBdr>
        <w:top w:val="none" w:sz="0" w:space="0" w:color="auto"/>
        <w:left w:val="none" w:sz="0" w:space="0" w:color="auto"/>
        <w:bottom w:val="none" w:sz="0" w:space="0" w:color="auto"/>
        <w:right w:val="none" w:sz="0" w:space="0" w:color="auto"/>
      </w:divBdr>
      <w:divsChild>
        <w:div w:id="1184629310">
          <w:marLeft w:val="1166"/>
          <w:marRight w:val="0"/>
          <w:marTop w:val="134"/>
          <w:marBottom w:val="0"/>
          <w:divBdr>
            <w:top w:val="none" w:sz="0" w:space="0" w:color="auto"/>
            <w:left w:val="none" w:sz="0" w:space="0" w:color="auto"/>
            <w:bottom w:val="none" w:sz="0" w:space="0" w:color="auto"/>
            <w:right w:val="none" w:sz="0" w:space="0" w:color="auto"/>
          </w:divBdr>
        </w:div>
      </w:divsChild>
    </w:div>
    <w:div w:id="10767834">
      <w:bodyDiv w:val="1"/>
      <w:marLeft w:val="0"/>
      <w:marRight w:val="0"/>
      <w:marTop w:val="0"/>
      <w:marBottom w:val="0"/>
      <w:divBdr>
        <w:top w:val="none" w:sz="0" w:space="0" w:color="auto"/>
        <w:left w:val="none" w:sz="0" w:space="0" w:color="auto"/>
        <w:bottom w:val="none" w:sz="0" w:space="0" w:color="auto"/>
        <w:right w:val="none" w:sz="0" w:space="0" w:color="auto"/>
      </w:divBdr>
    </w:div>
    <w:div w:id="24529191">
      <w:bodyDiv w:val="1"/>
      <w:marLeft w:val="0"/>
      <w:marRight w:val="0"/>
      <w:marTop w:val="0"/>
      <w:marBottom w:val="0"/>
      <w:divBdr>
        <w:top w:val="none" w:sz="0" w:space="0" w:color="auto"/>
        <w:left w:val="none" w:sz="0" w:space="0" w:color="auto"/>
        <w:bottom w:val="none" w:sz="0" w:space="0" w:color="auto"/>
        <w:right w:val="none" w:sz="0" w:space="0" w:color="auto"/>
      </w:divBdr>
      <w:divsChild>
        <w:div w:id="1593707077">
          <w:marLeft w:val="547"/>
          <w:marRight w:val="0"/>
          <w:marTop w:val="154"/>
          <w:marBottom w:val="0"/>
          <w:divBdr>
            <w:top w:val="none" w:sz="0" w:space="0" w:color="auto"/>
            <w:left w:val="none" w:sz="0" w:space="0" w:color="auto"/>
            <w:bottom w:val="none" w:sz="0" w:space="0" w:color="auto"/>
            <w:right w:val="none" w:sz="0" w:space="0" w:color="auto"/>
          </w:divBdr>
        </w:div>
      </w:divsChild>
    </w:div>
    <w:div w:id="29455890">
      <w:bodyDiv w:val="1"/>
      <w:marLeft w:val="0"/>
      <w:marRight w:val="0"/>
      <w:marTop w:val="0"/>
      <w:marBottom w:val="0"/>
      <w:divBdr>
        <w:top w:val="none" w:sz="0" w:space="0" w:color="auto"/>
        <w:left w:val="none" w:sz="0" w:space="0" w:color="auto"/>
        <w:bottom w:val="none" w:sz="0" w:space="0" w:color="auto"/>
        <w:right w:val="none" w:sz="0" w:space="0" w:color="auto"/>
      </w:divBdr>
    </w:div>
    <w:div w:id="31226943">
      <w:bodyDiv w:val="1"/>
      <w:marLeft w:val="0"/>
      <w:marRight w:val="0"/>
      <w:marTop w:val="0"/>
      <w:marBottom w:val="0"/>
      <w:divBdr>
        <w:top w:val="none" w:sz="0" w:space="0" w:color="auto"/>
        <w:left w:val="none" w:sz="0" w:space="0" w:color="auto"/>
        <w:bottom w:val="none" w:sz="0" w:space="0" w:color="auto"/>
        <w:right w:val="none" w:sz="0" w:space="0" w:color="auto"/>
      </w:divBdr>
    </w:div>
    <w:div w:id="36664171">
      <w:bodyDiv w:val="1"/>
      <w:marLeft w:val="0"/>
      <w:marRight w:val="0"/>
      <w:marTop w:val="0"/>
      <w:marBottom w:val="0"/>
      <w:divBdr>
        <w:top w:val="none" w:sz="0" w:space="0" w:color="auto"/>
        <w:left w:val="none" w:sz="0" w:space="0" w:color="auto"/>
        <w:bottom w:val="none" w:sz="0" w:space="0" w:color="auto"/>
        <w:right w:val="none" w:sz="0" w:space="0" w:color="auto"/>
      </w:divBdr>
    </w:div>
    <w:div w:id="39088979">
      <w:bodyDiv w:val="1"/>
      <w:marLeft w:val="0"/>
      <w:marRight w:val="0"/>
      <w:marTop w:val="0"/>
      <w:marBottom w:val="0"/>
      <w:divBdr>
        <w:top w:val="none" w:sz="0" w:space="0" w:color="auto"/>
        <w:left w:val="none" w:sz="0" w:space="0" w:color="auto"/>
        <w:bottom w:val="none" w:sz="0" w:space="0" w:color="auto"/>
        <w:right w:val="none" w:sz="0" w:space="0" w:color="auto"/>
      </w:divBdr>
    </w:div>
    <w:div w:id="65106200">
      <w:bodyDiv w:val="1"/>
      <w:marLeft w:val="0"/>
      <w:marRight w:val="0"/>
      <w:marTop w:val="0"/>
      <w:marBottom w:val="0"/>
      <w:divBdr>
        <w:top w:val="none" w:sz="0" w:space="0" w:color="auto"/>
        <w:left w:val="none" w:sz="0" w:space="0" w:color="auto"/>
        <w:bottom w:val="none" w:sz="0" w:space="0" w:color="auto"/>
        <w:right w:val="none" w:sz="0" w:space="0" w:color="auto"/>
      </w:divBdr>
    </w:div>
    <w:div w:id="90709014">
      <w:bodyDiv w:val="1"/>
      <w:marLeft w:val="0"/>
      <w:marRight w:val="0"/>
      <w:marTop w:val="0"/>
      <w:marBottom w:val="0"/>
      <w:divBdr>
        <w:top w:val="none" w:sz="0" w:space="0" w:color="auto"/>
        <w:left w:val="none" w:sz="0" w:space="0" w:color="auto"/>
        <w:bottom w:val="none" w:sz="0" w:space="0" w:color="auto"/>
        <w:right w:val="none" w:sz="0" w:space="0" w:color="auto"/>
      </w:divBdr>
    </w:div>
    <w:div w:id="91754268">
      <w:bodyDiv w:val="1"/>
      <w:marLeft w:val="0"/>
      <w:marRight w:val="0"/>
      <w:marTop w:val="0"/>
      <w:marBottom w:val="0"/>
      <w:divBdr>
        <w:top w:val="none" w:sz="0" w:space="0" w:color="auto"/>
        <w:left w:val="none" w:sz="0" w:space="0" w:color="auto"/>
        <w:bottom w:val="none" w:sz="0" w:space="0" w:color="auto"/>
        <w:right w:val="none" w:sz="0" w:space="0" w:color="auto"/>
      </w:divBdr>
      <w:divsChild>
        <w:div w:id="1592622548">
          <w:marLeft w:val="547"/>
          <w:marRight w:val="0"/>
          <w:marTop w:val="134"/>
          <w:marBottom w:val="0"/>
          <w:divBdr>
            <w:top w:val="none" w:sz="0" w:space="0" w:color="auto"/>
            <w:left w:val="none" w:sz="0" w:space="0" w:color="auto"/>
            <w:bottom w:val="none" w:sz="0" w:space="0" w:color="auto"/>
            <w:right w:val="none" w:sz="0" w:space="0" w:color="auto"/>
          </w:divBdr>
        </w:div>
        <w:div w:id="990331732">
          <w:marLeft w:val="547"/>
          <w:marRight w:val="0"/>
          <w:marTop w:val="134"/>
          <w:marBottom w:val="0"/>
          <w:divBdr>
            <w:top w:val="none" w:sz="0" w:space="0" w:color="auto"/>
            <w:left w:val="none" w:sz="0" w:space="0" w:color="auto"/>
            <w:bottom w:val="none" w:sz="0" w:space="0" w:color="auto"/>
            <w:right w:val="none" w:sz="0" w:space="0" w:color="auto"/>
          </w:divBdr>
        </w:div>
      </w:divsChild>
    </w:div>
    <w:div w:id="103304477">
      <w:bodyDiv w:val="1"/>
      <w:marLeft w:val="0"/>
      <w:marRight w:val="0"/>
      <w:marTop w:val="0"/>
      <w:marBottom w:val="0"/>
      <w:divBdr>
        <w:top w:val="none" w:sz="0" w:space="0" w:color="auto"/>
        <w:left w:val="none" w:sz="0" w:space="0" w:color="auto"/>
        <w:bottom w:val="none" w:sz="0" w:space="0" w:color="auto"/>
        <w:right w:val="none" w:sz="0" w:space="0" w:color="auto"/>
      </w:divBdr>
    </w:div>
    <w:div w:id="170340309">
      <w:bodyDiv w:val="1"/>
      <w:marLeft w:val="0"/>
      <w:marRight w:val="0"/>
      <w:marTop w:val="0"/>
      <w:marBottom w:val="0"/>
      <w:divBdr>
        <w:top w:val="none" w:sz="0" w:space="0" w:color="auto"/>
        <w:left w:val="none" w:sz="0" w:space="0" w:color="auto"/>
        <w:bottom w:val="none" w:sz="0" w:space="0" w:color="auto"/>
        <w:right w:val="none" w:sz="0" w:space="0" w:color="auto"/>
      </w:divBdr>
    </w:div>
    <w:div w:id="172648416">
      <w:bodyDiv w:val="1"/>
      <w:marLeft w:val="0"/>
      <w:marRight w:val="0"/>
      <w:marTop w:val="0"/>
      <w:marBottom w:val="0"/>
      <w:divBdr>
        <w:top w:val="none" w:sz="0" w:space="0" w:color="auto"/>
        <w:left w:val="none" w:sz="0" w:space="0" w:color="auto"/>
        <w:bottom w:val="none" w:sz="0" w:space="0" w:color="auto"/>
        <w:right w:val="none" w:sz="0" w:space="0" w:color="auto"/>
      </w:divBdr>
    </w:div>
    <w:div w:id="190265651">
      <w:bodyDiv w:val="1"/>
      <w:marLeft w:val="0"/>
      <w:marRight w:val="0"/>
      <w:marTop w:val="0"/>
      <w:marBottom w:val="0"/>
      <w:divBdr>
        <w:top w:val="none" w:sz="0" w:space="0" w:color="auto"/>
        <w:left w:val="none" w:sz="0" w:space="0" w:color="auto"/>
        <w:bottom w:val="none" w:sz="0" w:space="0" w:color="auto"/>
        <w:right w:val="none" w:sz="0" w:space="0" w:color="auto"/>
      </w:divBdr>
    </w:div>
    <w:div w:id="225457412">
      <w:bodyDiv w:val="1"/>
      <w:marLeft w:val="0"/>
      <w:marRight w:val="0"/>
      <w:marTop w:val="0"/>
      <w:marBottom w:val="0"/>
      <w:divBdr>
        <w:top w:val="none" w:sz="0" w:space="0" w:color="auto"/>
        <w:left w:val="none" w:sz="0" w:space="0" w:color="auto"/>
        <w:bottom w:val="none" w:sz="0" w:space="0" w:color="auto"/>
        <w:right w:val="none" w:sz="0" w:space="0" w:color="auto"/>
      </w:divBdr>
    </w:div>
    <w:div w:id="227767178">
      <w:bodyDiv w:val="1"/>
      <w:marLeft w:val="0"/>
      <w:marRight w:val="0"/>
      <w:marTop w:val="0"/>
      <w:marBottom w:val="0"/>
      <w:divBdr>
        <w:top w:val="none" w:sz="0" w:space="0" w:color="auto"/>
        <w:left w:val="none" w:sz="0" w:space="0" w:color="auto"/>
        <w:bottom w:val="none" w:sz="0" w:space="0" w:color="auto"/>
        <w:right w:val="none" w:sz="0" w:space="0" w:color="auto"/>
      </w:divBdr>
    </w:div>
    <w:div w:id="261106646">
      <w:bodyDiv w:val="1"/>
      <w:marLeft w:val="0"/>
      <w:marRight w:val="0"/>
      <w:marTop w:val="0"/>
      <w:marBottom w:val="0"/>
      <w:divBdr>
        <w:top w:val="none" w:sz="0" w:space="0" w:color="auto"/>
        <w:left w:val="none" w:sz="0" w:space="0" w:color="auto"/>
        <w:bottom w:val="none" w:sz="0" w:space="0" w:color="auto"/>
        <w:right w:val="none" w:sz="0" w:space="0" w:color="auto"/>
      </w:divBdr>
    </w:div>
    <w:div w:id="267591036">
      <w:bodyDiv w:val="1"/>
      <w:marLeft w:val="0"/>
      <w:marRight w:val="0"/>
      <w:marTop w:val="0"/>
      <w:marBottom w:val="0"/>
      <w:divBdr>
        <w:top w:val="none" w:sz="0" w:space="0" w:color="auto"/>
        <w:left w:val="none" w:sz="0" w:space="0" w:color="auto"/>
        <w:bottom w:val="none" w:sz="0" w:space="0" w:color="auto"/>
        <w:right w:val="none" w:sz="0" w:space="0" w:color="auto"/>
      </w:divBdr>
    </w:div>
    <w:div w:id="317805643">
      <w:bodyDiv w:val="1"/>
      <w:marLeft w:val="0"/>
      <w:marRight w:val="0"/>
      <w:marTop w:val="0"/>
      <w:marBottom w:val="0"/>
      <w:divBdr>
        <w:top w:val="none" w:sz="0" w:space="0" w:color="auto"/>
        <w:left w:val="none" w:sz="0" w:space="0" w:color="auto"/>
        <w:bottom w:val="none" w:sz="0" w:space="0" w:color="auto"/>
        <w:right w:val="none" w:sz="0" w:space="0" w:color="auto"/>
      </w:divBdr>
    </w:div>
    <w:div w:id="380598559">
      <w:bodyDiv w:val="1"/>
      <w:marLeft w:val="0"/>
      <w:marRight w:val="0"/>
      <w:marTop w:val="0"/>
      <w:marBottom w:val="0"/>
      <w:divBdr>
        <w:top w:val="none" w:sz="0" w:space="0" w:color="auto"/>
        <w:left w:val="none" w:sz="0" w:space="0" w:color="auto"/>
        <w:bottom w:val="none" w:sz="0" w:space="0" w:color="auto"/>
        <w:right w:val="none" w:sz="0" w:space="0" w:color="auto"/>
      </w:divBdr>
    </w:div>
    <w:div w:id="385616302">
      <w:bodyDiv w:val="1"/>
      <w:marLeft w:val="0"/>
      <w:marRight w:val="0"/>
      <w:marTop w:val="0"/>
      <w:marBottom w:val="0"/>
      <w:divBdr>
        <w:top w:val="none" w:sz="0" w:space="0" w:color="auto"/>
        <w:left w:val="none" w:sz="0" w:space="0" w:color="auto"/>
        <w:bottom w:val="none" w:sz="0" w:space="0" w:color="auto"/>
        <w:right w:val="none" w:sz="0" w:space="0" w:color="auto"/>
      </w:divBdr>
    </w:div>
    <w:div w:id="388767972">
      <w:bodyDiv w:val="1"/>
      <w:marLeft w:val="0"/>
      <w:marRight w:val="0"/>
      <w:marTop w:val="0"/>
      <w:marBottom w:val="0"/>
      <w:divBdr>
        <w:top w:val="none" w:sz="0" w:space="0" w:color="auto"/>
        <w:left w:val="none" w:sz="0" w:space="0" w:color="auto"/>
        <w:bottom w:val="none" w:sz="0" w:space="0" w:color="auto"/>
        <w:right w:val="none" w:sz="0" w:space="0" w:color="auto"/>
      </w:divBdr>
    </w:div>
    <w:div w:id="437989587">
      <w:bodyDiv w:val="1"/>
      <w:marLeft w:val="0"/>
      <w:marRight w:val="0"/>
      <w:marTop w:val="0"/>
      <w:marBottom w:val="0"/>
      <w:divBdr>
        <w:top w:val="none" w:sz="0" w:space="0" w:color="auto"/>
        <w:left w:val="none" w:sz="0" w:space="0" w:color="auto"/>
        <w:bottom w:val="none" w:sz="0" w:space="0" w:color="auto"/>
        <w:right w:val="none" w:sz="0" w:space="0" w:color="auto"/>
      </w:divBdr>
    </w:div>
    <w:div w:id="449134235">
      <w:bodyDiv w:val="1"/>
      <w:marLeft w:val="0"/>
      <w:marRight w:val="0"/>
      <w:marTop w:val="0"/>
      <w:marBottom w:val="0"/>
      <w:divBdr>
        <w:top w:val="none" w:sz="0" w:space="0" w:color="auto"/>
        <w:left w:val="none" w:sz="0" w:space="0" w:color="auto"/>
        <w:bottom w:val="none" w:sz="0" w:space="0" w:color="auto"/>
        <w:right w:val="none" w:sz="0" w:space="0" w:color="auto"/>
      </w:divBdr>
    </w:div>
    <w:div w:id="502013784">
      <w:bodyDiv w:val="1"/>
      <w:marLeft w:val="0"/>
      <w:marRight w:val="0"/>
      <w:marTop w:val="0"/>
      <w:marBottom w:val="0"/>
      <w:divBdr>
        <w:top w:val="none" w:sz="0" w:space="0" w:color="auto"/>
        <w:left w:val="none" w:sz="0" w:space="0" w:color="auto"/>
        <w:bottom w:val="none" w:sz="0" w:space="0" w:color="auto"/>
        <w:right w:val="none" w:sz="0" w:space="0" w:color="auto"/>
      </w:divBdr>
    </w:div>
    <w:div w:id="535851221">
      <w:bodyDiv w:val="1"/>
      <w:marLeft w:val="0"/>
      <w:marRight w:val="0"/>
      <w:marTop w:val="0"/>
      <w:marBottom w:val="0"/>
      <w:divBdr>
        <w:top w:val="none" w:sz="0" w:space="0" w:color="auto"/>
        <w:left w:val="none" w:sz="0" w:space="0" w:color="auto"/>
        <w:bottom w:val="none" w:sz="0" w:space="0" w:color="auto"/>
        <w:right w:val="none" w:sz="0" w:space="0" w:color="auto"/>
      </w:divBdr>
    </w:div>
    <w:div w:id="548154917">
      <w:bodyDiv w:val="1"/>
      <w:marLeft w:val="0"/>
      <w:marRight w:val="0"/>
      <w:marTop w:val="0"/>
      <w:marBottom w:val="0"/>
      <w:divBdr>
        <w:top w:val="none" w:sz="0" w:space="0" w:color="auto"/>
        <w:left w:val="none" w:sz="0" w:space="0" w:color="auto"/>
        <w:bottom w:val="none" w:sz="0" w:space="0" w:color="auto"/>
        <w:right w:val="none" w:sz="0" w:space="0" w:color="auto"/>
      </w:divBdr>
    </w:div>
    <w:div w:id="552498710">
      <w:bodyDiv w:val="1"/>
      <w:marLeft w:val="0"/>
      <w:marRight w:val="0"/>
      <w:marTop w:val="0"/>
      <w:marBottom w:val="0"/>
      <w:divBdr>
        <w:top w:val="none" w:sz="0" w:space="0" w:color="auto"/>
        <w:left w:val="none" w:sz="0" w:space="0" w:color="auto"/>
        <w:bottom w:val="none" w:sz="0" w:space="0" w:color="auto"/>
        <w:right w:val="none" w:sz="0" w:space="0" w:color="auto"/>
      </w:divBdr>
    </w:div>
    <w:div w:id="618530917">
      <w:bodyDiv w:val="1"/>
      <w:marLeft w:val="0"/>
      <w:marRight w:val="0"/>
      <w:marTop w:val="0"/>
      <w:marBottom w:val="0"/>
      <w:divBdr>
        <w:top w:val="none" w:sz="0" w:space="0" w:color="auto"/>
        <w:left w:val="none" w:sz="0" w:space="0" w:color="auto"/>
        <w:bottom w:val="none" w:sz="0" w:space="0" w:color="auto"/>
        <w:right w:val="none" w:sz="0" w:space="0" w:color="auto"/>
      </w:divBdr>
    </w:div>
    <w:div w:id="647832009">
      <w:bodyDiv w:val="1"/>
      <w:marLeft w:val="0"/>
      <w:marRight w:val="0"/>
      <w:marTop w:val="0"/>
      <w:marBottom w:val="0"/>
      <w:divBdr>
        <w:top w:val="none" w:sz="0" w:space="0" w:color="auto"/>
        <w:left w:val="none" w:sz="0" w:space="0" w:color="auto"/>
        <w:bottom w:val="none" w:sz="0" w:space="0" w:color="auto"/>
        <w:right w:val="none" w:sz="0" w:space="0" w:color="auto"/>
      </w:divBdr>
    </w:div>
    <w:div w:id="651106459">
      <w:bodyDiv w:val="1"/>
      <w:marLeft w:val="0"/>
      <w:marRight w:val="0"/>
      <w:marTop w:val="0"/>
      <w:marBottom w:val="0"/>
      <w:divBdr>
        <w:top w:val="none" w:sz="0" w:space="0" w:color="auto"/>
        <w:left w:val="none" w:sz="0" w:space="0" w:color="auto"/>
        <w:bottom w:val="none" w:sz="0" w:space="0" w:color="auto"/>
        <w:right w:val="none" w:sz="0" w:space="0" w:color="auto"/>
      </w:divBdr>
    </w:div>
    <w:div w:id="653416450">
      <w:bodyDiv w:val="1"/>
      <w:marLeft w:val="0"/>
      <w:marRight w:val="0"/>
      <w:marTop w:val="0"/>
      <w:marBottom w:val="0"/>
      <w:divBdr>
        <w:top w:val="none" w:sz="0" w:space="0" w:color="auto"/>
        <w:left w:val="none" w:sz="0" w:space="0" w:color="auto"/>
        <w:bottom w:val="none" w:sz="0" w:space="0" w:color="auto"/>
        <w:right w:val="none" w:sz="0" w:space="0" w:color="auto"/>
      </w:divBdr>
      <w:divsChild>
        <w:div w:id="1929847018">
          <w:marLeft w:val="547"/>
          <w:marRight w:val="0"/>
          <w:marTop w:val="134"/>
          <w:marBottom w:val="0"/>
          <w:divBdr>
            <w:top w:val="none" w:sz="0" w:space="0" w:color="auto"/>
            <w:left w:val="none" w:sz="0" w:space="0" w:color="auto"/>
            <w:bottom w:val="none" w:sz="0" w:space="0" w:color="auto"/>
            <w:right w:val="none" w:sz="0" w:space="0" w:color="auto"/>
          </w:divBdr>
        </w:div>
        <w:div w:id="717437313">
          <w:marLeft w:val="547"/>
          <w:marRight w:val="0"/>
          <w:marTop w:val="134"/>
          <w:marBottom w:val="0"/>
          <w:divBdr>
            <w:top w:val="none" w:sz="0" w:space="0" w:color="auto"/>
            <w:left w:val="none" w:sz="0" w:space="0" w:color="auto"/>
            <w:bottom w:val="none" w:sz="0" w:space="0" w:color="auto"/>
            <w:right w:val="none" w:sz="0" w:space="0" w:color="auto"/>
          </w:divBdr>
        </w:div>
      </w:divsChild>
    </w:div>
    <w:div w:id="658339646">
      <w:bodyDiv w:val="1"/>
      <w:marLeft w:val="0"/>
      <w:marRight w:val="0"/>
      <w:marTop w:val="0"/>
      <w:marBottom w:val="0"/>
      <w:divBdr>
        <w:top w:val="none" w:sz="0" w:space="0" w:color="auto"/>
        <w:left w:val="none" w:sz="0" w:space="0" w:color="auto"/>
        <w:bottom w:val="none" w:sz="0" w:space="0" w:color="auto"/>
        <w:right w:val="none" w:sz="0" w:space="0" w:color="auto"/>
      </w:divBdr>
    </w:div>
    <w:div w:id="698508378">
      <w:bodyDiv w:val="1"/>
      <w:marLeft w:val="0"/>
      <w:marRight w:val="0"/>
      <w:marTop w:val="0"/>
      <w:marBottom w:val="0"/>
      <w:divBdr>
        <w:top w:val="none" w:sz="0" w:space="0" w:color="auto"/>
        <w:left w:val="none" w:sz="0" w:space="0" w:color="auto"/>
        <w:bottom w:val="none" w:sz="0" w:space="0" w:color="auto"/>
        <w:right w:val="none" w:sz="0" w:space="0" w:color="auto"/>
      </w:divBdr>
      <w:divsChild>
        <w:div w:id="1794397920">
          <w:marLeft w:val="547"/>
          <w:marRight w:val="0"/>
          <w:marTop w:val="115"/>
          <w:marBottom w:val="0"/>
          <w:divBdr>
            <w:top w:val="none" w:sz="0" w:space="0" w:color="auto"/>
            <w:left w:val="none" w:sz="0" w:space="0" w:color="auto"/>
            <w:bottom w:val="none" w:sz="0" w:space="0" w:color="auto"/>
            <w:right w:val="none" w:sz="0" w:space="0" w:color="auto"/>
          </w:divBdr>
        </w:div>
        <w:div w:id="284897507">
          <w:marLeft w:val="1166"/>
          <w:marRight w:val="0"/>
          <w:marTop w:val="86"/>
          <w:marBottom w:val="0"/>
          <w:divBdr>
            <w:top w:val="none" w:sz="0" w:space="0" w:color="auto"/>
            <w:left w:val="none" w:sz="0" w:space="0" w:color="auto"/>
            <w:bottom w:val="none" w:sz="0" w:space="0" w:color="auto"/>
            <w:right w:val="none" w:sz="0" w:space="0" w:color="auto"/>
          </w:divBdr>
        </w:div>
        <w:div w:id="873418809">
          <w:marLeft w:val="1166"/>
          <w:marRight w:val="0"/>
          <w:marTop w:val="86"/>
          <w:marBottom w:val="0"/>
          <w:divBdr>
            <w:top w:val="none" w:sz="0" w:space="0" w:color="auto"/>
            <w:left w:val="none" w:sz="0" w:space="0" w:color="auto"/>
            <w:bottom w:val="none" w:sz="0" w:space="0" w:color="auto"/>
            <w:right w:val="none" w:sz="0" w:space="0" w:color="auto"/>
          </w:divBdr>
        </w:div>
        <w:div w:id="2069187073">
          <w:marLeft w:val="1166"/>
          <w:marRight w:val="0"/>
          <w:marTop w:val="86"/>
          <w:marBottom w:val="0"/>
          <w:divBdr>
            <w:top w:val="none" w:sz="0" w:space="0" w:color="auto"/>
            <w:left w:val="none" w:sz="0" w:space="0" w:color="auto"/>
            <w:bottom w:val="none" w:sz="0" w:space="0" w:color="auto"/>
            <w:right w:val="none" w:sz="0" w:space="0" w:color="auto"/>
          </w:divBdr>
        </w:div>
      </w:divsChild>
    </w:div>
    <w:div w:id="698817154">
      <w:bodyDiv w:val="1"/>
      <w:marLeft w:val="0"/>
      <w:marRight w:val="0"/>
      <w:marTop w:val="0"/>
      <w:marBottom w:val="0"/>
      <w:divBdr>
        <w:top w:val="none" w:sz="0" w:space="0" w:color="auto"/>
        <w:left w:val="none" w:sz="0" w:space="0" w:color="auto"/>
        <w:bottom w:val="none" w:sz="0" w:space="0" w:color="auto"/>
        <w:right w:val="none" w:sz="0" w:space="0" w:color="auto"/>
      </w:divBdr>
    </w:div>
    <w:div w:id="723258624">
      <w:bodyDiv w:val="1"/>
      <w:marLeft w:val="0"/>
      <w:marRight w:val="0"/>
      <w:marTop w:val="0"/>
      <w:marBottom w:val="0"/>
      <w:divBdr>
        <w:top w:val="none" w:sz="0" w:space="0" w:color="auto"/>
        <w:left w:val="none" w:sz="0" w:space="0" w:color="auto"/>
        <w:bottom w:val="none" w:sz="0" w:space="0" w:color="auto"/>
        <w:right w:val="none" w:sz="0" w:space="0" w:color="auto"/>
      </w:divBdr>
    </w:div>
    <w:div w:id="734741495">
      <w:bodyDiv w:val="1"/>
      <w:marLeft w:val="0"/>
      <w:marRight w:val="0"/>
      <w:marTop w:val="0"/>
      <w:marBottom w:val="0"/>
      <w:divBdr>
        <w:top w:val="none" w:sz="0" w:space="0" w:color="auto"/>
        <w:left w:val="none" w:sz="0" w:space="0" w:color="auto"/>
        <w:bottom w:val="none" w:sz="0" w:space="0" w:color="auto"/>
        <w:right w:val="none" w:sz="0" w:space="0" w:color="auto"/>
      </w:divBdr>
    </w:div>
    <w:div w:id="764301817">
      <w:bodyDiv w:val="1"/>
      <w:marLeft w:val="0"/>
      <w:marRight w:val="0"/>
      <w:marTop w:val="0"/>
      <w:marBottom w:val="0"/>
      <w:divBdr>
        <w:top w:val="none" w:sz="0" w:space="0" w:color="auto"/>
        <w:left w:val="none" w:sz="0" w:space="0" w:color="auto"/>
        <w:bottom w:val="none" w:sz="0" w:space="0" w:color="auto"/>
        <w:right w:val="none" w:sz="0" w:space="0" w:color="auto"/>
      </w:divBdr>
    </w:div>
    <w:div w:id="767890364">
      <w:bodyDiv w:val="1"/>
      <w:marLeft w:val="0"/>
      <w:marRight w:val="0"/>
      <w:marTop w:val="0"/>
      <w:marBottom w:val="0"/>
      <w:divBdr>
        <w:top w:val="none" w:sz="0" w:space="0" w:color="auto"/>
        <w:left w:val="none" w:sz="0" w:space="0" w:color="auto"/>
        <w:bottom w:val="none" w:sz="0" w:space="0" w:color="auto"/>
        <w:right w:val="none" w:sz="0" w:space="0" w:color="auto"/>
      </w:divBdr>
    </w:div>
    <w:div w:id="804741637">
      <w:bodyDiv w:val="1"/>
      <w:marLeft w:val="0"/>
      <w:marRight w:val="0"/>
      <w:marTop w:val="0"/>
      <w:marBottom w:val="0"/>
      <w:divBdr>
        <w:top w:val="none" w:sz="0" w:space="0" w:color="auto"/>
        <w:left w:val="none" w:sz="0" w:space="0" w:color="auto"/>
        <w:bottom w:val="none" w:sz="0" w:space="0" w:color="auto"/>
        <w:right w:val="none" w:sz="0" w:space="0" w:color="auto"/>
      </w:divBdr>
    </w:div>
    <w:div w:id="869563571">
      <w:bodyDiv w:val="1"/>
      <w:marLeft w:val="0"/>
      <w:marRight w:val="0"/>
      <w:marTop w:val="0"/>
      <w:marBottom w:val="0"/>
      <w:divBdr>
        <w:top w:val="none" w:sz="0" w:space="0" w:color="auto"/>
        <w:left w:val="none" w:sz="0" w:space="0" w:color="auto"/>
        <w:bottom w:val="none" w:sz="0" w:space="0" w:color="auto"/>
        <w:right w:val="none" w:sz="0" w:space="0" w:color="auto"/>
      </w:divBdr>
    </w:div>
    <w:div w:id="870999682">
      <w:bodyDiv w:val="1"/>
      <w:marLeft w:val="0"/>
      <w:marRight w:val="0"/>
      <w:marTop w:val="0"/>
      <w:marBottom w:val="0"/>
      <w:divBdr>
        <w:top w:val="none" w:sz="0" w:space="0" w:color="auto"/>
        <w:left w:val="none" w:sz="0" w:space="0" w:color="auto"/>
        <w:bottom w:val="none" w:sz="0" w:space="0" w:color="auto"/>
        <w:right w:val="none" w:sz="0" w:space="0" w:color="auto"/>
      </w:divBdr>
    </w:div>
    <w:div w:id="898250407">
      <w:bodyDiv w:val="1"/>
      <w:marLeft w:val="0"/>
      <w:marRight w:val="0"/>
      <w:marTop w:val="0"/>
      <w:marBottom w:val="0"/>
      <w:divBdr>
        <w:top w:val="none" w:sz="0" w:space="0" w:color="auto"/>
        <w:left w:val="none" w:sz="0" w:space="0" w:color="auto"/>
        <w:bottom w:val="none" w:sz="0" w:space="0" w:color="auto"/>
        <w:right w:val="none" w:sz="0" w:space="0" w:color="auto"/>
      </w:divBdr>
    </w:div>
    <w:div w:id="905267411">
      <w:bodyDiv w:val="1"/>
      <w:marLeft w:val="0"/>
      <w:marRight w:val="0"/>
      <w:marTop w:val="0"/>
      <w:marBottom w:val="0"/>
      <w:divBdr>
        <w:top w:val="none" w:sz="0" w:space="0" w:color="auto"/>
        <w:left w:val="none" w:sz="0" w:space="0" w:color="auto"/>
        <w:bottom w:val="none" w:sz="0" w:space="0" w:color="auto"/>
        <w:right w:val="none" w:sz="0" w:space="0" w:color="auto"/>
      </w:divBdr>
      <w:divsChild>
        <w:div w:id="1254971773">
          <w:marLeft w:val="1166"/>
          <w:marRight w:val="0"/>
          <w:marTop w:val="134"/>
          <w:marBottom w:val="0"/>
          <w:divBdr>
            <w:top w:val="none" w:sz="0" w:space="0" w:color="auto"/>
            <w:left w:val="none" w:sz="0" w:space="0" w:color="auto"/>
            <w:bottom w:val="none" w:sz="0" w:space="0" w:color="auto"/>
            <w:right w:val="none" w:sz="0" w:space="0" w:color="auto"/>
          </w:divBdr>
        </w:div>
      </w:divsChild>
    </w:div>
    <w:div w:id="946814937">
      <w:bodyDiv w:val="1"/>
      <w:marLeft w:val="0"/>
      <w:marRight w:val="0"/>
      <w:marTop w:val="0"/>
      <w:marBottom w:val="0"/>
      <w:divBdr>
        <w:top w:val="none" w:sz="0" w:space="0" w:color="auto"/>
        <w:left w:val="none" w:sz="0" w:space="0" w:color="auto"/>
        <w:bottom w:val="none" w:sz="0" w:space="0" w:color="auto"/>
        <w:right w:val="none" w:sz="0" w:space="0" w:color="auto"/>
      </w:divBdr>
    </w:div>
    <w:div w:id="1020162281">
      <w:bodyDiv w:val="1"/>
      <w:marLeft w:val="0"/>
      <w:marRight w:val="0"/>
      <w:marTop w:val="0"/>
      <w:marBottom w:val="0"/>
      <w:divBdr>
        <w:top w:val="none" w:sz="0" w:space="0" w:color="auto"/>
        <w:left w:val="none" w:sz="0" w:space="0" w:color="auto"/>
        <w:bottom w:val="none" w:sz="0" w:space="0" w:color="auto"/>
        <w:right w:val="none" w:sz="0" w:space="0" w:color="auto"/>
      </w:divBdr>
    </w:div>
    <w:div w:id="1031415562">
      <w:bodyDiv w:val="1"/>
      <w:marLeft w:val="0"/>
      <w:marRight w:val="0"/>
      <w:marTop w:val="0"/>
      <w:marBottom w:val="0"/>
      <w:divBdr>
        <w:top w:val="none" w:sz="0" w:space="0" w:color="auto"/>
        <w:left w:val="none" w:sz="0" w:space="0" w:color="auto"/>
        <w:bottom w:val="none" w:sz="0" w:space="0" w:color="auto"/>
        <w:right w:val="none" w:sz="0" w:space="0" w:color="auto"/>
      </w:divBdr>
    </w:div>
    <w:div w:id="1032265053">
      <w:bodyDiv w:val="1"/>
      <w:marLeft w:val="0"/>
      <w:marRight w:val="0"/>
      <w:marTop w:val="0"/>
      <w:marBottom w:val="0"/>
      <w:divBdr>
        <w:top w:val="none" w:sz="0" w:space="0" w:color="auto"/>
        <w:left w:val="none" w:sz="0" w:space="0" w:color="auto"/>
        <w:bottom w:val="none" w:sz="0" w:space="0" w:color="auto"/>
        <w:right w:val="none" w:sz="0" w:space="0" w:color="auto"/>
      </w:divBdr>
    </w:div>
    <w:div w:id="1033191938">
      <w:bodyDiv w:val="1"/>
      <w:marLeft w:val="0"/>
      <w:marRight w:val="0"/>
      <w:marTop w:val="0"/>
      <w:marBottom w:val="0"/>
      <w:divBdr>
        <w:top w:val="none" w:sz="0" w:space="0" w:color="auto"/>
        <w:left w:val="none" w:sz="0" w:space="0" w:color="auto"/>
        <w:bottom w:val="none" w:sz="0" w:space="0" w:color="auto"/>
        <w:right w:val="none" w:sz="0" w:space="0" w:color="auto"/>
      </w:divBdr>
    </w:div>
    <w:div w:id="1034237062">
      <w:bodyDiv w:val="1"/>
      <w:marLeft w:val="0"/>
      <w:marRight w:val="0"/>
      <w:marTop w:val="0"/>
      <w:marBottom w:val="0"/>
      <w:divBdr>
        <w:top w:val="none" w:sz="0" w:space="0" w:color="auto"/>
        <w:left w:val="none" w:sz="0" w:space="0" w:color="auto"/>
        <w:bottom w:val="none" w:sz="0" w:space="0" w:color="auto"/>
        <w:right w:val="none" w:sz="0" w:space="0" w:color="auto"/>
      </w:divBdr>
    </w:div>
    <w:div w:id="1037316845">
      <w:bodyDiv w:val="1"/>
      <w:marLeft w:val="0"/>
      <w:marRight w:val="0"/>
      <w:marTop w:val="0"/>
      <w:marBottom w:val="0"/>
      <w:divBdr>
        <w:top w:val="none" w:sz="0" w:space="0" w:color="auto"/>
        <w:left w:val="none" w:sz="0" w:space="0" w:color="auto"/>
        <w:bottom w:val="none" w:sz="0" w:space="0" w:color="auto"/>
        <w:right w:val="none" w:sz="0" w:space="0" w:color="auto"/>
      </w:divBdr>
    </w:div>
    <w:div w:id="1044715459">
      <w:bodyDiv w:val="1"/>
      <w:marLeft w:val="0"/>
      <w:marRight w:val="0"/>
      <w:marTop w:val="0"/>
      <w:marBottom w:val="0"/>
      <w:divBdr>
        <w:top w:val="none" w:sz="0" w:space="0" w:color="auto"/>
        <w:left w:val="none" w:sz="0" w:space="0" w:color="auto"/>
        <w:bottom w:val="none" w:sz="0" w:space="0" w:color="auto"/>
        <w:right w:val="none" w:sz="0" w:space="0" w:color="auto"/>
      </w:divBdr>
    </w:div>
    <w:div w:id="1061098483">
      <w:bodyDiv w:val="1"/>
      <w:marLeft w:val="0"/>
      <w:marRight w:val="0"/>
      <w:marTop w:val="0"/>
      <w:marBottom w:val="0"/>
      <w:divBdr>
        <w:top w:val="none" w:sz="0" w:space="0" w:color="auto"/>
        <w:left w:val="none" w:sz="0" w:space="0" w:color="auto"/>
        <w:bottom w:val="none" w:sz="0" w:space="0" w:color="auto"/>
        <w:right w:val="none" w:sz="0" w:space="0" w:color="auto"/>
      </w:divBdr>
    </w:div>
    <w:div w:id="1074165545">
      <w:bodyDiv w:val="1"/>
      <w:marLeft w:val="0"/>
      <w:marRight w:val="0"/>
      <w:marTop w:val="0"/>
      <w:marBottom w:val="0"/>
      <w:divBdr>
        <w:top w:val="none" w:sz="0" w:space="0" w:color="auto"/>
        <w:left w:val="none" w:sz="0" w:space="0" w:color="auto"/>
        <w:bottom w:val="none" w:sz="0" w:space="0" w:color="auto"/>
        <w:right w:val="none" w:sz="0" w:space="0" w:color="auto"/>
      </w:divBdr>
    </w:div>
    <w:div w:id="1191722233">
      <w:bodyDiv w:val="1"/>
      <w:marLeft w:val="0"/>
      <w:marRight w:val="0"/>
      <w:marTop w:val="0"/>
      <w:marBottom w:val="0"/>
      <w:divBdr>
        <w:top w:val="none" w:sz="0" w:space="0" w:color="auto"/>
        <w:left w:val="none" w:sz="0" w:space="0" w:color="auto"/>
        <w:bottom w:val="none" w:sz="0" w:space="0" w:color="auto"/>
        <w:right w:val="none" w:sz="0" w:space="0" w:color="auto"/>
      </w:divBdr>
    </w:div>
    <w:div w:id="1200050304">
      <w:bodyDiv w:val="1"/>
      <w:marLeft w:val="0"/>
      <w:marRight w:val="0"/>
      <w:marTop w:val="0"/>
      <w:marBottom w:val="0"/>
      <w:divBdr>
        <w:top w:val="none" w:sz="0" w:space="0" w:color="auto"/>
        <w:left w:val="none" w:sz="0" w:space="0" w:color="auto"/>
        <w:bottom w:val="none" w:sz="0" w:space="0" w:color="auto"/>
        <w:right w:val="none" w:sz="0" w:space="0" w:color="auto"/>
      </w:divBdr>
    </w:div>
    <w:div w:id="1215891371">
      <w:bodyDiv w:val="1"/>
      <w:marLeft w:val="0"/>
      <w:marRight w:val="0"/>
      <w:marTop w:val="0"/>
      <w:marBottom w:val="0"/>
      <w:divBdr>
        <w:top w:val="none" w:sz="0" w:space="0" w:color="auto"/>
        <w:left w:val="none" w:sz="0" w:space="0" w:color="auto"/>
        <w:bottom w:val="none" w:sz="0" w:space="0" w:color="auto"/>
        <w:right w:val="none" w:sz="0" w:space="0" w:color="auto"/>
      </w:divBdr>
    </w:div>
    <w:div w:id="1239097254">
      <w:bodyDiv w:val="1"/>
      <w:marLeft w:val="0"/>
      <w:marRight w:val="0"/>
      <w:marTop w:val="0"/>
      <w:marBottom w:val="0"/>
      <w:divBdr>
        <w:top w:val="none" w:sz="0" w:space="0" w:color="auto"/>
        <w:left w:val="none" w:sz="0" w:space="0" w:color="auto"/>
        <w:bottom w:val="none" w:sz="0" w:space="0" w:color="auto"/>
        <w:right w:val="none" w:sz="0" w:space="0" w:color="auto"/>
      </w:divBdr>
    </w:div>
    <w:div w:id="1249728582">
      <w:bodyDiv w:val="1"/>
      <w:marLeft w:val="0"/>
      <w:marRight w:val="0"/>
      <w:marTop w:val="0"/>
      <w:marBottom w:val="0"/>
      <w:divBdr>
        <w:top w:val="none" w:sz="0" w:space="0" w:color="auto"/>
        <w:left w:val="none" w:sz="0" w:space="0" w:color="auto"/>
        <w:bottom w:val="none" w:sz="0" w:space="0" w:color="auto"/>
        <w:right w:val="none" w:sz="0" w:space="0" w:color="auto"/>
      </w:divBdr>
    </w:div>
    <w:div w:id="1250886966">
      <w:bodyDiv w:val="1"/>
      <w:marLeft w:val="0"/>
      <w:marRight w:val="0"/>
      <w:marTop w:val="0"/>
      <w:marBottom w:val="0"/>
      <w:divBdr>
        <w:top w:val="none" w:sz="0" w:space="0" w:color="auto"/>
        <w:left w:val="none" w:sz="0" w:space="0" w:color="auto"/>
        <w:bottom w:val="none" w:sz="0" w:space="0" w:color="auto"/>
        <w:right w:val="none" w:sz="0" w:space="0" w:color="auto"/>
      </w:divBdr>
    </w:div>
    <w:div w:id="1257905959">
      <w:bodyDiv w:val="1"/>
      <w:marLeft w:val="0"/>
      <w:marRight w:val="0"/>
      <w:marTop w:val="0"/>
      <w:marBottom w:val="0"/>
      <w:divBdr>
        <w:top w:val="none" w:sz="0" w:space="0" w:color="auto"/>
        <w:left w:val="none" w:sz="0" w:space="0" w:color="auto"/>
        <w:bottom w:val="none" w:sz="0" w:space="0" w:color="auto"/>
        <w:right w:val="none" w:sz="0" w:space="0" w:color="auto"/>
      </w:divBdr>
    </w:div>
    <w:div w:id="1262176950">
      <w:bodyDiv w:val="1"/>
      <w:marLeft w:val="0"/>
      <w:marRight w:val="0"/>
      <w:marTop w:val="0"/>
      <w:marBottom w:val="0"/>
      <w:divBdr>
        <w:top w:val="none" w:sz="0" w:space="0" w:color="auto"/>
        <w:left w:val="none" w:sz="0" w:space="0" w:color="auto"/>
        <w:bottom w:val="none" w:sz="0" w:space="0" w:color="auto"/>
        <w:right w:val="none" w:sz="0" w:space="0" w:color="auto"/>
      </w:divBdr>
    </w:div>
    <w:div w:id="1285192014">
      <w:bodyDiv w:val="1"/>
      <w:marLeft w:val="0"/>
      <w:marRight w:val="0"/>
      <w:marTop w:val="0"/>
      <w:marBottom w:val="0"/>
      <w:divBdr>
        <w:top w:val="none" w:sz="0" w:space="0" w:color="auto"/>
        <w:left w:val="none" w:sz="0" w:space="0" w:color="auto"/>
        <w:bottom w:val="none" w:sz="0" w:space="0" w:color="auto"/>
        <w:right w:val="none" w:sz="0" w:space="0" w:color="auto"/>
      </w:divBdr>
    </w:div>
    <w:div w:id="1289436208">
      <w:bodyDiv w:val="1"/>
      <w:marLeft w:val="0"/>
      <w:marRight w:val="0"/>
      <w:marTop w:val="0"/>
      <w:marBottom w:val="0"/>
      <w:divBdr>
        <w:top w:val="none" w:sz="0" w:space="0" w:color="auto"/>
        <w:left w:val="none" w:sz="0" w:space="0" w:color="auto"/>
        <w:bottom w:val="none" w:sz="0" w:space="0" w:color="auto"/>
        <w:right w:val="none" w:sz="0" w:space="0" w:color="auto"/>
      </w:divBdr>
    </w:div>
    <w:div w:id="1335955109">
      <w:bodyDiv w:val="1"/>
      <w:marLeft w:val="0"/>
      <w:marRight w:val="0"/>
      <w:marTop w:val="0"/>
      <w:marBottom w:val="0"/>
      <w:divBdr>
        <w:top w:val="none" w:sz="0" w:space="0" w:color="auto"/>
        <w:left w:val="none" w:sz="0" w:space="0" w:color="auto"/>
        <w:bottom w:val="none" w:sz="0" w:space="0" w:color="auto"/>
        <w:right w:val="none" w:sz="0" w:space="0" w:color="auto"/>
      </w:divBdr>
    </w:div>
    <w:div w:id="1379627765">
      <w:bodyDiv w:val="1"/>
      <w:marLeft w:val="0"/>
      <w:marRight w:val="0"/>
      <w:marTop w:val="0"/>
      <w:marBottom w:val="0"/>
      <w:divBdr>
        <w:top w:val="none" w:sz="0" w:space="0" w:color="auto"/>
        <w:left w:val="none" w:sz="0" w:space="0" w:color="auto"/>
        <w:bottom w:val="none" w:sz="0" w:space="0" w:color="auto"/>
        <w:right w:val="none" w:sz="0" w:space="0" w:color="auto"/>
      </w:divBdr>
      <w:divsChild>
        <w:div w:id="797340169">
          <w:marLeft w:val="547"/>
          <w:marRight w:val="0"/>
          <w:marTop w:val="134"/>
          <w:marBottom w:val="0"/>
          <w:divBdr>
            <w:top w:val="none" w:sz="0" w:space="0" w:color="auto"/>
            <w:left w:val="none" w:sz="0" w:space="0" w:color="auto"/>
            <w:bottom w:val="none" w:sz="0" w:space="0" w:color="auto"/>
            <w:right w:val="none" w:sz="0" w:space="0" w:color="auto"/>
          </w:divBdr>
        </w:div>
        <w:div w:id="859586767">
          <w:marLeft w:val="547"/>
          <w:marRight w:val="0"/>
          <w:marTop w:val="134"/>
          <w:marBottom w:val="0"/>
          <w:divBdr>
            <w:top w:val="none" w:sz="0" w:space="0" w:color="auto"/>
            <w:left w:val="none" w:sz="0" w:space="0" w:color="auto"/>
            <w:bottom w:val="none" w:sz="0" w:space="0" w:color="auto"/>
            <w:right w:val="none" w:sz="0" w:space="0" w:color="auto"/>
          </w:divBdr>
        </w:div>
      </w:divsChild>
    </w:div>
    <w:div w:id="1411927120">
      <w:bodyDiv w:val="1"/>
      <w:marLeft w:val="0"/>
      <w:marRight w:val="0"/>
      <w:marTop w:val="0"/>
      <w:marBottom w:val="0"/>
      <w:divBdr>
        <w:top w:val="none" w:sz="0" w:space="0" w:color="auto"/>
        <w:left w:val="none" w:sz="0" w:space="0" w:color="auto"/>
        <w:bottom w:val="none" w:sz="0" w:space="0" w:color="auto"/>
        <w:right w:val="none" w:sz="0" w:space="0" w:color="auto"/>
      </w:divBdr>
    </w:div>
    <w:div w:id="1414544788">
      <w:bodyDiv w:val="1"/>
      <w:marLeft w:val="0"/>
      <w:marRight w:val="0"/>
      <w:marTop w:val="0"/>
      <w:marBottom w:val="0"/>
      <w:divBdr>
        <w:top w:val="none" w:sz="0" w:space="0" w:color="auto"/>
        <w:left w:val="none" w:sz="0" w:space="0" w:color="auto"/>
        <w:bottom w:val="none" w:sz="0" w:space="0" w:color="auto"/>
        <w:right w:val="none" w:sz="0" w:space="0" w:color="auto"/>
      </w:divBdr>
    </w:div>
    <w:div w:id="1447507369">
      <w:bodyDiv w:val="1"/>
      <w:marLeft w:val="0"/>
      <w:marRight w:val="0"/>
      <w:marTop w:val="0"/>
      <w:marBottom w:val="0"/>
      <w:divBdr>
        <w:top w:val="none" w:sz="0" w:space="0" w:color="auto"/>
        <w:left w:val="none" w:sz="0" w:space="0" w:color="auto"/>
        <w:bottom w:val="none" w:sz="0" w:space="0" w:color="auto"/>
        <w:right w:val="none" w:sz="0" w:space="0" w:color="auto"/>
      </w:divBdr>
    </w:div>
    <w:div w:id="1464957796">
      <w:bodyDiv w:val="1"/>
      <w:marLeft w:val="0"/>
      <w:marRight w:val="0"/>
      <w:marTop w:val="0"/>
      <w:marBottom w:val="0"/>
      <w:divBdr>
        <w:top w:val="none" w:sz="0" w:space="0" w:color="auto"/>
        <w:left w:val="none" w:sz="0" w:space="0" w:color="auto"/>
        <w:bottom w:val="none" w:sz="0" w:space="0" w:color="auto"/>
        <w:right w:val="none" w:sz="0" w:space="0" w:color="auto"/>
      </w:divBdr>
    </w:div>
    <w:div w:id="1471168513">
      <w:bodyDiv w:val="1"/>
      <w:marLeft w:val="0"/>
      <w:marRight w:val="0"/>
      <w:marTop w:val="0"/>
      <w:marBottom w:val="0"/>
      <w:divBdr>
        <w:top w:val="none" w:sz="0" w:space="0" w:color="auto"/>
        <w:left w:val="none" w:sz="0" w:space="0" w:color="auto"/>
        <w:bottom w:val="none" w:sz="0" w:space="0" w:color="auto"/>
        <w:right w:val="none" w:sz="0" w:space="0" w:color="auto"/>
      </w:divBdr>
    </w:div>
    <w:div w:id="1529220384">
      <w:bodyDiv w:val="1"/>
      <w:marLeft w:val="0"/>
      <w:marRight w:val="0"/>
      <w:marTop w:val="0"/>
      <w:marBottom w:val="0"/>
      <w:divBdr>
        <w:top w:val="none" w:sz="0" w:space="0" w:color="auto"/>
        <w:left w:val="none" w:sz="0" w:space="0" w:color="auto"/>
        <w:bottom w:val="none" w:sz="0" w:space="0" w:color="auto"/>
        <w:right w:val="none" w:sz="0" w:space="0" w:color="auto"/>
      </w:divBdr>
    </w:div>
    <w:div w:id="1537814611">
      <w:bodyDiv w:val="1"/>
      <w:marLeft w:val="0"/>
      <w:marRight w:val="0"/>
      <w:marTop w:val="0"/>
      <w:marBottom w:val="0"/>
      <w:divBdr>
        <w:top w:val="none" w:sz="0" w:space="0" w:color="auto"/>
        <w:left w:val="none" w:sz="0" w:space="0" w:color="auto"/>
        <w:bottom w:val="none" w:sz="0" w:space="0" w:color="auto"/>
        <w:right w:val="none" w:sz="0" w:space="0" w:color="auto"/>
      </w:divBdr>
    </w:div>
    <w:div w:id="1549874107">
      <w:bodyDiv w:val="1"/>
      <w:marLeft w:val="0"/>
      <w:marRight w:val="0"/>
      <w:marTop w:val="0"/>
      <w:marBottom w:val="0"/>
      <w:divBdr>
        <w:top w:val="none" w:sz="0" w:space="0" w:color="auto"/>
        <w:left w:val="none" w:sz="0" w:space="0" w:color="auto"/>
        <w:bottom w:val="none" w:sz="0" w:space="0" w:color="auto"/>
        <w:right w:val="none" w:sz="0" w:space="0" w:color="auto"/>
      </w:divBdr>
    </w:div>
    <w:div w:id="1563783899">
      <w:bodyDiv w:val="1"/>
      <w:marLeft w:val="0"/>
      <w:marRight w:val="0"/>
      <w:marTop w:val="0"/>
      <w:marBottom w:val="0"/>
      <w:divBdr>
        <w:top w:val="none" w:sz="0" w:space="0" w:color="auto"/>
        <w:left w:val="none" w:sz="0" w:space="0" w:color="auto"/>
        <w:bottom w:val="none" w:sz="0" w:space="0" w:color="auto"/>
        <w:right w:val="none" w:sz="0" w:space="0" w:color="auto"/>
      </w:divBdr>
    </w:div>
    <w:div w:id="1568877816">
      <w:bodyDiv w:val="1"/>
      <w:marLeft w:val="0"/>
      <w:marRight w:val="0"/>
      <w:marTop w:val="0"/>
      <w:marBottom w:val="0"/>
      <w:divBdr>
        <w:top w:val="none" w:sz="0" w:space="0" w:color="auto"/>
        <w:left w:val="none" w:sz="0" w:space="0" w:color="auto"/>
        <w:bottom w:val="none" w:sz="0" w:space="0" w:color="auto"/>
        <w:right w:val="none" w:sz="0" w:space="0" w:color="auto"/>
      </w:divBdr>
    </w:div>
    <w:div w:id="1591499014">
      <w:bodyDiv w:val="1"/>
      <w:marLeft w:val="0"/>
      <w:marRight w:val="0"/>
      <w:marTop w:val="0"/>
      <w:marBottom w:val="0"/>
      <w:divBdr>
        <w:top w:val="none" w:sz="0" w:space="0" w:color="auto"/>
        <w:left w:val="none" w:sz="0" w:space="0" w:color="auto"/>
        <w:bottom w:val="none" w:sz="0" w:space="0" w:color="auto"/>
        <w:right w:val="none" w:sz="0" w:space="0" w:color="auto"/>
      </w:divBdr>
    </w:div>
    <w:div w:id="1617591915">
      <w:bodyDiv w:val="1"/>
      <w:marLeft w:val="0"/>
      <w:marRight w:val="0"/>
      <w:marTop w:val="0"/>
      <w:marBottom w:val="0"/>
      <w:divBdr>
        <w:top w:val="none" w:sz="0" w:space="0" w:color="auto"/>
        <w:left w:val="none" w:sz="0" w:space="0" w:color="auto"/>
        <w:bottom w:val="none" w:sz="0" w:space="0" w:color="auto"/>
        <w:right w:val="none" w:sz="0" w:space="0" w:color="auto"/>
      </w:divBdr>
    </w:div>
    <w:div w:id="1624922838">
      <w:bodyDiv w:val="1"/>
      <w:marLeft w:val="0"/>
      <w:marRight w:val="0"/>
      <w:marTop w:val="0"/>
      <w:marBottom w:val="0"/>
      <w:divBdr>
        <w:top w:val="none" w:sz="0" w:space="0" w:color="auto"/>
        <w:left w:val="none" w:sz="0" w:space="0" w:color="auto"/>
        <w:bottom w:val="none" w:sz="0" w:space="0" w:color="auto"/>
        <w:right w:val="none" w:sz="0" w:space="0" w:color="auto"/>
      </w:divBdr>
    </w:div>
    <w:div w:id="1633242289">
      <w:bodyDiv w:val="1"/>
      <w:marLeft w:val="0"/>
      <w:marRight w:val="0"/>
      <w:marTop w:val="0"/>
      <w:marBottom w:val="0"/>
      <w:divBdr>
        <w:top w:val="none" w:sz="0" w:space="0" w:color="auto"/>
        <w:left w:val="none" w:sz="0" w:space="0" w:color="auto"/>
        <w:bottom w:val="none" w:sz="0" w:space="0" w:color="auto"/>
        <w:right w:val="none" w:sz="0" w:space="0" w:color="auto"/>
      </w:divBdr>
    </w:div>
    <w:div w:id="1665549012">
      <w:bodyDiv w:val="1"/>
      <w:marLeft w:val="0"/>
      <w:marRight w:val="0"/>
      <w:marTop w:val="0"/>
      <w:marBottom w:val="0"/>
      <w:divBdr>
        <w:top w:val="none" w:sz="0" w:space="0" w:color="auto"/>
        <w:left w:val="none" w:sz="0" w:space="0" w:color="auto"/>
        <w:bottom w:val="none" w:sz="0" w:space="0" w:color="auto"/>
        <w:right w:val="none" w:sz="0" w:space="0" w:color="auto"/>
      </w:divBdr>
    </w:div>
    <w:div w:id="1666009877">
      <w:bodyDiv w:val="1"/>
      <w:marLeft w:val="0"/>
      <w:marRight w:val="0"/>
      <w:marTop w:val="0"/>
      <w:marBottom w:val="0"/>
      <w:divBdr>
        <w:top w:val="none" w:sz="0" w:space="0" w:color="auto"/>
        <w:left w:val="none" w:sz="0" w:space="0" w:color="auto"/>
        <w:bottom w:val="none" w:sz="0" w:space="0" w:color="auto"/>
        <w:right w:val="none" w:sz="0" w:space="0" w:color="auto"/>
      </w:divBdr>
    </w:div>
    <w:div w:id="1690183047">
      <w:bodyDiv w:val="1"/>
      <w:marLeft w:val="0"/>
      <w:marRight w:val="0"/>
      <w:marTop w:val="0"/>
      <w:marBottom w:val="0"/>
      <w:divBdr>
        <w:top w:val="none" w:sz="0" w:space="0" w:color="auto"/>
        <w:left w:val="none" w:sz="0" w:space="0" w:color="auto"/>
        <w:bottom w:val="none" w:sz="0" w:space="0" w:color="auto"/>
        <w:right w:val="none" w:sz="0" w:space="0" w:color="auto"/>
      </w:divBdr>
    </w:div>
    <w:div w:id="1693261315">
      <w:bodyDiv w:val="1"/>
      <w:marLeft w:val="0"/>
      <w:marRight w:val="0"/>
      <w:marTop w:val="0"/>
      <w:marBottom w:val="0"/>
      <w:divBdr>
        <w:top w:val="none" w:sz="0" w:space="0" w:color="auto"/>
        <w:left w:val="none" w:sz="0" w:space="0" w:color="auto"/>
        <w:bottom w:val="none" w:sz="0" w:space="0" w:color="auto"/>
        <w:right w:val="none" w:sz="0" w:space="0" w:color="auto"/>
      </w:divBdr>
    </w:div>
    <w:div w:id="1708526291">
      <w:bodyDiv w:val="1"/>
      <w:marLeft w:val="0"/>
      <w:marRight w:val="0"/>
      <w:marTop w:val="0"/>
      <w:marBottom w:val="0"/>
      <w:divBdr>
        <w:top w:val="none" w:sz="0" w:space="0" w:color="auto"/>
        <w:left w:val="none" w:sz="0" w:space="0" w:color="auto"/>
        <w:bottom w:val="none" w:sz="0" w:space="0" w:color="auto"/>
        <w:right w:val="none" w:sz="0" w:space="0" w:color="auto"/>
      </w:divBdr>
    </w:div>
    <w:div w:id="1711345835">
      <w:bodyDiv w:val="1"/>
      <w:marLeft w:val="0"/>
      <w:marRight w:val="0"/>
      <w:marTop w:val="0"/>
      <w:marBottom w:val="0"/>
      <w:divBdr>
        <w:top w:val="none" w:sz="0" w:space="0" w:color="auto"/>
        <w:left w:val="none" w:sz="0" w:space="0" w:color="auto"/>
        <w:bottom w:val="none" w:sz="0" w:space="0" w:color="auto"/>
        <w:right w:val="none" w:sz="0" w:space="0" w:color="auto"/>
      </w:divBdr>
    </w:div>
    <w:div w:id="1717654543">
      <w:bodyDiv w:val="1"/>
      <w:marLeft w:val="0"/>
      <w:marRight w:val="0"/>
      <w:marTop w:val="0"/>
      <w:marBottom w:val="0"/>
      <w:divBdr>
        <w:top w:val="none" w:sz="0" w:space="0" w:color="auto"/>
        <w:left w:val="none" w:sz="0" w:space="0" w:color="auto"/>
        <w:bottom w:val="none" w:sz="0" w:space="0" w:color="auto"/>
        <w:right w:val="none" w:sz="0" w:space="0" w:color="auto"/>
      </w:divBdr>
    </w:div>
    <w:div w:id="1747800839">
      <w:bodyDiv w:val="1"/>
      <w:marLeft w:val="0"/>
      <w:marRight w:val="0"/>
      <w:marTop w:val="0"/>
      <w:marBottom w:val="0"/>
      <w:divBdr>
        <w:top w:val="none" w:sz="0" w:space="0" w:color="auto"/>
        <w:left w:val="none" w:sz="0" w:space="0" w:color="auto"/>
        <w:bottom w:val="none" w:sz="0" w:space="0" w:color="auto"/>
        <w:right w:val="none" w:sz="0" w:space="0" w:color="auto"/>
      </w:divBdr>
    </w:div>
    <w:div w:id="1790316077">
      <w:bodyDiv w:val="1"/>
      <w:marLeft w:val="0"/>
      <w:marRight w:val="0"/>
      <w:marTop w:val="0"/>
      <w:marBottom w:val="0"/>
      <w:divBdr>
        <w:top w:val="none" w:sz="0" w:space="0" w:color="auto"/>
        <w:left w:val="none" w:sz="0" w:space="0" w:color="auto"/>
        <w:bottom w:val="none" w:sz="0" w:space="0" w:color="auto"/>
        <w:right w:val="none" w:sz="0" w:space="0" w:color="auto"/>
      </w:divBdr>
    </w:div>
    <w:div w:id="1819760333">
      <w:bodyDiv w:val="1"/>
      <w:marLeft w:val="0"/>
      <w:marRight w:val="0"/>
      <w:marTop w:val="0"/>
      <w:marBottom w:val="0"/>
      <w:divBdr>
        <w:top w:val="none" w:sz="0" w:space="0" w:color="auto"/>
        <w:left w:val="none" w:sz="0" w:space="0" w:color="auto"/>
        <w:bottom w:val="none" w:sz="0" w:space="0" w:color="auto"/>
        <w:right w:val="none" w:sz="0" w:space="0" w:color="auto"/>
      </w:divBdr>
    </w:div>
    <w:div w:id="1842041705">
      <w:bodyDiv w:val="1"/>
      <w:marLeft w:val="0"/>
      <w:marRight w:val="0"/>
      <w:marTop w:val="0"/>
      <w:marBottom w:val="0"/>
      <w:divBdr>
        <w:top w:val="none" w:sz="0" w:space="0" w:color="auto"/>
        <w:left w:val="none" w:sz="0" w:space="0" w:color="auto"/>
        <w:bottom w:val="none" w:sz="0" w:space="0" w:color="auto"/>
        <w:right w:val="none" w:sz="0" w:space="0" w:color="auto"/>
      </w:divBdr>
    </w:div>
    <w:div w:id="1888028717">
      <w:bodyDiv w:val="1"/>
      <w:marLeft w:val="0"/>
      <w:marRight w:val="0"/>
      <w:marTop w:val="0"/>
      <w:marBottom w:val="0"/>
      <w:divBdr>
        <w:top w:val="none" w:sz="0" w:space="0" w:color="auto"/>
        <w:left w:val="none" w:sz="0" w:space="0" w:color="auto"/>
        <w:bottom w:val="none" w:sz="0" w:space="0" w:color="auto"/>
        <w:right w:val="none" w:sz="0" w:space="0" w:color="auto"/>
      </w:divBdr>
    </w:div>
    <w:div w:id="1899972759">
      <w:bodyDiv w:val="1"/>
      <w:marLeft w:val="0"/>
      <w:marRight w:val="0"/>
      <w:marTop w:val="0"/>
      <w:marBottom w:val="0"/>
      <w:divBdr>
        <w:top w:val="none" w:sz="0" w:space="0" w:color="auto"/>
        <w:left w:val="none" w:sz="0" w:space="0" w:color="auto"/>
        <w:bottom w:val="none" w:sz="0" w:space="0" w:color="auto"/>
        <w:right w:val="none" w:sz="0" w:space="0" w:color="auto"/>
      </w:divBdr>
    </w:div>
    <w:div w:id="1908496690">
      <w:bodyDiv w:val="1"/>
      <w:marLeft w:val="0"/>
      <w:marRight w:val="0"/>
      <w:marTop w:val="0"/>
      <w:marBottom w:val="0"/>
      <w:divBdr>
        <w:top w:val="none" w:sz="0" w:space="0" w:color="auto"/>
        <w:left w:val="none" w:sz="0" w:space="0" w:color="auto"/>
        <w:bottom w:val="none" w:sz="0" w:space="0" w:color="auto"/>
        <w:right w:val="none" w:sz="0" w:space="0" w:color="auto"/>
      </w:divBdr>
    </w:div>
    <w:div w:id="1911379677">
      <w:bodyDiv w:val="1"/>
      <w:marLeft w:val="0"/>
      <w:marRight w:val="0"/>
      <w:marTop w:val="0"/>
      <w:marBottom w:val="0"/>
      <w:divBdr>
        <w:top w:val="none" w:sz="0" w:space="0" w:color="auto"/>
        <w:left w:val="none" w:sz="0" w:space="0" w:color="auto"/>
        <w:bottom w:val="none" w:sz="0" w:space="0" w:color="auto"/>
        <w:right w:val="none" w:sz="0" w:space="0" w:color="auto"/>
      </w:divBdr>
    </w:div>
    <w:div w:id="1940672979">
      <w:bodyDiv w:val="1"/>
      <w:marLeft w:val="0"/>
      <w:marRight w:val="0"/>
      <w:marTop w:val="0"/>
      <w:marBottom w:val="0"/>
      <w:divBdr>
        <w:top w:val="none" w:sz="0" w:space="0" w:color="auto"/>
        <w:left w:val="none" w:sz="0" w:space="0" w:color="auto"/>
        <w:bottom w:val="none" w:sz="0" w:space="0" w:color="auto"/>
        <w:right w:val="none" w:sz="0" w:space="0" w:color="auto"/>
      </w:divBdr>
    </w:div>
    <w:div w:id="1978796901">
      <w:bodyDiv w:val="1"/>
      <w:marLeft w:val="0"/>
      <w:marRight w:val="0"/>
      <w:marTop w:val="0"/>
      <w:marBottom w:val="0"/>
      <w:divBdr>
        <w:top w:val="none" w:sz="0" w:space="0" w:color="auto"/>
        <w:left w:val="none" w:sz="0" w:space="0" w:color="auto"/>
        <w:bottom w:val="none" w:sz="0" w:space="0" w:color="auto"/>
        <w:right w:val="none" w:sz="0" w:space="0" w:color="auto"/>
      </w:divBdr>
    </w:div>
    <w:div w:id="1980114210">
      <w:bodyDiv w:val="1"/>
      <w:marLeft w:val="0"/>
      <w:marRight w:val="0"/>
      <w:marTop w:val="0"/>
      <w:marBottom w:val="0"/>
      <w:divBdr>
        <w:top w:val="none" w:sz="0" w:space="0" w:color="auto"/>
        <w:left w:val="none" w:sz="0" w:space="0" w:color="auto"/>
        <w:bottom w:val="none" w:sz="0" w:space="0" w:color="auto"/>
        <w:right w:val="none" w:sz="0" w:space="0" w:color="auto"/>
      </w:divBdr>
    </w:div>
    <w:div w:id="1986350922">
      <w:bodyDiv w:val="1"/>
      <w:marLeft w:val="0"/>
      <w:marRight w:val="0"/>
      <w:marTop w:val="0"/>
      <w:marBottom w:val="0"/>
      <w:divBdr>
        <w:top w:val="none" w:sz="0" w:space="0" w:color="auto"/>
        <w:left w:val="none" w:sz="0" w:space="0" w:color="auto"/>
        <w:bottom w:val="none" w:sz="0" w:space="0" w:color="auto"/>
        <w:right w:val="none" w:sz="0" w:space="0" w:color="auto"/>
      </w:divBdr>
    </w:div>
    <w:div w:id="1994411704">
      <w:bodyDiv w:val="1"/>
      <w:marLeft w:val="0"/>
      <w:marRight w:val="0"/>
      <w:marTop w:val="0"/>
      <w:marBottom w:val="0"/>
      <w:divBdr>
        <w:top w:val="none" w:sz="0" w:space="0" w:color="auto"/>
        <w:left w:val="none" w:sz="0" w:space="0" w:color="auto"/>
        <w:bottom w:val="none" w:sz="0" w:space="0" w:color="auto"/>
        <w:right w:val="none" w:sz="0" w:space="0" w:color="auto"/>
      </w:divBdr>
    </w:div>
    <w:div w:id="2006393668">
      <w:bodyDiv w:val="1"/>
      <w:marLeft w:val="0"/>
      <w:marRight w:val="0"/>
      <w:marTop w:val="0"/>
      <w:marBottom w:val="0"/>
      <w:divBdr>
        <w:top w:val="none" w:sz="0" w:space="0" w:color="auto"/>
        <w:left w:val="none" w:sz="0" w:space="0" w:color="auto"/>
        <w:bottom w:val="none" w:sz="0" w:space="0" w:color="auto"/>
        <w:right w:val="none" w:sz="0" w:space="0" w:color="auto"/>
      </w:divBdr>
    </w:div>
    <w:div w:id="2049842355">
      <w:bodyDiv w:val="1"/>
      <w:marLeft w:val="0"/>
      <w:marRight w:val="0"/>
      <w:marTop w:val="0"/>
      <w:marBottom w:val="0"/>
      <w:divBdr>
        <w:top w:val="none" w:sz="0" w:space="0" w:color="auto"/>
        <w:left w:val="none" w:sz="0" w:space="0" w:color="auto"/>
        <w:bottom w:val="none" w:sz="0" w:space="0" w:color="auto"/>
        <w:right w:val="none" w:sz="0" w:space="0" w:color="auto"/>
      </w:divBdr>
    </w:div>
    <w:div w:id="2086226140">
      <w:bodyDiv w:val="1"/>
      <w:marLeft w:val="0"/>
      <w:marRight w:val="0"/>
      <w:marTop w:val="0"/>
      <w:marBottom w:val="0"/>
      <w:divBdr>
        <w:top w:val="none" w:sz="0" w:space="0" w:color="auto"/>
        <w:left w:val="none" w:sz="0" w:space="0" w:color="auto"/>
        <w:bottom w:val="none" w:sz="0" w:space="0" w:color="auto"/>
        <w:right w:val="none" w:sz="0" w:space="0" w:color="auto"/>
      </w:divBdr>
    </w:div>
    <w:div w:id="2087532596">
      <w:bodyDiv w:val="1"/>
      <w:marLeft w:val="0"/>
      <w:marRight w:val="0"/>
      <w:marTop w:val="0"/>
      <w:marBottom w:val="0"/>
      <w:divBdr>
        <w:top w:val="none" w:sz="0" w:space="0" w:color="auto"/>
        <w:left w:val="none" w:sz="0" w:space="0" w:color="auto"/>
        <w:bottom w:val="none" w:sz="0" w:space="0" w:color="auto"/>
        <w:right w:val="none" w:sz="0" w:space="0" w:color="auto"/>
      </w:divBdr>
    </w:div>
    <w:div w:id="2101022332">
      <w:bodyDiv w:val="1"/>
      <w:marLeft w:val="0"/>
      <w:marRight w:val="0"/>
      <w:marTop w:val="0"/>
      <w:marBottom w:val="0"/>
      <w:divBdr>
        <w:top w:val="none" w:sz="0" w:space="0" w:color="auto"/>
        <w:left w:val="none" w:sz="0" w:space="0" w:color="auto"/>
        <w:bottom w:val="none" w:sz="0" w:space="0" w:color="auto"/>
        <w:right w:val="none" w:sz="0" w:space="0" w:color="auto"/>
      </w:divBdr>
    </w:div>
    <w:div w:id="2118332540">
      <w:bodyDiv w:val="1"/>
      <w:marLeft w:val="0"/>
      <w:marRight w:val="0"/>
      <w:marTop w:val="0"/>
      <w:marBottom w:val="0"/>
      <w:divBdr>
        <w:top w:val="none" w:sz="0" w:space="0" w:color="auto"/>
        <w:left w:val="none" w:sz="0" w:space="0" w:color="auto"/>
        <w:bottom w:val="none" w:sz="0" w:space="0" w:color="auto"/>
        <w:right w:val="none" w:sz="0" w:space="0" w:color="auto"/>
      </w:divBdr>
    </w:div>
    <w:div w:id="21328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4126</Words>
  <Characters>26240</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2014-11-12T03:38:00Z</dcterms:created>
  <dcterms:modified xsi:type="dcterms:W3CDTF">2014-11-12T22:42:00Z</dcterms:modified>
</cp:coreProperties>
</file>