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7D3" w:rsidRDefault="007017D3" w:rsidP="00062675">
      <w:pPr>
        <w:jc w:val="both"/>
        <w:rPr>
          <w:rFonts w:ascii="Arial" w:hAnsi="Arial" w:cs="Arial"/>
          <w:b/>
          <w:sz w:val="22"/>
          <w:szCs w:val="22"/>
          <w:u w:val="single"/>
        </w:rPr>
      </w:pPr>
    </w:p>
    <w:p w:rsidR="00062675" w:rsidRDefault="00827C24" w:rsidP="003F5687">
      <w:pPr>
        <w:pStyle w:val="Heading1"/>
      </w:pPr>
      <w:r>
        <w:t>5.</w:t>
      </w:r>
      <w:r w:rsidR="003A114C">
        <w:t>9</w:t>
      </w:r>
      <w:r w:rsidR="007C0F57" w:rsidRPr="006D6EC7">
        <w:tab/>
      </w:r>
      <w:r w:rsidR="009A19EE" w:rsidRPr="009A19EE">
        <w:t xml:space="preserve">LIXISENATIDE, </w:t>
      </w:r>
    </w:p>
    <w:p w:rsidR="00062675" w:rsidRDefault="009A19EE" w:rsidP="003F5687">
      <w:pPr>
        <w:pStyle w:val="Heading1"/>
      </w:pPr>
      <w:r w:rsidRPr="009A19EE">
        <w:t xml:space="preserve">10 microgram/0.2 mL injection, 14 unit doses (&amp;) </w:t>
      </w:r>
    </w:p>
    <w:p w:rsidR="00062675" w:rsidRDefault="009A19EE" w:rsidP="003F5687">
      <w:pPr>
        <w:pStyle w:val="Heading1"/>
      </w:pPr>
      <w:r w:rsidRPr="009A19EE">
        <w:t xml:space="preserve">20 microgram/0.2 mL injection, 14 unit doses, </w:t>
      </w:r>
    </w:p>
    <w:p w:rsidR="009A19EE" w:rsidRPr="009A19EE" w:rsidRDefault="009A19EE" w:rsidP="003F5687">
      <w:pPr>
        <w:pStyle w:val="Heading1"/>
      </w:pPr>
      <w:proofErr w:type="spellStart"/>
      <w:r w:rsidRPr="009A19EE">
        <w:t>Lyxumia</w:t>
      </w:r>
      <w:proofErr w:type="spellEnd"/>
      <w:r w:rsidRPr="009A19EE">
        <w:rPr>
          <w:vertAlign w:val="superscript"/>
        </w:rPr>
        <w:t>®</w:t>
      </w:r>
      <w:r w:rsidRPr="009A19EE">
        <w:t xml:space="preserve"> treatment initiation pack</w:t>
      </w:r>
    </w:p>
    <w:p w:rsidR="009A19EE" w:rsidRDefault="009A19EE" w:rsidP="00F40462">
      <w:pPr>
        <w:rPr>
          <w:vertAlign w:val="superscript"/>
        </w:rPr>
      </w:pPr>
    </w:p>
    <w:p w:rsidR="00062675" w:rsidRDefault="009A19EE" w:rsidP="003F5687">
      <w:pPr>
        <w:pStyle w:val="Heading1"/>
      </w:pPr>
      <w:r>
        <w:t xml:space="preserve">LIXISENATIDE, </w:t>
      </w:r>
    </w:p>
    <w:p w:rsidR="00062675" w:rsidRDefault="009A19EE" w:rsidP="003F5687">
      <w:pPr>
        <w:pStyle w:val="Heading1"/>
      </w:pPr>
      <w:r w:rsidRPr="009A19EE">
        <w:t xml:space="preserve">20 microgram/0.2 mL injection, </w:t>
      </w:r>
      <w:r w:rsidR="00062675">
        <w:t xml:space="preserve">2 x </w:t>
      </w:r>
      <w:r w:rsidR="00062675" w:rsidRPr="00E375D2">
        <w:t>14 unit doses,</w:t>
      </w:r>
    </w:p>
    <w:p w:rsidR="009A19EE" w:rsidRPr="009A19EE" w:rsidRDefault="009A19EE" w:rsidP="003F5687">
      <w:pPr>
        <w:pStyle w:val="Heading1"/>
      </w:pPr>
      <w:proofErr w:type="spellStart"/>
      <w:r w:rsidRPr="009A19EE">
        <w:t>Lyxumia</w:t>
      </w:r>
      <w:proofErr w:type="spellEnd"/>
      <w:r w:rsidRPr="009A19EE">
        <w:rPr>
          <w:vertAlign w:val="superscript"/>
        </w:rPr>
        <w:t>®</w:t>
      </w:r>
      <w:r>
        <w:t xml:space="preserve">, </w:t>
      </w:r>
      <w:r w:rsidRPr="009A19EE">
        <w:t>Sanofi-Aventis Australia Pty Ltd</w:t>
      </w:r>
    </w:p>
    <w:p w:rsidR="008D447E" w:rsidRPr="003A114C" w:rsidRDefault="008D447E" w:rsidP="00A5273B">
      <w:pPr>
        <w:rPr>
          <w:rFonts w:ascii="Arial" w:hAnsi="Arial"/>
        </w:rPr>
      </w:pPr>
    </w:p>
    <w:p w:rsidR="003A114C" w:rsidRPr="003A114C" w:rsidRDefault="003A114C" w:rsidP="00A5273B">
      <w:pPr>
        <w:rPr>
          <w:rFonts w:ascii="Arial" w:hAnsi="Arial"/>
        </w:rPr>
      </w:pPr>
    </w:p>
    <w:p w:rsidR="00CE10C4" w:rsidRPr="00882085" w:rsidRDefault="006A12A5" w:rsidP="00882085">
      <w:pPr>
        <w:jc w:val="both"/>
        <w:rPr>
          <w:rFonts w:ascii="Arial" w:hAnsi="Arial"/>
          <w:b/>
          <w:sz w:val="22"/>
          <w:szCs w:val="22"/>
        </w:rPr>
      </w:pPr>
      <w:r w:rsidRPr="00882085">
        <w:rPr>
          <w:rFonts w:ascii="Arial" w:hAnsi="Arial"/>
          <w:b/>
          <w:sz w:val="22"/>
          <w:szCs w:val="22"/>
        </w:rPr>
        <w:t>1</w:t>
      </w:r>
      <w:r w:rsidRPr="00882085">
        <w:rPr>
          <w:rFonts w:ascii="Arial" w:hAnsi="Arial"/>
          <w:b/>
          <w:sz w:val="22"/>
          <w:szCs w:val="22"/>
        </w:rPr>
        <w:tab/>
      </w:r>
      <w:r w:rsidR="00CE10C4" w:rsidRPr="00882085">
        <w:rPr>
          <w:rFonts w:ascii="Arial" w:hAnsi="Arial"/>
          <w:b/>
          <w:sz w:val="22"/>
          <w:szCs w:val="22"/>
        </w:rPr>
        <w:t xml:space="preserve">Purpose of </w:t>
      </w:r>
      <w:r w:rsidR="0004240E" w:rsidRPr="00882085">
        <w:rPr>
          <w:rFonts w:ascii="Arial" w:hAnsi="Arial"/>
          <w:b/>
          <w:sz w:val="22"/>
          <w:szCs w:val="22"/>
        </w:rPr>
        <w:t>Application</w:t>
      </w:r>
    </w:p>
    <w:p w:rsidR="006A12A5" w:rsidRPr="00882085" w:rsidRDefault="006A12A5" w:rsidP="00882085">
      <w:pPr>
        <w:jc w:val="both"/>
        <w:rPr>
          <w:rFonts w:ascii="Arial" w:hAnsi="Arial"/>
          <w:sz w:val="22"/>
          <w:szCs w:val="22"/>
        </w:rPr>
      </w:pPr>
    </w:p>
    <w:p w:rsidR="00A77C33" w:rsidRPr="00A77C33" w:rsidRDefault="00A77C33" w:rsidP="00A77C33">
      <w:pPr>
        <w:pStyle w:val="ListParagraph"/>
        <w:numPr>
          <w:ilvl w:val="1"/>
          <w:numId w:val="25"/>
        </w:numPr>
        <w:jc w:val="both"/>
        <w:rPr>
          <w:rFonts w:ascii="Arial" w:hAnsi="Arial"/>
          <w:sz w:val="22"/>
          <w:szCs w:val="22"/>
        </w:rPr>
      </w:pPr>
      <w:r>
        <w:rPr>
          <w:rFonts w:ascii="Arial" w:hAnsi="Arial"/>
          <w:sz w:val="22"/>
          <w:szCs w:val="22"/>
        </w:rPr>
        <w:t xml:space="preserve">The major submission sought an </w:t>
      </w:r>
      <w:r w:rsidR="003A114C" w:rsidRPr="003A114C">
        <w:rPr>
          <w:rFonts w:ascii="Arial" w:hAnsi="Arial"/>
          <w:sz w:val="22"/>
          <w:szCs w:val="22"/>
        </w:rPr>
        <w:t xml:space="preserve">Authority Required (STREAMLINED) </w:t>
      </w:r>
      <w:r>
        <w:rPr>
          <w:rFonts w:ascii="Arial" w:hAnsi="Arial"/>
          <w:sz w:val="22"/>
          <w:szCs w:val="22"/>
        </w:rPr>
        <w:t xml:space="preserve">listing </w:t>
      </w:r>
      <w:r w:rsidRPr="00A77C33">
        <w:rPr>
          <w:rFonts w:ascii="Arial" w:hAnsi="Arial"/>
          <w:sz w:val="22"/>
          <w:szCs w:val="22"/>
        </w:rPr>
        <w:t xml:space="preserve">for </w:t>
      </w:r>
      <w:r>
        <w:rPr>
          <w:rFonts w:ascii="Arial" w:hAnsi="Arial"/>
          <w:sz w:val="22"/>
          <w:szCs w:val="22"/>
        </w:rPr>
        <w:t xml:space="preserve">the </w:t>
      </w:r>
      <w:r w:rsidRPr="00A77C33">
        <w:rPr>
          <w:rFonts w:ascii="Arial" w:hAnsi="Arial"/>
          <w:sz w:val="22"/>
          <w:szCs w:val="22"/>
        </w:rPr>
        <w:t>treatment of diabetes mellitus type 2 in patie</w:t>
      </w:r>
      <w:r>
        <w:rPr>
          <w:rFonts w:ascii="Arial" w:hAnsi="Arial"/>
          <w:sz w:val="22"/>
          <w:szCs w:val="22"/>
        </w:rPr>
        <w:t>nts who meet certain criteria as follows:</w:t>
      </w:r>
    </w:p>
    <w:p w:rsidR="00A77C33" w:rsidRPr="00A77C33" w:rsidRDefault="00A77C33" w:rsidP="00A77C33">
      <w:pPr>
        <w:pStyle w:val="ListParagraph"/>
        <w:jc w:val="both"/>
        <w:rPr>
          <w:rFonts w:ascii="Arial" w:hAnsi="Arial"/>
          <w:sz w:val="22"/>
          <w:szCs w:val="22"/>
        </w:rPr>
      </w:pPr>
      <w:r w:rsidRPr="00A77C33">
        <w:rPr>
          <w:rFonts w:ascii="Arial" w:hAnsi="Arial"/>
          <w:sz w:val="22"/>
          <w:szCs w:val="22"/>
        </w:rPr>
        <w:t>(</w:t>
      </w:r>
      <w:proofErr w:type="spellStart"/>
      <w:r w:rsidRPr="00A77C33">
        <w:rPr>
          <w:rFonts w:ascii="Arial" w:hAnsi="Arial"/>
          <w:sz w:val="22"/>
          <w:szCs w:val="22"/>
        </w:rPr>
        <w:t>i</w:t>
      </w:r>
      <w:proofErr w:type="spellEnd"/>
      <w:r w:rsidRPr="00A77C33">
        <w:rPr>
          <w:rFonts w:ascii="Arial" w:hAnsi="Arial"/>
          <w:sz w:val="22"/>
          <w:szCs w:val="22"/>
        </w:rPr>
        <w:t xml:space="preserve">)  </w:t>
      </w:r>
      <w:proofErr w:type="gramStart"/>
      <w:r w:rsidRPr="00A77C33">
        <w:rPr>
          <w:rFonts w:ascii="Arial" w:hAnsi="Arial"/>
          <w:sz w:val="22"/>
          <w:szCs w:val="22"/>
        </w:rPr>
        <w:t>dual</w:t>
      </w:r>
      <w:proofErr w:type="gramEnd"/>
      <w:r w:rsidRPr="00A77C33">
        <w:rPr>
          <w:rFonts w:ascii="Arial" w:hAnsi="Arial"/>
          <w:sz w:val="22"/>
          <w:szCs w:val="22"/>
        </w:rPr>
        <w:t xml:space="preserve"> therapy in combination with metformin; and</w:t>
      </w:r>
    </w:p>
    <w:p w:rsidR="00A77C33" w:rsidRDefault="00A77C33" w:rsidP="00A77C33">
      <w:pPr>
        <w:pStyle w:val="ListParagraph"/>
        <w:jc w:val="both"/>
        <w:rPr>
          <w:rFonts w:ascii="Arial" w:hAnsi="Arial"/>
          <w:sz w:val="22"/>
          <w:szCs w:val="22"/>
        </w:rPr>
      </w:pPr>
      <w:r w:rsidRPr="00A77C33">
        <w:rPr>
          <w:rFonts w:ascii="Arial" w:hAnsi="Arial"/>
          <w:sz w:val="22"/>
          <w:szCs w:val="22"/>
        </w:rPr>
        <w:t xml:space="preserve">(ii) </w:t>
      </w:r>
      <w:proofErr w:type="gramStart"/>
      <w:r w:rsidRPr="00A77C33">
        <w:rPr>
          <w:rFonts w:ascii="Arial" w:hAnsi="Arial"/>
          <w:sz w:val="22"/>
          <w:szCs w:val="22"/>
        </w:rPr>
        <w:t>triple</w:t>
      </w:r>
      <w:proofErr w:type="gramEnd"/>
      <w:r w:rsidRPr="00A77C33">
        <w:rPr>
          <w:rFonts w:ascii="Arial" w:hAnsi="Arial"/>
          <w:sz w:val="22"/>
          <w:szCs w:val="22"/>
        </w:rPr>
        <w:t xml:space="preserve"> therapy in combination with metformin and a </w:t>
      </w:r>
      <w:proofErr w:type="spellStart"/>
      <w:r w:rsidRPr="00A77C33">
        <w:rPr>
          <w:rFonts w:ascii="Arial" w:hAnsi="Arial"/>
          <w:sz w:val="22"/>
          <w:szCs w:val="22"/>
        </w:rPr>
        <w:t>sulphonylurea</w:t>
      </w:r>
      <w:proofErr w:type="spellEnd"/>
      <w:r w:rsidRPr="00A77C33">
        <w:rPr>
          <w:rFonts w:ascii="Arial" w:hAnsi="Arial"/>
          <w:sz w:val="22"/>
          <w:szCs w:val="22"/>
        </w:rPr>
        <w:t xml:space="preserve">. </w:t>
      </w:r>
    </w:p>
    <w:p w:rsidR="00A77C33" w:rsidRPr="00A77C33" w:rsidRDefault="00A77C33" w:rsidP="00A77C33">
      <w:pPr>
        <w:pStyle w:val="ListParagraph"/>
        <w:rPr>
          <w:rFonts w:ascii="Arial" w:hAnsi="Arial"/>
          <w:sz w:val="22"/>
          <w:szCs w:val="22"/>
        </w:rPr>
      </w:pPr>
    </w:p>
    <w:p w:rsidR="003A114C" w:rsidRPr="00D12F71" w:rsidRDefault="00A77C33" w:rsidP="00882085">
      <w:pPr>
        <w:pStyle w:val="ListParagraph"/>
        <w:numPr>
          <w:ilvl w:val="1"/>
          <w:numId w:val="25"/>
        </w:numPr>
        <w:jc w:val="both"/>
        <w:rPr>
          <w:rFonts w:ascii="Arial" w:hAnsi="Arial"/>
          <w:b/>
          <w:sz w:val="22"/>
          <w:szCs w:val="22"/>
        </w:rPr>
      </w:pPr>
      <w:r w:rsidRPr="00D12F71">
        <w:rPr>
          <w:rFonts w:ascii="Arial" w:hAnsi="Arial"/>
          <w:sz w:val="22"/>
          <w:szCs w:val="22"/>
        </w:rPr>
        <w:t xml:space="preserve">It was noted that an Authority required (STREAMLINED) listing for </w:t>
      </w:r>
      <w:proofErr w:type="spellStart"/>
      <w:r w:rsidRPr="00D12F71">
        <w:rPr>
          <w:rFonts w:ascii="Arial" w:hAnsi="Arial"/>
          <w:sz w:val="22"/>
          <w:szCs w:val="22"/>
        </w:rPr>
        <w:t>lixisenatide</w:t>
      </w:r>
      <w:proofErr w:type="spellEnd"/>
      <w:r w:rsidRPr="00D12F71">
        <w:rPr>
          <w:rFonts w:ascii="Arial" w:hAnsi="Arial"/>
          <w:sz w:val="22"/>
          <w:szCs w:val="22"/>
        </w:rPr>
        <w:t xml:space="preserve"> was also sought </w:t>
      </w:r>
      <w:r w:rsidR="00AD081E" w:rsidRPr="00D12F71">
        <w:rPr>
          <w:rFonts w:ascii="Arial" w:hAnsi="Arial"/>
          <w:sz w:val="22"/>
          <w:szCs w:val="22"/>
        </w:rPr>
        <w:t xml:space="preserve">at this meeting </w:t>
      </w:r>
      <w:r w:rsidRPr="00D12F71">
        <w:rPr>
          <w:rFonts w:ascii="Arial" w:hAnsi="Arial"/>
          <w:sz w:val="22"/>
          <w:szCs w:val="22"/>
        </w:rPr>
        <w:t xml:space="preserve">for use as triple combination therapy with basal insulin and either metformin or a </w:t>
      </w:r>
      <w:proofErr w:type="spellStart"/>
      <w:r w:rsidRPr="00D12F71">
        <w:rPr>
          <w:rFonts w:ascii="Arial" w:hAnsi="Arial"/>
          <w:sz w:val="22"/>
          <w:szCs w:val="22"/>
        </w:rPr>
        <w:t>sulphonylurea</w:t>
      </w:r>
      <w:proofErr w:type="spellEnd"/>
      <w:r w:rsidRPr="00D12F71">
        <w:rPr>
          <w:rFonts w:ascii="Arial" w:hAnsi="Arial"/>
          <w:sz w:val="22"/>
          <w:szCs w:val="22"/>
        </w:rPr>
        <w:t xml:space="preserve"> in type 2 diabetes (</w:t>
      </w:r>
      <w:r w:rsidR="00AD081E" w:rsidRPr="00D12F71">
        <w:rPr>
          <w:rFonts w:ascii="Arial" w:hAnsi="Arial"/>
          <w:sz w:val="22"/>
          <w:szCs w:val="22"/>
        </w:rPr>
        <w:t>see a</w:t>
      </w:r>
      <w:r w:rsidRPr="00D12F71">
        <w:rPr>
          <w:rFonts w:ascii="Arial" w:hAnsi="Arial"/>
          <w:sz w:val="22"/>
          <w:szCs w:val="22"/>
        </w:rPr>
        <w:t xml:space="preserve">genda </w:t>
      </w:r>
      <w:r w:rsidR="00AD081E" w:rsidRPr="00D12F71">
        <w:rPr>
          <w:rFonts w:ascii="Arial" w:hAnsi="Arial"/>
          <w:sz w:val="22"/>
          <w:szCs w:val="22"/>
        </w:rPr>
        <w:t>i</w:t>
      </w:r>
      <w:r w:rsidRPr="00D12F71">
        <w:rPr>
          <w:rFonts w:ascii="Arial" w:hAnsi="Arial"/>
          <w:sz w:val="22"/>
          <w:szCs w:val="22"/>
        </w:rPr>
        <w:t>tem 5.8).</w:t>
      </w:r>
    </w:p>
    <w:p w:rsidR="00BD7206" w:rsidRPr="003A114C" w:rsidRDefault="00BD7206" w:rsidP="00882085">
      <w:pPr>
        <w:jc w:val="both"/>
        <w:rPr>
          <w:rFonts w:ascii="Arial" w:hAnsi="Arial"/>
          <w:b/>
          <w:sz w:val="22"/>
          <w:szCs w:val="22"/>
        </w:rPr>
      </w:pPr>
    </w:p>
    <w:p w:rsidR="00614159" w:rsidRPr="00882085" w:rsidRDefault="006A12A5" w:rsidP="00882085">
      <w:pPr>
        <w:pStyle w:val="ListParagraph"/>
        <w:numPr>
          <w:ilvl w:val="0"/>
          <w:numId w:val="25"/>
        </w:numPr>
        <w:jc w:val="both"/>
        <w:rPr>
          <w:rFonts w:ascii="Arial" w:hAnsi="Arial"/>
          <w:b/>
          <w:sz w:val="22"/>
          <w:szCs w:val="22"/>
        </w:rPr>
      </w:pPr>
      <w:r w:rsidRPr="00882085">
        <w:rPr>
          <w:rFonts w:ascii="Arial" w:hAnsi="Arial"/>
          <w:b/>
          <w:sz w:val="22"/>
          <w:szCs w:val="22"/>
        </w:rPr>
        <w:t>Requested listing</w:t>
      </w:r>
    </w:p>
    <w:p w:rsidR="006A12A5" w:rsidRPr="00882085" w:rsidRDefault="006A12A5" w:rsidP="00882085">
      <w:pPr>
        <w:jc w:val="both"/>
        <w:rPr>
          <w:rFonts w:ascii="Arial" w:hAnsi="Arial"/>
          <w:b/>
          <w:sz w:val="22"/>
          <w:szCs w:val="22"/>
        </w:rPr>
      </w:pPr>
    </w:p>
    <w:p w:rsidR="002B1AE6" w:rsidRDefault="00A77C33" w:rsidP="00882085">
      <w:pPr>
        <w:pStyle w:val="ListParagraph"/>
        <w:numPr>
          <w:ilvl w:val="1"/>
          <w:numId w:val="25"/>
        </w:numPr>
        <w:jc w:val="both"/>
        <w:rPr>
          <w:rFonts w:ascii="Arial" w:hAnsi="Arial"/>
          <w:sz w:val="22"/>
          <w:szCs w:val="22"/>
        </w:rPr>
      </w:pPr>
      <w:r>
        <w:rPr>
          <w:rFonts w:ascii="Arial" w:hAnsi="Arial"/>
          <w:sz w:val="22"/>
          <w:szCs w:val="22"/>
        </w:rPr>
        <w:t>The submission sought the following listing:</w:t>
      </w:r>
    </w:p>
    <w:p w:rsidR="00E607FB" w:rsidRDefault="00E607FB" w:rsidP="00E607FB">
      <w:pPr>
        <w:pStyle w:val="ListParagraph"/>
        <w:jc w:val="both"/>
        <w:rPr>
          <w:rFonts w:ascii="Arial" w:hAnsi="Arial"/>
          <w:sz w:val="22"/>
          <w:szCs w:val="22"/>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Requested listing"/>
      </w:tblPr>
      <w:tblGrid>
        <w:gridCol w:w="4394"/>
        <w:gridCol w:w="992"/>
        <w:gridCol w:w="708"/>
        <w:gridCol w:w="1135"/>
        <w:gridCol w:w="1134"/>
      </w:tblGrid>
      <w:tr w:rsidR="009A19EE" w:rsidRPr="005C7227" w:rsidTr="005C7227">
        <w:trPr>
          <w:cantSplit/>
          <w:trHeight w:val="471"/>
        </w:trPr>
        <w:tc>
          <w:tcPr>
            <w:tcW w:w="4394" w:type="dxa"/>
          </w:tcPr>
          <w:p w:rsidR="009A19EE" w:rsidRPr="005C7227" w:rsidRDefault="009A19EE" w:rsidP="008C190A">
            <w:pPr>
              <w:keepNext/>
              <w:ind w:left="-108"/>
              <w:jc w:val="both"/>
              <w:rPr>
                <w:rFonts w:ascii="Arial Narrow" w:hAnsi="Arial Narrow" w:cs="Arial"/>
                <w:b/>
                <w:sz w:val="20"/>
                <w:szCs w:val="20"/>
              </w:rPr>
            </w:pPr>
            <w:r w:rsidRPr="005C7227">
              <w:rPr>
                <w:rFonts w:ascii="Arial Narrow" w:hAnsi="Arial Narrow" w:cs="Arial"/>
                <w:b/>
                <w:sz w:val="20"/>
                <w:szCs w:val="20"/>
              </w:rPr>
              <w:t>Name, Restriction,</w:t>
            </w:r>
          </w:p>
          <w:p w:rsidR="009A19EE" w:rsidRPr="005C7227" w:rsidRDefault="009A19EE" w:rsidP="008C190A">
            <w:pPr>
              <w:keepNext/>
              <w:ind w:left="-108"/>
              <w:jc w:val="both"/>
              <w:rPr>
                <w:rFonts w:ascii="Arial Narrow" w:hAnsi="Arial Narrow" w:cs="Arial"/>
                <w:b/>
                <w:sz w:val="20"/>
                <w:szCs w:val="20"/>
              </w:rPr>
            </w:pPr>
            <w:r w:rsidRPr="005C7227">
              <w:rPr>
                <w:rFonts w:ascii="Arial Narrow" w:hAnsi="Arial Narrow" w:cs="Arial"/>
                <w:b/>
                <w:sz w:val="20"/>
                <w:szCs w:val="20"/>
              </w:rPr>
              <w:t>Manner of administration and form</w:t>
            </w:r>
          </w:p>
        </w:tc>
        <w:tc>
          <w:tcPr>
            <w:tcW w:w="992" w:type="dxa"/>
          </w:tcPr>
          <w:p w:rsidR="009A19EE" w:rsidRPr="005C7227" w:rsidRDefault="009A19EE" w:rsidP="008C190A">
            <w:pPr>
              <w:keepNext/>
              <w:ind w:left="-108"/>
              <w:jc w:val="both"/>
              <w:rPr>
                <w:rFonts w:ascii="Arial Narrow" w:hAnsi="Arial Narrow" w:cs="Arial"/>
                <w:b/>
                <w:sz w:val="20"/>
                <w:szCs w:val="20"/>
              </w:rPr>
            </w:pPr>
            <w:r w:rsidRPr="005C7227">
              <w:rPr>
                <w:rFonts w:ascii="Arial Narrow" w:hAnsi="Arial Narrow" w:cs="Arial"/>
                <w:b/>
                <w:sz w:val="20"/>
                <w:szCs w:val="20"/>
              </w:rPr>
              <w:t>Max</w:t>
            </w:r>
          </w:p>
          <w:p w:rsidR="009A19EE" w:rsidRPr="005C7227" w:rsidRDefault="009A19EE" w:rsidP="008C190A">
            <w:pPr>
              <w:keepNext/>
              <w:ind w:left="-108"/>
              <w:jc w:val="both"/>
              <w:rPr>
                <w:rFonts w:ascii="Arial Narrow" w:hAnsi="Arial Narrow" w:cs="Arial"/>
                <w:b/>
                <w:sz w:val="20"/>
                <w:szCs w:val="20"/>
              </w:rPr>
            </w:pPr>
            <w:proofErr w:type="spellStart"/>
            <w:r w:rsidRPr="005C7227">
              <w:rPr>
                <w:rFonts w:ascii="Arial Narrow" w:hAnsi="Arial Narrow" w:cs="Arial"/>
                <w:b/>
                <w:sz w:val="20"/>
                <w:szCs w:val="20"/>
              </w:rPr>
              <w:t>Qty</w:t>
            </w:r>
            <w:proofErr w:type="spellEnd"/>
            <w:r w:rsidRPr="005C7227">
              <w:rPr>
                <w:rFonts w:ascii="Arial Narrow" w:hAnsi="Arial Narrow" w:cs="Arial"/>
                <w:b/>
                <w:sz w:val="20"/>
                <w:szCs w:val="20"/>
              </w:rPr>
              <w:t xml:space="preserve"> (Packs)</w:t>
            </w:r>
          </w:p>
        </w:tc>
        <w:tc>
          <w:tcPr>
            <w:tcW w:w="708" w:type="dxa"/>
          </w:tcPr>
          <w:p w:rsidR="009A19EE" w:rsidRPr="005C7227" w:rsidRDefault="009A19EE" w:rsidP="008C190A">
            <w:pPr>
              <w:keepNext/>
              <w:ind w:left="-108"/>
              <w:jc w:val="both"/>
              <w:rPr>
                <w:rFonts w:ascii="Arial Narrow" w:hAnsi="Arial Narrow" w:cs="Arial"/>
                <w:b/>
                <w:sz w:val="20"/>
                <w:szCs w:val="20"/>
              </w:rPr>
            </w:pPr>
            <w:r w:rsidRPr="005C7227">
              <w:rPr>
                <w:rFonts w:ascii="Arial Narrow" w:hAnsi="Arial Narrow" w:cs="Arial"/>
                <w:b/>
                <w:sz w:val="20"/>
                <w:szCs w:val="20"/>
              </w:rPr>
              <w:t>№.of</w:t>
            </w:r>
          </w:p>
          <w:p w:rsidR="009A19EE" w:rsidRPr="005C7227" w:rsidRDefault="009A19EE" w:rsidP="008C190A">
            <w:pPr>
              <w:keepNext/>
              <w:ind w:left="-108"/>
              <w:jc w:val="both"/>
              <w:rPr>
                <w:rFonts w:ascii="Arial Narrow" w:hAnsi="Arial Narrow" w:cs="Arial"/>
                <w:b/>
                <w:sz w:val="20"/>
                <w:szCs w:val="20"/>
              </w:rPr>
            </w:pPr>
            <w:proofErr w:type="spellStart"/>
            <w:r w:rsidRPr="005C7227">
              <w:rPr>
                <w:rFonts w:ascii="Arial Narrow" w:hAnsi="Arial Narrow" w:cs="Arial"/>
                <w:b/>
                <w:sz w:val="20"/>
                <w:szCs w:val="20"/>
              </w:rPr>
              <w:t>Rpts</w:t>
            </w:r>
            <w:proofErr w:type="spellEnd"/>
          </w:p>
        </w:tc>
        <w:tc>
          <w:tcPr>
            <w:tcW w:w="1135" w:type="dxa"/>
          </w:tcPr>
          <w:p w:rsidR="009A19EE" w:rsidRPr="005C7227" w:rsidRDefault="009A19EE" w:rsidP="00E607FB">
            <w:pPr>
              <w:keepNext/>
              <w:ind w:left="-108"/>
              <w:rPr>
                <w:rFonts w:ascii="Arial Narrow" w:hAnsi="Arial Narrow" w:cs="Arial"/>
                <w:b/>
                <w:sz w:val="20"/>
                <w:szCs w:val="20"/>
              </w:rPr>
            </w:pPr>
            <w:r w:rsidRPr="005C7227">
              <w:rPr>
                <w:rFonts w:ascii="Arial Narrow" w:hAnsi="Arial Narrow" w:cs="Arial"/>
                <w:b/>
                <w:sz w:val="20"/>
                <w:szCs w:val="20"/>
              </w:rPr>
              <w:t xml:space="preserve">Dispensed Price for Max. </w:t>
            </w:r>
            <w:proofErr w:type="spellStart"/>
            <w:r w:rsidRPr="005C7227">
              <w:rPr>
                <w:rFonts w:ascii="Arial Narrow" w:hAnsi="Arial Narrow" w:cs="Arial"/>
                <w:b/>
                <w:sz w:val="20"/>
                <w:szCs w:val="20"/>
              </w:rPr>
              <w:t>Qty</w:t>
            </w:r>
            <w:proofErr w:type="spellEnd"/>
          </w:p>
        </w:tc>
        <w:tc>
          <w:tcPr>
            <w:tcW w:w="1134" w:type="dxa"/>
          </w:tcPr>
          <w:p w:rsidR="009A19EE" w:rsidRPr="005C7227" w:rsidRDefault="009A19EE" w:rsidP="00E607FB">
            <w:pPr>
              <w:keepNext/>
              <w:ind w:left="-108"/>
              <w:rPr>
                <w:rFonts w:ascii="Arial Narrow" w:hAnsi="Arial Narrow" w:cs="Arial"/>
                <w:b/>
                <w:sz w:val="20"/>
                <w:szCs w:val="20"/>
              </w:rPr>
            </w:pPr>
            <w:r w:rsidRPr="005C7227">
              <w:rPr>
                <w:rFonts w:ascii="Arial Narrow" w:hAnsi="Arial Narrow" w:cs="Arial"/>
                <w:b/>
                <w:sz w:val="20"/>
                <w:szCs w:val="20"/>
              </w:rPr>
              <w:t>Proprietary Name</w:t>
            </w:r>
          </w:p>
        </w:tc>
      </w:tr>
      <w:tr w:rsidR="009A19EE" w:rsidRPr="00022E05" w:rsidTr="005C7227">
        <w:trPr>
          <w:cantSplit/>
          <w:trHeight w:val="577"/>
        </w:trPr>
        <w:tc>
          <w:tcPr>
            <w:tcW w:w="4394" w:type="dxa"/>
          </w:tcPr>
          <w:p w:rsidR="009A19EE" w:rsidRPr="00022E05" w:rsidRDefault="009A19EE" w:rsidP="008C190A">
            <w:pPr>
              <w:keepNext/>
              <w:ind w:left="-108"/>
              <w:jc w:val="both"/>
              <w:rPr>
                <w:rFonts w:ascii="Arial Narrow" w:hAnsi="Arial Narrow" w:cs="Arial"/>
                <w:sz w:val="20"/>
                <w:szCs w:val="20"/>
              </w:rPr>
            </w:pPr>
            <w:proofErr w:type="spellStart"/>
            <w:r w:rsidRPr="00022E05">
              <w:rPr>
                <w:rFonts w:ascii="Arial Narrow" w:hAnsi="Arial Narrow" w:cs="Arial"/>
                <w:smallCaps/>
                <w:sz w:val="20"/>
                <w:szCs w:val="20"/>
              </w:rPr>
              <w:t>lixisenatide</w:t>
            </w:r>
            <w:proofErr w:type="spellEnd"/>
          </w:p>
          <w:p w:rsidR="009A19EE" w:rsidRPr="00022E05" w:rsidRDefault="009A19EE" w:rsidP="008C190A">
            <w:pPr>
              <w:keepNext/>
              <w:ind w:left="-108"/>
              <w:jc w:val="both"/>
              <w:rPr>
                <w:rFonts w:ascii="Arial Narrow" w:hAnsi="Arial Narrow" w:cs="Arial"/>
                <w:sz w:val="20"/>
                <w:szCs w:val="20"/>
              </w:rPr>
            </w:pPr>
          </w:p>
          <w:p w:rsidR="009A19EE" w:rsidRPr="009A19EE" w:rsidRDefault="009A19EE" w:rsidP="009A19EE">
            <w:pPr>
              <w:keepNext/>
              <w:ind w:left="-108"/>
              <w:rPr>
                <w:rFonts w:ascii="Arial Narrow" w:hAnsi="Arial Narrow" w:cs="Arial"/>
                <w:sz w:val="20"/>
                <w:szCs w:val="20"/>
              </w:rPr>
            </w:pPr>
            <w:proofErr w:type="spellStart"/>
            <w:r w:rsidRPr="009A19EE">
              <w:rPr>
                <w:rFonts w:ascii="Arial Narrow" w:hAnsi="Arial Narrow" w:cs="Arial"/>
                <w:sz w:val="20"/>
                <w:szCs w:val="20"/>
              </w:rPr>
              <w:t>lixisenatide</w:t>
            </w:r>
            <w:proofErr w:type="spellEnd"/>
            <w:r w:rsidRPr="009A19EE">
              <w:rPr>
                <w:rFonts w:ascii="Arial Narrow" w:hAnsi="Arial Narrow" w:cs="Arial"/>
                <w:sz w:val="20"/>
                <w:szCs w:val="20"/>
              </w:rPr>
              <w:t xml:space="preserve"> 10 micrograms/0.2 mL, injection, 14 unit doses (&amp;)</w:t>
            </w:r>
          </w:p>
          <w:p w:rsidR="009A19EE" w:rsidRPr="00022E05" w:rsidRDefault="009A19EE" w:rsidP="009A19EE">
            <w:pPr>
              <w:keepNext/>
              <w:ind w:left="-108"/>
              <w:rPr>
                <w:rFonts w:ascii="Arial Narrow" w:hAnsi="Arial Narrow" w:cs="Arial"/>
                <w:sz w:val="20"/>
                <w:szCs w:val="20"/>
              </w:rPr>
            </w:pPr>
            <w:proofErr w:type="spellStart"/>
            <w:r w:rsidRPr="009A19EE">
              <w:rPr>
                <w:rFonts w:ascii="Arial Narrow" w:hAnsi="Arial Narrow" w:cs="Arial"/>
                <w:sz w:val="20"/>
                <w:szCs w:val="20"/>
              </w:rPr>
              <w:t>lixisenatide</w:t>
            </w:r>
            <w:proofErr w:type="spellEnd"/>
            <w:r w:rsidRPr="009A19EE">
              <w:rPr>
                <w:rFonts w:ascii="Arial Narrow" w:hAnsi="Arial Narrow" w:cs="Arial"/>
                <w:sz w:val="20"/>
                <w:szCs w:val="20"/>
              </w:rPr>
              <w:t xml:space="preserve"> 20 micrograms/0.2 mL, injection, 14 unit doses</w:t>
            </w:r>
          </w:p>
          <w:p w:rsidR="009A19EE" w:rsidRPr="00022E05" w:rsidRDefault="009A19EE" w:rsidP="009A19EE">
            <w:pPr>
              <w:keepNext/>
              <w:jc w:val="both"/>
              <w:rPr>
                <w:rFonts w:ascii="Arial Narrow" w:hAnsi="Arial Narrow" w:cs="Arial"/>
                <w:sz w:val="20"/>
                <w:szCs w:val="20"/>
              </w:rPr>
            </w:pPr>
          </w:p>
          <w:p w:rsidR="009A19EE" w:rsidRPr="00022E05" w:rsidRDefault="009A19EE" w:rsidP="00E607FB">
            <w:pPr>
              <w:keepNext/>
              <w:ind w:left="-108"/>
              <w:rPr>
                <w:rFonts w:ascii="Arial Narrow" w:hAnsi="Arial Narrow" w:cs="Arial"/>
                <w:sz w:val="20"/>
                <w:szCs w:val="20"/>
              </w:rPr>
            </w:pPr>
            <w:proofErr w:type="spellStart"/>
            <w:r w:rsidRPr="00022E05">
              <w:rPr>
                <w:rFonts w:ascii="Arial Narrow" w:hAnsi="Arial Narrow" w:cs="Arial"/>
                <w:sz w:val="20"/>
                <w:szCs w:val="20"/>
              </w:rPr>
              <w:t>lixisenatide</w:t>
            </w:r>
            <w:proofErr w:type="spellEnd"/>
            <w:r w:rsidRPr="00022E05">
              <w:rPr>
                <w:rFonts w:ascii="Arial Narrow" w:hAnsi="Arial Narrow" w:cs="Arial"/>
                <w:sz w:val="20"/>
                <w:szCs w:val="20"/>
              </w:rPr>
              <w:t>, 20 micrograms/0.2 mL, injection, 2 x 14 unit doses</w:t>
            </w:r>
          </w:p>
          <w:p w:rsidR="009A19EE" w:rsidRPr="00022E05" w:rsidRDefault="009A19EE" w:rsidP="008C190A">
            <w:pPr>
              <w:keepNext/>
              <w:ind w:left="-108"/>
              <w:jc w:val="both"/>
              <w:rPr>
                <w:rFonts w:ascii="Arial Narrow" w:hAnsi="Arial Narrow" w:cs="Arial"/>
                <w:sz w:val="20"/>
                <w:szCs w:val="20"/>
              </w:rPr>
            </w:pPr>
            <w:r w:rsidRPr="00022E05">
              <w:rPr>
                <w:rFonts w:ascii="Arial Narrow" w:hAnsi="Arial Narrow" w:cs="Arial"/>
                <w:sz w:val="20"/>
                <w:szCs w:val="20"/>
              </w:rPr>
              <w:t xml:space="preserve"> </w:t>
            </w:r>
          </w:p>
          <w:p w:rsidR="009A19EE" w:rsidRPr="00022E05" w:rsidRDefault="009A19EE" w:rsidP="008C190A">
            <w:pPr>
              <w:keepNext/>
              <w:ind w:left="-108"/>
              <w:jc w:val="both"/>
              <w:rPr>
                <w:rFonts w:ascii="Arial Narrow" w:hAnsi="Arial Narrow" w:cs="Arial"/>
                <w:sz w:val="20"/>
                <w:szCs w:val="20"/>
              </w:rPr>
            </w:pPr>
            <w:r w:rsidRPr="00022E05">
              <w:rPr>
                <w:rFonts w:ascii="Arial Narrow" w:hAnsi="Arial Narrow" w:cs="Arial"/>
                <w:sz w:val="20"/>
                <w:szCs w:val="20"/>
              </w:rPr>
              <w:t xml:space="preserve">*effective price; </w:t>
            </w:r>
          </w:p>
          <w:p w:rsidR="009A19EE" w:rsidRPr="00DE4A3C" w:rsidRDefault="009A19EE" w:rsidP="008C190A">
            <w:pPr>
              <w:keepNext/>
              <w:ind w:left="-108"/>
              <w:jc w:val="both"/>
              <w:rPr>
                <w:rFonts w:ascii="Arial Narrow" w:hAnsi="Arial Narrow" w:cs="Arial"/>
                <w:i/>
                <w:color w:val="00B0F0"/>
                <w:sz w:val="20"/>
                <w:szCs w:val="20"/>
              </w:rPr>
            </w:pPr>
            <w:r w:rsidRPr="00022E05">
              <w:rPr>
                <w:rFonts w:ascii="Arial Narrow" w:hAnsi="Arial Narrow" w:cs="Arial"/>
                <w:sz w:val="20"/>
                <w:szCs w:val="20"/>
              </w:rPr>
              <w:t xml:space="preserve">proposed published price = </w:t>
            </w:r>
            <w:r w:rsidR="00DE4A3C">
              <w:rPr>
                <w:rFonts w:ascii="Arial Narrow" w:hAnsi="Arial Narrow" w:cs="Arial"/>
                <w:noProof/>
                <w:color w:val="000000"/>
                <w:sz w:val="20"/>
                <w:szCs w:val="20"/>
                <w:highlight w:val="black"/>
              </w:rPr>
              <w:t>''''''''''''''''''</w:t>
            </w:r>
          </w:p>
          <w:p w:rsidR="009A19EE" w:rsidRPr="00022E05" w:rsidRDefault="009A19EE" w:rsidP="008C190A">
            <w:pPr>
              <w:keepNext/>
              <w:ind w:left="-108"/>
              <w:jc w:val="both"/>
              <w:rPr>
                <w:rFonts w:ascii="Arial Narrow" w:hAnsi="Arial Narrow" w:cs="Arial"/>
                <w:i/>
                <w:color w:val="00B0F0"/>
                <w:sz w:val="20"/>
                <w:szCs w:val="20"/>
              </w:rPr>
            </w:pPr>
          </w:p>
        </w:tc>
        <w:tc>
          <w:tcPr>
            <w:tcW w:w="992" w:type="dxa"/>
          </w:tcPr>
          <w:p w:rsidR="009A19EE" w:rsidRPr="00022E05" w:rsidRDefault="009A19EE" w:rsidP="008C190A">
            <w:pPr>
              <w:keepNext/>
              <w:ind w:left="-108"/>
              <w:jc w:val="both"/>
              <w:rPr>
                <w:rFonts w:ascii="Arial Narrow" w:hAnsi="Arial Narrow" w:cs="Arial"/>
                <w:sz w:val="20"/>
                <w:szCs w:val="20"/>
              </w:rPr>
            </w:pPr>
          </w:p>
          <w:p w:rsidR="009A19EE" w:rsidRPr="00022E05" w:rsidRDefault="009A19EE" w:rsidP="008C190A">
            <w:pPr>
              <w:keepNext/>
              <w:ind w:left="-108"/>
              <w:jc w:val="both"/>
              <w:rPr>
                <w:rFonts w:ascii="Arial Narrow" w:hAnsi="Arial Narrow" w:cs="Arial"/>
                <w:sz w:val="20"/>
                <w:szCs w:val="20"/>
              </w:rPr>
            </w:pPr>
          </w:p>
          <w:p w:rsidR="009A19EE" w:rsidRPr="00022E05" w:rsidRDefault="009A19EE" w:rsidP="005C7227">
            <w:pPr>
              <w:keepNext/>
              <w:ind w:left="34"/>
              <w:jc w:val="center"/>
              <w:rPr>
                <w:rFonts w:ascii="Arial Narrow" w:hAnsi="Arial Narrow" w:cs="Arial"/>
                <w:sz w:val="20"/>
                <w:szCs w:val="20"/>
              </w:rPr>
            </w:pPr>
            <w:r w:rsidRPr="00022E05">
              <w:rPr>
                <w:rFonts w:ascii="Arial Narrow" w:hAnsi="Arial Narrow" w:cs="Arial"/>
                <w:sz w:val="20"/>
                <w:szCs w:val="20"/>
              </w:rPr>
              <w:t>‡1</w:t>
            </w:r>
          </w:p>
          <w:p w:rsidR="009A19EE" w:rsidRPr="00022E05" w:rsidRDefault="009A19EE" w:rsidP="005C7227">
            <w:pPr>
              <w:keepNext/>
              <w:ind w:left="-108"/>
              <w:jc w:val="center"/>
              <w:rPr>
                <w:rFonts w:ascii="Arial Narrow" w:hAnsi="Arial Narrow" w:cs="Arial"/>
                <w:sz w:val="20"/>
                <w:szCs w:val="20"/>
              </w:rPr>
            </w:pPr>
          </w:p>
          <w:p w:rsidR="009A19EE" w:rsidRPr="00022E05" w:rsidRDefault="009A19EE" w:rsidP="005C7227">
            <w:pPr>
              <w:keepNext/>
              <w:ind w:left="-108"/>
              <w:jc w:val="center"/>
              <w:rPr>
                <w:rFonts w:ascii="Arial Narrow" w:hAnsi="Arial Narrow" w:cs="Arial"/>
                <w:sz w:val="20"/>
                <w:szCs w:val="20"/>
              </w:rPr>
            </w:pPr>
          </w:p>
          <w:p w:rsidR="009A19EE" w:rsidRDefault="009A19EE" w:rsidP="005C7227">
            <w:pPr>
              <w:keepNext/>
              <w:ind w:left="34"/>
              <w:jc w:val="center"/>
              <w:rPr>
                <w:rFonts w:ascii="Arial Narrow" w:hAnsi="Arial Narrow" w:cs="Arial"/>
                <w:sz w:val="20"/>
                <w:szCs w:val="20"/>
              </w:rPr>
            </w:pPr>
          </w:p>
          <w:p w:rsidR="009A19EE" w:rsidRPr="00022E05" w:rsidRDefault="009A19EE" w:rsidP="005C7227">
            <w:pPr>
              <w:keepNext/>
              <w:ind w:left="34"/>
              <w:jc w:val="center"/>
              <w:rPr>
                <w:rFonts w:ascii="Arial Narrow" w:hAnsi="Arial Narrow" w:cs="Arial"/>
                <w:sz w:val="20"/>
                <w:szCs w:val="20"/>
              </w:rPr>
            </w:pPr>
            <w:r w:rsidRPr="00022E05">
              <w:rPr>
                <w:rFonts w:ascii="Arial Narrow" w:hAnsi="Arial Narrow" w:cs="Arial"/>
                <w:sz w:val="20"/>
                <w:szCs w:val="20"/>
              </w:rPr>
              <w:t>1</w:t>
            </w:r>
          </w:p>
        </w:tc>
        <w:tc>
          <w:tcPr>
            <w:tcW w:w="708" w:type="dxa"/>
          </w:tcPr>
          <w:p w:rsidR="009A19EE" w:rsidRPr="00022E05" w:rsidRDefault="009A19EE" w:rsidP="008C190A">
            <w:pPr>
              <w:keepNext/>
              <w:ind w:left="-108"/>
              <w:jc w:val="both"/>
              <w:rPr>
                <w:rFonts w:ascii="Arial Narrow" w:hAnsi="Arial Narrow" w:cs="Arial"/>
                <w:sz w:val="20"/>
                <w:szCs w:val="20"/>
              </w:rPr>
            </w:pPr>
          </w:p>
          <w:p w:rsidR="009A19EE" w:rsidRPr="00022E05" w:rsidRDefault="009A19EE" w:rsidP="008C190A">
            <w:pPr>
              <w:keepNext/>
              <w:ind w:left="-108"/>
              <w:jc w:val="both"/>
              <w:rPr>
                <w:rFonts w:ascii="Arial Narrow" w:hAnsi="Arial Narrow" w:cs="Arial"/>
                <w:sz w:val="20"/>
                <w:szCs w:val="20"/>
              </w:rPr>
            </w:pPr>
          </w:p>
          <w:p w:rsidR="009A19EE" w:rsidRPr="00022E05" w:rsidRDefault="009A19EE" w:rsidP="005C7227">
            <w:pPr>
              <w:keepNext/>
              <w:ind w:left="-108"/>
              <w:jc w:val="center"/>
              <w:rPr>
                <w:rFonts w:ascii="Arial Narrow" w:hAnsi="Arial Narrow" w:cs="Arial"/>
                <w:sz w:val="20"/>
                <w:szCs w:val="20"/>
              </w:rPr>
            </w:pPr>
            <w:r w:rsidRPr="00022E05">
              <w:rPr>
                <w:rFonts w:ascii="Arial Narrow" w:hAnsi="Arial Narrow" w:cs="Arial"/>
                <w:sz w:val="20"/>
                <w:szCs w:val="20"/>
              </w:rPr>
              <w:t>Nil</w:t>
            </w:r>
          </w:p>
          <w:p w:rsidR="009A19EE" w:rsidRPr="00022E05" w:rsidRDefault="009A19EE" w:rsidP="008C190A">
            <w:pPr>
              <w:keepNext/>
              <w:ind w:left="-108"/>
              <w:jc w:val="both"/>
              <w:rPr>
                <w:rFonts w:ascii="Arial Narrow" w:hAnsi="Arial Narrow" w:cs="Arial"/>
                <w:sz w:val="20"/>
                <w:szCs w:val="20"/>
              </w:rPr>
            </w:pPr>
          </w:p>
          <w:p w:rsidR="009A19EE" w:rsidRPr="00022E05" w:rsidRDefault="009A19EE" w:rsidP="00022E05">
            <w:pPr>
              <w:keepNext/>
              <w:ind w:left="-108"/>
              <w:jc w:val="both"/>
              <w:rPr>
                <w:rFonts w:ascii="Arial Narrow" w:hAnsi="Arial Narrow" w:cs="Arial"/>
                <w:sz w:val="20"/>
                <w:szCs w:val="20"/>
              </w:rPr>
            </w:pPr>
          </w:p>
          <w:p w:rsidR="009A19EE" w:rsidRPr="00022E05" w:rsidRDefault="009A19EE" w:rsidP="008C190A">
            <w:pPr>
              <w:keepNext/>
              <w:ind w:left="-108"/>
              <w:jc w:val="both"/>
              <w:rPr>
                <w:rFonts w:ascii="Arial Narrow" w:hAnsi="Arial Narrow" w:cs="Arial"/>
                <w:sz w:val="20"/>
                <w:szCs w:val="20"/>
              </w:rPr>
            </w:pPr>
          </w:p>
          <w:p w:rsidR="009A19EE" w:rsidRPr="00022E05" w:rsidRDefault="009A19EE" w:rsidP="005C7227">
            <w:pPr>
              <w:keepNext/>
              <w:jc w:val="center"/>
              <w:rPr>
                <w:rFonts w:ascii="Arial Narrow" w:hAnsi="Arial Narrow" w:cs="Arial"/>
                <w:sz w:val="20"/>
                <w:szCs w:val="20"/>
              </w:rPr>
            </w:pPr>
            <w:r w:rsidRPr="00022E05">
              <w:rPr>
                <w:rFonts w:ascii="Arial Narrow" w:hAnsi="Arial Narrow" w:cs="Arial"/>
                <w:sz w:val="20"/>
                <w:szCs w:val="20"/>
              </w:rPr>
              <w:t>5</w:t>
            </w:r>
          </w:p>
        </w:tc>
        <w:tc>
          <w:tcPr>
            <w:tcW w:w="1135" w:type="dxa"/>
          </w:tcPr>
          <w:p w:rsidR="009A19EE" w:rsidRPr="00022E05" w:rsidRDefault="009A19EE" w:rsidP="008C190A">
            <w:pPr>
              <w:keepNext/>
              <w:ind w:left="-108"/>
              <w:jc w:val="both"/>
              <w:rPr>
                <w:rFonts w:ascii="Arial Narrow" w:hAnsi="Arial Narrow" w:cs="Arial"/>
                <w:sz w:val="20"/>
                <w:szCs w:val="20"/>
              </w:rPr>
            </w:pPr>
          </w:p>
          <w:p w:rsidR="009A19EE" w:rsidRPr="00022E05" w:rsidRDefault="009A19EE" w:rsidP="008C190A">
            <w:pPr>
              <w:keepNext/>
              <w:ind w:left="-108"/>
              <w:jc w:val="both"/>
              <w:rPr>
                <w:rFonts w:ascii="Arial Narrow" w:hAnsi="Arial Narrow" w:cs="Arial"/>
                <w:sz w:val="20"/>
                <w:szCs w:val="20"/>
              </w:rPr>
            </w:pPr>
          </w:p>
          <w:p w:rsidR="009A19EE" w:rsidRPr="00DE4A3C" w:rsidRDefault="00DE4A3C" w:rsidP="008C190A">
            <w:pPr>
              <w:keepNext/>
              <w:ind w:left="-108"/>
              <w:jc w:val="both"/>
              <w:rPr>
                <w:rFonts w:ascii="Arial Narrow" w:hAnsi="Arial Narrow" w:cs="Arial"/>
                <w:sz w:val="20"/>
                <w:szCs w:val="20"/>
                <w:highlight w:val="black"/>
              </w:rPr>
            </w:pPr>
            <w:r>
              <w:rPr>
                <w:rFonts w:ascii="Arial Narrow" w:hAnsi="Arial Narrow" w:cs="Arial"/>
                <w:noProof/>
                <w:color w:val="000000"/>
                <w:sz w:val="20"/>
                <w:szCs w:val="20"/>
                <w:highlight w:val="black"/>
              </w:rPr>
              <w:t>''''''''''''''''''</w:t>
            </w:r>
          </w:p>
          <w:p w:rsidR="009A19EE" w:rsidRPr="00022E05" w:rsidRDefault="009A19EE" w:rsidP="008C190A">
            <w:pPr>
              <w:keepNext/>
              <w:ind w:left="-108"/>
              <w:jc w:val="both"/>
              <w:rPr>
                <w:rFonts w:ascii="Arial Narrow" w:hAnsi="Arial Narrow" w:cs="Arial"/>
                <w:sz w:val="20"/>
                <w:szCs w:val="20"/>
              </w:rPr>
            </w:pPr>
          </w:p>
          <w:p w:rsidR="009A19EE" w:rsidRDefault="009A19EE" w:rsidP="008C190A">
            <w:pPr>
              <w:keepNext/>
              <w:ind w:left="-108"/>
              <w:jc w:val="both"/>
              <w:rPr>
                <w:rFonts w:ascii="Arial Narrow" w:hAnsi="Arial Narrow" w:cs="Arial"/>
                <w:sz w:val="20"/>
                <w:szCs w:val="20"/>
              </w:rPr>
            </w:pPr>
          </w:p>
          <w:p w:rsidR="009A19EE" w:rsidRPr="00022E05" w:rsidRDefault="009A19EE" w:rsidP="008C190A">
            <w:pPr>
              <w:keepNext/>
              <w:ind w:left="-108"/>
              <w:jc w:val="both"/>
              <w:rPr>
                <w:rFonts w:ascii="Arial Narrow" w:hAnsi="Arial Narrow" w:cs="Arial"/>
                <w:sz w:val="20"/>
                <w:szCs w:val="20"/>
              </w:rPr>
            </w:pPr>
          </w:p>
          <w:p w:rsidR="009A19EE" w:rsidRPr="00DE4A3C" w:rsidRDefault="00DE4A3C" w:rsidP="00022E05">
            <w:pPr>
              <w:keepNext/>
              <w:ind w:left="-108"/>
              <w:jc w:val="both"/>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134" w:type="dxa"/>
          </w:tcPr>
          <w:p w:rsidR="009A19EE" w:rsidRDefault="009A19EE" w:rsidP="008C190A">
            <w:pPr>
              <w:keepNext/>
              <w:ind w:left="-108"/>
              <w:jc w:val="both"/>
              <w:rPr>
                <w:rFonts w:ascii="Arial Narrow" w:hAnsi="Arial Narrow" w:cs="Arial"/>
                <w:sz w:val="20"/>
                <w:szCs w:val="20"/>
              </w:rPr>
            </w:pPr>
          </w:p>
          <w:p w:rsidR="009A19EE" w:rsidRDefault="009A19EE" w:rsidP="008C190A">
            <w:pPr>
              <w:keepNext/>
              <w:ind w:left="-108"/>
              <w:jc w:val="both"/>
              <w:rPr>
                <w:rFonts w:ascii="Arial Narrow" w:hAnsi="Arial Narrow" w:cs="Arial"/>
                <w:sz w:val="20"/>
                <w:szCs w:val="20"/>
              </w:rPr>
            </w:pPr>
          </w:p>
          <w:p w:rsidR="009A19EE" w:rsidRDefault="009A19EE" w:rsidP="008C190A">
            <w:pPr>
              <w:keepNext/>
              <w:ind w:left="-108"/>
              <w:jc w:val="both"/>
              <w:rPr>
                <w:rFonts w:ascii="Arial Narrow" w:hAnsi="Arial Narrow" w:cs="Arial"/>
                <w:sz w:val="20"/>
                <w:szCs w:val="20"/>
              </w:rPr>
            </w:pPr>
            <w:proofErr w:type="spellStart"/>
            <w:r>
              <w:rPr>
                <w:rFonts w:ascii="Arial Narrow" w:hAnsi="Arial Narrow" w:cs="Arial"/>
                <w:sz w:val="20"/>
                <w:szCs w:val="20"/>
              </w:rPr>
              <w:t>Lyxumia</w:t>
            </w:r>
            <w:proofErr w:type="spellEnd"/>
            <w:r>
              <w:rPr>
                <w:rFonts w:ascii="Arial Narrow" w:hAnsi="Arial Narrow" w:cs="Arial"/>
                <w:sz w:val="20"/>
                <w:szCs w:val="20"/>
              </w:rPr>
              <w:t xml:space="preserve"> Treatment Initiation Pack</w:t>
            </w:r>
          </w:p>
          <w:p w:rsidR="009A19EE" w:rsidRDefault="009A19EE" w:rsidP="008C190A">
            <w:pPr>
              <w:keepNext/>
              <w:ind w:left="-108"/>
              <w:jc w:val="both"/>
              <w:rPr>
                <w:rFonts w:ascii="Arial Narrow" w:hAnsi="Arial Narrow" w:cs="Arial"/>
                <w:sz w:val="20"/>
                <w:szCs w:val="20"/>
              </w:rPr>
            </w:pPr>
          </w:p>
          <w:p w:rsidR="009A19EE" w:rsidRPr="00022E05" w:rsidRDefault="009A19EE" w:rsidP="008C190A">
            <w:pPr>
              <w:keepNext/>
              <w:ind w:left="-108"/>
              <w:jc w:val="both"/>
              <w:rPr>
                <w:rFonts w:ascii="Arial Narrow" w:hAnsi="Arial Narrow" w:cs="Arial"/>
                <w:sz w:val="20"/>
                <w:szCs w:val="20"/>
              </w:rPr>
            </w:pPr>
            <w:proofErr w:type="spellStart"/>
            <w:r>
              <w:rPr>
                <w:rFonts w:ascii="Arial Narrow" w:hAnsi="Arial Narrow" w:cs="Arial"/>
                <w:sz w:val="20"/>
                <w:szCs w:val="20"/>
              </w:rPr>
              <w:t>Lyxumia</w:t>
            </w:r>
            <w:proofErr w:type="spellEnd"/>
          </w:p>
        </w:tc>
      </w:tr>
    </w:tbl>
    <w:p w:rsidR="005C7227" w:rsidRDefault="005C7227" w:rsidP="00022E05">
      <w:pPr>
        <w:pStyle w:val="ListParagraph"/>
        <w:ind w:left="709"/>
        <w:rPr>
          <w:rFonts w:ascii="Arial" w:hAnsi="Arial"/>
          <w:sz w:val="22"/>
          <w:szCs w:val="22"/>
        </w:rPr>
      </w:pPr>
    </w:p>
    <w:p w:rsidR="00E607FB" w:rsidRPr="00E607FB" w:rsidRDefault="00E607FB" w:rsidP="00022E05">
      <w:pPr>
        <w:pStyle w:val="ListParagraph"/>
        <w:ind w:left="709"/>
        <w:rPr>
          <w:rFonts w:ascii="Arial" w:hAnsi="Arial"/>
          <w:sz w:val="22"/>
          <w:szCs w:val="22"/>
        </w:rPr>
      </w:pPr>
      <w:r w:rsidRPr="00E607FB">
        <w:rPr>
          <w:rFonts w:ascii="Arial" w:hAnsi="Arial"/>
          <w:sz w:val="22"/>
          <w:szCs w:val="22"/>
        </w:rPr>
        <w:t>The submission proposed the following restriction for dual therapy with metformin:</w:t>
      </w:r>
    </w:p>
    <w:p w:rsidR="00E607FB" w:rsidRPr="00E607FB" w:rsidRDefault="00E607FB" w:rsidP="00E607FB">
      <w:pPr>
        <w:pStyle w:val="ListParagraph"/>
        <w:ind w:left="0"/>
        <w:rPr>
          <w:rFonts w:ascii="Arial" w:hAnsi="Arial"/>
          <w:i/>
          <w:sz w:val="22"/>
          <w:szCs w:val="22"/>
        </w:rPr>
      </w:pPr>
    </w:p>
    <w:tbl>
      <w:tblPr>
        <w:tblStyle w:val="TableGrid"/>
        <w:tblW w:w="0" w:type="auto"/>
        <w:tblInd w:w="817" w:type="dxa"/>
        <w:tblLook w:val="04A0" w:firstRow="1" w:lastRow="0" w:firstColumn="1" w:lastColumn="0" w:noHBand="0" w:noVBand="1"/>
        <w:tblDescription w:val="Restriction for dual therapy with metformin"/>
      </w:tblPr>
      <w:tblGrid>
        <w:gridCol w:w="8363"/>
      </w:tblGrid>
      <w:tr w:rsidR="005C7227" w:rsidTr="00D31CCA">
        <w:trPr>
          <w:tblHeader/>
        </w:trPr>
        <w:tc>
          <w:tcPr>
            <w:tcW w:w="8363" w:type="dxa"/>
          </w:tcPr>
          <w:p w:rsidR="005C7227" w:rsidRPr="005C7227" w:rsidRDefault="005C7227" w:rsidP="005C7227">
            <w:pPr>
              <w:jc w:val="both"/>
              <w:rPr>
                <w:rFonts w:ascii="Arial Narrow" w:hAnsi="Arial Narrow"/>
                <w:sz w:val="20"/>
                <w:szCs w:val="20"/>
                <w:u w:val="single"/>
              </w:rPr>
            </w:pPr>
            <w:r w:rsidRPr="005C7227">
              <w:rPr>
                <w:rFonts w:ascii="Arial Narrow" w:hAnsi="Arial Narrow"/>
                <w:sz w:val="20"/>
                <w:szCs w:val="20"/>
                <w:u w:val="single"/>
              </w:rPr>
              <w:lastRenderedPageBreak/>
              <w:t>Authority required (STREAMLINED)</w:t>
            </w:r>
          </w:p>
          <w:p w:rsidR="005C7227" w:rsidRPr="005C7227" w:rsidRDefault="005C7227" w:rsidP="005C7227">
            <w:pPr>
              <w:jc w:val="both"/>
              <w:rPr>
                <w:rFonts w:ascii="Arial Narrow" w:hAnsi="Arial Narrow"/>
                <w:b/>
                <w:sz w:val="20"/>
                <w:szCs w:val="20"/>
              </w:rPr>
            </w:pPr>
            <w:r w:rsidRPr="005C7227">
              <w:rPr>
                <w:rFonts w:ascii="Arial Narrow" w:hAnsi="Arial Narrow"/>
                <w:b/>
                <w:sz w:val="20"/>
                <w:szCs w:val="20"/>
              </w:rPr>
              <w:t xml:space="preserve">Indication: </w:t>
            </w:r>
            <w:r w:rsidRPr="005C7227">
              <w:rPr>
                <w:rFonts w:ascii="Arial Narrow" w:hAnsi="Arial Narrow"/>
                <w:sz w:val="20"/>
                <w:szCs w:val="20"/>
              </w:rPr>
              <w:t>Diabetes mellitus type 2</w:t>
            </w:r>
          </w:p>
          <w:p w:rsidR="005C7227" w:rsidRPr="005C7227" w:rsidRDefault="005C7227" w:rsidP="005C7227">
            <w:pPr>
              <w:jc w:val="both"/>
              <w:rPr>
                <w:rFonts w:ascii="Arial Narrow" w:hAnsi="Arial Narrow"/>
                <w:sz w:val="20"/>
                <w:szCs w:val="20"/>
              </w:rPr>
            </w:pPr>
          </w:p>
          <w:p w:rsidR="005C7227" w:rsidRPr="005C7227" w:rsidRDefault="005C7227" w:rsidP="005C7227">
            <w:pPr>
              <w:jc w:val="both"/>
              <w:rPr>
                <w:rFonts w:ascii="Arial Narrow" w:hAnsi="Arial Narrow"/>
                <w:b/>
                <w:sz w:val="20"/>
                <w:szCs w:val="20"/>
              </w:rPr>
            </w:pPr>
            <w:r w:rsidRPr="005C7227">
              <w:rPr>
                <w:rFonts w:ascii="Arial Narrow" w:hAnsi="Arial Narrow"/>
                <w:b/>
                <w:sz w:val="20"/>
                <w:szCs w:val="20"/>
              </w:rPr>
              <w:t>Clinical criteria:</w:t>
            </w:r>
          </w:p>
          <w:p w:rsidR="005C7227" w:rsidRPr="005C7227" w:rsidRDefault="005C7227" w:rsidP="005C7227">
            <w:pPr>
              <w:jc w:val="both"/>
              <w:rPr>
                <w:rFonts w:ascii="Arial Narrow" w:hAnsi="Arial Narrow"/>
                <w:sz w:val="20"/>
                <w:szCs w:val="20"/>
              </w:rPr>
            </w:pPr>
            <w:r w:rsidRPr="005C7227">
              <w:rPr>
                <w:rFonts w:ascii="Arial Narrow" w:hAnsi="Arial Narrow"/>
                <w:sz w:val="20"/>
                <w:szCs w:val="20"/>
              </w:rPr>
              <w:t>The treatment must be in combination with metformin;</w:t>
            </w:r>
          </w:p>
          <w:p w:rsidR="005C7227" w:rsidRPr="005C7227" w:rsidRDefault="005C7227" w:rsidP="005C7227">
            <w:pPr>
              <w:jc w:val="both"/>
              <w:rPr>
                <w:rFonts w:ascii="Arial Narrow" w:hAnsi="Arial Narrow"/>
                <w:sz w:val="20"/>
                <w:szCs w:val="20"/>
              </w:rPr>
            </w:pPr>
            <w:r w:rsidRPr="005C7227">
              <w:rPr>
                <w:rFonts w:ascii="Arial Narrow" w:hAnsi="Arial Narrow"/>
                <w:sz w:val="20"/>
                <w:szCs w:val="20"/>
              </w:rPr>
              <w:t>AND</w:t>
            </w:r>
          </w:p>
          <w:p w:rsidR="005C7227" w:rsidRPr="005C7227" w:rsidRDefault="005C7227" w:rsidP="005C7227">
            <w:pPr>
              <w:jc w:val="both"/>
              <w:rPr>
                <w:rFonts w:ascii="Arial Narrow" w:hAnsi="Arial Narrow"/>
                <w:sz w:val="20"/>
                <w:szCs w:val="20"/>
              </w:rPr>
            </w:pPr>
            <w:r w:rsidRPr="005C7227">
              <w:rPr>
                <w:rFonts w:ascii="Arial Narrow" w:hAnsi="Arial Narrow"/>
                <w:sz w:val="20"/>
                <w:szCs w:val="20"/>
              </w:rPr>
              <w:t>Patient must have a contraindication to a combination of metformin and a sulfonylurea; OR</w:t>
            </w:r>
          </w:p>
          <w:p w:rsidR="005C7227" w:rsidRPr="005C7227" w:rsidRDefault="005C7227" w:rsidP="005C7227">
            <w:pPr>
              <w:jc w:val="both"/>
              <w:rPr>
                <w:rFonts w:ascii="Arial Narrow" w:hAnsi="Arial Narrow"/>
                <w:sz w:val="20"/>
                <w:szCs w:val="20"/>
              </w:rPr>
            </w:pPr>
            <w:r w:rsidRPr="005C7227">
              <w:rPr>
                <w:rFonts w:ascii="Arial Narrow" w:hAnsi="Arial Narrow"/>
                <w:sz w:val="20"/>
                <w:szCs w:val="20"/>
              </w:rPr>
              <w:t>Patient must not have tolerated a combination of metformin and a sulfonylurea,</w:t>
            </w:r>
          </w:p>
          <w:p w:rsidR="005C7227" w:rsidRPr="005C7227" w:rsidRDefault="005C7227" w:rsidP="005C7227">
            <w:pPr>
              <w:jc w:val="both"/>
              <w:rPr>
                <w:rFonts w:ascii="Arial Narrow" w:hAnsi="Arial Narrow"/>
                <w:sz w:val="20"/>
                <w:szCs w:val="20"/>
              </w:rPr>
            </w:pPr>
            <w:r w:rsidRPr="005C7227">
              <w:rPr>
                <w:rFonts w:ascii="Arial Narrow" w:hAnsi="Arial Narrow"/>
                <w:sz w:val="20"/>
                <w:szCs w:val="20"/>
              </w:rPr>
              <w:t>AND</w:t>
            </w:r>
          </w:p>
          <w:p w:rsidR="005C7227" w:rsidRPr="005C7227" w:rsidRDefault="005C7227" w:rsidP="005C7227">
            <w:pPr>
              <w:jc w:val="both"/>
              <w:rPr>
                <w:rFonts w:ascii="Arial Narrow" w:hAnsi="Arial Narrow"/>
                <w:sz w:val="20"/>
                <w:szCs w:val="20"/>
              </w:rPr>
            </w:pPr>
            <w:r w:rsidRPr="005C7227">
              <w:rPr>
                <w:rFonts w:ascii="Arial Narrow" w:hAnsi="Arial Narrow"/>
                <w:sz w:val="20"/>
                <w:szCs w:val="20"/>
              </w:rPr>
              <w:t xml:space="preserve">Patient must have, or have had, a HbA1c measurement greater than 7% prior to the initiation of a </w:t>
            </w:r>
            <w:proofErr w:type="spellStart"/>
            <w:r w:rsidRPr="005C7227">
              <w:rPr>
                <w:rFonts w:ascii="Arial Narrow" w:hAnsi="Arial Narrow"/>
                <w:sz w:val="20"/>
                <w:szCs w:val="20"/>
              </w:rPr>
              <w:t>dipeptidyl</w:t>
            </w:r>
            <w:proofErr w:type="spellEnd"/>
            <w:r w:rsidRPr="005C7227">
              <w:rPr>
                <w:rFonts w:ascii="Arial Narrow" w:hAnsi="Arial Narrow"/>
                <w:sz w:val="20"/>
                <w:szCs w:val="20"/>
              </w:rPr>
              <w:t xml:space="preserve"> peptidase 4 inhibitor (</w:t>
            </w:r>
            <w:proofErr w:type="spellStart"/>
            <w:r w:rsidRPr="005C7227">
              <w:rPr>
                <w:rFonts w:ascii="Arial Narrow" w:hAnsi="Arial Narrow"/>
                <w:sz w:val="20"/>
                <w:szCs w:val="20"/>
              </w:rPr>
              <w:t>gliptin</w:t>
            </w:r>
            <w:proofErr w:type="spellEnd"/>
            <w:r w:rsidRPr="005C7227">
              <w:rPr>
                <w:rFonts w:ascii="Arial Narrow" w:hAnsi="Arial Narrow"/>
                <w:sz w:val="20"/>
                <w:szCs w:val="20"/>
              </w:rPr>
              <w:t>), a thiazolidinedione (</w:t>
            </w:r>
            <w:proofErr w:type="spellStart"/>
            <w:r w:rsidRPr="005C7227">
              <w:rPr>
                <w:rFonts w:ascii="Arial Narrow" w:hAnsi="Arial Narrow"/>
                <w:sz w:val="20"/>
                <w:szCs w:val="20"/>
              </w:rPr>
              <w:t>glitazone</w:t>
            </w:r>
            <w:proofErr w:type="spellEnd"/>
            <w:r w:rsidRPr="005C7227">
              <w:rPr>
                <w:rFonts w:ascii="Arial Narrow" w:hAnsi="Arial Narrow"/>
                <w:sz w:val="20"/>
                <w:szCs w:val="20"/>
              </w:rPr>
              <w:t>), a glucagon-like peptide-1 or a sodium-glucose co-transporter 2 (SGLT2) inhibitor despite treatment with either metformin or a sulfonylurea; OR</w:t>
            </w:r>
          </w:p>
          <w:p w:rsidR="005C7227" w:rsidRPr="005C7227" w:rsidRDefault="005C7227" w:rsidP="005C7227">
            <w:pPr>
              <w:jc w:val="both"/>
              <w:rPr>
                <w:rFonts w:ascii="Arial Narrow" w:hAnsi="Arial Narrow"/>
                <w:sz w:val="20"/>
                <w:szCs w:val="20"/>
              </w:rPr>
            </w:pPr>
          </w:p>
          <w:p w:rsidR="005C7227" w:rsidRPr="005C7227" w:rsidRDefault="005C7227" w:rsidP="005C7227">
            <w:pPr>
              <w:jc w:val="both"/>
              <w:rPr>
                <w:rFonts w:ascii="Arial Narrow" w:hAnsi="Arial Narrow"/>
                <w:sz w:val="20"/>
                <w:szCs w:val="20"/>
              </w:rPr>
            </w:pPr>
            <w:r w:rsidRPr="005C7227">
              <w:rPr>
                <w:rFonts w:ascii="Arial Narrow" w:hAnsi="Arial Narrow"/>
                <w:sz w:val="20"/>
                <w:szCs w:val="20"/>
              </w:rPr>
              <w:t>Patient must have, or have had, where HbA1c measurement is clinically inappropriate, blood glucose levels greater than 10 </w:t>
            </w:r>
            <w:proofErr w:type="spellStart"/>
            <w:r w:rsidRPr="005C7227">
              <w:rPr>
                <w:rFonts w:ascii="Arial Narrow" w:hAnsi="Arial Narrow"/>
                <w:sz w:val="20"/>
                <w:szCs w:val="20"/>
              </w:rPr>
              <w:t>mmol</w:t>
            </w:r>
            <w:proofErr w:type="spellEnd"/>
            <w:r w:rsidRPr="005C7227">
              <w:rPr>
                <w:rFonts w:ascii="Arial Narrow" w:hAnsi="Arial Narrow"/>
                <w:sz w:val="20"/>
                <w:szCs w:val="20"/>
              </w:rPr>
              <w:t xml:space="preserve"> per L in more than 20% of tests over a 2 week period prior to initiation with a </w:t>
            </w:r>
            <w:proofErr w:type="spellStart"/>
            <w:r w:rsidRPr="005C7227">
              <w:rPr>
                <w:rFonts w:ascii="Arial Narrow" w:hAnsi="Arial Narrow"/>
                <w:sz w:val="20"/>
                <w:szCs w:val="20"/>
              </w:rPr>
              <w:t>gliptin</w:t>
            </w:r>
            <w:proofErr w:type="spellEnd"/>
            <w:r w:rsidRPr="005C7227">
              <w:rPr>
                <w:rFonts w:ascii="Arial Narrow" w:hAnsi="Arial Narrow"/>
                <w:sz w:val="20"/>
                <w:szCs w:val="20"/>
              </w:rPr>
              <w:t xml:space="preserve">, a </w:t>
            </w:r>
            <w:proofErr w:type="spellStart"/>
            <w:r w:rsidRPr="005C7227">
              <w:rPr>
                <w:rFonts w:ascii="Arial Narrow" w:hAnsi="Arial Narrow"/>
                <w:sz w:val="20"/>
                <w:szCs w:val="20"/>
              </w:rPr>
              <w:t>glitazone</w:t>
            </w:r>
            <w:proofErr w:type="spellEnd"/>
            <w:r w:rsidRPr="005C7227">
              <w:rPr>
                <w:rFonts w:ascii="Arial Narrow" w:hAnsi="Arial Narrow"/>
                <w:sz w:val="20"/>
                <w:szCs w:val="20"/>
              </w:rPr>
              <w:t>, a glucagon-like peptide-1 or an SGLT2 inhibitor despite treatment with either metformin or a sulfonylurea.</w:t>
            </w:r>
          </w:p>
          <w:p w:rsidR="005C7227" w:rsidRPr="005C7227" w:rsidRDefault="005C7227" w:rsidP="005C7227">
            <w:pPr>
              <w:jc w:val="both"/>
              <w:rPr>
                <w:rFonts w:ascii="Arial Narrow" w:hAnsi="Arial Narrow"/>
                <w:sz w:val="20"/>
                <w:szCs w:val="20"/>
              </w:rPr>
            </w:pPr>
          </w:p>
          <w:p w:rsidR="005C7227" w:rsidRPr="005C7227" w:rsidRDefault="005C7227" w:rsidP="005C7227">
            <w:pPr>
              <w:jc w:val="both"/>
              <w:rPr>
                <w:rFonts w:ascii="Arial Narrow" w:hAnsi="Arial Narrow"/>
                <w:sz w:val="20"/>
                <w:szCs w:val="20"/>
              </w:rPr>
            </w:pPr>
            <w:r w:rsidRPr="005C7227">
              <w:rPr>
                <w:rFonts w:ascii="Arial Narrow" w:hAnsi="Arial Narrow"/>
                <w:sz w:val="20"/>
                <w:szCs w:val="20"/>
              </w:rPr>
              <w:t xml:space="preserve">The date and level of the qualifying HbA1c measurement must be, or must have been, documented in the patient's medical records at the time treatment with a </w:t>
            </w:r>
            <w:proofErr w:type="spellStart"/>
            <w:r w:rsidRPr="005C7227">
              <w:rPr>
                <w:rFonts w:ascii="Arial Narrow" w:hAnsi="Arial Narrow"/>
                <w:sz w:val="20"/>
                <w:szCs w:val="20"/>
              </w:rPr>
              <w:t>gliptin</w:t>
            </w:r>
            <w:proofErr w:type="spellEnd"/>
            <w:r w:rsidRPr="005C7227">
              <w:rPr>
                <w:rFonts w:ascii="Arial Narrow" w:hAnsi="Arial Narrow"/>
                <w:sz w:val="20"/>
                <w:szCs w:val="20"/>
              </w:rPr>
              <w:t xml:space="preserve">, a </w:t>
            </w:r>
            <w:proofErr w:type="spellStart"/>
            <w:r w:rsidRPr="005C7227">
              <w:rPr>
                <w:rFonts w:ascii="Arial Narrow" w:hAnsi="Arial Narrow"/>
                <w:sz w:val="20"/>
                <w:szCs w:val="20"/>
              </w:rPr>
              <w:t>glitazone</w:t>
            </w:r>
            <w:proofErr w:type="spellEnd"/>
            <w:r w:rsidRPr="005C7227">
              <w:rPr>
                <w:rFonts w:ascii="Arial Narrow" w:hAnsi="Arial Narrow"/>
                <w:sz w:val="20"/>
                <w:szCs w:val="20"/>
              </w:rPr>
              <w:t>, a glucagon-like peptide-1 or an SGLT2 inhibitor is initiated.</w:t>
            </w:r>
          </w:p>
          <w:p w:rsidR="005C7227" w:rsidRPr="005C7227" w:rsidRDefault="005C7227" w:rsidP="005C7227">
            <w:pPr>
              <w:jc w:val="both"/>
              <w:rPr>
                <w:rFonts w:ascii="Arial Narrow" w:hAnsi="Arial Narrow"/>
                <w:sz w:val="20"/>
                <w:szCs w:val="20"/>
              </w:rPr>
            </w:pPr>
          </w:p>
          <w:p w:rsidR="005C7227" w:rsidRPr="005C7227" w:rsidRDefault="005C7227" w:rsidP="005C7227">
            <w:pPr>
              <w:jc w:val="both"/>
              <w:rPr>
                <w:rFonts w:ascii="Arial Narrow" w:hAnsi="Arial Narrow"/>
                <w:sz w:val="20"/>
                <w:szCs w:val="20"/>
              </w:rPr>
            </w:pPr>
            <w:r w:rsidRPr="005C7227">
              <w:rPr>
                <w:rFonts w:ascii="Arial Narrow" w:hAnsi="Arial Narrow"/>
                <w:sz w:val="20"/>
                <w:szCs w:val="20"/>
              </w:rPr>
              <w:t xml:space="preserve">The HbA1c must be no more than 4 months old at the time treatment with a </w:t>
            </w:r>
            <w:proofErr w:type="spellStart"/>
            <w:r w:rsidRPr="005C7227">
              <w:rPr>
                <w:rFonts w:ascii="Arial Narrow" w:hAnsi="Arial Narrow"/>
                <w:sz w:val="20"/>
                <w:szCs w:val="20"/>
              </w:rPr>
              <w:t>gliptin</w:t>
            </w:r>
            <w:proofErr w:type="spellEnd"/>
            <w:r w:rsidRPr="005C7227">
              <w:rPr>
                <w:rFonts w:ascii="Arial Narrow" w:hAnsi="Arial Narrow"/>
                <w:sz w:val="20"/>
                <w:szCs w:val="20"/>
              </w:rPr>
              <w:t xml:space="preserve">, a </w:t>
            </w:r>
            <w:proofErr w:type="spellStart"/>
            <w:r w:rsidRPr="005C7227">
              <w:rPr>
                <w:rFonts w:ascii="Arial Narrow" w:hAnsi="Arial Narrow"/>
                <w:sz w:val="20"/>
                <w:szCs w:val="20"/>
              </w:rPr>
              <w:t>glitazone</w:t>
            </w:r>
            <w:proofErr w:type="spellEnd"/>
            <w:r w:rsidRPr="005C7227">
              <w:rPr>
                <w:rFonts w:ascii="Arial Narrow" w:hAnsi="Arial Narrow"/>
                <w:sz w:val="20"/>
                <w:szCs w:val="20"/>
              </w:rPr>
              <w:t>, a glucagon-like peptide-1 or an SGLT2 inhibitor was initiated.</w:t>
            </w:r>
          </w:p>
          <w:p w:rsidR="005C7227" w:rsidRPr="005C7227" w:rsidRDefault="005C7227" w:rsidP="005C7227">
            <w:pPr>
              <w:jc w:val="both"/>
              <w:rPr>
                <w:rFonts w:ascii="Arial Narrow" w:hAnsi="Arial Narrow"/>
                <w:sz w:val="20"/>
                <w:szCs w:val="20"/>
              </w:rPr>
            </w:pPr>
            <w:r w:rsidRPr="005C7227">
              <w:rPr>
                <w:rFonts w:ascii="Arial Narrow" w:hAnsi="Arial Narrow"/>
                <w:sz w:val="20"/>
                <w:szCs w:val="20"/>
              </w:rPr>
              <w:t>Blood glucose monitoring may be used as an alternative assessment to HbA1c levels in the following circumstances:</w:t>
            </w:r>
          </w:p>
          <w:p w:rsidR="005C7227" w:rsidRPr="005C7227" w:rsidRDefault="005C7227" w:rsidP="005C7227">
            <w:pPr>
              <w:jc w:val="both"/>
              <w:rPr>
                <w:rFonts w:ascii="Arial Narrow" w:hAnsi="Arial Narrow"/>
                <w:sz w:val="20"/>
                <w:szCs w:val="20"/>
              </w:rPr>
            </w:pPr>
            <w:r w:rsidRPr="005C7227">
              <w:rPr>
                <w:rFonts w:ascii="Arial Narrow" w:hAnsi="Arial Narrow"/>
                <w:sz w:val="20"/>
                <w:szCs w:val="20"/>
              </w:rPr>
              <w:t xml:space="preserve">(a) A clinical condition with reduced red blood cell survival, including haemolytic </w:t>
            </w:r>
            <w:proofErr w:type="spellStart"/>
            <w:r w:rsidRPr="005C7227">
              <w:rPr>
                <w:rFonts w:ascii="Arial Narrow" w:hAnsi="Arial Narrow"/>
                <w:sz w:val="20"/>
                <w:szCs w:val="20"/>
              </w:rPr>
              <w:t>anaemias</w:t>
            </w:r>
            <w:proofErr w:type="spellEnd"/>
            <w:r w:rsidRPr="005C7227">
              <w:rPr>
                <w:rFonts w:ascii="Arial Narrow" w:hAnsi="Arial Narrow"/>
                <w:sz w:val="20"/>
                <w:szCs w:val="20"/>
              </w:rPr>
              <w:t xml:space="preserve"> and </w:t>
            </w:r>
            <w:proofErr w:type="spellStart"/>
            <w:r w:rsidRPr="005C7227">
              <w:rPr>
                <w:rFonts w:ascii="Arial Narrow" w:hAnsi="Arial Narrow"/>
                <w:sz w:val="20"/>
                <w:szCs w:val="20"/>
              </w:rPr>
              <w:t>haemoglobinopathies</w:t>
            </w:r>
            <w:proofErr w:type="spellEnd"/>
            <w:r w:rsidRPr="005C7227">
              <w:rPr>
                <w:rFonts w:ascii="Arial Narrow" w:hAnsi="Arial Narrow"/>
                <w:sz w:val="20"/>
                <w:szCs w:val="20"/>
              </w:rPr>
              <w:t>; and/or</w:t>
            </w:r>
          </w:p>
          <w:p w:rsidR="005C7227" w:rsidRPr="005C7227" w:rsidRDefault="005C7227" w:rsidP="005C7227">
            <w:pPr>
              <w:jc w:val="both"/>
              <w:rPr>
                <w:rFonts w:ascii="Arial Narrow" w:hAnsi="Arial Narrow"/>
                <w:sz w:val="20"/>
                <w:szCs w:val="20"/>
              </w:rPr>
            </w:pPr>
            <w:r w:rsidRPr="005C7227">
              <w:rPr>
                <w:rFonts w:ascii="Arial Narrow" w:hAnsi="Arial Narrow"/>
                <w:sz w:val="20"/>
                <w:szCs w:val="20"/>
              </w:rPr>
              <w:t>(b) Had red cell transfusion within the previous 3 months.</w:t>
            </w:r>
          </w:p>
          <w:p w:rsidR="005C7227" w:rsidRDefault="005C7227" w:rsidP="005C7227">
            <w:pPr>
              <w:pStyle w:val="ListParagraph"/>
              <w:ind w:left="0"/>
              <w:jc w:val="both"/>
              <w:rPr>
                <w:rFonts w:ascii="Arial Narrow" w:hAnsi="Arial Narrow"/>
                <w:sz w:val="20"/>
                <w:szCs w:val="20"/>
                <w:u w:val="single"/>
              </w:rPr>
            </w:pPr>
            <w:r w:rsidRPr="00E607FB">
              <w:rPr>
                <w:rFonts w:ascii="Arial Narrow" w:hAnsi="Arial Narrow"/>
                <w:sz w:val="20"/>
                <w:szCs w:val="20"/>
              </w:rPr>
              <w:t xml:space="preserve">The results of the blood glucose monitoring, which must be no more than 4 months old at the time of initiation of treatment with a </w:t>
            </w:r>
            <w:proofErr w:type="spellStart"/>
            <w:r w:rsidRPr="00E607FB">
              <w:rPr>
                <w:rFonts w:ascii="Arial Narrow" w:hAnsi="Arial Narrow"/>
                <w:sz w:val="20"/>
                <w:szCs w:val="20"/>
              </w:rPr>
              <w:t>gliptin</w:t>
            </w:r>
            <w:proofErr w:type="spellEnd"/>
            <w:r w:rsidRPr="00E607FB">
              <w:rPr>
                <w:rFonts w:ascii="Arial Narrow" w:hAnsi="Arial Narrow"/>
                <w:sz w:val="20"/>
                <w:szCs w:val="20"/>
              </w:rPr>
              <w:t xml:space="preserve">, a </w:t>
            </w:r>
            <w:proofErr w:type="spellStart"/>
            <w:r w:rsidRPr="00E607FB">
              <w:rPr>
                <w:rFonts w:ascii="Arial Narrow" w:hAnsi="Arial Narrow"/>
                <w:sz w:val="20"/>
                <w:szCs w:val="20"/>
              </w:rPr>
              <w:t>glitazone</w:t>
            </w:r>
            <w:proofErr w:type="spellEnd"/>
            <w:r w:rsidRPr="00E607FB">
              <w:rPr>
                <w:rFonts w:ascii="Arial Narrow" w:hAnsi="Arial Narrow"/>
                <w:sz w:val="20"/>
                <w:szCs w:val="20"/>
              </w:rPr>
              <w:t>, a glucagon-like peptide-1 or an SGLT2 inhibitor, must be documented in the patient's medical records.</w:t>
            </w:r>
          </w:p>
        </w:tc>
      </w:tr>
    </w:tbl>
    <w:p w:rsidR="00E607FB" w:rsidRPr="00E607FB" w:rsidRDefault="00E607FB" w:rsidP="00E607FB">
      <w:pPr>
        <w:pStyle w:val="ListParagraph"/>
        <w:ind w:left="0"/>
        <w:jc w:val="both"/>
        <w:rPr>
          <w:rFonts w:ascii="Arial" w:hAnsi="Arial"/>
          <w:sz w:val="22"/>
          <w:szCs w:val="22"/>
        </w:rPr>
      </w:pPr>
    </w:p>
    <w:p w:rsidR="00E607FB" w:rsidRDefault="00E607FB" w:rsidP="00022E05">
      <w:pPr>
        <w:pStyle w:val="ListParagraph"/>
        <w:ind w:left="709"/>
        <w:jc w:val="both"/>
        <w:rPr>
          <w:rFonts w:ascii="Arial" w:hAnsi="Arial"/>
          <w:sz w:val="22"/>
          <w:szCs w:val="22"/>
        </w:rPr>
      </w:pPr>
      <w:r w:rsidRPr="00E607FB">
        <w:rPr>
          <w:rFonts w:ascii="Arial" w:hAnsi="Arial"/>
          <w:sz w:val="22"/>
          <w:szCs w:val="22"/>
        </w:rPr>
        <w:t xml:space="preserve">The submission proposed the following restriction for triple therapy with metformin and a </w:t>
      </w:r>
      <w:proofErr w:type="spellStart"/>
      <w:r w:rsidRPr="00E607FB">
        <w:rPr>
          <w:rFonts w:ascii="Arial" w:hAnsi="Arial"/>
          <w:sz w:val="22"/>
          <w:szCs w:val="22"/>
        </w:rPr>
        <w:t>sulphonylurea</w:t>
      </w:r>
      <w:proofErr w:type="spellEnd"/>
      <w:r w:rsidRPr="00E607FB">
        <w:rPr>
          <w:rFonts w:ascii="Arial" w:hAnsi="Arial"/>
          <w:sz w:val="22"/>
          <w:szCs w:val="22"/>
        </w:rPr>
        <w:t>:</w:t>
      </w:r>
    </w:p>
    <w:p w:rsidR="005C7227" w:rsidRDefault="005C7227" w:rsidP="00022E05">
      <w:pPr>
        <w:pStyle w:val="ListParagraph"/>
        <w:ind w:left="709"/>
        <w:jc w:val="both"/>
        <w:rPr>
          <w:rFonts w:ascii="Arial" w:hAnsi="Arial"/>
          <w:sz w:val="22"/>
          <w:szCs w:val="22"/>
        </w:rPr>
      </w:pPr>
    </w:p>
    <w:tbl>
      <w:tblPr>
        <w:tblStyle w:val="TableGrid"/>
        <w:tblW w:w="0" w:type="auto"/>
        <w:tblInd w:w="817" w:type="dxa"/>
        <w:tblLook w:val="04A0" w:firstRow="1" w:lastRow="0" w:firstColumn="1" w:lastColumn="0" w:noHBand="0" w:noVBand="1"/>
        <w:tblDescription w:val="Restriction for triple therapy with metformin and a sulphonylurea"/>
      </w:tblPr>
      <w:tblGrid>
        <w:gridCol w:w="8363"/>
      </w:tblGrid>
      <w:tr w:rsidR="005C7227" w:rsidTr="00D31CCA">
        <w:trPr>
          <w:tblHeader/>
        </w:trPr>
        <w:tc>
          <w:tcPr>
            <w:tcW w:w="8363" w:type="dxa"/>
          </w:tcPr>
          <w:p w:rsidR="005C7227" w:rsidRPr="005C7227" w:rsidRDefault="005C7227" w:rsidP="005C7227">
            <w:pPr>
              <w:jc w:val="both"/>
              <w:rPr>
                <w:rFonts w:ascii="Arial Narrow" w:hAnsi="Arial Narrow"/>
                <w:sz w:val="20"/>
                <w:szCs w:val="20"/>
                <w:u w:val="single"/>
              </w:rPr>
            </w:pPr>
            <w:r w:rsidRPr="005C7227">
              <w:rPr>
                <w:rFonts w:ascii="Arial Narrow" w:hAnsi="Arial Narrow"/>
                <w:sz w:val="20"/>
                <w:szCs w:val="20"/>
                <w:u w:val="single"/>
              </w:rPr>
              <w:lastRenderedPageBreak/>
              <w:t>Authority required (STREAMLINED)</w:t>
            </w:r>
          </w:p>
          <w:p w:rsidR="005C7227" w:rsidRPr="005C7227" w:rsidRDefault="005C7227" w:rsidP="005C7227">
            <w:pPr>
              <w:jc w:val="both"/>
              <w:rPr>
                <w:rFonts w:ascii="Arial Narrow" w:hAnsi="Arial Narrow"/>
                <w:b/>
                <w:sz w:val="20"/>
                <w:szCs w:val="20"/>
              </w:rPr>
            </w:pPr>
            <w:r w:rsidRPr="005C7227">
              <w:rPr>
                <w:rFonts w:ascii="Arial Narrow" w:hAnsi="Arial Narrow"/>
                <w:b/>
                <w:sz w:val="20"/>
                <w:szCs w:val="20"/>
              </w:rPr>
              <w:t xml:space="preserve">Indication: </w:t>
            </w:r>
            <w:r w:rsidRPr="005C7227">
              <w:rPr>
                <w:rFonts w:ascii="Arial Narrow" w:hAnsi="Arial Narrow"/>
                <w:sz w:val="20"/>
                <w:szCs w:val="20"/>
              </w:rPr>
              <w:t>Diabetes mellitus type 2</w:t>
            </w:r>
          </w:p>
          <w:p w:rsidR="005C7227" w:rsidRPr="005C7227" w:rsidRDefault="005C7227" w:rsidP="005C7227">
            <w:pPr>
              <w:jc w:val="both"/>
              <w:rPr>
                <w:rFonts w:ascii="Arial Narrow" w:hAnsi="Arial Narrow"/>
                <w:sz w:val="20"/>
                <w:szCs w:val="20"/>
              </w:rPr>
            </w:pPr>
          </w:p>
          <w:p w:rsidR="005C7227" w:rsidRPr="005C7227" w:rsidRDefault="005C7227" w:rsidP="005C7227">
            <w:pPr>
              <w:jc w:val="both"/>
              <w:rPr>
                <w:rFonts w:ascii="Arial Narrow" w:hAnsi="Arial Narrow"/>
                <w:b/>
                <w:sz w:val="20"/>
                <w:szCs w:val="20"/>
              </w:rPr>
            </w:pPr>
            <w:r w:rsidRPr="005C7227">
              <w:rPr>
                <w:rFonts w:ascii="Arial Narrow" w:hAnsi="Arial Narrow"/>
                <w:b/>
                <w:sz w:val="20"/>
                <w:szCs w:val="20"/>
              </w:rPr>
              <w:t>Clinical criteria:</w:t>
            </w:r>
          </w:p>
          <w:p w:rsidR="005C7227" w:rsidRPr="005C7227" w:rsidRDefault="005C7227" w:rsidP="005C7227">
            <w:pPr>
              <w:jc w:val="both"/>
              <w:rPr>
                <w:rFonts w:ascii="Arial Narrow" w:hAnsi="Arial Narrow"/>
                <w:sz w:val="20"/>
                <w:szCs w:val="20"/>
              </w:rPr>
            </w:pPr>
            <w:r w:rsidRPr="005C7227">
              <w:rPr>
                <w:rFonts w:ascii="Arial Narrow" w:hAnsi="Arial Narrow"/>
                <w:sz w:val="20"/>
                <w:szCs w:val="20"/>
              </w:rPr>
              <w:t>The treatment must be in combination with metformin,</w:t>
            </w:r>
          </w:p>
          <w:p w:rsidR="005C7227" w:rsidRPr="005C7227" w:rsidRDefault="005C7227" w:rsidP="005C7227">
            <w:pPr>
              <w:jc w:val="both"/>
              <w:rPr>
                <w:rFonts w:ascii="Arial Narrow" w:hAnsi="Arial Narrow"/>
                <w:sz w:val="20"/>
                <w:szCs w:val="20"/>
              </w:rPr>
            </w:pPr>
            <w:r w:rsidRPr="005C7227">
              <w:rPr>
                <w:rFonts w:ascii="Arial Narrow" w:hAnsi="Arial Narrow"/>
                <w:sz w:val="20"/>
                <w:szCs w:val="20"/>
              </w:rPr>
              <w:t>AND</w:t>
            </w:r>
          </w:p>
          <w:p w:rsidR="005C7227" w:rsidRPr="005C7227" w:rsidRDefault="005C7227" w:rsidP="005C7227">
            <w:pPr>
              <w:jc w:val="both"/>
              <w:rPr>
                <w:rFonts w:ascii="Arial Narrow" w:hAnsi="Arial Narrow"/>
                <w:sz w:val="20"/>
                <w:szCs w:val="20"/>
              </w:rPr>
            </w:pPr>
            <w:r w:rsidRPr="005C7227">
              <w:rPr>
                <w:rFonts w:ascii="Arial Narrow" w:hAnsi="Arial Narrow"/>
                <w:sz w:val="20"/>
                <w:szCs w:val="20"/>
              </w:rPr>
              <w:t>The treatment must be in combination with a sulfonylurea,</w:t>
            </w:r>
          </w:p>
          <w:p w:rsidR="005C7227" w:rsidRPr="005C7227" w:rsidRDefault="005C7227" w:rsidP="005C7227">
            <w:pPr>
              <w:jc w:val="both"/>
              <w:rPr>
                <w:rFonts w:ascii="Arial Narrow" w:hAnsi="Arial Narrow"/>
                <w:sz w:val="20"/>
                <w:szCs w:val="20"/>
              </w:rPr>
            </w:pPr>
            <w:r w:rsidRPr="005C7227">
              <w:rPr>
                <w:rFonts w:ascii="Arial Narrow" w:hAnsi="Arial Narrow"/>
                <w:sz w:val="20"/>
                <w:szCs w:val="20"/>
              </w:rPr>
              <w:t>AND</w:t>
            </w:r>
          </w:p>
          <w:p w:rsidR="005C7227" w:rsidRPr="005C7227" w:rsidRDefault="005C7227" w:rsidP="005C7227">
            <w:pPr>
              <w:jc w:val="both"/>
              <w:rPr>
                <w:rFonts w:ascii="Arial Narrow" w:hAnsi="Arial Narrow"/>
                <w:sz w:val="20"/>
                <w:szCs w:val="20"/>
              </w:rPr>
            </w:pPr>
            <w:r w:rsidRPr="005C7227">
              <w:rPr>
                <w:rFonts w:ascii="Arial Narrow" w:hAnsi="Arial Narrow"/>
                <w:sz w:val="20"/>
                <w:szCs w:val="20"/>
              </w:rPr>
              <w:t xml:space="preserve">Patient must have, or have had, a HbA1c measurement greater than 7% prior to the initiation of a </w:t>
            </w:r>
            <w:proofErr w:type="spellStart"/>
            <w:r w:rsidRPr="005C7227">
              <w:rPr>
                <w:rFonts w:ascii="Arial Narrow" w:hAnsi="Arial Narrow"/>
                <w:sz w:val="20"/>
                <w:szCs w:val="20"/>
              </w:rPr>
              <w:t>dipeptidyl</w:t>
            </w:r>
            <w:proofErr w:type="spellEnd"/>
            <w:r w:rsidRPr="005C7227">
              <w:rPr>
                <w:rFonts w:ascii="Arial Narrow" w:hAnsi="Arial Narrow"/>
                <w:sz w:val="20"/>
                <w:szCs w:val="20"/>
              </w:rPr>
              <w:t xml:space="preserve"> peptidase 4 inhibitor (</w:t>
            </w:r>
            <w:proofErr w:type="spellStart"/>
            <w:r w:rsidRPr="005C7227">
              <w:rPr>
                <w:rFonts w:ascii="Arial Narrow" w:hAnsi="Arial Narrow"/>
                <w:sz w:val="20"/>
                <w:szCs w:val="20"/>
              </w:rPr>
              <w:t>gliptin</w:t>
            </w:r>
            <w:proofErr w:type="spellEnd"/>
            <w:r w:rsidRPr="005C7227">
              <w:rPr>
                <w:rFonts w:ascii="Arial Narrow" w:hAnsi="Arial Narrow"/>
                <w:sz w:val="20"/>
                <w:szCs w:val="20"/>
              </w:rPr>
              <w:t>), a thiazolidinedione (</w:t>
            </w:r>
            <w:proofErr w:type="spellStart"/>
            <w:r w:rsidRPr="005C7227">
              <w:rPr>
                <w:rFonts w:ascii="Arial Narrow" w:hAnsi="Arial Narrow"/>
                <w:sz w:val="20"/>
                <w:szCs w:val="20"/>
              </w:rPr>
              <w:t>glitazone</w:t>
            </w:r>
            <w:proofErr w:type="spellEnd"/>
            <w:r w:rsidRPr="005C7227">
              <w:rPr>
                <w:rFonts w:ascii="Arial Narrow" w:hAnsi="Arial Narrow"/>
                <w:sz w:val="20"/>
                <w:szCs w:val="20"/>
              </w:rPr>
              <w:t>), a glucagon-like peptide-1 or a sodium-glucose co-transporter 2 (SGLT2) inhibitor despite treatment with maximally tolerated doses of metformin and a sulfonylurea; OR</w:t>
            </w:r>
          </w:p>
          <w:p w:rsidR="005C7227" w:rsidRPr="005C7227" w:rsidRDefault="005C7227" w:rsidP="005C7227">
            <w:pPr>
              <w:jc w:val="both"/>
              <w:rPr>
                <w:rFonts w:ascii="Arial Narrow" w:hAnsi="Arial Narrow"/>
                <w:sz w:val="20"/>
                <w:szCs w:val="20"/>
              </w:rPr>
            </w:pPr>
          </w:p>
          <w:p w:rsidR="005C7227" w:rsidRPr="005C7227" w:rsidRDefault="005C7227" w:rsidP="005C7227">
            <w:pPr>
              <w:jc w:val="both"/>
              <w:rPr>
                <w:rFonts w:ascii="Arial Narrow" w:hAnsi="Arial Narrow"/>
                <w:sz w:val="20"/>
                <w:szCs w:val="20"/>
              </w:rPr>
            </w:pPr>
            <w:r w:rsidRPr="005C7227">
              <w:rPr>
                <w:rFonts w:ascii="Arial Narrow" w:hAnsi="Arial Narrow"/>
                <w:sz w:val="20"/>
                <w:szCs w:val="20"/>
              </w:rPr>
              <w:t xml:space="preserve">Patient must have, or have had, where HbA1c measurement is clinically inappropriate, blood glucose levels greater than 10 </w:t>
            </w:r>
            <w:proofErr w:type="spellStart"/>
            <w:r w:rsidRPr="005C7227">
              <w:rPr>
                <w:rFonts w:ascii="Arial Narrow" w:hAnsi="Arial Narrow"/>
                <w:sz w:val="20"/>
                <w:szCs w:val="20"/>
              </w:rPr>
              <w:t>mmol</w:t>
            </w:r>
            <w:proofErr w:type="spellEnd"/>
            <w:r w:rsidRPr="005C7227">
              <w:rPr>
                <w:rFonts w:ascii="Arial Narrow" w:hAnsi="Arial Narrow"/>
                <w:sz w:val="20"/>
                <w:szCs w:val="20"/>
              </w:rPr>
              <w:t xml:space="preserve"> per L in more than 20% of tests over a 2 week period prior to initiation with a </w:t>
            </w:r>
            <w:proofErr w:type="spellStart"/>
            <w:r w:rsidRPr="005C7227">
              <w:rPr>
                <w:rFonts w:ascii="Arial Narrow" w:hAnsi="Arial Narrow"/>
                <w:sz w:val="20"/>
                <w:szCs w:val="20"/>
              </w:rPr>
              <w:t>gliptin</w:t>
            </w:r>
            <w:proofErr w:type="spellEnd"/>
            <w:r w:rsidRPr="005C7227">
              <w:rPr>
                <w:rFonts w:ascii="Arial Narrow" w:hAnsi="Arial Narrow"/>
                <w:sz w:val="20"/>
                <w:szCs w:val="20"/>
              </w:rPr>
              <w:t xml:space="preserve">, a </w:t>
            </w:r>
            <w:proofErr w:type="spellStart"/>
            <w:r w:rsidRPr="005C7227">
              <w:rPr>
                <w:rFonts w:ascii="Arial Narrow" w:hAnsi="Arial Narrow"/>
                <w:sz w:val="20"/>
                <w:szCs w:val="20"/>
              </w:rPr>
              <w:t>glitazone</w:t>
            </w:r>
            <w:proofErr w:type="spellEnd"/>
            <w:r w:rsidRPr="005C7227">
              <w:rPr>
                <w:rFonts w:ascii="Arial Narrow" w:hAnsi="Arial Narrow"/>
                <w:sz w:val="20"/>
                <w:szCs w:val="20"/>
              </w:rPr>
              <w:t>, a glucagon-like peptide-1 or an SGLT2 inhibitor despite treatment with maximally tolerated doses of metformin and a sulfonylurea.</w:t>
            </w:r>
          </w:p>
          <w:p w:rsidR="005C7227" w:rsidRPr="005C7227" w:rsidRDefault="005C7227" w:rsidP="005C7227">
            <w:pPr>
              <w:jc w:val="both"/>
              <w:rPr>
                <w:rFonts w:ascii="Arial Narrow" w:hAnsi="Arial Narrow"/>
                <w:sz w:val="20"/>
                <w:szCs w:val="20"/>
              </w:rPr>
            </w:pPr>
          </w:p>
          <w:p w:rsidR="005C7227" w:rsidRPr="005C7227" w:rsidRDefault="005C7227" w:rsidP="005C7227">
            <w:pPr>
              <w:jc w:val="both"/>
              <w:rPr>
                <w:rFonts w:ascii="Arial Narrow" w:hAnsi="Arial Narrow"/>
                <w:sz w:val="20"/>
                <w:szCs w:val="20"/>
              </w:rPr>
            </w:pPr>
            <w:r w:rsidRPr="005C7227">
              <w:rPr>
                <w:rFonts w:ascii="Arial Narrow" w:hAnsi="Arial Narrow"/>
                <w:sz w:val="20"/>
                <w:szCs w:val="20"/>
              </w:rPr>
              <w:t xml:space="preserve">The date and level of the qualifying HbA1c measurement must be, or must have been, documented in the patient's medical records at the time treatment with a </w:t>
            </w:r>
            <w:proofErr w:type="spellStart"/>
            <w:r w:rsidRPr="005C7227">
              <w:rPr>
                <w:rFonts w:ascii="Arial Narrow" w:hAnsi="Arial Narrow"/>
                <w:sz w:val="20"/>
                <w:szCs w:val="20"/>
              </w:rPr>
              <w:t>gliptin</w:t>
            </w:r>
            <w:proofErr w:type="spellEnd"/>
            <w:r w:rsidRPr="005C7227">
              <w:rPr>
                <w:rFonts w:ascii="Arial Narrow" w:hAnsi="Arial Narrow"/>
                <w:sz w:val="20"/>
                <w:szCs w:val="20"/>
              </w:rPr>
              <w:t xml:space="preserve">, a </w:t>
            </w:r>
            <w:proofErr w:type="spellStart"/>
            <w:r w:rsidRPr="005C7227">
              <w:rPr>
                <w:rFonts w:ascii="Arial Narrow" w:hAnsi="Arial Narrow"/>
                <w:sz w:val="20"/>
                <w:szCs w:val="20"/>
              </w:rPr>
              <w:t>glitazone</w:t>
            </w:r>
            <w:proofErr w:type="spellEnd"/>
            <w:r w:rsidRPr="005C7227">
              <w:rPr>
                <w:rFonts w:ascii="Arial Narrow" w:hAnsi="Arial Narrow"/>
                <w:sz w:val="20"/>
                <w:szCs w:val="20"/>
              </w:rPr>
              <w:t>, a glucagon-like peptide-1 or an SGLT2 inhibitor is initiated.</w:t>
            </w:r>
          </w:p>
          <w:p w:rsidR="005C7227" w:rsidRPr="005C7227" w:rsidRDefault="005C7227" w:rsidP="005C7227">
            <w:pPr>
              <w:jc w:val="both"/>
              <w:rPr>
                <w:rFonts w:ascii="Arial Narrow" w:hAnsi="Arial Narrow"/>
                <w:sz w:val="20"/>
                <w:szCs w:val="20"/>
              </w:rPr>
            </w:pPr>
          </w:p>
          <w:p w:rsidR="005C7227" w:rsidRPr="005C7227" w:rsidRDefault="005C7227" w:rsidP="005C7227">
            <w:pPr>
              <w:jc w:val="both"/>
              <w:rPr>
                <w:rFonts w:ascii="Arial Narrow" w:hAnsi="Arial Narrow"/>
                <w:sz w:val="20"/>
                <w:szCs w:val="20"/>
              </w:rPr>
            </w:pPr>
            <w:r w:rsidRPr="005C7227">
              <w:rPr>
                <w:rFonts w:ascii="Arial Narrow" w:hAnsi="Arial Narrow"/>
                <w:sz w:val="20"/>
                <w:szCs w:val="20"/>
              </w:rPr>
              <w:t xml:space="preserve">The HbA1c must be no more than 4 months old at the time treatment with a </w:t>
            </w:r>
            <w:proofErr w:type="spellStart"/>
            <w:r w:rsidRPr="005C7227">
              <w:rPr>
                <w:rFonts w:ascii="Arial Narrow" w:hAnsi="Arial Narrow"/>
                <w:sz w:val="20"/>
                <w:szCs w:val="20"/>
              </w:rPr>
              <w:t>gliptin</w:t>
            </w:r>
            <w:proofErr w:type="spellEnd"/>
            <w:r w:rsidRPr="005C7227">
              <w:rPr>
                <w:rFonts w:ascii="Arial Narrow" w:hAnsi="Arial Narrow"/>
                <w:sz w:val="20"/>
                <w:szCs w:val="20"/>
              </w:rPr>
              <w:t xml:space="preserve">, a </w:t>
            </w:r>
            <w:proofErr w:type="spellStart"/>
            <w:r w:rsidRPr="005C7227">
              <w:rPr>
                <w:rFonts w:ascii="Arial Narrow" w:hAnsi="Arial Narrow"/>
                <w:sz w:val="20"/>
                <w:szCs w:val="20"/>
              </w:rPr>
              <w:t>glitazone</w:t>
            </w:r>
            <w:proofErr w:type="spellEnd"/>
            <w:r w:rsidRPr="005C7227">
              <w:rPr>
                <w:rFonts w:ascii="Arial Narrow" w:hAnsi="Arial Narrow"/>
                <w:sz w:val="20"/>
                <w:szCs w:val="20"/>
              </w:rPr>
              <w:t>, a glucagon-like peptide-1 or an SGLT2 inhibitor was initiated.</w:t>
            </w:r>
          </w:p>
          <w:p w:rsidR="005C7227" w:rsidRPr="005C7227" w:rsidRDefault="005C7227" w:rsidP="005C7227">
            <w:pPr>
              <w:jc w:val="both"/>
              <w:rPr>
                <w:rFonts w:ascii="Arial Narrow" w:hAnsi="Arial Narrow"/>
                <w:sz w:val="20"/>
                <w:szCs w:val="20"/>
              </w:rPr>
            </w:pPr>
          </w:p>
          <w:p w:rsidR="005C7227" w:rsidRPr="005C7227" w:rsidRDefault="005C7227" w:rsidP="005C7227">
            <w:pPr>
              <w:jc w:val="both"/>
              <w:rPr>
                <w:rFonts w:ascii="Arial Narrow" w:hAnsi="Arial Narrow"/>
                <w:sz w:val="20"/>
                <w:szCs w:val="20"/>
              </w:rPr>
            </w:pPr>
            <w:r w:rsidRPr="005C7227">
              <w:rPr>
                <w:rFonts w:ascii="Arial Narrow" w:hAnsi="Arial Narrow"/>
                <w:sz w:val="20"/>
                <w:szCs w:val="20"/>
              </w:rPr>
              <w:t>Blood glucose monitoring may be used as an alternative assessment to HbA1c levels in the following circumstances:</w:t>
            </w:r>
          </w:p>
          <w:p w:rsidR="005C7227" w:rsidRPr="005C7227" w:rsidRDefault="005C7227" w:rsidP="005C7227">
            <w:pPr>
              <w:jc w:val="both"/>
              <w:rPr>
                <w:rFonts w:ascii="Arial Narrow" w:hAnsi="Arial Narrow"/>
                <w:sz w:val="20"/>
                <w:szCs w:val="20"/>
              </w:rPr>
            </w:pPr>
            <w:r w:rsidRPr="005C7227">
              <w:rPr>
                <w:rFonts w:ascii="Arial Narrow" w:hAnsi="Arial Narrow"/>
                <w:sz w:val="20"/>
                <w:szCs w:val="20"/>
              </w:rPr>
              <w:t xml:space="preserve">(a) A clinical condition with reduced red blood cell survival, including haemolytic </w:t>
            </w:r>
            <w:proofErr w:type="spellStart"/>
            <w:r w:rsidRPr="005C7227">
              <w:rPr>
                <w:rFonts w:ascii="Arial Narrow" w:hAnsi="Arial Narrow"/>
                <w:sz w:val="20"/>
                <w:szCs w:val="20"/>
              </w:rPr>
              <w:t>anaemias</w:t>
            </w:r>
            <w:proofErr w:type="spellEnd"/>
            <w:r w:rsidRPr="005C7227">
              <w:rPr>
                <w:rFonts w:ascii="Arial Narrow" w:hAnsi="Arial Narrow"/>
                <w:sz w:val="20"/>
                <w:szCs w:val="20"/>
              </w:rPr>
              <w:t xml:space="preserve"> and </w:t>
            </w:r>
            <w:proofErr w:type="spellStart"/>
            <w:r w:rsidRPr="005C7227">
              <w:rPr>
                <w:rFonts w:ascii="Arial Narrow" w:hAnsi="Arial Narrow"/>
                <w:sz w:val="20"/>
                <w:szCs w:val="20"/>
              </w:rPr>
              <w:t>haemoglobinopathies</w:t>
            </w:r>
            <w:proofErr w:type="spellEnd"/>
            <w:r w:rsidRPr="005C7227">
              <w:rPr>
                <w:rFonts w:ascii="Arial Narrow" w:hAnsi="Arial Narrow"/>
                <w:sz w:val="20"/>
                <w:szCs w:val="20"/>
              </w:rPr>
              <w:t>; and/or</w:t>
            </w:r>
          </w:p>
          <w:p w:rsidR="005C7227" w:rsidRPr="005C7227" w:rsidRDefault="005C7227" w:rsidP="005C7227">
            <w:pPr>
              <w:jc w:val="both"/>
              <w:rPr>
                <w:rFonts w:ascii="Arial Narrow" w:hAnsi="Arial Narrow"/>
                <w:sz w:val="20"/>
                <w:szCs w:val="20"/>
              </w:rPr>
            </w:pPr>
            <w:r w:rsidRPr="005C7227">
              <w:rPr>
                <w:rFonts w:ascii="Arial Narrow" w:hAnsi="Arial Narrow"/>
                <w:sz w:val="20"/>
                <w:szCs w:val="20"/>
              </w:rPr>
              <w:t>(b) Had red cell transfusion within the previous 3 months.</w:t>
            </w:r>
          </w:p>
          <w:p w:rsidR="005C7227" w:rsidRDefault="005C7227" w:rsidP="005C7227">
            <w:pPr>
              <w:pStyle w:val="ListParagraph"/>
              <w:ind w:left="0"/>
              <w:jc w:val="both"/>
              <w:rPr>
                <w:rFonts w:ascii="Arial" w:hAnsi="Arial"/>
                <w:sz w:val="22"/>
                <w:szCs w:val="22"/>
              </w:rPr>
            </w:pPr>
            <w:r w:rsidRPr="00E607FB">
              <w:rPr>
                <w:rFonts w:ascii="Arial Narrow" w:hAnsi="Arial Narrow"/>
                <w:sz w:val="20"/>
                <w:szCs w:val="20"/>
              </w:rPr>
              <w:t xml:space="preserve">The results of the blood glucose monitoring, which must be no more than 4 months old at the time of initiation of treatment with a </w:t>
            </w:r>
            <w:proofErr w:type="spellStart"/>
            <w:r w:rsidRPr="00E607FB">
              <w:rPr>
                <w:rFonts w:ascii="Arial Narrow" w:hAnsi="Arial Narrow"/>
                <w:sz w:val="20"/>
                <w:szCs w:val="20"/>
              </w:rPr>
              <w:t>gliptin</w:t>
            </w:r>
            <w:proofErr w:type="spellEnd"/>
            <w:r w:rsidRPr="00E607FB">
              <w:rPr>
                <w:rFonts w:ascii="Arial Narrow" w:hAnsi="Arial Narrow"/>
                <w:sz w:val="20"/>
                <w:szCs w:val="20"/>
              </w:rPr>
              <w:t xml:space="preserve">, a </w:t>
            </w:r>
            <w:proofErr w:type="spellStart"/>
            <w:r w:rsidRPr="00E607FB">
              <w:rPr>
                <w:rFonts w:ascii="Arial Narrow" w:hAnsi="Arial Narrow"/>
                <w:sz w:val="20"/>
                <w:szCs w:val="20"/>
              </w:rPr>
              <w:t>glitazone</w:t>
            </w:r>
            <w:proofErr w:type="spellEnd"/>
            <w:r w:rsidRPr="00E607FB">
              <w:rPr>
                <w:rFonts w:ascii="Arial Narrow" w:hAnsi="Arial Narrow"/>
                <w:sz w:val="20"/>
                <w:szCs w:val="20"/>
              </w:rPr>
              <w:t>, a glucagon-like peptide-1 or an SGLT2 inhibitor, must be documented in the patient's medical records.</w:t>
            </w:r>
          </w:p>
        </w:tc>
      </w:tr>
    </w:tbl>
    <w:p w:rsidR="00827C24" w:rsidRPr="00882085" w:rsidRDefault="00827C24" w:rsidP="00882085">
      <w:pPr>
        <w:pStyle w:val="ListParagraph"/>
        <w:jc w:val="both"/>
        <w:rPr>
          <w:rFonts w:ascii="Arial" w:hAnsi="Arial"/>
          <w:sz w:val="22"/>
          <w:szCs w:val="22"/>
        </w:rPr>
      </w:pPr>
    </w:p>
    <w:p w:rsidR="008F20DC" w:rsidRDefault="008F20DC" w:rsidP="008F20DC">
      <w:pPr>
        <w:pStyle w:val="ListParagraph"/>
        <w:numPr>
          <w:ilvl w:val="1"/>
          <w:numId w:val="25"/>
        </w:numPr>
        <w:jc w:val="both"/>
        <w:rPr>
          <w:rFonts w:ascii="Arial" w:hAnsi="Arial"/>
          <w:sz w:val="22"/>
          <w:szCs w:val="22"/>
        </w:rPr>
      </w:pPr>
      <w:r w:rsidRPr="00BD7206">
        <w:rPr>
          <w:rFonts w:ascii="Arial" w:hAnsi="Arial"/>
          <w:sz w:val="22"/>
          <w:szCs w:val="22"/>
        </w:rPr>
        <w:t>Listing wa</w:t>
      </w:r>
      <w:r w:rsidR="00827C24" w:rsidRPr="00BD7206">
        <w:rPr>
          <w:rFonts w:ascii="Arial" w:hAnsi="Arial"/>
          <w:sz w:val="22"/>
          <w:szCs w:val="22"/>
        </w:rPr>
        <w:t>s</w:t>
      </w:r>
      <w:r w:rsidRPr="00BD7206">
        <w:rPr>
          <w:rFonts w:ascii="Arial" w:hAnsi="Arial"/>
          <w:sz w:val="22"/>
          <w:szCs w:val="22"/>
        </w:rPr>
        <w:t xml:space="preserve"> sought on</w:t>
      </w:r>
      <w:r w:rsidR="00827C24" w:rsidRPr="00BD7206">
        <w:rPr>
          <w:rFonts w:ascii="Arial" w:hAnsi="Arial"/>
          <w:sz w:val="22"/>
          <w:szCs w:val="22"/>
        </w:rPr>
        <w:t xml:space="preserve"> a cost </w:t>
      </w:r>
      <w:r w:rsidR="005B2983" w:rsidRPr="00BD7206">
        <w:rPr>
          <w:rFonts w:ascii="Arial" w:hAnsi="Arial"/>
          <w:sz w:val="22"/>
          <w:szCs w:val="22"/>
        </w:rPr>
        <w:t xml:space="preserve">minimisation with </w:t>
      </w:r>
      <w:proofErr w:type="spellStart"/>
      <w:r w:rsidR="003A114C" w:rsidRPr="00BD7206">
        <w:rPr>
          <w:rFonts w:ascii="Arial" w:hAnsi="Arial"/>
          <w:sz w:val="22"/>
          <w:szCs w:val="22"/>
        </w:rPr>
        <w:t>exenatide</w:t>
      </w:r>
      <w:proofErr w:type="spellEnd"/>
      <w:r w:rsidR="003A114C" w:rsidRPr="00BD7206">
        <w:rPr>
          <w:rFonts w:ascii="Arial" w:hAnsi="Arial"/>
          <w:sz w:val="22"/>
          <w:szCs w:val="22"/>
        </w:rPr>
        <w:t xml:space="preserve"> (twice daily)</w:t>
      </w:r>
      <w:r w:rsidR="005B2983" w:rsidRPr="00BD7206">
        <w:rPr>
          <w:rFonts w:ascii="Arial" w:hAnsi="Arial"/>
          <w:sz w:val="22"/>
          <w:szCs w:val="22"/>
        </w:rPr>
        <w:t>.</w:t>
      </w:r>
    </w:p>
    <w:p w:rsidR="00BD7206" w:rsidRPr="00BD7206" w:rsidRDefault="00BD7206" w:rsidP="00BD7206">
      <w:pPr>
        <w:pStyle w:val="ListParagraph"/>
        <w:jc w:val="both"/>
        <w:rPr>
          <w:rFonts w:ascii="Arial" w:hAnsi="Arial"/>
          <w:sz w:val="22"/>
          <w:szCs w:val="22"/>
        </w:rPr>
      </w:pPr>
    </w:p>
    <w:p w:rsidR="008F20DC" w:rsidRPr="008F20DC" w:rsidRDefault="008F20DC" w:rsidP="008F20DC">
      <w:pPr>
        <w:pStyle w:val="ListParagraph"/>
        <w:numPr>
          <w:ilvl w:val="1"/>
          <w:numId w:val="25"/>
        </w:numPr>
        <w:jc w:val="both"/>
        <w:rPr>
          <w:rFonts w:ascii="Arial" w:hAnsi="Arial"/>
          <w:sz w:val="22"/>
          <w:szCs w:val="22"/>
        </w:rPr>
      </w:pPr>
      <w:r>
        <w:rPr>
          <w:rFonts w:ascii="Arial" w:hAnsi="Arial"/>
          <w:sz w:val="22"/>
          <w:szCs w:val="22"/>
        </w:rPr>
        <w:t xml:space="preserve">It was noted that </w:t>
      </w:r>
      <w:proofErr w:type="spellStart"/>
      <w:r>
        <w:rPr>
          <w:rFonts w:ascii="Arial" w:hAnsi="Arial"/>
          <w:sz w:val="22"/>
          <w:szCs w:val="22"/>
        </w:rPr>
        <w:t>l</w:t>
      </w:r>
      <w:r w:rsidRPr="008F20DC">
        <w:rPr>
          <w:rFonts w:ascii="Arial" w:hAnsi="Arial"/>
          <w:sz w:val="22"/>
          <w:szCs w:val="22"/>
        </w:rPr>
        <w:t>ixisenatide</w:t>
      </w:r>
      <w:proofErr w:type="spellEnd"/>
      <w:r w:rsidRPr="008F20DC">
        <w:rPr>
          <w:rFonts w:ascii="Arial" w:hAnsi="Arial"/>
          <w:sz w:val="22"/>
          <w:szCs w:val="22"/>
        </w:rPr>
        <w:t xml:space="preserve"> is not TGA-approved for use with a sulfonylurea alone, due to a lack of evidence in an adequate population sample size. The </w:t>
      </w:r>
      <w:r w:rsidR="00794A83">
        <w:rPr>
          <w:rFonts w:ascii="Arial" w:hAnsi="Arial"/>
          <w:sz w:val="22"/>
          <w:szCs w:val="22"/>
        </w:rPr>
        <w:t xml:space="preserve">ESC </w:t>
      </w:r>
      <w:r>
        <w:rPr>
          <w:rFonts w:ascii="Arial" w:hAnsi="Arial"/>
          <w:sz w:val="22"/>
          <w:szCs w:val="22"/>
        </w:rPr>
        <w:t>noted that</w:t>
      </w:r>
      <w:r w:rsidRPr="008F20DC">
        <w:rPr>
          <w:rFonts w:ascii="Arial" w:hAnsi="Arial"/>
          <w:sz w:val="22"/>
          <w:szCs w:val="22"/>
        </w:rPr>
        <w:t xml:space="preserve"> this nuance in </w:t>
      </w:r>
      <w:proofErr w:type="spellStart"/>
      <w:r w:rsidRPr="008F20DC">
        <w:rPr>
          <w:rFonts w:ascii="Arial" w:hAnsi="Arial"/>
          <w:sz w:val="22"/>
          <w:szCs w:val="22"/>
        </w:rPr>
        <w:t>lixisenatide’s</w:t>
      </w:r>
      <w:proofErr w:type="spellEnd"/>
      <w:r w:rsidRPr="008F20DC">
        <w:rPr>
          <w:rFonts w:ascii="Arial" w:hAnsi="Arial"/>
          <w:sz w:val="22"/>
          <w:szCs w:val="22"/>
        </w:rPr>
        <w:t xml:space="preserve"> TGA registered indications</w:t>
      </w:r>
      <w:r w:rsidR="00AD081E">
        <w:rPr>
          <w:rFonts w:ascii="Arial" w:hAnsi="Arial"/>
          <w:sz w:val="22"/>
          <w:szCs w:val="22"/>
        </w:rPr>
        <w:t xml:space="preserve"> compared to </w:t>
      </w:r>
      <w:proofErr w:type="spellStart"/>
      <w:r w:rsidR="00AD081E">
        <w:rPr>
          <w:rFonts w:ascii="Arial" w:hAnsi="Arial"/>
          <w:sz w:val="22"/>
          <w:szCs w:val="22"/>
        </w:rPr>
        <w:t>exenatide’s</w:t>
      </w:r>
      <w:proofErr w:type="spellEnd"/>
      <w:r w:rsidRPr="008F20DC">
        <w:rPr>
          <w:rFonts w:ascii="Arial" w:hAnsi="Arial"/>
          <w:sz w:val="22"/>
          <w:szCs w:val="22"/>
        </w:rPr>
        <w:t xml:space="preserve"> may not be immediately obvious to physicians.</w:t>
      </w:r>
      <w:r>
        <w:rPr>
          <w:rFonts w:ascii="Arial" w:hAnsi="Arial"/>
          <w:sz w:val="22"/>
          <w:szCs w:val="22"/>
        </w:rPr>
        <w:t xml:space="preserve"> </w:t>
      </w:r>
    </w:p>
    <w:p w:rsidR="00827C24" w:rsidRPr="003A114C" w:rsidRDefault="00827C24" w:rsidP="00827C24">
      <w:pPr>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Pr="003A114C" w:rsidRDefault="00BB7EC3" w:rsidP="00882085">
      <w:pPr>
        <w:jc w:val="both"/>
        <w:rPr>
          <w:rFonts w:ascii="Arial" w:hAnsi="Arial"/>
          <w:sz w:val="22"/>
          <w:szCs w:val="22"/>
        </w:rPr>
      </w:pPr>
    </w:p>
    <w:p w:rsidR="003A114C" w:rsidRPr="003A114C" w:rsidRDefault="003A114C" w:rsidP="00882085">
      <w:pPr>
        <w:jc w:val="both"/>
        <w:rPr>
          <w:rFonts w:ascii="Arial" w:hAnsi="Arial"/>
          <w:sz w:val="22"/>
          <w:szCs w:val="22"/>
        </w:rPr>
      </w:pPr>
    </w:p>
    <w:p w:rsidR="00CE10C4" w:rsidRPr="00882085" w:rsidRDefault="00CE10C4" w:rsidP="00882085">
      <w:pPr>
        <w:pStyle w:val="ListParagraph"/>
        <w:numPr>
          <w:ilvl w:val="0"/>
          <w:numId w:val="25"/>
        </w:numPr>
        <w:jc w:val="both"/>
        <w:rPr>
          <w:rFonts w:ascii="Arial" w:hAnsi="Arial"/>
          <w:sz w:val="22"/>
          <w:szCs w:val="22"/>
        </w:rPr>
      </w:pPr>
      <w:r w:rsidRPr="00882085">
        <w:rPr>
          <w:rFonts w:ascii="Arial" w:hAnsi="Arial"/>
          <w:b/>
          <w:sz w:val="22"/>
          <w:szCs w:val="22"/>
        </w:rPr>
        <w:t>Background</w:t>
      </w:r>
    </w:p>
    <w:p w:rsidR="006A12A5" w:rsidRPr="00882085" w:rsidRDefault="006A12A5" w:rsidP="00882085">
      <w:pPr>
        <w:jc w:val="both"/>
        <w:rPr>
          <w:rFonts w:ascii="Arial" w:hAnsi="Arial"/>
          <w:sz w:val="22"/>
          <w:szCs w:val="22"/>
        </w:rPr>
      </w:pPr>
    </w:p>
    <w:p w:rsidR="007729FD" w:rsidRPr="0062758E" w:rsidRDefault="008F20DC" w:rsidP="007729FD">
      <w:pPr>
        <w:pStyle w:val="ListParagraph"/>
        <w:numPr>
          <w:ilvl w:val="1"/>
          <w:numId w:val="25"/>
        </w:numPr>
        <w:jc w:val="both"/>
        <w:rPr>
          <w:rFonts w:ascii="Arial" w:hAnsi="Arial"/>
          <w:sz w:val="22"/>
          <w:szCs w:val="22"/>
        </w:rPr>
      </w:pPr>
      <w:proofErr w:type="spellStart"/>
      <w:r>
        <w:rPr>
          <w:rFonts w:ascii="Arial" w:hAnsi="Arial"/>
          <w:sz w:val="22"/>
          <w:szCs w:val="22"/>
        </w:rPr>
        <w:t>L</w:t>
      </w:r>
      <w:r w:rsidR="007729FD" w:rsidRPr="0062758E">
        <w:rPr>
          <w:rFonts w:ascii="Arial" w:hAnsi="Arial"/>
          <w:sz w:val="22"/>
          <w:szCs w:val="22"/>
        </w:rPr>
        <w:t>ixisenatide</w:t>
      </w:r>
      <w:proofErr w:type="spellEnd"/>
      <w:r w:rsidR="007729FD" w:rsidRPr="0062758E">
        <w:rPr>
          <w:rFonts w:ascii="Arial" w:hAnsi="Arial"/>
          <w:sz w:val="22"/>
          <w:szCs w:val="22"/>
        </w:rPr>
        <w:t xml:space="preserve"> was TGA registered on 10 April 2013 for the treatment of adults with type 2 diabetes mellitus to achieve glycaemic control in combination with metformin, metformin and </w:t>
      </w:r>
      <w:proofErr w:type="spellStart"/>
      <w:r w:rsidR="007729FD" w:rsidRPr="0062758E">
        <w:rPr>
          <w:rFonts w:ascii="Arial" w:hAnsi="Arial"/>
          <w:sz w:val="22"/>
          <w:szCs w:val="22"/>
        </w:rPr>
        <w:t>sulphonylurea</w:t>
      </w:r>
      <w:proofErr w:type="spellEnd"/>
      <w:r w:rsidR="007729FD" w:rsidRPr="0062758E">
        <w:rPr>
          <w:rFonts w:ascii="Arial" w:hAnsi="Arial"/>
          <w:sz w:val="22"/>
          <w:szCs w:val="22"/>
        </w:rPr>
        <w:t xml:space="preserve">, basal insulin and metformin, basal insulin and </w:t>
      </w:r>
      <w:proofErr w:type="spellStart"/>
      <w:r w:rsidR="007729FD" w:rsidRPr="0062758E">
        <w:rPr>
          <w:rFonts w:ascii="Arial" w:hAnsi="Arial"/>
          <w:sz w:val="22"/>
          <w:szCs w:val="22"/>
        </w:rPr>
        <w:t>sulphonylurea</w:t>
      </w:r>
      <w:proofErr w:type="spellEnd"/>
      <w:r w:rsidR="007729FD" w:rsidRPr="0062758E">
        <w:rPr>
          <w:rFonts w:ascii="Arial" w:hAnsi="Arial"/>
          <w:sz w:val="22"/>
          <w:szCs w:val="22"/>
        </w:rPr>
        <w:t xml:space="preserve"> when these, together with diet and exercise, do not provide adequate glycaemic control.</w:t>
      </w:r>
      <w:r>
        <w:rPr>
          <w:rFonts w:ascii="Arial" w:hAnsi="Arial"/>
          <w:sz w:val="22"/>
          <w:szCs w:val="22"/>
        </w:rPr>
        <w:t xml:space="preserve"> </w:t>
      </w:r>
    </w:p>
    <w:p w:rsidR="006B0D94" w:rsidRPr="00882085" w:rsidRDefault="006B0D94" w:rsidP="00882085">
      <w:pPr>
        <w:pStyle w:val="ListParagraph"/>
        <w:jc w:val="both"/>
        <w:rPr>
          <w:rFonts w:ascii="Arial" w:hAnsi="Arial"/>
          <w:sz w:val="22"/>
          <w:szCs w:val="22"/>
        </w:rPr>
      </w:pPr>
    </w:p>
    <w:p w:rsidR="00254C55" w:rsidRPr="00D12F71" w:rsidRDefault="008F20DC" w:rsidP="003A114C">
      <w:pPr>
        <w:pStyle w:val="ListParagraph"/>
        <w:numPr>
          <w:ilvl w:val="1"/>
          <w:numId w:val="25"/>
        </w:numPr>
        <w:jc w:val="both"/>
        <w:rPr>
          <w:rFonts w:ascii="Arial" w:hAnsi="Arial"/>
          <w:sz w:val="22"/>
          <w:szCs w:val="22"/>
        </w:rPr>
      </w:pPr>
      <w:r w:rsidRPr="00D12F71">
        <w:rPr>
          <w:rFonts w:ascii="Arial" w:hAnsi="Arial"/>
          <w:sz w:val="22"/>
          <w:szCs w:val="22"/>
        </w:rPr>
        <w:t>This wa</w:t>
      </w:r>
      <w:r w:rsidR="003A114C" w:rsidRPr="00D12F71">
        <w:rPr>
          <w:rFonts w:ascii="Arial" w:hAnsi="Arial"/>
          <w:sz w:val="22"/>
          <w:szCs w:val="22"/>
        </w:rPr>
        <w:t xml:space="preserve">s the </w:t>
      </w:r>
      <w:r w:rsidRPr="00D12F71">
        <w:rPr>
          <w:rFonts w:ascii="Arial" w:hAnsi="Arial"/>
          <w:sz w:val="22"/>
          <w:szCs w:val="22"/>
        </w:rPr>
        <w:t xml:space="preserve">PBAC’s </w:t>
      </w:r>
      <w:r w:rsidR="003A114C" w:rsidRPr="00D12F71">
        <w:rPr>
          <w:rFonts w:ascii="Arial" w:hAnsi="Arial"/>
          <w:sz w:val="22"/>
          <w:szCs w:val="22"/>
        </w:rPr>
        <w:t xml:space="preserve">first </w:t>
      </w:r>
      <w:r w:rsidRPr="00D12F71">
        <w:rPr>
          <w:rFonts w:ascii="Arial" w:hAnsi="Arial"/>
          <w:sz w:val="22"/>
          <w:szCs w:val="22"/>
        </w:rPr>
        <w:t>consideration of</w:t>
      </w:r>
      <w:r w:rsidR="003A114C" w:rsidRPr="00D12F71">
        <w:rPr>
          <w:rFonts w:ascii="Arial" w:hAnsi="Arial"/>
          <w:sz w:val="22"/>
          <w:szCs w:val="22"/>
        </w:rPr>
        <w:t xml:space="preserve"> </w:t>
      </w:r>
      <w:proofErr w:type="spellStart"/>
      <w:r w:rsidR="003A114C" w:rsidRPr="00D12F71">
        <w:rPr>
          <w:rFonts w:ascii="Arial" w:hAnsi="Arial"/>
          <w:sz w:val="22"/>
          <w:szCs w:val="22"/>
        </w:rPr>
        <w:t>l</w:t>
      </w:r>
      <w:r w:rsidR="007729FD" w:rsidRPr="00D12F71">
        <w:rPr>
          <w:rFonts w:ascii="Arial" w:hAnsi="Arial"/>
          <w:sz w:val="22"/>
          <w:szCs w:val="22"/>
        </w:rPr>
        <w:t>ixisenatide</w:t>
      </w:r>
      <w:proofErr w:type="spellEnd"/>
      <w:r w:rsidRPr="00D12F71">
        <w:rPr>
          <w:rFonts w:ascii="Arial" w:hAnsi="Arial"/>
          <w:sz w:val="22"/>
          <w:szCs w:val="22"/>
        </w:rPr>
        <w:t>.</w:t>
      </w:r>
    </w:p>
    <w:p w:rsidR="00BD7206" w:rsidRPr="003A114C" w:rsidRDefault="00BD7206" w:rsidP="003A114C">
      <w:pPr>
        <w:jc w:val="both"/>
        <w:rPr>
          <w:rFonts w:ascii="Arial" w:hAnsi="Arial"/>
          <w:sz w:val="22"/>
          <w:szCs w:val="22"/>
        </w:rPr>
      </w:pPr>
    </w:p>
    <w:p w:rsidR="00CE10C4" w:rsidRPr="00882085" w:rsidRDefault="00CE10C4" w:rsidP="00882085">
      <w:pPr>
        <w:pStyle w:val="ListParagraph"/>
        <w:numPr>
          <w:ilvl w:val="0"/>
          <w:numId w:val="25"/>
        </w:numPr>
        <w:jc w:val="both"/>
        <w:rPr>
          <w:rFonts w:ascii="Arial" w:hAnsi="Arial"/>
          <w:b/>
          <w:sz w:val="22"/>
          <w:szCs w:val="22"/>
        </w:rPr>
      </w:pPr>
      <w:r w:rsidRPr="00882085">
        <w:rPr>
          <w:rFonts w:ascii="Arial" w:hAnsi="Arial"/>
          <w:b/>
          <w:sz w:val="22"/>
          <w:szCs w:val="22"/>
        </w:rPr>
        <w:t>Clinical place for the proposed ther</w:t>
      </w:r>
      <w:r w:rsidR="006A12A5" w:rsidRPr="00882085">
        <w:rPr>
          <w:rFonts w:ascii="Arial" w:hAnsi="Arial"/>
          <w:b/>
          <w:sz w:val="22"/>
          <w:szCs w:val="22"/>
        </w:rPr>
        <w:t>apy</w:t>
      </w:r>
    </w:p>
    <w:p w:rsidR="00CE10C4" w:rsidRPr="00882085" w:rsidRDefault="00CE10C4" w:rsidP="00882085">
      <w:pPr>
        <w:jc w:val="both"/>
        <w:rPr>
          <w:rFonts w:ascii="Arial" w:hAnsi="Arial"/>
          <w:sz w:val="22"/>
          <w:szCs w:val="22"/>
        </w:rPr>
      </w:pPr>
    </w:p>
    <w:p w:rsidR="008F20DC" w:rsidRPr="008F20DC" w:rsidRDefault="008F20DC" w:rsidP="008F20DC">
      <w:pPr>
        <w:pStyle w:val="ListParagraph"/>
        <w:numPr>
          <w:ilvl w:val="1"/>
          <w:numId w:val="25"/>
        </w:numPr>
        <w:jc w:val="both"/>
        <w:rPr>
          <w:rFonts w:ascii="Arial" w:hAnsi="Arial"/>
          <w:sz w:val="22"/>
          <w:szCs w:val="22"/>
        </w:rPr>
      </w:pPr>
      <w:r>
        <w:rPr>
          <w:rFonts w:ascii="Arial" w:hAnsi="Arial"/>
          <w:sz w:val="22"/>
          <w:szCs w:val="22"/>
        </w:rPr>
        <w:lastRenderedPageBreak/>
        <w:t xml:space="preserve">The submission proposed that </w:t>
      </w:r>
      <w:proofErr w:type="spellStart"/>
      <w:r>
        <w:rPr>
          <w:rFonts w:ascii="Arial" w:hAnsi="Arial"/>
          <w:sz w:val="22"/>
          <w:szCs w:val="22"/>
        </w:rPr>
        <w:t>lixisenatide</w:t>
      </w:r>
      <w:proofErr w:type="spellEnd"/>
      <w:r>
        <w:rPr>
          <w:rFonts w:ascii="Arial" w:hAnsi="Arial"/>
          <w:sz w:val="22"/>
          <w:szCs w:val="22"/>
        </w:rPr>
        <w:t xml:space="preserve"> would</w:t>
      </w:r>
      <w:r w:rsidRPr="008F20DC">
        <w:rPr>
          <w:rFonts w:ascii="Arial" w:hAnsi="Arial"/>
          <w:sz w:val="22"/>
          <w:szCs w:val="22"/>
        </w:rPr>
        <w:t xml:space="preserve"> substitute for current use of </w:t>
      </w:r>
      <w:proofErr w:type="spellStart"/>
      <w:r w:rsidRPr="008F20DC">
        <w:rPr>
          <w:rFonts w:ascii="Arial" w:hAnsi="Arial"/>
          <w:sz w:val="22"/>
          <w:szCs w:val="22"/>
        </w:rPr>
        <w:t>exenatide</w:t>
      </w:r>
      <w:proofErr w:type="spellEnd"/>
      <w:r w:rsidRPr="008F20DC">
        <w:rPr>
          <w:rFonts w:ascii="Arial" w:hAnsi="Arial"/>
          <w:sz w:val="22"/>
          <w:szCs w:val="22"/>
        </w:rPr>
        <w:t xml:space="preserve"> when used in dual therapy with metformin and when used in triple therapy with metformin and a sulfonylurea among patients with Type 2 diabetes.</w:t>
      </w:r>
      <w:r>
        <w:rPr>
          <w:rFonts w:ascii="Arial" w:hAnsi="Arial"/>
          <w:sz w:val="22"/>
          <w:szCs w:val="22"/>
        </w:rPr>
        <w:t xml:space="preserve"> </w:t>
      </w:r>
    </w:p>
    <w:p w:rsidR="006A12A5" w:rsidRPr="008F20DC" w:rsidRDefault="006A12A5" w:rsidP="008F20DC">
      <w:pPr>
        <w:pStyle w:val="ListParagraph"/>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Default="00BB7EC3" w:rsidP="00882085">
      <w:pPr>
        <w:pStyle w:val="Header"/>
        <w:tabs>
          <w:tab w:val="clear" w:pos="4153"/>
          <w:tab w:val="clear" w:pos="8306"/>
        </w:tabs>
        <w:jc w:val="both"/>
        <w:rPr>
          <w:rFonts w:ascii="Arial" w:hAnsi="Arial"/>
          <w:sz w:val="22"/>
          <w:szCs w:val="22"/>
        </w:rPr>
      </w:pPr>
    </w:p>
    <w:p w:rsidR="00131AAC" w:rsidRPr="00882085" w:rsidRDefault="00131AAC" w:rsidP="00882085">
      <w:pPr>
        <w:pStyle w:val="Header"/>
        <w:tabs>
          <w:tab w:val="clear" w:pos="4153"/>
          <w:tab w:val="clear" w:pos="8306"/>
        </w:tabs>
        <w:jc w:val="both"/>
        <w:rPr>
          <w:rFonts w:ascii="Arial" w:hAnsi="Arial"/>
          <w:sz w:val="22"/>
          <w:szCs w:val="22"/>
        </w:rPr>
      </w:pPr>
    </w:p>
    <w:p w:rsidR="005A3173" w:rsidRPr="00882085" w:rsidRDefault="005A3173" w:rsidP="00882085">
      <w:pPr>
        <w:pStyle w:val="Header"/>
        <w:numPr>
          <w:ilvl w:val="0"/>
          <w:numId w:val="25"/>
        </w:numPr>
        <w:tabs>
          <w:tab w:val="clear" w:pos="4153"/>
          <w:tab w:val="clear" w:pos="8306"/>
        </w:tabs>
        <w:jc w:val="both"/>
        <w:rPr>
          <w:rFonts w:ascii="Arial" w:hAnsi="Arial"/>
          <w:b/>
          <w:sz w:val="22"/>
          <w:szCs w:val="22"/>
        </w:rPr>
      </w:pPr>
      <w:r w:rsidRPr="00882085">
        <w:rPr>
          <w:rFonts w:ascii="Arial" w:hAnsi="Arial"/>
          <w:b/>
          <w:sz w:val="22"/>
          <w:szCs w:val="22"/>
        </w:rPr>
        <w:t>Comparator</w:t>
      </w:r>
    </w:p>
    <w:p w:rsidR="005A3173" w:rsidRPr="00882085" w:rsidRDefault="005A3173" w:rsidP="00882085">
      <w:pPr>
        <w:pStyle w:val="Header"/>
        <w:tabs>
          <w:tab w:val="clear" w:pos="4153"/>
          <w:tab w:val="clear" w:pos="8306"/>
        </w:tabs>
        <w:jc w:val="both"/>
        <w:rPr>
          <w:rFonts w:ascii="Arial" w:hAnsi="Arial"/>
          <w:b/>
          <w:sz w:val="22"/>
          <w:szCs w:val="22"/>
        </w:rPr>
      </w:pPr>
    </w:p>
    <w:p w:rsidR="00857A5D" w:rsidRDefault="008F20DC" w:rsidP="00857A5D">
      <w:pPr>
        <w:pStyle w:val="ListParagraph"/>
        <w:numPr>
          <w:ilvl w:val="1"/>
          <w:numId w:val="25"/>
        </w:numPr>
        <w:jc w:val="both"/>
        <w:rPr>
          <w:rFonts w:ascii="Arial" w:hAnsi="Arial"/>
          <w:sz w:val="22"/>
          <w:szCs w:val="22"/>
        </w:rPr>
      </w:pPr>
      <w:r>
        <w:rPr>
          <w:rFonts w:ascii="Arial" w:hAnsi="Arial"/>
          <w:sz w:val="22"/>
          <w:szCs w:val="22"/>
        </w:rPr>
        <w:t>The submission nominated</w:t>
      </w:r>
      <w:r w:rsidRPr="008F20DC">
        <w:rPr>
          <w:rFonts w:ascii="Arial" w:hAnsi="Arial" w:cs="Arial"/>
          <w:snapToGrid w:val="0"/>
          <w:sz w:val="22"/>
          <w:szCs w:val="20"/>
          <w:lang w:eastAsia="en-US"/>
        </w:rPr>
        <w:t xml:space="preserve"> </w:t>
      </w:r>
      <w:proofErr w:type="spellStart"/>
      <w:r>
        <w:rPr>
          <w:rFonts w:ascii="Arial" w:hAnsi="Arial"/>
          <w:sz w:val="22"/>
          <w:szCs w:val="22"/>
        </w:rPr>
        <w:t>e</w:t>
      </w:r>
      <w:r w:rsidRPr="008F20DC">
        <w:rPr>
          <w:rFonts w:ascii="Arial" w:hAnsi="Arial"/>
          <w:sz w:val="22"/>
          <w:szCs w:val="22"/>
        </w:rPr>
        <w:t>xenatide</w:t>
      </w:r>
      <w:proofErr w:type="spellEnd"/>
      <w:r w:rsidRPr="008F20DC">
        <w:rPr>
          <w:rFonts w:ascii="Arial" w:hAnsi="Arial"/>
          <w:sz w:val="22"/>
          <w:szCs w:val="22"/>
        </w:rPr>
        <w:t xml:space="preserve"> (twice daily). </w:t>
      </w:r>
      <w:r>
        <w:rPr>
          <w:rFonts w:ascii="Arial" w:hAnsi="Arial"/>
          <w:sz w:val="22"/>
          <w:szCs w:val="22"/>
        </w:rPr>
        <w:t>This wa</w:t>
      </w:r>
      <w:r w:rsidRPr="008F20DC">
        <w:rPr>
          <w:rFonts w:ascii="Arial" w:hAnsi="Arial"/>
          <w:sz w:val="22"/>
          <w:szCs w:val="22"/>
        </w:rPr>
        <w:t xml:space="preserve">s the appropriate comparator, given that positive PBAC recommendations for </w:t>
      </w:r>
      <w:proofErr w:type="spellStart"/>
      <w:r w:rsidRPr="008F20DC">
        <w:rPr>
          <w:rFonts w:ascii="Arial" w:hAnsi="Arial"/>
          <w:sz w:val="22"/>
          <w:szCs w:val="22"/>
        </w:rPr>
        <w:t>liraglutide</w:t>
      </w:r>
      <w:proofErr w:type="spellEnd"/>
      <w:r w:rsidRPr="008F20DC">
        <w:rPr>
          <w:rFonts w:ascii="Arial" w:hAnsi="Arial"/>
          <w:sz w:val="22"/>
          <w:szCs w:val="22"/>
        </w:rPr>
        <w:t xml:space="preserve"> and </w:t>
      </w:r>
      <w:proofErr w:type="spellStart"/>
      <w:r w:rsidRPr="008F20DC">
        <w:rPr>
          <w:rFonts w:ascii="Arial" w:hAnsi="Arial"/>
          <w:sz w:val="22"/>
          <w:szCs w:val="22"/>
        </w:rPr>
        <w:t>exenatide</w:t>
      </w:r>
      <w:proofErr w:type="spellEnd"/>
      <w:r w:rsidRPr="008F20DC">
        <w:rPr>
          <w:rFonts w:ascii="Arial" w:hAnsi="Arial"/>
          <w:sz w:val="22"/>
          <w:szCs w:val="22"/>
        </w:rPr>
        <w:t xml:space="preserve"> once weekly were not effective at the time of the </w:t>
      </w:r>
      <w:r>
        <w:rPr>
          <w:rFonts w:ascii="Arial" w:hAnsi="Arial"/>
          <w:sz w:val="22"/>
          <w:szCs w:val="22"/>
        </w:rPr>
        <w:t>PBAC’s consideration of the submission.</w:t>
      </w:r>
    </w:p>
    <w:p w:rsidR="008F20DC" w:rsidRPr="008F20DC" w:rsidRDefault="008F20DC" w:rsidP="008F20DC">
      <w:pPr>
        <w:pStyle w:val="ListParagraph"/>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DF26A7" w:rsidRDefault="00DF26A7" w:rsidP="008D447E">
      <w:pPr>
        <w:pStyle w:val="ListParagraph"/>
        <w:jc w:val="both"/>
        <w:rPr>
          <w:rFonts w:ascii="Arial" w:hAnsi="Arial"/>
          <w:sz w:val="22"/>
          <w:szCs w:val="22"/>
        </w:rPr>
      </w:pPr>
    </w:p>
    <w:p w:rsidR="00131AAC" w:rsidRPr="008D447E" w:rsidRDefault="00131AAC" w:rsidP="008D447E">
      <w:pPr>
        <w:pStyle w:val="ListParagraph"/>
        <w:jc w:val="both"/>
        <w:rPr>
          <w:rFonts w:ascii="Arial" w:hAnsi="Arial"/>
          <w:sz w:val="22"/>
          <w:szCs w:val="22"/>
        </w:rPr>
      </w:pPr>
    </w:p>
    <w:p w:rsidR="000B558D" w:rsidRPr="00882085" w:rsidRDefault="00254C55" w:rsidP="00534504">
      <w:pPr>
        <w:pStyle w:val="Header"/>
        <w:numPr>
          <w:ilvl w:val="0"/>
          <w:numId w:val="25"/>
        </w:numPr>
        <w:tabs>
          <w:tab w:val="clear" w:pos="4153"/>
          <w:tab w:val="clear" w:pos="8306"/>
        </w:tabs>
        <w:jc w:val="both"/>
        <w:rPr>
          <w:rFonts w:ascii="Arial" w:hAnsi="Arial"/>
          <w:b/>
          <w:sz w:val="22"/>
          <w:szCs w:val="22"/>
        </w:rPr>
      </w:pPr>
      <w:r>
        <w:rPr>
          <w:rFonts w:ascii="Arial" w:hAnsi="Arial"/>
          <w:b/>
          <w:sz w:val="22"/>
          <w:szCs w:val="22"/>
        </w:rPr>
        <w:t>C</w:t>
      </w:r>
      <w:r w:rsidR="000B558D" w:rsidRPr="00882085">
        <w:rPr>
          <w:rFonts w:ascii="Arial" w:hAnsi="Arial"/>
          <w:b/>
          <w:sz w:val="22"/>
          <w:szCs w:val="22"/>
        </w:rPr>
        <w:t>onsideration of the evidence</w:t>
      </w:r>
    </w:p>
    <w:p w:rsidR="006A12A5" w:rsidRDefault="006A12A5" w:rsidP="00882085">
      <w:pPr>
        <w:jc w:val="both"/>
        <w:rPr>
          <w:rFonts w:ascii="Arial" w:hAnsi="Arial"/>
          <w:b/>
          <w:sz w:val="22"/>
          <w:szCs w:val="22"/>
        </w:rPr>
      </w:pPr>
    </w:p>
    <w:p w:rsidR="00BB7EC3" w:rsidRPr="00BB7EC3" w:rsidRDefault="00BB7EC3" w:rsidP="00BB7EC3">
      <w:pPr>
        <w:jc w:val="both"/>
        <w:rPr>
          <w:rFonts w:ascii="Arial" w:hAnsi="Arial"/>
          <w:b/>
          <w:i/>
          <w:sz w:val="22"/>
          <w:szCs w:val="22"/>
        </w:rPr>
      </w:pPr>
      <w:r w:rsidRPr="00BB7EC3">
        <w:rPr>
          <w:rFonts w:ascii="Arial" w:hAnsi="Arial"/>
          <w:b/>
          <w:i/>
          <w:sz w:val="22"/>
          <w:szCs w:val="22"/>
        </w:rPr>
        <w:t>Sponsor hearing</w:t>
      </w:r>
    </w:p>
    <w:p w:rsidR="00BB7EC3" w:rsidRPr="00131AAC" w:rsidRDefault="00BB7EC3" w:rsidP="00131AAC">
      <w:pPr>
        <w:pStyle w:val="ListParagraph"/>
        <w:ind w:left="709"/>
        <w:jc w:val="both"/>
        <w:rPr>
          <w:rFonts w:ascii="Arial" w:hAnsi="Arial"/>
          <w:sz w:val="22"/>
          <w:szCs w:val="22"/>
        </w:rPr>
      </w:pPr>
    </w:p>
    <w:p w:rsidR="00556EC3" w:rsidRPr="00304684" w:rsidRDefault="00556EC3" w:rsidP="00556EC3">
      <w:pPr>
        <w:pStyle w:val="ListParagraph"/>
        <w:numPr>
          <w:ilvl w:val="1"/>
          <w:numId w:val="25"/>
        </w:numPr>
        <w:rPr>
          <w:rFonts w:ascii="Arial" w:hAnsi="Arial"/>
          <w:sz w:val="22"/>
          <w:szCs w:val="22"/>
        </w:rPr>
      </w:pPr>
      <w:r w:rsidRPr="00304684">
        <w:rPr>
          <w:rFonts w:ascii="Arial" w:hAnsi="Arial"/>
          <w:sz w:val="22"/>
          <w:szCs w:val="22"/>
        </w:rPr>
        <w:t>The</w:t>
      </w:r>
      <w:r w:rsidR="00F42378">
        <w:rPr>
          <w:rFonts w:ascii="Arial" w:hAnsi="Arial"/>
          <w:sz w:val="22"/>
          <w:szCs w:val="22"/>
        </w:rPr>
        <w:t>re was no</w:t>
      </w:r>
      <w:r w:rsidRPr="00304684">
        <w:rPr>
          <w:rFonts w:ascii="Arial" w:hAnsi="Arial"/>
          <w:sz w:val="22"/>
          <w:szCs w:val="22"/>
        </w:rPr>
        <w:t xml:space="preserve"> hearing for this item.</w:t>
      </w:r>
    </w:p>
    <w:p w:rsidR="00BB7EC3" w:rsidRDefault="00BB7EC3" w:rsidP="00BB7EC3">
      <w:pPr>
        <w:pStyle w:val="ListParagraph"/>
        <w:ind w:left="709"/>
        <w:jc w:val="both"/>
        <w:rPr>
          <w:rFonts w:ascii="Arial" w:hAnsi="Arial"/>
          <w:sz w:val="22"/>
          <w:szCs w:val="22"/>
        </w:rPr>
      </w:pPr>
    </w:p>
    <w:p w:rsidR="00BB7EC3" w:rsidRPr="00BB7EC3" w:rsidRDefault="00BB7EC3" w:rsidP="00BB7EC3">
      <w:pPr>
        <w:jc w:val="both"/>
        <w:rPr>
          <w:rFonts w:ascii="Arial" w:hAnsi="Arial"/>
          <w:b/>
          <w:i/>
          <w:sz w:val="22"/>
          <w:szCs w:val="22"/>
        </w:rPr>
      </w:pPr>
      <w:r w:rsidRPr="00BB7EC3">
        <w:rPr>
          <w:rFonts w:ascii="Arial" w:hAnsi="Arial"/>
          <w:b/>
          <w:i/>
          <w:sz w:val="22"/>
          <w:szCs w:val="22"/>
        </w:rPr>
        <w:t>Consumer comments</w:t>
      </w:r>
    </w:p>
    <w:p w:rsidR="00BB7EC3" w:rsidRDefault="00BB7EC3" w:rsidP="00BB7EC3">
      <w:pPr>
        <w:pStyle w:val="ListParagraph"/>
        <w:ind w:left="709"/>
        <w:jc w:val="both"/>
        <w:rPr>
          <w:rFonts w:ascii="Arial" w:hAnsi="Arial"/>
          <w:sz w:val="22"/>
          <w:szCs w:val="22"/>
        </w:rPr>
      </w:pPr>
    </w:p>
    <w:p w:rsidR="002B1AE6" w:rsidRPr="00A143FA" w:rsidRDefault="00BB7EC3" w:rsidP="00882085">
      <w:pPr>
        <w:pStyle w:val="ListParagraph"/>
        <w:numPr>
          <w:ilvl w:val="1"/>
          <w:numId w:val="25"/>
        </w:numPr>
        <w:jc w:val="both"/>
        <w:rPr>
          <w:rFonts w:ascii="Arial" w:hAnsi="Arial"/>
          <w:sz w:val="22"/>
          <w:szCs w:val="22"/>
        </w:rPr>
      </w:pPr>
      <w:r w:rsidRPr="00A143FA">
        <w:rPr>
          <w:rFonts w:ascii="Arial" w:hAnsi="Arial"/>
          <w:sz w:val="22"/>
          <w:szCs w:val="22"/>
        </w:rPr>
        <w:t xml:space="preserve">The PBAC noted and welcomed the input from </w:t>
      </w:r>
      <w:r w:rsidR="00A143FA" w:rsidRPr="00A143FA">
        <w:rPr>
          <w:rFonts w:ascii="Arial" w:hAnsi="Arial"/>
          <w:sz w:val="22"/>
          <w:szCs w:val="22"/>
        </w:rPr>
        <w:t>health care professionals (2</w:t>
      </w:r>
      <w:r w:rsidRPr="00A143FA">
        <w:rPr>
          <w:rFonts w:ascii="Arial" w:hAnsi="Arial"/>
          <w:sz w:val="22"/>
          <w:szCs w:val="22"/>
        </w:rPr>
        <w:t xml:space="preserve">) </w:t>
      </w:r>
      <w:r w:rsidR="00A143FA" w:rsidRPr="00A143FA">
        <w:rPr>
          <w:rFonts w:ascii="Arial" w:hAnsi="Arial"/>
          <w:sz w:val="22"/>
          <w:szCs w:val="22"/>
        </w:rPr>
        <w:t xml:space="preserve">via </w:t>
      </w:r>
      <w:r w:rsidRPr="00A143FA">
        <w:rPr>
          <w:rFonts w:ascii="Arial" w:hAnsi="Arial"/>
          <w:sz w:val="22"/>
          <w:szCs w:val="22"/>
        </w:rPr>
        <w:t xml:space="preserve">the Consumer Comments facility on the PBS website.  The comments described a </w:t>
      </w:r>
      <w:r w:rsidR="00A143FA" w:rsidRPr="00A143FA">
        <w:rPr>
          <w:rFonts w:ascii="Arial" w:hAnsi="Arial"/>
          <w:sz w:val="22"/>
          <w:szCs w:val="22"/>
        </w:rPr>
        <w:t>benefit</w:t>
      </w:r>
      <w:r w:rsidRPr="00A143FA">
        <w:rPr>
          <w:rFonts w:ascii="Arial" w:hAnsi="Arial"/>
          <w:sz w:val="22"/>
          <w:szCs w:val="22"/>
        </w:rPr>
        <w:t xml:space="preserve"> of treatment with </w:t>
      </w:r>
      <w:proofErr w:type="spellStart"/>
      <w:r w:rsidR="00A143FA" w:rsidRPr="00A143FA">
        <w:rPr>
          <w:rFonts w:ascii="Arial" w:hAnsi="Arial"/>
          <w:sz w:val="22"/>
          <w:szCs w:val="22"/>
        </w:rPr>
        <w:t>lixisenatide</w:t>
      </w:r>
      <w:proofErr w:type="spellEnd"/>
      <w:r w:rsidRPr="00A143FA">
        <w:rPr>
          <w:rFonts w:ascii="Arial" w:hAnsi="Arial"/>
          <w:sz w:val="22"/>
          <w:szCs w:val="22"/>
        </w:rPr>
        <w:t xml:space="preserve"> </w:t>
      </w:r>
      <w:r w:rsidR="00A143FA" w:rsidRPr="00A143FA">
        <w:rPr>
          <w:rFonts w:ascii="Arial" w:hAnsi="Arial"/>
          <w:sz w:val="22"/>
          <w:szCs w:val="22"/>
        </w:rPr>
        <w:t>as allowing a</w:t>
      </w:r>
      <w:r w:rsidRPr="00A143FA">
        <w:rPr>
          <w:rFonts w:ascii="Arial" w:hAnsi="Arial"/>
          <w:sz w:val="22"/>
          <w:szCs w:val="22"/>
        </w:rPr>
        <w:t xml:space="preserve"> </w:t>
      </w:r>
      <w:r w:rsidR="00A143FA" w:rsidRPr="00A143FA">
        <w:rPr>
          <w:rFonts w:ascii="Arial" w:hAnsi="Arial"/>
          <w:sz w:val="22"/>
          <w:szCs w:val="22"/>
        </w:rPr>
        <w:t>smaller insulin dose to be administered which in turn leads to the potential for less hypoglycaemia and less weight gain to be experienced by a patient.</w:t>
      </w:r>
    </w:p>
    <w:p w:rsidR="00556EC3" w:rsidRDefault="00556EC3" w:rsidP="00BB7EC3">
      <w:pPr>
        <w:pStyle w:val="ListParagraph"/>
        <w:ind w:left="709"/>
        <w:jc w:val="both"/>
        <w:rPr>
          <w:rFonts w:ascii="Arial" w:hAnsi="Arial"/>
          <w:i/>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2B1AE6" w:rsidRPr="00882085" w:rsidRDefault="002B1AE6" w:rsidP="00882085">
      <w:pPr>
        <w:jc w:val="both"/>
        <w:rPr>
          <w:rFonts w:ascii="Arial" w:hAnsi="Arial"/>
          <w:sz w:val="22"/>
          <w:szCs w:val="22"/>
        </w:rPr>
      </w:pPr>
    </w:p>
    <w:p w:rsidR="0024179B" w:rsidRPr="00882085" w:rsidRDefault="0024179B" w:rsidP="0024179B">
      <w:pPr>
        <w:jc w:val="both"/>
        <w:rPr>
          <w:rFonts w:ascii="Arial" w:hAnsi="Arial"/>
          <w:b/>
          <w:i/>
          <w:sz w:val="22"/>
          <w:szCs w:val="22"/>
        </w:rPr>
      </w:pPr>
      <w:r w:rsidRPr="00882085">
        <w:rPr>
          <w:rFonts w:ascii="Arial" w:hAnsi="Arial"/>
          <w:b/>
          <w:i/>
          <w:sz w:val="22"/>
          <w:szCs w:val="22"/>
        </w:rPr>
        <w:t>Clinical trials</w:t>
      </w:r>
    </w:p>
    <w:p w:rsidR="0024179B" w:rsidRPr="00882085" w:rsidRDefault="0024179B" w:rsidP="0024179B">
      <w:pPr>
        <w:jc w:val="both"/>
        <w:rPr>
          <w:rFonts w:ascii="Arial" w:hAnsi="Arial"/>
          <w:sz w:val="22"/>
          <w:szCs w:val="22"/>
        </w:rPr>
      </w:pPr>
    </w:p>
    <w:p w:rsidR="008C190A" w:rsidRPr="008C190A" w:rsidRDefault="008C190A" w:rsidP="008C190A">
      <w:pPr>
        <w:pStyle w:val="ListParagraph"/>
        <w:numPr>
          <w:ilvl w:val="1"/>
          <w:numId w:val="25"/>
        </w:numPr>
        <w:jc w:val="both"/>
        <w:rPr>
          <w:rFonts w:ascii="Arial" w:hAnsi="Arial"/>
          <w:sz w:val="22"/>
          <w:szCs w:val="22"/>
        </w:rPr>
      </w:pPr>
      <w:r>
        <w:rPr>
          <w:rFonts w:ascii="Arial" w:hAnsi="Arial"/>
          <w:sz w:val="22"/>
          <w:szCs w:val="22"/>
        </w:rPr>
        <w:t>The submission wa</w:t>
      </w:r>
      <w:r w:rsidRPr="008C190A">
        <w:rPr>
          <w:rFonts w:ascii="Arial" w:hAnsi="Arial"/>
          <w:sz w:val="22"/>
          <w:szCs w:val="22"/>
        </w:rPr>
        <w:t xml:space="preserve">s based on direct and indirect comparisons: </w:t>
      </w:r>
    </w:p>
    <w:p w:rsidR="008C190A" w:rsidRPr="008C190A" w:rsidRDefault="008C190A" w:rsidP="008C190A">
      <w:pPr>
        <w:pStyle w:val="ListParagraph"/>
        <w:numPr>
          <w:ilvl w:val="0"/>
          <w:numId w:val="40"/>
        </w:numPr>
        <w:ind w:left="993" w:hanging="284"/>
        <w:jc w:val="both"/>
        <w:rPr>
          <w:rFonts w:ascii="Arial" w:hAnsi="Arial"/>
          <w:sz w:val="22"/>
          <w:szCs w:val="22"/>
        </w:rPr>
      </w:pPr>
      <w:r w:rsidRPr="008C190A">
        <w:rPr>
          <w:rFonts w:ascii="Arial" w:hAnsi="Arial"/>
          <w:sz w:val="22"/>
          <w:szCs w:val="22"/>
          <w:u w:val="single"/>
        </w:rPr>
        <w:t>Dual therapy:</w:t>
      </w:r>
      <w:r w:rsidRPr="008C190A">
        <w:rPr>
          <w:rFonts w:ascii="Arial" w:hAnsi="Arial"/>
          <w:sz w:val="22"/>
          <w:szCs w:val="22"/>
        </w:rPr>
        <w:t xml:space="preserve"> One head-to-head randomised trial comparing </w:t>
      </w:r>
      <w:proofErr w:type="spellStart"/>
      <w:r w:rsidRPr="008C190A">
        <w:rPr>
          <w:rFonts w:ascii="Arial" w:hAnsi="Arial"/>
          <w:sz w:val="22"/>
          <w:szCs w:val="22"/>
        </w:rPr>
        <w:t>lixisenatide</w:t>
      </w:r>
      <w:proofErr w:type="spellEnd"/>
      <w:r w:rsidRPr="008C190A">
        <w:rPr>
          <w:rFonts w:ascii="Arial" w:hAnsi="Arial"/>
          <w:sz w:val="22"/>
          <w:szCs w:val="22"/>
        </w:rPr>
        <w:t xml:space="preserve"> to </w:t>
      </w:r>
      <w:proofErr w:type="spellStart"/>
      <w:r w:rsidRPr="008C190A">
        <w:rPr>
          <w:rFonts w:ascii="Arial" w:hAnsi="Arial"/>
          <w:sz w:val="22"/>
          <w:szCs w:val="22"/>
        </w:rPr>
        <w:t>exenatide</w:t>
      </w:r>
      <w:proofErr w:type="spellEnd"/>
      <w:r w:rsidRPr="008C190A">
        <w:rPr>
          <w:rFonts w:ascii="Arial" w:hAnsi="Arial"/>
          <w:sz w:val="22"/>
          <w:szCs w:val="22"/>
        </w:rPr>
        <w:t>, in combination with metformin (</w:t>
      </w:r>
      <w:proofErr w:type="spellStart"/>
      <w:r w:rsidRPr="008C190A">
        <w:rPr>
          <w:rFonts w:ascii="Arial" w:hAnsi="Arial"/>
          <w:sz w:val="22"/>
          <w:szCs w:val="22"/>
        </w:rPr>
        <w:t>GetGoal</w:t>
      </w:r>
      <w:proofErr w:type="spellEnd"/>
      <w:r w:rsidRPr="008C190A">
        <w:rPr>
          <w:rFonts w:ascii="Arial" w:hAnsi="Arial"/>
          <w:sz w:val="22"/>
          <w:szCs w:val="22"/>
        </w:rPr>
        <w:t>-X); and</w:t>
      </w:r>
    </w:p>
    <w:p w:rsidR="008C190A" w:rsidRPr="008C190A" w:rsidRDefault="008C190A" w:rsidP="008C190A">
      <w:pPr>
        <w:pStyle w:val="ListParagraph"/>
        <w:numPr>
          <w:ilvl w:val="0"/>
          <w:numId w:val="40"/>
        </w:numPr>
        <w:ind w:left="993" w:hanging="284"/>
        <w:jc w:val="both"/>
        <w:rPr>
          <w:rFonts w:ascii="Arial" w:hAnsi="Arial"/>
          <w:sz w:val="22"/>
          <w:szCs w:val="22"/>
        </w:rPr>
      </w:pPr>
      <w:r w:rsidRPr="008C190A">
        <w:rPr>
          <w:rFonts w:ascii="Arial" w:hAnsi="Arial"/>
          <w:sz w:val="22"/>
          <w:szCs w:val="22"/>
          <w:u w:val="single"/>
        </w:rPr>
        <w:t>Triple therapy:</w:t>
      </w:r>
      <w:r w:rsidRPr="008C190A">
        <w:rPr>
          <w:rFonts w:ascii="Arial" w:hAnsi="Arial"/>
          <w:sz w:val="22"/>
          <w:szCs w:val="22"/>
        </w:rPr>
        <w:t xml:space="preserve"> Indirect comparisons of </w:t>
      </w:r>
      <w:proofErr w:type="spellStart"/>
      <w:r w:rsidRPr="008C190A">
        <w:rPr>
          <w:rFonts w:ascii="Arial" w:hAnsi="Arial"/>
          <w:sz w:val="22"/>
          <w:szCs w:val="22"/>
        </w:rPr>
        <w:t>lixisenatide</w:t>
      </w:r>
      <w:proofErr w:type="spellEnd"/>
      <w:r w:rsidRPr="008C190A">
        <w:rPr>
          <w:rFonts w:ascii="Arial" w:hAnsi="Arial"/>
          <w:sz w:val="22"/>
          <w:szCs w:val="22"/>
        </w:rPr>
        <w:t xml:space="preserve"> (subgroup from </w:t>
      </w:r>
      <w:proofErr w:type="spellStart"/>
      <w:r w:rsidRPr="008C190A">
        <w:rPr>
          <w:rFonts w:ascii="Arial" w:hAnsi="Arial"/>
          <w:sz w:val="22"/>
          <w:szCs w:val="22"/>
        </w:rPr>
        <w:t>GetGoal</w:t>
      </w:r>
      <w:proofErr w:type="spellEnd"/>
      <w:r w:rsidRPr="008C190A">
        <w:rPr>
          <w:rFonts w:ascii="Arial" w:hAnsi="Arial"/>
          <w:sz w:val="22"/>
          <w:szCs w:val="22"/>
        </w:rPr>
        <w:t xml:space="preserve">-S) versus </w:t>
      </w:r>
      <w:proofErr w:type="spellStart"/>
      <w:r w:rsidRPr="008C190A">
        <w:rPr>
          <w:rFonts w:ascii="Arial" w:hAnsi="Arial"/>
          <w:sz w:val="22"/>
          <w:szCs w:val="22"/>
        </w:rPr>
        <w:t>exenatide</w:t>
      </w:r>
      <w:proofErr w:type="spellEnd"/>
      <w:r w:rsidRPr="008C190A">
        <w:rPr>
          <w:rFonts w:ascii="Arial" w:hAnsi="Arial"/>
          <w:sz w:val="22"/>
          <w:szCs w:val="22"/>
        </w:rPr>
        <w:t xml:space="preserve"> (Kendall 2005; </w:t>
      </w:r>
      <w:proofErr w:type="spellStart"/>
      <w:r w:rsidRPr="008C190A">
        <w:rPr>
          <w:rFonts w:ascii="Arial" w:hAnsi="Arial"/>
          <w:sz w:val="22"/>
          <w:szCs w:val="22"/>
        </w:rPr>
        <w:t>exenatide</w:t>
      </w:r>
      <w:proofErr w:type="spellEnd"/>
      <w:r w:rsidRPr="008C190A">
        <w:rPr>
          <w:rFonts w:ascii="Arial" w:hAnsi="Arial"/>
          <w:sz w:val="22"/>
          <w:szCs w:val="22"/>
        </w:rPr>
        <w:t xml:space="preserve"> 5 mcg twice daily and 10 mcg twice daily) using placebo as the common reference, in combination with metformin and a sulfonylurea.</w:t>
      </w:r>
      <w:r>
        <w:rPr>
          <w:rFonts w:ascii="Arial" w:hAnsi="Arial"/>
          <w:sz w:val="22"/>
          <w:szCs w:val="22"/>
        </w:rPr>
        <w:t xml:space="preserve"> </w:t>
      </w:r>
    </w:p>
    <w:p w:rsidR="0024179B" w:rsidRPr="00073825" w:rsidRDefault="0024179B" w:rsidP="008C190A">
      <w:pPr>
        <w:pStyle w:val="ListParagraph"/>
        <w:jc w:val="both"/>
        <w:rPr>
          <w:rFonts w:ascii="Arial" w:hAnsi="Arial"/>
          <w:sz w:val="22"/>
          <w:szCs w:val="22"/>
        </w:rPr>
      </w:pPr>
    </w:p>
    <w:p w:rsidR="0024179B" w:rsidRDefault="0024179B" w:rsidP="0024179B">
      <w:pPr>
        <w:pStyle w:val="ListParagraph"/>
        <w:numPr>
          <w:ilvl w:val="1"/>
          <w:numId w:val="25"/>
        </w:numPr>
        <w:jc w:val="both"/>
        <w:rPr>
          <w:rFonts w:ascii="Arial" w:hAnsi="Arial"/>
          <w:sz w:val="22"/>
          <w:szCs w:val="22"/>
        </w:rPr>
      </w:pPr>
      <w:r w:rsidRPr="00073825">
        <w:rPr>
          <w:rFonts w:ascii="Arial" w:hAnsi="Arial"/>
          <w:sz w:val="22"/>
          <w:szCs w:val="22"/>
        </w:rPr>
        <w:t xml:space="preserve">An additional </w:t>
      </w:r>
      <w:proofErr w:type="spellStart"/>
      <w:r w:rsidRPr="00073825">
        <w:rPr>
          <w:rFonts w:ascii="Arial" w:hAnsi="Arial"/>
          <w:sz w:val="22"/>
          <w:szCs w:val="22"/>
        </w:rPr>
        <w:t>lixisenatide</w:t>
      </w:r>
      <w:proofErr w:type="spellEnd"/>
      <w:r w:rsidRPr="00073825">
        <w:rPr>
          <w:rFonts w:ascii="Arial" w:hAnsi="Arial"/>
          <w:sz w:val="22"/>
          <w:szCs w:val="22"/>
        </w:rPr>
        <w:t xml:space="preserve"> trial (in combination with metformin and/or a sulfonylurea), </w:t>
      </w:r>
      <w:proofErr w:type="spellStart"/>
      <w:r w:rsidRPr="00073825">
        <w:rPr>
          <w:rFonts w:ascii="Arial" w:hAnsi="Arial"/>
          <w:sz w:val="22"/>
          <w:szCs w:val="22"/>
        </w:rPr>
        <w:t>GetGoal</w:t>
      </w:r>
      <w:proofErr w:type="spellEnd"/>
      <w:r w:rsidRPr="00073825">
        <w:rPr>
          <w:rFonts w:ascii="Arial" w:hAnsi="Arial"/>
          <w:sz w:val="22"/>
          <w:szCs w:val="22"/>
        </w:rPr>
        <w:t>-M-Asia, was excluded from the main analysis for triple therapy on the basis that the trial is not directly representative of the proposed PBS population (Asian population only). T</w:t>
      </w:r>
      <w:r w:rsidR="008C190A">
        <w:rPr>
          <w:rFonts w:ascii="Arial" w:hAnsi="Arial"/>
          <w:sz w:val="22"/>
          <w:szCs w:val="22"/>
        </w:rPr>
        <w:t>his approach wa</w:t>
      </w:r>
      <w:r w:rsidRPr="00073825">
        <w:rPr>
          <w:rFonts w:ascii="Arial" w:hAnsi="Arial"/>
          <w:sz w:val="22"/>
          <w:szCs w:val="22"/>
        </w:rPr>
        <w:t xml:space="preserve">s inconsistent with the inclusion of </w:t>
      </w:r>
      <w:proofErr w:type="spellStart"/>
      <w:r w:rsidRPr="00073825">
        <w:rPr>
          <w:rFonts w:ascii="Arial" w:hAnsi="Arial"/>
          <w:sz w:val="22"/>
          <w:szCs w:val="22"/>
        </w:rPr>
        <w:t>GetGoal</w:t>
      </w:r>
      <w:proofErr w:type="spellEnd"/>
      <w:r w:rsidRPr="00073825">
        <w:rPr>
          <w:rFonts w:ascii="Arial" w:hAnsi="Arial"/>
          <w:sz w:val="22"/>
          <w:szCs w:val="22"/>
        </w:rPr>
        <w:t xml:space="preserve">-L-Asia (Asian population only) in the main analyses of the concurrent </w:t>
      </w:r>
      <w:proofErr w:type="spellStart"/>
      <w:r w:rsidRPr="00073825">
        <w:rPr>
          <w:rFonts w:ascii="Arial" w:hAnsi="Arial"/>
          <w:sz w:val="22"/>
          <w:szCs w:val="22"/>
        </w:rPr>
        <w:t>lixisenatide</w:t>
      </w:r>
      <w:proofErr w:type="spellEnd"/>
      <w:r w:rsidRPr="00073825">
        <w:rPr>
          <w:rFonts w:ascii="Arial" w:hAnsi="Arial"/>
          <w:sz w:val="22"/>
          <w:szCs w:val="22"/>
        </w:rPr>
        <w:t xml:space="preserve"> submission for use in combination with insulin.</w:t>
      </w:r>
    </w:p>
    <w:p w:rsidR="0024179B" w:rsidRPr="00073825" w:rsidRDefault="0024179B" w:rsidP="0024179B">
      <w:pPr>
        <w:pStyle w:val="ListParagraph"/>
        <w:jc w:val="both"/>
        <w:rPr>
          <w:rFonts w:ascii="Arial" w:hAnsi="Arial"/>
          <w:sz w:val="22"/>
          <w:szCs w:val="22"/>
        </w:rPr>
      </w:pPr>
    </w:p>
    <w:p w:rsidR="0024179B" w:rsidRDefault="0024179B" w:rsidP="0024179B">
      <w:pPr>
        <w:pStyle w:val="ListParagraph"/>
        <w:numPr>
          <w:ilvl w:val="1"/>
          <w:numId w:val="25"/>
        </w:numPr>
        <w:jc w:val="both"/>
        <w:rPr>
          <w:rFonts w:ascii="Arial" w:hAnsi="Arial"/>
          <w:sz w:val="22"/>
          <w:szCs w:val="22"/>
        </w:rPr>
      </w:pPr>
      <w:r>
        <w:rPr>
          <w:rFonts w:ascii="Arial" w:hAnsi="Arial"/>
          <w:sz w:val="22"/>
          <w:szCs w:val="22"/>
        </w:rPr>
        <w:t>A summary description of the published trials presented in the submission is shown in the table below.</w:t>
      </w:r>
    </w:p>
    <w:p w:rsidR="00131AAC" w:rsidRPr="00131AAC" w:rsidRDefault="00131AAC" w:rsidP="00131AAC">
      <w:pPr>
        <w:pStyle w:val="ListParagraph"/>
        <w:rPr>
          <w:rFonts w:ascii="Arial" w:hAnsi="Arial"/>
          <w:sz w:val="22"/>
          <w:szCs w:val="22"/>
        </w:rPr>
      </w:pP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Description of the published trials presented in the submission"/>
      </w:tblPr>
      <w:tblGrid>
        <w:gridCol w:w="1419"/>
        <w:gridCol w:w="5242"/>
        <w:gridCol w:w="1684"/>
      </w:tblGrid>
      <w:tr w:rsidR="0024179B" w:rsidRPr="00D7615D" w:rsidTr="00436559">
        <w:trPr>
          <w:trHeight w:val="144"/>
          <w:tblHeader/>
        </w:trPr>
        <w:tc>
          <w:tcPr>
            <w:tcW w:w="850" w:type="pct"/>
          </w:tcPr>
          <w:p w:rsidR="0024179B" w:rsidRPr="00D7615D" w:rsidRDefault="0024179B" w:rsidP="008C190A">
            <w:pPr>
              <w:pStyle w:val="COMtbl-HEADLeftAligned"/>
            </w:pPr>
            <w:r w:rsidRPr="00D7615D">
              <w:t>Trial ID</w:t>
            </w:r>
            <w:r w:rsidR="008C190A">
              <w:t>/First Author</w:t>
            </w:r>
          </w:p>
        </w:tc>
        <w:tc>
          <w:tcPr>
            <w:tcW w:w="3141" w:type="pct"/>
          </w:tcPr>
          <w:p w:rsidR="0024179B" w:rsidRPr="00D7615D" w:rsidRDefault="0024179B" w:rsidP="008C190A">
            <w:pPr>
              <w:pStyle w:val="COMtbl-HEADCentred"/>
            </w:pPr>
            <w:r w:rsidRPr="00D7615D">
              <w:t>Protocol title/ Publication title</w:t>
            </w:r>
          </w:p>
        </w:tc>
        <w:tc>
          <w:tcPr>
            <w:tcW w:w="1009" w:type="pct"/>
          </w:tcPr>
          <w:p w:rsidR="0024179B" w:rsidRPr="00D7615D" w:rsidRDefault="0024179B" w:rsidP="008C190A">
            <w:pPr>
              <w:pStyle w:val="COMtbl-HEADCentred"/>
            </w:pPr>
            <w:r w:rsidRPr="00D7615D">
              <w:t>Publication citation</w:t>
            </w:r>
          </w:p>
        </w:tc>
      </w:tr>
      <w:tr w:rsidR="0024179B" w:rsidRPr="00D7615D" w:rsidTr="00436559">
        <w:trPr>
          <w:trHeight w:val="144"/>
        </w:trPr>
        <w:tc>
          <w:tcPr>
            <w:tcW w:w="5000" w:type="pct"/>
            <w:gridSpan w:val="3"/>
            <w:tcBorders>
              <w:bottom w:val="single" w:sz="4" w:space="0" w:color="auto"/>
            </w:tcBorders>
          </w:tcPr>
          <w:p w:rsidR="0024179B" w:rsidRPr="00D7615D" w:rsidRDefault="0024179B" w:rsidP="008C190A">
            <w:pPr>
              <w:pStyle w:val="COMtbl-HEADLeftAligned"/>
            </w:pPr>
            <w:proofErr w:type="spellStart"/>
            <w:r w:rsidRPr="00D7615D">
              <w:lastRenderedPageBreak/>
              <w:t>Lixisenatide</w:t>
            </w:r>
            <w:proofErr w:type="spellEnd"/>
            <w:r w:rsidRPr="00D7615D">
              <w:t xml:space="preserve"> vs </w:t>
            </w:r>
            <w:proofErr w:type="spellStart"/>
            <w:r w:rsidRPr="00D7615D">
              <w:t>exenatide</w:t>
            </w:r>
            <w:proofErr w:type="spellEnd"/>
            <w:r w:rsidRPr="00D7615D">
              <w:t xml:space="preserve"> (dual therapy with metformin)</w:t>
            </w:r>
          </w:p>
        </w:tc>
      </w:tr>
      <w:tr w:rsidR="0024179B" w:rsidRPr="00D7615D" w:rsidTr="00436559">
        <w:trPr>
          <w:trHeight w:val="144"/>
        </w:trPr>
        <w:tc>
          <w:tcPr>
            <w:tcW w:w="850" w:type="pct"/>
            <w:tcBorders>
              <w:bottom w:val="nil"/>
            </w:tcBorders>
          </w:tcPr>
          <w:p w:rsidR="0024179B" w:rsidRPr="00D7615D" w:rsidRDefault="0024179B" w:rsidP="008C190A">
            <w:pPr>
              <w:pStyle w:val="COMtbl-textLeftAligned"/>
            </w:pPr>
            <w:proofErr w:type="spellStart"/>
            <w:r w:rsidRPr="00D7615D">
              <w:t>GetGoal</w:t>
            </w:r>
            <w:proofErr w:type="spellEnd"/>
            <w:r w:rsidRPr="00D7615D">
              <w:t>-X</w:t>
            </w:r>
          </w:p>
        </w:tc>
        <w:tc>
          <w:tcPr>
            <w:tcW w:w="3141" w:type="pct"/>
            <w:tcBorders>
              <w:bottom w:val="nil"/>
            </w:tcBorders>
          </w:tcPr>
          <w:p w:rsidR="0024179B" w:rsidRPr="00D7615D" w:rsidRDefault="0024179B" w:rsidP="008C190A">
            <w:pPr>
              <w:pStyle w:val="COMtbl-textLeftAligned"/>
            </w:pPr>
            <w:r w:rsidRPr="00D7615D">
              <w:t xml:space="preserve">A randomized, open-label, active-controlled, 2-arm parallel-group, </w:t>
            </w:r>
            <w:proofErr w:type="spellStart"/>
            <w:r w:rsidRPr="00D7615D">
              <w:t>multicenter</w:t>
            </w:r>
            <w:proofErr w:type="spellEnd"/>
            <w:r w:rsidRPr="00D7615D">
              <w:t xml:space="preserve"> 24-week study followed by an extension assessing the efficacy and safety of AVE0010 versus </w:t>
            </w:r>
            <w:proofErr w:type="spellStart"/>
            <w:r w:rsidRPr="00D7615D">
              <w:t>exenatide</w:t>
            </w:r>
            <w:proofErr w:type="spellEnd"/>
            <w:r w:rsidRPr="00D7615D">
              <w:t xml:space="preserve"> on top of metformin in patients with type 2 diabetes not adequately controlled with metformin (EFC6019)</w:t>
            </w:r>
          </w:p>
          <w:p w:rsidR="0024179B" w:rsidRPr="00D7615D" w:rsidRDefault="0024179B" w:rsidP="00436559">
            <w:pPr>
              <w:pStyle w:val="COMtbl-textLeftAligned"/>
              <w:rPr>
                <w:b/>
              </w:rPr>
            </w:pPr>
          </w:p>
        </w:tc>
        <w:tc>
          <w:tcPr>
            <w:tcW w:w="1009" w:type="pct"/>
            <w:tcBorders>
              <w:bottom w:val="nil"/>
            </w:tcBorders>
          </w:tcPr>
          <w:p w:rsidR="0024179B" w:rsidRPr="00D7615D" w:rsidRDefault="0024179B" w:rsidP="008C190A">
            <w:pPr>
              <w:rPr>
                <w:rFonts w:ascii="Arial Narrow" w:hAnsi="Arial Narrow"/>
                <w:iCs/>
                <w:sz w:val="20"/>
              </w:rPr>
            </w:pPr>
            <w:r w:rsidRPr="00D7615D">
              <w:rPr>
                <w:rFonts w:ascii="Arial Narrow" w:hAnsi="Arial Narrow"/>
                <w:iCs/>
                <w:sz w:val="20"/>
              </w:rPr>
              <w:t xml:space="preserve">18 August 2011 </w:t>
            </w:r>
          </w:p>
          <w:p w:rsidR="0024179B" w:rsidRPr="00D7615D" w:rsidRDefault="0024179B" w:rsidP="008C190A">
            <w:pPr>
              <w:rPr>
                <w:rFonts w:ascii="Arial Narrow" w:hAnsi="Arial Narrow"/>
                <w:iCs/>
                <w:sz w:val="20"/>
              </w:rPr>
            </w:pPr>
          </w:p>
          <w:p w:rsidR="0024179B" w:rsidRPr="00D7615D" w:rsidRDefault="0024179B" w:rsidP="008C190A">
            <w:pPr>
              <w:rPr>
                <w:rFonts w:ascii="Arial Narrow" w:hAnsi="Arial Narrow"/>
                <w:sz w:val="20"/>
              </w:rPr>
            </w:pPr>
          </w:p>
          <w:p w:rsidR="0024179B" w:rsidRPr="00D7615D" w:rsidRDefault="0024179B" w:rsidP="008C190A">
            <w:pPr>
              <w:rPr>
                <w:rFonts w:ascii="Arial Narrow" w:hAnsi="Arial Narrow"/>
                <w:sz w:val="20"/>
              </w:rPr>
            </w:pPr>
          </w:p>
          <w:p w:rsidR="0024179B" w:rsidRPr="00D7615D" w:rsidRDefault="0024179B" w:rsidP="008C190A">
            <w:pPr>
              <w:rPr>
                <w:rFonts w:ascii="Arial Narrow" w:hAnsi="Arial Narrow"/>
                <w:b/>
                <w:sz w:val="20"/>
              </w:rPr>
            </w:pPr>
          </w:p>
        </w:tc>
      </w:tr>
      <w:tr w:rsidR="00436559" w:rsidRPr="00D7615D" w:rsidTr="00436559">
        <w:trPr>
          <w:trHeight w:val="144"/>
        </w:trPr>
        <w:tc>
          <w:tcPr>
            <w:tcW w:w="850" w:type="pct"/>
            <w:tcBorders>
              <w:top w:val="nil"/>
            </w:tcBorders>
          </w:tcPr>
          <w:p w:rsidR="00436559" w:rsidRPr="00D7615D" w:rsidRDefault="00436559" w:rsidP="008C190A">
            <w:pPr>
              <w:pStyle w:val="COMtbl-textLeftAligned"/>
            </w:pPr>
            <w:proofErr w:type="spellStart"/>
            <w:r w:rsidRPr="00D7615D">
              <w:t>Rosenstock</w:t>
            </w:r>
            <w:proofErr w:type="spellEnd"/>
          </w:p>
        </w:tc>
        <w:tc>
          <w:tcPr>
            <w:tcW w:w="3141" w:type="pct"/>
            <w:tcBorders>
              <w:top w:val="nil"/>
            </w:tcBorders>
          </w:tcPr>
          <w:p w:rsidR="00436559" w:rsidRPr="00D7615D" w:rsidRDefault="00436559" w:rsidP="008C190A">
            <w:pPr>
              <w:pStyle w:val="COMtbl-textLeftAligned"/>
            </w:pPr>
            <w:r w:rsidRPr="00D7615D">
              <w:t xml:space="preserve">Efficacy and safety of </w:t>
            </w:r>
            <w:proofErr w:type="spellStart"/>
            <w:r w:rsidRPr="00D7615D">
              <w:t>lixisenatide</w:t>
            </w:r>
            <w:proofErr w:type="spellEnd"/>
            <w:r w:rsidRPr="00D7615D">
              <w:t xml:space="preserve"> once daily versus </w:t>
            </w:r>
            <w:proofErr w:type="spellStart"/>
            <w:r w:rsidRPr="00D7615D">
              <w:t>exenatide</w:t>
            </w:r>
            <w:proofErr w:type="spellEnd"/>
            <w:r w:rsidRPr="00D7615D">
              <w:t xml:space="preserve"> twice daily in Type 2 diabetes inadequately controlled on metformin</w:t>
            </w:r>
          </w:p>
        </w:tc>
        <w:tc>
          <w:tcPr>
            <w:tcW w:w="1009" w:type="pct"/>
            <w:tcBorders>
              <w:top w:val="nil"/>
            </w:tcBorders>
          </w:tcPr>
          <w:p w:rsidR="00436559" w:rsidRDefault="00436559" w:rsidP="008C190A">
            <w:pPr>
              <w:rPr>
                <w:rFonts w:ascii="Arial Narrow" w:hAnsi="Arial Narrow"/>
                <w:sz w:val="20"/>
              </w:rPr>
            </w:pPr>
            <w:r w:rsidRPr="00436559">
              <w:rPr>
                <w:rFonts w:ascii="Arial Narrow" w:hAnsi="Arial Narrow"/>
                <w:i/>
                <w:sz w:val="20"/>
              </w:rPr>
              <w:t>Diabetes Care</w:t>
            </w:r>
            <w:r w:rsidRPr="00D7615D">
              <w:rPr>
                <w:rFonts w:ascii="Arial Narrow" w:hAnsi="Arial Narrow"/>
                <w:sz w:val="20"/>
              </w:rPr>
              <w:t xml:space="preserve"> 2013; 36: 2945-2951</w:t>
            </w:r>
          </w:p>
          <w:p w:rsidR="00436559" w:rsidRPr="00D7615D" w:rsidRDefault="00436559" w:rsidP="008C190A">
            <w:pPr>
              <w:rPr>
                <w:rFonts w:ascii="Arial Narrow" w:hAnsi="Arial Narrow"/>
                <w:iCs/>
                <w:sz w:val="20"/>
              </w:rPr>
            </w:pPr>
          </w:p>
        </w:tc>
      </w:tr>
      <w:tr w:rsidR="0024179B" w:rsidRPr="00D7615D" w:rsidTr="00436559">
        <w:trPr>
          <w:trHeight w:val="144"/>
        </w:trPr>
        <w:tc>
          <w:tcPr>
            <w:tcW w:w="5000" w:type="pct"/>
            <w:gridSpan w:val="3"/>
            <w:tcBorders>
              <w:bottom w:val="single" w:sz="4" w:space="0" w:color="auto"/>
            </w:tcBorders>
          </w:tcPr>
          <w:p w:rsidR="0024179B" w:rsidRPr="00D7615D" w:rsidRDefault="0024179B" w:rsidP="008C190A">
            <w:pPr>
              <w:pStyle w:val="COMtbl-HEADLeftAligned"/>
            </w:pPr>
            <w:proofErr w:type="spellStart"/>
            <w:r w:rsidRPr="00D7615D">
              <w:t>Lixisenatide</w:t>
            </w:r>
            <w:proofErr w:type="spellEnd"/>
            <w:r w:rsidRPr="00D7615D">
              <w:t xml:space="preserve"> vs placebo (dual/triple therapy with metformin and/or sulfonylurea)</w:t>
            </w:r>
          </w:p>
        </w:tc>
      </w:tr>
      <w:tr w:rsidR="0024179B" w:rsidRPr="00D7615D" w:rsidTr="00436559">
        <w:trPr>
          <w:trHeight w:val="144"/>
        </w:trPr>
        <w:tc>
          <w:tcPr>
            <w:tcW w:w="850" w:type="pct"/>
            <w:tcBorders>
              <w:bottom w:val="nil"/>
            </w:tcBorders>
          </w:tcPr>
          <w:p w:rsidR="0024179B" w:rsidRPr="00D7615D" w:rsidRDefault="0024179B" w:rsidP="008C190A">
            <w:pPr>
              <w:pStyle w:val="COMtbl-textLeftAligned"/>
            </w:pPr>
            <w:proofErr w:type="spellStart"/>
            <w:r w:rsidRPr="00D7615D">
              <w:t>GetGoal</w:t>
            </w:r>
            <w:proofErr w:type="spellEnd"/>
            <w:r w:rsidRPr="00D7615D">
              <w:t>-S</w:t>
            </w:r>
          </w:p>
        </w:tc>
        <w:tc>
          <w:tcPr>
            <w:tcW w:w="3141" w:type="pct"/>
            <w:tcBorders>
              <w:bottom w:val="nil"/>
            </w:tcBorders>
          </w:tcPr>
          <w:p w:rsidR="0024179B" w:rsidRPr="00D7615D" w:rsidRDefault="0024179B" w:rsidP="008C190A">
            <w:pPr>
              <w:pStyle w:val="COMtbl-textLeftAligned"/>
            </w:pPr>
            <w:r w:rsidRPr="00D7615D">
              <w:t xml:space="preserve">A randomized, double-blind, placebo-controlled, 2-arm parallel-group, </w:t>
            </w:r>
            <w:proofErr w:type="spellStart"/>
            <w:r w:rsidRPr="00D7615D">
              <w:t>multicenter</w:t>
            </w:r>
            <w:proofErr w:type="spellEnd"/>
            <w:r w:rsidRPr="00D7615D">
              <w:t xml:space="preserve"> 24-week study followed by an extension assessing the efficacy and safety of AVE0010 on top of a sulfonylurea in patients with type 2 diabetes not adequately controlled with sulfonylurea (EFC6015)</w:t>
            </w:r>
          </w:p>
          <w:p w:rsidR="0024179B" w:rsidRPr="00D7615D" w:rsidRDefault="0024179B" w:rsidP="00436559">
            <w:pPr>
              <w:pStyle w:val="COMtbl-textLeftAligned"/>
            </w:pPr>
          </w:p>
        </w:tc>
        <w:tc>
          <w:tcPr>
            <w:tcW w:w="1009" w:type="pct"/>
            <w:tcBorders>
              <w:bottom w:val="nil"/>
            </w:tcBorders>
          </w:tcPr>
          <w:p w:rsidR="0024179B" w:rsidRPr="00D7615D" w:rsidRDefault="0024179B" w:rsidP="008C190A">
            <w:pPr>
              <w:rPr>
                <w:rFonts w:ascii="Arial Narrow" w:hAnsi="Arial Narrow"/>
                <w:iCs/>
                <w:sz w:val="20"/>
              </w:rPr>
            </w:pPr>
            <w:r w:rsidRPr="00D7615D">
              <w:rPr>
                <w:rFonts w:ascii="Arial Narrow" w:hAnsi="Arial Narrow"/>
                <w:iCs/>
                <w:sz w:val="20"/>
              </w:rPr>
              <w:t>1 September 2011</w:t>
            </w:r>
          </w:p>
          <w:p w:rsidR="0024179B" w:rsidRPr="00D7615D" w:rsidRDefault="0024179B" w:rsidP="008C190A">
            <w:pPr>
              <w:rPr>
                <w:rFonts w:ascii="Arial Narrow" w:hAnsi="Arial Narrow"/>
                <w:sz w:val="20"/>
              </w:rPr>
            </w:pPr>
          </w:p>
          <w:p w:rsidR="0024179B" w:rsidRPr="00D7615D" w:rsidRDefault="0024179B" w:rsidP="008C190A">
            <w:pPr>
              <w:rPr>
                <w:rFonts w:ascii="Arial Narrow" w:hAnsi="Arial Narrow"/>
                <w:sz w:val="20"/>
              </w:rPr>
            </w:pPr>
          </w:p>
          <w:p w:rsidR="0024179B" w:rsidRPr="00D7615D" w:rsidRDefault="0024179B" w:rsidP="008C190A">
            <w:pPr>
              <w:rPr>
                <w:rFonts w:ascii="Arial Narrow" w:hAnsi="Arial Narrow"/>
                <w:sz w:val="20"/>
              </w:rPr>
            </w:pPr>
          </w:p>
          <w:p w:rsidR="0024179B" w:rsidRPr="00D7615D" w:rsidRDefault="0024179B" w:rsidP="008C190A">
            <w:pPr>
              <w:rPr>
                <w:rFonts w:ascii="Arial Narrow" w:hAnsi="Arial Narrow"/>
                <w:b/>
                <w:sz w:val="20"/>
              </w:rPr>
            </w:pPr>
          </w:p>
        </w:tc>
      </w:tr>
      <w:tr w:rsidR="00436559" w:rsidRPr="00D7615D" w:rsidTr="00436559">
        <w:trPr>
          <w:trHeight w:val="144"/>
        </w:trPr>
        <w:tc>
          <w:tcPr>
            <w:tcW w:w="850" w:type="pct"/>
            <w:tcBorders>
              <w:top w:val="nil"/>
              <w:bottom w:val="single" w:sz="4" w:space="0" w:color="auto"/>
            </w:tcBorders>
          </w:tcPr>
          <w:p w:rsidR="00436559" w:rsidRPr="00D7615D" w:rsidRDefault="00436559" w:rsidP="008C190A">
            <w:pPr>
              <w:pStyle w:val="COMtbl-textLeftAligned"/>
            </w:pPr>
            <w:proofErr w:type="spellStart"/>
            <w:r w:rsidRPr="00D7615D">
              <w:t>Rosenstock</w:t>
            </w:r>
            <w:proofErr w:type="spellEnd"/>
          </w:p>
        </w:tc>
        <w:tc>
          <w:tcPr>
            <w:tcW w:w="3141" w:type="pct"/>
            <w:tcBorders>
              <w:top w:val="nil"/>
              <w:bottom w:val="single" w:sz="4" w:space="0" w:color="auto"/>
            </w:tcBorders>
          </w:tcPr>
          <w:p w:rsidR="00436559" w:rsidRPr="00D7615D" w:rsidRDefault="00436559" w:rsidP="008C190A">
            <w:pPr>
              <w:pStyle w:val="COMtbl-textLeftAligned"/>
            </w:pPr>
            <w:r w:rsidRPr="00D7615D">
              <w:t xml:space="preserve">Beneficial effects of once-daily </w:t>
            </w:r>
            <w:proofErr w:type="spellStart"/>
            <w:r w:rsidRPr="00D7615D">
              <w:t>lixisenatide</w:t>
            </w:r>
            <w:proofErr w:type="spellEnd"/>
            <w:r w:rsidRPr="00D7615D">
              <w:t xml:space="preserve"> on overall and postprandial </w:t>
            </w:r>
            <w:proofErr w:type="spellStart"/>
            <w:r w:rsidRPr="00D7615D">
              <w:t>glycemic</w:t>
            </w:r>
            <w:proofErr w:type="spellEnd"/>
            <w:r w:rsidRPr="00D7615D">
              <w:t xml:space="preserve"> levels without significant excess of hypoglycaemia in Type 2 diabetes inadequately controlled on a sulfonylurea with or without metformin (</w:t>
            </w:r>
            <w:proofErr w:type="spellStart"/>
            <w:r w:rsidRPr="00D7615D">
              <w:t>GetGoal</w:t>
            </w:r>
            <w:proofErr w:type="spellEnd"/>
            <w:r w:rsidRPr="00D7615D">
              <w:t>-S)</w:t>
            </w:r>
          </w:p>
        </w:tc>
        <w:tc>
          <w:tcPr>
            <w:tcW w:w="1009" w:type="pct"/>
            <w:tcBorders>
              <w:top w:val="nil"/>
              <w:bottom w:val="single" w:sz="4" w:space="0" w:color="auto"/>
            </w:tcBorders>
          </w:tcPr>
          <w:p w:rsidR="00436559" w:rsidRDefault="00436559" w:rsidP="008C190A">
            <w:pPr>
              <w:rPr>
                <w:rFonts w:ascii="Arial Narrow" w:hAnsi="Arial Narrow"/>
                <w:sz w:val="20"/>
              </w:rPr>
            </w:pPr>
            <w:r w:rsidRPr="00436559">
              <w:rPr>
                <w:rFonts w:ascii="Arial Narrow" w:hAnsi="Arial Narrow"/>
                <w:i/>
                <w:sz w:val="20"/>
              </w:rPr>
              <w:t>Journal of Diabetes and its Complications</w:t>
            </w:r>
            <w:r w:rsidRPr="00D7615D">
              <w:rPr>
                <w:rFonts w:ascii="Arial Narrow" w:hAnsi="Arial Narrow"/>
                <w:sz w:val="20"/>
              </w:rPr>
              <w:t xml:space="preserve"> 2014; 201;  28(3): 386–392</w:t>
            </w:r>
          </w:p>
          <w:p w:rsidR="00436559" w:rsidRPr="00D7615D" w:rsidRDefault="00436559" w:rsidP="008C190A">
            <w:pPr>
              <w:rPr>
                <w:rFonts w:ascii="Arial Narrow" w:hAnsi="Arial Narrow"/>
                <w:iCs/>
                <w:sz w:val="20"/>
              </w:rPr>
            </w:pPr>
          </w:p>
        </w:tc>
      </w:tr>
      <w:tr w:rsidR="0024179B" w:rsidRPr="00D7615D" w:rsidTr="00436559">
        <w:trPr>
          <w:trHeight w:val="144"/>
        </w:trPr>
        <w:tc>
          <w:tcPr>
            <w:tcW w:w="850" w:type="pct"/>
            <w:tcBorders>
              <w:bottom w:val="nil"/>
            </w:tcBorders>
          </w:tcPr>
          <w:p w:rsidR="0024179B" w:rsidRPr="00D7615D" w:rsidRDefault="0024179B" w:rsidP="008C190A">
            <w:pPr>
              <w:pStyle w:val="COMtbl-textLeftAligned"/>
            </w:pPr>
            <w:proofErr w:type="spellStart"/>
            <w:r w:rsidRPr="00D7615D">
              <w:t>GetGoal</w:t>
            </w:r>
            <w:proofErr w:type="spellEnd"/>
            <w:r w:rsidRPr="00D7615D">
              <w:t xml:space="preserve">-M-Asia </w:t>
            </w:r>
          </w:p>
        </w:tc>
        <w:tc>
          <w:tcPr>
            <w:tcW w:w="3141" w:type="pct"/>
            <w:tcBorders>
              <w:bottom w:val="nil"/>
            </w:tcBorders>
          </w:tcPr>
          <w:p w:rsidR="0024179B" w:rsidRPr="00D7615D" w:rsidRDefault="0024179B" w:rsidP="008C190A">
            <w:pPr>
              <w:pStyle w:val="COMtbl-textLeftAligned"/>
            </w:pPr>
            <w:r w:rsidRPr="00D7615D">
              <w:t xml:space="preserve">Efficacy and safety of </w:t>
            </w:r>
            <w:proofErr w:type="spellStart"/>
            <w:r w:rsidRPr="00D7615D">
              <w:t>lixisenatide</w:t>
            </w:r>
            <w:proofErr w:type="spellEnd"/>
            <w:r w:rsidRPr="00D7615D">
              <w:t xml:space="preserve"> in patients with type 2 diabetes mellitus insufficiently controlled by metformin (with or without sulfonylurea): a </w:t>
            </w:r>
            <w:proofErr w:type="spellStart"/>
            <w:r w:rsidRPr="00D7615D">
              <w:t>multicenter</w:t>
            </w:r>
            <w:proofErr w:type="spellEnd"/>
            <w:r w:rsidRPr="00D7615D">
              <w:t>, randomized, double-blind, parallel-group, placebo-controlled study with 24-week treatment period (EFC11321)</w:t>
            </w:r>
          </w:p>
          <w:p w:rsidR="0024179B" w:rsidRPr="00D7615D" w:rsidRDefault="0024179B" w:rsidP="008C190A">
            <w:pPr>
              <w:pStyle w:val="COMtbl-textLeftAligned"/>
            </w:pPr>
          </w:p>
        </w:tc>
        <w:tc>
          <w:tcPr>
            <w:tcW w:w="1009" w:type="pct"/>
            <w:tcBorders>
              <w:bottom w:val="nil"/>
            </w:tcBorders>
          </w:tcPr>
          <w:p w:rsidR="0024179B" w:rsidRPr="00D7615D" w:rsidRDefault="0024179B" w:rsidP="008C190A">
            <w:pPr>
              <w:rPr>
                <w:rFonts w:ascii="Arial Narrow" w:hAnsi="Arial Narrow"/>
                <w:iCs/>
                <w:sz w:val="20"/>
              </w:rPr>
            </w:pPr>
            <w:r w:rsidRPr="00D7615D">
              <w:rPr>
                <w:rFonts w:ascii="Arial Narrow" w:hAnsi="Arial Narrow"/>
                <w:iCs/>
                <w:sz w:val="20"/>
              </w:rPr>
              <w:t>12 July 2012</w:t>
            </w:r>
          </w:p>
          <w:p w:rsidR="0024179B" w:rsidRPr="00D7615D" w:rsidRDefault="0024179B" w:rsidP="008C190A">
            <w:pPr>
              <w:rPr>
                <w:rFonts w:ascii="Arial Narrow" w:hAnsi="Arial Narrow"/>
                <w:b/>
                <w:sz w:val="20"/>
              </w:rPr>
            </w:pPr>
          </w:p>
          <w:p w:rsidR="0024179B" w:rsidRPr="00D7615D" w:rsidRDefault="0024179B" w:rsidP="008C190A">
            <w:pPr>
              <w:rPr>
                <w:rFonts w:ascii="Arial Narrow" w:hAnsi="Arial Narrow"/>
                <w:b/>
                <w:sz w:val="20"/>
              </w:rPr>
            </w:pPr>
          </w:p>
          <w:p w:rsidR="0024179B" w:rsidRPr="00D7615D" w:rsidRDefault="0024179B" w:rsidP="008C190A">
            <w:pPr>
              <w:rPr>
                <w:rFonts w:ascii="Arial Narrow" w:hAnsi="Arial Narrow"/>
                <w:b/>
                <w:sz w:val="20"/>
              </w:rPr>
            </w:pPr>
          </w:p>
        </w:tc>
      </w:tr>
      <w:tr w:rsidR="00436559" w:rsidRPr="00D7615D" w:rsidTr="00436559">
        <w:trPr>
          <w:trHeight w:val="144"/>
        </w:trPr>
        <w:tc>
          <w:tcPr>
            <w:tcW w:w="850" w:type="pct"/>
            <w:tcBorders>
              <w:top w:val="nil"/>
            </w:tcBorders>
          </w:tcPr>
          <w:p w:rsidR="00436559" w:rsidRPr="00D7615D" w:rsidRDefault="00436559" w:rsidP="008C190A">
            <w:pPr>
              <w:pStyle w:val="COMtbl-textLeftAligned"/>
            </w:pPr>
            <w:r w:rsidRPr="00D7615D">
              <w:t>Pan</w:t>
            </w:r>
          </w:p>
        </w:tc>
        <w:tc>
          <w:tcPr>
            <w:tcW w:w="3141" w:type="pct"/>
            <w:tcBorders>
              <w:top w:val="nil"/>
            </w:tcBorders>
          </w:tcPr>
          <w:p w:rsidR="00436559" w:rsidRPr="00D7615D" w:rsidRDefault="00436559" w:rsidP="008C190A">
            <w:pPr>
              <w:pStyle w:val="COMtbl-textLeftAligned"/>
            </w:pPr>
            <w:proofErr w:type="spellStart"/>
            <w:r w:rsidRPr="00D7615D">
              <w:t>Lixisenatide</w:t>
            </w:r>
            <w:proofErr w:type="spellEnd"/>
            <w:r w:rsidRPr="00D7615D">
              <w:t xml:space="preserve"> treatment improves glycaemic control in Asian patients with type 2 diabetes mellitus inadequately controlled on metformin with or without sulfonylurea: A randomized, double-blind, placebo-controlled, 24-week trial (</w:t>
            </w:r>
            <w:proofErr w:type="spellStart"/>
            <w:r w:rsidRPr="00D7615D">
              <w:t>GetGoal</w:t>
            </w:r>
            <w:proofErr w:type="spellEnd"/>
            <w:r w:rsidRPr="00D7615D">
              <w:t>-M-Asia)</w:t>
            </w:r>
          </w:p>
        </w:tc>
        <w:tc>
          <w:tcPr>
            <w:tcW w:w="1009" w:type="pct"/>
            <w:tcBorders>
              <w:top w:val="nil"/>
            </w:tcBorders>
          </w:tcPr>
          <w:p w:rsidR="00436559" w:rsidRPr="00D7615D" w:rsidRDefault="00436559" w:rsidP="008C190A">
            <w:pPr>
              <w:rPr>
                <w:rFonts w:ascii="Arial Narrow" w:hAnsi="Arial Narrow"/>
                <w:iCs/>
                <w:sz w:val="20"/>
              </w:rPr>
            </w:pPr>
            <w:r w:rsidRPr="00436559">
              <w:rPr>
                <w:rFonts w:ascii="Arial Narrow" w:hAnsi="Arial Narrow"/>
                <w:i/>
                <w:sz w:val="20"/>
              </w:rPr>
              <w:t>Diabetes/Metabolism Research and Reviews</w:t>
            </w:r>
            <w:r w:rsidRPr="00D7615D">
              <w:rPr>
                <w:rFonts w:ascii="Arial Narrow" w:hAnsi="Arial Narrow"/>
                <w:sz w:val="20"/>
              </w:rPr>
              <w:t xml:space="preserve"> 2014; </w:t>
            </w:r>
            <w:proofErr w:type="spellStart"/>
            <w:r w:rsidRPr="00D7615D">
              <w:rPr>
                <w:rFonts w:ascii="Arial Narrow" w:hAnsi="Arial Narrow"/>
                <w:sz w:val="20"/>
              </w:rPr>
              <w:t>doi</w:t>
            </w:r>
            <w:proofErr w:type="spellEnd"/>
            <w:r w:rsidRPr="00D7615D">
              <w:rPr>
                <w:rFonts w:ascii="Arial Narrow" w:hAnsi="Arial Narrow"/>
                <w:sz w:val="20"/>
              </w:rPr>
              <w:t>: 10.1002/dmrr.2541. [</w:t>
            </w:r>
            <w:proofErr w:type="spellStart"/>
            <w:r w:rsidRPr="00D7615D">
              <w:rPr>
                <w:rFonts w:ascii="Arial Narrow" w:hAnsi="Arial Narrow"/>
                <w:sz w:val="20"/>
              </w:rPr>
              <w:t>Epub</w:t>
            </w:r>
            <w:proofErr w:type="spellEnd"/>
            <w:r w:rsidRPr="00D7615D">
              <w:rPr>
                <w:rFonts w:ascii="Arial Narrow" w:hAnsi="Arial Narrow"/>
                <w:sz w:val="20"/>
              </w:rPr>
              <w:t xml:space="preserve"> ahead of print]</w:t>
            </w:r>
          </w:p>
        </w:tc>
      </w:tr>
      <w:tr w:rsidR="0024179B" w:rsidRPr="00D7615D" w:rsidTr="008C190A">
        <w:trPr>
          <w:trHeight w:val="144"/>
        </w:trPr>
        <w:tc>
          <w:tcPr>
            <w:tcW w:w="5000" w:type="pct"/>
            <w:gridSpan w:val="3"/>
          </w:tcPr>
          <w:p w:rsidR="0024179B" w:rsidRPr="00D7615D" w:rsidRDefault="0024179B" w:rsidP="008C190A">
            <w:pPr>
              <w:rPr>
                <w:rFonts w:ascii="Arial Narrow" w:hAnsi="Arial Narrow"/>
                <w:iCs/>
                <w:sz w:val="20"/>
              </w:rPr>
            </w:pPr>
            <w:proofErr w:type="spellStart"/>
            <w:r w:rsidRPr="00D7615D">
              <w:rPr>
                <w:rFonts w:ascii="Arial Narrow" w:hAnsi="Arial Narrow"/>
                <w:b/>
                <w:iCs/>
                <w:sz w:val="20"/>
              </w:rPr>
              <w:t>Lixisenatide</w:t>
            </w:r>
            <w:proofErr w:type="spellEnd"/>
            <w:r w:rsidRPr="00D7615D">
              <w:rPr>
                <w:rFonts w:ascii="Arial Narrow" w:hAnsi="Arial Narrow"/>
                <w:b/>
                <w:iCs/>
                <w:sz w:val="20"/>
              </w:rPr>
              <w:t xml:space="preserve"> vs placebo (various background therapies)</w:t>
            </w:r>
          </w:p>
        </w:tc>
      </w:tr>
      <w:tr w:rsidR="0024179B" w:rsidRPr="00D7615D" w:rsidTr="00436559">
        <w:trPr>
          <w:trHeight w:val="144"/>
        </w:trPr>
        <w:tc>
          <w:tcPr>
            <w:tcW w:w="850" w:type="pct"/>
          </w:tcPr>
          <w:p w:rsidR="0024179B" w:rsidRDefault="0024179B" w:rsidP="008C190A">
            <w:pPr>
              <w:pStyle w:val="COMtbl-textLeftAligned"/>
            </w:pPr>
            <w:r w:rsidRPr="00D7615D">
              <w:t>ACT6011</w:t>
            </w:r>
          </w:p>
          <w:p w:rsidR="00436559" w:rsidRPr="00D7615D" w:rsidRDefault="00436559" w:rsidP="008C190A">
            <w:pPr>
              <w:pStyle w:val="COMtbl-textLeftAligned"/>
            </w:pPr>
            <w:r w:rsidRPr="00D7615D">
              <w:t>Lorenz</w:t>
            </w:r>
          </w:p>
        </w:tc>
        <w:tc>
          <w:tcPr>
            <w:tcW w:w="3141" w:type="pct"/>
          </w:tcPr>
          <w:p w:rsidR="0024179B" w:rsidRDefault="0024179B" w:rsidP="008C190A">
            <w:pPr>
              <w:pStyle w:val="COMtbl-textLeftAligned"/>
            </w:pPr>
            <w:r w:rsidRPr="00D7615D">
              <w:t xml:space="preserve">Effects of </w:t>
            </w:r>
            <w:proofErr w:type="spellStart"/>
            <w:r w:rsidRPr="00D7615D">
              <w:t>lixisenatide</w:t>
            </w:r>
            <w:proofErr w:type="spellEnd"/>
            <w:r w:rsidRPr="00D7615D">
              <w:t xml:space="preserve"> once daily on gastric emptying in type 2 diabetes - relationship to postprandial glycaemia </w:t>
            </w:r>
          </w:p>
          <w:p w:rsidR="00436559" w:rsidRPr="00D7615D" w:rsidRDefault="00436559" w:rsidP="008C190A">
            <w:pPr>
              <w:pStyle w:val="COMtbl-textLeftAligned"/>
            </w:pPr>
          </w:p>
        </w:tc>
        <w:tc>
          <w:tcPr>
            <w:tcW w:w="1009" w:type="pct"/>
          </w:tcPr>
          <w:p w:rsidR="0024179B" w:rsidRPr="00D7615D" w:rsidRDefault="0024179B" w:rsidP="008C190A">
            <w:pPr>
              <w:rPr>
                <w:rFonts w:ascii="Arial Narrow" w:hAnsi="Arial Narrow"/>
                <w:iCs/>
                <w:sz w:val="20"/>
              </w:rPr>
            </w:pPr>
            <w:r w:rsidRPr="00436559">
              <w:rPr>
                <w:rFonts w:ascii="Arial Narrow" w:hAnsi="Arial Narrow"/>
                <w:i/>
                <w:iCs/>
                <w:sz w:val="20"/>
              </w:rPr>
              <w:t>Regulatory Peptides</w:t>
            </w:r>
            <w:r w:rsidRPr="00D7615D">
              <w:rPr>
                <w:rFonts w:ascii="Arial Narrow" w:hAnsi="Arial Narrow"/>
                <w:iCs/>
                <w:sz w:val="20"/>
              </w:rPr>
              <w:t xml:space="preserve"> 2013; 185:1-8</w:t>
            </w:r>
          </w:p>
        </w:tc>
      </w:tr>
      <w:tr w:rsidR="0024179B" w:rsidRPr="00D7615D" w:rsidTr="008C190A">
        <w:trPr>
          <w:trHeight w:val="144"/>
        </w:trPr>
        <w:tc>
          <w:tcPr>
            <w:tcW w:w="5000" w:type="pct"/>
            <w:gridSpan w:val="3"/>
          </w:tcPr>
          <w:p w:rsidR="0024179B" w:rsidRPr="00D7615D" w:rsidRDefault="0024179B" w:rsidP="008C190A">
            <w:pPr>
              <w:rPr>
                <w:rFonts w:ascii="Arial Narrow" w:hAnsi="Arial Narrow"/>
                <w:b/>
                <w:iCs/>
                <w:sz w:val="20"/>
              </w:rPr>
            </w:pPr>
            <w:proofErr w:type="spellStart"/>
            <w:r w:rsidRPr="00D7615D">
              <w:rPr>
                <w:rFonts w:ascii="Arial Narrow" w:hAnsi="Arial Narrow"/>
                <w:b/>
                <w:iCs/>
                <w:sz w:val="20"/>
              </w:rPr>
              <w:t>Exenatide</w:t>
            </w:r>
            <w:proofErr w:type="spellEnd"/>
            <w:r w:rsidRPr="00D7615D">
              <w:rPr>
                <w:rFonts w:ascii="Arial Narrow" w:hAnsi="Arial Narrow"/>
                <w:b/>
                <w:iCs/>
                <w:sz w:val="20"/>
              </w:rPr>
              <w:t xml:space="preserve"> vs placebo (dual/triple therapy with metformin and/or sulfonylurea) </w:t>
            </w:r>
          </w:p>
        </w:tc>
      </w:tr>
      <w:tr w:rsidR="0024179B" w:rsidRPr="00D7615D" w:rsidTr="00436559">
        <w:trPr>
          <w:trHeight w:val="144"/>
        </w:trPr>
        <w:tc>
          <w:tcPr>
            <w:tcW w:w="850" w:type="pct"/>
          </w:tcPr>
          <w:p w:rsidR="0024179B" w:rsidRPr="00D7615D" w:rsidRDefault="00436559" w:rsidP="008C190A">
            <w:pPr>
              <w:pStyle w:val="COMtbl-textLeftAligned"/>
            </w:pPr>
            <w:r w:rsidRPr="00D7615D">
              <w:t>Lu</w:t>
            </w:r>
          </w:p>
        </w:tc>
        <w:tc>
          <w:tcPr>
            <w:tcW w:w="3141" w:type="pct"/>
          </w:tcPr>
          <w:p w:rsidR="0024179B" w:rsidRPr="00D7615D" w:rsidRDefault="0024179B" w:rsidP="008C190A">
            <w:pPr>
              <w:pStyle w:val="COMtbl-textLeftAligned"/>
            </w:pPr>
            <w:r w:rsidRPr="00D7615D">
              <w:t xml:space="preserve">Safety and efficacy of twice-daily </w:t>
            </w:r>
            <w:proofErr w:type="spellStart"/>
            <w:r w:rsidRPr="00D7615D">
              <w:t>exenatide</w:t>
            </w:r>
            <w:proofErr w:type="spellEnd"/>
            <w:r w:rsidRPr="00D7615D">
              <w:t xml:space="preserve"> in Taiwanese patients with inadequately controlled type 2 diabetes mellitus </w:t>
            </w:r>
          </w:p>
          <w:p w:rsidR="0024179B" w:rsidRPr="00D7615D" w:rsidRDefault="0024179B" w:rsidP="008C190A">
            <w:pPr>
              <w:pStyle w:val="COMtbl-textLeftAligned"/>
            </w:pPr>
          </w:p>
          <w:p w:rsidR="0024179B" w:rsidRPr="00D7615D" w:rsidRDefault="0024179B" w:rsidP="00436559">
            <w:pPr>
              <w:pStyle w:val="COMtbl-textLeftAligned"/>
            </w:pPr>
          </w:p>
        </w:tc>
        <w:tc>
          <w:tcPr>
            <w:tcW w:w="1009" w:type="pct"/>
          </w:tcPr>
          <w:p w:rsidR="0024179B" w:rsidRPr="00D7615D" w:rsidRDefault="0024179B" w:rsidP="008C190A">
            <w:pPr>
              <w:rPr>
                <w:rFonts w:ascii="Arial Narrow" w:hAnsi="Arial Narrow"/>
                <w:sz w:val="20"/>
              </w:rPr>
            </w:pPr>
            <w:r w:rsidRPr="00436559">
              <w:rPr>
                <w:rFonts w:ascii="Arial Narrow" w:hAnsi="Arial Narrow"/>
                <w:i/>
                <w:sz w:val="20"/>
              </w:rPr>
              <w:t>Journal of the Formosan Medical Association</w:t>
            </w:r>
            <w:r w:rsidRPr="00D7615D">
              <w:rPr>
                <w:rFonts w:ascii="Arial Narrow" w:hAnsi="Arial Narrow"/>
                <w:sz w:val="20"/>
              </w:rPr>
              <w:t xml:space="preserve"> 2013; 112(3):144-50</w:t>
            </w:r>
          </w:p>
          <w:p w:rsidR="0024179B" w:rsidRPr="00D7615D" w:rsidRDefault="0024179B" w:rsidP="008C190A">
            <w:pPr>
              <w:rPr>
                <w:rFonts w:ascii="Arial Narrow" w:hAnsi="Arial Narrow"/>
                <w:sz w:val="20"/>
              </w:rPr>
            </w:pPr>
          </w:p>
        </w:tc>
      </w:tr>
      <w:tr w:rsidR="00436559" w:rsidRPr="00D7615D" w:rsidTr="00436559">
        <w:trPr>
          <w:trHeight w:val="144"/>
        </w:trPr>
        <w:tc>
          <w:tcPr>
            <w:tcW w:w="850" w:type="pct"/>
          </w:tcPr>
          <w:p w:rsidR="00436559" w:rsidRPr="00D7615D" w:rsidRDefault="00436559" w:rsidP="008C190A">
            <w:pPr>
              <w:pStyle w:val="COMtbl-textLeftAligned"/>
            </w:pPr>
            <w:r w:rsidRPr="00D7615D">
              <w:t>Gao</w:t>
            </w:r>
          </w:p>
        </w:tc>
        <w:tc>
          <w:tcPr>
            <w:tcW w:w="3141" w:type="pct"/>
          </w:tcPr>
          <w:p w:rsidR="00436559" w:rsidRPr="00D7615D" w:rsidRDefault="00436559" w:rsidP="008C190A">
            <w:pPr>
              <w:pStyle w:val="COMtbl-textLeftAligned"/>
            </w:pPr>
            <w:r w:rsidRPr="00D7615D">
              <w:t xml:space="preserve">Efficacy and safety of </w:t>
            </w:r>
            <w:proofErr w:type="spellStart"/>
            <w:r w:rsidRPr="00D7615D">
              <w:t>exenatide</w:t>
            </w:r>
            <w:proofErr w:type="spellEnd"/>
            <w:r w:rsidRPr="00D7615D">
              <w:t xml:space="preserve"> in patients of Asian descent with type 2 diabetes inadequately controlled with metformin or metformin and a </w:t>
            </w:r>
            <w:proofErr w:type="spellStart"/>
            <w:r w:rsidRPr="00D7615D">
              <w:t>sulphonylurea</w:t>
            </w:r>
            <w:proofErr w:type="spellEnd"/>
          </w:p>
        </w:tc>
        <w:tc>
          <w:tcPr>
            <w:tcW w:w="1009" w:type="pct"/>
          </w:tcPr>
          <w:p w:rsidR="00436559" w:rsidRDefault="00436559" w:rsidP="008C190A">
            <w:pPr>
              <w:rPr>
                <w:rFonts w:ascii="Arial Narrow" w:hAnsi="Arial Narrow"/>
                <w:sz w:val="20"/>
              </w:rPr>
            </w:pPr>
            <w:r w:rsidRPr="00436559">
              <w:rPr>
                <w:rFonts w:ascii="Arial Narrow" w:hAnsi="Arial Narrow"/>
                <w:i/>
                <w:sz w:val="20"/>
              </w:rPr>
              <w:t>Diabetes Research and Clinical Practice</w:t>
            </w:r>
            <w:r w:rsidRPr="00D7615D">
              <w:rPr>
                <w:rFonts w:ascii="Arial Narrow" w:hAnsi="Arial Narrow"/>
                <w:sz w:val="20"/>
              </w:rPr>
              <w:t xml:space="preserve"> 2009; 83(1):69-76</w:t>
            </w:r>
          </w:p>
          <w:p w:rsidR="00436559" w:rsidRPr="00D7615D" w:rsidRDefault="00436559" w:rsidP="008C190A">
            <w:pPr>
              <w:rPr>
                <w:rFonts w:ascii="Arial Narrow" w:hAnsi="Arial Narrow"/>
                <w:sz w:val="20"/>
              </w:rPr>
            </w:pPr>
          </w:p>
        </w:tc>
      </w:tr>
      <w:tr w:rsidR="0024179B" w:rsidRPr="00D7615D" w:rsidTr="00436559">
        <w:trPr>
          <w:trHeight w:val="144"/>
        </w:trPr>
        <w:tc>
          <w:tcPr>
            <w:tcW w:w="850" w:type="pct"/>
          </w:tcPr>
          <w:p w:rsidR="0024179B" w:rsidRPr="00D7615D" w:rsidRDefault="00436559" w:rsidP="008C190A">
            <w:pPr>
              <w:pStyle w:val="COMtbl-textLeftAligned"/>
            </w:pPr>
            <w:proofErr w:type="spellStart"/>
            <w:r w:rsidRPr="00D7615D">
              <w:t>Apovian</w:t>
            </w:r>
            <w:proofErr w:type="spellEnd"/>
          </w:p>
        </w:tc>
        <w:tc>
          <w:tcPr>
            <w:tcW w:w="3141" w:type="pct"/>
          </w:tcPr>
          <w:p w:rsidR="0024179B" w:rsidRPr="00D7615D" w:rsidRDefault="0024179B" w:rsidP="008C190A">
            <w:pPr>
              <w:pStyle w:val="COMtbl-textLeftAligned"/>
            </w:pPr>
            <w:r w:rsidRPr="00D7615D">
              <w:t xml:space="preserve">Effects of </w:t>
            </w:r>
            <w:proofErr w:type="spellStart"/>
            <w:r w:rsidRPr="00D7615D">
              <w:t>exenatide</w:t>
            </w:r>
            <w:proofErr w:type="spellEnd"/>
            <w:r w:rsidRPr="00D7615D">
              <w:t xml:space="preserve"> combined with lifestyle modification in patients with Type 2 diabetes </w:t>
            </w:r>
          </w:p>
        </w:tc>
        <w:tc>
          <w:tcPr>
            <w:tcW w:w="1009" w:type="pct"/>
          </w:tcPr>
          <w:p w:rsidR="0024179B" w:rsidRDefault="0024179B" w:rsidP="008C190A">
            <w:pPr>
              <w:rPr>
                <w:rFonts w:ascii="Arial Narrow" w:hAnsi="Arial Narrow"/>
                <w:iCs/>
                <w:sz w:val="20"/>
              </w:rPr>
            </w:pPr>
            <w:r w:rsidRPr="00436559">
              <w:rPr>
                <w:rFonts w:ascii="Arial Narrow" w:hAnsi="Arial Narrow"/>
                <w:i/>
                <w:iCs/>
                <w:sz w:val="20"/>
              </w:rPr>
              <w:t>The American Journal of Medicine</w:t>
            </w:r>
            <w:r w:rsidRPr="00D7615D">
              <w:rPr>
                <w:rFonts w:ascii="Arial Narrow" w:hAnsi="Arial Narrow"/>
                <w:iCs/>
                <w:sz w:val="20"/>
              </w:rPr>
              <w:t xml:space="preserve"> 2010; 123: 468.e9-468.e17</w:t>
            </w:r>
          </w:p>
          <w:p w:rsidR="00436559" w:rsidRPr="00D7615D" w:rsidRDefault="00436559" w:rsidP="008C190A">
            <w:pPr>
              <w:rPr>
                <w:rFonts w:ascii="Arial Narrow" w:hAnsi="Arial Narrow"/>
                <w:sz w:val="20"/>
              </w:rPr>
            </w:pPr>
          </w:p>
        </w:tc>
      </w:tr>
      <w:tr w:rsidR="0024179B" w:rsidRPr="00D7615D" w:rsidTr="00436559">
        <w:trPr>
          <w:trHeight w:val="144"/>
        </w:trPr>
        <w:tc>
          <w:tcPr>
            <w:tcW w:w="850" w:type="pct"/>
          </w:tcPr>
          <w:p w:rsidR="00436559" w:rsidRPr="00D7615D" w:rsidRDefault="00436559" w:rsidP="00436559">
            <w:pPr>
              <w:pStyle w:val="COMtbl-textLeftAligned"/>
            </w:pPr>
            <w:r>
              <w:t>Kendall</w:t>
            </w:r>
          </w:p>
          <w:p w:rsidR="0024179B" w:rsidRPr="00D7615D" w:rsidRDefault="0024179B" w:rsidP="008C190A">
            <w:pPr>
              <w:pStyle w:val="COMtbl-textLeftAligned"/>
            </w:pPr>
          </w:p>
        </w:tc>
        <w:tc>
          <w:tcPr>
            <w:tcW w:w="3141" w:type="pct"/>
          </w:tcPr>
          <w:p w:rsidR="0024179B" w:rsidRDefault="0024179B" w:rsidP="008C190A">
            <w:pPr>
              <w:pStyle w:val="COMtbl-textLeftAligned"/>
            </w:pPr>
            <w:r w:rsidRPr="00D7615D">
              <w:t xml:space="preserve">Effects of </w:t>
            </w:r>
            <w:proofErr w:type="spellStart"/>
            <w:r w:rsidRPr="00D7615D">
              <w:t>exenatide</w:t>
            </w:r>
            <w:proofErr w:type="spellEnd"/>
            <w:r w:rsidRPr="00D7615D">
              <w:t xml:space="preserve"> (Exendin-4) on glycaemic control over 30 weeks in patients with Type 2 diabetes treated with metformin and a </w:t>
            </w:r>
            <w:proofErr w:type="spellStart"/>
            <w:r w:rsidRPr="00D7615D">
              <w:t>sulphonylurea</w:t>
            </w:r>
            <w:proofErr w:type="spellEnd"/>
            <w:r w:rsidRPr="00D7615D">
              <w:t xml:space="preserve"> </w:t>
            </w:r>
          </w:p>
          <w:p w:rsidR="00436559" w:rsidRPr="00D7615D" w:rsidRDefault="00436559" w:rsidP="008C190A">
            <w:pPr>
              <w:pStyle w:val="COMtbl-textLeftAligned"/>
            </w:pPr>
          </w:p>
        </w:tc>
        <w:tc>
          <w:tcPr>
            <w:tcW w:w="1009" w:type="pct"/>
          </w:tcPr>
          <w:p w:rsidR="0024179B" w:rsidRPr="00D7615D" w:rsidRDefault="0024179B" w:rsidP="008C190A">
            <w:pPr>
              <w:rPr>
                <w:rFonts w:ascii="Arial Narrow" w:hAnsi="Arial Narrow"/>
                <w:sz w:val="20"/>
              </w:rPr>
            </w:pPr>
            <w:r w:rsidRPr="00436559">
              <w:rPr>
                <w:rFonts w:ascii="Arial Narrow" w:hAnsi="Arial Narrow"/>
                <w:i/>
                <w:sz w:val="20"/>
              </w:rPr>
              <w:t>Diabetes Care</w:t>
            </w:r>
            <w:r w:rsidRPr="00D7615D">
              <w:rPr>
                <w:rFonts w:ascii="Arial Narrow" w:hAnsi="Arial Narrow"/>
                <w:sz w:val="20"/>
              </w:rPr>
              <w:t xml:space="preserve"> 2005; 28: 1083-1091</w:t>
            </w:r>
          </w:p>
        </w:tc>
      </w:tr>
      <w:tr w:rsidR="0024179B" w:rsidRPr="00D7615D" w:rsidTr="00436559">
        <w:trPr>
          <w:trHeight w:val="144"/>
        </w:trPr>
        <w:tc>
          <w:tcPr>
            <w:tcW w:w="850" w:type="pct"/>
          </w:tcPr>
          <w:p w:rsidR="0024179B" w:rsidRPr="00D7615D" w:rsidRDefault="0024179B" w:rsidP="00436559">
            <w:pPr>
              <w:pStyle w:val="COMtbl-textLeftAligned"/>
            </w:pPr>
            <w:proofErr w:type="spellStart"/>
            <w:r w:rsidRPr="00D7615D">
              <w:t>Klonoff</w:t>
            </w:r>
            <w:proofErr w:type="spellEnd"/>
          </w:p>
        </w:tc>
        <w:tc>
          <w:tcPr>
            <w:tcW w:w="3141" w:type="pct"/>
          </w:tcPr>
          <w:p w:rsidR="0024179B" w:rsidRPr="00D7615D" w:rsidRDefault="0024179B" w:rsidP="008C190A">
            <w:pPr>
              <w:pStyle w:val="COMtbl-textLeftAligned"/>
            </w:pPr>
            <w:proofErr w:type="spellStart"/>
            <w:r w:rsidRPr="00D7615D">
              <w:t>Exenatide</w:t>
            </w:r>
            <w:proofErr w:type="spellEnd"/>
            <w:r w:rsidRPr="00D7615D">
              <w:t xml:space="preserve"> effects on diabetes, obesity, cardiovascular risk factors and hepatic biomarkers in patients with type 2 diabetes treated for at least 3 years </w:t>
            </w:r>
          </w:p>
        </w:tc>
        <w:tc>
          <w:tcPr>
            <w:tcW w:w="1009" w:type="pct"/>
          </w:tcPr>
          <w:p w:rsidR="0024179B" w:rsidRDefault="0024179B" w:rsidP="008C190A">
            <w:pPr>
              <w:rPr>
                <w:rFonts w:ascii="Arial Narrow" w:hAnsi="Arial Narrow"/>
                <w:sz w:val="20"/>
              </w:rPr>
            </w:pPr>
            <w:r w:rsidRPr="00436559">
              <w:rPr>
                <w:rFonts w:ascii="Arial Narrow" w:hAnsi="Arial Narrow"/>
                <w:i/>
                <w:sz w:val="20"/>
              </w:rPr>
              <w:t>Current Medical Research and Opinion</w:t>
            </w:r>
            <w:r w:rsidRPr="00D7615D">
              <w:rPr>
                <w:rFonts w:ascii="Arial Narrow" w:hAnsi="Arial Narrow"/>
                <w:sz w:val="20"/>
              </w:rPr>
              <w:t xml:space="preserve"> 2008; 24(1):275-86</w:t>
            </w:r>
          </w:p>
          <w:p w:rsidR="00436559" w:rsidRPr="00D7615D" w:rsidRDefault="00436559" w:rsidP="008C190A">
            <w:pPr>
              <w:rPr>
                <w:rFonts w:ascii="Arial Narrow" w:hAnsi="Arial Narrow"/>
                <w:sz w:val="20"/>
              </w:rPr>
            </w:pPr>
          </w:p>
        </w:tc>
      </w:tr>
      <w:tr w:rsidR="0024179B" w:rsidRPr="00D7615D" w:rsidTr="00436559">
        <w:trPr>
          <w:trHeight w:val="144"/>
        </w:trPr>
        <w:tc>
          <w:tcPr>
            <w:tcW w:w="850" w:type="pct"/>
          </w:tcPr>
          <w:p w:rsidR="0024179B" w:rsidRPr="00D7615D" w:rsidRDefault="0024179B" w:rsidP="00436559">
            <w:pPr>
              <w:pStyle w:val="COMtbl-textLeftAligned"/>
            </w:pPr>
            <w:r w:rsidRPr="00D7615D">
              <w:lastRenderedPageBreak/>
              <w:t>Mari</w:t>
            </w:r>
          </w:p>
        </w:tc>
        <w:tc>
          <w:tcPr>
            <w:tcW w:w="3141" w:type="pct"/>
          </w:tcPr>
          <w:p w:rsidR="0024179B" w:rsidRDefault="0024179B" w:rsidP="008C190A">
            <w:pPr>
              <w:pStyle w:val="COMtbl-textLeftAligned"/>
            </w:pPr>
            <w:r w:rsidRPr="00D7615D">
              <w:t xml:space="preserve">Mathematical modelling shows </w:t>
            </w:r>
            <w:proofErr w:type="spellStart"/>
            <w:r w:rsidRPr="00D7615D">
              <w:t>exenatide</w:t>
            </w:r>
            <w:proofErr w:type="spellEnd"/>
            <w:r w:rsidRPr="00D7615D">
              <w:t xml:space="preserve"> improved beta-cell function in patients with type 2 diabetes treated with metformin or metformin and a </w:t>
            </w:r>
            <w:proofErr w:type="spellStart"/>
            <w:r w:rsidRPr="00D7615D">
              <w:t>sulphonylurea</w:t>
            </w:r>
            <w:proofErr w:type="spellEnd"/>
            <w:r w:rsidRPr="00D7615D">
              <w:t xml:space="preserve"> </w:t>
            </w:r>
          </w:p>
          <w:p w:rsidR="00436559" w:rsidRPr="00D7615D" w:rsidRDefault="00436559" w:rsidP="008C190A">
            <w:pPr>
              <w:pStyle w:val="COMtbl-textLeftAligned"/>
            </w:pPr>
          </w:p>
        </w:tc>
        <w:tc>
          <w:tcPr>
            <w:tcW w:w="1009" w:type="pct"/>
          </w:tcPr>
          <w:p w:rsidR="0024179B" w:rsidRPr="00D7615D" w:rsidRDefault="0024179B" w:rsidP="008C190A">
            <w:pPr>
              <w:rPr>
                <w:rFonts w:ascii="Arial Narrow" w:hAnsi="Arial Narrow"/>
                <w:sz w:val="20"/>
              </w:rPr>
            </w:pPr>
            <w:r w:rsidRPr="00436559">
              <w:rPr>
                <w:rFonts w:ascii="Arial Narrow" w:hAnsi="Arial Narrow"/>
                <w:i/>
                <w:sz w:val="20"/>
              </w:rPr>
              <w:t>Hormone and Metabolic Research</w:t>
            </w:r>
            <w:r w:rsidRPr="00D7615D">
              <w:rPr>
                <w:rFonts w:ascii="Arial Narrow" w:hAnsi="Arial Narrow"/>
                <w:sz w:val="20"/>
              </w:rPr>
              <w:t xml:space="preserve"> 2006; 38(12):838-44</w:t>
            </w:r>
          </w:p>
        </w:tc>
      </w:tr>
      <w:tr w:rsidR="0024179B" w:rsidRPr="00D7615D" w:rsidTr="008C190A">
        <w:trPr>
          <w:trHeight w:val="144"/>
        </w:trPr>
        <w:tc>
          <w:tcPr>
            <w:tcW w:w="5000" w:type="pct"/>
            <w:gridSpan w:val="3"/>
          </w:tcPr>
          <w:p w:rsidR="0024179B" w:rsidRPr="00D7615D" w:rsidRDefault="0024179B" w:rsidP="008C190A">
            <w:pPr>
              <w:rPr>
                <w:rFonts w:ascii="Arial Narrow" w:hAnsi="Arial Narrow"/>
                <w:iCs/>
                <w:sz w:val="20"/>
              </w:rPr>
            </w:pPr>
            <w:proofErr w:type="spellStart"/>
            <w:r w:rsidRPr="00D7615D">
              <w:rPr>
                <w:rFonts w:ascii="Arial Narrow" w:hAnsi="Arial Narrow"/>
                <w:b/>
                <w:iCs/>
                <w:sz w:val="20"/>
              </w:rPr>
              <w:t>Exenatide</w:t>
            </w:r>
            <w:proofErr w:type="spellEnd"/>
            <w:r w:rsidRPr="00D7615D">
              <w:rPr>
                <w:rFonts w:ascii="Arial Narrow" w:hAnsi="Arial Narrow"/>
                <w:b/>
                <w:iCs/>
                <w:sz w:val="20"/>
              </w:rPr>
              <w:t xml:space="preserve"> vs placebo (various background therapies)</w:t>
            </w:r>
          </w:p>
        </w:tc>
      </w:tr>
      <w:tr w:rsidR="0024179B" w:rsidRPr="00D7615D" w:rsidTr="00436559">
        <w:trPr>
          <w:trHeight w:val="144"/>
        </w:trPr>
        <w:tc>
          <w:tcPr>
            <w:tcW w:w="850" w:type="pct"/>
          </w:tcPr>
          <w:p w:rsidR="0024179B" w:rsidRPr="00D7615D" w:rsidRDefault="0024179B" w:rsidP="00436559">
            <w:pPr>
              <w:pStyle w:val="COMtbl-textLeftAligned"/>
            </w:pPr>
            <w:proofErr w:type="spellStart"/>
            <w:r w:rsidRPr="00D7615D">
              <w:t>Chaudhuri</w:t>
            </w:r>
            <w:proofErr w:type="spellEnd"/>
          </w:p>
        </w:tc>
        <w:tc>
          <w:tcPr>
            <w:tcW w:w="3141" w:type="pct"/>
          </w:tcPr>
          <w:p w:rsidR="0024179B" w:rsidRPr="00D7615D" w:rsidRDefault="0024179B" w:rsidP="008C190A">
            <w:pPr>
              <w:pStyle w:val="COMtbl-textLeftAligned"/>
            </w:pPr>
            <w:proofErr w:type="spellStart"/>
            <w:r w:rsidRPr="00D7615D">
              <w:t>Exenatide</w:t>
            </w:r>
            <w:proofErr w:type="spellEnd"/>
            <w:r w:rsidRPr="00D7615D">
              <w:t xml:space="preserve"> exerts a potent anti-inflammatory effect </w:t>
            </w:r>
          </w:p>
        </w:tc>
        <w:tc>
          <w:tcPr>
            <w:tcW w:w="1009" w:type="pct"/>
          </w:tcPr>
          <w:p w:rsidR="0024179B" w:rsidRDefault="0024179B" w:rsidP="008C190A">
            <w:pPr>
              <w:rPr>
                <w:rFonts w:ascii="Arial Narrow" w:hAnsi="Arial Narrow"/>
                <w:iCs/>
                <w:sz w:val="20"/>
              </w:rPr>
            </w:pPr>
            <w:r w:rsidRPr="00436559">
              <w:rPr>
                <w:rFonts w:ascii="Arial Narrow" w:hAnsi="Arial Narrow"/>
                <w:i/>
                <w:iCs/>
                <w:sz w:val="20"/>
              </w:rPr>
              <w:t>Journal of Clinical Endocrinology and Metabolism</w:t>
            </w:r>
            <w:r w:rsidRPr="00D7615D">
              <w:rPr>
                <w:rFonts w:ascii="Arial Narrow" w:hAnsi="Arial Narrow"/>
                <w:iCs/>
                <w:sz w:val="20"/>
              </w:rPr>
              <w:t xml:space="preserve"> 2012; 97(1):198-207</w:t>
            </w:r>
          </w:p>
          <w:p w:rsidR="00436559" w:rsidRPr="00D7615D" w:rsidRDefault="00436559" w:rsidP="008C190A">
            <w:pPr>
              <w:rPr>
                <w:rFonts w:ascii="Arial Narrow" w:hAnsi="Arial Narrow"/>
                <w:iCs/>
                <w:sz w:val="20"/>
              </w:rPr>
            </w:pPr>
          </w:p>
        </w:tc>
      </w:tr>
      <w:tr w:rsidR="0024179B" w:rsidRPr="00D7615D" w:rsidTr="00436559">
        <w:trPr>
          <w:trHeight w:val="144"/>
        </w:trPr>
        <w:tc>
          <w:tcPr>
            <w:tcW w:w="850" w:type="pct"/>
          </w:tcPr>
          <w:p w:rsidR="0024179B" w:rsidRPr="00D7615D" w:rsidRDefault="0024179B" w:rsidP="008C190A">
            <w:pPr>
              <w:pStyle w:val="COMtbl-textLeftAligned"/>
            </w:pPr>
            <w:proofErr w:type="spellStart"/>
            <w:r w:rsidRPr="00D7615D">
              <w:t>Fineman</w:t>
            </w:r>
            <w:proofErr w:type="spellEnd"/>
          </w:p>
        </w:tc>
        <w:tc>
          <w:tcPr>
            <w:tcW w:w="3141" w:type="pct"/>
          </w:tcPr>
          <w:p w:rsidR="0024179B" w:rsidRPr="00D7615D" w:rsidRDefault="0024179B" w:rsidP="008C190A">
            <w:pPr>
              <w:pStyle w:val="COMtbl-textLeftAligned"/>
            </w:pPr>
            <w:r w:rsidRPr="00D7615D">
              <w:t xml:space="preserve">Effect on </w:t>
            </w:r>
            <w:proofErr w:type="spellStart"/>
            <w:r w:rsidRPr="00D7615D">
              <w:t>glycemic</w:t>
            </w:r>
            <w:proofErr w:type="spellEnd"/>
            <w:r w:rsidRPr="00D7615D">
              <w:t xml:space="preserve"> control of </w:t>
            </w:r>
            <w:proofErr w:type="spellStart"/>
            <w:r w:rsidRPr="00D7615D">
              <w:t>exenatide</w:t>
            </w:r>
            <w:proofErr w:type="spellEnd"/>
            <w:r w:rsidRPr="00D7615D">
              <w:t xml:space="preserve"> (synthetic exendin-4) additive to existing metformin and/or </w:t>
            </w:r>
            <w:proofErr w:type="spellStart"/>
            <w:r w:rsidRPr="00D7615D">
              <w:t>sulphonylurea</w:t>
            </w:r>
            <w:proofErr w:type="spellEnd"/>
            <w:r w:rsidRPr="00D7615D">
              <w:t xml:space="preserve"> treatment in patients with type 2 diabetes </w:t>
            </w:r>
          </w:p>
        </w:tc>
        <w:tc>
          <w:tcPr>
            <w:tcW w:w="1009" w:type="pct"/>
          </w:tcPr>
          <w:p w:rsidR="0024179B" w:rsidRPr="00D7615D" w:rsidRDefault="0024179B" w:rsidP="008C190A">
            <w:pPr>
              <w:rPr>
                <w:rFonts w:ascii="Arial Narrow" w:hAnsi="Arial Narrow"/>
                <w:iCs/>
                <w:sz w:val="20"/>
              </w:rPr>
            </w:pPr>
            <w:r w:rsidRPr="00436559">
              <w:rPr>
                <w:rFonts w:ascii="Arial Narrow" w:hAnsi="Arial Narrow"/>
                <w:i/>
                <w:iCs/>
                <w:sz w:val="20"/>
              </w:rPr>
              <w:t>Diabetes Care</w:t>
            </w:r>
            <w:r w:rsidRPr="00D7615D">
              <w:rPr>
                <w:rFonts w:ascii="Arial Narrow" w:hAnsi="Arial Narrow"/>
                <w:iCs/>
                <w:sz w:val="20"/>
              </w:rPr>
              <w:t xml:space="preserve"> 2003; 26(8):2370-2377</w:t>
            </w:r>
          </w:p>
        </w:tc>
      </w:tr>
      <w:tr w:rsidR="0024179B" w:rsidRPr="00D7615D" w:rsidTr="00436559">
        <w:trPr>
          <w:trHeight w:val="144"/>
        </w:trPr>
        <w:tc>
          <w:tcPr>
            <w:tcW w:w="850" w:type="pct"/>
          </w:tcPr>
          <w:p w:rsidR="0024179B" w:rsidRPr="00D7615D" w:rsidRDefault="0024179B" w:rsidP="00436559">
            <w:pPr>
              <w:pStyle w:val="COMtbl-textLeftAligned"/>
            </w:pPr>
            <w:proofErr w:type="spellStart"/>
            <w:r w:rsidRPr="00D7615D">
              <w:t>Gejl</w:t>
            </w:r>
            <w:proofErr w:type="spellEnd"/>
          </w:p>
        </w:tc>
        <w:tc>
          <w:tcPr>
            <w:tcW w:w="3141" w:type="pct"/>
          </w:tcPr>
          <w:p w:rsidR="0024179B" w:rsidRPr="00D7615D" w:rsidRDefault="0024179B" w:rsidP="008C190A">
            <w:pPr>
              <w:pStyle w:val="COMtbl-textLeftAligned"/>
            </w:pPr>
            <w:proofErr w:type="spellStart"/>
            <w:r w:rsidRPr="00D7615D">
              <w:t>Exenatide</w:t>
            </w:r>
            <w:proofErr w:type="spellEnd"/>
            <w:r w:rsidRPr="00D7615D">
              <w:t xml:space="preserve"> alters myocardial glucose transport and uptake depending on insulin resistance and increases myocardial blood flow in patients with type 2 diabetes </w:t>
            </w:r>
          </w:p>
        </w:tc>
        <w:tc>
          <w:tcPr>
            <w:tcW w:w="1009" w:type="pct"/>
          </w:tcPr>
          <w:p w:rsidR="0024179B" w:rsidRDefault="0024179B" w:rsidP="008C190A">
            <w:pPr>
              <w:rPr>
                <w:rFonts w:ascii="Arial Narrow" w:hAnsi="Arial Narrow"/>
                <w:iCs/>
                <w:sz w:val="20"/>
              </w:rPr>
            </w:pPr>
            <w:r w:rsidRPr="00436559">
              <w:rPr>
                <w:rFonts w:ascii="Arial Narrow" w:hAnsi="Arial Narrow"/>
                <w:i/>
                <w:iCs/>
                <w:sz w:val="20"/>
              </w:rPr>
              <w:t>Journal of Clinical Endocrinology and Metabolism</w:t>
            </w:r>
            <w:r w:rsidRPr="00D7615D">
              <w:rPr>
                <w:rFonts w:ascii="Arial Narrow" w:hAnsi="Arial Narrow"/>
                <w:iCs/>
                <w:sz w:val="20"/>
              </w:rPr>
              <w:t xml:space="preserve"> 2012; 97(7):E1165-E1169</w:t>
            </w:r>
          </w:p>
          <w:p w:rsidR="00436559" w:rsidRPr="00D7615D" w:rsidRDefault="00436559" w:rsidP="008C190A">
            <w:pPr>
              <w:rPr>
                <w:rFonts w:ascii="Arial Narrow" w:hAnsi="Arial Narrow"/>
                <w:sz w:val="20"/>
              </w:rPr>
            </w:pPr>
          </w:p>
        </w:tc>
      </w:tr>
      <w:tr w:rsidR="0024179B" w:rsidRPr="00D7615D" w:rsidTr="00436559">
        <w:trPr>
          <w:trHeight w:val="144"/>
        </w:trPr>
        <w:tc>
          <w:tcPr>
            <w:tcW w:w="850" w:type="pct"/>
          </w:tcPr>
          <w:p w:rsidR="0024179B" w:rsidRPr="00D7615D" w:rsidRDefault="0024179B" w:rsidP="008C190A">
            <w:pPr>
              <w:pStyle w:val="COMtbl-textLeftAligned"/>
            </w:pPr>
            <w:proofErr w:type="spellStart"/>
            <w:r w:rsidRPr="00D7615D">
              <w:t>Kadowaki</w:t>
            </w:r>
            <w:proofErr w:type="spellEnd"/>
          </w:p>
        </w:tc>
        <w:tc>
          <w:tcPr>
            <w:tcW w:w="3141" w:type="pct"/>
          </w:tcPr>
          <w:p w:rsidR="0024179B" w:rsidRDefault="0024179B" w:rsidP="008C190A">
            <w:pPr>
              <w:pStyle w:val="COMtbl-textLeftAligned"/>
            </w:pPr>
            <w:proofErr w:type="spellStart"/>
            <w:r w:rsidRPr="00D7615D">
              <w:t>Exenatide</w:t>
            </w:r>
            <w:proofErr w:type="spellEnd"/>
            <w:r w:rsidRPr="00D7615D">
              <w:t xml:space="preserve"> exhibits dose-dependent effects on glycaemic control over 12 weeks in Japanese patients with sub optimally controlled type 2 diabetes </w:t>
            </w:r>
          </w:p>
          <w:p w:rsidR="00436559" w:rsidRPr="00D7615D" w:rsidRDefault="00436559" w:rsidP="008C190A">
            <w:pPr>
              <w:pStyle w:val="COMtbl-textLeftAligned"/>
            </w:pPr>
          </w:p>
        </w:tc>
        <w:tc>
          <w:tcPr>
            <w:tcW w:w="1009" w:type="pct"/>
          </w:tcPr>
          <w:p w:rsidR="0024179B" w:rsidRPr="00D7615D" w:rsidRDefault="0024179B" w:rsidP="008C190A">
            <w:pPr>
              <w:rPr>
                <w:rFonts w:ascii="Arial Narrow" w:hAnsi="Arial Narrow"/>
                <w:iCs/>
                <w:sz w:val="20"/>
              </w:rPr>
            </w:pPr>
            <w:r w:rsidRPr="00436559">
              <w:rPr>
                <w:rFonts w:ascii="Arial Narrow" w:hAnsi="Arial Narrow"/>
                <w:i/>
                <w:iCs/>
                <w:sz w:val="20"/>
              </w:rPr>
              <w:t>Endocrine Journal</w:t>
            </w:r>
            <w:r w:rsidRPr="00D7615D">
              <w:rPr>
                <w:rFonts w:ascii="Arial Narrow" w:hAnsi="Arial Narrow"/>
                <w:iCs/>
                <w:sz w:val="20"/>
              </w:rPr>
              <w:t xml:space="preserve"> 2009; 56(3):415-24</w:t>
            </w:r>
          </w:p>
        </w:tc>
      </w:tr>
      <w:tr w:rsidR="0024179B" w:rsidRPr="00D7615D" w:rsidTr="00436559">
        <w:trPr>
          <w:trHeight w:val="144"/>
        </w:trPr>
        <w:tc>
          <w:tcPr>
            <w:tcW w:w="850" w:type="pct"/>
          </w:tcPr>
          <w:p w:rsidR="0024179B" w:rsidRPr="00D7615D" w:rsidRDefault="0024179B" w:rsidP="008C190A">
            <w:pPr>
              <w:pStyle w:val="COMtbl-textLeftAligned"/>
            </w:pPr>
            <w:proofErr w:type="spellStart"/>
            <w:r w:rsidRPr="00D7615D">
              <w:t>Linnebjerg</w:t>
            </w:r>
            <w:proofErr w:type="spellEnd"/>
          </w:p>
        </w:tc>
        <w:tc>
          <w:tcPr>
            <w:tcW w:w="3141" w:type="pct"/>
          </w:tcPr>
          <w:p w:rsidR="0024179B" w:rsidRDefault="0024179B" w:rsidP="008C190A">
            <w:pPr>
              <w:pStyle w:val="COMtbl-textLeftAligned"/>
            </w:pPr>
            <w:r w:rsidRPr="00D7615D">
              <w:t xml:space="preserve">Effect of </w:t>
            </w:r>
            <w:proofErr w:type="spellStart"/>
            <w:r w:rsidRPr="00D7615D">
              <w:t>exenatide</w:t>
            </w:r>
            <w:proofErr w:type="spellEnd"/>
            <w:r w:rsidRPr="00D7615D">
              <w:t xml:space="preserve"> on gastric emptying and relationship to postprandial glycaemia in type 2 diabetes </w:t>
            </w:r>
          </w:p>
          <w:p w:rsidR="00436559" w:rsidRPr="00D7615D" w:rsidRDefault="00436559" w:rsidP="008C190A">
            <w:pPr>
              <w:pStyle w:val="COMtbl-textLeftAligned"/>
            </w:pPr>
          </w:p>
        </w:tc>
        <w:tc>
          <w:tcPr>
            <w:tcW w:w="1009" w:type="pct"/>
          </w:tcPr>
          <w:p w:rsidR="0024179B" w:rsidRPr="00D7615D" w:rsidRDefault="0024179B" w:rsidP="008C190A">
            <w:pPr>
              <w:rPr>
                <w:rFonts w:ascii="Arial Narrow" w:hAnsi="Arial Narrow"/>
                <w:iCs/>
                <w:sz w:val="20"/>
              </w:rPr>
            </w:pPr>
            <w:r w:rsidRPr="00436559">
              <w:rPr>
                <w:rFonts w:ascii="Arial Narrow" w:hAnsi="Arial Narrow"/>
                <w:i/>
                <w:iCs/>
                <w:sz w:val="20"/>
              </w:rPr>
              <w:t>Regulatory Peptides</w:t>
            </w:r>
            <w:r w:rsidRPr="00D7615D">
              <w:rPr>
                <w:rFonts w:ascii="Arial Narrow" w:hAnsi="Arial Narrow"/>
                <w:iCs/>
                <w:sz w:val="20"/>
              </w:rPr>
              <w:t xml:space="preserve"> 2008; 151(1-3):123-9</w:t>
            </w:r>
          </w:p>
        </w:tc>
      </w:tr>
      <w:tr w:rsidR="0024179B" w:rsidRPr="00D7615D" w:rsidTr="00436559">
        <w:trPr>
          <w:trHeight w:val="144"/>
        </w:trPr>
        <w:tc>
          <w:tcPr>
            <w:tcW w:w="850" w:type="pct"/>
          </w:tcPr>
          <w:p w:rsidR="0024179B" w:rsidRPr="00D7615D" w:rsidRDefault="0024179B" w:rsidP="00436559">
            <w:pPr>
              <w:pStyle w:val="COMtbl-textLeftAligned"/>
            </w:pPr>
            <w:r w:rsidRPr="00D7615D">
              <w:t>Wu</w:t>
            </w:r>
          </w:p>
        </w:tc>
        <w:tc>
          <w:tcPr>
            <w:tcW w:w="3141" w:type="pct"/>
          </w:tcPr>
          <w:p w:rsidR="0024179B" w:rsidRPr="00D7615D" w:rsidRDefault="0024179B" w:rsidP="008C190A">
            <w:pPr>
              <w:pStyle w:val="COMtbl-textLeftAligned"/>
            </w:pPr>
            <w:r w:rsidRPr="00D7615D">
              <w:t xml:space="preserve">Effect of </w:t>
            </w:r>
            <w:proofErr w:type="spellStart"/>
            <w:r w:rsidRPr="00D7615D">
              <w:t>exenatide</w:t>
            </w:r>
            <w:proofErr w:type="spellEnd"/>
            <w:r w:rsidRPr="00D7615D">
              <w:t xml:space="preserve"> on inflammatory and oxidative stress markers in patients with type 2 diabetes mellitus </w:t>
            </w:r>
          </w:p>
        </w:tc>
        <w:tc>
          <w:tcPr>
            <w:tcW w:w="1009" w:type="pct"/>
          </w:tcPr>
          <w:p w:rsidR="0024179B" w:rsidRDefault="0024179B" w:rsidP="008C190A">
            <w:pPr>
              <w:rPr>
                <w:rFonts w:ascii="Arial Narrow" w:hAnsi="Arial Narrow"/>
                <w:iCs/>
                <w:sz w:val="20"/>
              </w:rPr>
            </w:pPr>
            <w:r w:rsidRPr="00436559">
              <w:rPr>
                <w:rFonts w:ascii="Arial Narrow" w:hAnsi="Arial Narrow"/>
                <w:i/>
                <w:iCs/>
                <w:sz w:val="20"/>
              </w:rPr>
              <w:t>Diabetes Technology and Therapeutics</w:t>
            </w:r>
            <w:r w:rsidRPr="00D7615D">
              <w:rPr>
                <w:rFonts w:ascii="Arial Narrow" w:hAnsi="Arial Narrow"/>
                <w:iCs/>
                <w:sz w:val="20"/>
              </w:rPr>
              <w:t xml:space="preserve"> 2011; 13(2):143-8</w:t>
            </w:r>
            <w:r w:rsidR="00436559">
              <w:rPr>
                <w:rFonts w:ascii="Arial Narrow" w:hAnsi="Arial Narrow"/>
                <w:iCs/>
                <w:sz w:val="20"/>
              </w:rPr>
              <w:t>3</w:t>
            </w:r>
          </w:p>
          <w:p w:rsidR="00436559" w:rsidRPr="00D7615D" w:rsidRDefault="00436559" w:rsidP="008C190A">
            <w:pPr>
              <w:rPr>
                <w:rFonts w:ascii="Arial Narrow" w:hAnsi="Arial Narrow"/>
                <w:iCs/>
                <w:sz w:val="20"/>
              </w:rPr>
            </w:pPr>
          </w:p>
        </w:tc>
      </w:tr>
    </w:tbl>
    <w:p w:rsidR="0024179B" w:rsidRDefault="0024179B" w:rsidP="0024179B">
      <w:pPr>
        <w:pStyle w:val="COMBody"/>
        <w:rPr>
          <w:highlight w:val="yellow"/>
        </w:rPr>
      </w:pPr>
    </w:p>
    <w:p w:rsidR="0024179B" w:rsidRPr="008C190A" w:rsidRDefault="00D86ACD" w:rsidP="008C190A">
      <w:pPr>
        <w:pStyle w:val="ListParagraph"/>
        <w:numPr>
          <w:ilvl w:val="1"/>
          <w:numId w:val="25"/>
        </w:numPr>
        <w:jc w:val="both"/>
        <w:rPr>
          <w:rFonts w:ascii="Arial" w:hAnsi="Arial"/>
          <w:sz w:val="22"/>
          <w:szCs w:val="22"/>
        </w:rPr>
      </w:pPr>
      <w:r>
        <w:rPr>
          <w:rFonts w:ascii="Arial" w:hAnsi="Arial"/>
          <w:sz w:val="22"/>
          <w:szCs w:val="22"/>
        </w:rPr>
        <w:t>A</w:t>
      </w:r>
      <w:r w:rsidR="008C190A" w:rsidRPr="008C190A">
        <w:rPr>
          <w:rFonts w:ascii="Arial" w:hAnsi="Arial"/>
          <w:sz w:val="22"/>
          <w:szCs w:val="22"/>
        </w:rPr>
        <w:t xml:space="preserve"> systematic review of </w:t>
      </w:r>
      <w:proofErr w:type="spellStart"/>
      <w:r w:rsidR="008C190A" w:rsidRPr="008C190A">
        <w:rPr>
          <w:rFonts w:ascii="Arial" w:hAnsi="Arial"/>
          <w:sz w:val="22"/>
          <w:szCs w:val="22"/>
        </w:rPr>
        <w:t>lixisenatide</w:t>
      </w:r>
      <w:proofErr w:type="spellEnd"/>
      <w:r w:rsidR="008C190A" w:rsidRPr="008C190A">
        <w:rPr>
          <w:rFonts w:ascii="Arial" w:hAnsi="Arial"/>
          <w:sz w:val="22"/>
          <w:szCs w:val="22"/>
        </w:rPr>
        <w:t xml:space="preserve"> with a broader evidence base was located during the evaluation (Schmidt et al. 2014) but that this review had not yet been published.</w:t>
      </w:r>
      <w:r w:rsidR="008C190A">
        <w:rPr>
          <w:rFonts w:ascii="Arial" w:hAnsi="Arial"/>
          <w:sz w:val="22"/>
          <w:szCs w:val="22"/>
        </w:rPr>
        <w:t xml:space="preserve"> </w:t>
      </w:r>
    </w:p>
    <w:p w:rsidR="008C190A" w:rsidRPr="008C190A" w:rsidRDefault="008C190A" w:rsidP="008C190A">
      <w:pPr>
        <w:pStyle w:val="ListParagraph"/>
        <w:jc w:val="both"/>
        <w:rPr>
          <w:rFonts w:ascii="Arial" w:hAnsi="Arial"/>
          <w:sz w:val="22"/>
          <w:szCs w:val="22"/>
        </w:rPr>
      </w:pPr>
    </w:p>
    <w:p w:rsidR="008C190A" w:rsidRPr="00D7615D" w:rsidRDefault="008C190A" w:rsidP="008C190A">
      <w:pPr>
        <w:pStyle w:val="ListParagraph"/>
        <w:numPr>
          <w:ilvl w:val="1"/>
          <w:numId w:val="25"/>
        </w:numPr>
        <w:jc w:val="both"/>
        <w:rPr>
          <w:rFonts w:ascii="Arial" w:hAnsi="Arial"/>
          <w:sz w:val="22"/>
          <w:szCs w:val="22"/>
        </w:rPr>
      </w:pPr>
      <w:r w:rsidRPr="008C190A">
        <w:rPr>
          <w:rFonts w:ascii="Arial" w:hAnsi="Arial"/>
          <w:sz w:val="22"/>
          <w:szCs w:val="22"/>
        </w:rPr>
        <w:t>The evaluation further identified that an unpublished systematic review and mixed-treatment comparison of GLP-1 receptor agonists had been included in the sponsor’s submission to the All Wales Medicines Strategy Group</w:t>
      </w:r>
      <w:r w:rsidR="00D86ACD">
        <w:rPr>
          <w:rFonts w:ascii="Arial" w:hAnsi="Arial"/>
          <w:sz w:val="22"/>
          <w:szCs w:val="22"/>
        </w:rPr>
        <w:t>.</w:t>
      </w:r>
      <w:r w:rsidRPr="008C190A">
        <w:rPr>
          <w:rFonts w:ascii="Arial" w:hAnsi="Arial"/>
          <w:sz w:val="22"/>
          <w:szCs w:val="22"/>
        </w:rPr>
        <w:t xml:space="preserve"> This was not included in the submission to the PBAC. Given the limitations of the evidence base presented in the submission, the evaluation considered that a broader approach may</w:t>
      </w:r>
      <w:r>
        <w:rPr>
          <w:rFonts w:ascii="Arial" w:hAnsi="Arial"/>
          <w:sz w:val="22"/>
          <w:szCs w:val="22"/>
        </w:rPr>
        <w:t xml:space="preserve"> have</w:t>
      </w:r>
      <w:r w:rsidRPr="008C190A">
        <w:rPr>
          <w:rFonts w:ascii="Arial" w:hAnsi="Arial"/>
          <w:sz w:val="22"/>
          <w:szCs w:val="22"/>
        </w:rPr>
        <w:t xml:space="preserve"> provide</w:t>
      </w:r>
      <w:r>
        <w:rPr>
          <w:rFonts w:ascii="Arial" w:hAnsi="Arial"/>
          <w:sz w:val="22"/>
          <w:szCs w:val="22"/>
        </w:rPr>
        <w:t>d</w:t>
      </w:r>
      <w:r w:rsidRPr="008C190A">
        <w:rPr>
          <w:rFonts w:ascii="Arial" w:hAnsi="Arial"/>
          <w:sz w:val="22"/>
          <w:szCs w:val="22"/>
        </w:rPr>
        <w:t xml:space="preserve"> additional supportive information. </w:t>
      </w:r>
      <w:r w:rsidR="00627503">
        <w:rPr>
          <w:rFonts w:ascii="Arial" w:hAnsi="Arial"/>
          <w:sz w:val="22"/>
          <w:szCs w:val="22"/>
        </w:rPr>
        <w:t>It was</w:t>
      </w:r>
      <w:r w:rsidRPr="008C190A">
        <w:rPr>
          <w:rFonts w:ascii="Arial" w:hAnsi="Arial"/>
          <w:sz w:val="22"/>
          <w:szCs w:val="22"/>
        </w:rPr>
        <w:t xml:space="preserve"> noted that the </w:t>
      </w:r>
      <w:r>
        <w:rPr>
          <w:rFonts w:ascii="Arial" w:hAnsi="Arial"/>
          <w:sz w:val="22"/>
          <w:szCs w:val="22"/>
        </w:rPr>
        <w:t>pre-sub-committee response (PSCR)</w:t>
      </w:r>
      <w:r w:rsidRPr="008C190A">
        <w:rPr>
          <w:rFonts w:ascii="Arial" w:hAnsi="Arial"/>
          <w:sz w:val="22"/>
          <w:szCs w:val="22"/>
        </w:rPr>
        <w:t xml:space="preserve"> (p.4) discounted this review by contending that it “…included a number of comparisons that were not relevant to the requested PBS indication and included comparisons not relevant to the Australian market.” </w:t>
      </w:r>
    </w:p>
    <w:p w:rsidR="0024179B" w:rsidRDefault="0024179B" w:rsidP="0024179B">
      <w:pPr>
        <w:jc w:val="both"/>
        <w:rPr>
          <w:rFonts w:ascii="Arial" w:hAnsi="Arial"/>
          <w:sz w:val="22"/>
          <w:szCs w:val="22"/>
        </w:rPr>
      </w:pPr>
    </w:p>
    <w:p w:rsidR="0024179B" w:rsidRPr="00BB7EC3" w:rsidRDefault="0024179B" w:rsidP="0024179B">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24179B" w:rsidRPr="00882085" w:rsidRDefault="0024179B" w:rsidP="0024179B">
      <w:pPr>
        <w:ind w:left="709"/>
        <w:jc w:val="both"/>
        <w:rPr>
          <w:rFonts w:ascii="Arial" w:hAnsi="Arial"/>
          <w:sz w:val="22"/>
          <w:szCs w:val="22"/>
        </w:rPr>
      </w:pPr>
    </w:p>
    <w:p w:rsidR="0024179B" w:rsidRPr="00882085" w:rsidRDefault="0024179B" w:rsidP="0024179B">
      <w:pPr>
        <w:jc w:val="both"/>
        <w:rPr>
          <w:rFonts w:ascii="Arial" w:hAnsi="Arial"/>
          <w:b/>
          <w:i/>
          <w:sz w:val="22"/>
          <w:szCs w:val="22"/>
        </w:rPr>
      </w:pPr>
      <w:r w:rsidRPr="00882085">
        <w:rPr>
          <w:rFonts w:ascii="Arial" w:hAnsi="Arial"/>
          <w:b/>
          <w:i/>
          <w:sz w:val="22"/>
          <w:szCs w:val="22"/>
        </w:rPr>
        <w:t>Comparative effectiveness</w:t>
      </w:r>
    </w:p>
    <w:p w:rsidR="0024179B" w:rsidRPr="00882085" w:rsidRDefault="0024179B" w:rsidP="0024179B">
      <w:pPr>
        <w:jc w:val="both"/>
        <w:rPr>
          <w:rFonts w:ascii="Arial" w:hAnsi="Arial"/>
          <w:sz w:val="22"/>
          <w:szCs w:val="22"/>
        </w:rPr>
      </w:pPr>
    </w:p>
    <w:p w:rsidR="00C736F5" w:rsidRPr="00264B34" w:rsidRDefault="00C736F5" w:rsidP="00C736F5">
      <w:pPr>
        <w:pStyle w:val="ListParagraph"/>
        <w:numPr>
          <w:ilvl w:val="1"/>
          <w:numId w:val="25"/>
        </w:numPr>
        <w:jc w:val="both"/>
        <w:rPr>
          <w:rFonts w:ascii="Arial Narrow" w:hAnsi="Arial Narrow"/>
          <w:b/>
          <w:sz w:val="20"/>
          <w:szCs w:val="20"/>
        </w:rPr>
      </w:pPr>
      <w:r>
        <w:rPr>
          <w:rFonts w:ascii="Arial" w:hAnsi="Arial"/>
          <w:sz w:val="22"/>
          <w:szCs w:val="22"/>
        </w:rPr>
        <w:t>The primary outcome measured in all trials was the m</w:t>
      </w:r>
      <w:r w:rsidRPr="00C736F5">
        <w:rPr>
          <w:rFonts w:ascii="Arial" w:hAnsi="Arial"/>
          <w:sz w:val="22"/>
          <w:szCs w:val="22"/>
        </w:rPr>
        <w:t>ean change in HbA1c (%) from baseline</w:t>
      </w:r>
      <w:r>
        <w:rPr>
          <w:rFonts w:ascii="Arial" w:hAnsi="Arial"/>
          <w:sz w:val="22"/>
          <w:szCs w:val="22"/>
        </w:rPr>
        <w:t>.</w:t>
      </w:r>
    </w:p>
    <w:p w:rsidR="00C736F5" w:rsidRPr="00C736F5" w:rsidRDefault="00C736F5" w:rsidP="00C736F5">
      <w:pPr>
        <w:pStyle w:val="ListParagraph"/>
        <w:jc w:val="both"/>
        <w:rPr>
          <w:rFonts w:ascii="Arial Narrow" w:hAnsi="Arial Narrow"/>
          <w:b/>
          <w:sz w:val="20"/>
          <w:szCs w:val="20"/>
        </w:rPr>
      </w:pPr>
    </w:p>
    <w:p w:rsidR="00C736F5" w:rsidRPr="00C736F5" w:rsidRDefault="00264B34" w:rsidP="0024179B">
      <w:pPr>
        <w:pStyle w:val="ListParagraph"/>
        <w:numPr>
          <w:ilvl w:val="1"/>
          <w:numId w:val="25"/>
        </w:numPr>
        <w:jc w:val="both"/>
        <w:rPr>
          <w:rFonts w:ascii="Arial Narrow" w:hAnsi="Arial Narrow"/>
          <w:b/>
          <w:sz w:val="20"/>
          <w:szCs w:val="20"/>
          <w:u w:val="single"/>
        </w:rPr>
      </w:pPr>
      <w:r>
        <w:rPr>
          <w:rFonts w:ascii="Arial" w:hAnsi="Arial"/>
          <w:sz w:val="22"/>
          <w:szCs w:val="22"/>
          <w:u w:val="single"/>
        </w:rPr>
        <w:t xml:space="preserve">Direct comparison: </w:t>
      </w:r>
      <w:proofErr w:type="spellStart"/>
      <w:r w:rsidR="00C736F5" w:rsidRPr="00C736F5">
        <w:rPr>
          <w:rFonts w:ascii="Arial" w:hAnsi="Arial"/>
          <w:sz w:val="22"/>
          <w:szCs w:val="22"/>
          <w:u w:val="single"/>
        </w:rPr>
        <w:t>Lixisenatide</w:t>
      </w:r>
      <w:proofErr w:type="spellEnd"/>
      <w:r w:rsidR="00C736F5" w:rsidRPr="00C736F5">
        <w:rPr>
          <w:rFonts w:ascii="Arial" w:hAnsi="Arial"/>
          <w:sz w:val="22"/>
          <w:szCs w:val="22"/>
          <w:u w:val="single"/>
        </w:rPr>
        <w:t xml:space="preserve"> vs. </w:t>
      </w:r>
      <w:proofErr w:type="spellStart"/>
      <w:r w:rsidR="00C736F5" w:rsidRPr="00C736F5">
        <w:rPr>
          <w:rFonts w:ascii="Arial" w:hAnsi="Arial"/>
          <w:sz w:val="22"/>
          <w:szCs w:val="22"/>
          <w:u w:val="single"/>
        </w:rPr>
        <w:t>exenatide</w:t>
      </w:r>
      <w:proofErr w:type="spellEnd"/>
    </w:p>
    <w:p w:rsidR="00C736F5" w:rsidRPr="00C736F5" w:rsidRDefault="00C736F5" w:rsidP="00C736F5">
      <w:pPr>
        <w:pStyle w:val="ListParagraph"/>
        <w:jc w:val="both"/>
        <w:rPr>
          <w:rFonts w:ascii="Arial Narrow" w:hAnsi="Arial Narrow"/>
          <w:b/>
          <w:sz w:val="20"/>
          <w:szCs w:val="20"/>
        </w:rPr>
      </w:pPr>
      <w:r>
        <w:rPr>
          <w:rFonts w:ascii="Arial" w:hAnsi="Arial"/>
          <w:sz w:val="22"/>
          <w:szCs w:val="22"/>
        </w:rPr>
        <w:t xml:space="preserve">The results of </w:t>
      </w:r>
      <w:r w:rsidRPr="00C736F5">
        <w:rPr>
          <w:rFonts w:ascii="Arial" w:hAnsi="Arial"/>
          <w:sz w:val="22"/>
          <w:szCs w:val="22"/>
        </w:rPr>
        <w:t>GETGOAL-X (dual therapy with metformin)</w:t>
      </w:r>
      <w:r>
        <w:rPr>
          <w:rFonts w:ascii="Arial" w:hAnsi="Arial"/>
          <w:sz w:val="22"/>
          <w:szCs w:val="22"/>
        </w:rPr>
        <w:t xml:space="preserve"> are shown in the table below.</w:t>
      </w:r>
    </w:p>
    <w:p w:rsidR="0024179B" w:rsidRPr="00C736F5" w:rsidRDefault="0024179B" w:rsidP="00C736F5">
      <w:pPr>
        <w:pStyle w:val="ListParagraph"/>
        <w:jc w:val="both"/>
        <w:rPr>
          <w:rFonts w:ascii="Arial Narrow" w:hAnsi="Arial Narrow"/>
          <w:b/>
          <w:sz w:val="20"/>
          <w:szCs w:val="20"/>
        </w:rPr>
      </w:pPr>
      <w:r w:rsidRPr="003D26D8">
        <w:rPr>
          <w:rFonts w:ascii="Arial" w:hAnsi="Arial"/>
          <w:sz w:val="22"/>
          <w:szCs w:val="22"/>
        </w:rPr>
        <w:br/>
      </w:r>
      <w:r w:rsidRPr="00C736F5">
        <w:rPr>
          <w:rFonts w:ascii="Arial Narrow" w:hAnsi="Arial Narrow"/>
          <w:b/>
          <w:sz w:val="20"/>
          <w:szCs w:val="20"/>
        </w:rPr>
        <w:t>Mean change in HbA1c (%) from baseline to Week 24 in GETGOAL-X (dual therapy with metformin)</w:t>
      </w:r>
      <w:r w:rsidR="00C736F5">
        <w:rPr>
          <w:rFonts w:ascii="Arial Narrow" w:hAnsi="Arial Narrow"/>
          <w:b/>
          <w:sz w:val="20"/>
          <w:szCs w:val="20"/>
        </w:rPr>
        <w:t xml:space="preserve"> </w:t>
      </w:r>
    </w:p>
    <w:tbl>
      <w:tblPr>
        <w:tblW w:w="452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Mean change in HbA1c (%) from baseline to Week 24 in GETGOAL-X (dual therapy with metformin) "/>
      </w:tblPr>
      <w:tblGrid>
        <w:gridCol w:w="4253"/>
        <w:gridCol w:w="1983"/>
        <w:gridCol w:w="2126"/>
      </w:tblGrid>
      <w:tr w:rsidR="0024179B" w:rsidRPr="00DF5A6E" w:rsidTr="008C190A">
        <w:trPr>
          <w:trHeight w:val="20"/>
        </w:trPr>
        <w:tc>
          <w:tcPr>
            <w:tcW w:w="2543" w:type="pct"/>
            <w:shd w:val="clear" w:color="auto" w:fill="auto"/>
          </w:tcPr>
          <w:p w:rsidR="0024179B" w:rsidRPr="00DF5A6E" w:rsidRDefault="0024179B" w:rsidP="008C190A">
            <w:pPr>
              <w:rPr>
                <w:rFonts w:ascii="Arial Narrow" w:hAnsi="Arial Narrow"/>
                <w:sz w:val="20"/>
              </w:rPr>
            </w:pPr>
          </w:p>
        </w:tc>
        <w:tc>
          <w:tcPr>
            <w:tcW w:w="1186" w:type="pct"/>
            <w:shd w:val="clear" w:color="auto" w:fill="auto"/>
          </w:tcPr>
          <w:p w:rsidR="0024179B" w:rsidRPr="00DF5A6E" w:rsidRDefault="0024179B" w:rsidP="008C190A">
            <w:pPr>
              <w:jc w:val="center"/>
              <w:rPr>
                <w:rFonts w:ascii="Arial Narrow" w:hAnsi="Arial Narrow"/>
                <w:b/>
                <w:sz w:val="20"/>
              </w:rPr>
            </w:pPr>
            <w:proofErr w:type="spellStart"/>
            <w:r w:rsidRPr="00DF5A6E">
              <w:rPr>
                <w:rFonts w:ascii="Arial Narrow" w:hAnsi="Arial Narrow"/>
                <w:b/>
                <w:sz w:val="20"/>
              </w:rPr>
              <w:t>Lixisenatide</w:t>
            </w:r>
            <w:proofErr w:type="spellEnd"/>
            <w:r w:rsidRPr="00DF5A6E">
              <w:rPr>
                <w:rFonts w:ascii="Arial Narrow" w:hAnsi="Arial Narrow"/>
                <w:b/>
                <w:sz w:val="20"/>
              </w:rPr>
              <w:t xml:space="preserve"> 20</w:t>
            </w:r>
            <w:r>
              <w:rPr>
                <w:rFonts w:ascii="Arial Narrow" w:hAnsi="Arial Narrow"/>
                <w:b/>
                <w:sz w:val="20"/>
              </w:rPr>
              <w:t xml:space="preserve"> mcg</w:t>
            </w:r>
            <w:r w:rsidRPr="00DF5A6E">
              <w:rPr>
                <w:rFonts w:ascii="Arial Narrow" w:hAnsi="Arial Narrow"/>
                <w:b/>
                <w:sz w:val="20"/>
              </w:rPr>
              <w:t xml:space="preserve"> daily + metformin</w:t>
            </w:r>
          </w:p>
        </w:tc>
        <w:tc>
          <w:tcPr>
            <w:tcW w:w="1271" w:type="pct"/>
            <w:shd w:val="clear" w:color="auto" w:fill="auto"/>
          </w:tcPr>
          <w:p w:rsidR="0024179B" w:rsidRPr="00DF5A6E" w:rsidRDefault="0024179B" w:rsidP="008C190A">
            <w:pPr>
              <w:jc w:val="center"/>
              <w:rPr>
                <w:rFonts w:ascii="Arial Narrow" w:hAnsi="Arial Narrow"/>
                <w:b/>
                <w:sz w:val="20"/>
              </w:rPr>
            </w:pPr>
            <w:proofErr w:type="spellStart"/>
            <w:r w:rsidRPr="00DF5A6E">
              <w:rPr>
                <w:rFonts w:ascii="Arial Narrow" w:hAnsi="Arial Narrow"/>
                <w:b/>
                <w:sz w:val="20"/>
              </w:rPr>
              <w:t>Exenatide</w:t>
            </w:r>
            <w:proofErr w:type="spellEnd"/>
            <w:r w:rsidRPr="00DF5A6E">
              <w:rPr>
                <w:rFonts w:ascii="Arial Narrow" w:hAnsi="Arial Narrow"/>
                <w:b/>
                <w:sz w:val="20"/>
              </w:rPr>
              <w:t xml:space="preserve"> 10</w:t>
            </w:r>
            <w:r>
              <w:rPr>
                <w:rFonts w:ascii="Arial Narrow" w:hAnsi="Arial Narrow"/>
                <w:b/>
                <w:sz w:val="20"/>
              </w:rPr>
              <w:t xml:space="preserve"> mcg</w:t>
            </w:r>
            <w:r w:rsidRPr="00DF5A6E">
              <w:rPr>
                <w:rFonts w:ascii="Arial Narrow" w:hAnsi="Arial Narrow"/>
                <w:b/>
                <w:sz w:val="20"/>
              </w:rPr>
              <w:t xml:space="preserve"> twice daily + metformin</w:t>
            </w:r>
          </w:p>
        </w:tc>
      </w:tr>
      <w:tr w:rsidR="0024179B" w:rsidRPr="00DF5A6E" w:rsidTr="008C190A">
        <w:trPr>
          <w:trHeight w:val="20"/>
        </w:trPr>
        <w:tc>
          <w:tcPr>
            <w:tcW w:w="2543" w:type="pct"/>
            <w:shd w:val="clear" w:color="auto" w:fill="auto"/>
          </w:tcPr>
          <w:p w:rsidR="0024179B" w:rsidRPr="00DF5A6E" w:rsidRDefault="0024179B" w:rsidP="008C190A">
            <w:pPr>
              <w:rPr>
                <w:rFonts w:ascii="Arial Narrow" w:hAnsi="Arial Narrow"/>
                <w:b/>
                <w:sz w:val="20"/>
              </w:rPr>
            </w:pPr>
            <w:r w:rsidRPr="00DF5A6E">
              <w:rPr>
                <w:rFonts w:ascii="Arial Narrow" w:hAnsi="Arial Narrow"/>
                <w:b/>
                <w:sz w:val="20"/>
              </w:rPr>
              <w:t xml:space="preserve">Primary outcome: </w:t>
            </w:r>
            <w:proofErr w:type="spellStart"/>
            <w:r w:rsidRPr="00DF5A6E">
              <w:rPr>
                <w:rFonts w:ascii="Arial Narrow" w:hAnsi="Arial Narrow"/>
                <w:b/>
                <w:sz w:val="20"/>
              </w:rPr>
              <w:t>mITT</w:t>
            </w:r>
            <w:proofErr w:type="spellEnd"/>
            <w:r w:rsidRPr="00DF5A6E">
              <w:rPr>
                <w:rFonts w:ascii="Arial Narrow" w:hAnsi="Arial Narrow"/>
                <w:b/>
                <w:sz w:val="20"/>
              </w:rPr>
              <w:t xml:space="preserve"> population </w:t>
            </w:r>
          </w:p>
        </w:tc>
        <w:tc>
          <w:tcPr>
            <w:tcW w:w="1186" w:type="pct"/>
            <w:shd w:val="clear" w:color="auto" w:fill="auto"/>
          </w:tcPr>
          <w:p w:rsidR="0024179B" w:rsidRPr="00DF5A6E" w:rsidRDefault="0024179B" w:rsidP="008C190A">
            <w:pPr>
              <w:jc w:val="center"/>
              <w:rPr>
                <w:rFonts w:ascii="Arial Narrow" w:hAnsi="Arial Narrow"/>
                <w:sz w:val="20"/>
              </w:rPr>
            </w:pPr>
            <w:r w:rsidRPr="00DF5A6E">
              <w:rPr>
                <w:rFonts w:ascii="Arial Narrow" w:hAnsi="Arial Narrow"/>
                <w:sz w:val="20"/>
              </w:rPr>
              <w:t>N=295</w:t>
            </w:r>
          </w:p>
        </w:tc>
        <w:tc>
          <w:tcPr>
            <w:tcW w:w="1271" w:type="pct"/>
            <w:shd w:val="clear" w:color="auto" w:fill="auto"/>
          </w:tcPr>
          <w:p w:rsidR="0024179B" w:rsidRPr="00DF5A6E" w:rsidRDefault="0024179B" w:rsidP="008C190A">
            <w:pPr>
              <w:jc w:val="center"/>
              <w:rPr>
                <w:rFonts w:ascii="Arial Narrow" w:hAnsi="Arial Narrow"/>
                <w:sz w:val="20"/>
              </w:rPr>
            </w:pPr>
            <w:r w:rsidRPr="00DF5A6E">
              <w:rPr>
                <w:rFonts w:ascii="Arial Narrow" w:hAnsi="Arial Narrow"/>
                <w:sz w:val="20"/>
              </w:rPr>
              <w:t>N=297</w:t>
            </w:r>
          </w:p>
        </w:tc>
      </w:tr>
      <w:tr w:rsidR="0024179B" w:rsidRPr="00DF5A6E" w:rsidTr="008C190A">
        <w:trPr>
          <w:trHeight w:val="20"/>
        </w:trPr>
        <w:tc>
          <w:tcPr>
            <w:tcW w:w="2543" w:type="pct"/>
            <w:shd w:val="clear" w:color="auto" w:fill="auto"/>
          </w:tcPr>
          <w:p w:rsidR="0024179B" w:rsidRPr="00DF5A6E" w:rsidRDefault="0024179B" w:rsidP="008C190A">
            <w:pPr>
              <w:rPr>
                <w:rFonts w:ascii="Arial Narrow" w:hAnsi="Arial Narrow"/>
                <w:sz w:val="20"/>
              </w:rPr>
            </w:pPr>
            <w:r w:rsidRPr="00DF5A6E">
              <w:rPr>
                <w:rFonts w:ascii="Arial Narrow" w:hAnsi="Arial Narrow"/>
                <w:sz w:val="20"/>
              </w:rPr>
              <w:t>Baseline mean (SD)</w:t>
            </w:r>
          </w:p>
        </w:tc>
        <w:tc>
          <w:tcPr>
            <w:tcW w:w="1186" w:type="pct"/>
            <w:shd w:val="clear" w:color="auto" w:fill="auto"/>
          </w:tcPr>
          <w:p w:rsidR="0024179B" w:rsidRPr="00DF5A6E" w:rsidRDefault="0024179B" w:rsidP="008C190A">
            <w:pPr>
              <w:jc w:val="center"/>
              <w:rPr>
                <w:rFonts w:ascii="Arial Narrow" w:hAnsi="Arial Narrow"/>
                <w:sz w:val="20"/>
              </w:rPr>
            </w:pPr>
            <w:r w:rsidRPr="00DF5A6E">
              <w:rPr>
                <w:rFonts w:ascii="Arial Narrow" w:hAnsi="Arial Narrow"/>
                <w:sz w:val="20"/>
              </w:rPr>
              <w:t>7.97 (0.82)</w:t>
            </w:r>
          </w:p>
        </w:tc>
        <w:tc>
          <w:tcPr>
            <w:tcW w:w="1271" w:type="pct"/>
            <w:shd w:val="clear" w:color="auto" w:fill="auto"/>
          </w:tcPr>
          <w:p w:rsidR="0024179B" w:rsidRPr="00DF5A6E" w:rsidRDefault="0024179B" w:rsidP="008C190A">
            <w:pPr>
              <w:jc w:val="center"/>
              <w:rPr>
                <w:rFonts w:ascii="Arial Narrow" w:hAnsi="Arial Narrow"/>
                <w:sz w:val="20"/>
              </w:rPr>
            </w:pPr>
            <w:r w:rsidRPr="00DF5A6E">
              <w:rPr>
                <w:rFonts w:ascii="Arial Narrow" w:hAnsi="Arial Narrow"/>
                <w:sz w:val="20"/>
              </w:rPr>
              <w:t>7.96 (0.77)</w:t>
            </w:r>
          </w:p>
        </w:tc>
      </w:tr>
      <w:tr w:rsidR="0024179B" w:rsidRPr="00DF5A6E" w:rsidTr="008C190A">
        <w:trPr>
          <w:trHeight w:val="20"/>
        </w:trPr>
        <w:tc>
          <w:tcPr>
            <w:tcW w:w="2543" w:type="pct"/>
            <w:shd w:val="clear" w:color="auto" w:fill="auto"/>
          </w:tcPr>
          <w:p w:rsidR="0024179B" w:rsidRPr="00DF5A6E" w:rsidRDefault="0024179B" w:rsidP="008C190A">
            <w:pPr>
              <w:rPr>
                <w:rFonts w:ascii="Arial Narrow" w:hAnsi="Arial Narrow"/>
                <w:sz w:val="20"/>
              </w:rPr>
            </w:pPr>
            <w:r w:rsidRPr="00DF5A6E">
              <w:rPr>
                <w:rFonts w:ascii="Arial Narrow" w:hAnsi="Arial Narrow"/>
                <w:sz w:val="20"/>
              </w:rPr>
              <w:t>LS mean change (SE)</w:t>
            </w:r>
          </w:p>
        </w:tc>
        <w:tc>
          <w:tcPr>
            <w:tcW w:w="1186" w:type="pct"/>
            <w:shd w:val="clear" w:color="auto" w:fill="auto"/>
          </w:tcPr>
          <w:p w:rsidR="0024179B" w:rsidRPr="00DF5A6E" w:rsidRDefault="0024179B" w:rsidP="008C190A">
            <w:pPr>
              <w:jc w:val="center"/>
              <w:rPr>
                <w:rFonts w:ascii="Arial Narrow" w:hAnsi="Arial Narrow"/>
                <w:sz w:val="20"/>
              </w:rPr>
            </w:pPr>
            <w:r w:rsidRPr="00DF5A6E">
              <w:rPr>
                <w:rFonts w:ascii="Arial Narrow" w:hAnsi="Arial Narrow"/>
                <w:sz w:val="20"/>
              </w:rPr>
              <w:t>-0.79 (0.053)</w:t>
            </w:r>
          </w:p>
        </w:tc>
        <w:tc>
          <w:tcPr>
            <w:tcW w:w="1271" w:type="pct"/>
            <w:shd w:val="clear" w:color="auto" w:fill="auto"/>
          </w:tcPr>
          <w:p w:rsidR="0024179B" w:rsidRPr="00DF5A6E" w:rsidRDefault="0024179B" w:rsidP="008C190A">
            <w:pPr>
              <w:jc w:val="center"/>
              <w:rPr>
                <w:rFonts w:ascii="Arial Narrow" w:hAnsi="Arial Narrow"/>
                <w:sz w:val="20"/>
              </w:rPr>
            </w:pPr>
            <w:r w:rsidRPr="00DF5A6E">
              <w:rPr>
                <w:rFonts w:ascii="Arial Narrow" w:hAnsi="Arial Narrow"/>
                <w:sz w:val="20"/>
              </w:rPr>
              <w:t>-0.96 (0.054)</w:t>
            </w:r>
          </w:p>
        </w:tc>
      </w:tr>
      <w:tr w:rsidR="0024179B" w:rsidRPr="00DF5A6E" w:rsidTr="008C190A">
        <w:trPr>
          <w:trHeight w:val="20"/>
        </w:trPr>
        <w:tc>
          <w:tcPr>
            <w:tcW w:w="2543" w:type="pct"/>
            <w:shd w:val="clear" w:color="auto" w:fill="auto"/>
          </w:tcPr>
          <w:p w:rsidR="0024179B" w:rsidRPr="00DF5A6E" w:rsidRDefault="0024179B" w:rsidP="008C190A">
            <w:pPr>
              <w:rPr>
                <w:rFonts w:ascii="Arial Narrow" w:hAnsi="Arial Narrow"/>
                <w:sz w:val="20"/>
              </w:rPr>
            </w:pPr>
            <w:r w:rsidRPr="00DF5A6E">
              <w:rPr>
                <w:rFonts w:ascii="Arial Narrow" w:hAnsi="Arial Narrow"/>
                <w:sz w:val="20"/>
              </w:rPr>
              <w:t xml:space="preserve">LS mean difference </w:t>
            </w:r>
            <w:proofErr w:type="spellStart"/>
            <w:r w:rsidRPr="00DF5A6E">
              <w:rPr>
                <w:rFonts w:ascii="Arial Narrow" w:hAnsi="Arial Narrow"/>
                <w:sz w:val="20"/>
              </w:rPr>
              <w:t>lixisenatide</w:t>
            </w:r>
            <w:proofErr w:type="spellEnd"/>
            <w:r w:rsidRPr="00DF5A6E">
              <w:rPr>
                <w:rFonts w:ascii="Arial Narrow" w:hAnsi="Arial Narrow"/>
                <w:sz w:val="20"/>
              </w:rPr>
              <w:t xml:space="preserve"> vs. </w:t>
            </w:r>
            <w:proofErr w:type="spellStart"/>
            <w:r w:rsidRPr="00DF5A6E">
              <w:rPr>
                <w:rFonts w:ascii="Arial Narrow" w:hAnsi="Arial Narrow"/>
                <w:sz w:val="20"/>
              </w:rPr>
              <w:t>exenatide</w:t>
            </w:r>
            <w:proofErr w:type="spellEnd"/>
            <w:r w:rsidRPr="00DF5A6E">
              <w:rPr>
                <w:rFonts w:ascii="Arial Narrow" w:hAnsi="Arial Narrow"/>
                <w:sz w:val="20"/>
              </w:rPr>
              <w:t xml:space="preserve"> (95% CI)</w:t>
            </w:r>
          </w:p>
        </w:tc>
        <w:tc>
          <w:tcPr>
            <w:tcW w:w="2457" w:type="pct"/>
            <w:gridSpan w:val="2"/>
            <w:shd w:val="clear" w:color="auto" w:fill="auto"/>
          </w:tcPr>
          <w:p w:rsidR="0024179B" w:rsidRPr="00DF5A6E" w:rsidRDefault="0024179B" w:rsidP="008C190A">
            <w:pPr>
              <w:jc w:val="center"/>
              <w:rPr>
                <w:rFonts w:ascii="Arial Narrow" w:hAnsi="Arial Narrow"/>
                <w:sz w:val="20"/>
              </w:rPr>
            </w:pPr>
            <w:r w:rsidRPr="00DF5A6E">
              <w:rPr>
                <w:rFonts w:ascii="Arial Narrow" w:hAnsi="Arial Narrow"/>
                <w:sz w:val="20"/>
              </w:rPr>
              <w:t>0.17 (0.033, 0.297)</w:t>
            </w:r>
          </w:p>
        </w:tc>
      </w:tr>
      <w:tr w:rsidR="0024179B" w:rsidRPr="00DF5A6E" w:rsidTr="008C190A">
        <w:trPr>
          <w:trHeight w:val="20"/>
        </w:trPr>
        <w:tc>
          <w:tcPr>
            <w:tcW w:w="2543" w:type="pct"/>
            <w:shd w:val="clear" w:color="auto" w:fill="auto"/>
          </w:tcPr>
          <w:p w:rsidR="0024179B" w:rsidRPr="00DF5A6E" w:rsidRDefault="0024179B" w:rsidP="008C190A">
            <w:pPr>
              <w:rPr>
                <w:rFonts w:ascii="Arial Narrow" w:hAnsi="Arial Narrow"/>
                <w:sz w:val="20"/>
              </w:rPr>
            </w:pPr>
            <w:r w:rsidRPr="00DF5A6E">
              <w:rPr>
                <w:rFonts w:ascii="Arial Narrow" w:hAnsi="Arial Narrow"/>
                <w:sz w:val="20"/>
              </w:rPr>
              <w:t>Sensitivity analysis: completer population</w:t>
            </w:r>
          </w:p>
        </w:tc>
        <w:tc>
          <w:tcPr>
            <w:tcW w:w="2457" w:type="pct"/>
            <w:gridSpan w:val="2"/>
            <w:shd w:val="clear" w:color="auto" w:fill="auto"/>
          </w:tcPr>
          <w:p w:rsidR="0024179B" w:rsidRPr="00DE4A3C" w:rsidRDefault="00DE4A3C" w:rsidP="008C190A">
            <w:pPr>
              <w:jc w:val="center"/>
              <w:rPr>
                <w:rFonts w:ascii="Arial Narrow" w:hAnsi="Arial Narrow"/>
                <w:sz w:val="20"/>
                <w:highlight w:val="black"/>
              </w:rPr>
            </w:pPr>
            <w:r>
              <w:rPr>
                <w:rFonts w:ascii="Arial Narrow" w:hAnsi="Arial Narrow"/>
                <w:noProof/>
                <w:color w:val="000000"/>
                <w:sz w:val="20"/>
                <w:highlight w:val="black"/>
              </w:rPr>
              <w:t>''''''''''' ''''''''''''''''' '''''''''''''''</w:t>
            </w:r>
          </w:p>
        </w:tc>
      </w:tr>
      <w:tr w:rsidR="0024179B" w:rsidRPr="00DF5A6E" w:rsidTr="008C190A">
        <w:trPr>
          <w:trHeight w:val="20"/>
        </w:trPr>
        <w:tc>
          <w:tcPr>
            <w:tcW w:w="2543" w:type="pct"/>
            <w:shd w:val="clear" w:color="auto" w:fill="auto"/>
          </w:tcPr>
          <w:p w:rsidR="0024179B" w:rsidRPr="00DF5A6E" w:rsidRDefault="0024179B" w:rsidP="008C190A">
            <w:pPr>
              <w:rPr>
                <w:rFonts w:ascii="Arial Narrow" w:hAnsi="Arial Narrow"/>
                <w:sz w:val="20"/>
              </w:rPr>
            </w:pPr>
            <w:r w:rsidRPr="00DF5A6E">
              <w:rPr>
                <w:rFonts w:ascii="Arial Narrow" w:hAnsi="Arial Narrow"/>
                <w:sz w:val="20"/>
              </w:rPr>
              <w:t>Sensitivity analysis: adjusted for rescue medications</w:t>
            </w:r>
          </w:p>
        </w:tc>
        <w:tc>
          <w:tcPr>
            <w:tcW w:w="2457" w:type="pct"/>
            <w:gridSpan w:val="2"/>
            <w:shd w:val="clear" w:color="auto" w:fill="auto"/>
          </w:tcPr>
          <w:p w:rsidR="0024179B" w:rsidRPr="00DE4A3C" w:rsidRDefault="00DE4A3C" w:rsidP="008C190A">
            <w:pPr>
              <w:jc w:val="center"/>
              <w:rPr>
                <w:rFonts w:ascii="Arial Narrow" w:hAnsi="Arial Narrow"/>
                <w:sz w:val="20"/>
                <w:highlight w:val="black"/>
              </w:rPr>
            </w:pPr>
            <w:r>
              <w:rPr>
                <w:rFonts w:ascii="Arial Narrow" w:hAnsi="Arial Narrow"/>
                <w:noProof/>
                <w:color w:val="000000"/>
                <w:sz w:val="20"/>
                <w:highlight w:val="black"/>
              </w:rPr>
              <w:t>''''''''''''' '''''''''''''''' ''''''''''''''</w:t>
            </w:r>
          </w:p>
        </w:tc>
      </w:tr>
    </w:tbl>
    <w:p w:rsidR="0024179B" w:rsidRPr="00DF5A6E" w:rsidRDefault="0024179B" w:rsidP="0024179B">
      <w:pPr>
        <w:pStyle w:val="COMTbl-foot"/>
        <w:ind w:firstLine="720"/>
      </w:pPr>
      <w:r w:rsidRPr="00DF5A6E">
        <w:t xml:space="preserve">Source: Table B.6.1 of the commentary </w:t>
      </w:r>
    </w:p>
    <w:p w:rsidR="0024179B" w:rsidRPr="00DF5A6E" w:rsidRDefault="0024179B" w:rsidP="0024179B">
      <w:pPr>
        <w:pStyle w:val="COMTbl-foot"/>
        <w:ind w:firstLine="720"/>
      </w:pPr>
      <w:r w:rsidRPr="00DF5A6E">
        <w:t xml:space="preserve">Abbreviations: CI, confidence interval; LS, least square; </w:t>
      </w:r>
      <w:proofErr w:type="spellStart"/>
      <w:r w:rsidRPr="00DF5A6E">
        <w:t>mITT</w:t>
      </w:r>
      <w:proofErr w:type="spellEnd"/>
      <w:r w:rsidRPr="00DF5A6E">
        <w:t>, modified intention-to-treat; SE, standard error</w:t>
      </w:r>
    </w:p>
    <w:p w:rsidR="0024179B" w:rsidRDefault="0024179B" w:rsidP="0024179B">
      <w:pPr>
        <w:jc w:val="both"/>
        <w:rPr>
          <w:rFonts w:ascii="Arial" w:hAnsi="Arial"/>
          <w:sz w:val="22"/>
          <w:szCs w:val="22"/>
        </w:rPr>
      </w:pPr>
    </w:p>
    <w:p w:rsidR="0024179B" w:rsidRDefault="0024179B" w:rsidP="0024179B">
      <w:pPr>
        <w:pStyle w:val="ListParagraph"/>
        <w:numPr>
          <w:ilvl w:val="1"/>
          <w:numId w:val="25"/>
        </w:numPr>
        <w:jc w:val="both"/>
        <w:rPr>
          <w:rFonts w:ascii="Arial" w:hAnsi="Arial"/>
          <w:sz w:val="22"/>
          <w:szCs w:val="22"/>
        </w:rPr>
      </w:pPr>
      <w:r w:rsidRPr="003D26D8">
        <w:rPr>
          <w:rFonts w:ascii="Arial" w:hAnsi="Arial"/>
          <w:sz w:val="22"/>
          <w:szCs w:val="22"/>
        </w:rPr>
        <w:t xml:space="preserve">Non-inferiority of </w:t>
      </w:r>
      <w:proofErr w:type="spellStart"/>
      <w:r w:rsidRPr="003D26D8">
        <w:rPr>
          <w:rFonts w:ascii="Arial" w:hAnsi="Arial"/>
          <w:sz w:val="22"/>
          <w:szCs w:val="22"/>
        </w:rPr>
        <w:t>lixisenatide</w:t>
      </w:r>
      <w:proofErr w:type="spellEnd"/>
      <w:r w:rsidRPr="003D26D8">
        <w:rPr>
          <w:rFonts w:ascii="Arial" w:hAnsi="Arial"/>
          <w:sz w:val="22"/>
          <w:szCs w:val="22"/>
        </w:rPr>
        <w:t xml:space="preserve"> versus </w:t>
      </w:r>
      <w:proofErr w:type="spellStart"/>
      <w:r w:rsidRPr="003D26D8">
        <w:rPr>
          <w:rFonts w:ascii="Arial" w:hAnsi="Arial"/>
          <w:sz w:val="22"/>
          <w:szCs w:val="22"/>
        </w:rPr>
        <w:t>exenatide</w:t>
      </w:r>
      <w:proofErr w:type="spellEnd"/>
      <w:r w:rsidRPr="003D26D8">
        <w:rPr>
          <w:rFonts w:ascii="Arial" w:hAnsi="Arial"/>
          <w:sz w:val="22"/>
          <w:szCs w:val="22"/>
        </w:rPr>
        <w:t xml:space="preserve">, on a background of metformin, was demonstrated for </w:t>
      </w:r>
      <w:proofErr w:type="spellStart"/>
      <w:r w:rsidRPr="003D26D8">
        <w:rPr>
          <w:rFonts w:ascii="Arial" w:hAnsi="Arial"/>
          <w:sz w:val="22"/>
          <w:szCs w:val="22"/>
        </w:rPr>
        <w:t>GetGoal</w:t>
      </w:r>
      <w:proofErr w:type="spellEnd"/>
      <w:r w:rsidRPr="003D26D8">
        <w:rPr>
          <w:rFonts w:ascii="Arial" w:hAnsi="Arial"/>
          <w:sz w:val="22"/>
          <w:szCs w:val="22"/>
        </w:rPr>
        <w:t>-X as the upper bound of the 95% confidence interval (CI) was less than the pre-specified non-inferiority margi</w:t>
      </w:r>
      <w:r w:rsidR="00C736F5">
        <w:rPr>
          <w:rFonts w:ascii="Arial" w:hAnsi="Arial"/>
          <w:sz w:val="22"/>
          <w:szCs w:val="22"/>
        </w:rPr>
        <w:t>n of 0.4%. The submission claimed that equivalence was still consistently demonstrated</w:t>
      </w:r>
      <w:r w:rsidRPr="003D26D8">
        <w:rPr>
          <w:rFonts w:ascii="Arial" w:hAnsi="Arial"/>
          <w:sz w:val="22"/>
          <w:szCs w:val="22"/>
        </w:rPr>
        <w:t xml:space="preserve"> when applying a more stringent non-inferiority margin </w:t>
      </w:r>
      <w:r w:rsidR="00C736F5">
        <w:rPr>
          <w:rFonts w:ascii="Arial" w:hAnsi="Arial"/>
          <w:sz w:val="22"/>
          <w:szCs w:val="22"/>
        </w:rPr>
        <w:t>of 0.3%, even though the trial wa</w:t>
      </w:r>
      <w:r w:rsidRPr="003D26D8">
        <w:rPr>
          <w:rFonts w:ascii="Arial" w:hAnsi="Arial"/>
          <w:sz w:val="22"/>
          <w:szCs w:val="22"/>
        </w:rPr>
        <w:t>s not powered for this non-inferiority margin.</w:t>
      </w:r>
      <w:r w:rsidR="00C736F5">
        <w:rPr>
          <w:rFonts w:ascii="Arial" w:hAnsi="Arial"/>
          <w:sz w:val="22"/>
          <w:szCs w:val="22"/>
        </w:rPr>
        <w:t xml:space="preserve"> </w:t>
      </w:r>
    </w:p>
    <w:p w:rsidR="0024179B" w:rsidRPr="003D26D8" w:rsidRDefault="0024179B" w:rsidP="0024179B">
      <w:pPr>
        <w:pStyle w:val="ListParagraph"/>
        <w:jc w:val="both"/>
        <w:rPr>
          <w:rFonts w:ascii="Arial" w:hAnsi="Arial"/>
          <w:sz w:val="22"/>
          <w:szCs w:val="22"/>
        </w:rPr>
      </w:pPr>
    </w:p>
    <w:p w:rsidR="0024179B" w:rsidRDefault="0024179B" w:rsidP="0024179B">
      <w:pPr>
        <w:pStyle w:val="ListParagraph"/>
        <w:numPr>
          <w:ilvl w:val="1"/>
          <w:numId w:val="25"/>
        </w:numPr>
        <w:jc w:val="both"/>
        <w:rPr>
          <w:rFonts w:ascii="Arial" w:hAnsi="Arial"/>
          <w:sz w:val="22"/>
          <w:szCs w:val="22"/>
        </w:rPr>
      </w:pPr>
      <w:r w:rsidRPr="003D26D8">
        <w:rPr>
          <w:rFonts w:ascii="Arial" w:hAnsi="Arial"/>
          <w:sz w:val="22"/>
          <w:szCs w:val="22"/>
        </w:rPr>
        <w:t>The ESC considered this claim to be inadequately supported for the following reasons:</w:t>
      </w:r>
    </w:p>
    <w:p w:rsidR="0024179B" w:rsidRDefault="0024179B" w:rsidP="0024179B">
      <w:pPr>
        <w:pStyle w:val="ListParagraph"/>
        <w:numPr>
          <w:ilvl w:val="0"/>
          <w:numId w:val="38"/>
        </w:numPr>
        <w:jc w:val="both"/>
        <w:rPr>
          <w:rFonts w:ascii="Arial" w:hAnsi="Arial"/>
          <w:sz w:val="22"/>
          <w:szCs w:val="22"/>
        </w:rPr>
      </w:pPr>
      <w:r w:rsidRPr="00F25C10">
        <w:rPr>
          <w:rFonts w:ascii="Arial" w:hAnsi="Arial"/>
          <w:sz w:val="22"/>
          <w:szCs w:val="22"/>
        </w:rPr>
        <w:t xml:space="preserve">The results suggest that </w:t>
      </w:r>
      <w:proofErr w:type="spellStart"/>
      <w:r w:rsidRPr="00F25C10">
        <w:rPr>
          <w:rFonts w:ascii="Arial" w:hAnsi="Arial"/>
          <w:sz w:val="22"/>
          <w:szCs w:val="22"/>
        </w:rPr>
        <w:t>lixisenatide</w:t>
      </w:r>
      <w:proofErr w:type="spellEnd"/>
      <w:r w:rsidRPr="00F25C10">
        <w:rPr>
          <w:rFonts w:ascii="Arial" w:hAnsi="Arial"/>
          <w:sz w:val="22"/>
          <w:szCs w:val="22"/>
        </w:rPr>
        <w:t xml:space="preserve"> is borderline non-inferior to </w:t>
      </w:r>
      <w:proofErr w:type="spellStart"/>
      <w:r w:rsidRPr="00F25C10">
        <w:rPr>
          <w:rFonts w:ascii="Arial" w:hAnsi="Arial"/>
          <w:sz w:val="22"/>
          <w:szCs w:val="22"/>
        </w:rPr>
        <w:t>exenatide</w:t>
      </w:r>
      <w:proofErr w:type="spellEnd"/>
      <w:r w:rsidRPr="00F25C10">
        <w:rPr>
          <w:rFonts w:ascii="Arial" w:hAnsi="Arial"/>
          <w:sz w:val="22"/>
          <w:szCs w:val="22"/>
        </w:rPr>
        <w:t xml:space="preserve"> using the more stringent non-inferiority margin of 0.3%, and the conclusion of non-inferiority is sensitive to the statistical analyses conducted. </w:t>
      </w:r>
    </w:p>
    <w:p w:rsidR="0024179B" w:rsidRPr="00BD7206" w:rsidRDefault="0024179B" w:rsidP="0024179B">
      <w:pPr>
        <w:pStyle w:val="ListParagraph"/>
        <w:numPr>
          <w:ilvl w:val="0"/>
          <w:numId w:val="38"/>
        </w:numPr>
        <w:jc w:val="both"/>
        <w:rPr>
          <w:rFonts w:ascii="Arial" w:hAnsi="Arial"/>
          <w:sz w:val="22"/>
          <w:szCs w:val="22"/>
        </w:rPr>
      </w:pPr>
      <w:proofErr w:type="spellStart"/>
      <w:r w:rsidRPr="00BD7206">
        <w:rPr>
          <w:rFonts w:ascii="Arial" w:hAnsi="Arial"/>
          <w:sz w:val="22"/>
          <w:szCs w:val="22"/>
        </w:rPr>
        <w:t>Exenatide</w:t>
      </w:r>
      <w:proofErr w:type="spellEnd"/>
      <w:r w:rsidRPr="00BD7206">
        <w:rPr>
          <w:rFonts w:ascii="Arial" w:hAnsi="Arial"/>
          <w:sz w:val="22"/>
          <w:szCs w:val="22"/>
        </w:rPr>
        <w:t xml:space="preserve"> was associated with a numerically larger reduction in HbA1c compared to </w:t>
      </w:r>
      <w:proofErr w:type="spellStart"/>
      <w:r w:rsidRPr="00BD7206">
        <w:rPr>
          <w:rFonts w:ascii="Arial" w:hAnsi="Arial"/>
          <w:sz w:val="22"/>
          <w:szCs w:val="22"/>
        </w:rPr>
        <w:t>lixisenatide</w:t>
      </w:r>
      <w:proofErr w:type="spellEnd"/>
      <w:r w:rsidRPr="00BD7206">
        <w:rPr>
          <w:rFonts w:ascii="Arial" w:hAnsi="Arial"/>
          <w:sz w:val="22"/>
          <w:szCs w:val="22"/>
        </w:rPr>
        <w:t xml:space="preserve">, and the 95% CI of the difference between arms did not include the null value. </w:t>
      </w:r>
    </w:p>
    <w:p w:rsidR="00BD7206" w:rsidRPr="00BD7206" w:rsidRDefault="00BD7206" w:rsidP="00BD7206">
      <w:pPr>
        <w:ind w:left="710"/>
        <w:jc w:val="both"/>
        <w:rPr>
          <w:rFonts w:ascii="Arial" w:hAnsi="Arial"/>
          <w:sz w:val="22"/>
          <w:szCs w:val="22"/>
        </w:rPr>
      </w:pPr>
    </w:p>
    <w:p w:rsidR="00C736F5" w:rsidRPr="00264B34" w:rsidRDefault="00264B34" w:rsidP="0024179B">
      <w:pPr>
        <w:pStyle w:val="ListParagraph"/>
        <w:numPr>
          <w:ilvl w:val="1"/>
          <w:numId w:val="25"/>
        </w:numPr>
        <w:jc w:val="both"/>
        <w:rPr>
          <w:rFonts w:ascii="Arial" w:hAnsi="Arial"/>
          <w:sz w:val="22"/>
          <w:szCs w:val="22"/>
          <w:u w:val="single"/>
        </w:rPr>
      </w:pPr>
      <w:r w:rsidRPr="00264B34">
        <w:rPr>
          <w:rFonts w:ascii="Arial" w:hAnsi="Arial"/>
          <w:sz w:val="22"/>
          <w:szCs w:val="22"/>
          <w:u w:val="single"/>
        </w:rPr>
        <w:t xml:space="preserve">Indirect comparison: </w:t>
      </w:r>
      <w:proofErr w:type="spellStart"/>
      <w:r w:rsidR="00C736F5" w:rsidRPr="00264B34">
        <w:rPr>
          <w:rFonts w:ascii="Arial" w:hAnsi="Arial"/>
          <w:sz w:val="22"/>
          <w:szCs w:val="22"/>
          <w:u w:val="single"/>
        </w:rPr>
        <w:t>Lixisenatide</w:t>
      </w:r>
      <w:proofErr w:type="spellEnd"/>
      <w:r w:rsidR="00C736F5" w:rsidRPr="00264B34">
        <w:rPr>
          <w:rFonts w:ascii="Arial" w:hAnsi="Arial"/>
          <w:sz w:val="22"/>
          <w:szCs w:val="22"/>
          <w:u w:val="single"/>
        </w:rPr>
        <w:t xml:space="preserve"> vs. </w:t>
      </w:r>
      <w:proofErr w:type="spellStart"/>
      <w:r w:rsidRPr="00264B34">
        <w:rPr>
          <w:rFonts w:ascii="Arial" w:hAnsi="Arial"/>
          <w:sz w:val="22"/>
          <w:szCs w:val="22"/>
          <w:u w:val="single"/>
        </w:rPr>
        <w:t>exenatide</w:t>
      </w:r>
      <w:proofErr w:type="spellEnd"/>
      <w:r w:rsidRPr="00264B34">
        <w:rPr>
          <w:rFonts w:ascii="Arial" w:hAnsi="Arial"/>
          <w:sz w:val="22"/>
          <w:szCs w:val="22"/>
          <w:u w:val="single"/>
        </w:rPr>
        <w:t xml:space="preserve"> using placebo as the common reference</w:t>
      </w:r>
    </w:p>
    <w:p w:rsidR="00264B34" w:rsidRDefault="00264B34" w:rsidP="00264B34">
      <w:pPr>
        <w:pStyle w:val="ListParagraph"/>
        <w:jc w:val="both"/>
        <w:rPr>
          <w:rFonts w:ascii="Arial" w:hAnsi="Arial"/>
          <w:sz w:val="22"/>
          <w:szCs w:val="22"/>
        </w:rPr>
      </w:pPr>
      <w:r>
        <w:rPr>
          <w:rFonts w:ascii="Arial" w:hAnsi="Arial"/>
          <w:sz w:val="22"/>
          <w:szCs w:val="22"/>
        </w:rPr>
        <w:t xml:space="preserve">Results from </w:t>
      </w:r>
      <w:proofErr w:type="spellStart"/>
      <w:r>
        <w:rPr>
          <w:rFonts w:ascii="Arial" w:hAnsi="Arial"/>
          <w:sz w:val="22"/>
          <w:szCs w:val="22"/>
        </w:rPr>
        <w:t>GetGoal</w:t>
      </w:r>
      <w:proofErr w:type="spellEnd"/>
      <w:r>
        <w:rPr>
          <w:rFonts w:ascii="Arial" w:hAnsi="Arial"/>
          <w:sz w:val="22"/>
          <w:szCs w:val="22"/>
        </w:rPr>
        <w:t>-S and Kendall (2005) are shown in the table below:</w:t>
      </w:r>
    </w:p>
    <w:p w:rsidR="00C736F5" w:rsidRDefault="00C736F5" w:rsidP="00C736F5">
      <w:pPr>
        <w:pStyle w:val="ListParagraph"/>
        <w:jc w:val="both"/>
        <w:rPr>
          <w:rFonts w:ascii="Arial" w:hAnsi="Arial"/>
          <w:sz w:val="22"/>
          <w:szCs w:val="22"/>
        </w:rPr>
      </w:pPr>
    </w:p>
    <w:p w:rsidR="00C736F5" w:rsidRPr="00264B34" w:rsidRDefault="00C736F5" w:rsidP="00C736F5">
      <w:pPr>
        <w:ind w:left="710"/>
        <w:jc w:val="both"/>
        <w:rPr>
          <w:rFonts w:ascii="Arial Narrow" w:hAnsi="Arial Narrow"/>
          <w:b/>
          <w:sz w:val="20"/>
          <w:szCs w:val="20"/>
        </w:rPr>
      </w:pPr>
      <w:r w:rsidRPr="00264B34">
        <w:rPr>
          <w:rFonts w:ascii="Arial Narrow" w:hAnsi="Arial Narrow"/>
          <w:b/>
          <w:sz w:val="20"/>
          <w:szCs w:val="20"/>
        </w:rPr>
        <w:t>Indirect comparison of mean change in HbA1c (%) from baseline to Week 24 (triple therapy with metformin and a sulfonylurea)</w:t>
      </w:r>
      <w:r w:rsidR="00264B34">
        <w:rPr>
          <w:rFonts w:ascii="Arial Narrow" w:hAnsi="Arial Narrow"/>
          <w:b/>
          <w:sz w:val="20"/>
          <w:szCs w:val="20"/>
        </w:rPr>
        <w:t xml:space="preserve"> </w:t>
      </w:r>
    </w:p>
    <w:tbl>
      <w:tblPr>
        <w:tblW w:w="452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Indirect comparison of mean change in HbA1c (%) from baseline to Week 24 (triple therapy with metformin and a sulfonylurea) "/>
      </w:tblPr>
      <w:tblGrid>
        <w:gridCol w:w="2410"/>
        <w:gridCol w:w="1559"/>
        <w:gridCol w:w="1418"/>
        <w:gridCol w:w="1418"/>
        <w:gridCol w:w="1559"/>
      </w:tblGrid>
      <w:tr w:rsidR="00C736F5" w:rsidRPr="00DF5A6E" w:rsidTr="00131AAC">
        <w:trPr>
          <w:trHeight w:val="54"/>
          <w:tblHeader/>
        </w:trPr>
        <w:tc>
          <w:tcPr>
            <w:tcW w:w="2410" w:type="dxa"/>
            <w:vMerge w:val="restart"/>
            <w:tcBorders>
              <w:left w:val="single" w:sz="4" w:space="0" w:color="auto"/>
              <w:right w:val="single" w:sz="4" w:space="0" w:color="auto"/>
            </w:tcBorders>
            <w:tcMar>
              <w:right w:w="28" w:type="dxa"/>
            </w:tcMar>
            <w:vAlign w:val="center"/>
          </w:tcPr>
          <w:p w:rsidR="00C736F5" w:rsidRPr="00DF5A6E" w:rsidRDefault="00C736F5" w:rsidP="00C736F5">
            <w:pPr>
              <w:pStyle w:val="TableHeading"/>
              <w:spacing w:before="0" w:after="0"/>
              <w:jc w:val="center"/>
              <w:rPr>
                <w:rFonts w:cs="Arial"/>
              </w:rPr>
            </w:pPr>
            <w:r w:rsidRPr="00DF5A6E">
              <w:rPr>
                <w:rFonts w:cs="Arial"/>
              </w:rPr>
              <w:t>Trial</w:t>
            </w:r>
          </w:p>
        </w:tc>
        <w:tc>
          <w:tcPr>
            <w:tcW w:w="4395" w:type="dxa"/>
            <w:gridSpan w:val="3"/>
            <w:tcBorders>
              <w:top w:val="single" w:sz="4" w:space="0" w:color="auto"/>
              <w:left w:val="nil"/>
              <w:right w:val="double" w:sz="4" w:space="0" w:color="auto"/>
            </w:tcBorders>
            <w:vAlign w:val="center"/>
          </w:tcPr>
          <w:p w:rsidR="00C736F5" w:rsidRPr="00DF5A6E" w:rsidRDefault="00C736F5" w:rsidP="00C736F5">
            <w:pPr>
              <w:pStyle w:val="TableHeading"/>
              <w:spacing w:before="0" w:after="0"/>
              <w:jc w:val="center"/>
              <w:rPr>
                <w:rFonts w:cs="Arial"/>
              </w:rPr>
            </w:pPr>
            <w:r w:rsidRPr="00DF5A6E">
              <w:rPr>
                <w:rFonts w:cs="Arial"/>
              </w:rPr>
              <w:t>LS mean change HbA1c (SE)</w:t>
            </w:r>
          </w:p>
        </w:tc>
        <w:tc>
          <w:tcPr>
            <w:tcW w:w="1559" w:type="dxa"/>
            <w:vMerge w:val="restart"/>
            <w:tcBorders>
              <w:left w:val="double" w:sz="4" w:space="0" w:color="auto"/>
              <w:right w:val="single" w:sz="4" w:space="0" w:color="auto"/>
            </w:tcBorders>
            <w:vAlign w:val="center"/>
          </w:tcPr>
          <w:p w:rsidR="00C736F5" w:rsidRPr="00DF5A6E" w:rsidRDefault="00C736F5" w:rsidP="00C736F5">
            <w:pPr>
              <w:pStyle w:val="TableHeading"/>
              <w:spacing w:before="0" w:after="0"/>
              <w:jc w:val="center"/>
              <w:rPr>
                <w:rFonts w:cs="Arial"/>
              </w:rPr>
            </w:pPr>
            <w:r w:rsidRPr="00DF5A6E">
              <w:rPr>
                <w:rFonts w:cs="Arial"/>
              </w:rPr>
              <w:t xml:space="preserve">Mean difference </w:t>
            </w:r>
          </w:p>
          <w:p w:rsidR="00C736F5" w:rsidRPr="00DF5A6E" w:rsidRDefault="00C736F5" w:rsidP="00C736F5">
            <w:pPr>
              <w:pStyle w:val="TableHeading"/>
              <w:spacing w:before="0" w:after="0"/>
              <w:jc w:val="center"/>
              <w:rPr>
                <w:rFonts w:cs="Arial"/>
              </w:rPr>
            </w:pPr>
            <w:r w:rsidRPr="00DF5A6E">
              <w:rPr>
                <w:rFonts w:cs="Arial"/>
              </w:rPr>
              <w:t>(95% CI)</w:t>
            </w:r>
          </w:p>
        </w:tc>
      </w:tr>
      <w:tr w:rsidR="00C736F5" w:rsidRPr="00DF5A6E" w:rsidTr="00131AAC">
        <w:trPr>
          <w:trHeight w:val="54"/>
          <w:tblHeader/>
        </w:trPr>
        <w:tc>
          <w:tcPr>
            <w:tcW w:w="2410" w:type="dxa"/>
            <w:vMerge/>
            <w:tcBorders>
              <w:left w:val="single" w:sz="4" w:space="0" w:color="auto"/>
              <w:bottom w:val="single" w:sz="4" w:space="0" w:color="auto"/>
              <w:right w:val="single" w:sz="4" w:space="0" w:color="auto"/>
            </w:tcBorders>
            <w:tcMar>
              <w:right w:w="28" w:type="dxa"/>
            </w:tcMar>
            <w:vAlign w:val="center"/>
          </w:tcPr>
          <w:p w:rsidR="00C736F5" w:rsidRPr="00DF5A6E" w:rsidRDefault="00C736F5" w:rsidP="00C736F5">
            <w:pPr>
              <w:pStyle w:val="TableHeading"/>
              <w:spacing w:before="0" w:after="0"/>
              <w:jc w:val="center"/>
              <w:rPr>
                <w:rFonts w:cs="Arial"/>
              </w:rPr>
            </w:pPr>
          </w:p>
        </w:tc>
        <w:tc>
          <w:tcPr>
            <w:tcW w:w="1559" w:type="dxa"/>
            <w:tcBorders>
              <w:top w:val="single" w:sz="4" w:space="0" w:color="auto"/>
              <w:left w:val="nil"/>
              <w:right w:val="single" w:sz="4" w:space="0" w:color="auto"/>
            </w:tcBorders>
            <w:vAlign w:val="center"/>
          </w:tcPr>
          <w:p w:rsidR="00C736F5" w:rsidRPr="00DF5A6E" w:rsidRDefault="00C736F5" w:rsidP="00C736F5">
            <w:pPr>
              <w:pStyle w:val="TableHeading"/>
              <w:spacing w:before="0" w:after="0"/>
              <w:jc w:val="center"/>
              <w:rPr>
                <w:rFonts w:cs="Arial"/>
              </w:rPr>
            </w:pPr>
            <w:proofErr w:type="spellStart"/>
            <w:r w:rsidRPr="00DF5A6E">
              <w:rPr>
                <w:rFonts w:cs="Arial"/>
              </w:rPr>
              <w:t>Lixisenatide</w:t>
            </w:r>
            <w:proofErr w:type="spellEnd"/>
          </w:p>
        </w:tc>
        <w:tc>
          <w:tcPr>
            <w:tcW w:w="1418" w:type="dxa"/>
            <w:tcBorders>
              <w:top w:val="single" w:sz="4" w:space="0" w:color="auto"/>
              <w:left w:val="single" w:sz="4" w:space="0" w:color="auto"/>
              <w:right w:val="single" w:sz="4" w:space="0" w:color="auto"/>
            </w:tcBorders>
            <w:vAlign w:val="center"/>
          </w:tcPr>
          <w:p w:rsidR="00C736F5" w:rsidRPr="00DF5A6E" w:rsidRDefault="00C736F5" w:rsidP="00C736F5">
            <w:pPr>
              <w:pStyle w:val="TableHeading"/>
              <w:spacing w:before="0" w:after="0"/>
              <w:jc w:val="center"/>
              <w:rPr>
                <w:rFonts w:cs="Arial"/>
              </w:rPr>
            </w:pPr>
            <w:r w:rsidRPr="00DF5A6E">
              <w:rPr>
                <w:rFonts w:cs="Arial"/>
              </w:rPr>
              <w:t>Placebo</w:t>
            </w:r>
          </w:p>
        </w:tc>
        <w:tc>
          <w:tcPr>
            <w:tcW w:w="1418" w:type="dxa"/>
            <w:tcBorders>
              <w:top w:val="single" w:sz="4" w:space="0" w:color="auto"/>
              <w:left w:val="single" w:sz="4" w:space="0" w:color="auto"/>
              <w:right w:val="double" w:sz="4" w:space="0" w:color="auto"/>
            </w:tcBorders>
            <w:vAlign w:val="center"/>
          </w:tcPr>
          <w:p w:rsidR="00C736F5" w:rsidRPr="00DF5A6E" w:rsidRDefault="00C736F5" w:rsidP="00C736F5">
            <w:pPr>
              <w:pStyle w:val="TableHeading"/>
              <w:spacing w:before="0" w:after="0"/>
              <w:jc w:val="center"/>
              <w:rPr>
                <w:rFonts w:cs="Arial"/>
              </w:rPr>
            </w:pPr>
            <w:proofErr w:type="spellStart"/>
            <w:r w:rsidRPr="00DF5A6E">
              <w:rPr>
                <w:rFonts w:cs="Arial"/>
              </w:rPr>
              <w:t>Exenatide</w:t>
            </w:r>
            <w:proofErr w:type="spellEnd"/>
          </w:p>
        </w:tc>
        <w:tc>
          <w:tcPr>
            <w:tcW w:w="1559" w:type="dxa"/>
            <w:vMerge/>
            <w:tcBorders>
              <w:left w:val="double" w:sz="4" w:space="0" w:color="auto"/>
              <w:right w:val="single" w:sz="4" w:space="0" w:color="auto"/>
            </w:tcBorders>
            <w:vAlign w:val="center"/>
          </w:tcPr>
          <w:p w:rsidR="00C736F5" w:rsidRPr="00DF5A6E" w:rsidRDefault="00C736F5" w:rsidP="00C736F5">
            <w:pPr>
              <w:pStyle w:val="TableHeading"/>
              <w:spacing w:before="0" w:after="0"/>
              <w:jc w:val="center"/>
              <w:rPr>
                <w:rFonts w:cs="Arial"/>
              </w:rPr>
            </w:pPr>
          </w:p>
        </w:tc>
      </w:tr>
      <w:tr w:rsidR="00C736F5" w:rsidRPr="00DF5A6E" w:rsidTr="00131AAC">
        <w:trPr>
          <w:trHeight w:val="460"/>
        </w:trPr>
        <w:tc>
          <w:tcPr>
            <w:tcW w:w="2410" w:type="dxa"/>
            <w:tcBorders>
              <w:top w:val="single" w:sz="4" w:space="0" w:color="auto"/>
              <w:left w:val="single" w:sz="4" w:space="0" w:color="auto"/>
              <w:bottom w:val="single" w:sz="4" w:space="0" w:color="auto"/>
              <w:right w:val="single" w:sz="4" w:space="0" w:color="auto"/>
            </w:tcBorders>
            <w:tcMar>
              <w:right w:w="28" w:type="dxa"/>
            </w:tcMar>
            <w:vAlign w:val="center"/>
          </w:tcPr>
          <w:p w:rsidR="00C736F5" w:rsidRPr="00DF5A6E" w:rsidRDefault="00C736F5" w:rsidP="00C736F5">
            <w:pPr>
              <w:pStyle w:val="TableText0"/>
              <w:keepNext w:val="0"/>
              <w:spacing w:before="0" w:after="0"/>
              <w:rPr>
                <w:rFonts w:cs="Arial"/>
              </w:rPr>
            </w:pPr>
            <w:proofErr w:type="spellStart"/>
            <w:r w:rsidRPr="00DF5A6E">
              <w:rPr>
                <w:rFonts w:cs="Arial"/>
              </w:rPr>
              <w:t>GetGoal</w:t>
            </w:r>
            <w:proofErr w:type="spellEnd"/>
            <w:r w:rsidRPr="00DF5A6E">
              <w:rPr>
                <w:rFonts w:cs="Arial"/>
              </w:rPr>
              <w:t xml:space="preserve">-S </w:t>
            </w:r>
          </w:p>
          <w:p w:rsidR="00C736F5" w:rsidRPr="00DF5A6E" w:rsidRDefault="00C736F5" w:rsidP="00C736F5">
            <w:pPr>
              <w:pStyle w:val="TableText0"/>
              <w:keepNext w:val="0"/>
              <w:spacing w:before="0" w:after="0"/>
              <w:rPr>
                <w:rFonts w:cs="Arial"/>
              </w:rPr>
            </w:pPr>
            <w:r w:rsidRPr="00DF5A6E">
              <w:rPr>
                <w:rFonts w:cs="Arial"/>
              </w:rPr>
              <w:t>(subgroup on MET+SU)</w:t>
            </w:r>
          </w:p>
        </w:tc>
        <w:tc>
          <w:tcPr>
            <w:tcW w:w="1559" w:type="dxa"/>
            <w:tcBorders>
              <w:top w:val="single" w:sz="4" w:space="0" w:color="auto"/>
              <w:left w:val="single" w:sz="4" w:space="0" w:color="auto"/>
              <w:bottom w:val="single" w:sz="4" w:space="0" w:color="auto"/>
              <w:right w:val="single" w:sz="4" w:space="0" w:color="auto"/>
            </w:tcBorders>
            <w:vAlign w:val="center"/>
          </w:tcPr>
          <w:p w:rsidR="00C736F5" w:rsidRPr="00DE4A3C" w:rsidRDefault="00DE4A3C" w:rsidP="00C736F5">
            <w:pPr>
              <w:pStyle w:val="TableText0"/>
              <w:keepNext w:val="0"/>
              <w:spacing w:before="0" w:after="0"/>
              <w:jc w:val="center"/>
              <w:rPr>
                <w:rFonts w:cs="Arial"/>
                <w:highlight w:val="black"/>
              </w:rPr>
            </w:pPr>
            <w:r>
              <w:rPr>
                <w:rFonts w:cs="Arial"/>
                <w:noProof/>
                <w:color w:val="000000"/>
                <w:highlight w:val="black"/>
              </w:rPr>
              <w:t>'''''''''''' '''''''''''''''''</w:t>
            </w:r>
          </w:p>
          <w:p w:rsidR="00C736F5" w:rsidRPr="00DE4A3C" w:rsidRDefault="00DE4A3C" w:rsidP="00C736F5">
            <w:pPr>
              <w:pStyle w:val="TableText0"/>
              <w:keepNext w:val="0"/>
              <w:spacing w:before="0" w:after="0"/>
              <w:jc w:val="center"/>
              <w:rPr>
                <w:rFonts w:cs="Arial"/>
                <w:highlight w:val="black"/>
              </w:rPr>
            </w:pPr>
            <w:r>
              <w:rPr>
                <w:rFonts w:cs="Arial"/>
                <w:noProof/>
                <w:color w:val="000000"/>
                <w:highlight w:val="black"/>
              </w:rPr>
              <w:t>''''''''''''''''</w:t>
            </w:r>
          </w:p>
        </w:tc>
        <w:tc>
          <w:tcPr>
            <w:tcW w:w="1418" w:type="dxa"/>
            <w:tcBorders>
              <w:top w:val="single" w:sz="4" w:space="0" w:color="auto"/>
              <w:left w:val="single" w:sz="4" w:space="0" w:color="auto"/>
              <w:bottom w:val="single" w:sz="4" w:space="0" w:color="auto"/>
              <w:right w:val="single" w:sz="4" w:space="0" w:color="auto"/>
            </w:tcBorders>
            <w:vAlign w:val="center"/>
          </w:tcPr>
          <w:p w:rsidR="00C736F5" w:rsidRPr="00DE4A3C" w:rsidRDefault="00DE4A3C" w:rsidP="00C736F5">
            <w:pPr>
              <w:pStyle w:val="TableText0"/>
              <w:keepNext w:val="0"/>
              <w:spacing w:before="0" w:after="0"/>
              <w:jc w:val="center"/>
              <w:rPr>
                <w:rFonts w:cs="Arial"/>
                <w:highlight w:val="black"/>
              </w:rPr>
            </w:pPr>
            <w:r>
              <w:rPr>
                <w:rFonts w:cs="Arial"/>
                <w:noProof/>
                <w:color w:val="000000"/>
                <w:highlight w:val="black"/>
              </w:rPr>
              <w:t>''''''''''''' ''''''''''''''''</w:t>
            </w:r>
          </w:p>
          <w:p w:rsidR="00C736F5" w:rsidRPr="00DE4A3C" w:rsidRDefault="00DE4A3C" w:rsidP="00C736F5">
            <w:pPr>
              <w:pStyle w:val="TableText0"/>
              <w:keepNext w:val="0"/>
              <w:spacing w:before="0" w:after="0"/>
              <w:jc w:val="center"/>
              <w:rPr>
                <w:rFonts w:cs="Arial"/>
                <w:highlight w:val="black"/>
              </w:rPr>
            </w:pPr>
            <w:r>
              <w:rPr>
                <w:rFonts w:cs="Arial"/>
                <w:noProof/>
                <w:color w:val="000000"/>
                <w:highlight w:val="black"/>
              </w:rPr>
              <w:t>'''''''''''''''</w:t>
            </w:r>
          </w:p>
        </w:tc>
        <w:tc>
          <w:tcPr>
            <w:tcW w:w="1418" w:type="dxa"/>
            <w:tcBorders>
              <w:top w:val="single" w:sz="4" w:space="0" w:color="auto"/>
              <w:left w:val="single" w:sz="4" w:space="0" w:color="auto"/>
              <w:bottom w:val="single" w:sz="4" w:space="0" w:color="auto"/>
              <w:right w:val="double" w:sz="4" w:space="0" w:color="auto"/>
            </w:tcBorders>
            <w:vAlign w:val="center"/>
          </w:tcPr>
          <w:p w:rsidR="00C736F5" w:rsidRPr="00DE4A3C" w:rsidRDefault="00DE4A3C" w:rsidP="00C736F5">
            <w:pPr>
              <w:pStyle w:val="TableText0"/>
              <w:keepNext w:val="0"/>
              <w:spacing w:before="0" w:after="0"/>
              <w:jc w:val="center"/>
              <w:rPr>
                <w:rFonts w:cs="Arial"/>
                <w:highlight w:val="black"/>
              </w:rPr>
            </w:pPr>
            <w:r>
              <w:rPr>
                <w:rFonts w:cs="Arial"/>
                <w:noProof/>
                <w:color w:val="000000"/>
                <w:highlight w:val="black"/>
              </w:rPr>
              <w:t>'''</w:t>
            </w:r>
          </w:p>
        </w:tc>
        <w:tc>
          <w:tcPr>
            <w:tcW w:w="1559" w:type="dxa"/>
            <w:tcBorders>
              <w:top w:val="single" w:sz="4" w:space="0" w:color="auto"/>
              <w:left w:val="double" w:sz="4" w:space="0" w:color="auto"/>
              <w:bottom w:val="single" w:sz="4" w:space="0" w:color="auto"/>
              <w:right w:val="single" w:sz="4" w:space="0" w:color="auto"/>
            </w:tcBorders>
            <w:vAlign w:val="center"/>
          </w:tcPr>
          <w:p w:rsidR="00C736F5" w:rsidRPr="00DE4A3C" w:rsidRDefault="00DE4A3C" w:rsidP="00C736F5">
            <w:pPr>
              <w:pStyle w:val="TableText0"/>
              <w:keepNext w:val="0"/>
              <w:spacing w:before="0" w:after="0"/>
              <w:jc w:val="center"/>
              <w:rPr>
                <w:rFonts w:cs="Arial"/>
                <w:highlight w:val="black"/>
              </w:rPr>
            </w:pPr>
            <w:r>
              <w:rPr>
                <w:rFonts w:cs="Arial"/>
                <w:noProof/>
                <w:color w:val="000000"/>
                <w:highlight w:val="black"/>
              </w:rPr>
              <w:t>'''''''''''' '''''''''''''''' ''''''''''''</w:t>
            </w:r>
          </w:p>
        </w:tc>
      </w:tr>
      <w:tr w:rsidR="00C736F5" w:rsidRPr="00DF5A6E" w:rsidTr="00131AAC">
        <w:trPr>
          <w:trHeight w:val="460"/>
        </w:trPr>
        <w:tc>
          <w:tcPr>
            <w:tcW w:w="2410" w:type="dxa"/>
            <w:tcBorders>
              <w:top w:val="single" w:sz="4" w:space="0" w:color="auto"/>
              <w:left w:val="single" w:sz="4" w:space="0" w:color="auto"/>
              <w:bottom w:val="single" w:sz="4" w:space="0" w:color="auto"/>
              <w:right w:val="single" w:sz="4" w:space="0" w:color="auto"/>
            </w:tcBorders>
            <w:tcMar>
              <w:right w:w="28" w:type="dxa"/>
            </w:tcMar>
            <w:vAlign w:val="center"/>
          </w:tcPr>
          <w:p w:rsidR="00C736F5" w:rsidRPr="00DF5A6E" w:rsidRDefault="00C736F5" w:rsidP="00C736F5">
            <w:pPr>
              <w:pStyle w:val="TableText0"/>
              <w:keepNext w:val="0"/>
              <w:spacing w:before="0" w:after="0"/>
              <w:rPr>
                <w:rFonts w:cs="Arial"/>
              </w:rPr>
            </w:pPr>
            <w:r w:rsidRPr="00DF5A6E">
              <w:rPr>
                <w:rFonts w:cs="Arial"/>
              </w:rPr>
              <w:t>Kendall (2005)</w:t>
            </w:r>
          </w:p>
          <w:p w:rsidR="00C736F5" w:rsidRPr="00DF5A6E" w:rsidRDefault="00C736F5" w:rsidP="00C736F5">
            <w:pPr>
              <w:pStyle w:val="TableText0"/>
              <w:keepNext w:val="0"/>
              <w:spacing w:before="0" w:after="0"/>
              <w:rPr>
                <w:rFonts w:cs="Arial"/>
              </w:rPr>
            </w:pPr>
            <w:proofErr w:type="spellStart"/>
            <w:r w:rsidRPr="00DF5A6E">
              <w:rPr>
                <w:rFonts w:cs="Arial"/>
              </w:rPr>
              <w:t>Exenatide</w:t>
            </w:r>
            <w:proofErr w:type="spellEnd"/>
            <w:r w:rsidRPr="00DF5A6E">
              <w:rPr>
                <w:rFonts w:cs="Arial"/>
              </w:rPr>
              <w:t xml:space="preserve"> 5</w:t>
            </w:r>
            <w:r>
              <w:rPr>
                <w:rFonts w:cs="Arial"/>
              </w:rPr>
              <w:t xml:space="preserve"> mcg</w:t>
            </w:r>
            <w:r w:rsidRPr="00DF5A6E">
              <w:rPr>
                <w:rFonts w:cs="Arial"/>
              </w:rPr>
              <w:t xml:space="preserve"> twice daily</w:t>
            </w:r>
          </w:p>
        </w:tc>
        <w:tc>
          <w:tcPr>
            <w:tcW w:w="1559" w:type="dxa"/>
            <w:tcBorders>
              <w:top w:val="single" w:sz="4" w:space="0" w:color="auto"/>
              <w:left w:val="single" w:sz="4" w:space="0" w:color="auto"/>
              <w:bottom w:val="single" w:sz="4" w:space="0" w:color="auto"/>
              <w:right w:val="single" w:sz="4" w:space="0" w:color="auto"/>
            </w:tcBorders>
            <w:vAlign w:val="center"/>
          </w:tcPr>
          <w:p w:rsidR="00C736F5" w:rsidRPr="00DF5A6E" w:rsidRDefault="00C736F5" w:rsidP="00C736F5">
            <w:pPr>
              <w:pStyle w:val="TableText0"/>
              <w:keepNext w:val="0"/>
              <w:spacing w:before="0" w:after="0"/>
              <w:jc w:val="center"/>
              <w:rPr>
                <w:rFonts w:cs="Arial"/>
              </w:rPr>
            </w:pPr>
            <w:r w:rsidRPr="00DF5A6E">
              <w:rPr>
                <w:rFonts w:cs="Arial"/>
              </w:rPr>
              <w:t>–</w:t>
            </w:r>
          </w:p>
        </w:tc>
        <w:tc>
          <w:tcPr>
            <w:tcW w:w="1418" w:type="dxa"/>
            <w:vMerge w:val="restart"/>
            <w:tcBorders>
              <w:top w:val="single" w:sz="4" w:space="0" w:color="auto"/>
              <w:left w:val="single" w:sz="4" w:space="0" w:color="auto"/>
              <w:right w:val="single" w:sz="4" w:space="0" w:color="auto"/>
            </w:tcBorders>
            <w:vAlign w:val="center"/>
          </w:tcPr>
          <w:p w:rsidR="00C736F5" w:rsidRPr="00DF5A6E" w:rsidRDefault="00C736F5" w:rsidP="00C736F5">
            <w:pPr>
              <w:pStyle w:val="TableText0"/>
              <w:keepNext w:val="0"/>
              <w:spacing w:before="0" w:after="0"/>
              <w:jc w:val="center"/>
              <w:rPr>
                <w:rFonts w:cs="Arial"/>
              </w:rPr>
            </w:pPr>
            <w:r w:rsidRPr="00DF5A6E">
              <w:rPr>
                <w:rFonts w:cs="Arial"/>
              </w:rPr>
              <w:t>+0.17 (0.07)</w:t>
            </w:r>
          </w:p>
          <w:p w:rsidR="00C736F5" w:rsidRPr="00DF5A6E" w:rsidRDefault="00C736F5" w:rsidP="00C736F5">
            <w:pPr>
              <w:pStyle w:val="TableText0"/>
              <w:keepNext w:val="0"/>
              <w:spacing w:before="0" w:after="0"/>
              <w:jc w:val="center"/>
              <w:rPr>
                <w:rFonts w:cs="Arial"/>
              </w:rPr>
            </w:pPr>
            <w:r w:rsidRPr="00DF5A6E">
              <w:rPr>
                <w:rFonts w:cs="Arial"/>
              </w:rPr>
              <w:t>n=247</w:t>
            </w:r>
          </w:p>
        </w:tc>
        <w:tc>
          <w:tcPr>
            <w:tcW w:w="1418" w:type="dxa"/>
            <w:tcBorders>
              <w:top w:val="single" w:sz="4" w:space="0" w:color="auto"/>
              <w:left w:val="single" w:sz="4" w:space="0" w:color="auto"/>
              <w:bottom w:val="single" w:sz="4" w:space="0" w:color="auto"/>
              <w:right w:val="double" w:sz="4" w:space="0" w:color="auto"/>
            </w:tcBorders>
            <w:vAlign w:val="center"/>
          </w:tcPr>
          <w:p w:rsidR="00C736F5" w:rsidRPr="00DF5A6E" w:rsidRDefault="00C736F5" w:rsidP="00C736F5">
            <w:pPr>
              <w:pStyle w:val="TableText0"/>
              <w:keepNext w:val="0"/>
              <w:spacing w:before="0" w:after="0"/>
              <w:jc w:val="center"/>
              <w:rPr>
                <w:rFonts w:cs="Arial"/>
              </w:rPr>
            </w:pPr>
            <w:r w:rsidRPr="00DF5A6E">
              <w:rPr>
                <w:rFonts w:cs="Arial"/>
              </w:rPr>
              <w:t>-0.6 (0.07)</w:t>
            </w:r>
          </w:p>
          <w:p w:rsidR="00C736F5" w:rsidRPr="00DF5A6E" w:rsidRDefault="00C736F5" w:rsidP="00C736F5">
            <w:pPr>
              <w:pStyle w:val="TableText0"/>
              <w:keepNext w:val="0"/>
              <w:spacing w:before="0" w:after="0"/>
              <w:jc w:val="center"/>
              <w:rPr>
                <w:rFonts w:cs="Arial"/>
              </w:rPr>
            </w:pPr>
            <w:r w:rsidRPr="00DF5A6E">
              <w:rPr>
                <w:rFonts w:cs="Arial"/>
              </w:rPr>
              <w:t>n=245</w:t>
            </w:r>
          </w:p>
        </w:tc>
        <w:tc>
          <w:tcPr>
            <w:tcW w:w="1559" w:type="dxa"/>
            <w:tcBorders>
              <w:top w:val="single" w:sz="4" w:space="0" w:color="auto"/>
              <w:left w:val="double" w:sz="4" w:space="0" w:color="auto"/>
              <w:bottom w:val="single" w:sz="4" w:space="0" w:color="auto"/>
              <w:right w:val="single" w:sz="4" w:space="0" w:color="auto"/>
            </w:tcBorders>
            <w:shd w:val="clear" w:color="auto" w:fill="FFFFFF"/>
            <w:vAlign w:val="center"/>
          </w:tcPr>
          <w:p w:rsidR="00C736F5" w:rsidRPr="00DF5A6E" w:rsidRDefault="00C736F5" w:rsidP="00C736F5">
            <w:pPr>
              <w:pStyle w:val="TableText0"/>
              <w:keepNext w:val="0"/>
              <w:spacing w:before="0" w:after="0"/>
              <w:jc w:val="center"/>
              <w:rPr>
                <w:rFonts w:cs="Arial"/>
              </w:rPr>
            </w:pPr>
            <w:r w:rsidRPr="00DF5A6E">
              <w:rPr>
                <w:rFonts w:cs="Arial"/>
              </w:rPr>
              <w:t>-0.77 (-0.96, -0.58)</w:t>
            </w:r>
          </w:p>
        </w:tc>
      </w:tr>
      <w:tr w:rsidR="00C736F5" w:rsidRPr="00DF5A6E" w:rsidTr="00131AAC">
        <w:trPr>
          <w:trHeight w:val="476"/>
        </w:trPr>
        <w:tc>
          <w:tcPr>
            <w:tcW w:w="2410" w:type="dxa"/>
            <w:tcBorders>
              <w:top w:val="single" w:sz="4" w:space="0" w:color="auto"/>
              <w:left w:val="single" w:sz="4" w:space="0" w:color="auto"/>
              <w:bottom w:val="single" w:sz="4" w:space="0" w:color="auto"/>
              <w:right w:val="single" w:sz="4" w:space="0" w:color="auto"/>
            </w:tcBorders>
            <w:tcMar>
              <w:right w:w="28" w:type="dxa"/>
            </w:tcMar>
            <w:vAlign w:val="center"/>
          </w:tcPr>
          <w:p w:rsidR="00C736F5" w:rsidRPr="00DF5A6E" w:rsidRDefault="00C736F5" w:rsidP="00C736F5">
            <w:pPr>
              <w:pStyle w:val="TableText0"/>
              <w:keepNext w:val="0"/>
              <w:spacing w:before="0" w:after="0"/>
              <w:rPr>
                <w:rFonts w:cs="Arial"/>
              </w:rPr>
            </w:pPr>
            <w:r w:rsidRPr="00DF5A6E">
              <w:rPr>
                <w:rFonts w:cs="Arial"/>
              </w:rPr>
              <w:t>Kendall (2005)</w:t>
            </w:r>
          </w:p>
          <w:p w:rsidR="00C736F5" w:rsidRPr="00DF5A6E" w:rsidRDefault="00C736F5" w:rsidP="00C736F5">
            <w:pPr>
              <w:pStyle w:val="TableText0"/>
              <w:keepNext w:val="0"/>
              <w:spacing w:before="0" w:after="0"/>
              <w:rPr>
                <w:rFonts w:cs="Arial"/>
              </w:rPr>
            </w:pPr>
            <w:proofErr w:type="spellStart"/>
            <w:r w:rsidRPr="00DF5A6E">
              <w:rPr>
                <w:rFonts w:cs="Arial"/>
              </w:rPr>
              <w:t>Exenatide</w:t>
            </w:r>
            <w:proofErr w:type="spellEnd"/>
            <w:r w:rsidRPr="00DF5A6E">
              <w:rPr>
                <w:rFonts w:cs="Arial"/>
              </w:rPr>
              <w:t xml:space="preserve"> 10</w:t>
            </w:r>
            <w:r>
              <w:rPr>
                <w:rFonts w:cs="Arial"/>
              </w:rPr>
              <w:t xml:space="preserve"> mcg</w:t>
            </w:r>
            <w:r w:rsidRPr="00DF5A6E">
              <w:rPr>
                <w:rFonts w:cs="Arial"/>
              </w:rPr>
              <w:t xml:space="preserve"> twice daily</w:t>
            </w:r>
          </w:p>
        </w:tc>
        <w:tc>
          <w:tcPr>
            <w:tcW w:w="1559" w:type="dxa"/>
            <w:tcBorders>
              <w:top w:val="single" w:sz="4" w:space="0" w:color="auto"/>
              <w:left w:val="single" w:sz="4" w:space="0" w:color="auto"/>
              <w:bottom w:val="single" w:sz="4" w:space="0" w:color="auto"/>
              <w:right w:val="single" w:sz="4" w:space="0" w:color="auto"/>
            </w:tcBorders>
            <w:vAlign w:val="center"/>
          </w:tcPr>
          <w:p w:rsidR="00C736F5" w:rsidRPr="00DF5A6E" w:rsidRDefault="00C736F5" w:rsidP="00C736F5">
            <w:pPr>
              <w:pStyle w:val="TableText0"/>
              <w:keepNext w:val="0"/>
              <w:spacing w:before="0" w:after="0"/>
              <w:jc w:val="center"/>
              <w:rPr>
                <w:rFonts w:cs="Arial"/>
              </w:rPr>
            </w:pPr>
            <w:r w:rsidRPr="00DF5A6E">
              <w:rPr>
                <w:rFonts w:cs="Arial"/>
              </w:rPr>
              <w:t>–</w:t>
            </w:r>
          </w:p>
        </w:tc>
        <w:tc>
          <w:tcPr>
            <w:tcW w:w="1418" w:type="dxa"/>
            <w:vMerge/>
            <w:tcBorders>
              <w:left w:val="single" w:sz="4" w:space="0" w:color="auto"/>
              <w:bottom w:val="single" w:sz="4" w:space="0" w:color="auto"/>
              <w:right w:val="single" w:sz="4" w:space="0" w:color="auto"/>
            </w:tcBorders>
            <w:vAlign w:val="center"/>
          </w:tcPr>
          <w:p w:rsidR="00C736F5" w:rsidRPr="00DF5A6E" w:rsidRDefault="00C736F5" w:rsidP="00C736F5">
            <w:pPr>
              <w:pStyle w:val="TableText0"/>
              <w:keepNext w:val="0"/>
              <w:spacing w:before="0" w:after="0"/>
              <w:jc w:val="center"/>
              <w:rPr>
                <w:rFonts w:cs="Arial"/>
              </w:rPr>
            </w:pPr>
          </w:p>
        </w:tc>
        <w:tc>
          <w:tcPr>
            <w:tcW w:w="1418" w:type="dxa"/>
            <w:tcBorders>
              <w:top w:val="single" w:sz="4" w:space="0" w:color="auto"/>
              <w:left w:val="single" w:sz="4" w:space="0" w:color="auto"/>
              <w:bottom w:val="single" w:sz="4" w:space="0" w:color="auto"/>
              <w:right w:val="double" w:sz="4" w:space="0" w:color="auto"/>
            </w:tcBorders>
            <w:vAlign w:val="center"/>
          </w:tcPr>
          <w:p w:rsidR="00C736F5" w:rsidRPr="00DF5A6E" w:rsidRDefault="00C736F5" w:rsidP="00C736F5">
            <w:pPr>
              <w:pStyle w:val="TableText0"/>
              <w:keepNext w:val="0"/>
              <w:spacing w:before="0" w:after="0"/>
              <w:jc w:val="center"/>
              <w:rPr>
                <w:rFonts w:cs="Arial"/>
              </w:rPr>
            </w:pPr>
            <w:r w:rsidRPr="00DF5A6E">
              <w:rPr>
                <w:rFonts w:cs="Arial"/>
              </w:rPr>
              <w:t>-0.9 (0.08)</w:t>
            </w:r>
          </w:p>
          <w:p w:rsidR="00C736F5" w:rsidRPr="00DF5A6E" w:rsidRDefault="00C736F5" w:rsidP="00C736F5">
            <w:pPr>
              <w:pStyle w:val="TableText0"/>
              <w:keepNext w:val="0"/>
              <w:spacing w:before="0" w:after="0"/>
              <w:jc w:val="center"/>
              <w:rPr>
                <w:rFonts w:cs="Arial"/>
              </w:rPr>
            </w:pPr>
            <w:r w:rsidRPr="00DF5A6E">
              <w:rPr>
                <w:rFonts w:cs="Arial"/>
              </w:rPr>
              <w:t>n=241</w:t>
            </w:r>
          </w:p>
        </w:tc>
        <w:tc>
          <w:tcPr>
            <w:tcW w:w="1559" w:type="dxa"/>
            <w:tcBorders>
              <w:top w:val="single" w:sz="4" w:space="0" w:color="auto"/>
              <w:left w:val="double" w:sz="4" w:space="0" w:color="auto"/>
              <w:bottom w:val="single" w:sz="4" w:space="0" w:color="auto"/>
              <w:right w:val="single" w:sz="4" w:space="0" w:color="auto"/>
            </w:tcBorders>
            <w:shd w:val="clear" w:color="auto" w:fill="FFFFFF"/>
            <w:vAlign w:val="center"/>
          </w:tcPr>
          <w:p w:rsidR="00C736F5" w:rsidRPr="00DF5A6E" w:rsidRDefault="00C736F5" w:rsidP="00C736F5">
            <w:pPr>
              <w:pStyle w:val="TableText0"/>
              <w:keepNext w:val="0"/>
              <w:spacing w:before="0" w:after="0"/>
              <w:jc w:val="center"/>
              <w:rPr>
                <w:rFonts w:cs="Arial"/>
              </w:rPr>
            </w:pPr>
            <w:r w:rsidRPr="00DF5A6E">
              <w:rPr>
                <w:rFonts w:cs="Arial"/>
              </w:rPr>
              <w:t>-1.07 (-1.28, -0.86)</w:t>
            </w:r>
          </w:p>
        </w:tc>
      </w:tr>
      <w:tr w:rsidR="00C736F5" w:rsidRPr="00DF5A6E" w:rsidTr="00C736F5">
        <w:trPr>
          <w:trHeight w:val="215"/>
        </w:trPr>
        <w:tc>
          <w:tcPr>
            <w:tcW w:w="6805" w:type="dxa"/>
            <w:gridSpan w:val="4"/>
            <w:tcBorders>
              <w:top w:val="single" w:sz="4" w:space="0" w:color="auto"/>
              <w:left w:val="single" w:sz="4" w:space="0" w:color="auto"/>
              <w:bottom w:val="single" w:sz="4" w:space="0" w:color="auto"/>
              <w:right w:val="double" w:sz="4" w:space="0" w:color="auto"/>
            </w:tcBorders>
            <w:tcMar>
              <w:right w:w="108" w:type="dxa"/>
            </w:tcMar>
            <w:vAlign w:val="center"/>
          </w:tcPr>
          <w:p w:rsidR="00C736F5" w:rsidRPr="00DF5A6E" w:rsidRDefault="00C736F5" w:rsidP="00C736F5">
            <w:pPr>
              <w:pStyle w:val="TableText0"/>
              <w:keepNext w:val="0"/>
              <w:spacing w:before="0" w:after="0"/>
              <w:jc w:val="right"/>
              <w:rPr>
                <w:rFonts w:cs="Arial"/>
                <w:b/>
              </w:rPr>
            </w:pPr>
            <w:r w:rsidRPr="00DF5A6E">
              <w:rPr>
                <w:rFonts w:cs="Arial"/>
              </w:rPr>
              <w:t xml:space="preserve">Indirect estimate of effect </w:t>
            </w:r>
            <w:proofErr w:type="spellStart"/>
            <w:r w:rsidRPr="00DF5A6E">
              <w:rPr>
                <w:rFonts w:cs="Arial"/>
              </w:rPr>
              <w:t>lixisenatide</w:t>
            </w:r>
            <w:proofErr w:type="spellEnd"/>
            <w:r w:rsidRPr="00DF5A6E">
              <w:rPr>
                <w:rFonts w:cs="Arial"/>
              </w:rPr>
              <w:t xml:space="preserve"> vs </w:t>
            </w:r>
            <w:proofErr w:type="spellStart"/>
            <w:r w:rsidRPr="00DF5A6E">
              <w:rPr>
                <w:rFonts w:cs="Arial"/>
              </w:rPr>
              <w:t>exenatide</w:t>
            </w:r>
            <w:proofErr w:type="spellEnd"/>
            <w:r w:rsidRPr="00DF5A6E">
              <w:rPr>
                <w:rFonts w:cs="Arial"/>
              </w:rPr>
              <w:t xml:space="preserve"> 5</w:t>
            </w:r>
            <w:r>
              <w:rPr>
                <w:rFonts w:cs="Arial"/>
              </w:rPr>
              <w:t xml:space="preserve"> mcg</w:t>
            </w:r>
            <w:r w:rsidRPr="00DF5A6E">
              <w:rPr>
                <w:rFonts w:cs="Arial"/>
              </w:rPr>
              <w:t xml:space="preserve"> twice daily</w:t>
            </w:r>
          </w:p>
        </w:tc>
        <w:tc>
          <w:tcPr>
            <w:tcW w:w="1559" w:type="dxa"/>
            <w:tcBorders>
              <w:top w:val="single" w:sz="4" w:space="0" w:color="auto"/>
              <w:left w:val="double" w:sz="4" w:space="0" w:color="auto"/>
              <w:bottom w:val="single" w:sz="4" w:space="0" w:color="auto"/>
              <w:right w:val="single" w:sz="4" w:space="0" w:color="auto"/>
            </w:tcBorders>
          </w:tcPr>
          <w:p w:rsidR="00C736F5" w:rsidRPr="00DE4A3C" w:rsidRDefault="00DE4A3C" w:rsidP="00C736F5">
            <w:pPr>
              <w:pStyle w:val="TableText0"/>
              <w:keepNext w:val="0"/>
              <w:spacing w:before="0" w:after="0"/>
              <w:jc w:val="center"/>
              <w:rPr>
                <w:rFonts w:cs="Arial"/>
                <w:highlight w:val="black"/>
              </w:rPr>
            </w:pPr>
            <w:r>
              <w:rPr>
                <w:rFonts w:cs="Arial"/>
                <w:noProof/>
                <w:color w:val="000000"/>
                <w:highlight w:val="black"/>
              </w:rPr>
              <w:t>'''''''''' ''''''''''''''' ''''''''''''</w:t>
            </w:r>
          </w:p>
        </w:tc>
      </w:tr>
      <w:tr w:rsidR="00C736F5" w:rsidRPr="00DF5A6E" w:rsidTr="00C736F5">
        <w:trPr>
          <w:trHeight w:val="230"/>
        </w:trPr>
        <w:tc>
          <w:tcPr>
            <w:tcW w:w="6805" w:type="dxa"/>
            <w:gridSpan w:val="4"/>
            <w:tcBorders>
              <w:top w:val="single" w:sz="4" w:space="0" w:color="auto"/>
              <w:left w:val="single" w:sz="4" w:space="0" w:color="auto"/>
              <w:bottom w:val="single" w:sz="4" w:space="0" w:color="auto"/>
              <w:right w:val="double" w:sz="4" w:space="0" w:color="auto"/>
            </w:tcBorders>
            <w:tcMar>
              <w:right w:w="108" w:type="dxa"/>
            </w:tcMar>
            <w:vAlign w:val="center"/>
          </w:tcPr>
          <w:p w:rsidR="00C736F5" w:rsidRPr="00DF5A6E" w:rsidRDefault="00C736F5" w:rsidP="00C736F5">
            <w:pPr>
              <w:pStyle w:val="TableText0"/>
              <w:keepNext w:val="0"/>
              <w:spacing w:before="0" w:after="0"/>
              <w:jc w:val="right"/>
              <w:rPr>
                <w:rFonts w:cs="Arial"/>
              </w:rPr>
            </w:pPr>
            <w:r w:rsidRPr="00DF5A6E">
              <w:rPr>
                <w:rFonts w:cs="Arial"/>
              </w:rPr>
              <w:t xml:space="preserve">Indirect estimate of effect </w:t>
            </w:r>
            <w:proofErr w:type="spellStart"/>
            <w:r w:rsidRPr="00DF5A6E">
              <w:rPr>
                <w:rFonts w:cs="Arial"/>
              </w:rPr>
              <w:t>lixisenatide</w:t>
            </w:r>
            <w:proofErr w:type="spellEnd"/>
            <w:r w:rsidRPr="00DF5A6E">
              <w:rPr>
                <w:rFonts w:cs="Arial"/>
              </w:rPr>
              <w:t xml:space="preserve"> vs </w:t>
            </w:r>
            <w:proofErr w:type="spellStart"/>
            <w:r w:rsidRPr="00DF5A6E">
              <w:rPr>
                <w:rFonts w:cs="Arial"/>
              </w:rPr>
              <w:t>exenatide</w:t>
            </w:r>
            <w:proofErr w:type="spellEnd"/>
            <w:r w:rsidRPr="00DF5A6E">
              <w:rPr>
                <w:rFonts w:cs="Arial"/>
              </w:rPr>
              <w:t xml:space="preserve"> 10</w:t>
            </w:r>
            <w:r>
              <w:rPr>
                <w:rFonts w:cs="Arial"/>
              </w:rPr>
              <w:t xml:space="preserve"> mcg</w:t>
            </w:r>
            <w:r w:rsidRPr="00DF5A6E">
              <w:rPr>
                <w:rFonts w:cs="Arial"/>
              </w:rPr>
              <w:t xml:space="preserve"> twice daily</w:t>
            </w:r>
          </w:p>
        </w:tc>
        <w:tc>
          <w:tcPr>
            <w:tcW w:w="1559" w:type="dxa"/>
            <w:tcBorders>
              <w:top w:val="single" w:sz="4" w:space="0" w:color="auto"/>
              <w:left w:val="double" w:sz="4" w:space="0" w:color="auto"/>
              <w:bottom w:val="single" w:sz="4" w:space="0" w:color="auto"/>
              <w:right w:val="single" w:sz="4" w:space="0" w:color="auto"/>
            </w:tcBorders>
          </w:tcPr>
          <w:p w:rsidR="00C736F5" w:rsidRPr="00DE4A3C" w:rsidRDefault="00DE4A3C" w:rsidP="00C736F5">
            <w:pPr>
              <w:pStyle w:val="TableText0"/>
              <w:keepNext w:val="0"/>
              <w:spacing w:before="0" w:after="0"/>
              <w:jc w:val="center"/>
              <w:rPr>
                <w:rFonts w:cs="Arial"/>
                <w:highlight w:val="black"/>
              </w:rPr>
            </w:pPr>
            <w:r>
              <w:rPr>
                <w:rFonts w:cs="Arial"/>
                <w:noProof/>
                <w:color w:val="000000"/>
                <w:highlight w:val="black"/>
              </w:rPr>
              <w:t>'''''''''' ''''''''''''''' '''''''''''''</w:t>
            </w:r>
          </w:p>
        </w:tc>
      </w:tr>
      <w:tr w:rsidR="00C736F5" w:rsidRPr="00DF5A6E" w:rsidTr="00C736F5">
        <w:trPr>
          <w:trHeight w:val="246"/>
        </w:trPr>
        <w:tc>
          <w:tcPr>
            <w:tcW w:w="6805" w:type="dxa"/>
            <w:gridSpan w:val="4"/>
            <w:tcBorders>
              <w:top w:val="single" w:sz="4" w:space="0" w:color="auto"/>
              <w:left w:val="single" w:sz="4" w:space="0" w:color="auto"/>
              <w:bottom w:val="single" w:sz="4" w:space="0" w:color="auto"/>
              <w:right w:val="double" w:sz="4" w:space="0" w:color="auto"/>
            </w:tcBorders>
            <w:tcMar>
              <w:right w:w="108" w:type="dxa"/>
            </w:tcMar>
            <w:vAlign w:val="center"/>
          </w:tcPr>
          <w:p w:rsidR="00C736F5" w:rsidRPr="00DF5A6E" w:rsidRDefault="00C736F5" w:rsidP="00C736F5">
            <w:pPr>
              <w:pStyle w:val="TableText0"/>
              <w:keepNext w:val="0"/>
              <w:spacing w:before="0" w:after="0"/>
              <w:jc w:val="right"/>
              <w:rPr>
                <w:rFonts w:cs="Arial"/>
              </w:rPr>
            </w:pPr>
            <w:r w:rsidRPr="00DF5A6E">
              <w:rPr>
                <w:rFonts w:cs="Arial"/>
              </w:rPr>
              <w:t xml:space="preserve">Indirect estimate of </w:t>
            </w:r>
            <w:proofErr w:type="spellStart"/>
            <w:r w:rsidRPr="00DF5A6E">
              <w:rPr>
                <w:rFonts w:cs="Arial"/>
              </w:rPr>
              <w:t>lixisenatide</w:t>
            </w:r>
            <w:proofErr w:type="spellEnd"/>
            <w:r w:rsidRPr="00DF5A6E">
              <w:rPr>
                <w:rFonts w:cs="Arial"/>
              </w:rPr>
              <w:t xml:space="preserve"> vs </w:t>
            </w:r>
            <w:proofErr w:type="spellStart"/>
            <w:r w:rsidRPr="00DF5A6E">
              <w:rPr>
                <w:rFonts w:cs="Arial"/>
              </w:rPr>
              <w:t>exenatide</w:t>
            </w:r>
            <w:proofErr w:type="spellEnd"/>
            <w:r w:rsidRPr="00DF5A6E">
              <w:rPr>
                <w:rFonts w:cs="Arial"/>
              </w:rPr>
              <w:t xml:space="preserve"> using regression analysis to combine </w:t>
            </w:r>
            <w:proofErr w:type="spellStart"/>
            <w:r w:rsidRPr="00DF5A6E">
              <w:rPr>
                <w:rFonts w:cs="Arial"/>
              </w:rPr>
              <w:t>exenatide</w:t>
            </w:r>
            <w:proofErr w:type="spellEnd"/>
            <w:r w:rsidRPr="00DF5A6E">
              <w:rPr>
                <w:rFonts w:cs="Arial"/>
              </w:rPr>
              <w:t xml:space="preserve"> arms </w:t>
            </w:r>
          </w:p>
        </w:tc>
        <w:tc>
          <w:tcPr>
            <w:tcW w:w="1559" w:type="dxa"/>
            <w:tcBorders>
              <w:top w:val="single" w:sz="4" w:space="0" w:color="auto"/>
              <w:left w:val="double" w:sz="4" w:space="0" w:color="auto"/>
              <w:bottom w:val="single" w:sz="4" w:space="0" w:color="auto"/>
              <w:right w:val="single" w:sz="4" w:space="0" w:color="auto"/>
            </w:tcBorders>
            <w:vAlign w:val="center"/>
          </w:tcPr>
          <w:p w:rsidR="00C736F5" w:rsidRPr="00DE4A3C" w:rsidRDefault="00DE4A3C" w:rsidP="00C736F5">
            <w:pPr>
              <w:pStyle w:val="TableText0"/>
              <w:keepNext w:val="0"/>
              <w:spacing w:before="0" w:after="0"/>
              <w:jc w:val="center"/>
              <w:rPr>
                <w:rFonts w:cs="Arial"/>
                <w:highlight w:val="black"/>
              </w:rPr>
            </w:pPr>
            <w:r>
              <w:rPr>
                <w:rFonts w:cs="Arial"/>
                <w:noProof/>
                <w:color w:val="000000"/>
                <w:highlight w:val="black"/>
              </w:rPr>
              <w:t>''''''''''' '''''''''''''''' ''''''''''''</w:t>
            </w:r>
          </w:p>
        </w:tc>
      </w:tr>
    </w:tbl>
    <w:p w:rsidR="00C736F5" w:rsidRPr="00DF5A6E" w:rsidRDefault="00C736F5" w:rsidP="00C736F5">
      <w:pPr>
        <w:pStyle w:val="COMTbl-foot"/>
        <w:ind w:firstLine="720"/>
      </w:pPr>
      <w:r w:rsidRPr="00DF5A6E">
        <w:t xml:space="preserve">Source: Table B.6.2 of the commentary </w:t>
      </w:r>
    </w:p>
    <w:p w:rsidR="00C736F5" w:rsidRPr="00264B34" w:rsidRDefault="00C736F5" w:rsidP="00264B34">
      <w:pPr>
        <w:pStyle w:val="COMTbl-foot"/>
        <w:ind w:firstLine="720"/>
      </w:pPr>
      <w:r w:rsidRPr="00DF5A6E">
        <w:t>Abbreviations: CI, confidence interval; LS, least square; MET, metformin; SE, standard error; SU, sulfonylurea</w:t>
      </w:r>
    </w:p>
    <w:p w:rsidR="00C736F5" w:rsidRDefault="00C736F5" w:rsidP="00C736F5">
      <w:pPr>
        <w:pStyle w:val="ListParagraph"/>
        <w:jc w:val="both"/>
        <w:rPr>
          <w:rFonts w:ascii="Arial" w:hAnsi="Arial"/>
          <w:sz w:val="22"/>
          <w:szCs w:val="22"/>
        </w:rPr>
      </w:pPr>
    </w:p>
    <w:p w:rsidR="0024179B" w:rsidRPr="003D26D8" w:rsidRDefault="00C736F5" w:rsidP="0024179B">
      <w:pPr>
        <w:pStyle w:val="ListParagraph"/>
        <w:numPr>
          <w:ilvl w:val="1"/>
          <w:numId w:val="25"/>
        </w:numPr>
        <w:jc w:val="both"/>
        <w:rPr>
          <w:rFonts w:ascii="Arial" w:hAnsi="Arial"/>
          <w:sz w:val="22"/>
          <w:szCs w:val="22"/>
        </w:rPr>
      </w:pPr>
      <w:r>
        <w:rPr>
          <w:rFonts w:ascii="Arial" w:hAnsi="Arial"/>
          <w:sz w:val="22"/>
          <w:szCs w:val="22"/>
        </w:rPr>
        <w:t>T</w:t>
      </w:r>
      <w:r w:rsidR="00264B34">
        <w:rPr>
          <w:rFonts w:ascii="Arial" w:hAnsi="Arial"/>
          <w:sz w:val="22"/>
          <w:szCs w:val="22"/>
        </w:rPr>
        <w:t>he submission claimed that there we</w:t>
      </w:r>
      <w:r w:rsidR="0024179B" w:rsidRPr="003D26D8">
        <w:rPr>
          <w:rFonts w:ascii="Arial" w:hAnsi="Arial"/>
          <w:sz w:val="22"/>
          <w:szCs w:val="22"/>
        </w:rPr>
        <w:t xml:space="preserve">re no statistically and clinically significant differences between </w:t>
      </w:r>
      <w:proofErr w:type="spellStart"/>
      <w:r w:rsidR="0024179B" w:rsidRPr="003D26D8">
        <w:rPr>
          <w:rFonts w:ascii="Arial" w:hAnsi="Arial"/>
          <w:sz w:val="22"/>
          <w:szCs w:val="22"/>
        </w:rPr>
        <w:t>lixisenatide</w:t>
      </w:r>
      <w:proofErr w:type="spellEnd"/>
      <w:r w:rsidR="0024179B" w:rsidRPr="003D26D8">
        <w:rPr>
          <w:rFonts w:ascii="Arial" w:hAnsi="Arial"/>
          <w:sz w:val="22"/>
          <w:szCs w:val="22"/>
        </w:rPr>
        <w:t xml:space="preserve"> versus </w:t>
      </w:r>
      <w:proofErr w:type="spellStart"/>
      <w:r w:rsidR="0024179B" w:rsidRPr="003D26D8">
        <w:rPr>
          <w:rFonts w:ascii="Arial" w:hAnsi="Arial"/>
          <w:sz w:val="22"/>
          <w:szCs w:val="22"/>
        </w:rPr>
        <w:t>exenatide</w:t>
      </w:r>
      <w:proofErr w:type="spellEnd"/>
      <w:r w:rsidR="0024179B" w:rsidRPr="003D26D8">
        <w:rPr>
          <w:rFonts w:ascii="Arial" w:hAnsi="Arial"/>
          <w:sz w:val="22"/>
          <w:szCs w:val="22"/>
        </w:rPr>
        <w:t xml:space="preserve"> when used in triple therapy in combination with metformin and a sulfonylurea, even with a large variation in placebo response.</w:t>
      </w:r>
      <w:r w:rsidR="00264B34">
        <w:rPr>
          <w:rFonts w:ascii="Arial" w:hAnsi="Arial"/>
          <w:sz w:val="22"/>
          <w:szCs w:val="22"/>
        </w:rPr>
        <w:t xml:space="preserve"> The ESC considered that this claim wa</w:t>
      </w:r>
      <w:r w:rsidR="0024179B" w:rsidRPr="003D26D8">
        <w:rPr>
          <w:rFonts w:ascii="Arial" w:hAnsi="Arial"/>
          <w:sz w:val="22"/>
          <w:szCs w:val="22"/>
        </w:rPr>
        <w:t xml:space="preserve">s not supported by the results displayed in the table above. The ESC considered that non-inferiority is not statistically demonstrated for the indirect comparisons of </w:t>
      </w:r>
      <w:proofErr w:type="spellStart"/>
      <w:r w:rsidR="0024179B" w:rsidRPr="003D26D8">
        <w:rPr>
          <w:rFonts w:ascii="Arial" w:hAnsi="Arial"/>
          <w:sz w:val="22"/>
          <w:szCs w:val="22"/>
        </w:rPr>
        <w:t>lixisenatide</w:t>
      </w:r>
      <w:proofErr w:type="spellEnd"/>
      <w:r w:rsidR="0024179B" w:rsidRPr="003D26D8">
        <w:rPr>
          <w:rFonts w:ascii="Arial" w:hAnsi="Arial"/>
          <w:sz w:val="22"/>
          <w:szCs w:val="22"/>
        </w:rPr>
        <w:t xml:space="preserve"> versus </w:t>
      </w:r>
      <w:proofErr w:type="spellStart"/>
      <w:r w:rsidR="0024179B" w:rsidRPr="003D26D8">
        <w:rPr>
          <w:rFonts w:ascii="Arial" w:hAnsi="Arial"/>
          <w:sz w:val="22"/>
          <w:szCs w:val="22"/>
        </w:rPr>
        <w:t>exenatide</w:t>
      </w:r>
      <w:proofErr w:type="spellEnd"/>
      <w:r w:rsidR="0024179B" w:rsidRPr="003D26D8">
        <w:rPr>
          <w:rFonts w:ascii="Arial" w:hAnsi="Arial"/>
          <w:sz w:val="22"/>
          <w:szCs w:val="22"/>
        </w:rPr>
        <w:t xml:space="preserve"> 10 mcg twice daily and versus the combined </w:t>
      </w:r>
      <w:proofErr w:type="spellStart"/>
      <w:r w:rsidR="0024179B" w:rsidRPr="003D26D8">
        <w:rPr>
          <w:rFonts w:ascii="Arial" w:hAnsi="Arial"/>
          <w:sz w:val="22"/>
          <w:szCs w:val="22"/>
        </w:rPr>
        <w:t>exenatide</w:t>
      </w:r>
      <w:proofErr w:type="spellEnd"/>
      <w:r w:rsidR="0024179B" w:rsidRPr="003D26D8">
        <w:rPr>
          <w:rFonts w:ascii="Arial" w:hAnsi="Arial"/>
          <w:sz w:val="22"/>
          <w:szCs w:val="22"/>
        </w:rPr>
        <w:t xml:space="preserve"> 5 mcg and 10 mcg twice daily estimate, as the upper bounds of the respective 95% CI exceed both the nominated non-inferiority margin of 0.4% and a more stringent margin of 0.3%. The </w:t>
      </w:r>
      <w:r w:rsidR="0024179B" w:rsidRPr="003D26D8">
        <w:rPr>
          <w:rFonts w:ascii="Arial" w:hAnsi="Arial"/>
          <w:sz w:val="22"/>
          <w:szCs w:val="22"/>
        </w:rPr>
        <w:lastRenderedPageBreak/>
        <w:t xml:space="preserve">ESC noted that non-inferiority of </w:t>
      </w:r>
      <w:proofErr w:type="spellStart"/>
      <w:r w:rsidR="0024179B" w:rsidRPr="003D26D8">
        <w:rPr>
          <w:rFonts w:ascii="Arial" w:hAnsi="Arial"/>
          <w:sz w:val="22"/>
          <w:szCs w:val="22"/>
        </w:rPr>
        <w:t>lixisenatide</w:t>
      </w:r>
      <w:proofErr w:type="spellEnd"/>
      <w:r w:rsidR="0024179B" w:rsidRPr="003D26D8">
        <w:rPr>
          <w:rFonts w:ascii="Arial" w:hAnsi="Arial"/>
          <w:sz w:val="22"/>
          <w:szCs w:val="22"/>
        </w:rPr>
        <w:t xml:space="preserve"> versus </w:t>
      </w:r>
      <w:proofErr w:type="spellStart"/>
      <w:r w:rsidR="0024179B" w:rsidRPr="003D26D8">
        <w:rPr>
          <w:rFonts w:ascii="Arial" w:hAnsi="Arial"/>
          <w:sz w:val="22"/>
          <w:szCs w:val="22"/>
        </w:rPr>
        <w:t>exenatide</w:t>
      </w:r>
      <w:proofErr w:type="spellEnd"/>
      <w:r w:rsidR="0024179B" w:rsidRPr="003D26D8">
        <w:rPr>
          <w:rFonts w:ascii="Arial" w:hAnsi="Arial"/>
          <w:sz w:val="22"/>
          <w:szCs w:val="22"/>
        </w:rPr>
        <w:t xml:space="preserve"> 5 mcg twice daily is statistically demonstrated for the nominated non-inferiority margin of 0.4% or 0.3%.</w:t>
      </w:r>
      <w:r w:rsidR="00264B34">
        <w:rPr>
          <w:rFonts w:ascii="Arial" w:hAnsi="Arial"/>
          <w:sz w:val="22"/>
          <w:szCs w:val="22"/>
        </w:rPr>
        <w:t xml:space="preserve"> </w:t>
      </w:r>
    </w:p>
    <w:p w:rsidR="0024179B" w:rsidRPr="003D26D8" w:rsidRDefault="0024179B" w:rsidP="0024179B">
      <w:pPr>
        <w:pStyle w:val="ListParagraph"/>
        <w:jc w:val="both"/>
        <w:rPr>
          <w:rFonts w:ascii="Arial" w:hAnsi="Arial"/>
          <w:sz w:val="22"/>
          <w:szCs w:val="22"/>
        </w:rPr>
      </w:pPr>
    </w:p>
    <w:p w:rsidR="00BD7206" w:rsidRPr="00BD7206" w:rsidRDefault="0024179B" w:rsidP="00BD7206">
      <w:pPr>
        <w:pStyle w:val="ListParagraph"/>
        <w:numPr>
          <w:ilvl w:val="1"/>
          <w:numId w:val="25"/>
        </w:numPr>
        <w:jc w:val="both"/>
        <w:rPr>
          <w:rFonts w:ascii="Arial" w:hAnsi="Arial"/>
          <w:sz w:val="22"/>
          <w:szCs w:val="22"/>
        </w:rPr>
      </w:pPr>
      <w:r w:rsidRPr="003D26D8">
        <w:rPr>
          <w:rFonts w:ascii="Arial" w:hAnsi="Arial"/>
          <w:sz w:val="22"/>
          <w:szCs w:val="22"/>
        </w:rPr>
        <w:t>The sub</w:t>
      </w:r>
      <w:r w:rsidR="00264B34">
        <w:rPr>
          <w:rFonts w:ascii="Arial" w:hAnsi="Arial"/>
          <w:sz w:val="22"/>
          <w:szCs w:val="22"/>
        </w:rPr>
        <w:t>mission and PSCR (p.2) justified</w:t>
      </w:r>
      <w:r w:rsidRPr="003D26D8">
        <w:rPr>
          <w:rFonts w:ascii="Arial" w:hAnsi="Arial"/>
          <w:sz w:val="22"/>
          <w:szCs w:val="22"/>
        </w:rPr>
        <w:t xml:space="preserve"> the use of the combined results using the </w:t>
      </w:r>
      <w:proofErr w:type="spellStart"/>
      <w:r w:rsidRPr="003D26D8">
        <w:rPr>
          <w:rFonts w:ascii="Arial" w:hAnsi="Arial"/>
          <w:sz w:val="22"/>
          <w:szCs w:val="22"/>
        </w:rPr>
        <w:t>exenatide</w:t>
      </w:r>
      <w:proofErr w:type="spellEnd"/>
      <w:r w:rsidRPr="003D26D8">
        <w:rPr>
          <w:rFonts w:ascii="Arial" w:hAnsi="Arial"/>
          <w:sz w:val="22"/>
          <w:szCs w:val="22"/>
        </w:rPr>
        <w:t xml:space="preserve"> 5 mcg twice da</w:t>
      </w:r>
      <w:r w:rsidR="00264B34">
        <w:rPr>
          <w:rFonts w:ascii="Arial" w:hAnsi="Arial"/>
          <w:sz w:val="22"/>
          <w:szCs w:val="22"/>
        </w:rPr>
        <w:t xml:space="preserve">ily and 10 mcg twice daily arms by noting that </w:t>
      </w:r>
      <w:r w:rsidRPr="003D26D8">
        <w:rPr>
          <w:rFonts w:ascii="Arial" w:hAnsi="Arial"/>
          <w:sz w:val="22"/>
          <w:szCs w:val="22"/>
        </w:rPr>
        <w:t>patients may be maintained on either dose. The ESC noted that the evaluation questioned whether this is appropriate. Given that there 112,976 PBS pre</w:t>
      </w:r>
      <w:r w:rsidR="00264B34">
        <w:rPr>
          <w:rFonts w:ascii="Arial" w:hAnsi="Arial"/>
          <w:sz w:val="22"/>
          <w:szCs w:val="22"/>
        </w:rPr>
        <w:t>scriptions processed for the 10 </w:t>
      </w:r>
      <w:r w:rsidRPr="003D26D8">
        <w:rPr>
          <w:rFonts w:ascii="Arial" w:hAnsi="Arial"/>
          <w:sz w:val="22"/>
          <w:szCs w:val="22"/>
        </w:rPr>
        <w:t xml:space="preserve">mcg strength over a 12 month period between 1 May 2013 to 30 April 2014 compared to 40,894 prescriptions for the 5 mcg strength, the ESC noted that a majority of patients are on the higher strength of </w:t>
      </w:r>
      <w:proofErr w:type="spellStart"/>
      <w:r w:rsidRPr="003D26D8">
        <w:rPr>
          <w:rFonts w:ascii="Arial" w:hAnsi="Arial"/>
          <w:sz w:val="22"/>
          <w:szCs w:val="22"/>
        </w:rPr>
        <w:t>exenatide</w:t>
      </w:r>
      <w:proofErr w:type="spellEnd"/>
      <w:r w:rsidRPr="003D26D8">
        <w:rPr>
          <w:rFonts w:ascii="Arial" w:hAnsi="Arial"/>
          <w:sz w:val="22"/>
          <w:szCs w:val="22"/>
        </w:rPr>
        <w:t xml:space="preserve">. The ESC considered that the results from the </w:t>
      </w:r>
      <w:proofErr w:type="spellStart"/>
      <w:r w:rsidRPr="003D26D8">
        <w:rPr>
          <w:rFonts w:ascii="Arial" w:hAnsi="Arial"/>
          <w:sz w:val="22"/>
          <w:szCs w:val="22"/>
        </w:rPr>
        <w:t>exenatide</w:t>
      </w:r>
      <w:proofErr w:type="spellEnd"/>
      <w:r w:rsidRPr="003D26D8">
        <w:rPr>
          <w:rFonts w:ascii="Arial" w:hAnsi="Arial"/>
          <w:sz w:val="22"/>
          <w:szCs w:val="22"/>
        </w:rPr>
        <w:t xml:space="preserve"> 5 mcg twice daily arm may underestimate efficacy (and adverse events) seen in practice and so the combined indirect estimate may bias efficacy comparisons in favour of </w:t>
      </w:r>
      <w:proofErr w:type="spellStart"/>
      <w:r w:rsidRPr="003D26D8">
        <w:rPr>
          <w:rFonts w:ascii="Arial" w:hAnsi="Arial"/>
          <w:sz w:val="22"/>
          <w:szCs w:val="22"/>
        </w:rPr>
        <w:t>lixisenatide</w:t>
      </w:r>
      <w:proofErr w:type="spellEnd"/>
      <w:r w:rsidRPr="00264B34">
        <w:rPr>
          <w:rFonts w:ascii="Arial" w:hAnsi="Arial"/>
          <w:sz w:val="22"/>
          <w:szCs w:val="22"/>
        </w:rPr>
        <w:t>.</w:t>
      </w:r>
    </w:p>
    <w:p w:rsidR="00BD7206" w:rsidRPr="00BD7206" w:rsidRDefault="00BD7206" w:rsidP="00BD7206">
      <w:pPr>
        <w:pStyle w:val="ListParagraph"/>
        <w:rPr>
          <w:rFonts w:ascii="Arial" w:hAnsi="Arial"/>
          <w:sz w:val="22"/>
          <w:szCs w:val="22"/>
        </w:rPr>
      </w:pPr>
    </w:p>
    <w:p w:rsidR="0024179B" w:rsidRDefault="0024179B" w:rsidP="0024179B">
      <w:pPr>
        <w:pStyle w:val="ListParagraph"/>
        <w:numPr>
          <w:ilvl w:val="1"/>
          <w:numId w:val="25"/>
        </w:numPr>
        <w:jc w:val="both"/>
        <w:rPr>
          <w:rFonts w:ascii="Arial" w:hAnsi="Arial"/>
          <w:sz w:val="22"/>
          <w:szCs w:val="22"/>
        </w:rPr>
      </w:pPr>
      <w:r w:rsidRPr="003D26D8">
        <w:rPr>
          <w:rFonts w:ascii="Arial" w:hAnsi="Arial"/>
          <w:sz w:val="22"/>
          <w:szCs w:val="22"/>
        </w:rPr>
        <w:t xml:space="preserve">Based on the results presented in the indirect comparison, the evaluation observed that the placebo responses in the two trials included are inconsistent and therefore potentially raise doubts over the exchangeability of the included trials. The ESC noted the PSCR’s (p.2) observation that </w:t>
      </w:r>
      <w:proofErr w:type="spellStart"/>
      <w:r w:rsidRPr="003D26D8">
        <w:rPr>
          <w:rFonts w:ascii="Arial" w:hAnsi="Arial"/>
          <w:sz w:val="22"/>
          <w:szCs w:val="22"/>
        </w:rPr>
        <w:t>GetGoal</w:t>
      </w:r>
      <w:proofErr w:type="spellEnd"/>
      <w:r w:rsidRPr="003D26D8">
        <w:rPr>
          <w:rFonts w:ascii="Arial" w:hAnsi="Arial"/>
          <w:sz w:val="22"/>
          <w:szCs w:val="22"/>
        </w:rPr>
        <w:t xml:space="preserve">-S shows that placebo has an improvement in HbA1c control but that “…the placebo group for Kendall (2005) shows a decline in HbA1c control and therefore the full benefit of </w:t>
      </w:r>
      <w:proofErr w:type="spellStart"/>
      <w:r w:rsidRPr="003D26D8">
        <w:rPr>
          <w:rFonts w:ascii="Arial" w:hAnsi="Arial"/>
          <w:sz w:val="22"/>
          <w:szCs w:val="22"/>
        </w:rPr>
        <w:t>lixisenatide</w:t>
      </w:r>
      <w:proofErr w:type="spellEnd"/>
      <w:r w:rsidRPr="003D26D8">
        <w:rPr>
          <w:rFonts w:ascii="Arial" w:hAnsi="Arial"/>
          <w:sz w:val="22"/>
          <w:szCs w:val="22"/>
        </w:rPr>
        <w:t xml:space="preserve"> compared with </w:t>
      </w:r>
      <w:proofErr w:type="spellStart"/>
      <w:r w:rsidRPr="003D26D8">
        <w:rPr>
          <w:rFonts w:ascii="Arial" w:hAnsi="Arial"/>
          <w:sz w:val="22"/>
          <w:szCs w:val="22"/>
        </w:rPr>
        <w:t>exenatide</w:t>
      </w:r>
      <w:proofErr w:type="spellEnd"/>
      <w:r w:rsidRPr="003D26D8">
        <w:rPr>
          <w:rFonts w:ascii="Arial" w:hAnsi="Arial"/>
          <w:sz w:val="22"/>
          <w:szCs w:val="22"/>
        </w:rPr>
        <w:t xml:space="preserve"> may be underestimated” and considered this to be plausible but uncertain.</w:t>
      </w:r>
      <w:r w:rsidR="00264B34">
        <w:rPr>
          <w:rFonts w:ascii="Arial" w:hAnsi="Arial"/>
          <w:sz w:val="22"/>
          <w:szCs w:val="22"/>
        </w:rPr>
        <w:t xml:space="preserve"> </w:t>
      </w:r>
    </w:p>
    <w:p w:rsidR="0024179B" w:rsidRPr="00F25C10" w:rsidRDefault="0024179B" w:rsidP="0024179B">
      <w:pPr>
        <w:jc w:val="both"/>
        <w:rPr>
          <w:rFonts w:ascii="Arial" w:hAnsi="Arial"/>
          <w:sz w:val="22"/>
          <w:szCs w:val="22"/>
        </w:rPr>
      </w:pPr>
    </w:p>
    <w:p w:rsidR="0024179B" w:rsidRPr="00BB7EC3" w:rsidRDefault="0024179B" w:rsidP="0024179B">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24179B" w:rsidRPr="00882085" w:rsidRDefault="0024179B" w:rsidP="0024179B">
      <w:pPr>
        <w:ind w:left="709"/>
        <w:jc w:val="both"/>
        <w:rPr>
          <w:rFonts w:ascii="Arial" w:hAnsi="Arial"/>
          <w:sz w:val="22"/>
          <w:szCs w:val="22"/>
        </w:rPr>
      </w:pPr>
    </w:p>
    <w:p w:rsidR="0024179B" w:rsidRPr="00882085" w:rsidRDefault="0024179B" w:rsidP="0024179B">
      <w:pPr>
        <w:jc w:val="both"/>
        <w:rPr>
          <w:rFonts w:ascii="Arial" w:hAnsi="Arial"/>
          <w:b/>
          <w:i/>
          <w:sz w:val="22"/>
          <w:szCs w:val="22"/>
        </w:rPr>
      </w:pPr>
      <w:r w:rsidRPr="00882085">
        <w:rPr>
          <w:rFonts w:ascii="Arial" w:hAnsi="Arial"/>
          <w:b/>
          <w:i/>
          <w:sz w:val="22"/>
          <w:szCs w:val="22"/>
        </w:rPr>
        <w:t>Comparative harms</w:t>
      </w:r>
    </w:p>
    <w:p w:rsidR="0024179B" w:rsidRPr="00882085" w:rsidRDefault="0024179B" w:rsidP="0024179B">
      <w:pPr>
        <w:ind w:left="720" w:hanging="720"/>
        <w:jc w:val="both"/>
        <w:rPr>
          <w:rFonts w:ascii="Arial" w:hAnsi="Arial"/>
          <w:sz w:val="22"/>
          <w:szCs w:val="22"/>
        </w:rPr>
      </w:pPr>
    </w:p>
    <w:p w:rsidR="0024179B" w:rsidRPr="00F25C10" w:rsidRDefault="0024179B" w:rsidP="0024179B">
      <w:pPr>
        <w:pStyle w:val="ListParagraph"/>
        <w:numPr>
          <w:ilvl w:val="1"/>
          <w:numId w:val="25"/>
        </w:numPr>
        <w:jc w:val="both"/>
        <w:rPr>
          <w:rFonts w:ascii="Arial" w:hAnsi="Arial"/>
          <w:sz w:val="22"/>
          <w:szCs w:val="22"/>
        </w:rPr>
      </w:pPr>
      <w:r w:rsidRPr="00F25C10">
        <w:rPr>
          <w:rFonts w:ascii="Arial" w:hAnsi="Arial"/>
          <w:sz w:val="22"/>
          <w:szCs w:val="22"/>
        </w:rPr>
        <w:t xml:space="preserve">The most commonly reported adverse events for both </w:t>
      </w:r>
      <w:proofErr w:type="spellStart"/>
      <w:r w:rsidRPr="00F25C10">
        <w:rPr>
          <w:rFonts w:ascii="Arial" w:hAnsi="Arial"/>
          <w:sz w:val="22"/>
          <w:szCs w:val="22"/>
        </w:rPr>
        <w:t>lixisenatide</w:t>
      </w:r>
      <w:proofErr w:type="spellEnd"/>
      <w:r w:rsidRPr="00F25C10">
        <w:rPr>
          <w:rFonts w:ascii="Arial" w:hAnsi="Arial"/>
          <w:sz w:val="22"/>
          <w:szCs w:val="22"/>
        </w:rPr>
        <w:t xml:space="preserve"> and </w:t>
      </w:r>
      <w:proofErr w:type="spellStart"/>
      <w:r w:rsidRPr="00F25C10">
        <w:rPr>
          <w:rFonts w:ascii="Arial" w:hAnsi="Arial"/>
          <w:sz w:val="22"/>
          <w:szCs w:val="22"/>
        </w:rPr>
        <w:t>exenatide</w:t>
      </w:r>
      <w:proofErr w:type="spellEnd"/>
      <w:r w:rsidRPr="00F25C10">
        <w:rPr>
          <w:rFonts w:ascii="Arial" w:hAnsi="Arial"/>
          <w:sz w:val="22"/>
          <w:szCs w:val="22"/>
        </w:rPr>
        <w:t xml:space="preserve"> were gastrointestinal adverse events (e.g. nausea, vomiting and diarrhoea); and hypoglycaemia when used in combination with metformin and a sulfonylurea. The majority of the gastrointestinal events were mild to moderate in intensity.  Few severe hypoglycaemic events were reported in the included trials. In </w:t>
      </w:r>
      <w:proofErr w:type="spellStart"/>
      <w:r w:rsidRPr="00F25C10">
        <w:rPr>
          <w:rFonts w:ascii="Arial" w:hAnsi="Arial"/>
          <w:sz w:val="22"/>
          <w:szCs w:val="22"/>
        </w:rPr>
        <w:t>GetGoal</w:t>
      </w:r>
      <w:proofErr w:type="spellEnd"/>
      <w:r w:rsidRPr="00F25C10">
        <w:rPr>
          <w:rFonts w:ascii="Arial" w:hAnsi="Arial"/>
          <w:sz w:val="22"/>
          <w:szCs w:val="22"/>
        </w:rPr>
        <w:t xml:space="preserve">-X, fewer patients reported nausea and hypoglycaemia in the </w:t>
      </w:r>
      <w:proofErr w:type="spellStart"/>
      <w:r w:rsidRPr="00F25C10">
        <w:rPr>
          <w:rFonts w:ascii="Arial" w:hAnsi="Arial"/>
          <w:sz w:val="22"/>
          <w:szCs w:val="22"/>
        </w:rPr>
        <w:t>lixisenatide</w:t>
      </w:r>
      <w:proofErr w:type="spellEnd"/>
      <w:r w:rsidRPr="00F25C10">
        <w:rPr>
          <w:rFonts w:ascii="Arial" w:hAnsi="Arial"/>
          <w:sz w:val="22"/>
          <w:szCs w:val="22"/>
        </w:rPr>
        <w:t xml:space="preserve"> arm versus the </w:t>
      </w:r>
      <w:proofErr w:type="spellStart"/>
      <w:r w:rsidRPr="00F25C10">
        <w:rPr>
          <w:rFonts w:ascii="Arial" w:hAnsi="Arial"/>
          <w:sz w:val="22"/>
          <w:szCs w:val="22"/>
        </w:rPr>
        <w:t>exenatide</w:t>
      </w:r>
      <w:proofErr w:type="spellEnd"/>
      <w:r w:rsidRPr="00F25C10">
        <w:rPr>
          <w:rFonts w:ascii="Arial" w:hAnsi="Arial"/>
          <w:sz w:val="22"/>
          <w:szCs w:val="22"/>
        </w:rPr>
        <w:t xml:space="preserve"> 10 mcg twice daily arm. There are no direct comparative data for the development of antibodies. There are limited long-term safety data for </w:t>
      </w:r>
      <w:proofErr w:type="spellStart"/>
      <w:r w:rsidRPr="00F25C10">
        <w:rPr>
          <w:rFonts w:ascii="Arial" w:hAnsi="Arial"/>
          <w:sz w:val="22"/>
          <w:szCs w:val="22"/>
        </w:rPr>
        <w:t>lixisenatide</w:t>
      </w:r>
      <w:proofErr w:type="spellEnd"/>
      <w:r w:rsidRPr="00F25C10">
        <w:rPr>
          <w:rFonts w:ascii="Arial" w:hAnsi="Arial"/>
          <w:sz w:val="22"/>
          <w:szCs w:val="22"/>
        </w:rPr>
        <w:t>.</w:t>
      </w:r>
      <w:r w:rsidR="00264B34">
        <w:rPr>
          <w:rFonts w:ascii="Arial" w:hAnsi="Arial"/>
          <w:sz w:val="22"/>
          <w:szCs w:val="22"/>
        </w:rPr>
        <w:t xml:space="preserve"> </w:t>
      </w:r>
    </w:p>
    <w:p w:rsidR="0024179B" w:rsidRPr="00F25C10" w:rsidRDefault="0024179B" w:rsidP="0024179B">
      <w:pPr>
        <w:pStyle w:val="ListParagraph"/>
        <w:jc w:val="both"/>
        <w:rPr>
          <w:rFonts w:ascii="Arial" w:hAnsi="Arial"/>
          <w:sz w:val="22"/>
          <w:szCs w:val="22"/>
        </w:rPr>
      </w:pPr>
    </w:p>
    <w:p w:rsidR="0024179B" w:rsidRPr="00F25C10" w:rsidRDefault="0024179B" w:rsidP="0024179B">
      <w:pPr>
        <w:pStyle w:val="ListParagraph"/>
        <w:numPr>
          <w:ilvl w:val="1"/>
          <w:numId w:val="25"/>
        </w:numPr>
        <w:jc w:val="both"/>
        <w:rPr>
          <w:rFonts w:ascii="Arial" w:hAnsi="Arial"/>
          <w:sz w:val="22"/>
          <w:szCs w:val="22"/>
        </w:rPr>
      </w:pPr>
      <w:r w:rsidRPr="00F25C10">
        <w:rPr>
          <w:rFonts w:ascii="Arial" w:hAnsi="Arial"/>
          <w:sz w:val="22"/>
          <w:szCs w:val="22"/>
        </w:rPr>
        <w:t xml:space="preserve">The ESC noted that no formal statistical testing was performed on the observation that fewer </w:t>
      </w:r>
      <w:proofErr w:type="spellStart"/>
      <w:r w:rsidRPr="00F25C10">
        <w:rPr>
          <w:rFonts w:ascii="Arial" w:hAnsi="Arial"/>
          <w:sz w:val="22"/>
          <w:szCs w:val="22"/>
        </w:rPr>
        <w:t>lixisenatide</w:t>
      </w:r>
      <w:proofErr w:type="spellEnd"/>
      <w:r w:rsidRPr="00F25C10">
        <w:rPr>
          <w:rFonts w:ascii="Arial" w:hAnsi="Arial"/>
          <w:sz w:val="22"/>
          <w:szCs w:val="22"/>
        </w:rPr>
        <w:t xml:space="preserve">-treated patients experienced nausea, hypoglycaemia and symptomatic hypoglycaemic events than </w:t>
      </w:r>
      <w:proofErr w:type="spellStart"/>
      <w:r w:rsidRPr="00F25C10">
        <w:rPr>
          <w:rFonts w:ascii="Arial" w:hAnsi="Arial"/>
          <w:sz w:val="22"/>
          <w:szCs w:val="22"/>
        </w:rPr>
        <w:t>exenatide</w:t>
      </w:r>
      <w:proofErr w:type="spellEnd"/>
      <w:r w:rsidRPr="00F25C10">
        <w:rPr>
          <w:rFonts w:ascii="Arial" w:hAnsi="Arial"/>
          <w:sz w:val="22"/>
          <w:szCs w:val="22"/>
        </w:rPr>
        <w:t xml:space="preserve">-treated patients in </w:t>
      </w:r>
      <w:proofErr w:type="spellStart"/>
      <w:r w:rsidRPr="00F25C10">
        <w:rPr>
          <w:rFonts w:ascii="Arial" w:hAnsi="Arial"/>
          <w:sz w:val="22"/>
          <w:szCs w:val="22"/>
        </w:rPr>
        <w:t>GetGoal</w:t>
      </w:r>
      <w:proofErr w:type="spellEnd"/>
      <w:r w:rsidRPr="00F25C10">
        <w:rPr>
          <w:rFonts w:ascii="Arial" w:hAnsi="Arial"/>
          <w:sz w:val="22"/>
          <w:szCs w:val="22"/>
        </w:rPr>
        <w:t xml:space="preserve">-X.  The ESC considered that it is therefore unclear whether the numerical differences are statistically significant.  The ESC further considered that such results may be an indication of </w:t>
      </w:r>
      <w:proofErr w:type="spellStart"/>
      <w:r w:rsidRPr="00F25C10">
        <w:rPr>
          <w:rFonts w:ascii="Arial" w:hAnsi="Arial"/>
          <w:sz w:val="22"/>
          <w:szCs w:val="22"/>
        </w:rPr>
        <w:t>lixisenatide’s</w:t>
      </w:r>
      <w:proofErr w:type="spellEnd"/>
      <w:r w:rsidRPr="00F25C10">
        <w:rPr>
          <w:rFonts w:ascii="Arial" w:hAnsi="Arial"/>
          <w:sz w:val="22"/>
          <w:szCs w:val="22"/>
        </w:rPr>
        <w:t xml:space="preserve"> inferiority to </w:t>
      </w:r>
      <w:proofErr w:type="spellStart"/>
      <w:r w:rsidRPr="00F25C10">
        <w:rPr>
          <w:rFonts w:ascii="Arial" w:hAnsi="Arial"/>
          <w:sz w:val="22"/>
          <w:szCs w:val="22"/>
        </w:rPr>
        <w:t>exenatide</w:t>
      </w:r>
      <w:proofErr w:type="spellEnd"/>
      <w:r w:rsidRPr="00F25C10">
        <w:rPr>
          <w:rFonts w:ascii="Arial" w:hAnsi="Arial"/>
          <w:sz w:val="22"/>
          <w:szCs w:val="22"/>
        </w:rPr>
        <w:t xml:space="preserve"> (i.e. the observation of reduced hypoglycaemic events with </w:t>
      </w:r>
      <w:proofErr w:type="spellStart"/>
      <w:r w:rsidRPr="00F25C10">
        <w:rPr>
          <w:rFonts w:ascii="Arial" w:hAnsi="Arial"/>
          <w:sz w:val="22"/>
          <w:szCs w:val="22"/>
        </w:rPr>
        <w:t>lixisenatide</w:t>
      </w:r>
      <w:proofErr w:type="spellEnd"/>
      <w:r w:rsidRPr="00F25C10">
        <w:rPr>
          <w:rFonts w:ascii="Arial" w:hAnsi="Arial"/>
          <w:sz w:val="22"/>
          <w:szCs w:val="22"/>
        </w:rPr>
        <w:t xml:space="preserve"> might be a reflection of reduced efficacy). The ESC also noted that patients were aware of their treatment allocation which may</w:t>
      </w:r>
      <w:r w:rsidR="00264B34">
        <w:rPr>
          <w:rFonts w:ascii="Arial" w:hAnsi="Arial"/>
          <w:sz w:val="22"/>
          <w:szCs w:val="22"/>
        </w:rPr>
        <w:t xml:space="preserve"> have</w:t>
      </w:r>
      <w:r w:rsidRPr="00F25C10">
        <w:rPr>
          <w:rFonts w:ascii="Arial" w:hAnsi="Arial"/>
          <w:sz w:val="22"/>
          <w:szCs w:val="22"/>
        </w:rPr>
        <w:t xml:space="preserve"> bias</w:t>
      </w:r>
      <w:r w:rsidR="00264B34">
        <w:rPr>
          <w:rFonts w:ascii="Arial" w:hAnsi="Arial"/>
          <w:sz w:val="22"/>
          <w:szCs w:val="22"/>
        </w:rPr>
        <w:t>ed</w:t>
      </w:r>
      <w:r w:rsidRPr="00F25C10">
        <w:rPr>
          <w:rFonts w:ascii="Arial" w:hAnsi="Arial"/>
          <w:sz w:val="22"/>
          <w:szCs w:val="22"/>
        </w:rPr>
        <w:t xml:space="preserve"> the reporting of adverse events.</w:t>
      </w:r>
      <w:r w:rsidR="00264B34">
        <w:rPr>
          <w:rFonts w:ascii="Arial" w:hAnsi="Arial"/>
          <w:sz w:val="22"/>
          <w:szCs w:val="22"/>
        </w:rPr>
        <w:t xml:space="preserve"> </w:t>
      </w:r>
    </w:p>
    <w:p w:rsidR="0024179B" w:rsidRPr="00F25C10" w:rsidRDefault="0024179B" w:rsidP="0024179B">
      <w:pPr>
        <w:pStyle w:val="ListParagraph"/>
        <w:jc w:val="both"/>
        <w:rPr>
          <w:rFonts w:ascii="Arial" w:hAnsi="Arial"/>
          <w:sz w:val="22"/>
          <w:szCs w:val="22"/>
        </w:rPr>
      </w:pPr>
    </w:p>
    <w:p w:rsidR="004776DC" w:rsidRDefault="00264B34" w:rsidP="0024179B">
      <w:pPr>
        <w:pStyle w:val="ListParagraph"/>
        <w:numPr>
          <w:ilvl w:val="1"/>
          <w:numId w:val="25"/>
        </w:numPr>
        <w:jc w:val="both"/>
        <w:rPr>
          <w:rFonts w:ascii="Arial" w:hAnsi="Arial"/>
          <w:sz w:val="22"/>
          <w:szCs w:val="22"/>
        </w:rPr>
      </w:pPr>
      <w:r>
        <w:rPr>
          <w:rFonts w:ascii="Arial" w:hAnsi="Arial"/>
          <w:sz w:val="22"/>
          <w:szCs w:val="22"/>
        </w:rPr>
        <w:t>T</w:t>
      </w:r>
      <w:r w:rsidR="004776DC" w:rsidRPr="004776DC">
        <w:rPr>
          <w:rFonts w:ascii="Arial" w:hAnsi="Arial"/>
          <w:sz w:val="22"/>
          <w:szCs w:val="22"/>
        </w:rPr>
        <w:t xml:space="preserve">he </w:t>
      </w:r>
      <w:r w:rsidR="004776DC">
        <w:rPr>
          <w:rFonts w:ascii="Arial" w:hAnsi="Arial"/>
          <w:sz w:val="22"/>
          <w:szCs w:val="22"/>
        </w:rPr>
        <w:t>pre-sub-committee response</w:t>
      </w:r>
      <w:r w:rsidR="004776DC" w:rsidRPr="004776DC">
        <w:rPr>
          <w:rFonts w:ascii="Arial" w:hAnsi="Arial"/>
          <w:sz w:val="22"/>
          <w:szCs w:val="22"/>
        </w:rPr>
        <w:t xml:space="preserve"> (p.2) stated that “No claim of superiority has been made with (sic) regarding improvements in quality of life due to upper GI disorders or the risk of severe hypoglycaemia.”  The ESC considered this approach to the interpretation of the evidence (and subsequent economic analysis) to be reasonable. </w:t>
      </w:r>
    </w:p>
    <w:p w:rsidR="004776DC" w:rsidRDefault="004776DC" w:rsidP="004776DC">
      <w:pPr>
        <w:jc w:val="both"/>
        <w:rPr>
          <w:rFonts w:ascii="Arial" w:hAnsi="Arial"/>
          <w:sz w:val="22"/>
          <w:szCs w:val="22"/>
        </w:rPr>
      </w:pPr>
    </w:p>
    <w:p w:rsidR="004776DC" w:rsidRPr="004776DC" w:rsidRDefault="004776DC" w:rsidP="004776DC">
      <w:pPr>
        <w:jc w:val="both"/>
        <w:rPr>
          <w:rFonts w:ascii="Arial" w:hAnsi="Arial"/>
          <w:b/>
          <w:i/>
          <w:sz w:val="22"/>
          <w:szCs w:val="22"/>
        </w:rPr>
      </w:pPr>
      <w:r w:rsidRPr="004776DC">
        <w:rPr>
          <w:rFonts w:ascii="Arial" w:hAnsi="Arial"/>
          <w:b/>
          <w:i/>
          <w:sz w:val="22"/>
          <w:szCs w:val="22"/>
        </w:rPr>
        <w:t>Benefits/Harms</w:t>
      </w:r>
    </w:p>
    <w:p w:rsidR="004776DC" w:rsidRPr="004776DC" w:rsidRDefault="004776DC" w:rsidP="004776DC">
      <w:pPr>
        <w:jc w:val="both"/>
        <w:rPr>
          <w:rFonts w:ascii="Arial" w:hAnsi="Arial"/>
          <w:sz w:val="22"/>
          <w:szCs w:val="22"/>
        </w:rPr>
      </w:pPr>
    </w:p>
    <w:p w:rsidR="0024179B" w:rsidRDefault="004776DC" w:rsidP="0024179B">
      <w:pPr>
        <w:pStyle w:val="ListParagraph"/>
        <w:numPr>
          <w:ilvl w:val="1"/>
          <w:numId w:val="25"/>
        </w:numPr>
        <w:jc w:val="both"/>
        <w:rPr>
          <w:rFonts w:ascii="Arial" w:hAnsi="Arial"/>
          <w:sz w:val="22"/>
          <w:szCs w:val="22"/>
        </w:rPr>
      </w:pPr>
      <w:r>
        <w:rPr>
          <w:rFonts w:ascii="Arial" w:hAnsi="Arial"/>
          <w:sz w:val="22"/>
          <w:szCs w:val="22"/>
        </w:rPr>
        <w:t xml:space="preserve">A summary of the benefits and harms for </w:t>
      </w:r>
      <w:proofErr w:type="spellStart"/>
      <w:r>
        <w:rPr>
          <w:rFonts w:ascii="Arial" w:hAnsi="Arial"/>
          <w:sz w:val="22"/>
          <w:szCs w:val="22"/>
        </w:rPr>
        <w:t>lixisenatide</w:t>
      </w:r>
      <w:proofErr w:type="spellEnd"/>
      <w:r>
        <w:rPr>
          <w:rFonts w:ascii="Arial" w:hAnsi="Arial"/>
          <w:sz w:val="22"/>
          <w:szCs w:val="22"/>
        </w:rPr>
        <w:t xml:space="preserve"> and </w:t>
      </w:r>
      <w:proofErr w:type="spellStart"/>
      <w:r>
        <w:rPr>
          <w:rFonts w:ascii="Arial" w:hAnsi="Arial"/>
          <w:sz w:val="22"/>
          <w:szCs w:val="22"/>
        </w:rPr>
        <w:t>exenatide</w:t>
      </w:r>
      <w:proofErr w:type="spellEnd"/>
      <w:r>
        <w:rPr>
          <w:rFonts w:ascii="Arial" w:hAnsi="Arial"/>
          <w:sz w:val="22"/>
          <w:szCs w:val="22"/>
        </w:rPr>
        <w:t xml:space="preserve"> is shown the table below. </w:t>
      </w:r>
    </w:p>
    <w:p w:rsidR="004776DC" w:rsidRDefault="004776DC" w:rsidP="0024179B">
      <w:pPr>
        <w:jc w:val="both"/>
        <w:rPr>
          <w:rFonts w:ascii="Arial" w:hAnsi="Arial"/>
          <w:b/>
          <w:i/>
          <w:sz w:val="22"/>
          <w:szCs w:val="22"/>
        </w:rPr>
      </w:pPr>
    </w:p>
    <w:p w:rsidR="0024179B" w:rsidRPr="004776DC" w:rsidRDefault="0024179B" w:rsidP="00AB1EE5">
      <w:pPr>
        <w:ind w:firstLine="720"/>
        <w:jc w:val="both"/>
        <w:rPr>
          <w:rFonts w:ascii="Arial Narrow" w:hAnsi="Arial Narrow"/>
          <w:b/>
          <w:sz w:val="20"/>
          <w:szCs w:val="20"/>
        </w:rPr>
      </w:pPr>
      <w:r w:rsidRPr="004776DC">
        <w:rPr>
          <w:rFonts w:ascii="Arial Narrow" w:hAnsi="Arial Narrow"/>
          <w:b/>
          <w:sz w:val="20"/>
          <w:szCs w:val="20"/>
        </w:rPr>
        <w:t xml:space="preserve">Summary of comparative benefits and harms for </w:t>
      </w:r>
      <w:proofErr w:type="spellStart"/>
      <w:r w:rsidRPr="004776DC">
        <w:rPr>
          <w:rFonts w:ascii="Arial Narrow" w:hAnsi="Arial Narrow"/>
          <w:b/>
          <w:sz w:val="20"/>
          <w:szCs w:val="20"/>
        </w:rPr>
        <w:t>lixisenatide</w:t>
      </w:r>
      <w:proofErr w:type="spellEnd"/>
      <w:r w:rsidRPr="004776DC">
        <w:rPr>
          <w:rFonts w:ascii="Arial Narrow" w:hAnsi="Arial Narrow"/>
          <w:b/>
          <w:sz w:val="20"/>
          <w:szCs w:val="20"/>
        </w:rPr>
        <w:t xml:space="preserve"> and </w:t>
      </w:r>
      <w:proofErr w:type="spellStart"/>
      <w:r w:rsidRPr="004776DC">
        <w:rPr>
          <w:rFonts w:ascii="Arial Narrow" w:hAnsi="Arial Narrow"/>
          <w:b/>
          <w:sz w:val="20"/>
          <w:szCs w:val="20"/>
        </w:rPr>
        <w:t>exenatide</w:t>
      </w:r>
      <w:proofErr w:type="spellEnd"/>
      <w:r w:rsidR="004776DC">
        <w:rPr>
          <w:rFonts w:ascii="Arial Narrow" w:hAnsi="Arial Narrow"/>
          <w:b/>
          <w:sz w:val="20"/>
          <w:szCs w:val="20"/>
        </w:rPr>
        <w:t xml:space="preserve"> </w:t>
      </w:r>
    </w:p>
    <w:tbl>
      <w:tblPr>
        <w:tblW w:w="4610"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Description w:val="Summary of comparative benefits and harms for lixisenatide and exenatide "/>
      </w:tblPr>
      <w:tblGrid>
        <w:gridCol w:w="1690"/>
        <w:gridCol w:w="12"/>
        <w:gridCol w:w="708"/>
        <w:gridCol w:w="697"/>
        <w:gridCol w:w="578"/>
        <w:gridCol w:w="710"/>
        <w:gridCol w:w="568"/>
        <w:gridCol w:w="286"/>
        <w:gridCol w:w="846"/>
        <w:gridCol w:w="429"/>
        <w:gridCol w:w="154"/>
        <w:gridCol w:w="842"/>
        <w:gridCol w:w="854"/>
      </w:tblGrid>
      <w:tr w:rsidR="0024179B" w:rsidRPr="00DF5A6E" w:rsidTr="00637EC8">
        <w:tc>
          <w:tcPr>
            <w:tcW w:w="5000" w:type="pct"/>
            <w:gridSpan w:val="13"/>
            <w:shd w:val="clear" w:color="auto" w:fill="auto"/>
            <w:vAlign w:val="center"/>
          </w:tcPr>
          <w:p w:rsidR="0024179B" w:rsidRPr="00DF5A6E" w:rsidRDefault="0024179B" w:rsidP="008C190A">
            <w:pPr>
              <w:pStyle w:val="COMtbl-HEADLeftAligned"/>
            </w:pPr>
            <w:r w:rsidRPr="00DF5A6E">
              <w:t>Benefits</w:t>
            </w:r>
          </w:p>
        </w:tc>
      </w:tr>
      <w:tr w:rsidR="0024179B" w:rsidRPr="00DF5A6E" w:rsidTr="00637EC8">
        <w:tc>
          <w:tcPr>
            <w:tcW w:w="5000" w:type="pct"/>
            <w:gridSpan w:val="13"/>
            <w:shd w:val="clear" w:color="auto" w:fill="auto"/>
            <w:vAlign w:val="center"/>
          </w:tcPr>
          <w:p w:rsidR="0024179B" w:rsidRPr="00DF5A6E" w:rsidRDefault="0024179B" w:rsidP="008C190A">
            <w:pPr>
              <w:pStyle w:val="COMtbl-HEADLeftAligned"/>
            </w:pPr>
            <w:r w:rsidRPr="00DF5A6E">
              <w:t>Mean change from baseline in HbA1c (%)</w:t>
            </w:r>
          </w:p>
        </w:tc>
      </w:tr>
      <w:tr w:rsidR="00637EC8" w:rsidRPr="00DF5A6E" w:rsidTr="00637EC8">
        <w:trPr>
          <w:trHeight w:val="225"/>
        </w:trPr>
        <w:tc>
          <w:tcPr>
            <w:tcW w:w="1016" w:type="pct"/>
            <w:gridSpan w:val="2"/>
            <w:vMerge w:val="restart"/>
            <w:shd w:val="clear" w:color="auto" w:fill="auto"/>
            <w:vAlign w:val="center"/>
          </w:tcPr>
          <w:p w:rsidR="0024179B" w:rsidRPr="00DF5A6E" w:rsidRDefault="0024179B" w:rsidP="008C190A">
            <w:pPr>
              <w:rPr>
                <w:rFonts w:ascii="Arial Narrow" w:hAnsi="Arial Narrow"/>
                <w:color w:val="000000"/>
                <w:sz w:val="20"/>
              </w:rPr>
            </w:pPr>
          </w:p>
        </w:tc>
        <w:tc>
          <w:tcPr>
            <w:tcW w:w="1608" w:type="pct"/>
            <w:gridSpan w:val="4"/>
            <w:vAlign w:val="center"/>
          </w:tcPr>
          <w:p w:rsidR="0024179B" w:rsidRPr="00DF5A6E" w:rsidRDefault="0024179B" w:rsidP="008C190A">
            <w:pPr>
              <w:pStyle w:val="COMtbl-HEADLeftAligned"/>
              <w:jc w:val="center"/>
            </w:pPr>
            <w:proofErr w:type="spellStart"/>
            <w:r w:rsidRPr="00DF5A6E">
              <w:t>Lixisenatide</w:t>
            </w:r>
            <w:proofErr w:type="spellEnd"/>
          </w:p>
        </w:tc>
        <w:tc>
          <w:tcPr>
            <w:tcW w:w="1363" w:type="pct"/>
            <w:gridSpan w:val="5"/>
            <w:vAlign w:val="center"/>
          </w:tcPr>
          <w:p w:rsidR="0024179B" w:rsidRPr="00DF5A6E" w:rsidRDefault="0024179B" w:rsidP="008C190A">
            <w:pPr>
              <w:pStyle w:val="COMtbl-HEADLeftAligned"/>
              <w:jc w:val="center"/>
            </w:pPr>
            <w:proofErr w:type="spellStart"/>
            <w:r w:rsidRPr="00DF5A6E">
              <w:t>Exenatide</w:t>
            </w:r>
            <w:proofErr w:type="spellEnd"/>
          </w:p>
        </w:tc>
        <w:tc>
          <w:tcPr>
            <w:tcW w:w="1013" w:type="pct"/>
            <w:gridSpan w:val="2"/>
            <w:vMerge w:val="restart"/>
            <w:vAlign w:val="center"/>
          </w:tcPr>
          <w:p w:rsidR="0024179B" w:rsidRPr="00DF5A6E" w:rsidRDefault="0024179B" w:rsidP="008C190A">
            <w:pPr>
              <w:jc w:val="center"/>
              <w:rPr>
                <w:rFonts w:ascii="Arial Narrow" w:hAnsi="Arial Narrow"/>
                <w:b/>
                <w:sz w:val="20"/>
              </w:rPr>
            </w:pPr>
            <w:r w:rsidRPr="00DF5A6E">
              <w:rPr>
                <w:rFonts w:ascii="Arial Narrow" w:hAnsi="Arial Narrow"/>
                <w:b/>
                <w:sz w:val="20"/>
              </w:rPr>
              <w:t xml:space="preserve">Mean </w:t>
            </w:r>
            <w:proofErr w:type="spellStart"/>
            <w:r w:rsidRPr="00DF5A6E">
              <w:rPr>
                <w:rFonts w:ascii="Arial Narrow" w:hAnsi="Arial Narrow"/>
                <w:b/>
                <w:sz w:val="20"/>
              </w:rPr>
              <w:t>difference</w:t>
            </w:r>
            <w:r w:rsidRPr="00DF5A6E">
              <w:rPr>
                <w:rFonts w:ascii="Arial Narrow" w:hAnsi="Arial Narrow"/>
                <w:b/>
                <w:sz w:val="20"/>
                <w:vertAlign w:val="superscript"/>
              </w:rPr>
              <w:t>a</w:t>
            </w:r>
            <w:proofErr w:type="spellEnd"/>
            <w:r w:rsidRPr="00DF5A6E">
              <w:rPr>
                <w:rFonts w:ascii="Arial Narrow" w:hAnsi="Arial Narrow"/>
                <w:b/>
                <w:sz w:val="20"/>
              </w:rPr>
              <w:t xml:space="preserve">: </w:t>
            </w:r>
          </w:p>
          <w:p w:rsidR="0024179B" w:rsidRPr="00DF5A6E" w:rsidRDefault="0024179B" w:rsidP="008C190A">
            <w:pPr>
              <w:jc w:val="center"/>
              <w:rPr>
                <w:rFonts w:ascii="Arial Narrow" w:hAnsi="Arial Narrow"/>
                <w:b/>
                <w:sz w:val="20"/>
              </w:rPr>
            </w:pPr>
            <w:proofErr w:type="spellStart"/>
            <w:r w:rsidRPr="00DF5A6E">
              <w:rPr>
                <w:rFonts w:ascii="Arial Narrow" w:hAnsi="Arial Narrow"/>
                <w:b/>
                <w:sz w:val="20"/>
              </w:rPr>
              <w:t>Lixisenatide</w:t>
            </w:r>
            <w:proofErr w:type="spellEnd"/>
            <w:r w:rsidRPr="00DF5A6E">
              <w:rPr>
                <w:rFonts w:ascii="Arial Narrow" w:hAnsi="Arial Narrow"/>
                <w:b/>
                <w:sz w:val="20"/>
              </w:rPr>
              <w:t xml:space="preserve"> vs </w:t>
            </w:r>
            <w:proofErr w:type="spellStart"/>
            <w:r w:rsidRPr="00DF5A6E">
              <w:rPr>
                <w:rFonts w:ascii="Arial Narrow" w:hAnsi="Arial Narrow"/>
                <w:b/>
                <w:sz w:val="20"/>
              </w:rPr>
              <w:t>exenatide</w:t>
            </w:r>
            <w:proofErr w:type="spellEnd"/>
          </w:p>
          <w:p w:rsidR="0024179B" w:rsidRPr="00DF5A6E" w:rsidRDefault="0024179B" w:rsidP="008C190A">
            <w:pPr>
              <w:jc w:val="center"/>
              <w:rPr>
                <w:rFonts w:ascii="Arial Narrow" w:hAnsi="Arial Narrow"/>
                <w:b/>
                <w:sz w:val="20"/>
              </w:rPr>
            </w:pPr>
            <w:r w:rsidRPr="00DF5A6E">
              <w:rPr>
                <w:rFonts w:ascii="Arial Narrow" w:hAnsi="Arial Narrow"/>
                <w:b/>
                <w:sz w:val="20"/>
              </w:rPr>
              <w:t>(95% CI)</w:t>
            </w:r>
          </w:p>
        </w:tc>
      </w:tr>
      <w:tr w:rsidR="00637EC8" w:rsidRPr="00DF5A6E" w:rsidTr="00637EC8">
        <w:trPr>
          <w:trHeight w:val="225"/>
        </w:trPr>
        <w:tc>
          <w:tcPr>
            <w:tcW w:w="1016" w:type="pct"/>
            <w:gridSpan w:val="2"/>
            <w:vMerge/>
            <w:shd w:val="clear" w:color="auto" w:fill="auto"/>
            <w:vAlign w:val="center"/>
          </w:tcPr>
          <w:p w:rsidR="0024179B" w:rsidRPr="00DF5A6E" w:rsidRDefault="0024179B" w:rsidP="008C190A">
            <w:pPr>
              <w:rPr>
                <w:rFonts w:ascii="Arial Narrow" w:hAnsi="Arial Narrow"/>
                <w:color w:val="000000"/>
                <w:sz w:val="20"/>
              </w:rPr>
            </w:pPr>
          </w:p>
        </w:tc>
        <w:tc>
          <w:tcPr>
            <w:tcW w:w="423" w:type="pct"/>
            <w:vAlign w:val="center"/>
          </w:tcPr>
          <w:p w:rsidR="0024179B" w:rsidRPr="00DF5A6E" w:rsidRDefault="0024179B" w:rsidP="008C190A">
            <w:pPr>
              <w:pStyle w:val="COMtbl-HEADCentred"/>
            </w:pPr>
            <w:r w:rsidRPr="00DF5A6E">
              <w:t>n</w:t>
            </w:r>
          </w:p>
        </w:tc>
        <w:tc>
          <w:tcPr>
            <w:tcW w:w="761" w:type="pct"/>
            <w:gridSpan w:val="2"/>
            <w:vAlign w:val="center"/>
          </w:tcPr>
          <w:p w:rsidR="0024179B" w:rsidRPr="00DF5A6E" w:rsidRDefault="0024179B" w:rsidP="008C190A">
            <w:pPr>
              <w:jc w:val="center"/>
              <w:rPr>
                <w:rFonts w:ascii="Arial Narrow" w:hAnsi="Arial Narrow"/>
                <w:b/>
                <w:sz w:val="20"/>
              </w:rPr>
            </w:pPr>
            <w:r w:rsidRPr="00DF5A6E">
              <w:rPr>
                <w:rFonts w:ascii="Arial Narrow" w:hAnsi="Arial Narrow"/>
                <w:b/>
                <w:sz w:val="20"/>
              </w:rPr>
              <w:t>Mean ∆ baseline HbA1c</w:t>
            </w:r>
          </w:p>
        </w:tc>
        <w:tc>
          <w:tcPr>
            <w:tcW w:w="424" w:type="pct"/>
            <w:vAlign w:val="center"/>
          </w:tcPr>
          <w:p w:rsidR="0024179B" w:rsidRPr="00DF5A6E" w:rsidRDefault="0024179B" w:rsidP="008C190A">
            <w:pPr>
              <w:jc w:val="center"/>
              <w:rPr>
                <w:rFonts w:ascii="Arial Narrow" w:hAnsi="Arial Narrow"/>
                <w:b/>
                <w:sz w:val="20"/>
              </w:rPr>
            </w:pPr>
            <w:r w:rsidRPr="00DF5A6E">
              <w:rPr>
                <w:rFonts w:ascii="Arial Narrow" w:hAnsi="Arial Narrow"/>
                <w:b/>
                <w:sz w:val="20"/>
              </w:rPr>
              <w:t>SD</w:t>
            </w:r>
          </w:p>
        </w:tc>
        <w:tc>
          <w:tcPr>
            <w:tcW w:w="339" w:type="pct"/>
            <w:vAlign w:val="center"/>
          </w:tcPr>
          <w:p w:rsidR="0024179B" w:rsidRPr="00DF5A6E" w:rsidRDefault="0024179B" w:rsidP="008C190A">
            <w:pPr>
              <w:pStyle w:val="COMtbl-HEADCentred"/>
            </w:pPr>
            <w:r w:rsidRPr="00DF5A6E">
              <w:t>n</w:t>
            </w:r>
          </w:p>
        </w:tc>
        <w:tc>
          <w:tcPr>
            <w:tcW w:w="676" w:type="pct"/>
            <w:gridSpan w:val="2"/>
            <w:vAlign w:val="center"/>
          </w:tcPr>
          <w:p w:rsidR="0024179B" w:rsidRPr="00DF5A6E" w:rsidRDefault="0024179B" w:rsidP="008C190A">
            <w:pPr>
              <w:jc w:val="center"/>
              <w:rPr>
                <w:rFonts w:ascii="Arial Narrow" w:hAnsi="Arial Narrow"/>
                <w:b/>
                <w:sz w:val="20"/>
              </w:rPr>
            </w:pPr>
            <w:r w:rsidRPr="00DF5A6E">
              <w:rPr>
                <w:rFonts w:ascii="Arial Narrow" w:hAnsi="Arial Narrow"/>
                <w:b/>
                <w:sz w:val="20"/>
              </w:rPr>
              <w:t>Mean ∆ baseline HbA1c</w:t>
            </w:r>
          </w:p>
        </w:tc>
        <w:tc>
          <w:tcPr>
            <w:tcW w:w="348" w:type="pct"/>
            <w:gridSpan w:val="2"/>
            <w:vAlign w:val="center"/>
          </w:tcPr>
          <w:p w:rsidR="0024179B" w:rsidRPr="00DF5A6E" w:rsidRDefault="0024179B" w:rsidP="008C190A">
            <w:pPr>
              <w:jc w:val="center"/>
              <w:rPr>
                <w:rFonts w:ascii="Arial Narrow" w:hAnsi="Arial Narrow"/>
                <w:b/>
                <w:sz w:val="20"/>
              </w:rPr>
            </w:pPr>
            <w:r w:rsidRPr="00DF5A6E">
              <w:rPr>
                <w:rFonts w:ascii="Arial Narrow" w:hAnsi="Arial Narrow"/>
                <w:b/>
                <w:sz w:val="20"/>
              </w:rPr>
              <w:t>SD</w:t>
            </w:r>
          </w:p>
        </w:tc>
        <w:tc>
          <w:tcPr>
            <w:tcW w:w="1013" w:type="pct"/>
            <w:gridSpan w:val="2"/>
            <w:vMerge/>
            <w:vAlign w:val="center"/>
          </w:tcPr>
          <w:p w:rsidR="0024179B" w:rsidRPr="00DF5A6E" w:rsidRDefault="0024179B" w:rsidP="008C190A">
            <w:pPr>
              <w:jc w:val="center"/>
              <w:rPr>
                <w:rFonts w:ascii="Arial Narrow" w:hAnsi="Arial Narrow"/>
                <w:b/>
                <w:sz w:val="20"/>
              </w:rPr>
            </w:pPr>
          </w:p>
        </w:tc>
      </w:tr>
      <w:tr w:rsidR="0024179B" w:rsidRPr="00DF5A6E" w:rsidTr="00637EC8">
        <w:tc>
          <w:tcPr>
            <w:tcW w:w="5000" w:type="pct"/>
            <w:gridSpan w:val="13"/>
            <w:shd w:val="clear" w:color="auto" w:fill="auto"/>
            <w:vAlign w:val="center"/>
          </w:tcPr>
          <w:p w:rsidR="0024179B" w:rsidRPr="00DF5A6E" w:rsidRDefault="0024179B" w:rsidP="008C190A">
            <w:pPr>
              <w:rPr>
                <w:rFonts w:ascii="Arial Narrow" w:hAnsi="Arial Narrow"/>
                <w:sz w:val="20"/>
              </w:rPr>
            </w:pPr>
            <w:proofErr w:type="spellStart"/>
            <w:r w:rsidRPr="00DF5A6E">
              <w:rPr>
                <w:rFonts w:ascii="Arial Narrow" w:hAnsi="Arial Narrow"/>
                <w:sz w:val="20"/>
              </w:rPr>
              <w:t>Lixisenatide</w:t>
            </w:r>
            <w:proofErr w:type="spellEnd"/>
            <w:r w:rsidRPr="00DF5A6E">
              <w:rPr>
                <w:rFonts w:ascii="Arial Narrow" w:hAnsi="Arial Narrow"/>
                <w:sz w:val="20"/>
              </w:rPr>
              <w:t xml:space="preserve"> versus </w:t>
            </w:r>
            <w:proofErr w:type="spellStart"/>
            <w:r w:rsidRPr="00DF5A6E">
              <w:rPr>
                <w:rFonts w:ascii="Arial Narrow" w:hAnsi="Arial Narrow"/>
                <w:sz w:val="20"/>
              </w:rPr>
              <w:t>exenatide</w:t>
            </w:r>
            <w:proofErr w:type="spellEnd"/>
            <w:r w:rsidRPr="00DF5A6E">
              <w:rPr>
                <w:rFonts w:ascii="Arial Narrow" w:hAnsi="Arial Narrow"/>
                <w:sz w:val="20"/>
              </w:rPr>
              <w:t xml:space="preserve"> (dual therapy with metformin)</w:t>
            </w:r>
          </w:p>
        </w:tc>
      </w:tr>
      <w:tr w:rsidR="00637EC8" w:rsidRPr="00DF5A6E" w:rsidTr="00637EC8">
        <w:tc>
          <w:tcPr>
            <w:tcW w:w="1016" w:type="pct"/>
            <w:gridSpan w:val="2"/>
            <w:shd w:val="clear" w:color="auto" w:fill="auto"/>
            <w:vAlign w:val="center"/>
          </w:tcPr>
          <w:p w:rsidR="0024179B" w:rsidRPr="00DF5A6E" w:rsidRDefault="0024179B" w:rsidP="008C190A">
            <w:pPr>
              <w:rPr>
                <w:rFonts w:ascii="Arial Narrow" w:hAnsi="Arial Narrow"/>
                <w:color w:val="000000"/>
                <w:sz w:val="20"/>
              </w:rPr>
            </w:pPr>
            <w:proofErr w:type="spellStart"/>
            <w:r w:rsidRPr="00DF5A6E">
              <w:rPr>
                <w:rFonts w:ascii="Arial Narrow" w:hAnsi="Arial Narrow"/>
                <w:color w:val="000000"/>
                <w:sz w:val="20"/>
              </w:rPr>
              <w:t>GetGoal</w:t>
            </w:r>
            <w:proofErr w:type="spellEnd"/>
            <w:r w:rsidRPr="00DF5A6E">
              <w:rPr>
                <w:rFonts w:ascii="Arial Narrow" w:hAnsi="Arial Narrow"/>
                <w:color w:val="000000"/>
                <w:sz w:val="20"/>
              </w:rPr>
              <w:t>-X</w:t>
            </w:r>
          </w:p>
        </w:tc>
        <w:tc>
          <w:tcPr>
            <w:tcW w:w="423" w:type="pct"/>
            <w:vAlign w:val="center"/>
          </w:tcPr>
          <w:p w:rsidR="0024179B" w:rsidRPr="00DF5A6E" w:rsidRDefault="0024179B" w:rsidP="008C190A">
            <w:pPr>
              <w:pStyle w:val="COMtbl-textCentred"/>
            </w:pPr>
            <w:r w:rsidRPr="00DF5A6E">
              <w:t>295</w:t>
            </w:r>
          </w:p>
        </w:tc>
        <w:tc>
          <w:tcPr>
            <w:tcW w:w="761" w:type="pct"/>
            <w:gridSpan w:val="2"/>
            <w:vAlign w:val="center"/>
          </w:tcPr>
          <w:p w:rsidR="0024179B" w:rsidRPr="00DF5A6E" w:rsidRDefault="0024179B" w:rsidP="008C190A">
            <w:pPr>
              <w:pStyle w:val="COMtbl-textCentred"/>
            </w:pPr>
            <w:r w:rsidRPr="00DF5A6E">
              <w:t>-0.79</w:t>
            </w:r>
          </w:p>
        </w:tc>
        <w:tc>
          <w:tcPr>
            <w:tcW w:w="424" w:type="pct"/>
            <w:vAlign w:val="center"/>
          </w:tcPr>
          <w:p w:rsidR="0024179B" w:rsidRPr="00DF5A6E" w:rsidRDefault="0024179B" w:rsidP="008C190A">
            <w:pPr>
              <w:pStyle w:val="COMtbl-textCentred"/>
            </w:pPr>
            <w:r w:rsidRPr="00DF5A6E">
              <w:t>0.91</w:t>
            </w:r>
            <w:r w:rsidRPr="00DF5A6E">
              <w:rPr>
                <w:vertAlign w:val="superscript"/>
              </w:rPr>
              <w:t>b</w:t>
            </w:r>
          </w:p>
        </w:tc>
        <w:tc>
          <w:tcPr>
            <w:tcW w:w="339" w:type="pct"/>
            <w:vAlign w:val="center"/>
          </w:tcPr>
          <w:p w:rsidR="0024179B" w:rsidRPr="00DF5A6E" w:rsidRDefault="0024179B" w:rsidP="008C190A">
            <w:pPr>
              <w:pStyle w:val="COMtbl-textCentred"/>
            </w:pPr>
            <w:r w:rsidRPr="00DF5A6E">
              <w:t>297</w:t>
            </w:r>
          </w:p>
        </w:tc>
        <w:tc>
          <w:tcPr>
            <w:tcW w:w="676" w:type="pct"/>
            <w:gridSpan w:val="2"/>
            <w:vAlign w:val="center"/>
          </w:tcPr>
          <w:p w:rsidR="0024179B" w:rsidRPr="00DF5A6E" w:rsidRDefault="0024179B" w:rsidP="008C190A">
            <w:pPr>
              <w:pStyle w:val="COMtbl-textCentred"/>
            </w:pPr>
            <w:r w:rsidRPr="00DF5A6E">
              <w:t>-0.96</w:t>
            </w:r>
          </w:p>
        </w:tc>
        <w:tc>
          <w:tcPr>
            <w:tcW w:w="348" w:type="pct"/>
            <w:gridSpan w:val="2"/>
            <w:vAlign w:val="center"/>
          </w:tcPr>
          <w:p w:rsidR="0024179B" w:rsidRPr="00DF5A6E" w:rsidRDefault="0024179B" w:rsidP="008C190A">
            <w:pPr>
              <w:pStyle w:val="COMtbl-textCentred"/>
              <w:rPr>
                <w:vertAlign w:val="superscript"/>
              </w:rPr>
            </w:pPr>
            <w:r w:rsidRPr="00DF5A6E">
              <w:t>0.93</w:t>
            </w:r>
            <w:r w:rsidRPr="00DF5A6E">
              <w:rPr>
                <w:vertAlign w:val="superscript"/>
              </w:rPr>
              <w:t>b</w:t>
            </w:r>
          </w:p>
        </w:tc>
        <w:tc>
          <w:tcPr>
            <w:tcW w:w="1013" w:type="pct"/>
            <w:gridSpan w:val="2"/>
            <w:vAlign w:val="center"/>
          </w:tcPr>
          <w:p w:rsidR="0024179B" w:rsidRPr="00DF5A6E" w:rsidRDefault="0024179B" w:rsidP="008C190A">
            <w:pPr>
              <w:jc w:val="center"/>
              <w:rPr>
                <w:rFonts w:ascii="Arial Narrow" w:hAnsi="Arial Narrow"/>
                <w:sz w:val="20"/>
              </w:rPr>
            </w:pPr>
            <w:r w:rsidRPr="00DF5A6E">
              <w:rPr>
                <w:rFonts w:ascii="Arial Narrow" w:hAnsi="Arial Narrow"/>
                <w:sz w:val="20"/>
              </w:rPr>
              <w:t>0.17 (0.033, 0.297)</w:t>
            </w:r>
          </w:p>
        </w:tc>
      </w:tr>
      <w:tr w:rsidR="00637EC8" w:rsidRPr="00DF5A6E" w:rsidTr="00637EC8">
        <w:tblPrEx>
          <w:tblBorders>
            <w:top w:val="double" w:sz="4" w:space="0" w:color="auto"/>
          </w:tblBorders>
        </w:tblPrEx>
        <w:trPr>
          <w:trHeight w:val="225"/>
        </w:trPr>
        <w:tc>
          <w:tcPr>
            <w:tcW w:w="1016" w:type="pct"/>
            <w:gridSpan w:val="2"/>
            <w:vMerge w:val="restart"/>
            <w:tcBorders>
              <w:top w:val="single" w:sz="4" w:space="0" w:color="auto"/>
            </w:tcBorders>
            <w:shd w:val="clear" w:color="auto" w:fill="auto"/>
            <w:vAlign w:val="center"/>
          </w:tcPr>
          <w:p w:rsidR="0024179B" w:rsidRPr="00DF5A6E" w:rsidRDefault="0024179B" w:rsidP="008C190A">
            <w:pPr>
              <w:rPr>
                <w:rFonts w:ascii="Arial Narrow" w:hAnsi="Arial Narrow"/>
                <w:color w:val="000000"/>
                <w:sz w:val="20"/>
              </w:rPr>
            </w:pPr>
          </w:p>
        </w:tc>
        <w:tc>
          <w:tcPr>
            <w:tcW w:w="1608" w:type="pct"/>
            <w:gridSpan w:val="4"/>
            <w:tcBorders>
              <w:top w:val="single" w:sz="4" w:space="0" w:color="auto"/>
            </w:tcBorders>
            <w:vAlign w:val="center"/>
          </w:tcPr>
          <w:p w:rsidR="0024179B" w:rsidRPr="00DF5A6E" w:rsidRDefault="0024179B" w:rsidP="008C190A">
            <w:pPr>
              <w:pStyle w:val="COMtbl-HEADLeftAligned"/>
              <w:jc w:val="center"/>
            </w:pPr>
            <w:r w:rsidRPr="00DF5A6E">
              <w:t>Active treatment group</w:t>
            </w:r>
          </w:p>
        </w:tc>
        <w:tc>
          <w:tcPr>
            <w:tcW w:w="1363" w:type="pct"/>
            <w:gridSpan w:val="5"/>
            <w:tcBorders>
              <w:top w:val="single" w:sz="4" w:space="0" w:color="auto"/>
            </w:tcBorders>
            <w:vAlign w:val="center"/>
          </w:tcPr>
          <w:p w:rsidR="0024179B" w:rsidRPr="00DF5A6E" w:rsidRDefault="0024179B" w:rsidP="008C190A">
            <w:pPr>
              <w:pStyle w:val="COMtbl-HEADLeftAligned"/>
              <w:jc w:val="center"/>
            </w:pPr>
            <w:r w:rsidRPr="00DF5A6E">
              <w:t>Common reference</w:t>
            </w:r>
          </w:p>
        </w:tc>
        <w:tc>
          <w:tcPr>
            <w:tcW w:w="1013" w:type="pct"/>
            <w:gridSpan w:val="2"/>
            <w:vMerge w:val="restart"/>
            <w:tcBorders>
              <w:top w:val="single" w:sz="4" w:space="0" w:color="auto"/>
            </w:tcBorders>
            <w:vAlign w:val="center"/>
          </w:tcPr>
          <w:p w:rsidR="0024179B" w:rsidRPr="00DF5A6E" w:rsidRDefault="0024179B" w:rsidP="008C190A">
            <w:pPr>
              <w:jc w:val="center"/>
              <w:rPr>
                <w:rFonts w:ascii="Arial Narrow" w:hAnsi="Arial Narrow"/>
                <w:b/>
                <w:sz w:val="20"/>
              </w:rPr>
            </w:pPr>
            <w:r w:rsidRPr="00DF5A6E">
              <w:rPr>
                <w:rFonts w:ascii="Arial Narrow" w:hAnsi="Arial Narrow"/>
                <w:b/>
                <w:sz w:val="20"/>
              </w:rPr>
              <w:t xml:space="preserve">Indirect comparison: </w:t>
            </w:r>
          </w:p>
          <w:p w:rsidR="0024179B" w:rsidRPr="00DF5A6E" w:rsidRDefault="0024179B" w:rsidP="008C190A">
            <w:pPr>
              <w:jc w:val="center"/>
              <w:rPr>
                <w:rFonts w:ascii="Arial Narrow" w:hAnsi="Arial Narrow"/>
                <w:b/>
                <w:sz w:val="20"/>
                <w:vertAlign w:val="superscript"/>
              </w:rPr>
            </w:pPr>
            <w:r w:rsidRPr="00DF5A6E">
              <w:rPr>
                <w:rFonts w:ascii="Arial Narrow" w:hAnsi="Arial Narrow"/>
                <w:b/>
                <w:sz w:val="20"/>
              </w:rPr>
              <w:t xml:space="preserve">Mean </w:t>
            </w:r>
            <w:proofErr w:type="spellStart"/>
            <w:r w:rsidRPr="00DF5A6E">
              <w:rPr>
                <w:rFonts w:ascii="Arial Narrow" w:hAnsi="Arial Narrow"/>
                <w:b/>
                <w:sz w:val="20"/>
              </w:rPr>
              <w:t>difference</w:t>
            </w:r>
            <w:r w:rsidRPr="00DF5A6E">
              <w:rPr>
                <w:rFonts w:ascii="Arial Narrow" w:hAnsi="Arial Narrow"/>
                <w:b/>
                <w:sz w:val="20"/>
                <w:vertAlign w:val="superscript"/>
              </w:rPr>
              <w:t>a</w:t>
            </w:r>
            <w:proofErr w:type="spellEnd"/>
            <w:r w:rsidRPr="00DF5A6E">
              <w:rPr>
                <w:rFonts w:ascii="Arial Narrow" w:hAnsi="Arial Narrow"/>
                <w:b/>
                <w:sz w:val="20"/>
              </w:rPr>
              <w:t xml:space="preserve"> (95% CI)</w:t>
            </w:r>
          </w:p>
          <w:p w:rsidR="0024179B" w:rsidRPr="00DF5A6E" w:rsidRDefault="0024179B" w:rsidP="008C190A">
            <w:pPr>
              <w:jc w:val="center"/>
              <w:rPr>
                <w:rFonts w:ascii="Arial Narrow" w:hAnsi="Arial Narrow"/>
                <w:b/>
                <w:sz w:val="20"/>
              </w:rPr>
            </w:pPr>
            <w:proofErr w:type="spellStart"/>
            <w:r w:rsidRPr="00DF5A6E">
              <w:rPr>
                <w:rFonts w:ascii="Arial Narrow" w:hAnsi="Arial Narrow"/>
                <w:b/>
                <w:sz w:val="20"/>
              </w:rPr>
              <w:t>Lixisenatide</w:t>
            </w:r>
            <w:proofErr w:type="spellEnd"/>
            <w:r w:rsidRPr="00DF5A6E">
              <w:rPr>
                <w:rFonts w:ascii="Arial Narrow" w:hAnsi="Arial Narrow"/>
                <w:b/>
                <w:sz w:val="20"/>
              </w:rPr>
              <w:t xml:space="preserve"> vs </w:t>
            </w:r>
            <w:proofErr w:type="spellStart"/>
            <w:r w:rsidRPr="00DF5A6E">
              <w:rPr>
                <w:rFonts w:ascii="Arial Narrow" w:hAnsi="Arial Narrow"/>
                <w:b/>
                <w:sz w:val="20"/>
              </w:rPr>
              <w:t>exenatide</w:t>
            </w:r>
            <w:proofErr w:type="spellEnd"/>
          </w:p>
        </w:tc>
      </w:tr>
      <w:tr w:rsidR="00637EC8" w:rsidRPr="00DF5A6E" w:rsidTr="00637EC8">
        <w:tblPrEx>
          <w:tblBorders>
            <w:top w:val="double" w:sz="4" w:space="0" w:color="auto"/>
          </w:tblBorders>
        </w:tblPrEx>
        <w:trPr>
          <w:trHeight w:val="399"/>
        </w:trPr>
        <w:tc>
          <w:tcPr>
            <w:tcW w:w="1016" w:type="pct"/>
            <w:gridSpan w:val="2"/>
            <w:vMerge/>
            <w:shd w:val="clear" w:color="auto" w:fill="auto"/>
            <w:vAlign w:val="center"/>
          </w:tcPr>
          <w:p w:rsidR="0024179B" w:rsidRPr="00DF5A6E" w:rsidRDefault="0024179B" w:rsidP="008C190A">
            <w:pPr>
              <w:rPr>
                <w:rFonts w:ascii="Arial Narrow" w:hAnsi="Arial Narrow"/>
                <w:color w:val="000000"/>
                <w:sz w:val="20"/>
              </w:rPr>
            </w:pPr>
          </w:p>
        </w:tc>
        <w:tc>
          <w:tcPr>
            <w:tcW w:w="423" w:type="pct"/>
            <w:vAlign w:val="center"/>
          </w:tcPr>
          <w:p w:rsidR="0024179B" w:rsidRPr="00DF5A6E" w:rsidRDefault="0024179B" w:rsidP="008C190A">
            <w:pPr>
              <w:pStyle w:val="COMtbl-HEADCentred"/>
            </w:pPr>
            <w:r w:rsidRPr="00DF5A6E">
              <w:t>n</w:t>
            </w:r>
          </w:p>
        </w:tc>
        <w:tc>
          <w:tcPr>
            <w:tcW w:w="761" w:type="pct"/>
            <w:gridSpan w:val="2"/>
            <w:vAlign w:val="center"/>
          </w:tcPr>
          <w:p w:rsidR="0024179B" w:rsidRPr="00DF5A6E" w:rsidRDefault="0024179B" w:rsidP="008C190A">
            <w:pPr>
              <w:jc w:val="center"/>
              <w:rPr>
                <w:rFonts w:ascii="Arial Narrow" w:hAnsi="Arial Narrow"/>
                <w:b/>
                <w:sz w:val="20"/>
              </w:rPr>
            </w:pPr>
            <w:r w:rsidRPr="00DF5A6E">
              <w:rPr>
                <w:rFonts w:ascii="Arial Narrow" w:hAnsi="Arial Narrow"/>
                <w:b/>
                <w:sz w:val="20"/>
              </w:rPr>
              <w:t>Mean ∆ baseline HbA1c</w:t>
            </w:r>
          </w:p>
        </w:tc>
        <w:tc>
          <w:tcPr>
            <w:tcW w:w="424" w:type="pct"/>
            <w:vAlign w:val="center"/>
          </w:tcPr>
          <w:p w:rsidR="0024179B" w:rsidRPr="00DF5A6E" w:rsidRDefault="0024179B" w:rsidP="008C190A">
            <w:pPr>
              <w:jc w:val="center"/>
              <w:rPr>
                <w:rFonts w:ascii="Arial Narrow" w:hAnsi="Arial Narrow"/>
                <w:b/>
                <w:sz w:val="20"/>
              </w:rPr>
            </w:pPr>
            <w:r w:rsidRPr="00DF5A6E">
              <w:rPr>
                <w:rFonts w:ascii="Arial Narrow" w:hAnsi="Arial Narrow"/>
                <w:b/>
                <w:sz w:val="20"/>
              </w:rPr>
              <w:t>SD</w:t>
            </w:r>
          </w:p>
        </w:tc>
        <w:tc>
          <w:tcPr>
            <w:tcW w:w="339" w:type="pct"/>
            <w:vAlign w:val="center"/>
          </w:tcPr>
          <w:p w:rsidR="0024179B" w:rsidRPr="00DF5A6E" w:rsidRDefault="0024179B" w:rsidP="008C190A">
            <w:pPr>
              <w:pStyle w:val="COMtbl-HEADCentred"/>
            </w:pPr>
            <w:r w:rsidRPr="00DF5A6E">
              <w:t>n</w:t>
            </w:r>
          </w:p>
        </w:tc>
        <w:tc>
          <w:tcPr>
            <w:tcW w:w="676" w:type="pct"/>
            <w:gridSpan w:val="2"/>
            <w:vAlign w:val="center"/>
          </w:tcPr>
          <w:p w:rsidR="0024179B" w:rsidRPr="00DF5A6E" w:rsidRDefault="0024179B" w:rsidP="008C190A">
            <w:pPr>
              <w:jc w:val="center"/>
              <w:rPr>
                <w:rFonts w:ascii="Arial Narrow" w:hAnsi="Arial Narrow"/>
                <w:b/>
                <w:sz w:val="20"/>
              </w:rPr>
            </w:pPr>
            <w:r w:rsidRPr="00DF5A6E">
              <w:rPr>
                <w:rFonts w:ascii="Arial Narrow" w:hAnsi="Arial Narrow"/>
                <w:b/>
                <w:sz w:val="20"/>
              </w:rPr>
              <w:t>Mean ∆ baseline HbA1c</w:t>
            </w:r>
          </w:p>
        </w:tc>
        <w:tc>
          <w:tcPr>
            <w:tcW w:w="348" w:type="pct"/>
            <w:gridSpan w:val="2"/>
            <w:vAlign w:val="center"/>
          </w:tcPr>
          <w:p w:rsidR="0024179B" w:rsidRPr="00DF5A6E" w:rsidRDefault="0024179B" w:rsidP="008C190A">
            <w:pPr>
              <w:jc w:val="center"/>
              <w:rPr>
                <w:rFonts w:ascii="Arial Narrow" w:hAnsi="Arial Narrow"/>
                <w:b/>
                <w:sz w:val="20"/>
              </w:rPr>
            </w:pPr>
            <w:r w:rsidRPr="00DF5A6E">
              <w:rPr>
                <w:rFonts w:ascii="Arial Narrow" w:hAnsi="Arial Narrow"/>
                <w:b/>
                <w:sz w:val="20"/>
              </w:rPr>
              <w:t>SD</w:t>
            </w:r>
          </w:p>
        </w:tc>
        <w:tc>
          <w:tcPr>
            <w:tcW w:w="1013" w:type="pct"/>
            <w:gridSpan w:val="2"/>
            <w:vMerge/>
            <w:vAlign w:val="center"/>
          </w:tcPr>
          <w:p w:rsidR="0024179B" w:rsidRPr="00DF5A6E" w:rsidRDefault="0024179B" w:rsidP="008C190A">
            <w:pPr>
              <w:jc w:val="center"/>
              <w:rPr>
                <w:rFonts w:ascii="Arial Narrow" w:hAnsi="Arial Narrow"/>
                <w:b/>
                <w:sz w:val="20"/>
              </w:rPr>
            </w:pPr>
          </w:p>
        </w:tc>
      </w:tr>
      <w:tr w:rsidR="0024179B" w:rsidRPr="00DF5A6E" w:rsidTr="00637EC8">
        <w:tblPrEx>
          <w:tblBorders>
            <w:top w:val="double" w:sz="4" w:space="0" w:color="auto"/>
          </w:tblBorders>
        </w:tblPrEx>
        <w:tc>
          <w:tcPr>
            <w:tcW w:w="5000" w:type="pct"/>
            <w:gridSpan w:val="13"/>
            <w:shd w:val="clear" w:color="auto" w:fill="auto"/>
            <w:vAlign w:val="center"/>
          </w:tcPr>
          <w:p w:rsidR="0024179B" w:rsidRPr="00DF5A6E" w:rsidRDefault="0024179B" w:rsidP="008C190A">
            <w:pPr>
              <w:pStyle w:val="COMtbl-textCentred"/>
              <w:jc w:val="left"/>
            </w:pPr>
            <w:proofErr w:type="spellStart"/>
            <w:r w:rsidRPr="00DF5A6E">
              <w:t>Lixisenatide</w:t>
            </w:r>
            <w:proofErr w:type="spellEnd"/>
            <w:r w:rsidRPr="00DF5A6E">
              <w:t xml:space="preserve"> versus </w:t>
            </w:r>
            <w:proofErr w:type="spellStart"/>
            <w:r w:rsidRPr="00DF5A6E">
              <w:t>exenatide</w:t>
            </w:r>
            <w:proofErr w:type="spellEnd"/>
            <w:r w:rsidRPr="00DF5A6E">
              <w:t xml:space="preserve"> via placebo (triple therapy with metformin and a sulfonylurea) </w:t>
            </w:r>
          </w:p>
        </w:tc>
      </w:tr>
      <w:tr w:rsidR="00637EC8" w:rsidRPr="00DF5A6E" w:rsidTr="00637EC8">
        <w:tblPrEx>
          <w:tblBorders>
            <w:top w:val="double" w:sz="4" w:space="0" w:color="auto"/>
          </w:tblBorders>
        </w:tblPrEx>
        <w:tc>
          <w:tcPr>
            <w:tcW w:w="1016" w:type="pct"/>
            <w:gridSpan w:val="2"/>
            <w:shd w:val="clear" w:color="auto" w:fill="auto"/>
            <w:vAlign w:val="center"/>
          </w:tcPr>
          <w:p w:rsidR="0024179B" w:rsidRPr="00DF5A6E" w:rsidRDefault="0024179B" w:rsidP="008C190A">
            <w:pPr>
              <w:pStyle w:val="COMtbl-textLeftAligned"/>
              <w:rPr>
                <w:color w:val="000000"/>
              </w:rPr>
            </w:pPr>
            <w:proofErr w:type="spellStart"/>
            <w:r w:rsidRPr="00DF5A6E">
              <w:rPr>
                <w:color w:val="000000"/>
              </w:rPr>
              <w:t>GetGoal</w:t>
            </w:r>
            <w:proofErr w:type="spellEnd"/>
            <w:r w:rsidRPr="00DF5A6E">
              <w:rPr>
                <w:color w:val="000000"/>
              </w:rPr>
              <w:t xml:space="preserve">-S (subgroup on MET+SU) </w:t>
            </w:r>
          </w:p>
        </w:tc>
        <w:tc>
          <w:tcPr>
            <w:tcW w:w="423" w:type="pct"/>
            <w:vAlign w:val="center"/>
          </w:tcPr>
          <w:p w:rsidR="0024179B" w:rsidRPr="00DE4A3C" w:rsidRDefault="00DE4A3C" w:rsidP="008C190A">
            <w:pPr>
              <w:jc w:val="center"/>
              <w:rPr>
                <w:rFonts w:ascii="Arial Narrow" w:hAnsi="Arial Narrow"/>
                <w:sz w:val="20"/>
                <w:highlight w:val="black"/>
              </w:rPr>
            </w:pPr>
            <w:r>
              <w:rPr>
                <w:rFonts w:ascii="Arial Narrow" w:hAnsi="Arial Narrow"/>
                <w:noProof/>
                <w:color w:val="000000"/>
                <w:sz w:val="20"/>
                <w:highlight w:val="black"/>
              </w:rPr>
              <w:t>''''''''''</w:t>
            </w:r>
          </w:p>
        </w:tc>
        <w:tc>
          <w:tcPr>
            <w:tcW w:w="761" w:type="pct"/>
            <w:gridSpan w:val="2"/>
            <w:vAlign w:val="center"/>
          </w:tcPr>
          <w:p w:rsidR="0024179B" w:rsidRPr="00DE4A3C" w:rsidRDefault="00DE4A3C" w:rsidP="008C190A">
            <w:pPr>
              <w:pStyle w:val="TableText0"/>
              <w:keepNext w:val="0"/>
              <w:spacing w:before="0" w:after="0"/>
              <w:jc w:val="center"/>
              <w:rPr>
                <w:highlight w:val="black"/>
              </w:rPr>
            </w:pPr>
            <w:r>
              <w:rPr>
                <w:rFonts w:cs="Arial"/>
                <w:noProof/>
                <w:color w:val="000000"/>
                <w:highlight w:val="black"/>
              </w:rPr>
              <w:t>'''''''''''</w:t>
            </w:r>
          </w:p>
        </w:tc>
        <w:tc>
          <w:tcPr>
            <w:tcW w:w="424" w:type="pct"/>
            <w:vAlign w:val="center"/>
          </w:tcPr>
          <w:p w:rsidR="0024179B" w:rsidRPr="00DE4A3C" w:rsidRDefault="00DE4A3C" w:rsidP="008C190A">
            <w:pPr>
              <w:pStyle w:val="COMtbl-textCentred"/>
              <w:rPr>
                <w:highlight w:val="black"/>
              </w:rPr>
            </w:pPr>
            <w:r>
              <w:rPr>
                <w:noProof/>
                <w:color w:val="000000"/>
                <w:highlight w:val="black"/>
              </w:rPr>
              <w:t>'''''''''''</w:t>
            </w:r>
          </w:p>
        </w:tc>
        <w:tc>
          <w:tcPr>
            <w:tcW w:w="339" w:type="pct"/>
            <w:vAlign w:val="center"/>
          </w:tcPr>
          <w:p w:rsidR="0024179B" w:rsidRPr="00DE4A3C" w:rsidRDefault="00DE4A3C" w:rsidP="008C190A">
            <w:pPr>
              <w:pStyle w:val="COMtbl-textCentred"/>
              <w:rPr>
                <w:highlight w:val="black"/>
              </w:rPr>
            </w:pPr>
            <w:r>
              <w:rPr>
                <w:noProof/>
                <w:color w:val="000000"/>
                <w:highlight w:val="black"/>
              </w:rPr>
              <w:t>'''''''''</w:t>
            </w:r>
          </w:p>
        </w:tc>
        <w:tc>
          <w:tcPr>
            <w:tcW w:w="676" w:type="pct"/>
            <w:gridSpan w:val="2"/>
            <w:vAlign w:val="center"/>
          </w:tcPr>
          <w:p w:rsidR="0024179B" w:rsidRPr="00DE4A3C" w:rsidRDefault="00DE4A3C" w:rsidP="008C190A">
            <w:pPr>
              <w:pStyle w:val="TableText0"/>
              <w:keepNext w:val="0"/>
              <w:spacing w:before="0" w:after="0"/>
              <w:jc w:val="center"/>
              <w:rPr>
                <w:highlight w:val="black"/>
              </w:rPr>
            </w:pPr>
            <w:r>
              <w:rPr>
                <w:rFonts w:cs="Arial"/>
                <w:noProof/>
                <w:color w:val="000000"/>
                <w:highlight w:val="black"/>
              </w:rPr>
              <w:t>''''''''''''</w:t>
            </w:r>
          </w:p>
        </w:tc>
        <w:tc>
          <w:tcPr>
            <w:tcW w:w="348" w:type="pct"/>
            <w:gridSpan w:val="2"/>
            <w:vAlign w:val="center"/>
          </w:tcPr>
          <w:p w:rsidR="0024179B" w:rsidRPr="00DE4A3C" w:rsidRDefault="00DE4A3C" w:rsidP="008C190A">
            <w:pPr>
              <w:pStyle w:val="COMtbl-textCentred"/>
              <w:rPr>
                <w:highlight w:val="black"/>
              </w:rPr>
            </w:pPr>
            <w:r>
              <w:rPr>
                <w:noProof/>
                <w:color w:val="000000"/>
                <w:highlight w:val="black"/>
              </w:rPr>
              <w:t>''''''''''</w:t>
            </w:r>
          </w:p>
        </w:tc>
        <w:tc>
          <w:tcPr>
            <w:tcW w:w="1013" w:type="pct"/>
            <w:gridSpan w:val="2"/>
            <w:vAlign w:val="center"/>
          </w:tcPr>
          <w:p w:rsidR="0024179B" w:rsidRPr="00DF5A6E" w:rsidRDefault="0024179B" w:rsidP="008C190A">
            <w:pPr>
              <w:pStyle w:val="TableText0"/>
              <w:keepNext w:val="0"/>
              <w:spacing w:before="0" w:after="0"/>
              <w:jc w:val="center"/>
            </w:pPr>
            <w:r w:rsidRPr="00DF5A6E">
              <w:t>-</w:t>
            </w:r>
          </w:p>
        </w:tc>
      </w:tr>
      <w:tr w:rsidR="00637EC8" w:rsidRPr="00DF5A6E" w:rsidTr="00637EC8">
        <w:tblPrEx>
          <w:tblBorders>
            <w:top w:val="double" w:sz="4" w:space="0" w:color="auto"/>
          </w:tblBorders>
        </w:tblPrEx>
        <w:tc>
          <w:tcPr>
            <w:tcW w:w="1016" w:type="pct"/>
            <w:gridSpan w:val="2"/>
            <w:shd w:val="clear" w:color="auto" w:fill="auto"/>
            <w:vAlign w:val="center"/>
          </w:tcPr>
          <w:p w:rsidR="0024179B" w:rsidRPr="00DF5A6E" w:rsidRDefault="0024179B" w:rsidP="008C190A">
            <w:pPr>
              <w:pStyle w:val="TableText0"/>
              <w:keepNext w:val="0"/>
              <w:spacing w:before="0" w:after="0"/>
              <w:rPr>
                <w:rFonts w:cs="Arial"/>
              </w:rPr>
            </w:pPr>
            <w:r w:rsidRPr="00DF5A6E">
              <w:rPr>
                <w:rFonts w:cs="Arial"/>
              </w:rPr>
              <w:t>Kendall (2005)</w:t>
            </w:r>
          </w:p>
          <w:p w:rsidR="0024179B" w:rsidRPr="00DF5A6E" w:rsidRDefault="0024179B" w:rsidP="008C190A">
            <w:pPr>
              <w:pStyle w:val="TableText0"/>
              <w:keepNext w:val="0"/>
              <w:spacing w:before="0" w:after="0"/>
              <w:rPr>
                <w:color w:val="000000"/>
              </w:rPr>
            </w:pPr>
            <w:proofErr w:type="spellStart"/>
            <w:r w:rsidRPr="00DF5A6E">
              <w:rPr>
                <w:rFonts w:cs="Arial"/>
              </w:rPr>
              <w:t>Exenatide</w:t>
            </w:r>
            <w:proofErr w:type="spellEnd"/>
            <w:r w:rsidRPr="00DF5A6E">
              <w:rPr>
                <w:rFonts w:cs="Arial"/>
              </w:rPr>
              <w:t xml:space="preserve"> 5</w:t>
            </w:r>
            <w:r>
              <w:rPr>
                <w:rFonts w:cs="Arial"/>
              </w:rPr>
              <w:t xml:space="preserve"> mcg</w:t>
            </w:r>
            <w:r w:rsidRPr="00DF5A6E">
              <w:rPr>
                <w:rFonts w:cs="Arial"/>
              </w:rPr>
              <w:t xml:space="preserve"> </w:t>
            </w:r>
            <w:proofErr w:type="spellStart"/>
            <w:r w:rsidRPr="00DF5A6E">
              <w:rPr>
                <w:rFonts w:cs="Arial"/>
              </w:rPr>
              <w:t>bd</w:t>
            </w:r>
            <w:proofErr w:type="spellEnd"/>
          </w:p>
        </w:tc>
        <w:tc>
          <w:tcPr>
            <w:tcW w:w="423" w:type="pct"/>
            <w:vAlign w:val="center"/>
          </w:tcPr>
          <w:p w:rsidR="0024179B" w:rsidRPr="00DF5A6E" w:rsidRDefault="0024179B" w:rsidP="008C190A">
            <w:pPr>
              <w:jc w:val="center"/>
              <w:rPr>
                <w:rFonts w:ascii="Arial Narrow" w:hAnsi="Arial Narrow"/>
                <w:sz w:val="20"/>
              </w:rPr>
            </w:pPr>
            <w:r w:rsidRPr="00DF5A6E">
              <w:rPr>
                <w:rFonts w:ascii="Arial Narrow" w:hAnsi="Arial Narrow"/>
                <w:sz w:val="20"/>
              </w:rPr>
              <w:t>245</w:t>
            </w:r>
          </w:p>
        </w:tc>
        <w:tc>
          <w:tcPr>
            <w:tcW w:w="761" w:type="pct"/>
            <w:gridSpan w:val="2"/>
            <w:vAlign w:val="center"/>
          </w:tcPr>
          <w:p w:rsidR="0024179B" w:rsidRPr="00DF5A6E" w:rsidRDefault="0024179B" w:rsidP="008C190A">
            <w:pPr>
              <w:pStyle w:val="TableText0"/>
              <w:keepNext w:val="0"/>
              <w:spacing w:before="0" w:after="0"/>
              <w:jc w:val="center"/>
            </w:pPr>
            <w:r w:rsidRPr="00DF5A6E">
              <w:rPr>
                <w:rFonts w:cs="Arial"/>
              </w:rPr>
              <w:t>-0.6</w:t>
            </w:r>
          </w:p>
        </w:tc>
        <w:tc>
          <w:tcPr>
            <w:tcW w:w="424" w:type="pct"/>
            <w:vAlign w:val="center"/>
          </w:tcPr>
          <w:p w:rsidR="0024179B" w:rsidRPr="00DF5A6E" w:rsidRDefault="0024179B" w:rsidP="008C190A">
            <w:pPr>
              <w:pStyle w:val="COMtbl-textCentred"/>
            </w:pPr>
            <w:r w:rsidRPr="00DF5A6E">
              <w:t>1.1</w:t>
            </w:r>
          </w:p>
        </w:tc>
        <w:tc>
          <w:tcPr>
            <w:tcW w:w="339" w:type="pct"/>
            <w:vMerge w:val="restart"/>
            <w:vAlign w:val="center"/>
          </w:tcPr>
          <w:p w:rsidR="0024179B" w:rsidRPr="00DF5A6E" w:rsidRDefault="0024179B" w:rsidP="008C190A">
            <w:pPr>
              <w:pStyle w:val="COMtbl-textCentred"/>
            </w:pPr>
            <w:r w:rsidRPr="00DF5A6E">
              <w:t>247</w:t>
            </w:r>
          </w:p>
        </w:tc>
        <w:tc>
          <w:tcPr>
            <w:tcW w:w="676" w:type="pct"/>
            <w:gridSpan w:val="2"/>
            <w:vMerge w:val="restart"/>
            <w:vAlign w:val="center"/>
          </w:tcPr>
          <w:p w:rsidR="0024179B" w:rsidRPr="00DF5A6E" w:rsidRDefault="0024179B" w:rsidP="008C190A">
            <w:pPr>
              <w:pStyle w:val="TableText0"/>
              <w:keepNext w:val="0"/>
              <w:spacing w:before="0" w:after="0"/>
              <w:jc w:val="center"/>
            </w:pPr>
            <w:r w:rsidRPr="00DF5A6E">
              <w:rPr>
                <w:rFonts w:cs="Arial"/>
              </w:rPr>
              <w:t>+0.17</w:t>
            </w:r>
          </w:p>
        </w:tc>
        <w:tc>
          <w:tcPr>
            <w:tcW w:w="348" w:type="pct"/>
            <w:gridSpan w:val="2"/>
            <w:vMerge w:val="restart"/>
            <w:vAlign w:val="center"/>
          </w:tcPr>
          <w:p w:rsidR="0024179B" w:rsidRPr="00DF5A6E" w:rsidRDefault="0024179B" w:rsidP="008C190A">
            <w:pPr>
              <w:pStyle w:val="COMtbl-textCentred"/>
            </w:pPr>
            <w:r w:rsidRPr="00DF5A6E">
              <w:t>1.1</w:t>
            </w:r>
          </w:p>
        </w:tc>
        <w:tc>
          <w:tcPr>
            <w:tcW w:w="1013" w:type="pct"/>
            <w:gridSpan w:val="2"/>
          </w:tcPr>
          <w:p w:rsidR="0024179B" w:rsidRPr="00DF5A6E" w:rsidRDefault="0024179B" w:rsidP="008C190A">
            <w:pPr>
              <w:pStyle w:val="TableText0"/>
              <w:keepNext w:val="0"/>
              <w:spacing w:before="0" w:after="0"/>
              <w:jc w:val="center"/>
              <w:rPr>
                <w:rFonts w:cs="Arial"/>
              </w:rPr>
            </w:pPr>
            <w:proofErr w:type="spellStart"/>
            <w:r w:rsidRPr="00DF5A6E">
              <w:rPr>
                <w:rFonts w:cs="Arial"/>
              </w:rPr>
              <w:t>lixisenatide</w:t>
            </w:r>
            <w:proofErr w:type="spellEnd"/>
            <w:r w:rsidRPr="00DF5A6E">
              <w:rPr>
                <w:rFonts w:cs="Arial"/>
              </w:rPr>
              <w:t xml:space="preserve"> vs </w:t>
            </w:r>
            <w:proofErr w:type="spellStart"/>
            <w:r w:rsidRPr="00DF5A6E">
              <w:rPr>
                <w:rFonts w:cs="Arial"/>
              </w:rPr>
              <w:t>exenatide</w:t>
            </w:r>
            <w:proofErr w:type="spellEnd"/>
            <w:r w:rsidRPr="00DF5A6E">
              <w:rPr>
                <w:rFonts w:cs="Arial"/>
              </w:rPr>
              <w:t xml:space="preserve"> 5</w:t>
            </w:r>
            <w:r>
              <w:rPr>
                <w:rFonts w:cs="Arial"/>
              </w:rPr>
              <w:t xml:space="preserve"> mcg</w:t>
            </w:r>
            <w:r w:rsidRPr="00DF5A6E">
              <w:rPr>
                <w:rFonts w:cs="Arial"/>
              </w:rPr>
              <w:t xml:space="preserve"> </w:t>
            </w:r>
            <w:proofErr w:type="spellStart"/>
            <w:r w:rsidRPr="00DF5A6E">
              <w:rPr>
                <w:rFonts w:cs="Arial"/>
              </w:rPr>
              <w:t>bd</w:t>
            </w:r>
            <w:proofErr w:type="spellEnd"/>
          </w:p>
          <w:p w:rsidR="0024179B" w:rsidRPr="00DE4A3C" w:rsidRDefault="00DE4A3C" w:rsidP="008C190A">
            <w:pPr>
              <w:pStyle w:val="TableText0"/>
              <w:keepNext w:val="0"/>
              <w:spacing w:before="0" w:after="0"/>
              <w:jc w:val="center"/>
              <w:rPr>
                <w:highlight w:val="black"/>
              </w:rPr>
            </w:pPr>
            <w:r>
              <w:rPr>
                <w:rFonts w:cs="Arial"/>
                <w:noProof/>
                <w:color w:val="000000"/>
                <w:highlight w:val="black"/>
              </w:rPr>
              <w:t>''''''''''' '''''''''''''''' '''''''''''''</w:t>
            </w:r>
          </w:p>
        </w:tc>
      </w:tr>
      <w:tr w:rsidR="00637EC8" w:rsidRPr="00DF5A6E" w:rsidTr="00637EC8">
        <w:tblPrEx>
          <w:tblBorders>
            <w:top w:val="double" w:sz="4" w:space="0" w:color="auto"/>
          </w:tblBorders>
        </w:tblPrEx>
        <w:tc>
          <w:tcPr>
            <w:tcW w:w="1016" w:type="pct"/>
            <w:gridSpan w:val="2"/>
            <w:shd w:val="clear" w:color="auto" w:fill="auto"/>
            <w:vAlign w:val="center"/>
          </w:tcPr>
          <w:p w:rsidR="0024179B" w:rsidRPr="00DF5A6E" w:rsidRDefault="0024179B" w:rsidP="008C190A">
            <w:pPr>
              <w:pStyle w:val="TableText0"/>
              <w:keepNext w:val="0"/>
              <w:spacing w:before="0" w:after="0"/>
              <w:rPr>
                <w:rFonts w:cs="Arial"/>
              </w:rPr>
            </w:pPr>
            <w:r w:rsidRPr="00DF5A6E">
              <w:rPr>
                <w:rFonts w:cs="Arial"/>
              </w:rPr>
              <w:t>Kendall (2005)</w:t>
            </w:r>
          </w:p>
          <w:p w:rsidR="0024179B" w:rsidRPr="00DF5A6E" w:rsidRDefault="0024179B" w:rsidP="008C190A">
            <w:pPr>
              <w:pStyle w:val="TableText0"/>
              <w:keepNext w:val="0"/>
              <w:spacing w:before="0" w:after="0"/>
              <w:rPr>
                <w:color w:val="000000"/>
              </w:rPr>
            </w:pPr>
            <w:proofErr w:type="spellStart"/>
            <w:r w:rsidRPr="00DF5A6E">
              <w:rPr>
                <w:rFonts w:cs="Arial"/>
              </w:rPr>
              <w:t>Exenatide</w:t>
            </w:r>
            <w:proofErr w:type="spellEnd"/>
            <w:r w:rsidRPr="00DF5A6E">
              <w:rPr>
                <w:rFonts w:cs="Arial"/>
              </w:rPr>
              <w:t xml:space="preserve"> 10</w:t>
            </w:r>
            <w:r>
              <w:rPr>
                <w:rFonts w:cs="Arial"/>
              </w:rPr>
              <w:t xml:space="preserve"> mcg</w:t>
            </w:r>
            <w:r w:rsidRPr="00DF5A6E">
              <w:rPr>
                <w:rFonts w:cs="Arial"/>
              </w:rPr>
              <w:t xml:space="preserve"> </w:t>
            </w:r>
            <w:proofErr w:type="spellStart"/>
            <w:r w:rsidRPr="00DF5A6E">
              <w:rPr>
                <w:rFonts w:cs="Arial"/>
              </w:rPr>
              <w:t>bd</w:t>
            </w:r>
            <w:proofErr w:type="spellEnd"/>
          </w:p>
        </w:tc>
        <w:tc>
          <w:tcPr>
            <w:tcW w:w="423" w:type="pct"/>
            <w:vAlign w:val="center"/>
          </w:tcPr>
          <w:p w:rsidR="0024179B" w:rsidRPr="00DF5A6E" w:rsidRDefault="0024179B" w:rsidP="008C190A">
            <w:pPr>
              <w:jc w:val="center"/>
              <w:rPr>
                <w:rFonts w:ascii="Arial Narrow" w:hAnsi="Arial Narrow"/>
                <w:sz w:val="20"/>
              </w:rPr>
            </w:pPr>
            <w:r w:rsidRPr="00DF5A6E">
              <w:rPr>
                <w:rFonts w:ascii="Arial Narrow" w:hAnsi="Arial Narrow"/>
                <w:sz w:val="20"/>
              </w:rPr>
              <w:t>241</w:t>
            </w:r>
          </w:p>
        </w:tc>
        <w:tc>
          <w:tcPr>
            <w:tcW w:w="761" w:type="pct"/>
            <w:gridSpan w:val="2"/>
            <w:vAlign w:val="center"/>
          </w:tcPr>
          <w:p w:rsidR="0024179B" w:rsidRPr="00DF5A6E" w:rsidRDefault="0024179B" w:rsidP="008C190A">
            <w:pPr>
              <w:pStyle w:val="TableText0"/>
              <w:keepNext w:val="0"/>
              <w:spacing w:before="0" w:after="0"/>
              <w:jc w:val="center"/>
            </w:pPr>
            <w:r w:rsidRPr="00DF5A6E">
              <w:rPr>
                <w:rFonts w:cs="Arial"/>
              </w:rPr>
              <w:t>-0.9</w:t>
            </w:r>
          </w:p>
        </w:tc>
        <w:tc>
          <w:tcPr>
            <w:tcW w:w="424" w:type="pct"/>
            <w:vAlign w:val="center"/>
          </w:tcPr>
          <w:p w:rsidR="0024179B" w:rsidRPr="00DF5A6E" w:rsidRDefault="0024179B" w:rsidP="008C190A">
            <w:pPr>
              <w:pStyle w:val="COMtbl-textCentred"/>
            </w:pPr>
            <w:r w:rsidRPr="00DF5A6E">
              <w:t>1.24</w:t>
            </w:r>
          </w:p>
        </w:tc>
        <w:tc>
          <w:tcPr>
            <w:tcW w:w="339" w:type="pct"/>
            <w:vMerge/>
            <w:vAlign w:val="center"/>
          </w:tcPr>
          <w:p w:rsidR="0024179B" w:rsidRPr="00DF5A6E" w:rsidRDefault="0024179B" w:rsidP="008C190A">
            <w:pPr>
              <w:pStyle w:val="COMtbl-textCentred"/>
            </w:pPr>
          </w:p>
        </w:tc>
        <w:tc>
          <w:tcPr>
            <w:tcW w:w="676" w:type="pct"/>
            <w:gridSpan w:val="2"/>
            <w:vMerge/>
            <w:vAlign w:val="center"/>
          </w:tcPr>
          <w:p w:rsidR="0024179B" w:rsidRPr="00DF5A6E" w:rsidRDefault="0024179B" w:rsidP="008C190A">
            <w:pPr>
              <w:pStyle w:val="COMtbl-textCentred"/>
            </w:pPr>
          </w:p>
        </w:tc>
        <w:tc>
          <w:tcPr>
            <w:tcW w:w="348" w:type="pct"/>
            <w:gridSpan w:val="2"/>
            <w:vMerge/>
            <w:vAlign w:val="center"/>
          </w:tcPr>
          <w:p w:rsidR="0024179B" w:rsidRPr="00DF5A6E" w:rsidRDefault="0024179B" w:rsidP="008C190A">
            <w:pPr>
              <w:pStyle w:val="COMtbl-textCentred"/>
            </w:pPr>
          </w:p>
        </w:tc>
        <w:tc>
          <w:tcPr>
            <w:tcW w:w="1013" w:type="pct"/>
            <w:gridSpan w:val="2"/>
          </w:tcPr>
          <w:p w:rsidR="0024179B" w:rsidRPr="00DF5A6E" w:rsidRDefault="0024179B" w:rsidP="008C190A">
            <w:pPr>
              <w:pStyle w:val="TableText0"/>
              <w:keepNext w:val="0"/>
              <w:spacing w:before="0" w:after="0"/>
              <w:jc w:val="center"/>
              <w:rPr>
                <w:rFonts w:cs="Arial"/>
              </w:rPr>
            </w:pPr>
            <w:proofErr w:type="spellStart"/>
            <w:r w:rsidRPr="00DF5A6E">
              <w:rPr>
                <w:rFonts w:cs="Arial"/>
              </w:rPr>
              <w:t>lixisenatide</w:t>
            </w:r>
            <w:proofErr w:type="spellEnd"/>
            <w:r w:rsidRPr="00DF5A6E">
              <w:rPr>
                <w:rFonts w:cs="Arial"/>
              </w:rPr>
              <w:t xml:space="preserve"> vs </w:t>
            </w:r>
            <w:proofErr w:type="spellStart"/>
            <w:r w:rsidRPr="00DF5A6E">
              <w:rPr>
                <w:rFonts w:cs="Arial"/>
              </w:rPr>
              <w:t>exenatide</w:t>
            </w:r>
            <w:proofErr w:type="spellEnd"/>
            <w:r w:rsidRPr="00DF5A6E">
              <w:rPr>
                <w:rFonts w:cs="Arial"/>
              </w:rPr>
              <w:t xml:space="preserve"> 10</w:t>
            </w:r>
            <w:r>
              <w:rPr>
                <w:rFonts w:cs="Arial"/>
              </w:rPr>
              <w:t xml:space="preserve"> mcg</w:t>
            </w:r>
            <w:r w:rsidRPr="00DF5A6E">
              <w:rPr>
                <w:rFonts w:cs="Arial"/>
              </w:rPr>
              <w:t xml:space="preserve"> </w:t>
            </w:r>
            <w:proofErr w:type="spellStart"/>
            <w:r w:rsidRPr="00DF5A6E">
              <w:rPr>
                <w:rFonts w:cs="Arial"/>
              </w:rPr>
              <w:t>bd</w:t>
            </w:r>
            <w:proofErr w:type="spellEnd"/>
          </w:p>
          <w:p w:rsidR="0024179B" w:rsidRPr="00DE4A3C" w:rsidRDefault="00DE4A3C" w:rsidP="008C190A">
            <w:pPr>
              <w:pStyle w:val="TableText0"/>
              <w:keepNext w:val="0"/>
              <w:spacing w:before="0" w:after="0"/>
              <w:jc w:val="center"/>
              <w:rPr>
                <w:highlight w:val="black"/>
              </w:rPr>
            </w:pPr>
            <w:r>
              <w:rPr>
                <w:rFonts w:cs="Arial"/>
                <w:noProof/>
                <w:color w:val="000000"/>
                <w:highlight w:val="black"/>
              </w:rPr>
              <w:t>'''''''''' ''''''''''''' ''''''''''''</w:t>
            </w:r>
          </w:p>
        </w:tc>
      </w:tr>
      <w:tr w:rsidR="0024179B" w:rsidRPr="00DF5A6E" w:rsidTr="00637EC8">
        <w:tblPrEx>
          <w:tblBorders>
            <w:top w:val="double" w:sz="4" w:space="0" w:color="auto"/>
          </w:tblBorders>
        </w:tblPrEx>
        <w:tc>
          <w:tcPr>
            <w:tcW w:w="3987" w:type="pct"/>
            <w:gridSpan w:val="11"/>
            <w:shd w:val="clear" w:color="auto" w:fill="auto"/>
            <w:vAlign w:val="center"/>
          </w:tcPr>
          <w:p w:rsidR="0024179B" w:rsidRPr="00DF5A6E" w:rsidRDefault="0024179B" w:rsidP="008C190A">
            <w:pPr>
              <w:pStyle w:val="COMtbl-textCentred"/>
              <w:jc w:val="left"/>
            </w:pPr>
            <w:r w:rsidRPr="00DF5A6E">
              <w:t xml:space="preserve">Regression analysis combining </w:t>
            </w:r>
            <w:proofErr w:type="spellStart"/>
            <w:r w:rsidRPr="00DF5A6E">
              <w:t>exenatide</w:t>
            </w:r>
            <w:proofErr w:type="spellEnd"/>
            <w:r w:rsidRPr="00DF5A6E">
              <w:t xml:space="preserve"> 5</w:t>
            </w:r>
            <w:r>
              <w:t xml:space="preserve"> mcg</w:t>
            </w:r>
            <w:r w:rsidRPr="00DF5A6E">
              <w:t xml:space="preserve"> </w:t>
            </w:r>
            <w:proofErr w:type="spellStart"/>
            <w:r w:rsidRPr="00DF5A6E">
              <w:t>bd</w:t>
            </w:r>
            <w:proofErr w:type="spellEnd"/>
            <w:r w:rsidRPr="00DF5A6E">
              <w:t xml:space="preserve"> &amp; 10</w:t>
            </w:r>
            <w:r>
              <w:t xml:space="preserve"> mcg</w:t>
            </w:r>
            <w:r w:rsidRPr="00DF5A6E">
              <w:t xml:space="preserve"> </w:t>
            </w:r>
            <w:proofErr w:type="spellStart"/>
            <w:r w:rsidRPr="00DF5A6E">
              <w:t>bd</w:t>
            </w:r>
            <w:proofErr w:type="spellEnd"/>
            <w:r w:rsidRPr="00DF5A6E">
              <w:t xml:space="preserve"> </w:t>
            </w:r>
          </w:p>
        </w:tc>
        <w:tc>
          <w:tcPr>
            <w:tcW w:w="1013" w:type="pct"/>
            <w:gridSpan w:val="2"/>
            <w:vAlign w:val="center"/>
          </w:tcPr>
          <w:p w:rsidR="0024179B" w:rsidRPr="00DE4A3C" w:rsidRDefault="00DE4A3C" w:rsidP="008C190A">
            <w:pPr>
              <w:pStyle w:val="TableText0"/>
              <w:keepNext w:val="0"/>
              <w:spacing w:before="0" w:after="0"/>
              <w:jc w:val="center"/>
              <w:rPr>
                <w:rFonts w:cs="Arial"/>
                <w:highlight w:val="black"/>
              </w:rPr>
            </w:pPr>
            <w:r>
              <w:rPr>
                <w:rFonts w:cs="Arial"/>
                <w:noProof/>
                <w:color w:val="000000"/>
                <w:highlight w:val="black"/>
              </w:rPr>
              <w:t>'''''''''' '''''''''''''' ''''''''''''''</w:t>
            </w:r>
          </w:p>
        </w:tc>
      </w:tr>
      <w:tr w:rsidR="0024179B" w:rsidRPr="00DF5A6E" w:rsidTr="00637EC8">
        <w:tc>
          <w:tcPr>
            <w:tcW w:w="5000" w:type="pct"/>
            <w:gridSpan w:val="13"/>
            <w:tcBorders>
              <w:bottom w:val="double" w:sz="4" w:space="0" w:color="auto"/>
            </w:tcBorders>
            <w:shd w:val="clear" w:color="auto" w:fill="auto"/>
            <w:vAlign w:val="center"/>
          </w:tcPr>
          <w:p w:rsidR="0024179B" w:rsidRPr="00DF5A6E" w:rsidRDefault="0024179B" w:rsidP="008C190A">
            <w:pPr>
              <w:pStyle w:val="COMtbl-HEADLeftAligned"/>
            </w:pPr>
            <w:r w:rsidRPr="00DF5A6E">
              <w:t xml:space="preserve">Harms </w:t>
            </w:r>
          </w:p>
        </w:tc>
      </w:tr>
      <w:tr w:rsidR="00637EC8" w:rsidRPr="00DF5A6E" w:rsidTr="00637EC8">
        <w:trPr>
          <w:trHeight w:val="70"/>
        </w:trPr>
        <w:tc>
          <w:tcPr>
            <w:tcW w:w="1009" w:type="pct"/>
            <w:vMerge w:val="restart"/>
            <w:tcBorders>
              <w:top w:val="double" w:sz="4" w:space="0" w:color="auto"/>
            </w:tcBorders>
            <w:shd w:val="clear" w:color="auto" w:fill="auto"/>
            <w:vAlign w:val="center"/>
          </w:tcPr>
          <w:p w:rsidR="0024179B" w:rsidRPr="00DF5A6E" w:rsidRDefault="0024179B" w:rsidP="008C190A">
            <w:pPr>
              <w:rPr>
                <w:b/>
                <w:color w:val="000000"/>
                <w:sz w:val="20"/>
                <w:szCs w:val="18"/>
              </w:rPr>
            </w:pPr>
          </w:p>
        </w:tc>
        <w:tc>
          <w:tcPr>
            <w:tcW w:w="846" w:type="pct"/>
            <w:gridSpan w:val="3"/>
            <w:vMerge w:val="restart"/>
            <w:tcBorders>
              <w:top w:val="double" w:sz="4" w:space="0" w:color="auto"/>
            </w:tcBorders>
            <w:vAlign w:val="center"/>
          </w:tcPr>
          <w:p w:rsidR="0024179B" w:rsidRPr="00DF5A6E" w:rsidRDefault="0024179B" w:rsidP="008C190A">
            <w:pPr>
              <w:pStyle w:val="COMtbl-HEADCentred"/>
            </w:pPr>
            <w:proofErr w:type="spellStart"/>
            <w:r w:rsidRPr="00DF5A6E">
              <w:t>Lixisenatide</w:t>
            </w:r>
            <w:proofErr w:type="spellEnd"/>
          </w:p>
        </w:tc>
        <w:tc>
          <w:tcPr>
            <w:tcW w:w="769" w:type="pct"/>
            <w:gridSpan w:val="2"/>
            <w:vMerge w:val="restart"/>
            <w:tcBorders>
              <w:top w:val="double" w:sz="4" w:space="0" w:color="auto"/>
            </w:tcBorders>
            <w:vAlign w:val="center"/>
          </w:tcPr>
          <w:p w:rsidR="0024179B" w:rsidRPr="00DF5A6E" w:rsidRDefault="0024179B" w:rsidP="008C190A">
            <w:pPr>
              <w:pStyle w:val="COMtbl-HEADCentred"/>
            </w:pPr>
            <w:proofErr w:type="spellStart"/>
            <w:r w:rsidRPr="00DF5A6E">
              <w:t>Exenatide</w:t>
            </w:r>
            <w:proofErr w:type="spellEnd"/>
          </w:p>
        </w:tc>
        <w:tc>
          <w:tcPr>
            <w:tcW w:w="510" w:type="pct"/>
            <w:gridSpan w:val="2"/>
            <w:vMerge w:val="restart"/>
            <w:tcBorders>
              <w:top w:val="double" w:sz="4" w:space="0" w:color="auto"/>
            </w:tcBorders>
            <w:vAlign w:val="center"/>
          </w:tcPr>
          <w:p w:rsidR="0024179B" w:rsidRPr="00DF5A6E" w:rsidRDefault="0024179B" w:rsidP="008C190A">
            <w:pPr>
              <w:pStyle w:val="COMtbl-HEADCentred"/>
            </w:pPr>
            <w:proofErr w:type="spellStart"/>
            <w:r w:rsidRPr="00DF5A6E">
              <w:t>RR</w:t>
            </w:r>
            <w:r w:rsidRPr="00DF5A6E">
              <w:rPr>
                <w:vertAlign w:val="superscript"/>
              </w:rPr>
              <w:t>d</w:t>
            </w:r>
            <w:proofErr w:type="spellEnd"/>
          </w:p>
          <w:p w:rsidR="0024179B" w:rsidRPr="00DF5A6E" w:rsidRDefault="0024179B" w:rsidP="008C190A">
            <w:pPr>
              <w:pStyle w:val="COMtbl-HEADCentred"/>
            </w:pPr>
            <w:r w:rsidRPr="00DF5A6E">
              <w:t>(95% CI)</w:t>
            </w:r>
          </w:p>
        </w:tc>
        <w:tc>
          <w:tcPr>
            <w:tcW w:w="1356" w:type="pct"/>
            <w:gridSpan w:val="4"/>
            <w:tcBorders>
              <w:top w:val="double" w:sz="4" w:space="0" w:color="auto"/>
            </w:tcBorders>
            <w:vAlign w:val="center"/>
          </w:tcPr>
          <w:p w:rsidR="0024179B" w:rsidRPr="00DF5A6E" w:rsidRDefault="0024179B" w:rsidP="008C190A">
            <w:pPr>
              <w:pStyle w:val="COMtbl-HEADCentred"/>
            </w:pPr>
            <w:r w:rsidRPr="00DF5A6E">
              <w:t xml:space="preserve">Event rate/100 </w:t>
            </w:r>
            <w:proofErr w:type="spellStart"/>
            <w:r w:rsidRPr="00DF5A6E">
              <w:t>patients</w:t>
            </w:r>
            <w:r w:rsidRPr="00DF5A6E">
              <w:rPr>
                <w:vertAlign w:val="superscript"/>
              </w:rPr>
              <w:t>c</w:t>
            </w:r>
            <w:proofErr w:type="spellEnd"/>
          </w:p>
        </w:tc>
        <w:tc>
          <w:tcPr>
            <w:tcW w:w="510" w:type="pct"/>
            <w:vMerge w:val="restart"/>
            <w:tcBorders>
              <w:top w:val="double" w:sz="4" w:space="0" w:color="auto"/>
            </w:tcBorders>
            <w:vAlign w:val="center"/>
          </w:tcPr>
          <w:p w:rsidR="0024179B" w:rsidRPr="00DF5A6E" w:rsidRDefault="0024179B" w:rsidP="008C190A">
            <w:pPr>
              <w:pStyle w:val="COMtbl-HEADCentred"/>
            </w:pPr>
            <w:proofErr w:type="spellStart"/>
            <w:r w:rsidRPr="00DF5A6E">
              <w:t>RD</w:t>
            </w:r>
            <w:r w:rsidRPr="00DF5A6E">
              <w:rPr>
                <w:vertAlign w:val="superscript"/>
              </w:rPr>
              <w:t>d</w:t>
            </w:r>
            <w:proofErr w:type="spellEnd"/>
          </w:p>
          <w:p w:rsidR="0024179B" w:rsidRPr="00DF5A6E" w:rsidRDefault="0024179B" w:rsidP="008C190A">
            <w:pPr>
              <w:pStyle w:val="COMtbl-HEADCentred"/>
            </w:pPr>
            <w:r w:rsidRPr="00DF5A6E">
              <w:t>(95% CI)</w:t>
            </w:r>
          </w:p>
        </w:tc>
      </w:tr>
      <w:tr w:rsidR="00637EC8" w:rsidRPr="00DF5A6E" w:rsidTr="00637EC8">
        <w:trPr>
          <w:trHeight w:val="70"/>
        </w:trPr>
        <w:tc>
          <w:tcPr>
            <w:tcW w:w="1009" w:type="pct"/>
            <w:vMerge/>
            <w:shd w:val="clear" w:color="auto" w:fill="auto"/>
            <w:vAlign w:val="center"/>
          </w:tcPr>
          <w:p w:rsidR="0024179B" w:rsidRPr="00DF5A6E" w:rsidRDefault="0024179B" w:rsidP="008C190A">
            <w:pPr>
              <w:rPr>
                <w:b/>
                <w:color w:val="000000"/>
                <w:sz w:val="20"/>
                <w:szCs w:val="18"/>
              </w:rPr>
            </w:pPr>
          </w:p>
        </w:tc>
        <w:tc>
          <w:tcPr>
            <w:tcW w:w="846" w:type="pct"/>
            <w:gridSpan w:val="3"/>
            <w:vMerge/>
            <w:vAlign w:val="center"/>
          </w:tcPr>
          <w:p w:rsidR="0024179B" w:rsidRPr="00DF5A6E" w:rsidRDefault="0024179B" w:rsidP="008C190A">
            <w:pPr>
              <w:jc w:val="center"/>
              <w:rPr>
                <w:b/>
                <w:color w:val="000000"/>
                <w:sz w:val="20"/>
                <w:szCs w:val="18"/>
              </w:rPr>
            </w:pPr>
          </w:p>
        </w:tc>
        <w:tc>
          <w:tcPr>
            <w:tcW w:w="769" w:type="pct"/>
            <w:gridSpan w:val="2"/>
            <w:vMerge/>
            <w:vAlign w:val="center"/>
          </w:tcPr>
          <w:p w:rsidR="0024179B" w:rsidRPr="00DF5A6E" w:rsidRDefault="0024179B" w:rsidP="008C190A">
            <w:pPr>
              <w:jc w:val="center"/>
              <w:rPr>
                <w:b/>
                <w:color w:val="000000"/>
                <w:sz w:val="20"/>
                <w:szCs w:val="18"/>
              </w:rPr>
            </w:pPr>
          </w:p>
        </w:tc>
        <w:tc>
          <w:tcPr>
            <w:tcW w:w="510" w:type="pct"/>
            <w:gridSpan w:val="2"/>
            <w:vMerge/>
            <w:vAlign w:val="center"/>
          </w:tcPr>
          <w:p w:rsidR="0024179B" w:rsidRPr="00DF5A6E" w:rsidRDefault="0024179B" w:rsidP="008C190A">
            <w:pPr>
              <w:jc w:val="center"/>
              <w:rPr>
                <w:b/>
                <w:color w:val="000000"/>
                <w:sz w:val="20"/>
                <w:szCs w:val="18"/>
              </w:rPr>
            </w:pPr>
          </w:p>
        </w:tc>
        <w:tc>
          <w:tcPr>
            <w:tcW w:w="761" w:type="pct"/>
            <w:gridSpan w:val="2"/>
            <w:vAlign w:val="center"/>
          </w:tcPr>
          <w:p w:rsidR="0024179B" w:rsidRPr="00DF5A6E" w:rsidRDefault="0024179B" w:rsidP="008C190A">
            <w:pPr>
              <w:pStyle w:val="COMtbl-HEADCentred"/>
            </w:pPr>
            <w:proofErr w:type="spellStart"/>
            <w:r w:rsidRPr="00DF5A6E">
              <w:t>Lixisenatide</w:t>
            </w:r>
            <w:proofErr w:type="spellEnd"/>
          </w:p>
        </w:tc>
        <w:tc>
          <w:tcPr>
            <w:tcW w:w="595" w:type="pct"/>
            <w:gridSpan w:val="2"/>
            <w:vAlign w:val="center"/>
          </w:tcPr>
          <w:p w:rsidR="0024179B" w:rsidRPr="00DF5A6E" w:rsidRDefault="0024179B" w:rsidP="008C190A">
            <w:pPr>
              <w:pStyle w:val="COMtbl-HEADCentred"/>
            </w:pPr>
            <w:proofErr w:type="spellStart"/>
            <w:r w:rsidRPr="00DF5A6E">
              <w:t>Exenatide</w:t>
            </w:r>
            <w:proofErr w:type="spellEnd"/>
          </w:p>
        </w:tc>
        <w:tc>
          <w:tcPr>
            <w:tcW w:w="510" w:type="pct"/>
            <w:vMerge/>
            <w:vAlign w:val="center"/>
          </w:tcPr>
          <w:p w:rsidR="0024179B" w:rsidRPr="00DF5A6E" w:rsidRDefault="0024179B" w:rsidP="008C190A">
            <w:pPr>
              <w:jc w:val="center"/>
              <w:rPr>
                <w:b/>
                <w:color w:val="000000"/>
                <w:sz w:val="20"/>
                <w:szCs w:val="18"/>
              </w:rPr>
            </w:pPr>
          </w:p>
        </w:tc>
      </w:tr>
      <w:tr w:rsidR="0024179B" w:rsidRPr="00DF5A6E" w:rsidTr="00637EC8">
        <w:tc>
          <w:tcPr>
            <w:tcW w:w="5000" w:type="pct"/>
            <w:gridSpan w:val="13"/>
            <w:shd w:val="clear" w:color="auto" w:fill="auto"/>
            <w:vAlign w:val="center"/>
          </w:tcPr>
          <w:p w:rsidR="0024179B" w:rsidRPr="00DF5A6E" w:rsidRDefault="0024179B" w:rsidP="008C190A">
            <w:pPr>
              <w:pStyle w:val="COMtbl-HEADLeftAligned"/>
              <w:rPr>
                <w:b w:val="0"/>
              </w:rPr>
            </w:pPr>
            <w:proofErr w:type="spellStart"/>
            <w:r w:rsidRPr="00DF5A6E">
              <w:rPr>
                <w:b w:val="0"/>
              </w:rPr>
              <w:t>Lixisenatide</w:t>
            </w:r>
            <w:proofErr w:type="spellEnd"/>
            <w:r w:rsidRPr="00DF5A6E">
              <w:rPr>
                <w:b w:val="0"/>
              </w:rPr>
              <w:t xml:space="preserve"> versus </w:t>
            </w:r>
            <w:proofErr w:type="spellStart"/>
            <w:r w:rsidRPr="00DF5A6E">
              <w:rPr>
                <w:b w:val="0"/>
              </w:rPr>
              <w:t>exenatide</w:t>
            </w:r>
            <w:proofErr w:type="spellEnd"/>
            <w:r w:rsidRPr="00DF5A6E">
              <w:rPr>
                <w:b w:val="0"/>
              </w:rPr>
              <w:t xml:space="preserve"> (dual therapy with metformin)</w:t>
            </w:r>
          </w:p>
        </w:tc>
      </w:tr>
      <w:tr w:rsidR="0024179B" w:rsidRPr="00DF5A6E" w:rsidTr="00637EC8">
        <w:tc>
          <w:tcPr>
            <w:tcW w:w="5000" w:type="pct"/>
            <w:gridSpan w:val="13"/>
            <w:shd w:val="clear" w:color="auto" w:fill="auto"/>
            <w:vAlign w:val="center"/>
          </w:tcPr>
          <w:p w:rsidR="0024179B" w:rsidRPr="00DF5A6E" w:rsidRDefault="0024179B" w:rsidP="008C190A">
            <w:pPr>
              <w:pStyle w:val="COMtbl-HEADLeftAligned"/>
            </w:pPr>
            <w:r w:rsidRPr="00DF5A6E">
              <w:t>Nausea</w:t>
            </w:r>
          </w:p>
        </w:tc>
      </w:tr>
      <w:tr w:rsidR="00637EC8" w:rsidRPr="00DF5A6E" w:rsidTr="00637EC8">
        <w:tc>
          <w:tcPr>
            <w:tcW w:w="1009" w:type="pct"/>
            <w:shd w:val="clear" w:color="auto" w:fill="auto"/>
            <w:vAlign w:val="center"/>
          </w:tcPr>
          <w:p w:rsidR="0024179B" w:rsidRPr="00DF5A6E" w:rsidRDefault="0024179B" w:rsidP="008C190A">
            <w:pPr>
              <w:rPr>
                <w:color w:val="000000"/>
                <w:sz w:val="20"/>
                <w:szCs w:val="18"/>
              </w:rPr>
            </w:pPr>
            <w:proofErr w:type="spellStart"/>
            <w:r w:rsidRPr="00DF5A6E">
              <w:rPr>
                <w:rFonts w:ascii="Arial Narrow" w:hAnsi="Arial Narrow"/>
                <w:color w:val="000000"/>
                <w:sz w:val="20"/>
              </w:rPr>
              <w:t>GetGoal</w:t>
            </w:r>
            <w:proofErr w:type="spellEnd"/>
            <w:r w:rsidRPr="00DF5A6E">
              <w:rPr>
                <w:rFonts w:ascii="Arial Narrow" w:hAnsi="Arial Narrow"/>
                <w:color w:val="000000"/>
                <w:sz w:val="20"/>
              </w:rPr>
              <w:t>-X</w:t>
            </w:r>
          </w:p>
        </w:tc>
        <w:tc>
          <w:tcPr>
            <w:tcW w:w="846" w:type="pct"/>
            <w:gridSpan w:val="3"/>
            <w:vAlign w:val="center"/>
          </w:tcPr>
          <w:p w:rsidR="0024179B" w:rsidRPr="00DE4A3C" w:rsidRDefault="00DE4A3C" w:rsidP="008C190A">
            <w:pPr>
              <w:pStyle w:val="COMtbl-textCentred"/>
              <w:rPr>
                <w:highlight w:val="black"/>
              </w:rPr>
            </w:pPr>
            <w:r>
              <w:rPr>
                <w:noProof/>
                <w:color w:val="000000"/>
                <w:highlight w:val="black"/>
              </w:rPr>
              <w:t>'''''''''''''''''</w:t>
            </w:r>
          </w:p>
        </w:tc>
        <w:tc>
          <w:tcPr>
            <w:tcW w:w="769" w:type="pct"/>
            <w:gridSpan w:val="2"/>
            <w:vAlign w:val="center"/>
          </w:tcPr>
          <w:p w:rsidR="0024179B" w:rsidRPr="00DE4A3C" w:rsidRDefault="00DE4A3C" w:rsidP="008C190A">
            <w:pPr>
              <w:pStyle w:val="COMtbl-textCentred"/>
              <w:rPr>
                <w:highlight w:val="black"/>
              </w:rPr>
            </w:pPr>
            <w:r>
              <w:rPr>
                <w:noProof/>
                <w:color w:val="000000"/>
                <w:highlight w:val="black"/>
              </w:rPr>
              <w:t>''''''''''''''''''</w:t>
            </w:r>
          </w:p>
        </w:tc>
        <w:tc>
          <w:tcPr>
            <w:tcW w:w="510" w:type="pct"/>
            <w:gridSpan w:val="2"/>
            <w:vAlign w:val="center"/>
          </w:tcPr>
          <w:p w:rsidR="0024179B" w:rsidRPr="00DE4A3C" w:rsidRDefault="00DE4A3C" w:rsidP="008C190A">
            <w:pPr>
              <w:pStyle w:val="COMtbl-textCentred"/>
              <w:rPr>
                <w:highlight w:val="black"/>
                <w:vertAlign w:val="superscript"/>
              </w:rPr>
            </w:pPr>
            <w:r>
              <w:rPr>
                <w:noProof/>
                <w:color w:val="000000"/>
                <w:highlight w:val="black"/>
              </w:rPr>
              <w:t>'''''''</w:t>
            </w:r>
          </w:p>
        </w:tc>
        <w:tc>
          <w:tcPr>
            <w:tcW w:w="761" w:type="pct"/>
            <w:gridSpan w:val="2"/>
            <w:vAlign w:val="center"/>
          </w:tcPr>
          <w:p w:rsidR="0024179B" w:rsidRPr="00DE4A3C" w:rsidRDefault="00DE4A3C" w:rsidP="008C190A">
            <w:pPr>
              <w:pStyle w:val="COMtbl-textCentred"/>
              <w:rPr>
                <w:highlight w:val="black"/>
              </w:rPr>
            </w:pPr>
            <w:r>
              <w:rPr>
                <w:noProof/>
                <w:color w:val="000000"/>
                <w:highlight w:val="black"/>
              </w:rPr>
              <w:t>''''''''''</w:t>
            </w:r>
          </w:p>
        </w:tc>
        <w:tc>
          <w:tcPr>
            <w:tcW w:w="595" w:type="pct"/>
            <w:gridSpan w:val="2"/>
            <w:vAlign w:val="center"/>
          </w:tcPr>
          <w:p w:rsidR="0024179B" w:rsidRPr="00DE4A3C" w:rsidRDefault="00DE4A3C" w:rsidP="008C190A">
            <w:pPr>
              <w:pStyle w:val="COMtbl-textCentred"/>
              <w:rPr>
                <w:highlight w:val="black"/>
              </w:rPr>
            </w:pPr>
            <w:r>
              <w:rPr>
                <w:noProof/>
                <w:color w:val="000000"/>
                <w:highlight w:val="black"/>
              </w:rPr>
              <w:t>''''''''''</w:t>
            </w:r>
          </w:p>
        </w:tc>
        <w:tc>
          <w:tcPr>
            <w:tcW w:w="510" w:type="pct"/>
            <w:vAlign w:val="center"/>
          </w:tcPr>
          <w:p w:rsidR="0024179B" w:rsidRPr="00DE4A3C" w:rsidRDefault="00DE4A3C" w:rsidP="008C190A">
            <w:pPr>
              <w:pStyle w:val="COMtbl-textCentred"/>
              <w:rPr>
                <w:highlight w:val="black"/>
                <w:vertAlign w:val="superscript"/>
              </w:rPr>
            </w:pPr>
            <w:r>
              <w:rPr>
                <w:noProof/>
                <w:color w:val="000000"/>
                <w:highlight w:val="black"/>
              </w:rPr>
              <w:t>'''''''</w:t>
            </w:r>
          </w:p>
        </w:tc>
      </w:tr>
      <w:tr w:rsidR="0024179B" w:rsidRPr="00DF5A6E" w:rsidTr="00637EC8">
        <w:tc>
          <w:tcPr>
            <w:tcW w:w="5000" w:type="pct"/>
            <w:gridSpan w:val="13"/>
            <w:shd w:val="clear" w:color="auto" w:fill="auto"/>
            <w:vAlign w:val="center"/>
          </w:tcPr>
          <w:p w:rsidR="0024179B" w:rsidRPr="00DE4A3C" w:rsidRDefault="00DE4A3C" w:rsidP="008C190A">
            <w:pPr>
              <w:pStyle w:val="COMtbl-HEADLeftAligned"/>
              <w:rPr>
                <w:highlight w:val="black"/>
              </w:rPr>
            </w:pPr>
            <w:r>
              <w:rPr>
                <w:noProof/>
                <w:color w:val="000000"/>
                <w:highlight w:val="black"/>
              </w:rPr>
              <w:t>'''''''''''''''''''''''''''' ''''''''''''''''''''''''''''</w:t>
            </w:r>
          </w:p>
        </w:tc>
      </w:tr>
      <w:tr w:rsidR="00637EC8" w:rsidRPr="00DF5A6E" w:rsidTr="00637EC8">
        <w:tc>
          <w:tcPr>
            <w:tcW w:w="1009" w:type="pct"/>
            <w:shd w:val="clear" w:color="auto" w:fill="auto"/>
            <w:vAlign w:val="center"/>
          </w:tcPr>
          <w:p w:rsidR="0024179B" w:rsidRPr="00DF5A6E" w:rsidRDefault="0024179B" w:rsidP="008C190A">
            <w:pPr>
              <w:rPr>
                <w:color w:val="000000"/>
                <w:sz w:val="20"/>
                <w:szCs w:val="18"/>
              </w:rPr>
            </w:pPr>
            <w:proofErr w:type="spellStart"/>
            <w:r w:rsidRPr="00DF5A6E">
              <w:rPr>
                <w:rFonts w:ascii="Arial Narrow" w:hAnsi="Arial Narrow"/>
                <w:color w:val="000000"/>
                <w:sz w:val="20"/>
              </w:rPr>
              <w:t>GetGoal</w:t>
            </w:r>
            <w:proofErr w:type="spellEnd"/>
            <w:r w:rsidRPr="00DF5A6E">
              <w:rPr>
                <w:rFonts w:ascii="Arial Narrow" w:hAnsi="Arial Narrow"/>
                <w:color w:val="000000"/>
                <w:sz w:val="20"/>
              </w:rPr>
              <w:t>-X</w:t>
            </w:r>
          </w:p>
        </w:tc>
        <w:tc>
          <w:tcPr>
            <w:tcW w:w="846" w:type="pct"/>
            <w:gridSpan w:val="3"/>
            <w:vAlign w:val="center"/>
          </w:tcPr>
          <w:p w:rsidR="0024179B" w:rsidRPr="00DE4A3C" w:rsidRDefault="00DE4A3C" w:rsidP="008C190A">
            <w:pPr>
              <w:pStyle w:val="COMtbl-textCentred"/>
              <w:rPr>
                <w:highlight w:val="black"/>
              </w:rPr>
            </w:pPr>
            <w:r>
              <w:rPr>
                <w:noProof/>
                <w:color w:val="000000"/>
                <w:szCs w:val="18"/>
                <w:highlight w:val="black"/>
              </w:rPr>
              <w:t>'''''''''''''''''</w:t>
            </w:r>
          </w:p>
        </w:tc>
        <w:tc>
          <w:tcPr>
            <w:tcW w:w="769" w:type="pct"/>
            <w:gridSpan w:val="2"/>
            <w:vAlign w:val="center"/>
          </w:tcPr>
          <w:p w:rsidR="0024179B" w:rsidRPr="00DE4A3C" w:rsidRDefault="00DE4A3C" w:rsidP="008C190A">
            <w:pPr>
              <w:pStyle w:val="COMtbl-textCentred"/>
              <w:rPr>
                <w:highlight w:val="black"/>
              </w:rPr>
            </w:pPr>
            <w:r>
              <w:rPr>
                <w:noProof/>
                <w:color w:val="000000"/>
                <w:szCs w:val="18"/>
                <w:highlight w:val="black"/>
              </w:rPr>
              <w:t>''''''''''''''''''</w:t>
            </w:r>
          </w:p>
        </w:tc>
        <w:tc>
          <w:tcPr>
            <w:tcW w:w="510" w:type="pct"/>
            <w:gridSpan w:val="2"/>
            <w:vAlign w:val="center"/>
          </w:tcPr>
          <w:p w:rsidR="0024179B" w:rsidRPr="00DE4A3C" w:rsidRDefault="00DE4A3C" w:rsidP="008C190A">
            <w:pPr>
              <w:pStyle w:val="COMtbl-textCentred"/>
              <w:rPr>
                <w:highlight w:val="black"/>
                <w:vertAlign w:val="superscript"/>
              </w:rPr>
            </w:pPr>
            <w:r>
              <w:rPr>
                <w:noProof/>
                <w:color w:val="000000"/>
                <w:highlight w:val="black"/>
              </w:rPr>
              <w:t>'''''''</w:t>
            </w:r>
          </w:p>
        </w:tc>
        <w:tc>
          <w:tcPr>
            <w:tcW w:w="761" w:type="pct"/>
            <w:gridSpan w:val="2"/>
            <w:vAlign w:val="center"/>
          </w:tcPr>
          <w:p w:rsidR="0024179B" w:rsidRPr="00DE4A3C" w:rsidRDefault="00DE4A3C" w:rsidP="008C190A">
            <w:pPr>
              <w:pStyle w:val="COMtbl-textCentred"/>
              <w:rPr>
                <w:highlight w:val="black"/>
              </w:rPr>
            </w:pPr>
            <w:r>
              <w:rPr>
                <w:noProof/>
                <w:color w:val="000000"/>
                <w:szCs w:val="18"/>
                <w:highlight w:val="black"/>
              </w:rPr>
              <w:t>'''''''''</w:t>
            </w:r>
          </w:p>
        </w:tc>
        <w:tc>
          <w:tcPr>
            <w:tcW w:w="595" w:type="pct"/>
            <w:gridSpan w:val="2"/>
            <w:vAlign w:val="center"/>
          </w:tcPr>
          <w:p w:rsidR="0024179B" w:rsidRPr="00DE4A3C" w:rsidRDefault="00DE4A3C" w:rsidP="008C190A">
            <w:pPr>
              <w:pStyle w:val="COMtbl-textCentred"/>
              <w:rPr>
                <w:highlight w:val="black"/>
              </w:rPr>
            </w:pPr>
            <w:r>
              <w:rPr>
                <w:noProof/>
                <w:color w:val="000000"/>
                <w:szCs w:val="18"/>
                <w:highlight w:val="black"/>
              </w:rPr>
              <w:t>''''''''''</w:t>
            </w:r>
          </w:p>
        </w:tc>
        <w:tc>
          <w:tcPr>
            <w:tcW w:w="510" w:type="pct"/>
            <w:vAlign w:val="center"/>
          </w:tcPr>
          <w:p w:rsidR="0024179B" w:rsidRPr="00DE4A3C" w:rsidRDefault="00DE4A3C" w:rsidP="008C190A">
            <w:pPr>
              <w:pStyle w:val="COMtbl-textCentred"/>
              <w:rPr>
                <w:highlight w:val="black"/>
                <w:vertAlign w:val="superscript"/>
              </w:rPr>
            </w:pPr>
            <w:r>
              <w:rPr>
                <w:noProof/>
                <w:color w:val="000000"/>
                <w:highlight w:val="black"/>
              </w:rPr>
              <w:t>''''''''</w:t>
            </w:r>
          </w:p>
        </w:tc>
      </w:tr>
      <w:tr w:rsidR="0024179B" w:rsidRPr="00DF5A6E" w:rsidTr="00637EC8">
        <w:tc>
          <w:tcPr>
            <w:tcW w:w="5000" w:type="pct"/>
            <w:gridSpan w:val="13"/>
            <w:shd w:val="clear" w:color="auto" w:fill="auto"/>
            <w:vAlign w:val="center"/>
          </w:tcPr>
          <w:p w:rsidR="0024179B" w:rsidRPr="00DE4A3C" w:rsidRDefault="00DE4A3C" w:rsidP="008C190A">
            <w:pPr>
              <w:pStyle w:val="COMtbl-HEADLeftAligned"/>
              <w:rPr>
                <w:highlight w:val="black"/>
              </w:rPr>
            </w:pPr>
            <w:r>
              <w:rPr>
                <w:noProof/>
                <w:color w:val="000000"/>
                <w:highlight w:val="black"/>
              </w:rPr>
              <w:t>'''''''''''''''''' '''''''' '''''''''''''''''''''</w:t>
            </w:r>
          </w:p>
        </w:tc>
      </w:tr>
      <w:tr w:rsidR="00637EC8" w:rsidRPr="00DF5A6E" w:rsidTr="00637EC8">
        <w:tc>
          <w:tcPr>
            <w:tcW w:w="1009" w:type="pct"/>
            <w:shd w:val="clear" w:color="auto" w:fill="auto"/>
            <w:vAlign w:val="center"/>
          </w:tcPr>
          <w:p w:rsidR="0024179B" w:rsidRPr="00DF5A6E" w:rsidRDefault="0024179B" w:rsidP="008C190A">
            <w:pPr>
              <w:rPr>
                <w:color w:val="000000"/>
                <w:sz w:val="20"/>
                <w:szCs w:val="18"/>
              </w:rPr>
            </w:pPr>
            <w:proofErr w:type="spellStart"/>
            <w:r w:rsidRPr="00DF5A6E">
              <w:rPr>
                <w:rFonts w:ascii="Arial Narrow" w:hAnsi="Arial Narrow"/>
                <w:color w:val="000000"/>
                <w:sz w:val="20"/>
              </w:rPr>
              <w:t>GetGoal</w:t>
            </w:r>
            <w:proofErr w:type="spellEnd"/>
            <w:r w:rsidRPr="00DF5A6E">
              <w:rPr>
                <w:rFonts w:ascii="Arial Narrow" w:hAnsi="Arial Narrow"/>
                <w:color w:val="000000"/>
                <w:sz w:val="20"/>
              </w:rPr>
              <w:t>-X</w:t>
            </w:r>
          </w:p>
        </w:tc>
        <w:tc>
          <w:tcPr>
            <w:tcW w:w="846" w:type="pct"/>
            <w:gridSpan w:val="3"/>
            <w:vAlign w:val="center"/>
          </w:tcPr>
          <w:p w:rsidR="0024179B" w:rsidRPr="00DE4A3C" w:rsidRDefault="00DE4A3C" w:rsidP="008C190A">
            <w:pPr>
              <w:pStyle w:val="COMtbl-textCentred"/>
              <w:rPr>
                <w:szCs w:val="18"/>
                <w:highlight w:val="black"/>
              </w:rPr>
            </w:pPr>
            <w:r>
              <w:rPr>
                <w:noProof/>
                <w:color w:val="000000"/>
                <w:highlight w:val="black"/>
              </w:rPr>
              <w:t>''''''''''''''''</w:t>
            </w:r>
          </w:p>
        </w:tc>
        <w:tc>
          <w:tcPr>
            <w:tcW w:w="769" w:type="pct"/>
            <w:gridSpan w:val="2"/>
            <w:vAlign w:val="center"/>
          </w:tcPr>
          <w:p w:rsidR="0024179B" w:rsidRPr="00DE4A3C" w:rsidRDefault="00DE4A3C" w:rsidP="008C190A">
            <w:pPr>
              <w:pStyle w:val="COMtbl-textCentred"/>
              <w:rPr>
                <w:szCs w:val="18"/>
                <w:highlight w:val="black"/>
              </w:rPr>
            </w:pPr>
            <w:r>
              <w:rPr>
                <w:noProof/>
                <w:color w:val="000000"/>
                <w:highlight w:val="black"/>
              </w:rPr>
              <w:t>''''''''''''''</w:t>
            </w:r>
          </w:p>
        </w:tc>
        <w:tc>
          <w:tcPr>
            <w:tcW w:w="510" w:type="pct"/>
            <w:gridSpan w:val="2"/>
            <w:vAlign w:val="center"/>
          </w:tcPr>
          <w:p w:rsidR="0024179B" w:rsidRPr="00DE4A3C" w:rsidRDefault="00DE4A3C" w:rsidP="008C190A">
            <w:pPr>
              <w:pStyle w:val="COMtbl-textCentred"/>
              <w:rPr>
                <w:szCs w:val="18"/>
                <w:highlight w:val="black"/>
                <w:vertAlign w:val="superscript"/>
              </w:rPr>
            </w:pPr>
            <w:r>
              <w:rPr>
                <w:noProof/>
                <w:color w:val="000000"/>
                <w:highlight w:val="black"/>
              </w:rPr>
              <w:t>'''''''''</w:t>
            </w:r>
          </w:p>
        </w:tc>
        <w:tc>
          <w:tcPr>
            <w:tcW w:w="761" w:type="pct"/>
            <w:gridSpan w:val="2"/>
            <w:vAlign w:val="center"/>
          </w:tcPr>
          <w:p w:rsidR="0024179B" w:rsidRPr="00DE4A3C" w:rsidRDefault="00DE4A3C" w:rsidP="008C190A">
            <w:pPr>
              <w:pStyle w:val="COMtbl-textCentred"/>
              <w:rPr>
                <w:szCs w:val="18"/>
                <w:highlight w:val="black"/>
              </w:rPr>
            </w:pPr>
            <w:r>
              <w:rPr>
                <w:noProof/>
                <w:color w:val="000000"/>
                <w:highlight w:val="black"/>
              </w:rPr>
              <w:t>'''''''</w:t>
            </w:r>
          </w:p>
        </w:tc>
        <w:tc>
          <w:tcPr>
            <w:tcW w:w="595" w:type="pct"/>
            <w:gridSpan w:val="2"/>
            <w:vAlign w:val="center"/>
          </w:tcPr>
          <w:p w:rsidR="0024179B" w:rsidRPr="00DE4A3C" w:rsidRDefault="00DE4A3C" w:rsidP="008C190A">
            <w:pPr>
              <w:pStyle w:val="COMtbl-textCentred"/>
              <w:rPr>
                <w:szCs w:val="18"/>
                <w:highlight w:val="black"/>
              </w:rPr>
            </w:pPr>
            <w:r>
              <w:rPr>
                <w:noProof/>
                <w:color w:val="000000"/>
                <w:highlight w:val="black"/>
              </w:rPr>
              <w:t>''''''''</w:t>
            </w:r>
          </w:p>
        </w:tc>
        <w:tc>
          <w:tcPr>
            <w:tcW w:w="510" w:type="pct"/>
            <w:vAlign w:val="center"/>
          </w:tcPr>
          <w:p w:rsidR="0024179B" w:rsidRPr="00DE4A3C" w:rsidRDefault="00DE4A3C" w:rsidP="008C190A">
            <w:pPr>
              <w:pStyle w:val="COMtbl-textCentred"/>
              <w:rPr>
                <w:szCs w:val="18"/>
                <w:highlight w:val="black"/>
                <w:vertAlign w:val="superscript"/>
              </w:rPr>
            </w:pPr>
            <w:r>
              <w:rPr>
                <w:noProof/>
                <w:color w:val="000000"/>
                <w:highlight w:val="black"/>
              </w:rPr>
              <w:t>'''''''</w:t>
            </w:r>
          </w:p>
        </w:tc>
      </w:tr>
      <w:tr w:rsidR="0024179B" w:rsidRPr="00DF5A6E" w:rsidTr="00637EC8">
        <w:tc>
          <w:tcPr>
            <w:tcW w:w="5000" w:type="pct"/>
            <w:gridSpan w:val="13"/>
            <w:shd w:val="clear" w:color="auto" w:fill="auto"/>
            <w:vAlign w:val="center"/>
          </w:tcPr>
          <w:p w:rsidR="0024179B" w:rsidRPr="00DF5A6E" w:rsidRDefault="0024179B" w:rsidP="008C190A">
            <w:pPr>
              <w:pStyle w:val="COMtbl-textCentred"/>
              <w:jc w:val="left"/>
            </w:pPr>
            <w:proofErr w:type="spellStart"/>
            <w:r w:rsidRPr="00DF5A6E">
              <w:t>Lixisenatide</w:t>
            </w:r>
            <w:proofErr w:type="spellEnd"/>
            <w:r w:rsidRPr="00DF5A6E">
              <w:t xml:space="preserve"> versus </w:t>
            </w:r>
            <w:proofErr w:type="spellStart"/>
            <w:r w:rsidRPr="00DF5A6E">
              <w:t>exenatide</w:t>
            </w:r>
            <w:proofErr w:type="spellEnd"/>
            <w:r w:rsidRPr="00DF5A6E">
              <w:t xml:space="preserve"> via placebo (triple therapy with metformin and a sulfonylurea)</w:t>
            </w:r>
          </w:p>
        </w:tc>
      </w:tr>
      <w:tr w:rsidR="0024179B" w:rsidRPr="00DF5A6E" w:rsidTr="00637EC8">
        <w:tc>
          <w:tcPr>
            <w:tcW w:w="5000" w:type="pct"/>
            <w:gridSpan w:val="13"/>
            <w:shd w:val="clear" w:color="auto" w:fill="auto"/>
            <w:vAlign w:val="center"/>
          </w:tcPr>
          <w:p w:rsidR="0024179B" w:rsidRPr="00DF5A6E" w:rsidRDefault="0024179B" w:rsidP="008C190A">
            <w:pPr>
              <w:pStyle w:val="COMtbl-textCentred"/>
              <w:jc w:val="left"/>
            </w:pPr>
            <w:r w:rsidRPr="00DF5A6E">
              <w:t>Formal indirect comparisons are appropriately not presented</w:t>
            </w:r>
          </w:p>
        </w:tc>
      </w:tr>
    </w:tbl>
    <w:p w:rsidR="0024179B" w:rsidRPr="00DF5A6E" w:rsidRDefault="0024179B" w:rsidP="00637EC8">
      <w:pPr>
        <w:pStyle w:val="COMTbl-foot"/>
        <w:ind w:left="720"/>
        <w:rPr>
          <w:szCs w:val="18"/>
        </w:rPr>
      </w:pPr>
      <w:r w:rsidRPr="00DF5A6E">
        <w:rPr>
          <w:szCs w:val="18"/>
        </w:rPr>
        <w:t xml:space="preserve">Abbreviations: </w:t>
      </w:r>
      <w:proofErr w:type="spellStart"/>
      <w:r w:rsidRPr="00DF5A6E">
        <w:rPr>
          <w:szCs w:val="18"/>
        </w:rPr>
        <w:t>bd</w:t>
      </w:r>
      <w:proofErr w:type="spellEnd"/>
      <w:r w:rsidRPr="00DF5A6E">
        <w:rPr>
          <w:szCs w:val="18"/>
        </w:rPr>
        <w:t xml:space="preserve">, twice daily; MET, metformin; NE, not estimated; RD, risk difference; RR, relative risk; SD, standard deviation; SU, sulfonylurea; ∆, change </w:t>
      </w:r>
    </w:p>
    <w:p w:rsidR="0024179B" w:rsidRPr="00DF5A6E" w:rsidRDefault="0024179B" w:rsidP="00637EC8">
      <w:pPr>
        <w:pStyle w:val="COMTbl-foot"/>
        <w:ind w:firstLine="720"/>
        <w:rPr>
          <w:szCs w:val="18"/>
        </w:rPr>
      </w:pPr>
      <w:proofErr w:type="gramStart"/>
      <w:r w:rsidRPr="00DF5A6E">
        <w:rPr>
          <w:szCs w:val="18"/>
          <w:vertAlign w:val="superscript"/>
        </w:rPr>
        <w:t>a</w:t>
      </w:r>
      <w:proofErr w:type="gramEnd"/>
      <w:r w:rsidRPr="00DF5A6E">
        <w:rPr>
          <w:szCs w:val="18"/>
        </w:rPr>
        <w:t xml:space="preserve"> Duration of follow-up: 24 weeks</w:t>
      </w:r>
    </w:p>
    <w:p w:rsidR="0024179B" w:rsidRPr="00DF5A6E" w:rsidRDefault="0024179B" w:rsidP="00637EC8">
      <w:pPr>
        <w:pStyle w:val="COMTbl-foot"/>
        <w:ind w:firstLine="720"/>
        <w:rPr>
          <w:szCs w:val="18"/>
        </w:rPr>
      </w:pPr>
      <w:proofErr w:type="gramStart"/>
      <w:r w:rsidRPr="00DF5A6E">
        <w:rPr>
          <w:szCs w:val="18"/>
          <w:vertAlign w:val="superscript"/>
        </w:rPr>
        <w:t>b</w:t>
      </w:r>
      <w:proofErr w:type="gramEnd"/>
      <w:r w:rsidRPr="00DF5A6E">
        <w:rPr>
          <w:szCs w:val="18"/>
        </w:rPr>
        <w:t xml:space="preserve"> Calculated by multiplying the SE from the ANCOVA model by the square root of the number of patients</w:t>
      </w:r>
    </w:p>
    <w:p w:rsidR="0024179B" w:rsidRPr="00DF5A6E" w:rsidRDefault="0024179B" w:rsidP="00637EC8">
      <w:pPr>
        <w:pStyle w:val="COMTbl-foot"/>
        <w:ind w:firstLine="720"/>
        <w:rPr>
          <w:szCs w:val="18"/>
        </w:rPr>
      </w:pPr>
      <w:proofErr w:type="gramStart"/>
      <w:r w:rsidRPr="00DF5A6E">
        <w:rPr>
          <w:szCs w:val="18"/>
          <w:vertAlign w:val="superscript"/>
        </w:rPr>
        <w:t>c</w:t>
      </w:r>
      <w:proofErr w:type="gramEnd"/>
      <w:r w:rsidRPr="00DF5A6E">
        <w:rPr>
          <w:szCs w:val="18"/>
          <w:vertAlign w:val="superscript"/>
        </w:rPr>
        <w:t xml:space="preserve"> </w:t>
      </w:r>
      <w:r w:rsidRPr="00DF5A6E">
        <w:rPr>
          <w:szCs w:val="18"/>
        </w:rPr>
        <w:t>Duration of follow-up: Median of 80 weeks</w:t>
      </w:r>
    </w:p>
    <w:p w:rsidR="0024179B" w:rsidRPr="00DF5A6E" w:rsidRDefault="0024179B" w:rsidP="00637EC8">
      <w:pPr>
        <w:pStyle w:val="COMTbl-foot"/>
        <w:ind w:left="720"/>
        <w:rPr>
          <w:szCs w:val="18"/>
        </w:rPr>
      </w:pPr>
      <w:proofErr w:type="gramStart"/>
      <w:r w:rsidRPr="00DF5A6E">
        <w:rPr>
          <w:szCs w:val="18"/>
          <w:vertAlign w:val="superscript"/>
        </w:rPr>
        <w:t>d</w:t>
      </w:r>
      <w:proofErr w:type="gramEnd"/>
      <w:r w:rsidRPr="00DF5A6E">
        <w:rPr>
          <w:szCs w:val="18"/>
        </w:rPr>
        <w:t xml:space="preserve"> No formal statistical testing for secondary outcomes as per the CSR. The submission does not present post-hoc statistical testing</w:t>
      </w:r>
    </w:p>
    <w:p w:rsidR="0024179B" w:rsidRDefault="0024179B" w:rsidP="0024179B">
      <w:pPr>
        <w:jc w:val="both"/>
        <w:rPr>
          <w:rFonts w:ascii="Arial" w:hAnsi="Arial"/>
          <w:b/>
          <w:i/>
          <w:sz w:val="22"/>
          <w:szCs w:val="22"/>
        </w:rPr>
      </w:pPr>
    </w:p>
    <w:p w:rsidR="0024179B" w:rsidRPr="002554B7" w:rsidRDefault="0024179B" w:rsidP="0024179B">
      <w:pPr>
        <w:pStyle w:val="ListParagraph"/>
        <w:numPr>
          <w:ilvl w:val="1"/>
          <w:numId w:val="25"/>
        </w:numPr>
        <w:jc w:val="both"/>
        <w:rPr>
          <w:rFonts w:ascii="Arial" w:hAnsi="Arial"/>
          <w:sz w:val="22"/>
          <w:szCs w:val="22"/>
        </w:rPr>
      </w:pPr>
      <w:r w:rsidRPr="002554B7">
        <w:rPr>
          <w:rFonts w:ascii="Arial" w:hAnsi="Arial"/>
          <w:sz w:val="22"/>
          <w:szCs w:val="22"/>
        </w:rPr>
        <w:t xml:space="preserve">On the basis of direct and indirect evidence presented in the submission, the comparison of </w:t>
      </w:r>
      <w:proofErr w:type="spellStart"/>
      <w:r w:rsidRPr="002554B7">
        <w:rPr>
          <w:rFonts w:ascii="Arial" w:hAnsi="Arial"/>
          <w:sz w:val="22"/>
          <w:szCs w:val="22"/>
        </w:rPr>
        <w:t>lixisenatide</w:t>
      </w:r>
      <w:proofErr w:type="spellEnd"/>
      <w:r w:rsidRPr="002554B7">
        <w:rPr>
          <w:rFonts w:ascii="Arial" w:hAnsi="Arial"/>
          <w:sz w:val="22"/>
          <w:szCs w:val="22"/>
        </w:rPr>
        <w:t xml:space="preserve"> and </w:t>
      </w:r>
      <w:proofErr w:type="spellStart"/>
      <w:r w:rsidRPr="002554B7">
        <w:rPr>
          <w:rFonts w:ascii="Arial" w:hAnsi="Arial"/>
          <w:sz w:val="22"/>
          <w:szCs w:val="22"/>
        </w:rPr>
        <w:t>exenatide</w:t>
      </w:r>
      <w:proofErr w:type="spellEnd"/>
      <w:r w:rsidRPr="002554B7">
        <w:rPr>
          <w:rFonts w:ascii="Arial" w:hAnsi="Arial"/>
          <w:sz w:val="22"/>
          <w:szCs w:val="22"/>
        </w:rPr>
        <w:t xml:space="preserve"> resulted in:</w:t>
      </w:r>
    </w:p>
    <w:p w:rsidR="0024179B" w:rsidRPr="004776DC" w:rsidRDefault="004776DC" w:rsidP="00D92187">
      <w:pPr>
        <w:pStyle w:val="ListParagraph"/>
        <w:numPr>
          <w:ilvl w:val="0"/>
          <w:numId w:val="42"/>
        </w:numPr>
        <w:ind w:left="1134" w:hanging="425"/>
        <w:jc w:val="both"/>
        <w:rPr>
          <w:rFonts w:ascii="Arial" w:hAnsi="Arial"/>
          <w:b/>
          <w:color w:val="FF00FF"/>
          <w:sz w:val="22"/>
          <w:szCs w:val="22"/>
        </w:rPr>
      </w:pPr>
      <w:r>
        <w:rPr>
          <w:rFonts w:ascii="Arial" w:hAnsi="Arial"/>
          <w:sz w:val="22"/>
          <w:szCs w:val="22"/>
        </w:rPr>
        <w:t xml:space="preserve"> An approximate</w:t>
      </w:r>
      <w:r w:rsidR="0024179B" w:rsidRPr="002554B7">
        <w:rPr>
          <w:rFonts w:ascii="Arial" w:hAnsi="Arial"/>
          <w:sz w:val="22"/>
          <w:szCs w:val="22"/>
        </w:rPr>
        <w:t xml:space="preserve"> 0.17% to </w:t>
      </w:r>
      <w:r w:rsidR="00DE4A3C">
        <w:rPr>
          <w:rFonts w:ascii="Arial" w:hAnsi="Arial"/>
          <w:noProof/>
          <w:color w:val="000000"/>
          <w:sz w:val="22"/>
          <w:szCs w:val="22"/>
          <w:highlight w:val="black"/>
        </w:rPr>
        <w:t>''''''''''''''''</w:t>
      </w:r>
      <w:r w:rsidR="0024179B" w:rsidRPr="002554B7">
        <w:rPr>
          <w:rFonts w:ascii="Arial" w:hAnsi="Arial"/>
          <w:sz w:val="22"/>
          <w:szCs w:val="22"/>
        </w:rPr>
        <w:t xml:space="preserve"> smaller reduction in HbA1c over a maximum duration of follow-up of 24 week. The submission considered that a reduction of 0.4% is clinically significant and that </w:t>
      </w:r>
      <w:proofErr w:type="spellStart"/>
      <w:r w:rsidR="0024179B" w:rsidRPr="002554B7">
        <w:rPr>
          <w:rFonts w:ascii="Arial" w:hAnsi="Arial"/>
          <w:sz w:val="22"/>
          <w:szCs w:val="22"/>
        </w:rPr>
        <w:t>lixisenatide</w:t>
      </w:r>
      <w:proofErr w:type="spellEnd"/>
      <w:r w:rsidR="0024179B" w:rsidRPr="002554B7">
        <w:rPr>
          <w:rFonts w:ascii="Arial" w:hAnsi="Arial"/>
          <w:sz w:val="22"/>
          <w:szCs w:val="22"/>
        </w:rPr>
        <w:t xml:space="preserve"> is equivalent to </w:t>
      </w:r>
      <w:proofErr w:type="spellStart"/>
      <w:r w:rsidR="0024179B" w:rsidRPr="002554B7">
        <w:rPr>
          <w:rFonts w:ascii="Arial" w:hAnsi="Arial"/>
          <w:sz w:val="22"/>
          <w:szCs w:val="22"/>
        </w:rPr>
        <w:t>exenatide</w:t>
      </w:r>
      <w:proofErr w:type="spellEnd"/>
      <w:r w:rsidR="0024179B" w:rsidRPr="002554B7">
        <w:rPr>
          <w:rFonts w:ascii="Arial" w:hAnsi="Arial"/>
          <w:sz w:val="22"/>
          <w:szCs w:val="22"/>
        </w:rPr>
        <w:t>.</w:t>
      </w:r>
      <w:r>
        <w:rPr>
          <w:rFonts w:ascii="Arial" w:hAnsi="Arial"/>
          <w:sz w:val="22"/>
          <w:szCs w:val="22"/>
        </w:rPr>
        <w:t xml:space="preserve"> </w:t>
      </w:r>
    </w:p>
    <w:p w:rsidR="0024179B" w:rsidRPr="002554B7" w:rsidRDefault="0024179B" w:rsidP="0024179B">
      <w:pPr>
        <w:pStyle w:val="ListParagraph"/>
        <w:jc w:val="both"/>
        <w:rPr>
          <w:rFonts w:ascii="Arial" w:hAnsi="Arial"/>
          <w:sz w:val="22"/>
          <w:szCs w:val="22"/>
        </w:rPr>
      </w:pPr>
    </w:p>
    <w:p w:rsidR="0024179B" w:rsidRPr="00D92187" w:rsidRDefault="0024179B" w:rsidP="00D92187">
      <w:pPr>
        <w:ind w:left="709"/>
        <w:jc w:val="both"/>
        <w:rPr>
          <w:rFonts w:ascii="Arial" w:hAnsi="Arial"/>
          <w:sz w:val="22"/>
          <w:szCs w:val="22"/>
        </w:rPr>
      </w:pPr>
      <w:r w:rsidRPr="00D92187">
        <w:rPr>
          <w:rFonts w:ascii="Arial" w:hAnsi="Arial"/>
          <w:sz w:val="22"/>
          <w:szCs w:val="22"/>
        </w:rPr>
        <w:t xml:space="preserve">On the basis of direct evidence presented in the submission, for every 100 patients treated with </w:t>
      </w:r>
      <w:proofErr w:type="spellStart"/>
      <w:r w:rsidRPr="00D92187">
        <w:rPr>
          <w:rFonts w:ascii="Arial" w:hAnsi="Arial"/>
          <w:sz w:val="22"/>
          <w:szCs w:val="22"/>
        </w:rPr>
        <w:t>lixisenatide</w:t>
      </w:r>
      <w:proofErr w:type="spellEnd"/>
      <w:r w:rsidRPr="00D92187">
        <w:rPr>
          <w:rFonts w:ascii="Arial" w:hAnsi="Arial"/>
          <w:sz w:val="22"/>
          <w:szCs w:val="22"/>
        </w:rPr>
        <w:t xml:space="preserve"> plus metformin in comparison to </w:t>
      </w:r>
      <w:proofErr w:type="spellStart"/>
      <w:r w:rsidRPr="00D92187">
        <w:rPr>
          <w:rFonts w:ascii="Arial" w:hAnsi="Arial"/>
          <w:sz w:val="22"/>
          <w:szCs w:val="22"/>
        </w:rPr>
        <w:t>exenatide</w:t>
      </w:r>
      <w:proofErr w:type="spellEnd"/>
      <w:r w:rsidRPr="00D92187">
        <w:rPr>
          <w:rFonts w:ascii="Arial" w:hAnsi="Arial"/>
          <w:sz w:val="22"/>
          <w:szCs w:val="22"/>
        </w:rPr>
        <w:t xml:space="preserve"> plus metformin;</w:t>
      </w:r>
    </w:p>
    <w:p w:rsidR="0024179B" w:rsidRPr="002554B7" w:rsidRDefault="0024179B" w:rsidP="00D92187">
      <w:pPr>
        <w:pStyle w:val="ListParagraph"/>
        <w:numPr>
          <w:ilvl w:val="0"/>
          <w:numId w:val="41"/>
        </w:numPr>
        <w:ind w:left="1134" w:hanging="425"/>
        <w:jc w:val="both"/>
        <w:rPr>
          <w:rFonts w:ascii="Arial" w:hAnsi="Arial"/>
          <w:sz w:val="22"/>
          <w:szCs w:val="22"/>
        </w:rPr>
      </w:pPr>
      <w:r w:rsidRPr="002554B7">
        <w:rPr>
          <w:rFonts w:ascii="Arial" w:hAnsi="Arial"/>
          <w:sz w:val="22"/>
          <w:szCs w:val="22"/>
        </w:rPr>
        <w:t>Approximately 9 fewer patients would have nausea over a median duration of exposure of 80 weeks.</w:t>
      </w:r>
    </w:p>
    <w:p w:rsidR="0024179B" w:rsidRPr="002554B7" w:rsidRDefault="0024179B" w:rsidP="00D92187">
      <w:pPr>
        <w:pStyle w:val="ListParagraph"/>
        <w:numPr>
          <w:ilvl w:val="0"/>
          <w:numId w:val="41"/>
        </w:numPr>
        <w:ind w:left="1134" w:hanging="425"/>
        <w:jc w:val="both"/>
        <w:rPr>
          <w:rFonts w:ascii="Arial" w:hAnsi="Arial"/>
          <w:sz w:val="22"/>
          <w:szCs w:val="22"/>
        </w:rPr>
      </w:pPr>
      <w:r w:rsidRPr="002554B7">
        <w:rPr>
          <w:rFonts w:ascii="Arial" w:hAnsi="Arial"/>
          <w:sz w:val="22"/>
          <w:szCs w:val="22"/>
        </w:rPr>
        <w:t>Approximately 10 fewer patients would have symptomatic hypoglycaemia (low blood sugar level) over a median duration of exposure of 80 weeks.</w:t>
      </w:r>
    </w:p>
    <w:p w:rsidR="0024179B" w:rsidRPr="002554B7" w:rsidRDefault="0024179B" w:rsidP="00D92187">
      <w:pPr>
        <w:pStyle w:val="ListParagraph"/>
        <w:numPr>
          <w:ilvl w:val="0"/>
          <w:numId w:val="41"/>
        </w:numPr>
        <w:ind w:left="1134" w:hanging="425"/>
        <w:jc w:val="both"/>
        <w:rPr>
          <w:rFonts w:ascii="Arial" w:hAnsi="Arial"/>
          <w:sz w:val="22"/>
          <w:szCs w:val="22"/>
        </w:rPr>
      </w:pPr>
      <w:r w:rsidRPr="002554B7">
        <w:rPr>
          <w:rFonts w:ascii="Arial" w:hAnsi="Arial"/>
          <w:sz w:val="22"/>
          <w:szCs w:val="22"/>
        </w:rPr>
        <w:lastRenderedPageBreak/>
        <w:t>Approximately 7 additional patients would have injection site reactions over a median duration of exposure of 80 weeks.</w:t>
      </w:r>
      <w:r w:rsidR="004776DC">
        <w:rPr>
          <w:rFonts w:ascii="Arial" w:hAnsi="Arial"/>
          <w:sz w:val="22"/>
          <w:szCs w:val="22"/>
        </w:rPr>
        <w:t xml:space="preserve"> </w:t>
      </w:r>
    </w:p>
    <w:p w:rsidR="0024179B" w:rsidRDefault="0024179B" w:rsidP="0024179B">
      <w:pPr>
        <w:pStyle w:val="ListParagraph"/>
        <w:ind w:left="709"/>
        <w:jc w:val="both"/>
        <w:rPr>
          <w:rFonts w:ascii="Arial" w:hAnsi="Arial"/>
          <w:sz w:val="22"/>
          <w:szCs w:val="22"/>
        </w:rPr>
      </w:pPr>
    </w:p>
    <w:p w:rsidR="004776DC" w:rsidRPr="00BB7EC3" w:rsidRDefault="004776DC" w:rsidP="004776DC">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24179B" w:rsidRDefault="0024179B" w:rsidP="0024179B">
      <w:pPr>
        <w:jc w:val="both"/>
        <w:rPr>
          <w:rFonts w:ascii="Arial" w:hAnsi="Arial"/>
          <w:b/>
          <w:i/>
          <w:sz w:val="22"/>
          <w:szCs w:val="22"/>
        </w:rPr>
      </w:pPr>
    </w:p>
    <w:p w:rsidR="0024179B" w:rsidRPr="00882085" w:rsidRDefault="0024179B" w:rsidP="0024179B">
      <w:pPr>
        <w:jc w:val="both"/>
        <w:rPr>
          <w:rFonts w:ascii="Arial" w:hAnsi="Arial"/>
          <w:b/>
          <w:i/>
          <w:sz w:val="22"/>
          <w:szCs w:val="22"/>
        </w:rPr>
      </w:pPr>
      <w:r w:rsidRPr="00882085">
        <w:rPr>
          <w:rFonts w:ascii="Arial" w:hAnsi="Arial"/>
          <w:b/>
          <w:i/>
          <w:sz w:val="22"/>
          <w:szCs w:val="22"/>
        </w:rPr>
        <w:t>Clinical claim</w:t>
      </w:r>
    </w:p>
    <w:p w:rsidR="0024179B" w:rsidRPr="00882085" w:rsidRDefault="0024179B" w:rsidP="0024179B">
      <w:pPr>
        <w:ind w:left="720" w:hanging="720"/>
        <w:jc w:val="both"/>
        <w:rPr>
          <w:rFonts w:ascii="Arial" w:hAnsi="Arial"/>
          <w:sz w:val="22"/>
          <w:szCs w:val="22"/>
        </w:rPr>
      </w:pPr>
    </w:p>
    <w:p w:rsidR="00C6278E" w:rsidRDefault="004776DC" w:rsidP="0024179B">
      <w:pPr>
        <w:pStyle w:val="ListParagraph"/>
        <w:numPr>
          <w:ilvl w:val="1"/>
          <w:numId w:val="25"/>
        </w:numPr>
        <w:jc w:val="both"/>
        <w:rPr>
          <w:rFonts w:ascii="Arial" w:hAnsi="Arial"/>
          <w:sz w:val="22"/>
          <w:szCs w:val="22"/>
        </w:rPr>
      </w:pPr>
      <w:r>
        <w:rPr>
          <w:rFonts w:ascii="Arial" w:hAnsi="Arial"/>
          <w:sz w:val="22"/>
          <w:szCs w:val="22"/>
        </w:rPr>
        <w:t>The submission described</w:t>
      </w:r>
      <w:r w:rsidR="0024179B" w:rsidRPr="002554B7">
        <w:rPr>
          <w:rFonts w:ascii="Arial" w:hAnsi="Arial"/>
          <w:sz w:val="22"/>
          <w:szCs w:val="22"/>
        </w:rPr>
        <w:t xml:space="preserve"> </w:t>
      </w:r>
      <w:proofErr w:type="spellStart"/>
      <w:r w:rsidR="0024179B" w:rsidRPr="002554B7">
        <w:rPr>
          <w:rFonts w:ascii="Arial" w:hAnsi="Arial"/>
          <w:sz w:val="22"/>
          <w:szCs w:val="22"/>
        </w:rPr>
        <w:t>lixisenatide</w:t>
      </w:r>
      <w:proofErr w:type="spellEnd"/>
      <w:r w:rsidR="0024179B" w:rsidRPr="002554B7">
        <w:rPr>
          <w:rFonts w:ascii="Arial" w:hAnsi="Arial"/>
          <w:sz w:val="22"/>
          <w:szCs w:val="22"/>
        </w:rPr>
        <w:t xml:space="preserve"> as clinically equivalent in terms of comparative effectiveness and as having a similar safety and tolerability profile compared with </w:t>
      </w:r>
      <w:proofErr w:type="spellStart"/>
      <w:r w:rsidR="0024179B" w:rsidRPr="002554B7">
        <w:rPr>
          <w:rFonts w:ascii="Arial" w:hAnsi="Arial"/>
          <w:sz w:val="22"/>
          <w:szCs w:val="22"/>
        </w:rPr>
        <w:t>exenatide</w:t>
      </w:r>
      <w:proofErr w:type="spellEnd"/>
      <w:r w:rsidR="0024179B" w:rsidRPr="002554B7">
        <w:rPr>
          <w:rFonts w:ascii="Arial" w:hAnsi="Arial"/>
          <w:sz w:val="22"/>
          <w:szCs w:val="22"/>
        </w:rPr>
        <w:t>, on a background of metformin, alone or in combination a sulfonyl</w:t>
      </w:r>
      <w:r>
        <w:rPr>
          <w:rFonts w:ascii="Arial" w:hAnsi="Arial"/>
          <w:sz w:val="22"/>
          <w:szCs w:val="22"/>
        </w:rPr>
        <w:t xml:space="preserve">urea. </w:t>
      </w:r>
    </w:p>
    <w:p w:rsidR="00C6278E" w:rsidRDefault="00C6278E" w:rsidP="00C6278E">
      <w:pPr>
        <w:pStyle w:val="ListParagraph"/>
        <w:jc w:val="both"/>
        <w:rPr>
          <w:rFonts w:ascii="Arial" w:hAnsi="Arial"/>
          <w:sz w:val="22"/>
          <w:szCs w:val="22"/>
        </w:rPr>
      </w:pPr>
    </w:p>
    <w:p w:rsidR="0024179B" w:rsidRPr="00C6278E" w:rsidRDefault="004776DC" w:rsidP="0024179B">
      <w:pPr>
        <w:pStyle w:val="ListParagraph"/>
        <w:numPr>
          <w:ilvl w:val="1"/>
          <w:numId w:val="25"/>
        </w:numPr>
        <w:jc w:val="both"/>
        <w:rPr>
          <w:rFonts w:ascii="Arial" w:hAnsi="Arial"/>
          <w:sz w:val="22"/>
          <w:szCs w:val="22"/>
        </w:rPr>
      </w:pPr>
      <w:r w:rsidRPr="00C6278E">
        <w:rPr>
          <w:rFonts w:ascii="Arial" w:hAnsi="Arial"/>
          <w:sz w:val="22"/>
          <w:szCs w:val="22"/>
        </w:rPr>
        <w:t>The submission also claimed</w:t>
      </w:r>
      <w:r w:rsidR="0024179B" w:rsidRPr="00C6278E">
        <w:rPr>
          <w:rFonts w:ascii="Arial" w:hAnsi="Arial"/>
          <w:sz w:val="22"/>
          <w:szCs w:val="22"/>
        </w:rPr>
        <w:t xml:space="preserve"> that in the head-to-head trial, fewer patients treated with </w:t>
      </w:r>
      <w:proofErr w:type="spellStart"/>
      <w:r w:rsidR="0024179B" w:rsidRPr="00C6278E">
        <w:rPr>
          <w:rFonts w:ascii="Arial" w:hAnsi="Arial"/>
          <w:sz w:val="22"/>
          <w:szCs w:val="22"/>
        </w:rPr>
        <w:t>lixisenatide</w:t>
      </w:r>
      <w:proofErr w:type="spellEnd"/>
      <w:r w:rsidR="0024179B" w:rsidRPr="00C6278E">
        <w:rPr>
          <w:rFonts w:ascii="Arial" w:hAnsi="Arial"/>
          <w:sz w:val="22"/>
          <w:szCs w:val="22"/>
        </w:rPr>
        <w:t xml:space="preserve"> experienced nausea, hypoglycaemia and symptomatic hypoglycaemic events than patients treated with </w:t>
      </w:r>
      <w:proofErr w:type="spellStart"/>
      <w:r w:rsidR="0024179B" w:rsidRPr="00C6278E">
        <w:rPr>
          <w:rFonts w:ascii="Arial" w:hAnsi="Arial"/>
          <w:sz w:val="22"/>
          <w:szCs w:val="22"/>
        </w:rPr>
        <w:t>exenatide</w:t>
      </w:r>
      <w:proofErr w:type="spellEnd"/>
      <w:r w:rsidR="0024179B" w:rsidRPr="00C6278E">
        <w:rPr>
          <w:rFonts w:ascii="Arial" w:hAnsi="Arial"/>
          <w:sz w:val="22"/>
          <w:szCs w:val="22"/>
        </w:rPr>
        <w:t>. These claims are not statistically supported and therefore the ESC did not accept the overall claim of non-inferiority based on the evidence presented in the submission.</w:t>
      </w:r>
      <w:r w:rsidRPr="00C6278E">
        <w:rPr>
          <w:rFonts w:ascii="Arial" w:hAnsi="Arial"/>
          <w:sz w:val="22"/>
          <w:szCs w:val="22"/>
        </w:rPr>
        <w:t xml:space="preserve"> </w:t>
      </w:r>
    </w:p>
    <w:p w:rsidR="0080682D" w:rsidRPr="002D512D" w:rsidRDefault="0080682D" w:rsidP="0080682D">
      <w:pPr>
        <w:pStyle w:val="ListParagraph"/>
        <w:jc w:val="both"/>
        <w:rPr>
          <w:rFonts w:ascii="Arial" w:hAnsi="Arial"/>
          <w:sz w:val="22"/>
          <w:szCs w:val="22"/>
        </w:rPr>
      </w:pPr>
    </w:p>
    <w:p w:rsidR="0024179B" w:rsidRPr="00C6278E" w:rsidRDefault="0024179B" w:rsidP="0024179B">
      <w:pPr>
        <w:pStyle w:val="ListParagraph"/>
        <w:numPr>
          <w:ilvl w:val="1"/>
          <w:numId w:val="25"/>
        </w:numPr>
        <w:jc w:val="both"/>
        <w:rPr>
          <w:rFonts w:ascii="Arial" w:hAnsi="Arial"/>
          <w:sz w:val="22"/>
          <w:szCs w:val="22"/>
        </w:rPr>
      </w:pPr>
      <w:proofErr w:type="spellStart"/>
      <w:r w:rsidRPr="00C6278E">
        <w:rPr>
          <w:rFonts w:ascii="Arial" w:hAnsi="Arial"/>
          <w:sz w:val="22"/>
          <w:szCs w:val="22"/>
        </w:rPr>
        <w:t>GetGoal</w:t>
      </w:r>
      <w:proofErr w:type="spellEnd"/>
      <w:r w:rsidRPr="00C6278E">
        <w:rPr>
          <w:rFonts w:ascii="Arial" w:hAnsi="Arial"/>
          <w:sz w:val="22"/>
          <w:szCs w:val="22"/>
        </w:rPr>
        <w:t>-X d</w:t>
      </w:r>
      <w:r w:rsidR="00F42378">
        <w:rPr>
          <w:rFonts w:ascii="Arial" w:hAnsi="Arial"/>
          <w:sz w:val="22"/>
          <w:szCs w:val="22"/>
        </w:rPr>
        <w:t>id</w:t>
      </w:r>
      <w:r w:rsidRPr="00C6278E">
        <w:rPr>
          <w:rFonts w:ascii="Arial" w:hAnsi="Arial"/>
          <w:sz w:val="22"/>
          <w:szCs w:val="22"/>
        </w:rPr>
        <w:t xml:space="preserve"> not provide conclusive evidence of non-inferiority of </w:t>
      </w:r>
      <w:proofErr w:type="spellStart"/>
      <w:r w:rsidRPr="00C6278E">
        <w:rPr>
          <w:rFonts w:ascii="Arial" w:hAnsi="Arial"/>
          <w:sz w:val="22"/>
          <w:szCs w:val="22"/>
        </w:rPr>
        <w:t>lixisenatide</w:t>
      </w:r>
      <w:proofErr w:type="spellEnd"/>
      <w:r w:rsidRPr="00C6278E">
        <w:rPr>
          <w:rFonts w:ascii="Arial" w:hAnsi="Arial"/>
          <w:sz w:val="22"/>
          <w:szCs w:val="22"/>
        </w:rPr>
        <w:t xml:space="preserve"> versus </w:t>
      </w:r>
      <w:proofErr w:type="spellStart"/>
      <w:r w:rsidRPr="00C6278E">
        <w:rPr>
          <w:rFonts w:ascii="Arial" w:hAnsi="Arial"/>
          <w:sz w:val="22"/>
          <w:szCs w:val="22"/>
        </w:rPr>
        <w:t>exenatide</w:t>
      </w:r>
      <w:proofErr w:type="spellEnd"/>
      <w:r w:rsidRPr="00C6278E">
        <w:rPr>
          <w:rFonts w:ascii="Arial" w:hAnsi="Arial"/>
          <w:sz w:val="22"/>
          <w:szCs w:val="22"/>
        </w:rPr>
        <w:t xml:space="preserve">, when used in as dual therapy in combination with metformin. The ESC noted that based on the primary efficacy outcome of mean change in </w:t>
      </w:r>
      <w:r w:rsidR="007E0A41" w:rsidRPr="00C6278E">
        <w:rPr>
          <w:rFonts w:ascii="Arial" w:hAnsi="Arial"/>
          <w:sz w:val="22"/>
          <w:szCs w:val="22"/>
        </w:rPr>
        <w:t>HbA1c (</w:t>
      </w:r>
      <w:r w:rsidRPr="00C6278E">
        <w:rPr>
          <w:rFonts w:ascii="Arial" w:hAnsi="Arial"/>
          <w:sz w:val="22"/>
          <w:szCs w:val="22"/>
        </w:rPr>
        <w:t xml:space="preserve">%) from baseline (a 0.17 difference favouring </w:t>
      </w:r>
      <w:proofErr w:type="spellStart"/>
      <w:r w:rsidRPr="00C6278E">
        <w:rPr>
          <w:rFonts w:ascii="Arial" w:hAnsi="Arial"/>
          <w:sz w:val="22"/>
          <w:szCs w:val="22"/>
        </w:rPr>
        <w:t>exenatide</w:t>
      </w:r>
      <w:proofErr w:type="spellEnd"/>
      <w:r w:rsidRPr="00C6278E">
        <w:rPr>
          <w:rFonts w:ascii="Arial" w:hAnsi="Arial"/>
          <w:sz w:val="22"/>
          <w:szCs w:val="22"/>
        </w:rPr>
        <w:t xml:space="preserve"> with the upper bound of the 95% confidence interval being 0.297)</w:t>
      </w:r>
      <w:r w:rsidR="007E0A41" w:rsidRPr="00C6278E">
        <w:rPr>
          <w:rFonts w:ascii="Arial" w:hAnsi="Arial"/>
          <w:sz w:val="22"/>
          <w:szCs w:val="22"/>
        </w:rPr>
        <w:t xml:space="preserve">, </w:t>
      </w:r>
      <w:proofErr w:type="spellStart"/>
      <w:r w:rsidR="007E0A41" w:rsidRPr="00C6278E">
        <w:rPr>
          <w:rFonts w:ascii="Arial" w:hAnsi="Arial"/>
          <w:sz w:val="22"/>
          <w:szCs w:val="22"/>
        </w:rPr>
        <w:t>lixisenatide</w:t>
      </w:r>
      <w:proofErr w:type="spellEnd"/>
      <w:r w:rsidRPr="00C6278E">
        <w:rPr>
          <w:rFonts w:ascii="Arial" w:hAnsi="Arial"/>
          <w:sz w:val="22"/>
          <w:szCs w:val="22"/>
        </w:rPr>
        <w:t xml:space="preserve"> is non inferior to </w:t>
      </w:r>
      <w:proofErr w:type="spellStart"/>
      <w:r w:rsidRPr="00C6278E">
        <w:rPr>
          <w:rFonts w:ascii="Arial" w:hAnsi="Arial"/>
          <w:sz w:val="22"/>
          <w:szCs w:val="22"/>
        </w:rPr>
        <w:t>exenatide</w:t>
      </w:r>
      <w:proofErr w:type="spellEnd"/>
      <w:r w:rsidRPr="00C6278E">
        <w:rPr>
          <w:rFonts w:ascii="Arial" w:hAnsi="Arial"/>
          <w:sz w:val="22"/>
          <w:szCs w:val="22"/>
        </w:rPr>
        <w:t xml:space="preserve"> using a minimal clinically important difference (MCID) margin of 0.4, the 95% confidence interval does not include the null and so the results of </w:t>
      </w:r>
      <w:proofErr w:type="spellStart"/>
      <w:r w:rsidRPr="00C6278E">
        <w:rPr>
          <w:rFonts w:ascii="Arial" w:hAnsi="Arial"/>
          <w:sz w:val="22"/>
          <w:szCs w:val="22"/>
        </w:rPr>
        <w:t>GetGoal</w:t>
      </w:r>
      <w:proofErr w:type="spellEnd"/>
      <w:r w:rsidRPr="00C6278E">
        <w:rPr>
          <w:rFonts w:ascii="Arial" w:hAnsi="Arial"/>
          <w:sz w:val="22"/>
          <w:szCs w:val="22"/>
        </w:rPr>
        <w:t xml:space="preserve">-X suggest that </w:t>
      </w:r>
      <w:proofErr w:type="spellStart"/>
      <w:r w:rsidRPr="00C6278E">
        <w:rPr>
          <w:rFonts w:ascii="Arial" w:hAnsi="Arial"/>
          <w:sz w:val="22"/>
          <w:szCs w:val="22"/>
        </w:rPr>
        <w:t>exenatide</w:t>
      </w:r>
      <w:proofErr w:type="spellEnd"/>
      <w:r w:rsidRPr="00C6278E">
        <w:rPr>
          <w:rFonts w:ascii="Arial" w:hAnsi="Arial"/>
          <w:sz w:val="22"/>
          <w:szCs w:val="22"/>
        </w:rPr>
        <w:t xml:space="preserve"> is numerically superior.</w:t>
      </w:r>
      <w:r w:rsidR="004776DC" w:rsidRPr="00C6278E">
        <w:rPr>
          <w:rFonts w:ascii="Arial" w:hAnsi="Arial"/>
          <w:sz w:val="22"/>
          <w:szCs w:val="22"/>
        </w:rPr>
        <w:t xml:space="preserve"> </w:t>
      </w:r>
    </w:p>
    <w:p w:rsidR="0080682D" w:rsidRPr="00C6278E" w:rsidRDefault="0080682D" w:rsidP="0080682D">
      <w:pPr>
        <w:pStyle w:val="ListParagraph"/>
        <w:jc w:val="both"/>
        <w:rPr>
          <w:rFonts w:ascii="Arial" w:hAnsi="Arial"/>
          <w:sz w:val="22"/>
          <w:szCs w:val="22"/>
        </w:rPr>
      </w:pPr>
    </w:p>
    <w:p w:rsidR="0024179B" w:rsidRPr="00C6278E" w:rsidRDefault="0024179B" w:rsidP="0024179B">
      <w:pPr>
        <w:pStyle w:val="ListParagraph"/>
        <w:numPr>
          <w:ilvl w:val="1"/>
          <w:numId w:val="25"/>
        </w:numPr>
        <w:jc w:val="both"/>
        <w:rPr>
          <w:rFonts w:ascii="Arial" w:hAnsi="Arial"/>
          <w:sz w:val="22"/>
          <w:szCs w:val="22"/>
        </w:rPr>
      </w:pPr>
      <w:r w:rsidRPr="00C6278E">
        <w:rPr>
          <w:rFonts w:ascii="Arial" w:hAnsi="Arial"/>
          <w:sz w:val="22"/>
          <w:szCs w:val="22"/>
        </w:rPr>
        <w:t xml:space="preserve">The indirect comparison to support the requested triple therapy restriction may not </w:t>
      </w:r>
      <w:r w:rsidR="00F42378">
        <w:rPr>
          <w:rFonts w:ascii="Arial" w:hAnsi="Arial"/>
          <w:sz w:val="22"/>
          <w:szCs w:val="22"/>
        </w:rPr>
        <w:t xml:space="preserve">have </w:t>
      </w:r>
      <w:r w:rsidRPr="00C6278E">
        <w:rPr>
          <w:rFonts w:ascii="Arial" w:hAnsi="Arial"/>
          <w:sz w:val="22"/>
          <w:szCs w:val="22"/>
        </w:rPr>
        <w:t>be</w:t>
      </w:r>
      <w:r w:rsidR="00F42378">
        <w:rPr>
          <w:rFonts w:ascii="Arial" w:hAnsi="Arial"/>
          <w:sz w:val="22"/>
          <w:szCs w:val="22"/>
        </w:rPr>
        <w:t>en</w:t>
      </w:r>
      <w:r w:rsidRPr="00C6278E">
        <w:rPr>
          <w:rFonts w:ascii="Arial" w:hAnsi="Arial"/>
          <w:sz w:val="22"/>
          <w:szCs w:val="22"/>
        </w:rPr>
        <w:t xml:space="preserve"> </w:t>
      </w:r>
      <w:r w:rsidR="00C6278E" w:rsidRPr="00C6278E">
        <w:rPr>
          <w:rFonts w:ascii="Arial" w:hAnsi="Arial"/>
          <w:sz w:val="22"/>
          <w:szCs w:val="22"/>
        </w:rPr>
        <w:t>reliable</w:t>
      </w:r>
      <w:r w:rsidRPr="00C6278E">
        <w:rPr>
          <w:rFonts w:ascii="Arial" w:hAnsi="Arial"/>
          <w:sz w:val="22"/>
          <w:szCs w:val="22"/>
        </w:rPr>
        <w:t xml:space="preserve"> given that the patient populations studied in </w:t>
      </w:r>
      <w:proofErr w:type="spellStart"/>
      <w:r w:rsidRPr="00C6278E">
        <w:rPr>
          <w:rFonts w:ascii="Arial" w:hAnsi="Arial"/>
          <w:sz w:val="22"/>
          <w:szCs w:val="22"/>
        </w:rPr>
        <w:t>GetGoal</w:t>
      </w:r>
      <w:proofErr w:type="spellEnd"/>
      <w:r w:rsidRPr="00C6278E">
        <w:rPr>
          <w:rFonts w:ascii="Arial" w:hAnsi="Arial"/>
          <w:sz w:val="22"/>
          <w:szCs w:val="22"/>
        </w:rPr>
        <w:t>-S and Kendall (2005) d</w:t>
      </w:r>
      <w:r w:rsidR="00F42378">
        <w:rPr>
          <w:rFonts w:ascii="Arial" w:hAnsi="Arial"/>
          <w:sz w:val="22"/>
          <w:szCs w:val="22"/>
        </w:rPr>
        <w:t>id</w:t>
      </w:r>
      <w:r w:rsidRPr="00C6278E">
        <w:rPr>
          <w:rFonts w:ascii="Arial" w:hAnsi="Arial"/>
          <w:sz w:val="22"/>
          <w:szCs w:val="22"/>
        </w:rPr>
        <w:t xml:space="preserve"> not appear to be exchangeable due to differences in baseline characteristics and background therapies.  The indirect comparisons further did not provide conclusive evidence of non-inferiority as the upper bound of the 95% confidence intervals for the indirect estimate of </w:t>
      </w:r>
      <w:proofErr w:type="spellStart"/>
      <w:r w:rsidRPr="00C6278E">
        <w:rPr>
          <w:rFonts w:ascii="Arial" w:hAnsi="Arial"/>
          <w:sz w:val="22"/>
          <w:szCs w:val="22"/>
        </w:rPr>
        <w:t>lixisenatide</w:t>
      </w:r>
      <w:proofErr w:type="spellEnd"/>
      <w:r w:rsidRPr="00C6278E">
        <w:rPr>
          <w:rFonts w:ascii="Arial" w:hAnsi="Arial"/>
          <w:sz w:val="22"/>
          <w:szCs w:val="22"/>
        </w:rPr>
        <w:t xml:space="preserve"> versus </w:t>
      </w:r>
      <w:proofErr w:type="spellStart"/>
      <w:r w:rsidRPr="00C6278E">
        <w:rPr>
          <w:rFonts w:ascii="Arial" w:hAnsi="Arial"/>
          <w:sz w:val="22"/>
          <w:szCs w:val="22"/>
        </w:rPr>
        <w:t>exenatide</w:t>
      </w:r>
      <w:proofErr w:type="spellEnd"/>
      <w:r w:rsidRPr="00C6278E">
        <w:rPr>
          <w:rFonts w:ascii="Arial" w:hAnsi="Arial"/>
          <w:sz w:val="22"/>
          <w:szCs w:val="22"/>
        </w:rPr>
        <w:t xml:space="preserve"> 10 mcg twice daily </w:t>
      </w:r>
      <w:r w:rsidR="00DE4A3C">
        <w:rPr>
          <w:rFonts w:ascii="Arial" w:hAnsi="Arial"/>
          <w:noProof/>
          <w:color w:val="000000"/>
          <w:sz w:val="22"/>
          <w:szCs w:val="22"/>
          <w:highlight w:val="black"/>
        </w:rPr>
        <w:t xml:space="preserve">'''''''''''''' </w:t>
      </w:r>
      <w:r w:rsidRPr="00C6278E">
        <w:rPr>
          <w:rFonts w:ascii="Arial" w:hAnsi="Arial"/>
          <w:sz w:val="22"/>
          <w:szCs w:val="22"/>
        </w:rPr>
        <w:t xml:space="preserve">and indirect estimate of </w:t>
      </w:r>
      <w:proofErr w:type="spellStart"/>
      <w:r w:rsidRPr="00C6278E">
        <w:rPr>
          <w:rFonts w:ascii="Arial" w:hAnsi="Arial"/>
          <w:sz w:val="22"/>
          <w:szCs w:val="22"/>
        </w:rPr>
        <w:t>lixisenatide</w:t>
      </w:r>
      <w:proofErr w:type="spellEnd"/>
      <w:r w:rsidRPr="00C6278E">
        <w:rPr>
          <w:rFonts w:ascii="Arial" w:hAnsi="Arial"/>
          <w:sz w:val="22"/>
          <w:szCs w:val="22"/>
        </w:rPr>
        <w:t xml:space="preserve"> 5 mcg and 10 mcg twice daily combined </w:t>
      </w:r>
      <w:r w:rsidR="00DE4A3C">
        <w:rPr>
          <w:rFonts w:ascii="Arial" w:hAnsi="Arial"/>
          <w:noProof/>
          <w:color w:val="000000"/>
          <w:sz w:val="22"/>
          <w:szCs w:val="22"/>
          <w:highlight w:val="black"/>
        </w:rPr>
        <w:t>'''''''''''''''</w:t>
      </w:r>
      <w:r w:rsidRPr="00C6278E">
        <w:rPr>
          <w:rFonts w:ascii="Arial" w:hAnsi="Arial"/>
          <w:sz w:val="22"/>
          <w:szCs w:val="22"/>
        </w:rPr>
        <w:t>, exceeded a MCID margin of 0.4.</w:t>
      </w:r>
      <w:r w:rsidR="004776DC" w:rsidRPr="00C6278E">
        <w:rPr>
          <w:rFonts w:ascii="Arial" w:hAnsi="Arial"/>
          <w:sz w:val="22"/>
          <w:szCs w:val="22"/>
        </w:rPr>
        <w:t xml:space="preserve"> </w:t>
      </w:r>
    </w:p>
    <w:p w:rsidR="0024179B" w:rsidRDefault="0024179B" w:rsidP="0024179B">
      <w:pPr>
        <w:pStyle w:val="ListParagraph"/>
        <w:ind w:left="709"/>
        <w:jc w:val="both"/>
        <w:rPr>
          <w:rFonts w:ascii="Arial" w:hAnsi="Arial"/>
          <w:sz w:val="22"/>
          <w:szCs w:val="22"/>
          <w:highlight w:val="yellow"/>
        </w:rPr>
      </w:pPr>
    </w:p>
    <w:p w:rsidR="00C6278E" w:rsidRPr="00BB7EC3" w:rsidRDefault="00C6278E" w:rsidP="00C6278E">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C6278E" w:rsidRDefault="00C6278E" w:rsidP="0024179B">
      <w:pPr>
        <w:pStyle w:val="ListParagraph"/>
        <w:ind w:left="709"/>
        <w:jc w:val="both"/>
        <w:rPr>
          <w:rFonts w:ascii="Arial" w:hAnsi="Arial"/>
          <w:sz w:val="22"/>
          <w:szCs w:val="22"/>
          <w:highlight w:val="yellow"/>
        </w:rPr>
      </w:pPr>
    </w:p>
    <w:p w:rsidR="0024179B" w:rsidRPr="00882085" w:rsidRDefault="0024179B" w:rsidP="0024179B">
      <w:pPr>
        <w:ind w:left="720" w:hanging="720"/>
        <w:jc w:val="both"/>
        <w:rPr>
          <w:rFonts w:ascii="Arial" w:hAnsi="Arial"/>
          <w:b/>
          <w:i/>
          <w:sz w:val="22"/>
          <w:szCs w:val="22"/>
        </w:rPr>
      </w:pPr>
      <w:r w:rsidRPr="00882085">
        <w:rPr>
          <w:rFonts w:ascii="Arial" w:hAnsi="Arial"/>
          <w:b/>
          <w:i/>
          <w:sz w:val="22"/>
          <w:szCs w:val="22"/>
        </w:rPr>
        <w:t>Economic analysis</w:t>
      </w:r>
    </w:p>
    <w:p w:rsidR="0024179B" w:rsidRPr="00882085" w:rsidRDefault="0024179B" w:rsidP="0024179B">
      <w:pPr>
        <w:ind w:left="720" w:hanging="720"/>
        <w:jc w:val="both"/>
        <w:rPr>
          <w:rFonts w:ascii="Arial" w:hAnsi="Arial"/>
          <w:sz w:val="22"/>
          <w:szCs w:val="22"/>
        </w:rPr>
      </w:pPr>
    </w:p>
    <w:p w:rsidR="00AE03B4" w:rsidRDefault="00AE03B4" w:rsidP="00AE03B4">
      <w:pPr>
        <w:pStyle w:val="ListParagraph"/>
        <w:numPr>
          <w:ilvl w:val="1"/>
          <w:numId w:val="25"/>
        </w:numPr>
        <w:jc w:val="both"/>
        <w:rPr>
          <w:rFonts w:ascii="Arial" w:hAnsi="Arial"/>
          <w:sz w:val="22"/>
          <w:szCs w:val="22"/>
        </w:rPr>
      </w:pPr>
      <w:r>
        <w:rPr>
          <w:rFonts w:ascii="Arial" w:hAnsi="Arial"/>
          <w:sz w:val="22"/>
          <w:szCs w:val="22"/>
        </w:rPr>
        <w:t>A cost-minimisation analysis was presented.</w:t>
      </w:r>
    </w:p>
    <w:p w:rsidR="00AE03B4" w:rsidRDefault="00AE03B4" w:rsidP="00AE03B4">
      <w:pPr>
        <w:pStyle w:val="ListParagraph"/>
        <w:jc w:val="both"/>
        <w:rPr>
          <w:rFonts w:ascii="Arial" w:hAnsi="Arial"/>
          <w:sz w:val="22"/>
          <w:szCs w:val="22"/>
        </w:rPr>
      </w:pPr>
    </w:p>
    <w:p w:rsidR="00AE03B4" w:rsidRPr="00AE03B4" w:rsidRDefault="00AE03B4" w:rsidP="00AE03B4">
      <w:pPr>
        <w:pStyle w:val="ListParagraph"/>
        <w:numPr>
          <w:ilvl w:val="1"/>
          <w:numId w:val="25"/>
        </w:numPr>
        <w:jc w:val="both"/>
        <w:rPr>
          <w:rFonts w:ascii="Arial" w:hAnsi="Arial"/>
          <w:b/>
          <w:color w:val="FF00FF"/>
          <w:sz w:val="22"/>
          <w:szCs w:val="22"/>
        </w:rPr>
      </w:pPr>
      <w:r>
        <w:rPr>
          <w:rFonts w:ascii="Arial" w:hAnsi="Arial"/>
          <w:sz w:val="22"/>
          <w:szCs w:val="22"/>
        </w:rPr>
        <w:t>The submission noted</w:t>
      </w:r>
      <w:r w:rsidRPr="00AE03B4">
        <w:rPr>
          <w:rFonts w:ascii="Arial" w:hAnsi="Arial"/>
          <w:sz w:val="22"/>
          <w:szCs w:val="22"/>
        </w:rPr>
        <w:t xml:space="preserve"> that </w:t>
      </w:r>
      <w:proofErr w:type="spellStart"/>
      <w:r w:rsidRPr="00AE03B4">
        <w:rPr>
          <w:rFonts w:ascii="Arial" w:hAnsi="Arial"/>
          <w:sz w:val="22"/>
          <w:szCs w:val="22"/>
        </w:rPr>
        <w:t>exenatide</w:t>
      </w:r>
      <w:proofErr w:type="spellEnd"/>
      <w:r w:rsidRPr="00AE03B4">
        <w:rPr>
          <w:rFonts w:ascii="Arial" w:hAnsi="Arial"/>
          <w:sz w:val="22"/>
          <w:szCs w:val="22"/>
        </w:rPr>
        <w:t xml:space="preserve"> is listed on the PBS subject to a special </w:t>
      </w:r>
      <w:r>
        <w:rPr>
          <w:rFonts w:ascii="Arial" w:hAnsi="Arial"/>
          <w:sz w:val="22"/>
          <w:szCs w:val="22"/>
        </w:rPr>
        <w:t>pricing arrangement and requested</w:t>
      </w:r>
      <w:r w:rsidRPr="00AE03B4">
        <w:rPr>
          <w:rFonts w:ascii="Arial" w:hAnsi="Arial"/>
          <w:sz w:val="22"/>
          <w:szCs w:val="22"/>
        </w:rPr>
        <w:t xml:space="preserve"> a similar special pricing arrangement for </w:t>
      </w:r>
      <w:proofErr w:type="spellStart"/>
      <w:r w:rsidRPr="00AE03B4">
        <w:rPr>
          <w:rFonts w:ascii="Arial" w:hAnsi="Arial"/>
          <w:sz w:val="22"/>
          <w:szCs w:val="22"/>
        </w:rPr>
        <w:t>lixis</w:t>
      </w:r>
      <w:r>
        <w:rPr>
          <w:rFonts w:ascii="Arial" w:hAnsi="Arial"/>
          <w:sz w:val="22"/>
          <w:szCs w:val="22"/>
        </w:rPr>
        <w:t>enatide</w:t>
      </w:r>
      <w:proofErr w:type="spellEnd"/>
      <w:r>
        <w:rPr>
          <w:rFonts w:ascii="Arial" w:hAnsi="Arial"/>
          <w:sz w:val="22"/>
          <w:szCs w:val="22"/>
        </w:rPr>
        <w:t>. The submission’s cost-minimisation analysis</w:t>
      </w:r>
      <w:r w:rsidRPr="00AE03B4">
        <w:rPr>
          <w:rFonts w:ascii="Arial" w:hAnsi="Arial"/>
          <w:sz w:val="22"/>
          <w:szCs w:val="22"/>
        </w:rPr>
        <w:t xml:space="preserve"> </w:t>
      </w:r>
      <w:r>
        <w:rPr>
          <w:rFonts w:ascii="Arial" w:hAnsi="Arial"/>
          <w:sz w:val="22"/>
          <w:szCs w:val="22"/>
        </w:rPr>
        <w:t xml:space="preserve">was </w:t>
      </w:r>
      <w:r w:rsidRPr="00AE03B4">
        <w:rPr>
          <w:rFonts w:ascii="Arial" w:hAnsi="Arial"/>
          <w:sz w:val="22"/>
          <w:szCs w:val="22"/>
        </w:rPr>
        <w:t xml:space="preserve">based on an estimated effective ex-manufacturer price of </w:t>
      </w:r>
      <w:proofErr w:type="spellStart"/>
      <w:r w:rsidRPr="00AE03B4">
        <w:rPr>
          <w:rFonts w:ascii="Arial" w:hAnsi="Arial"/>
          <w:sz w:val="22"/>
          <w:szCs w:val="22"/>
        </w:rPr>
        <w:t>exenatide</w:t>
      </w:r>
      <w:proofErr w:type="spellEnd"/>
      <w:r w:rsidRPr="00AE03B4">
        <w:rPr>
          <w:rFonts w:ascii="Arial" w:hAnsi="Arial"/>
          <w:sz w:val="22"/>
          <w:szCs w:val="22"/>
        </w:rPr>
        <w:t xml:space="preserve"> twice daily, but </w:t>
      </w:r>
      <w:r>
        <w:rPr>
          <w:rFonts w:ascii="Arial" w:hAnsi="Arial"/>
          <w:sz w:val="22"/>
          <w:szCs w:val="22"/>
        </w:rPr>
        <w:t xml:space="preserve">because </w:t>
      </w:r>
      <w:r w:rsidRPr="00AE03B4">
        <w:rPr>
          <w:rFonts w:ascii="Arial" w:hAnsi="Arial"/>
          <w:sz w:val="22"/>
          <w:szCs w:val="22"/>
        </w:rPr>
        <w:t>the sponsor</w:t>
      </w:r>
      <w:r>
        <w:rPr>
          <w:rFonts w:ascii="Arial" w:hAnsi="Arial"/>
          <w:sz w:val="22"/>
          <w:szCs w:val="22"/>
        </w:rPr>
        <w:t xml:space="preserve"> did not know the exact price of </w:t>
      </w:r>
      <w:proofErr w:type="spellStart"/>
      <w:r>
        <w:rPr>
          <w:rFonts w:ascii="Arial" w:hAnsi="Arial"/>
          <w:sz w:val="22"/>
          <w:szCs w:val="22"/>
        </w:rPr>
        <w:t>exenatide</w:t>
      </w:r>
      <w:proofErr w:type="spellEnd"/>
      <w:r>
        <w:rPr>
          <w:rFonts w:ascii="Arial" w:hAnsi="Arial"/>
          <w:sz w:val="22"/>
          <w:szCs w:val="22"/>
        </w:rPr>
        <w:t>, it reserved</w:t>
      </w:r>
      <w:r w:rsidRPr="00AE03B4">
        <w:rPr>
          <w:rFonts w:ascii="Arial" w:hAnsi="Arial"/>
          <w:sz w:val="22"/>
          <w:szCs w:val="22"/>
        </w:rPr>
        <w:t xml:space="preserve"> the right to review the requested price </w:t>
      </w:r>
      <w:r>
        <w:rPr>
          <w:rFonts w:ascii="Arial" w:hAnsi="Arial"/>
          <w:sz w:val="22"/>
          <w:szCs w:val="22"/>
        </w:rPr>
        <w:t>for</w:t>
      </w:r>
      <w:r w:rsidRPr="00AE03B4">
        <w:rPr>
          <w:rFonts w:ascii="Arial" w:hAnsi="Arial"/>
          <w:sz w:val="22"/>
          <w:szCs w:val="22"/>
        </w:rPr>
        <w:t xml:space="preserve"> </w:t>
      </w:r>
      <w:proofErr w:type="spellStart"/>
      <w:r w:rsidRPr="00AE03B4">
        <w:rPr>
          <w:rFonts w:ascii="Arial" w:hAnsi="Arial"/>
          <w:sz w:val="22"/>
          <w:szCs w:val="22"/>
        </w:rPr>
        <w:t>lixisenatide</w:t>
      </w:r>
      <w:proofErr w:type="spellEnd"/>
      <w:r w:rsidRPr="00AE03B4">
        <w:rPr>
          <w:rFonts w:ascii="Arial" w:hAnsi="Arial"/>
          <w:sz w:val="22"/>
          <w:szCs w:val="22"/>
        </w:rPr>
        <w:t>.</w:t>
      </w:r>
      <w:r>
        <w:rPr>
          <w:rFonts w:ascii="Arial" w:hAnsi="Arial"/>
          <w:b/>
          <w:color w:val="FF00FF"/>
          <w:sz w:val="22"/>
          <w:szCs w:val="22"/>
        </w:rPr>
        <w:t xml:space="preserve"> </w:t>
      </w:r>
      <w:r>
        <w:rPr>
          <w:rFonts w:ascii="Arial" w:hAnsi="Arial"/>
          <w:sz w:val="22"/>
          <w:szCs w:val="22"/>
        </w:rPr>
        <w:t>T</w:t>
      </w:r>
      <w:r w:rsidRPr="00AE03B4">
        <w:rPr>
          <w:rFonts w:ascii="Arial" w:hAnsi="Arial"/>
          <w:sz w:val="22"/>
          <w:szCs w:val="22"/>
        </w:rPr>
        <w:t xml:space="preserve">he </w:t>
      </w:r>
      <w:r w:rsidR="00774893">
        <w:rPr>
          <w:rFonts w:ascii="Arial" w:hAnsi="Arial"/>
          <w:sz w:val="22"/>
          <w:szCs w:val="22"/>
        </w:rPr>
        <w:t>P</w:t>
      </w:r>
      <w:r>
        <w:rPr>
          <w:rFonts w:ascii="Arial" w:hAnsi="Arial"/>
          <w:sz w:val="22"/>
          <w:szCs w:val="22"/>
        </w:rPr>
        <w:t>re-</w:t>
      </w:r>
      <w:r w:rsidR="00774893">
        <w:rPr>
          <w:rFonts w:ascii="Arial" w:hAnsi="Arial"/>
          <w:sz w:val="22"/>
          <w:szCs w:val="22"/>
        </w:rPr>
        <w:t>S</w:t>
      </w:r>
      <w:r>
        <w:rPr>
          <w:rFonts w:ascii="Arial" w:hAnsi="Arial"/>
          <w:sz w:val="22"/>
          <w:szCs w:val="22"/>
        </w:rPr>
        <w:t>ub-</w:t>
      </w:r>
      <w:r w:rsidR="00774893">
        <w:rPr>
          <w:rFonts w:ascii="Arial" w:hAnsi="Arial"/>
          <w:sz w:val="22"/>
          <w:szCs w:val="22"/>
        </w:rPr>
        <w:t>C</w:t>
      </w:r>
      <w:r>
        <w:rPr>
          <w:rFonts w:ascii="Arial" w:hAnsi="Arial"/>
          <w:sz w:val="22"/>
          <w:szCs w:val="22"/>
        </w:rPr>
        <w:t xml:space="preserve">ommittee </w:t>
      </w:r>
      <w:r w:rsidR="00774893">
        <w:rPr>
          <w:rFonts w:ascii="Arial" w:hAnsi="Arial"/>
          <w:sz w:val="22"/>
          <w:szCs w:val="22"/>
        </w:rPr>
        <w:t>R</w:t>
      </w:r>
      <w:r>
        <w:rPr>
          <w:rFonts w:ascii="Arial" w:hAnsi="Arial"/>
          <w:sz w:val="22"/>
          <w:szCs w:val="22"/>
        </w:rPr>
        <w:t xml:space="preserve">esponse </w:t>
      </w:r>
      <w:r w:rsidRPr="00AE03B4">
        <w:rPr>
          <w:rFonts w:ascii="Arial" w:hAnsi="Arial"/>
          <w:sz w:val="22"/>
          <w:szCs w:val="22"/>
        </w:rPr>
        <w:t>(p.3-4)</w:t>
      </w:r>
      <w:r>
        <w:rPr>
          <w:rFonts w:ascii="Arial" w:hAnsi="Arial"/>
          <w:sz w:val="22"/>
          <w:szCs w:val="22"/>
        </w:rPr>
        <w:t xml:space="preserve"> further</w:t>
      </w:r>
      <w:r w:rsidRPr="00AE03B4">
        <w:rPr>
          <w:rFonts w:ascii="Arial" w:hAnsi="Arial"/>
          <w:sz w:val="22"/>
          <w:szCs w:val="22"/>
        </w:rPr>
        <w:t xml:space="preserve"> indicated an intention by the sponsor to accept a cost-minimisation price to the effective price of </w:t>
      </w:r>
      <w:proofErr w:type="spellStart"/>
      <w:r w:rsidRPr="00AE03B4">
        <w:rPr>
          <w:rFonts w:ascii="Arial" w:hAnsi="Arial"/>
          <w:sz w:val="22"/>
          <w:szCs w:val="22"/>
        </w:rPr>
        <w:t>exenatide</w:t>
      </w:r>
      <w:proofErr w:type="spellEnd"/>
      <w:r w:rsidRPr="00AE03B4">
        <w:rPr>
          <w:rFonts w:ascii="Arial" w:hAnsi="Arial"/>
          <w:sz w:val="22"/>
          <w:szCs w:val="22"/>
        </w:rPr>
        <w:t xml:space="preserve">. </w:t>
      </w:r>
    </w:p>
    <w:p w:rsidR="00AE03B4" w:rsidRPr="00AE03B4" w:rsidRDefault="00AE03B4" w:rsidP="00AE03B4">
      <w:pPr>
        <w:pStyle w:val="ListParagraph"/>
        <w:jc w:val="both"/>
        <w:rPr>
          <w:rFonts w:ascii="Arial" w:hAnsi="Arial"/>
          <w:b/>
          <w:color w:val="FF00FF"/>
          <w:sz w:val="22"/>
          <w:szCs w:val="22"/>
        </w:rPr>
      </w:pPr>
    </w:p>
    <w:p w:rsidR="00650907" w:rsidRPr="00650907" w:rsidRDefault="00650907" w:rsidP="00650907">
      <w:pPr>
        <w:pStyle w:val="ListParagraph"/>
        <w:numPr>
          <w:ilvl w:val="1"/>
          <w:numId w:val="25"/>
        </w:numPr>
        <w:jc w:val="both"/>
        <w:rPr>
          <w:rFonts w:ascii="Arial" w:hAnsi="Arial"/>
          <w:sz w:val="22"/>
          <w:szCs w:val="22"/>
        </w:rPr>
      </w:pPr>
      <w:r w:rsidRPr="00650907">
        <w:rPr>
          <w:rFonts w:ascii="Arial" w:hAnsi="Arial"/>
          <w:sz w:val="22"/>
          <w:szCs w:val="22"/>
        </w:rPr>
        <w:t xml:space="preserve">The submission’s estimates of the </w:t>
      </w:r>
      <w:proofErr w:type="spellStart"/>
      <w:r w:rsidRPr="00650907">
        <w:rPr>
          <w:rFonts w:ascii="Arial" w:hAnsi="Arial"/>
          <w:sz w:val="22"/>
          <w:szCs w:val="22"/>
        </w:rPr>
        <w:t>equi</w:t>
      </w:r>
      <w:proofErr w:type="spellEnd"/>
      <w:r w:rsidRPr="00650907">
        <w:rPr>
          <w:rFonts w:ascii="Arial" w:hAnsi="Arial"/>
          <w:sz w:val="22"/>
          <w:szCs w:val="22"/>
        </w:rPr>
        <w:t>-effective doses</w:t>
      </w:r>
      <w:r>
        <w:rPr>
          <w:rFonts w:ascii="Arial" w:hAnsi="Arial"/>
          <w:sz w:val="22"/>
          <w:szCs w:val="22"/>
        </w:rPr>
        <w:t xml:space="preserve"> of </w:t>
      </w:r>
      <w:proofErr w:type="spellStart"/>
      <w:r>
        <w:rPr>
          <w:rFonts w:ascii="Arial" w:hAnsi="Arial"/>
          <w:sz w:val="22"/>
          <w:szCs w:val="22"/>
        </w:rPr>
        <w:t>lixisenatide</w:t>
      </w:r>
      <w:proofErr w:type="spellEnd"/>
      <w:r>
        <w:rPr>
          <w:rFonts w:ascii="Arial" w:hAnsi="Arial"/>
          <w:sz w:val="22"/>
          <w:szCs w:val="22"/>
        </w:rPr>
        <w:t xml:space="preserve"> and </w:t>
      </w:r>
      <w:proofErr w:type="spellStart"/>
      <w:r>
        <w:rPr>
          <w:rFonts w:ascii="Arial" w:hAnsi="Arial"/>
          <w:sz w:val="22"/>
          <w:szCs w:val="22"/>
        </w:rPr>
        <w:t>exenatide</w:t>
      </w:r>
      <w:proofErr w:type="spellEnd"/>
      <w:r>
        <w:rPr>
          <w:rFonts w:ascii="Arial" w:hAnsi="Arial"/>
          <w:sz w:val="22"/>
          <w:szCs w:val="22"/>
        </w:rPr>
        <w:t xml:space="preserve"> we</w:t>
      </w:r>
      <w:r w:rsidRPr="00650907">
        <w:rPr>
          <w:rFonts w:ascii="Arial" w:hAnsi="Arial"/>
          <w:sz w:val="22"/>
          <w:szCs w:val="22"/>
        </w:rPr>
        <w:t>re:</w:t>
      </w:r>
    </w:p>
    <w:p w:rsidR="00650907" w:rsidRPr="00650907" w:rsidRDefault="00650907" w:rsidP="00650907">
      <w:pPr>
        <w:pStyle w:val="ListParagraph"/>
        <w:rPr>
          <w:rFonts w:ascii="Arial" w:hAnsi="Arial"/>
          <w:sz w:val="22"/>
          <w:szCs w:val="22"/>
        </w:rPr>
      </w:pPr>
    </w:p>
    <w:p w:rsidR="00650907" w:rsidRPr="00650907" w:rsidRDefault="00650907" w:rsidP="00650907">
      <w:pPr>
        <w:pStyle w:val="ListParagraph"/>
        <w:jc w:val="both"/>
        <w:rPr>
          <w:rFonts w:ascii="Arial" w:hAnsi="Arial"/>
          <w:i/>
          <w:iCs/>
          <w:sz w:val="22"/>
          <w:szCs w:val="22"/>
        </w:rPr>
      </w:pPr>
      <w:proofErr w:type="spellStart"/>
      <w:proofErr w:type="gramStart"/>
      <w:r>
        <w:rPr>
          <w:rFonts w:ascii="Arial" w:hAnsi="Arial"/>
          <w:sz w:val="22"/>
          <w:szCs w:val="22"/>
        </w:rPr>
        <w:t>lixisenatide</w:t>
      </w:r>
      <w:proofErr w:type="spellEnd"/>
      <w:proofErr w:type="gramEnd"/>
      <w:r>
        <w:rPr>
          <w:rFonts w:ascii="Arial" w:hAnsi="Arial"/>
          <w:sz w:val="22"/>
          <w:szCs w:val="22"/>
        </w:rPr>
        <w:t xml:space="preserve"> </w:t>
      </w:r>
      <w:r w:rsidR="00DE4A3C">
        <w:rPr>
          <w:rFonts w:ascii="Arial" w:hAnsi="Arial"/>
          <w:noProof/>
          <w:color w:val="000000"/>
          <w:sz w:val="22"/>
          <w:szCs w:val="22"/>
          <w:highlight w:val="black"/>
        </w:rPr>
        <w:t>'''''''''''' ''''''''''' '''''''''' '''' '''''''''''''''''''''''' '''' '''''''''''''''''''''''' ''''''''''''''</w:t>
      </w:r>
      <w:r>
        <w:rPr>
          <w:rFonts w:ascii="Arial" w:hAnsi="Arial"/>
          <w:sz w:val="22"/>
          <w:szCs w:val="22"/>
        </w:rPr>
        <w:t xml:space="preserve"> mc</w:t>
      </w:r>
      <w:r w:rsidRPr="00650907">
        <w:rPr>
          <w:rFonts w:ascii="Arial" w:hAnsi="Arial"/>
          <w:sz w:val="22"/>
          <w:szCs w:val="22"/>
        </w:rPr>
        <w:t>g daily.</w:t>
      </w:r>
      <w:r>
        <w:rPr>
          <w:rFonts w:ascii="Arial" w:hAnsi="Arial"/>
          <w:sz w:val="22"/>
          <w:szCs w:val="22"/>
        </w:rPr>
        <w:t xml:space="preserve"> </w:t>
      </w:r>
    </w:p>
    <w:p w:rsidR="00650907" w:rsidRDefault="00650907" w:rsidP="00650907">
      <w:pPr>
        <w:pStyle w:val="ListParagraph"/>
        <w:jc w:val="both"/>
        <w:rPr>
          <w:rFonts w:ascii="Arial" w:hAnsi="Arial"/>
          <w:sz w:val="22"/>
          <w:szCs w:val="22"/>
        </w:rPr>
      </w:pPr>
    </w:p>
    <w:p w:rsidR="0024179B" w:rsidRPr="002554B7" w:rsidRDefault="00650907" w:rsidP="00650907">
      <w:pPr>
        <w:pStyle w:val="ListParagraph"/>
        <w:numPr>
          <w:ilvl w:val="1"/>
          <w:numId w:val="25"/>
        </w:numPr>
        <w:jc w:val="both"/>
        <w:rPr>
          <w:rFonts w:ascii="Arial" w:hAnsi="Arial"/>
          <w:sz w:val="22"/>
          <w:szCs w:val="22"/>
        </w:rPr>
      </w:pPr>
      <w:r>
        <w:rPr>
          <w:rFonts w:ascii="Arial" w:hAnsi="Arial"/>
          <w:sz w:val="22"/>
          <w:szCs w:val="22"/>
        </w:rPr>
        <w:lastRenderedPageBreak/>
        <w:t xml:space="preserve">The submission stated that the </w:t>
      </w:r>
      <w:proofErr w:type="spellStart"/>
      <w:r>
        <w:rPr>
          <w:rFonts w:ascii="Arial" w:hAnsi="Arial"/>
          <w:sz w:val="22"/>
          <w:szCs w:val="22"/>
        </w:rPr>
        <w:t>equi</w:t>
      </w:r>
      <w:proofErr w:type="spellEnd"/>
      <w:r>
        <w:rPr>
          <w:rFonts w:ascii="Arial" w:hAnsi="Arial"/>
          <w:sz w:val="22"/>
          <w:szCs w:val="22"/>
        </w:rPr>
        <w:t>-effective doses we</w:t>
      </w:r>
      <w:r w:rsidRPr="00650907">
        <w:rPr>
          <w:rFonts w:ascii="Arial" w:hAnsi="Arial"/>
          <w:sz w:val="22"/>
          <w:szCs w:val="22"/>
        </w:rPr>
        <w:t>re derived from weighted average final daily doses</w:t>
      </w:r>
      <w:r>
        <w:rPr>
          <w:rFonts w:ascii="Arial" w:hAnsi="Arial"/>
          <w:sz w:val="22"/>
          <w:szCs w:val="22"/>
        </w:rPr>
        <w:t xml:space="preserve"> (shown in the table below)</w:t>
      </w:r>
      <w:r w:rsidRPr="00650907">
        <w:rPr>
          <w:rFonts w:ascii="Arial" w:hAnsi="Arial"/>
          <w:sz w:val="22"/>
          <w:szCs w:val="22"/>
        </w:rPr>
        <w:t xml:space="preserve"> at 24 weeks in </w:t>
      </w:r>
      <w:proofErr w:type="spellStart"/>
      <w:r w:rsidRPr="00650907">
        <w:rPr>
          <w:rFonts w:ascii="Arial" w:hAnsi="Arial"/>
          <w:sz w:val="22"/>
          <w:szCs w:val="22"/>
        </w:rPr>
        <w:t>GetGoal</w:t>
      </w:r>
      <w:proofErr w:type="spellEnd"/>
      <w:r w:rsidRPr="00650907">
        <w:rPr>
          <w:rFonts w:ascii="Arial" w:hAnsi="Arial"/>
          <w:sz w:val="22"/>
          <w:szCs w:val="22"/>
        </w:rPr>
        <w:t>-X after dose titrations were completed and patients who discontinued were excluded (i.e. at steady state; p91 of the submission).</w:t>
      </w:r>
      <w:r>
        <w:rPr>
          <w:rFonts w:ascii="Arial" w:hAnsi="Arial"/>
          <w:sz w:val="22"/>
          <w:szCs w:val="22"/>
        </w:rPr>
        <w:t xml:space="preserve"> However, the estimates we</w:t>
      </w:r>
      <w:r w:rsidRPr="00650907">
        <w:rPr>
          <w:rFonts w:ascii="Arial" w:hAnsi="Arial"/>
          <w:sz w:val="22"/>
          <w:szCs w:val="22"/>
        </w:rPr>
        <w:t xml:space="preserve">re derived from the safety population of the fixed-dose </w:t>
      </w:r>
      <w:proofErr w:type="spellStart"/>
      <w:r w:rsidRPr="00650907">
        <w:rPr>
          <w:rFonts w:ascii="Arial" w:hAnsi="Arial"/>
          <w:sz w:val="22"/>
          <w:szCs w:val="22"/>
        </w:rPr>
        <w:t>GetGoal</w:t>
      </w:r>
      <w:proofErr w:type="spellEnd"/>
      <w:r w:rsidRPr="00650907">
        <w:rPr>
          <w:rFonts w:ascii="Arial" w:hAnsi="Arial"/>
          <w:sz w:val="22"/>
          <w:szCs w:val="22"/>
        </w:rPr>
        <w:t>-X trial, and include</w:t>
      </w:r>
      <w:r>
        <w:rPr>
          <w:rFonts w:ascii="Arial" w:hAnsi="Arial"/>
          <w:sz w:val="22"/>
          <w:szCs w:val="22"/>
        </w:rPr>
        <w:t>d</w:t>
      </w:r>
      <w:r w:rsidRPr="00650907">
        <w:rPr>
          <w:rFonts w:ascii="Arial" w:hAnsi="Arial"/>
          <w:sz w:val="22"/>
          <w:szCs w:val="22"/>
        </w:rPr>
        <w:t xml:space="preserve"> data from 41 (13%) patients taking </w:t>
      </w:r>
      <w:proofErr w:type="spellStart"/>
      <w:r w:rsidRPr="00650907">
        <w:rPr>
          <w:rFonts w:ascii="Arial" w:hAnsi="Arial"/>
          <w:sz w:val="22"/>
          <w:szCs w:val="22"/>
        </w:rPr>
        <w:t>lixisenatide</w:t>
      </w:r>
      <w:proofErr w:type="spellEnd"/>
      <w:r w:rsidRPr="00650907">
        <w:rPr>
          <w:rFonts w:ascii="Arial" w:hAnsi="Arial"/>
          <w:sz w:val="22"/>
          <w:szCs w:val="22"/>
        </w:rPr>
        <w:t xml:space="preserve"> and 45 (14.2%) patients taking </w:t>
      </w:r>
      <w:proofErr w:type="spellStart"/>
      <w:r w:rsidRPr="00650907">
        <w:rPr>
          <w:rFonts w:ascii="Arial" w:hAnsi="Arial"/>
          <w:sz w:val="22"/>
          <w:szCs w:val="22"/>
        </w:rPr>
        <w:t>exenatide</w:t>
      </w:r>
      <w:proofErr w:type="spellEnd"/>
      <w:r w:rsidRPr="00650907">
        <w:rPr>
          <w:rFonts w:ascii="Arial" w:hAnsi="Arial"/>
          <w:sz w:val="22"/>
          <w:szCs w:val="22"/>
        </w:rPr>
        <w:t xml:space="preserve"> who discontinued treatment prior to Week 24.  The submiss</w:t>
      </w:r>
      <w:r>
        <w:rPr>
          <w:rFonts w:ascii="Arial" w:hAnsi="Arial"/>
          <w:sz w:val="22"/>
          <w:szCs w:val="22"/>
        </w:rPr>
        <w:t>ion’s approach wa</w:t>
      </w:r>
      <w:r w:rsidRPr="00650907">
        <w:rPr>
          <w:rFonts w:ascii="Arial" w:hAnsi="Arial"/>
          <w:sz w:val="22"/>
          <w:szCs w:val="22"/>
        </w:rPr>
        <w:t>s inconsistent with that recommended in the PBAC Guidelines (version 4.4, June 2013).</w:t>
      </w:r>
      <w:r>
        <w:rPr>
          <w:rFonts w:ascii="Arial" w:hAnsi="Arial"/>
          <w:sz w:val="22"/>
          <w:szCs w:val="22"/>
        </w:rPr>
        <w:t xml:space="preserve"> </w:t>
      </w:r>
    </w:p>
    <w:p w:rsidR="0024179B" w:rsidRDefault="0024179B" w:rsidP="0080682D">
      <w:pPr>
        <w:pStyle w:val="ListParagraph"/>
        <w:jc w:val="both"/>
        <w:rPr>
          <w:rFonts w:ascii="Arial" w:hAnsi="Arial"/>
          <w:sz w:val="22"/>
          <w:szCs w:val="22"/>
        </w:rPr>
      </w:pPr>
    </w:p>
    <w:p w:rsidR="00650907" w:rsidRPr="00DE4A3C" w:rsidRDefault="00DE4A3C" w:rsidP="00131AAC">
      <w:pPr>
        <w:pStyle w:val="COMBody"/>
        <w:ind w:firstLine="720"/>
        <w:rPr>
          <w:rFonts w:ascii="Arial Narrow" w:hAnsi="Arial Narrow"/>
          <w:b/>
          <w:sz w:val="20"/>
          <w:highlight w:val="black"/>
        </w:rPr>
      </w:pPr>
      <w:r>
        <w:rPr>
          <w:rFonts w:ascii="Arial Narrow" w:hAnsi="Arial Narrow"/>
          <w:b/>
          <w:noProof/>
          <w:color w:val="000000"/>
          <w:sz w:val="20"/>
          <w:highlight w:val="black"/>
        </w:rPr>
        <w:t>'''''''''''''''' '''''''''' '''''''''' ''''''''''''''''''''''' ''''''' '''''''''''''''''' ''''''''''''' '''' ''''' '''''''''''' '''''''''' ''''' '''''''''''''''''''' ''''''''''''''' ''''''''''''''''''''''</w:t>
      </w:r>
    </w:p>
    <w:tbl>
      <w:tblPr>
        <w:tblStyle w:val="TableGrid"/>
        <w:tblW w:w="8363" w:type="dxa"/>
        <w:tblInd w:w="817" w:type="dxa"/>
        <w:tblLook w:val="04A0" w:firstRow="1" w:lastRow="0" w:firstColumn="1" w:lastColumn="0" w:noHBand="0" w:noVBand="1"/>
        <w:tblDescription w:val="Economic analysis"/>
      </w:tblPr>
      <w:tblGrid>
        <w:gridCol w:w="4253"/>
        <w:gridCol w:w="2126"/>
        <w:gridCol w:w="1984"/>
      </w:tblGrid>
      <w:tr w:rsidR="00650907" w:rsidRPr="00894F60" w:rsidTr="005D0EDF">
        <w:trPr>
          <w:tblHeader/>
        </w:trPr>
        <w:tc>
          <w:tcPr>
            <w:tcW w:w="4253" w:type="dxa"/>
          </w:tcPr>
          <w:p w:rsidR="00650907" w:rsidRPr="00DE4A3C" w:rsidRDefault="00DE4A3C" w:rsidP="00650907">
            <w:pPr>
              <w:widowControl w:val="0"/>
              <w:jc w:val="both"/>
              <w:rPr>
                <w:rFonts w:ascii="Arial Narrow" w:hAnsi="Arial Narrow" w:cs="Arial"/>
                <w:snapToGrid w:val="0"/>
                <w:sz w:val="20"/>
                <w:szCs w:val="20"/>
                <w:highlight w:val="black"/>
                <w:lang w:eastAsia="en-US"/>
              </w:rPr>
            </w:pPr>
            <w:r>
              <w:rPr>
                <w:rFonts w:ascii="Arial Narrow" w:hAnsi="Arial Narrow" w:cs="Arial"/>
                <w:b/>
                <w:noProof/>
                <w:snapToGrid w:val="0"/>
                <w:color w:val="000000"/>
                <w:sz w:val="20"/>
                <w:szCs w:val="20"/>
                <w:highlight w:val="black"/>
                <w:lang w:eastAsia="en-US"/>
              </w:rPr>
              <w:t>''''''''''''''''''''' ''''''''''''</w:t>
            </w:r>
          </w:p>
        </w:tc>
        <w:tc>
          <w:tcPr>
            <w:tcW w:w="2126" w:type="dxa"/>
            <w:vAlign w:val="center"/>
          </w:tcPr>
          <w:p w:rsidR="00650907" w:rsidRPr="00DE4A3C" w:rsidRDefault="00DE4A3C" w:rsidP="00650907">
            <w:pPr>
              <w:widowControl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w:t>
            </w:r>
          </w:p>
          <w:p w:rsidR="00650907" w:rsidRPr="00DE4A3C" w:rsidRDefault="00DE4A3C" w:rsidP="00650907">
            <w:pPr>
              <w:widowControl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w:t>
            </w:r>
          </w:p>
        </w:tc>
        <w:tc>
          <w:tcPr>
            <w:tcW w:w="1984" w:type="dxa"/>
            <w:vAlign w:val="center"/>
          </w:tcPr>
          <w:p w:rsidR="00650907" w:rsidRPr="00DE4A3C" w:rsidRDefault="00DE4A3C" w:rsidP="00650907">
            <w:pPr>
              <w:widowControl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w:t>
            </w:r>
          </w:p>
          <w:p w:rsidR="00650907" w:rsidRPr="00DE4A3C" w:rsidRDefault="00DE4A3C" w:rsidP="00650907">
            <w:pPr>
              <w:widowControl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w:t>
            </w:r>
          </w:p>
        </w:tc>
      </w:tr>
      <w:tr w:rsidR="00650907" w:rsidRPr="00894F60" w:rsidTr="005D0EDF">
        <w:tc>
          <w:tcPr>
            <w:tcW w:w="4253" w:type="dxa"/>
          </w:tcPr>
          <w:p w:rsidR="00650907" w:rsidRPr="00DE4A3C" w:rsidRDefault="00DE4A3C" w:rsidP="00650907">
            <w:pPr>
              <w:widowControl w:val="0"/>
              <w:jc w:val="both"/>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2126" w:type="dxa"/>
            <w:vAlign w:val="center"/>
          </w:tcPr>
          <w:p w:rsidR="00650907" w:rsidRPr="00DE4A3C" w:rsidRDefault="00DE4A3C" w:rsidP="00650907">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984" w:type="dxa"/>
            <w:vAlign w:val="center"/>
          </w:tcPr>
          <w:p w:rsidR="00650907" w:rsidRPr="00DE4A3C" w:rsidRDefault="00DE4A3C" w:rsidP="00650907">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650907" w:rsidRPr="00894F60" w:rsidTr="005D0EDF">
        <w:tc>
          <w:tcPr>
            <w:tcW w:w="4253" w:type="dxa"/>
          </w:tcPr>
          <w:p w:rsidR="00650907" w:rsidRPr="00DE4A3C" w:rsidRDefault="00DE4A3C" w:rsidP="00650907">
            <w:pPr>
              <w:widowControl w:val="0"/>
              <w:tabs>
                <w:tab w:val="left" w:pos="176"/>
              </w:tabs>
              <w:jc w:val="both"/>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w:t>
            </w:r>
          </w:p>
        </w:tc>
        <w:tc>
          <w:tcPr>
            <w:tcW w:w="2126" w:type="dxa"/>
            <w:vAlign w:val="center"/>
          </w:tcPr>
          <w:p w:rsidR="00650907" w:rsidRPr="00DE4A3C" w:rsidRDefault="00DE4A3C" w:rsidP="00650907">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w:t>
            </w:r>
          </w:p>
        </w:tc>
        <w:tc>
          <w:tcPr>
            <w:tcW w:w="1984" w:type="dxa"/>
            <w:vAlign w:val="center"/>
          </w:tcPr>
          <w:p w:rsidR="00650907" w:rsidRPr="00DE4A3C" w:rsidRDefault="00DE4A3C" w:rsidP="00650907">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w:t>
            </w:r>
          </w:p>
        </w:tc>
      </w:tr>
      <w:tr w:rsidR="00650907" w:rsidRPr="00894F60" w:rsidTr="005D0EDF">
        <w:tc>
          <w:tcPr>
            <w:tcW w:w="4253" w:type="dxa"/>
          </w:tcPr>
          <w:p w:rsidR="00650907" w:rsidRPr="00DE4A3C" w:rsidRDefault="00DE4A3C" w:rsidP="00650907">
            <w:pPr>
              <w:widowControl w:val="0"/>
              <w:tabs>
                <w:tab w:val="left" w:pos="176"/>
              </w:tabs>
              <w:jc w:val="both"/>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w:t>
            </w:r>
          </w:p>
        </w:tc>
        <w:tc>
          <w:tcPr>
            <w:tcW w:w="2126" w:type="dxa"/>
            <w:vAlign w:val="center"/>
          </w:tcPr>
          <w:p w:rsidR="00650907" w:rsidRPr="00DE4A3C" w:rsidRDefault="00DE4A3C" w:rsidP="00650907">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w:t>
            </w:r>
          </w:p>
        </w:tc>
        <w:tc>
          <w:tcPr>
            <w:tcW w:w="1984" w:type="dxa"/>
            <w:vAlign w:val="center"/>
          </w:tcPr>
          <w:p w:rsidR="00650907" w:rsidRPr="00DE4A3C" w:rsidRDefault="00DE4A3C" w:rsidP="00650907">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xml:space="preserve">'''' </w:t>
            </w:r>
          </w:p>
        </w:tc>
      </w:tr>
      <w:tr w:rsidR="00650907" w:rsidRPr="00894F60" w:rsidTr="005D0EDF">
        <w:tc>
          <w:tcPr>
            <w:tcW w:w="4253" w:type="dxa"/>
          </w:tcPr>
          <w:p w:rsidR="00650907" w:rsidRPr="00DE4A3C" w:rsidRDefault="00DE4A3C" w:rsidP="00650907">
            <w:pPr>
              <w:widowControl w:val="0"/>
              <w:tabs>
                <w:tab w:val="left" w:pos="176"/>
              </w:tabs>
              <w:jc w:val="both"/>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w:t>
            </w:r>
          </w:p>
        </w:tc>
        <w:tc>
          <w:tcPr>
            <w:tcW w:w="2126" w:type="dxa"/>
            <w:vAlign w:val="center"/>
          </w:tcPr>
          <w:p w:rsidR="00650907" w:rsidRPr="00DE4A3C" w:rsidRDefault="00DE4A3C" w:rsidP="00650907">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w:t>
            </w:r>
          </w:p>
        </w:tc>
        <w:tc>
          <w:tcPr>
            <w:tcW w:w="1984" w:type="dxa"/>
            <w:vAlign w:val="center"/>
          </w:tcPr>
          <w:p w:rsidR="00650907" w:rsidRPr="00DE4A3C" w:rsidRDefault="00DE4A3C" w:rsidP="00650907">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w:t>
            </w:r>
          </w:p>
        </w:tc>
      </w:tr>
      <w:tr w:rsidR="00650907" w:rsidRPr="00894F60" w:rsidTr="005D0EDF">
        <w:tc>
          <w:tcPr>
            <w:tcW w:w="4253" w:type="dxa"/>
          </w:tcPr>
          <w:p w:rsidR="00650907" w:rsidRPr="00DE4A3C" w:rsidRDefault="00DE4A3C" w:rsidP="00650907">
            <w:pPr>
              <w:widowControl w:val="0"/>
              <w:jc w:val="both"/>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 ''''''''' '''''''''' '''''''''' ''''' ''''' '''''''''''''</w:t>
            </w:r>
          </w:p>
        </w:tc>
        <w:tc>
          <w:tcPr>
            <w:tcW w:w="2126" w:type="dxa"/>
            <w:vAlign w:val="center"/>
          </w:tcPr>
          <w:p w:rsidR="00650907" w:rsidRPr="00DE4A3C" w:rsidRDefault="00DE4A3C" w:rsidP="00650907">
            <w:pPr>
              <w:widowControl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w:t>
            </w:r>
          </w:p>
        </w:tc>
        <w:tc>
          <w:tcPr>
            <w:tcW w:w="1984" w:type="dxa"/>
            <w:vAlign w:val="center"/>
          </w:tcPr>
          <w:p w:rsidR="00650907" w:rsidRPr="00DE4A3C" w:rsidRDefault="00DE4A3C" w:rsidP="00650907">
            <w:pPr>
              <w:widowControl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w:t>
            </w:r>
          </w:p>
        </w:tc>
      </w:tr>
    </w:tbl>
    <w:p w:rsidR="00650907" w:rsidRPr="00DE4A3C" w:rsidRDefault="00DE4A3C" w:rsidP="00650907">
      <w:pPr>
        <w:widowControl w:val="0"/>
        <w:tabs>
          <w:tab w:val="left" w:pos="4503"/>
        </w:tabs>
        <w:ind w:left="709"/>
        <w:rPr>
          <w:rFonts w:ascii="Arial Narrow" w:hAnsi="Arial Narrow" w:cs="Arial"/>
          <w:snapToGrid w:val="0"/>
          <w:sz w:val="18"/>
          <w:szCs w:val="18"/>
          <w:highlight w:val="black"/>
          <w:lang w:eastAsia="en-US"/>
        </w:rPr>
      </w:pPr>
      <w:r>
        <w:rPr>
          <w:rFonts w:ascii="Arial Narrow" w:hAnsi="Arial Narrow" w:cs="Arial"/>
          <w:noProof/>
          <w:snapToGrid w:val="0"/>
          <w:color w:val="000000"/>
          <w:sz w:val="18"/>
          <w:szCs w:val="18"/>
          <w:highlight w:val="black"/>
          <w:lang w:eastAsia="en-US"/>
        </w:rPr>
        <w:t xml:space="preserve">'''''''''''''''''' ''''''''''''' ''''''''' '''''''''''' ''''' '''''''' '''''''''''''''''''''''''' </w:t>
      </w:r>
    </w:p>
    <w:p w:rsidR="00650907" w:rsidRPr="00650907" w:rsidRDefault="00650907" w:rsidP="00650907">
      <w:pPr>
        <w:jc w:val="both"/>
        <w:rPr>
          <w:rFonts w:ascii="Arial" w:hAnsi="Arial"/>
          <w:sz w:val="22"/>
          <w:szCs w:val="22"/>
        </w:rPr>
      </w:pPr>
    </w:p>
    <w:p w:rsidR="00650907" w:rsidRDefault="00650907" w:rsidP="00650907">
      <w:pPr>
        <w:pStyle w:val="ListParagraph"/>
        <w:numPr>
          <w:ilvl w:val="1"/>
          <w:numId w:val="25"/>
        </w:numPr>
        <w:jc w:val="both"/>
        <w:rPr>
          <w:rFonts w:ascii="Arial" w:hAnsi="Arial"/>
          <w:sz w:val="22"/>
          <w:szCs w:val="22"/>
        </w:rPr>
      </w:pPr>
      <w:r w:rsidRPr="00650907">
        <w:rPr>
          <w:rFonts w:ascii="Arial" w:hAnsi="Arial"/>
          <w:sz w:val="22"/>
          <w:szCs w:val="22"/>
        </w:rPr>
        <w:t xml:space="preserve">The </w:t>
      </w:r>
      <w:r>
        <w:rPr>
          <w:rFonts w:ascii="Arial" w:hAnsi="Arial"/>
          <w:sz w:val="22"/>
          <w:szCs w:val="22"/>
        </w:rPr>
        <w:t xml:space="preserve">submission’s </w:t>
      </w:r>
      <w:proofErr w:type="spellStart"/>
      <w:r w:rsidRPr="00650907">
        <w:rPr>
          <w:rFonts w:ascii="Arial" w:hAnsi="Arial"/>
          <w:sz w:val="22"/>
          <w:szCs w:val="22"/>
        </w:rPr>
        <w:t>equi</w:t>
      </w:r>
      <w:proofErr w:type="spellEnd"/>
      <w:r w:rsidRPr="00650907">
        <w:rPr>
          <w:rFonts w:ascii="Arial" w:hAnsi="Arial"/>
          <w:sz w:val="22"/>
          <w:szCs w:val="22"/>
        </w:rPr>
        <w:t>-effective dose estimates also assume</w:t>
      </w:r>
      <w:r>
        <w:rPr>
          <w:rFonts w:ascii="Arial" w:hAnsi="Arial"/>
          <w:sz w:val="22"/>
          <w:szCs w:val="22"/>
        </w:rPr>
        <w:t xml:space="preserve">d </w:t>
      </w:r>
      <w:proofErr w:type="gramStart"/>
      <w:r>
        <w:rPr>
          <w:rFonts w:ascii="Arial" w:hAnsi="Arial"/>
          <w:sz w:val="22"/>
          <w:szCs w:val="22"/>
        </w:rPr>
        <w:t xml:space="preserve">a </w:t>
      </w:r>
      <w:r w:rsidRPr="00650907">
        <w:rPr>
          <w:rFonts w:ascii="Arial" w:hAnsi="Arial"/>
          <w:sz w:val="22"/>
          <w:szCs w:val="22"/>
        </w:rPr>
        <w:t>similar</w:t>
      </w:r>
      <w:proofErr w:type="gramEnd"/>
      <w:r w:rsidRPr="00650907">
        <w:rPr>
          <w:rFonts w:ascii="Arial" w:hAnsi="Arial"/>
          <w:sz w:val="22"/>
          <w:szCs w:val="22"/>
        </w:rPr>
        <w:t xml:space="preserve"> dose relativity between dual and triple therapy.</w:t>
      </w:r>
      <w:r>
        <w:rPr>
          <w:rFonts w:ascii="Arial" w:hAnsi="Arial"/>
          <w:sz w:val="22"/>
          <w:szCs w:val="22"/>
        </w:rPr>
        <w:t xml:space="preserve"> </w:t>
      </w:r>
    </w:p>
    <w:p w:rsidR="00650907" w:rsidRDefault="00650907" w:rsidP="00650907">
      <w:pPr>
        <w:pStyle w:val="ListParagraph"/>
        <w:jc w:val="both"/>
        <w:rPr>
          <w:rFonts w:ascii="Arial" w:hAnsi="Arial"/>
          <w:sz w:val="22"/>
          <w:szCs w:val="22"/>
        </w:rPr>
      </w:pPr>
    </w:p>
    <w:p w:rsidR="0024179B" w:rsidRDefault="00650907" w:rsidP="0024179B">
      <w:pPr>
        <w:pStyle w:val="ListParagraph"/>
        <w:numPr>
          <w:ilvl w:val="1"/>
          <w:numId w:val="25"/>
        </w:numPr>
        <w:jc w:val="both"/>
        <w:rPr>
          <w:rFonts w:ascii="Arial" w:hAnsi="Arial"/>
          <w:sz w:val="22"/>
          <w:szCs w:val="22"/>
        </w:rPr>
      </w:pPr>
      <w:r>
        <w:rPr>
          <w:rFonts w:ascii="Arial" w:hAnsi="Arial"/>
          <w:sz w:val="22"/>
          <w:szCs w:val="22"/>
        </w:rPr>
        <w:t xml:space="preserve">The submission’s estimate of </w:t>
      </w:r>
      <w:proofErr w:type="spellStart"/>
      <w:r>
        <w:rPr>
          <w:rFonts w:ascii="Arial" w:hAnsi="Arial"/>
          <w:sz w:val="22"/>
          <w:szCs w:val="22"/>
        </w:rPr>
        <w:t>lixisenatide’s</w:t>
      </w:r>
      <w:proofErr w:type="spellEnd"/>
      <w:r w:rsidR="0024179B" w:rsidRPr="002554B7">
        <w:rPr>
          <w:rFonts w:ascii="Arial" w:hAnsi="Arial"/>
          <w:sz w:val="22"/>
          <w:szCs w:val="22"/>
        </w:rPr>
        <w:t xml:space="preserve"> price to</w:t>
      </w:r>
      <w:r>
        <w:rPr>
          <w:rFonts w:ascii="Arial" w:hAnsi="Arial"/>
          <w:sz w:val="22"/>
          <w:szCs w:val="22"/>
        </w:rPr>
        <w:t xml:space="preserve"> achieve cost-minimisation relative to </w:t>
      </w:r>
      <w:proofErr w:type="spellStart"/>
      <w:r>
        <w:rPr>
          <w:rFonts w:ascii="Arial" w:hAnsi="Arial"/>
          <w:sz w:val="22"/>
          <w:szCs w:val="22"/>
        </w:rPr>
        <w:t>exenatide</w:t>
      </w:r>
      <w:proofErr w:type="spellEnd"/>
      <w:r>
        <w:rPr>
          <w:rFonts w:ascii="Arial" w:hAnsi="Arial"/>
          <w:sz w:val="22"/>
          <w:szCs w:val="22"/>
        </w:rPr>
        <w:t xml:space="preserve"> is shown in the table below.</w:t>
      </w:r>
    </w:p>
    <w:p w:rsidR="00326AD8" w:rsidRDefault="00326AD8" w:rsidP="00131AAC">
      <w:pPr>
        <w:pStyle w:val="COMBody"/>
      </w:pPr>
    </w:p>
    <w:p w:rsidR="00326AD8" w:rsidRPr="00131AAC" w:rsidRDefault="00326AD8" w:rsidP="00131AAC">
      <w:pPr>
        <w:pStyle w:val="COMBody"/>
        <w:ind w:firstLine="720"/>
        <w:rPr>
          <w:rFonts w:ascii="Arial Narrow" w:hAnsi="Arial Narrow"/>
          <w:b/>
          <w:sz w:val="20"/>
        </w:rPr>
      </w:pPr>
      <w:r w:rsidRPr="00131AAC">
        <w:rPr>
          <w:rFonts w:ascii="Arial Narrow" w:hAnsi="Arial Narrow"/>
          <w:b/>
          <w:sz w:val="20"/>
        </w:rPr>
        <w:t xml:space="preserve">Requested ex-manufacturer price and DPMQ for </w:t>
      </w:r>
      <w:proofErr w:type="spellStart"/>
      <w:r w:rsidRPr="00131AAC">
        <w:rPr>
          <w:rFonts w:ascii="Arial Narrow" w:hAnsi="Arial Narrow"/>
          <w:b/>
          <w:sz w:val="20"/>
        </w:rPr>
        <w:t>lixisenatide</w:t>
      </w:r>
      <w:proofErr w:type="spellEnd"/>
      <w:r w:rsidRPr="00131AAC">
        <w:rPr>
          <w:rFonts w:ascii="Arial Narrow" w:hAnsi="Arial Narrow"/>
          <w:b/>
          <w:sz w:val="20"/>
        </w:rPr>
        <w:t xml:space="preserve"> [ESC ADV.9, Table 5]</w:t>
      </w:r>
    </w:p>
    <w:tbl>
      <w:tblPr>
        <w:tblStyle w:val="TableGrid"/>
        <w:tblW w:w="0" w:type="auto"/>
        <w:tblInd w:w="817" w:type="dxa"/>
        <w:tblLayout w:type="fixed"/>
        <w:tblLook w:val="04A0" w:firstRow="1" w:lastRow="0" w:firstColumn="1" w:lastColumn="0" w:noHBand="0" w:noVBand="1"/>
        <w:tblDescription w:val="Requested ex-manufacturer price and DPMQ for lixisenatide "/>
      </w:tblPr>
      <w:tblGrid>
        <w:gridCol w:w="4394"/>
        <w:gridCol w:w="1134"/>
        <w:gridCol w:w="993"/>
        <w:gridCol w:w="850"/>
        <w:gridCol w:w="992"/>
      </w:tblGrid>
      <w:tr w:rsidR="00326AD8" w:rsidRPr="00326AD8" w:rsidTr="00D31CCA">
        <w:trPr>
          <w:tblHeader/>
        </w:trPr>
        <w:tc>
          <w:tcPr>
            <w:tcW w:w="4394" w:type="dxa"/>
            <w:vAlign w:val="center"/>
          </w:tcPr>
          <w:p w:rsidR="00326AD8" w:rsidRPr="00326AD8" w:rsidRDefault="00326AD8" w:rsidP="00326AD8">
            <w:pPr>
              <w:widowControl w:val="0"/>
              <w:rPr>
                <w:rFonts w:ascii="Arial Narrow" w:hAnsi="Arial Narrow" w:cs="Arial"/>
                <w:snapToGrid w:val="0"/>
                <w:sz w:val="20"/>
                <w:szCs w:val="20"/>
                <w:lang w:eastAsia="en-US"/>
              </w:rPr>
            </w:pPr>
            <w:bookmarkStart w:id="0" w:name="_GoBack" w:colFirst="0" w:colLast="5"/>
          </w:p>
        </w:tc>
        <w:tc>
          <w:tcPr>
            <w:tcW w:w="1134" w:type="dxa"/>
            <w:vAlign w:val="center"/>
          </w:tcPr>
          <w:p w:rsidR="00326AD8" w:rsidRPr="00326AD8" w:rsidRDefault="00326AD8" w:rsidP="00326AD8">
            <w:pPr>
              <w:widowControl w:val="0"/>
              <w:jc w:val="center"/>
              <w:rPr>
                <w:rFonts w:ascii="Arial Narrow" w:hAnsi="Arial Narrow" w:cs="Arial"/>
                <w:b/>
                <w:snapToGrid w:val="0"/>
                <w:sz w:val="20"/>
                <w:szCs w:val="20"/>
                <w:lang w:eastAsia="en-US"/>
              </w:rPr>
            </w:pPr>
            <w:r w:rsidRPr="00326AD8">
              <w:rPr>
                <w:rFonts w:ascii="Arial Narrow" w:hAnsi="Arial Narrow" w:cs="Arial"/>
                <w:b/>
                <w:snapToGrid w:val="0"/>
                <w:sz w:val="20"/>
                <w:szCs w:val="20"/>
                <w:lang w:eastAsia="en-US"/>
              </w:rPr>
              <w:t>EMP/mcg</w:t>
            </w:r>
          </w:p>
        </w:tc>
        <w:tc>
          <w:tcPr>
            <w:tcW w:w="993" w:type="dxa"/>
            <w:vAlign w:val="center"/>
          </w:tcPr>
          <w:p w:rsidR="00326AD8" w:rsidRPr="00326AD8" w:rsidRDefault="00326AD8" w:rsidP="00326AD8">
            <w:pPr>
              <w:widowControl w:val="0"/>
              <w:jc w:val="center"/>
              <w:rPr>
                <w:rFonts w:ascii="Arial Narrow" w:hAnsi="Arial Narrow" w:cs="Arial"/>
                <w:b/>
                <w:snapToGrid w:val="0"/>
                <w:sz w:val="20"/>
                <w:szCs w:val="20"/>
                <w:lang w:eastAsia="en-US"/>
              </w:rPr>
            </w:pPr>
            <w:r w:rsidRPr="00326AD8">
              <w:rPr>
                <w:rFonts w:ascii="Arial Narrow" w:hAnsi="Arial Narrow" w:cs="Arial"/>
                <w:b/>
                <w:snapToGrid w:val="0"/>
                <w:sz w:val="20"/>
                <w:szCs w:val="20"/>
                <w:lang w:eastAsia="en-US"/>
              </w:rPr>
              <w:t>EMP/day</w:t>
            </w:r>
          </w:p>
        </w:tc>
        <w:tc>
          <w:tcPr>
            <w:tcW w:w="850" w:type="dxa"/>
            <w:vAlign w:val="center"/>
          </w:tcPr>
          <w:p w:rsidR="00326AD8" w:rsidRPr="00326AD8" w:rsidRDefault="00326AD8" w:rsidP="00326AD8">
            <w:pPr>
              <w:widowControl w:val="0"/>
              <w:jc w:val="center"/>
              <w:rPr>
                <w:rFonts w:ascii="Arial Narrow" w:hAnsi="Arial Narrow" w:cs="Arial"/>
                <w:b/>
                <w:snapToGrid w:val="0"/>
                <w:sz w:val="20"/>
                <w:szCs w:val="20"/>
                <w:lang w:eastAsia="en-US"/>
              </w:rPr>
            </w:pPr>
            <w:r w:rsidRPr="00326AD8">
              <w:rPr>
                <w:rFonts w:ascii="Arial Narrow" w:hAnsi="Arial Narrow" w:cs="Arial"/>
                <w:b/>
                <w:snapToGrid w:val="0"/>
                <w:sz w:val="20"/>
                <w:szCs w:val="20"/>
                <w:lang w:eastAsia="en-US"/>
              </w:rPr>
              <w:t>EMP</w:t>
            </w:r>
          </w:p>
        </w:tc>
        <w:tc>
          <w:tcPr>
            <w:tcW w:w="992" w:type="dxa"/>
            <w:vAlign w:val="center"/>
          </w:tcPr>
          <w:p w:rsidR="00326AD8" w:rsidRPr="00326AD8" w:rsidRDefault="00326AD8" w:rsidP="00326AD8">
            <w:pPr>
              <w:widowControl w:val="0"/>
              <w:jc w:val="center"/>
              <w:rPr>
                <w:rFonts w:ascii="Arial Narrow" w:hAnsi="Arial Narrow" w:cs="Arial"/>
                <w:b/>
                <w:snapToGrid w:val="0"/>
                <w:sz w:val="20"/>
                <w:szCs w:val="20"/>
                <w:lang w:eastAsia="en-US"/>
              </w:rPr>
            </w:pPr>
            <w:r w:rsidRPr="00326AD8">
              <w:rPr>
                <w:rFonts w:ascii="Arial Narrow" w:hAnsi="Arial Narrow" w:cs="Arial"/>
                <w:b/>
                <w:snapToGrid w:val="0"/>
                <w:sz w:val="20"/>
                <w:szCs w:val="20"/>
                <w:lang w:eastAsia="en-US"/>
              </w:rPr>
              <w:t>DPMQ</w:t>
            </w:r>
          </w:p>
        </w:tc>
      </w:tr>
      <w:bookmarkEnd w:id="0"/>
      <w:tr w:rsidR="00326AD8" w:rsidRPr="00326AD8" w:rsidTr="00C6278E">
        <w:tc>
          <w:tcPr>
            <w:tcW w:w="4394" w:type="dxa"/>
          </w:tcPr>
          <w:p w:rsidR="00326AD8" w:rsidRPr="00326AD8" w:rsidRDefault="00326AD8" w:rsidP="00326AD8">
            <w:pPr>
              <w:widowControl w:val="0"/>
              <w:tabs>
                <w:tab w:val="right" w:pos="4145"/>
              </w:tabs>
              <w:rPr>
                <w:rFonts w:ascii="Arial Narrow" w:hAnsi="Arial Narrow" w:cs="Arial"/>
                <w:snapToGrid w:val="0"/>
                <w:sz w:val="20"/>
                <w:szCs w:val="20"/>
                <w:lang w:eastAsia="en-US"/>
              </w:rPr>
            </w:pPr>
            <w:r w:rsidRPr="00326AD8">
              <w:rPr>
                <w:rFonts w:ascii="Arial Narrow" w:hAnsi="Arial Narrow" w:cs="Arial"/>
                <w:b/>
                <w:snapToGrid w:val="0"/>
                <w:sz w:val="20"/>
                <w:szCs w:val="20"/>
                <w:lang w:eastAsia="en-US"/>
              </w:rPr>
              <w:t xml:space="preserve">Listed price for </w:t>
            </w:r>
            <w:proofErr w:type="spellStart"/>
            <w:r w:rsidRPr="00326AD8">
              <w:rPr>
                <w:rFonts w:ascii="Arial Narrow" w:hAnsi="Arial Narrow" w:cs="Arial"/>
                <w:b/>
                <w:snapToGrid w:val="0"/>
                <w:sz w:val="20"/>
                <w:szCs w:val="20"/>
                <w:lang w:eastAsia="en-US"/>
              </w:rPr>
              <w:t>exenatide</w:t>
            </w:r>
            <w:proofErr w:type="spellEnd"/>
            <w:r w:rsidRPr="00326AD8">
              <w:rPr>
                <w:rFonts w:ascii="Arial Narrow" w:hAnsi="Arial Narrow" w:cs="Arial"/>
                <w:b/>
                <w:snapToGrid w:val="0"/>
                <w:sz w:val="20"/>
                <w:szCs w:val="20"/>
                <w:lang w:eastAsia="en-US"/>
              </w:rPr>
              <w:tab/>
            </w:r>
            <w:r w:rsidRPr="00326AD8">
              <w:rPr>
                <w:rFonts w:ascii="Arial Narrow" w:hAnsi="Arial Narrow" w:cs="Arial"/>
                <w:snapToGrid w:val="0"/>
                <w:sz w:val="20"/>
                <w:szCs w:val="20"/>
                <w:lang w:eastAsia="en-US"/>
              </w:rPr>
              <w:t>5 mcg twice daily</w:t>
            </w:r>
          </w:p>
        </w:tc>
        <w:tc>
          <w:tcPr>
            <w:tcW w:w="1134" w:type="dxa"/>
            <w:vAlign w:val="center"/>
          </w:tcPr>
          <w:p w:rsidR="00326AD8" w:rsidRPr="00326AD8" w:rsidRDefault="00326AD8" w:rsidP="00326AD8">
            <w:pPr>
              <w:widowControl w:val="0"/>
              <w:jc w:val="center"/>
              <w:rPr>
                <w:rFonts w:ascii="Arial Narrow" w:hAnsi="Arial Narrow" w:cs="Arial"/>
                <w:snapToGrid w:val="0"/>
                <w:sz w:val="20"/>
                <w:szCs w:val="20"/>
                <w:lang w:eastAsia="en-US"/>
              </w:rPr>
            </w:pPr>
            <w:r w:rsidRPr="00326AD8">
              <w:rPr>
                <w:rFonts w:ascii="Arial Narrow" w:hAnsi="Arial Narrow" w:cs="Arial"/>
                <w:snapToGrid w:val="0"/>
                <w:sz w:val="20"/>
                <w:szCs w:val="20"/>
                <w:lang w:eastAsia="en-US"/>
              </w:rPr>
              <w:t>$0.3504</w:t>
            </w:r>
          </w:p>
        </w:tc>
        <w:tc>
          <w:tcPr>
            <w:tcW w:w="993" w:type="dxa"/>
          </w:tcPr>
          <w:p w:rsidR="00326AD8" w:rsidRPr="00326AD8" w:rsidRDefault="00326AD8" w:rsidP="00326AD8">
            <w:pPr>
              <w:widowControl w:val="0"/>
              <w:jc w:val="center"/>
              <w:rPr>
                <w:rFonts w:ascii="Arial Narrow" w:hAnsi="Arial Narrow" w:cs="Arial"/>
                <w:snapToGrid w:val="0"/>
                <w:sz w:val="20"/>
                <w:szCs w:val="20"/>
                <w:lang w:eastAsia="en-US"/>
              </w:rPr>
            </w:pPr>
            <w:r w:rsidRPr="00326AD8">
              <w:rPr>
                <w:rFonts w:ascii="Arial Narrow" w:hAnsi="Arial Narrow" w:cs="Arial"/>
                <w:snapToGrid w:val="0"/>
                <w:sz w:val="20"/>
                <w:szCs w:val="20"/>
                <w:lang w:eastAsia="en-US"/>
              </w:rPr>
              <w:t>$3.50</w:t>
            </w:r>
          </w:p>
        </w:tc>
        <w:tc>
          <w:tcPr>
            <w:tcW w:w="850" w:type="dxa"/>
          </w:tcPr>
          <w:p w:rsidR="00326AD8" w:rsidRPr="00326AD8" w:rsidRDefault="00326AD8" w:rsidP="00326AD8">
            <w:pPr>
              <w:widowControl w:val="0"/>
              <w:jc w:val="center"/>
              <w:rPr>
                <w:rFonts w:ascii="Arial Narrow" w:hAnsi="Arial Narrow" w:cs="Arial"/>
                <w:snapToGrid w:val="0"/>
                <w:sz w:val="20"/>
                <w:szCs w:val="20"/>
                <w:lang w:eastAsia="en-US"/>
              </w:rPr>
            </w:pPr>
            <w:r w:rsidRPr="00326AD8">
              <w:rPr>
                <w:rFonts w:ascii="Arial Narrow" w:hAnsi="Arial Narrow" w:cs="Arial"/>
                <w:snapToGrid w:val="0"/>
                <w:sz w:val="20"/>
                <w:szCs w:val="20"/>
                <w:lang w:eastAsia="en-US"/>
              </w:rPr>
              <w:t>$98.10</w:t>
            </w:r>
          </w:p>
        </w:tc>
        <w:tc>
          <w:tcPr>
            <w:tcW w:w="992" w:type="dxa"/>
          </w:tcPr>
          <w:p w:rsidR="00326AD8" w:rsidRPr="00326AD8" w:rsidRDefault="00326AD8" w:rsidP="00326AD8">
            <w:pPr>
              <w:widowControl w:val="0"/>
              <w:jc w:val="center"/>
              <w:rPr>
                <w:rFonts w:ascii="Arial Narrow" w:hAnsi="Arial Narrow" w:cs="Arial"/>
                <w:snapToGrid w:val="0"/>
                <w:sz w:val="20"/>
                <w:szCs w:val="20"/>
                <w:lang w:eastAsia="en-US"/>
              </w:rPr>
            </w:pPr>
            <w:r w:rsidRPr="00326AD8">
              <w:rPr>
                <w:rFonts w:ascii="Arial Narrow" w:hAnsi="Arial Narrow" w:cs="Arial"/>
                <w:snapToGrid w:val="0"/>
                <w:sz w:val="20"/>
                <w:szCs w:val="20"/>
                <w:lang w:eastAsia="en-US"/>
              </w:rPr>
              <w:t>$122.66</w:t>
            </w:r>
          </w:p>
        </w:tc>
      </w:tr>
      <w:tr w:rsidR="00326AD8" w:rsidRPr="00326AD8" w:rsidTr="00C6278E">
        <w:tc>
          <w:tcPr>
            <w:tcW w:w="4394" w:type="dxa"/>
          </w:tcPr>
          <w:p w:rsidR="00326AD8" w:rsidRPr="00326AD8" w:rsidRDefault="00326AD8" w:rsidP="00326AD8">
            <w:pPr>
              <w:widowControl w:val="0"/>
              <w:tabs>
                <w:tab w:val="right" w:pos="4145"/>
              </w:tabs>
              <w:rPr>
                <w:rFonts w:ascii="Arial Narrow" w:hAnsi="Arial Narrow" w:cs="Arial"/>
                <w:snapToGrid w:val="0"/>
                <w:sz w:val="20"/>
                <w:szCs w:val="20"/>
                <w:lang w:eastAsia="en-US"/>
              </w:rPr>
            </w:pPr>
            <w:r w:rsidRPr="00326AD8">
              <w:rPr>
                <w:rFonts w:ascii="Arial Narrow" w:hAnsi="Arial Narrow" w:cs="Arial"/>
                <w:snapToGrid w:val="0"/>
                <w:sz w:val="20"/>
                <w:szCs w:val="20"/>
                <w:lang w:eastAsia="en-US"/>
              </w:rPr>
              <w:tab/>
              <w:t>10 mcg twice daily</w:t>
            </w:r>
          </w:p>
        </w:tc>
        <w:tc>
          <w:tcPr>
            <w:tcW w:w="1134" w:type="dxa"/>
            <w:vAlign w:val="center"/>
          </w:tcPr>
          <w:p w:rsidR="00326AD8" w:rsidRPr="00326AD8" w:rsidRDefault="00326AD8" w:rsidP="00326AD8">
            <w:pPr>
              <w:widowControl w:val="0"/>
              <w:jc w:val="center"/>
              <w:rPr>
                <w:rFonts w:ascii="Arial Narrow" w:hAnsi="Arial Narrow" w:cs="Arial"/>
                <w:snapToGrid w:val="0"/>
                <w:sz w:val="20"/>
                <w:szCs w:val="20"/>
                <w:lang w:eastAsia="en-US"/>
              </w:rPr>
            </w:pPr>
            <w:r w:rsidRPr="00326AD8">
              <w:rPr>
                <w:rFonts w:ascii="Arial Narrow" w:hAnsi="Arial Narrow" w:cs="Arial"/>
                <w:snapToGrid w:val="0"/>
                <w:sz w:val="20"/>
                <w:szCs w:val="20"/>
                <w:lang w:eastAsia="en-US"/>
              </w:rPr>
              <w:t>$0.1886</w:t>
            </w:r>
          </w:p>
        </w:tc>
        <w:tc>
          <w:tcPr>
            <w:tcW w:w="993" w:type="dxa"/>
          </w:tcPr>
          <w:p w:rsidR="00326AD8" w:rsidRPr="00326AD8" w:rsidRDefault="00326AD8" w:rsidP="00326AD8">
            <w:pPr>
              <w:widowControl w:val="0"/>
              <w:jc w:val="center"/>
              <w:rPr>
                <w:rFonts w:ascii="Arial Narrow" w:hAnsi="Arial Narrow" w:cs="Arial"/>
                <w:snapToGrid w:val="0"/>
                <w:sz w:val="20"/>
                <w:szCs w:val="20"/>
                <w:lang w:eastAsia="en-US"/>
              </w:rPr>
            </w:pPr>
            <w:r w:rsidRPr="00326AD8">
              <w:rPr>
                <w:rFonts w:ascii="Arial Narrow" w:hAnsi="Arial Narrow" w:cs="Arial"/>
                <w:snapToGrid w:val="0"/>
                <w:sz w:val="20"/>
                <w:szCs w:val="20"/>
                <w:lang w:eastAsia="en-US"/>
              </w:rPr>
              <w:t>$3.77</w:t>
            </w:r>
          </w:p>
        </w:tc>
        <w:tc>
          <w:tcPr>
            <w:tcW w:w="850" w:type="dxa"/>
          </w:tcPr>
          <w:p w:rsidR="00326AD8" w:rsidRPr="00326AD8" w:rsidRDefault="00326AD8" w:rsidP="00326AD8">
            <w:pPr>
              <w:widowControl w:val="0"/>
              <w:jc w:val="center"/>
              <w:rPr>
                <w:rFonts w:ascii="Arial Narrow" w:hAnsi="Arial Narrow" w:cs="Arial"/>
                <w:snapToGrid w:val="0"/>
                <w:sz w:val="20"/>
                <w:szCs w:val="20"/>
                <w:lang w:eastAsia="en-US"/>
              </w:rPr>
            </w:pPr>
            <w:r w:rsidRPr="00326AD8">
              <w:rPr>
                <w:rFonts w:ascii="Arial Narrow" w:hAnsi="Arial Narrow" w:cs="Arial"/>
                <w:snapToGrid w:val="0"/>
                <w:sz w:val="20"/>
                <w:szCs w:val="20"/>
                <w:lang w:eastAsia="en-US"/>
              </w:rPr>
              <w:t>$105.60</w:t>
            </w:r>
          </w:p>
        </w:tc>
        <w:tc>
          <w:tcPr>
            <w:tcW w:w="992" w:type="dxa"/>
          </w:tcPr>
          <w:p w:rsidR="00326AD8" w:rsidRPr="00326AD8" w:rsidRDefault="00326AD8" w:rsidP="00326AD8">
            <w:pPr>
              <w:widowControl w:val="0"/>
              <w:jc w:val="center"/>
              <w:rPr>
                <w:rFonts w:ascii="Arial Narrow" w:hAnsi="Arial Narrow" w:cs="Arial"/>
                <w:snapToGrid w:val="0"/>
                <w:sz w:val="20"/>
                <w:szCs w:val="20"/>
                <w:lang w:eastAsia="en-US"/>
              </w:rPr>
            </w:pPr>
            <w:r w:rsidRPr="00326AD8">
              <w:rPr>
                <w:rFonts w:ascii="Arial Narrow" w:hAnsi="Arial Narrow" w:cs="Arial"/>
                <w:snapToGrid w:val="0"/>
                <w:sz w:val="20"/>
                <w:szCs w:val="20"/>
                <w:lang w:eastAsia="en-US"/>
              </w:rPr>
              <w:t>$131.52</w:t>
            </w:r>
          </w:p>
        </w:tc>
      </w:tr>
      <w:tr w:rsidR="00326AD8" w:rsidRPr="00326AD8" w:rsidTr="00C6278E">
        <w:trPr>
          <w:trHeight w:val="64"/>
        </w:trPr>
        <w:tc>
          <w:tcPr>
            <w:tcW w:w="4394" w:type="dxa"/>
            <w:vAlign w:val="center"/>
          </w:tcPr>
          <w:p w:rsidR="00326AD8" w:rsidRPr="00326AD8" w:rsidRDefault="00326AD8" w:rsidP="00326AD8">
            <w:pPr>
              <w:widowControl w:val="0"/>
              <w:tabs>
                <w:tab w:val="right" w:pos="4145"/>
              </w:tabs>
              <w:rPr>
                <w:rFonts w:ascii="Arial Narrow" w:hAnsi="Arial Narrow" w:cs="Arial"/>
                <w:snapToGrid w:val="0"/>
                <w:sz w:val="20"/>
                <w:szCs w:val="20"/>
                <w:lang w:eastAsia="en-US"/>
              </w:rPr>
            </w:pPr>
            <w:r w:rsidRPr="00326AD8">
              <w:rPr>
                <w:rFonts w:ascii="Arial Narrow" w:hAnsi="Arial Narrow" w:cs="Arial"/>
                <w:b/>
                <w:snapToGrid w:val="0"/>
                <w:sz w:val="20"/>
                <w:szCs w:val="20"/>
                <w:lang w:eastAsia="en-US"/>
              </w:rPr>
              <w:t xml:space="preserve">Requested price for </w:t>
            </w:r>
            <w:proofErr w:type="spellStart"/>
            <w:r w:rsidRPr="00326AD8">
              <w:rPr>
                <w:rFonts w:ascii="Arial Narrow" w:hAnsi="Arial Narrow" w:cs="Arial"/>
                <w:b/>
                <w:snapToGrid w:val="0"/>
                <w:sz w:val="20"/>
                <w:szCs w:val="20"/>
                <w:lang w:eastAsia="en-US"/>
              </w:rPr>
              <w:t>lixisenatide</w:t>
            </w:r>
            <w:proofErr w:type="spellEnd"/>
            <w:r w:rsidRPr="00326AD8">
              <w:rPr>
                <w:rFonts w:ascii="Arial Narrow" w:hAnsi="Arial Narrow" w:cs="Arial"/>
                <w:b/>
                <w:snapToGrid w:val="0"/>
                <w:sz w:val="20"/>
                <w:szCs w:val="20"/>
                <w:lang w:eastAsia="en-US"/>
              </w:rPr>
              <w:t xml:space="preserve"> </w:t>
            </w:r>
            <w:r w:rsidRPr="00326AD8">
              <w:rPr>
                <w:rFonts w:ascii="Arial Narrow" w:hAnsi="Arial Narrow" w:cs="Arial"/>
                <w:b/>
                <w:snapToGrid w:val="0"/>
                <w:sz w:val="20"/>
                <w:szCs w:val="20"/>
                <w:lang w:eastAsia="en-US"/>
              </w:rPr>
              <w:tab/>
            </w:r>
            <w:r w:rsidRPr="00326AD8">
              <w:rPr>
                <w:rFonts w:ascii="Arial Narrow" w:hAnsi="Arial Narrow" w:cs="Arial"/>
                <w:snapToGrid w:val="0"/>
                <w:sz w:val="20"/>
                <w:szCs w:val="20"/>
                <w:lang w:eastAsia="en-US"/>
              </w:rPr>
              <w:t>10-20 mcg once daily</w:t>
            </w:r>
          </w:p>
        </w:tc>
        <w:tc>
          <w:tcPr>
            <w:tcW w:w="1134" w:type="dxa"/>
            <w:vAlign w:val="center"/>
          </w:tcPr>
          <w:p w:rsidR="00326AD8" w:rsidRPr="00DE4A3C" w:rsidRDefault="00DE4A3C" w:rsidP="00326AD8">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993" w:type="dxa"/>
            <w:vAlign w:val="center"/>
          </w:tcPr>
          <w:p w:rsidR="00326AD8" w:rsidRPr="00DE4A3C" w:rsidRDefault="00DE4A3C" w:rsidP="00326AD8">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850" w:type="dxa"/>
            <w:vAlign w:val="center"/>
          </w:tcPr>
          <w:p w:rsidR="00326AD8" w:rsidRPr="00DE4A3C" w:rsidRDefault="00DE4A3C" w:rsidP="00326AD8">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992" w:type="dxa"/>
            <w:vAlign w:val="center"/>
          </w:tcPr>
          <w:p w:rsidR="00326AD8" w:rsidRPr="00DE4A3C" w:rsidRDefault="00DE4A3C" w:rsidP="00326AD8">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326AD8" w:rsidRPr="00326AD8" w:rsidTr="00C6278E">
        <w:trPr>
          <w:trHeight w:val="199"/>
        </w:trPr>
        <w:tc>
          <w:tcPr>
            <w:tcW w:w="8363" w:type="dxa"/>
            <w:gridSpan w:val="5"/>
            <w:vAlign w:val="center"/>
          </w:tcPr>
          <w:p w:rsidR="00326AD8" w:rsidRPr="00326AD8" w:rsidRDefault="00326AD8" w:rsidP="00326AD8">
            <w:pPr>
              <w:widowControl w:val="0"/>
              <w:rPr>
                <w:rFonts w:ascii="Arial Narrow" w:hAnsi="Arial Narrow" w:cs="Arial"/>
                <w:b/>
                <w:snapToGrid w:val="0"/>
                <w:sz w:val="20"/>
                <w:szCs w:val="20"/>
                <w:lang w:eastAsia="en-US"/>
              </w:rPr>
            </w:pPr>
            <w:r w:rsidRPr="00326AD8">
              <w:rPr>
                <w:rFonts w:ascii="Arial Narrow" w:hAnsi="Arial Narrow" w:cs="Arial"/>
                <w:b/>
                <w:snapToGrid w:val="0"/>
                <w:sz w:val="20"/>
                <w:szCs w:val="20"/>
                <w:lang w:eastAsia="en-US"/>
              </w:rPr>
              <w:t xml:space="preserve">Price of </w:t>
            </w:r>
            <w:proofErr w:type="spellStart"/>
            <w:r w:rsidRPr="00326AD8">
              <w:rPr>
                <w:rFonts w:ascii="Arial Narrow" w:hAnsi="Arial Narrow" w:cs="Arial"/>
                <w:b/>
                <w:snapToGrid w:val="0"/>
                <w:sz w:val="20"/>
                <w:szCs w:val="20"/>
                <w:lang w:eastAsia="en-US"/>
              </w:rPr>
              <w:t>lixisenatide</w:t>
            </w:r>
            <w:proofErr w:type="spellEnd"/>
            <w:r w:rsidRPr="00326AD8">
              <w:rPr>
                <w:rFonts w:ascii="Arial Narrow" w:hAnsi="Arial Narrow" w:cs="Arial"/>
                <w:b/>
                <w:snapToGrid w:val="0"/>
                <w:sz w:val="20"/>
                <w:szCs w:val="20"/>
                <w:lang w:eastAsia="en-US"/>
              </w:rPr>
              <w:t xml:space="preserve"> based on estimated effective prices </w:t>
            </w:r>
          </w:p>
        </w:tc>
      </w:tr>
      <w:tr w:rsidR="00326AD8" w:rsidRPr="00326AD8" w:rsidTr="00C6278E">
        <w:tc>
          <w:tcPr>
            <w:tcW w:w="4394" w:type="dxa"/>
          </w:tcPr>
          <w:p w:rsidR="00326AD8" w:rsidRPr="00326AD8" w:rsidRDefault="00326AD8" w:rsidP="00326AD8">
            <w:pPr>
              <w:widowControl w:val="0"/>
              <w:tabs>
                <w:tab w:val="right" w:pos="4145"/>
              </w:tabs>
              <w:rPr>
                <w:rFonts w:ascii="Arial Narrow" w:hAnsi="Arial Narrow" w:cs="Arial"/>
                <w:snapToGrid w:val="0"/>
                <w:sz w:val="20"/>
                <w:szCs w:val="20"/>
                <w:u w:val="single"/>
                <w:lang w:eastAsia="en-US"/>
              </w:rPr>
            </w:pPr>
            <w:r w:rsidRPr="00326AD8">
              <w:rPr>
                <w:rFonts w:ascii="Arial Narrow" w:hAnsi="Arial Narrow" w:cs="Arial"/>
                <w:b/>
                <w:snapToGrid w:val="0"/>
                <w:sz w:val="20"/>
                <w:szCs w:val="20"/>
                <w:lang w:eastAsia="en-US"/>
              </w:rPr>
              <w:t xml:space="preserve">Estimated effective price of </w:t>
            </w:r>
            <w:proofErr w:type="spellStart"/>
            <w:r w:rsidRPr="00326AD8">
              <w:rPr>
                <w:rFonts w:ascii="Arial Narrow" w:hAnsi="Arial Narrow" w:cs="Arial"/>
                <w:b/>
                <w:snapToGrid w:val="0"/>
                <w:sz w:val="20"/>
                <w:szCs w:val="20"/>
                <w:lang w:eastAsia="en-US"/>
              </w:rPr>
              <w:t>exenatide</w:t>
            </w:r>
            <w:proofErr w:type="spellEnd"/>
            <w:r w:rsidRPr="00326AD8">
              <w:rPr>
                <w:rFonts w:ascii="Arial Narrow" w:hAnsi="Arial Narrow" w:cs="Arial"/>
                <w:b/>
                <w:snapToGrid w:val="0"/>
                <w:sz w:val="20"/>
                <w:szCs w:val="20"/>
                <w:lang w:eastAsia="en-US"/>
              </w:rPr>
              <w:t xml:space="preserve"> </w:t>
            </w:r>
            <w:r w:rsidRPr="00326AD8">
              <w:rPr>
                <w:rFonts w:ascii="Arial Narrow" w:hAnsi="Arial Narrow" w:cs="Arial"/>
                <w:b/>
                <w:snapToGrid w:val="0"/>
                <w:sz w:val="20"/>
                <w:szCs w:val="20"/>
                <w:lang w:eastAsia="en-US"/>
              </w:rPr>
              <w:tab/>
            </w:r>
            <w:r w:rsidRPr="00326AD8">
              <w:rPr>
                <w:rFonts w:ascii="Arial Narrow" w:hAnsi="Arial Narrow" w:cs="Arial"/>
                <w:snapToGrid w:val="0"/>
                <w:sz w:val="20"/>
                <w:szCs w:val="20"/>
                <w:lang w:eastAsia="en-US"/>
              </w:rPr>
              <w:t>5 mcg twice daily</w:t>
            </w:r>
          </w:p>
        </w:tc>
        <w:tc>
          <w:tcPr>
            <w:tcW w:w="2977" w:type="dxa"/>
            <w:gridSpan w:val="3"/>
            <w:vAlign w:val="center"/>
          </w:tcPr>
          <w:p w:rsidR="00326AD8" w:rsidRPr="00326AD8" w:rsidRDefault="00326AD8" w:rsidP="00326AD8">
            <w:pPr>
              <w:widowControl w:val="0"/>
              <w:jc w:val="center"/>
              <w:rPr>
                <w:rFonts w:ascii="Arial Narrow" w:hAnsi="Arial Narrow" w:cs="Arial"/>
                <w:snapToGrid w:val="0"/>
                <w:sz w:val="20"/>
                <w:szCs w:val="20"/>
                <w:lang w:eastAsia="en-US"/>
              </w:rPr>
            </w:pPr>
            <w:r w:rsidRPr="00326AD8">
              <w:rPr>
                <w:rFonts w:ascii="Arial Narrow" w:hAnsi="Arial Narrow" w:cs="Arial"/>
                <w:snapToGrid w:val="0"/>
                <w:sz w:val="20"/>
                <w:szCs w:val="20"/>
                <w:lang w:eastAsia="en-US"/>
              </w:rPr>
              <w:t>Not reported</w:t>
            </w:r>
          </w:p>
        </w:tc>
        <w:tc>
          <w:tcPr>
            <w:tcW w:w="992" w:type="dxa"/>
            <w:shd w:val="clear" w:color="auto" w:fill="D9D9D9" w:themeFill="background1" w:themeFillShade="D9"/>
            <w:vAlign w:val="center"/>
          </w:tcPr>
          <w:p w:rsidR="00326AD8" w:rsidRPr="00326AD8" w:rsidRDefault="00326AD8" w:rsidP="00326AD8">
            <w:pPr>
              <w:widowControl w:val="0"/>
              <w:jc w:val="center"/>
              <w:rPr>
                <w:rFonts w:ascii="Arial Narrow" w:hAnsi="Arial Narrow" w:cs="Arial"/>
                <w:snapToGrid w:val="0"/>
                <w:sz w:val="20"/>
                <w:szCs w:val="20"/>
                <w:lang w:eastAsia="en-US"/>
              </w:rPr>
            </w:pPr>
            <w:r w:rsidRPr="00326AD8">
              <w:rPr>
                <w:rFonts w:ascii="Arial Narrow" w:hAnsi="Arial Narrow" w:cs="Arial"/>
                <w:snapToGrid w:val="0"/>
                <w:sz w:val="20"/>
                <w:szCs w:val="20"/>
                <w:lang w:eastAsia="en-US"/>
              </w:rPr>
              <w:t>$35.53</w:t>
            </w:r>
          </w:p>
        </w:tc>
      </w:tr>
      <w:tr w:rsidR="00326AD8" w:rsidRPr="00326AD8" w:rsidTr="00C6278E">
        <w:tc>
          <w:tcPr>
            <w:tcW w:w="4394" w:type="dxa"/>
          </w:tcPr>
          <w:p w:rsidR="00326AD8" w:rsidRPr="00326AD8" w:rsidRDefault="00326AD8" w:rsidP="00326AD8">
            <w:pPr>
              <w:widowControl w:val="0"/>
              <w:tabs>
                <w:tab w:val="right" w:pos="4145"/>
              </w:tabs>
              <w:rPr>
                <w:rFonts w:ascii="Arial Narrow" w:hAnsi="Arial Narrow" w:cs="Arial"/>
                <w:snapToGrid w:val="0"/>
                <w:sz w:val="20"/>
                <w:szCs w:val="20"/>
                <w:u w:val="single"/>
                <w:lang w:eastAsia="en-US"/>
              </w:rPr>
            </w:pPr>
            <w:r w:rsidRPr="00326AD8">
              <w:rPr>
                <w:rFonts w:ascii="Arial Narrow" w:hAnsi="Arial Narrow" w:cs="Arial"/>
                <w:snapToGrid w:val="0"/>
                <w:sz w:val="20"/>
                <w:szCs w:val="20"/>
                <w:lang w:eastAsia="en-US"/>
              </w:rPr>
              <w:tab/>
              <w:t>10 mcg twice daily</w:t>
            </w:r>
          </w:p>
        </w:tc>
        <w:tc>
          <w:tcPr>
            <w:tcW w:w="1134" w:type="dxa"/>
            <w:vAlign w:val="center"/>
          </w:tcPr>
          <w:p w:rsidR="00326AD8" w:rsidRPr="00326AD8" w:rsidRDefault="00326AD8" w:rsidP="00326AD8">
            <w:pPr>
              <w:widowControl w:val="0"/>
              <w:jc w:val="center"/>
              <w:rPr>
                <w:rFonts w:ascii="Arial Narrow" w:hAnsi="Arial Narrow" w:cs="Arial"/>
                <w:snapToGrid w:val="0"/>
                <w:sz w:val="20"/>
                <w:szCs w:val="20"/>
                <w:lang w:eastAsia="en-US"/>
              </w:rPr>
            </w:pPr>
            <w:r w:rsidRPr="00326AD8">
              <w:rPr>
                <w:rFonts w:ascii="Arial Narrow" w:hAnsi="Arial Narrow" w:cs="Arial"/>
                <w:snapToGrid w:val="0"/>
                <w:sz w:val="20"/>
                <w:szCs w:val="20"/>
                <w:lang w:eastAsia="en-US"/>
              </w:rPr>
              <w:t>$0.0779</w:t>
            </w:r>
          </w:p>
        </w:tc>
        <w:tc>
          <w:tcPr>
            <w:tcW w:w="993" w:type="dxa"/>
          </w:tcPr>
          <w:p w:rsidR="00326AD8" w:rsidRPr="00326AD8" w:rsidRDefault="00326AD8" w:rsidP="00326AD8">
            <w:pPr>
              <w:widowControl w:val="0"/>
              <w:jc w:val="center"/>
              <w:rPr>
                <w:rFonts w:ascii="Arial Narrow" w:hAnsi="Arial Narrow" w:cs="Arial"/>
                <w:snapToGrid w:val="0"/>
                <w:sz w:val="20"/>
                <w:szCs w:val="20"/>
                <w:lang w:eastAsia="en-US"/>
              </w:rPr>
            </w:pPr>
            <w:r w:rsidRPr="00326AD8">
              <w:rPr>
                <w:rFonts w:ascii="Arial Narrow" w:hAnsi="Arial Narrow" w:cs="Arial"/>
                <w:snapToGrid w:val="0"/>
                <w:sz w:val="20"/>
                <w:szCs w:val="20"/>
                <w:lang w:eastAsia="en-US"/>
              </w:rPr>
              <w:t>$1.56</w:t>
            </w:r>
          </w:p>
        </w:tc>
        <w:tc>
          <w:tcPr>
            <w:tcW w:w="850" w:type="dxa"/>
          </w:tcPr>
          <w:p w:rsidR="00326AD8" w:rsidRPr="00326AD8" w:rsidRDefault="00326AD8" w:rsidP="00326AD8">
            <w:pPr>
              <w:widowControl w:val="0"/>
              <w:jc w:val="center"/>
              <w:rPr>
                <w:rFonts w:ascii="Arial Narrow" w:hAnsi="Arial Narrow" w:cs="Arial"/>
                <w:snapToGrid w:val="0"/>
                <w:sz w:val="20"/>
                <w:szCs w:val="20"/>
                <w:lang w:eastAsia="en-US"/>
              </w:rPr>
            </w:pPr>
            <w:r w:rsidRPr="00326AD8">
              <w:rPr>
                <w:rFonts w:ascii="Arial Narrow" w:hAnsi="Arial Narrow" w:cs="Arial"/>
                <w:snapToGrid w:val="0"/>
                <w:sz w:val="20"/>
                <w:szCs w:val="20"/>
                <w:lang w:eastAsia="en-US"/>
              </w:rPr>
              <w:t>$46.74</w:t>
            </w:r>
          </w:p>
        </w:tc>
        <w:tc>
          <w:tcPr>
            <w:tcW w:w="992" w:type="dxa"/>
            <w:shd w:val="clear" w:color="auto" w:fill="D9D9D9" w:themeFill="background1" w:themeFillShade="D9"/>
            <w:vAlign w:val="center"/>
          </w:tcPr>
          <w:p w:rsidR="00326AD8" w:rsidRPr="00326AD8" w:rsidRDefault="00326AD8" w:rsidP="00326AD8">
            <w:pPr>
              <w:widowControl w:val="0"/>
              <w:jc w:val="center"/>
              <w:rPr>
                <w:rFonts w:ascii="Arial Narrow" w:hAnsi="Arial Narrow" w:cs="Arial"/>
                <w:snapToGrid w:val="0"/>
                <w:sz w:val="20"/>
                <w:szCs w:val="20"/>
                <w:lang w:eastAsia="en-US"/>
              </w:rPr>
            </w:pPr>
            <w:r w:rsidRPr="00326AD8">
              <w:rPr>
                <w:rFonts w:ascii="Arial Narrow" w:hAnsi="Arial Narrow" w:cs="Arial"/>
                <w:snapToGrid w:val="0"/>
                <w:sz w:val="20"/>
                <w:szCs w:val="20"/>
                <w:lang w:eastAsia="en-US"/>
              </w:rPr>
              <w:t>$61.91</w:t>
            </w:r>
          </w:p>
        </w:tc>
      </w:tr>
      <w:tr w:rsidR="00326AD8" w:rsidRPr="00326AD8" w:rsidTr="00C6278E">
        <w:trPr>
          <w:trHeight w:val="64"/>
        </w:trPr>
        <w:tc>
          <w:tcPr>
            <w:tcW w:w="4394" w:type="dxa"/>
            <w:vAlign w:val="center"/>
          </w:tcPr>
          <w:p w:rsidR="00326AD8" w:rsidRPr="00326AD8" w:rsidRDefault="00326AD8" w:rsidP="00326AD8">
            <w:pPr>
              <w:widowControl w:val="0"/>
              <w:tabs>
                <w:tab w:val="right" w:pos="4145"/>
              </w:tabs>
              <w:rPr>
                <w:rFonts w:ascii="Arial Narrow" w:hAnsi="Arial Narrow" w:cs="Arial"/>
                <w:snapToGrid w:val="0"/>
                <w:sz w:val="20"/>
                <w:szCs w:val="20"/>
                <w:lang w:eastAsia="en-US"/>
              </w:rPr>
            </w:pPr>
            <w:r w:rsidRPr="00326AD8">
              <w:rPr>
                <w:rFonts w:ascii="Arial Narrow" w:hAnsi="Arial Narrow" w:cs="Arial"/>
                <w:b/>
                <w:snapToGrid w:val="0"/>
                <w:sz w:val="20"/>
                <w:szCs w:val="20"/>
                <w:lang w:eastAsia="en-US"/>
              </w:rPr>
              <w:t xml:space="preserve">Effective price for </w:t>
            </w:r>
            <w:proofErr w:type="spellStart"/>
            <w:r w:rsidRPr="00326AD8">
              <w:rPr>
                <w:rFonts w:ascii="Arial Narrow" w:hAnsi="Arial Narrow" w:cs="Arial"/>
                <w:b/>
                <w:snapToGrid w:val="0"/>
                <w:sz w:val="20"/>
                <w:szCs w:val="20"/>
                <w:lang w:eastAsia="en-US"/>
              </w:rPr>
              <w:t>lixisenatide</w:t>
            </w:r>
            <w:proofErr w:type="spellEnd"/>
            <w:r w:rsidRPr="00326AD8">
              <w:rPr>
                <w:rFonts w:ascii="Arial Narrow" w:hAnsi="Arial Narrow" w:cs="Arial"/>
                <w:b/>
                <w:snapToGrid w:val="0"/>
                <w:sz w:val="20"/>
                <w:szCs w:val="20"/>
                <w:lang w:eastAsia="en-US"/>
              </w:rPr>
              <w:t xml:space="preserve"> </w:t>
            </w:r>
            <w:r w:rsidRPr="00326AD8">
              <w:rPr>
                <w:rFonts w:ascii="Arial Narrow" w:hAnsi="Arial Narrow" w:cs="Arial"/>
                <w:b/>
                <w:snapToGrid w:val="0"/>
                <w:sz w:val="20"/>
                <w:szCs w:val="20"/>
                <w:lang w:eastAsia="en-US"/>
              </w:rPr>
              <w:tab/>
            </w:r>
            <w:r w:rsidRPr="00326AD8">
              <w:rPr>
                <w:rFonts w:ascii="Arial Narrow" w:hAnsi="Arial Narrow" w:cs="Arial"/>
                <w:snapToGrid w:val="0"/>
                <w:sz w:val="20"/>
                <w:szCs w:val="20"/>
                <w:lang w:eastAsia="en-US"/>
              </w:rPr>
              <w:t xml:space="preserve">10-20 mcg once </w:t>
            </w:r>
            <w:proofErr w:type="spellStart"/>
            <w:r w:rsidRPr="00326AD8">
              <w:rPr>
                <w:rFonts w:ascii="Arial Narrow" w:hAnsi="Arial Narrow" w:cs="Arial"/>
                <w:snapToGrid w:val="0"/>
                <w:sz w:val="20"/>
                <w:szCs w:val="20"/>
                <w:lang w:eastAsia="en-US"/>
              </w:rPr>
              <w:t>daily</w:t>
            </w:r>
            <w:r w:rsidRPr="00326AD8">
              <w:rPr>
                <w:rFonts w:ascii="Arial Narrow" w:hAnsi="Arial Narrow" w:cs="Arial"/>
                <w:snapToGrid w:val="0"/>
                <w:sz w:val="20"/>
                <w:szCs w:val="20"/>
                <w:vertAlign w:val="superscript"/>
                <w:lang w:eastAsia="en-US"/>
              </w:rPr>
              <w:t>b</w:t>
            </w:r>
            <w:proofErr w:type="spellEnd"/>
          </w:p>
        </w:tc>
        <w:tc>
          <w:tcPr>
            <w:tcW w:w="1134" w:type="dxa"/>
            <w:vAlign w:val="center"/>
          </w:tcPr>
          <w:p w:rsidR="00326AD8" w:rsidRPr="00DE4A3C" w:rsidRDefault="00DE4A3C" w:rsidP="00326AD8">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993" w:type="dxa"/>
            <w:vAlign w:val="center"/>
          </w:tcPr>
          <w:p w:rsidR="00326AD8" w:rsidRPr="00DE4A3C" w:rsidRDefault="00DE4A3C" w:rsidP="00326AD8">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850" w:type="dxa"/>
            <w:vAlign w:val="center"/>
          </w:tcPr>
          <w:p w:rsidR="00326AD8" w:rsidRPr="00DE4A3C" w:rsidRDefault="00DE4A3C" w:rsidP="00326AD8">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992" w:type="dxa"/>
            <w:shd w:val="clear" w:color="auto" w:fill="D9D9D9" w:themeFill="background1" w:themeFillShade="D9"/>
            <w:vAlign w:val="center"/>
          </w:tcPr>
          <w:p w:rsidR="00326AD8" w:rsidRPr="00DE4A3C" w:rsidRDefault="00DE4A3C" w:rsidP="00326AD8">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bl>
    <w:p w:rsidR="00326AD8" w:rsidRPr="00326AD8" w:rsidRDefault="00326AD8" w:rsidP="00326AD8">
      <w:pPr>
        <w:widowControl w:val="0"/>
        <w:ind w:left="709"/>
        <w:jc w:val="both"/>
        <w:rPr>
          <w:rFonts w:ascii="Arial Narrow" w:hAnsi="Arial Narrow" w:cs="Arial"/>
          <w:bCs/>
          <w:snapToGrid w:val="0"/>
          <w:sz w:val="18"/>
          <w:szCs w:val="18"/>
          <w:lang w:eastAsia="en-US"/>
        </w:rPr>
      </w:pPr>
      <w:r w:rsidRPr="00326AD8">
        <w:rPr>
          <w:rFonts w:ascii="Arial Narrow" w:hAnsi="Arial Narrow" w:cs="Arial"/>
          <w:bCs/>
          <w:snapToGrid w:val="0"/>
          <w:sz w:val="18"/>
          <w:szCs w:val="18"/>
          <w:lang w:eastAsia="en-US"/>
        </w:rPr>
        <w:t>Source: Table D.3 of the commentary</w:t>
      </w:r>
    </w:p>
    <w:p w:rsidR="00326AD8" w:rsidRPr="00326AD8" w:rsidRDefault="00326AD8" w:rsidP="00326AD8">
      <w:pPr>
        <w:widowControl w:val="0"/>
        <w:ind w:left="709"/>
        <w:jc w:val="both"/>
        <w:rPr>
          <w:rFonts w:ascii="Arial Narrow" w:hAnsi="Arial Narrow" w:cs="Arial"/>
          <w:bCs/>
          <w:snapToGrid w:val="0"/>
          <w:sz w:val="18"/>
          <w:szCs w:val="18"/>
          <w:lang w:eastAsia="en-US"/>
        </w:rPr>
      </w:pPr>
      <w:r w:rsidRPr="00326AD8">
        <w:rPr>
          <w:rFonts w:ascii="Arial Narrow" w:hAnsi="Arial Narrow" w:cs="Arial"/>
          <w:bCs/>
          <w:snapToGrid w:val="0"/>
          <w:sz w:val="18"/>
          <w:szCs w:val="18"/>
          <w:lang w:eastAsia="en-US"/>
        </w:rPr>
        <w:t>Abbreviations: DPMQ, Dispensed price for maximum quantity; EMP, ex-manufacturer price; NR, not reported</w:t>
      </w:r>
    </w:p>
    <w:p w:rsidR="00326AD8" w:rsidRPr="00326AD8" w:rsidRDefault="00326AD8" w:rsidP="00326AD8">
      <w:pPr>
        <w:widowControl w:val="0"/>
        <w:ind w:left="709"/>
        <w:jc w:val="both"/>
        <w:rPr>
          <w:rFonts w:ascii="Arial Narrow" w:hAnsi="Arial Narrow" w:cs="Arial"/>
          <w:bCs/>
          <w:snapToGrid w:val="0"/>
          <w:sz w:val="18"/>
          <w:szCs w:val="18"/>
          <w:lang w:eastAsia="en-US"/>
        </w:rPr>
      </w:pPr>
      <w:proofErr w:type="gramStart"/>
      <w:r w:rsidRPr="00326AD8">
        <w:rPr>
          <w:rFonts w:ascii="Arial Narrow" w:hAnsi="Arial Narrow" w:cs="Arial"/>
          <w:bCs/>
          <w:snapToGrid w:val="0"/>
          <w:sz w:val="18"/>
          <w:szCs w:val="18"/>
          <w:vertAlign w:val="superscript"/>
          <w:lang w:eastAsia="en-US"/>
        </w:rPr>
        <w:t>a</w:t>
      </w:r>
      <w:proofErr w:type="gramEnd"/>
      <w:r w:rsidRPr="00326AD8">
        <w:rPr>
          <w:rFonts w:ascii="Arial Narrow" w:hAnsi="Arial Narrow" w:cs="Arial"/>
          <w:bCs/>
          <w:snapToGrid w:val="0"/>
          <w:sz w:val="18"/>
          <w:szCs w:val="18"/>
          <w:lang w:eastAsia="en-US"/>
        </w:rPr>
        <w:t xml:space="preserve"> Calculation of the requested DPMQ for </w:t>
      </w:r>
      <w:proofErr w:type="spellStart"/>
      <w:r w:rsidRPr="00326AD8">
        <w:rPr>
          <w:rFonts w:ascii="Arial Narrow" w:hAnsi="Arial Narrow" w:cs="Arial"/>
          <w:bCs/>
          <w:snapToGrid w:val="0"/>
          <w:sz w:val="18"/>
          <w:szCs w:val="18"/>
          <w:lang w:eastAsia="en-US"/>
        </w:rPr>
        <w:t>lixisenatide</w:t>
      </w:r>
      <w:proofErr w:type="spellEnd"/>
      <w:r w:rsidRPr="00326AD8">
        <w:rPr>
          <w:rFonts w:ascii="Arial Narrow" w:hAnsi="Arial Narrow" w:cs="Arial"/>
          <w:bCs/>
          <w:snapToGrid w:val="0"/>
          <w:sz w:val="18"/>
          <w:szCs w:val="18"/>
          <w:lang w:eastAsia="en-US"/>
        </w:rPr>
        <w:t xml:space="preserve"> </w:t>
      </w:r>
      <w:r w:rsidR="00DE4A3C">
        <w:rPr>
          <w:rFonts w:ascii="Arial Narrow" w:hAnsi="Arial Narrow" w:cs="Arial"/>
          <w:bCs/>
          <w:noProof/>
          <w:snapToGrid w:val="0"/>
          <w:color w:val="000000"/>
          <w:sz w:val="18"/>
          <w:szCs w:val="18"/>
          <w:highlight w:val="black"/>
          <w:lang w:eastAsia="en-US"/>
        </w:rPr>
        <w:t>''''''''''''''''''</w:t>
      </w:r>
      <w:r w:rsidRPr="00326AD8">
        <w:rPr>
          <w:rFonts w:ascii="Arial Narrow" w:hAnsi="Arial Narrow" w:cs="Arial"/>
          <w:bCs/>
          <w:snapToGrid w:val="0"/>
          <w:sz w:val="18"/>
          <w:szCs w:val="18"/>
          <w:lang w:eastAsia="en-US"/>
        </w:rPr>
        <w:t xml:space="preserve"> could not be reproduced during the evaluation</w:t>
      </w:r>
    </w:p>
    <w:p w:rsidR="00326AD8" w:rsidRPr="00326AD8" w:rsidRDefault="00326AD8" w:rsidP="00326AD8">
      <w:pPr>
        <w:widowControl w:val="0"/>
        <w:ind w:left="709"/>
        <w:jc w:val="both"/>
        <w:rPr>
          <w:rFonts w:ascii="Arial Narrow" w:hAnsi="Arial Narrow" w:cs="Arial"/>
          <w:bCs/>
          <w:snapToGrid w:val="0"/>
          <w:sz w:val="18"/>
          <w:szCs w:val="18"/>
          <w:lang w:eastAsia="en-US"/>
        </w:rPr>
      </w:pPr>
      <w:proofErr w:type="gramStart"/>
      <w:r w:rsidRPr="00326AD8">
        <w:rPr>
          <w:rFonts w:ascii="Arial Narrow" w:hAnsi="Arial Narrow" w:cs="Arial"/>
          <w:bCs/>
          <w:snapToGrid w:val="0"/>
          <w:sz w:val="18"/>
          <w:szCs w:val="18"/>
          <w:vertAlign w:val="superscript"/>
          <w:lang w:eastAsia="en-US"/>
        </w:rPr>
        <w:t>b</w:t>
      </w:r>
      <w:proofErr w:type="gramEnd"/>
      <w:r w:rsidRPr="00326AD8">
        <w:rPr>
          <w:rFonts w:ascii="Arial Narrow" w:hAnsi="Arial Narrow" w:cs="Arial"/>
          <w:bCs/>
          <w:snapToGrid w:val="0"/>
          <w:sz w:val="18"/>
          <w:szCs w:val="18"/>
          <w:vertAlign w:val="superscript"/>
          <w:lang w:eastAsia="en-US"/>
        </w:rPr>
        <w:t xml:space="preserve"> </w:t>
      </w:r>
      <w:r w:rsidRPr="00326AD8">
        <w:rPr>
          <w:rFonts w:ascii="Arial Narrow" w:hAnsi="Arial Narrow" w:cs="Arial"/>
          <w:bCs/>
          <w:snapToGrid w:val="0"/>
          <w:sz w:val="18"/>
          <w:szCs w:val="18"/>
          <w:lang w:eastAsia="en-US"/>
        </w:rPr>
        <w:t xml:space="preserve">Prices of </w:t>
      </w:r>
      <w:proofErr w:type="spellStart"/>
      <w:r w:rsidRPr="00326AD8">
        <w:rPr>
          <w:rFonts w:ascii="Arial Narrow" w:hAnsi="Arial Narrow" w:cs="Arial"/>
          <w:bCs/>
          <w:snapToGrid w:val="0"/>
          <w:sz w:val="18"/>
          <w:szCs w:val="18"/>
          <w:lang w:eastAsia="en-US"/>
        </w:rPr>
        <w:t>lixisenatide</w:t>
      </w:r>
      <w:proofErr w:type="spellEnd"/>
      <w:r w:rsidRPr="00326AD8">
        <w:rPr>
          <w:rFonts w:ascii="Arial Narrow" w:hAnsi="Arial Narrow" w:cs="Arial"/>
          <w:bCs/>
          <w:snapToGrid w:val="0"/>
          <w:sz w:val="18"/>
          <w:szCs w:val="18"/>
          <w:lang w:eastAsia="en-US"/>
        </w:rPr>
        <w:t xml:space="preserve"> initiation and maintenance packs based on maintenance pack cost minimisation versus </w:t>
      </w:r>
      <w:proofErr w:type="spellStart"/>
      <w:r w:rsidRPr="00326AD8">
        <w:rPr>
          <w:rFonts w:ascii="Arial Narrow" w:hAnsi="Arial Narrow" w:cs="Arial"/>
          <w:bCs/>
          <w:snapToGrid w:val="0"/>
          <w:sz w:val="18"/>
          <w:szCs w:val="18"/>
          <w:lang w:eastAsia="en-US"/>
        </w:rPr>
        <w:t>exenatide</w:t>
      </w:r>
      <w:proofErr w:type="spellEnd"/>
      <w:r w:rsidRPr="00326AD8">
        <w:rPr>
          <w:rFonts w:ascii="Arial Narrow" w:hAnsi="Arial Narrow" w:cs="Arial"/>
          <w:bCs/>
          <w:snapToGrid w:val="0"/>
          <w:sz w:val="18"/>
          <w:szCs w:val="18"/>
          <w:lang w:eastAsia="en-US"/>
        </w:rPr>
        <w:t xml:space="preserve"> </w:t>
      </w:r>
      <w:r w:rsidRPr="00326AD8">
        <w:rPr>
          <w:rFonts w:ascii="Arial Narrow" w:hAnsi="Arial Narrow" w:cs="Arial"/>
          <w:snapToGrid w:val="0"/>
          <w:sz w:val="18"/>
          <w:szCs w:val="18"/>
          <w:lang w:eastAsia="en-US"/>
        </w:rPr>
        <w:t>10</w:t>
      </w:r>
      <w:r>
        <w:rPr>
          <w:rFonts w:ascii="Arial Narrow" w:hAnsi="Arial Narrow" w:cs="Arial"/>
          <w:snapToGrid w:val="0"/>
          <w:sz w:val="18"/>
          <w:szCs w:val="18"/>
          <w:lang w:eastAsia="en-US"/>
        </w:rPr>
        <w:t> </w:t>
      </w:r>
      <w:r w:rsidRPr="00326AD8">
        <w:rPr>
          <w:rFonts w:ascii="Arial Narrow" w:hAnsi="Arial Narrow" w:cs="Arial"/>
          <w:snapToGrid w:val="0"/>
          <w:sz w:val="18"/>
          <w:szCs w:val="18"/>
          <w:lang w:eastAsia="en-US"/>
        </w:rPr>
        <w:t>mcg twice daily</w:t>
      </w:r>
    </w:p>
    <w:p w:rsidR="0024179B" w:rsidRPr="0080682D" w:rsidRDefault="0024179B" w:rsidP="00326AD8">
      <w:pPr>
        <w:ind w:left="709"/>
        <w:jc w:val="both"/>
        <w:rPr>
          <w:rFonts w:ascii="Arial" w:hAnsi="Arial"/>
          <w:sz w:val="22"/>
          <w:szCs w:val="22"/>
        </w:rPr>
      </w:pPr>
    </w:p>
    <w:p w:rsidR="0024179B" w:rsidRPr="00BB7EC3" w:rsidRDefault="0024179B" w:rsidP="0024179B">
      <w:pPr>
        <w:pStyle w:val="ListParagraph"/>
        <w:rPr>
          <w:rFonts w:ascii="Arial" w:hAnsi="Arial"/>
          <w:sz w:val="22"/>
          <w:szCs w:val="22"/>
        </w:rPr>
      </w:pPr>
    </w:p>
    <w:p w:rsidR="0024179B" w:rsidRPr="00BB7EC3" w:rsidRDefault="0024179B" w:rsidP="0024179B">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24179B" w:rsidRPr="00882085" w:rsidRDefault="0024179B" w:rsidP="0024179B">
      <w:pPr>
        <w:ind w:left="720" w:hanging="720"/>
        <w:jc w:val="both"/>
        <w:rPr>
          <w:rFonts w:ascii="Arial" w:hAnsi="Arial"/>
          <w:sz w:val="22"/>
          <w:szCs w:val="22"/>
        </w:rPr>
      </w:pPr>
    </w:p>
    <w:p w:rsidR="0024179B" w:rsidRPr="00882085" w:rsidRDefault="0024179B" w:rsidP="0024179B">
      <w:pPr>
        <w:ind w:left="720" w:hanging="720"/>
        <w:jc w:val="both"/>
        <w:rPr>
          <w:rFonts w:ascii="Arial" w:hAnsi="Arial"/>
          <w:b/>
          <w:i/>
          <w:sz w:val="22"/>
          <w:szCs w:val="22"/>
        </w:rPr>
      </w:pPr>
      <w:r w:rsidRPr="00882085">
        <w:rPr>
          <w:rFonts w:ascii="Arial" w:hAnsi="Arial"/>
          <w:b/>
          <w:i/>
          <w:sz w:val="22"/>
          <w:szCs w:val="22"/>
        </w:rPr>
        <w:t>Estimated PBS usage &amp; financial implications</w:t>
      </w:r>
    </w:p>
    <w:p w:rsidR="0024179B" w:rsidRPr="00882085" w:rsidRDefault="0024179B" w:rsidP="0024179B">
      <w:pPr>
        <w:ind w:left="720" w:hanging="720"/>
        <w:jc w:val="both"/>
        <w:rPr>
          <w:rFonts w:ascii="Arial" w:hAnsi="Arial"/>
          <w:b/>
          <w:i/>
          <w:sz w:val="22"/>
          <w:szCs w:val="22"/>
        </w:rPr>
      </w:pPr>
    </w:p>
    <w:p w:rsidR="00A83D2A" w:rsidRPr="00A83D2A" w:rsidRDefault="00A83D2A" w:rsidP="00A83D2A">
      <w:pPr>
        <w:pStyle w:val="ListParagraph"/>
        <w:numPr>
          <w:ilvl w:val="1"/>
          <w:numId w:val="25"/>
        </w:numPr>
        <w:jc w:val="both"/>
        <w:rPr>
          <w:rFonts w:ascii="Arial" w:hAnsi="Arial"/>
          <w:b/>
          <w:color w:val="FF00FF"/>
          <w:sz w:val="22"/>
          <w:szCs w:val="22"/>
        </w:rPr>
      </w:pPr>
      <w:r w:rsidRPr="00A83D2A">
        <w:rPr>
          <w:rFonts w:ascii="Arial" w:hAnsi="Arial"/>
          <w:sz w:val="22"/>
          <w:szCs w:val="22"/>
        </w:rPr>
        <w:t xml:space="preserve">This submission was not considered by DUSC. </w:t>
      </w:r>
    </w:p>
    <w:p w:rsidR="00A83D2A" w:rsidRDefault="00A83D2A" w:rsidP="00A83D2A">
      <w:pPr>
        <w:pStyle w:val="ListParagraph"/>
        <w:jc w:val="both"/>
        <w:rPr>
          <w:rFonts w:ascii="Arial" w:hAnsi="Arial"/>
          <w:sz w:val="22"/>
          <w:szCs w:val="22"/>
        </w:rPr>
      </w:pPr>
    </w:p>
    <w:p w:rsidR="0024179B" w:rsidRPr="00277C8A" w:rsidRDefault="00A83D2A" w:rsidP="0024179B">
      <w:pPr>
        <w:pStyle w:val="ListParagraph"/>
        <w:numPr>
          <w:ilvl w:val="1"/>
          <w:numId w:val="25"/>
        </w:numPr>
        <w:jc w:val="both"/>
        <w:rPr>
          <w:rFonts w:ascii="Arial" w:hAnsi="Arial"/>
          <w:b/>
          <w:color w:val="FF00FF"/>
          <w:sz w:val="22"/>
          <w:szCs w:val="22"/>
        </w:rPr>
      </w:pPr>
      <w:r>
        <w:rPr>
          <w:rFonts w:ascii="Arial" w:hAnsi="Arial"/>
          <w:sz w:val="22"/>
          <w:szCs w:val="22"/>
        </w:rPr>
        <w:t>T</w:t>
      </w:r>
      <w:r w:rsidR="0024179B" w:rsidRPr="002554B7">
        <w:rPr>
          <w:rFonts w:ascii="Arial" w:hAnsi="Arial"/>
          <w:sz w:val="22"/>
          <w:szCs w:val="22"/>
        </w:rPr>
        <w:t>he submission use</w:t>
      </w:r>
      <w:r w:rsidR="00277C8A">
        <w:rPr>
          <w:rFonts w:ascii="Arial" w:hAnsi="Arial"/>
          <w:sz w:val="22"/>
          <w:szCs w:val="22"/>
        </w:rPr>
        <w:t>d</w:t>
      </w:r>
      <w:r w:rsidR="0024179B" w:rsidRPr="002554B7">
        <w:rPr>
          <w:rFonts w:ascii="Arial" w:hAnsi="Arial"/>
          <w:sz w:val="22"/>
          <w:szCs w:val="22"/>
        </w:rPr>
        <w:t xml:space="preserve"> an estimated effective price for </w:t>
      </w:r>
      <w:proofErr w:type="spellStart"/>
      <w:r w:rsidR="0024179B" w:rsidRPr="002554B7">
        <w:rPr>
          <w:rFonts w:ascii="Arial" w:hAnsi="Arial"/>
          <w:sz w:val="22"/>
          <w:szCs w:val="22"/>
        </w:rPr>
        <w:t>lixisenatide</w:t>
      </w:r>
      <w:proofErr w:type="spellEnd"/>
      <w:r w:rsidR="0024179B" w:rsidRPr="002554B7">
        <w:rPr>
          <w:rFonts w:ascii="Arial" w:hAnsi="Arial"/>
          <w:sz w:val="22"/>
          <w:szCs w:val="22"/>
        </w:rPr>
        <w:t xml:space="preserve"> and </w:t>
      </w:r>
      <w:proofErr w:type="spellStart"/>
      <w:r w:rsidR="0024179B" w:rsidRPr="002554B7">
        <w:rPr>
          <w:rFonts w:ascii="Arial" w:hAnsi="Arial"/>
          <w:sz w:val="22"/>
          <w:szCs w:val="22"/>
        </w:rPr>
        <w:t>exenatide</w:t>
      </w:r>
      <w:proofErr w:type="spellEnd"/>
      <w:r w:rsidR="0024179B" w:rsidRPr="002554B7">
        <w:rPr>
          <w:rFonts w:ascii="Arial" w:hAnsi="Arial"/>
          <w:sz w:val="22"/>
          <w:szCs w:val="22"/>
        </w:rPr>
        <w:t xml:space="preserve"> (weighted by PBS utilisation data), and insulin </w:t>
      </w:r>
      <w:proofErr w:type="spellStart"/>
      <w:r w:rsidR="0024179B" w:rsidRPr="002554B7">
        <w:rPr>
          <w:rFonts w:ascii="Arial" w:hAnsi="Arial"/>
          <w:sz w:val="22"/>
          <w:szCs w:val="22"/>
        </w:rPr>
        <w:t>glargine</w:t>
      </w:r>
      <w:proofErr w:type="spellEnd"/>
      <w:r w:rsidR="0024179B" w:rsidRPr="002554B7">
        <w:rPr>
          <w:rFonts w:ascii="Arial" w:hAnsi="Arial"/>
          <w:sz w:val="22"/>
          <w:szCs w:val="22"/>
        </w:rPr>
        <w:t xml:space="preserve"> in the estimates of the financial implications to government. </w:t>
      </w:r>
    </w:p>
    <w:p w:rsidR="00A83D2A" w:rsidRDefault="00A83D2A" w:rsidP="00A83D2A">
      <w:pPr>
        <w:pStyle w:val="ListParagraph"/>
        <w:jc w:val="both"/>
        <w:rPr>
          <w:rFonts w:ascii="Arial" w:hAnsi="Arial"/>
          <w:sz w:val="22"/>
          <w:szCs w:val="22"/>
        </w:rPr>
      </w:pPr>
    </w:p>
    <w:p w:rsidR="00A83D2A" w:rsidRPr="00A83D2A" w:rsidRDefault="00A83D2A" w:rsidP="00A83D2A">
      <w:pPr>
        <w:pStyle w:val="ListParagraph"/>
        <w:numPr>
          <w:ilvl w:val="1"/>
          <w:numId w:val="25"/>
        </w:numPr>
        <w:jc w:val="both"/>
        <w:rPr>
          <w:rFonts w:ascii="Arial" w:hAnsi="Arial"/>
          <w:sz w:val="22"/>
          <w:szCs w:val="22"/>
        </w:rPr>
      </w:pPr>
      <w:r w:rsidRPr="00A83D2A">
        <w:rPr>
          <w:rFonts w:ascii="Arial" w:hAnsi="Arial"/>
          <w:sz w:val="22"/>
          <w:szCs w:val="22"/>
        </w:rPr>
        <w:t xml:space="preserve">The likely number of prescriptions dispensed per year was estimated in the submission to be </w:t>
      </w:r>
      <w:r w:rsidR="00DE4A3C">
        <w:rPr>
          <w:rFonts w:ascii="Arial" w:hAnsi="Arial"/>
          <w:noProof/>
          <w:color w:val="000000"/>
          <w:sz w:val="22"/>
          <w:szCs w:val="22"/>
          <w:highlight w:val="black"/>
        </w:rPr>
        <w:t>'''''''''''''''</w:t>
      </w:r>
      <w:r w:rsidRPr="00A83D2A">
        <w:rPr>
          <w:rFonts w:ascii="Arial" w:hAnsi="Arial"/>
          <w:sz w:val="22"/>
          <w:szCs w:val="22"/>
        </w:rPr>
        <w:t xml:space="preserve"> in Year 5, at an estimated net cost per year to the </w:t>
      </w:r>
      <w:r>
        <w:rPr>
          <w:rFonts w:ascii="Arial" w:hAnsi="Arial"/>
          <w:sz w:val="22"/>
          <w:szCs w:val="22"/>
        </w:rPr>
        <w:t xml:space="preserve">PBS </w:t>
      </w:r>
      <w:r w:rsidRPr="00A83D2A">
        <w:rPr>
          <w:rFonts w:ascii="Arial" w:hAnsi="Arial"/>
          <w:sz w:val="22"/>
          <w:szCs w:val="22"/>
        </w:rPr>
        <w:t xml:space="preserve">of </w:t>
      </w:r>
      <w:r w:rsidR="00DE4A3C">
        <w:rPr>
          <w:rFonts w:ascii="Arial" w:hAnsi="Arial"/>
          <w:noProof/>
          <w:color w:val="000000"/>
          <w:sz w:val="22"/>
          <w:szCs w:val="22"/>
          <w:highlight w:val="black"/>
        </w:rPr>
        <w:t>'''''''''''''''''''''</w:t>
      </w:r>
      <w:r w:rsidRPr="00A83D2A">
        <w:rPr>
          <w:rFonts w:ascii="Arial" w:hAnsi="Arial"/>
          <w:sz w:val="22"/>
          <w:szCs w:val="22"/>
        </w:rPr>
        <w:t xml:space="preserve"> in Year 5</w:t>
      </w:r>
      <w:r>
        <w:rPr>
          <w:rFonts w:ascii="Arial" w:hAnsi="Arial"/>
          <w:sz w:val="22"/>
          <w:szCs w:val="22"/>
        </w:rPr>
        <w:t xml:space="preserve"> following substitution for existing PBS-listed drugs</w:t>
      </w:r>
      <w:r w:rsidRPr="00A83D2A">
        <w:rPr>
          <w:rFonts w:ascii="Arial" w:hAnsi="Arial"/>
          <w:sz w:val="22"/>
          <w:szCs w:val="22"/>
        </w:rPr>
        <w:t xml:space="preserve">. The </w:t>
      </w:r>
      <w:r w:rsidRPr="00A83D2A">
        <w:rPr>
          <w:rFonts w:ascii="Arial" w:hAnsi="Arial"/>
          <w:sz w:val="22"/>
          <w:szCs w:val="22"/>
        </w:rPr>
        <w:lastRenderedPageBreak/>
        <w:t>submission’s estimates of PBS usage and financial implications are summarised in the table below:</w:t>
      </w:r>
      <w:r>
        <w:rPr>
          <w:rFonts w:ascii="Arial" w:hAnsi="Arial"/>
          <w:sz w:val="22"/>
          <w:szCs w:val="22"/>
        </w:rPr>
        <w:t xml:space="preserve"> </w:t>
      </w:r>
    </w:p>
    <w:p w:rsidR="0024179B" w:rsidRDefault="0024179B" w:rsidP="0024179B">
      <w:pPr>
        <w:pStyle w:val="ListParagraph"/>
        <w:jc w:val="both"/>
        <w:rPr>
          <w:rFonts w:ascii="Arial" w:hAnsi="Arial"/>
          <w:sz w:val="22"/>
          <w:szCs w:val="22"/>
        </w:rPr>
      </w:pPr>
    </w:p>
    <w:p w:rsidR="0024179B" w:rsidRPr="00DE4A3C" w:rsidRDefault="00DE4A3C" w:rsidP="00A83D2A">
      <w:pPr>
        <w:ind w:left="709"/>
        <w:jc w:val="both"/>
        <w:rPr>
          <w:rFonts w:ascii="Arial Narrow" w:hAnsi="Arial Narrow"/>
          <w:b/>
          <w:sz w:val="20"/>
          <w:szCs w:val="20"/>
          <w:highlight w:val="black"/>
        </w:rPr>
      </w:pPr>
      <w:r>
        <w:rPr>
          <w:rFonts w:ascii="Arial Narrow" w:hAnsi="Arial Narrow"/>
          <w:b/>
          <w:noProof/>
          <w:color w:val="000000"/>
          <w:sz w:val="20"/>
          <w:szCs w:val="20"/>
          <w:highlight w:val="black"/>
        </w:rPr>
        <w:t xml:space="preserve">''''''''''''''''''''' '''''''' '''''''' ''''''''''''''''''' '''''''''''''''''''''''' </w:t>
      </w:r>
    </w:p>
    <w:tbl>
      <w:tblPr>
        <w:tblW w:w="452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Estimated PBS usage &amp; financial implications"/>
      </w:tblPr>
      <w:tblGrid>
        <w:gridCol w:w="2693"/>
        <w:gridCol w:w="1146"/>
        <w:gridCol w:w="1147"/>
        <w:gridCol w:w="1146"/>
        <w:gridCol w:w="1147"/>
        <w:gridCol w:w="1083"/>
      </w:tblGrid>
      <w:tr w:rsidR="0024179B" w:rsidRPr="00894F60" w:rsidTr="0037280E">
        <w:trPr>
          <w:tblHeader/>
        </w:trPr>
        <w:tc>
          <w:tcPr>
            <w:tcW w:w="2694" w:type="dxa"/>
            <w:tcBorders>
              <w:bottom w:val="single" w:sz="4" w:space="0" w:color="auto"/>
            </w:tcBorders>
            <w:shd w:val="clear" w:color="auto" w:fill="auto"/>
            <w:noWrap/>
            <w:vAlign w:val="bottom"/>
            <w:hideMark/>
          </w:tcPr>
          <w:p w:rsidR="0024179B" w:rsidRPr="00DE4A3C" w:rsidRDefault="0024179B" w:rsidP="008C190A">
            <w:pPr>
              <w:rPr>
                <w:rFonts w:ascii="Arial Narrow" w:hAnsi="Arial Narrow"/>
                <w:color w:val="000000"/>
                <w:sz w:val="20"/>
              </w:rPr>
            </w:pPr>
          </w:p>
        </w:tc>
        <w:tc>
          <w:tcPr>
            <w:tcW w:w="1146" w:type="dxa"/>
            <w:tcBorders>
              <w:bottom w:val="single" w:sz="4" w:space="0" w:color="auto"/>
            </w:tcBorders>
            <w:shd w:val="clear" w:color="auto" w:fill="auto"/>
            <w:noWrap/>
            <w:vAlign w:val="bottom"/>
            <w:hideMark/>
          </w:tcPr>
          <w:p w:rsidR="0024179B" w:rsidRPr="00DE4A3C" w:rsidRDefault="00DE4A3C" w:rsidP="008C190A">
            <w:pPr>
              <w:jc w:val="center"/>
              <w:rPr>
                <w:rFonts w:ascii="Arial Narrow" w:hAnsi="Arial Narrow"/>
                <w:b/>
                <w:color w:val="000000"/>
                <w:sz w:val="20"/>
                <w:highlight w:val="black"/>
              </w:rPr>
            </w:pPr>
            <w:r>
              <w:rPr>
                <w:rFonts w:ascii="Arial Narrow" w:hAnsi="Arial Narrow"/>
                <w:b/>
                <w:noProof/>
                <w:color w:val="000000"/>
                <w:sz w:val="20"/>
                <w:highlight w:val="black"/>
              </w:rPr>
              <w:t>''''''''' '''</w:t>
            </w:r>
          </w:p>
        </w:tc>
        <w:tc>
          <w:tcPr>
            <w:tcW w:w="1147" w:type="dxa"/>
            <w:tcBorders>
              <w:bottom w:val="single" w:sz="4" w:space="0" w:color="auto"/>
            </w:tcBorders>
            <w:shd w:val="clear" w:color="auto" w:fill="auto"/>
            <w:noWrap/>
            <w:vAlign w:val="bottom"/>
            <w:hideMark/>
          </w:tcPr>
          <w:p w:rsidR="0024179B" w:rsidRPr="00DE4A3C" w:rsidRDefault="00DE4A3C" w:rsidP="008C190A">
            <w:pPr>
              <w:jc w:val="center"/>
              <w:rPr>
                <w:rFonts w:ascii="Arial Narrow" w:hAnsi="Arial Narrow"/>
                <w:b/>
                <w:color w:val="000000"/>
                <w:sz w:val="20"/>
                <w:highlight w:val="black"/>
              </w:rPr>
            </w:pPr>
            <w:r>
              <w:rPr>
                <w:rFonts w:ascii="Arial Narrow" w:hAnsi="Arial Narrow"/>
                <w:b/>
                <w:noProof/>
                <w:color w:val="000000"/>
                <w:sz w:val="20"/>
                <w:highlight w:val="black"/>
              </w:rPr>
              <w:t>'''''''''' '''</w:t>
            </w:r>
          </w:p>
        </w:tc>
        <w:tc>
          <w:tcPr>
            <w:tcW w:w="1146" w:type="dxa"/>
            <w:tcBorders>
              <w:bottom w:val="single" w:sz="4" w:space="0" w:color="auto"/>
            </w:tcBorders>
            <w:shd w:val="clear" w:color="auto" w:fill="auto"/>
            <w:noWrap/>
            <w:vAlign w:val="bottom"/>
            <w:hideMark/>
          </w:tcPr>
          <w:p w:rsidR="0024179B" w:rsidRPr="00DE4A3C" w:rsidRDefault="00DE4A3C" w:rsidP="008C190A">
            <w:pPr>
              <w:jc w:val="center"/>
              <w:rPr>
                <w:rFonts w:ascii="Arial Narrow" w:hAnsi="Arial Narrow"/>
                <w:b/>
                <w:color w:val="000000"/>
                <w:sz w:val="20"/>
                <w:highlight w:val="black"/>
              </w:rPr>
            </w:pPr>
            <w:r>
              <w:rPr>
                <w:rFonts w:ascii="Arial Narrow" w:hAnsi="Arial Narrow"/>
                <w:b/>
                <w:noProof/>
                <w:color w:val="000000"/>
                <w:sz w:val="20"/>
                <w:highlight w:val="black"/>
              </w:rPr>
              <w:t>''''''''' '''</w:t>
            </w:r>
          </w:p>
        </w:tc>
        <w:tc>
          <w:tcPr>
            <w:tcW w:w="1147" w:type="dxa"/>
            <w:tcBorders>
              <w:bottom w:val="single" w:sz="4" w:space="0" w:color="auto"/>
            </w:tcBorders>
            <w:shd w:val="clear" w:color="auto" w:fill="auto"/>
            <w:noWrap/>
            <w:vAlign w:val="bottom"/>
            <w:hideMark/>
          </w:tcPr>
          <w:p w:rsidR="0024179B" w:rsidRPr="00DE4A3C" w:rsidRDefault="00DE4A3C" w:rsidP="008C190A">
            <w:pPr>
              <w:jc w:val="center"/>
              <w:rPr>
                <w:rFonts w:ascii="Arial Narrow" w:hAnsi="Arial Narrow"/>
                <w:b/>
                <w:color w:val="000000"/>
                <w:sz w:val="20"/>
                <w:highlight w:val="black"/>
              </w:rPr>
            </w:pPr>
            <w:r>
              <w:rPr>
                <w:rFonts w:ascii="Arial Narrow" w:hAnsi="Arial Narrow"/>
                <w:b/>
                <w:noProof/>
                <w:color w:val="000000"/>
                <w:sz w:val="20"/>
                <w:highlight w:val="black"/>
              </w:rPr>
              <w:t>'''''''''' '''</w:t>
            </w:r>
          </w:p>
        </w:tc>
        <w:tc>
          <w:tcPr>
            <w:tcW w:w="1083" w:type="dxa"/>
            <w:tcBorders>
              <w:bottom w:val="single" w:sz="4" w:space="0" w:color="auto"/>
            </w:tcBorders>
            <w:shd w:val="clear" w:color="auto" w:fill="auto"/>
            <w:noWrap/>
            <w:vAlign w:val="bottom"/>
            <w:hideMark/>
          </w:tcPr>
          <w:p w:rsidR="0024179B" w:rsidRPr="00DE4A3C" w:rsidRDefault="00DE4A3C" w:rsidP="008C190A">
            <w:pPr>
              <w:jc w:val="center"/>
              <w:rPr>
                <w:rFonts w:ascii="Arial Narrow" w:hAnsi="Arial Narrow"/>
                <w:b/>
                <w:color w:val="000000"/>
                <w:sz w:val="20"/>
                <w:highlight w:val="black"/>
              </w:rPr>
            </w:pPr>
            <w:r>
              <w:rPr>
                <w:rFonts w:ascii="Arial Narrow" w:hAnsi="Arial Narrow"/>
                <w:b/>
                <w:noProof/>
                <w:color w:val="000000"/>
                <w:sz w:val="20"/>
                <w:highlight w:val="black"/>
              </w:rPr>
              <w:t>''''''''' '''</w:t>
            </w:r>
          </w:p>
        </w:tc>
      </w:tr>
      <w:tr w:rsidR="0024179B" w:rsidRPr="00894F60" w:rsidTr="0037280E">
        <w:tc>
          <w:tcPr>
            <w:tcW w:w="8363" w:type="dxa"/>
            <w:gridSpan w:val="6"/>
            <w:tcBorders>
              <w:bottom w:val="single" w:sz="4" w:space="0" w:color="auto"/>
            </w:tcBorders>
            <w:shd w:val="clear" w:color="auto" w:fill="auto"/>
            <w:noWrap/>
            <w:vAlign w:val="bottom"/>
          </w:tcPr>
          <w:p w:rsidR="0024179B" w:rsidRPr="00DE4A3C" w:rsidRDefault="00DE4A3C" w:rsidP="008C190A">
            <w:pPr>
              <w:rPr>
                <w:rFonts w:ascii="Arial Narrow" w:hAnsi="Arial Narrow"/>
                <w:b/>
                <w:color w:val="000000"/>
                <w:sz w:val="20"/>
                <w:highlight w:val="black"/>
              </w:rPr>
            </w:pPr>
            <w:r>
              <w:rPr>
                <w:rFonts w:ascii="Arial Narrow" w:hAnsi="Arial Narrow"/>
                <w:b/>
                <w:noProof/>
                <w:color w:val="000000"/>
                <w:sz w:val="20"/>
                <w:highlight w:val="black"/>
              </w:rPr>
              <w:t>'''''''''''''''''''''' '''' '''''''''''''''''''''''''</w:t>
            </w:r>
          </w:p>
        </w:tc>
      </w:tr>
      <w:tr w:rsidR="0024179B" w:rsidRPr="00894F60" w:rsidTr="0037280E">
        <w:tc>
          <w:tcPr>
            <w:tcW w:w="2694" w:type="dxa"/>
            <w:tcBorders>
              <w:bottom w:val="nil"/>
            </w:tcBorders>
            <w:shd w:val="clear" w:color="auto" w:fill="auto"/>
            <w:noWrap/>
            <w:vAlign w:val="center"/>
            <w:hideMark/>
          </w:tcPr>
          <w:p w:rsidR="0024179B" w:rsidRPr="00DE4A3C" w:rsidRDefault="00DE4A3C" w:rsidP="008C190A">
            <w:pPr>
              <w:rPr>
                <w:rFonts w:ascii="Arial Narrow" w:hAnsi="Arial Narrow"/>
                <w:color w:val="000000"/>
                <w:sz w:val="20"/>
                <w:highlight w:val="black"/>
              </w:rPr>
            </w:pPr>
            <w:r>
              <w:rPr>
                <w:rFonts w:ascii="Arial Narrow" w:hAnsi="Arial Narrow"/>
                <w:noProof/>
                <w:color w:val="000000"/>
                <w:sz w:val="20"/>
                <w:highlight w:val="black"/>
              </w:rPr>
              <w:t>'''''''''''' '''''''''''''''''''''''''''' '''''''''''''''''''</w:t>
            </w:r>
          </w:p>
        </w:tc>
        <w:tc>
          <w:tcPr>
            <w:tcW w:w="1146" w:type="dxa"/>
            <w:tcBorders>
              <w:bottom w:val="nil"/>
            </w:tcBorders>
            <w:shd w:val="clear" w:color="auto" w:fill="auto"/>
            <w:noWrap/>
            <w:hideMark/>
          </w:tcPr>
          <w:p w:rsidR="0024179B" w:rsidRPr="00DE4A3C" w:rsidRDefault="00DE4A3C" w:rsidP="008C190A">
            <w:pPr>
              <w:jc w:val="center"/>
              <w:rPr>
                <w:rFonts w:ascii="Arial Narrow" w:hAnsi="Arial Narrow"/>
                <w:color w:val="000000"/>
                <w:sz w:val="20"/>
                <w:highlight w:val="black"/>
              </w:rPr>
            </w:pPr>
            <w:r>
              <w:rPr>
                <w:rFonts w:ascii="Arial Narrow" w:hAnsi="Arial Narrow"/>
                <w:noProof/>
                <w:color w:val="000000"/>
                <w:sz w:val="20"/>
                <w:highlight w:val="black"/>
              </w:rPr>
              <w:t xml:space="preserve"> ''''''''' </w:t>
            </w:r>
          </w:p>
        </w:tc>
        <w:tc>
          <w:tcPr>
            <w:tcW w:w="1147" w:type="dxa"/>
            <w:tcBorders>
              <w:bottom w:val="nil"/>
            </w:tcBorders>
            <w:shd w:val="clear" w:color="auto" w:fill="auto"/>
            <w:noWrap/>
            <w:hideMark/>
          </w:tcPr>
          <w:p w:rsidR="0024179B" w:rsidRPr="00DE4A3C" w:rsidRDefault="00DE4A3C" w:rsidP="008C190A">
            <w:pPr>
              <w:jc w:val="center"/>
              <w:rPr>
                <w:rFonts w:ascii="Arial Narrow" w:hAnsi="Arial Narrow"/>
                <w:color w:val="000000"/>
                <w:sz w:val="20"/>
                <w:highlight w:val="black"/>
              </w:rPr>
            </w:pPr>
            <w:r>
              <w:rPr>
                <w:rFonts w:ascii="Arial Narrow" w:hAnsi="Arial Narrow"/>
                <w:noProof/>
                <w:color w:val="000000"/>
                <w:sz w:val="20"/>
                <w:highlight w:val="black"/>
              </w:rPr>
              <w:t xml:space="preserve"> '''''''''''''' </w:t>
            </w:r>
          </w:p>
        </w:tc>
        <w:tc>
          <w:tcPr>
            <w:tcW w:w="1146" w:type="dxa"/>
            <w:tcBorders>
              <w:bottom w:val="nil"/>
            </w:tcBorders>
            <w:shd w:val="clear" w:color="auto" w:fill="auto"/>
            <w:noWrap/>
            <w:hideMark/>
          </w:tcPr>
          <w:p w:rsidR="0024179B" w:rsidRPr="00DE4A3C" w:rsidRDefault="00DE4A3C" w:rsidP="008C190A">
            <w:pPr>
              <w:jc w:val="center"/>
              <w:rPr>
                <w:rFonts w:ascii="Arial Narrow" w:hAnsi="Arial Narrow"/>
                <w:color w:val="000000"/>
                <w:sz w:val="20"/>
                <w:highlight w:val="black"/>
              </w:rPr>
            </w:pPr>
            <w:r>
              <w:rPr>
                <w:rFonts w:ascii="Arial Narrow" w:hAnsi="Arial Narrow"/>
                <w:noProof/>
                <w:color w:val="000000"/>
                <w:sz w:val="20"/>
                <w:highlight w:val="black"/>
              </w:rPr>
              <w:t xml:space="preserve"> ''''''''''''' </w:t>
            </w:r>
          </w:p>
        </w:tc>
        <w:tc>
          <w:tcPr>
            <w:tcW w:w="1147" w:type="dxa"/>
            <w:tcBorders>
              <w:bottom w:val="nil"/>
            </w:tcBorders>
            <w:shd w:val="clear" w:color="auto" w:fill="auto"/>
            <w:noWrap/>
            <w:hideMark/>
          </w:tcPr>
          <w:p w:rsidR="0024179B" w:rsidRPr="00DE4A3C" w:rsidRDefault="00DE4A3C" w:rsidP="008C190A">
            <w:pPr>
              <w:jc w:val="center"/>
              <w:rPr>
                <w:rFonts w:ascii="Arial Narrow" w:hAnsi="Arial Narrow"/>
                <w:color w:val="000000"/>
                <w:sz w:val="20"/>
                <w:highlight w:val="black"/>
              </w:rPr>
            </w:pPr>
            <w:r>
              <w:rPr>
                <w:rFonts w:ascii="Arial Narrow" w:hAnsi="Arial Narrow"/>
                <w:noProof/>
                <w:color w:val="000000"/>
                <w:sz w:val="20"/>
                <w:highlight w:val="black"/>
              </w:rPr>
              <w:t xml:space="preserve"> ''''''''''''''' </w:t>
            </w:r>
          </w:p>
        </w:tc>
        <w:tc>
          <w:tcPr>
            <w:tcW w:w="1083" w:type="dxa"/>
            <w:tcBorders>
              <w:bottom w:val="nil"/>
            </w:tcBorders>
            <w:shd w:val="clear" w:color="auto" w:fill="auto"/>
            <w:noWrap/>
            <w:hideMark/>
          </w:tcPr>
          <w:p w:rsidR="0024179B" w:rsidRPr="00DE4A3C" w:rsidRDefault="00DE4A3C" w:rsidP="008C190A">
            <w:pPr>
              <w:jc w:val="center"/>
              <w:rPr>
                <w:rFonts w:ascii="Arial Narrow" w:hAnsi="Arial Narrow"/>
                <w:color w:val="000000"/>
                <w:sz w:val="20"/>
                <w:highlight w:val="black"/>
              </w:rPr>
            </w:pPr>
            <w:r>
              <w:rPr>
                <w:rFonts w:ascii="Arial Narrow" w:hAnsi="Arial Narrow"/>
                <w:noProof/>
                <w:color w:val="000000"/>
                <w:sz w:val="20"/>
                <w:highlight w:val="black"/>
              </w:rPr>
              <w:t xml:space="preserve"> '''''''''''' </w:t>
            </w:r>
          </w:p>
        </w:tc>
      </w:tr>
      <w:tr w:rsidR="0024179B" w:rsidRPr="00894F60" w:rsidTr="0037280E">
        <w:tc>
          <w:tcPr>
            <w:tcW w:w="2694" w:type="dxa"/>
            <w:tcBorders>
              <w:bottom w:val="nil"/>
            </w:tcBorders>
            <w:shd w:val="clear" w:color="auto" w:fill="auto"/>
            <w:noWrap/>
            <w:vAlign w:val="bottom"/>
          </w:tcPr>
          <w:p w:rsidR="0024179B" w:rsidRPr="00DE4A3C" w:rsidRDefault="00DE4A3C" w:rsidP="008C190A">
            <w:pPr>
              <w:ind w:right="-86"/>
              <w:rPr>
                <w:rFonts w:ascii="Arial Narrow" w:hAnsi="Arial Narrow"/>
                <w:color w:val="000000"/>
                <w:sz w:val="20"/>
                <w:highlight w:val="black"/>
                <w:vertAlign w:val="superscript"/>
              </w:rPr>
            </w:pPr>
            <w:r>
              <w:rPr>
                <w:rFonts w:ascii="Arial Narrow" w:hAnsi="Arial Narrow"/>
                <w:noProof/>
                <w:color w:val="000000"/>
                <w:sz w:val="20"/>
                <w:highlight w:val="black"/>
              </w:rPr>
              <w:t>''''''''''''''''' '''' ''''''''''''''''''''</w:t>
            </w:r>
          </w:p>
        </w:tc>
        <w:tc>
          <w:tcPr>
            <w:tcW w:w="1146" w:type="dxa"/>
            <w:tcBorders>
              <w:bottom w:val="nil"/>
            </w:tcBorders>
            <w:shd w:val="clear" w:color="auto" w:fill="auto"/>
            <w:noWrap/>
            <w:vAlign w:val="bottom"/>
          </w:tcPr>
          <w:p w:rsidR="0024179B" w:rsidRPr="00DE4A3C" w:rsidRDefault="00DE4A3C" w:rsidP="008C190A">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1147" w:type="dxa"/>
            <w:tcBorders>
              <w:bottom w:val="nil"/>
            </w:tcBorders>
            <w:shd w:val="clear" w:color="auto" w:fill="auto"/>
            <w:noWrap/>
            <w:vAlign w:val="bottom"/>
          </w:tcPr>
          <w:p w:rsidR="0024179B" w:rsidRPr="00DE4A3C" w:rsidRDefault="00DE4A3C" w:rsidP="008C190A">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1146" w:type="dxa"/>
            <w:tcBorders>
              <w:bottom w:val="nil"/>
            </w:tcBorders>
            <w:shd w:val="clear" w:color="auto" w:fill="auto"/>
            <w:noWrap/>
            <w:vAlign w:val="bottom"/>
          </w:tcPr>
          <w:p w:rsidR="0024179B" w:rsidRPr="00DE4A3C" w:rsidRDefault="00DE4A3C" w:rsidP="008C190A">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1147" w:type="dxa"/>
            <w:tcBorders>
              <w:bottom w:val="nil"/>
            </w:tcBorders>
            <w:shd w:val="clear" w:color="auto" w:fill="auto"/>
            <w:noWrap/>
            <w:vAlign w:val="bottom"/>
          </w:tcPr>
          <w:p w:rsidR="0024179B" w:rsidRPr="00DE4A3C" w:rsidRDefault="00DE4A3C" w:rsidP="008C190A">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1083" w:type="dxa"/>
            <w:tcBorders>
              <w:bottom w:val="nil"/>
            </w:tcBorders>
            <w:shd w:val="clear" w:color="auto" w:fill="auto"/>
            <w:noWrap/>
            <w:vAlign w:val="bottom"/>
          </w:tcPr>
          <w:p w:rsidR="0024179B" w:rsidRPr="00DE4A3C" w:rsidRDefault="00DE4A3C" w:rsidP="008C190A">
            <w:pPr>
              <w:jc w:val="center"/>
              <w:rPr>
                <w:rFonts w:ascii="Arial Narrow" w:hAnsi="Arial Narrow"/>
                <w:color w:val="000000"/>
                <w:sz w:val="20"/>
                <w:highlight w:val="black"/>
              </w:rPr>
            </w:pPr>
            <w:r>
              <w:rPr>
                <w:rFonts w:ascii="Arial Narrow" w:hAnsi="Arial Narrow"/>
                <w:noProof/>
                <w:color w:val="000000"/>
                <w:sz w:val="20"/>
                <w:highlight w:val="black"/>
              </w:rPr>
              <w:t>''''''''''''''''</w:t>
            </w:r>
          </w:p>
        </w:tc>
      </w:tr>
      <w:tr w:rsidR="0024179B" w:rsidRPr="00894F60" w:rsidTr="0037280E">
        <w:tc>
          <w:tcPr>
            <w:tcW w:w="8363" w:type="dxa"/>
            <w:gridSpan w:val="6"/>
            <w:tcBorders>
              <w:bottom w:val="single" w:sz="4" w:space="0" w:color="auto"/>
            </w:tcBorders>
            <w:shd w:val="clear" w:color="auto" w:fill="auto"/>
            <w:noWrap/>
            <w:vAlign w:val="bottom"/>
          </w:tcPr>
          <w:p w:rsidR="0024179B" w:rsidRPr="00DE4A3C" w:rsidRDefault="00DE4A3C" w:rsidP="008C190A">
            <w:pPr>
              <w:rPr>
                <w:rFonts w:ascii="Arial Narrow" w:hAnsi="Arial Narrow"/>
                <w:b/>
                <w:color w:val="000000"/>
                <w:sz w:val="20"/>
                <w:highlight w:val="black"/>
              </w:rPr>
            </w:pPr>
            <w:r>
              <w:rPr>
                <w:rFonts w:ascii="Arial Narrow" w:hAnsi="Arial Narrow"/>
                <w:b/>
                <w:noProof/>
                <w:color w:val="000000"/>
                <w:sz w:val="20"/>
                <w:highlight w:val="black"/>
              </w:rPr>
              <w:t>'''''''''' '''' ''''''''''''''''''''''''' '''' ''''''' ''''''''</w:t>
            </w:r>
          </w:p>
        </w:tc>
      </w:tr>
      <w:tr w:rsidR="0024179B" w:rsidRPr="00894F60" w:rsidTr="0037280E">
        <w:tc>
          <w:tcPr>
            <w:tcW w:w="2694" w:type="dxa"/>
            <w:tcBorders>
              <w:bottom w:val="nil"/>
            </w:tcBorders>
            <w:shd w:val="clear" w:color="auto" w:fill="auto"/>
            <w:noWrap/>
            <w:vAlign w:val="bottom"/>
          </w:tcPr>
          <w:p w:rsidR="0024179B" w:rsidRPr="00DE4A3C" w:rsidRDefault="00DE4A3C" w:rsidP="008C190A">
            <w:pPr>
              <w:rPr>
                <w:rFonts w:ascii="Arial Narrow" w:hAnsi="Arial Narrow"/>
                <w:color w:val="000000"/>
                <w:sz w:val="20"/>
                <w:highlight w:val="black"/>
              </w:rPr>
            </w:pPr>
            <w:r>
              <w:rPr>
                <w:rFonts w:ascii="Arial Narrow" w:hAnsi="Arial Narrow"/>
                <w:noProof/>
                <w:color w:val="000000"/>
                <w:sz w:val="20"/>
                <w:highlight w:val="black"/>
              </w:rPr>
              <w:t>''''''''''''' ''''''''' '''''''''''''''''' ''''''''''''''''''''</w:t>
            </w:r>
          </w:p>
        </w:tc>
        <w:tc>
          <w:tcPr>
            <w:tcW w:w="1146" w:type="dxa"/>
            <w:tcBorders>
              <w:bottom w:val="nil"/>
            </w:tcBorders>
            <w:shd w:val="clear" w:color="auto" w:fill="auto"/>
            <w:noWrap/>
            <w:vAlign w:val="center"/>
          </w:tcPr>
          <w:p w:rsidR="0024179B" w:rsidRPr="00DE4A3C" w:rsidRDefault="00DE4A3C" w:rsidP="008C190A">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1147" w:type="dxa"/>
            <w:tcBorders>
              <w:bottom w:val="nil"/>
            </w:tcBorders>
            <w:shd w:val="clear" w:color="auto" w:fill="auto"/>
            <w:noWrap/>
            <w:vAlign w:val="center"/>
          </w:tcPr>
          <w:p w:rsidR="0024179B" w:rsidRPr="00DE4A3C" w:rsidRDefault="00DE4A3C" w:rsidP="008C190A">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1146" w:type="dxa"/>
            <w:tcBorders>
              <w:bottom w:val="nil"/>
            </w:tcBorders>
            <w:shd w:val="clear" w:color="auto" w:fill="auto"/>
            <w:noWrap/>
            <w:vAlign w:val="center"/>
          </w:tcPr>
          <w:p w:rsidR="0024179B" w:rsidRPr="00DE4A3C" w:rsidRDefault="00DE4A3C" w:rsidP="008C190A">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1147" w:type="dxa"/>
            <w:tcBorders>
              <w:bottom w:val="nil"/>
            </w:tcBorders>
            <w:shd w:val="clear" w:color="auto" w:fill="auto"/>
            <w:noWrap/>
            <w:vAlign w:val="center"/>
          </w:tcPr>
          <w:p w:rsidR="0024179B" w:rsidRPr="00DE4A3C" w:rsidRDefault="00DE4A3C" w:rsidP="008C190A">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1083" w:type="dxa"/>
            <w:tcBorders>
              <w:bottom w:val="nil"/>
            </w:tcBorders>
            <w:shd w:val="clear" w:color="auto" w:fill="auto"/>
            <w:noWrap/>
            <w:vAlign w:val="center"/>
          </w:tcPr>
          <w:p w:rsidR="0024179B" w:rsidRPr="00DE4A3C" w:rsidRDefault="00DE4A3C" w:rsidP="008C190A">
            <w:pPr>
              <w:jc w:val="center"/>
              <w:rPr>
                <w:rFonts w:ascii="Arial Narrow" w:hAnsi="Arial Narrow"/>
                <w:color w:val="000000"/>
                <w:sz w:val="20"/>
                <w:highlight w:val="black"/>
              </w:rPr>
            </w:pPr>
            <w:r>
              <w:rPr>
                <w:rFonts w:ascii="Arial Narrow" w:hAnsi="Arial Narrow"/>
                <w:noProof/>
                <w:color w:val="000000"/>
                <w:sz w:val="20"/>
                <w:highlight w:val="black"/>
              </w:rPr>
              <w:t>'''''''''''''''''''''''''</w:t>
            </w:r>
          </w:p>
        </w:tc>
      </w:tr>
      <w:tr w:rsidR="0024179B" w:rsidRPr="00894F60" w:rsidTr="0037280E">
        <w:tc>
          <w:tcPr>
            <w:tcW w:w="2694" w:type="dxa"/>
            <w:tcBorders>
              <w:bottom w:val="single" w:sz="4" w:space="0" w:color="auto"/>
            </w:tcBorders>
            <w:shd w:val="clear" w:color="auto" w:fill="auto"/>
            <w:noWrap/>
            <w:vAlign w:val="bottom"/>
          </w:tcPr>
          <w:p w:rsidR="0024179B" w:rsidRPr="00DE4A3C" w:rsidRDefault="00DE4A3C" w:rsidP="008C190A">
            <w:pPr>
              <w:rPr>
                <w:rFonts w:ascii="Arial Narrow" w:hAnsi="Arial Narrow"/>
                <w:color w:val="000000"/>
                <w:sz w:val="20"/>
                <w:highlight w:val="black"/>
              </w:rPr>
            </w:pPr>
            <w:r>
              <w:rPr>
                <w:rFonts w:ascii="Arial Narrow" w:hAnsi="Arial Narrow"/>
                <w:noProof/>
                <w:color w:val="000000"/>
                <w:sz w:val="20"/>
                <w:highlight w:val="black"/>
              </w:rPr>
              <w:t>'''''''''''''''''' ''''''''''''''''''''''''''' ''''''''''''''''''''''''''''''''</w:t>
            </w:r>
          </w:p>
        </w:tc>
        <w:tc>
          <w:tcPr>
            <w:tcW w:w="1146" w:type="dxa"/>
            <w:tcBorders>
              <w:bottom w:val="single" w:sz="4" w:space="0" w:color="auto"/>
            </w:tcBorders>
            <w:shd w:val="clear" w:color="auto" w:fill="auto"/>
            <w:noWrap/>
            <w:vAlign w:val="center"/>
          </w:tcPr>
          <w:p w:rsidR="0024179B" w:rsidRPr="00DE4A3C" w:rsidRDefault="00DE4A3C" w:rsidP="008C190A">
            <w:pPr>
              <w:jc w:val="center"/>
              <w:rPr>
                <w:rFonts w:ascii="Arial Narrow" w:hAnsi="Arial Narrow"/>
                <w:sz w:val="20"/>
                <w:highlight w:val="black"/>
              </w:rPr>
            </w:pPr>
            <w:r>
              <w:rPr>
                <w:rFonts w:ascii="Arial Narrow" w:hAnsi="Arial Narrow"/>
                <w:noProof/>
                <w:color w:val="000000"/>
                <w:sz w:val="20"/>
                <w:highlight w:val="black"/>
              </w:rPr>
              <w:t>''''''''''''''''''''''''</w:t>
            </w:r>
          </w:p>
        </w:tc>
        <w:tc>
          <w:tcPr>
            <w:tcW w:w="1147" w:type="dxa"/>
            <w:tcBorders>
              <w:bottom w:val="single" w:sz="4" w:space="0" w:color="auto"/>
            </w:tcBorders>
            <w:shd w:val="clear" w:color="auto" w:fill="auto"/>
            <w:noWrap/>
            <w:vAlign w:val="center"/>
          </w:tcPr>
          <w:p w:rsidR="0024179B" w:rsidRPr="00DE4A3C" w:rsidRDefault="00DE4A3C" w:rsidP="008C190A">
            <w:pPr>
              <w:jc w:val="center"/>
              <w:rPr>
                <w:rFonts w:ascii="Arial Narrow" w:hAnsi="Arial Narrow"/>
                <w:sz w:val="20"/>
                <w:highlight w:val="black"/>
              </w:rPr>
            </w:pPr>
            <w:r>
              <w:rPr>
                <w:rFonts w:ascii="Arial Narrow" w:hAnsi="Arial Narrow"/>
                <w:noProof/>
                <w:color w:val="000000"/>
                <w:sz w:val="20"/>
                <w:highlight w:val="black"/>
              </w:rPr>
              <w:t>''''''''''''''''''''''</w:t>
            </w:r>
          </w:p>
        </w:tc>
        <w:tc>
          <w:tcPr>
            <w:tcW w:w="1146" w:type="dxa"/>
            <w:tcBorders>
              <w:bottom w:val="single" w:sz="4" w:space="0" w:color="auto"/>
            </w:tcBorders>
            <w:shd w:val="clear" w:color="auto" w:fill="auto"/>
            <w:noWrap/>
            <w:vAlign w:val="center"/>
          </w:tcPr>
          <w:p w:rsidR="0024179B" w:rsidRPr="00DE4A3C" w:rsidRDefault="00DE4A3C" w:rsidP="008C190A">
            <w:pPr>
              <w:jc w:val="center"/>
              <w:rPr>
                <w:rFonts w:ascii="Arial Narrow" w:hAnsi="Arial Narrow"/>
                <w:sz w:val="20"/>
                <w:highlight w:val="black"/>
              </w:rPr>
            </w:pPr>
            <w:r>
              <w:rPr>
                <w:rFonts w:ascii="Arial Narrow" w:hAnsi="Arial Narrow"/>
                <w:noProof/>
                <w:color w:val="000000"/>
                <w:sz w:val="20"/>
                <w:highlight w:val="black"/>
              </w:rPr>
              <w:t>''''''''''''''''''''''''</w:t>
            </w:r>
          </w:p>
        </w:tc>
        <w:tc>
          <w:tcPr>
            <w:tcW w:w="1147" w:type="dxa"/>
            <w:tcBorders>
              <w:bottom w:val="single" w:sz="4" w:space="0" w:color="auto"/>
            </w:tcBorders>
            <w:shd w:val="clear" w:color="auto" w:fill="auto"/>
            <w:noWrap/>
            <w:vAlign w:val="center"/>
          </w:tcPr>
          <w:p w:rsidR="0024179B" w:rsidRPr="00DE4A3C" w:rsidRDefault="00DE4A3C" w:rsidP="008C190A">
            <w:pPr>
              <w:jc w:val="center"/>
              <w:rPr>
                <w:rFonts w:ascii="Arial Narrow" w:hAnsi="Arial Narrow"/>
                <w:sz w:val="20"/>
                <w:highlight w:val="black"/>
              </w:rPr>
            </w:pPr>
            <w:r>
              <w:rPr>
                <w:rFonts w:ascii="Arial Narrow" w:hAnsi="Arial Narrow"/>
                <w:noProof/>
                <w:color w:val="000000"/>
                <w:sz w:val="20"/>
                <w:highlight w:val="black"/>
              </w:rPr>
              <w:t>''''''''''''''''''''''''</w:t>
            </w:r>
          </w:p>
        </w:tc>
        <w:tc>
          <w:tcPr>
            <w:tcW w:w="1083" w:type="dxa"/>
            <w:tcBorders>
              <w:bottom w:val="single" w:sz="4" w:space="0" w:color="auto"/>
            </w:tcBorders>
            <w:shd w:val="clear" w:color="auto" w:fill="auto"/>
            <w:noWrap/>
            <w:vAlign w:val="center"/>
          </w:tcPr>
          <w:p w:rsidR="0024179B" w:rsidRPr="00DE4A3C" w:rsidRDefault="00DE4A3C" w:rsidP="008C190A">
            <w:pPr>
              <w:jc w:val="center"/>
              <w:rPr>
                <w:rFonts w:ascii="Arial Narrow" w:hAnsi="Arial Narrow"/>
                <w:sz w:val="20"/>
                <w:highlight w:val="black"/>
              </w:rPr>
            </w:pPr>
            <w:r>
              <w:rPr>
                <w:rFonts w:ascii="Arial Narrow" w:hAnsi="Arial Narrow"/>
                <w:noProof/>
                <w:color w:val="000000"/>
                <w:sz w:val="20"/>
                <w:highlight w:val="black"/>
              </w:rPr>
              <w:t>''''''''''''''''''''''</w:t>
            </w:r>
          </w:p>
        </w:tc>
      </w:tr>
      <w:tr w:rsidR="0024179B" w:rsidRPr="00894F60" w:rsidTr="0037280E">
        <w:tc>
          <w:tcPr>
            <w:tcW w:w="2694" w:type="dxa"/>
            <w:tcBorders>
              <w:bottom w:val="double" w:sz="4" w:space="0" w:color="auto"/>
            </w:tcBorders>
            <w:shd w:val="clear" w:color="auto" w:fill="auto"/>
            <w:noWrap/>
            <w:vAlign w:val="bottom"/>
          </w:tcPr>
          <w:p w:rsidR="0024179B" w:rsidRPr="00DE4A3C" w:rsidRDefault="00DE4A3C" w:rsidP="008C190A">
            <w:pPr>
              <w:rPr>
                <w:rFonts w:ascii="Arial Narrow" w:hAnsi="Arial Narrow"/>
                <w:b/>
                <w:color w:val="000000"/>
                <w:sz w:val="20"/>
                <w:highlight w:val="black"/>
              </w:rPr>
            </w:pPr>
            <w:r>
              <w:rPr>
                <w:rFonts w:ascii="Arial Narrow" w:hAnsi="Arial Narrow"/>
                <w:b/>
                <w:noProof/>
                <w:color w:val="000000"/>
                <w:sz w:val="20"/>
                <w:highlight w:val="black"/>
              </w:rPr>
              <w:t>''''''''''' '''' '''''''''''''''''''''' ''''' '''''''' '''''''''' '''''''''''''''</w:t>
            </w:r>
          </w:p>
        </w:tc>
        <w:tc>
          <w:tcPr>
            <w:tcW w:w="1146" w:type="dxa"/>
            <w:tcBorders>
              <w:bottom w:val="double" w:sz="4" w:space="0" w:color="auto"/>
            </w:tcBorders>
            <w:shd w:val="clear" w:color="auto" w:fill="auto"/>
            <w:noWrap/>
            <w:vAlign w:val="center"/>
          </w:tcPr>
          <w:p w:rsidR="0024179B" w:rsidRPr="00DE4A3C" w:rsidRDefault="00DE4A3C" w:rsidP="008C190A">
            <w:pPr>
              <w:jc w:val="center"/>
              <w:rPr>
                <w:rFonts w:ascii="Arial Narrow" w:hAnsi="Arial Narrow"/>
                <w:b/>
                <w:sz w:val="20"/>
                <w:highlight w:val="black"/>
              </w:rPr>
            </w:pPr>
            <w:r>
              <w:rPr>
                <w:rFonts w:ascii="Arial Narrow" w:hAnsi="Arial Narrow"/>
                <w:b/>
                <w:noProof/>
                <w:color w:val="000000"/>
                <w:sz w:val="20"/>
                <w:highlight w:val="black"/>
              </w:rPr>
              <w:t>''''''''''''''''''</w:t>
            </w:r>
          </w:p>
        </w:tc>
        <w:tc>
          <w:tcPr>
            <w:tcW w:w="1147" w:type="dxa"/>
            <w:tcBorders>
              <w:bottom w:val="double" w:sz="4" w:space="0" w:color="auto"/>
            </w:tcBorders>
            <w:shd w:val="clear" w:color="auto" w:fill="auto"/>
            <w:noWrap/>
            <w:vAlign w:val="center"/>
          </w:tcPr>
          <w:p w:rsidR="0024179B" w:rsidRPr="00DE4A3C" w:rsidRDefault="00DE4A3C" w:rsidP="008C190A">
            <w:pPr>
              <w:jc w:val="center"/>
              <w:rPr>
                <w:rFonts w:ascii="Arial Narrow" w:hAnsi="Arial Narrow"/>
                <w:b/>
                <w:sz w:val="20"/>
                <w:highlight w:val="black"/>
              </w:rPr>
            </w:pPr>
            <w:r>
              <w:rPr>
                <w:rFonts w:ascii="Arial Narrow" w:hAnsi="Arial Narrow"/>
                <w:b/>
                <w:noProof/>
                <w:color w:val="000000"/>
                <w:sz w:val="20"/>
                <w:highlight w:val="black"/>
              </w:rPr>
              <w:t>''''''''''''''''</w:t>
            </w:r>
          </w:p>
        </w:tc>
        <w:tc>
          <w:tcPr>
            <w:tcW w:w="1146" w:type="dxa"/>
            <w:tcBorders>
              <w:bottom w:val="double" w:sz="4" w:space="0" w:color="auto"/>
            </w:tcBorders>
            <w:shd w:val="clear" w:color="auto" w:fill="auto"/>
            <w:noWrap/>
            <w:vAlign w:val="center"/>
          </w:tcPr>
          <w:p w:rsidR="0024179B" w:rsidRPr="00DE4A3C" w:rsidRDefault="00DE4A3C" w:rsidP="008C190A">
            <w:pPr>
              <w:jc w:val="center"/>
              <w:rPr>
                <w:rFonts w:ascii="Arial Narrow" w:hAnsi="Arial Narrow"/>
                <w:b/>
                <w:sz w:val="20"/>
                <w:highlight w:val="black"/>
              </w:rPr>
            </w:pPr>
            <w:r>
              <w:rPr>
                <w:rFonts w:ascii="Arial Narrow" w:hAnsi="Arial Narrow"/>
                <w:b/>
                <w:noProof/>
                <w:color w:val="000000"/>
                <w:sz w:val="20"/>
                <w:highlight w:val="black"/>
              </w:rPr>
              <w:t>''''''''''''''''''</w:t>
            </w:r>
          </w:p>
        </w:tc>
        <w:tc>
          <w:tcPr>
            <w:tcW w:w="1147" w:type="dxa"/>
            <w:tcBorders>
              <w:bottom w:val="double" w:sz="4" w:space="0" w:color="auto"/>
            </w:tcBorders>
            <w:shd w:val="clear" w:color="auto" w:fill="auto"/>
            <w:noWrap/>
            <w:vAlign w:val="center"/>
          </w:tcPr>
          <w:p w:rsidR="0024179B" w:rsidRPr="00DE4A3C" w:rsidRDefault="00DE4A3C" w:rsidP="008C190A">
            <w:pPr>
              <w:jc w:val="center"/>
              <w:rPr>
                <w:rFonts w:ascii="Arial Narrow" w:hAnsi="Arial Narrow"/>
                <w:b/>
                <w:sz w:val="20"/>
                <w:highlight w:val="black"/>
              </w:rPr>
            </w:pPr>
            <w:r>
              <w:rPr>
                <w:rFonts w:ascii="Arial Narrow" w:hAnsi="Arial Narrow"/>
                <w:b/>
                <w:noProof/>
                <w:color w:val="000000"/>
                <w:sz w:val="20"/>
                <w:highlight w:val="black"/>
              </w:rPr>
              <w:t>'''''''''''''''''''''''</w:t>
            </w:r>
          </w:p>
        </w:tc>
        <w:tc>
          <w:tcPr>
            <w:tcW w:w="1083" w:type="dxa"/>
            <w:tcBorders>
              <w:bottom w:val="double" w:sz="4" w:space="0" w:color="auto"/>
            </w:tcBorders>
            <w:shd w:val="clear" w:color="auto" w:fill="auto"/>
            <w:noWrap/>
            <w:vAlign w:val="center"/>
          </w:tcPr>
          <w:p w:rsidR="0024179B" w:rsidRPr="00DE4A3C" w:rsidRDefault="00DE4A3C" w:rsidP="008C190A">
            <w:pPr>
              <w:jc w:val="center"/>
              <w:rPr>
                <w:rFonts w:ascii="Arial Narrow" w:hAnsi="Arial Narrow"/>
                <w:b/>
                <w:sz w:val="20"/>
                <w:highlight w:val="black"/>
              </w:rPr>
            </w:pPr>
            <w:r>
              <w:rPr>
                <w:rFonts w:ascii="Arial Narrow" w:hAnsi="Arial Narrow"/>
                <w:b/>
                <w:noProof/>
                <w:color w:val="000000"/>
                <w:sz w:val="20"/>
                <w:highlight w:val="black"/>
              </w:rPr>
              <w:t>''''''''''''''''''''</w:t>
            </w:r>
          </w:p>
        </w:tc>
      </w:tr>
      <w:tr w:rsidR="0024179B" w:rsidRPr="00894F60" w:rsidTr="0037280E">
        <w:tc>
          <w:tcPr>
            <w:tcW w:w="2694" w:type="dxa"/>
            <w:tcBorders>
              <w:top w:val="single" w:sz="4" w:space="0" w:color="auto"/>
              <w:bottom w:val="single" w:sz="4" w:space="0" w:color="auto"/>
            </w:tcBorders>
            <w:shd w:val="clear" w:color="auto" w:fill="auto"/>
            <w:noWrap/>
            <w:vAlign w:val="center"/>
          </w:tcPr>
          <w:p w:rsidR="0024179B" w:rsidRPr="00DE4A3C" w:rsidRDefault="00DE4A3C" w:rsidP="008C190A">
            <w:pPr>
              <w:rPr>
                <w:rFonts w:ascii="Arial Narrow" w:hAnsi="Arial Narrow"/>
                <w:color w:val="000000"/>
                <w:sz w:val="20"/>
                <w:highlight w:val="black"/>
              </w:rPr>
            </w:pPr>
            <w:r>
              <w:rPr>
                <w:rFonts w:ascii="Arial Narrow" w:hAnsi="Arial Narrow"/>
                <w:noProof/>
                <w:color w:val="000000"/>
                <w:sz w:val="20"/>
                <w:highlight w:val="black"/>
              </w:rPr>
              <w:t>''''''''''' ''''''''''''''''''''''''''''' '''''''''' ''''''''''''''''''''''''''''''''</w:t>
            </w:r>
          </w:p>
        </w:tc>
        <w:tc>
          <w:tcPr>
            <w:tcW w:w="1146" w:type="dxa"/>
            <w:tcBorders>
              <w:top w:val="single" w:sz="4" w:space="0" w:color="auto"/>
              <w:bottom w:val="single" w:sz="4" w:space="0" w:color="auto"/>
            </w:tcBorders>
            <w:shd w:val="clear" w:color="auto" w:fill="auto"/>
            <w:noWrap/>
            <w:vAlign w:val="center"/>
          </w:tcPr>
          <w:p w:rsidR="0024179B" w:rsidRPr="00DE4A3C" w:rsidRDefault="00DE4A3C" w:rsidP="008C190A">
            <w:pPr>
              <w:jc w:val="center"/>
              <w:rPr>
                <w:rFonts w:ascii="Arial Narrow" w:hAnsi="Arial Narrow"/>
                <w:sz w:val="20"/>
                <w:highlight w:val="black"/>
              </w:rPr>
            </w:pPr>
            <w:r>
              <w:rPr>
                <w:rFonts w:ascii="Arial Narrow" w:hAnsi="Arial Narrow"/>
                <w:noProof/>
                <w:color w:val="000000"/>
                <w:sz w:val="20"/>
                <w:highlight w:val="black"/>
              </w:rPr>
              <w:t>'''''''''''''''''''''</w:t>
            </w:r>
          </w:p>
        </w:tc>
        <w:tc>
          <w:tcPr>
            <w:tcW w:w="1147" w:type="dxa"/>
            <w:tcBorders>
              <w:top w:val="single" w:sz="4" w:space="0" w:color="auto"/>
              <w:bottom w:val="single" w:sz="4" w:space="0" w:color="auto"/>
            </w:tcBorders>
            <w:shd w:val="clear" w:color="auto" w:fill="auto"/>
            <w:noWrap/>
            <w:vAlign w:val="center"/>
          </w:tcPr>
          <w:p w:rsidR="0024179B" w:rsidRPr="00DE4A3C" w:rsidRDefault="00DE4A3C" w:rsidP="008C190A">
            <w:pPr>
              <w:jc w:val="center"/>
              <w:rPr>
                <w:rFonts w:ascii="Arial Narrow" w:hAnsi="Arial Narrow"/>
                <w:sz w:val="20"/>
                <w:highlight w:val="black"/>
              </w:rPr>
            </w:pPr>
            <w:r>
              <w:rPr>
                <w:rFonts w:ascii="Arial Narrow" w:hAnsi="Arial Narrow"/>
                <w:noProof/>
                <w:color w:val="000000"/>
                <w:sz w:val="20"/>
                <w:highlight w:val="black"/>
              </w:rPr>
              <w:t>''''''''''''''''''''</w:t>
            </w:r>
          </w:p>
        </w:tc>
        <w:tc>
          <w:tcPr>
            <w:tcW w:w="1146" w:type="dxa"/>
            <w:tcBorders>
              <w:top w:val="single" w:sz="4" w:space="0" w:color="auto"/>
              <w:bottom w:val="single" w:sz="4" w:space="0" w:color="auto"/>
            </w:tcBorders>
            <w:shd w:val="clear" w:color="auto" w:fill="auto"/>
            <w:noWrap/>
            <w:vAlign w:val="center"/>
          </w:tcPr>
          <w:p w:rsidR="0024179B" w:rsidRPr="00DE4A3C" w:rsidRDefault="00DE4A3C" w:rsidP="008C190A">
            <w:pPr>
              <w:jc w:val="center"/>
              <w:rPr>
                <w:rFonts w:ascii="Arial Narrow" w:hAnsi="Arial Narrow"/>
                <w:sz w:val="20"/>
                <w:highlight w:val="black"/>
              </w:rPr>
            </w:pPr>
            <w:r>
              <w:rPr>
                <w:rFonts w:ascii="Arial Narrow" w:hAnsi="Arial Narrow"/>
                <w:noProof/>
                <w:color w:val="000000"/>
                <w:sz w:val="20"/>
                <w:highlight w:val="black"/>
              </w:rPr>
              <w:t>''''''''''''''''''''</w:t>
            </w:r>
          </w:p>
        </w:tc>
        <w:tc>
          <w:tcPr>
            <w:tcW w:w="1147" w:type="dxa"/>
            <w:tcBorders>
              <w:top w:val="single" w:sz="4" w:space="0" w:color="auto"/>
              <w:bottom w:val="single" w:sz="4" w:space="0" w:color="auto"/>
            </w:tcBorders>
            <w:shd w:val="clear" w:color="auto" w:fill="auto"/>
            <w:noWrap/>
            <w:vAlign w:val="center"/>
          </w:tcPr>
          <w:p w:rsidR="0024179B" w:rsidRPr="00DE4A3C" w:rsidRDefault="00DE4A3C" w:rsidP="008C190A">
            <w:pPr>
              <w:jc w:val="center"/>
              <w:rPr>
                <w:rFonts w:ascii="Arial Narrow" w:hAnsi="Arial Narrow"/>
                <w:sz w:val="20"/>
                <w:highlight w:val="black"/>
              </w:rPr>
            </w:pPr>
            <w:r>
              <w:rPr>
                <w:rFonts w:ascii="Arial Narrow" w:hAnsi="Arial Narrow"/>
                <w:noProof/>
                <w:color w:val="000000"/>
                <w:sz w:val="20"/>
                <w:highlight w:val="black"/>
              </w:rPr>
              <w:t>'''''''''''''''''''''''''''''</w:t>
            </w:r>
          </w:p>
        </w:tc>
        <w:tc>
          <w:tcPr>
            <w:tcW w:w="1083" w:type="dxa"/>
            <w:tcBorders>
              <w:top w:val="single" w:sz="4" w:space="0" w:color="auto"/>
              <w:bottom w:val="single" w:sz="4" w:space="0" w:color="auto"/>
            </w:tcBorders>
            <w:shd w:val="clear" w:color="auto" w:fill="auto"/>
            <w:noWrap/>
            <w:vAlign w:val="center"/>
          </w:tcPr>
          <w:p w:rsidR="0024179B" w:rsidRPr="00DE4A3C" w:rsidRDefault="00DE4A3C" w:rsidP="008C190A">
            <w:pPr>
              <w:jc w:val="center"/>
              <w:rPr>
                <w:rFonts w:ascii="Arial Narrow" w:hAnsi="Arial Narrow"/>
                <w:sz w:val="20"/>
                <w:highlight w:val="black"/>
              </w:rPr>
            </w:pPr>
            <w:r>
              <w:rPr>
                <w:rFonts w:ascii="Arial Narrow" w:hAnsi="Arial Narrow"/>
                <w:noProof/>
                <w:color w:val="000000"/>
                <w:sz w:val="20"/>
                <w:highlight w:val="black"/>
              </w:rPr>
              <w:t>'''''''''''''''''''''''''</w:t>
            </w:r>
          </w:p>
        </w:tc>
      </w:tr>
      <w:tr w:rsidR="0024179B" w:rsidRPr="00894F60" w:rsidTr="0037280E">
        <w:tc>
          <w:tcPr>
            <w:tcW w:w="2694" w:type="dxa"/>
            <w:tcBorders>
              <w:top w:val="single" w:sz="4" w:space="0" w:color="auto"/>
              <w:bottom w:val="single" w:sz="4" w:space="0" w:color="auto"/>
            </w:tcBorders>
            <w:shd w:val="clear" w:color="auto" w:fill="auto"/>
            <w:vAlign w:val="center"/>
            <w:hideMark/>
          </w:tcPr>
          <w:p w:rsidR="0024179B" w:rsidRPr="00DE4A3C" w:rsidRDefault="00DE4A3C" w:rsidP="008C190A">
            <w:pPr>
              <w:rPr>
                <w:rFonts w:ascii="Arial Narrow" w:hAnsi="Arial Narrow"/>
                <w:b/>
                <w:bCs/>
                <w:sz w:val="20"/>
                <w:highlight w:val="black"/>
              </w:rPr>
            </w:pPr>
            <w:r>
              <w:rPr>
                <w:rFonts w:ascii="Arial Narrow" w:hAnsi="Arial Narrow"/>
                <w:b/>
                <w:bCs/>
                <w:noProof/>
                <w:color w:val="000000"/>
                <w:sz w:val="20"/>
                <w:highlight w:val="black"/>
              </w:rPr>
              <w:t>''''''''''''''' ''''''' ''''''''' '''' '''''''''' '''''''''' '''''''''''''''</w:t>
            </w:r>
          </w:p>
        </w:tc>
        <w:tc>
          <w:tcPr>
            <w:tcW w:w="1146" w:type="dxa"/>
            <w:tcBorders>
              <w:top w:val="single" w:sz="4" w:space="0" w:color="auto"/>
              <w:bottom w:val="single" w:sz="4" w:space="0" w:color="auto"/>
            </w:tcBorders>
            <w:shd w:val="clear" w:color="auto" w:fill="auto"/>
            <w:noWrap/>
            <w:vAlign w:val="center"/>
          </w:tcPr>
          <w:p w:rsidR="0024179B" w:rsidRPr="00DE4A3C" w:rsidRDefault="00DE4A3C" w:rsidP="008C190A">
            <w:pPr>
              <w:jc w:val="center"/>
              <w:rPr>
                <w:rFonts w:ascii="Arial Narrow" w:hAnsi="Arial Narrow"/>
                <w:b/>
                <w:sz w:val="20"/>
                <w:highlight w:val="black"/>
              </w:rPr>
            </w:pPr>
            <w:r>
              <w:rPr>
                <w:rFonts w:ascii="Arial Narrow" w:hAnsi="Arial Narrow"/>
                <w:b/>
                <w:noProof/>
                <w:color w:val="000000"/>
                <w:sz w:val="20"/>
                <w:highlight w:val="black"/>
              </w:rPr>
              <w:t>'''''''''''''''''</w:t>
            </w:r>
          </w:p>
        </w:tc>
        <w:tc>
          <w:tcPr>
            <w:tcW w:w="1147" w:type="dxa"/>
            <w:tcBorders>
              <w:top w:val="single" w:sz="4" w:space="0" w:color="auto"/>
              <w:bottom w:val="single" w:sz="4" w:space="0" w:color="auto"/>
            </w:tcBorders>
            <w:shd w:val="clear" w:color="auto" w:fill="auto"/>
            <w:noWrap/>
            <w:vAlign w:val="center"/>
          </w:tcPr>
          <w:p w:rsidR="0024179B" w:rsidRPr="00DE4A3C" w:rsidRDefault="00DE4A3C" w:rsidP="008C190A">
            <w:pPr>
              <w:jc w:val="center"/>
              <w:rPr>
                <w:rFonts w:ascii="Arial Narrow" w:hAnsi="Arial Narrow"/>
                <w:b/>
                <w:sz w:val="20"/>
                <w:highlight w:val="black"/>
              </w:rPr>
            </w:pPr>
            <w:r>
              <w:rPr>
                <w:rFonts w:ascii="Arial Narrow" w:hAnsi="Arial Narrow"/>
                <w:b/>
                <w:noProof/>
                <w:color w:val="000000"/>
                <w:sz w:val="20"/>
                <w:highlight w:val="black"/>
              </w:rPr>
              <w:t>''''''''''''''</w:t>
            </w:r>
          </w:p>
        </w:tc>
        <w:tc>
          <w:tcPr>
            <w:tcW w:w="1146" w:type="dxa"/>
            <w:tcBorders>
              <w:top w:val="single" w:sz="4" w:space="0" w:color="auto"/>
              <w:bottom w:val="single" w:sz="4" w:space="0" w:color="auto"/>
            </w:tcBorders>
            <w:shd w:val="clear" w:color="auto" w:fill="auto"/>
            <w:noWrap/>
            <w:vAlign w:val="center"/>
          </w:tcPr>
          <w:p w:rsidR="0024179B" w:rsidRPr="00DE4A3C" w:rsidRDefault="00DE4A3C" w:rsidP="008C190A">
            <w:pPr>
              <w:jc w:val="center"/>
              <w:rPr>
                <w:rFonts w:ascii="Arial Narrow" w:hAnsi="Arial Narrow"/>
                <w:b/>
                <w:sz w:val="20"/>
                <w:highlight w:val="black"/>
              </w:rPr>
            </w:pPr>
            <w:r>
              <w:rPr>
                <w:rFonts w:ascii="Arial Narrow" w:hAnsi="Arial Narrow"/>
                <w:b/>
                <w:noProof/>
                <w:color w:val="000000"/>
                <w:sz w:val="20"/>
                <w:highlight w:val="black"/>
              </w:rPr>
              <w:t>'''''''''''''''</w:t>
            </w:r>
          </w:p>
        </w:tc>
        <w:tc>
          <w:tcPr>
            <w:tcW w:w="1147" w:type="dxa"/>
            <w:tcBorders>
              <w:top w:val="single" w:sz="4" w:space="0" w:color="auto"/>
              <w:bottom w:val="single" w:sz="4" w:space="0" w:color="auto"/>
            </w:tcBorders>
            <w:shd w:val="clear" w:color="auto" w:fill="auto"/>
            <w:noWrap/>
            <w:vAlign w:val="center"/>
          </w:tcPr>
          <w:p w:rsidR="0024179B" w:rsidRPr="00DE4A3C" w:rsidRDefault="00DE4A3C" w:rsidP="008C190A">
            <w:pPr>
              <w:jc w:val="center"/>
              <w:rPr>
                <w:rFonts w:ascii="Arial Narrow" w:hAnsi="Arial Narrow"/>
                <w:b/>
                <w:sz w:val="20"/>
                <w:highlight w:val="black"/>
              </w:rPr>
            </w:pPr>
            <w:r>
              <w:rPr>
                <w:rFonts w:ascii="Arial Narrow" w:hAnsi="Arial Narrow"/>
                <w:b/>
                <w:noProof/>
                <w:color w:val="000000"/>
                <w:sz w:val="20"/>
                <w:highlight w:val="black"/>
              </w:rPr>
              <w:t>''''''''''''''''</w:t>
            </w:r>
          </w:p>
        </w:tc>
        <w:tc>
          <w:tcPr>
            <w:tcW w:w="1083" w:type="dxa"/>
            <w:tcBorders>
              <w:top w:val="single" w:sz="4" w:space="0" w:color="auto"/>
              <w:bottom w:val="single" w:sz="4" w:space="0" w:color="auto"/>
            </w:tcBorders>
            <w:shd w:val="clear" w:color="auto" w:fill="auto"/>
            <w:noWrap/>
            <w:vAlign w:val="center"/>
          </w:tcPr>
          <w:p w:rsidR="0024179B" w:rsidRPr="00DE4A3C" w:rsidRDefault="00DE4A3C" w:rsidP="008C190A">
            <w:pPr>
              <w:jc w:val="center"/>
              <w:rPr>
                <w:rFonts w:ascii="Arial Narrow" w:hAnsi="Arial Narrow"/>
                <w:b/>
                <w:sz w:val="20"/>
                <w:highlight w:val="black"/>
              </w:rPr>
            </w:pPr>
            <w:r>
              <w:rPr>
                <w:rFonts w:ascii="Arial Narrow" w:hAnsi="Arial Narrow"/>
                <w:b/>
                <w:noProof/>
                <w:color w:val="000000"/>
                <w:sz w:val="20"/>
                <w:highlight w:val="black"/>
              </w:rPr>
              <w:t>'''''''''''''''''</w:t>
            </w:r>
          </w:p>
        </w:tc>
      </w:tr>
    </w:tbl>
    <w:p w:rsidR="0024179B" w:rsidRPr="00DF5A6E" w:rsidRDefault="0024179B" w:rsidP="00A83D2A">
      <w:pPr>
        <w:ind w:left="709"/>
        <w:rPr>
          <w:rFonts w:ascii="Arial Narrow" w:hAnsi="Arial Narrow"/>
          <w:sz w:val="18"/>
          <w:szCs w:val="18"/>
        </w:rPr>
      </w:pPr>
      <w:r w:rsidRPr="00DF5A6E">
        <w:rPr>
          <w:rFonts w:ascii="Arial Narrow" w:hAnsi="Arial Narrow"/>
          <w:sz w:val="18"/>
          <w:szCs w:val="18"/>
        </w:rPr>
        <w:t xml:space="preserve">Source: Tables E.9 to E.14 (pp102-103) of the submission; Section </w:t>
      </w:r>
      <w:proofErr w:type="spellStart"/>
      <w:r w:rsidRPr="00DF5A6E">
        <w:rPr>
          <w:rFonts w:ascii="Arial Narrow" w:hAnsi="Arial Narrow"/>
          <w:sz w:val="18"/>
          <w:szCs w:val="18"/>
        </w:rPr>
        <w:t>E_lixisenatide</w:t>
      </w:r>
      <w:proofErr w:type="spellEnd"/>
      <w:r w:rsidRPr="00DF5A6E">
        <w:rPr>
          <w:rFonts w:ascii="Arial Narrow" w:hAnsi="Arial Narrow"/>
          <w:sz w:val="18"/>
          <w:szCs w:val="18"/>
        </w:rPr>
        <w:t xml:space="preserve"> OAD_09MAR2014.xls</w:t>
      </w:r>
    </w:p>
    <w:p w:rsidR="0024179B" w:rsidRPr="00DF5A6E" w:rsidRDefault="0024179B" w:rsidP="00A83D2A">
      <w:pPr>
        <w:ind w:left="709"/>
        <w:rPr>
          <w:rFonts w:ascii="Arial Narrow" w:hAnsi="Arial Narrow"/>
          <w:sz w:val="18"/>
          <w:szCs w:val="18"/>
        </w:rPr>
      </w:pPr>
      <w:proofErr w:type="spellStart"/>
      <w:proofErr w:type="gramStart"/>
      <w:r w:rsidRPr="00DF5A6E">
        <w:rPr>
          <w:rFonts w:ascii="Arial Narrow" w:hAnsi="Arial Narrow"/>
          <w:sz w:val="18"/>
          <w:szCs w:val="18"/>
          <w:vertAlign w:val="superscript"/>
        </w:rPr>
        <w:t>a</w:t>
      </w:r>
      <w:proofErr w:type="spellEnd"/>
      <w:proofErr w:type="gramEnd"/>
      <w:r w:rsidRPr="00DF5A6E">
        <w:rPr>
          <w:rFonts w:ascii="Arial Narrow" w:hAnsi="Arial Narrow"/>
          <w:sz w:val="18"/>
          <w:szCs w:val="18"/>
        </w:rPr>
        <w:t xml:space="preserve"> Includes initiation and maintenance packs; </w:t>
      </w:r>
      <w:r w:rsidR="00DE4A3C">
        <w:rPr>
          <w:rFonts w:ascii="Arial Narrow" w:hAnsi="Arial Narrow"/>
          <w:noProof/>
          <w:color w:val="000000"/>
          <w:sz w:val="18"/>
          <w:szCs w:val="18"/>
          <w:highlight w:val="black"/>
        </w:rPr>
        <w:t>'''''''''''''</w:t>
      </w:r>
      <w:r w:rsidRPr="00DF5A6E">
        <w:rPr>
          <w:rFonts w:ascii="Arial Narrow" w:hAnsi="Arial Narrow"/>
          <w:sz w:val="18"/>
          <w:szCs w:val="18"/>
        </w:rPr>
        <w:t xml:space="preserve"> packs per year per patient</w:t>
      </w:r>
    </w:p>
    <w:p w:rsidR="0024179B" w:rsidRDefault="0024179B" w:rsidP="00A83D2A">
      <w:pPr>
        <w:ind w:left="709"/>
      </w:pPr>
      <w:r w:rsidRPr="00DF5A6E">
        <w:rPr>
          <w:rFonts w:ascii="Arial Narrow" w:hAnsi="Arial Narrow"/>
          <w:sz w:val="18"/>
          <w:szCs w:val="18"/>
        </w:rPr>
        <w:t>Note: Results in italics corrected for prices listed in the April 2014 PBS Schedule (average patient co-payments corrected)</w:t>
      </w:r>
    </w:p>
    <w:p w:rsidR="0024179B" w:rsidRDefault="0024179B" w:rsidP="0024179B">
      <w:pPr>
        <w:pStyle w:val="ListParagraph"/>
        <w:ind w:left="709"/>
        <w:jc w:val="both"/>
        <w:rPr>
          <w:rFonts w:ascii="Arial" w:hAnsi="Arial"/>
          <w:sz w:val="22"/>
          <w:szCs w:val="22"/>
        </w:rPr>
      </w:pPr>
    </w:p>
    <w:p w:rsidR="0024179B" w:rsidRDefault="0024179B" w:rsidP="0024179B">
      <w:pPr>
        <w:pStyle w:val="ListParagraph"/>
        <w:numPr>
          <w:ilvl w:val="1"/>
          <w:numId w:val="25"/>
        </w:numPr>
        <w:jc w:val="both"/>
        <w:rPr>
          <w:rFonts w:ascii="Arial" w:hAnsi="Arial"/>
          <w:sz w:val="22"/>
          <w:szCs w:val="22"/>
        </w:rPr>
      </w:pPr>
      <w:r w:rsidRPr="002554B7">
        <w:rPr>
          <w:rFonts w:ascii="Arial" w:hAnsi="Arial"/>
          <w:sz w:val="22"/>
          <w:szCs w:val="22"/>
        </w:rPr>
        <w:t xml:space="preserve">The ESC considered that the glucagon-like peptide-1 market may not yet be sufficiently established to assume that </w:t>
      </w:r>
      <w:proofErr w:type="spellStart"/>
      <w:r w:rsidRPr="002554B7">
        <w:rPr>
          <w:rFonts w:ascii="Arial" w:hAnsi="Arial"/>
          <w:sz w:val="22"/>
          <w:szCs w:val="22"/>
        </w:rPr>
        <w:t>lixisenatide</w:t>
      </w:r>
      <w:proofErr w:type="spellEnd"/>
      <w:r w:rsidRPr="002554B7">
        <w:rPr>
          <w:rFonts w:ascii="Arial" w:hAnsi="Arial"/>
          <w:sz w:val="22"/>
          <w:szCs w:val="22"/>
        </w:rPr>
        <w:t xml:space="preserve"> will only capture anti-diabetic drugs market share from </w:t>
      </w:r>
      <w:proofErr w:type="spellStart"/>
      <w:r w:rsidRPr="002554B7">
        <w:rPr>
          <w:rFonts w:ascii="Arial" w:hAnsi="Arial"/>
          <w:sz w:val="22"/>
          <w:szCs w:val="22"/>
        </w:rPr>
        <w:t>exenatide</w:t>
      </w:r>
      <w:proofErr w:type="spellEnd"/>
      <w:r w:rsidRPr="002554B7">
        <w:rPr>
          <w:rFonts w:ascii="Arial" w:hAnsi="Arial"/>
          <w:sz w:val="22"/>
          <w:szCs w:val="22"/>
        </w:rPr>
        <w:t>. However, in line with PSCR’s (p.5) financial sensitivity analyses, the ESC considered that the price differential between the glucagon-like petide-1’s, SGLT2 inhibitors (‘</w:t>
      </w:r>
      <w:proofErr w:type="spellStart"/>
      <w:r w:rsidRPr="002554B7">
        <w:rPr>
          <w:rFonts w:ascii="Arial" w:hAnsi="Arial"/>
          <w:sz w:val="22"/>
          <w:szCs w:val="22"/>
        </w:rPr>
        <w:t>flozins</w:t>
      </w:r>
      <w:proofErr w:type="spellEnd"/>
      <w:r w:rsidRPr="002554B7">
        <w:rPr>
          <w:rFonts w:ascii="Arial" w:hAnsi="Arial"/>
          <w:sz w:val="22"/>
          <w:szCs w:val="22"/>
        </w:rPr>
        <w:t xml:space="preserve">’) and rosiglitazone (pioglitazone has generic competition) is not large and if </w:t>
      </w:r>
      <w:proofErr w:type="spellStart"/>
      <w:r w:rsidRPr="002554B7">
        <w:rPr>
          <w:rFonts w:ascii="Arial" w:hAnsi="Arial"/>
          <w:sz w:val="22"/>
          <w:szCs w:val="22"/>
        </w:rPr>
        <w:t>lixisenatide</w:t>
      </w:r>
      <w:proofErr w:type="spellEnd"/>
      <w:r w:rsidRPr="002554B7">
        <w:rPr>
          <w:rFonts w:ascii="Arial" w:hAnsi="Arial"/>
          <w:sz w:val="22"/>
          <w:szCs w:val="22"/>
        </w:rPr>
        <w:t xml:space="preserve"> is correctly cost-minimised with </w:t>
      </w:r>
      <w:proofErr w:type="spellStart"/>
      <w:r w:rsidRPr="002554B7">
        <w:rPr>
          <w:rFonts w:ascii="Arial" w:hAnsi="Arial"/>
          <w:sz w:val="22"/>
          <w:szCs w:val="22"/>
        </w:rPr>
        <w:t>exenatide</w:t>
      </w:r>
      <w:proofErr w:type="spellEnd"/>
      <w:r w:rsidRPr="002554B7">
        <w:rPr>
          <w:rFonts w:ascii="Arial" w:hAnsi="Arial"/>
          <w:sz w:val="22"/>
          <w:szCs w:val="22"/>
        </w:rPr>
        <w:t xml:space="preserve">, the financial implications of listing </w:t>
      </w:r>
      <w:proofErr w:type="spellStart"/>
      <w:r w:rsidRPr="002554B7">
        <w:rPr>
          <w:rFonts w:ascii="Arial" w:hAnsi="Arial"/>
          <w:sz w:val="22"/>
          <w:szCs w:val="22"/>
        </w:rPr>
        <w:t>lixisenatide</w:t>
      </w:r>
      <w:proofErr w:type="spellEnd"/>
      <w:r w:rsidRPr="002554B7">
        <w:rPr>
          <w:rFonts w:ascii="Arial" w:hAnsi="Arial"/>
          <w:sz w:val="22"/>
          <w:szCs w:val="22"/>
        </w:rPr>
        <w:t xml:space="preserve"> are unlikely to be significant.</w:t>
      </w:r>
    </w:p>
    <w:p w:rsidR="0024179B" w:rsidRDefault="0024179B" w:rsidP="00022E05">
      <w:pPr>
        <w:pStyle w:val="ListParagraph"/>
        <w:ind w:left="709"/>
        <w:jc w:val="both"/>
        <w:rPr>
          <w:rFonts w:ascii="Arial" w:hAnsi="Arial"/>
          <w:sz w:val="22"/>
          <w:szCs w:val="22"/>
        </w:rPr>
      </w:pPr>
    </w:p>
    <w:p w:rsidR="0024179B" w:rsidRPr="00BB7EC3" w:rsidRDefault="0024179B" w:rsidP="005D0EDF">
      <w:pPr>
        <w:pStyle w:val="ListParagraph"/>
        <w:rPr>
          <w:rFonts w:ascii="Arial" w:hAnsi="Arial"/>
          <w:i/>
          <w:sz w:val="22"/>
          <w:szCs w:val="22"/>
        </w:rPr>
      </w:pPr>
      <w:r w:rsidRPr="002D512D">
        <w:rPr>
          <w:rFonts w:ascii="Arial" w:hAnsi="Arial"/>
          <w:i/>
          <w:sz w:val="22"/>
          <w:szCs w:val="22"/>
        </w:rPr>
        <w:t>For more detail on PBAC’s view, see section 7 “PBAC outcome”</w:t>
      </w:r>
    </w:p>
    <w:p w:rsidR="0024179B" w:rsidRDefault="0024179B" w:rsidP="0024179B">
      <w:pPr>
        <w:jc w:val="both"/>
        <w:rPr>
          <w:rFonts w:ascii="Arial" w:hAnsi="Arial"/>
          <w:b/>
          <w:sz w:val="22"/>
          <w:szCs w:val="22"/>
        </w:rPr>
      </w:pPr>
    </w:p>
    <w:p w:rsidR="00BD7206" w:rsidRPr="00882085" w:rsidRDefault="00BD7206" w:rsidP="0024179B">
      <w:pPr>
        <w:jc w:val="both"/>
        <w:rPr>
          <w:rFonts w:ascii="Arial" w:hAnsi="Arial"/>
          <w:b/>
          <w:sz w:val="22"/>
          <w:szCs w:val="22"/>
        </w:rPr>
      </w:pPr>
    </w:p>
    <w:p w:rsidR="0024179B" w:rsidRPr="001E4128" w:rsidRDefault="0024179B" w:rsidP="00022E05">
      <w:pPr>
        <w:pStyle w:val="ListParagraph"/>
        <w:numPr>
          <w:ilvl w:val="0"/>
          <w:numId w:val="25"/>
        </w:numPr>
        <w:jc w:val="both"/>
        <w:rPr>
          <w:rFonts w:ascii="Arial" w:hAnsi="Arial"/>
          <w:b/>
          <w:sz w:val="22"/>
          <w:szCs w:val="22"/>
        </w:rPr>
      </w:pPr>
      <w:r w:rsidRPr="001E4128">
        <w:rPr>
          <w:rFonts w:ascii="Arial" w:hAnsi="Arial"/>
          <w:b/>
          <w:sz w:val="22"/>
          <w:szCs w:val="22"/>
        </w:rPr>
        <w:t xml:space="preserve">PBAC Outcome </w:t>
      </w:r>
    </w:p>
    <w:p w:rsidR="0024179B" w:rsidRPr="00543359" w:rsidRDefault="0024179B" w:rsidP="00543359">
      <w:pPr>
        <w:rPr>
          <w:rFonts w:ascii="Arial" w:hAnsi="Arial"/>
          <w:sz w:val="22"/>
          <w:szCs w:val="22"/>
          <w:highlight w:val="yellow"/>
        </w:rPr>
      </w:pPr>
    </w:p>
    <w:p w:rsidR="00FA48F6" w:rsidRDefault="00FA48F6" w:rsidP="00FA48F6">
      <w:pPr>
        <w:pStyle w:val="ListParagraph"/>
        <w:numPr>
          <w:ilvl w:val="1"/>
          <w:numId w:val="25"/>
        </w:numPr>
        <w:jc w:val="both"/>
        <w:rPr>
          <w:rFonts w:ascii="Arial" w:hAnsi="Arial"/>
          <w:sz w:val="22"/>
          <w:szCs w:val="22"/>
        </w:rPr>
      </w:pPr>
      <w:r w:rsidRPr="00FA48F6">
        <w:rPr>
          <w:rFonts w:ascii="Arial" w:hAnsi="Arial"/>
          <w:sz w:val="22"/>
          <w:szCs w:val="22"/>
        </w:rPr>
        <w:t xml:space="preserve">The PBAC rejected the submission on the basis that </w:t>
      </w:r>
      <w:proofErr w:type="spellStart"/>
      <w:r>
        <w:rPr>
          <w:rFonts w:ascii="Arial" w:hAnsi="Arial"/>
          <w:sz w:val="22"/>
          <w:szCs w:val="22"/>
        </w:rPr>
        <w:t>lixisenatide’s</w:t>
      </w:r>
      <w:proofErr w:type="spellEnd"/>
      <w:r>
        <w:rPr>
          <w:rFonts w:ascii="Arial" w:hAnsi="Arial"/>
          <w:sz w:val="22"/>
          <w:szCs w:val="22"/>
        </w:rPr>
        <w:t xml:space="preserve"> </w:t>
      </w:r>
      <w:r w:rsidRPr="00FA48F6">
        <w:rPr>
          <w:rFonts w:ascii="Arial" w:hAnsi="Arial"/>
          <w:sz w:val="22"/>
          <w:szCs w:val="22"/>
        </w:rPr>
        <w:t xml:space="preserve">non-inferiority to </w:t>
      </w:r>
      <w:proofErr w:type="spellStart"/>
      <w:r w:rsidRPr="00FA48F6">
        <w:rPr>
          <w:rFonts w:ascii="Arial" w:hAnsi="Arial"/>
          <w:sz w:val="22"/>
          <w:szCs w:val="22"/>
        </w:rPr>
        <w:t>exenatide</w:t>
      </w:r>
      <w:proofErr w:type="spellEnd"/>
      <w:r w:rsidRPr="00FA48F6">
        <w:rPr>
          <w:rFonts w:ascii="Arial" w:hAnsi="Arial"/>
          <w:sz w:val="22"/>
          <w:szCs w:val="22"/>
        </w:rPr>
        <w:t xml:space="preserve"> (twice daily) had not been adequately established</w:t>
      </w:r>
      <w:r w:rsidR="00D86ACD">
        <w:rPr>
          <w:rFonts w:ascii="Arial" w:hAnsi="Arial"/>
          <w:sz w:val="22"/>
          <w:szCs w:val="22"/>
        </w:rPr>
        <w:t>.</w:t>
      </w:r>
      <w:r w:rsidRPr="00FA48F6">
        <w:rPr>
          <w:rFonts w:ascii="Arial" w:hAnsi="Arial"/>
          <w:sz w:val="22"/>
          <w:szCs w:val="22"/>
        </w:rPr>
        <w:t xml:space="preserve"> </w:t>
      </w:r>
      <w:r w:rsidR="00D86ACD">
        <w:rPr>
          <w:rFonts w:ascii="Arial" w:hAnsi="Arial"/>
          <w:sz w:val="22"/>
          <w:szCs w:val="22"/>
        </w:rPr>
        <w:t>T</w:t>
      </w:r>
      <w:r w:rsidRPr="00FA48F6">
        <w:rPr>
          <w:rFonts w:ascii="Arial" w:hAnsi="Arial"/>
          <w:sz w:val="22"/>
          <w:szCs w:val="22"/>
        </w:rPr>
        <w:t xml:space="preserve">herefore </w:t>
      </w:r>
      <w:r w:rsidR="00D86ACD">
        <w:rPr>
          <w:rFonts w:ascii="Arial" w:hAnsi="Arial"/>
          <w:sz w:val="22"/>
          <w:szCs w:val="22"/>
        </w:rPr>
        <w:t xml:space="preserve">the PBAC </w:t>
      </w:r>
      <w:r w:rsidRPr="00FA48F6">
        <w:rPr>
          <w:rFonts w:ascii="Arial" w:hAnsi="Arial"/>
          <w:sz w:val="22"/>
          <w:szCs w:val="22"/>
        </w:rPr>
        <w:t>did not accept the basis of the submission’s cost-minimisa</w:t>
      </w:r>
      <w:r>
        <w:rPr>
          <w:rFonts w:ascii="Arial" w:hAnsi="Arial"/>
          <w:sz w:val="22"/>
          <w:szCs w:val="22"/>
        </w:rPr>
        <w:t xml:space="preserve">tion analysis against </w:t>
      </w:r>
      <w:proofErr w:type="spellStart"/>
      <w:r>
        <w:rPr>
          <w:rFonts w:ascii="Arial" w:hAnsi="Arial"/>
          <w:sz w:val="22"/>
          <w:szCs w:val="22"/>
        </w:rPr>
        <w:t>exenatide</w:t>
      </w:r>
      <w:proofErr w:type="spellEnd"/>
      <w:r>
        <w:rPr>
          <w:rFonts w:ascii="Arial" w:hAnsi="Arial"/>
          <w:sz w:val="22"/>
          <w:szCs w:val="22"/>
        </w:rPr>
        <w:t>.</w:t>
      </w:r>
      <w:r w:rsidRPr="00FA48F6">
        <w:rPr>
          <w:rFonts w:ascii="Arial" w:hAnsi="Arial"/>
          <w:sz w:val="22"/>
          <w:szCs w:val="22"/>
        </w:rPr>
        <w:t xml:space="preserve"> </w:t>
      </w:r>
    </w:p>
    <w:p w:rsidR="00FA48F6" w:rsidRPr="00FA48F6" w:rsidRDefault="00FA48F6" w:rsidP="00EC0CDC">
      <w:pPr>
        <w:pStyle w:val="ListParagraph"/>
        <w:jc w:val="both"/>
        <w:rPr>
          <w:rFonts w:ascii="Arial" w:hAnsi="Arial"/>
          <w:sz w:val="22"/>
          <w:szCs w:val="22"/>
        </w:rPr>
      </w:pPr>
    </w:p>
    <w:p w:rsidR="00543359" w:rsidRDefault="00BB3BF2" w:rsidP="0024179B">
      <w:pPr>
        <w:pStyle w:val="ListParagraph"/>
        <w:numPr>
          <w:ilvl w:val="1"/>
          <w:numId w:val="25"/>
        </w:numPr>
        <w:ind w:left="709" w:hanging="709"/>
        <w:jc w:val="both"/>
        <w:rPr>
          <w:rFonts w:ascii="Arial" w:hAnsi="Arial"/>
          <w:sz w:val="22"/>
          <w:szCs w:val="22"/>
        </w:rPr>
      </w:pPr>
      <w:r w:rsidRPr="00D3090C">
        <w:rPr>
          <w:rFonts w:ascii="Arial" w:hAnsi="Arial"/>
          <w:sz w:val="22"/>
          <w:szCs w:val="22"/>
        </w:rPr>
        <w:t>T</w:t>
      </w:r>
      <w:r w:rsidR="00543359">
        <w:rPr>
          <w:rFonts w:ascii="Arial" w:hAnsi="Arial"/>
          <w:sz w:val="22"/>
          <w:szCs w:val="22"/>
        </w:rPr>
        <w:t xml:space="preserve">he PBAC noted that the requested listing </w:t>
      </w:r>
      <w:r w:rsidR="00400312">
        <w:rPr>
          <w:rFonts w:ascii="Arial" w:hAnsi="Arial"/>
          <w:sz w:val="22"/>
          <w:szCs w:val="22"/>
        </w:rPr>
        <w:t xml:space="preserve">did not permit use of </w:t>
      </w:r>
      <w:proofErr w:type="spellStart"/>
      <w:r w:rsidR="00400312">
        <w:rPr>
          <w:rFonts w:ascii="Arial" w:hAnsi="Arial"/>
          <w:sz w:val="22"/>
          <w:szCs w:val="22"/>
        </w:rPr>
        <w:t>lixisenatide</w:t>
      </w:r>
      <w:proofErr w:type="spellEnd"/>
      <w:r w:rsidR="00400312">
        <w:rPr>
          <w:rFonts w:ascii="Arial" w:hAnsi="Arial"/>
          <w:sz w:val="22"/>
          <w:szCs w:val="22"/>
        </w:rPr>
        <w:t xml:space="preserve"> in combination with a sulfonylurea due to the absence of TGA registration in this setting and that it would not be possible to apply the current listing for </w:t>
      </w:r>
      <w:proofErr w:type="spellStart"/>
      <w:r w:rsidR="00400312">
        <w:rPr>
          <w:rFonts w:ascii="Arial" w:hAnsi="Arial"/>
          <w:sz w:val="22"/>
          <w:szCs w:val="22"/>
        </w:rPr>
        <w:t>exenatide</w:t>
      </w:r>
      <w:proofErr w:type="spellEnd"/>
      <w:r w:rsidR="00400312">
        <w:rPr>
          <w:rFonts w:ascii="Arial" w:hAnsi="Arial"/>
          <w:sz w:val="22"/>
          <w:szCs w:val="22"/>
        </w:rPr>
        <w:t xml:space="preserve"> to a proposed listing for </w:t>
      </w:r>
      <w:proofErr w:type="spellStart"/>
      <w:r w:rsidR="00400312">
        <w:rPr>
          <w:rFonts w:ascii="Arial" w:hAnsi="Arial"/>
          <w:sz w:val="22"/>
          <w:szCs w:val="22"/>
        </w:rPr>
        <w:t>lixisenatide</w:t>
      </w:r>
      <w:proofErr w:type="spellEnd"/>
      <w:r w:rsidR="00400312">
        <w:rPr>
          <w:rFonts w:ascii="Arial" w:hAnsi="Arial"/>
          <w:sz w:val="22"/>
          <w:szCs w:val="22"/>
        </w:rPr>
        <w:t>.</w:t>
      </w:r>
    </w:p>
    <w:p w:rsidR="00400312" w:rsidRDefault="00400312" w:rsidP="00400312">
      <w:pPr>
        <w:pStyle w:val="ListParagraph"/>
        <w:ind w:left="709"/>
        <w:jc w:val="both"/>
        <w:rPr>
          <w:rFonts w:ascii="Arial" w:hAnsi="Arial"/>
          <w:sz w:val="22"/>
          <w:szCs w:val="22"/>
        </w:rPr>
      </w:pPr>
    </w:p>
    <w:p w:rsidR="0024179B" w:rsidRDefault="00400312" w:rsidP="0024179B">
      <w:pPr>
        <w:pStyle w:val="ListParagraph"/>
        <w:numPr>
          <w:ilvl w:val="1"/>
          <w:numId w:val="25"/>
        </w:numPr>
        <w:ind w:left="709" w:hanging="709"/>
        <w:jc w:val="both"/>
        <w:rPr>
          <w:rFonts w:ascii="Arial" w:hAnsi="Arial"/>
          <w:sz w:val="22"/>
          <w:szCs w:val="22"/>
        </w:rPr>
      </w:pPr>
      <w:r>
        <w:rPr>
          <w:rFonts w:ascii="Arial" w:hAnsi="Arial"/>
          <w:sz w:val="22"/>
          <w:szCs w:val="22"/>
        </w:rPr>
        <w:t>T</w:t>
      </w:r>
      <w:r w:rsidR="00BB3BF2" w:rsidRPr="00D3090C">
        <w:rPr>
          <w:rFonts w:ascii="Arial" w:hAnsi="Arial"/>
          <w:sz w:val="22"/>
          <w:szCs w:val="22"/>
        </w:rPr>
        <w:t>he</w:t>
      </w:r>
      <w:r w:rsidRPr="00400312">
        <w:rPr>
          <w:rFonts w:ascii="Arial" w:hAnsi="Arial"/>
          <w:sz w:val="22"/>
          <w:szCs w:val="22"/>
        </w:rPr>
        <w:t xml:space="preserve"> submission</w:t>
      </w:r>
      <w:r>
        <w:rPr>
          <w:rFonts w:ascii="Arial" w:hAnsi="Arial"/>
          <w:sz w:val="22"/>
          <w:szCs w:val="22"/>
        </w:rPr>
        <w:t>’s</w:t>
      </w:r>
      <w:r w:rsidRPr="00400312">
        <w:rPr>
          <w:rFonts w:ascii="Arial" w:hAnsi="Arial"/>
          <w:sz w:val="22"/>
          <w:szCs w:val="22"/>
        </w:rPr>
        <w:t xml:space="preserve"> p</w:t>
      </w:r>
      <w:r>
        <w:rPr>
          <w:rFonts w:ascii="Arial" w:hAnsi="Arial"/>
          <w:sz w:val="22"/>
          <w:szCs w:val="22"/>
        </w:rPr>
        <w:t xml:space="preserve">ositioning of </w:t>
      </w:r>
      <w:proofErr w:type="spellStart"/>
      <w:r w:rsidRPr="00400312">
        <w:rPr>
          <w:rFonts w:ascii="Arial" w:hAnsi="Arial"/>
          <w:sz w:val="22"/>
          <w:szCs w:val="22"/>
        </w:rPr>
        <w:t>lixisenatide</w:t>
      </w:r>
      <w:proofErr w:type="spellEnd"/>
      <w:r w:rsidRPr="00400312">
        <w:rPr>
          <w:rFonts w:ascii="Arial" w:hAnsi="Arial"/>
          <w:sz w:val="22"/>
          <w:szCs w:val="22"/>
        </w:rPr>
        <w:t xml:space="preserve"> </w:t>
      </w:r>
      <w:r>
        <w:rPr>
          <w:rFonts w:ascii="Arial" w:hAnsi="Arial"/>
          <w:sz w:val="22"/>
          <w:szCs w:val="22"/>
        </w:rPr>
        <w:t xml:space="preserve">in the clinical treatment algorithm of type 2 diabetes as a </w:t>
      </w:r>
      <w:r w:rsidRPr="00400312">
        <w:rPr>
          <w:rFonts w:ascii="Arial" w:hAnsi="Arial"/>
          <w:sz w:val="22"/>
          <w:szCs w:val="22"/>
        </w:rPr>
        <w:t xml:space="preserve">substitute for </w:t>
      </w:r>
      <w:proofErr w:type="spellStart"/>
      <w:r w:rsidRPr="00400312">
        <w:rPr>
          <w:rFonts w:ascii="Arial" w:hAnsi="Arial"/>
          <w:sz w:val="22"/>
          <w:szCs w:val="22"/>
        </w:rPr>
        <w:t>exenatide</w:t>
      </w:r>
      <w:proofErr w:type="spellEnd"/>
      <w:r>
        <w:rPr>
          <w:rFonts w:ascii="Arial" w:hAnsi="Arial"/>
          <w:sz w:val="22"/>
          <w:szCs w:val="22"/>
        </w:rPr>
        <w:t xml:space="preserve"> (administered twice daily)</w:t>
      </w:r>
      <w:r w:rsidRPr="00400312">
        <w:rPr>
          <w:rFonts w:ascii="Arial" w:hAnsi="Arial"/>
          <w:sz w:val="22"/>
          <w:szCs w:val="22"/>
        </w:rPr>
        <w:t xml:space="preserve"> when used </w:t>
      </w:r>
      <w:r>
        <w:rPr>
          <w:rFonts w:ascii="Arial" w:hAnsi="Arial"/>
          <w:sz w:val="22"/>
          <w:szCs w:val="22"/>
        </w:rPr>
        <w:t>as</w:t>
      </w:r>
      <w:r w:rsidRPr="00400312">
        <w:rPr>
          <w:rFonts w:ascii="Arial" w:hAnsi="Arial"/>
          <w:sz w:val="22"/>
          <w:szCs w:val="22"/>
        </w:rPr>
        <w:t xml:space="preserve"> dual therapy with metformin </w:t>
      </w:r>
      <w:r>
        <w:rPr>
          <w:rFonts w:ascii="Arial" w:hAnsi="Arial"/>
          <w:sz w:val="22"/>
          <w:szCs w:val="22"/>
        </w:rPr>
        <w:t xml:space="preserve">or as </w:t>
      </w:r>
      <w:r w:rsidRPr="00400312">
        <w:rPr>
          <w:rFonts w:ascii="Arial" w:hAnsi="Arial"/>
          <w:sz w:val="22"/>
          <w:szCs w:val="22"/>
        </w:rPr>
        <w:t xml:space="preserve"> triple therapy with metformin and a sulfonylurea </w:t>
      </w:r>
      <w:r>
        <w:rPr>
          <w:rFonts w:ascii="Arial" w:hAnsi="Arial"/>
          <w:sz w:val="22"/>
          <w:szCs w:val="22"/>
        </w:rPr>
        <w:t xml:space="preserve">was considered reasonable given that previous positive PBAC recommendations to list </w:t>
      </w:r>
      <w:proofErr w:type="spellStart"/>
      <w:r w:rsidR="00BE5B1F" w:rsidRPr="00D3090C">
        <w:rPr>
          <w:rFonts w:ascii="Arial" w:hAnsi="Arial"/>
          <w:sz w:val="22"/>
          <w:szCs w:val="22"/>
        </w:rPr>
        <w:t>liraglutide</w:t>
      </w:r>
      <w:proofErr w:type="spellEnd"/>
      <w:r w:rsidR="00BE5B1F" w:rsidRPr="00D3090C">
        <w:rPr>
          <w:rFonts w:ascii="Arial" w:hAnsi="Arial"/>
          <w:sz w:val="22"/>
          <w:szCs w:val="22"/>
        </w:rPr>
        <w:t xml:space="preserve"> and </w:t>
      </w:r>
      <w:proofErr w:type="spellStart"/>
      <w:r w:rsidR="00BE5B1F" w:rsidRPr="00D3090C">
        <w:rPr>
          <w:rFonts w:ascii="Arial" w:hAnsi="Arial"/>
          <w:sz w:val="22"/>
          <w:szCs w:val="22"/>
        </w:rPr>
        <w:t>exenatide</w:t>
      </w:r>
      <w:proofErr w:type="spellEnd"/>
      <w:r w:rsidR="00BE5B1F" w:rsidRPr="00D3090C">
        <w:rPr>
          <w:rFonts w:ascii="Arial" w:hAnsi="Arial"/>
          <w:sz w:val="22"/>
          <w:szCs w:val="22"/>
        </w:rPr>
        <w:t xml:space="preserve"> (once weekly) were not effective at the time of consideration</w:t>
      </w:r>
      <w:r>
        <w:rPr>
          <w:rFonts w:ascii="Arial" w:hAnsi="Arial"/>
          <w:sz w:val="22"/>
          <w:szCs w:val="22"/>
        </w:rPr>
        <w:t xml:space="preserve"> and it was still to be determined when such recommendations would be implemented</w:t>
      </w:r>
      <w:r w:rsidR="00D3090C" w:rsidRPr="00D3090C">
        <w:rPr>
          <w:rFonts w:ascii="Arial" w:hAnsi="Arial"/>
          <w:sz w:val="22"/>
          <w:szCs w:val="22"/>
        </w:rPr>
        <w:t>.</w:t>
      </w:r>
      <w:r w:rsidR="007E4958">
        <w:rPr>
          <w:rFonts w:ascii="Arial" w:hAnsi="Arial"/>
          <w:sz w:val="22"/>
          <w:szCs w:val="22"/>
        </w:rPr>
        <w:t xml:space="preserve"> </w:t>
      </w:r>
      <w:r w:rsidR="006855EC">
        <w:rPr>
          <w:rFonts w:ascii="Arial" w:hAnsi="Arial"/>
          <w:sz w:val="22"/>
          <w:szCs w:val="22"/>
        </w:rPr>
        <w:t xml:space="preserve">Therefore, </w:t>
      </w:r>
      <w:proofErr w:type="spellStart"/>
      <w:r w:rsidR="006855EC">
        <w:rPr>
          <w:rFonts w:ascii="Arial" w:hAnsi="Arial"/>
          <w:sz w:val="22"/>
          <w:szCs w:val="22"/>
        </w:rPr>
        <w:t>liraglutide</w:t>
      </w:r>
      <w:proofErr w:type="spellEnd"/>
      <w:r w:rsidR="006855EC">
        <w:rPr>
          <w:rFonts w:ascii="Arial" w:hAnsi="Arial"/>
          <w:sz w:val="22"/>
          <w:szCs w:val="22"/>
        </w:rPr>
        <w:t xml:space="preserve"> and </w:t>
      </w:r>
      <w:proofErr w:type="spellStart"/>
      <w:r w:rsidR="006855EC">
        <w:rPr>
          <w:rFonts w:ascii="Arial" w:hAnsi="Arial"/>
          <w:sz w:val="22"/>
          <w:szCs w:val="22"/>
        </w:rPr>
        <w:t>exenatide</w:t>
      </w:r>
      <w:proofErr w:type="spellEnd"/>
      <w:r w:rsidR="006855EC">
        <w:rPr>
          <w:rFonts w:ascii="Arial" w:hAnsi="Arial"/>
          <w:sz w:val="22"/>
          <w:szCs w:val="22"/>
        </w:rPr>
        <w:t xml:space="preserve"> (once weekly) were not considered to be comparators.</w:t>
      </w:r>
    </w:p>
    <w:p w:rsidR="00FE2B50" w:rsidRDefault="00FE2B50" w:rsidP="007E0A41">
      <w:pPr>
        <w:pStyle w:val="ListParagraph"/>
        <w:ind w:left="709"/>
        <w:jc w:val="both"/>
        <w:rPr>
          <w:rFonts w:ascii="Arial" w:hAnsi="Arial"/>
          <w:sz w:val="22"/>
          <w:szCs w:val="22"/>
        </w:rPr>
      </w:pPr>
    </w:p>
    <w:p w:rsidR="00FE2B50" w:rsidRPr="00D3090C" w:rsidRDefault="006855EC" w:rsidP="0024179B">
      <w:pPr>
        <w:pStyle w:val="ListParagraph"/>
        <w:numPr>
          <w:ilvl w:val="1"/>
          <w:numId w:val="25"/>
        </w:numPr>
        <w:ind w:left="709" w:hanging="709"/>
        <w:jc w:val="both"/>
        <w:rPr>
          <w:rFonts w:ascii="Arial" w:hAnsi="Arial"/>
          <w:sz w:val="22"/>
          <w:szCs w:val="22"/>
        </w:rPr>
      </w:pPr>
      <w:r>
        <w:rPr>
          <w:rFonts w:ascii="Arial" w:hAnsi="Arial"/>
          <w:sz w:val="22"/>
          <w:szCs w:val="22"/>
        </w:rPr>
        <w:lastRenderedPageBreak/>
        <w:t>The submission’s nominated c</w:t>
      </w:r>
      <w:r w:rsidR="00FE2B50">
        <w:rPr>
          <w:rFonts w:ascii="Arial" w:hAnsi="Arial"/>
          <w:sz w:val="22"/>
          <w:szCs w:val="22"/>
        </w:rPr>
        <w:t xml:space="preserve">omparator </w:t>
      </w:r>
      <w:r>
        <w:rPr>
          <w:rFonts w:ascii="Arial" w:hAnsi="Arial"/>
          <w:sz w:val="22"/>
          <w:szCs w:val="22"/>
        </w:rPr>
        <w:t xml:space="preserve">of </w:t>
      </w:r>
      <w:proofErr w:type="spellStart"/>
      <w:r>
        <w:rPr>
          <w:rFonts w:ascii="Arial" w:hAnsi="Arial"/>
          <w:sz w:val="22"/>
          <w:szCs w:val="22"/>
        </w:rPr>
        <w:t>exenatide</w:t>
      </w:r>
      <w:proofErr w:type="spellEnd"/>
      <w:r>
        <w:rPr>
          <w:rFonts w:ascii="Arial" w:hAnsi="Arial"/>
          <w:sz w:val="22"/>
          <w:szCs w:val="22"/>
        </w:rPr>
        <w:t xml:space="preserve"> (twice daily) was therefore accepted by PBAC</w:t>
      </w:r>
      <w:r w:rsidR="00FE2B50">
        <w:rPr>
          <w:rFonts w:ascii="Arial" w:hAnsi="Arial"/>
          <w:sz w:val="22"/>
          <w:szCs w:val="22"/>
        </w:rPr>
        <w:t>.</w:t>
      </w:r>
    </w:p>
    <w:p w:rsidR="0024179B" w:rsidRPr="002554B7" w:rsidRDefault="0024179B" w:rsidP="0024179B">
      <w:pPr>
        <w:pStyle w:val="ListParagraph"/>
        <w:rPr>
          <w:rFonts w:ascii="Arial" w:hAnsi="Arial"/>
          <w:sz w:val="22"/>
          <w:szCs w:val="22"/>
          <w:highlight w:val="yellow"/>
        </w:rPr>
      </w:pPr>
    </w:p>
    <w:p w:rsidR="00DC4373" w:rsidRPr="007E0A41" w:rsidRDefault="00F46628" w:rsidP="007E0A41">
      <w:pPr>
        <w:pStyle w:val="ListParagraph"/>
        <w:numPr>
          <w:ilvl w:val="1"/>
          <w:numId w:val="25"/>
        </w:numPr>
        <w:jc w:val="both"/>
        <w:rPr>
          <w:rFonts w:ascii="Arial" w:hAnsi="Arial"/>
          <w:b/>
          <w:bCs/>
          <w:i/>
          <w:sz w:val="22"/>
          <w:szCs w:val="22"/>
        </w:rPr>
      </w:pPr>
      <w:r w:rsidRPr="00717972">
        <w:rPr>
          <w:rFonts w:ascii="Arial" w:hAnsi="Arial"/>
          <w:sz w:val="22"/>
          <w:szCs w:val="22"/>
        </w:rPr>
        <w:t>T</w:t>
      </w:r>
      <w:r w:rsidR="00DC4373">
        <w:rPr>
          <w:rFonts w:ascii="Arial" w:hAnsi="Arial"/>
          <w:sz w:val="22"/>
        </w:rPr>
        <w:t xml:space="preserve">he PBAC agreed that for the </w:t>
      </w:r>
      <w:r w:rsidR="00DC4373" w:rsidRPr="00DC4373">
        <w:rPr>
          <w:rFonts w:ascii="Arial" w:hAnsi="Arial"/>
          <w:sz w:val="22"/>
        </w:rPr>
        <w:t>dual therapy</w:t>
      </w:r>
      <w:r w:rsidR="00DC4373">
        <w:rPr>
          <w:rFonts w:ascii="Arial" w:hAnsi="Arial"/>
          <w:sz w:val="22"/>
        </w:rPr>
        <w:t xml:space="preserve"> indication, the o</w:t>
      </w:r>
      <w:r w:rsidR="00DC4373" w:rsidRPr="00DC4373">
        <w:rPr>
          <w:rFonts w:ascii="Arial" w:hAnsi="Arial"/>
          <w:sz w:val="22"/>
        </w:rPr>
        <w:t>ne head-to-head randomised trial comp</w:t>
      </w:r>
      <w:r w:rsidR="00DC4373">
        <w:rPr>
          <w:rFonts w:ascii="Arial" w:hAnsi="Arial"/>
          <w:sz w:val="22"/>
        </w:rPr>
        <w:t xml:space="preserve">aring </w:t>
      </w:r>
      <w:proofErr w:type="spellStart"/>
      <w:r w:rsidR="00DC4373">
        <w:rPr>
          <w:rFonts w:ascii="Arial" w:hAnsi="Arial"/>
          <w:sz w:val="22"/>
        </w:rPr>
        <w:t>lixisenatide</w:t>
      </w:r>
      <w:proofErr w:type="spellEnd"/>
      <w:r w:rsidR="00DC4373">
        <w:rPr>
          <w:rFonts w:ascii="Arial" w:hAnsi="Arial"/>
          <w:sz w:val="22"/>
        </w:rPr>
        <w:t xml:space="preserve"> to </w:t>
      </w:r>
      <w:proofErr w:type="spellStart"/>
      <w:r w:rsidR="00DC4373">
        <w:rPr>
          <w:rFonts w:ascii="Arial" w:hAnsi="Arial"/>
          <w:sz w:val="22"/>
        </w:rPr>
        <w:t>exenatide</w:t>
      </w:r>
      <w:proofErr w:type="spellEnd"/>
      <w:r w:rsidR="00DC4373" w:rsidRPr="00DC4373">
        <w:rPr>
          <w:rFonts w:ascii="Arial" w:hAnsi="Arial"/>
          <w:sz w:val="22"/>
        </w:rPr>
        <w:t xml:space="preserve"> in combination with metformin</w:t>
      </w:r>
      <w:r w:rsidR="00DC4373">
        <w:rPr>
          <w:rFonts w:ascii="Arial" w:hAnsi="Arial"/>
          <w:sz w:val="22"/>
        </w:rPr>
        <w:t xml:space="preserve"> (</w:t>
      </w:r>
      <w:proofErr w:type="spellStart"/>
      <w:r w:rsidR="00DC4373" w:rsidRPr="00DC4373">
        <w:rPr>
          <w:rFonts w:ascii="Arial" w:hAnsi="Arial"/>
          <w:sz w:val="22"/>
          <w:szCs w:val="22"/>
        </w:rPr>
        <w:t>GetGoal</w:t>
      </w:r>
      <w:proofErr w:type="spellEnd"/>
      <w:r w:rsidR="00DC4373" w:rsidRPr="00DC4373">
        <w:rPr>
          <w:rFonts w:ascii="Arial" w:hAnsi="Arial"/>
          <w:sz w:val="22"/>
          <w:szCs w:val="22"/>
        </w:rPr>
        <w:t>-X</w:t>
      </w:r>
      <w:r w:rsidR="00DC4373">
        <w:rPr>
          <w:rFonts w:ascii="Arial" w:hAnsi="Arial"/>
          <w:sz w:val="22"/>
          <w:szCs w:val="22"/>
        </w:rPr>
        <w:t>) did</w:t>
      </w:r>
      <w:r w:rsidR="00DC4373" w:rsidRPr="00DC4373">
        <w:rPr>
          <w:rFonts w:ascii="Arial" w:hAnsi="Arial"/>
          <w:sz w:val="22"/>
          <w:szCs w:val="22"/>
        </w:rPr>
        <w:t xml:space="preserve"> not provide conclusive evidence of non-inferiority of </w:t>
      </w:r>
      <w:proofErr w:type="spellStart"/>
      <w:r w:rsidR="00DC4373" w:rsidRPr="00DC4373">
        <w:rPr>
          <w:rFonts w:ascii="Arial" w:hAnsi="Arial"/>
          <w:sz w:val="22"/>
          <w:szCs w:val="22"/>
        </w:rPr>
        <w:t>lixisenatide</w:t>
      </w:r>
      <w:proofErr w:type="spellEnd"/>
      <w:r w:rsidR="00DC4373" w:rsidRPr="00DC4373">
        <w:rPr>
          <w:rFonts w:ascii="Arial" w:hAnsi="Arial"/>
          <w:sz w:val="22"/>
          <w:szCs w:val="22"/>
        </w:rPr>
        <w:t xml:space="preserve"> versus </w:t>
      </w:r>
      <w:proofErr w:type="spellStart"/>
      <w:r w:rsidR="00DC4373" w:rsidRPr="00DC4373">
        <w:rPr>
          <w:rFonts w:ascii="Arial" w:hAnsi="Arial"/>
          <w:sz w:val="22"/>
          <w:szCs w:val="22"/>
        </w:rPr>
        <w:t>exenatide</w:t>
      </w:r>
      <w:proofErr w:type="spellEnd"/>
      <w:r w:rsidR="00DC4373">
        <w:rPr>
          <w:rFonts w:ascii="Arial" w:hAnsi="Arial"/>
          <w:sz w:val="22"/>
          <w:szCs w:val="22"/>
        </w:rPr>
        <w:t>.</w:t>
      </w:r>
      <w:r w:rsidR="00DC4373" w:rsidRPr="00DC4373">
        <w:rPr>
          <w:rFonts w:ascii="Arial" w:hAnsi="Arial"/>
          <w:sz w:val="22"/>
          <w:szCs w:val="22"/>
        </w:rPr>
        <w:t xml:space="preserve"> </w:t>
      </w:r>
      <w:r w:rsidR="00DC4373" w:rsidRPr="007E0A41">
        <w:rPr>
          <w:rFonts w:ascii="Arial" w:hAnsi="Arial"/>
          <w:bCs/>
          <w:sz w:val="22"/>
          <w:szCs w:val="22"/>
        </w:rPr>
        <w:t xml:space="preserve">The </w:t>
      </w:r>
      <w:r w:rsidR="00485A08" w:rsidRPr="007E0A41">
        <w:rPr>
          <w:rFonts w:ascii="Arial" w:hAnsi="Arial"/>
          <w:bCs/>
          <w:sz w:val="22"/>
          <w:szCs w:val="22"/>
        </w:rPr>
        <w:t>PBAC noted that the difference in the m</w:t>
      </w:r>
      <w:r w:rsidR="00485A08">
        <w:rPr>
          <w:rFonts w:ascii="Arial" w:hAnsi="Arial"/>
          <w:bCs/>
          <w:sz w:val="22"/>
          <w:szCs w:val="22"/>
        </w:rPr>
        <w:t>ean change in HbA1c</w:t>
      </w:r>
      <w:r w:rsidR="007A6BE8">
        <w:rPr>
          <w:rFonts w:ascii="Arial" w:hAnsi="Arial"/>
          <w:bCs/>
          <w:sz w:val="22"/>
          <w:szCs w:val="22"/>
        </w:rPr>
        <w:t xml:space="preserve"> </w:t>
      </w:r>
      <w:r w:rsidR="00485A08" w:rsidRPr="007E0A41">
        <w:rPr>
          <w:rFonts w:ascii="Arial" w:hAnsi="Arial"/>
          <w:bCs/>
          <w:sz w:val="22"/>
          <w:szCs w:val="22"/>
        </w:rPr>
        <w:t>(%) from baseline to Week 24 in GETGOAL-X</w:t>
      </w:r>
      <w:r w:rsidR="00DC4373" w:rsidRPr="007E0A41">
        <w:rPr>
          <w:rFonts w:ascii="Arial" w:hAnsi="Arial"/>
          <w:bCs/>
          <w:sz w:val="22"/>
          <w:szCs w:val="22"/>
        </w:rPr>
        <w:t xml:space="preserve"> </w:t>
      </w:r>
      <w:r w:rsidR="00485A08" w:rsidRPr="007E0A41">
        <w:rPr>
          <w:rFonts w:ascii="Arial" w:hAnsi="Arial"/>
          <w:bCs/>
          <w:sz w:val="22"/>
          <w:szCs w:val="22"/>
        </w:rPr>
        <w:t xml:space="preserve">between </w:t>
      </w:r>
      <w:proofErr w:type="spellStart"/>
      <w:r w:rsidR="00485A08" w:rsidRPr="007E0A41">
        <w:rPr>
          <w:rFonts w:ascii="Arial" w:hAnsi="Arial"/>
          <w:bCs/>
          <w:sz w:val="22"/>
          <w:szCs w:val="22"/>
        </w:rPr>
        <w:t>lixisenatide</w:t>
      </w:r>
      <w:proofErr w:type="spellEnd"/>
      <w:r w:rsidR="00485A08" w:rsidRPr="007E0A41">
        <w:rPr>
          <w:rFonts w:ascii="Arial" w:hAnsi="Arial"/>
          <w:bCs/>
          <w:sz w:val="22"/>
          <w:szCs w:val="22"/>
        </w:rPr>
        <w:t xml:space="preserve"> and </w:t>
      </w:r>
      <w:proofErr w:type="spellStart"/>
      <w:r w:rsidR="00485A08" w:rsidRPr="007E0A41">
        <w:rPr>
          <w:rFonts w:ascii="Arial" w:hAnsi="Arial"/>
          <w:bCs/>
          <w:sz w:val="22"/>
          <w:szCs w:val="22"/>
        </w:rPr>
        <w:t>exenatide</w:t>
      </w:r>
      <w:proofErr w:type="spellEnd"/>
      <w:r w:rsidR="00485A08" w:rsidRPr="007E0A41">
        <w:rPr>
          <w:rFonts w:ascii="Arial" w:hAnsi="Arial"/>
          <w:bCs/>
          <w:sz w:val="22"/>
          <w:szCs w:val="22"/>
        </w:rPr>
        <w:t xml:space="preserve"> was 0.17% favouring </w:t>
      </w:r>
      <w:proofErr w:type="spellStart"/>
      <w:r w:rsidR="00485A08" w:rsidRPr="007E0A41">
        <w:rPr>
          <w:rFonts w:ascii="Arial" w:hAnsi="Arial"/>
          <w:bCs/>
          <w:sz w:val="22"/>
          <w:szCs w:val="22"/>
        </w:rPr>
        <w:t>exenatide</w:t>
      </w:r>
      <w:proofErr w:type="spellEnd"/>
      <w:r w:rsidR="00485A08" w:rsidRPr="007E0A41">
        <w:rPr>
          <w:rFonts w:ascii="Arial" w:hAnsi="Arial"/>
          <w:bCs/>
          <w:sz w:val="22"/>
          <w:szCs w:val="22"/>
        </w:rPr>
        <w:t>. For this estimate of a 0.17% difference, the upper limit</w:t>
      </w:r>
      <w:r w:rsidR="00DC4373" w:rsidRPr="007E0A41">
        <w:rPr>
          <w:rFonts w:ascii="Arial" w:hAnsi="Arial"/>
          <w:bCs/>
          <w:sz w:val="22"/>
          <w:szCs w:val="22"/>
        </w:rPr>
        <w:t xml:space="preserve"> of the 95% confidence interval </w:t>
      </w:r>
      <w:r w:rsidR="00485A08" w:rsidRPr="007E0A41">
        <w:rPr>
          <w:rFonts w:ascii="Arial" w:hAnsi="Arial"/>
          <w:bCs/>
          <w:sz w:val="22"/>
          <w:szCs w:val="22"/>
        </w:rPr>
        <w:t>was</w:t>
      </w:r>
      <w:r w:rsidR="00DC4373" w:rsidRPr="007E0A41">
        <w:rPr>
          <w:rFonts w:ascii="Arial" w:hAnsi="Arial"/>
          <w:bCs/>
          <w:sz w:val="22"/>
          <w:szCs w:val="22"/>
        </w:rPr>
        <w:t xml:space="preserve"> 0.297</w:t>
      </w:r>
      <w:r w:rsidR="007A6BE8">
        <w:rPr>
          <w:rFonts w:ascii="Arial" w:hAnsi="Arial"/>
          <w:bCs/>
          <w:sz w:val="22"/>
          <w:szCs w:val="22"/>
        </w:rPr>
        <w:t>%</w:t>
      </w:r>
      <w:r w:rsidR="00485A08" w:rsidRPr="007E0A41">
        <w:rPr>
          <w:rFonts w:ascii="Arial" w:hAnsi="Arial"/>
          <w:bCs/>
          <w:sz w:val="22"/>
          <w:szCs w:val="22"/>
        </w:rPr>
        <w:t xml:space="preserve"> and the lower limit was 0.033</w:t>
      </w:r>
      <w:r w:rsidR="007A6BE8">
        <w:rPr>
          <w:rFonts w:ascii="Arial" w:hAnsi="Arial"/>
          <w:bCs/>
          <w:sz w:val="22"/>
          <w:szCs w:val="22"/>
        </w:rPr>
        <w:t>%</w:t>
      </w:r>
      <w:r w:rsidR="00DC4373" w:rsidRPr="007E0A41">
        <w:rPr>
          <w:rFonts w:ascii="Arial" w:hAnsi="Arial"/>
          <w:bCs/>
          <w:sz w:val="22"/>
          <w:szCs w:val="22"/>
        </w:rPr>
        <w:t>)</w:t>
      </w:r>
      <w:r w:rsidR="00485A08" w:rsidRPr="007E0A41">
        <w:rPr>
          <w:rFonts w:ascii="Arial" w:hAnsi="Arial"/>
          <w:bCs/>
          <w:sz w:val="22"/>
          <w:szCs w:val="22"/>
        </w:rPr>
        <w:t xml:space="preserve">. </w:t>
      </w:r>
      <w:r w:rsidR="007A6BE8">
        <w:rPr>
          <w:rFonts w:ascii="Arial" w:hAnsi="Arial"/>
          <w:bCs/>
          <w:sz w:val="22"/>
          <w:szCs w:val="22"/>
        </w:rPr>
        <w:t>Although the upper limit of the 95% confidence interval did not exceed</w:t>
      </w:r>
      <w:r w:rsidR="00DC4373" w:rsidRPr="007E0A41">
        <w:rPr>
          <w:rFonts w:ascii="Arial" w:hAnsi="Arial"/>
          <w:bCs/>
          <w:sz w:val="22"/>
          <w:szCs w:val="22"/>
        </w:rPr>
        <w:t xml:space="preserve"> a </w:t>
      </w:r>
      <w:r w:rsidR="007A6BE8">
        <w:rPr>
          <w:rFonts w:ascii="Arial" w:hAnsi="Arial"/>
          <w:bCs/>
          <w:sz w:val="22"/>
          <w:szCs w:val="22"/>
        </w:rPr>
        <w:t xml:space="preserve">more stringent </w:t>
      </w:r>
      <w:r w:rsidR="00DC4373" w:rsidRPr="007E0A41">
        <w:rPr>
          <w:rFonts w:ascii="Arial" w:hAnsi="Arial"/>
          <w:bCs/>
          <w:sz w:val="22"/>
          <w:szCs w:val="22"/>
        </w:rPr>
        <w:t xml:space="preserve">minimal clinically important difference (MCID) </w:t>
      </w:r>
      <w:r w:rsidR="007A6BE8">
        <w:rPr>
          <w:rFonts w:ascii="Arial" w:hAnsi="Arial"/>
          <w:bCs/>
          <w:sz w:val="22"/>
          <w:szCs w:val="22"/>
        </w:rPr>
        <w:t>margin of 0.3% compared to a MCID margin of 0.4%</w:t>
      </w:r>
      <w:r w:rsidR="00DC4373" w:rsidRPr="007E0A41">
        <w:rPr>
          <w:rFonts w:ascii="Arial" w:hAnsi="Arial"/>
          <w:bCs/>
          <w:sz w:val="22"/>
          <w:szCs w:val="22"/>
        </w:rPr>
        <w:t xml:space="preserve">, the </w:t>
      </w:r>
      <w:r w:rsidR="007A6BE8">
        <w:rPr>
          <w:rFonts w:ascii="Arial" w:hAnsi="Arial"/>
          <w:bCs/>
          <w:sz w:val="22"/>
          <w:szCs w:val="22"/>
        </w:rPr>
        <w:t xml:space="preserve">lower limit of the </w:t>
      </w:r>
      <w:r w:rsidR="00DC4373" w:rsidRPr="007E0A41">
        <w:rPr>
          <w:rFonts w:ascii="Arial" w:hAnsi="Arial"/>
          <w:bCs/>
          <w:sz w:val="22"/>
          <w:szCs w:val="22"/>
        </w:rPr>
        <w:t xml:space="preserve">95% confidence interval </w:t>
      </w:r>
      <w:r w:rsidR="007A6BE8">
        <w:rPr>
          <w:rFonts w:ascii="Arial" w:hAnsi="Arial"/>
          <w:bCs/>
          <w:sz w:val="22"/>
          <w:szCs w:val="22"/>
        </w:rPr>
        <w:t>(0.033%) did</w:t>
      </w:r>
      <w:r w:rsidR="00DC4373" w:rsidRPr="007E0A41">
        <w:rPr>
          <w:rFonts w:ascii="Arial" w:hAnsi="Arial"/>
          <w:bCs/>
          <w:sz w:val="22"/>
          <w:szCs w:val="22"/>
        </w:rPr>
        <w:t xml:space="preserve"> not include the null and so the results of </w:t>
      </w:r>
      <w:proofErr w:type="spellStart"/>
      <w:r w:rsidR="00DC4373" w:rsidRPr="007E0A41">
        <w:rPr>
          <w:rFonts w:ascii="Arial" w:hAnsi="Arial"/>
          <w:bCs/>
          <w:sz w:val="22"/>
          <w:szCs w:val="22"/>
        </w:rPr>
        <w:t>GetGoal</w:t>
      </w:r>
      <w:proofErr w:type="spellEnd"/>
      <w:r w:rsidR="00DC4373" w:rsidRPr="007E0A41">
        <w:rPr>
          <w:rFonts w:ascii="Arial" w:hAnsi="Arial"/>
          <w:bCs/>
          <w:sz w:val="22"/>
          <w:szCs w:val="22"/>
        </w:rPr>
        <w:t>-X suggest</w:t>
      </w:r>
      <w:r w:rsidR="007A6BE8">
        <w:rPr>
          <w:rFonts w:ascii="Arial" w:hAnsi="Arial"/>
          <w:bCs/>
          <w:sz w:val="22"/>
          <w:szCs w:val="22"/>
        </w:rPr>
        <w:t>ed</w:t>
      </w:r>
      <w:r w:rsidR="00DC4373" w:rsidRPr="007E0A41">
        <w:rPr>
          <w:rFonts w:ascii="Arial" w:hAnsi="Arial"/>
          <w:bCs/>
          <w:sz w:val="22"/>
          <w:szCs w:val="22"/>
        </w:rPr>
        <w:t xml:space="preserve"> </w:t>
      </w:r>
      <w:r w:rsidR="00744AC2">
        <w:rPr>
          <w:rFonts w:ascii="Arial" w:hAnsi="Arial"/>
          <w:bCs/>
          <w:sz w:val="22"/>
          <w:szCs w:val="22"/>
        </w:rPr>
        <w:t xml:space="preserve">with a high degree of certainty </w:t>
      </w:r>
      <w:r w:rsidR="00DC4373" w:rsidRPr="007E0A41">
        <w:rPr>
          <w:rFonts w:ascii="Arial" w:hAnsi="Arial"/>
          <w:bCs/>
          <w:sz w:val="22"/>
          <w:szCs w:val="22"/>
        </w:rPr>
        <w:t xml:space="preserve">that </w:t>
      </w:r>
      <w:proofErr w:type="spellStart"/>
      <w:r w:rsidR="007A6BE8">
        <w:rPr>
          <w:rFonts w:ascii="Arial" w:hAnsi="Arial"/>
          <w:bCs/>
          <w:sz w:val="22"/>
          <w:szCs w:val="22"/>
        </w:rPr>
        <w:t>lixisenatide</w:t>
      </w:r>
      <w:proofErr w:type="spellEnd"/>
      <w:r w:rsidR="007A6BE8">
        <w:rPr>
          <w:rFonts w:ascii="Arial" w:hAnsi="Arial"/>
          <w:bCs/>
          <w:sz w:val="22"/>
          <w:szCs w:val="22"/>
        </w:rPr>
        <w:t xml:space="preserve"> is slightly worse than </w:t>
      </w:r>
      <w:proofErr w:type="spellStart"/>
      <w:r w:rsidR="00744AC2">
        <w:rPr>
          <w:rFonts w:ascii="Arial" w:hAnsi="Arial"/>
          <w:bCs/>
          <w:sz w:val="22"/>
          <w:szCs w:val="22"/>
        </w:rPr>
        <w:t>exenatide</w:t>
      </w:r>
      <w:proofErr w:type="spellEnd"/>
      <w:r w:rsidR="00744AC2">
        <w:rPr>
          <w:rFonts w:ascii="Arial" w:hAnsi="Arial"/>
          <w:bCs/>
          <w:sz w:val="22"/>
          <w:szCs w:val="22"/>
        </w:rPr>
        <w:t xml:space="preserve"> at lowering HbA1c measurements</w:t>
      </w:r>
      <w:r w:rsidR="00DC4373" w:rsidRPr="007E0A41">
        <w:rPr>
          <w:rFonts w:ascii="Arial" w:hAnsi="Arial"/>
          <w:bCs/>
          <w:sz w:val="22"/>
          <w:szCs w:val="22"/>
        </w:rPr>
        <w:t>.</w:t>
      </w:r>
      <w:r w:rsidR="00744AC2">
        <w:rPr>
          <w:rFonts w:ascii="Arial" w:hAnsi="Arial"/>
          <w:bCs/>
          <w:sz w:val="22"/>
          <w:szCs w:val="22"/>
        </w:rPr>
        <w:t xml:space="preserve"> Whether this slight inferiority of </w:t>
      </w:r>
      <w:proofErr w:type="spellStart"/>
      <w:r w:rsidR="00744AC2">
        <w:rPr>
          <w:rFonts w:ascii="Arial" w:hAnsi="Arial"/>
          <w:bCs/>
          <w:sz w:val="22"/>
          <w:szCs w:val="22"/>
        </w:rPr>
        <w:t>lixisenatide</w:t>
      </w:r>
      <w:proofErr w:type="spellEnd"/>
      <w:r w:rsidR="00744AC2">
        <w:rPr>
          <w:rFonts w:ascii="Arial" w:hAnsi="Arial"/>
          <w:bCs/>
          <w:sz w:val="22"/>
          <w:szCs w:val="22"/>
        </w:rPr>
        <w:t xml:space="preserve"> to </w:t>
      </w:r>
      <w:proofErr w:type="spellStart"/>
      <w:r w:rsidR="00744AC2">
        <w:rPr>
          <w:rFonts w:ascii="Arial" w:hAnsi="Arial"/>
          <w:bCs/>
          <w:sz w:val="22"/>
          <w:szCs w:val="22"/>
        </w:rPr>
        <w:t>exenatide</w:t>
      </w:r>
      <w:proofErr w:type="spellEnd"/>
      <w:r w:rsidR="00744AC2">
        <w:rPr>
          <w:rFonts w:ascii="Arial" w:hAnsi="Arial"/>
          <w:bCs/>
          <w:sz w:val="22"/>
          <w:szCs w:val="22"/>
        </w:rPr>
        <w:t xml:space="preserve"> is clinically significant was debatable but the PBAC was not prepared to accept the claim that </w:t>
      </w:r>
      <w:proofErr w:type="spellStart"/>
      <w:r w:rsidR="00744AC2">
        <w:rPr>
          <w:rFonts w:ascii="Arial" w:hAnsi="Arial"/>
          <w:bCs/>
          <w:sz w:val="22"/>
          <w:szCs w:val="22"/>
        </w:rPr>
        <w:t>lixisenatide</w:t>
      </w:r>
      <w:proofErr w:type="spellEnd"/>
      <w:r w:rsidR="00744AC2">
        <w:rPr>
          <w:rFonts w:ascii="Arial" w:hAnsi="Arial"/>
          <w:bCs/>
          <w:sz w:val="22"/>
          <w:szCs w:val="22"/>
        </w:rPr>
        <w:t xml:space="preserve"> is non-inferior to </w:t>
      </w:r>
      <w:proofErr w:type="spellStart"/>
      <w:r w:rsidR="00744AC2">
        <w:rPr>
          <w:rFonts w:ascii="Arial" w:hAnsi="Arial"/>
          <w:bCs/>
          <w:sz w:val="22"/>
          <w:szCs w:val="22"/>
        </w:rPr>
        <w:t>exenatide</w:t>
      </w:r>
      <w:proofErr w:type="spellEnd"/>
      <w:r w:rsidR="00744AC2">
        <w:rPr>
          <w:rFonts w:ascii="Arial" w:hAnsi="Arial"/>
          <w:bCs/>
          <w:sz w:val="22"/>
          <w:szCs w:val="22"/>
        </w:rPr>
        <w:t xml:space="preserve"> when used in dual therapy treatment based on these results.</w:t>
      </w:r>
    </w:p>
    <w:p w:rsidR="00060522" w:rsidRPr="007E0A41" w:rsidRDefault="00060522" w:rsidP="007E0A41">
      <w:pPr>
        <w:pStyle w:val="ListParagraph"/>
        <w:jc w:val="both"/>
        <w:rPr>
          <w:rFonts w:ascii="Arial" w:hAnsi="Arial"/>
          <w:b/>
          <w:bCs/>
          <w:i/>
          <w:sz w:val="22"/>
          <w:szCs w:val="22"/>
        </w:rPr>
      </w:pPr>
    </w:p>
    <w:p w:rsidR="00060522" w:rsidRPr="007E0A41" w:rsidRDefault="00060522" w:rsidP="007E0A41">
      <w:pPr>
        <w:pStyle w:val="ListParagraph"/>
        <w:numPr>
          <w:ilvl w:val="1"/>
          <w:numId w:val="25"/>
        </w:numPr>
        <w:jc w:val="both"/>
        <w:rPr>
          <w:rFonts w:ascii="Arial" w:hAnsi="Arial"/>
          <w:bCs/>
          <w:sz w:val="22"/>
          <w:szCs w:val="22"/>
        </w:rPr>
      </w:pPr>
      <w:r w:rsidRPr="00060522">
        <w:rPr>
          <w:rFonts w:ascii="Arial" w:hAnsi="Arial"/>
          <w:bCs/>
          <w:sz w:val="22"/>
          <w:szCs w:val="22"/>
        </w:rPr>
        <w:t xml:space="preserve">The PBAC </w:t>
      </w:r>
      <w:r>
        <w:rPr>
          <w:rFonts w:ascii="Arial" w:hAnsi="Arial"/>
          <w:bCs/>
          <w:sz w:val="22"/>
          <w:szCs w:val="22"/>
        </w:rPr>
        <w:t>further considered</w:t>
      </w:r>
      <w:r w:rsidRPr="00060522">
        <w:rPr>
          <w:rFonts w:ascii="Arial" w:hAnsi="Arial"/>
          <w:bCs/>
          <w:sz w:val="22"/>
          <w:szCs w:val="22"/>
        </w:rPr>
        <w:t xml:space="preserve"> that for the </w:t>
      </w:r>
      <w:r>
        <w:rPr>
          <w:rFonts w:ascii="Arial" w:hAnsi="Arial"/>
          <w:bCs/>
          <w:sz w:val="22"/>
          <w:szCs w:val="22"/>
        </w:rPr>
        <w:t xml:space="preserve">triple </w:t>
      </w:r>
      <w:r w:rsidRPr="00060522">
        <w:rPr>
          <w:rFonts w:ascii="Arial" w:hAnsi="Arial"/>
          <w:bCs/>
          <w:sz w:val="22"/>
          <w:szCs w:val="22"/>
        </w:rPr>
        <w:t xml:space="preserve">therapy indication, the </w:t>
      </w:r>
      <w:r>
        <w:rPr>
          <w:rFonts w:ascii="Arial" w:hAnsi="Arial"/>
          <w:bCs/>
          <w:sz w:val="22"/>
          <w:szCs w:val="22"/>
        </w:rPr>
        <w:t xml:space="preserve">indirect comparison </w:t>
      </w:r>
      <w:r w:rsidR="00A81ADE">
        <w:rPr>
          <w:rFonts w:ascii="Arial" w:hAnsi="Arial"/>
          <w:bCs/>
          <w:sz w:val="22"/>
          <w:szCs w:val="22"/>
        </w:rPr>
        <w:t xml:space="preserve">also </w:t>
      </w:r>
      <w:r w:rsidRPr="00060522">
        <w:rPr>
          <w:rFonts w:ascii="Arial" w:hAnsi="Arial"/>
          <w:bCs/>
          <w:sz w:val="22"/>
          <w:szCs w:val="22"/>
        </w:rPr>
        <w:t xml:space="preserve">did not provide conclusive evidence of non-inferiority of </w:t>
      </w:r>
      <w:proofErr w:type="spellStart"/>
      <w:r w:rsidRPr="00060522">
        <w:rPr>
          <w:rFonts w:ascii="Arial" w:hAnsi="Arial"/>
          <w:bCs/>
          <w:sz w:val="22"/>
          <w:szCs w:val="22"/>
        </w:rPr>
        <w:t>lixisenatide</w:t>
      </w:r>
      <w:proofErr w:type="spellEnd"/>
      <w:r w:rsidRPr="00060522">
        <w:rPr>
          <w:rFonts w:ascii="Arial" w:hAnsi="Arial"/>
          <w:bCs/>
          <w:sz w:val="22"/>
          <w:szCs w:val="22"/>
        </w:rPr>
        <w:t xml:space="preserve"> versus </w:t>
      </w:r>
      <w:proofErr w:type="spellStart"/>
      <w:r w:rsidRPr="00060522">
        <w:rPr>
          <w:rFonts w:ascii="Arial" w:hAnsi="Arial"/>
          <w:bCs/>
          <w:sz w:val="22"/>
          <w:szCs w:val="22"/>
        </w:rPr>
        <w:t>exenatide</w:t>
      </w:r>
      <w:proofErr w:type="spellEnd"/>
      <w:r w:rsidRPr="00060522">
        <w:rPr>
          <w:rFonts w:ascii="Arial" w:hAnsi="Arial"/>
          <w:bCs/>
          <w:sz w:val="22"/>
          <w:szCs w:val="22"/>
        </w:rPr>
        <w:t xml:space="preserve">. </w:t>
      </w:r>
      <w:r>
        <w:rPr>
          <w:rFonts w:ascii="Arial" w:hAnsi="Arial"/>
          <w:bCs/>
          <w:sz w:val="22"/>
          <w:szCs w:val="22"/>
        </w:rPr>
        <w:t>The PBAC noted that in practice, a g</w:t>
      </w:r>
      <w:r w:rsidR="00A81ADE">
        <w:rPr>
          <w:rFonts w:ascii="Arial" w:hAnsi="Arial"/>
          <w:bCs/>
          <w:sz w:val="22"/>
          <w:szCs w:val="22"/>
        </w:rPr>
        <w:t>reater number of patients are treated with</w:t>
      </w:r>
      <w:r>
        <w:rPr>
          <w:rFonts w:ascii="Arial" w:hAnsi="Arial"/>
          <w:bCs/>
          <w:sz w:val="22"/>
          <w:szCs w:val="22"/>
        </w:rPr>
        <w:t xml:space="preserve"> </w:t>
      </w:r>
      <w:proofErr w:type="spellStart"/>
      <w:r>
        <w:rPr>
          <w:rFonts w:ascii="Arial" w:hAnsi="Arial"/>
          <w:bCs/>
          <w:sz w:val="22"/>
          <w:szCs w:val="22"/>
        </w:rPr>
        <w:t>exenatide</w:t>
      </w:r>
      <w:proofErr w:type="spellEnd"/>
      <w:r>
        <w:rPr>
          <w:rFonts w:ascii="Arial" w:hAnsi="Arial"/>
          <w:bCs/>
          <w:sz w:val="22"/>
          <w:szCs w:val="22"/>
        </w:rPr>
        <w:t xml:space="preserve"> 10 mcg twice daily than </w:t>
      </w:r>
      <w:proofErr w:type="spellStart"/>
      <w:r>
        <w:rPr>
          <w:rFonts w:ascii="Arial" w:hAnsi="Arial"/>
          <w:bCs/>
          <w:sz w:val="22"/>
          <w:szCs w:val="22"/>
        </w:rPr>
        <w:t>exenatide</w:t>
      </w:r>
      <w:proofErr w:type="spellEnd"/>
      <w:r>
        <w:rPr>
          <w:rFonts w:ascii="Arial" w:hAnsi="Arial"/>
          <w:bCs/>
          <w:sz w:val="22"/>
          <w:szCs w:val="22"/>
        </w:rPr>
        <w:t xml:space="preserve"> 5 mcg twice daily</w:t>
      </w:r>
      <w:r w:rsidR="00A162C7">
        <w:rPr>
          <w:rFonts w:ascii="Arial" w:hAnsi="Arial"/>
          <w:bCs/>
          <w:sz w:val="22"/>
          <w:szCs w:val="22"/>
        </w:rPr>
        <w:t xml:space="preserve"> and therefore agreed with the ESC that these results are likely to be more reliable than the results for the comparisons against </w:t>
      </w:r>
      <w:proofErr w:type="spellStart"/>
      <w:r w:rsidR="00A162C7">
        <w:rPr>
          <w:rFonts w:ascii="Arial" w:hAnsi="Arial"/>
          <w:bCs/>
          <w:sz w:val="22"/>
          <w:szCs w:val="22"/>
        </w:rPr>
        <w:t>exentatide</w:t>
      </w:r>
      <w:proofErr w:type="spellEnd"/>
      <w:r w:rsidR="00A162C7">
        <w:rPr>
          <w:rFonts w:ascii="Arial" w:hAnsi="Arial"/>
          <w:bCs/>
          <w:sz w:val="22"/>
          <w:szCs w:val="22"/>
        </w:rPr>
        <w:t xml:space="preserve"> 5 mcg (twice daily) or a combination of </w:t>
      </w:r>
      <w:proofErr w:type="spellStart"/>
      <w:r w:rsidR="00A162C7">
        <w:rPr>
          <w:rFonts w:ascii="Arial" w:hAnsi="Arial"/>
          <w:bCs/>
          <w:sz w:val="22"/>
          <w:szCs w:val="22"/>
        </w:rPr>
        <w:t>exenatide</w:t>
      </w:r>
      <w:proofErr w:type="spellEnd"/>
      <w:r w:rsidR="00A162C7">
        <w:rPr>
          <w:rFonts w:ascii="Arial" w:hAnsi="Arial"/>
          <w:bCs/>
          <w:sz w:val="22"/>
          <w:szCs w:val="22"/>
        </w:rPr>
        <w:t xml:space="preserve"> 5 m</w:t>
      </w:r>
      <w:r w:rsidR="00A81ADE">
        <w:rPr>
          <w:rFonts w:ascii="Arial" w:hAnsi="Arial"/>
          <w:bCs/>
          <w:sz w:val="22"/>
          <w:szCs w:val="22"/>
        </w:rPr>
        <w:t>c</w:t>
      </w:r>
      <w:r w:rsidR="00A162C7">
        <w:rPr>
          <w:rFonts w:ascii="Arial" w:hAnsi="Arial"/>
          <w:bCs/>
          <w:sz w:val="22"/>
          <w:szCs w:val="22"/>
        </w:rPr>
        <w:t>g &amp; 10 m</w:t>
      </w:r>
      <w:r w:rsidR="00A81ADE">
        <w:rPr>
          <w:rFonts w:ascii="Arial" w:hAnsi="Arial"/>
          <w:bCs/>
          <w:sz w:val="22"/>
          <w:szCs w:val="22"/>
        </w:rPr>
        <w:t>c</w:t>
      </w:r>
      <w:r w:rsidR="00A162C7">
        <w:rPr>
          <w:rFonts w:ascii="Arial" w:hAnsi="Arial"/>
          <w:bCs/>
          <w:sz w:val="22"/>
          <w:szCs w:val="22"/>
        </w:rPr>
        <w:t>g</w:t>
      </w:r>
      <w:r>
        <w:rPr>
          <w:rFonts w:ascii="Arial" w:hAnsi="Arial"/>
          <w:bCs/>
          <w:sz w:val="22"/>
          <w:szCs w:val="22"/>
        </w:rPr>
        <w:t>.  In the indirect comparison o</w:t>
      </w:r>
      <w:r w:rsidR="00A81ADE">
        <w:rPr>
          <w:rFonts w:ascii="Arial" w:hAnsi="Arial"/>
          <w:bCs/>
          <w:sz w:val="22"/>
          <w:szCs w:val="22"/>
        </w:rPr>
        <w:t xml:space="preserve">f </w:t>
      </w:r>
      <w:proofErr w:type="spellStart"/>
      <w:r w:rsidR="00A81ADE">
        <w:rPr>
          <w:rFonts w:ascii="Arial" w:hAnsi="Arial"/>
          <w:bCs/>
          <w:sz w:val="22"/>
          <w:szCs w:val="22"/>
        </w:rPr>
        <w:t>lixisenatide</w:t>
      </w:r>
      <w:proofErr w:type="spellEnd"/>
      <w:r w:rsidR="00A81ADE">
        <w:rPr>
          <w:rFonts w:ascii="Arial" w:hAnsi="Arial"/>
          <w:bCs/>
          <w:sz w:val="22"/>
          <w:szCs w:val="22"/>
        </w:rPr>
        <w:t xml:space="preserve"> vs. </w:t>
      </w:r>
      <w:proofErr w:type="spellStart"/>
      <w:r w:rsidR="00A81ADE">
        <w:rPr>
          <w:rFonts w:ascii="Arial" w:hAnsi="Arial"/>
          <w:bCs/>
          <w:sz w:val="22"/>
          <w:szCs w:val="22"/>
        </w:rPr>
        <w:t>exenatide</w:t>
      </w:r>
      <w:proofErr w:type="spellEnd"/>
      <w:r w:rsidR="00A81ADE">
        <w:rPr>
          <w:rFonts w:ascii="Arial" w:hAnsi="Arial"/>
          <w:bCs/>
          <w:sz w:val="22"/>
          <w:szCs w:val="22"/>
        </w:rPr>
        <w:t xml:space="preserve"> 10 </w:t>
      </w:r>
      <w:r>
        <w:rPr>
          <w:rFonts w:ascii="Arial" w:hAnsi="Arial"/>
          <w:bCs/>
          <w:sz w:val="22"/>
          <w:szCs w:val="22"/>
        </w:rPr>
        <w:t>mcg (twice daily), the</w:t>
      </w:r>
      <w:r w:rsidRPr="007E0A41">
        <w:rPr>
          <w:rFonts w:ascii="Arial" w:hAnsi="Arial"/>
          <w:bCs/>
          <w:sz w:val="22"/>
          <w:szCs w:val="22"/>
        </w:rPr>
        <w:t xml:space="preserve"> difference in mean change in HbA1c (%) from baseline to Week 24 (</w:t>
      </w:r>
      <w:r>
        <w:rPr>
          <w:rFonts w:ascii="Arial" w:hAnsi="Arial"/>
          <w:bCs/>
          <w:sz w:val="22"/>
          <w:szCs w:val="22"/>
        </w:rPr>
        <w:t xml:space="preserve">in </w:t>
      </w:r>
      <w:r w:rsidRPr="007E0A41">
        <w:rPr>
          <w:rFonts w:ascii="Arial" w:hAnsi="Arial"/>
          <w:bCs/>
          <w:sz w:val="22"/>
          <w:szCs w:val="22"/>
        </w:rPr>
        <w:t>triple therapy with metformin and a sulfonylurea)</w:t>
      </w:r>
      <w:r w:rsidRPr="00060522">
        <w:t xml:space="preserve"> </w:t>
      </w:r>
      <w:r w:rsidR="00DE4A3C">
        <w:rPr>
          <w:rFonts w:ascii="Arial" w:hAnsi="Arial"/>
          <w:bCs/>
          <w:noProof/>
          <w:color w:val="000000"/>
          <w:sz w:val="22"/>
          <w:szCs w:val="22"/>
          <w:highlight w:val="black"/>
        </w:rPr>
        <w:t xml:space="preserve">'''''''''''''' '''''''''''''''''' '''''''''''' ''''''''''''' </w:t>
      </w:r>
      <w:r>
        <w:rPr>
          <w:rFonts w:ascii="Arial" w:hAnsi="Arial"/>
          <w:bCs/>
          <w:sz w:val="22"/>
          <w:szCs w:val="22"/>
        </w:rPr>
        <w:t xml:space="preserve">favouring </w:t>
      </w:r>
      <w:proofErr w:type="spellStart"/>
      <w:r>
        <w:rPr>
          <w:rFonts w:ascii="Arial" w:hAnsi="Arial"/>
          <w:bCs/>
          <w:sz w:val="22"/>
          <w:szCs w:val="22"/>
        </w:rPr>
        <w:t>exenatide</w:t>
      </w:r>
      <w:proofErr w:type="spellEnd"/>
      <w:r>
        <w:rPr>
          <w:rFonts w:ascii="Arial" w:hAnsi="Arial"/>
          <w:bCs/>
          <w:sz w:val="22"/>
          <w:szCs w:val="22"/>
        </w:rPr>
        <w:t xml:space="preserve">. Like the dual therapy results, </w:t>
      </w:r>
      <w:r w:rsidRPr="00060522">
        <w:rPr>
          <w:rFonts w:ascii="Arial" w:hAnsi="Arial"/>
          <w:bCs/>
          <w:sz w:val="22"/>
          <w:szCs w:val="22"/>
        </w:rPr>
        <w:t>the lower limit of th</w:t>
      </w:r>
      <w:r>
        <w:rPr>
          <w:rFonts w:ascii="Arial" w:hAnsi="Arial"/>
          <w:bCs/>
          <w:sz w:val="22"/>
          <w:szCs w:val="22"/>
        </w:rPr>
        <w:t>e 95% confidence interval (0.08</w:t>
      </w:r>
      <w:r w:rsidRPr="00060522">
        <w:rPr>
          <w:rFonts w:ascii="Arial" w:hAnsi="Arial"/>
          <w:bCs/>
          <w:sz w:val="22"/>
          <w:szCs w:val="22"/>
        </w:rPr>
        <w:t xml:space="preserve">%) did not include the null and so the results of </w:t>
      </w:r>
      <w:r>
        <w:rPr>
          <w:rFonts w:ascii="Arial" w:hAnsi="Arial"/>
          <w:bCs/>
          <w:sz w:val="22"/>
          <w:szCs w:val="22"/>
        </w:rPr>
        <w:t>the indirect comparison</w:t>
      </w:r>
      <w:r w:rsidRPr="00060522">
        <w:rPr>
          <w:rFonts w:ascii="Arial" w:hAnsi="Arial"/>
          <w:bCs/>
          <w:sz w:val="22"/>
          <w:szCs w:val="22"/>
        </w:rPr>
        <w:t xml:space="preserve"> suggested with a high degree of certainty that </w:t>
      </w:r>
      <w:proofErr w:type="spellStart"/>
      <w:r w:rsidRPr="00060522">
        <w:rPr>
          <w:rFonts w:ascii="Arial" w:hAnsi="Arial"/>
          <w:bCs/>
          <w:sz w:val="22"/>
          <w:szCs w:val="22"/>
        </w:rPr>
        <w:t>lixisenatide</w:t>
      </w:r>
      <w:proofErr w:type="spellEnd"/>
      <w:r w:rsidRPr="00060522">
        <w:rPr>
          <w:rFonts w:ascii="Arial" w:hAnsi="Arial"/>
          <w:bCs/>
          <w:sz w:val="22"/>
          <w:szCs w:val="22"/>
        </w:rPr>
        <w:t xml:space="preserve"> is worse than </w:t>
      </w:r>
      <w:proofErr w:type="spellStart"/>
      <w:r w:rsidRPr="00060522">
        <w:rPr>
          <w:rFonts w:ascii="Arial" w:hAnsi="Arial"/>
          <w:bCs/>
          <w:sz w:val="22"/>
          <w:szCs w:val="22"/>
        </w:rPr>
        <w:t>exenatide</w:t>
      </w:r>
      <w:proofErr w:type="spellEnd"/>
      <w:r>
        <w:rPr>
          <w:rFonts w:ascii="Arial" w:hAnsi="Arial"/>
          <w:bCs/>
          <w:sz w:val="22"/>
          <w:szCs w:val="22"/>
        </w:rPr>
        <w:t xml:space="preserve"> 10 mcg (twice daily)</w:t>
      </w:r>
      <w:r w:rsidRPr="00060522">
        <w:rPr>
          <w:rFonts w:ascii="Arial" w:hAnsi="Arial"/>
          <w:bCs/>
          <w:sz w:val="22"/>
          <w:szCs w:val="22"/>
        </w:rPr>
        <w:t xml:space="preserve"> at lowering HbA1c measurements. </w:t>
      </w:r>
      <w:r w:rsidR="00A162C7">
        <w:rPr>
          <w:rFonts w:ascii="Arial" w:hAnsi="Arial"/>
          <w:bCs/>
          <w:sz w:val="22"/>
          <w:szCs w:val="22"/>
        </w:rPr>
        <w:t xml:space="preserve">Further to this, whether a MCID margin of 0.3% or 0.4% is used to determine if the results are clinically significant, the PBAC noted that the upper limit of the 95% confidence interval (0.62%) suggested that </w:t>
      </w:r>
      <w:proofErr w:type="spellStart"/>
      <w:r w:rsidR="00A162C7">
        <w:rPr>
          <w:rFonts w:ascii="Arial" w:hAnsi="Arial"/>
          <w:bCs/>
          <w:sz w:val="22"/>
          <w:szCs w:val="22"/>
        </w:rPr>
        <w:t>lixisenatide</w:t>
      </w:r>
      <w:proofErr w:type="spellEnd"/>
      <w:r w:rsidR="00A162C7">
        <w:rPr>
          <w:rFonts w:ascii="Arial" w:hAnsi="Arial"/>
          <w:bCs/>
          <w:sz w:val="22"/>
          <w:szCs w:val="22"/>
        </w:rPr>
        <w:t xml:space="preserve"> may be clinically worse than </w:t>
      </w:r>
      <w:proofErr w:type="spellStart"/>
      <w:r w:rsidR="00A162C7">
        <w:rPr>
          <w:rFonts w:ascii="Arial" w:hAnsi="Arial"/>
          <w:bCs/>
          <w:sz w:val="22"/>
          <w:szCs w:val="22"/>
        </w:rPr>
        <w:t>exenatide</w:t>
      </w:r>
      <w:proofErr w:type="spellEnd"/>
      <w:r w:rsidR="00A162C7">
        <w:rPr>
          <w:rFonts w:ascii="Arial" w:hAnsi="Arial"/>
          <w:bCs/>
          <w:sz w:val="22"/>
          <w:szCs w:val="22"/>
        </w:rPr>
        <w:t xml:space="preserve"> 10 mcg (twice daily) when used in the triple therapy setting. Therefore, t</w:t>
      </w:r>
      <w:r w:rsidR="00A162C7" w:rsidRPr="00A162C7">
        <w:rPr>
          <w:rFonts w:ascii="Arial" w:hAnsi="Arial"/>
          <w:bCs/>
          <w:sz w:val="22"/>
          <w:szCs w:val="22"/>
        </w:rPr>
        <w:t xml:space="preserve">he PBAC was not prepared to accept the claim that </w:t>
      </w:r>
      <w:proofErr w:type="spellStart"/>
      <w:r w:rsidR="00A162C7" w:rsidRPr="00A162C7">
        <w:rPr>
          <w:rFonts w:ascii="Arial" w:hAnsi="Arial"/>
          <w:bCs/>
          <w:sz w:val="22"/>
          <w:szCs w:val="22"/>
        </w:rPr>
        <w:t>lixisenatide</w:t>
      </w:r>
      <w:proofErr w:type="spellEnd"/>
      <w:r w:rsidR="00A162C7" w:rsidRPr="00A162C7">
        <w:rPr>
          <w:rFonts w:ascii="Arial" w:hAnsi="Arial"/>
          <w:bCs/>
          <w:sz w:val="22"/>
          <w:szCs w:val="22"/>
        </w:rPr>
        <w:t xml:space="preserve"> is non-inferior to </w:t>
      </w:r>
      <w:proofErr w:type="spellStart"/>
      <w:r w:rsidR="00A162C7" w:rsidRPr="00A162C7">
        <w:rPr>
          <w:rFonts w:ascii="Arial" w:hAnsi="Arial"/>
          <w:bCs/>
          <w:sz w:val="22"/>
          <w:szCs w:val="22"/>
        </w:rPr>
        <w:t>exenatide</w:t>
      </w:r>
      <w:proofErr w:type="spellEnd"/>
      <w:r w:rsidR="00A162C7" w:rsidRPr="00A162C7">
        <w:rPr>
          <w:rFonts w:ascii="Arial" w:hAnsi="Arial"/>
          <w:bCs/>
          <w:sz w:val="22"/>
          <w:szCs w:val="22"/>
        </w:rPr>
        <w:t xml:space="preserve"> when used in</w:t>
      </w:r>
      <w:r w:rsidR="00A162C7">
        <w:rPr>
          <w:rFonts w:ascii="Arial" w:hAnsi="Arial"/>
          <w:bCs/>
          <w:sz w:val="22"/>
          <w:szCs w:val="22"/>
        </w:rPr>
        <w:t xml:space="preserve"> triple</w:t>
      </w:r>
      <w:r w:rsidR="00A162C7" w:rsidRPr="00A162C7">
        <w:rPr>
          <w:rFonts w:ascii="Arial" w:hAnsi="Arial"/>
          <w:bCs/>
          <w:sz w:val="22"/>
          <w:szCs w:val="22"/>
        </w:rPr>
        <w:t xml:space="preserve"> therapy treatment based on these results.</w:t>
      </w:r>
    </w:p>
    <w:p w:rsidR="00984F7E" w:rsidRPr="00717972" w:rsidRDefault="00984F7E" w:rsidP="007E0A41"/>
    <w:p w:rsidR="00B159B8" w:rsidRPr="00FA48F6" w:rsidRDefault="00A162C7" w:rsidP="00EC0CDC">
      <w:pPr>
        <w:pStyle w:val="ListParagraph"/>
        <w:numPr>
          <w:ilvl w:val="1"/>
          <w:numId w:val="25"/>
        </w:numPr>
        <w:jc w:val="both"/>
      </w:pPr>
      <w:r>
        <w:rPr>
          <w:rFonts w:ascii="Arial" w:hAnsi="Arial" w:cs="Arial"/>
          <w:sz w:val="22"/>
          <w:szCs w:val="22"/>
        </w:rPr>
        <w:t>In terms of</w:t>
      </w:r>
      <w:r w:rsidR="009A07A0" w:rsidRPr="007E0A41">
        <w:rPr>
          <w:rFonts w:ascii="Arial" w:hAnsi="Arial" w:cs="Arial"/>
          <w:sz w:val="22"/>
          <w:szCs w:val="22"/>
        </w:rPr>
        <w:t xml:space="preserve"> comparative safety</w:t>
      </w:r>
      <w:r>
        <w:rPr>
          <w:rFonts w:ascii="Arial" w:hAnsi="Arial" w:cs="Arial"/>
          <w:sz w:val="22"/>
          <w:szCs w:val="22"/>
        </w:rPr>
        <w:t>,</w:t>
      </w:r>
      <w:r w:rsidR="009A07A0" w:rsidRPr="007E0A41">
        <w:rPr>
          <w:rFonts w:ascii="Arial" w:hAnsi="Arial" w:cs="Arial"/>
          <w:sz w:val="22"/>
          <w:szCs w:val="22"/>
        </w:rPr>
        <w:t xml:space="preserve"> </w:t>
      </w:r>
      <w:r w:rsidR="00A81ADE">
        <w:rPr>
          <w:rFonts w:ascii="Arial" w:hAnsi="Arial"/>
          <w:sz w:val="22"/>
          <w:szCs w:val="22"/>
        </w:rPr>
        <w:t>i</w:t>
      </w:r>
      <w:r w:rsidR="00A81ADE" w:rsidRPr="007E0A41">
        <w:rPr>
          <w:rFonts w:ascii="Arial" w:hAnsi="Arial"/>
          <w:sz w:val="22"/>
          <w:szCs w:val="22"/>
        </w:rPr>
        <w:t xml:space="preserve">t was noted that no formal statistical testing was performed on the observation that fewer </w:t>
      </w:r>
      <w:proofErr w:type="spellStart"/>
      <w:r w:rsidR="00A81ADE" w:rsidRPr="007E0A41">
        <w:rPr>
          <w:rFonts w:ascii="Arial" w:hAnsi="Arial"/>
          <w:sz w:val="22"/>
          <w:szCs w:val="22"/>
        </w:rPr>
        <w:t>lixisenatide</w:t>
      </w:r>
      <w:proofErr w:type="spellEnd"/>
      <w:r w:rsidR="00A81ADE" w:rsidRPr="007E0A41">
        <w:rPr>
          <w:rFonts w:ascii="Arial" w:hAnsi="Arial"/>
          <w:sz w:val="22"/>
          <w:szCs w:val="22"/>
        </w:rPr>
        <w:t xml:space="preserve">-treated patients experienced nausea, hypoglycaemia and symptomatic hypoglycaemic events than </w:t>
      </w:r>
      <w:proofErr w:type="spellStart"/>
      <w:r w:rsidR="00A81ADE" w:rsidRPr="007E0A41">
        <w:rPr>
          <w:rFonts w:ascii="Arial" w:hAnsi="Arial"/>
          <w:sz w:val="22"/>
          <w:szCs w:val="22"/>
        </w:rPr>
        <w:t>exenatide</w:t>
      </w:r>
      <w:proofErr w:type="spellEnd"/>
      <w:r w:rsidR="00A81ADE" w:rsidRPr="007E0A41">
        <w:rPr>
          <w:rFonts w:ascii="Arial" w:hAnsi="Arial"/>
          <w:sz w:val="22"/>
          <w:szCs w:val="22"/>
        </w:rPr>
        <w:t xml:space="preserve">-treated patients in </w:t>
      </w:r>
      <w:proofErr w:type="spellStart"/>
      <w:r w:rsidR="00A81ADE" w:rsidRPr="007E0A41">
        <w:rPr>
          <w:rFonts w:ascii="Arial" w:hAnsi="Arial"/>
          <w:sz w:val="22"/>
          <w:szCs w:val="22"/>
        </w:rPr>
        <w:t>GetGoal</w:t>
      </w:r>
      <w:proofErr w:type="spellEnd"/>
      <w:r w:rsidR="00A81ADE" w:rsidRPr="007E0A41">
        <w:rPr>
          <w:rFonts w:ascii="Arial" w:hAnsi="Arial"/>
          <w:sz w:val="22"/>
          <w:szCs w:val="22"/>
        </w:rPr>
        <w:t xml:space="preserve">-X.  The PBAC </w:t>
      </w:r>
      <w:r w:rsidR="00A81ADE">
        <w:rPr>
          <w:rFonts w:ascii="Arial" w:hAnsi="Arial"/>
          <w:sz w:val="22"/>
          <w:szCs w:val="22"/>
        </w:rPr>
        <w:t>considered that it</w:t>
      </w:r>
      <w:r w:rsidR="00A81ADE" w:rsidRPr="007E0A41">
        <w:rPr>
          <w:rFonts w:ascii="Arial" w:hAnsi="Arial"/>
          <w:sz w:val="22"/>
          <w:szCs w:val="22"/>
        </w:rPr>
        <w:t xml:space="preserve"> was therefore unclear whether the numerical differences were statistically significant</w:t>
      </w:r>
      <w:r w:rsidR="00A81ADE">
        <w:rPr>
          <w:rFonts w:ascii="Arial" w:hAnsi="Arial"/>
          <w:sz w:val="22"/>
          <w:szCs w:val="22"/>
        </w:rPr>
        <w:t xml:space="preserve"> and clinically significant</w:t>
      </w:r>
      <w:r w:rsidR="00A81ADE" w:rsidRPr="007E0A41">
        <w:rPr>
          <w:rFonts w:ascii="Arial" w:hAnsi="Arial"/>
          <w:sz w:val="22"/>
          <w:szCs w:val="22"/>
        </w:rPr>
        <w:t xml:space="preserve">.  The </w:t>
      </w:r>
      <w:r w:rsidR="00A81ADE">
        <w:rPr>
          <w:rFonts w:ascii="Arial" w:hAnsi="Arial"/>
          <w:sz w:val="22"/>
          <w:szCs w:val="22"/>
        </w:rPr>
        <w:t xml:space="preserve">PBAC agreed with the </w:t>
      </w:r>
      <w:r w:rsidR="00A81ADE" w:rsidRPr="007E0A41">
        <w:rPr>
          <w:rFonts w:ascii="Arial" w:hAnsi="Arial"/>
          <w:sz w:val="22"/>
          <w:szCs w:val="22"/>
        </w:rPr>
        <w:t>ESC</w:t>
      </w:r>
      <w:r w:rsidR="00D86ACD">
        <w:rPr>
          <w:rFonts w:ascii="Arial" w:hAnsi="Arial"/>
          <w:sz w:val="22"/>
          <w:szCs w:val="22"/>
        </w:rPr>
        <w:t>’s</w:t>
      </w:r>
      <w:r w:rsidR="00A81ADE" w:rsidRPr="007E0A41">
        <w:rPr>
          <w:rFonts w:ascii="Arial" w:hAnsi="Arial"/>
          <w:sz w:val="22"/>
          <w:szCs w:val="22"/>
        </w:rPr>
        <w:t xml:space="preserve"> </w:t>
      </w:r>
      <w:r w:rsidR="00A81ADE">
        <w:rPr>
          <w:rFonts w:ascii="Arial" w:hAnsi="Arial"/>
          <w:sz w:val="22"/>
          <w:szCs w:val="22"/>
        </w:rPr>
        <w:t>concerns</w:t>
      </w:r>
      <w:r w:rsidR="00A81ADE" w:rsidRPr="007E0A41">
        <w:rPr>
          <w:rFonts w:ascii="Arial" w:hAnsi="Arial"/>
          <w:sz w:val="22"/>
          <w:szCs w:val="22"/>
        </w:rPr>
        <w:t xml:space="preserve"> that such results may be an indication of </w:t>
      </w:r>
      <w:proofErr w:type="spellStart"/>
      <w:r w:rsidR="00A81ADE" w:rsidRPr="007E0A41">
        <w:rPr>
          <w:rFonts w:ascii="Arial" w:hAnsi="Arial"/>
          <w:sz w:val="22"/>
          <w:szCs w:val="22"/>
        </w:rPr>
        <w:t>lixisenatide’s</w:t>
      </w:r>
      <w:proofErr w:type="spellEnd"/>
      <w:r w:rsidR="00A81ADE" w:rsidRPr="007E0A41">
        <w:rPr>
          <w:rFonts w:ascii="Arial" w:hAnsi="Arial"/>
          <w:sz w:val="22"/>
          <w:szCs w:val="22"/>
        </w:rPr>
        <w:t xml:space="preserve"> inferiority to </w:t>
      </w:r>
      <w:proofErr w:type="spellStart"/>
      <w:r w:rsidR="00A81ADE" w:rsidRPr="007E0A41">
        <w:rPr>
          <w:rFonts w:ascii="Arial" w:hAnsi="Arial"/>
          <w:sz w:val="22"/>
          <w:szCs w:val="22"/>
        </w:rPr>
        <w:t>exenatide</w:t>
      </w:r>
      <w:proofErr w:type="spellEnd"/>
      <w:r w:rsidR="00A81ADE" w:rsidRPr="007E0A41">
        <w:rPr>
          <w:rFonts w:ascii="Arial" w:hAnsi="Arial"/>
          <w:sz w:val="22"/>
          <w:szCs w:val="22"/>
        </w:rPr>
        <w:t xml:space="preserve"> (i.e. the observation of reduced hypoglycaemic events with </w:t>
      </w:r>
      <w:proofErr w:type="spellStart"/>
      <w:r w:rsidR="00A81ADE" w:rsidRPr="007E0A41">
        <w:rPr>
          <w:rFonts w:ascii="Arial" w:hAnsi="Arial"/>
          <w:sz w:val="22"/>
          <w:szCs w:val="22"/>
        </w:rPr>
        <w:t>lixisenatide</w:t>
      </w:r>
      <w:proofErr w:type="spellEnd"/>
      <w:r w:rsidR="00A81ADE" w:rsidRPr="007E0A41">
        <w:rPr>
          <w:rFonts w:ascii="Arial" w:hAnsi="Arial"/>
          <w:sz w:val="22"/>
          <w:szCs w:val="22"/>
        </w:rPr>
        <w:t xml:space="preserve"> might be a reflection of reduced efficacy). The </w:t>
      </w:r>
      <w:r w:rsidR="00A81ADE">
        <w:rPr>
          <w:rFonts w:ascii="Arial" w:hAnsi="Arial"/>
          <w:sz w:val="22"/>
          <w:szCs w:val="22"/>
        </w:rPr>
        <w:t xml:space="preserve">PBAC </w:t>
      </w:r>
      <w:r w:rsidR="00A81ADE" w:rsidRPr="007E0A41">
        <w:rPr>
          <w:rFonts w:ascii="Arial" w:hAnsi="Arial"/>
          <w:sz w:val="22"/>
          <w:szCs w:val="22"/>
        </w:rPr>
        <w:t xml:space="preserve">also noted that patients were aware of their treatment allocation which may </w:t>
      </w:r>
      <w:r w:rsidR="00A81ADE">
        <w:rPr>
          <w:rFonts w:ascii="Arial" w:hAnsi="Arial"/>
          <w:sz w:val="22"/>
          <w:szCs w:val="22"/>
        </w:rPr>
        <w:t xml:space="preserve">have </w:t>
      </w:r>
      <w:r w:rsidR="00A81ADE" w:rsidRPr="007E0A41">
        <w:rPr>
          <w:rFonts w:ascii="Arial" w:hAnsi="Arial"/>
          <w:sz w:val="22"/>
          <w:szCs w:val="22"/>
        </w:rPr>
        <w:t>bias</w:t>
      </w:r>
      <w:r w:rsidR="00A81ADE">
        <w:rPr>
          <w:rFonts w:ascii="Arial" w:hAnsi="Arial"/>
          <w:sz w:val="22"/>
          <w:szCs w:val="22"/>
        </w:rPr>
        <w:t>ed</w:t>
      </w:r>
      <w:r w:rsidR="00A81ADE" w:rsidRPr="007E0A41">
        <w:rPr>
          <w:rFonts w:ascii="Arial" w:hAnsi="Arial"/>
          <w:sz w:val="22"/>
          <w:szCs w:val="22"/>
        </w:rPr>
        <w:t xml:space="preserve"> the reporting of adverse events.</w:t>
      </w:r>
      <w:r w:rsidR="00A81ADE">
        <w:rPr>
          <w:rFonts w:ascii="Arial" w:hAnsi="Arial"/>
          <w:sz w:val="22"/>
          <w:szCs w:val="22"/>
        </w:rPr>
        <w:t xml:space="preserve"> For these reasons, the PBAC was yet to accept a claim o</w:t>
      </w:r>
      <w:r w:rsidR="00B159B8">
        <w:rPr>
          <w:rFonts w:ascii="Arial" w:hAnsi="Arial"/>
          <w:sz w:val="22"/>
          <w:szCs w:val="22"/>
        </w:rPr>
        <w:t xml:space="preserve">f non-inferiority of </w:t>
      </w:r>
      <w:proofErr w:type="spellStart"/>
      <w:r w:rsidR="00B159B8">
        <w:rPr>
          <w:rFonts w:ascii="Arial" w:hAnsi="Arial"/>
          <w:sz w:val="22"/>
          <w:szCs w:val="22"/>
        </w:rPr>
        <w:t>lixisenatide</w:t>
      </w:r>
      <w:proofErr w:type="spellEnd"/>
      <w:r w:rsidR="00A81ADE">
        <w:rPr>
          <w:rFonts w:ascii="Arial" w:hAnsi="Arial"/>
          <w:sz w:val="22"/>
          <w:szCs w:val="22"/>
        </w:rPr>
        <w:t xml:space="preserve"> compared to </w:t>
      </w:r>
      <w:proofErr w:type="spellStart"/>
      <w:r w:rsidR="00A81ADE">
        <w:rPr>
          <w:rFonts w:ascii="Arial" w:hAnsi="Arial"/>
          <w:sz w:val="22"/>
          <w:szCs w:val="22"/>
        </w:rPr>
        <w:t>exenatide</w:t>
      </w:r>
      <w:proofErr w:type="spellEnd"/>
      <w:r w:rsidR="00A81ADE">
        <w:rPr>
          <w:rFonts w:ascii="Arial" w:hAnsi="Arial"/>
          <w:sz w:val="22"/>
          <w:szCs w:val="22"/>
        </w:rPr>
        <w:t xml:space="preserve"> (twice daily) in terms of safety.</w:t>
      </w:r>
    </w:p>
    <w:p w:rsidR="00B159B8" w:rsidRDefault="00B159B8" w:rsidP="007E0A41">
      <w:pPr>
        <w:pStyle w:val="ListParagraph"/>
        <w:ind w:left="709"/>
        <w:jc w:val="both"/>
        <w:rPr>
          <w:rFonts w:ascii="Arial" w:hAnsi="Arial"/>
          <w:sz w:val="22"/>
          <w:szCs w:val="22"/>
        </w:rPr>
      </w:pPr>
    </w:p>
    <w:p w:rsidR="0024179B" w:rsidRPr="003922B6" w:rsidRDefault="00770499" w:rsidP="0024179B">
      <w:pPr>
        <w:pStyle w:val="ListParagraph"/>
        <w:numPr>
          <w:ilvl w:val="1"/>
          <w:numId w:val="25"/>
        </w:numPr>
        <w:ind w:left="709" w:hanging="709"/>
        <w:jc w:val="both"/>
        <w:rPr>
          <w:rFonts w:ascii="Arial" w:hAnsi="Arial"/>
          <w:sz w:val="22"/>
          <w:szCs w:val="22"/>
        </w:rPr>
      </w:pPr>
      <w:r>
        <w:rPr>
          <w:rFonts w:ascii="Arial" w:hAnsi="Arial"/>
          <w:sz w:val="22"/>
          <w:szCs w:val="22"/>
        </w:rPr>
        <w:t xml:space="preserve">The </w:t>
      </w:r>
      <w:r w:rsidR="00B159B8">
        <w:rPr>
          <w:rFonts w:ascii="Arial" w:hAnsi="Arial"/>
          <w:sz w:val="22"/>
          <w:szCs w:val="22"/>
        </w:rPr>
        <w:t xml:space="preserve">PBAC considered that any future resubmission would need to </w:t>
      </w:r>
      <w:r>
        <w:rPr>
          <w:rFonts w:ascii="Arial" w:hAnsi="Arial"/>
          <w:sz w:val="22"/>
          <w:szCs w:val="22"/>
        </w:rPr>
        <w:t xml:space="preserve">particularly </w:t>
      </w:r>
      <w:r w:rsidR="00B159B8">
        <w:rPr>
          <w:rFonts w:ascii="Arial" w:hAnsi="Arial"/>
          <w:sz w:val="22"/>
          <w:szCs w:val="22"/>
        </w:rPr>
        <w:t>addres</w:t>
      </w:r>
      <w:r>
        <w:rPr>
          <w:rFonts w:ascii="Arial" w:hAnsi="Arial"/>
          <w:sz w:val="22"/>
          <w:szCs w:val="22"/>
        </w:rPr>
        <w:t xml:space="preserve">s claims regarding </w:t>
      </w:r>
      <w:proofErr w:type="spellStart"/>
      <w:r>
        <w:rPr>
          <w:rFonts w:ascii="Arial" w:hAnsi="Arial"/>
          <w:sz w:val="22"/>
          <w:szCs w:val="22"/>
        </w:rPr>
        <w:t>lixisenatide’s</w:t>
      </w:r>
      <w:proofErr w:type="spellEnd"/>
      <w:r>
        <w:rPr>
          <w:rFonts w:ascii="Arial" w:hAnsi="Arial"/>
          <w:sz w:val="22"/>
          <w:szCs w:val="22"/>
        </w:rPr>
        <w:t xml:space="preserve"> comparative efficacy and safety compared to </w:t>
      </w:r>
      <w:proofErr w:type="spellStart"/>
      <w:r>
        <w:rPr>
          <w:rFonts w:ascii="Arial" w:hAnsi="Arial"/>
          <w:sz w:val="22"/>
          <w:szCs w:val="22"/>
        </w:rPr>
        <w:lastRenderedPageBreak/>
        <w:t>exenatide</w:t>
      </w:r>
      <w:proofErr w:type="spellEnd"/>
      <w:r>
        <w:rPr>
          <w:rFonts w:ascii="Arial" w:hAnsi="Arial"/>
          <w:sz w:val="22"/>
          <w:szCs w:val="22"/>
        </w:rPr>
        <w:t xml:space="preserve"> (twice daily).  The PBAC’s current view is that there is no compelling</w:t>
      </w:r>
      <w:r w:rsidR="007E0A41">
        <w:rPr>
          <w:rFonts w:ascii="Arial" w:hAnsi="Arial"/>
          <w:sz w:val="22"/>
          <w:szCs w:val="22"/>
        </w:rPr>
        <w:t xml:space="preserve"> clinical</w:t>
      </w:r>
      <w:r>
        <w:rPr>
          <w:rFonts w:ascii="Arial" w:hAnsi="Arial"/>
          <w:sz w:val="22"/>
          <w:szCs w:val="22"/>
        </w:rPr>
        <w:t xml:space="preserve"> need for a drug that appears to be slightly inferior </w:t>
      </w:r>
      <w:r w:rsidR="007E0A41">
        <w:rPr>
          <w:rFonts w:ascii="Arial" w:hAnsi="Arial"/>
          <w:sz w:val="22"/>
          <w:szCs w:val="22"/>
        </w:rPr>
        <w:t xml:space="preserve">to existing therapy.  Any resubmission would need to establish a compelling clinical need for </w:t>
      </w:r>
      <w:proofErr w:type="spellStart"/>
      <w:r w:rsidR="007E0A41">
        <w:rPr>
          <w:rFonts w:ascii="Arial" w:hAnsi="Arial"/>
          <w:sz w:val="22"/>
          <w:szCs w:val="22"/>
        </w:rPr>
        <w:t>lixisenatide</w:t>
      </w:r>
      <w:proofErr w:type="spellEnd"/>
      <w:r w:rsidR="007E0A41">
        <w:rPr>
          <w:rFonts w:ascii="Arial" w:hAnsi="Arial"/>
          <w:sz w:val="22"/>
          <w:szCs w:val="22"/>
        </w:rPr>
        <w:t xml:space="preserve"> therapy if non-inferiority to existing therapy cannot be conclusively demonstrated</w:t>
      </w:r>
      <w:r w:rsidR="002B47A9">
        <w:rPr>
          <w:rFonts w:ascii="Arial" w:hAnsi="Arial"/>
          <w:sz w:val="22"/>
          <w:szCs w:val="22"/>
        </w:rPr>
        <w:t xml:space="preserve"> in a major resubmission</w:t>
      </w:r>
      <w:r w:rsidR="007E0A41">
        <w:rPr>
          <w:rFonts w:ascii="Arial" w:hAnsi="Arial"/>
          <w:sz w:val="22"/>
          <w:szCs w:val="22"/>
        </w:rPr>
        <w:t>.</w:t>
      </w:r>
    </w:p>
    <w:p w:rsidR="0024179B" w:rsidRPr="002554B7" w:rsidRDefault="0024179B" w:rsidP="0024179B">
      <w:pPr>
        <w:pStyle w:val="ListParagraph"/>
        <w:rPr>
          <w:rFonts w:ascii="Arial" w:hAnsi="Arial"/>
          <w:sz w:val="22"/>
          <w:szCs w:val="22"/>
          <w:highlight w:val="yellow"/>
        </w:rPr>
      </w:pPr>
    </w:p>
    <w:p w:rsidR="00022E05" w:rsidRPr="005D0EDF" w:rsidRDefault="0024179B" w:rsidP="00022E05">
      <w:pPr>
        <w:pStyle w:val="ListParagraph"/>
        <w:numPr>
          <w:ilvl w:val="1"/>
          <w:numId w:val="25"/>
        </w:numPr>
        <w:ind w:left="709" w:hanging="709"/>
        <w:jc w:val="both"/>
        <w:rPr>
          <w:rFonts w:ascii="Arial" w:hAnsi="Arial"/>
          <w:sz w:val="22"/>
          <w:szCs w:val="22"/>
        </w:rPr>
      </w:pPr>
      <w:r w:rsidRPr="005D0EDF">
        <w:rPr>
          <w:rFonts w:ascii="Arial" w:hAnsi="Arial"/>
          <w:sz w:val="22"/>
          <w:szCs w:val="22"/>
        </w:rPr>
        <w:t>The PBA</w:t>
      </w:r>
      <w:r w:rsidR="00022E05" w:rsidRPr="005D0EDF">
        <w:rPr>
          <w:rFonts w:ascii="Arial" w:hAnsi="Arial"/>
          <w:sz w:val="22"/>
          <w:szCs w:val="22"/>
        </w:rPr>
        <w:t>C noted that this submission is</w:t>
      </w:r>
      <w:r w:rsidRPr="005D0EDF">
        <w:rPr>
          <w:rFonts w:ascii="Arial" w:hAnsi="Arial"/>
          <w:sz w:val="22"/>
          <w:szCs w:val="22"/>
        </w:rPr>
        <w:t xml:space="preserve"> eligible for an Independent Review.</w:t>
      </w:r>
    </w:p>
    <w:p w:rsidR="003922B6" w:rsidRDefault="003922B6" w:rsidP="00022E05">
      <w:pPr>
        <w:pStyle w:val="ListParagraph"/>
        <w:ind w:left="709"/>
        <w:jc w:val="both"/>
        <w:rPr>
          <w:rFonts w:ascii="Arial" w:hAnsi="Arial"/>
          <w:sz w:val="22"/>
          <w:szCs w:val="22"/>
          <w:highlight w:val="yellow"/>
        </w:rPr>
      </w:pPr>
    </w:p>
    <w:p w:rsidR="003922B6" w:rsidRPr="003922B6" w:rsidRDefault="003922B6" w:rsidP="003922B6">
      <w:pPr>
        <w:jc w:val="both"/>
        <w:rPr>
          <w:rFonts w:ascii="Arial" w:hAnsi="Arial"/>
          <w:sz w:val="22"/>
          <w:szCs w:val="22"/>
          <w:highlight w:val="yellow"/>
        </w:rPr>
      </w:pPr>
    </w:p>
    <w:p w:rsidR="0024179B" w:rsidRPr="005D0EDF" w:rsidRDefault="0024179B" w:rsidP="0024179B">
      <w:pPr>
        <w:jc w:val="both"/>
        <w:rPr>
          <w:rFonts w:ascii="Arial" w:hAnsi="Arial"/>
          <w:b/>
          <w:sz w:val="22"/>
          <w:szCs w:val="22"/>
        </w:rPr>
      </w:pPr>
      <w:r w:rsidRPr="005D0EDF">
        <w:rPr>
          <w:rFonts w:ascii="Arial" w:hAnsi="Arial"/>
          <w:b/>
          <w:sz w:val="22"/>
          <w:szCs w:val="22"/>
        </w:rPr>
        <w:t>Outcome:</w:t>
      </w:r>
    </w:p>
    <w:p w:rsidR="00C41E5A" w:rsidRDefault="0024179B" w:rsidP="00C41E5A">
      <w:pPr>
        <w:jc w:val="both"/>
        <w:rPr>
          <w:rFonts w:ascii="Arial" w:hAnsi="Arial"/>
          <w:sz w:val="22"/>
          <w:szCs w:val="22"/>
        </w:rPr>
      </w:pPr>
      <w:r w:rsidRPr="005D0EDF">
        <w:rPr>
          <w:rFonts w:ascii="Arial" w:hAnsi="Arial"/>
          <w:sz w:val="22"/>
          <w:szCs w:val="22"/>
        </w:rPr>
        <w:t>Rejected</w:t>
      </w:r>
    </w:p>
    <w:p w:rsidR="00C41E5A" w:rsidRDefault="00C41E5A" w:rsidP="00C41E5A">
      <w:pPr>
        <w:jc w:val="both"/>
        <w:rPr>
          <w:rFonts w:ascii="Arial" w:hAnsi="Arial"/>
          <w:sz w:val="22"/>
          <w:szCs w:val="22"/>
          <w:highlight w:val="yellow"/>
        </w:rPr>
      </w:pPr>
    </w:p>
    <w:p w:rsidR="001A5B5A" w:rsidRDefault="001A5B5A" w:rsidP="001A5B5A">
      <w:pPr>
        <w:pStyle w:val="ListParagraph"/>
        <w:numPr>
          <w:ilvl w:val="0"/>
          <w:numId w:val="25"/>
        </w:numPr>
        <w:jc w:val="both"/>
        <w:rPr>
          <w:rFonts w:ascii="Arial" w:hAnsi="Arial" w:cs="Arial"/>
          <w:b/>
          <w:sz w:val="22"/>
        </w:rPr>
      </w:pPr>
      <w:r w:rsidRPr="00D4420F">
        <w:rPr>
          <w:rFonts w:ascii="Arial" w:hAnsi="Arial" w:cs="Arial"/>
          <w:b/>
          <w:sz w:val="22"/>
        </w:rPr>
        <w:t>Context for Decision</w:t>
      </w:r>
    </w:p>
    <w:p w:rsidR="001A5B5A" w:rsidRPr="00D4420F" w:rsidRDefault="001A5B5A" w:rsidP="001A5B5A">
      <w:pPr>
        <w:pStyle w:val="ListParagraph"/>
        <w:jc w:val="both"/>
        <w:rPr>
          <w:rFonts w:ascii="Arial" w:hAnsi="Arial" w:cs="Arial"/>
          <w:b/>
          <w:sz w:val="22"/>
        </w:rPr>
      </w:pPr>
    </w:p>
    <w:p w:rsidR="001A5B5A" w:rsidRPr="00D4420F" w:rsidRDefault="001A5B5A" w:rsidP="001A5B5A">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A5B5A" w:rsidRPr="00D4420F" w:rsidRDefault="001A5B5A" w:rsidP="001A5B5A">
      <w:pPr>
        <w:jc w:val="both"/>
        <w:rPr>
          <w:rFonts w:ascii="Arial" w:hAnsi="Arial" w:cs="Arial"/>
          <w:sz w:val="22"/>
        </w:rPr>
      </w:pPr>
    </w:p>
    <w:p w:rsidR="001A5B5A" w:rsidRDefault="001A5B5A" w:rsidP="001A5B5A">
      <w:pPr>
        <w:pStyle w:val="ListParagraph"/>
        <w:numPr>
          <w:ilvl w:val="0"/>
          <w:numId w:val="25"/>
        </w:numPr>
        <w:jc w:val="both"/>
        <w:rPr>
          <w:rFonts w:ascii="Arial" w:hAnsi="Arial" w:cs="Arial"/>
          <w:b/>
          <w:sz w:val="22"/>
        </w:rPr>
      </w:pPr>
      <w:r w:rsidRPr="00D4420F">
        <w:rPr>
          <w:rFonts w:ascii="Arial" w:hAnsi="Arial" w:cs="Arial"/>
          <w:b/>
          <w:sz w:val="22"/>
        </w:rPr>
        <w:t>Sponsor’s Comment</w:t>
      </w:r>
    </w:p>
    <w:p w:rsidR="0067345F" w:rsidRPr="00D4420F" w:rsidRDefault="0067345F" w:rsidP="0067345F">
      <w:pPr>
        <w:pStyle w:val="ListParagraph"/>
        <w:jc w:val="both"/>
        <w:rPr>
          <w:rFonts w:ascii="Arial" w:hAnsi="Arial" w:cs="Arial"/>
          <w:b/>
          <w:sz w:val="22"/>
        </w:rPr>
      </w:pPr>
    </w:p>
    <w:p w:rsidR="001A5B5A" w:rsidRPr="0067345F" w:rsidRDefault="0067345F" w:rsidP="0067345F">
      <w:pPr>
        <w:ind w:left="709"/>
        <w:jc w:val="both"/>
        <w:rPr>
          <w:rFonts w:ascii="Arial" w:hAnsi="Arial"/>
          <w:sz w:val="22"/>
          <w:szCs w:val="22"/>
        </w:rPr>
      </w:pPr>
      <w:r w:rsidRPr="0067345F">
        <w:rPr>
          <w:rFonts w:ascii="Arial" w:hAnsi="Arial"/>
          <w:sz w:val="22"/>
          <w:szCs w:val="22"/>
        </w:rPr>
        <w:tab/>
      </w:r>
      <w:r w:rsidRPr="0067345F">
        <w:rPr>
          <w:rFonts w:ascii="Arial" w:hAnsi="Arial"/>
          <w:iCs/>
          <w:sz w:val="22"/>
          <w:szCs w:val="22"/>
        </w:rPr>
        <w:t xml:space="preserve">Whilst the sponsor is disappointed by the PBAC’s decision </w:t>
      </w:r>
      <w:proofErr w:type="spellStart"/>
      <w:r w:rsidRPr="0067345F">
        <w:rPr>
          <w:rFonts w:ascii="Arial" w:hAnsi="Arial"/>
          <w:iCs/>
          <w:sz w:val="22"/>
          <w:szCs w:val="22"/>
        </w:rPr>
        <w:t>Sanofi</w:t>
      </w:r>
      <w:proofErr w:type="spellEnd"/>
      <w:r w:rsidRPr="0067345F">
        <w:rPr>
          <w:rFonts w:ascii="Arial" w:hAnsi="Arial"/>
          <w:iCs/>
          <w:sz w:val="22"/>
          <w:szCs w:val="22"/>
        </w:rPr>
        <w:t xml:space="preserve"> remains committed to working with the PBAC to enable people with diabetes access to </w:t>
      </w:r>
      <w:proofErr w:type="spellStart"/>
      <w:r w:rsidRPr="0067345F">
        <w:rPr>
          <w:rFonts w:ascii="Arial" w:hAnsi="Arial"/>
          <w:iCs/>
          <w:sz w:val="22"/>
          <w:szCs w:val="22"/>
        </w:rPr>
        <w:t>Lyxumia</w:t>
      </w:r>
      <w:proofErr w:type="spellEnd"/>
      <w:r>
        <w:rPr>
          <w:rFonts w:ascii="Arial" w:hAnsi="Arial"/>
          <w:iCs/>
          <w:sz w:val="22"/>
          <w:szCs w:val="22"/>
        </w:rPr>
        <w:t>.</w:t>
      </w:r>
    </w:p>
    <w:sectPr w:rsidR="001A5B5A" w:rsidRPr="0067345F" w:rsidSect="00653D69">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A3C" w:rsidRDefault="00DE4A3C">
      <w:r>
        <w:separator/>
      </w:r>
    </w:p>
  </w:endnote>
  <w:endnote w:type="continuationSeparator" w:id="0">
    <w:p w:rsidR="00DE4A3C" w:rsidRDefault="00DE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31AF3" w:rsidTr="005A3173">
      <w:trPr>
        <w:trHeight w:val="151"/>
      </w:trPr>
      <w:tc>
        <w:tcPr>
          <w:tcW w:w="2250" w:type="pct"/>
          <w:tcBorders>
            <w:top w:val="nil"/>
            <w:left w:val="nil"/>
            <w:bottom w:val="single" w:sz="4" w:space="0" w:color="4F81BD"/>
            <w:right w:val="nil"/>
          </w:tcBorders>
        </w:tcPr>
        <w:p w:rsidR="00A31AF3" w:rsidRPr="005A3173" w:rsidRDefault="00A31AF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31AF3" w:rsidRPr="005A3173" w:rsidRDefault="00A31AF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31AF3" w:rsidRPr="005A3173" w:rsidRDefault="00A31AF3" w:rsidP="005A3173">
          <w:pPr>
            <w:pStyle w:val="Header"/>
            <w:spacing w:line="276" w:lineRule="auto"/>
            <w:rPr>
              <w:rFonts w:ascii="Calibri" w:eastAsia="MS Gothic" w:hAnsi="Calibri"/>
              <w:b/>
              <w:bCs/>
              <w:color w:val="4F81BD"/>
            </w:rPr>
          </w:pPr>
        </w:p>
      </w:tc>
    </w:tr>
    <w:tr w:rsidR="00A31AF3" w:rsidTr="005A3173">
      <w:trPr>
        <w:trHeight w:val="150"/>
      </w:trPr>
      <w:tc>
        <w:tcPr>
          <w:tcW w:w="2250" w:type="pct"/>
          <w:tcBorders>
            <w:top w:val="single" w:sz="4" w:space="0" w:color="4F81BD"/>
            <w:left w:val="nil"/>
            <w:bottom w:val="nil"/>
            <w:right w:val="nil"/>
          </w:tcBorders>
        </w:tcPr>
        <w:p w:rsidR="00A31AF3" w:rsidRPr="005A3173" w:rsidRDefault="00A31AF3" w:rsidP="005A3173">
          <w:pPr>
            <w:pStyle w:val="Header"/>
            <w:spacing w:line="276" w:lineRule="auto"/>
            <w:rPr>
              <w:rFonts w:ascii="Calibri" w:eastAsia="MS Gothic" w:hAnsi="Calibri"/>
              <w:b/>
              <w:bCs/>
              <w:color w:val="4F81BD"/>
            </w:rPr>
          </w:pPr>
        </w:p>
      </w:tc>
      <w:tc>
        <w:tcPr>
          <w:tcW w:w="0" w:type="auto"/>
          <w:vMerge/>
          <w:vAlign w:val="center"/>
          <w:hideMark/>
        </w:tcPr>
        <w:p w:rsidR="00A31AF3" w:rsidRPr="005A3173" w:rsidRDefault="00A31AF3" w:rsidP="005A3173">
          <w:pPr>
            <w:rPr>
              <w:rFonts w:ascii="Calibri" w:hAnsi="Calibri"/>
              <w:color w:val="365F91"/>
              <w:sz w:val="22"/>
              <w:szCs w:val="22"/>
            </w:rPr>
          </w:pPr>
        </w:p>
      </w:tc>
      <w:tc>
        <w:tcPr>
          <w:tcW w:w="2250" w:type="pct"/>
          <w:tcBorders>
            <w:top w:val="single" w:sz="4" w:space="0" w:color="4F81BD"/>
            <w:left w:val="nil"/>
            <w:bottom w:val="nil"/>
            <w:right w:val="nil"/>
          </w:tcBorders>
        </w:tcPr>
        <w:p w:rsidR="00A31AF3" w:rsidRPr="005A3173" w:rsidRDefault="00A31AF3" w:rsidP="005A3173">
          <w:pPr>
            <w:pStyle w:val="Header"/>
            <w:spacing w:line="276" w:lineRule="auto"/>
            <w:rPr>
              <w:rFonts w:ascii="Calibri" w:eastAsia="MS Gothic" w:hAnsi="Calibri"/>
              <w:b/>
              <w:bCs/>
              <w:color w:val="4F81BD"/>
            </w:rPr>
          </w:pPr>
        </w:p>
      </w:tc>
    </w:tr>
  </w:tbl>
  <w:p w:rsidR="00A31AF3" w:rsidRDefault="00A31AF3"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1AF3" w:rsidRDefault="00A31A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A31AF3" w:rsidRDefault="00A31AF3">
        <w:pPr>
          <w:pStyle w:val="Footer"/>
          <w:jc w:val="center"/>
        </w:pPr>
      </w:p>
      <w:p w:rsidR="00A31AF3" w:rsidRPr="00651169" w:rsidRDefault="00A31AF3">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D31CCA">
          <w:rPr>
            <w:rFonts w:ascii="Arial" w:hAnsi="Arial" w:cs="Arial"/>
            <w:noProof/>
            <w:sz w:val="20"/>
            <w:szCs w:val="20"/>
          </w:rPr>
          <w:t>11</w:t>
        </w:r>
        <w:r w:rsidRPr="00651169">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A31AF3" w:rsidTr="005A3173">
      <w:trPr>
        <w:trHeight w:val="151"/>
      </w:trPr>
      <w:tc>
        <w:tcPr>
          <w:tcW w:w="2250" w:type="pct"/>
          <w:tcBorders>
            <w:top w:val="nil"/>
            <w:left w:val="nil"/>
            <w:bottom w:val="single" w:sz="4" w:space="0" w:color="4F81BD"/>
            <w:right w:val="nil"/>
          </w:tcBorders>
        </w:tcPr>
        <w:p w:rsidR="00A31AF3" w:rsidRPr="005A3173" w:rsidRDefault="00A31AF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31AF3" w:rsidRPr="005A3173" w:rsidRDefault="00A31AF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31AF3" w:rsidRPr="005A3173" w:rsidRDefault="00A31AF3" w:rsidP="005A3173">
          <w:pPr>
            <w:pStyle w:val="Header"/>
            <w:spacing w:line="276" w:lineRule="auto"/>
            <w:rPr>
              <w:rFonts w:ascii="Calibri" w:eastAsia="MS Gothic" w:hAnsi="Calibri"/>
              <w:b/>
              <w:bCs/>
              <w:color w:val="4F81BD"/>
            </w:rPr>
          </w:pPr>
        </w:p>
      </w:tc>
    </w:tr>
    <w:tr w:rsidR="00A31AF3" w:rsidTr="005A3173">
      <w:trPr>
        <w:trHeight w:val="150"/>
      </w:trPr>
      <w:tc>
        <w:tcPr>
          <w:tcW w:w="2250" w:type="pct"/>
          <w:tcBorders>
            <w:top w:val="single" w:sz="4" w:space="0" w:color="4F81BD"/>
            <w:left w:val="nil"/>
            <w:bottom w:val="nil"/>
            <w:right w:val="nil"/>
          </w:tcBorders>
        </w:tcPr>
        <w:p w:rsidR="00A31AF3" w:rsidRPr="005A3173" w:rsidRDefault="00A31AF3" w:rsidP="005A3173">
          <w:pPr>
            <w:pStyle w:val="Header"/>
            <w:spacing w:line="276" w:lineRule="auto"/>
            <w:rPr>
              <w:rFonts w:ascii="Calibri" w:eastAsia="MS Gothic" w:hAnsi="Calibri"/>
              <w:b/>
              <w:bCs/>
              <w:color w:val="4F81BD"/>
            </w:rPr>
          </w:pPr>
        </w:p>
      </w:tc>
      <w:tc>
        <w:tcPr>
          <w:tcW w:w="0" w:type="auto"/>
          <w:vMerge/>
          <w:vAlign w:val="center"/>
          <w:hideMark/>
        </w:tcPr>
        <w:p w:rsidR="00A31AF3" w:rsidRPr="005A3173" w:rsidRDefault="00A31AF3" w:rsidP="005A3173">
          <w:pPr>
            <w:rPr>
              <w:rFonts w:ascii="Calibri" w:hAnsi="Calibri"/>
              <w:color w:val="365F91"/>
              <w:sz w:val="22"/>
              <w:szCs w:val="22"/>
            </w:rPr>
          </w:pPr>
        </w:p>
      </w:tc>
      <w:tc>
        <w:tcPr>
          <w:tcW w:w="2250" w:type="pct"/>
          <w:tcBorders>
            <w:top w:val="single" w:sz="4" w:space="0" w:color="4F81BD"/>
            <w:left w:val="nil"/>
            <w:bottom w:val="nil"/>
            <w:right w:val="nil"/>
          </w:tcBorders>
        </w:tcPr>
        <w:p w:rsidR="00A31AF3" w:rsidRPr="005A3173" w:rsidRDefault="00A31AF3"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31AF3" w:rsidTr="005A3173">
      <w:trPr>
        <w:trHeight w:val="151"/>
      </w:trPr>
      <w:tc>
        <w:tcPr>
          <w:tcW w:w="2250" w:type="pct"/>
          <w:tcBorders>
            <w:top w:val="nil"/>
            <w:left w:val="nil"/>
            <w:bottom w:val="single" w:sz="4" w:space="0" w:color="4F81BD"/>
            <w:right w:val="nil"/>
          </w:tcBorders>
        </w:tcPr>
        <w:p w:rsidR="00A31AF3" w:rsidRPr="005A3173" w:rsidRDefault="00A31AF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31AF3" w:rsidRPr="005A3173" w:rsidRDefault="00A31AF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31AF3" w:rsidRPr="005A3173" w:rsidRDefault="00A31AF3" w:rsidP="005A3173">
          <w:pPr>
            <w:pStyle w:val="Header"/>
            <w:spacing w:line="276" w:lineRule="auto"/>
            <w:rPr>
              <w:rFonts w:ascii="Calibri" w:eastAsia="MS Gothic" w:hAnsi="Calibri"/>
              <w:b/>
              <w:bCs/>
              <w:color w:val="4F81BD"/>
            </w:rPr>
          </w:pPr>
        </w:p>
      </w:tc>
    </w:tr>
    <w:tr w:rsidR="00A31AF3" w:rsidTr="005A3173">
      <w:trPr>
        <w:trHeight w:val="150"/>
      </w:trPr>
      <w:tc>
        <w:tcPr>
          <w:tcW w:w="2250" w:type="pct"/>
          <w:tcBorders>
            <w:top w:val="single" w:sz="4" w:space="0" w:color="4F81BD"/>
            <w:left w:val="nil"/>
            <w:bottom w:val="nil"/>
            <w:right w:val="nil"/>
          </w:tcBorders>
        </w:tcPr>
        <w:p w:rsidR="00A31AF3" w:rsidRPr="005A3173" w:rsidRDefault="00A31AF3" w:rsidP="005A3173">
          <w:pPr>
            <w:pStyle w:val="Header"/>
            <w:spacing w:line="276" w:lineRule="auto"/>
            <w:rPr>
              <w:rFonts w:ascii="Calibri" w:eastAsia="MS Gothic" w:hAnsi="Calibri"/>
              <w:b/>
              <w:bCs/>
              <w:color w:val="4F81BD"/>
            </w:rPr>
          </w:pPr>
        </w:p>
      </w:tc>
      <w:tc>
        <w:tcPr>
          <w:tcW w:w="0" w:type="auto"/>
          <w:vMerge/>
          <w:vAlign w:val="center"/>
          <w:hideMark/>
        </w:tcPr>
        <w:p w:rsidR="00A31AF3" w:rsidRPr="005A3173" w:rsidRDefault="00A31AF3" w:rsidP="005A3173">
          <w:pPr>
            <w:rPr>
              <w:rFonts w:ascii="Calibri" w:hAnsi="Calibri"/>
              <w:color w:val="365F91"/>
              <w:sz w:val="22"/>
              <w:szCs w:val="22"/>
            </w:rPr>
          </w:pPr>
        </w:p>
      </w:tc>
      <w:tc>
        <w:tcPr>
          <w:tcW w:w="2250" w:type="pct"/>
          <w:tcBorders>
            <w:top w:val="single" w:sz="4" w:space="0" w:color="4F81BD"/>
            <w:left w:val="nil"/>
            <w:bottom w:val="nil"/>
            <w:right w:val="nil"/>
          </w:tcBorders>
        </w:tcPr>
        <w:p w:rsidR="00A31AF3" w:rsidRPr="005A3173" w:rsidRDefault="00A31AF3" w:rsidP="005A3173">
          <w:pPr>
            <w:pStyle w:val="Header"/>
            <w:spacing w:line="276" w:lineRule="auto"/>
            <w:rPr>
              <w:rFonts w:ascii="Calibri" w:eastAsia="MS Gothic" w:hAnsi="Calibri"/>
              <w:b/>
              <w:bCs/>
              <w:color w:val="4F81BD"/>
            </w:rPr>
          </w:pPr>
        </w:p>
      </w:tc>
    </w:tr>
  </w:tbl>
  <w:p w:rsidR="00A31AF3" w:rsidRPr="007C0F57" w:rsidRDefault="00A31AF3"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A31AF3" w:rsidRPr="007C0F57" w:rsidRDefault="00A31AF3"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A3C" w:rsidRDefault="00DE4A3C">
      <w:r>
        <w:separator/>
      </w:r>
    </w:p>
  </w:footnote>
  <w:footnote w:type="continuationSeparator" w:id="0">
    <w:p w:rsidR="00DE4A3C" w:rsidRDefault="00DE4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A31AF3" w:rsidRPr="008E0D90" w:rsidTr="00A06225">
      <w:trPr>
        <w:trHeight w:val="151"/>
      </w:trPr>
      <w:tc>
        <w:tcPr>
          <w:tcW w:w="2389" w:type="pct"/>
          <w:tcBorders>
            <w:top w:val="nil"/>
            <w:left w:val="nil"/>
            <w:bottom w:val="single" w:sz="4" w:space="0" w:color="4F81BD"/>
            <w:right w:val="nil"/>
          </w:tcBorders>
        </w:tcPr>
        <w:p w:rsidR="00A31AF3" w:rsidRPr="00A06225" w:rsidRDefault="00A31AF3">
          <w:pPr>
            <w:pStyle w:val="Header"/>
            <w:spacing w:line="276" w:lineRule="auto"/>
            <w:rPr>
              <w:rFonts w:ascii="Cambria" w:eastAsia="MS Gothic" w:hAnsi="Cambria"/>
              <w:b/>
              <w:bCs/>
              <w:color w:val="4F81BD"/>
            </w:rPr>
          </w:pPr>
        </w:p>
      </w:tc>
      <w:tc>
        <w:tcPr>
          <w:tcW w:w="333" w:type="pct"/>
          <w:vMerge w:val="restart"/>
          <w:noWrap/>
          <w:vAlign w:val="center"/>
          <w:hideMark/>
        </w:tcPr>
        <w:p w:rsidR="00A31AF3" w:rsidRPr="00A06225" w:rsidRDefault="00A31AF3"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A31AF3" w:rsidRPr="00A06225" w:rsidRDefault="00A31AF3">
          <w:pPr>
            <w:pStyle w:val="Header"/>
            <w:spacing w:line="276" w:lineRule="auto"/>
            <w:rPr>
              <w:rFonts w:ascii="Cambria" w:eastAsia="MS Gothic" w:hAnsi="Cambria"/>
              <w:b/>
              <w:bCs/>
              <w:color w:val="4F81BD"/>
            </w:rPr>
          </w:pPr>
        </w:p>
      </w:tc>
    </w:tr>
    <w:tr w:rsidR="00A31AF3" w:rsidRPr="008E0D90" w:rsidTr="00A06225">
      <w:trPr>
        <w:trHeight w:val="150"/>
      </w:trPr>
      <w:tc>
        <w:tcPr>
          <w:tcW w:w="2389" w:type="pct"/>
          <w:tcBorders>
            <w:top w:val="single" w:sz="4" w:space="0" w:color="4F81BD"/>
            <w:left w:val="nil"/>
            <w:bottom w:val="nil"/>
            <w:right w:val="nil"/>
          </w:tcBorders>
        </w:tcPr>
        <w:p w:rsidR="00A31AF3" w:rsidRPr="00A06225" w:rsidRDefault="00A31AF3">
          <w:pPr>
            <w:pStyle w:val="Header"/>
            <w:spacing w:line="276" w:lineRule="auto"/>
            <w:rPr>
              <w:rFonts w:ascii="Cambria" w:eastAsia="MS Gothic" w:hAnsi="Cambria"/>
              <w:b/>
              <w:bCs/>
              <w:color w:val="4F81BD"/>
            </w:rPr>
          </w:pPr>
        </w:p>
      </w:tc>
      <w:tc>
        <w:tcPr>
          <w:tcW w:w="0" w:type="auto"/>
          <w:vMerge/>
          <w:vAlign w:val="center"/>
          <w:hideMark/>
        </w:tcPr>
        <w:p w:rsidR="00A31AF3" w:rsidRPr="00A06225" w:rsidRDefault="00A31AF3">
          <w:pPr>
            <w:rPr>
              <w:rFonts w:ascii="Cambria" w:hAnsi="Cambria"/>
              <w:color w:val="4F81BD"/>
              <w:sz w:val="22"/>
              <w:szCs w:val="22"/>
            </w:rPr>
          </w:pPr>
        </w:p>
      </w:tc>
      <w:tc>
        <w:tcPr>
          <w:tcW w:w="2278" w:type="pct"/>
          <w:tcBorders>
            <w:top w:val="single" w:sz="4" w:space="0" w:color="4F81BD"/>
            <w:left w:val="nil"/>
            <w:bottom w:val="nil"/>
            <w:right w:val="nil"/>
          </w:tcBorders>
        </w:tcPr>
        <w:p w:rsidR="00A31AF3" w:rsidRPr="00A06225" w:rsidRDefault="00A31AF3">
          <w:pPr>
            <w:pStyle w:val="Header"/>
            <w:spacing w:line="276" w:lineRule="auto"/>
            <w:rPr>
              <w:rFonts w:ascii="Cambria" w:eastAsia="MS Gothic" w:hAnsi="Cambria"/>
              <w:b/>
              <w:bCs/>
              <w:color w:val="4F81BD"/>
            </w:rPr>
          </w:pPr>
        </w:p>
      </w:tc>
    </w:tr>
  </w:tbl>
  <w:p w:rsidR="00A31AF3" w:rsidRDefault="00A31A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B5A" w:rsidRPr="00DF217D" w:rsidRDefault="001A5B5A" w:rsidP="001A5B5A">
    <w:pPr>
      <w:pStyle w:val="Header"/>
      <w:jc w:val="center"/>
      <w:rPr>
        <w:rFonts w:ascii="Arial" w:hAnsi="Arial" w:cs="Arial"/>
        <w:i/>
        <w:color w:val="808080"/>
        <w:sz w:val="22"/>
      </w:rPr>
    </w:pPr>
    <w:r>
      <w:rPr>
        <w:rFonts w:ascii="Arial" w:hAnsi="Arial" w:cs="Arial"/>
        <w:i/>
        <w:color w:val="808080"/>
        <w:sz w:val="22"/>
      </w:rPr>
      <w:t>Public Summary Document</w:t>
    </w:r>
    <w:r w:rsidRPr="00DF217D">
      <w:rPr>
        <w:rFonts w:ascii="Arial" w:hAnsi="Arial" w:cs="Arial"/>
        <w:i/>
        <w:color w:val="808080"/>
        <w:sz w:val="22"/>
      </w:rPr>
      <w:t xml:space="preserve">– </w:t>
    </w:r>
    <w:r>
      <w:rPr>
        <w:rFonts w:ascii="Arial" w:hAnsi="Arial" w:cs="Arial"/>
        <w:i/>
        <w:color w:val="808080"/>
        <w:sz w:val="22"/>
      </w:rPr>
      <w:t xml:space="preserve">July 2014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A31AF3" w:rsidRPr="001A5B5A" w:rsidRDefault="00A31AF3" w:rsidP="001A5B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CB70206"/>
    <w:multiLevelType w:val="hybridMultilevel"/>
    <w:tmpl w:val="8598B9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8FA6585"/>
    <w:multiLevelType w:val="hybridMultilevel"/>
    <w:tmpl w:val="E35CBBE6"/>
    <w:lvl w:ilvl="0" w:tplc="0C8CAA4A">
      <w:start w:val="1"/>
      <w:numFmt w:val="bullet"/>
      <w:lvlText w:val="•"/>
      <w:lvlJc w:val="left"/>
      <w:pPr>
        <w:tabs>
          <w:tab w:val="num" w:pos="720"/>
        </w:tabs>
        <w:ind w:left="720" w:hanging="360"/>
      </w:pPr>
      <w:rPr>
        <w:rFonts w:ascii="Arial" w:hAnsi="Arial" w:hint="default"/>
      </w:rPr>
    </w:lvl>
    <w:lvl w:ilvl="1" w:tplc="81EA4BB2" w:tentative="1">
      <w:start w:val="1"/>
      <w:numFmt w:val="bullet"/>
      <w:lvlText w:val="•"/>
      <w:lvlJc w:val="left"/>
      <w:pPr>
        <w:tabs>
          <w:tab w:val="num" w:pos="1440"/>
        </w:tabs>
        <w:ind w:left="1440" w:hanging="360"/>
      </w:pPr>
      <w:rPr>
        <w:rFonts w:ascii="Arial" w:hAnsi="Arial" w:hint="default"/>
      </w:rPr>
    </w:lvl>
    <w:lvl w:ilvl="2" w:tplc="5032F060" w:tentative="1">
      <w:start w:val="1"/>
      <w:numFmt w:val="bullet"/>
      <w:lvlText w:val="•"/>
      <w:lvlJc w:val="left"/>
      <w:pPr>
        <w:tabs>
          <w:tab w:val="num" w:pos="2160"/>
        </w:tabs>
        <w:ind w:left="2160" w:hanging="360"/>
      </w:pPr>
      <w:rPr>
        <w:rFonts w:ascii="Arial" w:hAnsi="Arial" w:hint="default"/>
      </w:rPr>
    </w:lvl>
    <w:lvl w:ilvl="3" w:tplc="518E3340" w:tentative="1">
      <w:start w:val="1"/>
      <w:numFmt w:val="bullet"/>
      <w:lvlText w:val="•"/>
      <w:lvlJc w:val="left"/>
      <w:pPr>
        <w:tabs>
          <w:tab w:val="num" w:pos="2880"/>
        </w:tabs>
        <w:ind w:left="2880" w:hanging="360"/>
      </w:pPr>
      <w:rPr>
        <w:rFonts w:ascii="Arial" w:hAnsi="Arial" w:hint="default"/>
      </w:rPr>
    </w:lvl>
    <w:lvl w:ilvl="4" w:tplc="84BA7B36" w:tentative="1">
      <w:start w:val="1"/>
      <w:numFmt w:val="bullet"/>
      <w:lvlText w:val="•"/>
      <w:lvlJc w:val="left"/>
      <w:pPr>
        <w:tabs>
          <w:tab w:val="num" w:pos="3600"/>
        </w:tabs>
        <w:ind w:left="3600" w:hanging="360"/>
      </w:pPr>
      <w:rPr>
        <w:rFonts w:ascii="Arial" w:hAnsi="Arial" w:hint="default"/>
      </w:rPr>
    </w:lvl>
    <w:lvl w:ilvl="5" w:tplc="62085E96" w:tentative="1">
      <w:start w:val="1"/>
      <w:numFmt w:val="bullet"/>
      <w:lvlText w:val="•"/>
      <w:lvlJc w:val="left"/>
      <w:pPr>
        <w:tabs>
          <w:tab w:val="num" w:pos="4320"/>
        </w:tabs>
        <w:ind w:left="4320" w:hanging="360"/>
      </w:pPr>
      <w:rPr>
        <w:rFonts w:ascii="Arial" w:hAnsi="Arial" w:hint="default"/>
      </w:rPr>
    </w:lvl>
    <w:lvl w:ilvl="6" w:tplc="3438C2B0" w:tentative="1">
      <w:start w:val="1"/>
      <w:numFmt w:val="bullet"/>
      <w:lvlText w:val="•"/>
      <w:lvlJc w:val="left"/>
      <w:pPr>
        <w:tabs>
          <w:tab w:val="num" w:pos="5040"/>
        </w:tabs>
        <w:ind w:left="5040" w:hanging="360"/>
      </w:pPr>
      <w:rPr>
        <w:rFonts w:ascii="Arial" w:hAnsi="Arial" w:hint="default"/>
      </w:rPr>
    </w:lvl>
    <w:lvl w:ilvl="7" w:tplc="53264B0E" w:tentative="1">
      <w:start w:val="1"/>
      <w:numFmt w:val="bullet"/>
      <w:lvlText w:val="•"/>
      <w:lvlJc w:val="left"/>
      <w:pPr>
        <w:tabs>
          <w:tab w:val="num" w:pos="5760"/>
        </w:tabs>
        <w:ind w:left="5760" w:hanging="360"/>
      </w:pPr>
      <w:rPr>
        <w:rFonts w:ascii="Arial" w:hAnsi="Arial" w:hint="default"/>
      </w:rPr>
    </w:lvl>
    <w:lvl w:ilvl="8" w:tplc="CE3C8EEC" w:tentative="1">
      <w:start w:val="1"/>
      <w:numFmt w:val="bullet"/>
      <w:lvlText w:val="•"/>
      <w:lvlJc w:val="left"/>
      <w:pPr>
        <w:tabs>
          <w:tab w:val="num" w:pos="6480"/>
        </w:tabs>
        <w:ind w:left="6480" w:hanging="360"/>
      </w:pPr>
      <w:rPr>
        <w:rFonts w:ascii="Arial" w:hAnsi="Arial"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1F2C0EF0"/>
    <w:multiLevelType w:val="hybridMultilevel"/>
    <w:tmpl w:val="6AEAF324"/>
    <w:lvl w:ilvl="0" w:tplc="43EC3C18">
      <w:start w:val="1"/>
      <w:numFmt w:val="bullet"/>
      <w:lvlText w:val="•"/>
      <w:lvlJc w:val="left"/>
      <w:pPr>
        <w:tabs>
          <w:tab w:val="num" w:pos="720"/>
        </w:tabs>
        <w:ind w:left="720" w:hanging="360"/>
      </w:pPr>
      <w:rPr>
        <w:rFonts w:ascii="Arial" w:hAnsi="Arial" w:hint="default"/>
      </w:rPr>
    </w:lvl>
    <w:lvl w:ilvl="1" w:tplc="E630492A" w:tentative="1">
      <w:start w:val="1"/>
      <w:numFmt w:val="bullet"/>
      <w:lvlText w:val="•"/>
      <w:lvlJc w:val="left"/>
      <w:pPr>
        <w:tabs>
          <w:tab w:val="num" w:pos="1440"/>
        </w:tabs>
        <w:ind w:left="1440" w:hanging="360"/>
      </w:pPr>
      <w:rPr>
        <w:rFonts w:ascii="Arial" w:hAnsi="Arial" w:hint="default"/>
      </w:rPr>
    </w:lvl>
    <w:lvl w:ilvl="2" w:tplc="4DB0D846" w:tentative="1">
      <w:start w:val="1"/>
      <w:numFmt w:val="bullet"/>
      <w:lvlText w:val="•"/>
      <w:lvlJc w:val="left"/>
      <w:pPr>
        <w:tabs>
          <w:tab w:val="num" w:pos="2160"/>
        </w:tabs>
        <w:ind w:left="2160" w:hanging="360"/>
      </w:pPr>
      <w:rPr>
        <w:rFonts w:ascii="Arial" w:hAnsi="Arial" w:hint="default"/>
      </w:rPr>
    </w:lvl>
    <w:lvl w:ilvl="3" w:tplc="82128736" w:tentative="1">
      <w:start w:val="1"/>
      <w:numFmt w:val="bullet"/>
      <w:lvlText w:val="•"/>
      <w:lvlJc w:val="left"/>
      <w:pPr>
        <w:tabs>
          <w:tab w:val="num" w:pos="2880"/>
        </w:tabs>
        <w:ind w:left="2880" w:hanging="360"/>
      </w:pPr>
      <w:rPr>
        <w:rFonts w:ascii="Arial" w:hAnsi="Arial" w:hint="default"/>
      </w:rPr>
    </w:lvl>
    <w:lvl w:ilvl="4" w:tplc="924C09BC" w:tentative="1">
      <w:start w:val="1"/>
      <w:numFmt w:val="bullet"/>
      <w:lvlText w:val="•"/>
      <w:lvlJc w:val="left"/>
      <w:pPr>
        <w:tabs>
          <w:tab w:val="num" w:pos="3600"/>
        </w:tabs>
        <w:ind w:left="3600" w:hanging="360"/>
      </w:pPr>
      <w:rPr>
        <w:rFonts w:ascii="Arial" w:hAnsi="Arial" w:hint="default"/>
      </w:rPr>
    </w:lvl>
    <w:lvl w:ilvl="5" w:tplc="AFA01BD4" w:tentative="1">
      <w:start w:val="1"/>
      <w:numFmt w:val="bullet"/>
      <w:lvlText w:val="•"/>
      <w:lvlJc w:val="left"/>
      <w:pPr>
        <w:tabs>
          <w:tab w:val="num" w:pos="4320"/>
        </w:tabs>
        <w:ind w:left="4320" w:hanging="360"/>
      </w:pPr>
      <w:rPr>
        <w:rFonts w:ascii="Arial" w:hAnsi="Arial" w:hint="default"/>
      </w:rPr>
    </w:lvl>
    <w:lvl w:ilvl="6" w:tplc="DEF4B058" w:tentative="1">
      <w:start w:val="1"/>
      <w:numFmt w:val="bullet"/>
      <w:lvlText w:val="•"/>
      <w:lvlJc w:val="left"/>
      <w:pPr>
        <w:tabs>
          <w:tab w:val="num" w:pos="5040"/>
        </w:tabs>
        <w:ind w:left="5040" w:hanging="360"/>
      </w:pPr>
      <w:rPr>
        <w:rFonts w:ascii="Arial" w:hAnsi="Arial" w:hint="default"/>
      </w:rPr>
    </w:lvl>
    <w:lvl w:ilvl="7" w:tplc="8EA6105C" w:tentative="1">
      <w:start w:val="1"/>
      <w:numFmt w:val="bullet"/>
      <w:lvlText w:val="•"/>
      <w:lvlJc w:val="left"/>
      <w:pPr>
        <w:tabs>
          <w:tab w:val="num" w:pos="5760"/>
        </w:tabs>
        <w:ind w:left="5760" w:hanging="360"/>
      </w:pPr>
      <w:rPr>
        <w:rFonts w:ascii="Arial" w:hAnsi="Arial" w:hint="default"/>
      </w:rPr>
    </w:lvl>
    <w:lvl w:ilvl="8" w:tplc="DF58B59E" w:tentative="1">
      <w:start w:val="1"/>
      <w:numFmt w:val="bullet"/>
      <w:lvlText w:val="•"/>
      <w:lvlJc w:val="left"/>
      <w:pPr>
        <w:tabs>
          <w:tab w:val="num" w:pos="6480"/>
        </w:tabs>
        <w:ind w:left="6480" w:hanging="360"/>
      </w:pPr>
      <w:rPr>
        <w:rFonts w:ascii="Arial" w:hAnsi="Arial" w:hint="default"/>
      </w:rPr>
    </w:lvl>
  </w:abstractNum>
  <w:abstractNum w:abstractNumId="11">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2">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nsid w:val="29ED1F15"/>
    <w:multiLevelType w:val="hybridMultilevel"/>
    <w:tmpl w:val="F6189D7C"/>
    <w:lvl w:ilvl="0" w:tplc="31341FC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2F0D35A2"/>
    <w:multiLevelType w:val="hybridMultilevel"/>
    <w:tmpl w:val="C49897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F854A8B"/>
    <w:multiLevelType w:val="hybridMultilevel"/>
    <w:tmpl w:val="DB5CF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31DD2EA4"/>
    <w:multiLevelType w:val="hybridMultilevel"/>
    <w:tmpl w:val="311A0B9E"/>
    <w:lvl w:ilvl="0" w:tplc="0A5492F8">
      <w:start w:val="1"/>
      <w:numFmt w:val="bullet"/>
      <w:lvlText w:val="•"/>
      <w:lvlJc w:val="left"/>
      <w:pPr>
        <w:tabs>
          <w:tab w:val="num" w:pos="720"/>
        </w:tabs>
        <w:ind w:left="720" w:hanging="360"/>
      </w:pPr>
      <w:rPr>
        <w:rFonts w:ascii="Arial" w:hAnsi="Arial" w:hint="default"/>
      </w:rPr>
    </w:lvl>
    <w:lvl w:ilvl="1" w:tplc="BA6EA414">
      <w:start w:val="574"/>
      <w:numFmt w:val="bullet"/>
      <w:lvlText w:val="–"/>
      <w:lvlJc w:val="left"/>
      <w:pPr>
        <w:tabs>
          <w:tab w:val="num" w:pos="1440"/>
        </w:tabs>
        <w:ind w:left="1440" w:hanging="360"/>
      </w:pPr>
      <w:rPr>
        <w:rFonts w:ascii="Arial" w:hAnsi="Arial" w:hint="default"/>
      </w:rPr>
    </w:lvl>
    <w:lvl w:ilvl="2" w:tplc="4492F9D8" w:tentative="1">
      <w:start w:val="1"/>
      <w:numFmt w:val="bullet"/>
      <w:lvlText w:val="•"/>
      <w:lvlJc w:val="left"/>
      <w:pPr>
        <w:tabs>
          <w:tab w:val="num" w:pos="2160"/>
        </w:tabs>
        <w:ind w:left="2160" w:hanging="360"/>
      </w:pPr>
      <w:rPr>
        <w:rFonts w:ascii="Arial" w:hAnsi="Arial" w:hint="default"/>
      </w:rPr>
    </w:lvl>
    <w:lvl w:ilvl="3" w:tplc="7BF4C580" w:tentative="1">
      <w:start w:val="1"/>
      <w:numFmt w:val="bullet"/>
      <w:lvlText w:val="•"/>
      <w:lvlJc w:val="left"/>
      <w:pPr>
        <w:tabs>
          <w:tab w:val="num" w:pos="2880"/>
        </w:tabs>
        <w:ind w:left="2880" w:hanging="360"/>
      </w:pPr>
      <w:rPr>
        <w:rFonts w:ascii="Arial" w:hAnsi="Arial" w:hint="default"/>
      </w:rPr>
    </w:lvl>
    <w:lvl w:ilvl="4" w:tplc="4D88C618" w:tentative="1">
      <w:start w:val="1"/>
      <w:numFmt w:val="bullet"/>
      <w:lvlText w:val="•"/>
      <w:lvlJc w:val="left"/>
      <w:pPr>
        <w:tabs>
          <w:tab w:val="num" w:pos="3600"/>
        </w:tabs>
        <w:ind w:left="3600" w:hanging="360"/>
      </w:pPr>
      <w:rPr>
        <w:rFonts w:ascii="Arial" w:hAnsi="Arial" w:hint="default"/>
      </w:rPr>
    </w:lvl>
    <w:lvl w:ilvl="5" w:tplc="3FA03ED6" w:tentative="1">
      <w:start w:val="1"/>
      <w:numFmt w:val="bullet"/>
      <w:lvlText w:val="•"/>
      <w:lvlJc w:val="left"/>
      <w:pPr>
        <w:tabs>
          <w:tab w:val="num" w:pos="4320"/>
        </w:tabs>
        <w:ind w:left="4320" w:hanging="360"/>
      </w:pPr>
      <w:rPr>
        <w:rFonts w:ascii="Arial" w:hAnsi="Arial" w:hint="default"/>
      </w:rPr>
    </w:lvl>
    <w:lvl w:ilvl="6" w:tplc="EDD82B28" w:tentative="1">
      <w:start w:val="1"/>
      <w:numFmt w:val="bullet"/>
      <w:lvlText w:val="•"/>
      <w:lvlJc w:val="left"/>
      <w:pPr>
        <w:tabs>
          <w:tab w:val="num" w:pos="5040"/>
        </w:tabs>
        <w:ind w:left="5040" w:hanging="360"/>
      </w:pPr>
      <w:rPr>
        <w:rFonts w:ascii="Arial" w:hAnsi="Arial" w:hint="default"/>
      </w:rPr>
    </w:lvl>
    <w:lvl w:ilvl="7" w:tplc="1F44D300" w:tentative="1">
      <w:start w:val="1"/>
      <w:numFmt w:val="bullet"/>
      <w:lvlText w:val="•"/>
      <w:lvlJc w:val="left"/>
      <w:pPr>
        <w:tabs>
          <w:tab w:val="num" w:pos="5760"/>
        </w:tabs>
        <w:ind w:left="5760" w:hanging="360"/>
      </w:pPr>
      <w:rPr>
        <w:rFonts w:ascii="Arial" w:hAnsi="Arial" w:hint="default"/>
      </w:rPr>
    </w:lvl>
    <w:lvl w:ilvl="8" w:tplc="1C6EE8CA" w:tentative="1">
      <w:start w:val="1"/>
      <w:numFmt w:val="bullet"/>
      <w:lvlText w:val="•"/>
      <w:lvlJc w:val="left"/>
      <w:pPr>
        <w:tabs>
          <w:tab w:val="num" w:pos="6480"/>
        </w:tabs>
        <w:ind w:left="6480" w:hanging="360"/>
      </w:pPr>
      <w:rPr>
        <w:rFonts w:ascii="Arial" w:hAnsi="Arial" w:hint="default"/>
      </w:rPr>
    </w:lvl>
  </w:abstractNum>
  <w:abstractNum w:abstractNumId="18">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20">
    <w:nsid w:val="37EC07E4"/>
    <w:multiLevelType w:val="hybridMultilevel"/>
    <w:tmpl w:val="BE7C3C10"/>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1">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2">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3">
    <w:nsid w:val="485D4F59"/>
    <w:multiLevelType w:val="hybridMultilevel"/>
    <w:tmpl w:val="872E8914"/>
    <w:lvl w:ilvl="0" w:tplc="2C7ABCB4">
      <w:start w:val="1"/>
      <w:numFmt w:val="bullet"/>
      <w:lvlText w:val="•"/>
      <w:lvlJc w:val="left"/>
      <w:pPr>
        <w:tabs>
          <w:tab w:val="num" w:pos="720"/>
        </w:tabs>
        <w:ind w:left="720" w:hanging="360"/>
      </w:pPr>
      <w:rPr>
        <w:rFonts w:ascii="Arial" w:hAnsi="Arial" w:hint="default"/>
      </w:rPr>
    </w:lvl>
    <w:lvl w:ilvl="1" w:tplc="F54CF332" w:tentative="1">
      <w:start w:val="1"/>
      <w:numFmt w:val="bullet"/>
      <w:lvlText w:val="•"/>
      <w:lvlJc w:val="left"/>
      <w:pPr>
        <w:tabs>
          <w:tab w:val="num" w:pos="1440"/>
        </w:tabs>
        <w:ind w:left="1440" w:hanging="360"/>
      </w:pPr>
      <w:rPr>
        <w:rFonts w:ascii="Arial" w:hAnsi="Arial" w:hint="default"/>
      </w:rPr>
    </w:lvl>
    <w:lvl w:ilvl="2" w:tplc="651431E6" w:tentative="1">
      <w:start w:val="1"/>
      <w:numFmt w:val="bullet"/>
      <w:lvlText w:val="•"/>
      <w:lvlJc w:val="left"/>
      <w:pPr>
        <w:tabs>
          <w:tab w:val="num" w:pos="2160"/>
        </w:tabs>
        <w:ind w:left="2160" w:hanging="360"/>
      </w:pPr>
      <w:rPr>
        <w:rFonts w:ascii="Arial" w:hAnsi="Arial" w:hint="default"/>
      </w:rPr>
    </w:lvl>
    <w:lvl w:ilvl="3" w:tplc="A394D5E6" w:tentative="1">
      <w:start w:val="1"/>
      <w:numFmt w:val="bullet"/>
      <w:lvlText w:val="•"/>
      <w:lvlJc w:val="left"/>
      <w:pPr>
        <w:tabs>
          <w:tab w:val="num" w:pos="2880"/>
        </w:tabs>
        <w:ind w:left="2880" w:hanging="360"/>
      </w:pPr>
      <w:rPr>
        <w:rFonts w:ascii="Arial" w:hAnsi="Arial" w:hint="default"/>
      </w:rPr>
    </w:lvl>
    <w:lvl w:ilvl="4" w:tplc="669A92A4" w:tentative="1">
      <w:start w:val="1"/>
      <w:numFmt w:val="bullet"/>
      <w:lvlText w:val="•"/>
      <w:lvlJc w:val="left"/>
      <w:pPr>
        <w:tabs>
          <w:tab w:val="num" w:pos="3600"/>
        </w:tabs>
        <w:ind w:left="3600" w:hanging="360"/>
      </w:pPr>
      <w:rPr>
        <w:rFonts w:ascii="Arial" w:hAnsi="Arial" w:hint="default"/>
      </w:rPr>
    </w:lvl>
    <w:lvl w:ilvl="5" w:tplc="2B2C7AE0" w:tentative="1">
      <w:start w:val="1"/>
      <w:numFmt w:val="bullet"/>
      <w:lvlText w:val="•"/>
      <w:lvlJc w:val="left"/>
      <w:pPr>
        <w:tabs>
          <w:tab w:val="num" w:pos="4320"/>
        </w:tabs>
        <w:ind w:left="4320" w:hanging="360"/>
      </w:pPr>
      <w:rPr>
        <w:rFonts w:ascii="Arial" w:hAnsi="Arial" w:hint="default"/>
      </w:rPr>
    </w:lvl>
    <w:lvl w:ilvl="6" w:tplc="66A8AA46" w:tentative="1">
      <w:start w:val="1"/>
      <w:numFmt w:val="bullet"/>
      <w:lvlText w:val="•"/>
      <w:lvlJc w:val="left"/>
      <w:pPr>
        <w:tabs>
          <w:tab w:val="num" w:pos="5040"/>
        </w:tabs>
        <w:ind w:left="5040" w:hanging="360"/>
      </w:pPr>
      <w:rPr>
        <w:rFonts w:ascii="Arial" w:hAnsi="Arial" w:hint="default"/>
      </w:rPr>
    </w:lvl>
    <w:lvl w:ilvl="7" w:tplc="C982F33C" w:tentative="1">
      <w:start w:val="1"/>
      <w:numFmt w:val="bullet"/>
      <w:lvlText w:val="•"/>
      <w:lvlJc w:val="left"/>
      <w:pPr>
        <w:tabs>
          <w:tab w:val="num" w:pos="5760"/>
        </w:tabs>
        <w:ind w:left="5760" w:hanging="360"/>
      </w:pPr>
      <w:rPr>
        <w:rFonts w:ascii="Arial" w:hAnsi="Arial" w:hint="default"/>
      </w:rPr>
    </w:lvl>
    <w:lvl w:ilvl="8" w:tplc="D2A82272" w:tentative="1">
      <w:start w:val="1"/>
      <w:numFmt w:val="bullet"/>
      <w:lvlText w:val="•"/>
      <w:lvlJc w:val="left"/>
      <w:pPr>
        <w:tabs>
          <w:tab w:val="num" w:pos="6480"/>
        </w:tabs>
        <w:ind w:left="6480" w:hanging="360"/>
      </w:pPr>
      <w:rPr>
        <w:rFonts w:ascii="Arial" w:hAnsi="Arial" w:hint="default"/>
      </w:rPr>
    </w:lvl>
  </w:abstractNum>
  <w:abstractNum w:abstractNumId="24">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5">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9">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564F6478"/>
    <w:multiLevelType w:val="hybridMultilevel"/>
    <w:tmpl w:val="2D36DE80"/>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3">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6">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8">
    <w:nsid w:val="6E963507"/>
    <w:multiLevelType w:val="hybridMultilevel"/>
    <w:tmpl w:val="F2D0DE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0">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2">
    <w:nsid w:val="784D033C"/>
    <w:multiLevelType w:val="multilevel"/>
    <w:tmpl w:val="A492ECF4"/>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9"/>
  </w:num>
  <w:num w:numId="2">
    <w:abstractNumId w:val="37"/>
  </w:num>
  <w:num w:numId="3">
    <w:abstractNumId w:val="24"/>
  </w:num>
  <w:num w:numId="4">
    <w:abstractNumId w:val="0"/>
  </w:num>
  <w:num w:numId="5">
    <w:abstractNumId w:val="5"/>
  </w:num>
  <w:num w:numId="6">
    <w:abstractNumId w:val="22"/>
  </w:num>
  <w:num w:numId="7">
    <w:abstractNumId w:val="19"/>
  </w:num>
  <w:num w:numId="8">
    <w:abstractNumId w:val="4"/>
  </w:num>
  <w:num w:numId="9">
    <w:abstractNumId w:val="7"/>
  </w:num>
  <w:num w:numId="10">
    <w:abstractNumId w:val="35"/>
  </w:num>
  <w:num w:numId="1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39"/>
  </w:num>
  <w:num w:numId="15">
    <w:abstractNumId w:val="31"/>
  </w:num>
  <w:num w:numId="16">
    <w:abstractNumId w:val="27"/>
  </w:num>
  <w:num w:numId="17">
    <w:abstractNumId w:val="41"/>
  </w:num>
  <w:num w:numId="18">
    <w:abstractNumId w:val="13"/>
  </w:num>
  <w:num w:numId="19">
    <w:abstractNumId w:val="21"/>
  </w:num>
  <w:num w:numId="20">
    <w:abstractNumId w:val="3"/>
  </w:num>
  <w:num w:numId="21">
    <w:abstractNumId w:val="34"/>
  </w:num>
  <w:num w:numId="22">
    <w:abstractNumId w:val="36"/>
  </w:num>
  <w:num w:numId="23">
    <w:abstractNumId w:val="43"/>
  </w:num>
  <w:num w:numId="24">
    <w:abstractNumId w:val="18"/>
  </w:num>
  <w:num w:numId="25">
    <w:abstractNumId w:val="42"/>
  </w:num>
  <w:num w:numId="26">
    <w:abstractNumId w:val="33"/>
  </w:num>
  <w:num w:numId="27">
    <w:abstractNumId w:val="12"/>
  </w:num>
  <w:num w:numId="28">
    <w:abstractNumId w:val="6"/>
  </w:num>
  <w:num w:numId="29">
    <w:abstractNumId w:val="29"/>
  </w:num>
  <w:num w:numId="30">
    <w:abstractNumId w:val="1"/>
  </w:num>
  <w:num w:numId="31">
    <w:abstractNumId w:val="30"/>
  </w:num>
  <w:num w:numId="32">
    <w:abstractNumId w:val="40"/>
  </w:num>
  <w:num w:numId="33">
    <w:abstractNumId w:val="28"/>
  </w:num>
  <w:num w:numId="34">
    <w:abstractNumId w:val="44"/>
  </w:num>
  <w:num w:numId="35">
    <w:abstractNumId w:val="11"/>
  </w:num>
  <w:num w:numId="36">
    <w:abstractNumId w:val="26"/>
  </w:num>
  <w:num w:numId="37">
    <w:abstractNumId w:val="32"/>
  </w:num>
  <w:num w:numId="38">
    <w:abstractNumId w:val="20"/>
  </w:num>
  <w:num w:numId="39">
    <w:abstractNumId w:val="38"/>
  </w:num>
  <w:num w:numId="40">
    <w:abstractNumId w:val="2"/>
  </w:num>
  <w:num w:numId="41">
    <w:abstractNumId w:val="16"/>
  </w:num>
  <w:num w:numId="42">
    <w:abstractNumId w:val="14"/>
  </w:num>
  <w:num w:numId="43">
    <w:abstractNumId w:val="8"/>
  </w:num>
  <w:num w:numId="44">
    <w:abstractNumId w:val="10"/>
  </w:num>
  <w:num w:numId="45">
    <w:abstractNumId w:val="23"/>
  </w:num>
  <w:num w:numId="46">
    <w:abstractNumId w:val="17"/>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2E05"/>
    <w:rsid w:val="0002464A"/>
    <w:rsid w:val="0003106B"/>
    <w:rsid w:val="000421A1"/>
    <w:rsid w:val="0004240E"/>
    <w:rsid w:val="00045E26"/>
    <w:rsid w:val="000514B5"/>
    <w:rsid w:val="00060522"/>
    <w:rsid w:val="00060E64"/>
    <w:rsid w:val="00062675"/>
    <w:rsid w:val="000969AD"/>
    <w:rsid w:val="000B558D"/>
    <w:rsid w:val="000C6996"/>
    <w:rsid w:val="000D23BA"/>
    <w:rsid w:val="000E681E"/>
    <w:rsid w:val="000F4E6A"/>
    <w:rsid w:val="0011072B"/>
    <w:rsid w:val="001107BF"/>
    <w:rsid w:val="0012417C"/>
    <w:rsid w:val="00131AAC"/>
    <w:rsid w:val="00142395"/>
    <w:rsid w:val="00142714"/>
    <w:rsid w:val="001452ED"/>
    <w:rsid w:val="00150FAD"/>
    <w:rsid w:val="001830CE"/>
    <w:rsid w:val="00196307"/>
    <w:rsid w:val="001A5B5A"/>
    <w:rsid w:val="001B017F"/>
    <w:rsid w:val="001B5129"/>
    <w:rsid w:val="001C1195"/>
    <w:rsid w:val="001E4128"/>
    <w:rsid w:val="0024179B"/>
    <w:rsid w:val="00254C55"/>
    <w:rsid w:val="00264B34"/>
    <w:rsid w:val="00271BA1"/>
    <w:rsid w:val="00277505"/>
    <w:rsid w:val="00277C8A"/>
    <w:rsid w:val="0029458F"/>
    <w:rsid w:val="002A4960"/>
    <w:rsid w:val="002B1AE6"/>
    <w:rsid w:val="002B2D8C"/>
    <w:rsid w:val="002B30F8"/>
    <w:rsid w:val="002B47A9"/>
    <w:rsid w:val="002C212F"/>
    <w:rsid w:val="002D512D"/>
    <w:rsid w:val="00303FFB"/>
    <w:rsid w:val="003233EE"/>
    <w:rsid w:val="00326AD8"/>
    <w:rsid w:val="00326E79"/>
    <w:rsid w:val="003367EF"/>
    <w:rsid w:val="00341AE4"/>
    <w:rsid w:val="00352B17"/>
    <w:rsid w:val="0037280E"/>
    <w:rsid w:val="003922B6"/>
    <w:rsid w:val="003A114C"/>
    <w:rsid w:val="003A5B4A"/>
    <w:rsid w:val="003B23C5"/>
    <w:rsid w:val="003B2A75"/>
    <w:rsid w:val="003D4AC4"/>
    <w:rsid w:val="003D63B7"/>
    <w:rsid w:val="003E468B"/>
    <w:rsid w:val="003F5687"/>
    <w:rsid w:val="003F5C8C"/>
    <w:rsid w:val="00400312"/>
    <w:rsid w:val="00436559"/>
    <w:rsid w:val="004367C2"/>
    <w:rsid w:val="00466ADA"/>
    <w:rsid w:val="004776DC"/>
    <w:rsid w:val="00485A08"/>
    <w:rsid w:val="004B5640"/>
    <w:rsid w:val="004C1BD7"/>
    <w:rsid w:val="004C691D"/>
    <w:rsid w:val="004E692D"/>
    <w:rsid w:val="00514CD7"/>
    <w:rsid w:val="00534504"/>
    <w:rsid w:val="00534E2E"/>
    <w:rsid w:val="00543359"/>
    <w:rsid w:val="00544552"/>
    <w:rsid w:val="00554CE3"/>
    <w:rsid w:val="00556EC3"/>
    <w:rsid w:val="00581932"/>
    <w:rsid w:val="005A3173"/>
    <w:rsid w:val="005A3223"/>
    <w:rsid w:val="005A3DA3"/>
    <w:rsid w:val="005A52C4"/>
    <w:rsid w:val="005B2983"/>
    <w:rsid w:val="005C7227"/>
    <w:rsid w:val="005D03AB"/>
    <w:rsid w:val="005D0EDF"/>
    <w:rsid w:val="005D5017"/>
    <w:rsid w:val="00601A91"/>
    <w:rsid w:val="00602BA3"/>
    <w:rsid w:val="00614159"/>
    <w:rsid w:val="00617C00"/>
    <w:rsid w:val="006263BF"/>
    <w:rsid w:val="00627503"/>
    <w:rsid w:val="0062758E"/>
    <w:rsid w:val="00630A2C"/>
    <w:rsid w:val="00637EC8"/>
    <w:rsid w:val="00650907"/>
    <w:rsid w:val="00651169"/>
    <w:rsid w:val="00653D69"/>
    <w:rsid w:val="00670A76"/>
    <w:rsid w:val="006711AA"/>
    <w:rsid w:val="0067345F"/>
    <w:rsid w:val="00675622"/>
    <w:rsid w:val="006855EC"/>
    <w:rsid w:val="006906DB"/>
    <w:rsid w:val="006A12A5"/>
    <w:rsid w:val="006B0D94"/>
    <w:rsid w:val="006B3F9D"/>
    <w:rsid w:val="006B485D"/>
    <w:rsid w:val="006C091D"/>
    <w:rsid w:val="006D6EC7"/>
    <w:rsid w:val="006F5125"/>
    <w:rsid w:val="007017D3"/>
    <w:rsid w:val="00706128"/>
    <w:rsid w:val="007174BB"/>
    <w:rsid w:val="00717972"/>
    <w:rsid w:val="00744AC2"/>
    <w:rsid w:val="00770499"/>
    <w:rsid w:val="007729FD"/>
    <w:rsid w:val="00774893"/>
    <w:rsid w:val="007753C2"/>
    <w:rsid w:val="007838B8"/>
    <w:rsid w:val="00794A83"/>
    <w:rsid w:val="007A6BE8"/>
    <w:rsid w:val="007C0F57"/>
    <w:rsid w:val="007C40B6"/>
    <w:rsid w:val="007C729F"/>
    <w:rsid w:val="007E0A41"/>
    <w:rsid w:val="007E1D28"/>
    <w:rsid w:val="007E4958"/>
    <w:rsid w:val="007F2641"/>
    <w:rsid w:val="00806796"/>
    <w:rsid w:val="0080682D"/>
    <w:rsid w:val="00827C24"/>
    <w:rsid w:val="00857A5D"/>
    <w:rsid w:val="00863E68"/>
    <w:rsid w:val="00867CCA"/>
    <w:rsid w:val="00882085"/>
    <w:rsid w:val="00883188"/>
    <w:rsid w:val="00886518"/>
    <w:rsid w:val="00894F60"/>
    <w:rsid w:val="00896B2B"/>
    <w:rsid w:val="00897D58"/>
    <w:rsid w:val="008A4937"/>
    <w:rsid w:val="008C190A"/>
    <w:rsid w:val="008D3C82"/>
    <w:rsid w:val="008D447E"/>
    <w:rsid w:val="008E3680"/>
    <w:rsid w:val="008E5870"/>
    <w:rsid w:val="008F1434"/>
    <w:rsid w:val="008F20DC"/>
    <w:rsid w:val="008F7355"/>
    <w:rsid w:val="00925206"/>
    <w:rsid w:val="00930937"/>
    <w:rsid w:val="00942160"/>
    <w:rsid w:val="009602C5"/>
    <w:rsid w:val="00974C21"/>
    <w:rsid w:val="00984F7E"/>
    <w:rsid w:val="009A07A0"/>
    <w:rsid w:val="009A19EE"/>
    <w:rsid w:val="009A2FE5"/>
    <w:rsid w:val="009C703C"/>
    <w:rsid w:val="009D132F"/>
    <w:rsid w:val="009D2ACA"/>
    <w:rsid w:val="009D3CAA"/>
    <w:rsid w:val="009F5B65"/>
    <w:rsid w:val="00A06225"/>
    <w:rsid w:val="00A143FA"/>
    <w:rsid w:val="00A162C7"/>
    <w:rsid w:val="00A31AF3"/>
    <w:rsid w:val="00A37C8D"/>
    <w:rsid w:val="00A42445"/>
    <w:rsid w:val="00A5273B"/>
    <w:rsid w:val="00A53A9D"/>
    <w:rsid w:val="00A62C1A"/>
    <w:rsid w:val="00A6426D"/>
    <w:rsid w:val="00A70622"/>
    <w:rsid w:val="00A70977"/>
    <w:rsid w:val="00A77C33"/>
    <w:rsid w:val="00A81ADE"/>
    <w:rsid w:val="00A8390C"/>
    <w:rsid w:val="00A83D2A"/>
    <w:rsid w:val="00AA4D1C"/>
    <w:rsid w:val="00AB1EE5"/>
    <w:rsid w:val="00AC5206"/>
    <w:rsid w:val="00AD081E"/>
    <w:rsid w:val="00AE03B4"/>
    <w:rsid w:val="00AE11A5"/>
    <w:rsid w:val="00AF68CC"/>
    <w:rsid w:val="00B072DB"/>
    <w:rsid w:val="00B159B8"/>
    <w:rsid w:val="00B205AA"/>
    <w:rsid w:val="00B25F75"/>
    <w:rsid w:val="00B43E90"/>
    <w:rsid w:val="00B56118"/>
    <w:rsid w:val="00B60853"/>
    <w:rsid w:val="00B744D9"/>
    <w:rsid w:val="00BB1B5D"/>
    <w:rsid w:val="00BB3BF2"/>
    <w:rsid w:val="00BB69F5"/>
    <w:rsid w:val="00BB7EC3"/>
    <w:rsid w:val="00BC4B9A"/>
    <w:rsid w:val="00BD7206"/>
    <w:rsid w:val="00BE5B1F"/>
    <w:rsid w:val="00BF4CB6"/>
    <w:rsid w:val="00C12768"/>
    <w:rsid w:val="00C35996"/>
    <w:rsid w:val="00C41E5A"/>
    <w:rsid w:val="00C5342C"/>
    <w:rsid w:val="00C6256A"/>
    <w:rsid w:val="00C6278E"/>
    <w:rsid w:val="00C736F5"/>
    <w:rsid w:val="00C91449"/>
    <w:rsid w:val="00C92D10"/>
    <w:rsid w:val="00CA2BDF"/>
    <w:rsid w:val="00CE10C4"/>
    <w:rsid w:val="00CE27B5"/>
    <w:rsid w:val="00D0321E"/>
    <w:rsid w:val="00D12F71"/>
    <w:rsid w:val="00D21A6E"/>
    <w:rsid w:val="00D3090C"/>
    <w:rsid w:val="00D31CCA"/>
    <w:rsid w:val="00D3280C"/>
    <w:rsid w:val="00D3406A"/>
    <w:rsid w:val="00D469B2"/>
    <w:rsid w:val="00D741EB"/>
    <w:rsid w:val="00D77239"/>
    <w:rsid w:val="00D86ACD"/>
    <w:rsid w:val="00D91271"/>
    <w:rsid w:val="00D92187"/>
    <w:rsid w:val="00DA4BAC"/>
    <w:rsid w:val="00DC4373"/>
    <w:rsid w:val="00DE4A3C"/>
    <w:rsid w:val="00DE6D27"/>
    <w:rsid w:val="00DF217D"/>
    <w:rsid w:val="00DF26A7"/>
    <w:rsid w:val="00E16910"/>
    <w:rsid w:val="00E607FB"/>
    <w:rsid w:val="00E65E54"/>
    <w:rsid w:val="00E80155"/>
    <w:rsid w:val="00E848C0"/>
    <w:rsid w:val="00E91B96"/>
    <w:rsid w:val="00E941A1"/>
    <w:rsid w:val="00E95CE3"/>
    <w:rsid w:val="00EA2825"/>
    <w:rsid w:val="00EB43FF"/>
    <w:rsid w:val="00EB5088"/>
    <w:rsid w:val="00EC0CDC"/>
    <w:rsid w:val="00ED1644"/>
    <w:rsid w:val="00F050BD"/>
    <w:rsid w:val="00F05657"/>
    <w:rsid w:val="00F25578"/>
    <w:rsid w:val="00F258E5"/>
    <w:rsid w:val="00F300BC"/>
    <w:rsid w:val="00F3334E"/>
    <w:rsid w:val="00F40462"/>
    <w:rsid w:val="00F42378"/>
    <w:rsid w:val="00F46628"/>
    <w:rsid w:val="00F50EC4"/>
    <w:rsid w:val="00F57A6D"/>
    <w:rsid w:val="00F638CC"/>
    <w:rsid w:val="00F8247A"/>
    <w:rsid w:val="00FA48F6"/>
    <w:rsid w:val="00FA5883"/>
    <w:rsid w:val="00FA6055"/>
    <w:rsid w:val="00FB322F"/>
    <w:rsid w:val="00FB442F"/>
    <w:rsid w:val="00FC1929"/>
    <w:rsid w:val="00FC5B46"/>
    <w:rsid w:val="00FE2B50"/>
    <w:rsid w:val="00FF1E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rsid w:val="003F5687"/>
    <w:pPr>
      <w:keepNext/>
      <w:outlineLvl w:val="0"/>
    </w:pPr>
    <w:rPr>
      <w:rFonts w:ascii="Arial" w:hAnsi="Arial"/>
      <w:b/>
      <w:sz w:val="28"/>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link w:val="TableHeadingChar"/>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basedOn w:val="DefaultParagraphFon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paragraph" w:customStyle="1" w:styleId="COMtbl-HEADLeftAligned">
    <w:name w:val="COMtbl-HEAD Left Aligned"/>
    <w:basedOn w:val="Normal"/>
    <w:qFormat/>
    <w:rsid w:val="0024179B"/>
    <w:pPr>
      <w:widowControl w:val="0"/>
      <w:tabs>
        <w:tab w:val="left" w:pos="720"/>
      </w:tabs>
    </w:pPr>
    <w:rPr>
      <w:rFonts w:ascii="Arial Narrow" w:hAnsi="Arial Narrow" w:cs="Arial"/>
      <w:b/>
      <w:snapToGrid w:val="0"/>
      <w:sz w:val="20"/>
      <w:szCs w:val="20"/>
      <w:lang w:eastAsia="en-US"/>
    </w:rPr>
  </w:style>
  <w:style w:type="paragraph" w:customStyle="1" w:styleId="COMtbl-HEADCentred">
    <w:name w:val="COMtbl-HEAD Centred"/>
    <w:basedOn w:val="COMtbl-HEADLeftAligned"/>
    <w:qFormat/>
    <w:rsid w:val="0024179B"/>
    <w:pPr>
      <w:jc w:val="center"/>
    </w:pPr>
  </w:style>
  <w:style w:type="paragraph" w:customStyle="1" w:styleId="COMtbl-textLeftAligned">
    <w:name w:val="COMtbl-text Left Aligned"/>
    <w:basedOn w:val="COMtbl-HEADLeftAligned"/>
    <w:qFormat/>
    <w:rsid w:val="0024179B"/>
    <w:rPr>
      <w:b w:val="0"/>
    </w:rPr>
  </w:style>
  <w:style w:type="paragraph" w:customStyle="1" w:styleId="COMBody">
    <w:name w:val="COMBody"/>
    <w:basedOn w:val="Normal"/>
    <w:link w:val="COMBodyChar"/>
    <w:qFormat/>
    <w:rsid w:val="0024179B"/>
    <w:pPr>
      <w:widowControl w:val="0"/>
      <w:jc w:val="both"/>
    </w:pPr>
    <w:rPr>
      <w:rFonts w:ascii="Arial" w:hAnsi="Arial" w:cs="Arial"/>
      <w:snapToGrid w:val="0"/>
      <w:sz w:val="22"/>
      <w:szCs w:val="20"/>
      <w:lang w:eastAsia="en-US"/>
    </w:rPr>
  </w:style>
  <w:style w:type="character" w:customStyle="1" w:styleId="COMBodyChar">
    <w:name w:val="COMBody Char"/>
    <w:basedOn w:val="DefaultParagraphFont"/>
    <w:link w:val="COMBody"/>
    <w:rsid w:val="0024179B"/>
    <w:rPr>
      <w:rFonts w:ascii="Arial" w:hAnsi="Arial" w:cs="Arial"/>
      <w:snapToGrid w:val="0"/>
      <w:sz w:val="22"/>
      <w:lang w:eastAsia="en-US"/>
    </w:rPr>
  </w:style>
  <w:style w:type="paragraph" w:customStyle="1" w:styleId="COMTbl-foot">
    <w:name w:val="COMTbl-foot"/>
    <w:basedOn w:val="Normal"/>
    <w:link w:val="COMTbl-footChar"/>
    <w:qFormat/>
    <w:rsid w:val="0024179B"/>
    <w:pPr>
      <w:widowControl w:val="0"/>
      <w:jc w:val="both"/>
    </w:pPr>
    <w:rPr>
      <w:rFonts w:ascii="Arial Narrow" w:hAnsi="Arial Narrow" w:cs="Arial"/>
      <w:snapToGrid w:val="0"/>
      <w:sz w:val="18"/>
      <w:szCs w:val="20"/>
      <w:lang w:eastAsia="en-US"/>
    </w:rPr>
  </w:style>
  <w:style w:type="character" w:customStyle="1" w:styleId="COMTbl-footChar">
    <w:name w:val="COMTbl-foot Char"/>
    <w:basedOn w:val="DefaultParagraphFont"/>
    <w:link w:val="COMTbl-foot"/>
    <w:rsid w:val="0024179B"/>
    <w:rPr>
      <w:rFonts w:ascii="Arial Narrow" w:hAnsi="Arial Narrow" w:cs="Arial"/>
      <w:snapToGrid w:val="0"/>
      <w:sz w:val="18"/>
      <w:lang w:eastAsia="en-US"/>
    </w:rPr>
  </w:style>
  <w:style w:type="paragraph" w:customStyle="1" w:styleId="TableText0">
    <w:name w:val="TableText"/>
    <w:basedOn w:val="Normal"/>
    <w:link w:val="TableTextChar"/>
    <w:qFormat/>
    <w:rsid w:val="0024179B"/>
    <w:pPr>
      <w:keepNext/>
      <w:spacing w:before="40" w:after="40"/>
    </w:pPr>
    <w:rPr>
      <w:rFonts w:ascii="Arial Narrow" w:hAnsi="Arial Narrow" w:cs="Arial Narrow"/>
      <w:sz w:val="20"/>
      <w:szCs w:val="20"/>
      <w:lang w:eastAsia="en-US"/>
    </w:rPr>
  </w:style>
  <w:style w:type="character" w:customStyle="1" w:styleId="TableTextChar">
    <w:name w:val="TableText Char"/>
    <w:link w:val="TableText0"/>
    <w:rsid w:val="0024179B"/>
    <w:rPr>
      <w:rFonts w:ascii="Arial Narrow" w:hAnsi="Arial Narrow" w:cs="Arial Narrow"/>
      <w:lang w:eastAsia="en-US"/>
    </w:rPr>
  </w:style>
  <w:style w:type="character" w:customStyle="1" w:styleId="TableHeadingChar">
    <w:name w:val="TableHeading Char"/>
    <w:link w:val="TableHeading"/>
    <w:rsid w:val="0024179B"/>
    <w:rPr>
      <w:rFonts w:ascii="Arial Narrow" w:hAnsi="Arial Narrow" w:cs="Arial Narrow"/>
      <w:b/>
      <w:bCs/>
      <w:lang w:eastAsia="en-US"/>
    </w:rPr>
  </w:style>
  <w:style w:type="paragraph" w:customStyle="1" w:styleId="COMtbl-textCentred">
    <w:name w:val="COMtbl-text Centred"/>
    <w:basedOn w:val="COMtbl-HEADCentred"/>
    <w:qFormat/>
    <w:rsid w:val="0024179B"/>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rsid w:val="003F5687"/>
    <w:pPr>
      <w:keepNext/>
      <w:outlineLvl w:val="0"/>
    </w:pPr>
    <w:rPr>
      <w:rFonts w:ascii="Arial" w:hAnsi="Arial"/>
      <w:b/>
      <w:sz w:val="28"/>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link w:val="TableHeadingChar"/>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basedOn w:val="DefaultParagraphFon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paragraph" w:customStyle="1" w:styleId="COMtbl-HEADLeftAligned">
    <w:name w:val="COMtbl-HEAD Left Aligned"/>
    <w:basedOn w:val="Normal"/>
    <w:qFormat/>
    <w:rsid w:val="0024179B"/>
    <w:pPr>
      <w:widowControl w:val="0"/>
      <w:tabs>
        <w:tab w:val="left" w:pos="720"/>
      </w:tabs>
    </w:pPr>
    <w:rPr>
      <w:rFonts w:ascii="Arial Narrow" w:hAnsi="Arial Narrow" w:cs="Arial"/>
      <w:b/>
      <w:snapToGrid w:val="0"/>
      <w:sz w:val="20"/>
      <w:szCs w:val="20"/>
      <w:lang w:eastAsia="en-US"/>
    </w:rPr>
  </w:style>
  <w:style w:type="paragraph" w:customStyle="1" w:styleId="COMtbl-HEADCentred">
    <w:name w:val="COMtbl-HEAD Centred"/>
    <w:basedOn w:val="COMtbl-HEADLeftAligned"/>
    <w:qFormat/>
    <w:rsid w:val="0024179B"/>
    <w:pPr>
      <w:jc w:val="center"/>
    </w:pPr>
  </w:style>
  <w:style w:type="paragraph" w:customStyle="1" w:styleId="COMtbl-textLeftAligned">
    <w:name w:val="COMtbl-text Left Aligned"/>
    <w:basedOn w:val="COMtbl-HEADLeftAligned"/>
    <w:qFormat/>
    <w:rsid w:val="0024179B"/>
    <w:rPr>
      <w:b w:val="0"/>
    </w:rPr>
  </w:style>
  <w:style w:type="paragraph" w:customStyle="1" w:styleId="COMBody">
    <w:name w:val="COMBody"/>
    <w:basedOn w:val="Normal"/>
    <w:link w:val="COMBodyChar"/>
    <w:qFormat/>
    <w:rsid w:val="0024179B"/>
    <w:pPr>
      <w:widowControl w:val="0"/>
      <w:jc w:val="both"/>
    </w:pPr>
    <w:rPr>
      <w:rFonts w:ascii="Arial" w:hAnsi="Arial" w:cs="Arial"/>
      <w:snapToGrid w:val="0"/>
      <w:sz w:val="22"/>
      <w:szCs w:val="20"/>
      <w:lang w:eastAsia="en-US"/>
    </w:rPr>
  </w:style>
  <w:style w:type="character" w:customStyle="1" w:styleId="COMBodyChar">
    <w:name w:val="COMBody Char"/>
    <w:basedOn w:val="DefaultParagraphFont"/>
    <w:link w:val="COMBody"/>
    <w:rsid w:val="0024179B"/>
    <w:rPr>
      <w:rFonts w:ascii="Arial" w:hAnsi="Arial" w:cs="Arial"/>
      <w:snapToGrid w:val="0"/>
      <w:sz w:val="22"/>
      <w:lang w:eastAsia="en-US"/>
    </w:rPr>
  </w:style>
  <w:style w:type="paragraph" w:customStyle="1" w:styleId="COMTbl-foot">
    <w:name w:val="COMTbl-foot"/>
    <w:basedOn w:val="Normal"/>
    <w:link w:val="COMTbl-footChar"/>
    <w:qFormat/>
    <w:rsid w:val="0024179B"/>
    <w:pPr>
      <w:widowControl w:val="0"/>
      <w:jc w:val="both"/>
    </w:pPr>
    <w:rPr>
      <w:rFonts w:ascii="Arial Narrow" w:hAnsi="Arial Narrow" w:cs="Arial"/>
      <w:snapToGrid w:val="0"/>
      <w:sz w:val="18"/>
      <w:szCs w:val="20"/>
      <w:lang w:eastAsia="en-US"/>
    </w:rPr>
  </w:style>
  <w:style w:type="character" w:customStyle="1" w:styleId="COMTbl-footChar">
    <w:name w:val="COMTbl-foot Char"/>
    <w:basedOn w:val="DefaultParagraphFont"/>
    <w:link w:val="COMTbl-foot"/>
    <w:rsid w:val="0024179B"/>
    <w:rPr>
      <w:rFonts w:ascii="Arial Narrow" w:hAnsi="Arial Narrow" w:cs="Arial"/>
      <w:snapToGrid w:val="0"/>
      <w:sz w:val="18"/>
      <w:lang w:eastAsia="en-US"/>
    </w:rPr>
  </w:style>
  <w:style w:type="paragraph" w:customStyle="1" w:styleId="TableText0">
    <w:name w:val="TableText"/>
    <w:basedOn w:val="Normal"/>
    <w:link w:val="TableTextChar"/>
    <w:qFormat/>
    <w:rsid w:val="0024179B"/>
    <w:pPr>
      <w:keepNext/>
      <w:spacing w:before="40" w:after="40"/>
    </w:pPr>
    <w:rPr>
      <w:rFonts w:ascii="Arial Narrow" w:hAnsi="Arial Narrow" w:cs="Arial Narrow"/>
      <w:sz w:val="20"/>
      <w:szCs w:val="20"/>
      <w:lang w:eastAsia="en-US"/>
    </w:rPr>
  </w:style>
  <w:style w:type="character" w:customStyle="1" w:styleId="TableTextChar">
    <w:name w:val="TableText Char"/>
    <w:link w:val="TableText0"/>
    <w:rsid w:val="0024179B"/>
    <w:rPr>
      <w:rFonts w:ascii="Arial Narrow" w:hAnsi="Arial Narrow" w:cs="Arial Narrow"/>
      <w:lang w:eastAsia="en-US"/>
    </w:rPr>
  </w:style>
  <w:style w:type="character" w:customStyle="1" w:styleId="TableHeadingChar">
    <w:name w:val="TableHeading Char"/>
    <w:link w:val="TableHeading"/>
    <w:rsid w:val="0024179B"/>
    <w:rPr>
      <w:rFonts w:ascii="Arial Narrow" w:hAnsi="Arial Narrow" w:cs="Arial Narrow"/>
      <w:b/>
      <w:bCs/>
      <w:lang w:eastAsia="en-US"/>
    </w:rPr>
  </w:style>
  <w:style w:type="paragraph" w:customStyle="1" w:styleId="COMtbl-textCentred">
    <w:name w:val="COMtbl-text Centred"/>
    <w:basedOn w:val="COMtbl-HEADCentred"/>
    <w:qFormat/>
    <w:rsid w:val="0024179B"/>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00398654">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92561274">
      <w:bodyDiv w:val="1"/>
      <w:marLeft w:val="0"/>
      <w:marRight w:val="0"/>
      <w:marTop w:val="0"/>
      <w:marBottom w:val="0"/>
      <w:divBdr>
        <w:top w:val="none" w:sz="0" w:space="0" w:color="auto"/>
        <w:left w:val="none" w:sz="0" w:space="0" w:color="auto"/>
        <w:bottom w:val="none" w:sz="0" w:space="0" w:color="auto"/>
        <w:right w:val="none" w:sz="0" w:space="0" w:color="auto"/>
      </w:divBdr>
    </w:div>
    <w:div w:id="1168516920">
      <w:bodyDiv w:val="1"/>
      <w:marLeft w:val="0"/>
      <w:marRight w:val="0"/>
      <w:marTop w:val="0"/>
      <w:marBottom w:val="0"/>
      <w:divBdr>
        <w:top w:val="none" w:sz="0" w:space="0" w:color="auto"/>
        <w:left w:val="none" w:sz="0" w:space="0" w:color="auto"/>
        <w:bottom w:val="none" w:sz="0" w:space="0" w:color="auto"/>
        <w:right w:val="none" w:sz="0" w:space="0" w:color="auto"/>
      </w:divBdr>
      <w:divsChild>
        <w:div w:id="743063985">
          <w:marLeft w:val="547"/>
          <w:marRight w:val="0"/>
          <w:marTop w:val="120"/>
          <w:marBottom w:val="0"/>
          <w:divBdr>
            <w:top w:val="none" w:sz="0" w:space="0" w:color="auto"/>
            <w:left w:val="none" w:sz="0" w:space="0" w:color="auto"/>
            <w:bottom w:val="none" w:sz="0" w:space="0" w:color="auto"/>
            <w:right w:val="none" w:sz="0" w:space="0" w:color="auto"/>
          </w:divBdr>
        </w:div>
      </w:divsChild>
    </w:div>
    <w:div w:id="1217349470">
      <w:bodyDiv w:val="1"/>
      <w:marLeft w:val="0"/>
      <w:marRight w:val="0"/>
      <w:marTop w:val="0"/>
      <w:marBottom w:val="0"/>
      <w:divBdr>
        <w:top w:val="none" w:sz="0" w:space="0" w:color="auto"/>
        <w:left w:val="none" w:sz="0" w:space="0" w:color="auto"/>
        <w:bottom w:val="none" w:sz="0" w:space="0" w:color="auto"/>
        <w:right w:val="none" w:sz="0" w:space="0" w:color="auto"/>
      </w:divBdr>
      <w:divsChild>
        <w:div w:id="2136096363">
          <w:marLeft w:val="547"/>
          <w:marRight w:val="0"/>
          <w:marTop w:val="96"/>
          <w:marBottom w:val="0"/>
          <w:divBdr>
            <w:top w:val="none" w:sz="0" w:space="0" w:color="auto"/>
            <w:left w:val="none" w:sz="0" w:space="0" w:color="auto"/>
            <w:bottom w:val="none" w:sz="0" w:space="0" w:color="auto"/>
            <w:right w:val="none" w:sz="0" w:space="0" w:color="auto"/>
          </w:divBdr>
        </w:div>
        <w:div w:id="2080790688">
          <w:marLeft w:val="547"/>
          <w:marRight w:val="0"/>
          <w:marTop w:val="96"/>
          <w:marBottom w:val="0"/>
          <w:divBdr>
            <w:top w:val="none" w:sz="0" w:space="0" w:color="auto"/>
            <w:left w:val="none" w:sz="0" w:space="0" w:color="auto"/>
            <w:bottom w:val="none" w:sz="0" w:space="0" w:color="auto"/>
            <w:right w:val="none" w:sz="0" w:space="0" w:color="auto"/>
          </w:divBdr>
        </w:div>
        <w:div w:id="798182834">
          <w:marLeft w:val="547"/>
          <w:marRight w:val="0"/>
          <w:marTop w:val="96"/>
          <w:marBottom w:val="0"/>
          <w:divBdr>
            <w:top w:val="none" w:sz="0" w:space="0" w:color="auto"/>
            <w:left w:val="none" w:sz="0" w:space="0" w:color="auto"/>
            <w:bottom w:val="none" w:sz="0" w:space="0" w:color="auto"/>
            <w:right w:val="none" w:sz="0" w:space="0" w:color="auto"/>
          </w:divBdr>
        </w:div>
        <w:div w:id="809906325">
          <w:marLeft w:val="1166"/>
          <w:marRight w:val="0"/>
          <w:marTop w:val="96"/>
          <w:marBottom w:val="0"/>
          <w:divBdr>
            <w:top w:val="none" w:sz="0" w:space="0" w:color="auto"/>
            <w:left w:val="none" w:sz="0" w:space="0" w:color="auto"/>
            <w:bottom w:val="none" w:sz="0" w:space="0" w:color="auto"/>
            <w:right w:val="none" w:sz="0" w:space="0" w:color="auto"/>
          </w:divBdr>
        </w:div>
        <w:div w:id="2114011642">
          <w:marLeft w:val="547"/>
          <w:marRight w:val="0"/>
          <w:marTop w:val="96"/>
          <w:marBottom w:val="0"/>
          <w:divBdr>
            <w:top w:val="none" w:sz="0" w:space="0" w:color="auto"/>
            <w:left w:val="none" w:sz="0" w:space="0" w:color="auto"/>
            <w:bottom w:val="none" w:sz="0" w:space="0" w:color="auto"/>
            <w:right w:val="none" w:sz="0" w:space="0" w:color="auto"/>
          </w:divBdr>
        </w:div>
        <w:div w:id="2048095589">
          <w:marLeft w:val="547"/>
          <w:marRight w:val="0"/>
          <w:marTop w:val="96"/>
          <w:marBottom w:val="0"/>
          <w:divBdr>
            <w:top w:val="none" w:sz="0" w:space="0" w:color="auto"/>
            <w:left w:val="none" w:sz="0" w:space="0" w:color="auto"/>
            <w:bottom w:val="none" w:sz="0" w:space="0" w:color="auto"/>
            <w:right w:val="none" w:sz="0" w:space="0" w:color="auto"/>
          </w:divBdr>
        </w:div>
      </w:divsChild>
    </w:div>
    <w:div w:id="1260023980">
      <w:bodyDiv w:val="1"/>
      <w:marLeft w:val="0"/>
      <w:marRight w:val="0"/>
      <w:marTop w:val="0"/>
      <w:marBottom w:val="0"/>
      <w:divBdr>
        <w:top w:val="none" w:sz="0" w:space="0" w:color="auto"/>
        <w:left w:val="none" w:sz="0" w:space="0" w:color="auto"/>
        <w:bottom w:val="none" w:sz="0" w:space="0" w:color="auto"/>
        <w:right w:val="none" w:sz="0" w:space="0" w:color="auto"/>
      </w:divBdr>
      <w:divsChild>
        <w:div w:id="1035960204">
          <w:marLeft w:val="547"/>
          <w:marRight w:val="0"/>
          <w:marTop w:val="12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44455881">
      <w:bodyDiv w:val="1"/>
      <w:marLeft w:val="0"/>
      <w:marRight w:val="0"/>
      <w:marTop w:val="0"/>
      <w:marBottom w:val="0"/>
      <w:divBdr>
        <w:top w:val="none" w:sz="0" w:space="0" w:color="auto"/>
        <w:left w:val="none" w:sz="0" w:space="0" w:color="auto"/>
        <w:bottom w:val="none" w:sz="0" w:space="0" w:color="auto"/>
        <w:right w:val="none" w:sz="0" w:space="0" w:color="auto"/>
      </w:divBdr>
    </w:div>
    <w:div w:id="1984774688">
      <w:bodyDiv w:val="1"/>
      <w:marLeft w:val="0"/>
      <w:marRight w:val="0"/>
      <w:marTop w:val="0"/>
      <w:marBottom w:val="0"/>
      <w:divBdr>
        <w:top w:val="none" w:sz="0" w:space="0" w:color="auto"/>
        <w:left w:val="none" w:sz="0" w:space="0" w:color="auto"/>
        <w:bottom w:val="none" w:sz="0" w:space="0" w:color="auto"/>
        <w:right w:val="none" w:sz="0" w:space="0" w:color="auto"/>
      </w:divBdr>
      <w:divsChild>
        <w:div w:id="3562012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1B60C-AA24-467D-968C-41481700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5581</Words>
  <Characters>34120</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Mareddy Shobha</dc:creator>
  <cp:lastModifiedBy>Thomas Gareth</cp:lastModifiedBy>
  <cp:revision>4</cp:revision>
  <cp:lastPrinted>2014-07-17T01:03:00Z</cp:lastPrinted>
  <dcterms:created xsi:type="dcterms:W3CDTF">2014-10-08T23:24:00Z</dcterms:created>
  <dcterms:modified xsi:type="dcterms:W3CDTF">2014-11-10T05:19:00Z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