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DE" w:rsidRPr="0004080D" w:rsidRDefault="003D43DE" w:rsidP="00552E7A">
      <w:pPr>
        <w:pStyle w:val="Heading1"/>
        <w:rPr>
          <w:i/>
        </w:rPr>
      </w:pPr>
      <w:bookmarkStart w:id="0" w:name="_GoBack"/>
      <w:r w:rsidRPr="0004080D">
        <w:t>PUBLIC SUMMARY DOCUMENT</w:t>
      </w:r>
    </w:p>
    <w:bookmarkEnd w:id="0"/>
    <w:p w:rsidR="00286FAB" w:rsidRPr="00286FAB" w:rsidRDefault="003D43DE">
      <w:pPr>
        <w:rPr>
          <w:bCs/>
        </w:rPr>
      </w:pPr>
      <w:r w:rsidRPr="00286FAB">
        <w:rPr>
          <w:b/>
          <w:bCs/>
        </w:rPr>
        <w:t>Product:</w:t>
      </w:r>
      <w:r w:rsidR="008E3661" w:rsidRPr="00286FAB">
        <w:rPr>
          <w:b/>
          <w:bCs/>
        </w:rPr>
        <w:t xml:space="preserve">  </w:t>
      </w:r>
      <w:r w:rsidR="00796356" w:rsidRPr="00286FAB">
        <w:rPr>
          <w:bCs/>
        </w:rPr>
        <w:t xml:space="preserve"> </w:t>
      </w:r>
      <w:r w:rsidR="00286FAB" w:rsidRPr="00286FAB">
        <w:rPr>
          <w:bCs/>
        </w:rPr>
        <w:t>Multicomponent Meningococcal Group B Vaccine, 0.5mL, injection, prefill</w:t>
      </w:r>
      <w:r w:rsidR="00286FAB">
        <w:rPr>
          <w:bCs/>
        </w:rPr>
        <w:t xml:space="preserve">ed syringe, </w:t>
      </w:r>
      <w:proofErr w:type="spellStart"/>
      <w:r w:rsidR="00286FAB">
        <w:rPr>
          <w:bCs/>
        </w:rPr>
        <w:t>Bexsero</w:t>
      </w:r>
      <w:proofErr w:type="spellEnd"/>
      <w:r w:rsidR="00286FAB">
        <w:rPr>
          <w:bCs/>
        </w:rPr>
        <w:t>®.</w:t>
      </w:r>
    </w:p>
    <w:p w:rsidR="00286FAB" w:rsidRPr="00286FAB" w:rsidRDefault="003D43DE" w:rsidP="00286FAB">
      <w:pPr>
        <w:rPr>
          <w:bCs/>
        </w:rPr>
      </w:pPr>
      <w:proofErr w:type="gramStart"/>
      <w:r w:rsidRPr="00286FAB">
        <w:rPr>
          <w:b/>
          <w:bCs/>
        </w:rPr>
        <w:t>Sponsor:</w:t>
      </w:r>
      <w:r w:rsidR="008E3661" w:rsidRPr="00286FAB">
        <w:rPr>
          <w:b/>
          <w:bCs/>
        </w:rPr>
        <w:t xml:space="preserve">  </w:t>
      </w:r>
      <w:r w:rsidR="00796356" w:rsidRPr="00286FAB">
        <w:rPr>
          <w:bCs/>
        </w:rPr>
        <w:t xml:space="preserve"> </w:t>
      </w:r>
      <w:r w:rsidR="00286FAB" w:rsidRPr="00286FAB">
        <w:rPr>
          <w:bCs/>
        </w:rPr>
        <w:t>Novartis Vaccines and Diagnostics Pty Ltd.</w:t>
      </w:r>
      <w:proofErr w:type="gramEnd"/>
    </w:p>
    <w:p w:rsidR="002A57B9" w:rsidRPr="00286FAB" w:rsidRDefault="003D43DE">
      <w:pPr>
        <w:rPr>
          <w:bCs/>
        </w:rPr>
      </w:pPr>
      <w:r w:rsidRPr="00286FAB">
        <w:rPr>
          <w:b/>
          <w:bCs/>
        </w:rPr>
        <w:t>Date of PBAC Consideration:</w:t>
      </w:r>
      <w:r w:rsidR="008E3661" w:rsidRPr="00286FAB">
        <w:rPr>
          <w:b/>
          <w:bCs/>
        </w:rPr>
        <w:t xml:space="preserve">  </w:t>
      </w:r>
      <w:r w:rsidR="00796356" w:rsidRPr="00286FAB">
        <w:rPr>
          <w:bCs/>
        </w:rPr>
        <w:t xml:space="preserve"> </w:t>
      </w:r>
      <w:r w:rsidR="004C01E1" w:rsidRPr="00286FAB">
        <w:rPr>
          <w:bCs/>
        </w:rPr>
        <w:t>November</w:t>
      </w:r>
      <w:r w:rsidR="009B7ECE" w:rsidRPr="00286FAB">
        <w:rPr>
          <w:bCs/>
        </w:rPr>
        <w:t xml:space="preserve"> 2013</w:t>
      </w:r>
    </w:p>
    <w:p w:rsidR="00BB219E" w:rsidRDefault="0004080D" w:rsidP="00BB219E">
      <w:pPr>
        <w:pStyle w:val="Heading3"/>
        <w:rPr>
          <w:rFonts w:ascii="Times New Roman" w:hAnsi="Times New Roman"/>
          <w:sz w:val="24"/>
        </w:rPr>
      </w:pPr>
      <w:r w:rsidRPr="00BB219E">
        <w:rPr>
          <w:rFonts w:ascii="Times New Roman" w:hAnsi="Times New Roman"/>
          <w:sz w:val="24"/>
        </w:rPr>
        <w:t xml:space="preserve">1. </w:t>
      </w:r>
      <w:r w:rsidR="002A57B9" w:rsidRPr="00BB219E">
        <w:rPr>
          <w:rFonts w:ascii="Times New Roman" w:hAnsi="Times New Roman"/>
          <w:sz w:val="24"/>
        </w:rPr>
        <w:t>Purpose of Application</w:t>
      </w:r>
    </w:p>
    <w:p w:rsidR="00286FAB" w:rsidRPr="00286FAB" w:rsidRDefault="00286FAB" w:rsidP="00286FAB">
      <w:pPr>
        <w:pStyle w:val="ListParagraph"/>
        <w:ind w:left="0"/>
      </w:pPr>
      <w:proofErr w:type="gramStart"/>
      <w:r w:rsidRPr="00286FAB">
        <w:rPr>
          <w:snapToGrid w:val="0"/>
          <w:lang w:eastAsia="en-US"/>
        </w:rPr>
        <w:t>To request the inclusion o</w:t>
      </w:r>
      <w:r w:rsidRPr="00286FAB">
        <w:t>f 4-component meningococcal group B vaccine (4CMenB) i</w:t>
      </w:r>
      <w:r w:rsidRPr="00286FAB">
        <w:rPr>
          <w:snapToGrid w:val="0"/>
          <w:lang w:eastAsia="en-US"/>
        </w:rPr>
        <w:t>n the National Immunisation Program (NIP) Schedule for prevention of meningococcal B disease in infants and adolescents.</w:t>
      </w:r>
      <w:proofErr w:type="gramEnd"/>
    </w:p>
    <w:p w:rsidR="00BB219E" w:rsidRDefault="0004080D" w:rsidP="00BB219E">
      <w:pPr>
        <w:pStyle w:val="Heading3"/>
        <w:rPr>
          <w:sz w:val="22"/>
        </w:rPr>
      </w:pPr>
      <w:r w:rsidRPr="00BB219E">
        <w:rPr>
          <w:rFonts w:ascii="Times New Roman" w:hAnsi="Times New Roman"/>
          <w:sz w:val="24"/>
        </w:rPr>
        <w:t xml:space="preserve">2. </w:t>
      </w:r>
      <w:r w:rsidR="002A57B9" w:rsidRPr="00BB219E">
        <w:rPr>
          <w:rFonts w:ascii="Times New Roman" w:hAnsi="Times New Roman"/>
          <w:sz w:val="24"/>
        </w:rPr>
        <w:t>Background</w:t>
      </w:r>
      <w:r w:rsidR="002C3E5F" w:rsidRPr="0004080D">
        <w:rPr>
          <w:sz w:val="22"/>
        </w:rPr>
        <w:t xml:space="preserve"> </w:t>
      </w:r>
    </w:p>
    <w:p w:rsidR="00286FAB" w:rsidRPr="00286FAB" w:rsidRDefault="00286FAB" w:rsidP="00286FAB">
      <w:pPr>
        <w:pStyle w:val="ListParagraph"/>
        <w:ind w:left="0"/>
      </w:pPr>
      <w:r w:rsidRPr="00286FAB">
        <w:t xml:space="preserve">This was the first submission to the PBAC for inclusion of 4CMenB in the NIP. </w:t>
      </w:r>
    </w:p>
    <w:p w:rsidR="00BB219E" w:rsidRPr="00286FAB" w:rsidRDefault="0004080D" w:rsidP="00BB219E">
      <w:pPr>
        <w:pStyle w:val="Heading3"/>
        <w:rPr>
          <w:rFonts w:ascii="Times New Roman" w:hAnsi="Times New Roman"/>
          <w:sz w:val="22"/>
        </w:rPr>
      </w:pPr>
      <w:r w:rsidRPr="00286FAB">
        <w:rPr>
          <w:rFonts w:ascii="Times New Roman" w:hAnsi="Times New Roman"/>
          <w:sz w:val="24"/>
        </w:rPr>
        <w:t xml:space="preserve">3. </w:t>
      </w:r>
      <w:r w:rsidR="002A57B9" w:rsidRPr="00286FAB">
        <w:rPr>
          <w:rFonts w:ascii="Times New Roman" w:hAnsi="Times New Roman"/>
          <w:sz w:val="24"/>
        </w:rPr>
        <w:t>Registration Status</w:t>
      </w:r>
      <w:r w:rsidR="00A102AD" w:rsidRPr="00286FAB">
        <w:rPr>
          <w:rFonts w:ascii="Times New Roman" w:hAnsi="Times New Roman"/>
          <w:sz w:val="22"/>
        </w:rPr>
        <w:t xml:space="preserve"> </w:t>
      </w:r>
    </w:p>
    <w:p w:rsidR="00286FAB" w:rsidRPr="00286FAB" w:rsidRDefault="00286FAB" w:rsidP="00286FAB">
      <w:pPr>
        <w:pStyle w:val="ListParagraph"/>
        <w:ind w:left="0"/>
      </w:pPr>
      <w:r w:rsidRPr="00286FAB">
        <w:t xml:space="preserve">4CMenB was TGA registered on 14 August 2013, and </w:t>
      </w:r>
      <w:proofErr w:type="gramStart"/>
      <w:r w:rsidRPr="00286FAB">
        <w:t>is indicated</w:t>
      </w:r>
      <w:proofErr w:type="gramEnd"/>
      <w:r w:rsidRPr="00286FAB">
        <w:t xml:space="preserve"> for active immunisation against disease caused by </w:t>
      </w:r>
      <w:r w:rsidRPr="00286FAB">
        <w:rPr>
          <w:i/>
        </w:rPr>
        <w:t xml:space="preserve">Neisseria </w:t>
      </w:r>
      <w:proofErr w:type="spellStart"/>
      <w:r w:rsidRPr="00286FAB">
        <w:rPr>
          <w:i/>
        </w:rPr>
        <w:t>meningitidis</w:t>
      </w:r>
      <w:proofErr w:type="spellEnd"/>
      <w:r w:rsidRPr="00286FAB">
        <w:t xml:space="preserve"> group B strains. It is indicated for vaccination of individuals from 2 months of age and older. </w:t>
      </w:r>
    </w:p>
    <w:p w:rsidR="00BB219E" w:rsidRDefault="0004080D" w:rsidP="00BB219E">
      <w:pPr>
        <w:pStyle w:val="Heading3"/>
        <w:rPr>
          <w:sz w:val="22"/>
        </w:rPr>
      </w:pPr>
      <w:r w:rsidRPr="00BB219E">
        <w:rPr>
          <w:rFonts w:ascii="Times New Roman" w:hAnsi="Times New Roman"/>
          <w:sz w:val="24"/>
        </w:rPr>
        <w:t xml:space="preserve">4. </w:t>
      </w:r>
      <w:r w:rsidR="002A57B9" w:rsidRPr="00BB219E">
        <w:rPr>
          <w:rFonts w:ascii="Times New Roman" w:hAnsi="Times New Roman"/>
          <w:sz w:val="24"/>
        </w:rPr>
        <w:t>Listing Requested and PBAC’s View</w:t>
      </w:r>
      <w:r w:rsidR="002C3E5F" w:rsidRPr="0004080D">
        <w:rPr>
          <w:sz w:val="22"/>
        </w:rPr>
        <w:t xml:space="preserve"> </w:t>
      </w:r>
    </w:p>
    <w:p w:rsidR="00286FAB" w:rsidRPr="009956C3" w:rsidRDefault="00286FAB" w:rsidP="00286FAB">
      <w:pPr>
        <w:autoSpaceDE w:val="0"/>
        <w:autoSpaceDN w:val="0"/>
        <w:adjustRightInd w:val="0"/>
        <w:spacing w:line="206" w:lineRule="exact"/>
        <w:ind w:left="200" w:right="-20"/>
        <w:rPr>
          <w:rFonts w:ascii="Arial" w:hAnsi="Arial" w:cs="Arial"/>
          <w:sz w:val="20"/>
          <w:szCs w:val="22"/>
        </w:rPr>
      </w:pPr>
      <w:r w:rsidRPr="00286FAB">
        <w:t xml:space="preserve">The submission requested inclusion of 4CMenB in the NIP with a proposed vaccination schedule as </w:t>
      </w:r>
      <w:r w:rsidR="000549CF">
        <w:t xml:space="preserve">a routine 3+1 schedule in infants, a </w:t>
      </w:r>
      <w:proofErr w:type="gramStart"/>
      <w:r w:rsidR="000549CF">
        <w:t>2 dose</w:t>
      </w:r>
      <w:proofErr w:type="gramEnd"/>
      <w:r w:rsidR="000549CF">
        <w:t xml:space="preserve"> course in adolescents and a catch-up program in </w:t>
      </w:r>
      <w:r w:rsidR="00DE4969">
        <w:t xml:space="preserve">older </w:t>
      </w:r>
      <w:r w:rsidR="000549CF">
        <w:t xml:space="preserve">infants, toddlers and adolescents. </w:t>
      </w:r>
      <w:r w:rsidRPr="009956C3">
        <w:rPr>
          <w:rFonts w:ascii="Arial" w:eastAsia="Calibri" w:hAnsi="Arial" w:cs="Arial"/>
          <w:sz w:val="20"/>
        </w:rPr>
        <w:t xml:space="preserve">. </w:t>
      </w:r>
    </w:p>
    <w:p w:rsidR="00DE4969" w:rsidRDefault="00DE4969" w:rsidP="00286FAB">
      <w:pPr>
        <w:pStyle w:val="ListParagraph"/>
        <w:ind w:left="0"/>
      </w:pPr>
    </w:p>
    <w:p w:rsidR="00286FAB" w:rsidRPr="00286FAB" w:rsidRDefault="00286FAB" w:rsidP="00286FAB">
      <w:pPr>
        <w:pStyle w:val="ListParagraph"/>
        <w:ind w:left="0"/>
      </w:pPr>
      <w:r w:rsidRPr="00286FAB">
        <w:t>The requested NIP listing is consistent with the TGA-approved indication.</w:t>
      </w:r>
    </w:p>
    <w:p w:rsidR="00BB219E" w:rsidRDefault="0004080D" w:rsidP="00BB219E">
      <w:pPr>
        <w:pStyle w:val="Heading3"/>
        <w:rPr>
          <w:rFonts w:ascii="Times New Roman" w:hAnsi="Times New Roman"/>
          <w:sz w:val="24"/>
        </w:rPr>
      </w:pPr>
      <w:r w:rsidRPr="00BB219E">
        <w:rPr>
          <w:rFonts w:ascii="Times New Roman" w:hAnsi="Times New Roman"/>
          <w:sz w:val="24"/>
        </w:rPr>
        <w:t xml:space="preserve">5. </w:t>
      </w:r>
      <w:r w:rsidR="002A57B9" w:rsidRPr="00BB219E">
        <w:rPr>
          <w:rFonts w:ascii="Times New Roman" w:hAnsi="Times New Roman"/>
          <w:sz w:val="24"/>
        </w:rPr>
        <w:t>Clinical Place for the Proposed Therapy</w:t>
      </w:r>
      <w:r w:rsidR="00B80A12" w:rsidRPr="00BB219E">
        <w:rPr>
          <w:rFonts w:ascii="Times New Roman" w:hAnsi="Times New Roman"/>
          <w:sz w:val="24"/>
        </w:rPr>
        <w:t xml:space="preserve"> </w:t>
      </w:r>
    </w:p>
    <w:p w:rsidR="00286FAB" w:rsidRPr="00286FAB" w:rsidRDefault="00286FAB" w:rsidP="00286FAB">
      <w:pPr>
        <w:pStyle w:val="ListParagraph"/>
        <w:ind w:left="0"/>
      </w:pPr>
      <w:r w:rsidRPr="00286FAB">
        <w:t xml:space="preserve">Invasive meningococcal B disease (IMD) is a rare disease caused by the bacterium </w:t>
      </w:r>
      <w:r w:rsidRPr="00286FAB">
        <w:rPr>
          <w:i/>
        </w:rPr>
        <w:t xml:space="preserve">Neisseria </w:t>
      </w:r>
      <w:proofErr w:type="spellStart"/>
      <w:r w:rsidRPr="00286FAB">
        <w:rPr>
          <w:i/>
        </w:rPr>
        <w:t>meningitidis</w:t>
      </w:r>
      <w:proofErr w:type="spellEnd"/>
      <w:r w:rsidRPr="00286FAB">
        <w:t xml:space="preserve">. There were 184 cases (0.82 per 100,000) and approximately 11 deaths in 2011. Data collected between 1991 and 2011 indicates that incidence is bimodal, with 20% of confirmed cases aged &lt;1 year, 22% aged 1-4 years, and the next peak in later teens, with 17% aged 15-19 years and 9% aged 20 to 24 years. Applying this pattern, around </w:t>
      </w:r>
      <w:proofErr w:type="gramStart"/>
      <w:r w:rsidRPr="00286FAB">
        <w:t>5</w:t>
      </w:r>
      <w:proofErr w:type="gramEnd"/>
      <w:r w:rsidRPr="00286FAB">
        <w:t xml:space="preserve"> of the deaths in 2011 were in those aged &lt;5 years. IMD can also cause meningitis and sepsis, leading to long-term </w:t>
      </w:r>
      <w:proofErr w:type="spellStart"/>
      <w:r w:rsidRPr="00286FAB">
        <w:t>sequelae</w:t>
      </w:r>
      <w:proofErr w:type="spellEnd"/>
      <w:r w:rsidRPr="00286FAB">
        <w:t xml:space="preserve"> including: limb amputation, hearing loss, seizures, renal insufficiency, significant neurological deficits and skin scarring. In contrast to the low incidence of IMD, asymptomatic carriage of </w:t>
      </w:r>
      <w:proofErr w:type="spellStart"/>
      <w:r w:rsidRPr="00286FAB">
        <w:t>meningococci</w:t>
      </w:r>
      <w:proofErr w:type="spellEnd"/>
      <w:r w:rsidRPr="00286FAB">
        <w:t xml:space="preserve"> (all serotypes) is common: </w:t>
      </w:r>
      <w:proofErr w:type="gramStart"/>
      <w:r w:rsidRPr="00286FAB">
        <w:t>from 4,500 per 100,000 in infants to a peak of 23,000 per 100,000 in 19-year olds</w:t>
      </w:r>
      <w:proofErr w:type="gramEnd"/>
      <w:r w:rsidR="00103744">
        <w:t>.</w:t>
      </w:r>
    </w:p>
    <w:p w:rsidR="00286FAB" w:rsidRPr="00286FAB" w:rsidRDefault="00286FAB" w:rsidP="00286FAB"/>
    <w:p w:rsidR="00286FAB" w:rsidRPr="00286FAB" w:rsidRDefault="00286FAB" w:rsidP="00286FAB">
      <w:pPr>
        <w:pStyle w:val="ListParagraph"/>
        <w:ind w:left="0"/>
      </w:pPr>
      <w:r w:rsidRPr="00286FAB">
        <w:t>The vaccine contains four antigenic components, adsorbed on aluminium hydroxide: factor H binding protein (</w:t>
      </w:r>
      <w:proofErr w:type="spellStart"/>
      <w:r w:rsidRPr="00286FAB">
        <w:t>fHbp</w:t>
      </w:r>
      <w:proofErr w:type="spellEnd"/>
      <w:r w:rsidRPr="00286FAB">
        <w:t xml:space="preserve">), </w:t>
      </w:r>
      <w:proofErr w:type="spellStart"/>
      <w:r w:rsidRPr="00286FAB">
        <w:t>neisserial</w:t>
      </w:r>
      <w:proofErr w:type="spellEnd"/>
      <w:r w:rsidRPr="00286FAB">
        <w:t xml:space="preserve"> </w:t>
      </w:r>
      <w:proofErr w:type="spellStart"/>
      <w:r w:rsidRPr="00286FAB">
        <w:t>adhesin</w:t>
      </w:r>
      <w:proofErr w:type="spellEnd"/>
      <w:r w:rsidRPr="00286FAB">
        <w:t xml:space="preserve"> A (</w:t>
      </w:r>
      <w:proofErr w:type="spellStart"/>
      <w:r w:rsidRPr="00286FAB">
        <w:t>NadA</w:t>
      </w:r>
      <w:proofErr w:type="spellEnd"/>
      <w:r w:rsidRPr="00286FAB">
        <w:t xml:space="preserve">), </w:t>
      </w:r>
      <w:proofErr w:type="spellStart"/>
      <w:r w:rsidRPr="00286FAB">
        <w:t>neisseria</w:t>
      </w:r>
      <w:proofErr w:type="spellEnd"/>
      <w:r w:rsidRPr="00286FAB">
        <w:t xml:space="preserve"> heparin binding antigen (NHBA) and outer membrane vesicles (OMV) from a New Zealand epidemic strain (NZ98/254), which provides </w:t>
      </w:r>
      <w:proofErr w:type="spellStart"/>
      <w:r w:rsidRPr="00286FAB">
        <w:t>PorA</w:t>
      </w:r>
      <w:proofErr w:type="spellEnd"/>
      <w:r w:rsidRPr="00286FAB">
        <w:t xml:space="preserve"> P1.4. 4CMenB </w:t>
      </w:r>
      <w:proofErr w:type="gramStart"/>
      <w:r w:rsidRPr="00286FAB">
        <w:t>is intended</w:t>
      </w:r>
      <w:proofErr w:type="gramEnd"/>
      <w:r w:rsidRPr="00286FAB">
        <w:t xml:space="preserve"> to stimulate the production of bactericidal antibodies that recognise these antigens, and protect against a broad range of disease-causing meningococcal group B strains.</w:t>
      </w:r>
    </w:p>
    <w:p w:rsidR="00286FAB" w:rsidRPr="00286FAB" w:rsidRDefault="00286FAB" w:rsidP="00286FAB"/>
    <w:p w:rsidR="00286FAB" w:rsidRPr="00286FAB" w:rsidRDefault="00286FAB" w:rsidP="00286FAB">
      <w:pPr>
        <w:pStyle w:val="ListParagraph"/>
        <w:ind w:left="0"/>
      </w:pPr>
      <w:r w:rsidRPr="00286FAB">
        <w:t xml:space="preserve">The PBAC considered that the vaccine was an important advance in </w:t>
      </w:r>
      <w:proofErr w:type="spellStart"/>
      <w:r w:rsidRPr="00286FAB">
        <w:t>vaccinology</w:t>
      </w:r>
      <w:proofErr w:type="spellEnd"/>
      <w:r w:rsidRPr="00286FAB">
        <w:t xml:space="preserve">, using new technology to address issues specific to meningococcal B. </w:t>
      </w:r>
      <w:r w:rsidRPr="00286FAB">
        <w:rPr>
          <w:lang w:val="en-US"/>
        </w:rPr>
        <w:t xml:space="preserve">While there are conjugate based and polysaccharide capsule-based vaccines currently available for other meningococcal groups, similar approaches for meningococcal B vaccines have failed because the meningococcal B polysaccharide capsule is poorly immunogenic. 4CMenB </w:t>
      </w:r>
      <w:proofErr w:type="gramStart"/>
      <w:r w:rsidRPr="00286FAB">
        <w:rPr>
          <w:lang w:val="en-US"/>
        </w:rPr>
        <w:t>was created</w:t>
      </w:r>
      <w:proofErr w:type="gramEnd"/>
      <w:r w:rsidRPr="00286FAB">
        <w:rPr>
          <w:lang w:val="en-US"/>
        </w:rPr>
        <w:t xml:space="preserve"> using </w:t>
      </w:r>
      <w:r w:rsidRPr="00286FAB">
        <w:rPr>
          <w:lang w:val="en-US"/>
        </w:rPr>
        <w:lastRenderedPageBreak/>
        <w:t xml:space="preserve">an innovative approach to vaccine development known as reverse </w:t>
      </w:r>
      <w:proofErr w:type="spellStart"/>
      <w:r w:rsidRPr="00286FAB">
        <w:rPr>
          <w:lang w:val="en-US"/>
        </w:rPr>
        <w:t>vaccinology</w:t>
      </w:r>
      <w:proofErr w:type="spellEnd"/>
      <w:r w:rsidRPr="00286FAB">
        <w:rPr>
          <w:lang w:val="en-US"/>
        </w:rPr>
        <w:t xml:space="preserve">. This process employs genomic mining to identify multiple surface-exposed antigens that are important virulence factors and that </w:t>
      </w:r>
      <w:proofErr w:type="gramStart"/>
      <w:r w:rsidRPr="00286FAB">
        <w:rPr>
          <w:lang w:val="en-US"/>
        </w:rPr>
        <w:t>are believed to be highly conserved</w:t>
      </w:r>
      <w:proofErr w:type="gramEnd"/>
      <w:r w:rsidRPr="00286FAB">
        <w:rPr>
          <w:lang w:val="en-US"/>
        </w:rPr>
        <w:t xml:space="preserve"> across most isolates.</w:t>
      </w:r>
    </w:p>
    <w:p w:rsidR="00286FAB" w:rsidRPr="00286FAB" w:rsidRDefault="00286FAB" w:rsidP="00286FAB">
      <w:pPr>
        <w:pStyle w:val="ListParagraph"/>
      </w:pPr>
      <w:r w:rsidRPr="00286FAB">
        <w:t xml:space="preserve"> </w:t>
      </w:r>
    </w:p>
    <w:p w:rsidR="00286FAB" w:rsidRPr="00286FAB" w:rsidRDefault="00286FAB" w:rsidP="00286FAB">
      <w:pPr>
        <w:pStyle w:val="ListParagraph"/>
        <w:ind w:left="0"/>
      </w:pPr>
      <w:r w:rsidRPr="00286FAB">
        <w:t xml:space="preserve">The PBAC noted the </w:t>
      </w:r>
      <w:r>
        <w:t>Australian Technical Advisory Group on Immunisation (</w:t>
      </w:r>
      <w:r w:rsidRPr="00286FAB">
        <w:t>ATAGI</w:t>
      </w:r>
      <w:r>
        <w:t>)</w:t>
      </w:r>
      <w:r w:rsidRPr="00286FAB">
        <w:t xml:space="preserve"> post-submission advice that considered although there may be clinical value in a targeted program for indigenous children aged &lt;5 years, and patients with complement deficiency and </w:t>
      </w:r>
      <w:proofErr w:type="spellStart"/>
      <w:r w:rsidRPr="00286FAB">
        <w:t>asplenia</w:t>
      </w:r>
      <w:proofErr w:type="spellEnd"/>
      <w:r w:rsidRPr="00286FAB">
        <w:t xml:space="preserve">, based on increased risk of IMD , there are significant implementation issues to consider in the delivery of programs that target specific sub-populations.  In particular, that coverage is difficult to predict, and has historically been low for other targeted vaccine programs. The submission did not consider the clinical benefit or cost-effectiveness of targeting the vaccine to any </w:t>
      </w:r>
      <w:proofErr w:type="gramStart"/>
      <w:r w:rsidRPr="00286FAB">
        <w:t>high risk</w:t>
      </w:r>
      <w:proofErr w:type="gramEnd"/>
      <w:r w:rsidRPr="00286FAB">
        <w:t xml:space="preserve"> population.</w:t>
      </w:r>
    </w:p>
    <w:p w:rsidR="00BB219E" w:rsidRDefault="0004080D" w:rsidP="00BB219E">
      <w:pPr>
        <w:pStyle w:val="Heading3"/>
        <w:rPr>
          <w:sz w:val="22"/>
        </w:rPr>
      </w:pPr>
      <w:r w:rsidRPr="00BB219E">
        <w:rPr>
          <w:rFonts w:ascii="Times New Roman" w:hAnsi="Times New Roman"/>
          <w:sz w:val="24"/>
        </w:rPr>
        <w:t xml:space="preserve">6. </w:t>
      </w:r>
      <w:r w:rsidR="002A57B9" w:rsidRPr="00BB219E">
        <w:rPr>
          <w:rFonts w:ascii="Times New Roman" w:hAnsi="Times New Roman"/>
          <w:sz w:val="24"/>
        </w:rPr>
        <w:t>Comparator</w:t>
      </w:r>
      <w:r w:rsidR="00B80A12" w:rsidRPr="0004080D">
        <w:rPr>
          <w:sz w:val="22"/>
        </w:rPr>
        <w:t xml:space="preserve"> </w:t>
      </w:r>
    </w:p>
    <w:p w:rsidR="00EB609D" w:rsidRPr="00EB609D" w:rsidRDefault="00EB609D" w:rsidP="00EB609D">
      <w:pPr>
        <w:pStyle w:val="ListParagraph"/>
        <w:ind w:left="0"/>
      </w:pPr>
      <w:r w:rsidRPr="00EB609D">
        <w:t>The submission nominated no vaccination as the comparator.</w:t>
      </w:r>
    </w:p>
    <w:p w:rsidR="00EB609D" w:rsidRPr="00EB609D" w:rsidRDefault="00EB609D" w:rsidP="00EB609D"/>
    <w:p w:rsidR="00EB609D" w:rsidRPr="00EB609D" w:rsidRDefault="00EB609D" w:rsidP="00EB609D">
      <w:pPr>
        <w:pStyle w:val="ListParagraph"/>
        <w:ind w:left="0"/>
      </w:pPr>
      <w:r w:rsidRPr="00EB609D">
        <w:t>The PBAC agreed that the nominated comparator was appropriate, given that no vaccine against meningococcal B infection is currently available.</w:t>
      </w:r>
    </w:p>
    <w:p w:rsidR="00BB219E" w:rsidRDefault="0004080D" w:rsidP="00BB219E">
      <w:pPr>
        <w:pStyle w:val="Heading3"/>
        <w:rPr>
          <w:sz w:val="22"/>
        </w:rPr>
      </w:pPr>
      <w:r w:rsidRPr="00BB219E">
        <w:rPr>
          <w:rFonts w:ascii="Times New Roman" w:hAnsi="Times New Roman"/>
          <w:sz w:val="24"/>
        </w:rPr>
        <w:t xml:space="preserve">7. </w:t>
      </w:r>
      <w:r w:rsidR="002A57B9" w:rsidRPr="00BB219E">
        <w:rPr>
          <w:rFonts w:ascii="Times New Roman" w:hAnsi="Times New Roman"/>
          <w:sz w:val="24"/>
        </w:rPr>
        <w:t>Clinical Trials</w:t>
      </w:r>
      <w:r w:rsidR="009467CC" w:rsidRPr="0004080D">
        <w:rPr>
          <w:sz w:val="22"/>
        </w:rPr>
        <w:t xml:space="preserve"> </w:t>
      </w:r>
    </w:p>
    <w:p w:rsidR="00EB609D" w:rsidRPr="00EB609D" w:rsidRDefault="00EB609D" w:rsidP="00EB609D">
      <w:pPr>
        <w:pStyle w:val="ListParagraph"/>
        <w:ind w:left="0"/>
      </w:pPr>
      <w:r w:rsidRPr="00EB609D">
        <w:t>The submission presented separate studies to support vaccine efficacy in infants and in adolescents. All of the studies presented in the submission use a surrogate marker of vaccine efficacy (namely titres of ≥1:</w:t>
      </w:r>
      <w:proofErr w:type="gramStart"/>
      <w:r w:rsidRPr="00EB609D">
        <w:t>4</w:t>
      </w:r>
      <w:proofErr w:type="gramEnd"/>
      <w:r w:rsidRPr="00EB609D">
        <w:t xml:space="preserve"> derived from a human serum bactericidal assay (</w:t>
      </w:r>
      <w:proofErr w:type="spellStart"/>
      <w:r w:rsidRPr="00EB609D">
        <w:t>hSBA</w:t>
      </w:r>
      <w:proofErr w:type="spellEnd"/>
      <w:r w:rsidRPr="00EB609D">
        <w:t xml:space="preserve">)), historically accepted for establishing protection from meningococcal disease.  No clinical outcome studies </w:t>
      </w:r>
      <w:proofErr w:type="gramStart"/>
      <w:r w:rsidRPr="00EB609D">
        <w:t>were conducted</w:t>
      </w:r>
      <w:proofErr w:type="gramEnd"/>
      <w:r w:rsidRPr="00EB609D">
        <w:t xml:space="preserve">. </w:t>
      </w:r>
      <w:r w:rsidRPr="00EB609D">
        <w:rPr>
          <w:rFonts w:eastAsia="SimSun"/>
          <w:iCs/>
        </w:rPr>
        <w:t xml:space="preserve">The PBAC recalled that it had accepted the use of SBA titres, as a surrogate outcome for clinical efficacy, in its consideration of the combination vaccine for </w:t>
      </w:r>
      <w:proofErr w:type="spellStart"/>
      <w:r w:rsidRPr="00EB609D">
        <w:rPr>
          <w:rFonts w:eastAsia="SimSun"/>
          <w:i/>
          <w:iCs/>
        </w:rPr>
        <w:t>Haemophilus</w:t>
      </w:r>
      <w:proofErr w:type="spellEnd"/>
      <w:r w:rsidRPr="00EB609D">
        <w:rPr>
          <w:rFonts w:eastAsia="SimSun"/>
          <w:i/>
          <w:iCs/>
        </w:rPr>
        <w:t xml:space="preserve"> </w:t>
      </w:r>
      <w:proofErr w:type="spellStart"/>
      <w:r w:rsidRPr="00EB609D">
        <w:rPr>
          <w:rFonts w:eastAsia="SimSun"/>
          <w:i/>
          <w:iCs/>
        </w:rPr>
        <w:t>influenzae</w:t>
      </w:r>
      <w:proofErr w:type="spellEnd"/>
      <w:r w:rsidRPr="00EB609D">
        <w:rPr>
          <w:rFonts w:eastAsia="SimSun"/>
          <w:iCs/>
        </w:rPr>
        <w:t xml:space="preserve"> (</w:t>
      </w:r>
      <w:proofErr w:type="spellStart"/>
      <w:r w:rsidRPr="00EB609D">
        <w:rPr>
          <w:rFonts w:eastAsia="SimSun"/>
          <w:iCs/>
        </w:rPr>
        <w:t>Hib</w:t>
      </w:r>
      <w:proofErr w:type="spellEnd"/>
      <w:r w:rsidRPr="00EB609D">
        <w:rPr>
          <w:rFonts w:eastAsia="SimSun"/>
          <w:iCs/>
        </w:rPr>
        <w:t xml:space="preserve">) </w:t>
      </w:r>
      <w:r w:rsidRPr="00EB609D">
        <w:rPr>
          <w:rFonts w:eastAsia="SimSun"/>
        </w:rPr>
        <w:t xml:space="preserve">and </w:t>
      </w:r>
      <w:r w:rsidRPr="00EB609D">
        <w:rPr>
          <w:rFonts w:eastAsia="SimSun"/>
          <w:i/>
          <w:iCs/>
        </w:rPr>
        <w:t>Neisseria meningitis</w:t>
      </w:r>
      <w:r w:rsidRPr="00EB609D">
        <w:rPr>
          <w:rFonts w:eastAsia="SimSun"/>
          <w:iCs/>
        </w:rPr>
        <w:t xml:space="preserve"> </w:t>
      </w:r>
      <w:proofErr w:type="spellStart"/>
      <w:r w:rsidRPr="00EB609D">
        <w:rPr>
          <w:rFonts w:eastAsia="SimSun"/>
        </w:rPr>
        <w:t>serogroup</w:t>
      </w:r>
      <w:proofErr w:type="spellEnd"/>
      <w:r w:rsidRPr="00EB609D">
        <w:rPr>
          <w:rFonts w:eastAsia="SimSun"/>
        </w:rPr>
        <w:t xml:space="preserve"> C (</w:t>
      </w:r>
      <w:proofErr w:type="spellStart"/>
      <w:r w:rsidRPr="00EB609D">
        <w:rPr>
          <w:rFonts w:eastAsia="SimSun"/>
        </w:rPr>
        <w:t>MenC</w:t>
      </w:r>
      <w:proofErr w:type="spellEnd"/>
      <w:r w:rsidRPr="00EB609D">
        <w:rPr>
          <w:rFonts w:eastAsia="SimSun"/>
        </w:rPr>
        <w:t>) compared to giving the two component vaccines concomitantly.</w:t>
      </w:r>
      <w:r w:rsidRPr="00EB609D">
        <w:t xml:space="preserve"> The PBAC noted that the threshold titre value was determined based on studies from the 1960s assessing the </w:t>
      </w:r>
      <w:r w:rsidRPr="00EB609D">
        <w:rPr>
          <w:lang w:val="en-US"/>
        </w:rPr>
        <w:t>bactericidal activity of an Army recruit population for susceptibility to group C meningococcal disease.</w:t>
      </w:r>
      <w:r w:rsidRPr="00EB609D">
        <w:t xml:space="preserve">  The PBAC also noted that all previous meningococcal vaccines validated with effectiveness outcomes using this surrogate </w:t>
      </w:r>
      <w:proofErr w:type="gramStart"/>
      <w:r w:rsidRPr="00EB609D">
        <w:t>have been based</w:t>
      </w:r>
      <w:proofErr w:type="gramEnd"/>
      <w:r w:rsidRPr="00EB609D">
        <w:t xml:space="preserve"> upon capsular polysaccharide antigens, with or without </w:t>
      </w:r>
      <w:proofErr w:type="spellStart"/>
      <w:r w:rsidRPr="00EB609D">
        <w:t>glycoconjugation</w:t>
      </w:r>
      <w:proofErr w:type="spellEnd"/>
      <w:r w:rsidRPr="00EB609D">
        <w:t xml:space="preserve">. </w:t>
      </w:r>
      <w:r w:rsidRPr="00EB609D">
        <w:rPr>
          <w:rFonts w:eastAsia="SimSun"/>
        </w:rPr>
        <w:t xml:space="preserve">The PBAC noted that </w:t>
      </w:r>
      <w:r w:rsidRPr="00EB609D">
        <w:t xml:space="preserve">ATAGI agreed that the use of an </w:t>
      </w:r>
      <w:proofErr w:type="spellStart"/>
      <w:r w:rsidRPr="00EB609D">
        <w:t>hSBA</w:t>
      </w:r>
      <w:proofErr w:type="spellEnd"/>
      <w:r w:rsidRPr="00EB609D">
        <w:t xml:space="preserve"> titre threshold of ≥1:</w:t>
      </w:r>
      <w:proofErr w:type="gramStart"/>
      <w:r w:rsidRPr="00EB609D">
        <w:t>4</w:t>
      </w:r>
      <w:proofErr w:type="gramEnd"/>
      <w:r w:rsidRPr="00EB609D">
        <w:t xml:space="preserve"> is a suitable surrogate for inference of the clinical efficacy of the 4CMenB vaccine in clinical trials.</w:t>
      </w:r>
    </w:p>
    <w:p w:rsidR="00EB609D" w:rsidRPr="00EB609D" w:rsidRDefault="00EB609D" w:rsidP="00EB609D">
      <w:pPr>
        <w:pStyle w:val="ListParagraph"/>
        <w:ind w:left="709"/>
      </w:pPr>
      <w:r w:rsidRPr="00EB609D">
        <w:t xml:space="preserve"> </w:t>
      </w:r>
    </w:p>
    <w:p w:rsidR="00EB609D" w:rsidRPr="00EB609D" w:rsidRDefault="00EB609D" w:rsidP="00EB609D">
      <w:pPr>
        <w:pStyle w:val="ListParagraph"/>
        <w:ind w:left="0"/>
      </w:pPr>
      <w:r w:rsidRPr="00EB609D">
        <w:rPr>
          <w:b/>
        </w:rPr>
        <w:t>Infants</w:t>
      </w:r>
      <w:r w:rsidRPr="00EB609D">
        <w:t xml:space="preserve">: The submission presented two randomised trials comparing 4CMenB to placebo (Studies V72P12 and V72P13), in infants aged 2 months at entry, receiving </w:t>
      </w:r>
      <w:proofErr w:type="gramStart"/>
      <w:r w:rsidRPr="00EB609D">
        <w:t>3</w:t>
      </w:r>
      <w:proofErr w:type="gramEnd"/>
      <w:r w:rsidRPr="00EB609D">
        <w:t xml:space="preserve"> doses. A meta-analysis of these trials </w:t>
      </w:r>
      <w:proofErr w:type="gramStart"/>
      <w:r w:rsidRPr="00EB609D">
        <w:t>is also presented</w:t>
      </w:r>
      <w:proofErr w:type="gramEnd"/>
      <w:r w:rsidRPr="00EB609D">
        <w:t xml:space="preserve"> in support of the clinical claim for vaccination in infants. The submission presented additional evidence from three extension studies. Study V72P12 had one extension phase (E1) and Study V72P13 had two extension phases (E1 and E2). Evidence from Studies V72P12E1 and V72P13E1 </w:t>
      </w:r>
      <w:proofErr w:type="gramStart"/>
      <w:r w:rsidRPr="00EB609D">
        <w:t>is presented</w:t>
      </w:r>
      <w:proofErr w:type="gramEnd"/>
      <w:r w:rsidRPr="00EB609D">
        <w:t xml:space="preserve"> in support of the clinical claim for a booster dose at 12 months of age.</w:t>
      </w:r>
    </w:p>
    <w:p w:rsidR="00EB609D" w:rsidRPr="00EB609D" w:rsidRDefault="00EB609D" w:rsidP="00EB609D">
      <w:pPr>
        <w:pStyle w:val="ListParagraph"/>
        <w:ind w:left="709"/>
      </w:pPr>
    </w:p>
    <w:p w:rsidR="00EB609D" w:rsidRPr="00EB609D" w:rsidRDefault="00EB609D" w:rsidP="00EB609D">
      <w:pPr>
        <w:pStyle w:val="ListParagraph"/>
        <w:ind w:left="0"/>
      </w:pPr>
      <w:r w:rsidRPr="00EB609D">
        <w:t xml:space="preserve">The PBAC noted that these studies were carried out with the routine concomitant vaccinations of </w:t>
      </w:r>
      <w:proofErr w:type="spellStart"/>
      <w:r w:rsidRPr="00EB609D">
        <w:t>Infanrix</w:t>
      </w:r>
      <w:proofErr w:type="spellEnd"/>
      <w:r w:rsidRPr="00EB609D">
        <w:t xml:space="preserve"> </w:t>
      </w:r>
      <w:proofErr w:type="spellStart"/>
      <w:r w:rsidRPr="00EB609D">
        <w:t>Hexa</w:t>
      </w:r>
      <w:proofErr w:type="spellEnd"/>
      <w:r w:rsidRPr="00EB609D">
        <w:t xml:space="preserve">, </w:t>
      </w:r>
      <w:proofErr w:type="spellStart"/>
      <w:r w:rsidRPr="00EB609D">
        <w:t>Prevenar</w:t>
      </w:r>
      <w:proofErr w:type="spellEnd"/>
      <w:r w:rsidRPr="00EB609D">
        <w:t xml:space="preserve"> 7 and MMRV, but not rotavirus or </w:t>
      </w:r>
      <w:proofErr w:type="spellStart"/>
      <w:r w:rsidRPr="00EB609D">
        <w:t>Prevenar</w:t>
      </w:r>
      <w:proofErr w:type="spellEnd"/>
      <w:r w:rsidRPr="00EB609D">
        <w:t xml:space="preserve"> </w:t>
      </w:r>
      <w:proofErr w:type="gramStart"/>
      <w:r w:rsidRPr="00EB609D">
        <w:t>13 which</w:t>
      </w:r>
      <w:proofErr w:type="gramEnd"/>
      <w:r w:rsidRPr="00EB609D">
        <w:t xml:space="preserve"> are currently on the NIP for infants. There is no information on potential interaction of the 4CMenB with rotavirus or some pneumococcal serotypes contained in </w:t>
      </w:r>
      <w:proofErr w:type="spellStart"/>
      <w:r w:rsidRPr="00EB609D">
        <w:t>Prevenar</w:t>
      </w:r>
      <w:proofErr w:type="spellEnd"/>
      <w:r w:rsidRPr="00EB609D">
        <w:t xml:space="preserve"> 13 in terms of protective immune response or potential harms.</w:t>
      </w:r>
    </w:p>
    <w:p w:rsidR="00EB609D" w:rsidRPr="00EB609D" w:rsidRDefault="00EB609D" w:rsidP="00EB609D">
      <w:pPr>
        <w:pStyle w:val="ListParagraph"/>
        <w:rPr>
          <w:highlight w:val="yellow"/>
        </w:rPr>
      </w:pPr>
    </w:p>
    <w:p w:rsidR="00EB609D" w:rsidRPr="00EB609D" w:rsidRDefault="00EB609D" w:rsidP="00EB609D">
      <w:pPr>
        <w:pStyle w:val="ListParagraph"/>
        <w:ind w:left="0"/>
      </w:pPr>
      <w:r w:rsidRPr="00EB609D">
        <w:lastRenderedPageBreak/>
        <w:t xml:space="preserve">A supportive trial, Study V72P16, investigated the impact of prophylactic paracetamol following concomitant administration of 4CMenB with the routine vaccines in infants at </w:t>
      </w:r>
      <w:proofErr w:type="gramStart"/>
      <w:r w:rsidRPr="00EB609D">
        <w:t>2</w:t>
      </w:r>
      <w:proofErr w:type="gramEnd"/>
      <w:r w:rsidRPr="00EB609D">
        <w:t>, 3 and 4 months of age.</w:t>
      </w:r>
    </w:p>
    <w:p w:rsidR="00EB609D" w:rsidRPr="00EB609D" w:rsidRDefault="00EB609D" w:rsidP="00EB609D"/>
    <w:p w:rsidR="00EB609D" w:rsidRPr="00EB609D" w:rsidRDefault="00EB609D" w:rsidP="00EB609D">
      <w:pPr>
        <w:pStyle w:val="ListParagraph"/>
        <w:ind w:left="0"/>
      </w:pPr>
      <w:r w:rsidRPr="00EB609D">
        <w:rPr>
          <w:b/>
        </w:rPr>
        <w:t>Adolescents</w:t>
      </w:r>
      <w:r w:rsidRPr="00EB609D">
        <w:t xml:space="preserve">: The submission presented one randomised trial comparing 4CMenB to placebo (Study V72P10), in adolescents 11 to 17 years of age, receiving </w:t>
      </w:r>
      <w:proofErr w:type="gramStart"/>
      <w:r w:rsidRPr="00EB609D">
        <w:t>1</w:t>
      </w:r>
      <w:proofErr w:type="gramEnd"/>
      <w:r w:rsidRPr="00EB609D">
        <w:t>, 2 or 3 doses. The submission presented additional evidence from one extension study, V72P10E1 to demonstrate persistence of effect.</w:t>
      </w:r>
    </w:p>
    <w:p w:rsidR="00EB609D" w:rsidRPr="00EB609D" w:rsidRDefault="00EB609D" w:rsidP="00EB609D"/>
    <w:p w:rsidR="00EB609D" w:rsidRPr="00EB609D" w:rsidRDefault="00EB609D" w:rsidP="00EB609D">
      <w:pPr>
        <w:pStyle w:val="ListParagraph"/>
        <w:ind w:left="0"/>
      </w:pPr>
      <w:r w:rsidRPr="00EB609D">
        <w:rPr>
          <w:b/>
        </w:rPr>
        <w:t>Carriage:</w:t>
      </w:r>
      <w:r w:rsidRPr="00EB609D">
        <w:t xml:space="preserve"> The submission presented one randomised trial that assessed the effect of 4CMenB (</w:t>
      </w:r>
      <w:proofErr w:type="gramStart"/>
      <w:r w:rsidRPr="00EB609D">
        <w:t>2</w:t>
      </w:r>
      <w:proofErr w:type="gramEnd"/>
      <w:r w:rsidRPr="00EB609D">
        <w:t xml:space="preserve"> doses) on the reduction in meningococcal B nasopharyngeal carriage in university students aged 18-24 years in the UK (Study V72_29).</w:t>
      </w:r>
    </w:p>
    <w:p w:rsidR="00EB609D" w:rsidRDefault="00EB609D" w:rsidP="00EB609D">
      <w:pPr>
        <w:rPr>
          <w:rFonts w:ascii="Arial" w:hAnsi="Arial" w:cs="Arial"/>
        </w:rPr>
      </w:pPr>
    </w:p>
    <w:p w:rsidR="00EB609D" w:rsidRPr="00250047" w:rsidRDefault="00EB609D" w:rsidP="00EB609D">
      <w:r>
        <w:t xml:space="preserve">Details of the trials and associated reports presented in the submission </w:t>
      </w:r>
      <w:proofErr w:type="gramStart"/>
      <w:r>
        <w:t>are presented</w:t>
      </w:r>
      <w:proofErr w:type="gramEnd"/>
      <w:r>
        <w:t xml:space="preserve"> in the table below.</w:t>
      </w:r>
    </w:p>
    <w:p w:rsidR="00FF2093" w:rsidRDefault="00FF2093" w:rsidP="00FF2093"/>
    <w:p w:rsidR="00EB609D" w:rsidRPr="00EB609D" w:rsidRDefault="00EB609D" w:rsidP="00EB609D">
      <w:pPr>
        <w:widowControl w:val="0"/>
        <w:jc w:val="both"/>
        <w:rPr>
          <w:rFonts w:ascii="Arial" w:hAnsi="Arial"/>
          <w:b/>
          <w:snapToGrid w:val="0"/>
          <w:sz w:val="20"/>
          <w:szCs w:val="20"/>
          <w:lang w:eastAsia="en-US"/>
        </w:rPr>
      </w:pPr>
      <w:r w:rsidRPr="00EB609D">
        <w:rPr>
          <w:rFonts w:ascii="Arial" w:hAnsi="Arial"/>
          <w:b/>
          <w:snapToGrid w:val="0"/>
          <w:sz w:val="20"/>
          <w:szCs w:val="20"/>
          <w:lang w:eastAsia="en-US"/>
        </w:rPr>
        <w:t>Trials and associated reports presented in the submission</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rials and associated reports presented in the submission"/>
      </w:tblPr>
      <w:tblGrid>
        <w:gridCol w:w="1276"/>
        <w:gridCol w:w="5023"/>
        <w:gridCol w:w="2827"/>
      </w:tblGrid>
      <w:tr w:rsidR="00EB609D" w:rsidRPr="00EB609D" w:rsidTr="00250047">
        <w:tc>
          <w:tcPr>
            <w:tcW w:w="699" w:type="pct"/>
          </w:tcPr>
          <w:p w:rsidR="00EB609D" w:rsidRPr="00EB609D" w:rsidRDefault="00EB609D" w:rsidP="00EB609D">
            <w:pPr>
              <w:widowControl w:val="0"/>
              <w:jc w:val="both"/>
              <w:rPr>
                <w:rFonts w:ascii="Arial" w:hAnsi="Arial"/>
                <w:b/>
                <w:snapToGrid w:val="0"/>
                <w:sz w:val="20"/>
                <w:szCs w:val="20"/>
                <w:lang w:eastAsia="en-US"/>
              </w:rPr>
            </w:pPr>
            <w:r w:rsidRPr="00EB609D">
              <w:rPr>
                <w:rFonts w:ascii="Arial" w:hAnsi="Arial"/>
                <w:b/>
                <w:snapToGrid w:val="0"/>
                <w:sz w:val="20"/>
                <w:szCs w:val="20"/>
                <w:lang w:eastAsia="en-US"/>
              </w:rPr>
              <w:t>Trial ID</w:t>
            </w:r>
          </w:p>
        </w:tc>
        <w:tc>
          <w:tcPr>
            <w:tcW w:w="2752" w:type="pct"/>
          </w:tcPr>
          <w:p w:rsidR="00EB609D" w:rsidRPr="00EB609D" w:rsidRDefault="00EB609D" w:rsidP="00EB609D">
            <w:pPr>
              <w:widowControl w:val="0"/>
              <w:jc w:val="center"/>
              <w:rPr>
                <w:rFonts w:ascii="Arial" w:hAnsi="Arial"/>
                <w:b/>
                <w:snapToGrid w:val="0"/>
                <w:sz w:val="20"/>
                <w:szCs w:val="20"/>
                <w:lang w:eastAsia="en-US"/>
              </w:rPr>
            </w:pPr>
            <w:r w:rsidRPr="00EB609D">
              <w:rPr>
                <w:rFonts w:ascii="Arial" w:hAnsi="Arial"/>
                <w:b/>
                <w:snapToGrid w:val="0"/>
                <w:sz w:val="20"/>
                <w:szCs w:val="20"/>
                <w:lang w:eastAsia="en-US"/>
              </w:rPr>
              <w:t>Protocol title/ Publication title</w:t>
            </w:r>
          </w:p>
        </w:tc>
        <w:tc>
          <w:tcPr>
            <w:tcW w:w="1549" w:type="pct"/>
          </w:tcPr>
          <w:p w:rsidR="00EB609D" w:rsidRPr="00EB609D" w:rsidRDefault="00EB609D" w:rsidP="00EB609D">
            <w:pPr>
              <w:widowControl w:val="0"/>
              <w:jc w:val="center"/>
              <w:rPr>
                <w:rFonts w:ascii="Arial" w:hAnsi="Arial"/>
                <w:b/>
                <w:snapToGrid w:val="0"/>
                <w:sz w:val="20"/>
                <w:szCs w:val="20"/>
                <w:lang w:eastAsia="en-US"/>
              </w:rPr>
            </w:pPr>
            <w:r w:rsidRPr="00EB609D">
              <w:rPr>
                <w:rFonts w:ascii="Arial" w:hAnsi="Arial"/>
                <w:b/>
                <w:snapToGrid w:val="0"/>
                <w:sz w:val="20"/>
                <w:szCs w:val="20"/>
                <w:lang w:eastAsia="en-US"/>
              </w:rPr>
              <w:t>Publication citation</w:t>
            </w:r>
          </w:p>
        </w:tc>
      </w:tr>
      <w:tr w:rsidR="00EB609D" w:rsidRPr="00EB609D" w:rsidTr="00EB609D">
        <w:tc>
          <w:tcPr>
            <w:tcW w:w="5000" w:type="pct"/>
            <w:gridSpan w:val="3"/>
          </w:tcPr>
          <w:p w:rsidR="00EB609D" w:rsidRPr="00EB609D" w:rsidRDefault="00EB609D" w:rsidP="00EB609D">
            <w:pPr>
              <w:widowControl w:val="0"/>
              <w:jc w:val="both"/>
              <w:rPr>
                <w:rFonts w:ascii="Arial" w:hAnsi="Arial"/>
                <w:b/>
                <w:snapToGrid w:val="0"/>
                <w:sz w:val="20"/>
                <w:szCs w:val="20"/>
                <w:lang w:eastAsia="en-US"/>
              </w:rPr>
            </w:pPr>
            <w:r w:rsidRPr="00EB609D">
              <w:rPr>
                <w:rFonts w:ascii="Arial" w:hAnsi="Arial"/>
                <w:b/>
                <w:snapToGrid w:val="0"/>
                <w:sz w:val="20"/>
                <w:szCs w:val="20"/>
                <w:lang w:eastAsia="en-US"/>
              </w:rPr>
              <w:t>Infant Studies</w:t>
            </w:r>
          </w:p>
        </w:tc>
      </w:tr>
      <w:tr w:rsidR="00EB609D" w:rsidRPr="00EB609D" w:rsidTr="00250047">
        <w:tc>
          <w:tcPr>
            <w:tcW w:w="699" w:type="pct"/>
          </w:tcPr>
          <w:p w:rsidR="00EB609D" w:rsidRPr="00EB609D" w:rsidRDefault="00EB609D" w:rsidP="00EB609D">
            <w:pPr>
              <w:widowControl w:val="0"/>
              <w:jc w:val="both"/>
              <w:rPr>
                <w:rFonts w:ascii="Arial" w:hAnsi="Arial"/>
                <w:snapToGrid w:val="0"/>
                <w:sz w:val="20"/>
                <w:szCs w:val="20"/>
                <w:lang w:eastAsia="en-US"/>
              </w:rPr>
            </w:pPr>
            <w:r w:rsidRPr="00EB609D">
              <w:rPr>
                <w:rFonts w:ascii="Arial" w:hAnsi="Arial"/>
                <w:snapToGrid w:val="0"/>
                <w:sz w:val="20"/>
                <w:szCs w:val="20"/>
                <w:lang w:eastAsia="en-US"/>
              </w:rPr>
              <w:t>V72P12</w:t>
            </w:r>
          </w:p>
        </w:tc>
        <w:tc>
          <w:tcPr>
            <w:tcW w:w="2752" w:type="pct"/>
          </w:tcPr>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roofErr w:type="spellStart"/>
            <w:r w:rsidRPr="00EB609D">
              <w:rPr>
                <w:rFonts w:ascii="Arial" w:hAnsi="Arial"/>
                <w:snapToGrid w:val="0"/>
                <w:sz w:val="20"/>
                <w:szCs w:val="20"/>
                <w:lang w:eastAsia="en-US"/>
              </w:rPr>
              <w:t>Gossger</w:t>
            </w:r>
            <w:proofErr w:type="spellEnd"/>
            <w:r w:rsidRPr="00EB609D">
              <w:rPr>
                <w:rFonts w:ascii="Arial" w:hAnsi="Arial"/>
                <w:snapToGrid w:val="0"/>
                <w:sz w:val="20"/>
                <w:szCs w:val="20"/>
                <w:lang w:eastAsia="en-US"/>
              </w:rPr>
              <w:t xml:space="preserve"> N, Snape MD, Finn A et al.</w:t>
            </w:r>
          </w:p>
          <w:p w:rsidR="00EB609D" w:rsidRPr="00EB609D" w:rsidRDefault="00EB609D" w:rsidP="00250047">
            <w:pPr>
              <w:widowControl w:val="0"/>
              <w:rPr>
                <w:rFonts w:ascii="Arial" w:hAnsi="Arial"/>
                <w:snapToGrid w:val="0"/>
                <w:sz w:val="20"/>
                <w:szCs w:val="20"/>
                <w:lang w:eastAsia="en-US"/>
              </w:rPr>
            </w:pPr>
            <w:r w:rsidRPr="00EB609D">
              <w:rPr>
                <w:rFonts w:ascii="Arial" w:hAnsi="Arial"/>
                <w:snapToGrid w:val="0"/>
                <w:sz w:val="20"/>
                <w:szCs w:val="20"/>
                <w:lang w:eastAsia="en-US"/>
              </w:rPr>
              <w:t xml:space="preserve">Immunogenicity of an investigational multicomponent meningococcal </w:t>
            </w:r>
            <w:proofErr w:type="spellStart"/>
            <w:r w:rsidRPr="00EB609D">
              <w:rPr>
                <w:rFonts w:ascii="Arial" w:hAnsi="Arial"/>
                <w:snapToGrid w:val="0"/>
                <w:sz w:val="20"/>
                <w:szCs w:val="20"/>
                <w:lang w:eastAsia="en-US"/>
              </w:rPr>
              <w:t>serogroup</w:t>
            </w:r>
            <w:proofErr w:type="spellEnd"/>
            <w:r w:rsidRPr="00EB609D">
              <w:rPr>
                <w:rFonts w:ascii="Arial" w:hAnsi="Arial"/>
                <w:snapToGrid w:val="0"/>
                <w:sz w:val="20"/>
                <w:szCs w:val="20"/>
                <w:lang w:eastAsia="en-US"/>
              </w:rPr>
              <w:t xml:space="preserve"> B vaccine (4CMenB) administered with or without routine infant vaccinations in different schedules.</w:t>
            </w: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roofErr w:type="spellStart"/>
            <w:r w:rsidRPr="00EB609D">
              <w:rPr>
                <w:rFonts w:ascii="Arial" w:hAnsi="Arial"/>
                <w:snapToGrid w:val="0"/>
                <w:sz w:val="20"/>
                <w:szCs w:val="20"/>
                <w:lang w:eastAsia="en-US"/>
              </w:rPr>
              <w:t>Gossger</w:t>
            </w:r>
            <w:proofErr w:type="spellEnd"/>
            <w:r w:rsidRPr="00EB609D">
              <w:rPr>
                <w:rFonts w:ascii="Arial" w:hAnsi="Arial"/>
                <w:snapToGrid w:val="0"/>
                <w:sz w:val="20"/>
                <w:szCs w:val="20"/>
                <w:lang w:eastAsia="en-US"/>
              </w:rPr>
              <w:t xml:space="preserve">, N., Snape, M. D., et al. (2012). "Immunogenicity and tolerability of recombinant </w:t>
            </w:r>
            <w:proofErr w:type="spellStart"/>
            <w:r w:rsidRPr="00EB609D">
              <w:rPr>
                <w:rFonts w:ascii="Arial" w:hAnsi="Arial"/>
                <w:snapToGrid w:val="0"/>
                <w:sz w:val="20"/>
                <w:szCs w:val="20"/>
                <w:lang w:eastAsia="en-US"/>
              </w:rPr>
              <w:t>serogroup</w:t>
            </w:r>
            <w:proofErr w:type="spellEnd"/>
            <w:r w:rsidRPr="00EB609D">
              <w:rPr>
                <w:rFonts w:ascii="Arial" w:hAnsi="Arial"/>
                <w:snapToGrid w:val="0"/>
                <w:sz w:val="20"/>
                <w:szCs w:val="20"/>
                <w:lang w:eastAsia="en-US"/>
              </w:rPr>
              <w:t xml:space="preserve"> B meningococcal vaccine administered with or without routine infant vaccinations according to different immunization schedules: A randomized controlled trial.</w:t>
            </w:r>
            <w:proofErr w:type="gramStart"/>
            <w:r w:rsidRPr="00EB609D">
              <w:rPr>
                <w:rFonts w:ascii="Arial" w:hAnsi="Arial"/>
                <w:snapToGrid w:val="0"/>
                <w:sz w:val="20"/>
                <w:szCs w:val="20"/>
                <w:lang w:eastAsia="en-US"/>
              </w:rPr>
              <w:t>".</w:t>
            </w:r>
            <w:proofErr w:type="gramEnd"/>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roofErr w:type="gramStart"/>
            <w:r w:rsidRPr="00EB609D">
              <w:rPr>
                <w:rFonts w:ascii="Arial" w:hAnsi="Arial"/>
                <w:snapToGrid w:val="0"/>
                <w:sz w:val="20"/>
                <w:szCs w:val="20"/>
                <w:lang w:eastAsia="en-US"/>
              </w:rPr>
              <w:t xml:space="preserve">Cohn, A. C. and </w:t>
            </w:r>
            <w:proofErr w:type="spellStart"/>
            <w:r w:rsidRPr="00EB609D">
              <w:rPr>
                <w:rFonts w:ascii="Arial" w:hAnsi="Arial"/>
                <w:snapToGrid w:val="0"/>
                <w:sz w:val="20"/>
                <w:szCs w:val="20"/>
                <w:lang w:eastAsia="en-US"/>
              </w:rPr>
              <w:t>Messonnier</w:t>
            </w:r>
            <w:proofErr w:type="spellEnd"/>
            <w:r w:rsidRPr="00EB609D">
              <w:rPr>
                <w:rFonts w:ascii="Arial" w:hAnsi="Arial"/>
                <w:snapToGrid w:val="0"/>
                <w:sz w:val="20"/>
                <w:szCs w:val="20"/>
                <w:lang w:eastAsia="en-US"/>
              </w:rPr>
              <w:t>, N. E. (2012).</w:t>
            </w:r>
            <w:proofErr w:type="gramEnd"/>
            <w:r w:rsidRPr="00EB609D">
              <w:rPr>
                <w:rFonts w:ascii="Arial" w:hAnsi="Arial"/>
                <w:snapToGrid w:val="0"/>
                <w:sz w:val="20"/>
                <w:szCs w:val="20"/>
                <w:lang w:eastAsia="en-US"/>
              </w:rPr>
              <w:t xml:space="preserve"> "Inching toward a </w:t>
            </w:r>
            <w:proofErr w:type="spellStart"/>
            <w:r w:rsidRPr="00EB609D">
              <w:rPr>
                <w:rFonts w:ascii="Arial" w:hAnsi="Arial"/>
                <w:snapToGrid w:val="0"/>
                <w:sz w:val="20"/>
                <w:szCs w:val="20"/>
                <w:lang w:eastAsia="en-US"/>
              </w:rPr>
              <w:t>serogroup</w:t>
            </w:r>
            <w:proofErr w:type="spellEnd"/>
            <w:r w:rsidRPr="00EB609D">
              <w:rPr>
                <w:rFonts w:ascii="Arial" w:hAnsi="Arial"/>
                <w:snapToGrid w:val="0"/>
                <w:sz w:val="20"/>
                <w:szCs w:val="20"/>
                <w:lang w:eastAsia="en-US"/>
              </w:rPr>
              <w:t xml:space="preserve"> B meningococcal vaccine for infants." </w:t>
            </w: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roofErr w:type="spellStart"/>
            <w:proofErr w:type="gramStart"/>
            <w:r w:rsidRPr="00EB609D">
              <w:rPr>
                <w:rFonts w:ascii="Arial" w:hAnsi="Arial"/>
                <w:snapToGrid w:val="0"/>
                <w:sz w:val="20"/>
                <w:szCs w:val="20"/>
                <w:lang w:eastAsia="en-US"/>
              </w:rPr>
              <w:t>Vesikari</w:t>
            </w:r>
            <w:proofErr w:type="spellEnd"/>
            <w:r w:rsidRPr="00EB609D">
              <w:rPr>
                <w:rFonts w:ascii="Arial" w:hAnsi="Arial"/>
                <w:snapToGrid w:val="0"/>
                <w:sz w:val="20"/>
                <w:szCs w:val="20"/>
                <w:lang w:eastAsia="en-US"/>
              </w:rPr>
              <w:t>, T., S. Esposito, et al. (2013).</w:t>
            </w:r>
            <w:proofErr w:type="gramEnd"/>
            <w:r w:rsidRPr="00EB609D">
              <w:rPr>
                <w:rFonts w:ascii="Arial" w:hAnsi="Arial"/>
                <w:snapToGrid w:val="0"/>
                <w:sz w:val="20"/>
                <w:szCs w:val="20"/>
                <w:lang w:eastAsia="en-US"/>
              </w:rPr>
              <w:t xml:space="preserve"> "Immunogenicity and safety of an investigational multicomponent, recombinant, meningococcal </w:t>
            </w:r>
            <w:proofErr w:type="spellStart"/>
            <w:r w:rsidRPr="00EB609D">
              <w:rPr>
                <w:rFonts w:ascii="Arial" w:hAnsi="Arial"/>
                <w:snapToGrid w:val="0"/>
                <w:sz w:val="20"/>
                <w:szCs w:val="20"/>
                <w:lang w:eastAsia="en-US"/>
              </w:rPr>
              <w:t>serogroup</w:t>
            </w:r>
            <w:proofErr w:type="spellEnd"/>
            <w:r w:rsidRPr="00EB609D">
              <w:rPr>
                <w:rFonts w:ascii="Arial" w:hAnsi="Arial"/>
                <w:snapToGrid w:val="0"/>
                <w:sz w:val="20"/>
                <w:szCs w:val="20"/>
                <w:lang w:eastAsia="en-US"/>
              </w:rPr>
              <w:t xml:space="preserve"> B vaccine (4CMenB) administered concomitantly with routine infant and child vaccinations: Results of two randomised trials." </w:t>
            </w: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roofErr w:type="spellStart"/>
            <w:r w:rsidRPr="00EB609D">
              <w:rPr>
                <w:rFonts w:ascii="Arial" w:hAnsi="Arial"/>
                <w:snapToGrid w:val="0"/>
                <w:sz w:val="20"/>
                <w:szCs w:val="20"/>
                <w:lang w:eastAsia="en-US"/>
              </w:rPr>
              <w:t>Beeretz</w:t>
            </w:r>
            <w:proofErr w:type="spellEnd"/>
            <w:r w:rsidRPr="00EB609D">
              <w:rPr>
                <w:rFonts w:ascii="Arial" w:hAnsi="Arial"/>
                <w:snapToGrid w:val="0"/>
                <w:sz w:val="20"/>
                <w:szCs w:val="20"/>
                <w:lang w:eastAsia="en-US"/>
              </w:rPr>
              <w:t xml:space="preserve"> I, Snape MD, Finn A et al.</w:t>
            </w:r>
          </w:p>
          <w:p w:rsidR="00EB609D" w:rsidRPr="00EB609D" w:rsidRDefault="00EB609D" w:rsidP="00250047">
            <w:pPr>
              <w:widowControl w:val="0"/>
              <w:rPr>
                <w:rFonts w:ascii="Arial" w:hAnsi="Arial"/>
                <w:b/>
                <w:snapToGrid w:val="0"/>
                <w:sz w:val="20"/>
                <w:szCs w:val="20"/>
                <w:lang w:eastAsia="en-US"/>
              </w:rPr>
            </w:pPr>
            <w:proofErr w:type="spellStart"/>
            <w:r w:rsidRPr="00EB609D">
              <w:rPr>
                <w:rFonts w:ascii="Arial" w:hAnsi="Arial"/>
                <w:snapToGrid w:val="0"/>
                <w:sz w:val="20"/>
                <w:szCs w:val="20"/>
                <w:lang w:eastAsia="en-US"/>
              </w:rPr>
              <w:t>Reactogenicity</w:t>
            </w:r>
            <w:proofErr w:type="spellEnd"/>
            <w:r w:rsidRPr="00EB609D">
              <w:rPr>
                <w:rFonts w:ascii="Arial" w:hAnsi="Arial"/>
                <w:snapToGrid w:val="0"/>
                <w:sz w:val="20"/>
                <w:szCs w:val="20"/>
                <w:lang w:eastAsia="en-US"/>
              </w:rPr>
              <w:t xml:space="preserve"> and safety of multicomponent meningococcal </w:t>
            </w:r>
            <w:proofErr w:type="spellStart"/>
            <w:r w:rsidRPr="00EB609D">
              <w:rPr>
                <w:rFonts w:ascii="Arial" w:hAnsi="Arial"/>
                <w:snapToGrid w:val="0"/>
                <w:sz w:val="20"/>
                <w:szCs w:val="20"/>
                <w:lang w:eastAsia="en-US"/>
              </w:rPr>
              <w:t>serogroup</w:t>
            </w:r>
            <w:proofErr w:type="spellEnd"/>
            <w:r w:rsidRPr="00EB609D">
              <w:rPr>
                <w:rFonts w:ascii="Arial" w:hAnsi="Arial"/>
                <w:snapToGrid w:val="0"/>
                <w:sz w:val="20"/>
                <w:szCs w:val="20"/>
                <w:lang w:eastAsia="en-US"/>
              </w:rPr>
              <w:t xml:space="preserve"> B vaccine (4CMenB) administered with or without routine infant vaccinations in different schedules. </w:t>
            </w:r>
          </w:p>
        </w:tc>
        <w:tc>
          <w:tcPr>
            <w:tcW w:w="1549" w:type="pct"/>
          </w:tcPr>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r w:rsidRPr="00EB609D">
              <w:rPr>
                <w:rFonts w:ascii="Arial" w:hAnsi="Arial"/>
                <w:snapToGrid w:val="0"/>
                <w:sz w:val="20"/>
                <w:szCs w:val="20"/>
                <w:lang w:eastAsia="en-US"/>
              </w:rPr>
              <w:t xml:space="preserve">Poster presented at 29th ESPID Meeting, 7-11 June 2011, The Hague, </w:t>
            </w:r>
            <w:proofErr w:type="gramStart"/>
            <w:r w:rsidRPr="00EB609D">
              <w:rPr>
                <w:rFonts w:ascii="Arial" w:hAnsi="Arial"/>
                <w:snapToGrid w:val="0"/>
                <w:sz w:val="20"/>
                <w:szCs w:val="20"/>
                <w:lang w:eastAsia="en-US"/>
              </w:rPr>
              <w:t>The</w:t>
            </w:r>
            <w:proofErr w:type="gramEnd"/>
            <w:r w:rsidRPr="00EB609D">
              <w:rPr>
                <w:rFonts w:ascii="Arial" w:hAnsi="Arial"/>
                <w:snapToGrid w:val="0"/>
                <w:sz w:val="20"/>
                <w:szCs w:val="20"/>
                <w:lang w:eastAsia="en-US"/>
              </w:rPr>
              <w:t xml:space="preserve"> Netherlands.</w:t>
            </w:r>
          </w:p>
          <w:p w:rsidR="00EB609D" w:rsidRPr="00EB609D" w:rsidRDefault="00EB609D" w:rsidP="00250047">
            <w:pPr>
              <w:widowControl w:val="0"/>
              <w:rPr>
                <w:rFonts w:ascii="Arial" w:hAnsi="Arial"/>
                <w:b/>
                <w:snapToGrid w:val="0"/>
                <w:sz w:val="20"/>
                <w:szCs w:val="20"/>
                <w:lang w:eastAsia="en-US"/>
              </w:rPr>
            </w:pPr>
          </w:p>
          <w:p w:rsidR="00EB609D" w:rsidRPr="00EB609D" w:rsidRDefault="00EB609D" w:rsidP="00250047">
            <w:pPr>
              <w:widowControl w:val="0"/>
              <w:rPr>
                <w:rFonts w:ascii="Arial" w:hAnsi="Arial"/>
                <w:b/>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r w:rsidRPr="00EB609D">
              <w:rPr>
                <w:rFonts w:ascii="Arial" w:hAnsi="Arial"/>
                <w:snapToGrid w:val="0"/>
                <w:sz w:val="20"/>
                <w:szCs w:val="20"/>
                <w:lang w:eastAsia="en-US"/>
              </w:rPr>
              <w:t>JAMA - Journal of the American Medical Association 307(6): 573-582</w:t>
            </w: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
          <w:p w:rsid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r w:rsidRPr="00EB609D">
              <w:rPr>
                <w:rFonts w:ascii="Arial" w:hAnsi="Arial"/>
                <w:snapToGrid w:val="0"/>
                <w:sz w:val="20"/>
                <w:szCs w:val="20"/>
                <w:lang w:eastAsia="en-US"/>
              </w:rPr>
              <w:t>JAMA - Journal of the American Medical Association 307(6): 614-615.</w:t>
            </w: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r w:rsidRPr="00EB609D">
              <w:rPr>
                <w:rFonts w:ascii="Arial" w:hAnsi="Arial"/>
                <w:snapToGrid w:val="0"/>
                <w:sz w:val="20"/>
                <w:szCs w:val="20"/>
                <w:lang w:eastAsia="en-US"/>
              </w:rPr>
              <w:t>The Lancet 381(9869): 825-835.</w:t>
            </w: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b/>
                <w:snapToGrid w:val="0"/>
                <w:sz w:val="20"/>
                <w:szCs w:val="20"/>
                <w:lang w:eastAsia="en-US"/>
              </w:rPr>
            </w:pPr>
            <w:proofErr w:type="gramStart"/>
            <w:r w:rsidRPr="00EB609D">
              <w:rPr>
                <w:rFonts w:ascii="Arial" w:hAnsi="Arial"/>
                <w:snapToGrid w:val="0"/>
                <w:sz w:val="20"/>
                <w:szCs w:val="20"/>
                <w:lang w:eastAsia="en-US"/>
              </w:rPr>
              <w:t>Poster No. 1187.</w:t>
            </w:r>
            <w:proofErr w:type="gramEnd"/>
            <w:r w:rsidRPr="00EB609D">
              <w:rPr>
                <w:rFonts w:ascii="Arial" w:hAnsi="Arial"/>
                <w:snapToGrid w:val="0"/>
                <w:sz w:val="20"/>
                <w:szCs w:val="20"/>
                <w:lang w:eastAsia="en-US"/>
              </w:rPr>
              <w:t xml:space="preserve"> Presented at 29th ESPID Meeting, 7-11 June 2011, The Hague, </w:t>
            </w:r>
            <w:proofErr w:type="gramStart"/>
            <w:r w:rsidRPr="00EB609D">
              <w:rPr>
                <w:rFonts w:ascii="Arial" w:hAnsi="Arial"/>
                <w:snapToGrid w:val="0"/>
                <w:sz w:val="20"/>
                <w:szCs w:val="20"/>
                <w:lang w:eastAsia="en-US"/>
              </w:rPr>
              <w:t>The</w:t>
            </w:r>
            <w:proofErr w:type="gramEnd"/>
            <w:r w:rsidRPr="00EB609D">
              <w:rPr>
                <w:rFonts w:ascii="Arial" w:hAnsi="Arial"/>
                <w:snapToGrid w:val="0"/>
                <w:sz w:val="20"/>
                <w:szCs w:val="20"/>
                <w:lang w:eastAsia="en-US"/>
              </w:rPr>
              <w:t xml:space="preserve"> Netherlands.</w:t>
            </w:r>
          </w:p>
        </w:tc>
      </w:tr>
      <w:tr w:rsidR="00EB609D" w:rsidRPr="00EB609D" w:rsidTr="00250047">
        <w:tc>
          <w:tcPr>
            <w:tcW w:w="699" w:type="pct"/>
          </w:tcPr>
          <w:p w:rsidR="00EB609D" w:rsidRPr="00EB609D" w:rsidRDefault="00EB609D" w:rsidP="00EB609D">
            <w:pPr>
              <w:widowControl w:val="0"/>
              <w:jc w:val="both"/>
              <w:rPr>
                <w:rFonts w:ascii="Arial" w:hAnsi="Arial"/>
                <w:snapToGrid w:val="0"/>
                <w:sz w:val="20"/>
                <w:szCs w:val="20"/>
                <w:lang w:eastAsia="en-US"/>
              </w:rPr>
            </w:pPr>
            <w:r w:rsidRPr="00EB609D">
              <w:rPr>
                <w:rFonts w:ascii="Arial" w:hAnsi="Arial"/>
                <w:snapToGrid w:val="0"/>
                <w:sz w:val="20"/>
                <w:szCs w:val="20"/>
                <w:lang w:eastAsia="en-US"/>
              </w:rPr>
              <w:t>V72P12E1</w:t>
            </w:r>
          </w:p>
        </w:tc>
        <w:tc>
          <w:tcPr>
            <w:tcW w:w="2752" w:type="pct"/>
          </w:tcPr>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roofErr w:type="gramStart"/>
            <w:r w:rsidRPr="00EB609D">
              <w:rPr>
                <w:rFonts w:ascii="Arial" w:hAnsi="Arial"/>
                <w:snapToGrid w:val="0"/>
                <w:sz w:val="20"/>
                <w:szCs w:val="20"/>
                <w:lang w:eastAsia="en-US"/>
              </w:rPr>
              <w:t>Snape, MD, Finn A, Heath et al.</w:t>
            </w:r>
            <w:proofErr w:type="gramEnd"/>
          </w:p>
          <w:p w:rsidR="00EB609D" w:rsidRPr="00EB609D" w:rsidRDefault="00EB609D" w:rsidP="00250047">
            <w:pPr>
              <w:widowControl w:val="0"/>
              <w:rPr>
                <w:rFonts w:ascii="Arial" w:hAnsi="Arial"/>
                <w:snapToGrid w:val="0"/>
                <w:sz w:val="20"/>
                <w:szCs w:val="20"/>
                <w:lang w:eastAsia="en-US"/>
              </w:rPr>
            </w:pPr>
            <w:r w:rsidRPr="00EB609D">
              <w:rPr>
                <w:rFonts w:ascii="Arial" w:hAnsi="Arial"/>
                <w:snapToGrid w:val="0"/>
                <w:sz w:val="20"/>
                <w:szCs w:val="20"/>
                <w:lang w:eastAsia="en-US"/>
              </w:rPr>
              <w:t xml:space="preserve">Persistence to 12, 18 and 24 months of bactericidal antibodies induced by infant immunisation with a </w:t>
            </w:r>
            <w:proofErr w:type="spellStart"/>
            <w:r w:rsidRPr="00EB609D">
              <w:rPr>
                <w:rFonts w:ascii="Arial" w:hAnsi="Arial"/>
                <w:snapToGrid w:val="0"/>
                <w:sz w:val="20"/>
                <w:szCs w:val="20"/>
                <w:lang w:eastAsia="en-US"/>
              </w:rPr>
              <w:t>serogroup</w:t>
            </w:r>
            <w:proofErr w:type="spellEnd"/>
            <w:r w:rsidRPr="00EB609D">
              <w:rPr>
                <w:rFonts w:ascii="Arial" w:hAnsi="Arial"/>
                <w:snapToGrid w:val="0"/>
                <w:sz w:val="20"/>
                <w:szCs w:val="20"/>
                <w:lang w:eastAsia="en-US"/>
              </w:rPr>
              <w:t xml:space="preserve"> B meningococcal vaccine.</w:t>
            </w:r>
          </w:p>
          <w:p w:rsidR="00EB609D" w:rsidRPr="00EB609D" w:rsidRDefault="00EB609D" w:rsidP="00250047">
            <w:pPr>
              <w:widowControl w:val="0"/>
              <w:rPr>
                <w:rFonts w:ascii="Arial" w:hAnsi="Arial"/>
                <w:b/>
                <w:snapToGrid w:val="0"/>
                <w:sz w:val="20"/>
                <w:szCs w:val="20"/>
                <w:lang w:eastAsia="en-US"/>
              </w:rPr>
            </w:pPr>
          </w:p>
        </w:tc>
        <w:tc>
          <w:tcPr>
            <w:tcW w:w="1549" w:type="pct"/>
          </w:tcPr>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r w:rsidRPr="00EB609D">
              <w:rPr>
                <w:rFonts w:ascii="Arial" w:hAnsi="Arial"/>
                <w:snapToGrid w:val="0"/>
                <w:sz w:val="20"/>
                <w:szCs w:val="20"/>
                <w:lang w:eastAsia="en-US"/>
              </w:rPr>
              <w:t>Poster presented at 31st ESPID Meeting, May 28-June 1 2013, Milan, Italy.</w:t>
            </w:r>
          </w:p>
        </w:tc>
      </w:tr>
      <w:tr w:rsidR="00EB609D" w:rsidRPr="00EB609D" w:rsidTr="00250047">
        <w:tc>
          <w:tcPr>
            <w:tcW w:w="699" w:type="pct"/>
          </w:tcPr>
          <w:p w:rsidR="00EB609D" w:rsidRPr="00EB609D" w:rsidRDefault="00EB609D" w:rsidP="00EB609D">
            <w:pPr>
              <w:widowControl w:val="0"/>
              <w:jc w:val="both"/>
              <w:rPr>
                <w:rFonts w:ascii="Arial" w:hAnsi="Arial"/>
                <w:snapToGrid w:val="0"/>
                <w:sz w:val="20"/>
                <w:szCs w:val="20"/>
                <w:lang w:eastAsia="en-US"/>
              </w:rPr>
            </w:pPr>
            <w:r w:rsidRPr="00EB609D">
              <w:rPr>
                <w:rFonts w:ascii="Arial" w:hAnsi="Arial"/>
                <w:snapToGrid w:val="0"/>
                <w:sz w:val="20"/>
                <w:szCs w:val="20"/>
                <w:lang w:eastAsia="en-US"/>
              </w:rPr>
              <w:t>V72P13</w:t>
            </w:r>
          </w:p>
        </w:tc>
        <w:tc>
          <w:tcPr>
            <w:tcW w:w="2752" w:type="pct"/>
          </w:tcPr>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roofErr w:type="spellStart"/>
            <w:proofErr w:type="gramStart"/>
            <w:r w:rsidRPr="00EB609D">
              <w:rPr>
                <w:rFonts w:ascii="Arial" w:hAnsi="Arial"/>
                <w:snapToGrid w:val="0"/>
                <w:sz w:val="20"/>
                <w:szCs w:val="20"/>
                <w:lang w:eastAsia="en-US"/>
              </w:rPr>
              <w:t>Vesikari</w:t>
            </w:r>
            <w:proofErr w:type="spellEnd"/>
            <w:r w:rsidRPr="00EB609D">
              <w:rPr>
                <w:rFonts w:ascii="Arial" w:hAnsi="Arial"/>
                <w:snapToGrid w:val="0"/>
                <w:sz w:val="20"/>
                <w:szCs w:val="20"/>
                <w:lang w:eastAsia="en-US"/>
              </w:rPr>
              <w:t>, T., Esposito, S., et al. (2010).</w:t>
            </w:r>
            <w:proofErr w:type="gramEnd"/>
            <w:r w:rsidRPr="00EB609D">
              <w:rPr>
                <w:rFonts w:ascii="Arial" w:hAnsi="Arial"/>
                <w:snapToGrid w:val="0"/>
                <w:sz w:val="20"/>
                <w:szCs w:val="20"/>
                <w:lang w:eastAsia="en-US"/>
              </w:rPr>
              <w:t xml:space="preserve"> </w:t>
            </w:r>
            <w:r w:rsidRPr="00EB609D">
              <w:rPr>
                <w:rFonts w:ascii="Arial" w:hAnsi="Arial"/>
                <w:snapToGrid w:val="0"/>
                <w:sz w:val="20"/>
                <w:szCs w:val="20"/>
                <w:lang w:eastAsia="en-US"/>
              </w:rPr>
              <w:lastRenderedPageBreak/>
              <w:t xml:space="preserve">"Immunogenicity of an investigational multicomponent meningococcal </w:t>
            </w:r>
            <w:proofErr w:type="spellStart"/>
            <w:r w:rsidRPr="00EB609D">
              <w:rPr>
                <w:rFonts w:ascii="Arial" w:hAnsi="Arial"/>
                <w:snapToGrid w:val="0"/>
                <w:sz w:val="20"/>
                <w:szCs w:val="20"/>
                <w:lang w:eastAsia="en-US"/>
              </w:rPr>
              <w:t>serogroup</w:t>
            </w:r>
            <w:proofErr w:type="spellEnd"/>
            <w:r w:rsidRPr="00EB609D">
              <w:rPr>
                <w:rFonts w:ascii="Arial" w:hAnsi="Arial"/>
                <w:snapToGrid w:val="0"/>
                <w:sz w:val="20"/>
                <w:szCs w:val="20"/>
                <w:lang w:eastAsia="en-US"/>
              </w:rPr>
              <w:t xml:space="preserve"> B vaccine in healthy infants at 2, 4 and 6 months of age.</w:t>
            </w:r>
            <w:proofErr w:type="gramStart"/>
            <w:r w:rsidRPr="00EB609D">
              <w:rPr>
                <w:rFonts w:ascii="Arial" w:hAnsi="Arial"/>
                <w:snapToGrid w:val="0"/>
                <w:sz w:val="20"/>
                <w:szCs w:val="20"/>
                <w:lang w:eastAsia="en-US"/>
              </w:rPr>
              <w:t>".</w:t>
            </w:r>
            <w:proofErr w:type="gramEnd"/>
            <w:r w:rsidRPr="00EB609D">
              <w:rPr>
                <w:rFonts w:ascii="Arial" w:hAnsi="Arial"/>
                <w:snapToGrid w:val="0"/>
                <w:sz w:val="20"/>
                <w:szCs w:val="20"/>
                <w:lang w:eastAsia="en-US"/>
              </w:rPr>
              <w:cr/>
            </w:r>
          </w:p>
          <w:p w:rsidR="00EB609D" w:rsidRPr="00EB609D" w:rsidRDefault="00EB609D" w:rsidP="00250047">
            <w:pPr>
              <w:widowControl w:val="0"/>
              <w:rPr>
                <w:rFonts w:ascii="Arial" w:hAnsi="Arial"/>
                <w:snapToGrid w:val="0"/>
                <w:sz w:val="20"/>
                <w:szCs w:val="20"/>
                <w:lang w:eastAsia="en-US"/>
              </w:rPr>
            </w:pPr>
            <w:proofErr w:type="spellStart"/>
            <w:proofErr w:type="gramStart"/>
            <w:r w:rsidRPr="00EB609D">
              <w:rPr>
                <w:rFonts w:ascii="Arial" w:hAnsi="Arial"/>
                <w:snapToGrid w:val="0"/>
                <w:sz w:val="20"/>
                <w:szCs w:val="20"/>
                <w:lang w:eastAsia="en-US"/>
              </w:rPr>
              <w:t>Vesikari</w:t>
            </w:r>
            <w:proofErr w:type="spellEnd"/>
            <w:r w:rsidRPr="00EB609D">
              <w:rPr>
                <w:rFonts w:ascii="Arial" w:hAnsi="Arial"/>
                <w:snapToGrid w:val="0"/>
                <w:sz w:val="20"/>
                <w:szCs w:val="20"/>
                <w:lang w:eastAsia="en-US"/>
              </w:rPr>
              <w:t>, T., Esposito, S., et al. (2011).</w:t>
            </w:r>
            <w:proofErr w:type="gramEnd"/>
            <w:r w:rsidRPr="00EB609D">
              <w:rPr>
                <w:rFonts w:ascii="Arial" w:hAnsi="Arial"/>
                <w:snapToGrid w:val="0"/>
                <w:sz w:val="20"/>
                <w:szCs w:val="20"/>
                <w:lang w:eastAsia="en-US"/>
              </w:rPr>
              <w:t xml:space="preserve"> "Use of an investigational multicomponent meningococcal </w:t>
            </w:r>
            <w:proofErr w:type="spellStart"/>
            <w:r w:rsidRPr="00EB609D">
              <w:rPr>
                <w:rFonts w:ascii="Arial" w:hAnsi="Arial"/>
                <w:snapToGrid w:val="0"/>
                <w:sz w:val="20"/>
                <w:szCs w:val="20"/>
                <w:lang w:eastAsia="en-US"/>
              </w:rPr>
              <w:t>serogroup</w:t>
            </w:r>
            <w:proofErr w:type="spellEnd"/>
            <w:r w:rsidRPr="00EB609D">
              <w:rPr>
                <w:rFonts w:ascii="Arial" w:hAnsi="Arial"/>
                <w:snapToGrid w:val="0"/>
                <w:sz w:val="20"/>
                <w:szCs w:val="20"/>
                <w:lang w:eastAsia="en-US"/>
              </w:rPr>
              <w:t xml:space="preserve"> B vaccine (4cmenb) in a clinical trial in 3630 infants." </w:t>
            </w: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b/>
                <w:snapToGrid w:val="0"/>
                <w:sz w:val="20"/>
                <w:szCs w:val="20"/>
                <w:lang w:eastAsia="en-US"/>
              </w:rPr>
            </w:pPr>
            <w:proofErr w:type="spellStart"/>
            <w:proofErr w:type="gramStart"/>
            <w:r w:rsidRPr="00EB609D">
              <w:rPr>
                <w:rFonts w:ascii="Arial" w:hAnsi="Arial"/>
                <w:snapToGrid w:val="0"/>
                <w:sz w:val="20"/>
                <w:szCs w:val="20"/>
                <w:lang w:eastAsia="en-US"/>
              </w:rPr>
              <w:t>Vesikari</w:t>
            </w:r>
            <w:proofErr w:type="spellEnd"/>
            <w:r w:rsidRPr="00EB609D">
              <w:rPr>
                <w:rFonts w:ascii="Arial" w:hAnsi="Arial"/>
                <w:snapToGrid w:val="0"/>
                <w:sz w:val="20"/>
                <w:szCs w:val="20"/>
                <w:lang w:eastAsia="en-US"/>
              </w:rPr>
              <w:t>, T., S. Esposito, et al. (2013).</w:t>
            </w:r>
            <w:proofErr w:type="gramEnd"/>
            <w:r w:rsidRPr="00EB609D">
              <w:rPr>
                <w:rFonts w:ascii="Arial" w:hAnsi="Arial"/>
                <w:snapToGrid w:val="0"/>
                <w:sz w:val="20"/>
                <w:szCs w:val="20"/>
                <w:lang w:eastAsia="en-US"/>
              </w:rPr>
              <w:t xml:space="preserve"> "Immunogenicity and safety of an investigational multicomponent, recombinant, meningococcal </w:t>
            </w:r>
            <w:proofErr w:type="spellStart"/>
            <w:r w:rsidRPr="00EB609D">
              <w:rPr>
                <w:rFonts w:ascii="Arial" w:hAnsi="Arial"/>
                <w:snapToGrid w:val="0"/>
                <w:sz w:val="20"/>
                <w:szCs w:val="20"/>
                <w:lang w:eastAsia="en-US"/>
              </w:rPr>
              <w:t>serogroup</w:t>
            </w:r>
            <w:proofErr w:type="spellEnd"/>
            <w:r w:rsidRPr="00EB609D">
              <w:rPr>
                <w:rFonts w:ascii="Arial" w:hAnsi="Arial"/>
                <w:snapToGrid w:val="0"/>
                <w:sz w:val="20"/>
                <w:szCs w:val="20"/>
                <w:lang w:eastAsia="en-US"/>
              </w:rPr>
              <w:t xml:space="preserve"> B vaccine (4CMenB) administered concomitantly with routine infant and child vaccinations: Results of two randomised trials." </w:t>
            </w:r>
          </w:p>
        </w:tc>
        <w:tc>
          <w:tcPr>
            <w:tcW w:w="1549" w:type="pct"/>
          </w:tcPr>
          <w:p w:rsidR="00EB609D" w:rsidRPr="00EB609D" w:rsidRDefault="00EB609D" w:rsidP="00250047">
            <w:pPr>
              <w:widowControl w:val="0"/>
              <w:rPr>
                <w:rFonts w:ascii="Arial" w:hAnsi="Arial"/>
                <w:b/>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r w:rsidRPr="00EB609D">
              <w:rPr>
                <w:rFonts w:ascii="Arial" w:hAnsi="Arial"/>
                <w:snapToGrid w:val="0"/>
                <w:sz w:val="20"/>
                <w:szCs w:val="20"/>
                <w:lang w:eastAsia="en-US"/>
              </w:rPr>
              <w:t xml:space="preserve">Canadian Journal of </w:t>
            </w:r>
            <w:r w:rsidRPr="00EB609D">
              <w:rPr>
                <w:rFonts w:ascii="Arial" w:hAnsi="Arial"/>
                <w:snapToGrid w:val="0"/>
                <w:sz w:val="20"/>
                <w:szCs w:val="20"/>
                <w:lang w:eastAsia="en-US"/>
              </w:rPr>
              <w:lastRenderedPageBreak/>
              <w:t>Infectious Diseases and Medical Microbiology 21(4): 183</w:t>
            </w: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roofErr w:type="gramStart"/>
            <w:r w:rsidRPr="00EB609D">
              <w:rPr>
                <w:rFonts w:ascii="Arial" w:hAnsi="Arial"/>
                <w:snapToGrid w:val="0"/>
                <w:sz w:val="20"/>
                <w:szCs w:val="20"/>
                <w:lang w:eastAsia="en-US"/>
              </w:rPr>
              <w:t>Archives of Disease in Childhood 96: A3.</w:t>
            </w:r>
            <w:proofErr w:type="gramEnd"/>
          </w:p>
          <w:p w:rsidR="00EB609D" w:rsidRPr="00EB609D" w:rsidRDefault="00EB609D" w:rsidP="00250047">
            <w:pPr>
              <w:widowControl w:val="0"/>
              <w:rPr>
                <w:rFonts w:ascii="Arial" w:hAnsi="Arial"/>
                <w:b/>
                <w:snapToGrid w:val="0"/>
                <w:sz w:val="20"/>
                <w:szCs w:val="20"/>
                <w:lang w:eastAsia="en-US"/>
              </w:rPr>
            </w:pPr>
          </w:p>
          <w:p w:rsidR="00EB609D" w:rsidRPr="00EB609D" w:rsidRDefault="00EB609D" w:rsidP="00250047">
            <w:pPr>
              <w:widowControl w:val="0"/>
              <w:rPr>
                <w:rFonts w:ascii="Arial" w:hAnsi="Arial"/>
                <w:b/>
                <w:snapToGrid w:val="0"/>
                <w:sz w:val="20"/>
                <w:szCs w:val="20"/>
                <w:lang w:eastAsia="en-US"/>
              </w:rPr>
            </w:pPr>
          </w:p>
          <w:p w:rsidR="00EB609D" w:rsidRPr="00EB609D" w:rsidRDefault="00EB609D" w:rsidP="00250047">
            <w:pPr>
              <w:widowControl w:val="0"/>
              <w:rPr>
                <w:rFonts w:ascii="Arial" w:hAnsi="Arial"/>
                <w:b/>
                <w:snapToGrid w:val="0"/>
                <w:sz w:val="20"/>
                <w:szCs w:val="20"/>
                <w:lang w:eastAsia="en-US"/>
              </w:rPr>
            </w:pPr>
          </w:p>
          <w:p w:rsidR="00EB609D" w:rsidRPr="00EB609D" w:rsidRDefault="00EB609D" w:rsidP="00250047">
            <w:pPr>
              <w:widowControl w:val="0"/>
              <w:rPr>
                <w:rFonts w:ascii="Arial" w:hAnsi="Arial"/>
                <w:b/>
                <w:snapToGrid w:val="0"/>
                <w:sz w:val="20"/>
                <w:szCs w:val="20"/>
                <w:lang w:eastAsia="en-US"/>
              </w:rPr>
            </w:pPr>
            <w:r w:rsidRPr="00EB609D">
              <w:rPr>
                <w:rFonts w:ascii="Arial" w:hAnsi="Arial"/>
                <w:snapToGrid w:val="0"/>
                <w:sz w:val="20"/>
                <w:szCs w:val="20"/>
                <w:lang w:eastAsia="en-US"/>
              </w:rPr>
              <w:t>The Lancet 381(9869): 825-835.</w:t>
            </w:r>
          </w:p>
        </w:tc>
      </w:tr>
      <w:tr w:rsidR="00EB609D" w:rsidRPr="00EB609D" w:rsidTr="00250047">
        <w:tc>
          <w:tcPr>
            <w:tcW w:w="699" w:type="pct"/>
          </w:tcPr>
          <w:p w:rsidR="00EB609D" w:rsidRPr="00EB609D" w:rsidRDefault="00EB609D" w:rsidP="00EB609D">
            <w:pPr>
              <w:widowControl w:val="0"/>
              <w:jc w:val="both"/>
              <w:rPr>
                <w:rFonts w:ascii="Arial" w:hAnsi="Arial"/>
                <w:snapToGrid w:val="0"/>
                <w:sz w:val="20"/>
                <w:szCs w:val="20"/>
                <w:lang w:eastAsia="en-US"/>
              </w:rPr>
            </w:pPr>
            <w:r w:rsidRPr="00EB609D">
              <w:rPr>
                <w:rFonts w:ascii="Arial" w:hAnsi="Arial"/>
                <w:snapToGrid w:val="0"/>
                <w:sz w:val="20"/>
                <w:szCs w:val="20"/>
                <w:lang w:eastAsia="en-US"/>
              </w:rPr>
              <w:lastRenderedPageBreak/>
              <w:t>V72P13E1</w:t>
            </w:r>
          </w:p>
        </w:tc>
        <w:tc>
          <w:tcPr>
            <w:tcW w:w="2752" w:type="pct"/>
          </w:tcPr>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roofErr w:type="spellStart"/>
            <w:r w:rsidRPr="00EB609D">
              <w:rPr>
                <w:rFonts w:ascii="Arial" w:hAnsi="Arial"/>
                <w:snapToGrid w:val="0"/>
                <w:sz w:val="20"/>
                <w:szCs w:val="20"/>
                <w:lang w:eastAsia="en-US"/>
              </w:rPr>
              <w:t>Vesikari</w:t>
            </w:r>
            <w:proofErr w:type="spellEnd"/>
            <w:r w:rsidRPr="00EB609D">
              <w:rPr>
                <w:rFonts w:ascii="Arial" w:hAnsi="Arial"/>
                <w:snapToGrid w:val="0"/>
                <w:sz w:val="20"/>
                <w:szCs w:val="20"/>
                <w:lang w:eastAsia="en-US"/>
              </w:rPr>
              <w:t xml:space="preserve"> T, </w:t>
            </w:r>
            <w:proofErr w:type="spellStart"/>
            <w:r w:rsidRPr="00EB609D">
              <w:rPr>
                <w:rFonts w:ascii="Arial" w:hAnsi="Arial"/>
                <w:snapToGrid w:val="0"/>
                <w:sz w:val="20"/>
                <w:szCs w:val="20"/>
                <w:lang w:eastAsia="en-US"/>
              </w:rPr>
              <w:t>Prymula</w:t>
            </w:r>
            <w:proofErr w:type="spellEnd"/>
            <w:r w:rsidRPr="00EB609D">
              <w:rPr>
                <w:rFonts w:ascii="Arial" w:hAnsi="Arial"/>
                <w:snapToGrid w:val="0"/>
                <w:sz w:val="20"/>
                <w:szCs w:val="20"/>
                <w:lang w:eastAsia="en-US"/>
              </w:rPr>
              <w:t xml:space="preserve"> R, </w:t>
            </w:r>
            <w:proofErr w:type="spellStart"/>
            <w:r w:rsidRPr="00EB609D">
              <w:rPr>
                <w:rFonts w:ascii="Arial" w:hAnsi="Arial"/>
                <w:snapToGrid w:val="0"/>
                <w:sz w:val="20"/>
                <w:szCs w:val="20"/>
                <w:lang w:eastAsia="en-US"/>
              </w:rPr>
              <w:t>Liese</w:t>
            </w:r>
            <w:proofErr w:type="spellEnd"/>
            <w:r w:rsidRPr="00EB609D">
              <w:rPr>
                <w:rFonts w:ascii="Arial" w:hAnsi="Arial"/>
                <w:snapToGrid w:val="0"/>
                <w:sz w:val="20"/>
                <w:szCs w:val="20"/>
                <w:lang w:eastAsia="en-US"/>
              </w:rPr>
              <w:t xml:space="preserve"> J et al.</w:t>
            </w:r>
          </w:p>
          <w:p w:rsidR="00EB609D" w:rsidRPr="00EB609D" w:rsidRDefault="00EB609D" w:rsidP="00250047">
            <w:pPr>
              <w:widowControl w:val="0"/>
              <w:rPr>
                <w:rFonts w:ascii="Arial" w:hAnsi="Arial"/>
                <w:snapToGrid w:val="0"/>
                <w:sz w:val="20"/>
                <w:szCs w:val="20"/>
                <w:lang w:eastAsia="en-US"/>
              </w:rPr>
            </w:pPr>
            <w:r w:rsidRPr="00EB609D">
              <w:rPr>
                <w:rFonts w:ascii="Arial" w:hAnsi="Arial"/>
                <w:snapToGrid w:val="0"/>
                <w:sz w:val="20"/>
                <w:szCs w:val="20"/>
                <w:lang w:eastAsia="en-US"/>
              </w:rPr>
              <w:t xml:space="preserve">Booster dose at 12 months of an investigational meningococcal </w:t>
            </w:r>
            <w:proofErr w:type="spellStart"/>
            <w:r w:rsidRPr="00EB609D">
              <w:rPr>
                <w:rFonts w:ascii="Arial" w:hAnsi="Arial"/>
                <w:snapToGrid w:val="0"/>
                <w:sz w:val="20"/>
                <w:szCs w:val="20"/>
                <w:lang w:eastAsia="en-US"/>
              </w:rPr>
              <w:t>serogroup</w:t>
            </w:r>
            <w:proofErr w:type="spellEnd"/>
            <w:r w:rsidRPr="00EB609D">
              <w:rPr>
                <w:rFonts w:ascii="Arial" w:hAnsi="Arial"/>
                <w:snapToGrid w:val="0"/>
                <w:sz w:val="20"/>
                <w:szCs w:val="20"/>
                <w:lang w:eastAsia="en-US"/>
              </w:rPr>
              <w:t xml:space="preserve"> B vaccine (4CMenB) in healthy toddlers previously primed at 2,4,6 months.</w:t>
            </w: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roofErr w:type="spellStart"/>
            <w:r w:rsidRPr="00EB609D">
              <w:rPr>
                <w:rFonts w:ascii="Arial" w:hAnsi="Arial"/>
                <w:snapToGrid w:val="0"/>
                <w:sz w:val="20"/>
                <w:szCs w:val="20"/>
                <w:lang w:eastAsia="en-US"/>
              </w:rPr>
              <w:t>Prymula</w:t>
            </w:r>
            <w:proofErr w:type="spellEnd"/>
            <w:r w:rsidRPr="00EB609D">
              <w:rPr>
                <w:rFonts w:ascii="Arial" w:hAnsi="Arial"/>
                <w:snapToGrid w:val="0"/>
                <w:sz w:val="20"/>
                <w:szCs w:val="20"/>
                <w:lang w:eastAsia="en-US"/>
              </w:rPr>
              <w:t xml:space="preserve"> R, </w:t>
            </w:r>
            <w:proofErr w:type="spellStart"/>
            <w:r w:rsidRPr="00EB609D">
              <w:rPr>
                <w:rFonts w:ascii="Arial" w:hAnsi="Arial"/>
                <w:snapToGrid w:val="0"/>
                <w:sz w:val="20"/>
                <w:szCs w:val="20"/>
                <w:lang w:eastAsia="en-US"/>
              </w:rPr>
              <w:t>Vesikari</w:t>
            </w:r>
            <w:proofErr w:type="spellEnd"/>
            <w:r w:rsidRPr="00EB609D">
              <w:rPr>
                <w:rFonts w:ascii="Arial" w:hAnsi="Arial"/>
                <w:snapToGrid w:val="0"/>
                <w:sz w:val="20"/>
                <w:szCs w:val="20"/>
                <w:lang w:eastAsia="en-US"/>
              </w:rPr>
              <w:t xml:space="preserve"> T, Esposito S, et al.</w:t>
            </w:r>
          </w:p>
          <w:p w:rsidR="00EB609D" w:rsidRPr="00EB609D" w:rsidRDefault="00EB609D" w:rsidP="00250047">
            <w:pPr>
              <w:widowControl w:val="0"/>
              <w:rPr>
                <w:rFonts w:ascii="Arial" w:hAnsi="Arial"/>
                <w:snapToGrid w:val="0"/>
                <w:sz w:val="20"/>
                <w:szCs w:val="20"/>
                <w:lang w:eastAsia="en-US"/>
              </w:rPr>
            </w:pPr>
            <w:proofErr w:type="gramStart"/>
            <w:r w:rsidRPr="00EB609D">
              <w:rPr>
                <w:rFonts w:ascii="Arial" w:hAnsi="Arial"/>
                <w:snapToGrid w:val="0"/>
                <w:sz w:val="20"/>
                <w:szCs w:val="20"/>
                <w:lang w:eastAsia="en-US"/>
              </w:rPr>
              <w:t xml:space="preserve">Catch-up vaccination of healthy toddlers with an investigational meningococcal </w:t>
            </w:r>
            <w:proofErr w:type="spellStart"/>
            <w:r w:rsidRPr="00EB609D">
              <w:rPr>
                <w:rFonts w:ascii="Arial" w:hAnsi="Arial"/>
                <w:snapToGrid w:val="0"/>
                <w:sz w:val="20"/>
                <w:szCs w:val="20"/>
                <w:lang w:eastAsia="en-US"/>
              </w:rPr>
              <w:t>serogroup</w:t>
            </w:r>
            <w:proofErr w:type="spellEnd"/>
            <w:r w:rsidRPr="00EB609D">
              <w:rPr>
                <w:rFonts w:ascii="Arial" w:hAnsi="Arial"/>
                <w:snapToGrid w:val="0"/>
                <w:sz w:val="20"/>
                <w:szCs w:val="20"/>
                <w:lang w:eastAsia="en-US"/>
              </w:rPr>
              <w:t xml:space="preserve"> B vaccine (4CMenB) - exploration of a two-dose schedule.</w:t>
            </w:r>
            <w:proofErr w:type="gramEnd"/>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roofErr w:type="spellStart"/>
            <w:r w:rsidRPr="00EB609D">
              <w:rPr>
                <w:rFonts w:ascii="Arial" w:hAnsi="Arial"/>
                <w:snapToGrid w:val="0"/>
                <w:sz w:val="20"/>
                <w:szCs w:val="20"/>
                <w:lang w:eastAsia="en-US"/>
              </w:rPr>
              <w:t>Toneatto</w:t>
            </w:r>
            <w:proofErr w:type="spellEnd"/>
            <w:r w:rsidRPr="00EB609D">
              <w:rPr>
                <w:rFonts w:ascii="Arial" w:hAnsi="Arial"/>
                <w:snapToGrid w:val="0"/>
                <w:sz w:val="20"/>
                <w:szCs w:val="20"/>
                <w:lang w:eastAsia="en-US"/>
              </w:rPr>
              <w:t xml:space="preserve"> D, </w:t>
            </w:r>
            <w:proofErr w:type="spellStart"/>
            <w:r w:rsidRPr="00EB609D">
              <w:rPr>
                <w:rFonts w:ascii="Arial" w:hAnsi="Arial"/>
                <w:snapToGrid w:val="0"/>
                <w:sz w:val="20"/>
                <w:szCs w:val="20"/>
                <w:lang w:eastAsia="en-US"/>
              </w:rPr>
              <w:t>Prymula</w:t>
            </w:r>
            <w:proofErr w:type="spellEnd"/>
            <w:r w:rsidRPr="00EB609D">
              <w:rPr>
                <w:rFonts w:ascii="Arial" w:hAnsi="Arial"/>
                <w:snapToGrid w:val="0"/>
                <w:sz w:val="20"/>
                <w:szCs w:val="20"/>
                <w:lang w:eastAsia="en-US"/>
              </w:rPr>
              <w:t xml:space="preserve"> R, </w:t>
            </w:r>
            <w:proofErr w:type="spellStart"/>
            <w:r w:rsidRPr="00EB609D">
              <w:rPr>
                <w:rFonts w:ascii="Arial" w:hAnsi="Arial"/>
                <w:snapToGrid w:val="0"/>
                <w:sz w:val="20"/>
                <w:szCs w:val="20"/>
                <w:lang w:eastAsia="en-US"/>
              </w:rPr>
              <w:t>Merrall</w:t>
            </w:r>
            <w:proofErr w:type="spellEnd"/>
            <w:r w:rsidRPr="00EB609D">
              <w:rPr>
                <w:rFonts w:ascii="Arial" w:hAnsi="Arial"/>
                <w:snapToGrid w:val="0"/>
                <w:sz w:val="20"/>
                <w:szCs w:val="20"/>
                <w:lang w:eastAsia="en-US"/>
              </w:rPr>
              <w:t xml:space="preserve"> E et al.</w:t>
            </w:r>
          </w:p>
          <w:p w:rsidR="00EB609D" w:rsidRPr="00EB609D" w:rsidRDefault="00EB609D" w:rsidP="00250047">
            <w:pPr>
              <w:widowControl w:val="0"/>
              <w:rPr>
                <w:rFonts w:ascii="Arial" w:hAnsi="Arial"/>
                <w:snapToGrid w:val="0"/>
                <w:sz w:val="20"/>
                <w:szCs w:val="20"/>
                <w:lang w:eastAsia="en-US"/>
              </w:rPr>
            </w:pPr>
            <w:proofErr w:type="gramStart"/>
            <w:r w:rsidRPr="00EB609D">
              <w:rPr>
                <w:rFonts w:ascii="Arial" w:hAnsi="Arial"/>
                <w:snapToGrid w:val="0"/>
                <w:sz w:val="20"/>
                <w:szCs w:val="20"/>
                <w:lang w:eastAsia="en-US"/>
              </w:rPr>
              <w:t xml:space="preserve">Immunogenicity and </w:t>
            </w:r>
            <w:proofErr w:type="spellStart"/>
            <w:r w:rsidRPr="00EB609D">
              <w:rPr>
                <w:rFonts w:ascii="Arial" w:hAnsi="Arial"/>
                <w:snapToGrid w:val="0"/>
                <w:sz w:val="20"/>
                <w:szCs w:val="20"/>
                <w:lang w:eastAsia="en-US"/>
              </w:rPr>
              <w:t>reactogenicity</w:t>
            </w:r>
            <w:proofErr w:type="spellEnd"/>
            <w:r w:rsidRPr="00EB609D">
              <w:rPr>
                <w:rFonts w:ascii="Arial" w:hAnsi="Arial"/>
                <w:snapToGrid w:val="0"/>
                <w:sz w:val="20"/>
                <w:szCs w:val="20"/>
                <w:lang w:eastAsia="en-US"/>
              </w:rPr>
              <w:t xml:space="preserve"> of two-dose vaccination with investigational meningococcal b recombinant vaccine at 24 and 26 months of age.</w:t>
            </w:r>
            <w:proofErr w:type="gramEnd"/>
          </w:p>
          <w:p w:rsidR="00EB609D" w:rsidRPr="00EB609D" w:rsidRDefault="00EB609D" w:rsidP="00250047">
            <w:pPr>
              <w:widowControl w:val="0"/>
              <w:rPr>
                <w:rFonts w:ascii="Arial" w:hAnsi="Arial"/>
                <w:b/>
                <w:snapToGrid w:val="0"/>
                <w:sz w:val="20"/>
                <w:szCs w:val="20"/>
                <w:lang w:eastAsia="en-US"/>
              </w:rPr>
            </w:pPr>
          </w:p>
        </w:tc>
        <w:tc>
          <w:tcPr>
            <w:tcW w:w="1549" w:type="pct"/>
          </w:tcPr>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r w:rsidRPr="00EB609D">
              <w:rPr>
                <w:rFonts w:ascii="Arial" w:hAnsi="Arial"/>
                <w:snapToGrid w:val="0"/>
                <w:sz w:val="20"/>
                <w:szCs w:val="20"/>
                <w:lang w:eastAsia="en-US"/>
              </w:rPr>
              <w:t xml:space="preserve">Poster presented at 29th ESPID Meeting, 7-11 June 2011, The Hague, </w:t>
            </w:r>
            <w:proofErr w:type="gramStart"/>
            <w:r w:rsidRPr="00EB609D">
              <w:rPr>
                <w:rFonts w:ascii="Arial" w:hAnsi="Arial"/>
                <w:snapToGrid w:val="0"/>
                <w:sz w:val="20"/>
                <w:szCs w:val="20"/>
                <w:lang w:eastAsia="en-US"/>
              </w:rPr>
              <w:t>The</w:t>
            </w:r>
            <w:proofErr w:type="gramEnd"/>
            <w:r w:rsidRPr="00EB609D">
              <w:rPr>
                <w:rFonts w:ascii="Arial" w:hAnsi="Arial"/>
                <w:snapToGrid w:val="0"/>
                <w:sz w:val="20"/>
                <w:szCs w:val="20"/>
                <w:lang w:eastAsia="en-US"/>
              </w:rPr>
              <w:t xml:space="preserve"> Netherlands. </w:t>
            </w:r>
          </w:p>
          <w:p w:rsidR="00EB609D" w:rsidRPr="00EB609D" w:rsidRDefault="00EB609D" w:rsidP="00250047">
            <w:pPr>
              <w:widowControl w:val="0"/>
              <w:rPr>
                <w:rFonts w:ascii="Arial" w:hAnsi="Arial"/>
                <w:b/>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r w:rsidRPr="00EB609D">
              <w:rPr>
                <w:rFonts w:ascii="Arial" w:hAnsi="Arial"/>
                <w:snapToGrid w:val="0"/>
                <w:sz w:val="20"/>
                <w:szCs w:val="20"/>
                <w:lang w:eastAsia="en-US"/>
              </w:rPr>
              <w:t xml:space="preserve">Poster presented at 29th ESPID Meeting, 7-11 June 2011, The Hague, </w:t>
            </w:r>
            <w:proofErr w:type="gramStart"/>
            <w:r w:rsidRPr="00EB609D">
              <w:rPr>
                <w:rFonts w:ascii="Arial" w:hAnsi="Arial"/>
                <w:snapToGrid w:val="0"/>
                <w:sz w:val="20"/>
                <w:szCs w:val="20"/>
                <w:lang w:eastAsia="en-US"/>
              </w:rPr>
              <w:t>The</w:t>
            </w:r>
            <w:proofErr w:type="gramEnd"/>
            <w:r w:rsidRPr="00EB609D">
              <w:rPr>
                <w:rFonts w:ascii="Arial" w:hAnsi="Arial"/>
                <w:snapToGrid w:val="0"/>
                <w:sz w:val="20"/>
                <w:szCs w:val="20"/>
                <w:lang w:eastAsia="en-US"/>
              </w:rPr>
              <w:t xml:space="preserve"> Netherlands.</w:t>
            </w:r>
          </w:p>
          <w:p w:rsidR="00EB609D" w:rsidRPr="00EB609D" w:rsidRDefault="00EB609D" w:rsidP="00250047">
            <w:pPr>
              <w:widowControl w:val="0"/>
              <w:rPr>
                <w:rFonts w:ascii="Arial" w:hAnsi="Arial"/>
                <w:b/>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r w:rsidRPr="00EB609D">
              <w:rPr>
                <w:rFonts w:ascii="Arial" w:hAnsi="Arial"/>
                <w:snapToGrid w:val="0"/>
                <w:sz w:val="20"/>
                <w:szCs w:val="20"/>
                <w:lang w:eastAsia="en-US"/>
              </w:rPr>
              <w:t>Poster presented at 31st ESPID Meeting, May 28-June 1 2013, Milan, Italy.</w:t>
            </w:r>
          </w:p>
          <w:p w:rsidR="00EB609D" w:rsidRPr="00EB609D" w:rsidRDefault="00EB609D" w:rsidP="00250047">
            <w:pPr>
              <w:widowControl w:val="0"/>
              <w:rPr>
                <w:rFonts w:ascii="Arial" w:hAnsi="Arial"/>
                <w:b/>
                <w:snapToGrid w:val="0"/>
                <w:sz w:val="20"/>
                <w:szCs w:val="20"/>
                <w:lang w:eastAsia="en-US"/>
              </w:rPr>
            </w:pPr>
          </w:p>
        </w:tc>
      </w:tr>
      <w:tr w:rsidR="00EB609D" w:rsidRPr="00EB609D" w:rsidTr="00EB609D">
        <w:tc>
          <w:tcPr>
            <w:tcW w:w="5000" w:type="pct"/>
            <w:gridSpan w:val="3"/>
          </w:tcPr>
          <w:p w:rsidR="00EB609D" w:rsidRPr="00EB609D" w:rsidRDefault="00EB609D" w:rsidP="00EB609D">
            <w:pPr>
              <w:widowControl w:val="0"/>
              <w:jc w:val="both"/>
              <w:rPr>
                <w:rFonts w:ascii="Arial" w:hAnsi="Arial"/>
                <w:b/>
                <w:snapToGrid w:val="0"/>
                <w:sz w:val="20"/>
                <w:szCs w:val="20"/>
                <w:lang w:eastAsia="en-US"/>
              </w:rPr>
            </w:pPr>
            <w:r w:rsidRPr="00EB609D">
              <w:rPr>
                <w:rFonts w:ascii="Arial" w:hAnsi="Arial"/>
                <w:b/>
                <w:snapToGrid w:val="0"/>
                <w:sz w:val="20"/>
                <w:szCs w:val="20"/>
                <w:lang w:eastAsia="en-US"/>
              </w:rPr>
              <w:t>Adolescent Studies</w:t>
            </w:r>
          </w:p>
        </w:tc>
      </w:tr>
      <w:tr w:rsidR="00EB609D" w:rsidRPr="00EB609D" w:rsidTr="00250047">
        <w:tc>
          <w:tcPr>
            <w:tcW w:w="699" w:type="pct"/>
          </w:tcPr>
          <w:p w:rsidR="00EB609D" w:rsidRPr="00EB609D" w:rsidRDefault="00EB609D" w:rsidP="00EB609D">
            <w:pPr>
              <w:widowControl w:val="0"/>
              <w:jc w:val="both"/>
              <w:rPr>
                <w:rFonts w:ascii="Arial" w:hAnsi="Arial"/>
                <w:snapToGrid w:val="0"/>
                <w:sz w:val="20"/>
                <w:szCs w:val="20"/>
                <w:lang w:eastAsia="en-US"/>
              </w:rPr>
            </w:pPr>
            <w:r w:rsidRPr="00EB609D">
              <w:rPr>
                <w:rFonts w:ascii="Arial" w:hAnsi="Arial"/>
                <w:snapToGrid w:val="0"/>
                <w:sz w:val="20"/>
                <w:szCs w:val="20"/>
                <w:lang w:eastAsia="en-US"/>
              </w:rPr>
              <w:t>V72P10</w:t>
            </w:r>
          </w:p>
          <w:p w:rsidR="00EB609D" w:rsidRPr="00EB609D" w:rsidRDefault="00EB609D" w:rsidP="00EB609D">
            <w:pPr>
              <w:widowControl w:val="0"/>
              <w:jc w:val="both"/>
              <w:rPr>
                <w:rFonts w:ascii="Arial" w:hAnsi="Arial"/>
                <w:snapToGrid w:val="0"/>
                <w:sz w:val="20"/>
                <w:szCs w:val="20"/>
                <w:lang w:eastAsia="en-US"/>
              </w:rPr>
            </w:pPr>
          </w:p>
        </w:tc>
        <w:tc>
          <w:tcPr>
            <w:tcW w:w="2752" w:type="pct"/>
          </w:tcPr>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roofErr w:type="spellStart"/>
            <w:r w:rsidRPr="00EB609D">
              <w:rPr>
                <w:rFonts w:ascii="Arial" w:hAnsi="Arial"/>
                <w:snapToGrid w:val="0"/>
                <w:sz w:val="20"/>
                <w:szCs w:val="20"/>
                <w:lang w:eastAsia="en-US"/>
              </w:rPr>
              <w:t>Santolaya</w:t>
            </w:r>
            <w:proofErr w:type="spellEnd"/>
            <w:r w:rsidRPr="00EB609D">
              <w:rPr>
                <w:rFonts w:ascii="Arial" w:hAnsi="Arial"/>
                <w:snapToGrid w:val="0"/>
                <w:sz w:val="20"/>
                <w:szCs w:val="20"/>
                <w:lang w:eastAsia="en-US"/>
              </w:rPr>
              <w:t xml:space="preserve">, M. E., </w:t>
            </w:r>
            <w:proofErr w:type="spellStart"/>
            <w:r w:rsidRPr="00EB609D">
              <w:rPr>
                <w:rFonts w:ascii="Arial" w:hAnsi="Arial"/>
                <w:snapToGrid w:val="0"/>
                <w:sz w:val="20"/>
                <w:szCs w:val="20"/>
                <w:lang w:eastAsia="en-US"/>
              </w:rPr>
              <w:t>O'Ryan</w:t>
            </w:r>
            <w:proofErr w:type="spellEnd"/>
            <w:r w:rsidRPr="00EB609D">
              <w:rPr>
                <w:rFonts w:ascii="Arial" w:hAnsi="Arial"/>
                <w:snapToGrid w:val="0"/>
                <w:sz w:val="20"/>
                <w:szCs w:val="20"/>
                <w:lang w:eastAsia="en-US"/>
              </w:rPr>
              <w:t xml:space="preserve">, M. L., et al. (2012). "Immunogenicity and tolerability of a multicomponent meningococcal </w:t>
            </w:r>
            <w:proofErr w:type="spellStart"/>
            <w:r w:rsidRPr="00EB609D">
              <w:rPr>
                <w:rFonts w:ascii="Arial" w:hAnsi="Arial"/>
                <w:snapToGrid w:val="0"/>
                <w:sz w:val="20"/>
                <w:szCs w:val="20"/>
                <w:lang w:eastAsia="en-US"/>
              </w:rPr>
              <w:t>serogroup</w:t>
            </w:r>
            <w:proofErr w:type="spellEnd"/>
            <w:r w:rsidRPr="00EB609D">
              <w:rPr>
                <w:rFonts w:ascii="Arial" w:hAnsi="Arial"/>
                <w:snapToGrid w:val="0"/>
                <w:sz w:val="20"/>
                <w:szCs w:val="20"/>
                <w:lang w:eastAsia="en-US"/>
              </w:rPr>
              <w:t xml:space="preserve"> B (4CMenB) vaccine in healthy adolescents in Chile: A phase 2b/3 randomised, observer-blind, placebo-controlled study." </w:t>
            </w: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roofErr w:type="gramStart"/>
            <w:r w:rsidRPr="00EB609D">
              <w:rPr>
                <w:rFonts w:ascii="Arial" w:hAnsi="Arial"/>
                <w:snapToGrid w:val="0"/>
                <w:sz w:val="20"/>
                <w:szCs w:val="20"/>
                <w:lang w:eastAsia="en-US"/>
              </w:rPr>
              <w:t>Stephens, D. S. (2012).</w:t>
            </w:r>
            <w:proofErr w:type="gramEnd"/>
            <w:r w:rsidRPr="00EB609D">
              <w:rPr>
                <w:rFonts w:ascii="Arial" w:hAnsi="Arial"/>
                <w:snapToGrid w:val="0"/>
                <w:sz w:val="20"/>
                <w:szCs w:val="20"/>
                <w:lang w:eastAsia="en-US"/>
              </w:rPr>
              <w:t xml:space="preserve"> "Prevention of </w:t>
            </w:r>
            <w:proofErr w:type="spellStart"/>
            <w:r w:rsidRPr="00EB609D">
              <w:rPr>
                <w:rFonts w:ascii="Arial" w:hAnsi="Arial"/>
                <w:snapToGrid w:val="0"/>
                <w:sz w:val="20"/>
                <w:szCs w:val="20"/>
                <w:lang w:eastAsia="en-US"/>
              </w:rPr>
              <w:t>serogroup</w:t>
            </w:r>
            <w:proofErr w:type="spellEnd"/>
            <w:r w:rsidRPr="00EB609D">
              <w:rPr>
                <w:rFonts w:ascii="Arial" w:hAnsi="Arial"/>
                <w:snapToGrid w:val="0"/>
                <w:sz w:val="20"/>
                <w:szCs w:val="20"/>
                <w:lang w:eastAsia="en-US"/>
              </w:rPr>
              <w:t xml:space="preserve"> B meningococcal disease." </w:t>
            </w:r>
          </w:p>
          <w:p w:rsidR="00EB609D" w:rsidRPr="00EB609D" w:rsidRDefault="00EB609D" w:rsidP="00250047">
            <w:pPr>
              <w:widowControl w:val="0"/>
              <w:rPr>
                <w:rFonts w:ascii="Arial" w:hAnsi="Arial"/>
                <w:b/>
                <w:snapToGrid w:val="0"/>
                <w:sz w:val="20"/>
                <w:szCs w:val="20"/>
                <w:lang w:eastAsia="en-US"/>
              </w:rPr>
            </w:pPr>
          </w:p>
        </w:tc>
        <w:tc>
          <w:tcPr>
            <w:tcW w:w="1549" w:type="pct"/>
          </w:tcPr>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r w:rsidRPr="00EB609D">
              <w:rPr>
                <w:rFonts w:ascii="Arial" w:hAnsi="Arial"/>
                <w:snapToGrid w:val="0"/>
                <w:sz w:val="20"/>
                <w:szCs w:val="20"/>
                <w:lang w:eastAsia="en-US"/>
              </w:rPr>
              <w:t>The Lancet 379(9816): 617-624.</w:t>
            </w: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
          <w:p w:rsid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b/>
                <w:snapToGrid w:val="0"/>
                <w:sz w:val="20"/>
                <w:szCs w:val="20"/>
                <w:lang w:eastAsia="en-US"/>
              </w:rPr>
            </w:pPr>
            <w:r w:rsidRPr="00EB609D">
              <w:rPr>
                <w:rFonts w:ascii="Arial" w:hAnsi="Arial"/>
                <w:snapToGrid w:val="0"/>
                <w:sz w:val="20"/>
                <w:szCs w:val="20"/>
                <w:lang w:eastAsia="en-US"/>
              </w:rPr>
              <w:t>The Lancet 379(9816): 592-594.</w:t>
            </w:r>
          </w:p>
        </w:tc>
      </w:tr>
      <w:tr w:rsidR="00EB609D" w:rsidRPr="00EB609D" w:rsidTr="00250047">
        <w:tc>
          <w:tcPr>
            <w:tcW w:w="699" w:type="pct"/>
          </w:tcPr>
          <w:p w:rsidR="00EB609D" w:rsidRPr="00EB609D" w:rsidRDefault="00EB609D" w:rsidP="00EB609D">
            <w:pPr>
              <w:widowControl w:val="0"/>
              <w:jc w:val="both"/>
              <w:rPr>
                <w:rFonts w:ascii="Arial" w:hAnsi="Arial"/>
                <w:snapToGrid w:val="0"/>
                <w:sz w:val="20"/>
                <w:szCs w:val="20"/>
                <w:lang w:eastAsia="en-US"/>
              </w:rPr>
            </w:pPr>
            <w:r w:rsidRPr="00EB609D">
              <w:rPr>
                <w:rFonts w:ascii="Arial" w:hAnsi="Arial"/>
                <w:snapToGrid w:val="0"/>
                <w:sz w:val="20"/>
                <w:szCs w:val="20"/>
                <w:lang w:eastAsia="en-US"/>
              </w:rPr>
              <w:t>V72P10E1</w:t>
            </w:r>
          </w:p>
        </w:tc>
        <w:tc>
          <w:tcPr>
            <w:tcW w:w="2752" w:type="pct"/>
          </w:tcPr>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roofErr w:type="spellStart"/>
            <w:r w:rsidRPr="00EB609D">
              <w:rPr>
                <w:rFonts w:ascii="Arial" w:hAnsi="Arial"/>
                <w:snapToGrid w:val="0"/>
                <w:sz w:val="20"/>
                <w:szCs w:val="20"/>
                <w:lang w:eastAsia="en-US"/>
              </w:rPr>
              <w:t>Santolaya</w:t>
            </w:r>
            <w:proofErr w:type="spellEnd"/>
            <w:r w:rsidRPr="00EB609D">
              <w:rPr>
                <w:rFonts w:ascii="Arial" w:hAnsi="Arial"/>
                <w:snapToGrid w:val="0"/>
                <w:sz w:val="20"/>
                <w:szCs w:val="20"/>
                <w:lang w:eastAsia="en-US"/>
              </w:rPr>
              <w:t xml:space="preserve"> ME, </w:t>
            </w:r>
            <w:proofErr w:type="spellStart"/>
            <w:r w:rsidRPr="00EB609D">
              <w:rPr>
                <w:rFonts w:ascii="Arial" w:hAnsi="Arial"/>
                <w:snapToGrid w:val="0"/>
                <w:sz w:val="20"/>
                <w:szCs w:val="20"/>
                <w:lang w:eastAsia="en-US"/>
              </w:rPr>
              <w:t>O’Ryan</w:t>
            </w:r>
            <w:proofErr w:type="spellEnd"/>
            <w:r w:rsidRPr="00EB609D">
              <w:rPr>
                <w:rFonts w:ascii="Arial" w:hAnsi="Arial"/>
                <w:snapToGrid w:val="0"/>
                <w:sz w:val="20"/>
                <w:szCs w:val="20"/>
                <w:lang w:eastAsia="en-US"/>
              </w:rPr>
              <w:t xml:space="preserve"> MO, Valenzuela MT et al.</w:t>
            </w:r>
          </w:p>
          <w:p w:rsidR="00EB609D" w:rsidRPr="00EB609D" w:rsidRDefault="00EB609D" w:rsidP="00250047">
            <w:pPr>
              <w:widowControl w:val="0"/>
              <w:rPr>
                <w:rFonts w:ascii="Arial" w:hAnsi="Arial"/>
                <w:snapToGrid w:val="0"/>
                <w:sz w:val="20"/>
                <w:szCs w:val="20"/>
                <w:lang w:eastAsia="en-US"/>
              </w:rPr>
            </w:pPr>
            <w:r w:rsidRPr="00EB609D">
              <w:rPr>
                <w:rFonts w:ascii="Arial" w:hAnsi="Arial"/>
                <w:snapToGrid w:val="0"/>
                <w:sz w:val="20"/>
                <w:szCs w:val="20"/>
                <w:lang w:eastAsia="en-US"/>
              </w:rPr>
              <w:t xml:space="preserve">Persistence of antibodies 18–24 months after adolescent immunization with 1–3 doses of a multicomponent meningococcal </w:t>
            </w:r>
            <w:proofErr w:type="spellStart"/>
            <w:r w:rsidRPr="00EB609D">
              <w:rPr>
                <w:rFonts w:ascii="Arial" w:hAnsi="Arial"/>
                <w:snapToGrid w:val="0"/>
                <w:sz w:val="20"/>
                <w:szCs w:val="20"/>
                <w:lang w:eastAsia="en-US"/>
              </w:rPr>
              <w:t>serogroup</w:t>
            </w:r>
            <w:proofErr w:type="spellEnd"/>
            <w:r w:rsidRPr="00EB609D">
              <w:rPr>
                <w:rFonts w:ascii="Arial" w:hAnsi="Arial"/>
                <w:snapToGrid w:val="0"/>
                <w:sz w:val="20"/>
                <w:szCs w:val="20"/>
                <w:lang w:eastAsia="en-US"/>
              </w:rPr>
              <w:t xml:space="preserve"> B vaccine.</w:t>
            </w: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roofErr w:type="spellStart"/>
            <w:r w:rsidRPr="00EB609D">
              <w:rPr>
                <w:rFonts w:ascii="Arial" w:hAnsi="Arial"/>
                <w:snapToGrid w:val="0"/>
                <w:sz w:val="20"/>
                <w:szCs w:val="20"/>
                <w:lang w:eastAsia="en-US"/>
              </w:rPr>
              <w:t>Santolaya</w:t>
            </w:r>
            <w:proofErr w:type="spellEnd"/>
            <w:r w:rsidRPr="00EB609D">
              <w:rPr>
                <w:rFonts w:ascii="Arial" w:hAnsi="Arial"/>
                <w:snapToGrid w:val="0"/>
                <w:sz w:val="20"/>
                <w:szCs w:val="20"/>
                <w:lang w:eastAsia="en-US"/>
              </w:rPr>
              <w:t xml:space="preserve"> ME, </w:t>
            </w:r>
            <w:proofErr w:type="spellStart"/>
            <w:r w:rsidRPr="00EB609D">
              <w:rPr>
                <w:rFonts w:ascii="Arial" w:hAnsi="Arial"/>
                <w:snapToGrid w:val="0"/>
                <w:sz w:val="20"/>
                <w:szCs w:val="20"/>
                <w:lang w:eastAsia="en-US"/>
              </w:rPr>
              <w:t>O’Ryan</w:t>
            </w:r>
            <w:proofErr w:type="spellEnd"/>
            <w:r w:rsidRPr="00EB609D">
              <w:rPr>
                <w:rFonts w:ascii="Arial" w:hAnsi="Arial"/>
                <w:snapToGrid w:val="0"/>
                <w:sz w:val="20"/>
                <w:szCs w:val="20"/>
                <w:lang w:eastAsia="en-US"/>
              </w:rPr>
              <w:t xml:space="preserve"> M, Dull, P. et. </w:t>
            </w:r>
            <w:proofErr w:type="gramStart"/>
            <w:r w:rsidRPr="00EB609D">
              <w:rPr>
                <w:rFonts w:ascii="Arial" w:hAnsi="Arial"/>
                <w:snapToGrid w:val="0"/>
                <w:sz w:val="20"/>
                <w:szCs w:val="20"/>
                <w:lang w:eastAsia="en-US"/>
              </w:rPr>
              <w:t>al</w:t>
            </w:r>
            <w:proofErr w:type="gramEnd"/>
            <w:r w:rsidRPr="00EB609D">
              <w:rPr>
                <w:rFonts w:ascii="Arial" w:hAnsi="Arial"/>
                <w:snapToGrid w:val="0"/>
                <w:sz w:val="20"/>
                <w:szCs w:val="20"/>
                <w:lang w:eastAsia="en-US"/>
              </w:rPr>
              <w:t xml:space="preserve">. Persistence of antibodies in adolescents 18−24 </w:t>
            </w:r>
            <w:proofErr w:type="spellStart"/>
            <w:r w:rsidRPr="00EB609D">
              <w:rPr>
                <w:rFonts w:ascii="Arial" w:hAnsi="Arial"/>
                <w:snapToGrid w:val="0"/>
                <w:sz w:val="20"/>
                <w:szCs w:val="20"/>
                <w:lang w:eastAsia="en-US"/>
              </w:rPr>
              <w:t>mo</w:t>
            </w:r>
            <w:proofErr w:type="spellEnd"/>
            <w:r w:rsidRPr="00EB609D">
              <w:rPr>
                <w:rFonts w:ascii="Arial" w:hAnsi="Arial"/>
                <w:snapToGrid w:val="0"/>
                <w:sz w:val="20"/>
                <w:szCs w:val="20"/>
                <w:lang w:eastAsia="en-US"/>
              </w:rPr>
              <w:t xml:space="preserve"> after immunization with one, two or three doses of 4CMenB meningococcal </w:t>
            </w:r>
            <w:proofErr w:type="spellStart"/>
            <w:r w:rsidRPr="00EB609D">
              <w:rPr>
                <w:rFonts w:ascii="Arial" w:hAnsi="Arial"/>
                <w:snapToGrid w:val="0"/>
                <w:sz w:val="20"/>
                <w:szCs w:val="20"/>
                <w:lang w:eastAsia="en-US"/>
              </w:rPr>
              <w:t>serogroup</w:t>
            </w:r>
            <w:proofErr w:type="spellEnd"/>
            <w:r w:rsidRPr="00EB609D">
              <w:rPr>
                <w:rFonts w:ascii="Arial" w:hAnsi="Arial"/>
                <w:snapToGrid w:val="0"/>
                <w:sz w:val="20"/>
                <w:szCs w:val="20"/>
                <w:lang w:eastAsia="en-US"/>
              </w:rPr>
              <w:t xml:space="preserve"> B vaccine. </w:t>
            </w:r>
          </w:p>
        </w:tc>
        <w:tc>
          <w:tcPr>
            <w:tcW w:w="1549" w:type="pct"/>
          </w:tcPr>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r w:rsidRPr="00EB609D">
              <w:rPr>
                <w:rFonts w:ascii="Arial" w:hAnsi="Arial"/>
                <w:snapToGrid w:val="0"/>
                <w:sz w:val="20"/>
                <w:szCs w:val="20"/>
                <w:lang w:eastAsia="en-US"/>
              </w:rPr>
              <w:t>Poster presented at 31st ESPID Meeting, May 28-June 1 2013, Milan, Italy.</w:t>
            </w: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
          <w:p w:rsidR="00EB609D" w:rsidRPr="00EB609D" w:rsidRDefault="00EB609D" w:rsidP="00250047">
            <w:pPr>
              <w:widowControl w:val="0"/>
              <w:rPr>
                <w:rFonts w:ascii="Arial" w:hAnsi="Arial"/>
                <w:snapToGrid w:val="0"/>
                <w:sz w:val="20"/>
                <w:szCs w:val="20"/>
                <w:lang w:eastAsia="en-US"/>
              </w:rPr>
            </w:pPr>
            <w:proofErr w:type="gramStart"/>
            <w:r w:rsidRPr="00EB609D">
              <w:rPr>
                <w:rFonts w:ascii="Arial" w:hAnsi="Arial"/>
                <w:snapToGrid w:val="0"/>
                <w:sz w:val="20"/>
                <w:szCs w:val="20"/>
                <w:lang w:eastAsia="en-US"/>
              </w:rPr>
              <w:t xml:space="preserve">Human Vaccines &amp; </w:t>
            </w:r>
            <w:proofErr w:type="spellStart"/>
            <w:r w:rsidRPr="00EB609D">
              <w:rPr>
                <w:rFonts w:ascii="Arial" w:hAnsi="Arial"/>
                <w:snapToGrid w:val="0"/>
                <w:sz w:val="20"/>
                <w:szCs w:val="20"/>
                <w:lang w:eastAsia="en-US"/>
              </w:rPr>
              <w:t>Immuno</w:t>
            </w:r>
            <w:proofErr w:type="spellEnd"/>
            <w:r w:rsidRPr="00EB609D">
              <w:rPr>
                <w:rFonts w:ascii="Arial" w:hAnsi="Arial"/>
                <w:snapToGrid w:val="0"/>
                <w:sz w:val="20"/>
                <w:szCs w:val="20"/>
                <w:lang w:eastAsia="en-US"/>
              </w:rPr>
              <w:t>.</w:t>
            </w:r>
            <w:proofErr w:type="gramEnd"/>
            <w:r w:rsidRPr="00EB609D">
              <w:rPr>
                <w:rFonts w:ascii="Arial" w:hAnsi="Arial"/>
                <w:snapToGrid w:val="0"/>
                <w:sz w:val="20"/>
                <w:szCs w:val="20"/>
                <w:lang w:eastAsia="en-US"/>
              </w:rPr>
              <w:t xml:space="preserve"> </w:t>
            </w:r>
            <w:proofErr w:type="spellStart"/>
            <w:r w:rsidRPr="00EB609D">
              <w:rPr>
                <w:rFonts w:ascii="Arial" w:hAnsi="Arial"/>
                <w:snapToGrid w:val="0"/>
                <w:sz w:val="20"/>
                <w:szCs w:val="20"/>
                <w:lang w:eastAsia="en-US"/>
              </w:rPr>
              <w:t>Vol</w:t>
            </w:r>
            <w:proofErr w:type="spellEnd"/>
            <w:r w:rsidRPr="00EB609D">
              <w:rPr>
                <w:rFonts w:ascii="Arial" w:hAnsi="Arial"/>
                <w:snapToGrid w:val="0"/>
                <w:sz w:val="20"/>
                <w:szCs w:val="20"/>
                <w:lang w:eastAsia="en-US"/>
              </w:rPr>
              <w:t xml:space="preserve"> 9 Issue 11 June 2013 (e-pub ahead of print)</w:t>
            </w:r>
          </w:p>
          <w:p w:rsidR="00EB609D" w:rsidRPr="00EB609D" w:rsidRDefault="00EB609D" w:rsidP="00250047">
            <w:pPr>
              <w:widowControl w:val="0"/>
              <w:rPr>
                <w:rFonts w:ascii="Arial" w:hAnsi="Arial"/>
                <w:snapToGrid w:val="0"/>
                <w:sz w:val="20"/>
                <w:szCs w:val="20"/>
                <w:lang w:eastAsia="en-US"/>
              </w:rPr>
            </w:pPr>
            <w:r w:rsidRPr="00EB609D">
              <w:rPr>
                <w:rFonts w:ascii="Arial" w:hAnsi="Arial"/>
                <w:snapToGrid w:val="0"/>
                <w:sz w:val="20"/>
                <w:szCs w:val="20"/>
                <w:lang w:eastAsia="en-US"/>
              </w:rPr>
              <w:t xml:space="preserve">http://www.landesbioscience.com/journals/vaccines/article/25505/ </w:t>
            </w:r>
          </w:p>
        </w:tc>
      </w:tr>
    </w:tbl>
    <w:p w:rsidR="00BB219E" w:rsidRDefault="0004080D" w:rsidP="00BB219E">
      <w:pPr>
        <w:pStyle w:val="Heading3"/>
        <w:rPr>
          <w:sz w:val="22"/>
        </w:rPr>
      </w:pPr>
      <w:r w:rsidRPr="00BB219E">
        <w:rPr>
          <w:rFonts w:ascii="Times New Roman" w:hAnsi="Times New Roman"/>
          <w:sz w:val="24"/>
        </w:rPr>
        <w:t xml:space="preserve">8. </w:t>
      </w:r>
      <w:r w:rsidR="002A57B9" w:rsidRPr="00BB219E">
        <w:rPr>
          <w:rFonts w:ascii="Times New Roman" w:hAnsi="Times New Roman"/>
          <w:sz w:val="24"/>
        </w:rPr>
        <w:t>Results of Trials</w:t>
      </w:r>
      <w:r w:rsidR="009102D9" w:rsidRPr="0004080D">
        <w:rPr>
          <w:sz w:val="22"/>
        </w:rPr>
        <w:t xml:space="preserve"> </w:t>
      </w:r>
    </w:p>
    <w:p w:rsidR="00EB609D" w:rsidRPr="00EB3536" w:rsidRDefault="00EB609D" w:rsidP="00EB609D">
      <w:pPr>
        <w:pStyle w:val="ListParagraph"/>
        <w:ind w:left="0"/>
      </w:pPr>
      <w:r w:rsidRPr="00EB3536">
        <w:t xml:space="preserve">The </w:t>
      </w:r>
      <w:proofErr w:type="spellStart"/>
      <w:r w:rsidRPr="00EB3536">
        <w:t>hSBA</w:t>
      </w:r>
      <w:proofErr w:type="spellEnd"/>
      <w:r w:rsidRPr="00EB3536">
        <w:t xml:space="preserve"> titre </w:t>
      </w:r>
      <w:proofErr w:type="gramStart"/>
      <w:r w:rsidRPr="00EB3536">
        <w:t>was measured</w:t>
      </w:r>
      <w:proofErr w:type="gramEnd"/>
      <w:r w:rsidRPr="00EB3536">
        <w:t xml:space="preserve"> in the sera of </w:t>
      </w:r>
      <w:proofErr w:type="spellStart"/>
      <w:r w:rsidRPr="00EB3536">
        <w:t>vaccinees</w:t>
      </w:r>
      <w:proofErr w:type="spellEnd"/>
      <w:r w:rsidRPr="00EB3536">
        <w:t xml:space="preserve"> against indicator bacterial strains, corresponding to antigens in the vaccine. Since the completion of the study, the sponsor </w:t>
      </w:r>
      <w:r w:rsidRPr="00EB3536">
        <w:lastRenderedPageBreak/>
        <w:t xml:space="preserve">identified a candidate </w:t>
      </w:r>
      <w:proofErr w:type="spellStart"/>
      <w:r w:rsidRPr="00EB3536">
        <w:t>serogroup</w:t>
      </w:r>
      <w:proofErr w:type="spellEnd"/>
      <w:r w:rsidRPr="00EB3536">
        <w:t xml:space="preserve"> B indicator strain (M10713) for measuring antigen-specific </w:t>
      </w:r>
      <w:proofErr w:type="spellStart"/>
      <w:r w:rsidRPr="00EB3536">
        <w:t>hSBA</w:t>
      </w:r>
      <w:proofErr w:type="spellEnd"/>
      <w:r w:rsidRPr="00EB3536">
        <w:t xml:space="preserve"> responses to the NHBA antigen. </w:t>
      </w:r>
      <w:r w:rsidRPr="00EB3536">
        <w:rPr>
          <w:lang w:val="en-GB"/>
        </w:rPr>
        <w:t>Post-hoc analyses were conducted on a small number of sera from the trials.</w:t>
      </w:r>
    </w:p>
    <w:p w:rsidR="00EB609D" w:rsidRPr="00EB3536" w:rsidRDefault="00EB609D" w:rsidP="00EB609D">
      <w:pPr>
        <w:pStyle w:val="ListParagraph"/>
        <w:ind w:left="709"/>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785"/>
      </w:tblGrid>
      <w:tr w:rsidR="00EB609D" w:rsidRPr="00AD394E" w:rsidTr="000B0D77">
        <w:tc>
          <w:tcPr>
            <w:tcW w:w="2452" w:type="dxa"/>
            <w:shd w:val="clear" w:color="auto" w:fill="auto"/>
            <w:vAlign w:val="center"/>
          </w:tcPr>
          <w:p w:rsidR="00EB609D" w:rsidRPr="000B0D77" w:rsidRDefault="00EB609D" w:rsidP="000B0D77">
            <w:pPr>
              <w:pStyle w:val="Heading3"/>
              <w:jc w:val="center"/>
              <w:rPr>
                <w:rFonts w:ascii="Arial" w:hAnsi="Arial" w:cs="Arial"/>
                <w:sz w:val="20"/>
                <w:szCs w:val="20"/>
              </w:rPr>
            </w:pPr>
            <w:r w:rsidRPr="000B0D77">
              <w:rPr>
                <w:rFonts w:ascii="Arial" w:hAnsi="Arial" w:cs="Arial"/>
                <w:sz w:val="20"/>
                <w:szCs w:val="20"/>
              </w:rPr>
              <w:t>Indicator strain</w:t>
            </w:r>
          </w:p>
        </w:tc>
        <w:tc>
          <w:tcPr>
            <w:tcW w:w="3785" w:type="dxa"/>
            <w:shd w:val="clear" w:color="auto" w:fill="auto"/>
            <w:vAlign w:val="center"/>
          </w:tcPr>
          <w:p w:rsidR="00EB609D" w:rsidRPr="000B0D77" w:rsidRDefault="00EB609D" w:rsidP="000B0D77">
            <w:pPr>
              <w:pStyle w:val="Heading3"/>
              <w:jc w:val="center"/>
              <w:rPr>
                <w:rFonts w:ascii="Arial" w:hAnsi="Arial" w:cs="Arial"/>
                <w:sz w:val="20"/>
                <w:szCs w:val="20"/>
              </w:rPr>
            </w:pPr>
            <w:r w:rsidRPr="000B0D77">
              <w:rPr>
                <w:rFonts w:ascii="Arial" w:hAnsi="Arial" w:cs="Arial"/>
                <w:sz w:val="20"/>
                <w:szCs w:val="20"/>
              </w:rPr>
              <w:t>Antigen component of 4CMenB</w:t>
            </w:r>
          </w:p>
        </w:tc>
      </w:tr>
      <w:tr w:rsidR="00EB609D" w:rsidRPr="00AD394E" w:rsidTr="000B0D77">
        <w:tc>
          <w:tcPr>
            <w:tcW w:w="2452" w:type="dxa"/>
            <w:shd w:val="clear" w:color="auto" w:fill="auto"/>
            <w:vAlign w:val="bottom"/>
          </w:tcPr>
          <w:p w:rsidR="00EB609D" w:rsidRPr="000B0D77" w:rsidRDefault="00EB609D" w:rsidP="000B0D77">
            <w:pPr>
              <w:pStyle w:val="Heading3"/>
              <w:jc w:val="center"/>
              <w:rPr>
                <w:rFonts w:ascii="Arial" w:hAnsi="Arial" w:cs="Arial"/>
                <w:b w:val="0"/>
                <w:sz w:val="20"/>
                <w:szCs w:val="20"/>
              </w:rPr>
            </w:pPr>
            <w:r w:rsidRPr="000B0D77">
              <w:rPr>
                <w:rFonts w:ascii="Arial" w:hAnsi="Arial" w:cs="Arial"/>
                <w:b w:val="0"/>
                <w:sz w:val="20"/>
                <w:szCs w:val="20"/>
              </w:rPr>
              <w:t>44/76</w:t>
            </w:r>
          </w:p>
        </w:tc>
        <w:tc>
          <w:tcPr>
            <w:tcW w:w="3785" w:type="dxa"/>
            <w:shd w:val="clear" w:color="auto" w:fill="auto"/>
            <w:vAlign w:val="bottom"/>
          </w:tcPr>
          <w:p w:rsidR="00EB609D" w:rsidRPr="000B0D77" w:rsidRDefault="00EB609D" w:rsidP="000B0D77">
            <w:pPr>
              <w:pStyle w:val="Heading3"/>
              <w:jc w:val="center"/>
              <w:rPr>
                <w:rFonts w:ascii="Arial" w:hAnsi="Arial" w:cs="Arial"/>
                <w:b w:val="0"/>
                <w:sz w:val="20"/>
                <w:szCs w:val="20"/>
              </w:rPr>
            </w:pPr>
            <w:proofErr w:type="spellStart"/>
            <w:proofErr w:type="gramStart"/>
            <w:r w:rsidRPr="000B0D77">
              <w:rPr>
                <w:rFonts w:ascii="Arial" w:hAnsi="Arial" w:cs="Arial"/>
                <w:b w:val="0"/>
                <w:sz w:val="20"/>
                <w:szCs w:val="20"/>
              </w:rPr>
              <w:t>fHbp</w:t>
            </w:r>
            <w:proofErr w:type="spellEnd"/>
            <w:proofErr w:type="gramEnd"/>
          </w:p>
        </w:tc>
      </w:tr>
      <w:tr w:rsidR="00EB609D" w:rsidRPr="00AD394E" w:rsidTr="000B0D77">
        <w:tc>
          <w:tcPr>
            <w:tcW w:w="2452" w:type="dxa"/>
            <w:shd w:val="clear" w:color="auto" w:fill="auto"/>
            <w:vAlign w:val="bottom"/>
          </w:tcPr>
          <w:p w:rsidR="00EB609D" w:rsidRPr="000B0D77" w:rsidRDefault="00EB609D" w:rsidP="000B0D77">
            <w:pPr>
              <w:pStyle w:val="Heading3"/>
              <w:jc w:val="center"/>
              <w:rPr>
                <w:rFonts w:ascii="Arial" w:hAnsi="Arial" w:cs="Arial"/>
                <w:b w:val="0"/>
                <w:sz w:val="20"/>
                <w:szCs w:val="20"/>
              </w:rPr>
            </w:pPr>
            <w:r w:rsidRPr="000B0D77">
              <w:rPr>
                <w:rStyle w:val="Table"/>
                <w:rFonts w:cs="Arial"/>
                <w:b w:val="0"/>
                <w:sz w:val="20"/>
                <w:szCs w:val="20"/>
              </w:rPr>
              <w:t>5/99</w:t>
            </w:r>
          </w:p>
        </w:tc>
        <w:tc>
          <w:tcPr>
            <w:tcW w:w="3785" w:type="dxa"/>
            <w:shd w:val="clear" w:color="auto" w:fill="auto"/>
            <w:vAlign w:val="bottom"/>
          </w:tcPr>
          <w:p w:rsidR="00EB609D" w:rsidRPr="000B0D77" w:rsidRDefault="00EB609D" w:rsidP="000B0D77">
            <w:pPr>
              <w:pStyle w:val="Heading3"/>
              <w:jc w:val="center"/>
              <w:rPr>
                <w:rFonts w:ascii="Arial" w:hAnsi="Arial" w:cs="Arial"/>
                <w:b w:val="0"/>
                <w:sz w:val="20"/>
                <w:szCs w:val="20"/>
              </w:rPr>
            </w:pPr>
            <w:proofErr w:type="spellStart"/>
            <w:r w:rsidRPr="000B0D77">
              <w:rPr>
                <w:rFonts w:ascii="Arial" w:hAnsi="Arial" w:cs="Arial"/>
                <w:b w:val="0"/>
                <w:sz w:val="20"/>
                <w:szCs w:val="20"/>
              </w:rPr>
              <w:t>NadA</w:t>
            </w:r>
            <w:proofErr w:type="spellEnd"/>
          </w:p>
        </w:tc>
      </w:tr>
      <w:tr w:rsidR="00EB609D" w:rsidRPr="00AD394E" w:rsidTr="000B0D77">
        <w:tc>
          <w:tcPr>
            <w:tcW w:w="2452" w:type="dxa"/>
            <w:shd w:val="clear" w:color="auto" w:fill="auto"/>
            <w:vAlign w:val="bottom"/>
          </w:tcPr>
          <w:p w:rsidR="00EB609D" w:rsidRPr="000B0D77" w:rsidRDefault="00EB609D" w:rsidP="000B0D77">
            <w:pPr>
              <w:pStyle w:val="Heading3"/>
              <w:jc w:val="center"/>
              <w:rPr>
                <w:rFonts w:ascii="Arial" w:hAnsi="Arial" w:cs="Arial"/>
                <w:b w:val="0"/>
                <w:sz w:val="20"/>
                <w:szCs w:val="20"/>
              </w:rPr>
            </w:pPr>
            <w:r w:rsidRPr="000B0D77">
              <w:rPr>
                <w:rStyle w:val="Table"/>
                <w:rFonts w:cs="Arial"/>
                <w:b w:val="0"/>
                <w:sz w:val="20"/>
                <w:szCs w:val="20"/>
              </w:rPr>
              <w:t>NZ98/254</w:t>
            </w:r>
          </w:p>
        </w:tc>
        <w:tc>
          <w:tcPr>
            <w:tcW w:w="3785" w:type="dxa"/>
            <w:shd w:val="clear" w:color="auto" w:fill="auto"/>
            <w:vAlign w:val="bottom"/>
          </w:tcPr>
          <w:p w:rsidR="00EB609D" w:rsidRPr="000B0D77" w:rsidRDefault="00EB609D" w:rsidP="000B0D77">
            <w:pPr>
              <w:pStyle w:val="Heading3"/>
              <w:jc w:val="center"/>
              <w:rPr>
                <w:rFonts w:ascii="Arial" w:hAnsi="Arial" w:cs="Arial"/>
                <w:b w:val="0"/>
                <w:sz w:val="20"/>
                <w:szCs w:val="20"/>
              </w:rPr>
            </w:pPr>
            <w:proofErr w:type="spellStart"/>
            <w:r w:rsidRPr="000B0D77">
              <w:rPr>
                <w:rFonts w:ascii="Arial" w:hAnsi="Arial" w:cs="Arial"/>
                <w:b w:val="0"/>
                <w:sz w:val="20"/>
                <w:szCs w:val="20"/>
              </w:rPr>
              <w:t>PorA</w:t>
            </w:r>
            <w:proofErr w:type="spellEnd"/>
            <w:r w:rsidRPr="000B0D77">
              <w:rPr>
                <w:rFonts w:ascii="Arial" w:hAnsi="Arial" w:cs="Arial"/>
                <w:b w:val="0"/>
                <w:sz w:val="20"/>
                <w:szCs w:val="20"/>
              </w:rPr>
              <w:t xml:space="preserve"> P1.4</w:t>
            </w:r>
          </w:p>
        </w:tc>
      </w:tr>
      <w:tr w:rsidR="00EB609D" w:rsidRPr="00AD394E" w:rsidTr="000B0D77">
        <w:tc>
          <w:tcPr>
            <w:tcW w:w="2452" w:type="dxa"/>
            <w:shd w:val="clear" w:color="auto" w:fill="auto"/>
            <w:vAlign w:val="bottom"/>
          </w:tcPr>
          <w:p w:rsidR="00EB609D" w:rsidRPr="000B0D77" w:rsidRDefault="00EB609D" w:rsidP="000B0D77">
            <w:pPr>
              <w:keepNext/>
              <w:keepLines/>
              <w:autoSpaceDE w:val="0"/>
              <w:autoSpaceDN w:val="0"/>
              <w:adjustRightInd w:val="0"/>
              <w:jc w:val="center"/>
              <w:rPr>
                <w:rFonts w:ascii="Arial" w:hAnsi="Arial" w:cs="Arial"/>
                <w:bCs/>
                <w:sz w:val="20"/>
                <w:szCs w:val="20"/>
              </w:rPr>
            </w:pPr>
            <w:r w:rsidRPr="000B0D77">
              <w:rPr>
                <w:rFonts w:ascii="Arial" w:hAnsi="Arial" w:cs="Arial"/>
                <w:sz w:val="20"/>
                <w:szCs w:val="20"/>
              </w:rPr>
              <w:t>M10713</w:t>
            </w:r>
          </w:p>
        </w:tc>
        <w:tc>
          <w:tcPr>
            <w:tcW w:w="3785" w:type="dxa"/>
            <w:shd w:val="clear" w:color="auto" w:fill="auto"/>
            <w:vAlign w:val="bottom"/>
          </w:tcPr>
          <w:p w:rsidR="00EB609D" w:rsidRPr="000B0D77" w:rsidRDefault="00EB609D" w:rsidP="000B0D77">
            <w:pPr>
              <w:pStyle w:val="Heading3"/>
              <w:jc w:val="center"/>
              <w:rPr>
                <w:rFonts w:ascii="Arial" w:hAnsi="Arial" w:cs="Arial"/>
                <w:b w:val="0"/>
                <w:sz w:val="20"/>
                <w:szCs w:val="20"/>
              </w:rPr>
            </w:pPr>
            <w:r w:rsidRPr="000B0D77">
              <w:rPr>
                <w:rFonts w:ascii="Arial" w:hAnsi="Arial" w:cs="Arial"/>
                <w:b w:val="0"/>
                <w:sz w:val="20"/>
                <w:szCs w:val="20"/>
              </w:rPr>
              <w:t>NHBA</w:t>
            </w:r>
          </w:p>
        </w:tc>
      </w:tr>
    </w:tbl>
    <w:p w:rsidR="00EB609D" w:rsidRDefault="00EB609D" w:rsidP="00EB609D">
      <w:pPr>
        <w:rPr>
          <w:rFonts w:ascii="Arial" w:hAnsi="Arial" w:cs="Arial"/>
        </w:rPr>
      </w:pPr>
    </w:p>
    <w:p w:rsidR="00EB609D" w:rsidRPr="00250047" w:rsidRDefault="00EB609D" w:rsidP="00EB609D">
      <w:pPr>
        <w:pStyle w:val="ListParagraph"/>
        <w:ind w:left="0"/>
        <w:rPr>
          <w:b/>
        </w:rPr>
      </w:pPr>
      <w:r w:rsidRPr="00250047">
        <w:rPr>
          <w:b/>
        </w:rPr>
        <w:t xml:space="preserve">Infants – Primary vaccination schedule: </w:t>
      </w:r>
    </w:p>
    <w:p w:rsidR="00EB609D" w:rsidRPr="00BF42A5" w:rsidRDefault="00EB609D" w:rsidP="00DE4969">
      <w:pPr>
        <w:pStyle w:val="ListParagraph"/>
        <w:ind w:left="0"/>
        <w:rPr>
          <w:rFonts w:ascii="Arial" w:hAnsi="Arial" w:cs="Arial"/>
          <w:snapToGrid w:val="0"/>
          <w:sz w:val="20"/>
          <w:szCs w:val="20"/>
          <w:lang w:eastAsia="en-US"/>
        </w:rPr>
      </w:pPr>
      <w:r w:rsidRPr="00EB3536">
        <w:t xml:space="preserve">The submission presented a meta-analysis of studies V72P12 and V72P13 of the primary endpoint (percentage of participants with </w:t>
      </w:r>
      <w:proofErr w:type="spellStart"/>
      <w:r w:rsidRPr="00EB3536">
        <w:t>hSBA</w:t>
      </w:r>
      <w:proofErr w:type="spellEnd"/>
      <w:r w:rsidRPr="00EB3536">
        <w:t xml:space="preserve"> ≥1:5). </w:t>
      </w:r>
    </w:p>
    <w:p w:rsidR="00EB609D" w:rsidRPr="00BF42A5" w:rsidRDefault="00EB609D" w:rsidP="00EB609D">
      <w:pPr>
        <w:widowControl w:val="0"/>
        <w:jc w:val="both"/>
        <w:rPr>
          <w:rFonts w:ascii="Arial" w:hAnsi="Arial"/>
          <w:snapToGrid w:val="0"/>
          <w:sz w:val="18"/>
          <w:szCs w:val="18"/>
          <w:lang w:eastAsia="en-US"/>
        </w:rPr>
      </w:pPr>
    </w:p>
    <w:p w:rsidR="00EB609D" w:rsidRPr="00EB3536" w:rsidRDefault="00EB609D" w:rsidP="00EB609D">
      <w:pPr>
        <w:pStyle w:val="ListParagraph"/>
        <w:ind w:left="0"/>
      </w:pPr>
      <w:r w:rsidRPr="00EB3536">
        <w:t xml:space="preserve">The PBAC noted that the primary objective </w:t>
      </w:r>
      <w:proofErr w:type="gramStart"/>
      <w:r w:rsidRPr="00EB3536">
        <w:t>was met</w:t>
      </w:r>
      <w:proofErr w:type="gramEnd"/>
      <w:r w:rsidRPr="00EB3536">
        <w:t xml:space="preserve"> for both studies against the three antigen strains in the pre-specified analysis (</w:t>
      </w:r>
      <w:proofErr w:type="spellStart"/>
      <w:r w:rsidRPr="00EB3536">
        <w:t>fHbp</w:t>
      </w:r>
      <w:proofErr w:type="spellEnd"/>
      <w:r w:rsidRPr="00EB3536">
        <w:t xml:space="preserve">, </w:t>
      </w:r>
      <w:proofErr w:type="spellStart"/>
      <w:r w:rsidRPr="00EB3536">
        <w:t>NadA</w:t>
      </w:r>
      <w:proofErr w:type="spellEnd"/>
      <w:r w:rsidRPr="00EB3536">
        <w:t xml:space="preserve"> and </w:t>
      </w:r>
      <w:proofErr w:type="spellStart"/>
      <w:r w:rsidRPr="00EB3536">
        <w:t>PorA</w:t>
      </w:r>
      <w:proofErr w:type="spellEnd"/>
      <w:r w:rsidRPr="00EB3536">
        <w:t xml:space="preserve"> P1.4). The proportion of vaccinated infants achieving </w:t>
      </w:r>
      <w:proofErr w:type="gramStart"/>
      <w:r w:rsidRPr="00EB3536">
        <w:t>a</w:t>
      </w:r>
      <w:proofErr w:type="gramEnd"/>
      <w:r w:rsidRPr="00EB3536">
        <w:t xml:space="preserve"> </w:t>
      </w:r>
      <w:proofErr w:type="spellStart"/>
      <w:r w:rsidRPr="00EB3536">
        <w:t>hSBA</w:t>
      </w:r>
      <w:proofErr w:type="spellEnd"/>
      <w:r w:rsidRPr="00EB3536">
        <w:t xml:space="preserve"> ≥1:5 against antigen </w:t>
      </w:r>
      <w:proofErr w:type="spellStart"/>
      <w:r w:rsidRPr="00EB3536">
        <w:t>PorA</w:t>
      </w:r>
      <w:proofErr w:type="spellEnd"/>
      <w:r w:rsidRPr="00EB3536">
        <w:t xml:space="preserve"> P1.4 was less than for antigens </w:t>
      </w:r>
      <w:proofErr w:type="spellStart"/>
      <w:r w:rsidRPr="00EB3536">
        <w:t>fHbp</w:t>
      </w:r>
      <w:proofErr w:type="spellEnd"/>
      <w:r w:rsidRPr="00EB3536">
        <w:t xml:space="preserve"> and </w:t>
      </w:r>
      <w:proofErr w:type="spellStart"/>
      <w:r w:rsidRPr="00EB3536">
        <w:t>NadA</w:t>
      </w:r>
      <w:proofErr w:type="spellEnd"/>
      <w:r w:rsidRPr="00EB3536">
        <w:t xml:space="preserve">. The PBAC noted the ATAGI observation </w:t>
      </w:r>
      <w:r w:rsidR="00EB3536">
        <w:t xml:space="preserve">(pre-PBAC Submission Advice, June 2013) </w:t>
      </w:r>
      <w:r w:rsidRPr="00EB3536">
        <w:t xml:space="preserve">that the proportion of participants with </w:t>
      </w:r>
      <w:proofErr w:type="spellStart"/>
      <w:r w:rsidRPr="00EB3536">
        <w:t>hSBA</w:t>
      </w:r>
      <w:proofErr w:type="spellEnd"/>
      <w:r w:rsidRPr="00EB3536">
        <w:t xml:space="preserve"> ≥1:</w:t>
      </w:r>
      <w:proofErr w:type="gramStart"/>
      <w:r w:rsidRPr="00EB3536">
        <w:t>5</w:t>
      </w:r>
      <w:proofErr w:type="gramEnd"/>
      <w:r w:rsidRPr="00EB3536">
        <w:t xml:space="preserve"> against antigen </w:t>
      </w:r>
      <w:proofErr w:type="spellStart"/>
      <w:r w:rsidRPr="00EB3536">
        <w:t>PorA</w:t>
      </w:r>
      <w:proofErr w:type="spellEnd"/>
      <w:r w:rsidRPr="00EB3536">
        <w:t xml:space="preserve"> P1.4 is ‘lesser, but still acceptably high’. </w:t>
      </w:r>
      <w:r w:rsidRPr="00EB3536">
        <w:rPr>
          <w:lang w:val="en-GB"/>
        </w:rPr>
        <w:t xml:space="preserve">Post-hoc analyses were conducted in trials V72P12 (N= 36-39) and V72P13 (N= 100) to assess </w:t>
      </w:r>
      <w:proofErr w:type="spellStart"/>
      <w:r w:rsidRPr="00EB3536">
        <w:rPr>
          <w:lang w:val="en-GB"/>
        </w:rPr>
        <w:t>hSBA</w:t>
      </w:r>
      <w:proofErr w:type="spellEnd"/>
      <w:r w:rsidRPr="00EB3536">
        <w:rPr>
          <w:lang w:val="en-GB"/>
        </w:rPr>
        <w:t xml:space="preserve"> response against antigen NHBA. </w:t>
      </w:r>
      <w:r w:rsidRPr="00EB3536">
        <w:t xml:space="preserve">Using </w:t>
      </w:r>
      <w:r w:rsidR="009671FE">
        <w:t xml:space="preserve">the lower limit of the 95% CI for the </w:t>
      </w:r>
      <w:proofErr w:type="gramStart"/>
      <w:r w:rsidR="009671FE">
        <w:t>%</w:t>
      </w:r>
      <w:proofErr w:type="gramEnd"/>
      <w:r w:rsidR="009671FE">
        <w:t xml:space="preserve"> of subjects with </w:t>
      </w:r>
      <w:proofErr w:type="spellStart"/>
      <w:r w:rsidR="009671FE">
        <w:t>hSBA</w:t>
      </w:r>
      <w:proofErr w:type="spellEnd"/>
      <w:r w:rsidR="009671FE">
        <w:t xml:space="preserve"> </w:t>
      </w:r>
      <w:proofErr w:type="spellStart"/>
      <w:r w:rsidR="009671FE">
        <w:t>titer</w:t>
      </w:r>
      <w:proofErr w:type="spellEnd"/>
      <w:r w:rsidR="009671FE">
        <w:t xml:space="preserve"> &gt;1</w:t>
      </w:r>
      <w:r w:rsidR="00103744">
        <w:t>:</w:t>
      </w:r>
      <w:r w:rsidR="009671FE">
        <w:t>5</w:t>
      </w:r>
      <w:r w:rsidRPr="00EB3536">
        <w:t xml:space="preserve"> of ≥70% to determine sufficient immune response, results from Study V72P13 met the criteria for antigen NHBA. Post-hoc analysis of participants from Study V72P12 did not meet the criteria for sufficient immune response as that the response 1 month after the </w:t>
      </w:r>
      <w:proofErr w:type="gramStart"/>
      <w:r w:rsidRPr="00EB3536">
        <w:t>3</w:t>
      </w:r>
      <w:r w:rsidRPr="00EB3536">
        <w:rPr>
          <w:vertAlign w:val="superscript"/>
        </w:rPr>
        <w:t>rd</w:t>
      </w:r>
      <w:proofErr w:type="gramEnd"/>
      <w:r w:rsidRPr="00EB3536">
        <w:t xml:space="preserve"> immunisation was similar to baseline levels.</w:t>
      </w:r>
      <w:r w:rsidRPr="00EB3536">
        <w:rPr>
          <w:b/>
          <w:color w:val="FF0000"/>
        </w:rPr>
        <w:t xml:space="preserve"> </w:t>
      </w:r>
    </w:p>
    <w:p w:rsidR="00EB609D" w:rsidRPr="00EB3536" w:rsidRDefault="00EB609D" w:rsidP="00EB609D"/>
    <w:p w:rsidR="00EB3536" w:rsidRPr="00250047" w:rsidRDefault="00EB609D" w:rsidP="00EB3536">
      <w:pPr>
        <w:pStyle w:val="ListParagraph"/>
        <w:ind w:left="0"/>
        <w:rPr>
          <w:b/>
        </w:rPr>
      </w:pPr>
      <w:r w:rsidRPr="00250047">
        <w:rPr>
          <w:b/>
        </w:rPr>
        <w:t xml:space="preserve">Infants – Booster dose: </w:t>
      </w:r>
    </w:p>
    <w:p w:rsidR="00EB609D" w:rsidRPr="00EB3536" w:rsidRDefault="00EB609D" w:rsidP="00EB3536">
      <w:pPr>
        <w:pStyle w:val="ListParagraph"/>
        <w:ind w:left="0"/>
      </w:pPr>
      <w:r w:rsidRPr="00EB3536">
        <w:t xml:space="preserve">Results for the primary endpoint (percentage of participants with </w:t>
      </w:r>
      <w:proofErr w:type="spellStart"/>
      <w:r w:rsidRPr="00EB3536">
        <w:t>hSBA</w:t>
      </w:r>
      <w:proofErr w:type="spellEnd"/>
      <w:r w:rsidRPr="00EB3536">
        <w:t xml:space="preserve"> ≥1:5) at one month after the third vaccination, including the results of post-hoc analyses conducted against antigen NHBA amongst 100 participants in Trial V72P13 and V72P13E1 are presented in the table below.</w:t>
      </w:r>
    </w:p>
    <w:p w:rsidR="00EB609D" w:rsidRDefault="00EB609D" w:rsidP="00EB609D">
      <w:pPr>
        <w:rPr>
          <w:rFonts w:ascii="Arial" w:hAnsi="Arial" w:cs="Arial"/>
        </w:rPr>
      </w:pPr>
    </w:p>
    <w:p w:rsidR="00EB609D" w:rsidRPr="004821E2" w:rsidRDefault="00EB609D" w:rsidP="00EB609D">
      <w:pPr>
        <w:rPr>
          <w:rFonts w:ascii="Arial" w:hAnsi="Arial" w:cs="Arial"/>
        </w:rPr>
      </w:pPr>
      <w:r w:rsidRPr="004821E2">
        <w:rPr>
          <w:rFonts w:ascii="Arial" w:hAnsi="Arial" w:cs="Arial"/>
          <w:b/>
          <w:bCs/>
          <w:sz w:val="20"/>
        </w:rPr>
        <w:t>Number of participants with bactericidal titres (</w:t>
      </w:r>
      <w:proofErr w:type="spellStart"/>
      <w:r w:rsidRPr="004821E2">
        <w:rPr>
          <w:rFonts w:ascii="Arial" w:hAnsi="Arial" w:cs="Arial"/>
          <w:b/>
          <w:bCs/>
          <w:sz w:val="20"/>
        </w:rPr>
        <w:t>hSBA</w:t>
      </w:r>
      <w:proofErr w:type="spellEnd"/>
      <w:r w:rsidRPr="004821E2">
        <w:rPr>
          <w:rFonts w:ascii="Arial" w:hAnsi="Arial" w:cs="Arial"/>
          <w:b/>
          <w:bCs/>
          <w:sz w:val="20"/>
        </w:rPr>
        <w:t xml:space="preserve">) </w:t>
      </w:r>
      <w:r>
        <w:rPr>
          <w:rFonts w:ascii="Arial" w:hAnsi="Arial" w:cs="Arial"/>
          <w:b/>
          <w:bCs/>
          <w:sz w:val="20"/>
        </w:rPr>
        <w:t>≥</w:t>
      </w:r>
      <w:r w:rsidRPr="004821E2">
        <w:rPr>
          <w:rFonts w:ascii="Arial" w:hAnsi="Arial" w:cs="Arial"/>
          <w:b/>
          <w:bCs/>
          <w:sz w:val="20"/>
        </w:rPr>
        <w:t>1:</w:t>
      </w:r>
      <w:proofErr w:type="gramStart"/>
      <w:r w:rsidRPr="004821E2">
        <w:rPr>
          <w:rFonts w:ascii="Arial" w:hAnsi="Arial" w:cs="Arial"/>
          <w:b/>
          <w:bCs/>
          <w:sz w:val="20"/>
        </w:rPr>
        <w:t>5</w:t>
      </w:r>
      <w:proofErr w:type="gramEnd"/>
      <w:r w:rsidRPr="004821E2">
        <w:rPr>
          <w:rFonts w:ascii="Arial" w:hAnsi="Arial" w:cs="Arial"/>
          <w:b/>
          <w:bCs/>
          <w:sz w:val="20"/>
        </w:rPr>
        <w:t>, Study V72P13</w:t>
      </w:r>
      <w:r>
        <w:rPr>
          <w:rFonts w:ascii="Arial" w:hAnsi="Arial" w:cs="Arial"/>
          <w:b/>
          <w:bCs/>
          <w:sz w:val="20"/>
        </w:rPr>
        <w:t xml:space="preserve"> and </w:t>
      </w:r>
      <w:r w:rsidRPr="004821E2">
        <w:rPr>
          <w:rFonts w:ascii="Arial" w:hAnsi="Arial" w:cs="Arial"/>
          <w:b/>
          <w:bCs/>
          <w:sz w:val="20"/>
        </w:rPr>
        <w:t>V72P13E1:</w:t>
      </w:r>
      <w:r w:rsidRPr="004821E2">
        <w:rPr>
          <w:rFonts w:ascii="Arial" w:hAnsi="Arial" w:cs="Arial"/>
          <w:b/>
          <w:sz w:val="20"/>
        </w:rPr>
        <w:t xml:space="preserve"> PP, MITT for M10713 </w:t>
      </w:r>
      <w:r w:rsidRPr="004821E2">
        <w:rPr>
          <w:rFonts w:ascii="Arial" w:hAnsi="Arial" w:cs="Arial"/>
          <w:b/>
          <w:color w:val="000000"/>
          <w:sz w:val="20"/>
        </w:rPr>
        <w:t>(NHBA)</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Number of participants with bactericidal titres"/>
      </w:tblPr>
      <w:tblGrid>
        <w:gridCol w:w="1275"/>
        <w:gridCol w:w="1986"/>
        <w:gridCol w:w="1559"/>
        <w:gridCol w:w="1559"/>
        <w:gridCol w:w="1418"/>
        <w:gridCol w:w="1329"/>
      </w:tblGrid>
      <w:tr w:rsidR="00EB609D" w:rsidRPr="004821E2" w:rsidTr="00EB609D">
        <w:trPr>
          <w:trHeight w:val="300"/>
        </w:trPr>
        <w:tc>
          <w:tcPr>
            <w:tcW w:w="699" w:type="pct"/>
            <w:vAlign w:val="center"/>
          </w:tcPr>
          <w:p w:rsidR="00EB609D" w:rsidRPr="004821E2" w:rsidRDefault="00EB609D" w:rsidP="00EB609D">
            <w:pPr>
              <w:keepNext/>
              <w:jc w:val="center"/>
              <w:rPr>
                <w:rFonts w:ascii="Arial" w:hAnsi="Arial" w:cs="Arial"/>
                <w:b/>
                <w:color w:val="000000"/>
                <w:sz w:val="20"/>
              </w:rPr>
            </w:pPr>
            <w:r w:rsidRPr="004821E2">
              <w:rPr>
                <w:rFonts w:ascii="Arial" w:hAnsi="Arial" w:cs="Arial"/>
                <w:b/>
                <w:color w:val="000000"/>
                <w:sz w:val="20"/>
              </w:rPr>
              <w:t>Study</w:t>
            </w:r>
          </w:p>
        </w:tc>
        <w:tc>
          <w:tcPr>
            <w:tcW w:w="1088" w:type="pct"/>
            <w:shd w:val="clear" w:color="auto" w:fill="auto"/>
            <w:noWrap/>
            <w:vAlign w:val="center"/>
            <w:hideMark/>
          </w:tcPr>
          <w:p w:rsidR="00EB609D" w:rsidRPr="004821E2" w:rsidRDefault="00EB609D" w:rsidP="00EB609D">
            <w:pPr>
              <w:keepNext/>
              <w:jc w:val="center"/>
              <w:rPr>
                <w:rFonts w:ascii="Arial" w:hAnsi="Arial" w:cs="Arial"/>
                <w:b/>
                <w:color w:val="000000"/>
                <w:sz w:val="20"/>
              </w:rPr>
            </w:pPr>
            <w:r w:rsidRPr="004821E2">
              <w:rPr>
                <w:rFonts w:ascii="Arial" w:hAnsi="Arial" w:cs="Arial"/>
                <w:b/>
                <w:color w:val="000000"/>
                <w:sz w:val="20"/>
              </w:rPr>
              <w:t>Strain</w:t>
            </w:r>
          </w:p>
        </w:tc>
        <w:tc>
          <w:tcPr>
            <w:tcW w:w="854" w:type="pct"/>
            <w:vAlign w:val="center"/>
          </w:tcPr>
          <w:p w:rsidR="00EB609D" w:rsidRPr="004821E2" w:rsidRDefault="00EB609D" w:rsidP="00EB609D">
            <w:pPr>
              <w:keepNext/>
              <w:jc w:val="center"/>
              <w:rPr>
                <w:rFonts w:ascii="Arial" w:hAnsi="Arial" w:cs="Arial"/>
                <w:b/>
                <w:color w:val="000000"/>
                <w:sz w:val="20"/>
              </w:rPr>
            </w:pPr>
            <w:r w:rsidRPr="004821E2">
              <w:rPr>
                <w:rFonts w:ascii="Arial" w:hAnsi="Arial" w:cs="Arial"/>
                <w:b/>
                <w:color w:val="000000"/>
                <w:sz w:val="20"/>
              </w:rPr>
              <w:t xml:space="preserve">44/76 </w:t>
            </w:r>
            <w:r w:rsidRPr="004821E2">
              <w:rPr>
                <w:rFonts w:ascii="Arial" w:hAnsi="Arial" w:cs="Arial"/>
                <w:b/>
                <w:bCs/>
                <w:sz w:val="20"/>
              </w:rPr>
              <w:t>(</w:t>
            </w:r>
            <w:proofErr w:type="spellStart"/>
            <w:r w:rsidRPr="004821E2">
              <w:rPr>
                <w:rFonts w:ascii="Arial" w:hAnsi="Arial" w:cs="Arial"/>
                <w:b/>
                <w:bCs/>
                <w:sz w:val="20"/>
              </w:rPr>
              <w:t>fHbp</w:t>
            </w:r>
            <w:proofErr w:type="spellEnd"/>
            <w:r w:rsidRPr="004821E2">
              <w:rPr>
                <w:rFonts w:ascii="Arial" w:hAnsi="Arial" w:cs="Arial"/>
                <w:b/>
                <w:bCs/>
                <w:sz w:val="20"/>
              </w:rPr>
              <w:t>)</w:t>
            </w:r>
          </w:p>
        </w:tc>
        <w:tc>
          <w:tcPr>
            <w:tcW w:w="854" w:type="pct"/>
            <w:vAlign w:val="center"/>
          </w:tcPr>
          <w:p w:rsidR="00EB609D" w:rsidRPr="004821E2" w:rsidRDefault="00EB609D" w:rsidP="00EB609D">
            <w:pPr>
              <w:keepNext/>
              <w:jc w:val="center"/>
              <w:rPr>
                <w:rFonts w:ascii="Arial" w:hAnsi="Arial" w:cs="Arial"/>
                <w:b/>
                <w:color w:val="000000"/>
                <w:sz w:val="20"/>
              </w:rPr>
            </w:pPr>
            <w:r w:rsidRPr="004821E2">
              <w:rPr>
                <w:rFonts w:ascii="Arial" w:hAnsi="Arial" w:cs="Arial"/>
                <w:b/>
                <w:color w:val="000000"/>
                <w:sz w:val="20"/>
              </w:rPr>
              <w:t xml:space="preserve">5/99 </w:t>
            </w:r>
            <w:r w:rsidRPr="004821E2">
              <w:rPr>
                <w:rFonts w:ascii="Arial" w:hAnsi="Arial" w:cs="Arial"/>
                <w:b/>
                <w:bCs/>
                <w:sz w:val="20"/>
              </w:rPr>
              <w:t>(</w:t>
            </w:r>
            <w:proofErr w:type="spellStart"/>
            <w:r w:rsidRPr="004821E2">
              <w:rPr>
                <w:rFonts w:ascii="Arial" w:hAnsi="Arial" w:cs="Arial"/>
                <w:b/>
                <w:bCs/>
                <w:sz w:val="20"/>
              </w:rPr>
              <w:t>NadA</w:t>
            </w:r>
            <w:proofErr w:type="spellEnd"/>
            <w:r w:rsidRPr="004821E2">
              <w:rPr>
                <w:rFonts w:ascii="Arial" w:hAnsi="Arial" w:cs="Arial"/>
                <w:b/>
                <w:bCs/>
                <w:sz w:val="20"/>
              </w:rPr>
              <w:t>)</w:t>
            </w:r>
          </w:p>
        </w:tc>
        <w:tc>
          <w:tcPr>
            <w:tcW w:w="777" w:type="pct"/>
            <w:vAlign w:val="center"/>
          </w:tcPr>
          <w:p w:rsidR="00EB609D" w:rsidRPr="004821E2" w:rsidRDefault="00EB609D" w:rsidP="00EB609D">
            <w:pPr>
              <w:keepNext/>
              <w:jc w:val="center"/>
              <w:rPr>
                <w:rFonts w:ascii="Arial" w:hAnsi="Arial" w:cs="Arial"/>
                <w:b/>
                <w:color w:val="000000"/>
                <w:sz w:val="20"/>
              </w:rPr>
            </w:pPr>
            <w:r w:rsidRPr="004821E2">
              <w:rPr>
                <w:rFonts w:ascii="Arial" w:hAnsi="Arial" w:cs="Arial"/>
                <w:b/>
                <w:color w:val="000000"/>
                <w:sz w:val="20"/>
              </w:rPr>
              <w:t>NZ98/254</w:t>
            </w:r>
          </w:p>
          <w:p w:rsidR="00EB609D" w:rsidRPr="004821E2" w:rsidRDefault="00EB609D" w:rsidP="00EB609D">
            <w:pPr>
              <w:keepNext/>
              <w:jc w:val="center"/>
              <w:rPr>
                <w:rFonts w:ascii="Arial" w:hAnsi="Arial" w:cs="Arial"/>
                <w:b/>
                <w:color w:val="000000"/>
                <w:sz w:val="20"/>
              </w:rPr>
            </w:pPr>
            <w:r w:rsidRPr="004821E2">
              <w:rPr>
                <w:rFonts w:ascii="Arial" w:hAnsi="Arial" w:cs="Arial"/>
                <w:b/>
                <w:bCs/>
                <w:sz w:val="20"/>
              </w:rPr>
              <w:t>(</w:t>
            </w:r>
            <w:proofErr w:type="spellStart"/>
            <w:r w:rsidRPr="004821E2">
              <w:rPr>
                <w:rFonts w:ascii="Arial" w:hAnsi="Arial" w:cs="Arial"/>
                <w:b/>
                <w:bCs/>
                <w:sz w:val="20"/>
              </w:rPr>
              <w:t>PorA</w:t>
            </w:r>
            <w:proofErr w:type="spellEnd"/>
            <w:r w:rsidRPr="004821E2">
              <w:rPr>
                <w:rFonts w:ascii="Arial" w:hAnsi="Arial" w:cs="Arial"/>
                <w:b/>
                <w:bCs/>
                <w:sz w:val="20"/>
              </w:rPr>
              <w:t xml:space="preserve"> P1.4)</w:t>
            </w:r>
          </w:p>
        </w:tc>
        <w:tc>
          <w:tcPr>
            <w:tcW w:w="728" w:type="pct"/>
            <w:vAlign w:val="center"/>
          </w:tcPr>
          <w:p w:rsidR="00EB609D" w:rsidRPr="004821E2" w:rsidRDefault="00EB609D" w:rsidP="00EB609D">
            <w:pPr>
              <w:keepNext/>
              <w:jc w:val="center"/>
              <w:rPr>
                <w:rFonts w:ascii="Arial" w:hAnsi="Arial" w:cs="Arial"/>
                <w:b/>
                <w:color w:val="000000"/>
                <w:sz w:val="20"/>
              </w:rPr>
            </w:pPr>
            <w:r w:rsidRPr="004821E2">
              <w:rPr>
                <w:rFonts w:ascii="Arial" w:hAnsi="Arial" w:cs="Arial"/>
                <w:b/>
                <w:color w:val="000000"/>
                <w:sz w:val="20"/>
              </w:rPr>
              <w:t>M10713</w:t>
            </w:r>
            <w:r w:rsidRPr="004821E2">
              <w:rPr>
                <w:rFonts w:ascii="Arial" w:hAnsi="Arial" w:cs="Arial"/>
                <w:b/>
                <w:color w:val="000000"/>
                <w:sz w:val="20"/>
                <w:vertAlign w:val="superscript"/>
              </w:rPr>
              <w:t xml:space="preserve"> d </w:t>
            </w:r>
            <w:r w:rsidRPr="004821E2">
              <w:rPr>
                <w:rFonts w:ascii="Arial" w:hAnsi="Arial" w:cs="Arial"/>
                <w:b/>
                <w:color w:val="000000"/>
                <w:sz w:val="20"/>
              </w:rPr>
              <w:t>(NHBA)</w:t>
            </w:r>
          </w:p>
        </w:tc>
      </w:tr>
      <w:tr w:rsidR="00EB609D" w:rsidRPr="004821E2" w:rsidTr="00EB609D">
        <w:trPr>
          <w:trHeight w:val="300"/>
        </w:trPr>
        <w:tc>
          <w:tcPr>
            <w:tcW w:w="699" w:type="pct"/>
            <w:vMerge w:val="restart"/>
            <w:vAlign w:val="center"/>
          </w:tcPr>
          <w:p w:rsidR="00EB609D" w:rsidRPr="004821E2" w:rsidRDefault="00EB609D" w:rsidP="00EB609D">
            <w:pPr>
              <w:rPr>
                <w:rFonts w:ascii="Arial" w:hAnsi="Arial" w:cs="Arial"/>
                <w:color w:val="000000"/>
                <w:sz w:val="20"/>
              </w:rPr>
            </w:pPr>
            <w:r w:rsidRPr="004821E2">
              <w:rPr>
                <w:rFonts w:ascii="Arial" w:hAnsi="Arial" w:cs="Arial"/>
                <w:color w:val="000000"/>
                <w:sz w:val="20"/>
              </w:rPr>
              <w:t>V72P13</w:t>
            </w:r>
          </w:p>
          <w:p w:rsidR="00EB609D" w:rsidRPr="004821E2" w:rsidRDefault="00EB609D" w:rsidP="00EB609D">
            <w:pPr>
              <w:rPr>
                <w:rFonts w:ascii="Arial" w:hAnsi="Arial" w:cs="Arial"/>
                <w:color w:val="000000"/>
                <w:sz w:val="20"/>
              </w:rPr>
            </w:pPr>
            <w:r w:rsidRPr="004821E2">
              <w:rPr>
                <w:rFonts w:ascii="Arial" w:hAnsi="Arial" w:cs="Arial"/>
                <w:sz w:val="20"/>
              </w:rPr>
              <w:t>4CMenB All (246)</w:t>
            </w:r>
            <w:r w:rsidRPr="004821E2">
              <w:rPr>
                <w:rFonts w:ascii="Arial" w:hAnsi="Arial" w:cs="Arial"/>
                <w:sz w:val="20"/>
                <w:vertAlign w:val="superscript"/>
              </w:rPr>
              <w:t>a</w:t>
            </w:r>
          </w:p>
        </w:tc>
        <w:tc>
          <w:tcPr>
            <w:tcW w:w="1088" w:type="pct"/>
            <w:shd w:val="clear" w:color="auto" w:fill="auto"/>
            <w:noWrap/>
            <w:vAlign w:val="center"/>
            <w:hideMark/>
          </w:tcPr>
          <w:p w:rsidR="00EB609D" w:rsidRPr="004821E2" w:rsidRDefault="00EB609D" w:rsidP="00EB609D">
            <w:pPr>
              <w:rPr>
                <w:rFonts w:ascii="Arial" w:hAnsi="Arial" w:cs="Arial"/>
                <w:color w:val="000000"/>
                <w:sz w:val="20"/>
              </w:rPr>
            </w:pPr>
            <w:r w:rsidRPr="004821E2">
              <w:rPr>
                <w:rFonts w:ascii="Arial" w:hAnsi="Arial" w:cs="Arial"/>
                <w:color w:val="000000"/>
                <w:sz w:val="20"/>
              </w:rPr>
              <w:t>Baseline n</w:t>
            </w:r>
            <w:r>
              <w:rPr>
                <w:rFonts w:ascii="Arial" w:hAnsi="Arial" w:cs="Arial"/>
                <w:color w:val="000000"/>
                <w:sz w:val="20"/>
              </w:rPr>
              <w:t xml:space="preserve"> </w:t>
            </w:r>
            <w:r w:rsidRPr="004821E2">
              <w:rPr>
                <w:rFonts w:ascii="Arial" w:hAnsi="Arial" w:cs="Arial"/>
                <w:color w:val="000000"/>
                <w:sz w:val="20"/>
              </w:rPr>
              <w:t>(%)</w:t>
            </w:r>
          </w:p>
          <w:p w:rsidR="00EB609D" w:rsidRPr="004821E2" w:rsidRDefault="00EB609D" w:rsidP="00EB609D">
            <w:pPr>
              <w:rPr>
                <w:rFonts w:ascii="Arial" w:hAnsi="Arial" w:cs="Arial"/>
                <w:color w:val="000000"/>
                <w:sz w:val="20"/>
              </w:rPr>
            </w:pPr>
            <w:r w:rsidRPr="004821E2">
              <w:rPr>
                <w:rFonts w:ascii="Arial" w:hAnsi="Arial" w:cs="Arial"/>
                <w:color w:val="000000"/>
                <w:sz w:val="20"/>
              </w:rPr>
              <w:t>95% CI</w:t>
            </w:r>
          </w:p>
        </w:tc>
        <w:tc>
          <w:tcPr>
            <w:tcW w:w="854" w:type="pct"/>
            <w:vAlign w:val="center"/>
          </w:tcPr>
          <w:p w:rsidR="00EB609D" w:rsidRPr="004821E2" w:rsidRDefault="00EB609D" w:rsidP="00EB609D">
            <w:pPr>
              <w:pStyle w:val="Default"/>
              <w:ind w:right="20"/>
              <w:jc w:val="center"/>
              <w:rPr>
                <w:color w:val="auto"/>
                <w:sz w:val="20"/>
                <w:szCs w:val="20"/>
              </w:rPr>
            </w:pPr>
            <w:r w:rsidRPr="004821E2">
              <w:rPr>
                <w:color w:val="auto"/>
                <w:sz w:val="20"/>
                <w:szCs w:val="20"/>
              </w:rPr>
              <w:t>35 (3%)</w:t>
            </w:r>
          </w:p>
          <w:p w:rsidR="00EB609D" w:rsidRPr="004821E2" w:rsidRDefault="00EB609D" w:rsidP="00EB609D">
            <w:pPr>
              <w:jc w:val="center"/>
              <w:rPr>
                <w:rFonts w:ascii="Arial" w:hAnsi="Arial" w:cs="Arial"/>
                <w:sz w:val="20"/>
              </w:rPr>
            </w:pPr>
            <w:r w:rsidRPr="004821E2">
              <w:rPr>
                <w:rFonts w:ascii="Arial" w:hAnsi="Arial" w:cs="Arial"/>
                <w:sz w:val="20"/>
              </w:rPr>
              <w:t>(2-4)</w:t>
            </w:r>
          </w:p>
          <w:p w:rsidR="00EB609D" w:rsidRPr="004821E2" w:rsidRDefault="00EB609D" w:rsidP="00EB609D">
            <w:pPr>
              <w:jc w:val="center"/>
              <w:rPr>
                <w:rFonts w:ascii="Arial" w:hAnsi="Arial" w:cs="Arial"/>
                <w:color w:val="000000"/>
                <w:sz w:val="20"/>
              </w:rPr>
            </w:pPr>
            <w:r w:rsidRPr="004821E2">
              <w:rPr>
                <w:rFonts w:ascii="Arial" w:hAnsi="Arial" w:cs="Arial"/>
                <w:sz w:val="20"/>
              </w:rPr>
              <w:t>N=1,156</w:t>
            </w:r>
          </w:p>
        </w:tc>
        <w:tc>
          <w:tcPr>
            <w:tcW w:w="854" w:type="pct"/>
            <w:vAlign w:val="center"/>
          </w:tcPr>
          <w:p w:rsidR="00EB609D" w:rsidRPr="004821E2" w:rsidRDefault="00EB609D" w:rsidP="00EB609D">
            <w:pPr>
              <w:pStyle w:val="Default"/>
              <w:ind w:right="20"/>
              <w:jc w:val="center"/>
              <w:rPr>
                <w:color w:val="auto"/>
                <w:sz w:val="20"/>
                <w:szCs w:val="20"/>
              </w:rPr>
            </w:pPr>
            <w:r w:rsidRPr="004821E2">
              <w:rPr>
                <w:color w:val="auto"/>
                <w:sz w:val="20"/>
                <w:szCs w:val="20"/>
              </w:rPr>
              <w:t>45 (4%)</w:t>
            </w:r>
          </w:p>
          <w:p w:rsidR="00EB609D" w:rsidRPr="004821E2" w:rsidRDefault="00EB609D" w:rsidP="00EB609D">
            <w:pPr>
              <w:jc w:val="center"/>
              <w:rPr>
                <w:rFonts w:ascii="Arial" w:hAnsi="Arial" w:cs="Arial"/>
                <w:sz w:val="20"/>
              </w:rPr>
            </w:pPr>
            <w:r w:rsidRPr="004821E2">
              <w:rPr>
                <w:rFonts w:ascii="Arial" w:hAnsi="Arial" w:cs="Arial"/>
                <w:sz w:val="20"/>
              </w:rPr>
              <w:t>(3-5)</w:t>
            </w:r>
          </w:p>
          <w:p w:rsidR="00EB609D" w:rsidRPr="004821E2" w:rsidRDefault="00EB609D" w:rsidP="00EB609D">
            <w:pPr>
              <w:jc w:val="center"/>
              <w:rPr>
                <w:rFonts w:ascii="Arial" w:hAnsi="Arial" w:cs="Arial"/>
                <w:color w:val="000000"/>
                <w:sz w:val="20"/>
              </w:rPr>
            </w:pPr>
            <w:r w:rsidRPr="004821E2">
              <w:rPr>
                <w:rFonts w:ascii="Arial" w:hAnsi="Arial" w:cs="Arial"/>
                <w:sz w:val="20"/>
              </w:rPr>
              <w:t>N=1,154</w:t>
            </w:r>
          </w:p>
        </w:tc>
        <w:tc>
          <w:tcPr>
            <w:tcW w:w="777" w:type="pct"/>
            <w:vAlign w:val="center"/>
          </w:tcPr>
          <w:p w:rsidR="00EB609D" w:rsidRPr="004821E2" w:rsidRDefault="00EB609D" w:rsidP="00EB609D">
            <w:pPr>
              <w:pStyle w:val="Default"/>
              <w:ind w:right="20"/>
              <w:jc w:val="center"/>
              <w:rPr>
                <w:color w:val="auto"/>
                <w:sz w:val="20"/>
                <w:szCs w:val="20"/>
              </w:rPr>
            </w:pPr>
            <w:r w:rsidRPr="004821E2">
              <w:rPr>
                <w:color w:val="auto"/>
                <w:sz w:val="20"/>
                <w:szCs w:val="20"/>
              </w:rPr>
              <w:t>14 (1%)</w:t>
            </w:r>
          </w:p>
          <w:p w:rsidR="00EB609D" w:rsidRPr="004821E2" w:rsidRDefault="00EB609D" w:rsidP="00EB609D">
            <w:pPr>
              <w:jc w:val="center"/>
              <w:rPr>
                <w:rFonts w:ascii="Arial" w:hAnsi="Arial" w:cs="Arial"/>
                <w:sz w:val="20"/>
              </w:rPr>
            </w:pPr>
            <w:r w:rsidRPr="004821E2">
              <w:rPr>
                <w:rFonts w:ascii="Arial" w:hAnsi="Arial" w:cs="Arial"/>
                <w:sz w:val="20"/>
              </w:rPr>
              <w:t>(1-2)</w:t>
            </w:r>
          </w:p>
          <w:p w:rsidR="00EB609D" w:rsidRPr="004821E2" w:rsidRDefault="00EB609D" w:rsidP="00EB609D">
            <w:pPr>
              <w:jc w:val="center"/>
              <w:rPr>
                <w:rFonts w:ascii="Arial" w:hAnsi="Arial" w:cs="Arial"/>
                <w:color w:val="000000"/>
                <w:sz w:val="20"/>
              </w:rPr>
            </w:pPr>
            <w:r w:rsidRPr="004821E2">
              <w:rPr>
                <w:rFonts w:ascii="Arial" w:hAnsi="Arial" w:cs="Arial"/>
                <w:sz w:val="20"/>
              </w:rPr>
              <w:t>N=1,160</w:t>
            </w:r>
          </w:p>
        </w:tc>
        <w:tc>
          <w:tcPr>
            <w:tcW w:w="728" w:type="pct"/>
            <w:vAlign w:val="center"/>
          </w:tcPr>
          <w:p w:rsidR="00EB609D" w:rsidRPr="004821E2" w:rsidRDefault="00EB609D" w:rsidP="00EB609D">
            <w:pPr>
              <w:jc w:val="center"/>
              <w:rPr>
                <w:rFonts w:ascii="Arial" w:hAnsi="Arial" w:cs="Arial"/>
                <w:sz w:val="20"/>
              </w:rPr>
            </w:pPr>
            <w:r w:rsidRPr="004821E2">
              <w:rPr>
                <w:rFonts w:ascii="Arial" w:hAnsi="Arial" w:cs="Arial"/>
                <w:sz w:val="20"/>
              </w:rPr>
              <w:t>33 (33%)</w:t>
            </w:r>
          </w:p>
          <w:p w:rsidR="00EB609D" w:rsidRPr="004821E2" w:rsidRDefault="00EB609D" w:rsidP="00EB609D">
            <w:pPr>
              <w:jc w:val="center"/>
              <w:rPr>
                <w:rFonts w:ascii="Arial" w:hAnsi="Arial" w:cs="Arial"/>
                <w:sz w:val="20"/>
              </w:rPr>
            </w:pPr>
            <w:r w:rsidRPr="004821E2">
              <w:rPr>
                <w:rFonts w:ascii="Arial" w:hAnsi="Arial" w:cs="Arial"/>
                <w:sz w:val="20"/>
              </w:rPr>
              <w:t>(24-43)</w:t>
            </w:r>
          </w:p>
          <w:p w:rsidR="00EB609D" w:rsidRPr="004821E2" w:rsidRDefault="00EB609D" w:rsidP="00EB609D">
            <w:pPr>
              <w:jc w:val="center"/>
              <w:rPr>
                <w:rFonts w:ascii="Arial" w:hAnsi="Arial" w:cs="Arial"/>
                <w:color w:val="000000"/>
                <w:sz w:val="20"/>
              </w:rPr>
            </w:pPr>
            <w:r w:rsidRPr="004821E2">
              <w:rPr>
                <w:rFonts w:ascii="Arial" w:hAnsi="Arial" w:cs="Arial"/>
                <w:sz w:val="20"/>
              </w:rPr>
              <w:t>N=100</w:t>
            </w:r>
          </w:p>
        </w:tc>
      </w:tr>
      <w:tr w:rsidR="00EB609D" w:rsidRPr="004821E2" w:rsidTr="00EB609D">
        <w:trPr>
          <w:trHeight w:val="300"/>
        </w:trPr>
        <w:tc>
          <w:tcPr>
            <w:tcW w:w="699" w:type="pct"/>
            <w:vMerge/>
            <w:vAlign w:val="center"/>
          </w:tcPr>
          <w:p w:rsidR="00EB609D" w:rsidRPr="004821E2" w:rsidRDefault="00EB609D" w:rsidP="00EB609D">
            <w:pPr>
              <w:rPr>
                <w:rFonts w:ascii="Arial" w:hAnsi="Arial" w:cs="Arial"/>
                <w:color w:val="000000"/>
                <w:sz w:val="20"/>
              </w:rPr>
            </w:pPr>
          </w:p>
        </w:tc>
        <w:tc>
          <w:tcPr>
            <w:tcW w:w="1088" w:type="pct"/>
            <w:shd w:val="clear" w:color="auto" w:fill="auto"/>
            <w:noWrap/>
            <w:vAlign w:val="center"/>
            <w:hideMark/>
          </w:tcPr>
          <w:p w:rsidR="00EB609D" w:rsidRPr="004821E2" w:rsidRDefault="00EB609D" w:rsidP="00EB609D">
            <w:pPr>
              <w:rPr>
                <w:rFonts w:ascii="Arial" w:hAnsi="Arial" w:cs="Arial"/>
                <w:color w:val="000000"/>
                <w:sz w:val="20"/>
              </w:rPr>
            </w:pPr>
            <w:r w:rsidRPr="004821E2">
              <w:rPr>
                <w:rFonts w:ascii="Arial" w:hAnsi="Arial" w:cs="Arial"/>
                <w:color w:val="000000"/>
                <w:sz w:val="20"/>
              </w:rPr>
              <w:t xml:space="preserve">1 </w:t>
            </w:r>
            <w:r>
              <w:rPr>
                <w:rFonts w:ascii="Arial" w:hAnsi="Arial" w:cs="Arial"/>
                <w:color w:val="000000"/>
                <w:sz w:val="20"/>
              </w:rPr>
              <w:t>mon</w:t>
            </w:r>
            <w:r w:rsidRPr="004821E2">
              <w:rPr>
                <w:rFonts w:ascii="Arial" w:hAnsi="Arial" w:cs="Arial"/>
                <w:color w:val="000000"/>
                <w:sz w:val="20"/>
              </w:rPr>
              <w:t xml:space="preserve">th after 3rd </w:t>
            </w:r>
            <w:r>
              <w:rPr>
                <w:rFonts w:ascii="Arial" w:hAnsi="Arial" w:cs="Arial"/>
                <w:color w:val="000000"/>
                <w:sz w:val="20"/>
              </w:rPr>
              <w:t>d</w:t>
            </w:r>
            <w:r w:rsidRPr="004821E2">
              <w:rPr>
                <w:rFonts w:ascii="Arial" w:hAnsi="Arial" w:cs="Arial"/>
                <w:color w:val="000000"/>
                <w:sz w:val="20"/>
              </w:rPr>
              <w:t>ose</w:t>
            </w:r>
          </w:p>
        </w:tc>
        <w:tc>
          <w:tcPr>
            <w:tcW w:w="854" w:type="pct"/>
            <w:vAlign w:val="center"/>
          </w:tcPr>
          <w:p w:rsidR="00EB609D" w:rsidRPr="004821E2" w:rsidRDefault="00EB609D" w:rsidP="00EB609D">
            <w:pPr>
              <w:pStyle w:val="Default"/>
              <w:ind w:right="20"/>
              <w:jc w:val="center"/>
              <w:rPr>
                <w:color w:val="auto"/>
                <w:sz w:val="20"/>
                <w:szCs w:val="20"/>
              </w:rPr>
            </w:pPr>
            <w:r w:rsidRPr="004821E2">
              <w:rPr>
                <w:color w:val="auto"/>
                <w:sz w:val="20"/>
                <w:szCs w:val="20"/>
              </w:rPr>
              <w:t>1,146 (100%)</w:t>
            </w:r>
          </w:p>
          <w:p w:rsidR="00EB609D" w:rsidRPr="004821E2" w:rsidRDefault="00EB609D" w:rsidP="00EB609D">
            <w:pPr>
              <w:pStyle w:val="Default"/>
              <w:ind w:right="20"/>
              <w:jc w:val="center"/>
              <w:rPr>
                <w:color w:val="auto"/>
                <w:sz w:val="20"/>
                <w:szCs w:val="20"/>
              </w:rPr>
            </w:pPr>
            <w:r w:rsidRPr="004821E2">
              <w:rPr>
                <w:color w:val="auto"/>
                <w:sz w:val="20"/>
                <w:szCs w:val="20"/>
              </w:rPr>
              <w:t>(99-100)</w:t>
            </w:r>
          </w:p>
          <w:p w:rsidR="00EB609D" w:rsidRPr="004821E2" w:rsidRDefault="00EB609D" w:rsidP="00EB609D">
            <w:pPr>
              <w:jc w:val="center"/>
              <w:rPr>
                <w:rFonts w:ascii="Arial" w:hAnsi="Arial" w:cs="Arial"/>
                <w:color w:val="000000"/>
                <w:sz w:val="20"/>
              </w:rPr>
            </w:pPr>
            <w:r w:rsidRPr="004821E2">
              <w:rPr>
                <w:rFonts w:ascii="Arial" w:hAnsi="Arial" w:cs="Arial"/>
                <w:sz w:val="20"/>
              </w:rPr>
              <w:t>N=1,149</w:t>
            </w:r>
          </w:p>
        </w:tc>
        <w:tc>
          <w:tcPr>
            <w:tcW w:w="854" w:type="pct"/>
            <w:vAlign w:val="center"/>
          </w:tcPr>
          <w:p w:rsidR="00EB609D" w:rsidRPr="004821E2" w:rsidRDefault="00EB609D" w:rsidP="00EB609D">
            <w:pPr>
              <w:pStyle w:val="Default"/>
              <w:ind w:right="20"/>
              <w:jc w:val="center"/>
              <w:rPr>
                <w:color w:val="auto"/>
                <w:sz w:val="20"/>
                <w:szCs w:val="20"/>
              </w:rPr>
            </w:pPr>
            <w:r w:rsidRPr="004821E2">
              <w:rPr>
                <w:color w:val="auto"/>
                <w:sz w:val="20"/>
                <w:szCs w:val="20"/>
              </w:rPr>
              <w:t>1,149 (100%)</w:t>
            </w:r>
          </w:p>
          <w:p w:rsidR="00EB609D" w:rsidRPr="004821E2" w:rsidRDefault="00EB609D" w:rsidP="00EB609D">
            <w:pPr>
              <w:pStyle w:val="Default"/>
              <w:ind w:right="20"/>
              <w:jc w:val="center"/>
              <w:rPr>
                <w:color w:val="auto"/>
                <w:sz w:val="20"/>
                <w:szCs w:val="20"/>
              </w:rPr>
            </w:pPr>
            <w:r w:rsidRPr="004821E2">
              <w:rPr>
                <w:color w:val="auto"/>
                <w:sz w:val="20"/>
                <w:szCs w:val="20"/>
              </w:rPr>
              <w:t>(99-100)</w:t>
            </w:r>
          </w:p>
          <w:p w:rsidR="00EB609D" w:rsidRPr="004821E2" w:rsidRDefault="00EB609D" w:rsidP="00EB609D">
            <w:pPr>
              <w:jc w:val="center"/>
              <w:rPr>
                <w:rFonts w:ascii="Arial" w:hAnsi="Arial" w:cs="Arial"/>
                <w:color w:val="000000"/>
                <w:sz w:val="20"/>
              </w:rPr>
            </w:pPr>
            <w:r w:rsidRPr="004821E2">
              <w:rPr>
                <w:rFonts w:ascii="Arial" w:hAnsi="Arial" w:cs="Arial"/>
                <w:sz w:val="20"/>
              </w:rPr>
              <w:t>N=1,152</w:t>
            </w:r>
          </w:p>
        </w:tc>
        <w:tc>
          <w:tcPr>
            <w:tcW w:w="777" w:type="pct"/>
            <w:vAlign w:val="center"/>
          </w:tcPr>
          <w:p w:rsidR="00EB609D" w:rsidRPr="004821E2" w:rsidRDefault="00EB609D" w:rsidP="00EB609D">
            <w:pPr>
              <w:pStyle w:val="Default"/>
              <w:ind w:right="20"/>
              <w:jc w:val="center"/>
              <w:rPr>
                <w:color w:val="auto"/>
                <w:sz w:val="20"/>
                <w:szCs w:val="20"/>
              </w:rPr>
            </w:pPr>
            <w:r w:rsidRPr="004821E2">
              <w:rPr>
                <w:color w:val="auto"/>
                <w:sz w:val="20"/>
                <w:szCs w:val="20"/>
              </w:rPr>
              <w:t>965 (84%)</w:t>
            </w:r>
          </w:p>
          <w:p w:rsidR="00EB609D" w:rsidRPr="004821E2" w:rsidRDefault="00EB609D" w:rsidP="00EB609D">
            <w:pPr>
              <w:pStyle w:val="Default"/>
              <w:ind w:right="20"/>
              <w:jc w:val="center"/>
              <w:rPr>
                <w:color w:val="auto"/>
                <w:sz w:val="20"/>
                <w:szCs w:val="20"/>
              </w:rPr>
            </w:pPr>
            <w:r w:rsidRPr="004821E2">
              <w:rPr>
                <w:color w:val="auto"/>
                <w:sz w:val="20"/>
                <w:szCs w:val="20"/>
              </w:rPr>
              <w:t>(82-86)</w:t>
            </w:r>
          </w:p>
          <w:p w:rsidR="00EB609D" w:rsidRPr="004821E2" w:rsidRDefault="00EB609D" w:rsidP="00EB609D">
            <w:pPr>
              <w:jc w:val="center"/>
              <w:rPr>
                <w:rFonts w:ascii="Arial" w:hAnsi="Arial" w:cs="Arial"/>
                <w:color w:val="000000"/>
                <w:sz w:val="20"/>
              </w:rPr>
            </w:pPr>
            <w:r w:rsidRPr="004821E2">
              <w:rPr>
                <w:rFonts w:ascii="Arial" w:hAnsi="Arial" w:cs="Arial"/>
                <w:sz w:val="20"/>
              </w:rPr>
              <w:t>N=1,152</w:t>
            </w:r>
          </w:p>
        </w:tc>
        <w:tc>
          <w:tcPr>
            <w:tcW w:w="728" w:type="pct"/>
            <w:vAlign w:val="center"/>
          </w:tcPr>
          <w:p w:rsidR="00EB609D" w:rsidRPr="004821E2" w:rsidRDefault="00EB609D" w:rsidP="00EB609D">
            <w:pPr>
              <w:jc w:val="center"/>
              <w:rPr>
                <w:rFonts w:ascii="Arial" w:hAnsi="Arial" w:cs="Arial"/>
                <w:sz w:val="20"/>
              </w:rPr>
            </w:pPr>
            <w:r w:rsidRPr="004821E2">
              <w:rPr>
                <w:rFonts w:ascii="Arial" w:hAnsi="Arial" w:cs="Arial"/>
                <w:sz w:val="20"/>
              </w:rPr>
              <w:t>84 (84%)</w:t>
            </w:r>
          </w:p>
          <w:p w:rsidR="00EB609D" w:rsidRPr="004821E2" w:rsidRDefault="00EB609D" w:rsidP="00EB609D">
            <w:pPr>
              <w:jc w:val="center"/>
              <w:rPr>
                <w:rFonts w:ascii="Arial" w:hAnsi="Arial" w:cs="Arial"/>
                <w:sz w:val="20"/>
              </w:rPr>
            </w:pPr>
            <w:r w:rsidRPr="004821E2">
              <w:rPr>
                <w:rFonts w:ascii="Arial" w:hAnsi="Arial" w:cs="Arial"/>
                <w:sz w:val="20"/>
              </w:rPr>
              <w:t>(75-91)</w:t>
            </w:r>
          </w:p>
          <w:p w:rsidR="00EB609D" w:rsidRPr="004821E2" w:rsidRDefault="00EB609D" w:rsidP="00EB609D">
            <w:pPr>
              <w:jc w:val="center"/>
              <w:rPr>
                <w:rFonts w:ascii="Arial" w:hAnsi="Arial" w:cs="Arial"/>
                <w:color w:val="000000"/>
                <w:sz w:val="20"/>
              </w:rPr>
            </w:pPr>
            <w:r w:rsidRPr="004821E2">
              <w:rPr>
                <w:rFonts w:ascii="Arial" w:hAnsi="Arial" w:cs="Arial"/>
                <w:sz w:val="20"/>
              </w:rPr>
              <w:t>N=100</w:t>
            </w:r>
          </w:p>
        </w:tc>
      </w:tr>
      <w:tr w:rsidR="00EB609D" w:rsidRPr="004821E2" w:rsidTr="00EB609D">
        <w:trPr>
          <w:trHeight w:val="300"/>
        </w:trPr>
        <w:tc>
          <w:tcPr>
            <w:tcW w:w="699" w:type="pct"/>
            <w:vMerge w:val="restart"/>
            <w:vAlign w:val="center"/>
          </w:tcPr>
          <w:p w:rsidR="00EB609D" w:rsidRPr="004821E2" w:rsidRDefault="00EB609D" w:rsidP="00EB609D">
            <w:pPr>
              <w:rPr>
                <w:rFonts w:ascii="Arial" w:hAnsi="Arial" w:cs="Arial"/>
                <w:color w:val="000000"/>
                <w:sz w:val="20"/>
              </w:rPr>
            </w:pPr>
            <w:r w:rsidRPr="004821E2">
              <w:rPr>
                <w:rFonts w:ascii="Arial" w:hAnsi="Arial" w:cs="Arial"/>
                <w:color w:val="000000"/>
                <w:sz w:val="20"/>
              </w:rPr>
              <w:t>V72P13E1</w:t>
            </w:r>
          </w:p>
          <w:p w:rsidR="00EB609D" w:rsidRPr="004821E2" w:rsidRDefault="00EB609D" w:rsidP="00EB609D">
            <w:pPr>
              <w:rPr>
                <w:rFonts w:ascii="Arial" w:hAnsi="Arial" w:cs="Arial"/>
                <w:color w:val="000000"/>
                <w:sz w:val="20"/>
              </w:rPr>
            </w:pPr>
            <w:r w:rsidRPr="004821E2">
              <w:rPr>
                <w:rFonts w:ascii="Arial" w:hAnsi="Arial" w:cs="Arial"/>
                <w:bCs/>
                <w:sz w:val="20"/>
              </w:rPr>
              <w:t>Men246</w:t>
            </w:r>
            <w:r w:rsidRPr="004821E2">
              <w:rPr>
                <w:rFonts w:ascii="Arial" w:hAnsi="Arial" w:cs="Arial"/>
                <w:bCs/>
                <w:sz w:val="20"/>
                <w:vertAlign w:val="superscript"/>
              </w:rPr>
              <w:t>b</w:t>
            </w:r>
          </w:p>
        </w:tc>
        <w:tc>
          <w:tcPr>
            <w:tcW w:w="1088" w:type="pct"/>
            <w:shd w:val="clear" w:color="auto" w:fill="auto"/>
            <w:noWrap/>
            <w:vAlign w:val="center"/>
            <w:hideMark/>
          </w:tcPr>
          <w:p w:rsidR="00EB609D" w:rsidRPr="004821E2" w:rsidRDefault="00EB609D" w:rsidP="00EB609D">
            <w:pPr>
              <w:rPr>
                <w:rFonts w:ascii="Arial" w:hAnsi="Arial" w:cs="Arial"/>
                <w:color w:val="000000"/>
                <w:sz w:val="20"/>
              </w:rPr>
            </w:pPr>
            <w:r w:rsidRPr="004821E2">
              <w:rPr>
                <w:rFonts w:ascii="Arial" w:hAnsi="Arial" w:cs="Arial"/>
                <w:color w:val="000000"/>
                <w:sz w:val="20"/>
              </w:rPr>
              <w:t xml:space="preserve">6 </w:t>
            </w:r>
            <w:r>
              <w:rPr>
                <w:rFonts w:ascii="Arial" w:hAnsi="Arial" w:cs="Arial"/>
                <w:color w:val="000000"/>
                <w:sz w:val="20"/>
              </w:rPr>
              <w:t>months after 3rd d</w:t>
            </w:r>
            <w:r w:rsidRPr="004821E2">
              <w:rPr>
                <w:rFonts w:ascii="Arial" w:hAnsi="Arial" w:cs="Arial"/>
                <w:color w:val="000000"/>
                <w:sz w:val="20"/>
              </w:rPr>
              <w:t>ose (</w:t>
            </w:r>
            <w:proofErr w:type="spellStart"/>
            <w:r w:rsidRPr="004821E2">
              <w:rPr>
                <w:rFonts w:ascii="Arial" w:hAnsi="Arial" w:cs="Arial"/>
                <w:color w:val="000000"/>
                <w:sz w:val="20"/>
              </w:rPr>
              <w:t>prebooster</w:t>
            </w:r>
            <w:proofErr w:type="spellEnd"/>
            <w:r w:rsidRPr="004821E2">
              <w:rPr>
                <w:rFonts w:ascii="Arial" w:hAnsi="Arial" w:cs="Arial"/>
                <w:color w:val="000000"/>
                <w:sz w:val="20"/>
              </w:rPr>
              <w:t>)</w:t>
            </w:r>
          </w:p>
        </w:tc>
        <w:tc>
          <w:tcPr>
            <w:tcW w:w="854" w:type="pct"/>
            <w:vAlign w:val="center"/>
          </w:tcPr>
          <w:p w:rsidR="00EB609D" w:rsidRPr="004821E2" w:rsidRDefault="00EB609D" w:rsidP="00EB609D">
            <w:pPr>
              <w:jc w:val="center"/>
              <w:rPr>
                <w:rFonts w:ascii="Arial" w:hAnsi="Arial" w:cs="Arial"/>
                <w:sz w:val="20"/>
              </w:rPr>
            </w:pPr>
            <w:r w:rsidRPr="004821E2">
              <w:rPr>
                <w:rFonts w:ascii="Arial" w:hAnsi="Arial" w:cs="Arial"/>
                <w:sz w:val="20"/>
              </w:rPr>
              <w:t>348 (82%)</w:t>
            </w:r>
          </w:p>
          <w:p w:rsidR="00EB609D" w:rsidRPr="004821E2" w:rsidRDefault="00EB609D" w:rsidP="00EB609D">
            <w:pPr>
              <w:jc w:val="center"/>
              <w:rPr>
                <w:rFonts w:ascii="Arial" w:hAnsi="Arial" w:cs="Arial"/>
                <w:sz w:val="20"/>
              </w:rPr>
            </w:pPr>
            <w:r w:rsidRPr="004821E2">
              <w:rPr>
                <w:rFonts w:ascii="Arial" w:hAnsi="Arial" w:cs="Arial"/>
                <w:sz w:val="20"/>
              </w:rPr>
              <w:t>(78-85)</w:t>
            </w:r>
          </w:p>
          <w:p w:rsidR="00EB609D" w:rsidRPr="004821E2" w:rsidRDefault="00EB609D" w:rsidP="00EB609D">
            <w:pPr>
              <w:jc w:val="center"/>
              <w:rPr>
                <w:rFonts w:ascii="Arial" w:hAnsi="Arial" w:cs="Arial"/>
                <w:sz w:val="20"/>
              </w:rPr>
            </w:pPr>
            <w:r w:rsidRPr="004821E2">
              <w:rPr>
                <w:rFonts w:ascii="Arial" w:hAnsi="Arial" w:cs="Arial"/>
                <w:sz w:val="20"/>
              </w:rPr>
              <w:t>N=426</w:t>
            </w:r>
          </w:p>
        </w:tc>
        <w:tc>
          <w:tcPr>
            <w:tcW w:w="854" w:type="pct"/>
            <w:vAlign w:val="center"/>
          </w:tcPr>
          <w:p w:rsidR="00EB609D" w:rsidRPr="004821E2" w:rsidRDefault="00EB609D" w:rsidP="00EB609D">
            <w:pPr>
              <w:jc w:val="center"/>
              <w:rPr>
                <w:rFonts w:ascii="Arial" w:hAnsi="Arial" w:cs="Arial"/>
                <w:color w:val="000000"/>
                <w:sz w:val="20"/>
              </w:rPr>
            </w:pPr>
            <w:r w:rsidRPr="004821E2">
              <w:rPr>
                <w:rFonts w:ascii="Arial" w:hAnsi="Arial" w:cs="Arial"/>
                <w:color w:val="000000"/>
                <w:sz w:val="20"/>
              </w:rPr>
              <w:t>418 (99%)</w:t>
            </w:r>
          </w:p>
          <w:p w:rsidR="00EB609D" w:rsidRPr="004821E2" w:rsidRDefault="00EB609D" w:rsidP="00EB609D">
            <w:pPr>
              <w:jc w:val="center"/>
              <w:rPr>
                <w:rFonts w:ascii="Arial" w:hAnsi="Arial" w:cs="Arial"/>
                <w:color w:val="000000"/>
                <w:sz w:val="20"/>
              </w:rPr>
            </w:pPr>
            <w:r w:rsidRPr="004821E2">
              <w:rPr>
                <w:rFonts w:ascii="Arial" w:hAnsi="Arial" w:cs="Arial"/>
                <w:color w:val="000000"/>
                <w:sz w:val="20"/>
              </w:rPr>
              <w:t>(97-100)</w:t>
            </w:r>
          </w:p>
          <w:p w:rsidR="00EB609D" w:rsidRPr="004821E2" w:rsidRDefault="00EB609D" w:rsidP="00EB609D">
            <w:pPr>
              <w:jc w:val="center"/>
              <w:rPr>
                <w:rFonts w:ascii="Arial" w:hAnsi="Arial" w:cs="Arial"/>
                <w:color w:val="000000"/>
                <w:sz w:val="20"/>
              </w:rPr>
            </w:pPr>
            <w:r w:rsidRPr="004821E2">
              <w:rPr>
                <w:rFonts w:ascii="Arial" w:hAnsi="Arial" w:cs="Arial"/>
                <w:color w:val="000000"/>
                <w:sz w:val="20"/>
              </w:rPr>
              <w:t>N=423</w:t>
            </w:r>
          </w:p>
        </w:tc>
        <w:tc>
          <w:tcPr>
            <w:tcW w:w="777" w:type="pct"/>
            <w:vAlign w:val="center"/>
          </w:tcPr>
          <w:p w:rsidR="00EB609D" w:rsidRPr="004821E2" w:rsidRDefault="00EB609D" w:rsidP="00EB609D">
            <w:pPr>
              <w:jc w:val="center"/>
              <w:rPr>
                <w:rFonts w:ascii="Arial" w:hAnsi="Arial" w:cs="Arial"/>
                <w:color w:val="000000"/>
                <w:sz w:val="20"/>
              </w:rPr>
            </w:pPr>
            <w:r w:rsidRPr="004821E2">
              <w:rPr>
                <w:rFonts w:ascii="Arial" w:hAnsi="Arial" w:cs="Arial"/>
                <w:color w:val="000000"/>
                <w:sz w:val="20"/>
              </w:rPr>
              <w:t>93 (22%)</w:t>
            </w:r>
          </w:p>
          <w:p w:rsidR="00EB609D" w:rsidRPr="004821E2" w:rsidRDefault="00EB609D" w:rsidP="00EB609D">
            <w:pPr>
              <w:jc w:val="center"/>
              <w:rPr>
                <w:rFonts w:ascii="Arial" w:hAnsi="Arial" w:cs="Arial"/>
                <w:color w:val="000000"/>
                <w:sz w:val="20"/>
              </w:rPr>
            </w:pPr>
            <w:r w:rsidRPr="004821E2">
              <w:rPr>
                <w:rFonts w:ascii="Arial" w:hAnsi="Arial" w:cs="Arial"/>
                <w:color w:val="000000"/>
                <w:sz w:val="20"/>
              </w:rPr>
              <w:t>(18-26)</w:t>
            </w:r>
          </w:p>
          <w:p w:rsidR="00EB609D" w:rsidRPr="004821E2" w:rsidRDefault="00EB609D" w:rsidP="00EB609D">
            <w:pPr>
              <w:jc w:val="center"/>
              <w:rPr>
                <w:rFonts w:ascii="Arial" w:hAnsi="Arial" w:cs="Arial"/>
                <w:color w:val="000000"/>
                <w:sz w:val="20"/>
              </w:rPr>
            </w:pPr>
            <w:r w:rsidRPr="004821E2">
              <w:rPr>
                <w:rFonts w:ascii="Arial" w:hAnsi="Arial" w:cs="Arial"/>
                <w:color w:val="000000"/>
                <w:sz w:val="20"/>
              </w:rPr>
              <w:t>N=426</w:t>
            </w:r>
          </w:p>
        </w:tc>
        <w:tc>
          <w:tcPr>
            <w:tcW w:w="728" w:type="pct"/>
            <w:vAlign w:val="center"/>
          </w:tcPr>
          <w:p w:rsidR="00EB609D" w:rsidRPr="004821E2" w:rsidRDefault="00EB609D" w:rsidP="00EB609D">
            <w:pPr>
              <w:jc w:val="center"/>
              <w:rPr>
                <w:rFonts w:ascii="Arial" w:hAnsi="Arial" w:cs="Arial"/>
                <w:color w:val="000000"/>
                <w:sz w:val="20"/>
              </w:rPr>
            </w:pPr>
            <w:r w:rsidRPr="004821E2">
              <w:rPr>
                <w:rFonts w:ascii="Arial" w:hAnsi="Arial" w:cs="Arial"/>
                <w:color w:val="000000"/>
                <w:sz w:val="20"/>
              </w:rPr>
              <w:t>61 (61%)</w:t>
            </w:r>
          </w:p>
          <w:p w:rsidR="00EB609D" w:rsidRPr="004821E2" w:rsidRDefault="00EB609D" w:rsidP="00EB609D">
            <w:pPr>
              <w:jc w:val="center"/>
              <w:rPr>
                <w:rFonts w:ascii="Arial" w:hAnsi="Arial" w:cs="Arial"/>
                <w:color w:val="000000"/>
                <w:sz w:val="20"/>
              </w:rPr>
            </w:pPr>
            <w:r w:rsidRPr="004821E2">
              <w:rPr>
                <w:rFonts w:ascii="Arial" w:hAnsi="Arial" w:cs="Arial"/>
                <w:color w:val="000000"/>
                <w:sz w:val="20"/>
              </w:rPr>
              <w:t>(51-71)</w:t>
            </w:r>
          </w:p>
          <w:p w:rsidR="00EB609D" w:rsidRPr="004821E2" w:rsidRDefault="00EB609D" w:rsidP="00EB609D">
            <w:pPr>
              <w:jc w:val="center"/>
              <w:rPr>
                <w:rFonts w:ascii="Arial" w:hAnsi="Arial" w:cs="Arial"/>
                <w:color w:val="000000"/>
                <w:sz w:val="20"/>
              </w:rPr>
            </w:pPr>
            <w:r w:rsidRPr="004821E2">
              <w:rPr>
                <w:rFonts w:ascii="Arial" w:hAnsi="Arial" w:cs="Arial"/>
                <w:color w:val="000000"/>
                <w:sz w:val="20"/>
              </w:rPr>
              <w:t>N=100</w:t>
            </w:r>
          </w:p>
        </w:tc>
      </w:tr>
      <w:tr w:rsidR="00EB609D" w:rsidRPr="004821E2" w:rsidTr="00EB609D">
        <w:trPr>
          <w:trHeight w:val="300"/>
        </w:trPr>
        <w:tc>
          <w:tcPr>
            <w:tcW w:w="699" w:type="pct"/>
            <w:vMerge/>
            <w:vAlign w:val="center"/>
          </w:tcPr>
          <w:p w:rsidR="00EB609D" w:rsidRPr="004821E2" w:rsidRDefault="00EB609D" w:rsidP="00EB609D">
            <w:pPr>
              <w:rPr>
                <w:rFonts w:ascii="Arial" w:hAnsi="Arial" w:cs="Arial"/>
                <w:b/>
                <w:color w:val="000000"/>
                <w:sz w:val="20"/>
              </w:rPr>
            </w:pPr>
          </w:p>
        </w:tc>
        <w:tc>
          <w:tcPr>
            <w:tcW w:w="1088" w:type="pct"/>
            <w:shd w:val="clear" w:color="auto" w:fill="auto"/>
            <w:noWrap/>
            <w:vAlign w:val="center"/>
            <w:hideMark/>
          </w:tcPr>
          <w:p w:rsidR="00EB609D" w:rsidRPr="004821E2" w:rsidRDefault="00EB609D" w:rsidP="00EB609D">
            <w:pPr>
              <w:rPr>
                <w:rFonts w:ascii="Arial" w:hAnsi="Arial" w:cs="Arial"/>
                <w:color w:val="000000"/>
                <w:sz w:val="20"/>
              </w:rPr>
            </w:pPr>
            <w:r w:rsidRPr="004821E2">
              <w:rPr>
                <w:rFonts w:ascii="Arial" w:hAnsi="Arial" w:cs="Arial"/>
                <w:color w:val="000000"/>
                <w:sz w:val="20"/>
              </w:rPr>
              <w:t xml:space="preserve">1 </w:t>
            </w:r>
            <w:r>
              <w:rPr>
                <w:rFonts w:ascii="Arial" w:hAnsi="Arial" w:cs="Arial"/>
                <w:color w:val="000000"/>
                <w:sz w:val="20"/>
              </w:rPr>
              <w:t>month after b</w:t>
            </w:r>
            <w:r w:rsidRPr="004821E2">
              <w:rPr>
                <w:rFonts w:ascii="Arial" w:hAnsi="Arial" w:cs="Arial"/>
                <w:color w:val="000000"/>
                <w:sz w:val="20"/>
              </w:rPr>
              <w:t>ooster</w:t>
            </w:r>
          </w:p>
        </w:tc>
        <w:tc>
          <w:tcPr>
            <w:tcW w:w="854" w:type="pct"/>
            <w:vAlign w:val="center"/>
          </w:tcPr>
          <w:p w:rsidR="00EB609D" w:rsidRPr="004821E2" w:rsidRDefault="00EB609D" w:rsidP="00EB609D">
            <w:pPr>
              <w:jc w:val="center"/>
              <w:rPr>
                <w:rFonts w:ascii="Arial" w:hAnsi="Arial" w:cs="Arial"/>
                <w:sz w:val="20"/>
              </w:rPr>
            </w:pPr>
            <w:r w:rsidRPr="004821E2">
              <w:rPr>
                <w:rFonts w:ascii="Arial" w:hAnsi="Arial" w:cs="Arial"/>
                <w:sz w:val="20"/>
              </w:rPr>
              <w:t>422 (100%)</w:t>
            </w:r>
          </w:p>
          <w:p w:rsidR="00EB609D" w:rsidRPr="004821E2" w:rsidRDefault="00EB609D" w:rsidP="00EB609D">
            <w:pPr>
              <w:jc w:val="center"/>
              <w:rPr>
                <w:rFonts w:ascii="Arial" w:hAnsi="Arial" w:cs="Arial"/>
                <w:sz w:val="20"/>
              </w:rPr>
            </w:pPr>
            <w:r w:rsidRPr="004821E2">
              <w:rPr>
                <w:rFonts w:ascii="Arial" w:hAnsi="Arial" w:cs="Arial"/>
                <w:sz w:val="20"/>
              </w:rPr>
              <w:t>(99-100)</w:t>
            </w:r>
          </w:p>
          <w:p w:rsidR="00EB609D" w:rsidRPr="004821E2" w:rsidRDefault="00EB609D" w:rsidP="00EB609D">
            <w:pPr>
              <w:jc w:val="center"/>
              <w:rPr>
                <w:rFonts w:ascii="Arial" w:hAnsi="Arial" w:cs="Arial"/>
                <w:sz w:val="20"/>
              </w:rPr>
            </w:pPr>
            <w:r w:rsidRPr="004821E2">
              <w:rPr>
                <w:rFonts w:ascii="Arial" w:hAnsi="Arial" w:cs="Arial"/>
                <w:sz w:val="20"/>
              </w:rPr>
              <w:lastRenderedPageBreak/>
              <w:t>N=422</w:t>
            </w:r>
          </w:p>
        </w:tc>
        <w:tc>
          <w:tcPr>
            <w:tcW w:w="854" w:type="pct"/>
            <w:vAlign w:val="center"/>
          </w:tcPr>
          <w:p w:rsidR="00EB609D" w:rsidRPr="004821E2" w:rsidRDefault="00EB609D" w:rsidP="00EB609D">
            <w:pPr>
              <w:jc w:val="center"/>
              <w:rPr>
                <w:rFonts w:ascii="Arial" w:hAnsi="Arial" w:cs="Arial"/>
                <w:sz w:val="20"/>
              </w:rPr>
            </w:pPr>
            <w:r w:rsidRPr="004821E2">
              <w:rPr>
                <w:rFonts w:ascii="Arial" w:hAnsi="Arial" w:cs="Arial"/>
                <w:sz w:val="20"/>
              </w:rPr>
              <w:lastRenderedPageBreak/>
              <w:t>421 (100%)</w:t>
            </w:r>
          </w:p>
          <w:p w:rsidR="00EB609D" w:rsidRPr="004821E2" w:rsidRDefault="00EB609D" w:rsidP="00EB609D">
            <w:pPr>
              <w:jc w:val="center"/>
              <w:rPr>
                <w:rFonts w:ascii="Arial" w:hAnsi="Arial" w:cs="Arial"/>
                <w:sz w:val="20"/>
              </w:rPr>
            </w:pPr>
            <w:r w:rsidRPr="004821E2">
              <w:rPr>
                <w:rFonts w:ascii="Arial" w:hAnsi="Arial" w:cs="Arial"/>
                <w:sz w:val="20"/>
              </w:rPr>
              <w:t>(99-100)</w:t>
            </w:r>
          </w:p>
          <w:p w:rsidR="00EB609D" w:rsidRPr="004821E2" w:rsidRDefault="00EB609D" w:rsidP="00EB609D">
            <w:pPr>
              <w:jc w:val="center"/>
              <w:rPr>
                <w:rFonts w:ascii="Arial" w:hAnsi="Arial" w:cs="Arial"/>
                <w:sz w:val="20"/>
              </w:rPr>
            </w:pPr>
            <w:r w:rsidRPr="004821E2">
              <w:rPr>
                <w:rFonts w:ascii="Arial" w:hAnsi="Arial" w:cs="Arial"/>
                <w:sz w:val="20"/>
              </w:rPr>
              <w:lastRenderedPageBreak/>
              <w:t>N=421</w:t>
            </w:r>
          </w:p>
        </w:tc>
        <w:tc>
          <w:tcPr>
            <w:tcW w:w="777" w:type="pct"/>
            <w:vAlign w:val="center"/>
          </w:tcPr>
          <w:p w:rsidR="00EB609D" w:rsidRPr="004821E2" w:rsidRDefault="00EB609D" w:rsidP="00EB609D">
            <w:pPr>
              <w:jc w:val="center"/>
              <w:rPr>
                <w:rFonts w:ascii="Arial" w:hAnsi="Arial" w:cs="Arial"/>
                <w:color w:val="000000"/>
                <w:sz w:val="20"/>
              </w:rPr>
            </w:pPr>
            <w:r w:rsidRPr="004821E2">
              <w:rPr>
                <w:rFonts w:ascii="Arial" w:hAnsi="Arial" w:cs="Arial"/>
                <w:color w:val="000000"/>
                <w:sz w:val="20"/>
              </w:rPr>
              <w:lastRenderedPageBreak/>
              <w:t>404 (95%)</w:t>
            </w:r>
          </w:p>
          <w:p w:rsidR="00EB609D" w:rsidRPr="004821E2" w:rsidRDefault="00EB609D" w:rsidP="00EB609D">
            <w:pPr>
              <w:jc w:val="center"/>
              <w:rPr>
                <w:rFonts w:ascii="Arial" w:hAnsi="Arial" w:cs="Arial"/>
                <w:color w:val="000000"/>
                <w:sz w:val="20"/>
              </w:rPr>
            </w:pPr>
            <w:r w:rsidRPr="004821E2">
              <w:rPr>
                <w:rFonts w:ascii="Arial" w:hAnsi="Arial" w:cs="Arial"/>
                <w:color w:val="000000"/>
                <w:sz w:val="20"/>
              </w:rPr>
              <w:t>(93-97)</w:t>
            </w:r>
          </w:p>
          <w:p w:rsidR="00EB609D" w:rsidRPr="004821E2" w:rsidRDefault="00EB609D" w:rsidP="00EB609D">
            <w:pPr>
              <w:jc w:val="center"/>
              <w:rPr>
                <w:rFonts w:ascii="Arial" w:hAnsi="Arial" w:cs="Arial"/>
                <w:color w:val="000000"/>
                <w:sz w:val="20"/>
              </w:rPr>
            </w:pPr>
            <w:r w:rsidRPr="004821E2">
              <w:rPr>
                <w:rFonts w:ascii="Arial" w:hAnsi="Arial" w:cs="Arial"/>
                <w:color w:val="000000"/>
                <w:sz w:val="20"/>
              </w:rPr>
              <w:lastRenderedPageBreak/>
              <w:t>N=424</w:t>
            </w:r>
          </w:p>
        </w:tc>
        <w:tc>
          <w:tcPr>
            <w:tcW w:w="728" w:type="pct"/>
            <w:vAlign w:val="center"/>
          </w:tcPr>
          <w:p w:rsidR="00EB609D" w:rsidRPr="004821E2" w:rsidRDefault="00EB609D" w:rsidP="00EB609D">
            <w:pPr>
              <w:jc w:val="center"/>
              <w:rPr>
                <w:rFonts w:ascii="Arial" w:hAnsi="Arial" w:cs="Arial"/>
                <w:color w:val="000000"/>
                <w:sz w:val="20"/>
              </w:rPr>
            </w:pPr>
            <w:r w:rsidRPr="004821E2">
              <w:rPr>
                <w:rFonts w:ascii="Arial" w:hAnsi="Arial" w:cs="Arial"/>
                <w:color w:val="000000"/>
                <w:sz w:val="20"/>
              </w:rPr>
              <w:lastRenderedPageBreak/>
              <w:t>98 (98%)</w:t>
            </w:r>
          </w:p>
          <w:p w:rsidR="00EB609D" w:rsidRPr="004821E2" w:rsidRDefault="00EB609D" w:rsidP="00EB609D">
            <w:pPr>
              <w:jc w:val="center"/>
              <w:rPr>
                <w:rFonts w:ascii="Arial" w:hAnsi="Arial" w:cs="Arial"/>
                <w:color w:val="000000"/>
                <w:sz w:val="20"/>
              </w:rPr>
            </w:pPr>
            <w:r w:rsidRPr="004821E2">
              <w:rPr>
                <w:rFonts w:ascii="Arial" w:hAnsi="Arial" w:cs="Arial"/>
                <w:color w:val="000000"/>
                <w:sz w:val="20"/>
              </w:rPr>
              <w:t>(93-100)</w:t>
            </w:r>
          </w:p>
          <w:p w:rsidR="00EB609D" w:rsidRPr="004821E2" w:rsidRDefault="00EB609D" w:rsidP="00EB609D">
            <w:pPr>
              <w:jc w:val="center"/>
              <w:rPr>
                <w:rFonts w:ascii="Arial" w:hAnsi="Arial" w:cs="Arial"/>
                <w:color w:val="000000"/>
                <w:sz w:val="20"/>
              </w:rPr>
            </w:pPr>
            <w:r w:rsidRPr="004821E2">
              <w:rPr>
                <w:rFonts w:ascii="Arial" w:hAnsi="Arial" w:cs="Arial"/>
                <w:color w:val="000000"/>
                <w:sz w:val="20"/>
              </w:rPr>
              <w:lastRenderedPageBreak/>
              <w:t>N=100</w:t>
            </w:r>
          </w:p>
        </w:tc>
      </w:tr>
    </w:tbl>
    <w:p w:rsidR="00EB609D" w:rsidRDefault="00EB609D" w:rsidP="00EB609D">
      <w:pPr>
        <w:pStyle w:val="TableNotes"/>
        <w:keepLines w:val="0"/>
        <w:widowControl w:val="0"/>
        <w:ind w:left="0" w:firstLine="0"/>
        <w:jc w:val="both"/>
        <w:rPr>
          <w:rFonts w:ascii="Arial" w:hAnsi="Arial" w:cs="Arial"/>
          <w:sz w:val="18"/>
          <w:szCs w:val="20"/>
          <w:lang w:val="en-AU"/>
        </w:rPr>
      </w:pPr>
      <w:r w:rsidRPr="004821E2">
        <w:rPr>
          <w:rFonts w:ascii="Arial" w:hAnsi="Arial" w:cs="Arial"/>
          <w:sz w:val="18"/>
          <w:szCs w:val="20"/>
          <w:lang w:val="en-AU"/>
        </w:rPr>
        <w:lastRenderedPageBreak/>
        <w:t>CI: confidence interval; MITT: mod</w:t>
      </w:r>
      <w:r>
        <w:rPr>
          <w:rFonts w:ascii="Arial" w:hAnsi="Arial" w:cs="Arial"/>
          <w:sz w:val="18"/>
          <w:szCs w:val="20"/>
          <w:lang w:val="en-AU"/>
        </w:rPr>
        <w:t>ified intention to treat</w:t>
      </w:r>
      <w:r w:rsidRPr="004821E2">
        <w:rPr>
          <w:rFonts w:ascii="Arial" w:hAnsi="Arial" w:cs="Arial"/>
          <w:sz w:val="18"/>
          <w:szCs w:val="20"/>
          <w:lang w:val="en-AU"/>
        </w:rPr>
        <w:t>; N</w:t>
      </w:r>
      <w:r>
        <w:rPr>
          <w:rFonts w:ascii="Arial" w:hAnsi="Arial" w:cs="Arial"/>
          <w:sz w:val="18"/>
          <w:szCs w:val="20"/>
          <w:lang w:val="en-AU"/>
        </w:rPr>
        <w:t>: total number of participants; PP: per protocol population</w:t>
      </w:r>
      <w:r w:rsidRPr="004821E2">
        <w:rPr>
          <w:rFonts w:ascii="Arial" w:hAnsi="Arial" w:cs="Arial"/>
          <w:sz w:val="18"/>
          <w:szCs w:val="20"/>
          <w:lang w:val="en-AU"/>
        </w:rPr>
        <w:t xml:space="preserve">. </w:t>
      </w:r>
      <w:proofErr w:type="gramStart"/>
      <w:r w:rsidRPr="004821E2">
        <w:rPr>
          <w:rFonts w:ascii="Arial" w:hAnsi="Arial" w:cs="Arial"/>
          <w:b/>
          <w:sz w:val="18"/>
          <w:szCs w:val="20"/>
          <w:lang w:val="en-AU"/>
        </w:rPr>
        <w:t>a</w:t>
      </w:r>
      <w:proofErr w:type="gramEnd"/>
      <w:r w:rsidRPr="004821E2">
        <w:rPr>
          <w:rFonts w:ascii="Arial" w:hAnsi="Arial" w:cs="Arial"/>
          <w:sz w:val="18"/>
          <w:szCs w:val="20"/>
          <w:lang w:val="en-AU"/>
        </w:rPr>
        <w:t xml:space="preserve"> 4CMenB All (246), combined lots of 4CMenB administered at 2, 4 and 6 months. </w:t>
      </w:r>
      <w:proofErr w:type="gramStart"/>
      <w:r w:rsidRPr="004821E2">
        <w:rPr>
          <w:rFonts w:ascii="Arial" w:hAnsi="Arial" w:cs="Arial"/>
          <w:b/>
          <w:sz w:val="18"/>
          <w:szCs w:val="20"/>
          <w:lang w:val="en-AU"/>
        </w:rPr>
        <w:t>b</w:t>
      </w:r>
      <w:proofErr w:type="gramEnd"/>
      <w:r w:rsidRPr="004821E2">
        <w:rPr>
          <w:rFonts w:ascii="Arial" w:hAnsi="Arial" w:cs="Arial"/>
          <w:bCs/>
          <w:sz w:val="18"/>
          <w:szCs w:val="20"/>
          <w:lang w:val="en-AU"/>
        </w:rPr>
        <w:t xml:space="preserve"> </w:t>
      </w:r>
      <w:r w:rsidRPr="004821E2">
        <w:rPr>
          <w:rFonts w:ascii="Arial" w:hAnsi="Arial" w:cs="Arial"/>
          <w:sz w:val="18"/>
          <w:szCs w:val="20"/>
          <w:lang w:val="en-AU"/>
        </w:rPr>
        <w:t>12B12M</w:t>
      </w:r>
      <w:r>
        <w:rPr>
          <w:rFonts w:ascii="Arial" w:hAnsi="Arial" w:cs="Arial"/>
          <w:sz w:val="18"/>
          <w:szCs w:val="20"/>
          <w:lang w:val="en-AU"/>
        </w:rPr>
        <w:t xml:space="preserve"> </w:t>
      </w:r>
      <w:r w:rsidRPr="004821E2">
        <w:rPr>
          <w:rFonts w:ascii="Arial" w:hAnsi="Arial" w:cs="Arial"/>
          <w:sz w:val="18"/>
          <w:szCs w:val="20"/>
          <w:lang w:val="en-AU"/>
        </w:rPr>
        <w:t xml:space="preserve">(1a) + 12B13M (1b) combined: in the open-label (immunogenicity) subset of V72P13, these participants had received 4CMenB + routine vaccinations at 2, 4 and 6 months of age. In V72P13E1, these participants received a 4CMenB booster and MMRV at 12 or 13 months of age. </w:t>
      </w:r>
      <w:proofErr w:type="gramStart"/>
      <w:r w:rsidRPr="004821E2">
        <w:rPr>
          <w:rFonts w:ascii="Arial" w:hAnsi="Arial" w:cs="Arial"/>
          <w:b/>
          <w:sz w:val="18"/>
          <w:szCs w:val="20"/>
          <w:lang w:val="en-AU"/>
        </w:rPr>
        <w:t>d</w:t>
      </w:r>
      <w:proofErr w:type="gramEnd"/>
      <w:r w:rsidRPr="004821E2">
        <w:rPr>
          <w:rFonts w:ascii="Arial" w:hAnsi="Arial" w:cs="Arial"/>
          <w:sz w:val="18"/>
          <w:szCs w:val="20"/>
          <w:lang w:val="en-AU"/>
        </w:rPr>
        <w:t xml:space="preserve"> Since the completion of the study</w:t>
      </w:r>
      <w:r>
        <w:rPr>
          <w:rFonts w:ascii="Arial" w:hAnsi="Arial" w:cs="Arial"/>
          <w:sz w:val="18"/>
          <w:szCs w:val="20"/>
          <w:lang w:val="en-AU"/>
        </w:rPr>
        <w:t>,</w:t>
      </w:r>
      <w:r w:rsidRPr="004821E2">
        <w:rPr>
          <w:rFonts w:ascii="Arial" w:hAnsi="Arial" w:cs="Arial"/>
          <w:sz w:val="18"/>
          <w:szCs w:val="20"/>
          <w:lang w:val="en-AU"/>
        </w:rPr>
        <w:t xml:space="preserve"> Novartis has identified a candidate </w:t>
      </w:r>
      <w:proofErr w:type="spellStart"/>
      <w:r w:rsidRPr="004821E2">
        <w:rPr>
          <w:rFonts w:ascii="Arial" w:hAnsi="Arial" w:cs="Arial"/>
          <w:sz w:val="18"/>
          <w:szCs w:val="20"/>
          <w:lang w:val="en-AU"/>
        </w:rPr>
        <w:t>serogroup</w:t>
      </w:r>
      <w:proofErr w:type="spellEnd"/>
      <w:r w:rsidRPr="004821E2">
        <w:rPr>
          <w:rFonts w:ascii="Arial" w:hAnsi="Arial" w:cs="Arial"/>
          <w:sz w:val="18"/>
          <w:szCs w:val="20"/>
          <w:lang w:val="en-AU"/>
        </w:rPr>
        <w:t xml:space="preserve"> B indicator strain (M10713) for measuring antigen-specific </w:t>
      </w:r>
      <w:proofErr w:type="spellStart"/>
      <w:r w:rsidRPr="004821E2">
        <w:rPr>
          <w:rFonts w:ascii="Arial" w:hAnsi="Arial" w:cs="Arial"/>
          <w:sz w:val="18"/>
          <w:szCs w:val="20"/>
          <w:lang w:val="en-AU"/>
        </w:rPr>
        <w:t>hSBA</w:t>
      </w:r>
      <w:proofErr w:type="spellEnd"/>
      <w:r w:rsidRPr="004821E2">
        <w:rPr>
          <w:rFonts w:ascii="Arial" w:hAnsi="Arial" w:cs="Arial"/>
          <w:sz w:val="18"/>
          <w:szCs w:val="20"/>
          <w:lang w:val="en-AU"/>
        </w:rPr>
        <w:t xml:space="preserve"> responses to the NHBA antigen (post-hoc immunoge</w:t>
      </w:r>
      <w:r>
        <w:rPr>
          <w:rFonts w:ascii="Arial" w:hAnsi="Arial" w:cs="Arial"/>
          <w:sz w:val="18"/>
          <w:szCs w:val="20"/>
          <w:lang w:val="en-AU"/>
        </w:rPr>
        <w:t>nicity endpoint)(MITT results).</w:t>
      </w:r>
    </w:p>
    <w:p w:rsidR="00EB609D" w:rsidRPr="0079200F" w:rsidRDefault="00EB609D" w:rsidP="00EB609D">
      <w:pPr>
        <w:rPr>
          <w:rFonts w:ascii="Arial" w:hAnsi="Arial" w:cs="Arial"/>
        </w:rPr>
      </w:pPr>
    </w:p>
    <w:p w:rsidR="00EB609D" w:rsidRPr="00EB3536" w:rsidRDefault="00EB609D" w:rsidP="00EB3536">
      <w:pPr>
        <w:pStyle w:val="ListParagraph"/>
        <w:ind w:left="0"/>
      </w:pPr>
      <w:r w:rsidRPr="00EB3536">
        <w:t xml:space="preserve">The results observed in V72P13/E1 reflected the comparative benefits of vaccination of infants. The PBAC noted that similar results </w:t>
      </w:r>
      <w:proofErr w:type="gramStart"/>
      <w:r w:rsidRPr="00EB3536">
        <w:t>were observed</w:t>
      </w:r>
      <w:proofErr w:type="gramEnd"/>
      <w:r w:rsidRPr="00EB3536">
        <w:t xml:space="preserve"> in V72P12E1. Significant variation of bacterial antibody response </w:t>
      </w:r>
      <w:proofErr w:type="gramStart"/>
      <w:r w:rsidRPr="00EB3536">
        <w:t>was observed</w:t>
      </w:r>
      <w:proofErr w:type="gramEnd"/>
      <w:r w:rsidRPr="00EB3536">
        <w:t xml:space="preserve"> across antigens at each time point tested. The persistence of bacterial antibody 6 months after the 3</w:t>
      </w:r>
      <w:r w:rsidRPr="00EB3536">
        <w:rPr>
          <w:vertAlign w:val="superscript"/>
        </w:rPr>
        <w:t>rd</w:t>
      </w:r>
      <w:r w:rsidRPr="00EB3536">
        <w:t xml:space="preserve"> dose and 12 months post-booster varied across the antigens. There is a considerable decline in the proportion of vaccine recipients with bactericidal antibody titres, particularly against antigens </w:t>
      </w:r>
      <w:proofErr w:type="spellStart"/>
      <w:r w:rsidRPr="00EB3536">
        <w:t>PorA</w:t>
      </w:r>
      <w:proofErr w:type="spellEnd"/>
      <w:r w:rsidRPr="00EB3536">
        <w:t xml:space="preserve"> P1.4 and NHBA.</w:t>
      </w:r>
    </w:p>
    <w:p w:rsidR="00EB609D" w:rsidRDefault="00EB609D" w:rsidP="00EB609D">
      <w:pPr>
        <w:rPr>
          <w:lang w:eastAsia="en-US"/>
        </w:rPr>
      </w:pPr>
    </w:p>
    <w:p w:rsidR="00EB609D" w:rsidRDefault="00EB609D" w:rsidP="00EB609D">
      <w:pPr>
        <w:pStyle w:val="TableTitle"/>
        <w:keepLines/>
        <w:tabs>
          <w:tab w:val="clear" w:pos="1559"/>
          <w:tab w:val="left" w:pos="0"/>
        </w:tabs>
        <w:spacing w:after="0"/>
        <w:ind w:left="0" w:firstLine="0"/>
        <w:rPr>
          <w:rFonts w:ascii="Arial" w:hAnsi="Arial" w:cs="Arial"/>
          <w:sz w:val="20"/>
          <w:szCs w:val="20"/>
        </w:rPr>
      </w:pPr>
      <w:r w:rsidRPr="00660943">
        <w:rPr>
          <w:rFonts w:ascii="Arial" w:hAnsi="Arial" w:cs="Arial"/>
          <w:sz w:val="20"/>
          <w:szCs w:val="20"/>
        </w:rPr>
        <w:t>4CMenB given at 2, 4, 6, and 12 months (</w:t>
      </w:r>
      <w:r>
        <w:rPr>
          <w:rFonts w:ascii="Arial" w:hAnsi="Arial" w:cs="Arial"/>
          <w:sz w:val="20"/>
          <w:szCs w:val="20"/>
        </w:rPr>
        <w:t>p</w:t>
      </w:r>
      <w:r w:rsidRPr="00660943">
        <w:rPr>
          <w:rFonts w:ascii="Arial" w:hAnsi="Arial" w:cs="Arial"/>
          <w:sz w:val="20"/>
          <w:szCs w:val="20"/>
        </w:rPr>
        <w:t>ercentage of participants with bactericidal titres (</w:t>
      </w:r>
      <w:proofErr w:type="spellStart"/>
      <w:r w:rsidRPr="00660943">
        <w:rPr>
          <w:rFonts w:ascii="Arial" w:hAnsi="Arial" w:cs="Arial"/>
          <w:sz w:val="20"/>
          <w:szCs w:val="20"/>
        </w:rPr>
        <w:t>hSBA</w:t>
      </w:r>
      <w:proofErr w:type="spellEnd"/>
      <w:r w:rsidRPr="00660943">
        <w:rPr>
          <w:rFonts w:ascii="Arial" w:hAnsi="Arial" w:cs="Arial"/>
          <w:sz w:val="20"/>
          <w:szCs w:val="20"/>
        </w:rPr>
        <w:t xml:space="preserve">) </w:t>
      </w:r>
      <w:r>
        <w:rPr>
          <w:rFonts w:ascii="Arial" w:hAnsi="Arial" w:cs="Arial"/>
          <w:sz w:val="20"/>
          <w:szCs w:val="20"/>
        </w:rPr>
        <w:t>≥</w:t>
      </w:r>
      <w:r w:rsidRPr="00660943">
        <w:rPr>
          <w:rFonts w:ascii="Arial" w:hAnsi="Arial" w:cs="Arial"/>
          <w:sz w:val="20"/>
          <w:szCs w:val="20"/>
        </w:rPr>
        <w:t>1:5) – Study V72P13E2</w:t>
      </w:r>
    </w:p>
    <w:p w:rsidR="00EB609D" w:rsidRPr="00660943" w:rsidRDefault="00002DC3" w:rsidP="00EB609D">
      <w:r>
        <w:rPr>
          <w:b/>
          <w:noProof/>
        </w:rPr>
        <w:drawing>
          <wp:inline distT="0" distB="0" distL="0" distR="0">
            <wp:extent cx="5281295" cy="2026285"/>
            <wp:effectExtent l="19050" t="19050" r="14605" b="12065"/>
            <wp:docPr id="4" name="Picture 10" descr="4CMenB given at 2, 4, 6, and 1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l="-1352" t="-3027" r="-1352" b="-3027"/>
                    <a:stretch>
                      <a:fillRect/>
                    </a:stretch>
                  </pic:blipFill>
                  <pic:spPr bwMode="auto">
                    <a:xfrm>
                      <a:off x="0" y="0"/>
                      <a:ext cx="5281295" cy="2026285"/>
                    </a:xfrm>
                    <a:prstGeom prst="rect">
                      <a:avLst/>
                    </a:prstGeom>
                    <a:noFill/>
                    <a:ln w="9525" cmpd="sng">
                      <a:solidFill>
                        <a:srgbClr val="000000"/>
                      </a:solidFill>
                      <a:miter lim="800000"/>
                      <a:headEnd/>
                      <a:tailEnd/>
                    </a:ln>
                    <a:effectLst/>
                  </pic:spPr>
                </pic:pic>
              </a:graphicData>
            </a:graphic>
          </wp:inline>
        </w:drawing>
      </w:r>
    </w:p>
    <w:p w:rsidR="00EB609D" w:rsidRDefault="00EB609D" w:rsidP="00EB609D">
      <w:pPr>
        <w:rPr>
          <w:rFonts w:ascii="Arial" w:hAnsi="Arial" w:cs="Arial"/>
          <w:sz w:val="18"/>
          <w:szCs w:val="18"/>
        </w:rPr>
      </w:pPr>
      <w:r w:rsidRPr="0084501F">
        <w:rPr>
          <w:rFonts w:ascii="Arial" w:hAnsi="Arial" w:cs="Arial"/>
          <w:sz w:val="18"/>
          <w:szCs w:val="18"/>
        </w:rPr>
        <w:t xml:space="preserve">Post-primary: 1 month after </w:t>
      </w:r>
      <w:proofErr w:type="gramStart"/>
      <w:r w:rsidRPr="0084501F">
        <w:rPr>
          <w:rFonts w:ascii="Arial" w:hAnsi="Arial" w:cs="Arial"/>
          <w:sz w:val="18"/>
          <w:szCs w:val="18"/>
        </w:rPr>
        <w:t>3</w:t>
      </w:r>
      <w:r w:rsidRPr="0084501F">
        <w:rPr>
          <w:rFonts w:ascii="Arial" w:hAnsi="Arial" w:cs="Arial"/>
          <w:sz w:val="18"/>
          <w:szCs w:val="18"/>
          <w:vertAlign w:val="superscript"/>
        </w:rPr>
        <w:t>rd</w:t>
      </w:r>
      <w:proofErr w:type="gramEnd"/>
      <w:r w:rsidRPr="0084501F">
        <w:rPr>
          <w:rFonts w:ascii="Arial" w:hAnsi="Arial" w:cs="Arial"/>
          <w:sz w:val="18"/>
          <w:szCs w:val="18"/>
        </w:rPr>
        <w:t xml:space="preserve"> dose, Pre-booster: </w:t>
      </w:r>
      <w:proofErr w:type="spellStart"/>
      <w:r w:rsidRPr="0084501F">
        <w:rPr>
          <w:rFonts w:ascii="Arial" w:hAnsi="Arial" w:cs="Arial"/>
          <w:sz w:val="18"/>
          <w:szCs w:val="18"/>
        </w:rPr>
        <w:t>vaccinees</w:t>
      </w:r>
      <w:proofErr w:type="spellEnd"/>
      <w:r w:rsidRPr="0084501F">
        <w:rPr>
          <w:rFonts w:ascii="Arial" w:hAnsi="Arial" w:cs="Arial"/>
          <w:sz w:val="18"/>
          <w:szCs w:val="18"/>
        </w:rPr>
        <w:t xml:space="preserve"> at 12 months of age (6 months after 3</w:t>
      </w:r>
      <w:r w:rsidRPr="0084501F">
        <w:rPr>
          <w:rFonts w:ascii="Arial" w:hAnsi="Arial" w:cs="Arial"/>
          <w:sz w:val="18"/>
          <w:szCs w:val="18"/>
          <w:vertAlign w:val="superscript"/>
        </w:rPr>
        <w:t>rd</w:t>
      </w:r>
      <w:r w:rsidRPr="0084501F">
        <w:rPr>
          <w:rFonts w:ascii="Arial" w:hAnsi="Arial" w:cs="Arial"/>
          <w:sz w:val="18"/>
          <w:szCs w:val="18"/>
        </w:rPr>
        <w:t xml:space="preserve"> dose), Post-boost: 1 month a</w:t>
      </w:r>
      <w:r>
        <w:rPr>
          <w:rFonts w:ascii="Arial" w:hAnsi="Arial" w:cs="Arial"/>
          <w:sz w:val="18"/>
          <w:szCs w:val="18"/>
        </w:rPr>
        <w:t>fter booster, 24m persistence: 12 months after booster dose.</w:t>
      </w:r>
    </w:p>
    <w:p w:rsidR="00EB609D" w:rsidRDefault="00EB609D" w:rsidP="00EB609D">
      <w:pPr>
        <w:rPr>
          <w:lang w:eastAsia="en-US"/>
        </w:rPr>
      </w:pPr>
    </w:p>
    <w:p w:rsidR="00EB609D" w:rsidRPr="00EB3536" w:rsidRDefault="00EB609D" w:rsidP="00EB3536">
      <w:pPr>
        <w:pStyle w:val="ListParagraph"/>
        <w:ind w:left="0"/>
        <w:rPr>
          <w:bCs/>
        </w:rPr>
      </w:pPr>
      <w:r w:rsidRPr="00EB3536">
        <w:t xml:space="preserve">The PBAC noted the </w:t>
      </w:r>
      <w:r w:rsidRPr="00EB3536">
        <w:rPr>
          <w:bCs/>
        </w:rPr>
        <w:t xml:space="preserve">rapid waning of titres after primary infant series and after the booster given at 12 months of age. The PBAC noted in a recent publication </w:t>
      </w:r>
      <w:r w:rsidRPr="00EB3536">
        <w:t>(</w:t>
      </w:r>
      <w:r w:rsidR="00EB3536" w:rsidRPr="00EB3536">
        <w:t xml:space="preserve">Snape MD et al, Persistence of bactericidal antibodies following early infant vaccination with a </w:t>
      </w:r>
      <w:proofErr w:type="spellStart"/>
      <w:r w:rsidR="00EB3536" w:rsidRPr="00EB3536">
        <w:t>serogroup</w:t>
      </w:r>
      <w:proofErr w:type="spellEnd"/>
      <w:r w:rsidR="00EB3536" w:rsidRPr="00EB3536">
        <w:t xml:space="preserve"> B meningococcal vaccine and immunogenicity of a preschool booster dose. 2013 CMAJ 185:E7-24</w:t>
      </w:r>
      <w:r w:rsidRPr="00EB3536">
        <w:t xml:space="preserve">) </w:t>
      </w:r>
      <w:r w:rsidRPr="00EB3536">
        <w:rPr>
          <w:bCs/>
        </w:rPr>
        <w:t xml:space="preserve">that there was some anamnestic response at age 40-44 months for infants who received 4 doses. The PBAC considered the key correlate of protection was persistent circulating bactericidal antibodies at adequate levels, which </w:t>
      </w:r>
      <w:proofErr w:type="gramStart"/>
      <w:r w:rsidRPr="00EB3536">
        <w:rPr>
          <w:bCs/>
        </w:rPr>
        <w:t>was not supported</w:t>
      </w:r>
      <w:proofErr w:type="gramEnd"/>
      <w:r w:rsidRPr="00EB3536">
        <w:rPr>
          <w:bCs/>
        </w:rPr>
        <w:t xml:space="preserve"> by the data presented in the submission.</w:t>
      </w:r>
    </w:p>
    <w:p w:rsidR="00EB609D" w:rsidRPr="00EB3536" w:rsidRDefault="00EB609D" w:rsidP="00EB609D"/>
    <w:p w:rsidR="00EB3536" w:rsidRPr="00250047" w:rsidRDefault="00EB609D" w:rsidP="00EB3536">
      <w:pPr>
        <w:pStyle w:val="ListParagraph"/>
        <w:ind w:left="0"/>
        <w:rPr>
          <w:b/>
        </w:rPr>
      </w:pPr>
      <w:r w:rsidRPr="00250047">
        <w:rPr>
          <w:b/>
        </w:rPr>
        <w:t>Adolescents, – Primary vaccine schedule:</w:t>
      </w:r>
    </w:p>
    <w:p w:rsidR="00EB609D" w:rsidRPr="0079200F" w:rsidRDefault="00F24CFC" w:rsidP="00DE4969">
      <w:pPr>
        <w:pStyle w:val="ListParagraph"/>
        <w:ind w:left="0"/>
        <w:rPr>
          <w:rFonts w:ascii="Arial" w:hAnsi="Arial" w:cs="Arial"/>
          <w:bCs/>
          <w:i/>
          <w:sz w:val="18"/>
          <w:szCs w:val="18"/>
          <w:lang w:val="en-US"/>
        </w:rPr>
      </w:pPr>
      <w:r>
        <w:t xml:space="preserve">The submission presented </w:t>
      </w:r>
      <w:r w:rsidR="00EB609D" w:rsidRPr="00EB3536">
        <w:t xml:space="preserve">results for the primary endpoint (percentage of participants with </w:t>
      </w:r>
      <w:proofErr w:type="spellStart"/>
      <w:r w:rsidR="00EB609D" w:rsidRPr="00EB3536">
        <w:t>hSBA</w:t>
      </w:r>
      <w:proofErr w:type="spellEnd"/>
      <w:r w:rsidR="00EB609D" w:rsidRPr="00EB3536">
        <w:t xml:space="preserve"> ≥1:4)</w:t>
      </w:r>
      <w:r>
        <w:t>.</w:t>
      </w:r>
      <w:r w:rsidR="00EB609D" w:rsidRPr="00EB3536">
        <w:t xml:space="preserve"> </w:t>
      </w:r>
    </w:p>
    <w:p w:rsidR="00EB609D" w:rsidRPr="0079200F" w:rsidRDefault="00EB609D" w:rsidP="00EB609D">
      <w:pPr>
        <w:rPr>
          <w:rFonts w:ascii="Arial" w:hAnsi="Arial" w:cs="Arial"/>
          <w:u w:val="single"/>
        </w:rPr>
      </w:pPr>
    </w:p>
    <w:p w:rsidR="00EB609D" w:rsidRPr="00EB3536" w:rsidRDefault="00EB609D" w:rsidP="00EB3536">
      <w:pPr>
        <w:pStyle w:val="ListParagraph"/>
        <w:ind w:left="0"/>
      </w:pPr>
      <w:r w:rsidRPr="00EB3536">
        <w:t>The baseline (pre-vaccination) proportion of all trial participants with a titre of ≥1:</w:t>
      </w:r>
      <w:proofErr w:type="gramStart"/>
      <w:r w:rsidRPr="00EB3536">
        <w:t>4</w:t>
      </w:r>
      <w:proofErr w:type="gramEnd"/>
      <w:r w:rsidRPr="00EB3536">
        <w:t xml:space="preserve"> was 30-46%, against </w:t>
      </w:r>
      <w:proofErr w:type="spellStart"/>
      <w:r w:rsidRPr="00EB3536">
        <w:t>fHbp</w:t>
      </w:r>
      <w:proofErr w:type="spellEnd"/>
      <w:r w:rsidRPr="00EB3536">
        <w:t xml:space="preserve">, </w:t>
      </w:r>
      <w:proofErr w:type="spellStart"/>
      <w:r w:rsidRPr="00EB3536">
        <w:t>NadA</w:t>
      </w:r>
      <w:proofErr w:type="spellEnd"/>
      <w:r w:rsidRPr="00EB3536">
        <w:t xml:space="preserve"> and </w:t>
      </w:r>
      <w:proofErr w:type="spellStart"/>
      <w:r w:rsidRPr="00EB3536">
        <w:t>PorA</w:t>
      </w:r>
      <w:proofErr w:type="spellEnd"/>
      <w:r w:rsidRPr="00EB3536">
        <w:t xml:space="preserve"> P1.4. </w:t>
      </w:r>
      <w:proofErr w:type="gramStart"/>
      <w:r w:rsidRPr="00EB3536">
        <w:rPr>
          <w:bCs/>
        </w:rPr>
        <w:t xml:space="preserve">Analysis of NHBA was a post-hoc analysis, with a small sample size and at baseline </w:t>
      </w:r>
      <w:r w:rsidR="001F101B">
        <w:rPr>
          <w:bCs/>
        </w:rPr>
        <w:t>a higher percentage of</w:t>
      </w:r>
      <w:r w:rsidR="00F933D1">
        <w:rPr>
          <w:bCs/>
        </w:rPr>
        <w:t xml:space="preserve"> </w:t>
      </w:r>
      <w:r w:rsidRPr="00EB3536">
        <w:rPr>
          <w:bCs/>
        </w:rPr>
        <w:t>subjects were</w:t>
      </w:r>
      <w:proofErr w:type="gramEnd"/>
      <w:r w:rsidRPr="00EB3536">
        <w:rPr>
          <w:bCs/>
        </w:rPr>
        <w:t xml:space="preserve"> already seropositive for NHBA. The PBAC considered the effect of the vaccine </w:t>
      </w:r>
      <w:proofErr w:type="gramStart"/>
      <w:r w:rsidRPr="00EB3536">
        <w:rPr>
          <w:bCs/>
        </w:rPr>
        <w:t>may</w:t>
      </w:r>
      <w:proofErr w:type="gramEnd"/>
      <w:r w:rsidRPr="00EB3536">
        <w:rPr>
          <w:bCs/>
        </w:rPr>
        <w:t xml:space="preserve"> be confounded by the high baseline antibody responses.</w:t>
      </w:r>
    </w:p>
    <w:p w:rsidR="00EB609D" w:rsidRPr="00EB3536" w:rsidRDefault="00EB609D" w:rsidP="00EB609D">
      <w:pPr>
        <w:pStyle w:val="ListParagraph"/>
        <w:ind w:left="709"/>
      </w:pPr>
    </w:p>
    <w:p w:rsidR="00EB609D" w:rsidRPr="00EB3536" w:rsidRDefault="00EB609D" w:rsidP="00EB3536">
      <w:pPr>
        <w:pStyle w:val="ListParagraph"/>
        <w:ind w:left="0"/>
      </w:pPr>
      <w:r w:rsidRPr="00EB3536">
        <w:lastRenderedPageBreak/>
        <w:t xml:space="preserve">Following two doses, either 1 or 2 months apart (as the proposed NIP schedule), 100% of participants had </w:t>
      </w:r>
      <w:proofErr w:type="spellStart"/>
      <w:r w:rsidRPr="00EB3536">
        <w:t>hSBA</w:t>
      </w:r>
      <w:proofErr w:type="spellEnd"/>
      <w:r w:rsidRPr="00EB3536">
        <w:t xml:space="preserve"> titres ≥1:4 one month after the second dose. Ninety-three </w:t>
      </w:r>
      <w:proofErr w:type="spellStart"/>
      <w:r w:rsidRPr="00EB3536">
        <w:t>precent</w:t>
      </w:r>
      <w:proofErr w:type="spellEnd"/>
      <w:r w:rsidRPr="00EB3536">
        <w:t xml:space="preserve"> of participants had </w:t>
      </w:r>
      <w:proofErr w:type="spellStart"/>
      <w:r w:rsidRPr="00EB3536">
        <w:t>hSBA</w:t>
      </w:r>
      <w:proofErr w:type="spellEnd"/>
      <w:r w:rsidRPr="00EB3536">
        <w:t xml:space="preserve"> titres ≥1:4 one month after a single dose. At 18-23 months after the last 4CMenB vaccine dose when given as a </w:t>
      </w:r>
      <w:proofErr w:type="gramStart"/>
      <w:r w:rsidRPr="00EB3536">
        <w:t>two dose</w:t>
      </w:r>
      <w:proofErr w:type="gramEnd"/>
      <w:r w:rsidRPr="00EB3536">
        <w:t xml:space="preserve"> vaccination schedule, 75-95% of participants achieved </w:t>
      </w:r>
      <w:proofErr w:type="spellStart"/>
      <w:r w:rsidRPr="00EB3536">
        <w:t>hSBA</w:t>
      </w:r>
      <w:proofErr w:type="spellEnd"/>
      <w:r w:rsidRPr="00EB3536">
        <w:t xml:space="preserve"> titres ≥1:4, for the three antigens examined (</w:t>
      </w:r>
      <w:proofErr w:type="spellStart"/>
      <w:r w:rsidRPr="00EB3536">
        <w:t>fHbp</w:t>
      </w:r>
      <w:proofErr w:type="spellEnd"/>
      <w:r w:rsidRPr="00EB3536">
        <w:t xml:space="preserve">, </w:t>
      </w:r>
      <w:proofErr w:type="spellStart"/>
      <w:r w:rsidRPr="00EB3536">
        <w:t>NadA</w:t>
      </w:r>
      <w:proofErr w:type="spellEnd"/>
      <w:r w:rsidRPr="00EB3536">
        <w:t xml:space="preserve"> and </w:t>
      </w:r>
      <w:proofErr w:type="spellStart"/>
      <w:r w:rsidRPr="00EB3536">
        <w:t>PorA</w:t>
      </w:r>
      <w:proofErr w:type="spellEnd"/>
      <w:r w:rsidRPr="00EB3536">
        <w:t xml:space="preserve"> P1.4). Persistence of effect varied depending on the antigen, but the variation was less than that observed in infant </w:t>
      </w:r>
      <w:proofErr w:type="spellStart"/>
      <w:r w:rsidRPr="00EB3536">
        <w:t>vaccinees</w:t>
      </w:r>
      <w:proofErr w:type="spellEnd"/>
      <w:r w:rsidRPr="00EB3536">
        <w:t xml:space="preserve">. Persistence of effect </w:t>
      </w:r>
      <w:proofErr w:type="gramStart"/>
      <w:r w:rsidRPr="00EB3536">
        <w:t>was not tested</w:t>
      </w:r>
      <w:proofErr w:type="gramEnd"/>
      <w:r w:rsidRPr="00EB3536">
        <w:t xml:space="preserve"> for antigen NHBA.</w:t>
      </w:r>
    </w:p>
    <w:p w:rsidR="00EB609D" w:rsidRPr="005416C3" w:rsidRDefault="00EB609D" w:rsidP="00EB609D">
      <w:pPr>
        <w:rPr>
          <w:rFonts w:ascii="Arial" w:hAnsi="Arial" w:cs="Arial"/>
        </w:rPr>
      </w:pPr>
    </w:p>
    <w:p w:rsidR="00EB609D" w:rsidRPr="008E43B0" w:rsidRDefault="00EB609D" w:rsidP="00EB609D">
      <w:pPr>
        <w:rPr>
          <w:rFonts w:ascii="Arial" w:hAnsi="Arial" w:cs="Arial"/>
          <w:b/>
          <w:sz w:val="20"/>
          <w:szCs w:val="18"/>
        </w:rPr>
      </w:pPr>
      <w:r w:rsidRPr="008E43B0">
        <w:rPr>
          <w:rFonts w:ascii="Arial" w:hAnsi="Arial" w:cs="Arial"/>
          <w:b/>
          <w:sz w:val="20"/>
          <w:szCs w:val="18"/>
        </w:rPr>
        <w:t>Persistence 18-23 months post vaccination in adolescents – Study V72P10E1</w:t>
      </w:r>
    </w:p>
    <w:p w:rsidR="00EB609D" w:rsidRPr="00660943" w:rsidRDefault="00002DC3" w:rsidP="00EB609D">
      <w:r>
        <w:rPr>
          <w:rFonts w:cs="Arial"/>
          <w:noProof/>
          <w:sz w:val="20"/>
        </w:rPr>
        <w:drawing>
          <wp:inline distT="0" distB="0" distL="0" distR="0">
            <wp:extent cx="5237480" cy="2421255"/>
            <wp:effectExtent l="19050" t="19050" r="20320" b="17145"/>
            <wp:docPr id="2" name="Picture 26" descr="Persistence 18-23 months post vaccination in adolesc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l="-1740" t="-2908" r="-1740" b="-2908"/>
                    <a:stretch>
                      <a:fillRect/>
                    </a:stretch>
                  </pic:blipFill>
                  <pic:spPr bwMode="auto">
                    <a:xfrm>
                      <a:off x="0" y="0"/>
                      <a:ext cx="5237480" cy="2421255"/>
                    </a:xfrm>
                    <a:prstGeom prst="rect">
                      <a:avLst/>
                    </a:prstGeom>
                    <a:noFill/>
                    <a:ln w="9525" cmpd="sng">
                      <a:solidFill>
                        <a:srgbClr val="000000"/>
                      </a:solidFill>
                      <a:miter lim="800000"/>
                      <a:headEnd/>
                      <a:tailEnd/>
                    </a:ln>
                    <a:effectLst/>
                  </pic:spPr>
                </pic:pic>
              </a:graphicData>
            </a:graphic>
          </wp:inline>
        </w:drawing>
      </w:r>
    </w:p>
    <w:p w:rsidR="00EB609D" w:rsidRPr="00B26233" w:rsidRDefault="00EB609D" w:rsidP="00EB609D">
      <w:pPr>
        <w:rPr>
          <w:rFonts w:ascii="Arial" w:hAnsi="Arial" w:cs="Arial"/>
        </w:rPr>
      </w:pPr>
    </w:p>
    <w:p w:rsidR="00EB609D" w:rsidRPr="00A60AC0" w:rsidRDefault="00EB609D" w:rsidP="00EB3536">
      <w:pPr>
        <w:pStyle w:val="ListParagraph"/>
        <w:ind w:left="0"/>
        <w:rPr>
          <w:b/>
          <w:bCs/>
        </w:rPr>
      </w:pPr>
      <w:r w:rsidRPr="00A60AC0">
        <w:rPr>
          <w:b/>
          <w:bCs/>
        </w:rPr>
        <w:t xml:space="preserve">Herd immunity/reduction of carriage: </w:t>
      </w:r>
    </w:p>
    <w:p w:rsidR="00EB609D" w:rsidRPr="00EB3536" w:rsidRDefault="00EB609D" w:rsidP="00EB3536">
      <w:pPr>
        <w:pStyle w:val="ListParagraph"/>
        <w:ind w:left="0"/>
        <w:rPr>
          <w:bCs/>
        </w:rPr>
      </w:pPr>
      <w:r w:rsidRPr="00EB3536">
        <w:rPr>
          <w:bCs/>
        </w:rPr>
        <w:t>Study V72_29 assessed the effect of 4CMenB (</w:t>
      </w:r>
      <w:proofErr w:type="gramStart"/>
      <w:r w:rsidRPr="00EB3536">
        <w:rPr>
          <w:bCs/>
        </w:rPr>
        <w:t>2</w:t>
      </w:r>
      <w:proofErr w:type="gramEnd"/>
      <w:r w:rsidRPr="00EB3536">
        <w:rPr>
          <w:bCs/>
        </w:rPr>
        <w:t xml:space="preserve"> doses) on the reduction in nasopharyngeal carriage (of all meningococcal B strains (virulent and non-virulent) and all meningococcal ABCWY strains) in university students. Differences at baseline (visit 1), at 1 month after </w:t>
      </w:r>
      <w:proofErr w:type="gramStart"/>
      <w:r w:rsidRPr="00EB3536">
        <w:rPr>
          <w:bCs/>
        </w:rPr>
        <w:t>2</w:t>
      </w:r>
      <w:r w:rsidRPr="00EB3536">
        <w:rPr>
          <w:bCs/>
          <w:vertAlign w:val="superscript"/>
        </w:rPr>
        <w:t>nd</w:t>
      </w:r>
      <w:proofErr w:type="gramEnd"/>
      <w:r w:rsidRPr="00EB3536">
        <w:rPr>
          <w:bCs/>
        </w:rPr>
        <w:t xml:space="preserve"> dose (visit 3), and 3 to 11 months after 2</w:t>
      </w:r>
      <w:r w:rsidRPr="00EB3536">
        <w:rPr>
          <w:bCs/>
          <w:vertAlign w:val="superscript"/>
        </w:rPr>
        <w:t>nd</w:t>
      </w:r>
      <w:r w:rsidRPr="00EB3536">
        <w:rPr>
          <w:bCs/>
        </w:rPr>
        <w:t xml:space="preserve"> dose (visit 4-6) were reported. There was no statistically significant difference in nasopharyngeal carriage prevalence of virulent strains of meningococcal B in the modified intention to treat (MITT) population. The PBAC considered that the prevalence of virulent strains of meningococcal B was most informative for </w:t>
      </w:r>
      <w:proofErr w:type="gramStart"/>
      <w:r w:rsidRPr="00EB3536">
        <w:rPr>
          <w:bCs/>
        </w:rPr>
        <w:t>decision making</w:t>
      </w:r>
      <w:proofErr w:type="gramEnd"/>
      <w:r w:rsidRPr="00EB3536">
        <w:rPr>
          <w:bCs/>
        </w:rPr>
        <w:t xml:space="preserve"> and noted that ATAGI considered it reasonable to apply a </w:t>
      </w:r>
      <w:r w:rsidR="00664E1F">
        <w:rPr>
          <w:bCs/>
        </w:rPr>
        <w:t xml:space="preserve">lower value than </w:t>
      </w:r>
      <w:proofErr w:type="spellStart"/>
      <w:r w:rsidR="00664E1F">
        <w:rPr>
          <w:bCs/>
        </w:rPr>
        <w:t>proprosed</w:t>
      </w:r>
      <w:proofErr w:type="spellEnd"/>
      <w:r w:rsidRPr="00EB3536">
        <w:rPr>
          <w:bCs/>
        </w:rPr>
        <w:t xml:space="preserve"> as the base case efficacy value for reduction of nasopharyngeal carriage in the economic evaluation. The PBAC noted the low absolute value of carriage in the study. </w:t>
      </w:r>
      <w:proofErr w:type="gramStart"/>
      <w:r w:rsidRPr="00EB3536">
        <w:rPr>
          <w:bCs/>
        </w:rPr>
        <w:t>The PBAC also noted that the assumption of this analysis is that nasopharyngeal carriage is a surrogate marker for the reduction of transmission of a meningococcal B infection, which can lead to IMD, and the committee considered that it would be difficult to measure herd immunity in terms of reduced IMD in non-vaccinated individuals due to a meningococcal B vaccination program as a) IMD is rare, and b) it would require conducting a large cluster-randomised study in closed environments.</w:t>
      </w:r>
      <w:proofErr w:type="gramEnd"/>
    </w:p>
    <w:p w:rsidR="00EB609D" w:rsidRDefault="00EB609D" w:rsidP="00EB609D">
      <w:pPr>
        <w:rPr>
          <w:rFonts w:ascii="Arial" w:hAnsi="Arial" w:cs="Arial"/>
        </w:rPr>
      </w:pPr>
    </w:p>
    <w:p w:rsidR="00C04C32" w:rsidRDefault="005D4120" w:rsidP="00EB3536">
      <w:pPr>
        <w:pStyle w:val="ListParagraph"/>
        <w:ind w:left="0"/>
        <w:rPr>
          <w:b/>
        </w:rPr>
      </w:pPr>
      <w:r>
        <w:rPr>
          <w:b/>
        </w:rPr>
        <w:t xml:space="preserve">Comparative harms </w:t>
      </w:r>
    </w:p>
    <w:p w:rsidR="00EB609D" w:rsidRPr="00EB3536" w:rsidRDefault="00EB609D" w:rsidP="00EB3536">
      <w:pPr>
        <w:pStyle w:val="ListParagraph"/>
        <w:ind w:left="0"/>
      </w:pPr>
      <w:r w:rsidRPr="00A60AC0">
        <w:rPr>
          <w:b/>
        </w:rPr>
        <w:t>Infants:</w:t>
      </w:r>
      <w:r w:rsidRPr="00EB3536">
        <w:t xml:space="preserve"> In Studies V72P12 and V72P13, the PBAC noted that adverse reactions </w:t>
      </w:r>
      <w:proofErr w:type="gramStart"/>
      <w:r w:rsidRPr="00EB3536">
        <w:t>were not considered severe, and in line with the minor reactions associated with vaccination</w:t>
      </w:r>
      <w:proofErr w:type="gramEnd"/>
      <w:r w:rsidRPr="00EB3536">
        <w:t>.</w:t>
      </w:r>
    </w:p>
    <w:p w:rsidR="00EB609D" w:rsidRPr="00EB3536" w:rsidRDefault="00EB609D" w:rsidP="00EB609D"/>
    <w:p w:rsidR="00EB609D" w:rsidRPr="00EB3536" w:rsidRDefault="00EB609D" w:rsidP="00EB3536">
      <w:pPr>
        <w:pStyle w:val="ListParagraph"/>
        <w:ind w:left="0"/>
      </w:pPr>
      <w:r w:rsidRPr="00EB3536">
        <w:t xml:space="preserve">In both studies, fever (≥38.0°C) </w:t>
      </w:r>
      <w:proofErr w:type="gramStart"/>
      <w:r w:rsidRPr="00EB3536">
        <w:t>was reported</w:t>
      </w:r>
      <w:proofErr w:type="gramEnd"/>
      <w:r w:rsidRPr="00EB3536">
        <w:t xml:space="preserve"> for 41% to 62% of participants after receiving the 4CMenB vaccine concomitantly with routine vaccines, compared with 17% to 36% after routine vaccinations only. In both studies, the occurrence of medically attended fever ranged from 1% to 3% per visit.</w:t>
      </w:r>
      <w:r w:rsidRPr="00EB3536">
        <w:rPr>
          <w:snapToGrid w:val="0"/>
          <w:sz w:val="22"/>
          <w:lang w:eastAsia="en-US"/>
        </w:rPr>
        <w:t xml:space="preserve"> </w:t>
      </w:r>
      <w:r w:rsidRPr="00EB3536">
        <w:t xml:space="preserve">Both the TGA and ATAGI noted the concerns associated with high </w:t>
      </w:r>
      <w:r w:rsidRPr="00EB3536">
        <w:lastRenderedPageBreak/>
        <w:t xml:space="preserve">rates of fever seen in the 4CMenB + routine vaccinations group, likely due to </w:t>
      </w:r>
      <w:proofErr w:type="spellStart"/>
      <w:r w:rsidR="00664E1F">
        <w:t>pyrogens</w:t>
      </w:r>
      <w:proofErr w:type="spellEnd"/>
      <w:r w:rsidRPr="00EB3536">
        <w:t xml:space="preserve"> in 4CMenB.</w:t>
      </w:r>
    </w:p>
    <w:p w:rsidR="00EB609D" w:rsidRPr="00EB3536" w:rsidRDefault="00EB609D" w:rsidP="00EB609D">
      <w:pPr>
        <w:pStyle w:val="ListParagraph"/>
        <w:rPr>
          <w:highlight w:val="yellow"/>
        </w:rPr>
      </w:pPr>
    </w:p>
    <w:p w:rsidR="00EB609D" w:rsidRPr="00EB3536" w:rsidRDefault="00EB609D" w:rsidP="00EB3536">
      <w:pPr>
        <w:pStyle w:val="ListParagraph"/>
        <w:ind w:left="0"/>
      </w:pPr>
      <w:r w:rsidRPr="00EB3536">
        <w:t xml:space="preserve">The PBAC agreed with the </w:t>
      </w:r>
      <w:r w:rsidR="00EB3536">
        <w:t>Economic Sub-Committee (</w:t>
      </w:r>
      <w:r w:rsidRPr="00EB3536">
        <w:t>ESC</w:t>
      </w:r>
      <w:r w:rsidR="00EB3536">
        <w:t>)</w:t>
      </w:r>
      <w:r w:rsidRPr="00EB3536">
        <w:t xml:space="preserve"> and the ATAGI advice that prophylactic paracetamol would be appropriate to reduce this high rate of fever because the evidence presented in the Study V72P16 suggested that prophylactic paracetamol did not substantially affect the immune response of concomitant administration of routine vaccines. The PBAC recalled that there is some evidence that paracetamol given after, rather than before, vaccination can reduce the immune response to routine vaccines</w:t>
      </w:r>
      <w:r w:rsidR="006F2C07">
        <w:t xml:space="preserve"> (</w:t>
      </w:r>
      <w:proofErr w:type="spellStart"/>
      <w:r w:rsidR="006F2C07" w:rsidRPr="006F2C07">
        <w:t>Prymula</w:t>
      </w:r>
      <w:proofErr w:type="spellEnd"/>
      <w:r w:rsidR="006F2C07" w:rsidRPr="006F2C07">
        <w:t>, R et al.  Effect of prophylactic paracetamol administration at time of vaccination on febrile reactions and antibody responses in children: two open-label, randomised controlled trials, Lancet, (2009) 374:1339-1350</w:t>
      </w:r>
      <w:r w:rsidR="006F2C07">
        <w:t>)</w:t>
      </w:r>
      <w:r w:rsidR="006F2C07" w:rsidRPr="006F2C07">
        <w:t>.</w:t>
      </w:r>
      <w:r w:rsidRPr="00EB3536">
        <w:t xml:space="preserve"> However, the ATAGI advice stated ‘It is difficult to predict the likely compliance of prophylactic administration of paracetamol to infants who receive other NIP vaccines concurrently with 4CMenB’ and ‘ATAGI is not confident that a high compliance could be achieved’.</w:t>
      </w:r>
      <w:r w:rsidRPr="00EB3536">
        <w:rPr>
          <w:color w:val="FF0000"/>
        </w:rPr>
        <w:t xml:space="preserve"> </w:t>
      </w:r>
      <w:r w:rsidRPr="00EB3536">
        <w:t xml:space="preserve">The PBAC agreed that uptake and safe compliance of paracetamol was unknown and </w:t>
      </w:r>
      <w:proofErr w:type="gramStart"/>
      <w:r w:rsidRPr="00EB3536">
        <w:t>may be addressed</w:t>
      </w:r>
      <w:proofErr w:type="gramEnd"/>
      <w:r w:rsidRPr="00EB3536">
        <w:t xml:space="preserve"> by monitoring of compliance and parent/carer education.</w:t>
      </w:r>
    </w:p>
    <w:p w:rsidR="00EB609D" w:rsidRPr="00EB3536" w:rsidRDefault="00EB609D" w:rsidP="00EB609D"/>
    <w:p w:rsidR="00EB609D" w:rsidRPr="00EB3536" w:rsidRDefault="00EB609D" w:rsidP="00EB3536">
      <w:pPr>
        <w:pStyle w:val="ListParagraph"/>
        <w:ind w:left="0"/>
      </w:pPr>
      <w:r w:rsidRPr="00EB3536">
        <w:t>Taking the results of both studies together, 0.7% of participants that received 4CMenB had a febrile seizure, compared to 0.3% of participants that received routine vaccinations only. ATAGI considered that ‘it cannot be concluded whether use of 4CMenB in toddlers may increase the risk of febrile seizures’ (pre-submission ATAGI advice).</w:t>
      </w:r>
    </w:p>
    <w:p w:rsidR="00EB609D" w:rsidRPr="00EB3536" w:rsidRDefault="00EB609D" w:rsidP="00EB609D"/>
    <w:p w:rsidR="00EB609D" w:rsidRPr="00EB3536" w:rsidRDefault="00EB609D" w:rsidP="00EB3536">
      <w:pPr>
        <w:pStyle w:val="ListParagraph"/>
        <w:ind w:left="0"/>
      </w:pPr>
      <w:r w:rsidRPr="00A60AC0">
        <w:rPr>
          <w:b/>
        </w:rPr>
        <w:t>Adolescents:</w:t>
      </w:r>
      <w:r w:rsidRPr="00EB3536">
        <w:t xml:space="preserve"> The PBAC noted in the trial that less than 5% of the participants across the vaccine groups reported fever (≥38</w:t>
      </w:r>
      <w:r w:rsidRPr="00EB3536">
        <w:rPr>
          <w:vertAlign w:val="superscript"/>
        </w:rPr>
        <w:t>o</w:t>
      </w:r>
      <w:r w:rsidRPr="00EB3536">
        <w:t>C) and there was no difference in the percentage of participants reporting fever between the groups that received 4CMenB and placebo.</w:t>
      </w:r>
    </w:p>
    <w:p w:rsidR="00BB219E" w:rsidRDefault="0004080D" w:rsidP="00BB219E">
      <w:pPr>
        <w:pStyle w:val="Heading3"/>
        <w:rPr>
          <w:rFonts w:ascii="Times New Roman" w:hAnsi="Times New Roman"/>
          <w:sz w:val="24"/>
        </w:rPr>
      </w:pPr>
      <w:r w:rsidRPr="00BB219E">
        <w:rPr>
          <w:rFonts w:ascii="Times New Roman" w:hAnsi="Times New Roman"/>
          <w:sz w:val="24"/>
        </w:rPr>
        <w:t xml:space="preserve">9. </w:t>
      </w:r>
      <w:r w:rsidR="002A57B9" w:rsidRPr="00BB219E">
        <w:rPr>
          <w:rFonts w:ascii="Times New Roman" w:hAnsi="Times New Roman"/>
          <w:sz w:val="24"/>
        </w:rPr>
        <w:t>Clinical Claim</w:t>
      </w:r>
    </w:p>
    <w:p w:rsidR="006F2C07" w:rsidRPr="006F2C07" w:rsidRDefault="006F2C07" w:rsidP="006F2C07">
      <w:pPr>
        <w:pStyle w:val="ListParagraph"/>
        <w:ind w:left="0"/>
      </w:pPr>
      <w:r w:rsidRPr="006F2C07">
        <w:t xml:space="preserve">The submission described 4CMenB as superior to non-vaccination in terms of comparative effectiveness, with an acceptable tolerability profile in infants and adolescents. </w:t>
      </w:r>
    </w:p>
    <w:p w:rsidR="006F2C07" w:rsidRDefault="006F2C07" w:rsidP="006F2C07">
      <w:pPr>
        <w:tabs>
          <w:tab w:val="left" w:pos="1845"/>
        </w:tabs>
      </w:pPr>
      <w:r w:rsidRPr="007B005C">
        <w:t xml:space="preserve">The PBAC agreed that the vaccine is effective in inducing antibodies against the component antigens of 4CMenB. However, in the context of a </w:t>
      </w:r>
      <w:proofErr w:type="gramStart"/>
      <w:r w:rsidRPr="007B005C">
        <w:t>population based</w:t>
      </w:r>
      <w:proofErr w:type="gramEnd"/>
      <w:r w:rsidRPr="007B005C">
        <w:t xml:space="preserve"> intervention </w:t>
      </w:r>
      <w:r>
        <w:t>against IMD, the committee considered the clinical claim was highly uncertain, because of the likely short persistence of the antibody response, the unknown effect upon carriage of the bacteria and the overall uncertain long-term protective efficacy against infection and disease.</w:t>
      </w:r>
    </w:p>
    <w:p w:rsidR="00BB219E" w:rsidRDefault="0004080D" w:rsidP="00BB219E">
      <w:pPr>
        <w:pStyle w:val="Heading3"/>
        <w:rPr>
          <w:sz w:val="22"/>
        </w:rPr>
      </w:pPr>
      <w:r w:rsidRPr="00BB219E">
        <w:rPr>
          <w:rFonts w:ascii="Times New Roman" w:hAnsi="Times New Roman"/>
          <w:sz w:val="24"/>
        </w:rPr>
        <w:t xml:space="preserve">10. </w:t>
      </w:r>
      <w:r w:rsidR="002A57B9" w:rsidRPr="00BB219E">
        <w:rPr>
          <w:rFonts w:ascii="Times New Roman" w:hAnsi="Times New Roman"/>
          <w:sz w:val="24"/>
        </w:rPr>
        <w:t>Economic Analysis</w:t>
      </w:r>
      <w:r w:rsidR="009102D9" w:rsidRPr="0004080D">
        <w:rPr>
          <w:sz w:val="22"/>
        </w:rPr>
        <w:t xml:space="preserve"> </w:t>
      </w:r>
    </w:p>
    <w:p w:rsidR="006F2C07" w:rsidRPr="006F2C07" w:rsidRDefault="006F2C07" w:rsidP="006F2C07">
      <w:pPr>
        <w:pStyle w:val="ListParagraph"/>
        <w:ind w:left="0"/>
      </w:pPr>
      <w:r w:rsidRPr="006F2C07">
        <w:t xml:space="preserve">The submission presented a modelled economic evaluation (cost utility analysis) based on the claim of superior efficacy and/or safety. </w:t>
      </w:r>
    </w:p>
    <w:p w:rsidR="006F2C07" w:rsidRPr="006F2C07" w:rsidRDefault="006F2C07" w:rsidP="006F2C07">
      <w:pPr>
        <w:pStyle w:val="ListParagraph"/>
        <w:ind w:left="709"/>
      </w:pPr>
    </w:p>
    <w:p w:rsidR="006F2C07" w:rsidRPr="006F2C07" w:rsidRDefault="006F2C07" w:rsidP="006F2C07">
      <w:pPr>
        <w:pStyle w:val="ListParagraph"/>
        <w:ind w:left="0"/>
      </w:pPr>
      <w:r w:rsidRPr="006F2C07">
        <w:t xml:space="preserve">A dynamic transmission model </w:t>
      </w:r>
      <w:proofErr w:type="gramStart"/>
      <w:r w:rsidRPr="006F2C07">
        <w:t>was used</w:t>
      </w:r>
      <w:proofErr w:type="gramEnd"/>
      <w:r w:rsidRPr="006F2C07">
        <w:t xml:space="preserve"> to estimate the number of individuals infected with vaccine-preventable </w:t>
      </w:r>
      <w:proofErr w:type="spellStart"/>
      <w:r w:rsidRPr="006F2C07">
        <w:t>meningococci</w:t>
      </w:r>
      <w:proofErr w:type="spellEnd"/>
      <w:r w:rsidRPr="006F2C07">
        <w:t xml:space="preserve"> and the number of cases of invasive meningococcal B disease (IMD) that occur. The model consisted of nine </w:t>
      </w:r>
      <w:proofErr w:type="gramStart"/>
      <w:r w:rsidRPr="006F2C07">
        <w:t>mutually-exclusive</w:t>
      </w:r>
      <w:proofErr w:type="gramEnd"/>
      <w:r w:rsidRPr="006F2C07">
        <w:t xml:space="preserve"> states, involving a combination of: whether </w:t>
      </w:r>
      <w:proofErr w:type="spellStart"/>
      <w:r w:rsidRPr="006F2C07">
        <w:t>seroprotected</w:t>
      </w:r>
      <w:proofErr w:type="spellEnd"/>
      <w:r w:rsidRPr="006F2C07">
        <w:t xml:space="preserve">; whether infected with vaccine-preventable or non-vaccine-preventable </w:t>
      </w:r>
      <w:proofErr w:type="spellStart"/>
      <w:r w:rsidRPr="006F2C07">
        <w:t>meningococci</w:t>
      </w:r>
      <w:proofErr w:type="spellEnd"/>
      <w:r w:rsidRPr="006F2C07">
        <w:t xml:space="preserve"> (or neither); and IMD. All vaccine-preventable strains </w:t>
      </w:r>
      <w:proofErr w:type="gramStart"/>
      <w:r w:rsidRPr="006F2C07">
        <w:t>have been grouped</w:t>
      </w:r>
      <w:proofErr w:type="gramEnd"/>
      <w:r w:rsidRPr="006F2C07">
        <w:t xml:space="preserve"> together, and consequently all transmission and infection parameters are assumed to represent an average across all </w:t>
      </w:r>
      <w:r w:rsidR="00664E1F">
        <w:t xml:space="preserve">vaccine-preventable </w:t>
      </w:r>
      <w:r w:rsidRPr="006F2C07">
        <w:t>strains.</w:t>
      </w:r>
    </w:p>
    <w:p w:rsidR="006F2C07" w:rsidRPr="006F2C07" w:rsidRDefault="006F2C07" w:rsidP="006F2C07"/>
    <w:p w:rsidR="006F2C07" w:rsidRPr="006F2C07" w:rsidRDefault="006F2C07" w:rsidP="006F2C07">
      <w:pPr>
        <w:pStyle w:val="ListParagraph"/>
        <w:ind w:left="0"/>
      </w:pPr>
      <w:r w:rsidRPr="006F2C07">
        <w:t>The submission modelled six vaccination scenarios, representing different combinations of routine infant and adolescent vaccination with or without catch-up programmes:</w:t>
      </w:r>
    </w:p>
    <w:p w:rsidR="006F2C07" w:rsidRPr="006F2C07" w:rsidRDefault="006F2C07" w:rsidP="00002DC3">
      <w:pPr>
        <w:pStyle w:val="Default"/>
        <w:widowControl/>
        <w:numPr>
          <w:ilvl w:val="0"/>
          <w:numId w:val="2"/>
        </w:numPr>
        <w:ind w:left="1418" w:right="-154" w:hanging="709"/>
        <w:rPr>
          <w:bCs/>
        </w:rPr>
      </w:pPr>
      <w:r w:rsidRPr="006F2C07">
        <w:rPr>
          <w:bCs/>
        </w:rPr>
        <w:lastRenderedPageBreak/>
        <w:t>routine infant schedule (four doses at 2, 4, 6 and 12 months of age);</w:t>
      </w:r>
    </w:p>
    <w:p w:rsidR="006F2C07" w:rsidRPr="006F2C07" w:rsidRDefault="006F2C07" w:rsidP="00002DC3">
      <w:pPr>
        <w:pStyle w:val="Default"/>
        <w:widowControl/>
        <w:numPr>
          <w:ilvl w:val="0"/>
          <w:numId w:val="2"/>
        </w:numPr>
        <w:ind w:left="1418" w:right="-154" w:hanging="709"/>
        <w:rPr>
          <w:bCs/>
        </w:rPr>
      </w:pPr>
      <w:r w:rsidRPr="006F2C07">
        <w:rPr>
          <w:bCs/>
        </w:rPr>
        <w:t>routine adolescent schedule (two doses at 15 years of age);</w:t>
      </w:r>
    </w:p>
    <w:p w:rsidR="006F2C07" w:rsidRPr="006F2C07" w:rsidRDefault="006F2C07" w:rsidP="00002DC3">
      <w:pPr>
        <w:pStyle w:val="Default"/>
        <w:widowControl/>
        <w:numPr>
          <w:ilvl w:val="0"/>
          <w:numId w:val="2"/>
        </w:numPr>
        <w:ind w:left="1418" w:right="-154" w:hanging="709"/>
        <w:rPr>
          <w:bCs/>
        </w:rPr>
      </w:pPr>
      <w:r w:rsidRPr="006F2C07">
        <w:rPr>
          <w:bCs/>
        </w:rPr>
        <w:t>routine infant and adolescent schedules;</w:t>
      </w:r>
    </w:p>
    <w:p w:rsidR="006F2C07" w:rsidRPr="006F2C07" w:rsidRDefault="006F2C07" w:rsidP="00002DC3">
      <w:pPr>
        <w:pStyle w:val="Default"/>
        <w:widowControl/>
        <w:numPr>
          <w:ilvl w:val="0"/>
          <w:numId w:val="2"/>
        </w:numPr>
        <w:ind w:left="1134" w:right="-154" w:hanging="425"/>
        <w:rPr>
          <w:bCs/>
          <w:color w:val="auto"/>
        </w:rPr>
      </w:pPr>
      <w:r w:rsidRPr="006F2C07">
        <w:rPr>
          <w:bCs/>
          <w:color w:val="auto"/>
        </w:rPr>
        <w:t>routine infant and adolescent schedules with catch-up for older infants and toddlers (two to three doses);</w:t>
      </w:r>
    </w:p>
    <w:p w:rsidR="006F2C07" w:rsidRPr="006F2C07" w:rsidRDefault="006F2C07" w:rsidP="00002DC3">
      <w:pPr>
        <w:pStyle w:val="Default"/>
        <w:widowControl/>
        <w:numPr>
          <w:ilvl w:val="0"/>
          <w:numId w:val="2"/>
        </w:numPr>
        <w:ind w:left="1134" w:right="-154" w:hanging="425"/>
        <w:rPr>
          <w:bCs/>
          <w:color w:val="auto"/>
        </w:rPr>
      </w:pPr>
      <w:r w:rsidRPr="006F2C07">
        <w:rPr>
          <w:bCs/>
          <w:color w:val="auto"/>
        </w:rPr>
        <w:t>routine infant and adolescent schedules with catch-up for adolescents (two doses); and</w:t>
      </w:r>
    </w:p>
    <w:p w:rsidR="006F2C07" w:rsidRPr="006F2C07" w:rsidRDefault="006F2C07" w:rsidP="00002DC3">
      <w:pPr>
        <w:pStyle w:val="Default"/>
        <w:widowControl/>
        <w:numPr>
          <w:ilvl w:val="0"/>
          <w:numId w:val="2"/>
        </w:numPr>
        <w:ind w:left="1134" w:right="-154" w:hanging="425"/>
        <w:rPr>
          <w:bCs/>
          <w:color w:val="auto"/>
        </w:rPr>
      </w:pPr>
      <w:proofErr w:type="gramStart"/>
      <w:r w:rsidRPr="006F2C07">
        <w:rPr>
          <w:bCs/>
          <w:color w:val="auto"/>
        </w:rPr>
        <w:t>routine</w:t>
      </w:r>
      <w:proofErr w:type="gramEnd"/>
      <w:r w:rsidRPr="006F2C07">
        <w:rPr>
          <w:bCs/>
          <w:color w:val="auto"/>
        </w:rPr>
        <w:t xml:space="preserve"> infant and adolescent with catch-up for older infants and toddlers and adolescents. </w:t>
      </w:r>
    </w:p>
    <w:p w:rsidR="006F2C07" w:rsidRPr="006F2C07" w:rsidRDefault="006F2C07" w:rsidP="006F2C07">
      <w:pPr>
        <w:rPr>
          <w:lang w:eastAsia="zh-CN"/>
        </w:rPr>
      </w:pPr>
    </w:p>
    <w:p w:rsidR="006F2C07" w:rsidRPr="006F2C07" w:rsidRDefault="006F2C07" w:rsidP="006F2C07">
      <w:pPr>
        <w:pStyle w:val="ListParagraph"/>
        <w:ind w:left="0"/>
      </w:pPr>
      <w:r w:rsidRPr="006F2C07">
        <w:rPr>
          <w:lang w:eastAsia="zh-CN"/>
        </w:rPr>
        <w:t xml:space="preserve">The PBAC agreed that the </w:t>
      </w:r>
      <w:proofErr w:type="gramStart"/>
      <w:r w:rsidRPr="006F2C07">
        <w:rPr>
          <w:lang w:eastAsia="zh-CN"/>
        </w:rPr>
        <w:t>submission’s</w:t>
      </w:r>
      <w:proofErr w:type="gramEnd"/>
      <w:r w:rsidRPr="006F2C07">
        <w:rPr>
          <w:lang w:eastAsia="zh-CN"/>
        </w:rPr>
        <w:t xml:space="preserve"> proposed base case, scenario 6, was the most clinically appropriate scenario for decision making.</w:t>
      </w:r>
    </w:p>
    <w:p w:rsidR="006F2C07" w:rsidRPr="006F2C07" w:rsidRDefault="006F2C07" w:rsidP="006F2C07">
      <w:pPr>
        <w:rPr>
          <w:lang w:eastAsia="zh-CN"/>
        </w:rPr>
      </w:pPr>
    </w:p>
    <w:p w:rsidR="006F2C07" w:rsidRPr="006F2C07" w:rsidRDefault="006F2C07" w:rsidP="006F2C07">
      <w:pPr>
        <w:pStyle w:val="ListParagraph"/>
        <w:ind w:left="0"/>
      </w:pPr>
      <w:r w:rsidRPr="006F2C07">
        <w:t xml:space="preserve">The submission presented an ICER of </w:t>
      </w:r>
      <w:r w:rsidR="00F9326C">
        <w:t>between $45,000 and $75,000 per quality adjusted life year (</w:t>
      </w:r>
      <w:r w:rsidRPr="006F2C07">
        <w:t>QALY</w:t>
      </w:r>
      <w:r w:rsidR="00F9326C">
        <w:t>)</w:t>
      </w:r>
      <w:r w:rsidRPr="006F2C07">
        <w:t xml:space="preserve"> for routine infant and adolescent vaccination with catch-up for older infants and toddlers and adolescents versus no vaccination. This is based on a dynamic transmission model, taking the </w:t>
      </w:r>
      <w:proofErr w:type="spellStart"/>
      <w:r w:rsidRPr="006F2C07">
        <w:t>hSBA</w:t>
      </w:r>
      <w:proofErr w:type="spellEnd"/>
      <w:r w:rsidRPr="006F2C07">
        <w:t xml:space="preserve"> outcomes (the trial basis of the efficacy point estimates were not specified), </w:t>
      </w:r>
      <w:r w:rsidR="00664E1F">
        <w:t>applying a modelling horizon of 100 years,</w:t>
      </w:r>
      <w:r w:rsidRPr="006F2C07">
        <w:t xml:space="preserve"> and applying utility weights from several published studies and differential annual discount rates for costs and for health outcomes. The PBAC noted that the ICER/QALY was highly sensitive to the discount rate and reiterated that discounting as outlined in its guidelines with sensitivity analysis is most informative for </w:t>
      </w:r>
      <w:proofErr w:type="gramStart"/>
      <w:r w:rsidRPr="006F2C07">
        <w:t>decision making</w:t>
      </w:r>
      <w:proofErr w:type="gramEnd"/>
      <w:r w:rsidRPr="006F2C07">
        <w:t>. The PBAC considered that the economic claim is highly uncertain.</w:t>
      </w:r>
    </w:p>
    <w:p w:rsidR="006F2C07" w:rsidRPr="006F2C07" w:rsidRDefault="006F2C07" w:rsidP="006F2C07">
      <w:pPr>
        <w:pStyle w:val="ListParagraph"/>
        <w:ind w:left="709"/>
      </w:pPr>
      <w:r w:rsidRPr="006F2C07">
        <w:t xml:space="preserve"> </w:t>
      </w:r>
    </w:p>
    <w:p w:rsidR="006F2C07" w:rsidRPr="006F2C07" w:rsidRDefault="006F2C07" w:rsidP="006F2C07">
      <w:pPr>
        <w:pStyle w:val="ListParagraph"/>
        <w:ind w:left="0"/>
      </w:pPr>
      <w:r w:rsidRPr="006F2C07">
        <w:t>The level of concordance between the strains causing meningococcal disease against which 4CMenB is effective and those in circulation in Australia was measured using the Meningococcal Antigen Typing System (MATS) developed by the sponsor. Isolates (n=373) from IMD cases in all States/Territories (excluding Victoria, and 20 from WA) during the period January 2007 to December 2011 were analysed. Isolates that met a minimum threshold of reactivity (</w:t>
      </w:r>
      <w:proofErr w:type="spellStart"/>
      <w:r w:rsidRPr="006F2C07">
        <w:t>fHbp</w:t>
      </w:r>
      <w:proofErr w:type="spellEnd"/>
      <w:r w:rsidRPr="006F2C07">
        <w:t xml:space="preserve">, NHBA and </w:t>
      </w:r>
      <w:proofErr w:type="spellStart"/>
      <w:r w:rsidRPr="006F2C07">
        <w:t>NadA</w:t>
      </w:r>
      <w:proofErr w:type="spellEnd"/>
      <w:r w:rsidRPr="006F2C07">
        <w:t xml:space="preserve">, quantified by ELISA and relative potency compared to a reference strain) or the presence of </w:t>
      </w:r>
      <w:proofErr w:type="spellStart"/>
      <w:r w:rsidRPr="006F2C07">
        <w:t>PorA</w:t>
      </w:r>
      <w:proofErr w:type="spellEnd"/>
      <w:r w:rsidRPr="006F2C07">
        <w:t xml:space="preserve"> P1.4 (genotyping) </w:t>
      </w:r>
      <w:proofErr w:type="gramStart"/>
      <w:r w:rsidRPr="006F2C07">
        <w:t>were deemed to be “covered</w:t>
      </w:r>
      <w:proofErr w:type="gramEnd"/>
      <w:r w:rsidRPr="006F2C07">
        <w:t xml:space="preserve"> by 4CMenB”. From these data, an estimated 75.9% (95% CI: 63.3%, 86.9%) of isolates would be covered by bactericidal antibody responses to 4CMenB vaccine. The PBAC noted that MATS </w:t>
      </w:r>
      <w:r w:rsidRPr="006F2C07">
        <w:rPr>
          <w:lang w:val="en-US"/>
        </w:rPr>
        <w:t xml:space="preserve">predicts killing by pooled sera from vaccines shortly after full vaccination. While there is some data to correlate MATS predicted killing with strain coverage, there is no data to confirm correlation between MATS estimated coverage with actual vaccine efficacy. The PBAC noted that MATS provides no information on the proportion of </w:t>
      </w:r>
      <w:proofErr w:type="spellStart"/>
      <w:r w:rsidRPr="006F2C07">
        <w:rPr>
          <w:lang w:val="en-US"/>
        </w:rPr>
        <w:t>vaccinees</w:t>
      </w:r>
      <w:proofErr w:type="spellEnd"/>
      <w:r w:rsidRPr="006F2C07">
        <w:rPr>
          <w:lang w:val="en-US"/>
        </w:rPr>
        <w:t xml:space="preserve"> who fail to achieve protective </w:t>
      </w:r>
      <w:proofErr w:type="spellStart"/>
      <w:r w:rsidRPr="006F2C07">
        <w:rPr>
          <w:lang w:val="en-US"/>
        </w:rPr>
        <w:t>titres</w:t>
      </w:r>
      <w:proofErr w:type="spellEnd"/>
      <w:r w:rsidRPr="006F2C07">
        <w:rPr>
          <w:lang w:val="en-US"/>
        </w:rPr>
        <w:t xml:space="preserve">. </w:t>
      </w:r>
      <w:r w:rsidRPr="006F2C07">
        <w:t xml:space="preserve">The PBAC noted, notwithstanding the technical issues of measuring the </w:t>
      </w:r>
      <w:proofErr w:type="spellStart"/>
      <w:r w:rsidRPr="006F2C07">
        <w:t>NadA</w:t>
      </w:r>
      <w:proofErr w:type="spellEnd"/>
      <w:r w:rsidRPr="006F2C07">
        <w:t xml:space="preserve"> coverage with MATS and that </w:t>
      </w:r>
      <w:proofErr w:type="spellStart"/>
      <w:r w:rsidRPr="006F2C07">
        <w:t>seroresponse</w:t>
      </w:r>
      <w:proofErr w:type="spellEnd"/>
      <w:r w:rsidRPr="006F2C07">
        <w:t xml:space="preserve"> against two or more antigens would provide a greater degree of certainty of coverage, that the immune response was most robust against </w:t>
      </w:r>
      <w:proofErr w:type="spellStart"/>
      <w:r w:rsidRPr="006F2C07">
        <w:t>NadA</w:t>
      </w:r>
      <w:proofErr w:type="spellEnd"/>
      <w:r w:rsidRPr="006F2C07">
        <w:t>, which had the lowest individual coverage.</w:t>
      </w:r>
    </w:p>
    <w:p w:rsidR="006F2C07" w:rsidRPr="006F2C07" w:rsidRDefault="006F2C07" w:rsidP="006F2C0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 coverage data"/>
      </w:tblPr>
      <w:tblGrid>
        <w:gridCol w:w="851"/>
        <w:gridCol w:w="3827"/>
        <w:gridCol w:w="4394"/>
      </w:tblGrid>
      <w:tr w:rsidR="006F2C07" w:rsidRPr="000B0D77" w:rsidTr="003F4A74">
        <w:trPr>
          <w:tblHeader/>
        </w:trPr>
        <w:tc>
          <w:tcPr>
            <w:tcW w:w="851" w:type="dxa"/>
            <w:shd w:val="clear" w:color="auto" w:fill="auto"/>
          </w:tcPr>
          <w:p w:rsidR="006F2C07" w:rsidRPr="000B0D77" w:rsidRDefault="006F2C07" w:rsidP="000B0D77">
            <w:pPr>
              <w:jc w:val="center"/>
              <w:rPr>
                <w:rFonts w:ascii="Arial" w:hAnsi="Arial" w:cs="Arial"/>
                <w:sz w:val="20"/>
              </w:rPr>
            </w:pPr>
          </w:p>
        </w:tc>
        <w:tc>
          <w:tcPr>
            <w:tcW w:w="3827" w:type="dxa"/>
            <w:shd w:val="clear" w:color="auto" w:fill="auto"/>
          </w:tcPr>
          <w:p w:rsidR="006F2C07" w:rsidRPr="000B0D77" w:rsidRDefault="006F2C07" w:rsidP="000B0D77">
            <w:pPr>
              <w:jc w:val="center"/>
              <w:rPr>
                <w:rFonts w:ascii="Arial" w:hAnsi="Arial" w:cs="Arial"/>
                <w:sz w:val="20"/>
              </w:rPr>
            </w:pPr>
            <w:r w:rsidRPr="000B0D77">
              <w:rPr>
                <w:rFonts w:ascii="Arial" w:hAnsi="Arial" w:cs="Arial"/>
                <w:sz w:val="20"/>
              </w:rPr>
              <w:t>Coverage (%) of individual antigen by MATS (Figure C.2.2 of submission)</w:t>
            </w:r>
          </w:p>
        </w:tc>
        <w:tc>
          <w:tcPr>
            <w:tcW w:w="4394" w:type="dxa"/>
            <w:shd w:val="clear" w:color="auto" w:fill="auto"/>
          </w:tcPr>
          <w:p w:rsidR="006F2C07" w:rsidRPr="000B0D77" w:rsidRDefault="006F2C07" w:rsidP="000B0D77">
            <w:pPr>
              <w:jc w:val="center"/>
              <w:rPr>
                <w:rFonts w:ascii="Arial" w:hAnsi="Arial" w:cs="Arial"/>
                <w:sz w:val="20"/>
              </w:rPr>
            </w:pPr>
            <w:r w:rsidRPr="000B0D77">
              <w:rPr>
                <w:rFonts w:ascii="Arial" w:hAnsi="Arial" w:cs="Arial"/>
                <w:sz w:val="20"/>
              </w:rPr>
              <w:t>% participants with bactericidal titres ≥1:5</w:t>
            </w:r>
          </w:p>
          <w:p w:rsidR="006F2C07" w:rsidRPr="000B0D77" w:rsidRDefault="006F2C07" w:rsidP="000B0D77">
            <w:pPr>
              <w:jc w:val="center"/>
              <w:rPr>
                <w:rFonts w:ascii="Arial" w:hAnsi="Arial" w:cs="Arial"/>
                <w:sz w:val="20"/>
              </w:rPr>
            </w:pPr>
            <w:r w:rsidRPr="000B0D77">
              <w:rPr>
                <w:rFonts w:ascii="Arial" w:hAnsi="Arial" w:cs="Arial"/>
                <w:sz w:val="20"/>
              </w:rPr>
              <w:t>‘24m persistence’, Figure 1 (Study V72P13E2)</w:t>
            </w:r>
          </w:p>
        </w:tc>
      </w:tr>
      <w:tr w:rsidR="006F2C07" w:rsidRPr="000B0D77" w:rsidTr="000B0D77">
        <w:tc>
          <w:tcPr>
            <w:tcW w:w="851" w:type="dxa"/>
            <w:shd w:val="clear" w:color="auto" w:fill="auto"/>
          </w:tcPr>
          <w:p w:rsidR="006F2C07" w:rsidRPr="000B0D77" w:rsidRDefault="006F2C07" w:rsidP="000B0D77">
            <w:pPr>
              <w:jc w:val="center"/>
              <w:rPr>
                <w:rFonts w:ascii="Arial" w:hAnsi="Arial" w:cs="Arial"/>
                <w:sz w:val="20"/>
              </w:rPr>
            </w:pPr>
            <w:proofErr w:type="spellStart"/>
            <w:r w:rsidRPr="000B0D77">
              <w:rPr>
                <w:rFonts w:ascii="Arial" w:hAnsi="Arial" w:cs="Arial"/>
                <w:sz w:val="20"/>
              </w:rPr>
              <w:t>fHbp</w:t>
            </w:r>
            <w:proofErr w:type="spellEnd"/>
          </w:p>
        </w:tc>
        <w:tc>
          <w:tcPr>
            <w:tcW w:w="3827" w:type="dxa"/>
            <w:shd w:val="clear" w:color="auto" w:fill="auto"/>
          </w:tcPr>
          <w:p w:rsidR="006F2C07" w:rsidRPr="000B0D77" w:rsidRDefault="006F2C07" w:rsidP="000B0D77">
            <w:pPr>
              <w:jc w:val="center"/>
              <w:rPr>
                <w:rFonts w:ascii="Arial" w:hAnsi="Arial" w:cs="Arial"/>
                <w:sz w:val="20"/>
              </w:rPr>
            </w:pPr>
            <w:r w:rsidRPr="000B0D77">
              <w:rPr>
                <w:rFonts w:ascii="Arial" w:hAnsi="Arial" w:cs="Arial"/>
                <w:sz w:val="20"/>
              </w:rPr>
              <w:t>48.0%</w:t>
            </w:r>
          </w:p>
        </w:tc>
        <w:tc>
          <w:tcPr>
            <w:tcW w:w="4394" w:type="dxa"/>
            <w:shd w:val="clear" w:color="auto" w:fill="auto"/>
          </w:tcPr>
          <w:p w:rsidR="006F2C07" w:rsidRPr="000B0D77" w:rsidRDefault="006F2C07" w:rsidP="000B0D77">
            <w:pPr>
              <w:jc w:val="center"/>
              <w:rPr>
                <w:rFonts w:ascii="Arial" w:hAnsi="Arial" w:cs="Arial"/>
                <w:sz w:val="20"/>
              </w:rPr>
            </w:pPr>
            <w:r w:rsidRPr="000B0D77">
              <w:rPr>
                <w:rFonts w:ascii="Arial" w:hAnsi="Arial" w:cs="Arial"/>
                <w:sz w:val="20"/>
              </w:rPr>
              <w:t>62%</w:t>
            </w:r>
          </w:p>
        </w:tc>
      </w:tr>
      <w:tr w:rsidR="006F2C07" w:rsidRPr="000B0D77" w:rsidTr="000B0D77">
        <w:tc>
          <w:tcPr>
            <w:tcW w:w="851" w:type="dxa"/>
            <w:shd w:val="clear" w:color="auto" w:fill="auto"/>
          </w:tcPr>
          <w:p w:rsidR="006F2C07" w:rsidRPr="000B0D77" w:rsidRDefault="006F2C07" w:rsidP="000B0D77">
            <w:pPr>
              <w:jc w:val="center"/>
              <w:rPr>
                <w:rFonts w:ascii="Arial" w:hAnsi="Arial" w:cs="Arial"/>
                <w:sz w:val="20"/>
              </w:rPr>
            </w:pPr>
            <w:r w:rsidRPr="000B0D77">
              <w:rPr>
                <w:rFonts w:ascii="Arial" w:hAnsi="Arial" w:cs="Arial"/>
                <w:sz w:val="20"/>
              </w:rPr>
              <w:t>NHBA</w:t>
            </w:r>
          </w:p>
        </w:tc>
        <w:tc>
          <w:tcPr>
            <w:tcW w:w="3827" w:type="dxa"/>
            <w:shd w:val="clear" w:color="auto" w:fill="auto"/>
          </w:tcPr>
          <w:p w:rsidR="006F2C07" w:rsidRPr="000B0D77" w:rsidRDefault="006F2C07" w:rsidP="000B0D77">
            <w:pPr>
              <w:jc w:val="center"/>
              <w:rPr>
                <w:rFonts w:ascii="Arial" w:hAnsi="Arial" w:cs="Arial"/>
                <w:sz w:val="20"/>
              </w:rPr>
            </w:pPr>
            <w:r w:rsidRPr="000B0D77">
              <w:rPr>
                <w:rFonts w:ascii="Arial" w:hAnsi="Arial" w:cs="Arial"/>
                <w:sz w:val="20"/>
              </w:rPr>
              <w:t>57.1%</w:t>
            </w:r>
          </w:p>
        </w:tc>
        <w:tc>
          <w:tcPr>
            <w:tcW w:w="4394" w:type="dxa"/>
            <w:shd w:val="clear" w:color="auto" w:fill="auto"/>
          </w:tcPr>
          <w:p w:rsidR="006F2C07" w:rsidRPr="000B0D77" w:rsidRDefault="006F2C07" w:rsidP="000B0D77">
            <w:pPr>
              <w:jc w:val="center"/>
              <w:rPr>
                <w:rFonts w:ascii="Arial" w:hAnsi="Arial" w:cs="Arial"/>
                <w:sz w:val="20"/>
              </w:rPr>
            </w:pPr>
            <w:r w:rsidRPr="000B0D77">
              <w:rPr>
                <w:rFonts w:ascii="Arial" w:hAnsi="Arial" w:cs="Arial"/>
                <w:sz w:val="20"/>
              </w:rPr>
              <w:t>40%</w:t>
            </w:r>
          </w:p>
        </w:tc>
      </w:tr>
      <w:tr w:rsidR="006F2C07" w:rsidRPr="000B0D77" w:rsidTr="000B0D77">
        <w:tc>
          <w:tcPr>
            <w:tcW w:w="851" w:type="dxa"/>
            <w:shd w:val="clear" w:color="auto" w:fill="auto"/>
          </w:tcPr>
          <w:p w:rsidR="006F2C07" w:rsidRPr="000B0D77" w:rsidRDefault="006F2C07" w:rsidP="000B0D77">
            <w:pPr>
              <w:jc w:val="center"/>
              <w:rPr>
                <w:rFonts w:ascii="Arial" w:hAnsi="Arial" w:cs="Arial"/>
                <w:sz w:val="20"/>
              </w:rPr>
            </w:pPr>
            <w:proofErr w:type="spellStart"/>
            <w:r w:rsidRPr="000B0D77">
              <w:rPr>
                <w:rFonts w:ascii="Arial" w:hAnsi="Arial" w:cs="Arial"/>
                <w:sz w:val="20"/>
              </w:rPr>
              <w:t>NadA</w:t>
            </w:r>
            <w:proofErr w:type="spellEnd"/>
          </w:p>
        </w:tc>
        <w:tc>
          <w:tcPr>
            <w:tcW w:w="3827" w:type="dxa"/>
            <w:shd w:val="clear" w:color="auto" w:fill="auto"/>
          </w:tcPr>
          <w:p w:rsidR="006F2C07" w:rsidRPr="000B0D77" w:rsidRDefault="006F2C07" w:rsidP="000B0D77">
            <w:pPr>
              <w:jc w:val="center"/>
              <w:rPr>
                <w:rFonts w:ascii="Arial" w:hAnsi="Arial" w:cs="Arial"/>
                <w:sz w:val="20"/>
              </w:rPr>
            </w:pPr>
            <w:r w:rsidRPr="000B0D77">
              <w:rPr>
                <w:rFonts w:ascii="Arial" w:hAnsi="Arial" w:cs="Arial"/>
                <w:sz w:val="20"/>
              </w:rPr>
              <w:t>0.5%</w:t>
            </w:r>
          </w:p>
        </w:tc>
        <w:tc>
          <w:tcPr>
            <w:tcW w:w="4394" w:type="dxa"/>
            <w:shd w:val="clear" w:color="auto" w:fill="auto"/>
          </w:tcPr>
          <w:p w:rsidR="006F2C07" w:rsidRPr="000B0D77" w:rsidRDefault="006F2C07" w:rsidP="000B0D77">
            <w:pPr>
              <w:jc w:val="center"/>
              <w:rPr>
                <w:rFonts w:ascii="Arial" w:hAnsi="Arial" w:cs="Arial"/>
                <w:sz w:val="20"/>
              </w:rPr>
            </w:pPr>
            <w:r w:rsidRPr="000B0D77">
              <w:rPr>
                <w:rFonts w:ascii="Arial" w:hAnsi="Arial" w:cs="Arial"/>
                <w:sz w:val="20"/>
              </w:rPr>
              <w:t>97%</w:t>
            </w:r>
          </w:p>
        </w:tc>
      </w:tr>
      <w:tr w:rsidR="006F2C07" w:rsidRPr="000B0D77" w:rsidTr="000B0D77">
        <w:tc>
          <w:tcPr>
            <w:tcW w:w="851" w:type="dxa"/>
            <w:shd w:val="clear" w:color="auto" w:fill="auto"/>
          </w:tcPr>
          <w:p w:rsidR="006F2C07" w:rsidRPr="000B0D77" w:rsidRDefault="006F2C07" w:rsidP="000B0D77">
            <w:pPr>
              <w:jc w:val="center"/>
              <w:rPr>
                <w:rFonts w:ascii="Arial" w:hAnsi="Arial" w:cs="Arial"/>
                <w:sz w:val="20"/>
              </w:rPr>
            </w:pPr>
            <w:proofErr w:type="spellStart"/>
            <w:r w:rsidRPr="000B0D77">
              <w:rPr>
                <w:rFonts w:ascii="Arial" w:hAnsi="Arial" w:cs="Arial"/>
                <w:sz w:val="20"/>
              </w:rPr>
              <w:t>PorA</w:t>
            </w:r>
            <w:proofErr w:type="spellEnd"/>
          </w:p>
        </w:tc>
        <w:tc>
          <w:tcPr>
            <w:tcW w:w="3827" w:type="dxa"/>
            <w:shd w:val="clear" w:color="auto" w:fill="auto"/>
          </w:tcPr>
          <w:p w:rsidR="006F2C07" w:rsidRPr="000B0D77" w:rsidRDefault="006F2C07" w:rsidP="000B0D77">
            <w:pPr>
              <w:jc w:val="center"/>
              <w:rPr>
                <w:rFonts w:ascii="Arial" w:hAnsi="Arial" w:cs="Arial"/>
                <w:sz w:val="20"/>
              </w:rPr>
            </w:pPr>
            <w:r w:rsidRPr="000B0D77">
              <w:rPr>
                <w:rFonts w:ascii="Arial" w:hAnsi="Arial" w:cs="Arial"/>
                <w:sz w:val="20"/>
              </w:rPr>
              <w:t>22.3%</w:t>
            </w:r>
          </w:p>
        </w:tc>
        <w:tc>
          <w:tcPr>
            <w:tcW w:w="4394" w:type="dxa"/>
            <w:shd w:val="clear" w:color="auto" w:fill="auto"/>
          </w:tcPr>
          <w:p w:rsidR="006F2C07" w:rsidRPr="000B0D77" w:rsidRDefault="006F2C07" w:rsidP="000B0D77">
            <w:pPr>
              <w:jc w:val="center"/>
              <w:rPr>
                <w:rFonts w:ascii="Arial" w:hAnsi="Arial" w:cs="Arial"/>
                <w:sz w:val="20"/>
              </w:rPr>
            </w:pPr>
            <w:r w:rsidRPr="000B0D77">
              <w:rPr>
                <w:rFonts w:ascii="Arial" w:hAnsi="Arial" w:cs="Arial"/>
                <w:sz w:val="20"/>
              </w:rPr>
              <w:t>17%</w:t>
            </w:r>
          </w:p>
        </w:tc>
      </w:tr>
    </w:tbl>
    <w:p w:rsidR="006F2C07" w:rsidRPr="006F2C07" w:rsidRDefault="006F2C07" w:rsidP="006F2C07"/>
    <w:p w:rsidR="006F2C07" w:rsidRPr="006F2C07" w:rsidRDefault="006F2C07" w:rsidP="006F2C07">
      <w:pPr>
        <w:pStyle w:val="ListParagraph"/>
        <w:ind w:left="0"/>
      </w:pPr>
      <w:r w:rsidRPr="006F2C07">
        <w:rPr>
          <w:lang w:val="en-US"/>
        </w:rPr>
        <w:t xml:space="preserve">The MATS estimate of coverage might be a reasonable surrogate for clinical efficacy when all </w:t>
      </w:r>
      <w:proofErr w:type="spellStart"/>
      <w:r w:rsidRPr="006F2C07">
        <w:rPr>
          <w:lang w:val="en-US"/>
        </w:rPr>
        <w:t>vaccinees</w:t>
      </w:r>
      <w:proofErr w:type="spellEnd"/>
      <w:r w:rsidRPr="006F2C07">
        <w:rPr>
          <w:lang w:val="en-US"/>
        </w:rPr>
        <w:t xml:space="preserve"> achieve a protective response against all antigens, but predicting efficacy based </w:t>
      </w:r>
      <w:r w:rsidRPr="006F2C07">
        <w:rPr>
          <w:lang w:val="en-US"/>
        </w:rPr>
        <w:lastRenderedPageBreak/>
        <w:t xml:space="preserve">on MATS estimated coverage becomes increasingly uncertain if antibody responses are heterogeneous and as antigen-specific </w:t>
      </w:r>
      <w:proofErr w:type="spellStart"/>
      <w:r w:rsidRPr="006F2C07">
        <w:rPr>
          <w:lang w:val="en-US"/>
        </w:rPr>
        <w:t>titres</w:t>
      </w:r>
      <w:proofErr w:type="spellEnd"/>
      <w:r w:rsidRPr="006F2C07">
        <w:rPr>
          <w:lang w:val="en-US"/>
        </w:rPr>
        <w:t xml:space="preserve"> wane over time. This factor added to the uncertainty of extrapolating vaccine efficacy from the immunogenicity and MATS coverage data.</w:t>
      </w:r>
    </w:p>
    <w:p w:rsidR="006F2C07" w:rsidRPr="006F2C07" w:rsidRDefault="006F2C07" w:rsidP="006F2C07">
      <w:pPr>
        <w:pStyle w:val="ListParagraph"/>
        <w:ind w:left="709"/>
      </w:pPr>
    </w:p>
    <w:p w:rsidR="006F2C07" w:rsidRPr="006F2C07" w:rsidRDefault="006F2C07" w:rsidP="006F2C07">
      <w:pPr>
        <w:pStyle w:val="ListParagraph"/>
        <w:ind w:left="0"/>
      </w:pPr>
      <w:r w:rsidRPr="006F2C07">
        <w:t>The submission presented persistence data from V72P13E2, V72P12E1, V72P9E1, V72P6E1 and V72P10E1.</w:t>
      </w:r>
      <w:r w:rsidRPr="006F2C07">
        <w:rPr>
          <w:snapToGrid w:val="0"/>
          <w:sz w:val="20"/>
          <w:szCs w:val="20"/>
          <w:lang w:eastAsia="en-US"/>
        </w:rPr>
        <w:t xml:space="preserve"> </w:t>
      </w:r>
      <w:r w:rsidRPr="006F2C07">
        <w:t xml:space="preserve">The submission assumed that waning follows an exponential curve: an individual </w:t>
      </w:r>
      <w:r w:rsidRPr="006F2C07">
        <w:rPr>
          <w:lang w:val="en-US"/>
        </w:rPr>
        <w:t xml:space="preserve">is </w:t>
      </w:r>
      <w:proofErr w:type="spellStart"/>
      <w:r w:rsidRPr="006F2C07">
        <w:rPr>
          <w:lang w:val="en-US"/>
        </w:rPr>
        <w:t>sero</w:t>
      </w:r>
      <w:proofErr w:type="spellEnd"/>
      <w:r w:rsidRPr="006F2C07">
        <w:rPr>
          <w:lang w:val="en-US"/>
        </w:rPr>
        <w:t xml:space="preserve">-protected against a strain at </w:t>
      </w:r>
      <w:proofErr w:type="gramStart"/>
      <w:r w:rsidRPr="006F2C07">
        <w:rPr>
          <w:lang w:val="en-US"/>
        </w:rPr>
        <w:t>time ‘t’</w:t>
      </w:r>
      <w:proofErr w:type="gramEnd"/>
      <w:r w:rsidRPr="006F2C07">
        <w:rPr>
          <w:lang w:val="en-US"/>
        </w:rPr>
        <w:t xml:space="preserve"> if the predicted antibody </w:t>
      </w:r>
      <w:proofErr w:type="spellStart"/>
      <w:r w:rsidRPr="006F2C07">
        <w:rPr>
          <w:lang w:val="en-US"/>
        </w:rPr>
        <w:t>titre</w:t>
      </w:r>
      <w:proofErr w:type="spellEnd"/>
      <w:r w:rsidRPr="006F2C07">
        <w:rPr>
          <w:lang w:val="en-US"/>
        </w:rPr>
        <w:t xml:space="preserve"> against any of the four antigens expressed by that strain at time t remains above the bactericidal threshold. The PBAC noted that the method for estimating the mean duration of protection against each antigen remained unclear and that the estimates may be inaccurate because of the limited follow-up time in the trials and the uncertain correlation between immunological surrogate and protection.</w:t>
      </w:r>
    </w:p>
    <w:p w:rsidR="006F2C07" w:rsidRPr="006F2C07" w:rsidRDefault="006F2C07" w:rsidP="006F2C07"/>
    <w:p w:rsidR="006F2C07" w:rsidRPr="006F2C07" w:rsidRDefault="006F2C07" w:rsidP="006F2C07">
      <w:pPr>
        <w:pStyle w:val="ListParagraph"/>
        <w:ind w:left="0"/>
      </w:pPr>
      <w:r w:rsidRPr="006F2C07">
        <w:t xml:space="preserve">The model </w:t>
      </w:r>
      <w:r w:rsidR="005810D1" w:rsidRPr="006F2C07">
        <w:t>use</w:t>
      </w:r>
      <w:r w:rsidR="005810D1">
        <w:t>d</w:t>
      </w:r>
      <w:r w:rsidR="005810D1" w:rsidRPr="006F2C07">
        <w:t xml:space="preserve"> </w:t>
      </w:r>
      <w:r w:rsidRPr="006F2C07">
        <w:t xml:space="preserve">a 100-year time horizon. The PBAC noted that, with this time horizon and the annual discount rate for outcomes, the model: 1) favours the vaccine in capturing herd effects; and 2) is sensitive both to changes in serotype prevalence over time </w:t>
      </w:r>
      <w:proofErr w:type="gramStart"/>
      <w:r w:rsidRPr="006F2C07">
        <w:t>and also</w:t>
      </w:r>
      <w:proofErr w:type="gramEnd"/>
      <w:r w:rsidRPr="006F2C07">
        <w:t xml:space="preserve"> to improvements in management/ decreased morbidity (from disease and </w:t>
      </w:r>
      <w:proofErr w:type="spellStart"/>
      <w:r w:rsidRPr="006F2C07">
        <w:t>sequelae</w:t>
      </w:r>
      <w:proofErr w:type="spellEnd"/>
      <w:r w:rsidRPr="006F2C07">
        <w:t>) over time.</w:t>
      </w:r>
    </w:p>
    <w:p w:rsidR="006F2C07" w:rsidRPr="006F2C07" w:rsidRDefault="006F2C07" w:rsidP="006F2C07"/>
    <w:p w:rsidR="006F2C07" w:rsidRPr="006F2C07" w:rsidRDefault="006F2C07" w:rsidP="006F2C07">
      <w:pPr>
        <w:pStyle w:val="ListParagraph"/>
        <w:ind w:left="0"/>
      </w:pPr>
      <w:r w:rsidRPr="006F2C07">
        <w:t xml:space="preserve">The submission’s base case economic model assumed a value of 50% for vaccine efficacy on carriage acquisition - the midpoint between a subgroup analysis of carriage study V72_29 and Maiden &amp; Stuart (2002). Maiden &amp; Stuart (2002) was an observational study examining meningococcal C conjugate vaccination which found a 66% overall reduction in meningococcal C carriage in young adults. Both ESC and ATAGI considered that it was inappropriate to extrapolate data regarding meningococcal C conjugate vaccines to 4CMenB. Both committees considered the data insufficient to support </w:t>
      </w:r>
      <w:proofErr w:type="gramStart"/>
      <w:r w:rsidRPr="006F2C07">
        <w:t>certainty in prediction of herd effects of immunisation in economic analyses and whether the impact on carriage in young adults is applicable to infants</w:t>
      </w:r>
      <w:proofErr w:type="gramEnd"/>
      <w:r w:rsidRPr="006F2C07">
        <w:t xml:space="preserve">.  The PBAC agreed with these committees that the claim of the size of the herd immunity effect was highly uncertain, based on the data provided. The sponsor noted the ESC and ATAGI advice and, in the pre-PBAC response, reduced the value </w:t>
      </w:r>
      <w:r w:rsidR="0017146D">
        <w:t xml:space="preserve">for carriage acquisition </w:t>
      </w:r>
      <w:r w:rsidRPr="006F2C07">
        <w:t xml:space="preserve">in the model, the point value of efficacy, 3-11 months after the </w:t>
      </w:r>
      <w:proofErr w:type="gramStart"/>
      <w:r w:rsidRPr="006F2C07">
        <w:t>2nd</w:t>
      </w:r>
      <w:proofErr w:type="gramEnd"/>
      <w:r w:rsidRPr="006F2C07">
        <w:t xml:space="preserve"> dose in the V72_29 study. The sponsor also offered a price reduction. </w:t>
      </w:r>
    </w:p>
    <w:p w:rsidR="006F2C07" w:rsidRPr="006F2C07" w:rsidRDefault="006F2C07" w:rsidP="006F2C07"/>
    <w:p w:rsidR="006F2C07" w:rsidRPr="006F2C07" w:rsidRDefault="006F2C07" w:rsidP="006F2C07">
      <w:pPr>
        <w:pStyle w:val="ListParagraph"/>
        <w:ind w:left="0"/>
      </w:pPr>
      <w:r w:rsidRPr="006F2C07">
        <w:t xml:space="preserve">The assessment of the vaccine’s effect on quality of life </w:t>
      </w:r>
      <w:proofErr w:type="gramStart"/>
      <w:r w:rsidRPr="006F2C07">
        <w:t>was based</w:t>
      </w:r>
      <w:proofErr w:type="gramEnd"/>
      <w:r w:rsidRPr="006F2C07">
        <w:t xml:space="preserve"> on utility values for the long-term </w:t>
      </w:r>
      <w:proofErr w:type="spellStart"/>
      <w:r w:rsidRPr="006F2C07">
        <w:t>sequelae</w:t>
      </w:r>
      <w:proofErr w:type="spellEnd"/>
      <w:r w:rsidRPr="006F2C07">
        <w:t xml:space="preserve"> taken from several published studies. The PBAC noted that most sources of the utility values and other model inputs </w:t>
      </w:r>
      <w:proofErr w:type="gramStart"/>
      <w:r w:rsidRPr="006F2C07">
        <w:t>were provided</w:t>
      </w:r>
      <w:proofErr w:type="gramEnd"/>
      <w:r w:rsidRPr="006F2C07">
        <w:t xml:space="preserve"> before the PBAC meeting. The PBAC noted that no </w:t>
      </w:r>
      <w:proofErr w:type="spellStart"/>
      <w:r w:rsidRPr="006F2C07">
        <w:t>disutilities</w:t>
      </w:r>
      <w:proofErr w:type="spellEnd"/>
      <w:r w:rsidRPr="006F2C07">
        <w:t xml:space="preserve"> </w:t>
      </w:r>
      <w:proofErr w:type="gramStart"/>
      <w:r w:rsidRPr="006F2C07">
        <w:t>were applied</w:t>
      </w:r>
      <w:proofErr w:type="gramEnd"/>
      <w:r w:rsidRPr="006F2C07">
        <w:t xml:space="preserve"> for adverse events. </w:t>
      </w:r>
      <w:r w:rsidRPr="006F2C07">
        <w:rPr>
          <w:iCs/>
        </w:rPr>
        <w:t xml:space="preserve">The PBAC noted that ESC considered it is appropriate not to apply </w:t>
      </w:r>
      <w:proofErr w:type="spellStart"/>
      <w:r w:rsidRPr="006F2C07">
        <w:rPr>
          <w:iCs/>
        </w:rPr>
        <w:t>disutilities</w:t>
      </w:r>
      <w:proofErr w:type="spellEnd"/>
      <w:r w:rsidRPr="006F2C07">
        <w:t xml:space="preserve"> for febrile events, assuming that </w:t>
      </w:r>
      <w:r w:rsidRPr="006F2C07">
        <w:rPr>
          <w:iCs/>
        </w:rPr>
        <w:t>prophylactic use of paracetamol is effective, but considered that this assumes that adherence to this recommendation would be high</w:t>
      </w:r>
      <w:r w:rsidRPr="006F2C07">
        <w:t xml:space="preserve">. As paracetamol does not prevent febrile convulsions, the PBAC considered that these adverse events should be included as febrile seizure can lead to long-term </w:t>
      </w:r>
      <w:proofErr w:type="spellStart"/>
      <w:r w:rsidRPr="006F2C07">
        <w:t>sequelae</w:t>
      </w:r>
      <w:proofErr w:type="spellEnd"/>
      <w:r w:rsidRPr="006F2C07">
        <w:t>.</w:t>
      </w:r>
    </w:p>
    <w:p w:rsidR="006F2C07" w:rsidRPr="006F2C07" w:rsidRDefault="006F2C07" w:rsidP="006F2C07"/>
    <w:p w:rsidR="006F2C07" w:rsidRPr="006F2C07" w:rsidRDefault="006F2C07" w:rsidP="006F2C07">
      <w:pPr>
        <w:pStyle w:val="ListParagraph"/>
        <w:ind w:left="0"/>
      </w:pPr>
      <w:r w:rsidRPr="006F2C07">
        <w:t xml:space="preserve">The PBAC noted that the estimates in the model for vaccine efficacy before completion of primary infant 3-dose course were 0.42 and 0.61 after one and two doses, respectively. These values were based on little or no data and the method of calculating the estimates from data on the </w:t>
      </w:r>
      <w:proofErr w:type="gramStart"/>
      <w:r w:rsidRPr="006F2C07">
        <w:t>4</w:t>
      </w:r>
      <w:proofErr w:type="gramEnd"/>
      <w:r w:rsidRPr="006F2C07">
        <w:t xml:space="preserve"> antigens was not presented.</w:t>
      </w:r>
    </w:p>
    <w:p w:rsidR="006F2C07" w:rsidRPr="006F2C07" w:rsidRDefault="006F2C07" w:rsidP="006F2C07"/>
    <w:p w:rsidR="006F2C07" w:rsidRPr="006F2C07" w:rsidRDefault="006F2C07" w:rsidP="006F2C07">
      <w:pPr>
        <w:pStyle w:val="ListParagraph"/>
        <w:ind w:left="0"/>
      </w:pPr>
      <w:r w:rsidRPr="006F2C07">
        <w:t xml:space="preserve">The PBAC noted that individuals who are </w:t>
      </w:r>
      <w:proofErr w:type="spellStart"/>
      <w:r w:rsidRPr="006F2C07">
        <w:t>sero</w:t>
      </w:r>
      <w:proofErr w:type="spellEnd"/>
      <w:r w:rsidRPr="006F2C07">
        <w:t>-protected without vaccination (</w:t>
      </w:r>
      <w:proofErr w:type="spellStart"/>
      <w:r w:rsidRPr="006F2C07">
        <w:t>ie</w:t>
      </w:r>
      <w:proofErr w:type="spellEnd"/>
      <w:r w:rsidRPr="006F2C07">
        <w:t xml:space="preserve"> natural immunity) could not enter the </w:t>
      </w:r>
      <w:proofErr w:type="spellStart"/>
      <w:r w:rsidRPr="006F2C07">
        <w:t>sero</w:t>
      </w:r>
      <w:proofErr w:type="spellEnd"/>
      <w:r w:rsidRPr="006F2C07">
        <w:t xml:space="preserve">-protected state. The PBAC considered that it was likely </w:t>
      </w:r>
      <w:r w:rsidRPr="006F2C07">
        <w:lastRenderedPageBreak/>
        <w:t xml:space="preserve">that pre-vaccination </w:t>
      </w:r>
      <w:proofErr w:type="spellStart"/>
      <w:r w:rsidRPr="006F2C07">
        <w:t>sero</w:t>
      </w:r>
      <w:proofErr w:type="spellEnd"/>
      <w:r w:rsidRPr="006F2C07">
        <w:t xml:space="preserve">-protection </w:t>
      </w:r>
      <w:proofErr w:type="gramStart"/>
      <w:r w:rsidRPr="006F2C07">
        <w:t>was not taken</w:t>
      </w:r>
      <w:proofErr w:type="gramEnd"/>
      <w:r w:rsidRPr="006F2C07">
        <w:t xml:space="preserve"> into account and that this was not appropriate. The PBAC noted that at least 30-45% of adolescents in the Study V72P10 (conducted in Chile) were already </w:t>
      </w:r>
      <w:proofErr w:type="spellStart"/>
      <w:r w:rsidRPr="006F2C07">
        <w:t>sero</w:t>
      </w:r>
      <w:proofErr w:type="spellEnd"/>
      <w:r w:rsidRPr="006F2C07">
        <w:t xml:space="preserve">-protected at baseline (80-96% against NHBA-containing strains), but they would only enter the </w:t>
      </w:r>
      <w:proofErr w:type="spellStart"/>
      <w:r w:rsidRPr="006F2C07">
        <w:t>sero</w:t>
      </w:r>
      <w:proofErr w:type="spellEnd"/>
      <w:r w:rsidRPr="006F2C07">
        <w:t xml:space="preserve">-protective state following vaccination, which favours the vaccine. The PBAC noted that, in a recent study in the UK, the baseline </w:t>
      </w:r>
      <w:proofErr w:type="spellStart"/>
      <w:r w:rsidRPr="006F2C07">
        <w:t>sero</w:t>
      </w:r>
      <w:proofErr w:type="spellEnd"/>
      <w:r w:rsidRPr="006F2C07">
        <w:t xml:space="preserve">-protection levels in young children (40-44 months of age) were reported as 63% (46-77) for </w:t>
      </w:r>
      <w:proofErr w:type="spellStart"/>
      <w:r w:rsidRPr="006F2C07">
        <w:t>fHpb</w:t>
      </w:r>
      <w:proofErr w:type="spellEnd"/>
      <w:r w:rsidRPr="006F2C07">
        <w:t xml:space="preserve">, 3% (0-13) for </w:t>
      </w:r>
      <w:proofErr w:type="spellStart"/>
      <w:r w:rsidRPr="006F2C07">
        <w:t>NadA</w:t>
      </w:r>
      <w:proofErr w:type="spellEnd"/>
      <w:r w:rsidRPr="006F2C07">
        <w:t xml:space="preserve">, and 0% (0-9) for </w:t>
      </w:r>
      <w:proofErr w:type="spellStart"/>
      <w:r w:rsidRPr="006F2C07">
        <w:t>PorA</w:t>
      </w:r>
      <w:proofErr w:type="spellEnd"/>
      <w:r w:rsidRPr="006F2C07">
        <w:t xml:space="preserve"> (Snape, 2013). The PBAC noted in the ATAGI advice that only a small proportion of Australian adolescents (aged 11–17 years) who participated in a study had baseline bactericidal titre of ≥1:5 against the indicator strains (7%, 1% and 0% against, </w:t>
      </w:r>
      <w:proofErr w:type="spellStart"/>
      <w:r w:rsidRPr="006F2C07">
        <w:t>fHbp</w:t>
      </w:r>
      <w:proofErr w:type="spellEnd"/>
      <w:r w:rsidRPr="006F2C07">
        <w:t xml:space="preserve"> and </w:t>
      </w:r>
      <w:proofErr w:type="spellStart"/>
      <w:r w:rsidRPr="006F2C07">
        <w:t>NadA</w:t>
      </w:r>
      <w:proofErr w:type="spellEnd"/>
      <w:r w:rsidRPr="006F2C07">
        <w:t xml:space="preserve">, </w:t>
      </w:r>
      <w:proofErr w:type="spellStart"/>
      <w:r w:rsidRPr="006F2C07">
        <w:t>PorA</w:t>
      </w:r>
      <w:proofErr w:type="spellEnd"/>
      <w:r w:rsidRPr="006F2C07">
        <w:t xml:space="preserve"> respectively). </w:t>
      </w:r>
      <w:proofErr w:type="gramStart"/>
      <w:r w:rsidRPr="006F2C07">
        <w:t>baseline</w:t>
      </w:r>
      <w:proofErr w:type="gramEnd"/>
      <w:r w:rsidRPr="006F2C07">
        <w:t xml:space="preserve"> levels varied by antigen, by age (infants vs adolescents) and by geographic region. The PBAC considered additional data on natural immunity to the antigens of 4CMenB in Australia would be informative to the economic evaluation.</w:t>
      </w:r>
    </w:p>
    <w:p w:rsidR="006F2C07" w:rsidRPr="006F2C07" w:rsidRDefault="006F2C07" w:rsidP="006F2C07"/>
    <w:p w:rsidR="006F2C07" w:rsidRPr="006F2C07" w:rsidRDefault="006F2C07" w:rsidP="006F2C07">
      <w:pPr>
        <w:pStyle w:val="ListParagraph"/>
        <w:ind w:left="0"/>
      </w:pPr>
      <w:r w:rsidRPr="006F2C07">
        <w:t xml:space="preserve">The PBAC noted that changing the assumptions from those originally submitted in the economic model to those in the pre-PBAC response resulted in minor changes to the ICER/QALY. However, when recalculated with annual discount rates of </w:t>
      </w:r>
      <w:r w:rsidRPr="006F2C07">
        <w:rPr>
          <w:lang w:val="en-US"/>
        </w:rPr>
        <w:t xml:space="preserve">5.0% costs/5.0% outcomes, the ICER for the base case Scenario 6 was </w:t>
      </w:r>
      <w:r w:rsidR="005810D1">
        <w:t>greater than $200,000/</w:t>
      </w:r>
      <w:r w:rsidRPr="006F2C07">
        <w:rPr>
          <w:lang w:eastAsia="ja-JP"/>
        </w:rPr>
        <w:t>QALYG.</w:t>
      </w:r>
    </w:p>
    <w:p w:rsidR="006F2C07" w:rsidRPr="00775EF0" w:rsidRDefault="006F2C07" w:rsidP="006F2C07">
      <w:pPr>
        <w:rPr>
          <w:rFonts w:ascii="Arial" w:hAnsi="Arial" w:cs="Arial"/>
        </w:rPr>
      </w:pPr>
    </w:p>
    <w:p w:rsidR="006F2C07" w:rsidRPr="006F2C07" w:rsidRDefault="006F2C07" w:rsidP="006F2C07">
      <w:pPr>
        <w:pStyle w:val="ListParagraph"/>
        <w:ind w:left="0"/>
      </w:pPr>
      <w:r w:rsidRPr="006F2C07">
        <w:rPr>
          <w:lang w:eastAsia="ja-JP"/>
        </w:rPr>
        <w:t xml:space="preserve">The PBAC noted from sensitivity analyses of discounting and price, using the pre-PBAC response model, that a further price reduction would </w:t>
      </w:r>
      <w:r w:rsidR="005810D1">
        <w:rPr>
          <w:lang w:eastAsia="ja-JP"/>
        </w:rPr>
        <w:t xml:space="preserve">be necessary to </w:t>
      </w:r>
      <w:r w:rsidRPr="006F2C07">
        <w:rPr>
          <w:lang w:eastAsia="ja-JP"/>
        </w:rPr>
        <w:t>give an ICER/QALY in the range that the PBAC has accepted for other vaccines it has recommended for inclusion in the NIP.</w:t>
      </w:r>
      <w:r w:rsidRPr="006F2C07">
        <w:t xml:space="preserve"> </w:t>
      </w:r>
    </w:p>
    <w:p w:rsidR="00BB219E" w:rsidRPr="005810D1" w:rsidRDefault="002A57B9" w:rsidP="00BB219E">
      <w:pPr>
        <w:pStyle w:val="Heading3"/>
        <w:rPr>
          <w:rFonts w:ascii="Times New Roman" w:hAnsi="Times New Roman"/>
          <w:sz w:val="24"/>
          <w:szCs w:val="24"/>
        </w:rPr>
      </w:pPr>
      <w:r w:rsidRPr="005810D1">
        <w:rPr>
          <w:rFonts w:ascii="Times New Roman" w:hAnsi="Times New Roman"/>
          <w:sz w:val="24"/>
          <w:szCs w:val="24"/>
        </w:rPr>
        <w:t>11.</w:t>
      </w:r>
      <w:r w:rsidRPr="005810D1">
        <w:rPr>
          <w:rFonts w:ascii="Times New Roman" w:hAnsi="Times New Roman"/>
          <w:sz w:val="24"/>
          <w:szCs w:val="24"/>
        </w:rPr>
        <w:tab/>
        <w:t>Estimated PBS Usage and Financial Implications</w:t>
      </w:r>
      <w:r w:rsidR="009102D9" w:rsidRPr="005810D1">
        <w:rPr>
          <w:rFonts w:ascii="Times New Roman" w:hAnsi="Times New Roman"/>
          <w:sz w:val="24"/>
          <w:szCs w:val="24"/>
        </w:rPr>
        <w:t xml:space="preserve"> </w:t>
      </w:r>
    </w:p>
    <w:p w:rsidR="005D4120" w:rsidRDefault="00DF07FF" w:rsidP="005810D1">
      <w:pPr>
        <w:pStyle w:val="ListParagraph"/>
        <w:ind w:left="0"/>
        <w:rPr>
          <w:rFonts w:ascii="Arial" w:hAnsi="Arial" w:cs="Arial"/>
          <w:color w:val="FF0000"/>
        </w:rPr>
      </w:pPr>
      <w:r w:rsidRPr="00A60AC0">
        <w:t xml:space="preserve">The submission estimated that over 4 million children and adolescents </w:t>
      </w:r>
      <w:proofErr w:type="gramStart"/>
      <w:r w:rsidRPr="00A60AC0">
        <w:t>would be vaccinated</w:t>
      </w:r>
      <w:proofErr w:type="gramEnd"/>
      <w:r w:rsidRPr="00A60AC0">
        <w:t xml:space="preserve"> over the first 5 years of a full vaccination program.</w:t>
      </w:r>
      <w:r>
        <w:rPr>
          <w:rFonts w:ascii="Arial" w:hAnsi="Arial" w:cs="Arial"/>
          <w:sz w:val="20"/>
        </w:rPr>
        <w:t xml:space="preserve">  </w:t>
      </w:r>
    </w:p>
    <w:p w:rsidR="00C04C32" w:rsidRDefault="00C04C32" w:rsidP="005810D1">
      <w:pPr>
        <w:pStyle w:val="ListParagraph"/>
        <w:ind w:left="0"/>
      </w:pPr>
    </w:p>
    <w:p w:rsidR="005810D1" w:rsidRPr="00A60AC0" w:rsidRDefault="005810D1" w:rsidP="005810D1">
      <w:pPr>
        <w:pStyle w:val="ListParagraph"/>
        <w:ind w:left="0"/>
      </w:pPr>
      <w:r w:rsidRPr="00A60AC0">
        <w:t xml:space="preserve">The PBAC noted the crude estimates provided by ATAGI of the number of invasive meningococcal B disease (IMD) cases, deaths and </w:t>
      </w:r>
      <w:proofErr w:type="spellStart"/>
      <w:r w:rsidRPr="00A60AC0">
        <w:t>sequelae</w:t>
      </w:r>
      <w:proofErr w:type="spellEnd"/>
      <w:r w:rsidRPr="00A60AC0">
        <w:t xml:space="preserve"> that </w:t>
      </w:r>
      <w:proofErr w:type="gramStart"/>
      <w:r w:rsidRPr="00A60AC0">
        <w:t>could potentially be prevented</w:t>
      </w:r>
      <w:proofErr w:type="gramEnd"/>
      <w:r w:rsidRPr="00A60AC0">
        <w:t xml:space="preserve"> through implementation of a 4CMenB immunisation program.</w:t>
      </w:r>
      <w:r w:rsidR="005D4120">
        <w:t xml:space="preserve">  These </w:t>
      </w:r>
      <w:proofErr w:type="gramStart"/>
      <w:r w:rsidR="005D4120">
        <w:t>are presented</w:t>
      </w:r>
      <w:proofErr w:type="gramEnd"/>
      <w:r w:rsidR="005D4120">
        <w:t xml:space="preserve"> in the table below. </w:t>
      </w:r>
      <w:r w:rsidRPr="00A60AC0">
        <w:t xml:space="preserve"> </w:t>
      </w:r>
      <w:proofErr w:type="gramStart"/>
      <w:r w:rsidRPr="00A60AC0">
        <w:t>The PBAC noted that the estimates were based on the following assumptions: diagnosis of meningococcal B in 2006-2011, indirect herd protection effect was not taken into account, no waning of vaccine effectiveness would occur in the first 5 years, vaccine efficacy and strain coverage were based on the results of a number of clinical studies, vaccine uptake (coverage) assumptions were based on previous experience of similar vaccine schedules in Australia.</w:t>
      </w:r>
      <w:proofErr w:type="gramEnd"/>
    </w:p>
    <w:p w:rsidR="005810D1" w:rsidRDefault="005810D1" w:rsidP="005810D1">
      <w:pPr>
        <w:rPr>
          <w:rFonts w:ascii="Arial" w:hAnsi="Arial" w:cs="Arial"/>
        </w:rPr>
      </w:pPr>
    </w:p>
    <w:tbl>
      <w:tblPr>
        <w:tblW w:w="9229" w:type="dxa"/>
        <w:tblInd w:w="93" w:type="dxa"/>
        <w:tblLayout w:type="fixed"/>
        <w:tblLook w:val="00A0" w:firstRow="1" w:lastRow="0" w:firstColumn="1" w:lastColumn="0" w:noHBand="0" w:noVBand="0"/>
        <w:tblDescription w:val="cumulative totals of program"/>
      </w:tblPr>
      <w:tblGrid>
        <w:gridCol w:w="1858"/>
        <w:gridCol w:w="1134"/>
        <w:gridCol w:w="1134"/>
        <w:gridCol w:w="1418"/>
        <w:gridCol w:w="1134"/>
        <w:gridCol w:w="1134"/>
        <w:gridCol w:w="1417"/>
      </w:tblGrid>
      <w:tr w:rsidR="005810D1" w:rsidRPr="00AD1582" w:rsidTr="003F4A74">
        <w:trPr>
          <w:trHeight w:val="525"/>
          <w:tblHeader/>
        </w:trPr>
        <w:tc>
          <w:tcPr>
            <w:tcW w:w="1858" w:type="dxa"/>
            <w:vMerge w:val="restart"/>
            <w:tcBorders>
              <w:top w:val="single" w:sz="4" w:space="0" w:color="auto"/>
              <w:left w:val="single" w:sz="4" w:space="0" w:color="auto"/>
              <w:right w:val="thinThickSmallGap" w:sz="24" w:space="0" w:color="auto"/>
            </w:tcBorders>
            <w:noWrap/>
            <w:vAlign w:val="bottom"/>
          </w:tcPr>
          <w:p w:rsidR="005810D1" w:rsidRPr="002971A6" w:rsidRDefault="005810D1" w:rsidP="005810D1">
            <w:pPr>
              <w:rPr>
                <w:rFonts w:ascii="Arial" w:hAnsi="Arial" w:cs="Arial"/>
                <w:b/>
                <w:bCs/>
                <w:color w:val="000000"/>
                <w:sz w:val="18"/>
                <w:szCs w:val="18"/>
              </w:rPr>
            </w:pPr>
            <w:r w:rsidRPr="002971A6">
              <w:rPr>
                <w:rFonts w:ascii="Arial" w:hAnsi="Arial" w:cs="Arial"/>
                <w:b/>
                <w:bCs/>
                <w:color w:val="000000"/>
                <w:sz w:val="18"/>
                <w:szCs w:val="18"/>
              </w:rPr>
              <w:t>Age group</w:t>
            </w:r>
          </w:p>
        </w:tc>
        <w:tc>
          <w:tcPr>
            <w:tcW w:w="3686" w:type="dxa"/>
            <w:gridSpan w:val="3"/>
            <w:tcBorders>
              <w:top w:val="single" w:sz="4" w:space="0" w:color="auto"/>
              <w:left w:val="double" w:sz="4" w:space="0" w:color="auto"/>
              <w:bottom w:val="single" w:sz="4" w:space="0" w:color="auto"/>
              <w:right w:val="double" w:sz="4" w:space="0" w:color="auto"/>
            </w:tcBorders>
            <w:vAlign w:val="center"/>
          </w:tcPr>
          <w:p w:rsidR="005810D1" w:rsidRPr="00C21490" w:rsidRDefault="005810D1" w:rsidP="005810D1">
            <w:pPr>
              <w:jc w:val="center"/>
              <w:rPr>
                <w:rFonts w:ascii="Arial" w:hAnsi="Arial" w:cs="Arial"/>
                <w:b/>
                <w:bCs/>
                <w:sz w:val="18"/>
                <w:szCs w:val="18"/>
              </w:rPr>
            </w:pPr>
            <w:r w:rsidRPr="00C21490">
              <w:rPr>
                <w:rFonts w:ascii="Arial" w:hAnsi="Arial" w:cs="Arial"/>
                <w:b/>
                <w:bCs/>
                <w:sz w:val="18"/>
                <w:szCs w:val="18"/>
              </w:rPr>
              <w:t>Cumulative total after first 5 years of program</w:t>
            </w:r>
          </w:p>
        </w:tc>
        <w:tc>
          <w:tcPr>
            <w:tcW w:w="3685" w:type="dxa"/>
            <w:gridSpan w:val="3"/>
            <w:tcBorders>
              <w:top w:val="single" w:sz="4" w:space="0" w:color="auto"/>
              <w:left w:val="double" w:sz="4" w:space="0" w:color="auto"/>
              <w:bottom w:val="single" w:sz="4" w:space="0" w:color="auto"/>
              <w:right w:val="single" w:sz="4" w:space="0" w:color="auto"/>
            </w:tcBorders>
            <w:vAlign w:val="center"/>
          </w:tcPr>
          <w:p w:rsidR="005810D1" w:rsidRPr="00C21490" w:rsidRDefault="005810D1" w:rsidP="005810D1">
            <w:pPr>
              <w:jc w:val="center"/>
              <w:rPr>
                <w:rFonts w:ascii="Arial" w:hAnsi="Arial" w:cs="Arial"/>
                <w:b/>
                <w:bCs/>
                <w:color w:val="000000"/>
                <w:sz w:val="18"/>
                <w:szCs w:val="18"/>
              </w:rPr>
            </w:pPr>
            <w:r w:rsidRPr="00C21490">
              <w:rPr>
                <w:rFonts w:ascii="Arial" w:hAnsi="Arial" w:cs="Arial"/>
                <w:b/>
                <w:bCs/>
                <w:sz w:val="18"/>
                <w:szCs w:val="18"/>
              </w:rPr>
              <w:t>Cumulative total after first 10 years of program</w:t>
            </w:r>
          </w:p>
        </w:tc>
      </w:tr>
      <w:tr w:rsidR="005810D1" w:rsidRPr="00AD1582" w:rsidTr="003F4A74">
        <w:trPr>
          <w:trHeight w:val="930"/>
          <w:tblHeader/>
        </w:trPr>
        <w:tc>
          <w:tcPr>
            <w:tcW w:w="1858" w:type="dxa"/>
            <w:vMerge/>
            <w:tcBorders>
              <w:left w:val="single" w:sz="4" w:space="0" w:color="auto"/>
              <w:bottom w:val="single" w:sz="4" w:space="0" w:color="auto"/>
              <w:right w:val="thinThickSmallGap" w:sz="24" w:space="0" w:color="auto"/>
            </w:tcBorders>
            <w:shd w:val="clear" w:color="auto" w:fill="FFFFFF"/>
            <w:vAlign w:val="bottom"/>
          </w:tcPr>
          <w:p w:rsidR="005810D1" w:rsidRPr="002971A6" w:rsidRDefault="005810D1" w:rsidP="005810D1">
            <w:pPr>
              <w:rPr>
                <w:rFonts w:ascii="Arial" w:hAnsi="Arial" w:cs="Arial"/>
                <w:b/>
                <w:bCs/>
                <w:color w:val="000000"/>
                <w:sz w:val="18"/>
                <w:szCs w:val="18"/>
              </w:rPr>
            </w:pPr>
          </w:p>
        </w:tc>
        <w:tc>
          <w:tcPr>
            <w:tcW w:w="1134" w:type="dxa"/>
            <w:tcBorders>
              <w:top w:val="nil"/>
              <w:left w:val="double" w:sz="4" w:space="0" w:color="auto"/>
              <w:bottom w:val="single" w:sz="4" w:space="0" w:color="auto"/>
              <w:right w:val="single" w:sz="4" w:space="0" w:color="auto"/>
            </w:tcBorders>
            <w:vAlign w:val="center"/>
          </w:tcPr>
          <w:p w:rsidR="005810D1" w:rsidRPr="002971A6" w:rsidRDefault="005810D1" w:rsidP="005810D1">
            <w:pPr>
              <w:jc w:val="center"/>
              <w:rPr>
                <w:rFonts w:ascii="Arial" w:hAnsi="Arial" w:cs="Arial"/>
                <w:b/>
                <w:bCs/>
                <w:sz w:val="18"/>
                <w:szCs w:val="18"/>
              </w:rPr>
            </w:pPr>
            <w:r>
              <w:rPr>
                <w:rFonts w:ascii="Arial" w:hAnsi="Arial" w:cs="Arial"/>
                <w:b/>
                <w:bCs/>
                <w:sz w:val="18"/>
                <w:szCs w:val="18"/>
              </w:rPr>
              <w:t xml:space="preserve">Number of </w:t>
            </w:r>
            <w:proofErr w:type="spellStart"/>
            <w:r w:rsidRPr="002971A6">
              <w:rPr>
                <w:rFonts w:ascii="Arial" w:hAnsi="Arial" w:cs="Arial"/>
                <w:b/>
                <w:bCs/>
                <w:sz w:val="18"/>
                <w:szCs w:val="18"/>
              </w:rPr>
              <w:t>MenB</w:t>
            </w:r>
            <w:proofErr w:type="spellEnd"/>
            <w:r w:rsidRPr="002971A6">
              <w:rPr>
                <w:rFonts w:ascii="Arial" w:hAnsi="Arial" w:cs="Arial"/>
                <w:b/>
                <w:bCs/>
                <w:sz w:val="18"/>
                <w:szCs w:val="18"/>
              </w:rPr>
              <w:t xml:space="preserve"> IMD cases prevented</w:t>
            </w:r>
          </w:p>
        </w:tc>
        <w:tc>
          <w:tcPr>
            <w:tcW w:w="1134" w:type="dxa"/>
            <w:tcBorders>
              <w:top w:val="nil"/>
              <w:left w:val="nil"/>
              <w:bottom w:val="single" w:sz="4" w:space="0" w:color="auto"/>
              <w:right w:val="single" w:sz="4" w:space="0" w:color="auto"/>
            </w:tcBorders>
            <w:vAlign w:val="center"/>
          </w:tcPr>
          <w:p w:rsidR="005810D1" w:rsidRPr="002971A6" w:rsidRDefault="005810D1" w:rsidP="005810D1">
            <w:pPr>
              <w:jc w:val="center"/>
              <w:rPr>
                <w:rFonts w:ascii="Arial" w:hAnsi="Arial" w:cs="Arial"/>
                <w:b/>
                <w:bCs/>
                <w:sz w:val="18"/>
                <w:szCs w:val="18"/>
              </w:rPr>
            </w:pPr>
            <w:r>
              <w:rPr>
                <w:rFonts w:ascii="Arial" w:hAnsi="Arial" w:cs="Arial"/>
                <w:b/>
                <w:bCs/>
                <w:sz w:val="18"/>
                <w:szCs w:val="18"/>
              </w:rPr>
              <w:t xml:space="preserve">Number of </w:t>
            </w:r>
            <w:proofErr w:type="spellStart"/>
            <w:r w:rsidRPr="002971A6">
              <w:rPr>
                <w:rFonts w:ascii="Arial" w:hAnsi="Arial" w:cs="Arial"/>
                <w:b/>
                <w:bCs/>
                <w:sz w:val="18"/>
                <w:szCs w:val="18"/>
              </w:rPr>
              <w:t>MenB</w:t>
            </w:r>
            <w:proofErr w:type="spellEnd"/>
            <w:r w:rsidRPr="002971A6">
              <w:rPr>
                <w:rFonts w:ascii="Arial" w:hAnsi="Arial" w:cs="Arial"/>
                <w:b/>
                <w:bCs/>
                <w:sz w:val="18"/>
                <w:szCs w:val="18"/>
              </w:rPr>
              <w:t xml:space="preserve"> IMD deaths prevented</w:t>
            </w:r>
          </w:p>
        </w:tc>
        <w:tc>
          <w:tcPr>
            <w:tcW w:w="1418" w:type="dxa"/>
            <w:tcBorders>
              <w:top w:val="nil"/>
              <w:left w:val="nil"/>
              <w:bottom w:val="single" w:sz="4" w:space="0" w:color="auto"/>
              <w:right w:val="double" w:sz="4" w:space="0" w:color="auto"/>
            </w:tcBorders>
            <w:vAlign w:val="center"/>
          </w:tcPr>
          <w:p w:rsidR="005810D1" w:rsidRPr="002971A6" w:rsidRDefault="005810D1" w:rsidP="005810D1">
            <w:pPr>
              <w:jc w:val="center"/>
              <w:rPr>
                <w:rFonts w:ascii="Arial" w:hAnsi="Arial" w:cs="Arial"/>
                <w:b/>
                <w:bCs/>
                <w:sz w:val="18"/>
                <w:szCs w:val="18"/>
              </w:rPr>
            </w:pPr>
            <w:r w:rsidRPr="002971A6">
              <w:rPr>
                <w:rFonts w:ascii="Arial" w:hAnsi="Arial" w:cs="Arial"/>
                <w:b/>
                <w:bCs/>
                <w:sz w:val="18"/>
                <w:szCs w:val="18"/>
              </w:rPr>
              <w:t xml:space="preserve">Number of patients with </w:t>
            </w:r>
            <w:proofErr w:type="spellStart"/>
            <w:r w:rsidRPr="002971A6">
              <w:rPr>
                <w:rFonts w:ascii="Arial" w:hAnsi="Arial" w:cs="Arial"/>
                <w:b/>
                <w:bCs/>
                <w:sz w:val="18"/>
                <w:szCs w:val="18"/>
              </w:rPr>
              <w:t>sequelae</w:t>
            </w:r>
            <w:proofErr w:type="spellEnd"/>
            <w:r w:rsidRPr="002971A6">
              <w:rPr>
                <w:rFonts w:ascii="Arial" w:hAnsi="Arial" w:cs="Arial"/>
                <w:b/>
                <w:bCs/>
                <w:sz w:val="18"/>
                <w:szCs w:val="18"/>
              </w:rPr>
              <w:t xml:space="preserve"> prevented</w:t>
            </w:r>
          </w:p>
        </w:tc>
        <w:tc>
          <w:tcPr>
            <w:tcW w:w="1134" w:type="dxa"/>
            <w:tcBorders>
              <w:top w:val="nil"/>
              <w:left w:val="double" w:sz="4" w:space="0" w:color="auto"/>
              <w:bottom w:val="single" w:sz="4" w:space="0" w:color="auto"/>
              <w:right w:val="single" w:sz="4" w:space="0" w:color="auto"/>
            </w:tcBorders>
            <w:vAlign w:val="center"/>
          </w:tcPr>
          <w:p w:rsidR="005810D1" w:rsidRPr="002971A6" w:rsidRDefault="005810D1" w:rsidP="005810D1">
            <w:pPr>
              <w:jc w:val="center"/>
              <w:rPr>
                <w:rFonts w:ascii="Arial" w:hAnsi="Arial" w:cs="Arial"/>
                <w:b/>
                <w:bCs/>
                <w:color w:val="000000"/>
                <w:sz w:val="18"/>
                <w:szCs w:val="18"/>
              </w:rPr>
            </w:pPr>
            <w:r>
              <w:rPr>
                <w:rFonts w:ascii="Arial" w:hAnsi="Arial" w:cs="Arial"/>
                <w:b/>
                <w:bCs/>
                <w:sz w:val="18"/>
                <w:szCs w:val="18"/>
              </w:rPr>
              <w:t xml:space="preserve">Number of </w:t>
            </w:r>
            <w:proofErr w:type="spellStart"/>
            <w:r w:rsidRPr="002971A6">
              <w:rPr>
                <w:rFonts w:ascii="Arial" w:hAnsi="Arial" w:cs="Arial"/>
                <w:b/>
                <w:bCs/>
                <w:sz w:val="18"/>
                <w:szCs w:val="18"/>
              </w:rPr>
              <w:t>MenB</w:t>
            </w:r>
            <w:proofErr w:type="spellEnd"/>
            <w:r w:rsidRPr="002971A6">
              <w:rPr>
                <w:rFonts w:ascii="Arial" w:hAnsi="Arial" w:cs="Arial"/>
                <w:b/>
                <w:bCs/>
                <w:sz w:val="18"/>
                <w:szCs w:val="18"/>
              </w:rPr>
              <w:t xml:space="preserve"> IMD cases </w:t>
            </w:r>
            <w:r w:rsidRPr="002971A6">
              <w:rPr>
                <w:rFonts w:ascii="Arial" w:hAnsi="Arial" w:cs="Arial"/>
                <w:b/>
                <w:bCs/>
                <w:color w:val="000000"/>
                <w:sz w:val="18"/>
                <w:szCs w:val="18"/>
              </w:rPr>
              <w:t>prevented</w:t>
            </w:r>
          </w:p>
        </w:tc>
        <w:tc>
          <w:tcPr>
            <w:tcW w:w="1134" w:type="dxa"/>
            <w:tcBorders>
              <w:top w:val="nil"/>
              <w:left w:val="nil"/>
              <w:bottom w:val="single" w:sz="4" w:space="0" w:color="auto"/>
              <w:right w:val="single" w:sz="4" w:space="0" w:color="auto"/>
            </w:tcBorders>
            <w:vAlign w:val="center"/>
          </w:tcPr>
          <w:p w:rsidR="005810D1" w:rsidRPr="002971A6" w:rsidRDefault="005810D1" w:rsidP="005810D1">
            <w:pPr>
              <w:jc w:val="center"/>
              <w:rPr>
                <w:rFonts w:ascii="Arial" w:hAnsi="Arial" w:cs="Arial"/>
                <w:b/>
                <w:bCs/>
                <w:color w:val="000000"/>
                <w:sz w:val="18"/>
                <w:szCs w:val="18"/>
              </w:rPr>
            </w:pPr>
            <w:r>
              <w:rPr>
                <w:rFonts w:ascii="Arial" w:hAnsi="Arial" w:cs="Arial"/>
                <w:b/>
                <w:bCs/>
                <w:sz w:val="18"/>
                <w:szCs w:val="18"/>
              </w:rPr>
              <w:t xml:space="preserve">Number of </w:t>
            </w:r>
            <w:proofErr w:type="spellStart"/>
            <w:r w:rsidRPr="002971A6">
              <w:rPr>
                <w:rFonts w:ascii="Arial" w:hAnsi="Arial" w:cs="Arial"/>
                <w:b/>
                <w:bCs/>
                <w:sz w:val="18"/>
                <w:szCs w:val="18"/>
              </w:rPr>
              <w:t>MenB</w:t>
            </w:r>
            <w:proofErr w:type="spellEnd"/>
            <w:r w:rsidRPr="002971A6">
              <w:rPr>
                <w:rFonts w:ascii="Arial" w:hAnsi="Arial" w:cs="Arial"/>
                <w:b/>
                <w:bCs/>
                <w:sz w:val="18"/>
                <w:szCs w:val="18"/>
              </w:rPr>
              <w:t xml:space="preserve"> IMD d</w:t>
            </w:r>
            <w:r w:rsidRPr="002971A6">
              <w:rPr>
                <w:rFonts w:ascii="Arial" w:hAnsi="Arial" w:cs="Arial"/>
                <w:b/>
                <w:bCs/>
                <w:color w:val="000000"/>
                <w:sz w:val="18"/>
                <w:szCs w:val="18"/>
              </w:rPr>
              <w:t>eaths prevented</w:t>
            </w:r>
          </w:p>
        </w:tc>
        <w:tc>
          <w:tcPr>
            <w:tcW w:w="1417" w:type="dxa"/>
            <w:tcBorders>
              <w:top w:val="nil"/>
              <w:left w:val="nil"/>
              <w:bottom w:val="single" w:sz="4" w:space="0" w:color="auto"/>
              <w:right w:val="single" w:sz="4" w:space="0" w:color="auto"/>
            </w:tcBorders>
            <w:vAlign w:val="center"/>
          </w:tcPr>
          <w:p w:rsidR="005810D1" w:rsidRPr="002971A6" w:rsidRDefault="005810D1" w:rsidP="005810D1">
            <w:pPr>
              <w:jc w:val="center"/>
              <w:rPr>
                <w:rFonts w:ascii="Arial" w:hAnsi="Arial" w:cs="Arial"/>
                <w:b/>
                <w:bCs/>
                <w:color w:val="000000"/>
                <w:sz w:val="18"/>
                <w:szCs w:val="18"/>
              </w:rPr>
            </w:pPr>
            <w:r w:rsidRPr="002971A6">
              <w:rPr>
                <w:rFonts w:ascii="Arial" w:hAnsi="Arial" w:cs="Arial"/>
                <w:b/>
                <w:bCs/>
                <w:sz w:val="18"/>
                <w:szCs w:val="18"/>
              </w:rPr>
              <w:t>Number</w:t>
            </w:r>
            <w:r w:rsidRPr="002971A6">
              <w:rPr>
                <w:rFonts w:ascii="Arial" w:hAnsi="Arial" w:cs="Arial"/>
                <w:b/>
                <w:bCs/>
                <w:color w:val="000000"/>
                <w:sz w:val="18"/>
                <w:szCs w:val="18"/>
              </w:rPr>
              <w:t xml:space="preserve"> of patients with </w:t>
            </w:r>
            <w:proofErr w:type="spellStart"/>
            <w:r w:rsidRPr="002971A6">
              <w:rPr>
                <w:rFonts w:ascii="Arial" w:hAnsi="Arial" w:cs="Arial"/>
                <w:b/>
                <w:bCs/>
                <w:color w:val="000000"/>
                <w:sz w:val="18"/>
                <w:szCs w:val="18"/>
              </w:rPr>
              <w:t>sequelae</w:t>
            </w:r>
            <w:proofErr w:type="spellEnd"/>
            <w:r w:rsidRPr="002971A6">
              <w:rPr>
                <w:rFonts w:ascii="Arial" w:hAnsi="Arial" w:cs="Arial"/>
                <w:b/>
                <w:bCs/>
                <w:color w:val="000000"/>
                <w:sz w:val="18"/>
                <w:szCs w:val="18"/>
              </w:rPr>
              <w:t xml:space="preserve"> prevented</w:t>
            </w:r>
          </w:p>
        </w:tc>
      </w:tr>
      <w:tr w:rsidR="005810D1" w:rsidRPr="00ED6EEF" w:rsidTr="005810D1">
        <w:trPr>
          <w:trHeight w:val="255"/>
        </w:trPr>
        <w:tc>
          <w:tcPr>
            <w:tcW w:w="1858" w:type="dxa"/>
            <w:tcBorders>
              <w:top w:val="single" w:sz="4" w:space="0" w:color="auto"/>
              <w:left w:val="single" w:sz="4" w:space="0" w:color="auto"/>
              <w:bottom w:val="single" w:sz="4" w:space="0" w:color="auto"/>
              <w:right w:val="thinThickSmallGap" w:sz="24" w:space="0" w:color="auto"/>
            </w:tcBorders>
            <w:noWrap/>
            <w:vAlign w:val="bottom"/>
          </w:tcPr>
          <w:p w:rsidR="005810D1" w:rsidRPr="002971A6" w:rsidRDefault="005810D1" w:rsidP="005810D1">
            <w:pPr>
              <w:rPr>
                <w:rFonts w:ascii="Arial" w:hAnsi="Arial" w:cs="Arial"/>
                <w:sz w:val="18"/>
                <w:szCs w:val="18"/>
              </w:rPr>
            </w:pPr>
            <w:r w:rsidRPr="002971A6">
              <w:rPr>
                <w:rFonts w:ascii="Arial" w:hAnsi="Arial" w:cs="Arial"/>
                <w:sz w:val="18"/>
                <w:szCs w:val="18"/>
              </w:rPr>
              <w:t>&lt;1 year</w:t>
            </w:r>
          </w:p>
        </w:tc>
        <w:tc>
          <w:tcPr>
            <w:tcW w:w="1134" w:type="dxa"/>
            <w:tcBorders>
              <w:top w:val="single" w:sz="4" w:space="0" w:color="auto"/>
              <w:left w:val="double" w:sz="4" w:space="0" w:color="auto"/>
              <w:bottom w:val="single" w:sz="4" w:space="0" w:color="auto"/>
              <w:right w:val="sing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92</w:t>
            </w:r>
          </w:p>
        </w:tc>
        <w:tc>
          <w:tcPr>
            <w:tcW w:w="1134" w:type="dxa"/>
            <w:tcBorders>
              <w:top w:val="single" w:sz="4" w:space="0" w:color="auto"/>
              <w:left w:val="nil"/>
              <w:bottom w:val="single" w:sz="4" w:space="0" w:color="auto"/>
              <w:right w:val="sing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5</w:t>
            </w:r>
          </w:p>
        </w:tc>
        <w:tc>
          <w:tcPr>
            <w:tcW w:w="1418" w:type="dxa"/>
            <w:tcBorders>
              <w:top w:val="single" w:sz="4" w:space="0" w:color="auto"/>
              <w:left w:val="nil"/>
              <w:bottom w:val="single" w:sz="4" w:space="0" w:color="auto"/>
              <w:right w:val="doub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31</w:t>
            </w:r>
          </w:p>
        </w:tc>
        <w:tc>
          <w:tcPr>
            <w:tcW w:w="1134" w:type="dxa"/>
            <w:tcBorders>
              <w:top w:val="single" w:sz="4" w:space="0" w:color="auto"/>
              <w:left w:val="double" w:sz="4" w:space="0" w:color="auto"/>
              <w:bottom w:val="single" w:sz="4" w:space="0" w:color="auto"/>
              <w:right w:val="sing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184</w:t>
            </w:r>
          </w:p>
        </w:tc>
        <w:tc>
          <w:tcPr>
            <w:tcW w:w="1134" w:type="dxa"/>
            <w:tcBorders>
              <w:top w:val="single" w:sz="4" w:space="0" w:color="auto"/>
              <w:left w:val="nil"/>
              <w:bottom w:val="single" w:sz="4" w:space="0" w:color="auto"/>
              <w:right w:val="sing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9</w:t>
            </w:r>
          </w:p>
        </w:tc>
        <w:tc>
          <w:tcPr>
            <w:tcW w:w="1417" w:type="dxa"/>
            <w:tcBorders>
              <w:top w:val="single" w:sz="4" w:space="0" w:color="auto"/>
              <w:left w:val="nil"/>
              <w:bottom w:val="single" w:sz="4" w:space="0" w:color="auto"/>
              <w:right w:val="sing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63</w:t>
            </w:r>
          </w:p>
        </w:tc>
      </w:tr>
      <w:tr w:rsidR="005810D1" w:rsidRPr="00ED6EEF" w:rsidTr="005810D1">
        <w:trPr>
          <w:trHeight w:val="255"/>
        </w:trPr>
        <w:tc>
          <w:tcPr>
            <w:tcW w:w="1858" w:type="dxa"/>
            <w:tcBorders>
              <w:top w:val="single" w:sz="4" w:space="0" w:color="auto"/>
              <w:left w:val="single" w:sz="4" w:space="0" w:color="auto"/>
              <w:bottom w:val="single" w:sz="4" w:space="0" w:color="auto"/>
              <w:right w:val="thinThickSmallGap" w:sz="24" w:space="0" w:color="auto"/>
            </w:tcBorders>
            <w:noWrap/>
            <w:vAlign w:val="bottom"/>
          </w:tcPr>
          <w:p w:rsidR="005810D1" w:rsidRPr="002971A6" w:rsidRDefault="005810D1" w:rsidP="005810D1">
            <w:pPr>
              <w:rPr>
                <w:rFonts w:ascii="Arial" w:hAnsi="Arial" w:cs="Arial"/>
                <w:sz w:val="18"/>
                <w:szCs w:val="18"/>
              </w:rPr>
            </w:pPr>
            <w:r w:rsidRPr="002971A6">
              <w:rPr>
                <w:rFonts w:ascii="Arial" w:hAnsi="Arial" w:cs="Arial"/>
                <w:sz w:val="18"/>
                <w:szCs w:val="18"/>
              </w:rPr>
              <w:t>&lt;5 years (</w:t>
            </w:r>
            <w:proofErr w:type="spellStart"/>
            <w:r w:rsidRPr="002971A6">
              <w:rPr>
                <w:rFonts w:ascii="Arial" w:hAnsi="Arial" w:cs="Arial"/>
                <w:sz w:val="18"/>
                <w:szCs w:val="18"/>
              </w:rPr>
              <w:t>incl</w:t>
            </w:r>
            <w:proofErr w:type="spellEnd"/>
            <w:r w:rsidRPr="002971A6">
              <w:rPr>
                <w:rFonts w:ascii="Arial" w:hAnsi="Arial" w:cs="Arial"/>
                <w:sz w:val="18"/>
                <w:szCs w:val="18"/>
              </w:rPr>
              <w:t xml:space="preserve"> &lt;1yr)</w:t>
            </w:r>
          </w:p>
        </w:tc>
        <w:tc>
          <w:tcPr>
            <w:tcW w:w="1134" w:type="dxa"/>
            <w:tcBorders>
              <w:top w:val="single" w:sz="4" w:space="0" w:color="auto"/>
              <w:left w:val="double" w:sz="4" w:space="0" w:color="auto"/>
              <w:bottom w:val="single" w:sz="4" w:space="0" w:color="auto"/>
              <w:right w:val="sing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154</w:t>
            </w:r>
          </w:p>
        </w:tc>
        <w:tc>
          <w:tcPr>
            <w:tcW w:w="1134" w:type="dxa"/>
            <w:tcBorders>
              <w:top w:val="single" w:sz="4" w:space="0" w:color="auto"/>
              <w:left w:val="nil"/>
              <w:bottom w:val="single" w:sz="4" w:space="0" w:color="auto"/>
              <w:right w:val="sing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7</w:t>
            </w:r>
          </w:p>
        </w:tc>
        <w:tc>
          <w:tcPr>
            <w:tcW w:w="1418" w:type="dxa"/>
            <w:tcBorders>
              <w:top w:val="single" w:sz="4" w:space="0" w:color="auto"/>
              <w:left w:val="nil"/>
              <w:bottom w:val="single" w:sz="4" w:space="0" w:color="auto"/>
              <w:right w:val="doub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53</w:t>
            </w:r>
          </w:p>
        </w:tc>
        <w:tc>
          <w:tcPr>
            <w:tcW w:w="1134" w:type="dxa"/>
            <w:tcBorders>
              <w:top w:val="single" w:sz="4" w:space="0" w:color="auto"/>
              <w:left w:val="double" w:sz="4" w:space="0" w:color="auto"/>
              <w:bottom w:val="single" w:sz="4" w:space="0" w:color="auto"/>
              <w:right w:val="sing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370</w:t>
            </w:r>
          </w:p>
        </w:tc>
        <w:tc>
          <w:tcPr>
            <w:tcW w:w="1134" w:type="dxa"/>
            <w:tcBorders>
              <w:top w:val="single" w:sz="4" w:space="0" w:color="auto"/>
              <w:left w:val="nil"/>
              <w:bottom w:val="single" w:sz="4" w:space="0" w:color="auto"/>
              <w:right w:val="sing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16</w:t>
            </w:r>
          </w:p>
        </w:tc>
        <w:tc>
          <w:tcPr>
            <w:tcW w:w="1417" w:type="dxa"/>
            <w:tcBorders>
              <w:top w:val="single" w:sz="4" w:space="0" w:color="auto"/>
              <w:left w:val="nil"/>
              <w:bottom w:val="single" w:sz="4" w:space="0" w:color="auto"/>
              <w:right w:val="sing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128</w:t>
            </w:r>
          </w:p>
        </w:tc>
      </w:tr>
      <w:tr w:rsidR="005810D1" w:rsidRPr="00ED6EEF" w:rsidTr="005810D1">
        <w:trPr>
          <w:trHeight w:val="255"/>
        </w:trPr>
        <w:tc>
          <w:tcPr>
            <w:tcW w:w="1858" w:type="dxa"/>
            <w:tcBorders>
              <w:top w:val="single" w:sz="4" w:space="0" w:color="auto"/>
              <w:left w:val="single" w:sz="4" w:space="0" w:color="auto"/>
              <w:bottom w:val="single" w:sz="4" w:space="0" w:color="auto"/>
              <w:right w:val="thinThickSmallGap" w:sz="24" w:space="0" w:color="auto"/>
            </w:tcBorders>
            <w:noWrap/>
            <w:vAlign w:val="bottom"/>
          </w:tcPr>
          <w:p w:rsidR="005810D1" w:rsidRPr="002971A6" w:rsidRDefault="005810D1" w:rsidP="005810D1">
            <w:pPr>
              <w:rPr>
                <w:rFonts w:ascii="Arial" w:hAnsi="Arial" w:cs="Arial"/>
                <w:sz w:val="18"/>
                <w:szCs w:val="18"/>
              </w:rPr>
            </w:pPr>
            <w:r w:rsidRPr="002971A6">
              <w:rPr>
                <w:rFonts w:ascii="Arial" w:hAnsi="Arial" w:cs="Arial"/>
                <w:sz w:val="18"/>
                <w:szCs w:val="18"/>
              </w:rPr>
              <w:t>15–24 years</w:t>
            </w:r>
          </w:p>
        </w:tc>
        <w:tc>
          <w:tcPr>
            <w:tcW w:w="1134" w:type="dxa"/>
            <w:tcBorders>
              <w:top w:val="single" w:sz="4" w:space="0" w:color="auto"/>
              <w:left w:val="double" w:sz="4" w:space="0" w:color="auto"/>
              <w:bottom w:val="single" w:sz="4" w:space="0" w:color="auto"/>
              <w:right w:val="sing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70</w:t>
            </w:r>
          </w:p>
        </w:tc>
        <w:tc>
          <w:tcPr>
            <w:tcW w:w="1134" w:type="dxa"/>
            <w:tcBorders>
              <w:top w:val="single" w:sz="4" w:space="0" w:color="auto"/>
              <w:left w:val="nil"/>
              <w:bottom w:val="single" w:sz="4" w:space="0" w:color="auto"/>
              <w:right w:val="sing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2</w:t>
            </w:r>
          </w:p>
        </w:tc>
        <w:tc>
          <w:tcPr>
            <w:tcW w:w="1418" w:type="dxa"/>
            <w:tcBorders>
              <w:top w:val="single" w:sz="4" w:space="0" w:color="auto"/>
              <w:left w:val="nil"/>
              <w:bottom w:val="single" w:sz="4" w:space="0" w:color="auto"/>
              <w:right w:val="doub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39</w:t>
            </w:r>
          </w:p>
        </w:tc>
        <w:tc>
          <w:tcPr>
            <w:tcW w:w="1134" w:type="dxa"/>
            <w:tcBorders>
              <w:top w:val="single" w:sz="4" w:space="0" w:color="auto"/>
              <w:left w:val="double" w:sz="4" w:space="0" w:color="auto"/>
              <w:bottom w:val="single" w:sz="4" w:space="0" w:color="auto"/>
              <w:right w:val="sing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211</w:t>
            </w:r>
          </w:p>
        </w:tc>
        <w:tc>
          <w:tcPr>
            <w:tcW w:w="1134" w:type="dxa"/>
            <w:tcBorders>
              <w:top w:val="single" w:sz="4" w:space="0" w:color="auto"/>
              <w:left w:val="nil"/>
              <w:bottom w:val="single" w:sz="4" w:space="0" w:color="auto"/>
              <w:right w:val="sing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6</w:t>
            </w:r>
          </w:p>
        </w:tc>
        <w:tc>
          <w:tcPr>
            <w:tcW w:w="1417" w:type="dxa"/>
            <w:tcBorders>
              <w:top w:val="single" w:sz="4" w:space="0" w:color="auto"/>
              <w:left w:val="nil"/>
              <w:bottom w:val="single" w:sz="4" w:space="0" w:color="auto"/>
              <w:right w:val="single" w:sz="4" w:space="0" w:color="auto"/>
            </w:tcBorders>
            <w:noWrap/>
            <w:vAlign w:val="center"/>
          </w:tcPr>
          <w:p w:rsidR="005810D1" w:rsidRPr="002971A6" w:rsidRDefault="005810D1" w:rsidP="005810D1">
            <w:pPr>
              <w:jc w:val="right"/>
              <w:rPr>
                <w:rFonts w:ascii="Arial" w:hAnsi="Arial" w:cs="Arial"/>
                <w:sz w:val="18"/>
                <w:szCs w:val="18"/>
              </w:rPr>
            </w:pPr>
            <w:r w:rsidRPr="002971A6">
              <w:rPr>
                <w:rFonts w:ascii="Arial" w:hAnsi="Arial" w:cs="Arial"/>
                <w:sz w:val="18"/>
                <w:szCs w:val="18"/>
              </w:rPr>
              <w:t>119</w:t>
            </w:r>
          </w:p>
        </w:tc>
      </w:tr>
      <w:tr w:rsidR="005810D1" w:rsidRPr="00ED6EEF" w:rsidTr="005810D1">
        <w:trPr>
          <w:trHeight w:val="255"/>
        </w:trPr>
        <w:tc>
          <w:tcPr>
            <w:tcW w:w="1858" w:type="dxa"/>
            <w:tcBorders>
              <w:top w:val="single" w:sz="4" w:space="0" w:color="auto"/>
              <w:left w:val="single" w:sz="4" w:space="0" w:color="auto"/>
              <w:bottom w:val="single" w:sz="4" w:space="0" w:color="auto"/>
              <w:right w:val="thinThickSmallGap" w:sz="24" w:space="0" w:color="auto"/>
            </w:tcBorders>
            <w:noWrap/>
            <w:vAlign w:val="bottom"/>
          </w:tcPr>
          <w:p w:rsidR="005810D1" w:rsidRPr="002971A6" w:rsidRDefault="005810D1" w:rsidP="005810D1">
            <w:pPr>
              <w:rPr>
                <w:rFonts w:ascii="Arial" w:hAnsi="Arial" w:cs="Arial"/>
                <w:b/>
                <w:bCs/>
                <w:sz w:val="18"/>
                <w:szCs w:val="18"/>
              </w:rPr>
            </w:pPr>
            <w:r w:rsidRPr="002971A6">
              <w:rPr>
                <w:rFonts w:ascii="Arial" w:hAnsi="Arial" w:cs="Arial"/>
                <w:b/>
                <w:bCs/>
                <w:sz w:val="18"/>
                <w:szCs w:val="18"/>
              </w:rPr>
              <w:t>Total for all ages</w:t>
            </w:r>
          </w:p>
        </w:tc>
        <w:tc>
          <w:tcPr>
            <w:tcW w:w="1134" w:type="dxa"/>
            <w:tcBorders>
              <w:top w:val="single" w:sz="4" w:space="0" w:color="auto"/>
              <w:left w:val="double" w:sz="4" w:space="0" w:color="auto"/>
              <w:bottom w:val="single" w:sz="4" w:space="0" w:color="auto"/>
              <w:right w:val="single" w:sz="4" w:space="0" w:color="auto"/>
            </w:tcBorders>
            <w:noWrap/>
            <w:vAlign w:val="center"/>
          </w:tcPr>
          <w:p w:rsidR="005810D1" w:rsidRPr="002971A6" w:rsidRDefault="005810D1" w:rsidP="005810D1">
            <w:pPr>
              <w:jc w:val="right"/>
              <w:rPr>
                <w:rFonts w:ascii="Arial" w:hAnsi="Arial" w:cs="Arial"/>
                <w:b/>
                <w:bCs/>
                <w:sz w:val="18"/>
                <w:szCs w:val="18"/>
              </w:rPr>
            </w:pPr>
            <w:r w:rsidRPr="002971A6">
              <w:rPr>
                <w:rFonts w:ascii="Arial" w:hAnsi="Arial" w:cs="Arial"/>
                <w:b/>
                <w:bCs/>
                <w:sz w:val="18"/>
                <w:szCs w:val="18"/>
              </w:rPr>
              <w:t>224</w:t>
            </w:r>
          </w:p>
        </w:tc>
        <w:tc>
          <w:tcPr>
            <w:tcW w:w="1134" w:type="dxa"/>
            <w:tcBorders>
              <w:top w:val="single" w:sz="4" w:space="0" w:color="auto"/>
              <w:left w:val="nil"/>
              <w:bottom w:val="single" w:sz="4" w:space="0" w:color="auto"/>
              <w:right w:val="single" w:sz="4" w:space="0" w:color="auto"/>
            </w:tcBorders>
            <w:noWrap/>
            <w:vAlign w:val="center"/>
          </w:tcPr>
          <w:p w:rsidR="005810D1" w:rsidRPr="002971A6" w:rsidRDefault="005810D1" w:rsidP="005810D1">
            <w:pPr>
              <w:jc w:val="right"/>
              <w:rPr>
                <w:rFonts w:ascii="Arial" w:hAnsi="Arial" w:cs="Arial"/>
                <w:b/>
                <w:bCs/>
                <w:sz w:val="18"/>
                <w:szCs w:val="18"/>
              </w:rPr>
            </w:pPr>
            <w:r w:rsidRPr="002971A6">
              <w:rPr>
                <w:rFonts w:ascii="Arial" w:hAnsi="Arial" w:cs="Arial"/>
                <w:b/>
                <w:bCs/>
                <w:sz w:val="18"/>
                <w:szCs w:val="18"/>
              </w:rPr>
              <w:t>9</w:t>
            </w:r>
          </w:p>
        </w:tc>
        <w:tc>
          <w:tcPr>
            <w:tcW w:w="1418" w:type="dxa"/>
            <w:tcBorders>
              <w:top w:val="single" w:sz="4" w:space="0" w:color="auto"/>
              <w:left w:val="nil"/>
              <w:bottom w:val="single" w:sz="4" w:space="0" w:color="auto"/>
              <w:right w:val="double" w:sz="4" w:space="0" w:color="auto"/>
            </w:tcBorders>
            <w:noWrap/>
            <w:vAlign w:val="center"/>
          </w:tcPr>
          <w:p w:rsidR="005810D1" w:rsidRPr="002971A6" w:rsidRDefault="005810D1" w:rsidP="005810D1">
            <w:pPr>
              <w:jc w:val="right"/>
              <w:rPr>
                <w:rFonts w:ascii="Arial" w:hAnsi="Arial" w:cs="Arial"/>
                <w:b/>
                <w:bCs/>
                <w:sz w:val="18"/>
                <w:szCs w:val="18"/>
              </w:rPr>
            </w:pPr>
            <w:r w:rsidRPr="002971A6">
              <w:rPr>
                <w:rFonts w:ascii="Arial" w:hAnsi="Arial" w:cs="Arial"/>
                <w:b/>
                <w:bCs/>
                <w:sz w:val="18"/>
                <w:szCs w:val="18"/>
              </w:rPr>
              <w:t>93</w:t>
            </w:r>
          </w:p>
        </w:tc>
        <w:tc>
          <w:tcPr>
            <w:tcW w:w="1134" w:type="dxa"/>
            <w:tcBorders>
              <w:top w:val="single" w:sz="4" w:space="0" w:color="auto"/>
              <w:left w:val="double" w:sz="4" w:space="0" w:color="auto"/>
              <w:bottom w:val="single" w:sz="4" w:space="0" w:color="auto"/>
              <w:right w:val="single" w:sz="4" w:space="0" w:color="auto"/>
            </w:tcBorders>
            <w:noWrap/>
            <w:vAlign w:val="center"/>
          </w:tcPr>
          <w:p w:rsidR="005810D1" w:rsidRPr="002971A6" w:rsidRDefault="005810D1" w:rsidP="005810D1">
            <w:pPr>
              <w:jc w:val="right"/>
              <w:rPr>
                <w:rFonts w:ascii="Arial" w:hAnsi="Arial" w:cs="Arial"/>
                <w:b/>
                <w:bCs/>
                <w:sz w:val="18"/>
                <w:szCs w:val="18"/>
              </w:rPr>
            </w:pPr>
            <w:r w:rsidRPr="002971A6">
              <w:rPr>
                <w:rFonts w:ascii="Arial" w:hAnsi="Arial" w:cs="Arial"/>
                <w:b/>
                <w:bCs/>
                <w:sz w:val="18"/>
                <w:szCs w:val="18"/>
              </w:rPr>
              <w:t>591</w:t>
            </w:r>
          </w:p>
        </w:tc>
        <w:tc>
          <w:tcPr>
            <w:tcW w:w="1134" w:type="dxa"/>
            <w:tcBorders>
              <w:top w:val="single" w:sz="4" w:space="0" w:color="auto"/>
              <w:left w:val="nil"/>
              <w:bottom w:val="single" w:sz="4" w:space="0" w:color="auto"/>
              <w:right w:val="single" w:sz="4" w:space="0" w:color="auto"/>
            </w:tcBorders>
            <w:noWrap/>
            <w:vAlign w:val="center"/>
          </w:tcPr>
          <w:p w:rsidR="005810D1" w:rsidRPr="002971A6" w:rsidRDefault="005810D1" w:rsidP="005810D1">
            <w:pPr>
              <w:jc w:val="right"/>
              <w:rPr>
                <w:rFonts w:ascii="Arial" w:hAnsi="Arial" w:cs="Arial"/>
                <w:b/>
                <w:bCs/>
                <w:sz w:val="18"/>
                <w:szCs w:val="18"/>
              </w:rPr>
            </w:pPr>
            <w:r w:rsidRPr="002971A6">
              <w:rPr>
                <w:rFonts w:ascii="Arial" w:hAnsi="Arial" w:cs="Arial"/>
                <w:b/>
                <w:bCs/>
                <w:sz w:val="18"/>
                <w:szCs w:val="18"/>
              </w:rPr>
              <w:t>22</w:t>
            </w:r>
          </w:p>
        </w:tc>
        <w:tc>
          <w:tcPr>
            <w:tcW w:w="1417" w:type="dxa"/>
            <w:tcBorders>
              <w:top w:val="single" w:sz="4" w:space="0" w:color="auto"/>
              <w:left w:val="nil"/>
              <w:bottom w:val="single" w:sz="4" w:space="0" w:color="auto"/>
              <w:right w:val="single" w:sz="4" w:space="0" w:color="auto"/>
            </w:tcBorders>
            <w:noWrap/>
            <w:vAlign w:val="center"/>
          </w:tcPr>
          <w:p w:rsidR="005810D1" w:rsidRPr="002971A6" w:rsidRDefault="005810D1" w:rsidP="005810D1">
            <w:pPr>
              <w:jc w:val="right"/>
              <w:rPr>
                <w:rFonts w:ascii="Arial" w:hAnsi="Arial" w:cs="Arial"/>
                <w:b/>
                <w:bCs/>
                <w:sz w:val="18"/>
                <w:szCs w:val="18"/>
              </w:rPr>
            </w:pPr>
            <w:r w:rsidRPr="002971A6">
              <w:rPr>
                <w:rFonts w:ascii="Arial" w:hAnsi="Arial" w:cs="Arial"/>
                <w:b/>
                <w:bCs/>
                <w:sz w:val="18"/>
                <w:szCs w:val="18"/>
              </w:rPr>
              <w:t>250</w:t>
            </w:r>
          </w:p>
        </w:tc>
      </w:tr>
    </w:tbl>
    <w:p w:rsidR="005810D1" w:rsidRDefault="005810D1" w:rsidP="005810D1">
      <w:pPr>
        <w:rPr>
          <w:rFonts w:ascii="Arial" w:hAnsi="Arial" w:cs="Arial"/>
          <w:sz w:val="18"/>
          <w:szCs w:val="18"/>
        </w:rPr>
      </w:pPr>
      <w:proofErr w:type="spellStart"/>
      <w:r w:rsidRPr="00A13E49">
        <w:rPr>
          <w:rFonts w:ascii="Arial" w:hAnsi="Arial" w:cs="Arial"/>
          <w:bCs/>
          <w:sz w:val="18"/>
          <w:szCs w:val="18"/>
        </w:rPr>
        <w:t>MenB</w:t>
      </w:r>
      <w:proofErr w:type="spellEnd"/>
      <w:r>
        <w:rPr>
          <w:rFonts w:ascii="Arial" w:hAnsi="Arial" w:cs="Arial"/>
          <w:bCs/>
          <w:sz w:val="18"/>
          <w:szCs w:val="18"/>
        </w:rPr>
        <w:t>:</w:t>
      </w:r>
      <w:r w:rsidRPr="00A13E49">
        <w:rPr>
          <w:rFonts w:ascii="Arial" w:hAnsi="Arial" w:cs="Arial"/>
          <w:sz w:val="18"/>
          <w:szCs w:val="18"/>
        </w:rPr>
        <w:t xml:space="preserve"> meningococc</w:t>
      </w:r>
      <w:r>
        <w:rPr>
          <w:rFonts w:ascii="Arial" w:hAnsi="Arial" w:cs="Arial"/>
          <w:sz w:val="18"/>
          <w:szCs w:val="18"/>
        </w:rPr>
        <w:t>al</w:t>
      </w:r>
      <w:r w:rsidRPr="00A13E49">
        <w:rPr>
          <w:rFonts w:ascii="Arial" w:hAnsi="Arial" w:cs="Arial"/>
          <w:sz w:val="18"/>
          <w:szCs w:val="18"/>
        </w:rPr>
        <w:t xml:space="preserve"> B</w:t>
      </w:r>
      <w:r>
        <w:rPr>
          <w:rFonts w:ascii="Arial" w:hAnsi="Arial" w:cs="Arial"/>
          <w:sz w:val="18"/>
          <w:szCs w:val="18"/>
        </w:rPr>
        <w:t>; IMD: i</w:t>
      </w:r>
      <w:r w:rsidRPr="00A13E49">
        <w:rPr>
          <w:rFonts w:ascii="Arial" w:hAnsi="Arial" w:cs="Arial"/>
          <w:sz w:val="18"/>
          <w:szCs w:val="18"/>
        </w:rPr>
        <w:t>nvasive meningococcal B disease</w:t>
      </w:r>
    </w:p>
    <w:p w:rsidR="005810D1" w:rsidRPr="002971A6" w:rsidRDefault="005810D1" w:rsidP="005810D1">
      <w:pPr>
        <w:rPr>
          <w:rFonts w:ascii="Arial" w:hAnsi="Arial" w:cs="Arial"/>
        </w:rPr>
      </w:pPr>
      <w:r>
        <w:rPr>
          <w:rFonts w:ascii="Arial" w:hAnsi="Arial" w:cs="Arial"/>
          <w:color w:val="FF0000"/>
        </w:rPr>
        <w:t xml:space="preserve"> </w:t>
      </w:r>
    </w:p>
    <w:p w:rsidR="005810D1" w:rsidRPr="00A60AC0" w:rsidRDefault="005810D1" w:rsidP="005810D1">
      <w:pPr>
        <w:pStyle w:val="ListParagraph"/>
        <w:ind w:left="0"/>
      </w:pPr>
      <w:r w:rsidRPr="00A60AC0">
        <w:lastRenderedPageBreak/>
        <w:t>The cumulative cost of the programme over 5 year</w:t>
      </w:r>
      <w:r w:rsidR="00DF07FF">
        <w:t>s</w:t>
      </w:r>
      <w:r w:rsidRPr="00A60AC0">
        <w:t xml:space="preserve"> </w:t>
      </w:r>
      <w:proofErr w:type="gramStart"/>
      <w:r w:rsidRPr="00A60AC0">
        <w:t>was estimated</w:t>
      </w:r>
      <w:proofErr w:type="gramEnd"/>
      <w:r w:rsidRPr="00A60AC0">
        <w:t xml:space="preserve"> to be </w:t>
      </w:r>
      <w:r w:rsidR="00DF07FF" w:rsidRPr="00A60AC0">
        <w:t>greater than $400 million.</w:t>
      </w:r>
    </w:p>
    <w:p w:rsidR="005810D1" w:rsidRPr="0073636E" w:rsidRDefault="005810D1" w:rsidP="005810D1">
      <w:pPr>
        <w:rPr>
          <w:rFonts w:ascii="Arial" w:hAnsi="Arial" w:cs="Arial"/>
        </w:rPr>
      </w:pPr>
    </w:p>
    <w:p w:rsidR="005810D1" w:rsidRPr="00A60AC0" w:rsidRDefault="005810D1" w:rsidP="005810D1">
      <w:pPr>
        <w:pStyle w:val="ListParagraph"/>
        <w:ind w:left="0"/>
      </w:pPr>
      <w:r w:rsidRPr="00A60AC0">
        <w:t xml:space="preserve">The PBAC noted that cost of implementing the programme in school </w:t>
      </w:r>
      <w:proofErr w:type="gramStart"/>
      <w:r w:rsidRPr="00A60AC0">
        <w:t>may</w:t>
      </w:r>
      <w:proofErr w:type="gramEnd"/>
      <w:r w:rsidRPr="00A60AC0">
        <w:t xml:space="preserve"> be underestimated. The sponsor </w:t>
      </w:r>
      <w:r w:rsidRPr="00A60AC0">
        <w:rPr>
          <w:lang w:val="en-US"/>
        </w:rPr>
        <w:t xml:space="preserve">assumed that the implementation of 4CMenB in schools would add approximately 1.0% to the overall cost of the vaccinations received at school, while a likely cost could be </w:t>
      </w:r>
      <w:r w:rsidRPr="00A60AC0">
        <w:t>around 15.5% of the vaccination costs for adolescents</w:t>
      </w:r>
      <w:r w:rsidRPr="00A60AC0">
        <w:rPr>
          <w:lang w:val="en-US"/>
        </w:rPr>
        <w:t xml:space="preserve">, based </w:t>
      </w:r>
      <w:r w:rsidRPr="00A60AC0">
        <w:t>on the 2004 report from the Municipal Council of Victoria.</w:t>
      </w:r>
    </w:p>
    <w:p w:rsidR="00BB219E" w:rsidRDefault="00BB219E" w:rsidP="00BB219E">
      <w:pPr>
        <w:pStyle w:val="Heading3"/>
        <w:rPr>
          <w:rFonts w:ascii="Times New Roman" w:hAnsi="Times New Roman"/>
          <w:sz w:val="24"/>
        </w:rPr>
      </w:pPr>
      <w:r>
        <w:rPr>
          <w:rFonts w:ascii="Times New Roman" w:hAnsi="Times New Roman"/>
          <w:sz w:val="24"/>
        </w:rPr>
        <w:t xml:space="preserve">12. </w:t>
      </w:r>
      <w:r w:rsidR="002A57B9" w:rsidRPr="00BB219E">
        <w:rPr>
          <w:rFonts w:ascii="Times New Roman" w:hAnsi="Times New Roman"/>
          <w:sz w:val="24"/>
        </w:rPr>
        <w:t>Recommendation and Reasons</w:t>
      </w:r>
      <w:r w:rsidR="009102D9" w:rsidRPr="00BB219E">
        <w:rPr>
          <w:rFonts w:ascii="Times New Roman" w:hAnsi="Times New Roman"/>
          <w:sz w:val="24"/>
        </w:rPr>
        <w:t xml:space="preserve"> </w:t>
      </w:r>
    </w:p>
    <w:p w:rsidR="00A859BE" w:rsidRPr="00A859BE" w:rsidRDefault="00A859BE" w:rsidP="00A859BE">
      <w:pPr>
        <w:pStyle w:val="ListParagraph"/>
        <w:ind w:left="0"/>
      </w:pPr>
      <w:r w:rsidRPr="00A859BE">
        <w:t xml:space="preserve">The PBAC did not recommend the inclusion of the 4CMenB vaccine on the National Immunisation Program Schedule for the prevention of meningococcal B disease in infants and adolescents. </w:t>
      </w:r>
    </w:p>
    <w:p w:rsidR="00A859BE" w:rsidRPr="00A859BE" w:rsidRDefault="00A859BE" w:rsidP="00A859BE">
      <w:pPr>
        <w:pStyle w:val="ListParagraph"/>
        <w:ind w:left="709"/>
      </w:pPr>
    </w:p>
    <w:p w:rsidR="00A859BE" w:rsidRPr="00A859BE" w:rsidRDefault="00A859BE" w:rsidP="00A859BE">
      <w:pPr>
        <w:pStyle w:val="ListParagraph"/>
        <w:ind w:left="0"/>
      </w:pPr>
      <w:r w:rsidRPr="00A859BE">
        <w:t xml:space="preserve">The PBAC considered the burden of meningococcal disease, the public concern about rapidly developing and </w:t>
      </w:r>
      <w:proofErr w:type="gramStart"/>
      <w:r w:rsidRPr="00A859BE">
        <w:t>often fatal</w:t>
      </w:r>
      <w:proofErr w:type="gramEnd"/>
      <w:r w:rsidRPr="00A859BE">
        <w:t xml:space="preserve"> infection, and that the development of the proposed vaccine may represent a technical advance in the field of </w:t>
      </w:r>
      <w:proofErr w:type="spellStart"/>
      <w:r w:rsidRPr="00A859BE">
        <w:t>vaccinology</w:t>
      </w:r>
      <w:proofErr w:type="spellEnd"/>
      <w:r w:rsidRPr="00A859BE">
        <w:t xml:space="preserve">. The PBAC concluded that, over the first 5 years of the requested NIP listing as proposed by the sponsor: </w:t>
      </w:r>
      <w:r>
        <w:t>over 4 million</w:t>
      </w:r>
      <w:r w:rsidRPr="00A859BE">
        <w:t xml:space="preserve"> children and adolescents </w:t>
      </w:r>
      <w:proofErr w:type="gramStart"/>
      <w:r w:rsidRPr="00A859BE">
        <w:t>would be vaccinated</w:t>
      </w:r>
      <w:proofErr w:type="gramEnd"/>
      <w:r w:rsidRPr="00A859BE">
        <w:t xml:space="preserve"> costing the government </w:t>
      </w:r>
      <w:r>
        <w:t>over $400 million</w:t>
      </w:r>
      <w:r w:rsidRPr="00A859BE">
        <w:t xml:space="preserve">, estimated to prevent 224 cases of invasive meningococcal disease, 9 deaths due to meningococcal B disease, and 93 patients with </w:t>
      </w:r>
      <w:proofErr w:type="spellStart"/>
      <w:r w:rsidRPr="00A859BE">
        <w:t>sequelae</w:t>
      </w:r>
      <w:proofErr w:type="spellEnd"/>
      <w:r w:rsidRPr="00A859BE">
        <w:t xml:space="preserve">. However, the PBAC considered that there was a limited demonstration of and multiple uncertainties in relation to the clinical effectiveness of the vaccine against the disease when delivered in a vaccination program. In addition, the PBAC concluded that the ICER was unacceptability high and </w:t>
      </w:r>
      <w:proofErr w:type="gramStart"/>
      <w:r w:rsidRPr="00A859BE">
        <w:t>was based</w:t>
      </w:r>
      <w:proofErr w:type="gramEnd"/>
      <w:r w:rsidRPr="00A859BE">
        <w:t xml:space="preserve"> on uncertain assumptions about extent and duration of effect and herd immunity.</w:t>
      </w:r>
    </w:p>
    <w:p w:rsidR="00A859BE" w:rsidRPr="00A859BE" w:rsidRDefault="00A859BE" w:rsidP="00A859BE"/>
    <w:p w:rsidR="00A859BE" w:rsidRPr="00A859BE" w:rsidRDefault="00A859BE" w:rsidP="00A859BE">
      <w:pPr>
        <w:pStyle w:val="ListParagraph"/>
        <w:ind w:left="0"/>
      </w:pPr>
      <w:r w:rsidRPr="00A859BE">
        <w:t xml:space="preserve">The PBAC noted that the reverse </w:t>
      </w:r>
      <w:proofErr w:type="spellStart"/>
      <w:r w:rsidRPr="00A859BE">
        <w:t>vaccinology</w:t>
      </w:r>
      <w:proofErr w:type="spellEnd"/>
      <w:r w:rsidRPr="00A859BE">
        <w:t xml:space="preserve"> employed in the development of the 4CMenB vaccine overcame the considerable block to the development of a vaccine against meningococcal B strains where, unlike non-strain B meningococcal strains, the polysaccharide capsule from the bacterial cell wall is poorly immunogenic and has a structure similar to polysaccharides in the developing human central nervous system.</w:t>
      </w:r>
    </w:p>
    <w:p w:rsidR="00A859BE" w:rsidRPr="00A859BE" w:rsidRDefault="00A859BE" w:rsidP="00A859BE">
      <w:pPr>
        <w:pStyle w:val="ListParagraph"/>
      </w:pPr>
    </w:p>
    <w:p w:rsidR="00A859BE" w:rsidRPr="00A859BE" w:rsidRDefault="00A859BE" w:rsidP="00A859BE">
      <w:pPr>
        <w:pStyle w:val="ListParagraph"/>
        <w:ind w:left="0"/>
      </w:pPr>
      <w:r w:rsidRPr="00A859BE">
        <w:t>The PBAC noted the rapid onset of disease following infection and that clinical improvement in diagnosis and management of the infection has had little impact on IMD outcomes. The PBAC noted the strong consumer support for this submission, highlighting the community’s desire to overcome IMD.</w:t>
      </w:r>
    </w:p>
    <w:p w:rsidR="00A859BE" w:rsidRPr="00A859BE" w:rsidRDefault="00A859BE" w:rsidP="00A859BE">
      <w:pPr>
        <w:pStyle w:val="ListParagraph"/>
      </w:pPr>
    </w:p>
    <w:p w:rsidR="00A859BE" w:rsidRPr="00A859BE" w:rsidRDefault="00A859BE" w:rsidP="00A859BE">
      <w:pPr>
        <w:pStyle w:val="ListParagraph"/>
        <w:ind w:left="0"/>
      </w:pPr>
      <w:r w:rsidRPr="00A859BE">
        <w:t xml:space="preserve">The PBAC noted </w:t>
      </w:r>
      <w:proofErr w:type="gramStart"/>
      <w:r w:rsidRPr="00A859BE">
        <w:t>that there are a number of aspects of the clinical data that leads to an uncertain claim of clinical effectiveness</w:t>
      </w:r>
      <w:proofErr w:type="gramEnd"/>
      <w:r w:rsidRPr="00A859BE">
        <w:t xml:space="preserve">. </w:t>
      </w:r>
    </w:p>
    <w:p w:rsidR="00A859BE" w:rsidRPr="00A859BE" w:rsidRDefault="00A859BE" w:rsidP="00A859BE">
      <w:pPr>
        <w:pStyle w:val="ListParagraph"/>
      </w:pPr>
    </w:p>
    <w:p w:rsidR="00A859BE" w:rsidRPr="00A859BE" w:rsidRDefault="00A859BE" w:rsidP="00A859BE">
      <w:pPr>
        <w:pStyle w:val="ListParagraph"/>
        <w:ind w:left="0"/>
      </w:pPr>
      <w:r w:rsidRPr="00A859BE">
        <w:t xml:space="preserve">Firstly, the PBAC noted that no direct evident </w:t>
      </w:r>
      <w:proofErr w:type="gramStart"/>
      <w:r w:rsidRPr="00A859BE">
        <w:t>was presented</w:t>
      </w:r>
      <w:proofErr w:type="gramEnd"/>
      <w:r w:rsidRPr="00A859BE">
        <w:t xml:space="preserve"> regarding vaccine efficacy against infection and disease. Due to the low infection rates of meningococcal B, a randomised efficacy study is not feasible. The PBAC accepted that </w:t>
      </w:r>
      <w:proofErr w:type="spellStart"/>
      <w:r w:rsidRPr="00A859BE">
        <w:t>hSBA</w:t>
      </w:r>
      <w:proofErr w:type="spellEnd"/>
      <w:r w:rsidRPr="00A859BE">
        <w:t xml:space="preserve"> titre threshold of ≥1:</w:t>
      </w:r>
      <w:proofErr w:type="gramStart"/>
      <w:r w:rsidRPr="00A859BE">
        <w:t>4</w:t>
      </w:r>
      <w:proofErr w:type="gramEnd"/>
      <w:r w:rsidRPr="00A859BE">
        <w:t xml:space="preserve"> is historically a ‘gold standard’ surrogate marker of vaccine efficacy, and this titre was </w:t>
      </w:r>
      <w:r w:rsidRPr="00A859BE">
        <w:rPr>
          <w:rFonts w:eastAsia="SimSun"/>
          <w:iCs/>
        </w:rPr>
        <w:t xml:space="preserve">accepted in the consideration of the combination vaccine for </w:t>
      </w:r>
      <w:proofErr w:type="spellStart"/>
      <w:r w:rsidRPr="00A859BE">
        <w:rPr>
          <w:rFonts w:eastAsia="SimSun"/>
          <w:i/>
          <w:iCs/>
        </w:rPr>
        <w:t>Haemophilus</w:t>
      </w:r>
      <w:proofErr w:type="spellEnd"/>
      <w:r w:rsidRPr="00A859BE">
        <w:rPr>
          <w:rFonts w:eastAsia="SimSun"/>
          <w:i/>
          <w:iCs/>
        </w:rPr>
        <w:t xml:space="preserve"> </w:t>
      </w:r>
      <w:proofErr w:type="spellStart"/>
      <w:r w:rsidRPr="00A859BE">
        <w:rPr>
          <w:rFonts w:eastAsia="SimSun"/>
          <w:i/>
          <w:iCs/>
        </w:rPr>
        <w:t>influenzae</w:t>
      </w:r>
      <w:proofErr w:type="spellEnd"/>
      <w:r w:rsidRPr="00A859BE">
        <w:rPr>
          <w:rFonts w:eastAsia="SimSun"/>
          <w:iCs/>
        </w:rPr>
        <w:t xml:space="preserve"> </w:t>
      </w:r>
      <w:r w:rsidRPr="00A859BE">
        <w:rPr>
          <w:rFonts w:eastAsia="SimSun"/>
        </w:rPr>
        <w:t xml:space="preserve">and </w:t>
      </w:r>
      <w:r w:rsidRPr="00A859BE">
        <w:rPr>
          <w:rFonts w:eastAsia="SimSun"/>
          <w:i/>
          <w:iCs/>
        </w:rPr>
        <w:t>Neisseria meningitis</w:t>
      </w:r>
      <w:r w:rsidRPr="00A859BE">
        <w:rPr>
          <w:rFonts w:eastAsia="SimSun"/>
          <w:iCs/>
        </w:rPr>
        <w:t xml:space="preserve"> </w:t>
      </w:r>
      <w:proofErr w:type="spellStart"/>
      <w:r w:rsidRPr="00A859BE">
        <w:rPr>
          <w:rFonts w:eastAsia="SimSun"/>
        </w:rPr>
        <w:t>serogroup</w:t>
      </w:r>
      <w:proofErr w:type="spellEnd"/>
      <w:r w:rsidRPr="00A859BE">
        <w:rPr>
          <w:rFonts w:eastAsia="SimSun"/>
        </w:rPr>
        <w:t xml:space="preserve"> C. </w:t>
      </w:r>
      <w:r w:rsidRPr="00A859BE">
        <w:t>The PBAC noted that the threshold titre value was determined based on the polysaccharide capsule, not bacterial proteins, as used in the 4CMenB, and considered that the validity of this surrogate outcome and threshold titre of adequate protection had not been addressed in relation to the structure of the components of the proposed vaccine.</w:t>
      </w:r>
    </w:p>
    <w:p w:rsidR="00A859BE" w:rsidRPr="00A859BE" w:rsidRDefault="00A859BE" w:rsidP="00A859BE">
      <w:pPr>
        <w:pStyle w:val="ListParagraph"/>
      </w:pPr>
    </w:p>
    <w:p w:rsidR="00A859BE" w:rsidRPr="00A859BE" w:rsidRDefault="00A859BE" w:rsidP="00A859BE">
      <w:pPr>
        <w:pStyle w:val="ListParagraph"/>
        <w:ind w:left="0"/>
      </w:pPr>
      <w:r w:rsidRPr="00A859BE">
        <w:t xml:space="preserve">Secondly, the PBAC accepted that the data showed a clear immunogenic effect of the vaccine, but considered that the long-term persistence of a protective immune response </w:t>
      </w:r>
      <w:proofErr w:type="gramStart"/>
      <w:r w:rsidRPr="00A859BE">
        <w:t>had not been adequately supported</w:t>
      </w:r>
      <w:proofErr w:type="gramEnd"/>
      <w:r w:rsidRPr="00A859BE">
        <w:t xml:space="preserve">. In the trials of infant </w:t>
      </w:r>
      <w:proofErr w:type="spellStart"/>
      <w:r w:rsidRPr="00A859BE">
        <w:t>vaccinees</w:t>
      </w:r>
      <w:proofErr w:type="spellEnd"/>
      <w:r w:rsidRPr="00A859BE">
        <w:t xml:space="preserve">, antibody titres waned quickly and at different rates, particularly titres against </w:t>
      </w:r>
      <w:proofErr w:type="spellStart"/>
      <w:r w:rsidRPr="00A859BE">
        <w:t>PorA</w:t>
      </w:r>
      <w:proofErr w:type="spellEnd"/>
      <w:r w:rsidRPr="00A859BE">
        <w:t xml:space="preserve"> P1.4 and NHBA.</w:t>
      </w:r>
    </w:p>
    <w:p w:rsidR="00A859BE" w:rsidRPr="00A859BE" w:rsidRDefault="00A859BE" w:rsidP="00A859BE">
      <w:pPr>
        <w:pStyle w:val="ListParagraph"/>
      </w:pPr>
    </w:p>
    <w:p w:rsidR="00A859BE" w:rsidRPr="00A859BE" w:rsidRDefault="00A859BE" w:rsidP="00A859BE">
      <w:pPr>
        <w:pStyle w:val="ListParagraph"/>
        <w:ind w:left="0"/>
      </w:pPr>
      <w:r w:rsidRPr="00A859BE">
        <w:t xml:space="preserve">Thirdly, the PBAC considered that ability of the vaccine to generate a protective herd immune response on a population level </w:t>
      </w:r>
      <w:proofErr w:type="gramStart"/>
      <w:r w:rsidRPr="00A859BE">
        <w:t>had not been demonstrated</w:t>
      </w:r>
      <w:proofErr w:type="gramEnd"/>
      <w:r w:rsidRPr="00A859BE">
        <w:t xml:space="preserve">. The PBAC considered that carriage </w:t>
      </w:r>
      <w:proofErr w:type="gramStart"/>
      <w:r w:rsidRPr="00A859BE">
        <w:t>should be estimated</w:t>
      </w:r>
      <w:proofErr w:type="gramEnd"/>
      <w:r w:rsidRPr="00A859BE">
        <w:t xml:space="preserve"> based on the evidence on virulent meningococcal B strains, but not other non-B meningococcal strains. The PBAC considered it was not reasonable to use data from a carriage study of a meningococcal C conjugate vaccine (Maiden &amp; Stuart, 2002) to estimate the reduction of carriage acquisition, given the differences of bacterial strains and vaccine components (polysaccharide vs protein). The PBAC accepted the ATAGI advice of the vaccine’s efficacy against nasopharyngeal carriage, based on the V72_29 study. The PBAC considered that there is insufficient evidence to accept that the carriage study presented in the submission (of 1,958 university students, (150 individuals with virulent meningococcal B)) is applicable to infants. The PBAC noted in a recent publication of another vaccine against meningococcal B (</w:t>
      </w:r>
      <w:proofErr w:type="spellStart"/>
      <w:r w:rsidRPr="00A859BE">
        <w:t>Delbos</w:t>
      </w:r>
      <w:proofErr w:type="spellEnd"/>
      <w:r w:rsidRPr="00A859BE">
        <w:t xml:space="preserve"> V et al, Impact of </w:t>
      </w:r>
      <w:proofErr w:type="spellStart"/>
      <w:r w:rsidRPr="00A859BE">
        <w:t>MenBvac</w:t>
      </w:r>
      <w:proofErr w:type="spellEnd"/>
      <w:r w:rsidRPr="00A859BE">
        <w:t>, an outer membrane vesicle (OMV) vaccine, on the meningococcal carriage, 2013, Vaccine, 31:4416-20) that, during a meningococcal B outbreak, the carriage rate was 1.2% (9 confirmed meningococcal B in 761 unvaccinated children, aged 1-7).</w:t>
      </w:r>
    </w:p>
    <w:p w:rsidR="00A859BE" w:rsidRPr="00A859BE" w:rsidRDefault="00A859BE" w:rsidP="00A859BE"/>
    <w:p w:rsidR="00A859BE" w:rsidRPr="00A859BE" w:rsidRDefault="00A859BE" w:rsidP="00A859BE">
      <w:pPr>
        <w:pStyle w:val="ListParagraph"/>
        <w:ind w:left="0"/>
      </w:pPr>
      <w:r w:rsidRPr="00A859BE">
        <w:t xml:space="preserve">Fourthly, the PBAC noted that the submission estimated that 75.9% (95% CI: 63.3%, 86.9%) of clinical isolates would be covered by bactericidal antibody responses elicited by 4CMenB, using the MATS. The PBAC was concerned that this typing system was an </w:t>
      </w:r>
      <w:r w:rsidRPr="00A859BE">
        <w:rPr>
          <w:i/>
        </w:rPr>
        <w:t>in vitro</w:t>
      </w:r>
      <w:r w:rsidRPr="00A859BE">
        <w:t xml:space="preserve"> method and that the basis of the claim that MATS is a correlate of protection is not clear. The PBAC noted that assay was carried out on pooled immune sera of infants taken 1 month after the </w:t>
      </w:r>
      <w:proofErr w:type="gramStart"/>
      <w:r w:rsidRPr="00A859BE">
        <w:t>4</w:t>
      </w:r>
      <w:r w:rsidRPr="00A859BE">
        <w:rPr>
          <w:vertAlign w:val="superscript"/>
        </w:rPr>
        <w:t>th</w:t>
      </w:r>
      <w:proofErr w:type="gramEnd"/>
      <w:r w:rsidRPr="00A859BE">
        <w:t xml:space="preserve"> dose of 4CMenB, at the likely peak of the antibody response. The PBAC agreed that the MATS estimate of coverage might be a reasonable surrogate for clinical efficacy when all </w:t>
      </w:r>
      <w:proofErr w:type="spellStart"/>
      <w:r w:rsidRPr="00A859BE">
        <w:t>vaccinees</w:t>
      </w:r>
      <w:proofErr w:type="spellEnd"/>
      <w:r w:rsidRPr="00A859BE">
        <w:t xml:space="preserve"> achieve a protective response against all antigens, but the committee considered that predicting efficacy based on MATS estimated coverage becomes increasingly uncertain if individual antibody responses are heterogeneous and as antigen-specific titres wane over time. The PBAC, noting that 36.7% (upper bound of the 95% CI) of meningococcal B strains may not be covered by the vaccine, considered that monitoring of long-term variation of meningococcal B strains in the community was an important issue to be addressed in any implementation of a vaccine programme.</w:t>
      </w:r>
    </w:p>
    <w:p w:rsidR="00A859BE" w:rsidRPr="00A859BE" w:rsidRDefault="00A859BE" w:rsidP="00A859BE">
      <w:pPr>
        <w:pStyle w:val="ListParagraph"/>
      </w:pPr>
    </w:p>
    <w:p w:rsidR="00A859BE" w:rsidRPr="00A859BE" w:rsidRDefault="00A859BE" w:rsidP="00A859BE">
      <w:pPr>
        <w:pStyle w:val="ListParagraph"/>
        <w:ind w:left="0"/>
      </w:pPr>
      <w:r w:rsidRPr="00A859BE">
        <w:t xml:space="preserve">The PBAC accepted in general that the local transient </w:t>
      </w:r>
      <w:proofErr w:type="spellStart"/>
      <w:r w:rsidRPr="00A859BE">
        <w:t>reactogenicity</w:t>
      </w:r>
      <w:proofErr w:type="spellEnd"/>
      <w:r w:rsidRPr="00A859BE">
        <w:t xml:space="preserve"> of 4CMenB was not different to routine vaccination. The PBAC noted the rates of fever in infant participants of the trials receiving 4CMenB and agreed with the ATAGI that prophylactic paracetamol would be appropriate, as the evidence presented in the submission suggested that prophylactic paracetamol did not substantially affect the immune response of concomitant administration of routine vaccines. The PBAC recalled that prophylactic paracetamol </w:t>
      </w:r>
      <w:proofErr w:type="gramStart"/>
      <w:r w:rsidRPr="00A859BE">
        <w:t>was recommended</w:t>
      </w:r>
      <w:proofErr w:type="gramEnd"/>
      <w:r w:rsidRPr="00A859BE">
        <w:t xml:space="preserve"> with the use of the diphtheria-tetanus-whole cell pertussis vaccine (</w:t>
      </w:r>
      <w:proofErr w:type="spellStart"/>
      <w:r w:rsidRPr="00A859BE">
        <w:t>DTPw</w:t>
      </w:r>
      <w:proofErr w:type="spellEnd"/>
      <w:r w:rsidRPr="00A859BE">
        <w:t xml:space="preserve">), before the </w:t>
      </w:r>
      <w:proofErr w:type="spellStart"/>
      <w:r w:rsidRPr="00A859BE">
        <w:t>acellular</w:t>
      </w:r>
      <w:proofErr w:type="spellEnd"/>
      <w:r w:rsidRPr="00A859BE">
        <w:t xml:space="preserve"> vaccine was introduced on the NIP. The PBAC noted that ATAGI was unable to identify reliable data or studies on compliance with the recommendation for prophylactic use of paracetamol. The PBAC agreed with ATAGI that it is difficult to predict the likely compliance of prophylactic paracetamol. Given that paracetamol does not prevent febrile convulsions, the PBAC considered that parent/carer education, surveillance of the use of paracetamol and of emergency department admissions for febrile convulsions were </w:t>
      </w:r>
      <w:r w:rsidRPr="00A859BE">
        <w:lastRenderedPageBreak/>
        <w:t xml:space="preserve">important issues to </w:t>
      </w:r>
      <w:proofErr w:type="gramStart"/>
      <w:r w:rsidRPr="00A859BE">
        <w:t>be addressed</w:t>
      </w:r>
      <w:proofErr w:type="gramEnd"/>
      <w:r w:rsidRPr="00A859BE">
        <w:t xml:space="preserve"> in any implementation of a vaccine programme.</w:t>
      </w:r>
      <w:r w:rsidRPr="00A859BE">
        <w:rPr>
          <w:color w:val="FF0000"/>
        </w:rPr>
        <w:t xml:space="preserve"> </w:t>
      </w:r>
      <w:r w:rsidRPr="00A859BE">
        <w:t>This would help minimise the risk of reduced coverage rates for infant vaccination overall due to loss of confidence in immunisation arising from concerns about increased rates of fever and convulsions.</w:t>
      </w:r>
    </w:p>
    <w:p w:rsidR="00A859BE" w:rsidRPr="00A859BE" w:rsidRDefault="00A859BE" w:rsidP="00A859BE">
      <w:pPr>
        <w:pStyle w:val="ListParagraph"/>
      </w:pPr>
    </w:p>
    <w:p w:rsidR="00A859BE" w:rsidRPr="00A859BE" w:rsidRDefault="00A859BE" w:rsidP="00A859BE">
      <w:pPr>
        <w:pStyle w:val="ListParagraph"/>
        <w:ind w:left="0"/>
      </w:pPr>
      <w:r w:rsidRPr="00A859BE">
        <w:t>The PBAC considered that, given its questions about the clinical efficacy of 4CMenB, the economic evaluation was highly uncertain due to the assumptions used in the model and the proposed price of the vaccine.</w:t>
      </w:r>
    </w:p>
    <w:p w:rsidR="00A859BE" w:rsidRPr="00A859BE" w:rsidRDefault="00A859BE" w:rsidP="00A859BE">
      <w:pPr>
        <w:pStyle w:val="ListParagraph"/>
      </w:pPr>
    </w:p>
    <w:p w:rsidR="00A859BE" w:rsidRPr="00A859BE" w:rsidRDefault="00A859BE" w:rsidP="00A859BE">
      <w:pPr>
        <w:pStyle w:val="ListParagraph"/>
        <w:ind w:left="0"/>
      </w:pPr>
      <w:r w:rsidRPr="00A859BE">
        <w:t xml:space="preserve">The PBAC noted that the estimates in the model for vaccine efficacy before completion of primary infant 3-dose course were 0.42 and 0.61 after one and two doses, respectively. The source of these estimates </w:t>
      </w:r>
      <w:proofErr w:type="gramStart"/>
      <w:r w:rsidRPr="00A859BE">
        <w:t>was not presented</w:t>
      </w:r>
      <w:proofErr w:type="gramEnd"/>
      <w:r w:rsidRPr="00A859BE">
        <w:t xml:space="preserve"> in the submission, but the PBAC accepted the advice from ATAGI that considered the estimate of 0.61 was reasonable and the estimate of 0.42 was reasonable but imprecise.</w:t>
      </w:r>
    </w:p>
    <w:p w:rsidR="00A859BE" w:rsidRPr="00A859BE" w:rsidRDefault="00A859BE" w:rsidP="00A859BE">
      <w:pPr>
        <w:pStyle w:val="ListParagraph"/>
      </w:pPr>
    </w:p>
    <w:p w:rsidR="00A859BE" w:rsidRPr="00A859BE" w:rsidRDefault="00A859BE" w:rsidP="00A859BE">
      <w:pPr>
        <w:pStyle w:val="ListParagraph"/>
        <w:ind w:left="0"/>
      </w:pPr>
      <w:r w:rsidRPr="00A859BE">
        <w:t>The PBAC accepted the time horizon of 100 years used in the model, in line with other vaccines considered by the PBAC. However, the committee considered that it was</w:t>
      </w:r>
      <w:r w:rsidRPr="00A859BE">
        <w:rPr>
          <w:snapToGrid w:val="0"/>
          <w:sz w:val="22"/>
          <w:szCs w:val="20"/>
          <w:lang w:val="en-US" w:eastAsia="en-US"/>
        </w:rPr>
        <w:t xml:space="preserve"> </w:t>
      </w:r>
      <w:r w:rsidRPr="00A859BE">
        <w:rPr>
          <w:lang w:val="en-US"/>
        </w:rPr>
        <w:t xml:space="preserve">not reasonable to assume that, over 100 years, the distribution of strains would not change, that each case would result in the same reduction in quality of life and there would be no improvement in the outcomes of meningococcal disease or in the management of disabilities over this </w:t>
      </w:r>
      <w:proofErr w:type="gramStart"/>
      <w:r w:rsidRPr="00A859BE">
        <w:rPr>
          <w:lang w:val="en-US"/>
        </w:rPr>
        <w:t>time frame</w:t>
      </w:r>
      <w:proofErr w:type="gramEnd"/>
      <w:r w:rsidRPr="00A859BE">
        <w:rPr>
          <w:lang w:val="en-US"/>
        </w:rPr>
        <w:t>.</w:t>
      </w:r>
    </w:p>
    <w:p w:rsidR="00A859BE" w:rsidRPr="00A859BE" w:rsidRDefault="00A859BE" w:rsidP="00A859BE"/>
    <w:p w:rsidR="00A859BE" w:rsidRPr="00A859BE" w:rsidRDefault="00A859BE" w:rsidP="00A859BE">
      <w:pPr>
        <w:pStyle w:val="ListParagraph"/>
        <w:ind w:left="0"/>
      </w:pPr>
      <w:r w:rsidRPr="00A859BE">
        <w:t xml:space="preserve">The PBAC noted that, in the economic model, individuals who had natural immunity could not enter the </w:t>
      </w:r>
      <w:proofErr w:type="spellStart"/>
      <w:r w:rsidRPr="00A859BE">
        <w:t>sero</w:t>
      </w:r>
      <w:proofErr w:type="spellEnd"/>
      <w:r w:rsidRPr="00A859BE">
        <w:t>-protected state, only vaccinated individuals. The PBAC considered that this assumption favoured the vaccine, particularly in the adolescent cohort. The PBAC noted that there was limited data available on the levels of natural immunity to meningococcal B strains in Australia to inform this assumption of the economic model.</w:t>
      </w:r>
    </w:p>
    <w:p w:rsidR="00A859BE" w:rsidRPr="00A859BE" w:rsidRDefault="00A859BE" w:rsidP="00A859BE">
      <w:pPr>
        <w:pStyle w:val="ListParagraph"/>
      </w:pPr>
    </w:p>
    <w:p w:rsidR="00A859BE" w:rsidRPr="00A859BE" w:rsidRDefault="00A859BE" w:rsidP="00A859BE">
      <w:pPr>
        <w:pStyle w:val="ListParagraph"/>
        <w:ind w:left="0"/>
      </w:pPr>
      <w:r w:rsidRPr="00A859BE">
        <w:t xml:space="preserve">The PBAC noted that the submission presented the base case of the economic evaluation with a differential annual discount rate for costs and for outcomes. The ICER/QALY </w:t>
      </w:r>
      <w:r w:rsidR="00250047">
        <w:t>wa</w:t>
      </w:r>
      <w:r w:rsidR="00250047" w:rsidRPr="00A859BE">
        <w:t xml:space="preserve">s </w:t>
      </w:r>
      <w:r w:rsidRPr="00A859BE">
        <w:t>highly sensitive to the discount rates applied to costs and outcomes. The PBAC considered that, consistent with its consideration of other vaccines for the NIP, it was not reasonable to apply differential discount rates in the base case of the economic model. The PBAC noted the discussion by ESC about discounting rates in economic modelling. The sponsor argued that the application of differential discounting to the economic model was appropriate because ‘</w:t>
      </w:r>
      <w:r w:rsidRPr="00A859BE">
        <w:rPr>
          <w:lang w:val="en-US"/>
        </w:rPr>
        <w:t>the burden mainly occurs at an early age implying the loss of many decades of life and early incident of permanent disability that lasts for the rest of life. In addition, a specific benefit of intervention with 4CMenB, as opposed to non-vaccine interventions, is that there is a disproportionate benefit accumulated over time, as the proportion of the population who are protected increases (herd effect).’</w:t>
      </w:r>
      <w:r w:rsidRPr="00A859BE">
        <w:rPr>
          <w:color w:val="FF0000"/>
          <w:lang w:val="en-US"/>
        </w:rPr>
        <w:t xml:space="preserve">  </w:t>
      </w:r>
      <w:r w:rsidRPr="00A859BE">
        <w:rPr>
          <w:iCs/>
          <w:lang w:val="en-US"/>
        </w:rPr>
        <w:t xml:space="preserve">The PBAC did not accept this argument as the long-term efficacy of the vaccine in individuals and the reduction of carriage </w:t>
      </w:r>
      <w:proofErr w:type="gramStart"/>
      <w:r w:rsidRPr="00A859BE">
        <w:rPr>
          <w:iCs/>
          <w:lang w:val="en-US"/>
        </w:rPr>
        <w:t>has not been adequately demonstrated</w:t>
      </w:r>
      <w:proofErr w:type="gramEnd"/>
      <w:r w:rsidRPr="00A859BE">
        <w:rPr>
          <w:iCs/>
          <w:lang w:val="en-US"/>
        </w:rPr>
        <w:t xml:space="preserve"> in the submission. T</w:t>
      </w:r>
      <w:r w:rsidRPr="00A859BE">
        <w:t xml:space="preserve">he PBAC recalled that differential discounting rates </w:t>
      </w:r>
      <w:proofErr w:type="gramStart"/>
      <w:r w:rsidRPr="00A859BE">
        <w:t>were not used</w:t>
      </w:r>
      <w:proofErr w:type="gramEnd"/>
      <w:r w:rsidRPr="00A859BE">
        <w:t xml:space="preserve"> in the deliberation by the PBAC for recommending other vaccines for the NIP, such as for rotavirus (where immediate benefits were expected) and for HPV (where the major benefits begin to accrue approximately 20 years after immunisation). The PBAC considered that NIP listing should only occur at a price that produces an acceptable ICER as a basis for PBAC recommendation.</w:t>
      </w:r>
    </w:p>
    <w:p w:rsidR="00A859BE" w:rsidRPr="00A859BE" w:rsidRDefault="00A859BE" w:rsidP="00A859BE">
      <w:pPr>
        <w:pStyle w:val="ListParagraph"/>
      </w:pPr>
    </w:p>
    <w:p w:rsidR="00A859BE" w:rsidRPr="00A859BE" w:rsidRDefault="00A859BE" w:rsidP="00A859BE">
      <w:pPr>
        <w:pStyle w:val="ListParagraph"/>
        <w:ind w:left="0"/>
      </w:pPr>
      <w:r w:rsidRPr="00A859BE">
        <w:t xml:space="preserve">The PBAC considered that it was not informative to consider a </w:t>
      </w:r>
      <w:proofErr w:type="spellStart"/>
      <w:r w:rsidRPr="00A859BE">
        <w:rPr>
          <w:bCs/>
        </w:rPr>
        <w:t>hyperendemic</w:t>
      </w:r>
      <w:proofErr w:type="spellEnd"/>
      <w:r w:rsidRPr="00A859BE">
        <w:rPr>
          <w:bCs/>
        </w:rPr>
        <w:t xml:space="preserve"> scenario in the economic evaluation for the inclusion of 4CMenB in the NIP, noting that the predictability of </w:t>
      </w:r>
      <w:r w:rsidRPr="00A859BE">
        <w:rPr>
          <w:bCs/>
        </w:rPr>
        <w:lastRenderedPageBreak/>
        <w:t xml:space="preserve">a </w:t>
      </w:r>
      <w:proofErr w:type="spellStart"/>
      <w:r w:rsidRPr="00A859BE">
        <w:rPr>
          <w:bCs/>
        </w:rPr>
        <w:t>hyperendemic</w:t>
      </w:r>
      <w:proofErr w:type="spellEnd"/>
      <w:r w:rsidRPr="00A859BE">
        <w:rPr>
          <w:bCs/>
        </w:rPr>
        <w:t xml:space="preserve"> scenario is such that it does not inform routine </w:t>
      </w:r>
      <w:proofErr w:type="gramStart"/>
      <w:r w:rsidRPr="00A859BE">
        <w:rPr>
          <w:bCs/>
        </w:rPr>
        <w:t>decision making</w:t>
      </w:r>
      <w:proofErr w:type="gramEnd"/>
      <w:r w:rsidRPr="00A859BE">
        <w:t xml:space="preserve">. The PBAC noted that </w:t>
      </w:r>
      <w:proofErr w:type="spellStart"/>
      <w:r w:rsidRPr="00A859BE">
        <w:t>hyperendemic</w:t>
      </w:r>
      <w:proofErr w:type="spellEnd"/>
      <w:r w:rsidRPr="00A859BE">
        <w:t xml:space="preserve"> meningococcal B outbreaks had occurred in New Zealand but did not consider that similar outbreaks were necessarily likely to occur in Australia.</w:t>
      </w:r>
    </w:p>
    <w:p w:rsidR="00A859BE" w:rsidRPr="00A859BE" w:rsidRDefault="00A859BE" w:rsidP="00A859BE">
      <w:pPr>
        <w:pStyle w:val="ListParagraph"/>
      </w:pPr>
    </w:p>
    <w:p w:rsidR="00A859BE" w:rsidRPr="00A859BE" w:rsidRDefault="00A859BE" w:rsidP="00A859BE">
      <w:pPr>
        <w:pStyle w:val="ListParagraph"/>
        <w:ind w:left="0"/>
      </w:pPr>
      <w:r w:rsidRPr="00A859BE">
        <w:t xml:space="preserve">The PBAC noted that there is a higher IMD burden in the </w:t>
      </w:r>
      <w:r w:rsidRPr="00A859BE">
        <w:rPr>
          <w:bCs/>
          <w:iCs/>
        </w:rPr>
        <w:t>Aboriginal and Torres Strait Islander</w:t>
      </w:r>
      <w:r w:rsidRPr="00A859BE">
        <w:t xml:space="preserve"> (ATSI) population, particularly in children under 5 years of age, where confirmed cases were 3.8 times higher </w:t>
      </w:r>
      <w:proofErr w:type="gramStart"/>
      <w:r w:rsidRPr="00A859BE">
        <w:t>than their non-Indigenous counterparts</w:t>
      </w:r>
      <w:proofErr w:type="gramEnd"/>
      <w:r w:rsidRPr="00A859BE">
        <w:t xml:space="preserve"> for 2006-2011. The PBAC did not consider it appropriate to recommend NIP listing of 4CMenB for use in the ATSI population only given the uncertain clinical efficacy and unacceptable cost-effectiveness of the vaccine. </w:t>
      </w:r>
      <w:proofErr w:type="gramStart"/>
      <w:r w:rsidRPr="00A859BE">
        <w:t xml:space="preserve">The PBAC also </w:t>
      </w:r>
      <w:r w:rsidRPr="00A859BE">
        <w:rPr>
          <w:lang w:val="en-US"/>
        </w:rPr>
        <w:t>noted the concerns of ATAGI that targeted immunization strategies in this population have achieved suboptimal vaccine coverage compared to universal strategies, that benefits would be realized on an individual not group basis, and that there would be considerable implementation and communication issues to consider around perceived differences in the risk-benefit acceptability of the vaccine for Indigenous versus non-Indigenous populations</w:t>
      </w:r>
      <w:r w:rsidRPr="00A859BE">
        <w:t>.</w:t>
      </w:r>
      <w:proofErr w:type="gramEnd"/>
    </w:p>
    <w:p w:rsidR="00A859BE" w:rsidRPr="00A859BE" w:rsidRDefault="00A859BE" w:rsidP="00A859BE"/>
    <w:p w:rsidR="00A859BE" w:rsidRPr="00A859BE" w:rsidRDefault="00A859BE" w:rsidP="00A859BE">
      <w:pPr>
        <w:pStyle w:val="ListParagraph"/>
        <w:ind w:left="0"/>
      </w:pPr>
      <w:r w:rsidRPr="00A859BE">
        <w:t xml:space="preserve">The PBAC noted the successful introduction of the meningococcal C conjugate vaccine into Australia. Confirmed cases of IMD caused by meningococcal C have fallen to almost zero within 10 years of introduction of this conjugate vaccine. The PBAC also noted the recent success in decreasing the incidence of meningococcal disease by a vaccine against the meningococcal </w:t>
      </w:r>
      <w:proofErr w:type="gramStart"/>
      <w:r w:rsidRPr="00A859BE">
        <w:t>A</w:t>
      </w:r>
      <w:proofErr w:type="gramEnd"/>
      <w:r w:rsidRPr="00A859BE">
        <w:t xml:space="preserve"> strain in Africa.</w:t>
      </w:r>
    </w:p>
    <w:p w:rsidR="00A859BE" w:rsidRPr="00A859BE" w:rsidRDefault="00A859BE" w:rsidP="00A859BE">
      <w:pPr>
        <w:pStyle w:val="ListParagraph"/>
      </w:pPr>
    </w:p>
    <w:p w:rsidR="00A859BE" w:rsidRPr="00A859BE" w:rsidRDefault="00A859BE" w:rsidP="00A859BE">
      <w:pPr>
        <w:pStyle w:val="ListParagraph"/>
        <w:ind w:left="0"/>
      </w:pPr>
      <w:r w:rsidRPr="00A859BE">
        <w:t xml:space="preserve">The PBAC noted that, in the financial estimates section of the submission, the sponsor estimated </w:t>
      </w:r>
      <w:r w:rsidR="00250047">
        <w:t>over 4 million</w:t>
      </w:r>
      <w:r w:rsidRPr="00A859BE">
        <w:t xml:space="preserve"> children would be vaccinated over the first 5 years of a full 4CMenB vaccination programme (including catch ups), at a net cost to the government of </w:t>
      </w:r>
      <w:r w:rsidR="00250047">
        <w:t>greater than $400 million</w:t>
      </w:r>
      <w:r w:rsidRPr="00A859BE">
        <w:t xml:space="preserve">. </w:t>
      </w:r>
      <w:proofErr w:type="gramStart"/>
      <w:r w:rsidRPr="00A859BE">
        <w:t xml:space="preserve">Based on estimates provided by ATAGI, this vaccination programme would prevent 224 cases of invasive meningococcal disease, 9 deaths due to meningococcal B disease, and 93 patients with </w:t>
      </w:r>
      <w:proofErr w:type="spellStart"/>
      <w:r w:rsidRPr="00A859BE">
        <w:t>sequelae</w:t>
      </w:r>
      <w:proofErr w:type="spellEnd"/>
      <w:r w:rsidRPr="00A859BE">
        <w:t xml:space="preserve"> after 5 years.</w:t>
      </w:r>
      <w:proofErr w:type="gramEnd"/>
      <w:r w:rsidRPr="00A859BE">
        <w:t xml:space="preserve"> The PBAC concluded that the rarity of invasive meningococcal B disease compared to the large number of vaccinations that are required was the primary driver of the unfavourable incremental cost-effectiveness ratio. The PBAC considered that, given the clinical uncertainties of a population wide prevention, there was high financial risk to the government and reduced opportunity to fund other </w:t>
      </w:r>
      <w:proofErr w:type="gramStart"/>
      <w:r w:rsidRPr="00A859BE">
        <w:t>interventions which</w:t>
      </w:r>
      <w:proofErr w:type="gramEnd"/>
      <w:r w:rsidRPr="00A859BE">
        <w:t xml:space="preserve"> are acceptably cost-effective.</w:t>
      </w:r>
    </w:p>
    <w:p w:rsidR="00A859BE" w:rsidRPr="00A859BE" w:rsidRDefault="00A859BE" w:rsidP="00A859BE"/>
    <w:p w:rsidR="00A859BE" w:rsidRPr="00A859BE" w:rsidRDefault="00A859BE" w:rsidP="00A859BE">
      <w:pPr>
        <w:pStyle w:val="ListParagraph"/>
        <w:ind w:left="0"/>
      </w:pPr>
      <w:r w:rsidRPr="00A859BE">
        <w:t>The PBAC noted the sponsor’s proposal to support additional research to address and potentially manage uncertainties associated with implementing the requested NIP listing:</w:t>
      </w:r>
    </w:p>
    <w:p w:rsidR="00A859BE" w:rsidRPr="00A859BE" w:rsidRDefault="00A859BE" w:rsidP="00002DC3">
      <w:pPr>
        <w:pStyle w:val="ListParagraph"/>
        <w:numPr>
          <w:ilvl w:val="0"/>
          <w:numId w:val="3"/>
        </w:numPr>
        <w:ind w:left="851" w:hanging="709"/>
      </w:pPr>
      <w:r w:rsidRPr="00A859BE">
        <w:t xml:space="preserve">continuation of the MATS analysis; </w:t>
      </w:r>
    </w:p>
    <w:p w:rsidR="00A859BE" w:rsidRPr="00A859BE" w:rsidRDefault="00A859BE" w:rsidP="00002DC3">
      <w:pPr>
        <w:pStyle w:val="ListParagraph"/>
        <w:numPr>
          <w:ilvl w:val="0"/>
          <w:numId w:val="3"/>
        </w:numPr>
        <w:ind w:left="567" w:hanging="425"/>
      </w:pPr>
      <w:proofErr w:type="gramStart"/>
      <w:r w:rsidRPr="00A859BE">
        <w:t>an</w:t>
      </w:r>
      <w:proofErr w:type="gramEnd"/>
      <w:r w:rsidRPr="00A859BE">
        <w:t xml:space="preserve"> effectiveness study, similar to the</w:t>
      </w:r>
      <w:r w:rsidRPr="00A859BE">
        <w:rPr>
          <w:rFonts w:eastAsia="MS Mincho"/>
          <w:sz w:val="22"/>
          <w:szCs w:val="22"/>
          <w:lang w:val="en-US" w:eastAsia="en-US"/>
        </w:rPr>
        <w:t xml:space="preserve"> </w:t>
      </w:r>
      <w:r w:rsidRPr="00A859BE">
        <w:rPr>
          <w:lang w:val="en-US"/>
        </w:rPr>
        <w:t>observational study protocol (Study V72_38OB) developed with Public Health England, which uses a screening method.</w:t>
      </w:r>
      <w:r w:rsidRPr="00A859BE">
        <w:rPr>
          <w:rFonts w:eastAsia="MS Mincho"/>
          <w:sz w:val="22"/>
          <w:szCs w:val="22"/>
          <w:lang w:val="en-US" w:eastAsia="en-US"/>
        </w:rPr>
        <w:t xml:space="preserve"> </w:t>
      </w:r>
      <w:r w:rsidRPr="00A859BE">
        <w:rPr>
          <w:lang w:val="en-US"/>
        </w:rPr>
        <w:t>Uptake and routine surveillance data for meningococcal disease would allow assessment of the vaccine effectiveness, as well as help provide longer-term answers on geographical strain coverage (by incorporating data from MATS), waning, herd immunity and capsule replacement;</w:t>
      </w:r>
    </w:p>
    <w:p w:rsidR="00A859BE" w:rsidRPr="00A859BE" w:rsidRDefault="00A859BE" w:rsidP="00002DC3">
      <w:pPr>
        <w:pStyle w:val="ListParagraph"/>
        <w:numPr>
          <w:ilvl w:val="0"/>
          <w:numId w:val="3"/>
        </w:numPr>
        <w:ind w:left="851" w:hanging="709"/>
      </w:pPr>
      <w:r w:rsidRPr="00A859BE">
        <w:t>a vaccine registry;</w:t>
      </w:r>
    </w:p>
    <w:p w:rsidR="00A859BE" w:rsidRPr="00A859BE" w:rsidRDefault="00A859BE" w:rsidP="00002DC3">
      <w:pPr>
        <w:pStyle w:val="ListParagraph"/>
        <w:numPr>
          <w:ilvl w:val="0"/>
          <w:numId w:val="3"/>
        </w:numPr>
        <w:ind w:left="567" w:hanging="425"/>
      </w:pPr>
      <w:proofErr w:type="gramStart"/>
      <w:r w:rsidRPr="00A859BE">
        <w:t>a</w:t>
      </w:r>
      <w:proofErr w:type="gramEnd"/>
      <w:r w:rsidRPr="00A859BE">
        <w:t xml:space="preserve"> carriage study, such as </w:t>
      </w:r>
      <w:r w:rsidRPr="00A859BE">
        <w:rPr>
          <w:lang w:val="en-US"/>
        </w:rPr>
        <w:t xml:space="preserve">a </w:t>
      </w:r>
      <w:r w:rsidRPr="00A859BE">
        <w:t>school-based study comparing carriage at baseline and after introduction of the vaccine</w:t>
      </w:r>
      <w:r w:rsidR="00EB35F3">
        <w:t xml:space="preserve"> in a national programme</w:t>
      </w:r>
      <w:r w:rsidRPr="00A859BE">
        <w:t>.</w:t>
      </w:r>
      <w:r w:rsidRPr="00A859BE">
        <w:rPr>
          <w:sz w:val="22"/>
          <w:szCs w:val="22"/>
          <w:lang w:val="en-US" w:eastAsia="en-US"/>
        </w:rPr>
        <w:t xml:space="preserve"> </w:t>
      </w:r>
      <w:r w:rsidRPr="00A859BE">
        <w:rPr>
          <w:lang w:val="en-US"/>
        </w:rPr>
        <w:t xml:space="preserve">The study’s scope, protocol, choice of investigators and governance </w:t>
      </w:r>
      <w:proofErr w:type="gramStart"/>
      <w:r w:rsidRPr="00A859BE">
        <w:rPr>
          <w:lang w:val="en-US"/>
        </w:rPr>
        <w:t>could be defined and agreed upon in further discussions with ATAGI</w:t>
      </w:r>
      <w:proofErr w:type="gramEnd"/>
      <w:r w:rsidRPr="00A859BE">
        <w:rPr>
          <w:lang w:val="en-US"/>
        </w:rPr>
        <w:t>.</w:t>
      </w:r>
    </w:p>
    <w:p w:rsidR="00A859BE" w:rsidRPr="00A859BE" w:rsidRDefault="00A859BE" w:rsidP="00A859BE">
      <w:pPr>
        <w:ind w:left="709"/>
      </w:pPr>
    </w:p>
    <w:p w:rsidR="00A859BE" w:rsidRPr="00A859BE" w:rsidRDefault="00A859BE" w:rsidP="00A859BE">
      <w:pPr>
        <w:pStyle w:val="ListParagraph"/>
        <w:ind w:left="0"/>
      </w:pPr>
      <w:r w:rsidRPr="00A859BE">
        <w:lastRenderedPageBreak/>
        <w:t>The PBAC agreed that this research could provide valuable information to address many of the clinical issues raised during the committee’s consideration of the submission.</w:t>
      </w:r>
    </w:p>
    <w:p w:rsidR="00A859BE" w:rsidRPr="00A859BE" w:rsidRDefault="00A859BE" w:rsidP="00A859BE"/>
    <w:p w:rsidR="00A859BE" w:rsidRPr="00A859BE" w:rsidRDefault="00A859BE" w:rsidP="00A859BE">
      <w:pPr>
        <w:pStyle w:val="ListParagraph"/>
        <w:ind w:left="0"/>
      </w:pPr>
      <w:r w:rsidRPr="00A859BE">
        <w:t xml:space="preserve">The PBAC noted that a registry would need to cover an age range of 2 months to early adulthood. In </w:t>
      </w:r>
      <w:proofErr w:type="gramStart"/>
      <w:r w:rsidRPr="00A859BE">
        <w:t>Australia</w:t>
      </w:r>
      <w:proofErr w:type="gramEnd"/>
      <w:r w:rsidRPr="00A859BE">
        <w:t xml:space="preserve"> there are two national vaccine registries: the Australian Childhood Immunisation Register (ACIR, up to the age of 7) and the National HPV Vaccination Program Register (adolescents to early adulthood). The PBAC considered the expansion of the ACIR to monitor immunisation coverage levels for the whole of life would be preferable option over the creation of a third registry.</w:t>
      </w:r>
    </w:p>
    <w:p w:rsidR="00A859BE" w:rsidRPr="00A859BE" w:rsidRDefault="00A859BE" w:rsidP="00A859BE">
      <w:pPr>
        <w:ind w:left="709"/>
      </w:pPr>
    </w:p>
    <w:p w:rsidR="00A859BE" w:rsidRPr="00A859BE" w:rsidRDefault="00A859BE" w:rsidP="00A859BE">
      <w:pPr>
        <w:pStyle w:val="ListParagraph"/>
        <w:ind w:left="0"/>
      </w:pPr>
      <w:r w:rsidRPr="00A859BE">
        <w:t xml:space="preserve">The PBAC noted that a controlled intervention study in the Oxford Health region of a </w:t>
      </w:r>
      <w:proofErr w:type="spellStart"/>
      <w:r w:rsidRPr="00A859BE">
        <w:t>Hib</w:t>
      </w:r>
      <w:proofErr w:type="spellEnd"/>
      <w:r w:rsidRPr="00A859BE">
        <w:t xml:space="preserve"> conjugate vaccine </w:t>
      </w:r>
      <w:proofErr w:type="gramStart"/>
      <w:r w:rsidRPr="00A859BE">
        <w:t>was completed</w:t>
      </w:r>
      <w:proofErr w:type="gramEnd"/>
      <w:r w:rsidRPr="00A859BE">
        <w:t xml:space="preserve"> in 1991 to address concerns of adding </w:t>
      </w:r>
      <w:proofErr w:type="spellStart"/>
      <w:r w:rsidRPr="00A859BE">
        <w:t>Hib</w:t>
      </w:r>
      <w:proofErr w:type="spellEnd"/>
      <w:r w:rsidRPr="00A859BE">
        <w:t xml:space="preserve"> conjugate vaccines to the UK national immunisation programme. Routine immunisation with </w:t>
      </w:r>
      <w:proofErr w:type="spellStart"/>
      <w:r w:rsidRPr="00A859BE">
        <w:t>Hib</w:t>
      </w:r>
      <w:proofErr w:type="spellEnd"/>
      <w:r w:rsidRPr="00A859BE">
        <w:t xml:space="preserve"> conjugate </w:t>
      </w:r>
      <w:proofErr w:type="gramStart"/>
      <w:r w:rsidRPr="00A859BE">
        <w:t>was introduced</w:t>
      </w:r>
      <w:proofErr w:type="gramEnd"/>
      <w:r w:rsidRPr="00A859BE">
        <w:t xml:space="preserve"> in October 1992 in the UK, resulting in near elimination of </w:t>
      </w:r>
      <w:proofErr w:type="spellStart"/>
      <w:r w:rsidRPr="00A859BE">
        <w:t>Hib</w:t>
      </w:r>
      <w:proofErr w:type="spellEnd"/>
      <w:r w:rsidRPr="00A859BE">
        <w:t xml:space="preserve"> disease (review by Heath &amp; </w:t>
      </w:r>
      <w:proofErr w:type="spellStart"/>
      <w:r w:rsidRPr="00A859BE">
        <w:t>McVernon</w:t>
      </w:r>
      <w:proofErr w:type="spellEnd"/>
      <w:r w:rsidR="00250047">
        <w:t xml:space="preserve"> (</w:t>
      </w:r>
      <w:r w:rsidR="00250047">
        <w:rPr>
          <w:rFonts w:cs="Arial"/>
        </w:rPr>
        <w:t xml:space="preserve">Heath, PT &amp; </w:t>
      </w:r>
      <w:proofErr w:type="spellStart"/>
      <w:r w:rsidR="00250047">
        <w:rPr>
          <w:rFonts w:cs="Arial"/>
        </w:rPr>
        <w:t>McVernon</w:t>
      </w:r>
      <w:proofErr w:type="spellEnd"/>
      <w:r w:rsidR="00250047">
        <w:rPr>
          <w:rFonts w:cs="Arial"/>
        </w:rPr>
        <w:t xml:space="preserve">, </w:t>
      </w:r>
      <w:proofErr w:type="spellStart"/>
      <w:r w:rsidR="00250047">
        <w:rPr>
          <w:rFonts w:cs="Arial"/>
        </w:rPr>
        <w:t>J.</w:t>
      </w:r>
      <w:r w:rsidR="00250047" w:rsidRPr="00CD35B6">
        <w:rPr>
          <w:rFonts w:cs="Arial"/>
        </w:rPr>
        <w:t>The</w:t>
      </w:r>
      <w:proofErr w:type="spellEnd"/>
      <w:r w:rsidR="00250047" w:rsidRPr="00CD35B6">
        <w:rPr>
          <w:rFonts w:cs="Arial"/>
        </w:rPr>
        <w:t xml:space="preserve"> UK </w:t>
      </w:r>
      <w:proofErr w:type="spellStart"/>
      <w:r w:rsidR="00250047" w:rsidRPr="00CD35B6">
        <w:rPr>
          <w:rFonts w:cs="Arial"/>
        </w:rPr>
        <w:t>Hib</w:t>
      </w:r>
      <w:proofErr w:type="spellEnd"/>
      <w:r w:rsidR="00250047" w:rsidRPr="00CD35B6">
        <w:rPr>
          <w:rFonts w:cs="Arial"/>
        </w:rPr>
        <w:t xml:space="preserve"> vaccine experience.</w:t>
      </w:r>
      <w:r w:rsidR="00250047">
        <w:rPr>
          <w:rFonts w:cs="Arial"/>
        </w:rPr>
        <w:t xml:space="preserve"> Arch Dis Child, 2002: </w:t>
      </w:r>
      <w:proofErr w:type="gramStart"/>
      <w:r w:rsidR="00250047">
        <w:rPr>
          <w:rFonts w:cs="Arial"/>
        </w:rPr>
        <w:t>86:396</w:t>
      </w:r>
      <w:proofErr w:type="gramEnd"/>
      <w:r w:rsidR="00250047">
        <w:rPr>
          <w:rFonts w:cs="Arial"/>
        </w:rPr>
        <w:t>-99))</w:t>
      </w:r>
      <w:r w:rsidRPr="00A859BE">
        <w:t xml:space="preserve">. The PBAC advised that consideration </w:t>
      </w:r>
      <w:proofErr w:type="gramStart"/>
      <w:r w:rsidRPr="00A859BE">
        <w:t>should be given</w:t>
      </w:r>
      <w:proofErr w:type="gramEnd"/>
      <w:r w:rsidRPr="00A859BE">
        <w:t xml:space="preserve"> to conducting a cluster randomised controlled trial (possibly clustering at State and Territory level) as a robust method of addressing uncertainties of the clinical effectiveness of the vaccine. If feasible, the PBAC considered that such a trial should be included as a component of the sponsor-supported additional research.</w:t>
      </w:r>
    </w:p>
    <w:p w:rsidR="00A859BE" w:rsidRPr="00A859BE" w:rsidRDefault="00A859BE" w:rsidP="00A859BE">
      <w:pPr>
        <w:ind w:left="709"/>
      </w:pPr>
    </w:p>
    <w:p w:rsidR="00A859BE" w:rsidRPr="00A859BE" w:rsidRDefault="00A859BE" w:rsidP="00A859BE">
      <w:pPr>
        <w:pStyle w:val="ListParagraph"/>
        <w:ind w:left="0"/>
      </w:pPr>
      <w:r w:rsidRPr="00A859BE">
        <w:t xml:space="preserve">The PBAC considered whether a managed entry approach would be appropriate for the 4CMenB vaccine to accommodate these research proposals. Co-implementation with the sponsor of such a scheme would likely address the extent and persistence of vaccine effectiveness, the extent of the reduction of nasopharyngeal carriage leading to extent of herd immunity, the surveillance for </w:t>
      </w:r>
      <w:proofErr w:type="spellStart"/>
      <w:r w:rsidRPr="00A859BE">
        <w:t>reactogencity</w:t>
      </w:r>
      <w:proofErr w:type="spellEnd"/>
      <w:r w:rsidRPr="00A859BE">
        <w:t xml:space="preserve"> and the requirement of an additional booster dose at age of 4 or in early adulthood.</w:t>
      </w:r>
    </w:p>
    <w:p w:rsidR="00A859BE" w:rsidRPr="00A859BE" w:rsidRDefault="00A859BE" w:rsidP="00A859BE">
      <w:pPr>
        <w:pStyle w:val="ListParagraph"/>
      </w:pPr>
    </w:p>
    <w:p w:rsidR="00A859BE" w:rsidRPr="00A859BE" w:rsidRDefault="00A859BE" w:rsidP="00A859BE">
      <w:pPr>
        <w:pStyle w:val="ListParagraph"/>
        <w:ind w:left="0"/>
      </w:pPr>
      <w:r w:rsidRPr="00A859BE">
        <w:t xml:space="preserve">However, the PBAC held </w:t>
      </w:r>
      <w:proofErr w:type="gramStart"/>
      <w:r w:rsidRPr="00A859BE">
        <w:t>grave concerns</w:t>
      </w:r>
      <w:proofErr w:type="gramEnd"/>
      <w:r w:rsidRPr="00A859BE">
        <w:t xml:space="preserve"> that if NIP listing was implemented in the context of a managed entry scheme, and the research subsequently showed that the expected benefits were not realised, there would be great difficulty associated with disinvestment and removal of the vaccine from the NIP, and such an event may undermine public confidence in immunisation in general.</w:t>
      </w:r>
    </w:p>
    <w:p w:rsidR="00A859BE" w:rsidRPr="00A859BE" w:rsidRDefault="00A859BE" w:rsidP="00A859BE"/>
    <w:p w:rsidR="00EE12C5" w:rsidRPr="00A859BE" w:rsidRDefault="00EE12C5" w:rsidP="00EE12C5">
      <w:pPr>
        <w:rPr>
          <w:b/>
          <w:i/>
        </w:rPr>
      </w:pPr>
      <w:r w:rsidRPr="00A859BE">
        <w:rPr>
          <w:b/>
          <w:i/>
        </w:rPr>
        <w:t>Recommendation</w:t>
      </w:r>
      <w:r w:rsidRPr="00A859BE">
        <w:t xml:space="preserve">: </w:t>
      </w:r>
    </w:p>
    <w:p w:rsidR="00A859BE" w:rsidRPr="00A859BE" w:rsidRDefault="00A859BE" w:rsidP="00A859BE">
      <w:r w:rsidRPr="00A859BE">
        <w:t>Rejected</w:t>
      </w:r>
    </w:p>
    <w:p w:rsidR="002A57B9" w:rsidRPr="00BB219E" w:rsidRDefault="00BB219E" w:rsidP="00BB219E">
      <w:pPr>
        <w:pStyle w:val="Heading3"/>
        <w:rPr>
          <w:rFonts w:ascii="Times New Roman" w:hAnsi="Times New Roman"/>
          <w:sz w:val="24"/>
        </w:rPr>
      </w:pPr>
      <w:r>
        <w:rPr>
          <w:rFonts w:ascii="Times New Roman" w:hAnsi="Times New Roman"/>
          <w:sz w:val="24"/>
        </w:rPr>
        <w:t xml:space="preserve">13. </w:t>
      </w:r>
      <w:r w:rsidR="002A57B9" w:rsidRPr="00BB219E">
        <w:rPr>
          <w:rFonts w:ascii="Times New Roman" w:hAnsi="Times New Roman"/>
          <w:sz w:val="24"/>
        </w:rPr>
        <w:t>Context for Decision</w:t>
      </w:r>
    </w:p>
    <w:p w:rsidR="00621994" w:rsidRDefault="00772EC1" w:rsidP="0094601C">
      <w:pPr>
        <w:adjustRightInd w:val="0"/>
        <w:rPr>
          <w:b/>
          <w:bCs/>
        </w:rPr>
      </w:pPr>
      <w: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A57B9" w:rsidRPr="00BB219E" w:rsidRDefault="00BB219E" w:rsidP="00BB219E">
      <w:pPr>
        <w:pStyle w:val="Heading3"/>
        <w:rPr>
          <w:rFonts w:ascii="Times New Roman" w:hAnsi="Times New Roman"/>
          <w:sz w:val="24"/>
        </w:rPr>
      </w:pPr>
      <w:r>
        <w:rPr>
          <w:rFonts w:ascii="Times New Roman" w:hAnsi="Times New Roman"/>
          <w:sz w:val="24"/>
        </w:rPr>
        <w:t xml:space="preserve">14. </w:t>
      </w:r>
      <w:r w:rsidR="002A57B9" w:rsidRPr="00BB219E">
        <w:rPr>
          <w:rFonts w:ascii="Times New Roman" w:hAnsi="Times New Roman"/>
          <w:sz w:val="24"/>
        </w:rPr>
        <w:t>Sponsor’s Comment</w:t>
      </w:r>
    </w:p>
    <w:p w:rsidR="00DE4969" w:rsidRPr="00AE0830" w:rsidRDefault="00DE4969" w:rsidP="00DE4969">
      <w:pPr>
        <w:tabs>
          <w:tab w:val="left" w:pos="0"/>
        </w:tabs>
      </w:pPr>
      <w:r w:rsidRPr="00AE0830">
        <w:t xml:space="preserve">Novartis </w:t>
      </w:r>
      <w:proofErr w:type="gramStart"/>
      <w:r w:rsidRPr="00AE0830">
        <w:t>is disappointed</w:t>
      </w:r>
      <w:proofErr w:type="gramEnd"/>
      <w:r w:rsidRPr="00AE0830">
        <w:t xml:space="preserve"> by the decision of the PBAC not to recommend </w:t>
      </w:r>
      <w:proofErr w:type="spellStart"/>
      <w:r w:rsidRPr="00AE0830">
        <w:t>Bexsero</w:t>
      </w:r>
      <w:proofErr w:type="spellEnd"/>
      <w:r w:rsidRPr="00AE0830">
        <w:rPr>
          <w:vertAlign w:val="superscript"/>
        </w:rPr>
        <w:t>®</w:t>
      </w:r>
      <w:r w:rsidRPr="00AE0830">
        <w:t xml:space="preserve"> for inclusion onto the National Immunisation Programme (NIP) at this time</w:t>
      </w:r>
      <w:r w:rsidRPr="00AE0830">
        <w:rPr>
          <w:rFonts w:hint="eastAsia"/>
        </w:rPr>
        <w:t xml:space="preserve">.  </w:t>
      </w:r>
      <w:r>
        <w:rPr>
          <w:rFonts w:hint="eastAsia"/>
          <w:snapToGrid w:val="0"/>
          <w:lang w:eastAsia="ja-JP"/>
        </w:rPr>
        <w:t>M</w:t>
      </w:r>
      <w:r w:rsidRPr="00286FAB">
        <w:rPr>
          <w:snapToGrid w:val="0"/>
          <w:lang w:eastAsia="en-US"/>
        </w:rPr>
        <w:t xml:space="preserve">eningococcal B </w:t>
      </w:r>
      <w:r w:rsidRPr="00AE0830">
        <w:t>is the single leading cause of bacterial meningitis and sepsis in Australian infants and teenagers, accounting for approximately 85% of all meningococcal disease cases. The di</w:t>
      </w:r>
      <w:r w:rsidRPr="003D0544">
        <w:t xml:space="preserve">sease </w:t>
      </w:r>
      <w:proofErr w:type="gramStart"/>
      <w:r w:rsidRPr="003D0544">
        <w:t>is</w:t>
      </w:r>
      <w:r>
        <w:rPr>
          <w:rFonts w:hint="eastAsia"/>
          <w:lang w:eastAsia="ja-JP"/>
        </w:rPr>
        <w:t xml:space="preserve"> </w:t>
      </w:r>
      <w:r w:rsidRPr="00AE0830">
        <w:t xml:space="preserve">easily </w:t>
      </w:r>
      <w:r w:rsidRPr="00AE0830">
        <w:lastRenderedPageBreak/>
        <w:t>misdiagnosed</w:t>
      </w:r>
      <w:proofErr w:type="gramEnd"/>
      <w:r w:rsidRPr="00AE0830">
        <w:t xml:space="preserve"> in its early stages and can develop rapidly, frequently leading to death or permanent disability within 24 hours of onset of symptoms.</w:t>
      </w:r>
    </w:p>
    <w:p w:rsidR="00DE4969" w:rsidRPr="00AE0830" w:rsidRDefault="00DE4969" w:rsidP="00DE4969">
      <w:pPr>
        <w:tabs>
          <w:tab w:val="left" w:pos="0"/>
        </w:tabs>
      </w:pPr>
    </w:p>
    <w:p w:rsidR="00DE4969" w:rsidRPr="00A37B8B" w:rsidRDefault="00DE4969" w:rsidP="00DE4969">
      <w:pPr>
        <w:tabs>
          <w:tab w:val="left" w:pos="0"/>
        </w:tabs>
        <w:rPr>
          <w:lang w:eastAsia="ja-JP"/>
        </w:rPr>
      </w:pPr>
      <w:r w:rsidRPr="00AE0830">
        <w:t xml:space="preserve">Novartis is committed to </w:t>
      </w:r>
      <w:r>
        <w:rPr>
          <w:rFonts w:hint="eastAsia"/>
          <w:lang w:eastAsia="ja-JP"/>
        </w:rPr>
        <w:t xml:space="preserve">the inclusion of </w:t>
      </w:r>
      <w:proofErr w:type="spellStart"/>
      <w:r w:rsidRPr="00AE0830">
        <w:t>Bexsero</w:t>
      </w:r>
      <w:proofErr w:type="spellEnd"/>
      <w:r w:rsidRPr="00AE0830">
        <w:rPr>
          <w:vertAlign w:val="superscript"/>
        </w:rPr>
        <w:t>®</w:t>
      </w:r>
      <w:r>
        <w:rPr>
          <w:rFonts w:hint="eastAsia"/>
          <w:lang w:eastAsia="ja-JP"/>
        </w:rPr>
        <w:t xml:space="preserve"> on</w:t>
      </w:r>
      <w:r w:rsidRPr="00AE0830">
        <w:t xml:space="preserve"> the NIP, since we believe that widespread use of the vaccine will significantly reduce the risk of this devastating disease in the Australian community.</w:t>
      </w:r>
      <w:r>
        <w:rPr>
          <w:rFonts w:hint="eastAsia"/>
          <w:lang w:eastAsia="ja-JP"/>
        </w:rPr>
        <w:t xml:space="preserve"> </w:t>
      </w:r>
      <w:r w:rsidRPr="00307889">
        <w:t>Novartis has carefully considered the PBAC’s commentary on the submission and is working with the Committee to address all outstanding areas of uncertainty in a resubmission to the PBAC submitted March 2014.</w:t>
      </w:r>
    </w:p>
    <w:p w:rsidR="00933DF3" w:rsidRDefault="00933DF3"/>
    <w:p w:rsidR="00002DC3" w:rsidRDefault="00002DC3">
      <w:pPr>
        <w:rPr>
          <w:b/>
          <w:sz w:val="28"/>
        </w:rPr>
      </w:pPr>
      <w:r w:rsidRPr="00002DC3">
        <w:rPr>
          <w:b/>
          <w:sz w:val="28"/>
        </w:rPr>
        <w:t xml:space="preserve">ADDENDUM - JULY 2014 </w:t>
      </w:r>
    </w:p>
    <w:p w:rsidR="00002DC3" w:rsidRDefault="00002DC3">
      <w:pPr>
        <w:rPr>
          <w:b/>
          <w:sz w:val="28"/>
        </w:rPr>
      </w:pPr>
    </w:p>
    <w:p w:rsidR="00002DC3" w:rsidRPr="006D6EC7" w:rsidRDefault="00002DC3" w:rsidP="00002DC3">
      <w:pPr>
        <w:ind w:left="720" w:hanging="720"/>
        <w:rPr>
          <w:rFonts w:ascii="Arial" w:hAnsi="Arial"/>
          <w:b/>
          <w:sz w:val="28"/>
          <w:szCs w:val="28"/>
        </w:rPr>
      </w:pPr>
      <w:proofErr w:type="gramStart"/>
      <w:r>
        <w:rPr>
          <w:rFonts w:ascii="Arial" w:hAnsi="Arial"/>
          <w:b/>
          <w:sz w:val="28"/>
          <w:szCs w:val="28"/>
        </w:rPr>
        <w:t>7.4</w:t>
      </w:r>
      <w:r w:rsidRPr="006D6EC7">
        <w:rPr>
          <w:rFonts w:ascii="Arial" w:hAnsi="Arial"/>
          <w:b/>
          <w:sz w:val="28"/>
          <w:szCs w:val="28"/>
        </w:rPr>
        <w:tab/>
      </w:r>
      <w:r w:rsidRPr="00314F4E">
        <w:rPr>
          <w:rFonts w:ascii="Arial" w:hAnsi="Arial"/>
          <w:b/>
          <w:sz w:val="28"/>
          <w:szCs w:val="28"/>
        </w:rPr>
        <w:t xml:space="preserve">MULTICOMPONENT MENINGOCOCCAL GROUP B VACCINE (4CMenB), injection, 0.5mL, </w:t>
      </w:r>
      <w:proofErr w:type="spellStart"/>
      <w:r w:rsidRPr="00314F4E">
        <w:rPr>
          <w:rFonts w:ascii="Arial" w:hAnsi="Arial"/>
          <w:b/>
          <w:sz w:val="28"/>
          <w:szCs w:val="28"/>
        </w:rPr>
        <w:t>Bexsero</w:t>
      </w:r>
      <w:proofErr w:type="spellEnd"/>
      <w:r w:rsidRPr="00314F4E">
        <w:rPr>
          <w:rFonts w:ascii="Arial" w:hAnsi="Arial"/>
          <w:b/>
          <w:sz w:val="28"/>
          <w:szCs w:val="28"/>
        </w:rPr>
        <w:t>, Novartis Vaccines and Diagnostics Pty Ltd</w:t>
      </w:r>
      <w:r w:rsidRPr="006D6EC7">
        <w:rPr>
          <w:rFonts w:ascii="Arial" w:hAnsi="Arial"/>
          <w:b/>
          <w:sz w:val="28"/>
          <w:szCs w:val="28"/>
        </w:rPr>
        <w:t>.</w:t>
      </w:r>
      <w:proofErr w:type="gramEnd"/>
    </w:p>
    <w:p w:rsidR="00002DC3" w:rsidRDefault="00002DC3" w:rsidP="00002DC3">
      <w:pPr>
        <w:rPr>
          <w:rFonts w:ascii="Arial" w:hAnsi="Arial"/>
          <w:sz w:val="22"/>
          <w:szCs w:val="22"/>
        </w:rPr>
      </w:pPr>
    </w:p>
    <w:p w:rsidR="00002DC3" w:rsidRDefault="00002DC3" w:rsidP="00002DC3">
      <w:pPr>
        <w:rPr>
          <w:rFonts w:ascii="Arial" w:hAnsi="Arial"/>
          <w:sz w:val="22"/>
          <w:szCs w:val="22"/>
        </w:rPr>
      </w:pPr>
    </w:p>
    <w:p w:rsidR="00002DC3" w:rsidRPr="00882085" w:rsidRDefault="00002DC3" w:rsidP="00002DC3">
      <w:pPr>
        <w:jc w:val="both"/>
        <w:rPr>
          <w:rFonts w:ascii="Arial" w:hAnsi="Arial"/>
          <w:b/>
          <w:sz w:val="22"/>
          <w:szCs w:val="22"/>
        </w:rPr>
      </w:pPr>
      <w:r w:rsidRPr="00882085">
        <w:rPr>
          <w:rFonts w:ascii="Arial" w:hAnsi="Arial"/>
          <w:b/>
          <w:sz w:val="22"/>
          <w:szCs w:val="22"/>
        </w:rPr>
        <w:t>1</w:t>
      </w:r>
      <w:r w:rsidRPr="00882085">
        <w:rPr>
          <w:rFonts w:ascii="Arial" w:hAnsi="Arial"/>
          <w:b/>
          <w:sz w:val="22"/>
          <w:szCs w:val="22"/>
        </w:rPr>
        <w:tab/>
        <w:t>Purpose of Application</w:t>
      </w:r>
    </w:p>
    <w:p w:rsidR="00002DC3" w:rsidRPr="00882085" w:rsidRDefault="00002DC3" w:rsidP="00002DC3">
      <w:pPr>
        <w:jc w:val="both"/>
        <w:rPr>
          <w:rFonts w:ascii="Arial" w:hAnsi="Arial"/>
          <w:sz w:val="22"/>
          <w:szCs w:val="22"/>
        </w:rPr>
      </w:pPr>
    </w:p>
    <w:p w:rsidR="00002DC3" w:rsidRPr="00314F4E" w:rsidRDefault="00002DC3" w:rsidP="00002DC3">
      <w:pPr>
        <w:pStyle w:val="ListParagraph"/>
        <w:numPr>
          <w:ilvl w:val="1"/>
          <w:numId w:val="1"/>
        </w:numPr>
        <w:jc w:val="both"/>
        <w:rPr>
          <w:rFonts w:ascii="Arial" w:hAnsi="Arial"/>
          <w:b/>
          <w:sz w:val="22"/>
          <w:szCs w:val="22"/>
        </w:rPr>
      </w:pPr>
      <w:proofErr w:type="gramStart"/>
      <w:r w:rsidRPr="00314F4E">
        <w:rPr>
          <w:rFonts w:ascii="Arial" w:hAnsi="Arial"/>
          <w:sz w:val="22"/>
          <w:szCs w:val="22"/>
        </w:rPr>
        <w:t>To request the inclusion of a four component meningococcal B (4CMenB) vaccine on the National Immunisation Program (NIP) Schedule for prevention of meningococcal B disease in infants and adolescents.</w:t>
      </w:r>
      <w:proofErr w:type="gramEnd"/>
      <w:r w:rsidRPr="00314F4E">
        <w:rPr>
          <w:rFonts w:ascii="Arial" w:hAnsi="Arial"/>
          <w:sz w:val="22"/>
          <w:szCs w:val="22"/>
        </w:rPr>
        <w:t xml:space="preserve"> </w:t>
      </w:r>
      <w:r>
        <w:rPr>
          <w:rFonts w:ascii="Arial" w:hAnsi="Arial"/>
          <w:sz w:val="22"/>
          <w:szCs w:val="22"/>
        </w:rPr>
        <w:t xml:space="preserve">The </w:t>
      </w:r>
      <w:r w:rsidRPr="00314F4E">
        <w:rPr>
          <w:rFonts w:ascii="Arial" w:hAnsi="Arial"/>
          <w:sz w:val="22"/>
          <w:szCs w:val="22"/>
        </w:rPr>
        <w:t xml:space="preserve">PBAC previously considered the 4CMenB vaccine at the November 2013 meeting. </w:t>
      </w:r>
    </w:p>
    <w:p w:rsidR="00002DC3" w:rsidRDefault="00002DC3" w:rsidP="00002DC3">
      <w:pPr>
        <w:jc w:val="both"/>
        <w:rPr>
          <w:rFonts w:ascii="Arial" w:hAnsi="Arial"/>
          <w:sz w:val="22"/>
          <w:szCs w:val="22"/>
        </w:rPr>
      </w:pPr>
    </w:p>
    <w:p w:rsidR="00002DC3" w:rsidRPr="00B5289B" w:rsidRDefault="00002DC3" w:rsidP="00002DC3">
      <w:pPr>
        <w:jc w:val="both"/>
        <w:rPr>
          <w:rFonts w:ascii="Arial" w:hAnsi="Arial"/>
          <w:sz w:val="22"/>
          <w:szCs w:val="22"/>
        </w:rPr>
      </w:pPr>
    </w:p>
    <w:p w:rsidR="00002DC3" w:rsidRPr="00882085" w:rsidRDefault="00002DC3" w:rsidP="00002DC3">
      <w:pPr>
        <w:pStyle w:val="ListParagraph"/>
        <w:numPr>
          <w:ilvl w:val="0"/>
          <w:numId w:val="1"/>
        </w:numPr>
        <w:jc w:val="both"/>
        <w:rPr>
          <w:rFonts w:ascii="Arial" w:hAnsi="Arial"/>
          <w:b/>
          <w:sz w:val="22"/>
          <w:szCs w:val="22"/>
        </w:rPr>
      </w:pPr>
      <w:r w:rsidRPr="00882085">
        <w:rPr>
          <w:rFonts w:ascii="Arial" w:hAnsi="Arial"/>
          <w:b/>
          <w:sz w:val="22"/>
          <w:szCs w:val="22"/>
        </w:rPr>
        <w:t>Requested listing</w:t>
      </w:r>
    </w:p>
    <w:p w:rsidR="00002DC3" w:rsidRPr="00B5289B" w:rsidRDefault="00002DC3" w:rsidP="00002DC3">
      <w:pPr>
        <w:jc w:val="both"/>
        <w:rPr>
          <w:rFonts w:ascii="Arial" w:hAnsi="Arial"/>
          <w:sz w:val="22"/>
          <w:szCs w:val="22"/>
        </w:rPr>
      </w:pPr>
    </w:p>
    <w:p w:rsidR="00002DC3" w:rsidRDefault="00002DC3" w:rsidP="00002DC3">
      <w:pPr>
        <w:pStyle w:val="ListParagraph"/>
        <w:numPr>
          <w:ilvl w:val="1"/>
          <w:numId w:val="1"/>
        </w:numPr>
        <w:jc w:val="both"/>
        <w:rPr>
          <w:rFonts w:ascii="Arial" w:hAnsi="Arial"/>
          <w:sz w:val="22"/>
          <w:szCs w:val="22"/>
        </w:rPr>
      </w:pPr>
      <w:r w:rsidRPr="00314F4E">
        <w:rPr>
          <w:rFonts w:ascii="Arial" w:hAnsi="Arial"/>
          <w:sz w:val="22"/>
          <w:szCs w:val="22"/>
        </w:rPr>
        <w:t>The resubmission request</w:t>
      </w:r>
      <w:r>
        <w:rPr>
          <w:rFonts w:ascii="Arial" w:hAnsi="Arial"/>
          <w:sz w:val="22"/>
          <w:szCs w:val="22"/>
        </w:rPr>
        <w:t>ed</w:t>
      </w:r>
      <w:r w:rsidRPr="00314F4E">
        <w:rPr>
          <w:rFonts w:ascii="Arial" w:hAnsi="Arial"/>
          <w:sz w:val="22"/>
          <w:szCs w:val="22"/>
        </w:rPr>
        <w:t xml:space="preserve"> inclusion of the 4CMenB vaccine in the NIP with </w:t>
      </w:r>
      <w:r>
        <w:rPr>
          <w:rFonts w:ascii="Arial" w:hAnsi="Arial"/>
          <w:sz w:val="22"/>
          <w:szCs w:val="22"/>
        </w:rPr>
        <w:t xml:space="preserve">the </w:t>
      </w:r>
      <w:r w:rsidRPr="00314F4E">
        <w:rPr>
          <w:rFonts w:ascii="Arial" w:hAnsi="Arial"/>
          <w:sz w:val="22"/>
          <w:szCs w:val="22"/>
        </w:rPr>
        <w:t>proposed vaccination schedule as presented in the table below</w:t>
      </w:r>
      <w:r w:rsidRPr="00882085">
        <w:rPr>
          <w:rFonts w:ascii="Arial" w:hAnsi="Arial"/>
          <w:sz w:val="22"/>
          <w:szCs w:val="22"/>
        </w:rPr>
        <w:t>.</w:t>
      </w:r>
      <w:r>
        <w:rPr>
          <w:rFonts w:ascii="Arial" w:hAnsi="Arial"/>
          <w:sz w:val="22"/>
          <w:szCs w:val="22"/>
        </w:rPr>
        <w:t xml:space="preserve"> This was unchanged from the previous submission.</w:t>
      </w:r>
      <w:r w:rsidRPr="00882085">
        <w:rPr>
          <w:rFonts w:ascii="Arial" w:hAnsi="Arial"/>
          <w:sz w:val="22"/>
          <w:szCs w:val="22"/>
        </w:rPr>
        <w:t xml:space="preserve"> </w:t>
      </w:r>
    </w:p>
    <w:p w:rsidR="00002DC3" w:rsidRDefault="00002DC3" w:rsidP="00002DC3">
      <w:pPr>
        <w:jc w:val="both"/>
        <w:rPr>
          <w:rFonts w:ascii="Arial" w:hAnsi="Arial"/>
          <w:sz w:val="22"/>
          <w:szCs w:val="22"/>
        </w:rPr>
      </w:pPr>
    </w:p>
    <w:p w:rsidR="00002DC3" w:rsidRPr="00A81973" w:rsidRDefault="00002DC3" w:rsidP="00002DC3">
      <w:pPr>
        <w:ind w:left="709"/>
        <w:rPr>
          <w:rStyle w:val="CommentReference"/>
          <w:rFonts w:ascii="Arial Narrow" w:hAnsi="Arial Narrow" w:cs="Arial"/>
          <w:b/>
          <w:sz w:val="20"/>
          <w:szCs w:val="20"/>
        </w:rPr>
      </w:pPr>
      <w:r w:rsidRPr="00A81973">
        <w:rPr>
          <w:rStyle w:val="CommentReference"/>
          <w:rFonts w:ascii="Arial Narrow" w:hAnsi="Arial Narrow" w:cs="Arial"/>
          <w:b/>
          <w:sz w:val="20"/>
          <w:szCs w:val="20"/>
        </w:rPr>
        <w:t>Proposed Australian NIP Dosage Sch</w:t>
      </w:r>
      <w:r>
        <w:rPr>
          <w:rStyle w:val="CommentReference"/>
          <w:rFonts w:ascii="Arial Narrow" w:hAnsi="Arial Narrow" w:cs="Arial"/>
          <w:b/>
          <w:sz w:val="20"/>
          <w:szCs w:val="20"/>
        </w:rPr>
        <w:t>edule by age for 4CMenB vaccine</w:t>
      </w:r>
    </w:p>
    <w:tbl>
      <w:tblPr>
        <w:tblW w:w="4581" w:type="pct"/>
        <w:tblInd w:w="766" w:type="dxa"/>
        <w:tblCellMar>
          <w:left w:w="57" w:type="dxa"/>
          <w:right w:w="57" w:type="dxa"/>
        </w:tblCellMar>
        <w:tblLook w:val="0000" w:firstRow="0" w:lastRow="0" w:firstColumn="0" w:lastColumn="0" w:noHBand="0" w:noVBand="0"/>
        <w:tblDescription w:val="Proposed Australian NIP Dosage Schedule by age for 4CMenB vaccine"/>
      </w:tblPr>
      <w:tblGrid>
        <w:gridCol w:w="3118"/>
        <w:gridCol w:w="1276"/>
        <w:gridCol w:w="2268"/>
        <w:gridCol w:w="1712"/>
      </w:tblGrid>
      <w:tr w:rsidR="00002DC3" w:rsidRPr="003D3F7B" w:rsidTr="003F4A74">
        <w:trPr>
          <w:trHeight w:val="73"/>
          <w:tblHeader/>
        </w:trPr>
        <w:tc>
          <w:tcPr>
            <w:tcW w:w="1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2DC3" w:rsidRPr="003D3F7B" w:rsidRDefault="00002DC3" w:rsidP="00D60B44">
            <w:pPr>
              <w:jc w:val="center"/>
              <w:rPr>
                <w:rFonts w:ascii="Arial Narrow" w:hAnsi="Arial Narrow"/>
                <w:b/>
                <w:sz w:val="20"/>
              </w:rPr>
            </w:pPr>
            <w:r w:rsidRPr="003D3F7B">
              <w:rPr>
                <w:rFonts w:ascii="Arial Narrow" w:hAnsi="Arial Narrow"/>
                <w:b/>
                <w:sz w:val="20"/>
              </w:rPr>
              <w:t xml:space="preserve">Target </w:t>
            </w:r>
            <w:r>
              <w:rPr>
                <w:rFonts w:ascii="Arial Narrow" w:hAnsi="Arial Narrow"/>
                <w:b/>
                <w:sz w:val="20"/>
              </w:rPr>
              <w:t>a</w:t>
            </w:r>
            <w:r w:rsidRPr="003D3F7B">
              <w:rPr>
                <w:rFonts w:ascii="Arial Narrow" w:hAnsi="Arial Narrow"/>
                <w:b/>
                <w:sz w:val="20"/>
              </w:rPr>
              <w:t>ge/age-group (at first dose)</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2DC3" w:rsidRPr="003D3F7B" w:rsidRDefault="00002DC3" w:rsidP="00D60B44">
            <w:pPr>
              <w:jc w:val="center"/>
              <w:rPr>
                <w:rFonts w:ascii="Arial Narrow" w:hAnsi="Arial Narrow"/>
                <w:b/>
                <w:sz w:val="20"/>
              </w:rPr>
            </w:pPr>
            <w:r w:rsidRPr="003D3F7B">
              <w:rPr>
                <w:rFonts w:ascii="Arial Narrow" w:hAnsi="Arial Narrow"/>
                <w:b/>
                <w:sz w:val="20"/>
              </w:rPr>
              <w:t>No. of primary doses</w:t>
            </w:r>
          </w:p>
        </w:tc>
        <w:tc>
          <w:tcPr>
            <w:tcW w:w="1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2DC3" w:rsidRPr="003D3F7B" w:rsidRDefault="00002DC3" w:rsidP="00D60B44">
            <w:pPr>
              <w:jc w:val="center"/>
              <w:rPr>
                <w:rFonts w:ascii="Arial Narrow" w:hAnsi="Arial Narrow"/>
                <w:b/>
                <w:sz w:val="20"/>
              </w:rPr>
            </w:pPr>
            <w:r w:rsidRPr="003D3F7B">
              <w:rPr>
                <w:rFonts w:ascii="Arial Narrow" w:hAnsi="Arial Narrow"/>
                <w:b/>
                <w:sz w:val="20"/>
              </w:rPr>
              <w:t>Schedule proposed</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2DC3" w:rsidRPr="003D3F7B" w:rsidRDefault="00002DC3" w:rsidP="00D60B44">
            <w:pPr>
              <w:jc w:val="center"/>
              <w:rPr>
                <w:rFonts w:ascii="Arial Narrow" w:hAnsi="Arial Narrow"/>
                <w:b/>
                <w:sz w:val="20"/>
              </w:rPr>
            </w:pPr>
            <w:r w:rsidRPr="003D3F7B">
              <w:rPr>
                <w:rFonts w:ascii="Arial Narrow" w:hAnsi="Arial Narrow"/>
                <w:b/>
                <w:sz w:val="20"/>
              </w:rPr>
              <w:t>Booster dose requirement (age)</w:t>
            </w:r>
          </w:p>
        </w:tc>
      </w:tr>
      <w:tr w:rsidR="00002DC3" w:rsidRPr="003D3F7B" w:rsidTr="00D60B44">
        <w:trPr>
          <w:trHeight w:val="141"/>
        </w:trPr>
        <w:tc>
          <w:tcPr>
            <w:tcW w:w="5000" w:type="pct"/>
            <w:gridSpan w:val="4"/>
            <w:tcBorders>
              <w:top w:val="single" w:sz="4" w:space="0" w:color="000000"/>
              <w:left w:val="single" w:sz="4" w:space="0" w:color="000000"/>
              <w:bottom w:val="single" w:sz="4" w:space="0" w:color="000000"/>
              <w:right w:val="single" w:sz="4" w:space="0" w:color="000000"/>
            </w:tcBorders>
          </w:tcPr>
          <w:p w:rsidR="00002DC3" w:rsidRPr="003D3F7B" w:rsidRDefault="00002DC3" w:rsidP="00D60B44">
            <w:pPr>
              <w:rPr>
                <w:rFonts w:ascii="Arial Narrow" w:hAnsi="Arial Narrow"/>
                <w:b/>
                <w:sz w:val="20"/>
              </w:rPr>
            </w:pPr>
            <w:r w:rsidRPr="003D3F7B">
              <w:rPr>
                <w:rFonts w:ascii="Arial Narrow" w:hAnsi="Arial Narrow"/>
                <w:b/>
                <w:sz w:val="20"/>
              </w:rPr>
              <w:t>A) Routine vaccination program</w:t>
            </w:r>
          </w:p>
        </w:tc>
      </w:tr>
      <w:tr w:rsidR="00002DC3" w:rsidRPr="003D3F7B" w:rsidTr="00D60B44">
        <w:trPr>
          <w:trHeight w:val="30"/>
        </w:trPr>
        <w:tc>
          <w:tcPr>
            <w:tcW w:w="1862"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rPr>
                <w:rFonts w:ascii="Arial Narrow" w:hAnsi="Arial Narrow"/>
                <w:sz w:val="20"/>
              </w:rPr>
            </w:pPr>
            <w:r w:rsidRPr="003D3F7B">
              <w:rPr>
                <w:rFonts w:ascii="Arial Narrow" w:hAnsi="Arial Narrow"/>
                <w:sz w:val="20"/>
              </w:rPr>
              <w:t>A1) Infants aged 2 months</w:t>
            </w:r>
          </w:p>
        </w:tc>
        <w:tc>
          <w:tcPr>
            <w:tcW w:w="762"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jc w:val="center"/>
              <w:rPr>
                <w:rFonts w:ascii="Arial Narrow" w:hAnsi="Arial Narrow"/>
                <w:sz w:val="20"/>
              </w:rPr>
            </w:pPr>
            <w:r w:rsidRPr="003D3F7B">
              <w:rPr>
                <w:rFonts w:ascii="Arial Narrow" w:hAnsi="Arial Narrow"/>
                <w:sz w:val="20"/>
              </w:rPr>
              <w:t>3</w:t>
            </w:r>
          </w:p>
        </w:tc>
        <w:tc>
          <w:tcPr>
            <w:tcW w:w="1354"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jc w:val="center"/>
              <w:rPr>
                <w:rFonts w:ascii="Arial Narrow" w:hAnsi="Arial Narrow"/>
                <w:sz w:val="20"/>
              </w:rPr>
            </w:pPr>
            <w:r w:rsidRPr="003D3F7B">
              <w:rPr>
                <w:rFonts w:ascii="Arial Narrow" w:hAnsi="Arial Narrow"/>
                <w:sz w:val="20"/>
              </w:rPr>
              <w:t>At age 2,4,6 months</w:t>
            </w:r>
          </w:p>
        </w:tc>
        <w:tc>
          <w:tcPr>
            <w:tcW w:w="1023" w:type="pct"/>
            <w:tcBorders>
              <w:top w:val="single" w:sz="4" w:space="0" w:color="000000"/>
              <w:left w:val="single" w:sz="4" w:space="0" w:color="000000"/>
              <w:bottom w:val="single" w:sz="4" w:space="0" w:color="000000"/>
              <w:right w:val="single" w:sz="4" w:space="0" w:color="000000"/>
            </w:tcBorders>
            <w:vAlign w:val="center"/>
          </w:tcPr>
          <w:p w:rsidR="00002DC3" w:rsidRDefault="00002DC3" w:rsidP="00D60B44">
            <w:pPr>
              <w:jc w:val="center"/>
              <w:rPr>
                <w:rFonts w:ascii="Arial Narrow" w:hAnsi="Arial Narrow"/>
                <w:sz w:val="20"/>
              </w:rPr>
            </w:pPr>
            <w:r w:rsidRPr="003D3F7B">
              <w:rPr>
                <w:rFonts w:ascii="Arial Narrow" w:hAnsi="Arial Narrow"/>
                <w:sz w:val="20"/>
              </w:rPr>
              <w:t>12 months;</w:t>
            </w:r>
          </w:p>
          <w:p w:rsidR="00002DC3" w:rsidRPr="003D3F7B" w:rsidRDefault="00002DC3" w:rsidP="00D60B44">
            <w:pPr>
              <w:jc w:val="center"/>
              <w:rPr>
                <w:rFonts w:ascii="Arial Narrow" w:hAnsi="Arial Narrow"/>
                <w:sz w:val="20"/>
              </w:rPr>
            </w:pPr>
            <w:r w:rsidRPr="003D3F7B">
              <w:rPr>
                <w:rFonts w:ascii="Arial Narrow" w:hAnsi="Arial Narrow"/>
                <w:sz w:val="20"/>
              </w:rPr>
              <w:t>(15 years*)</w:t>
            </w:r>
          </w:p>
        </w:tc>
      </w:tr>
      <w:tr w:rsidR="00002DC3" w:rsidRPr="003D3F7B" w:rsidTr="00D60B44">
        <w:trPr>
          <w:trHeight w:val="64"/>
        </w:trPr>
        <w:tc>
          <w:tcPr>
            <w:tcW w:w="1862"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rPr>
                <w:rFonts w:ascii="Arial Narrow" w:hAnsi="Arial Narrow"/>
                <w:sz w:val="20"/>
              </w:rPr>
            </w:pPr>
            <w:r w:rsidRPr="003D3F7B">
              <w:rPr>
                <w:rFonts w:ascii="Arial Narrow" w:hAnsi="Arial Narrow"/>
                <w:sz w:val="20"/>
              </w:rPr>
              <w:t>A2) Adolescents aged 15 years</w:t>
            </w:r>
          </w:p>
        </w:tc>
        <w:tc>
          <w:tcPr>
            <w:tcW w:w="762"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jc w:val="center"/>
              <w:rPr>
                <w:rFonts w:ascii="Arial Narrow" w:hAnsi="Arial Narrow"/>
                <w:sz w:val="20"/>
              </w:rPr>
            </w:pPr>
            <w:r w:rsidRPr="003D3F7B">
              <w:rPr>
                <w:rFonts w:ascii="Arial Narrow" w:hAnsi="Arial Narrow"/>
                <w:sz w:val="20"/>
              </w:rPr>
              <w:t>2</w:t>
            </w:r>
          </w:p>
        </w:tc>
        <w:tc>
          <w:tcPr>
            <w:tcW w:w="1354"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jc w:val="center"/>
              <w:rPr>
                <w:rFonts w:ascii="Arial Narrow" w:hAnsi="Arial Narrow"/>
                <w:sz w:val="20"/>
              </w:rPr>
            </w:pPr>
            <w:r w:rsidRPr="003D3F7B">
              <w:rPr>
                <w:rFonts w:ascii="Arial Narrow" w:hAnsi="Arial Narrow"/>
                <w:sz w:val="20"/>
              </w:rPr>
              <w:t>≥1 months apart</w:t>
            </w:r>
          </w:p>
        </w:tc>
        <w:tc>
          <w:tcPr>
            <w:tcW w:w="1023"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jc w:val="center"/>
              <w:rPr>
                <w:rFonts w:ascii="Arial Narrow" w:hAnsi="Arial Narrow"/>
                <w:sz w:val="20"/>
              </w:rPr>
            </w:pPr>
            <w:r w:rsidRPr="003D3F7B">
              <w:rPr>
                <w:rFonts w:ascii="Arial Narrow" w:hAnsi="Arial Narrow"/>
                <w:sz w:val="20"/>
              </w:rPr>
              <w:t>Not determined</w:t>
            </w:r>
          </w:p>
        </w:tc>
      </w:tr>
      <w:tr w:rsidR="00002DC3" w:rsidRPr="003D3F7B" w:rsidTr="00D60B44">
        <w:trPr>
          <w:trHeight w:val="64"/>
        </w:trPr>
        <w:tc>
          <w:tcPr>
            <w:tcW w:w="5000" w:type="pct"/>
            <w:gridSpan w:val="4"/>
            <w:tcBorders>
              <w:top w:val="single" w:sz="4" w:space="0" w:color="000000"/>
              <w:left w:val="single" w:sz="4" w:space="0" w:color="000000"/>
              <w:bottom w:val="single" w:sz="4" w:space="0" w:color="000000"/>
              <w:right w:val="single" w:sz="4" w:space="0" w:color="000000"/>
            </w:tcBorders>
          </w:tcPr>
          <w:p w:rsidR="00002DC3" w:rsidRPr="003D3F7B" w:rsidRDefault="00002DC3" w:rsidP="00D60B44">
            <w:pPr>
              <w:rPr>
                <w:rFonts w:ascii="Arial Narrow" w:hAnsi="Arial Narrow"/>
                <w:b/>
                <w:sz w:val="20"/>
              </w:rPr>
            </w:pPr>
            <w:r w:rsidRPr="003D3F7B">
              <w:rPr>
                <w:rFonts w:ascii="Arial Narrow" w:hAnsi="Arial Narrow"/>
                <w:b/>
                <w:sz w:val="20"/>
              </w:rPr>
              <w:t>B) Catch-up vaccination program†</w:t>
            </w:r>
          </w:p>
        </w:tc>
      </w:tr>
      <w:tr w:rsidR="00002DC3" w:rsidRPr="003D3F7B" w:rsidTr="00D60B44">
        <w:trPr>
          <w:trHeight w:val="518"/>
        </w:trPr>
        <w:tc>
          <w:tcPr>
            <w:tcW w:w="1862"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rPr>
                <w:rFonts w:ascii="Arial Narrow" w:hAnsi="Arial Narrow"/>
                <w:sz w:val="20"/>
              </w:rPr>
            </w:pPr>
            <w:r w:rsidRPr="003D3F7B">
              <w:rPr>
                <w:rFonts w:ascii="Arial Narrow" w:hAnsi="Arial Narrow"/>
                <w:sz w:val="20"/>
              </w:rPr>
              <w:t>B1) Infants &gt;2–5 months</w:t>
            </w:r>
          </w:p>
        </w:tc>
        <w:tc>
          <w:tcPr>
            <w:tcW w:w="762"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jc w:val="center"/>
              <w:rPr>
                <w:rFonts w:ascii="Arial Narrow" w:hAnsi="Arial Narrow"/>
                <w:sz w:val="20"/>
              </w:rPr>
            </w:pPr>
            <w:r w:rsidRPr="003D3F7B">
              <w:rPr>
                <w:rFonts w:ascii="Arial Narrow" w:hAnsi="Arial Narrow"/>
                <w:sz w:val="20"/>
              </w:rPr>
              <w:t>3</w:t>
            </w:r>
          </w:p>
        </w:tc>
        <w:tc>
          <w:tcPr>
            <w:tcW w:w="1354"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jc w:val="center"/>
              <w:rPr>
                <w:rFonts w:ascii="Arial Narrow" w:hAnsi="Arial Narrow"/>
                <w:sz w:val="20"/>
              </w:rPr>
            </w:pPr>
            <w:r w:rsidRPr="003D3F7B">
              <w:rPr>
                <w:rFonts w:ascii="Arial Narrow" w:hAnsi="Arial Narrow"/>
                <w:sz w:val="20"/>
              </w:rPr>
              <w:t>1-2 months apart (may include age 4,6 months)</w:t>
            </w:r>
          </w:p>
        </w:tc>
        <w:tc>
          <w:tcPr>
            <w:tcW w:w="1023" w:type="pct"/>
            <w:tcBorders>
              <w:top w:val="single" w:sz="4" w:space="0" w:color="000000"/>
              <w:left w:val="single" w:sz="4" w:space="0" w:color="000000"/>
              <w:bottom w:val="single" w:sz="4" w:space="0" w:color="000000"/>
              <w:right w:val="single" w:sz="4" w:space="0" w:color="000000"/>
            </w:tcBorders>
            <w:vAlign w:val="center"/>
          </w:tcPr>
          <w:p w:rsidR="00002DC3" w:rsidRDefault="00002DC3" w:rsidP="00D60B44">
            <w:pPr>
              <w:jc w:val="center"/>
              <w:rPr>
                <w:rFonts w:ascii="Arial Narrow" w:hAnsi="Arial Narrow"/>
                <w:sz w:val="20"/>
              </w:rPr>
            </w:pPr>
            <w:r>
              <w:rPr>
                <w:rFonts w:ascii="Arial Narrow" w:hAnsi="Arial Narrow"/>
                <w:sz w:val="20"/>
              </w:rPr>
              <w:t>12 months;</w:t>
            </w:r>
          </w:p>
          <w:p w:rsidR="00002DC3" w:rsidRPr="003D3F7B" w:rsidRDefault="00002DC3" w:rsidP="00D60B44">
            <w:pPr>
              <w:jc w:val="center"/>
              <w:rPr>
                <w:rFonts w:ascii="Arial Narrow" w:hAnsi="Arial Narrow"/>
                <w:sz w:val="20"/>
              </w:rPr>
            </w:pPr>
            <w:r w:rsidRPr="003D3F7B">
              <w:rPr>
                <w:rFonts w:ascii="Arial Narrow" w:hAnsi="Arial Narrow"/>
                <w:sz w:val="20"/>
              </w:rPr>
              <w:t>(15 years*)</w:t>
            </w:r>
          </w:p>
        </w:tc>
      </w:tr>
      <w:tr w:rsidR="00002DC3" w:rsidRPr="003D3F7B" w:rsidTr="00D60B44">
        <w:trPr>
          <w:trHeight w:val="64"/>
        </w:trPr>
        <w:tc>
          <w:tcPr>
            <w:tcW w:w="1862"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rPr>
                <w:rFonts w:ascii="Arial Narrow" w:hAnsi="Arial Narrow"/>
                <w:sz w:val="20"/>
              </w:rPr>
            </w:pPr>
            <w:r w:rsidRPr="003D3F7B">
              <w:rPr>
                <w:rFonts w:ascii="Arial Narrow" w:hAnsi="Arial Narrow"/>
                <w:sz w:val="20"/>
              </w:rPr>
              <w:t>B2) Infants 6–8 months</w:t>
            </w:r>
          </w:p>
        </w:tc>
        <w:tc>
          <w:tcPr>
            <w:tcW w:w="762"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jc w:val="center"/>
              <w:rPr>
                <w:rFonts w:ascii="Arial Narrow" w:hAnsi="Arial Narrow"/>
                <w:sz w:val="20"/>
              </w:rPr>
            </w:pPr>
            <w:r w:rsidRPr="003D3F7B">
              <w:rPr>
                <w:rFonts w:ascii="Arial Narrow" w:hAnsi="Arial Narrow"/>
                <w:sz w:val="20"/>
              </w:rPr>
              <w:t>2</w:t>
            </w:r>
          </w:p>
        </w:tc>
        <w:tc>
          <w:tcPr>
            <w:tcW w:w="1354"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jc w:val="center"/>
              <w:rPr>
                <w:rFonts w:ascii="Arial Narrow" w:hAnsi="Arial Narrow"/>
                <w:sz w:val="20"/>
              </w:rPr>
            </w:pPr>
            <w:r w:rsidRPr="003D3F7B">
              <w:rPr>
                <w:rFonts w:ascii="Arial Narrow" w:hAnsi="Arial Narrow"/>
                <w:sz w:val="20"/>
              </w:rPr>
              <w:t>≥2 months apart (may include age 6,12 months)</w:t>
            </w:r>
          </w:p>
        </w:tc>
        <w:tc>
          <w:tcPr>
            <w:tcW w:w="1023" w:type="pct"/>
            <w:tcBorders>
              <w:top w:val="single" w:sz="4" w:space="0" w:color="000000"/>
              <w:left w:val="single" w:sz="4" w:space="0" w:color="000000"/>
              <w:bottom w:val="single" w:sz="4" w:space="0" w:color="000000"/>
              <w:right w:val="single" w:sz="4" w:space="0" w:color="000000"/>
            </w:tcBorders>
            <w:vAlign w:val="center"/>
          </w:tcPr>
          <w:p w:rsidR="00002DC3" w:rsidRDefault="00002DC3" w:rsidP="00D60B44">
            <w:pPr>
              <w:jc w:val="center"/>
              <w:rPr>
                <w:rFonts w:ascii="Arial Narrow" w:hAnsi="Arial Narrow"/>
                <w:sz w:val="20"/>
              </w:rPr>
            </w:pPr>
            <w:r w:rsidRPr="003D3F7B">
              <w:rPr>
                <w:rFonts w:ascii="Arial Narrow" w:hAnsi="Arial Narrow"/>
                <w:sz w:val="20"/>
              </w:rPr>
              <w:t>12 or 18 months;</w:t>
            </w:r>
          </w:p>
          <w:p w:rsidR="00002DC3" w:rsidRPr="003D3F7B" w:rsidRDefault="00002DC3" w:rsidP="00D60B44">
            <w:pPr>
              <w:jc w:val="center"/>
              <w:rPr>
                <w:rFonts w:ascii="Arial Narrow" w:hAnsi="Arial Narrow"/>
                <w:sz w:val="20"/>
              </w:rPr>
            </w:pPr>
            <w:r w:rsidRPr="003D3F7B">
              <w:rPr>
                <w:rFonts w:ascii="Arial Narrow" w:hAnsi="Arial Narrow"/>
                <w:sz w:val="20"/>
              </w:rPr>
              <w:t>(15 years*)</w:t>
            </w:r>
          </w:p>
        </w:tc>
      </w:tr>
      <w:tr w:rsidR="00002DC3" w:rsidRPr="003D3F7B" w:rsidTr="00D60B44">
        <w:trPr>
          <w:trHeight w:val="501"/>
        </w:trPr>
        <w:tc>
          <w:tcPr>
            <w:tcW w:w="1862"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rPr>
                <w:rFonts w:ascii="Arial Narrow" w:hAnsi="Arial Narrow"/>
                <w:sz w:val="20"/>
              </w:rPr>
            </w:pPr>
            <w:r w:rsidRPr="003D3F7B">
              <w:rPr>
                <w:rFonts w:ascii="Arial Narrow" w:hAnsi="Arial Narrow"/>
                <w:sz w:val="20"/>
              </w:rPr>
              <w:t>B3) Infants 9–11 months</w:t>
            </w:r>
          </w:p>
        </w:tc>
        <w:tc>
          <w:tcPr>
            <w:tcW w:w="762"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jc w:val="center"/>
              <w:rPr>
                <w:rFonts w:ascii="Arial Narrow" w:hAnsi="Arial Narrow"/>
                <w:sz w:val="20"/>
              </w:rPr>
            </w:pPr>
            <w:r w:rsidRPr="003D3F7B">
              <w:rPr>
                <w:rFonts w:ascii="Arial Narrow" w:hAnsi="Arial Narrow"/>
                <w:sz w:val="20"/>
              </w:rPr>
              <w:t>2</w:t>
            </w:r>
          </w:p>
        </w:tc>
        <w:tc>
          <w:tcPr>
            <w:tcW w:w="1354"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jc w:val="center"/>
              <w:rPr>
                <w:rFonts w:ascii="Arial Narrow" w:hAnsi="Arial Narrow"/>
                <w:sz w:val="20"/>
              </w:rPr>
            </w:pPr>
            <w:r w:rsidRPr="003D3F7B">
              <w:rPr>
                <w:rFonts w:ascii="Arial Narrow" w:hAnsi="Arial Narrow"/>
                <w:sz w:val="20"/>
              </w:rPr>
              <w:t>≥2 months apart (may include age 12 months)</w:t>
            </w:r>
          </w:p>
        </w:tc>
        <w:tc>
          <w:tcPr>
            <w:tcW w:w="1023" w:type="pct"/>
            <w:tcBorders>
              <w:top w:val="single" w:sz="4" w:space="0" w:color="000000"/>
              <w:left w:val="single" w:sz="4" w:space="0" w:color="000000"/>
              <w:bottom w:val="single" w:sz="4" w:space="0" w:color="000000"/>
              <w:right w:val="single" w:sz="4" w:space="0" w:color="000000"/>
            </w:tcBorders>
            <w:vAlign w:val="center"/>
          </w:tcPr>
          <w:p w:rsidR="00002DC3" w:rsidRDefault="00002DC3" w:rsidP="00D60B44">
            <w:pPr>
              <w:jc w:val="center"/>
              <w:rPr>
                <w:rFonts w:ascii="Arial Narrow" w:hAnsi="Arial Narrow"/>
                <w:sz w:val="20"/>
              </w:rPr>
            </w:pPr>
            <w:r w:rsidRPr="003D3F7B">
              <w:rPr>
                <w:rFonts w:ascii="Arial Narrow" w:hAnsi="Arial Narrow"/>
                <w:sz w:val="20"/>
              </w:rPr>
              <w:t>18 months;</w:t>
            </w:r>
          </w:p>
          <w:p w:rsidR="00002DC3" w:rsidRPr="003D3F7B" w:rsidRDefault="00002DC3" w:rsidP="00D60B44">
            <w:pPr>
              <w:jc w:val="center"/>
              <w:rPr>
                <w:rFonts w:ascii="Arial Narrow" w:hAnsi="Arial Narrow"/>
                <w:sz w:val="20"/>
              </w:rPr>
            </w:pPr>
            <w:r w:rsidRPr="003D3F7B">
              <w:rPr>
                <w:rFonts w:ascii="Arial Narrow" w:hAnsi="Arial Narrow"/>
                <w:sz w:val="20"/>
              </w:rPr>
              <w:t>(15 years*)</w:t>
            </w:r>
          </w:p>
        </w:tc>
      </w:tr>
      <w:tr w:rsidR="00002DC3" w:rsidRPr="003D3F7B" w:rsidTr="00D60B44">
        <w:trPr>
          <w:trHeight w:val="64"/>
        </w:trPr>
        <w:tc>
          <w:tcPr>
            <w:tcW w:w="1862"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rPr>
                <w:rFonts w:ascii="Arial Narrow" w:hAnsi="Arial Narrow"/>
                <w:sz w:val="20"/>
              </w:rPr>
            </w:pPr>
            <w:r w:rsidRPr="003D3F7B">
              <w:rPr>
                <w:rFonts w:ascii="Arial Narrow" w:hAnsi="Arial Narrow"/>
                <w:sz w:val="20"/>
              </w:rPr>
              <w:t>B4) Toddlers 12–below 24 months</w:t>
            </w:r>
          </w:p>
        </w:tc>
        <w:tc>
          <w:tcPr>
            <w:tcW w:w="762"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jc w:val="center"/>
              <w:rPr>
                <w:rFonts w:ascii="Arial Narrow" w:hAnsi="Arial Narrow"/>
                <w:sz w:val="20"/>
              </w:rPr>
            </w:pPr>
            <w:r w:rsidRPr="003D3F7B">
              <w:rPr>
                <w:rFonts w:ascii="Arial Narrow" w:hAnsi="Arial Narrow"/>
                <w:sz w:val="20"/>
              </w:rPr>
              <w:t>2</w:t>
            </w:r>
          </w:p>
        </w:tc>
        <w:tc>
          <w:tcPr>
            <w:tcW w:w="1354"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jc w:val="center"/>
              <w:rPr>
                <w:rFonts w:ascii="Arial Narrow" w:hAnsi="Arial Narrow"/>
                <w:sz w:val="20"/>
              </w:rPr>
            </w:pPr>
            <w:r w:rsidRPr="003D3F7B">
              <w:rPr>
                <w:rFonts w:ascii="Arial Narrow" w:hAnsi="Arial Narrow"/>
                <w:sz w:val="20"/>
              </w:rPr>
              <w:t>≥2 months apart (may include age 12,18 months)</w:t>
            </w:r>
          </w:p>
        </w:tc>
        <w:tc>
          <w:tcPr>
            <w:tcW w:w="1023" w:type="pct"/>
            <w:tcBorders>
              <w:top w:val="single" w:sz="4" w:space="0" w:color="000000"/>
              <w:left w:val="single" w:sz="4" w:space="0" w:color="000000"/>
              <w:bottom w:val="single" w:sz="4" w:space="0" w:color="000000"/>
              <w:right w:val="single" w:sz="4" w:space="0" w:color="000000"/>
            </w:tcBorders>
            <w:vAlign w:val="center"/>
          </w:tcPr>
          <w:p w:rsidR="00002DC3" w:rsidRDefault="00002DC3" w:rsidP="00D60B44">
            <w:pPr>
              <w:jc w:val="center"/>
              <w:rPr>
                <w:rFonts w:ascii="Arial Narrow" w:hAnsi="Arial Narrow"/>
                <w:sz w:val="20"/>
              </w:rPr>
            </w:pPr>
            <w:r>
              <w:rPr>
                <w:rFonts w:ascii="Arial Narrow" w:hAnsi="Arial Narrow"/>
                <w:sz w:val="20"/>
              </w:rPr>
              <w:t>Not determined;</w:t>
            </w:r>
          </w:p>
          <w:p w:rsidR="00002DC3" w:rsidRPr="003D3F7B" w:rsidRDefault="00002DC3" w:rsidP="00D60B44">
            <w:pPr>
              <w:jc w:val="center"/>
              <w:rPr>
                <w:rFonts w:ascii="Arial Narrow" w:hAnsi="Arial Narrow"/>
                <w:sz w:val="20"/>
              </w:rPr>
            </w:pPr>
            <w:r w:rsidRPr="003D3F7B">
              <w:rPr>
                <w:rFonts w:ascii="Arial Narrow" w:hAnsi="Arial Narrow"/>
                <w:sz w:val="20"/>
              </w:rPr>
              <w:t>(15 years*)</w:t>
            </w:r>
          </w:p>
        </w:tc>
      </w:tr>
      <w:tr w:rsidR="00002DC3" w:rsidRPr="003D3F7B" w:rsidTr="00D60B44">
        <w:trPr>
          <w:trHeight w:val="64"/>
        </w:trPr>
        <w:tc>
          <w:tcPr>
            <w:tcW w:w="1862"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rPr>
                <w:rFonts w:ascii="Arial Narrow" w:hAnsi="Arial Narrow"/>
                <w:sz w:val="20"/>
              </w:rPr>
            </w:pPr>
            <w:r w:rsidRPr="003D3F7B">
              <w:rPr>
                <w:rFonts w:ascii="Arial Narrow" w:hAnsi="Arial Narrow"/>
                <w:sz w:val="20"/>
              </w:rPr>
              <w:t>B5) Adolescents aged 16–19 years</w:t>
            </w:r>
          </w:p>
        </w:tc>
        <w:tc>
          <w:tcPr>
            <w:tcW w:w="762"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jc w:val="center"/>
              <w:rPr>
                <w:rFonts w:ascii="Arial Narrow" w:hAnsi="Arial Narrow"/>
                <w:sz w:val="20"/>
              </w:rPr>
            </w:pPr>
            <w:r w:rsidRPr="003D3F7B">
              <w:rPr>
                <w:rFonts w:ascii="Arial Narrow" w:hAnsi="Arial Narrow"/>
                <w:sz w:val="20"/>
              </w:rPr>
              <w:t>2</w:t>
            </w:r>
          </w:p>
        </w:tc>
        <w:tc>
          <w:tcPr>
            <w:tcW w:w="1354"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jc w:val="center"/>
              <w:rPr>
                <w:rFonts w:ascii="Arial Narrow" w:hAnsi="Arial Narrow"/>
                <w:sz w:val="20"/>
              </w:rPr>
            </w:pPr>
            <w:r w:rsidRPr="003D3F7B">
              <w:rPr>
                <w:rFonts w:ascii="Arial Narrow" w:hAnsi="Arial Narrow"/>
                <w:sz w:val="20"/>
              </w:rPr>
              <w:t>≥1 months apart</w:t>
            </w:r>
          </w:p>
        </w:tc>
        <w:tc>
          <w:tcPr>
            <w:tcW w:w="1023" w:type="pct"/>
            <w:tcBorders>
              <w:top w:val="single" w:sz="4" w:space="0" w:color="000000"/>
              <w:left w:val="single" w:sz="4" w:space="0" w:color="000000"/>
              <w:bottom w:val="single" w:sz="4" w:space="0" w:color="000000"/>
              <w:right w:val="single" w:sz="4" w:space="0" w:color="000000"/>
            </w:tcBorders>
            <w:vAlign w:val="center"/>
          </w:tcPr>
          <w:p w:rsidR="00002DC3" w:rsidRPr="003D3F7B" w:rsidRDefault="00002DC3" w:rsidP="00D60B44">
            <w:pPr>
              <w:jc w:val="center"/>
              <w:rPr>
                <w:rFonts w:ascii="Arial Narrow" w:hAnsi="Arial Narrow"/>
                <w:sz w:val="20"/>
              </w:rPr>
            </w:pPr>
            <w:r w:rsidRPr="003D3F7B">
              <w:rPr>
                <w:rFonts w:ascii="Arial Narrow" w:hAnsi="Arial Narrow"/>
                <w:sz w:val="20"/>
              </w:rPr>
              <w:t>Not determined</w:t>
            </w:r>
          </w:p>
        </w:tc>
      </w:tr>
    </w:tbl>
    <w:p w:rsidR="00002DC3" w:rsidRDefault="00002DC3" w:rsidP="00002DC3">
      <w:pPr>
        <w:pStyle w:val="TableFooter"/>
        <w:ind w:left="709"/>
      </w:pPr>
      <w:r w:rsidRPr="003D3F7B">
        <w:t xml:space="preserve">* Provision of a booster dose (2 shots) </w:t>
      </w:r>
      <w:proofErr w:type="gramStart"/>
      <w:r w:rsidRPr="003D3F7B">
        <w:t>is proposed</w:t>
      </w:r>
      <w:proofErr w:type="gramEnd"/>
      <w:r w:rsidRPr="003D3F7B">
        <w:t xml:space="preserve"> for those who were vaccinated in childhood reaching the adolescent age at which the routine adolescent program targets.</w:t>
      </w:r>
    </w:p>
    <w:p w:rsidR="00002DC3" w:rsidRDefault="00002DC3" w:rsidP="00002DC3">
      <w:pPr>
        <w:pStyle w:val="TableFooter"/>
        <w:ind w:left="709"/>
      </w:pPr>
      <w:r w:rsidRPr="003D3F7B">
        <w:t xml:space="preserve">† Catch-up vaccination program </w:t>
      </w:r>
      <w:proofErr w:type="gramStart"/>
      <w:r w:rsidRPr="003D3F7B">
        <w:t>is assumed to be implemented</w:t>
      </w:r>
      <w:proofErr w:type="gramEnd"/>
      <w:r w:rsidRPr="003D3F7B">
        <w:t xml:space="preserve"> in the first year of implementation</w:t>
      </w:r>
      <w:r>
        <w:t>.</w:t>
      </w:r>
    </w:p>
    <w:p w:rsidR="00002DC3" w:rsidRDefault="00002DC3" w:rsidP="00002DC3">
      <w:pPr>
        <w:pStyle w:val="TableFooter"/>
        <w:ind w:left="709"/>
      </w:pPr>
      <w:proofErr w:type="gramStart"/>
      <w:r w:rsidRPr="003D3F7B">
        <w:t>Source: Table A.2.2, pA-32 of the resubmission.</w:t>
      </w:r>
      <w:proofErr w:type="gramEnd"/>
    </w:p>
    <w:p w:rsidR="00002DC3" w:rsidRPr="00B5289B" w:rsidRDefault="00002DC3" w:rsidP="00002DC3">
      <w:pPr>
        <w:rPr>
          <w:rFonts w:ascii="Arial" w:hAnsi="Arial" w:cs="Arial"/>
          <w:sz w:val="22"/>
          <w:szCs w:val="22"/>
        </w:rPr>
      </w:pPr>
    </w:p>
    <w:p w:rsidR="00002DC3" w:rsidRPr="00656E0D" w:rsidRDefault="00002DC3" w:rsidP="00002DC3">
      <w:pPr>
        <w:ind w:left="709"/>
        <w:rPr>
          <w:rStyle w:val="CommentReference"/>
          <w:rFonts w:ascii="Arial Narrow" w:hAnsi="Arial Narrow" w:cs="Arial"/>
          <w:b/>
          <w:sz w:val="20"/>
          <w:szCs w:val="20"/>
        </w:rPr>
      </w:pPr>
      <w:r w:rsidRPr="00656E0D">
        <w:rPr>
          <w:rStyle w:val="CommentReference"/>
          <w:rFonts w:ascii="Arial Narrow" w:hAnsi="Arial Narrow" w:cs="Arial"/>
          <w:b/>
          <w:sz w:val="20"/>
          <w:szCs w:val="20"/>
        </w:rPr>
        <w:t>Proposed NIP listing details</w:t>
      </w:r>
    </w:p>
    <w:tbl>
      <w:tblPr>
        <w:tblW w:w="4630"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049"/>
        <w:gridCol w:w="706"/>
        <w:gridCol w:w="879"/>
        <w:gridCol w:w="1058"/>
        <w:gridCol w:w="1772"/>
      </w:tblGrid>
      <w:tr w:rsidR="00002DC3" w:rsidRPr="00CB529C" w:rsidTr="00D60B44">
        <w:trPr>
          <w:trHeight w:val="476"/>
          <w:tblHeader/>
        </w:trPr>
        <w:tc>
          <w:tcPr>
            <w:tcW w:w="2392" w:type="pct"/>
            <w:vAlign w:val="center"/>
          </w:tcPr>
          <w:p w:rsidR="00002DC3" w:rsidRPr="00656E0D" w:rsidRDefault="00002DC3" w:rsidP="00D60B44">
            <w:pPr>
              <w:keepNext/>
              <w:jc w:val="center"/>
              <w:rPr>
                <w:rFonts w:ascii="Arial Narrow" w:hAnsi="Arial Narrow"/>
                <w:b/>
                <w:sz w:val="20"/>
              </w:rPr>
            </w:pPr>
            <w:r w:rsidRPr="00656E0D">
              <w:rPr>
                <w:rFonts w:ascii="Arial Narrow" w:hAnsi="Arial Narrow"/>
                <w:b/>
                <w:sz w:val="20"/>
              </w:rPr>
              <w:lastRenderedPageBreak/>
              <w:t>Form &amp; strength</w:t>
            </w:r>
          </w:p>
        </w:tc>
        <w:tc>
          <w:tcPr>
            <w:tcW w:w="417" w:type="pct"/>
            <w:vAlign w:val="center"/>
          </w:tcPr>
          <w:p w:rsidR="00002DC3" w:rsidRPr="00656E0D" w:rsidRDefault="00002DC3" w:rsidP="00D60B44">
            <w:pPr>
              <w:keepNext/>
              <w:jc w:val="center"/>
              <w:rPr>
                <w:rFonts w:ascii="Arial Narrow" w:hAnsi="Arial Narrow"/>
                <w:b/>
                <w:sz w:val="20"/>
              </w:rPr>
            </w:pPr>
            <w:r w:rsidRPr="00656E0D">
              <w:rPr>
                <w:rFonts w:ascii="Arial Narrow" w:hAnsi="Arial Narrow"/>
                <w:b/>
                <w:sz w:val="20"/>
              </w:rPr>
              <w:t xml:space="preserve">Max. </w:t>
            </w:r>
            <w:proofErr w:type="spellStart"/>
            <w:r w:rsidRPr="00656E0D">
              <w:rPr>
                <w:rFonts w:ascii="Arial Narrow" w:hAnsi="Arial Narrow"/>
                <w:b/>
                <w:sz w:val="20"/>
              </w:rPr>
              <w:t>qty</w:t>
            </w:r>
            <w:proofErr w:type="spellEnd"/>
          </w:p>
        </w:tc>
        <w:tc>
          <w:tcPr>
            <w:tcW w:w="519" w:type="pct"/>
            <w:vAlign w:val="center"/>
          </w:tcPr>
          <w:p w:rsidR="00002DC3" w:rsidRPr="00656E0D" w:rsidRDefault="00002DC3" w:rsidP="00D60B44">
            <w:pPr>
              <w:keepNext/>
              <w:jc w:val="center"/>
              <w:rPr>
                <w:rFonts w:ascii="Arial Narrow" w:hAnsi="Arial Narrow"/>
                <w:b/>
                <w:sz w:val="20"/>
              </w:rPr>
            </w:pPr>
            <w:r w:rsidRPr="00656E0D">
              <w:rPr>
                <w:rFonts w:ascii="Arial Narrow" w:hAnsi="Arial Narrow"/>
                <w:b/>
                <w:sz w:val="20"/>
              </w:rPr>
              <w:t>No. of</w:t>
            </w:r>
          </w:p>
          <w:p w:rsidR="00002DC3" w:rsidRPr="00656E0D" w:rsidRDefault="00002DC3" w:rsidP="00D60B44">
            <w:pPr>
              <w:keepNext/>
              <w:jc w:val="center"/>
              <w:rPr>
                <w:rFonts w:ascii="Arial Narrow" w:hAnsi="Arial Narrow"/>
                <w:b/>
                <w:sz w:val="20"/>
              </w:rPr>
            </w:pPr>
            <w:r w:rsidRPr="00656E0D">
              <w:rPr>
                <w:rFonts w:ascii="Arial Narrow" w:hAnsi="Arial Narrow"/>
                <w:b/>
                <w:sz w:val="20"/>
              </w:rPr>
              <w:t>repeats</w:t>
            </w:r>
          </w:p>
        </w:tc>
        <w:tc>
          <w:tcPr>
            <w:tcW w:w="1671" w:type="pct"/>
            <w:gridSpan w:val="2"/>
            <w:vAlign w:val="center"/>
          </w:tcPr>
          <w:p w:rsidR="00002DC3" w:rsidRPr="00656E0D" w:rsidRDefault="00002DC3" w:rsidP="00D60B44">
            <w:pPr>
              <w:keepNext/>
              <w:jc w:val="center"/>
              <w:rPr>
                <w:rFonts w:ascii="Arial Narrow" w:hAnsi="Arial Narrow"/>
                <w:b/>
                <w:sz w:val="20"/>
              </w:rPr>
            </w:pPr>
            <w:r w:rsidRPr="00656E0D">
              <w:rPr>
                <w:rFonts w:ascii="Arial Narrow" w:hAnsi="Arial Narrow"/>
                <w:b/>
                <w:sz w:val="20"/>
              </w:rPr>
              <w:t>Proprietary name and manufacturer</w:t>
            </w:r>
          </w:p>
        </w:tc>
      </w:tr>
      <w:tr w:rsidR="00002DC3" w:rsidRPr="00CB529C" w:rsidTr="00D60B44">
        <w:trPr>
          <w:cantSplit/>
          <w:trHeight w:val="461"/>
        </w:trPr>
        <w:tc>
          <w:tcPr>
            <w:tcW w:w="2392" w:type="pct"/>
            <w:vAlign w:val="center"/>
          </w:tcPr>
          <w:p w:rsidR="00002DC3" w:rsidRPr="00656E0D" w:rsidRDefault="00002DC3" w:rsidP="00D60B44">
            <w:pPr>
              <w:rPr>
                <w:rFonts w:ascii="Arial Narrow" w:hAnsi="Arial Narrow"/>
                <w:sz w:val="20"/>
              </w:rPr>
            </w:pPr>
            <w:r w:rsidRPr="00656E0D">
              <w:rPr>
                <w:rFonts w:ascii="Arial Narrow" w:hAnsi="Arial Narrow"/>
                <w:sz w:val="20"/>
              </w:rPr>
              <w:t xml:space="preserve">Meningococcal group B (Neisseria </w:t>
            </w:r>
            <w:proofErr w:type="spellStart"/>
            <w:r w:rsidRPr="00656E0D">
              <w:rPr>
                <w:rFonts w:ascii="Arial Narrow" w:hAnsi="Arial Narrow"/>
                <w:sz w:val="20"/>
              </w:rPr>
              <w:t>meningitidis</w:t>
            </w:r>
            <w:proofErr w:type="spellEnd"/>
            <w:r w:rsidRPr="00656E0D">
              <w:rPr>
                <w:rFonts w:ascii="Arial Narrow" w:hAnsi="Arial Narrow"/>
                <w:sz w:val="20"/>
              </w:rPr>
              <w:t>) vaccine, 1 x 0.5 mL syringe</w:t>
            </w:r>
          </w:p>
        </w:tc>
        <w:tc>
          <w:tcPr>
            <w:tcW w:w="417" w:type="pct"/>
            <w:vAlign w:val="center"/>
          </w:tcPr>
          <w:p w:rsidR="00002DC3" w:rsidRPr="00656E0D" w:rsidRDefault="00002DC3" w:rsidP="00D60B44">
            <w:pPr>
              <w:jc w:val="center"/>
              <w:rPr>
                <w:rFonts w:ascii="Arial Narrow" w:hAnsi="Arial Narrow"/>
                <w:sz w:val="20"/>
              </w:rPr>
            </w:pPr>
            <w:r w:rsidRPr="00656E0D">
              <w:rPr>
                <w:rFonts w:ascii="Arial Narrow" w:hAnsi="Arial Narrow"/>
                <w:sz w:val="20"/>
              </w:rPr>
              <w:t>1</w:t>
            </w:r>
          </w:p>
        </w:tc>
        <w:tc>
          <w:tcPr>
            <w:tcW w:w="519" w:type="pct"/>
            <w:vAlign w:val="center"/>
          </w:tcPr>
          <w:p w:rsidR="00002DC3" w:rsidRPr="00656E0D" w:rsidRDefault="00002DC3" w:rsidP="00D60B44">
            <w:pPr>
              <w:jc w:val="center"/>
              <w:rPr>
                <w:rFonts w:ascii="Arial Narrow" w:hAnsi="Arial Narrow"/>
                <w:sz w:val="20"/>
              </w:rPr>
            </w:pPr>
            <w:r w:rsidRPr="00656E0D">
              <w:rPr>
                <w:rFonts w:ascii="Arial Narrow" w:hAnsi="Arial Narrow"/>
                <w:sz w:val="20"/>
              </w:rPr>
              <w:t>0</w:t>
            </w:r>
          </w:p>
        </w:tc>
        <w:tc>
          <w:tcPr>
            <w:tcW w:w="625" w:type="pct"/>
            <w:vAlign w:val="center"/>
          </w:tcPr>
          <w:p w:rsidR="00002DC3" w:rsidRPr="00656E0D" w:rsidRDefault="00002DC3" w:rsidP="00D60B44">
            <w:pPr>
              <w:jc w:val="center"/>
              <w:rPr>
                <w:rFonts w:ascii="Arial Narrow" w:hAnsi="Arial Narrow"/>
                <w:sz w:val="20"/>
              </w:rPr>
            </w:pPr>
            <w:proofErr w:type="spellStart"/>
            <w:r w:rsidRPr="00656E0D">
              <w:rPr>
                <w:rFonts w:ascii="Arial Narrow" w:hAnsi="Arial Narrow"/>
                <w:sz w:val="20"/>
              </w:rPr>
              <w:t>Bexsero</w:t>
            </w:r>
            <w:proofErr w:type="spellEnd"/>
          </w:p>
        </w:tc>
        <w:tc>
          <w:tcPr>
            <w:tcW w:w="1047" w:type="pct"/>
          </w:tcPr>
          <w:p w:rsidR="00002DC3" w:rsidRPr="00656E0D" w:rsidRDefault="00002DC3" w:rsidP="00D60B44">
            <w:pPr>
              <w:jc w:val="center"/>
              <w:rPr>
                <w:rFonts w:ascii="Arial Narrow" w:hAnsi="Arial Narrow"/>
                <w:sz w:val="20"/>
              </w:rPr>
            </w:pPr>
            <w:r w:rsidRPr="00656E0D">
              <w:rPr>
                <w:rFonts w:ascii="Arial Narrow" w:hAnsi="Arial Narrow"/>
                <w:sz w:val="20"/>
              </w:rPr>
              <w:t>Novartis Vaccines &amp; Diagnostics</w:t>
            </w:r>
          </w:p>
        </w:tc>
      </w:tr>
      <w:tr w:rsidR="00002DC3" w:rsidRPr="00CB529C" w:rsidTr="00D60B44">
        <w:trPr>
          <w:cantSplit/>
          <w:trHeight w:val="476"/>
        </w:trPr>
        <w:tc>
          <w:tcPr>
            <w:tcW w:w="2392" w:type="pct"/>
            <w:vAlign w:val="center"/>
          </w:tcPr>
          <w:p w:rsidR="00002DC3" w:rsidRPr="00656E0D" w:rsidRDefault="00002DC3" w:rsidP="00D60B44">
            <w:pPr>
              <w:rPr>
                <w:rFonts w:ascii="Arial Narrow" w:hAnsi="Arial Narrow"/>
                <w:sz w:val="20"/>
              </w:rPr>
            </w:pPr>
            <w:r w:rsidRPr="00656E0D">
              <w:rPr>
                <w:rFonts w:ascii="Arial Narrow" w:hAnsi="Arial Narrow"/>
                <w:sz w:val="20"/>
              </w:rPr>
              <w:t xml:space="preserve">Meningococcal group B (Neisseria </w:t>
            </w:r>
            <w:proofErr w:type="spellStart"/>
            <w:r w:rsidRPr="00656E0D">
              <w:rPr>
                <w:rFonts w:ascii="Arial Narrow" w:hAnsi="Arial Narrow"/>
                <w:sz w:val="20"/>
              </w:rPr>
              <w:t>meningitidis</w:t>
            </w:r>
            <w:proofErr w:type="spellEnd"/>
            <w:r w:rsidRPr="00656E0D">
              <w:rPr>
                <w:rFonts w:ascii="Arial Narrow" w:hAnsi="Arial Narrow"/>
                <w:sz w:val="20"/>
              </w:rPr>
              <w:t>) vaccine, 10 x 0.5 mL syringes</w:t>
            </w:r>
          </w:p>
        </w:tc>
        <w:tc>
          <w:tcPr>
            <w:tcW w:w="417" w:type="pct"/>
            <w:vAlign w:val="center"/>
          </w:tcPr>
          <w:p w:rsidR="00002DC3" w:rsidRPr="00656E0D" w:rsidRDefault="00002DC3" w:rsidP="00D60B44">
            <w:pPr>
              <w:jc w:val="center"/>
              <w:rPr>
                <w:rFonts w:ascii="Arial Narrow" w:hAnsi="Arial Narrow"/>
                <w:sz w:val="20"/>
              </w:rPr>
            </w:pPr>
            <w:r w:rsidRPr="00656E0D">
              <w:rPr>
                <w:rFonts w:ascii="Arial Narrow" w:hAnsi="Arial Narrow"/>
                <w:sz w:val="20"/>
              </w:rPr>
              <w:t>1</w:t>
            </w:r>
          </w:p>
        </w:tc>
        <w:tc>
          <w:tcPr>
            <w:tcW w:w="519" w:type="pct"/>
            <w:vAlign w:val="center"/>
          </w:tcPr>
          <w:p w:rsidR="00002DC3" w:rsidRPr="00656E0D" w:rsidRDefault="00002DC3" w:rsidP="00D60B44">
            <w:pPr>
              <w:jc w:val="center"/>
              <w:rPr>
                <w:rFonts w:ascii="Arial Narrow" w:hAnsi="Arial Narrow"/>
                <w:sz w:val="20"/>
              </w:rPr>
            </w:pPr>
            <w:r w:rsidRPr="00656E0D">
              <w:rPr>
                <w:rFonts w:ascii="Arial Narrow" w:hAnsi="Arial Narrow"/>
                <w:sz w:val="20"/>
              </w:rPr>
              <w:t>0</w:t>
            </w:r>
          </w:p>
        </w:tc>
        <w:tc>
          <w:tcPr>
            <w:tcW w:w="625" w:type="pct"/>
            <w:vAlign w:val="center"/>
          </w:tcPr>
          <w:p w:rsidR="00002DC3" w:rsidRPr="00656E0D" w:rsidRDefault="00002DC3" w:rsidP="00D60B44">
            <w:pPr>
              <w:jc w:val="center"/>
              <w:rPr>
                <w:rFonts w:ascii="Arial Narrow" w:hAnsi="Arial Narrow"/>
                <w:sz w:val="20"/>
              </w:rPr>
            </w:pPr>
            <w:proofErr w:type="spellStart"/>
            <w:r w:rsidRPr="00656E0D">
              <w:rPr>
                <w:rFonts w:ascii="Arial Narrow" w:hAnsi="Arial Narrow"/>
                <w:sz w:val="20"/>
              </w:rPr>
              <w:t>Bexsero</w:t>
            </w:r>
            <w:proofErr w:type="spellEnd"/>
          </w:p>
        </w:tc>
        <w:tc>
          <w:tcPr>
            <w:tcW w:w="1047" w:type="pct"/>
          </w:tcPr>
          <w:p w:rsidR="00002DC3" w:rsidRPr="00656E0D" w:rsidRDefault="00002DC3" w:rsidP="00D60B44">
            <w:pPr>
              <w:jc w:val="center"/>
              <w:rPr>
                <w:rFonts w:ascii="Arial Narrow" w:hAnsi="Arial Narrow"/>
                <w:sz w:val="20"/>
              </w:rPr>
            </w:pPr>
            <w:r w:rsidRPr="00656E0D">
              <w:rPr>
                <w:rFonts w:ascii="Arial Narrow" w:hAnsi="Arial Narrow"/>
                <w:sz w:val="20"/>
              </w:rPr>
              <w:t>Novartis Vaccines &amp; Diagnostics</w:t>
            </w:r>
          </w:p>
        </w:tc>
      </w:tr>
    </w:tbl>
    <w:p w:rsidR="00002DC3" w:rsidRPr="005D41E0" w:rsidRDefault="00002DC3" w:rsidP="00002DC3">
      <w:pPr>
        <w:jc w:val="both"/>
        <w:rPr>
          <w:rFonts w:ascii="Arial" w:hAnsi="Arial"/>
          <w:sz w:val="22"/>
          <w:szCs w:val="22"/>
        </w:rPr>
      </w:pPr>
    </w:p>
    <w:p w:rsidR="00002DC3" w:rsidRPr="00DA6061" w:rsidRDefault="00002DC3" w:rsidP="00002DC3">
      <w:pPr>
        <w:pStyle w:val="ListParagraph"/>
        <w:numPr>
          <w:ilvl w:val="1"/>
          <w:numId w:val="1"/>
        </w:numPr>
        <w:jc w:val="both"/>
        <w:rPr>
          <w:rFonts w:ascii="Arial" w:hAnsi="Arial" w:cs="Arial"/>
          <w:sz w:val="22"/>
          <w:szCs w:val="22"/>
        </w:rPr>
      </w:pPr>
      <w:r w:rsidRPr="00DC3537">
        <w:rPr>
          <w:rFonts w:ascii="Arial" w:hAnsi="Arial" w:cs="Arial"/>
          <w:sz w:val="22"/>
          <w:szCs w:val="22"/>
        </w:rPr>
        <w:t xml:space="preserve">Listing </w:t>
      </w:r>
      <w:proofErr w:type="gramStart"/>
      <w:r w:rsidRPr="00DC3537">
        <w:rPr>
          <w:rFonts w:ascii="Arial" w:hAnsi="Arial" w:cs="Arial"/>
          <w:sz w:val="22"/>
          <w:szCs w:val="22"/>
        </w:rPr>
        <w:t>was sought</w:t>
      </w:r>
      <w:proofErr w:type="gramEnd"/>
      <w:r w:rsidRPr="00DC3537">
        <w:rPr>
          <w:rFonts w:ascii="Arial" w:hAnsi="Arial" w:cs="Arial"/>
          <w:sz w:val="22"/>
          <w:szCs w:val="22"/>
        </w:rPr>
        <w:t xml:space="preserve"> on a cost</w:t>
      </w:r>
      <w:r>
        <w:rPr>
          <w:rFonts w:ascii="Arial" w:hAnsi="Arial" w:cs="Arial"/>
          <w:sz w:val="22"/>
          <w:szCs w:val="22"/>
        </w:rPr>
        <w:t>-effectiveness</w:t>
      </w:r>
      <w:r w:rsidRPr="00DC3537">
        <w:rPr>
          <w:rFonts w:ascii="Arial" w:hAnsi="Arial" w:cs="Arial"/>
          <w:sz w:val="22"/>
          <w:szCs w:val="22"/>
        </w:rPr>
        <w:t xml:space="preserve"> basis </w:t>
      </w:r>
      <w:r>
        <w:rPr>
          <w:rFonts w:ascii="Arial" w:hAnsi="Arial" w:cs="Arial"/>
          <w:sz w:val="22"/>
          <w:szCs w:val="22"/>
        </w:rPr>
        <w:t>of the vaccine</w:t>
      </w:r>
      <w:r w:rsidRPr="00DC3537">
        <w:rPr>
          <w:rFonts w:ascii="Arial" w:hAnsi="Arial" w:cs="Arial"/>
          <w:sz w:val="22"/>
          <w:szCs w:val="22"/>
        </w:rPr>
        <w:t xml:space="preserve"> compared to </w:t>
      </w:r>
      <w:r>
        <w:rPr>
          <w:rFonts w:ascii="Arial" w:hAnsi="Arial" w:cs="Arial"/>
          <w:sz w:val="22"/>
          <w:szCs w:val="22"/>
        </w:rPr>
        <w:t>no vaccination</w:t>
      </w:r>
      <w:r w:rsidRPr="00DC3537">
        <w:rPr>
          <w:rFonts w:ascii="Arial" w:hAnsi="Arial" w:cs="Arial"/>
          <w:sz w:val="22"/>
          <w:szCs w:val="22"/>
        </w:rPr>
        <w:t>.</w:t>
      </w:r>
    </w:p>
    <w:p w:rsidR="00002DC3" w:rsidRDefault="00002DC3" w:rsidP="00002DC3">
      <w:pPr>
        <w:jc w:val="both"/>
        <w:rPr>
          <w:rFonts w:ascii="Arial" w:hAnsi="Arial"/>
          <w:sz w:val="22"/>
          <w:szCs w:val="22"/>
        </w:rPr>
      </w:pPr>
    </w:p>
    <w:p w:rsidR="00002DC3" w:rsidRPr="00B5289B" w:rsidRDefault="00002DC3" w:rsidP="00002DC3">
      <w:pPr>
        <w:jc w:val="both"/>
        <w:rPr>
          <w:rFonts w:ascii="Arial" w:hAnsi="Arial"/>
          <w:sz w:val="22"/>
          <w:szCs w:val="22"/>
        </w:rPr>
      </w:pPr>
    </w:p>
    <w:p w:rsidR="00002DC3" w:rsidRPr="00882085" w:rsidRDefault="00002DC3" w:rsidP="00002DC3">
      <w:pPr>
        <w:pStyle w:val="ListParagraph"/>
        <w:numPr>
          <w:ilvl w:val="0"/>
          <w:numId w:val="1"/>
        </w:numPr>
        <w:jc w:val="both"/>
        <w:rPr>
          <w:rFonts w:ascii="Arial" w:hAnsi="Arial"/>
          <w:sz w:val="22"/>
          <w:szCs w:val="22"/>
        </w:rPr>
      </w:pPr>
      <w:r w:rsidRPr="00882085">
        <w:rPr>
          <w:rFonts w:ascii="Arial" w:hAnsi="Arial"/>
          <w:b/>
          <w:sz w:val="22"/>
          <w:szCs w:val="22"/>
        </w:rPr>
        <w:t>Background</w:t>
      </w:r>
    </w:p>
    <w:p w:rsidR="00002DC3" w:rsidRPr="00882085" w:rsidRDefault="00002DC3" w:rsidP="00002DC3">
      <w:pPr>
        <w:jc w:val="both"/>
        <w:rPr>
          <w:rFonts w:ascii="Arial" w:hAnsi="Arial"/>
          <w:sz w:val="22"/>
          <w:szCs w:val="22"/>
        </w:rPr>
      </w:pPr>
    </w:p>
    <w:p w:rsidR="00002DC3" w:rsidRPr="0043635E" w:rsidRDefault="00002DC3" w:rsidP="00002DC3">
      <w:pPr>
        <w:pStyle w:val="ListParagraph"/>
        <w:numPr>
          <w:ilvl w:val="1"/>
          <w:numId w:val="1"/>
        </w:numPr>
        <w:jc w:val="both"/>
        <w:rPr>
          <w:rFonts w:ascii="Arial" w:hAnsi="Arial"/>
          <w:sz w:val="22"/>
          <w:szCs w:val="22"/>
        </w:rPr>
      </w:pPr>
      <w:r w:rsidRPr="0043635E">
        <w:rPr>
          <w:rFonts w:ascii="Arial" w:hAnsi="Arial"/>
          <w:sz w:val="22"/>
          <w:szCs w:val="22"/>
        </w:rPr>
        <w:t xml:space="preserve">Meningococcal group B vaccine was TGA registered on 14 August 2013 for active immunisation against invasive disease caused by </w:t>
      </w:r>
      <w:r w:rsidRPr="00123572">
        <w:rPr>
          <w:rFonts w:ascii="Arial" w:hAnsi="Arial"/>
          <w:i/>
          <w:sz w:val="22"/>
          <w:szCs w:val="22"/>
        </w:rPr>
        <w:t xml:space="preserve">Neisseria </w:t>
      </w:r>
      <w:proofErr w:type="spellStart"/>
      <w:r w:rsidRPr="00123572">
        <w:rPr>
          <w:rFonts w:ascii="Arial" w:hAnsi="Arial"/>
          <w:i/>
          <w:sz w:val="22"/>
          <w:szCs w:val="22"/>
        </w:rPr>
        <w:t>meningitidis</w:t>
      </w:r>
      <w:proofErr w:type="spellEnd"/>
      <w:r w:rsidRPr="0043635E">
        <w:rPr>
          <w:rFonts w:ascii="Arial" w:hAnsi="Arial"/>
          <w:sz w:val="22"/>
          <w:szCs w:val="22"/>
        </w:rPr>
        <w:t xml:space="preserve"> group B strains.</w:t>
      </w:r>
      <w:r w:rsidRPr="0043635E">
        <w:rPr>
          <w:rFonts w:ascii="Arial" w:hAnsi="Arial"/>
          <w:color w:val="FF0000"/>
          <w:sz w:val="22"/>
          <w:szCs w:val="22"/>
        </w:rPr>
        <w:t xml:space="preserve"> </w:t>
      </w:r>
    </w:p>
    <w:p w:rsidR="00002DC3" w:rsidRPr="0043635E" w:rsidRDefault="00002DC3" w:rsidP="00002DC3">
      <w:pPr>
        <w:jc w:val="both"/>
        <w:rPr>
          <w:rFonts w:ascii="Arial" w:hAnsi="Arial"/>
          <w:sz w:val="22"/>
          <w:szCs w:val="22"/>
        </w:rPr>
      </w:pPr>
    </w:p>
    <w:p w:rsidR="00002DC3" w:rsidRPr="009A0340" w:rsidRDefault="00002DC3" w:rsidP="00002DC3">
      <w:pPr>
        <w:pStyle w:val="ListParagraph"/>
        <w:numPr>
          <w:ilvl w:val="1"/>
          <w:numId w:val="1"/>
        </w:numPr>
        <w:jc w:val="both"/>
        <w:rPr>
          <w:rFonts w:ascii="Arial" w:hAnsi="Arial"/>
          <w:sz w:val="22"/>
          <w:szCs w:val="22"/>
        </w:rPr>
      </w:pPr>
      <w:r w:rsidRPr="009A0340">
        <w:rPr>
          <w:rFonts w:ascii="Arial" w:hAnsi="Arial"/>
          <w:sz w:val="22"/>
          <w:szCs w:val="22"/>
        </w:rPr>
        <w:t xml:space="preserve">This was the second consideration by the PBAC. </w:t>
      </w:r>
    </w:p>
    <w:p w:rsidR="00002DC3" w:rsidRPr="009A0340" w:rsidRDefault="00002DC3" w:rsidP="00002DC3">
      <w:pPr>
        <w:jc w:val="both"/>
        <w:rPr>
          <w:rFonts w:ascii="Arial" w:hAnsi="Arial"/>
          <w:sz w:val="22"/>
          <w:szCs w:val="22"/>
        </w:rPr>
      </w:pPr>
    </w:p>
    <w:p w:rsidR="00002DC3" w:rsidRPr="00A81973" w:rsidRDefault="00002DC3" w:rsidP="00002DC3">
      <w:pPr>
        <w:ind w:left="709"/>
        <w:rPr>
          <w:rStyle w:val="CommentReference"/>
          <w:rFonts w:ascii="Arial Narrow" w:hAnsi="Arial Narrow" w:cs="Arial"/>
          <w:b/>
          <w:sz w:val="20"/>
          <w:szCs w:val="20"/>
        </w:rPr>
      </w:pPr>
      <w:r w:rsidRPr="00A81973">
        <w:rPr>
          <w:rStyle w:val="CommentReference"/>
          <w:rFonts w:ascii="Arial Narrow" w:hAnsi="Arial Narrow" w:cs="Arial"/>
          <w:b/>
          <w:sz w:val="20"/>
          <w:szCs w:val="20"/>
        </w:rPr>
        <w:t>Summary of differences between the previous submission and current resubmission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Summary of differences between the previous submission and current resubmission"/>
      </w:tblPr>
      <w:tblGrid>
        <w:gridCol w:w="992"/>
        <w:gridCol w:w="1986"/>
        <w:gridCol w:w="2550"/>
        <w:gridCol w:w="2817"/>
      </w:tblGrid>
      <w:tr w:rsidR="00002DC3" w:rsidRPr="003D3F7B" w:rsidTr="00D60B44">
        <w:trPr>
          <w:trHeight w:val="220"/>
          <w:tblHeader/>
        </w:trPr>
        <w:tc>
          <w:tcPr>
            <w:tcW w:w="594" w:type="pct"/>
            <w:vMerge w:val="restart"/>
          </w:tcPr>
          <w:p w:rsidR="00002DC3" w:rsidRPr="003D3F7B" w:rsidRDefault="00002DC3" w:rsidP="00D60B44">
            <w:pPr>
              <w:rPr>
                <w:rFonts w:ascii="Arial Narrow" w:hAnsi="Arial Narrow"/>
                <w:sz w:val="20"/>
              </w:rPr>
            </w:pPr>
          </w:p>
        </w:tc>
        <w:tc>
          <w:tcPr>
            <w:tcW w:w="2718" w:type="pct"/>
            <w:gridSpan w:val="2"/>
            <w:vAlign w:val="center"/>
          </w:tcPr>
          <w:p w:rsidR="00002DC3" w:rsidRPr="003D3F7B" w:rsidRDefault="00002DC3" w:rsidP="00D60B44">
            <w:pPr>
              <w:jc w:val="center"/>
              <w:rPr>
                <w:rFonts w:ascii="Arial Narrow" w:hAnsi="Arial Narrow"/>
                <w:b/>
                <w:sz w:val="20"/>
              </w:rPr>
            </w:pPr>
            <w:r w:rsidRPr="003D3F7B">
              <w:rPr>
                <w:rFonts w:ascii="Arial Narrow" w:hAnsi="Arial Narrow"/>
                <w:b/>
                <w:sz w:val="20"/>
              </w:rPr>
              <w:t>4CMenB, November 2013</w:t>
            </w:r>
          </w:p>
        </w:tc>
        <w:tc>
          <w:tcPr>
            <w:tcW w:w="1688" w:type="pct"/>
            <w:vMerge w:val="restart"/>
            <w:vAlign w:val="center"/>
          </w:tcPr>
          <w:p w:rsidR="00002DC3" w:rsidRPr="0078698B" w:rsidRDefault="00002DC3" w:rsidP="00D60B44">
            <w:pPr>
              <w:jc w:val="center"/>
              <w:rPr>
                <w:rFonts w:ascii="Arial Narrow" w:hAnsi="Arial Narrow"/>
                <w:b/>
                <w:sz w:val="20"/>
              </w:rPr>
            </w:pPr>
            <w:r w:rsidRPr="0078698B">
              <w:rPr>
                <w:rFonts w:ascii="Arial Narrow" w:hAnsi="Arial Narrow"/>
                <w:b/>
                <w:sz w:val="20"/>
              </w:rPr>
              <w:t>Current resubmission</w:t>
            </w:r>
          </w:p>
        </w:tc>
      </w:tr>
      <w:tr w:rsidR="00002DC3" w:rsidRPr="003D3F7B" w:rsidTr="00D60B44">
        <w:trPr>
          <w:trHeight w:val="220"/>
          <w:tblHeader/>
        </w:trPr>
        <w:tc>
          <w:tcPr>
            <w:tcW w:w="594" w:type="pct"/>
            <w:vMerge/>
          </w:tcPr>
          <w:p w:rsidR="00002DC3" w:rsidRPr="003D3F7B" w:rsidRDefault="00002DC3" w:rsidP="00D60B44">
            <w:pPr>
              <w:rPr>
                <w:rFonts w:ascii="Arial Narrow" w:hAnsi="Arial Narrow"/>
                <w:sz w:val="20"/>
              </w:rPr>
            </w:pPr>
          </w:p>
        </w:tc>
        <w:tc>
          <w:tcPr>
            <w:tcW w:w="1190" w:type="pct"/>
            <w:vAlign w:val="center"/>
          </w:tcPr>
          <w:p w:rsidR="00002DC3" w:rsidRPr="003D3F7B" w:rsidRDefault="00002DC3" w:rsidP="00D60B44">
            <w:pPr>
              <w:jc w:val="center"/>
              <w:rPr>
                <w:rFonts w:ascii="Arial Narrow" w:hAnsi="Arial Narrow"/>
                <w:b/>
                <w:sz w:val="20"/>
              </w:rPr>
            </w:pPr>
            <w:r w:rsidRPr="003D3F7B">
              <w:rPr>
                <w:rFonts w:ascii="Arial Narrow" w:hAnsi="Arial Narrow"/>
                <w:b/>
                <w:sz w:val="20"/>
              </w:rPr>
              <w:t>Submission</w:t>
            </w:r>
          </w:p>
        </w:tc>
        <w:tc>
          <w:tcPr>
            <w:tcW w:w="1528" w:type="pct"/>
          </w:tcPr>
          <w:p w:rsidR="00002DC3" w:rsidRPr="003D3F7B" w:rsidRDefault="00002DC3" w:rsidP="00D60B44">
            <w:pPr>
              <w:jc w:val="center"/>
              <w:rPr>
                <w:rFonts w:ascii="Arial Narrow" w:hAnsi="Arial Narrow"/>
                <w:b/>
                <w:sz w:val="20"/>
              </w:rPr>
            </w:pPr>
            <w:r w:rsidRPr="003D3F7B">
              <w:rPr>
                <w:rFonts w:ascii="Arial Narrow" w:hAnsi="Arial Narrow"/>
                <w:b/>
                <w:sz w:val="20"/>
              </w:rPr>
              <w:t>Considered at PBAC meeting</w:t>
            </w:r>
          </w:p>
        </w:tc>
        <w:tc>
          <w:tcPr>
            <w:tcW w:w="1688" w:type="pct"/>
            <w:vMerge/>
            <w:vAlign w:val="center"/>
          </w:tcPr>
          <w:p w:rsidR="00002DC3" w:rsidRPr="003D3F7B" w:rsidRDefault="00002DC3" w:rsidP="00D60B44">
            <w:pPr>
              <w:jc w:val="center"/>
              <w:rPr>
                <w:rFonts w:ascii="Arial Narrow" w:hAnsi="Arial Narrow"/>
                <w:b/>
                <w:sz w:val="20"/>
              </w:rPr>
            </w:pPr>
          </w:p>
        </w:tc>
      </w:tr>
      <w:tr w:rsidR="00002DC3" w:rsidRPr="003D3F7B" w:rsidTr="00D60B44">
        <w:trPr>
          <w:trHeight w:val="422"/>
        </w:trPr>
        <w:tc>
          <w:tcPr>
            <w:tcW w:w="594" w:type="pct"/>
          </w:tcPr>
          <w:p w:rsidR="00002DC3" w:rsidRPr="003D3F7B" w:rsidRDefault="00002DC3" w:rsidP="00D60B44">
            <w:pPr>
              <w:rPr>
                <w:rFonts w:ascii="Arial Narrow" w:hAnsi="Arial Narrow"/>
                <w:sz w:val="20"/>
              </w:rPr>
            </w:pPr>
            <w:r w:rsidRPr="00656E0D">
              <w:rPr>
                <w:rFonts w:ascii="Arial Narrow" w:hAnsi="Arial Narrow"/>
                <w:sz w:val="20"/>
              </w:rPr>
              <w:t>Requested price</w:t>
            </w:r>
          </w:p>
        </w:tc>
        <w:tc>
          <w:tcPr>
            <w:tcW w:w="1190" w:type="pct"/>
          </w:tcPr>
          <w:p w:rsidR="00002DC3" w:rsidRPr="003D3F7B" w:rsidRDefault="00002DC3" w:rsidP="00D60B44">
            <w:pPr>
              <w:rPr>
                <w:rFonts w:ascii="Arial Narrow" w:hAnsi="Arial Narrow"/>
                <w:sz w:val="20"/>
              </w:rPr>
            </w:pPr>
            <w:r w:rsidRPr="00820AC1">
              <w:rPr>
                <w:rFonts w:ascii="Arial Narrow" w:hAnsi="Arial Narrow"/>
                <w:sz w:val="20"/>
              </w:rPr>
              <w:t>$</w:t>
            </w:r>
            <w:r>
              <w:rPr>
                <w:rFonts w:ascii="Arial Narrow" w:hAnsi="Arial Narrow"/>
                <w:noProof/>
                <w:color w:val="000000"/>
                <w:sz w:val="20"/>
                <w:highlight w:val="black"/>
              </w:rPr>
              <w:t xml:space="preserve">''''''' </w:t>
            </w:r>
            <w:r w:rsidRPr="00820AC1">
              <w:rPr>
                <w:rFonts w:ascii="Arial Narrow" w:hAnsi="Arial Narrow"/>
                <w:sz w:val="20"/>
              </w:rPr>
              <w:t xml:space="preserve">per dose, plus </w:t>
            </w:r>
            <w:r>
              <w:rPr>
                <w:rFonts w:ascii="Arial Narrow" w:hAnsi="Arial Narrow"/>
                <w:noProof/>
                <w:color w:val="000000"/>
                <w:sz w:val="20"/>
                <w:highlight w:val="black"/>
              </w:rPr>
              <w:t>''''''</w:t>
            </w:r>
            <w:r w:rsidRPr="00820AC1">
              <w:rPr>
                <w:rFonts w:ascii="Arial Narrow" w:hAnsi="Arial Narrow"/>
                <w:sz w:val="20"/>
              </w:rPr>
              <w:t>%</w:t>
            </w:r>
            <w:r>
              <w:rPr>
                <w:rFonts w:ascii="Arial Narrow" w:hAnsi="Arial Narrow"/>
                <w:noProof/>
                <w:color w:val="000000"/>
                <w:sz w:val="20"/>
                <w:highlight w:val="black"/>
              </w:rPr>
              <w:t xml:space="preserve"> </w:t>
            </w:r>
            <w:r w:rsidRPr="00820AC1">
              <w:rPr>
                <w:rFonts w:ascii="Arial Narrow" w:hAnsi="Arial Narrow"/>
                <w:sz w:val="20"/>
              </w:rPr>
              <w:t>discount in the catch-up program.</w:t>
            </w:r>
          </w:p>
        </w:tc>
        <w:tc>
          <w:tcPr>
            <w:tcW w:w="1528" w:type="pct"/>
          </w:tcPr>
          <w:p w:rsidR="00002DC3" w:rsidRPr="003D3F7B" w:rsidRDefault="00002DC3" w:rsidP="00D60B44">
            <w:pPr>
              <w:rPr>
                <w:rFonts w:ascii="Arial Narrow" w:hAnsi="Arial Narrow"/>
                <w:sz w:val="20"/>
              </w:rPr>
            </w:pPr>
            <w:proofErr w:type="gramStart"/>
            <w:r w:rsidRPr="00820AC1">
              <w:rPr>
                <w:rFonts w:ascii="Arial Narrow" w:hAnsi="Arial Narrow"/>
                <w:sz w:val="20"/>
              </w:rPr>
              <w:t>$</w:t>
            </w:r>
            <w:r>
              <w:rPr>
                <w:rFonts w:ascii="Arial Narrow" w:hAnsi="Arial Narrow"/>
                <w:noProof/>
                <w:color w:val="000000"/>
                <w:sz w:val="20"/>
                <w:highlight w:val="black"/>
              </w:rPr>
              <w:t xml:space="preserve">''''''' </w:t>
            </w:r>
            <w:r w:rsidRPr="00820AC1">
              <w:rPr>
                <w:rFonts w:ascii="Arial Narrow" w:hAnsi="Arial Narrow"/>
                <w:sz w:val="20"/>
              </w:rPr>
              <w:t>per dose.</w:t>
            </w:r>
            <w:proofErr w:type="gramEnd"/>
          </w:p>
        </w:tc>
        <w:tc>
          <w:tcPr>
            <w:tcW w:w="1688" w:type="pct"/>
          </w:tcPr>
          <w:p w:rsidR="00002DC3" w:rsidRPr="003D3F7B" w:rsidRDefault="00002DC3" w:rsidP="00D60B44">
            <w:pPr>
              <w:rPr>
                <w:rFonts w:ascii="Arial Narrow" w:hAnsi="Arial Narrow"/>
                <w:sz w:val="20"/>
              </w:rPr>
            </w:pPr>
            <w:r w:rsidRPr="00820AC1">
              <w:rPr>
                <w:rFonts w:ascii="Arial Narrow" w:hAnsi="Arial Narrow"/>
                <w:sz w:val="20"/>
              </w:rPr>
              <w:t>$</w:t>
            </w:r>
            <w:r>
              <w:rPr>
                <w:rFonts w:ascii="Arial Narrow" w:hAnsi="Arial Narrow"/>
                <w:noProof/>
                <w:color w:val="000000"/>
                <w:sz w:val="20"/>
                <w:highlight w:val="black"/>
              </w:rPr>
              <w:t>'''''</w:t>
            </w:r>
            <w:r w:rsidRPr="00820AC1">
              <w:rPr>
                <w:rFonts w:ascii="Arial Narrow" w:hAnsi="Arial Narrow"/>
                <w:sz w:val="20"/>
              </w:rPr>
              <w:t xml:space="preserve"> per dose, plus </w:t>
            </w:r>
            <w:r>
              <w:rPr>
                <w:rFonts w:ascii="Arial Narrow" w:hAnsi="Arial Narrow"/>
                <w:noProof/>
                <w:color w:val="000000"/>
                <w:sz w:val="20"/>
                <w:highlight w:val="black"/>
              </w:rPr>
              <w:t>''''''</w:t>
            </w:r>
            <w:r w:rsidRPr="00820AC1">
              <w:rPr>
                <w:rFonts w:ascii="Arial Narrow" w:hAnsi="Arial Narrow"/>
                <w:sz w:val="20"/>
              </w:rPr>
              <w:t>% discount in the catch-up program.</w:t>
            </w:r>
          </w:p>
        </w:tc>
      </w:tr>
      <w:tr w:rsidR="00002DC3" w:rsidRPr="003D3F7B" w:rsidTr="00D60B44">
        <w:trPr>
          <w:trHeight w:val="64"/>
        </w:trPr>
        <w:tc>
          <w:tcPr>
            <w:tcW w:w="594" w:type="pct"/>
            <w:vMerge w:val="restart"/>
          </w:tcPr>
          <w:p w:rsidR="00002DC3" w:rsidRPr="003D3F7B" w:rsidRDefault="00002DC3" w:rsidP="00D60B44">
            <w:pPr>
              <w:rPr>
                <w:rFonts w:ascii="Arial Narrow" w:hAnsi="Arial Narrow"/>
                <w:sz w:val="20"/>
              </w:rPr>
            </w:pPr>
            <w:r w:rsidRPr="003D3F7B">
              <w:rPr>
                <w:rFonts w:ascii="Arial Narrow" w:hAnsi="Arial Narrow"/>
                <w:sz w:val="20"/>
              </w:rPr>
              <w:t>Economic evaluation</w:t>
            </w:r>
          </w:p>
        </w:tc>
        <w:tc>
          <w:tcPr>
            <w:tcW w:w="1190" w:type="pct"/>
          </w:tcPr>
          <w:p w:rsidR="00002DC3" w:rsidRPr="003D3F7B" w:rsidRDefault="00002DC3" w:rsidP="00D60B44">
            <w:pPr>
              <w:rPr>
                <w:rFonts w:ascii="Arial Narrow" w:hAnsi="Arial Narrow"/>
                <w:sz w:val="20"/>
              </w:rPr>
            </w:pPr>
            <w:proofErr w:type="gramStart"/>
            <w:r w:rsidRPr="00002DC3">
              <w:rPr>
                <w:rFonts w:ascii="Arial Narrow" w:hAnsi="Arial Narrow"/>
                <w:color w:val="000000"/>
                <w:sz w:val="20"/>
              </w:rPr>
              <w:t>Cost-utility model with an ICER of $</w:t>
            </w:r>
            <w:r>
              <w:rPr>
                <w:rFonts w:ascii="Arial Narrow" w:hAnsi="Arial Narrow"/>
                <w:noProof/>
                <w:color w:val="000000"/>
                <w:sz w:val="20"/>
                <w:highlight w:val="black"/>
              </w:rPr>
              <w:t>'''''''''''''''</w:t>
            </w:r>
            <w:r w:rsidRPr="00002DC3">
              <w:rPr>
                <w:rFonts w:ascii="Arial Narrow" w:hAnsi="Arial Narrow"/>
                <w:color w:val="000000"/>
                <w:sz w:val="20"/>
              </w:rPr>
              <w:t>/QALY for routine infant and adolescent vaccination with catch-up for older infants and toddlers and adolescents versus no vaccination.</w:t>
            </w:r>
            <w:proofErr w:type="gramEnd"/>
          </w:p>
        </w:tc>
        <w:tc>
          <w:tcPr>
            <w:tcW w:w="1528" w:type="pct"/>
          </w:tcPr>
          <w:p w:rsidR="00002DC3" w:rsidRPr="003D3F7B" w:rsidRDefault="00002DC3" w:rsidP="00D60B44">
            <w:pPr>
              <w:rPr>
                <w:rFonts w:ascii="Arial Narrow" w:hAnsi="Arial Narrow"/>
                <w:sz w:val="20"/>
              </w:rPr>
            </w:pPr>
            <w:proofErr w:type="gramStart"/>
            <w:r w:rsidRPr="003D3F7B">
              <w:rPr>
                <w:rFonts w:ascii="Arial Narrow" w:hAnsi="Arial Narrow"/>
                <w:sz w:val="20"/>
              </w:rPr>
              <w:t xml:space="preserve">Cost-utility model with an ICER of </w:t>
            </w:r>
            <w:r w:rsidRPr="00656E0D">
              <w:rPr>
                <w:rFonts w:ascii="Arial Narrow" w:hAnsi="Arial Narrow"/>
                <w:sz w:val="20"/>
              </w:rPr>
              <w:t>$</w:t>
            </w:r>
            <w:r>
              <w:rPr>
                <w:rFonts w:ascii="Arial Narrow" w:hAnsi="Arial Narrow"/>
                <w:noProof/>
                <w:color w:val="000000"/>
                <w:sz w:val="20"/>
                <w:highlight w:val="black"/>
              </w:rPr>
              <w:t>''''''''''''''''</w:t>
            </w:r>
            <w:r w:rsidRPr="00656E0D">
              <w:rPr>
                <w:rFonts w:ascii="Arial Narrow" w:hAnsi="Arial Narrow"/>
                <w:sz w:val="20"/>
              </w:rPr>
              <w:t>/QALY</w:t>
            </w:r>
            <w:r w:rsidRPr="003D3F7B">
              <w:rPr>
                <w:rFonts w:ascii="Arial Narrow" w:hAnsi="Arial Narrow"/>
                <w:sz w:val="20"/>
              </w:rPr>
              <w:t xml:space="preserve"> </w:t>
            </w:r>
            <w:r w:rsidRPr="00002DC3">
              <w:rPr>
                <w:rFonts w:ascii="Arial Narrow" w:hAnsi="Arial Narrow"/>
                <w:color w:val="000000"/>
                <w:sz w:val="20"/>
              </w:rPr>
              <w:t>for routine infant and adolescent vaccination with catch-up for older infants and toddlers and adolescents versus no vaccination.</w:t>
            </w:r>
            <w:proofErr w:type="gramEnd"/>
            <w:r w:rsidRPr="00002DC3">
              <w:rPr>
                <w:rFonts w:ascii="Arial Narrow" w:hAnsi="Arial Narrow"/>
                <w:color w:val="000000"/>
                <w:sz w:val="20"/>
              </w:rPr>
              <w:t xml:space="preserve"> </w:t>
            </w:r>
            <w:r w:rsidRPr="003D3F7B">
              <w:rPr>
                <w:rFonts w:ascii="Arial Narrow" w:hAnsi="Arial Narrow"/>
                <w:b/>
                <w:sz w:val="20"/>
              </w:rPr>
              <w:t>PBAC comment:</w:t>
            </w:r>
            <w:r>
              <w:rPr>
                <w:rFonts w:ascii="Arial Narrow" w:hAnsi="Arial Narrow"/>
                <w:sz w:val="20"/>
              </w:rPr>
              <w:t xml:space="preserve"> t</w:t>
            </w:r>
            <w:r w:rsidRPr="003D3F7B">
              <w:rPr>
                <w:rFonts w:ascii="Arial Narrow" w:hAnsi="Arial Narrow"/>
                <w:sz w:val="20"/>
              </w:rPr>
              <w:t xml:space="preserve">he PBAC preferred model had an ICER </w:t>
            </w:r>
            <w:r w:rsidRPr="00656E0D">
              <w:rPr>
                <w:rFonts w:ascii="Arial Narrow" w:hAnsi="Arial Narrow"/>
                <w:sz w:val="20"/>
              </w:rPr>
              <w:t>of $</w:t>
            </w:r>
            <w:r>
              <w:rPr>
                <w:rFonts w:ascii="Arial Narrow" w:hAnsi="Arial Narrow"/>
                <w:noProof/>
                <w:color w:val="000000"/>
                <w:sz w:val="20"/>
                <w:highlight w:val="black"/>
              </w:rPr>
              <w:t>'''''''''''''''''</w:t>
            </w:r>
            <w:r w:rsidRPr="00656E0D">
              <w:rPr>
                <w:rFonts w:ascii="Arial Narrow" w:hAnsi="Arial Narrow"/>
                <w:sz w:val="20"/>
              </w:rPr>
              <w:t>/QALY</w:t>
            </w:r>
            <w:r w:rsidRPr="003D3F7B">
              <w:rPr>
                <w:rFonts w:ascii="Arial Narrow" w:hAnsi="Arial Narrow"/>
                <w:sz w:val="20"/>
              </w:rPr>
              <w:t xml:space="preserve"> (item 6.37).</w:t>
            </w:r>
          </w:p>
        </w:tc>
        <w:tc>
          <w:tcPr>
            <w:tcW w:w="1688" w:type="pct"/>
          </w:tcPr>
          <w:p w:rsidR="00002DC3" w:rsidRPr="003D3F7B" w:rsidRDefault="00002DC3" w:rsidP="00D60B44">
            <w:pPr>
              <w:rPr>
                <w:rFonts w:ascii="Arial Narrow" w:hAnsi="Arial Narrow"/>
                <w:b/>
                <w:sz w:val="20"/>
              </w:rPr>
            </w:pPr>
            <w:proofErr w:type="gramStart"/>
            <w:r w:rsidRPr="003D3F7B">
              <w:rPr>
                <w:rFonts w:ascii="Arial Narrow" w:hAnsi="Arial Narrow"/>
                <w:sz w:val="20"/>
              </w:rPr>
              <w:t xml:space="preserve">Cost-utility model with an ICER of </w:t>
            </w:r>
            <w:r w:rsidRPr="00656E0D">
              <w:rPr>
                <w:rFonts w:ascii="Arial Narrow" w:hAnsi="Arial Narrow"/>
                <w:sz w:val="20"/>
              </w:rPr>
              <w:t>$</w:t>
            </w:r>
            <w:r>
              <w:rPr>
                <w:rFonts w:ascii="Arial Narrow" w:hAnsi="Arial Narrow"/>
                <w:noProof/>
                <w:color w:val="000000"/>
                <w:sz w:val="20"/>
                <w:highlight w:val="black"/>
              </w:rPr>
              <w:t>'''''''''''''''''''</w:t>
            </w:r>
            <w:r w:rsidRPr="00656E0D">
              <w:rPr>
                <w:rFonts w:ascii="Arial Narrow" w:hAnsi="Arial Narrow"/>
                <w:sz w:val="20"/>
              </w:rPr>
              <w:t>/QALY</w:t>
            </w:r>
            <w:r w:rsidRPr="003D3F7B">
              <w:rPr>
                <w:rFonts w:ascii="Arial Narrow" w:hAnsi="Arial Narrow"/>
                <w:sz w:val="20"/>
              </w:rPr>
              <w:t xml:space="preserve"> in the base case </w:t>
            </w:r>
            <w:r w:rsidRPr="00002DC3">
              <w:rPr>
                <w:rFonts w:ascii="Arial Narrow" w:hAnsi="Arial Narrow"/>
                <w:color w:val="000000"/>
                <w:sz w:val="20"/>
              </w:rPr>
              <w:t>for routine infant and adolescent vaccination with catch-up for older infants and toddlers and adolescents versus no vaccination</w:t>
            </w:r>
            <w:r w:rsidRPr="003D3F7B">
              <w:rPr>
                <w:rFonts w:ascii="Arial Narrow" w:hAnsi="Arial Narrow"/>
                <w:sz w:val="20"/>
              </w:rPr>
              <w:t>.</w:t>
            </w:r>
            <w:proofErr w:type="gramEnd"/>
          </w:p>
        </w:tc>
      </w:tr>
      <w:tr w:rsidR="00002DC3" w:rsidRPr="003D3F7B" w:rsidTr="00D60B44">
        <w:trPr>
          <w:trHeight w:val="64"/>
        </w:trPr>
        <w:tc>
          <w:tcPr>
            <w:tcW w:w="594" w:type="pct"/>
            <w:vMerge/>
          </w:tcPr>
          <w:p w:rsidR="00002DC3" w:rsidRPr="003D3F7B" w:rsidRDefault="00002DC3" w:rsidP="00D60B44">
            <w:pPr>
              <w:rPr>
                <w:rFonts w:ascii="Arial Narrow" w:hAnsi="Arial Narrow"/>
                <w:sz w:val="20"/>
              </w:rPr>
            </w:pPr>
          </w:p>
        </w:tc>
        <w:tc>
          <w:tcPr>
            <w:tcW w:w="1190" w:type="pct"/>
          </w:tcPr>
          <w:p w:rsidR="00002DC3" w:rsidRPr="00002DC3" w:rsidRDefault="00002DC3" w:rsidP="00D60B44">
            <w:pPr>
              <w:rPr>
                <w:rFonts w:ascii="Arial Narrow" w:hAnsi="Arial Narrow"/>
                <w:color w:val="000000"/>
                <w:sz w:val="20"/>
              </w:rPr>
            </w:pPr>
            <w:proofErr w:type="gramStart"/>
            <w:r w:rsidRPr="00002DC3">
              <w:rPr>
                <w:rFonts w:ascii="Arial Narrow" w:hAnsi="Arial Narrow"/>
                <w:color w:val="000000"/>
                <w:sz w:val="20"/>
              </w:rPr>
              <w:t xml:space="preserve">The submission’s base case was based on a dynamic transmission model, which took </w:t>
            </w:r>
            <w:proofErr w:type="spellStart"/>
            <w:r w:rsidRPr="00002DC3">
              <w:rPr>
                <w:rFonts w:ascii="Arial Narrow" w:hAnsi="Arial Narrow"/>
                <w:color w:val="000000"/>
                <w:sz w:val="20"/>
              </w:rPr>
              <w:t>hSBA</w:t>
            </w:r>
            <w:proofErr w:type="spellEnd"/>
            <w:r w:rsidRPr="00002DC3">
              <w:rPr>
                <w:rFonts w:ascii="Arial Narrow" w:hAnsi="Arial Narrow"/>
                <w:color w:val="000000"/>
                <w:sz w:val="20"/>
              </w:rPr>
              <w:t xml:space="preserve"> outcomes extrapolated for 100 years (from up to 32 months in the trials) and applied utility weights from several published studies, differential annual discount rates of 5% per annum for costs and </w:t>
            </w:r>
            <w:r>
              <w:rPr>
                <w:rFonts w:ascii="Arial Narrow" w:hAnsi="Arial Narrow"/>
                <w:noProof/>
                <w:color w:val="000000"/>
                <w:sz w:val="20"/>
                <w:highlight w:val="black"/>
              </w:rPr>
              <w:t>'''''''''</w:t>
            </w:r>
            <w:r w:rsidRPr="00002DC3">
              <w:rPr>
                <w:rFonts w:ascii="Arial Narrow" w:hAnsi="Arial Narrow"/>
                <w:color w:val="000000"/>
                <w:sz w:val="20"/>
              </w:rPr>
              <w:t xml:space="preserve">% per annum for health outcomes, a </w:t>
            </w:r>
            <w:r>
              <w:rPr>
                <w:rFonts w:ascii="Arial Narrow" w:hAnsi="Arial Narrow"/>
                <w:noProof/>
                <w:color w:val="000000"/>
                <w:sz w:val="20"/>
                <w:highlight w:val="black"/>
              </w:rPr>
              <w:t>'''''''</w:t>
            </w:r>
            <w:r w:rsidRPr="00002DC3">
              <w:rPr>
                <w:rFonts w:ascii="Arial Narrow" w:hAnsi="Arial Narrow"/>
                <w:color w:val="000000"/>
                <w:sz w:val="20"/>
              </w:rPr>
              <w:t>% for vaccine impact on carriage acquisition (herd immunity response), and $</w:t>
            </w:r>
            <w:r>
              <w:rPr>
                <w:rFonts w:ascii="Arial Narrow" w:hAnsi="Arial Narrow"/>
                <w:noProof/>
                <w:color w:val="000000"/>
                <w:sz w:val="20"/>
                <w:highlight w:val="black"/>
              </w:rPr>
              <w:t>'''''''</w:t>
            </w:r>
            <w:r w:rsidRPr="00002DC3">
              <w:rPr>
                <w:rFonts w:ascii="Arial Narrow" w:hAnsi="Arial Narrow"/>
                <w:color w:val="000000"/>
                <w:sz w:val="20"/>
              </w:rPr>
              <w:t>/dose.</w:t>
            </w:r>
            <w:proofErr w:type="gramEnd"/>
          </w:p>
        </w:tc>
        <w:tc>
          <w:tcPr>
            <w:tcW w:w="1528" w:type="pct"/>
          </w:tcPr>
          <w:p w:rsidR="00002DC3" w:rsidRPr="003D3F7B" w:rsidRDefault="00002DC3" w:rsidP="00D60B44">
            <w:pPr>
              <w:rPr>
                <w:rFonts w:ascii="Arial Narrow" w:hAnsi="Arial Narrow"/>
                <w:sz w:val="20"/>
              </w:rPr>
            </w:pPr>
            <w:r w:rsidRPr="003D3F7B">
              <w:rPr>
                <w:rFonts w:ascii="Arial Narrow" w:hAnsi="Arial Narrow"/>
                <w:sz w:val="20"/>
              </w:rPr>
              <w:t xml:space="preserve">A revised base case was presented, </w:t>
            </w:r>
            <w:r w:rsidRPr="00820AC1">
              <w:rPr>
                <w:rFonts w:ascii="Arial Narrow" w:hAnsi="Arial Narrow"/>
                <w:sz w:val="20"/>
              </w:rPr>
              <w:t xml:space="preserve">with </w:t>
            </w:r>
            <w:r w:rsidRPr="00002DC3">
              <w:rPr>
                <w:rFonts w:ascii="Arial Narrow" w:hAnsi="Arial Narrow"/>
                <w:color w:val="000000"/>
                <w:sz w:val="20"/>
              </w:rPr>
              <w:t xml:space="preserve">differential annual discount rates of 5% per annum for costs and </w:t>
            </w:r>
            <w:r>
              <w:rPr>
                <w:rFonts w:ascii="Arial Narrow" w:hAnsi="Arial Narrow"/>
                <w:noProof/>
                <w:color w:val="000000"/>
                <w:sz w:val="20"/>
                <w:highlight w:val="black"/>
              </w:rPr>
              <w:t>''''''''</w:t>
            </w:r>
            <w:r w:rsidRPr="00002DC3">
              <w:rPr>
                <w:rFonts w:ascii="Arial Narrow" w:hAnsi="Arial Narrow"/>
                <w:color w:val="000000"/>
                <w:sz w:val="20"/>
              </w:rPr>
              <w:t xml:space="preserve">% per annum for health outcomes, a </w:t>
            </w:r>
            <w:r>
              <w:rPr>
                <w:rFonts w:ascii="Arial Narrow" w:hAnsi="Arial Narrow"/>
                <w:noProof/>
                <w:color w:val="000000"/>
                <w:sz w:val="20"/>
                <w:highlight w:val="black"/>
              </w:rPr>
              <w:t>'''''''''''</w:t>
            </w:r>
            <w:r w:rsidRPr="00002DC3">
              <w:rPr>
                <w:rFonts w:ascii="Arial Narrow" w:hAnsi="Arial Narrow"/>
                <w:color w:val="000000"/>
                <w:sz w:val="20"/>
              </w:rPr>
              <w:t>% for vaccine impact on carriage acquisition (herd immunity response), and $</w:t>
            </w:r>
            <w:r>
              <w:rPr>
                <w:rFonts w:ascii="Arial Narrow" w:hAnsi="Arial Narrow"/>
                <w:noProof/>
                <w:color w:val="000000"/>
                <w:sz w:val="20"/>
                <w:highlight w:val="black"/>
              </w:rPr>
              <w:t>''''''</w:t>
            </w:r>
            <w:r w:rsidRPr="00002DC3">
              <w:rPr>
                <w:rFonts w:ascii="Arial Narrow" w:hAnsi="Arial Narrow"/>
                <w:color w:val="000000"/>
                <w:sz w:val="20"/>
              </w:rPr>
              <w:t xml:space="preserve">/dose. </w:t>
            </w:r>
            <w:r w:rsidRPr="003D3F7B">
              <w:rPr>
                <w:rFonts w:ascii="Arial Narrow" w:hAnsi="Arial Narrow"/>
                <w:b/>
                <w:sz w:val="20"/>
              </w:rPr>
              <w:t>PBAC comment:</w:t>
            </w:r>
            <w:r w:rsidRPr="00080896">
              <w:rPr>
                <w:rFonts w:ascii="Arial Narrow" w:hAnsi="Arial Narrow"/>
                <w:sz w:val="20"/>
              </w:rPr>
              <w:t xml:space="preserve"> t</w:t>
            </w:r>
            <w:r w:rsidRPr="00002DC3">
              <w:rPr>
                <w:rFonts w:ascii="Arial Narrow" w:hAnsi="Arial Narrow"/>
                <w:color w:val="000000"/>
                <w:sz w:val="20"/>
              </w:rPr>
              <w:t xml:space="preserve">he PBAC preferred model </w:t>
            </w:r>
            <w:proofErr w:type="gramStart"/>
            <w:r w:rsidRPr="00002DC3">
              <w:rPr>
                <w:rFonts w:ascii="Arial Narrow" w:hAnsi="Arial Narrow"/>
                <w:color w:val="000000"/>
                <w:sz w:val="20"/>
              </w:rPr>
              <w:t>was based</w:t>
            </w:r>
            <w:proofErr w:type="gramEnd"/>
            <w:r w:rsidRPr="00002DC3">
              <w:rPr>
                <w:rFonts w:ascii="Arial Narrow" w:hAnsi="Arial Narrow"/>
                <w:color w:val="000000"/>
                <w:sz w:val="20"/>
              </w:rPr>
              <w:t xml:space="preserve"> on the above but with non-differential annual discount rates of 5% for costs and health outcomes </w:t>
            </w:r>
            <w:r w:rsidRPr="003D3F7B">
              <w:rPr>
                <w:rFonts w:ascii="Arial Narrow" w:hAnsi="Arial Narrow"/>
                <w:sz w:val="20"/>
              </w:rPr>
              <w:t>(item 6.37).</w:t>
            </w:r>
          </w:p>
        </w:tc>
        <w:tc>
          <w:tcPr>
            <w:tcW w:w="1688" w:type="pct"/>
          </w:tcPr>
          <w:p w:rsidR="00002DC3" w:rsidRPr="003D3F7B" w:rsidRDefault="00002DC3" w:rsidP="00D60B44">
            <w:pPr>
              <w:pStyle w:val="Default"/>
              <w:jc w:val="both"/>
              <w:rPr>
                <w:rFonts w:ascii="Arial Narrow" w:hAnsi="Arial Narrow"/>
                <w:sz w:val="20"/>
                <w:lang w:val="en-AU"/>
              </w:rPr>
            </w:pPr>
            <w:r w:rsidRPr="003D3F7B">
              <w:rPr>
                <w:rFonts w:ascii="Arial Narrow" w:hAnsi="Arial Narrow"/>
                <w:sz w:val="20"/>
                <w:lang w:val="en-AU"/>
              </w:rPr>
              <w:t xml:space="preserve">A revised base case </w:t>
            </w:r>
            <w:proofErr w:type="gramStart"/>
            <w:r w:rsidRPr="003D3F7B">
              <w:rPr>
                <w:rFonts w:ascii="Arial Narrow" w:hAnsi="Arial Narrow"/>
                <w:sz w:val="20"/>
                <w:lang w:val="en-AU"/>
              </w:rPr>
              <w:t>was presented</w:t>
            </w:r>
            <w:proofErr w:type="gramEnd"/>
            <w:r w:rsidRPr="003D3F7B">
              <w:rPr>
                <w:rFonts w:ascii="Arial Narrow" w:hAnsi="Arial Narrow"/>
                <w:sz w:val="20"/>
                <w:lang w:val="en-AU"/>
              </w:rPr>
              <w:t xml:space="preserve">, </w:t>
            </w:r>
            <w:r w:rsidRPr="00820AC1">
              <w:rPr>
                <w:rFonts w:ascii="Arial Narrow" w:hAnsi="Arial Narrow"/>
                <w:sz w:val="20"/>
                <w:lang w:val="en-AU"/>
              </w:rPr>
              <w:t>with non-</w:t>
            </w:r>
            <w:r w:rsidRPr="00002DC3">
              <w:rPr>
                <w:rFonts w:ascii="Arial Narrow" w:hAnsi="Arial Narrow"/>
                <w:sz w:val="20"/>
                <w:lang w:val="en-AU"/>
              </w:rPr>
              <w:t xml:space="preserve">differential annual discount rates of 5% per annum for costs and health outcomes (plus sensitivity analysis). Additionally </w:t>
            </w:r>
            <w:r w:rsidRPr="003D3F7B">
              <w:rPr>
                <w:rFonts w:ascii="Arial Narrow" w:hAnsi="Arial Narrow" w:cs="Arial"/>
                <w:snapToGrid w:val="0"/>
                <w:color w:val="auto"/>
                <w:sz w:val="20"/>
                <w:szCs w:val="20"/>
                <w:lang w:val="en-AU"/>
              </w:rPr>
              <w:t xml:space="preserve">vaccine coverage, projected births, deaths, and life expectancy </w:t>
            </w:r>
            <w:proofErr w:type="gramStart"/>
            <w:r w:rsidRPr="003D3F7B">
              <w:rPr>
                <w:rFonts w:ascii="Arial Narrow" w:hAnsi="Arial Narrow" w:cs="Arial"/>
                <w:snapToGrid w:val="0"/>
                <w:color w:val="auto"/>
                <w:sz w:val="20"/>
                <w:szCs w:val="20"/>
                <w:lang w:val="en-AU"/>
              </w:rPr>
              <w:t>were updated</w:t>
            </w:r>
            <w:proofErr w:type="gramEnd"/>
            <w:r w:rsidRPr="003D3F7B">
              <w:rPr>
                <w:rFonts w:ascii="Arial Narrow" w:hAnsi="Arial Narrow" w:cs="Arial"/>
                <w:snapToGrid w:val="0"/>
                <w:color w:val="auto"/>
                <w:sz w:val="20"/>
                <w:szCs w:val="20"/>
                <w:lang w:val="en-AU"/>
              </w:rPr>
              <w:t>, and costs inflated using the CPI.</w:t>
            </w:r>
          </w:p>
          <w:p w:rsidR="00002DC3" w:rsidRPr="00002DC3" w:rsidRDefault="00002DC3" w:rsidP="00D60B44">
            <w:pPr>
              <w:rPr>
                <w:rFonts w:ascii="Arial Narrow" w:hAnsi="Arial Narrow"/>
                <w:color w:val="000000"/>
                <w:sz w:val="20"/>
              </w:rPr>
            </w:pPr>
          </w:p>
          <w:p w:rsidR="00002DC3" w:rsidRPr="003D3F7B" w:rsidRDefault="00002DC3" w:rsidP="00D60B44">
            <w:pPr>
              <w:rPr>
                <w:rFonts w:ascii="Arial Narrow" w:hAnsi="Arial Narrow"/>
                <w:sz w:val="20"/>
              </w:rPr>
            </w:pPr>
            <w:r w:rsidRPr="00002DC3">
              <w:rPr>
                <w:rFonts w:ascii="Arial Narrow" w:hAnsi="Arial Narrow"/>
                <w:color w:val="000000"/>
                <w:sz w:val="20"/>
              </w:rPr>
              <w:t>Furthermore the resubmission presents o</w:t>
            </w:r>
            <w:r w:rsidRPr="003D3F7B">
              <w:rPr>
                <w:rFonts w:ascii="Arial Narrow" w:hAnsi="Arial Narrow"/>
                <w:sz w:val="20"/>
              </w:rPr>
              <w:t>nly one scenario (</w:t>
            </w:r>
            <w:r w:rsidRPr="00656E0D">
              <w:rPr>
                <w:rFonts w:ascii="Arial Narrow" w:hAnsi="Arial Narrow"/>
                <w:sz w:val="20"/>
              </w:rPr>
              <w:t>Scenario 6 - infants and adolescents routine vaccination plus catch-up programs</w:t>
            </w:r>
            <w:r w:rsidRPr="003D3F7B">
              <w:rPr>
                <w:rFonts w:ascii="Arial Narrow" w:hAnsi="Arial Narrow"/>
                <w:sz w:val="20"/>
              </w:rPr>
              <w:t>), and explains the calculation of vaccine efficacy and persistence.</w:t>
            </w:r>
          </w:p>
        </w:tc>
      </w:tr>
    </w:tbl>
    <w:p w:rsidR="00002DC3" w:rsidRDefault="00002DC3" w:rsidP="00002DC3"/>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2"/>
        <w:gridCol w:w="1986"/>
        <w:gridCol w:w="2550"/>
        <w:gridCol w:w="2817"/>
      </w:tblGrid>
      <w:tr w:rsidR="00002DC3" w:rsidRPr="003D3F7B" w:rsidTr="00D60B44">
        <w:trPr>
          <w:trHeight w:val="132"/>
        </w:trPr>
        <w:tc>
          <w:tcPr>
            <w:tcW w:w="594" w:type="pct"/>
          </w:tcPr>
          <w:p w:rsidR="00002DC3" w:rsidRPr="003D3F7B" w:rsidRDefault="00002DC3" w:rsidP="00D60B44">
            <w:pPr>
              <w:rPr>
                <w:rFonts w:ascii="Arial Narrow" w:hAnsi="Arial Narrow"/>
                <w:sz w:val="20"/>
              </w:rPr>
            </w:pPr>
            <w:r w:rsidRPr="003D3F7B">
              <w:rPr>
                <w:rFonts w:ascii="Arial Narrow" w:hAnsi="Arial Narrow"/>
                <w:sz w:val="20"/>
              </w:rPr>
              <w:t>Number of patients</w:t>
            </w:r>
          </w:p>
        </w:tc>
        <w:tc>
          <w:tcPr>
            <w:tcW w:w="1190" w:type="pct"/>
          </w:tcPr>
          <w:p w:rsidR="00002DC3" w:rsidRPr="003D3F7B" w:rsidRDefault="00002DC3" w:rsidP="00D60B44">
            <w:pPr>
              <w:rPr>
                <w:rFonts w:ascii="Arial Narrow" w:hAnsi="Arial Narrow"/>
                <w:sz w:val="20"/>
              </w:rPr>
            </w:pPr>
            <w:r w:rsidRPr="003D3F7B">
              <w:rPr>
                <w:rFonts w:ascii="Arial Narrow" w:hAnsi="Arial Narrow"/>
                <w:sz w:val="20"/>
              </w:rPr>
              <w:t xml:space="preserve">4,704,555 individuals vaccinated over 5 years. </w:t>
            </w:r>
          </w:p>
        </w:tc>
        <w:tc>
          <w:tcPr>
            <w:tcW w:w="1528" w:type="pct"/>
          </w:tcPr>
          <w:p w:rsidR="00002DC3" w:rsidRPr="003D3F7B" w:rsidRDefault="00002DC3" w:rsidP="00D60B44">
            <w:pPr>
              <w:rPr>
                <w:rFonts w:ascii="Arial Narrow" w:hAnsi="Arial Narrow"/>
                <w:sz w:val="20"/>
              </w:rPr>
            </w:pPr>
            <w:proofErr w:type="gramStart"/>
            <w:r w:rsidRPr="003D3F7B">
              <w:rPr>
                <w:rFonts w:ascii="Arial Narrow" w:hAnsi="Arial Narrow"/>
                <w:b/>
                <w:sz w:val="20"/>
              </w:rPr>
              <w:t>PBAC comment:</w:t>
            </w:r>
            <w:r>
              <w:rPr>
                <w:rFonts w:ascii="Arial Narrow" w:hAnsi="Arial Narrow"/>
                <w:sz w:val="20"/>
              </w:rPr>
              <w:t xml:space="preserve"> n</w:t>
            </w:r>
            <w:r w:rsidRPr="003D3F7B">
              <w:rPr>
                <w:rFonts w:ascii="Arial Narrow" w:hAnsi="Arial Narrow"/>
                <w:sz w:val="20"/>
              </w:rPr>
              <w:t>one.</w:t>
            </w:r>
            <w:proofErr w:type="gramEnd"/>
          </w:p>
        </w:tc>
        <w:tc>
          <w:tcPr>
            <w:tcW w:w="1688" w:type="pct"/>
          </w:tcPr>
          <w:p w:rsidR="00002DC3" w:rsidRPr="003D3F7B" w:rsidRDefault="00002DC3" w:rsidP="00D60B44">
            <w:pPr>
              <w:rPr>
                <w:rFonts w:ascii="Arial Narrow" w:hAnsi="Arial Narrow"/>
                <w:sz w:val="20"/>
              </w:rPr>
            </w:pPr>
            <w:r w:rsidRPr="003D3F7B">
              <w:rPr>
                <w:rFonts w:ascii="Arial Narrow" w:hAnsi="Arial Narrow"/>
                <w:sz w:val="20"/>
              </w:rPr>
              <w:t>4,861,730 individuals vaccinated over 5 years.</w:t>
            </w:r>
          </w:p>
        </w:tc>
      </w:tr>
      <w:tr w:rsidR="00002DC3" w:rsidRPr="003D3F7B" w:rsidTr="00D60B44">
        <w:trPr>
          <w:trHeight w:val="64"/>
        </w:trPr>
        <w:tc>
          <w:tcPr>
            <w:tcW w:w="594" w:type="pct"/>
          </w:tcPr>
          <w:p w:rsidR="00002DC3" w:rsidRPr="003D3F7B" w:rsidRDefault="00002DC3" w:rsidP="00D60B44">
            <w:pPr>
              <w:rPr>
                <w:rFonts w:ascii="Arial Narrow" w:hAnsi="Arial Narrow"/>
                <w:sz w:val="20"/>
              </w:rPr>
            </w:pPr>
            <w:r w:rsidRPr="00656E0D">
              <w:rPr>
                <w:rFonts w:ascii="Arial Narrow" w:hAnsi="Arial Narrow"/>
                <w:sz w:val="20"/>
              </w:rPr>
              <w:t>Estimated cost to the NIP</w:t>
            </w:r>
          </w:p>
        </w:tc>
        <w:tc>
          <w:tcPr>
            <w:tcW w:w="1190" w:type="pct"/>
          </w:tcPr>
          <w:p w:rsidR="00002DC3" w:rsidRPr="003D3F7B" w:rsidRDefault="00002DC3" w:rsidP="00D60B44">
            <w:pPr>
              <w:rPr>
                <w:rFonts w:ascii="Arial Narrow" w:hAnsi="Arial Narrow"/>
                <w:sz w:val="20"/>
              </w:rPr>
            </w:pPr>
            <w:proofErr w:type="gramStart"/>
            <w:r w:rsidRPr="00656E0D">
              <w:rPr>
                <w:rFonts w:ascii="Arial Narrow" w:hAnsi="Arial Narrow"/>
                <w:sz w:val="20"/>
              </w:rPr>
              <w:t>$</w:t>
            </w:r>
            <w:r>
              <w:rPr>
                <w:rFonts w:ascii="Arial Narrow" w:hAnsi="Arial Narrow"/>
                <w:noProof/>
                <w:color w:val="000000"/>
                <w:sz w:val="20"/>
                <w:highlight w:val="black"/>
              </w:rPr>
              <w:t>''''''''''''''''''''''''''''''''</w:t>
            </w:r>
            <w:r>
              <w:rPr>
                <w:noProof/>
                <w:color w:val="000000"/>
                <w:sz w:val="20"/>
                <w:highlight w:val="black"/>
                <w:lang w:eastAsia="zh-CN"/>
              </w:rPr>
              <w:t xml:space="preserve"> </w:t>
            </w:r>
            <w:r w:rsidRPr="00002DC3">
              <w:rPr>
                <w:rFonts w:ascii="Arial Narrow" w:hAnsi="Arial Narrow"/>
                <w:color w:val="000000"/>
                <w:sz w:val="20"/>
              </w:rPr>
              <w:t>over the first 5 years of listing</w:t>
            </w:r>
            <w:r w:rsidRPr="00656E0D">
              <w:rPr>
                <w:rFonts w:ascii="Arial Narrow" w:hAnsi="Arial Narrow"/>
                <w:sz w:val="20"/>
              </w:rPr>
              <w:t>.</w:t>
            </w:r>
            <w:proofErr w:type="gramEnd"/>
            <w:r w:rsidRPr="003D3F7B">
              <w:rPr>
                <w:rFonts w:ascii="Arial Narrow" w:hAnsi="Arial Narrow"/>
                <w:sz w:val="20"/>
              </w:rPr>
              <w:t xml:space="preserve"> </w:t>
            </w:r>
          </w:p>
        </w:tc>
        <w:tc>
          <w:tcPr>
            <w:tcW w:w="1528" w:type="pct"/>
          </w:tcPr>
          <w:p w:rsidR="00002DC3" w:rsidRPr="003D3F7B" w:rsidRDefault="00002DC3" w:rsidP="00D60B44">
            <w:pPr>
              <w:rPr>
                <w:rFonts w:ascii="Arial Narrow" w:hAnsi="Arial Narrow"/>
                <w:sz w:val="20"/>
              </w:rPr>
            </w:pPr>
            <w:proofErr w:type="gramStart"/>
            <w:r w:rsidRPr="00656E0D">
              <w:rPr>
                <w:rFonts w:ascii="Arial Narrow" w:hAnsi="Arial Narrow"/>
                <w:sz w:val="20"/>
              </w:rPr>
              <w:t>$</w:t>
            </w:r>
            <w:r>
              <w:rPr>
                <w:rFonts w:ascii="Arial Narrow" w:hAnsi="Arial Narrow"/>
                <w:noProof/>
                <w:color w:val="000000"/>
                <w:sz w:val="20"/>
                <w:highlight w:val="black"/>
              </w:rPr>
              <w:t xml:space="preserve">'''''''''''''''''''''''''''' </w:t>
            </w:r>
            <w:r w:rsidRPr="00002DC3">
              <w:rPr>
                <w:rFonts w:ascii="Arial Narrow" w:hAnsi="Arial Narrow"/>
                <w:color w:val="000000"/>
                <w:sz w:val="20"/>
              </w:rPr>
              <w:t>over the first 5 years of listing</w:t>
            </w:r>
            <w:r w:rsidRPr="00656E0D">
              <w:rPr>
                <w:rFonts w:ascii="Arial Narrow" w:hAnsi="Arial Narrow"/>
                <w:sz w:val="20"/>
              </w:rPr>
              <w:t>.</w:t>
            </w:r>
            <w:proofErr w:type="gramEnd"/>
            <w:r w:rsidRPr="00656E0D">
              <w:rPr>
                <w:rFonts w:ascii="Arial Narrow" w:hAnsi="Arial Narrow"/>
                <w:sz w:val="20"/>
              </w:rPr>
              <w:t xml:space="preserve"> </w:t>
            </w:r>
            <w:proofErr w:type="gramStart"/>
            <w:r w:rsidRPr="00656E0D">
              <w:rPr>
                <w:rFonts w:ascii="Arial Narrow" w:hAnsi="Arial Narrow"/>
                <w:b/>
                <w:sz w:val="20"/>
              </w:rPr>
              <w:t>PBAC comment:</w:t>
            </w:r>
            <w:r w:rsidRPr="00656E0D">
              <w:rPr>
                <w:rFonts w:ascii="Arial Narrow" w:hAnsi="Arial Narrow"/>
                <w:sz w:val="20"/>
              </w:rPr>
              <w:t xml:space="preserve"> none.</w:t>
            </w:r>
            <w:proofErr w:type="gramEnd"/>
          </w:p>
        </w:tc>
        <w:tc>
          <w:tcPr>
            <w:tcW w:w="1688" w:type="pct"/>
          </w:tcPr>
          <w:p w:rsidR="00002DC3" w:rsidRPr="003D3F7B" w:rsidRDefault="00002DC3" w:rsidP="00D60B44">
            <w:pPr>
              <w:rPr>
                <w:rFonts w:ascii="Arial Narrow" w:hAnsi="Arial Narrow"/>
                <w:sz w:val="20"/>
              </w:rPr>
            </w:pPr>
            <w:proofErr w:type="gramStart"/>
            <w:r w:rsidRPr="00656E0D">
              <w:rPr>
                <w:rFonts w:ascii="Arial Narrow" w:hAnsi="Arial Narrow"/>
                <w:sz w:val="20"/>
              </w:rPr>
              <w:t>$</w:t>
            </w:r>
            <w:r>
              <w:rPr>
                <w:rFonts w:ascii="Arial Narrow" w:hAnsi="Arial Narrow"/>
                <w:noProof/>
                <w:color w:val="000000"/>
                <w:sz w:val="20"/>
                <w:highlight w:val="black"/>
              </w:rPr>
              <w:t>''''''''''''''''''''''''''''''</w:t>
            </w:r>
            <w:r>
              <w:rPr>
                <w:noProof/>
                <w:color w:val="000000"/>
                <w:sz w:val="20"/>
                <w:highlight w:val="black"/>
                <w:lang w:eastAsia="zh-CN"/>
              </w:rPr>
              <w:t xml:space="preserve"> </w:t>
            </w:r>
            <w:r w:rsidRPr="00656E0D">
              <w:rPr>
                <w:rFonts w:ascii="Arial Narrow" w:hAnsi="Arial Narrow"/>
                <w:sz w:val="20"/>
              </w:rPr>
              <w:t>over the first 5 years of listing.</w:t>
            </w:r>
            <w:proofErr w:type="gramEnd"/>
          </w:p>
        </w:tc>
      </w:tr>
      <w:tr w:rsidR="00002DC3" w:rsidRPr="003D3F7B" w:rsidTr="00D60B44">
        <w:trPr>
          <w:trHeight w:val="1080"/>
        </w:trPr>
        <w:tc>
          <w:tcPr>
            <w:tcW w:w="594" w:type="pct"/>
          </w:tcPr>
          <w:p w:rsidR="00002DC3" w:rsidRPr="003D3F7B" w:rsidRDefault="00002DC3" w:rsidP="00D60B44">
            <w:pPr>
              <w:rPr>
                <w:rFonts w:ascii="Arial Narrow" w:hAnsi="Arial Narrow"/>
                <w:sz w:val="20"/>
              </w:rPr>
            </w:pPr>
            <w:r w:rsidRPr="00656E0D">
              <w:rPr>
                <w:rFonts w:ascii="Arial Narrow" w:hAnsi="Arial Narrow"/>
                <w:sz w:val="20"/>
              </w:rPr>
              <w:lastRenderedPageBreak/>
              <w:t>Risk-share scheme</w:t>
            </w:r>
          </w:p>
        </w:tc>
        <w:tc>
          <w:tcPr>
            <w:tcW w:w="1190" w:type="pct"/>
          </w:tcPr>
          <w:p w:rsidR="00002DC3" w:rsidRPr="003D3F7B" w:rsidRDefault="00002DC3" w:rsidP="00D60B44">
            <w:pPr>
              <w:rPr>
                <w:rFonts w:ascii="Arial Narrow" w:hAnsi="Arial Narrow"/>
                <w:sz w:val="20"/>
              </w:rPr>
            </w:pPr>
            <w:proofErr w:type="gramStart"/>
            <w:r w:rsidRPr="00656E0D">
              <w:rPr>
                <w:rFonts w:ascii="Arial Narrow" w:hAnsi="Arial Narrow"/>
                <w:sz w:val="20"/>
              </w:rPr>
              <w:t xml:space="preserve">A </w:t>
            </w:r>
            <w:r>
              <w:rPr>
                <w:rFonts w:ascii="Arial Narrow" w:hAnsi="Arial Narrow"/>
                <w:noProof/>
                <w:color w:val="000000"/>
                <w:sz w:val="20"/>
                <w:highlight w:val="black"/>
              </w:rPr>
              <w:t>''''''</w:t>
            </w:r>
            <w:r w:rsidRPr="00656E0D">
              <w:rPr>
                <w:rFonts w:ascii="Arial Narrow" w:hAnsi="Arial Narrow"/>
                <w:sz w:val="20"/>
              </w:rPr>
              <w:t>% price reduction for 4CMenB under the catch-up programs for children and adolescents.</w:t>
            </w:r>
            <w:proofErr w:type="gramEnd"/>
            <w:r w:rsidRPr="00656E0D">
              <w:rPr>
                <w:rFonts w:ascii="Arial Narrow" w:hAnsi="Arial Narrow"/>
                <w:sz w:val="20"/>
              </w:rPr>
              <w:t xml:space="preserve"> </w:t>
            </w:r>
            <w:proofErr w:type="gramStart"/>
            <w:r w:rsidRPr="00656E0D">
              <w:rPr>
                <w:rFonts w:ascii="Arial Narrow" w:hAnsi="Arial Narrow"/>
                <w:sz w:val="20"/>
              </w:rPr>
              <w:t>Plus</w:t>
            </w:r>
            <w:proofErr w:type="gramEnd"/>
            <w:r w:rsidRPr="00656E0D">
              <w:rPr>
                <w:rFonts w:ascii="Arial Narrow" w:hAnsi="Arial Narrow"/>
                <w:sz w:val="20"/>
              </w:rPr>
              <w:t xml:space="preserve"> c</w:t>
            </w:r>
            <w:r w:rsidRPr="00002DC3">
              <w:rPr>
                <w:rFonts w:ascii="Arial Narrow" w:hAnsi="Arial Narrow"/>
                <w:color w:val="000000"/>
                <w:sz w:val="20"/>
              </w:rPr>
              <w:t xml:space="preserve">ontinuation of MATS analysis. </w:t>
            </w:r>
          </w:p>
        </w:tc>
        <w:tc>
          <w:tcPr>
            <w:tcW w:w="1528" w:type="pct"/>
          </w:tcPr>
          <w:p w:rsidR="00002DC3" w:rsidRPr="00656E0D" w:rsidRDefault="00002DC3" w:rsidP="00D60B44">
            <w:pPr>
              <w:rPr>
                <w:rFonts w:ascii="Arial Narrow" w:hAnsi="Arial Narrow"/>
                <w:sz w:val="20"/>
              </w:rPr>
            </w:pPr>
            <w:proofErr w:type="gramStart"/>
            <w:r w:rsidRPr="00656E0D">
              <w:rPr>
                <w:rFonts w:ascii="Arial Narrow" w:hAnsi="Arial Narrow"/>
                <w:sz w:val="20"/>
              </w:rPr>
              <w:t xml:space="preserve">A </w:t>
            </w:r>
            <w:r>
              <w:rPr>
                <w:rFonts w:ascii="Arial Narrow" w:hAnsi="Arial Narrow"/>
                <w:noProof/>
                <w:color w:val="000000"/>
                <w:sz w:val="20"/>
                <w:highlight w:val="black"/>
              </w:rPr>
              <w:t>'''''''</w:t>
            </w:r>
            <w:r w:rsidRPr="00656E0D">
              <w:rPr>
                <w:rFonts w:ascii="Arial Narrow" w:hAnsi="Arial Narrow"/>
                <w:sz w:val="20"/>
              </w:rPr>
              <w:t>% price reduction for 4CMenB under the catch-up programs for children and adolescents.</w:t>
            </w:r>
            <w:proofErr w:type="gramEnd"/>
            <w:r w:rsidRPr="00656E0D">
              <w:rPr>
                <w:rFonts w:ascii="Arial Narrow" w:hAnsi="Arial Narrow"/>
                <w:sz w:val="20"/>
              </w:rPr>
              <w:t xml:space="preserve"> Plus conducting the following studies:</w:t>
            </w:r>
          </w:p>
          <w:p w:rsidR="00002DC3" w:rsidRPr="00002DC3" w:rsidRDefault="00002DC3" w:rsidP="00002DC3">
            <w:pPr>
              <w:pStyle w:val="Default"/>
              <w:widowControl/>
              <w:numPr>
                <w:ilvl w:val="0"/>
                <w:numId w:val="4"/>
              </w:numPr>
              <w:ind w:left="113" w:hanging="113"/>
              <w:jc w:val="both"/>
              <w:rPr>
                <w:rFonts w:ascii="Arial Narrow" w:hAnsi="Arial Narrow"/>
                <w:sz w:val="20"/>
                <w:szCs w:val="20"/>
                <w:lang w:val="en-AU"/>
              </w:rPr>
            </w:pPr>
            <w:r w:rsidRPr="00002DC3">
              <w:rPr>
                <w:rFonts w:ascii="Arial Narrow" w:hAnsi="Arial Narrow"/>
                <w:sz w:val="20"/>
                <w:szCs w:val="20"/>
                <w:lang w:val="en-AU"/>
              </w:rPr>
              <w:t>continuation of MATS analysis</w:t>
            </w:r>
          </w:p>
          <w:p w:rsidR="00002DC3" w:rsidRPr="00002DC3" w:rsidRDefault="00002DC3" w:rsidP="00002DC3">
            <w:pPr>
              <w:pStyle w:val="Default"/>
              <w:widowControl/>
              <w:numPr>
                <w:ilvl w:val="0"/>
                <w:numId w:val="4"/>
              </w:numPr>
              <w:ind w:left="113" w:hanging="113"/>
              <w:jc w:val="both"/>
              <w:rPr>
                <w:rFonts w:ascii="Arial Narrow" w:hAnsi="Arial Narrow"/>
                <w:sz w:val="20"/>
                <w:szCs w:val="20"/>
                <w:lang w:val="en-AU"/>
              </w:rPr>
            </w:pPr>
            <w:r w:rsidRPr="00002DC3">
              <w:rPr>
                <w:rFonts w:ascii="Arial Narrow" w:hAnsi="Arial Narrow"/>
                <w:sz w:val="20"/>
                <w:szCs w:val="20"/>
                <w:lang w:val="en-AU"/>
              </w:rPr>
              <w:t>vaccine registry that enables identification of vaccinated cohorts for ‘free of charge’ booster dose (at age 4 or 21), if necessary</w:t>
            </w:r>
          </w:p>
          <w:p w:rsidR="00002DC3" w:rsidRPr="00002DC3" w:rsidRDefault="00002DC3" w:rsidP="00002DC3">
            <w:pPr>
              <w:pStyle w:val="Default"/>
              <w:widowControl/>
              <w:numPr>
                <w:ilvl w:val="0"/>
                <w:numId w:val="4"/>
              </w:numPr>
              <w:ind w:left="113" w:hanging="113"/>
              <w:jc w:val="both"/>
              <w:rPr>
                <w:rFonts w:ascii="Arial Narrow" w:hAnsi="Arial Narrow"/>
                <w:sz w:val="20"/>
                <w:szCs w:val="20"/>
                <w:lang w:val="en-AU"/>
              </w:rPr>
            </w:pPr>
            <w:r w:rsidRPr="00002DC3">
              <w:rPr>
                <w:rFonts w:ascii="Arial Narrow" w:hAnsi="Arial Narrow"/>
                <w:sz w:val="20"/>
                <w:szCs w:val="20"/>
                <w:lang w:val="en-AU"/>
              </w:rPr>
              <w:t>carriage study at baseline and post NIP</w:t>
            </w:r>
          </w:p>
          <w:p w:rsidR="00002DC3" w:rsidRPr="00002DC3" w:rsidRDefault="00002DC3" w:rsidP="00002DC3">
            <w:pPr>
              <w:pStyle w:val="Default"/>
              <w:widowControl/>
              <w:numPr>
                <w:ilvl w:val="0"/>
                <w:numId w:val="4"/>
              </w:numPr>
              <w:ind w:left="113" w:hanging="113"/>
              <w:jc w:val="both"/>
              <w:rPr>
                <w:rFonts w:ascii="Arial Narrow" w:hAnsi="Arial Narrow"/>
                <w:sz w:val="20"/>
                <w:szCs w:val="20"/>
                <w:lang w:val="en-AU"/>
              </w:rPr>
            </w:pPr>
            <w:proofErr w:type="gramStart"/>
            <w:r w:rsidRPr="00002DC3">
              <w:rPr>
                <w:rFonts w:ascii="Arial Narrow" w:hAnsi="Arial Narrow"/>
                <w:sz w:val="20"/>
                <w:szCs w:val="20"/>
                <w:lang w:val="en-AU"/>
              </w:rPr>
              <w:t>independent</w:t>
            </w:r>
            <w:proofErr w:type="gramEnd"/>
            <w:r w:rsidRPr="00002DC3">
              <w:rPr>
                <w:rFonts w:ascii="Arial Narrow" w:hAnsi="Arial Narrow"/>
                <w:sz w:val="20"/>
                <w:szCs w:val="20"/>
                <w:lang w:val="en-AU"/>
              </w:rPr>
              <w:t xml:space="preserve"> research of discounting regarding future health benefits in certain circumstances.</w:t>
            </w:r>
          </w:p>
          <w:p w:rsidR="00002DC3" w:rsidRPr="00002DC3" w:rsidRDefault="00002DC3" w:rsidP="00D60B44">
            <w:pPr>
              <w:rPr>
                <w:rFonts w:ascii="Arial Narrow" w:hAnsi="Arial Narrow"/>
                <w:color w:val="000000"/>
                <w:sz w:val="20"/>
              </w:rPr>
            </w:pPr>
            <w:proofErr w:type="gramStart"/>
            <w:r w:rsidRPr="00002DC3">
              <w:rPr>
                <w:rFonts w:ascii="Arial Narrow" w:hAnsi="Arial Narrow"/>
                <w:color w:val="000000"/>
                <w:sz w:val="20"/>
              </w:rPr>
              <w:t>Plus</w:t>
            </w:r>
            <w:proofErr w:type="gramEnd"/>
            <w:r w:rsidRPr="00002DC3">
              <w:rPr>
                <w:rFonts w:ascii="Arial Narrow" w:hAnsi="Arial Narrow"/>
                <w:color w:val="000000"/>
                <w:sz w:val="20"/>
              </w:rPr>
              <w:t xml:space="preserve"> suggested that either that regular updates of the results of the observational study V72_38OB (using screening methods) be provided to ATAGI, or a similar study be conducted in Australia.</w:t>
            </w:r>
          </w:p>
        </w:tc>
        <w:tc>
          <w:tcPr>
            <w:tcW w:w="1688" w:type="pct"/>
          </w:tcPr>
          <w:p w:rsidR="00002DC3" w:rsidRPr="00656E0D" w:rsidRDefault="00002DC3" w:rsidP="00D60B44">
            <w:pPr>
              <w:rPr>
                <w:rFonts w:ascii="Arial Narrow" w:hAnsi="Arial Narrow"/>
                <w:sz w:val="20"/>
              </w:rPr>
            </w:pPr>
            <w:proofErr w:type="gramStart"/>
            <w:r w:rsidRPr="00656E0D">
              <w:rPr>
                <w:rFonts w:ascii="Arial Narrow" w:hAnsi="Arial Narrow"/>
                <w:sz w:val="20"/>
              </w:rPr>
              <w:t xml:space="preserve">A </w:t>
            </w:r>
            <w:r>
              <w:rPr>
                <w:rFonts w:ascii="Arial Narrow" w:hAnsi="Arial Narrow"/>
                <w:noProof/>
                <w:color w:val="000000"/>
                <w:sz w:val="20"/>
                <w:highlight w:val="black"/>
              </w:rPr>
              <w:t>''''''</w:t>
            </w:r>
            <w:r w:rsidRPr="00656E0D">
              <w:rPr>
                <w:rFonts w:ascii="Arial Narrow" w:hAnsi="Arial Narrow"/>
                <w:sz w:val="20"/>
              </w:rPr>
              <w:t>% price reduction for 4CMenB under the catch-up programs for children and adolescents.</w:t>
            </w:r>
            <w:proofErr w:type="gramEnd"/>
            <w:r w:rsidRPr="00656E0D">
              <w:rPr>
                <w:rFonts w:ascii="Arial Narrow" w:hAnsi="Arial Narrow"/>
                <w:sz w:val="20"/>
              </w:rPr>
              <w:t xml:space="preserve"> Plus a more detailed MES is proposed, including conducting the following studies:</w:t>
            </w:r>
          </w:p>
          <w:p w:rsidR="00002DC3" w:rsidRPr="00656E0D" w:rsidRDefault="00002DC3" w:rsidP="00002DC3">
            <w:pPr>
              <w:pStyle w:val="Default"/>
              <w:widowControl/>
              <w:numPr>
                <w:ilvl w:val="0"/>
                <w:numId w:val="4"/>
              </w:numPr>
              <w:ind w:left="114" w:hanging="114"/>
              <w:jc w:val="both"/>
              <w:rPr>
                <w:rFonts w:ascii="Arial Narrow" w:hAnsi="Arial Narrow"/>
                <w:color w:val="auto"/>
                <w:sz w:val="20"/>
                <w:szCs w:val="20"/>
                <w:lang w:val="en-AU"/>
              </w:rPr>
            </w:pPr>
            <w:r w:rsidRPr="00656E0D">
              <w:rPr>
                <w:rFonts w:ascii="Arial Narrow" w:hAnsi="Arial Narrow"/>
                <w:color w:val="auto"/>
                <w:sz w:val="20"/>
                <w:szCs w:val="20"/>
                <w:lang w:val="en-AU"/>
              </w:rPr>
              <w:t>an observational study of the incidence of IMD at baseline and post NIP (including establishing a vaccine registry covering both age categories and continuation of MATS analysis)</w:t>
            </w:r>
          </w:p>
          <w:p w:rsidR="00002DC3" w:rsidRPr="00656E0D" w:rsidRDefault="00002DC3" w:rsidP="00002DC3">
            <w:pPr>
              <w:pStyle w:val="Default"/>
              <w:widowControl/>
              <w:numPr>
                <w:ilvl w:val="0"/>
                <w:numId w:val="4"/>
              </w:numPr>
              <w:ind w:left="114" w:hanging="114"/>
              <w:jc w:val="both"/>
              <w:rPr>
                <w:rFonts w:ascii="Arial Narrow" w:hAnsi="Arial Narrow"/>
                <w:color w:val="auto"/>
                <w:sz w:val="20"/>
                <w:szCs w:val="20"/>
                <w:lang w:val="en-AU"/>
              </w:rPr>
            </w:pPr>
            <w:r w:rsidRPr="00656E0D">
              <w:rPr>
                <w:rFonts w:ascii="Arial Narrow" w:hAnsi="Arial Narrow"/>
                <w:color w:val="auto"/>
                <w:sz w:val="20"/>
                <w:szCs w:val="20"/>
                <w:lang w:val="en-AU"/>
              </w:rPr>
              <w:t>an analytic study to assess vaccine effectiveness in terms of IMD using case-control methods</w:t>
            </w:r>
          </w:p>
          <w:p w:rsidR="00002DC3" w:rsidRPr="00656E0D" w:rsidRDefault="00002DC3" w:rsidP="00002DC3">
            <w:pPr>
              <w:pStyle w:val="Default"/>
              <w:widowControl/>
              <w:numPr>
                <w:ilvl w:val="0"/>
                <w:numId w:val="4"/>
              </w:numPr>
              <w:ind w:left="114" w:hanging="114"/>
              <w:jc w:val="both"/>
              <w:rPr>
                <w:rFonts w:ascii="Arial Narrow" w:hAnsi="Arial Narrow"/>
                <w:color w:val="auto"/>
                <w:sz w:val="20"/>
                <w:szCs w:val="20"/>
                <w:lang w:val="en-AU"/>
              </w:rPr>
            </w:pPr>
            <w:r w:rsidRPr="00656E0D">
              <w:rPr>
                <w:rFonts w:ascii="Arial Narrow" w:hAnsi="Arial Narrow"/>
                <w:color w:val="auto"/>
                <w:sz w:val="20"/>
                <w:szCs w:val="20"/>
                <w:lang w:val="en-AU"/>
              </w:rPr>
              <w:t>an observational study of nasopharyngeal carriage in adolescents at baseline and post NIP</w:t>
            </w:r>
          </w:p>
          <w:p w:rsidR="00002DC3" w:rsidRPr="00656E0D" w:rsidRDefault="00002DC3" w:rsidP="00002DC3">
            <w:pPr>
              <w:pStyle w:val="Default"/>
              <w:widowControl/>
              <w:numPr>
                <w:ilvl w:val="0"/>
                <w:numId w:val="4"/>
              </w:numPr>
              <w:ind w:left="114" w:hanging="114"/>
              <w:jc w:val="both"/>
              <w:rPr>
                <w:rFonts w:ascii="Arial Narrow" w:hAnsi="Arial Narrow"/>
                <w:color w:val="auto"/>
                <w:sz w:val="20"/>
                <w:szCs w:val="20"/>
                <w:lang w:val="en-AU"/>
              </w:rPr>
            </w:pPr>
            <w:proofErr w:type="gramStart"/>
            <w:r w:rsidRPr="00656E0D">
              <w:rPr>
                <w:rFonts w:ascii="Arial Narrow" w:hAnsi="Arial Narrow"/>
                <w:color w:val="auto"/>
                <w:sz w:val="20"/>
                <w:szCs w:val="20"/>
                <w:lang w:val="en-AU"/>
              </w:rPr>
              <w:t>a</w:t>
            </w:r>
            <w:proofErr w:type="gramEnd"/>
            <w:r w:rsidRPr="00656E0D">
              <w:rPr>
                <w:rFonts w:ascii="Arial Narrow" w:hAnsi="Arial Narrow"/>
                <w:color w:val="auto"/>
                <w:sz w:val="20"/>
                <w:szCs w:val="20"/>
                <w:lang w:val="en-AU"/>
              </w:rPr>
              <w:t xml:space="preserve"> safety study using regular passive, enhanced and active </w:t>
            </w:r>
            <w:proofErr w:type="spellStart"/>
            <w:r w:rsidRPr="00656E0D">
              <w:rPr>
                <w:rFonts w:ascii="Arial Narrow" w:hAnsi="Arial Narrow"/>
                <w:color w:val="auto"/>
                <w:sz w:val="20"/>
                <w:szCs w:val="20"/>
                <w:lang w:val="en-AU"/>
              </w:rPr>
              <w:t>pharmacovigilance</w:t>
            </w:r>
            <w:proofErr w:type="spellEnd"/>
            <w:r w:rsidRPr="00656E0D">
              <w:rPr>
                <w:rFonts w:ascii="Arial Narrow" w:hAnsi="Arial Narrow"/>
                <w:color w:val="auto"/>
                <w:sz w:val="20"/>
                <w:szCs w:val="20"/>
                <w:lang w:val="en-AU"/>
              </w:rPr>
              <w:t>.</w:t>
            </w:r>
          </w:p>
          <w:p w:rsidR="00002DC3" w:rsidRPr="003D3F7B" w:rsidRDefault="00002DC3" w:rsidP="00D60B44">
            <w:pPr>
              <w:ind w:left="37"/>
              <w:rPr>
                <w:rFonts w:ascii="Arial Narrow" w:hAnsi="Arial Narrow"/>
                <w:sz w:val="20"/>
              </w:rPr>
            </w:pPr>
            <w:proofErr w:type="gramStart"/>
            <w:r w:rsidRPr="00656E0D">
              <w:rPr>
                <w:rFonts w:ascii="Arial Narrow" w:hAnsi="Arial Narrow"/>
                <w:sz w:val="20"/>
              </w:rPr>
              <w:t>Plus</w:t>
            </w:r>
            <w:proofErr w:type="gramEnd"/>
            <w:r w:rsidRPr="00656E0D">
              <w:rPr>
                <w:rFonts w:ascii="Arial Narrow" w:hAnsi="Arial Narrow"/>
                <w:sz w:val="20"/>
              </w:rPr>
              <w:t xml:space="preserve"> a ‘free of charge’ booster dose (at age 4 or 21), if necessary.</w:t>
            </w:r>
          </w:p>
        </w:tc>
      </w:tr>
    </w:tbl>
    <w:p w:rsidR="00002DC3" w:rsidRPr="005D41E0" w:rsidRDefault="00002DC3" w:rsidP="00002DC3">
      <w:pPr>
        <w:ind w:left="709"/>
        <w:jc w:val="both"/>
        <w:rPr>
          <w:rFonts w:ascii="Arial Narrow" w:hAnsi="Arial Narrow"/>
          <w:sz w:val="18"/>
          <w:szCs w:val="18"/>
        </w:rPr>
      </w:pPr>
      <w:r w:rsidRPr="005D41E0">
        <w:rPr>
          <w:rFonts w:ascii="Arial Narrow" w:hAnsi="Arial Narrow"/>
          <w:sz w:val="18"/>
          <w:szCs w:val="18"/>
        </w:rPr>
        <w:t xml:space="preserve">CPI = consumer price index; </w:t>
      </w:r>
      <w:proofErr w:type="spellStart"/>
      <w:r w:rsidRPr="005D41E0">
        <w:rPr>
          <w:rFonts w:ascii="Arial Narrow" w:hAnsi="Arial Narrow"/>
          <w:sz w:val="18"/>
          <w:szCs w:val="18"/>
        </w:rPr>
        <w:t>hSBA</w:t>
      </w:r>
      <w:proofErr w:type="spellEnd"/>
      <w:r w:rsidRPr="005D41E0">
        <w:rPr>
          <w:rFonts w:ascii="Arial Narrow" w:hAnsi="Arial Narrow"/>
          <w:sz w:val="18"/>
          <w:szCs w:val="18"/>
        </w:rPr>
        <w:t xml:space="preserve"> = human Serum Bactericidal Assay; ICER = incremental cost-effectiveness ratio; IMD = invasive meningococcal B disease; MATS = Meningococcal Antigen Typing System; QALY = quality adjusted life year.</w:t>
      </w:r>
    </w:p>
    <w:p w:rsidR="00002DC3" w:rsidRPr="005D41E0" w:rsidRDefault="00002DC3" w:rsidP="00002DC3">
      <w:pPr>
        <w:ind w:left="709"/>
        <w:jc w:val="both"/>
        <w:rPr>
          <w:rFonts w:ascii="Arial Narrow" w:hAnsi="Arial Narrow"/>
          <w:sz w:val="18"/>
          <w:szCs w:val="18"/>
        </w:rPr>
      </w:pPr>
      <w:proofErr w:type="gramStart"/>
      <w:r w:rsidRPr="005D41E0">
        <w:rPr>
          <w:rFonts w:ascii="Arial Narrow" w:hAnsi="Arial Narrow"/>
          <w:sz w:val="18"/>
          <w:szCs w:val="18"/>
        </w:rPr>
        <w:t>Source: Table 3, p3 of the commentary.</w:t>
      </w:r>
      <w:proofErr w:type="gramEnd"/>
    </w:p>
    <w:p w:rsidR="00002DC3" w:rsidRDefault="00002DC3" w:rsidP="00002DC3">
      <w:pPr>
        <w:jc w:val="both"/>
        <w:rPr>
          <w:rFonts w:ascii="Arial" w:hAnsi="Arial"/>
          <w:sz w:val="22"/>
          <w:szCs w:val="22"/>
        </w:rPr>
      </w:pPr>
    </w:p>
    <w:p w:rsidR="00002DC3" w:rsidRPr="00B5289B" w:rsidRDefault="00002DC3" w:rsidP="00002DC3">
      <w:pPr>
        <w:jc w:val="both"/>
        <w:rPr>
          <w:rFonts w:ascii="Arial" w:hAnsi="Arial"/>
          <w:sz w:val="22"/>
          <w:szCs w:val="22"/>
        </w:rPr>
      </w:pPr>
    </w:p>
    <w:p w:rsidR="00002DC3" w:rsidRPr="00882085" w:rsidRDefault="00002DC3" w:rsidP="00002DC3">
      <w:pPr>
        <w:pStyle w:val="ListParagraph"/>
        <w:numPr>
          <w:ilvl w:val="0"/>
          <w:numId w:val="1"/>
        </w:numPr>
        <w:jc w:val="both"/>
        <w:rPr>
          <w:rFonts w:ascii="Arial" w:hAnsi="Arial"/>
          <w:b/>
          <w:sz w:val="22"/>
          <w:szCs w:val="22"/>
        </w:rPr>
      </w:pPr>
      <w:r w:rsidRPr="00882085">
        <w:rPr>
          <w:rFonts w:ascii="Arial" w:hAnsi="Arial"/>
          <w:b/>
          <w:sz w:val="22"/>
          <w:szCs w:val="22"/>
        </w:rPr>
        <w:t>Clinical place for the proposed therapy</w:t>
      </w:r>
    </w:p>
    <w:p w:rsidR="00002DC3" w:rsidRPr="00882085" w:rsidRDefault="00002DC3" w:rsidP="00002DC3">
      <w:pPr>
        <w:jc w:val="both"/>
        <w:rPr>
          <w:rFonts w:ascii="Arial" w:hAnsi="Arial"/>
          <w:sz w:val="22"/>
          <w:szCs w:val="22"/>
        </w:rPr>
      </w:pPr>
    </w:p>
    <w:p w:rsidR="00002DC3" w:rsidRPr="009A0340" w:rsidRDefault="00002DC3" w:rsidP="00002DC3">
      <w:pPr>
        <w:pStyle w:val="ListParagraph"/>
        <w:numPr>
          <w:ilvl w:val="1"/>
          <w:numId w:val="1"/>
        </w:numPr>
        <w:jc w:val="both"/>
        <w:rPr>
          <w:rFonts w:ascii="Arial" w:hAnsi="Arial"/>
          <w:sz w:val="22"/>
          <w:szCs w:val="22"/>
        </w:rPr>
      </w:pPr>
      <w:r w:rsidRPr="009A0340">
        <w:rPr>
          <w:rFonts w:ascii="Arial" w:hAnsi="Arial"/>
          <w:sz w:val="22"/>
          <w:szCs w:val="22"/>
        </w:rPr>
        <w:t xml:space="preserve">Invasive meningococcal B disease (IMD) is a rare disease caused by the bacterium </w:t>
      </w:r>
      <w:r w:rsidRPr="00123572">
        <w:rPr>
          <w:rFonts w:ascii="Arial" w:hAnsi="Arial"/>
          <w:i/>
          <w:sz w:val="22"/>
          <w:szCs w:val="22"/>
        </w:rPr>
        <w:t xml:space="preserve">Neisseria </w:t>
      </w:r>
      <w:proofErr w:type="spellStart"/>
      <w:r w:rsidRPr="00123572">
        <w:rPr>
          <w:rFonts w:ascii="Arial" w:hAnsi="Arial"/>
          <w:i/>
          <w:sz w:val="22"/>
          <w:szCs w:val="22"/>
        </w:rPr>
        <w:t>meningitidis</w:t>
      </w:r>
      <w:proofErr w:type="spellEnd"/>
      <w:r w:rsidRPr="009A0340">
        <w:rPr>
          <w:rFonts w:ascii="Arial" w:hAnsi="Arial"/>
          <w:sz w:val="22"/>
          <w:szCs w:val="22"/>
        </w:rPr>
        <w:t>. There were 184 cases (0.82 per 100,000) and approximately 11 deaths in 2011</w:t>
      </w:r>
      <w:r>
        <w:rPr>
          <w:rFonts w:ascii="Arial" w:hAnsi="Arial"/>
          <w:sz w:val="22"/>
          <w:szCs w:val="22"/>
        </w:rPr>
        <w:t xml:space="preserve">, </w:t>
      </w:r>
      <w:r w:rsidRPr="009A0340">
        <w:rPr>
          <w:rFonts w:ascii="Arial" w:hAnsi="Arial"/>
          <w:sz w:val="22"/>
          <w:szCs w:val="22"/>
        </w:rPr>
        <w:t xml:space="preserve">around five of the deaths were in those aged less than five years old. Incidence is bimodal, with 20% of confirmed cases aged less than one year old, 22% aged one to four years old, and the next peak in later teens, with </w:t>
      </w:r>
      <w:proofErr w:type="gramStart"/>
      <w:r w:rsidRPr="009A0340">
        <w:rPr>
          <w:rFonts w:ascii="Arial" w:hAnsi="Arial"/>
          <w:sz w:val="22"/>
          <w:szCs w:val="22"/>
        </w:rPr>
        <w:t>17%</w:t>
      </w:r>
      <w:proofErr w:type="gramEnd"/>
      <w:r w:rsidRPr="009A0340">
        <w:rPr>
          <w:rFonts w:ascii="Arial" w:hAnsi="Arial"/>
          <w:sz w:val="22"/>
          <w:szCs w:val="22"/>
        </w:rPr>
        <w:t xml:space="preserve"> aged 15-19 years old and 9% aged 20 to 24 years old between 1991 and 2011. IMD can also cause meningitis and sepsis, leading to long-term </w:t>
      </w:r>
      <w:proofErr w:type="spellStart"/>
      <w:r w:rsidRPr="009A0340">
        <w:rPr>
          <w:rFonts w:ascii="Arial" w:hAnsi="Arial"/>
          <w:sz w:val="22"/>
          <w:szCs w:val="22"/>
        </w:rPr>
        <w:t>sequelae</w:t>
      </w:r>
      <w:proofErr w:type="spellEnd"/>
      <w:r w:rsidRPr="009A0340">
        <w:rPr>
          <w:rFonts w:ascii="Arial" w:hAnsi="Arial"/>
          <w:sz w:val="22"/>
          <w:szCs w:val="22"/>
        </w:rPr>
        <w:t xml:space="preserve"> including: limb amputation, hearing loss, seizures, renal insufficiency, significant neurological deficits and skin scarring. In contrast to the incidence of IMD, asymptomatic carriage of </w:t>
      </w:r>
      <w:proofErr w:type="spellStart"/>
      <w:r w:rsidRPr="009A0340">
        <w:rPr>
          <w:rFonts w:ascii="Arial" w:hAnsi="Arial"/>
          <w:sz w:val="22"/>
          <w:szCs w:val="22"/>
        </w:rPr>
        <w:t>meningococci</w:t>
      </w:r>
      <w:proofErr w:type="spellEnd"/>
      <w:r w:rsidRPr="009A0340">
        <w:rPr>
          <w:rFonts w:ascii="Arial" w:hAnsi="Arial"/>
          <w:sz w:val="22"/>
          <w:szCs w:val="22"/>
        </w:rPr>
        <w:t xml:space="preserve"> (all serotypes) is common: from 4.5% in infants to a peak of 23.7% in 19-year olds (Christensen 2010). </w:t>
      </w:r>
    </w:p>
    <w:p w:rsidR="00002DC3" w:rsidRPr="009A0340" w:rsidRDefault="00002DC3" w:rsidP="00002DC3">
      <w:pPr>
        <w:jc w:val="both"/>
        <w:rPr>
          <w:rFonts w:ascii="Arial" w:hAnsi="Arial"/>
          <w:sz w:val="22"/>
          <w:szCs w:val="22"/>
        </w:rPr>
      </w:pPr>
    </w:p>
    <w:p w:rsidR="00002DC3" w:rsidRPr="009E21FD" w:rsidRDefault="00002DC3" w:rsidP="00002DC3">
      <w:pPr>
        <w:ind w:left="709"/>
        <w:jc w:val="both"/>
        <w:rPr>
          <w:rFonts w:ascii="Arial" w:hAnsi="Arial"/>
          <w:i/>
          <w:sz w:val="22"/>
          <w:szCs w:val="22"/>
        </w:rPr>
      </w:pPr>
      <w:r w:rsidRPr="009E21FD">
        <w:rPr>
          <w:rFonts w:ascii="Arial" w:hAnsi="Arial"/>
          <w:i/>
          <w:sz w:val="22"/>
          <w:szCs w:val="22"/>
        </w:rPr>
        <w:t>For more detail on PBAC’s view, see section 7 “PBAC outcome”</w:t>
      </w:r>
    </w:p>
    <w:p w:rsidR="00002DC3" w:rsidRDefault="00002DC3" w:rsidP="00002DC3">
      <w:pPr>
        <w:pStyle w:val="Header"/>
        <w:tabs>
          <w:tab w:val="clear" w:pos="4153"/>
          <w:tab w:val="clear" w:pos="8306"/>
        </w:tabs>
        <w:jc w:val="both"/>
        <w:rPr>
          <w:rFonts w:ascii="Arial" w:hAnsi="Arial"/>
          <w:sz w:val="22"/>
          <w:szCs w:val="22"/>
        </w:rPr>
      </w:pPr>
    </w:p>
    <w:p w:rsidR="00002DC3" w:rsidRPr="00882085" w:rsidRDefault="00002DC3" w:rsidP="00002DC3">
      <w:pPr>
        <w:pStyle w:val="Header"/>
        <w:tabs>
          <w:tab w:val="clear" w:pos="4153"/>
          <w:tab w:val="clear" w:pos="8306"/>
        </w:tabs>
        <w:jc w:val="both"/>
        <w:rPr>
          <w:rFonts w:ascii="Arial" w:hAnsi="Arial"/>
          <w:sz w:val="22"/>
          <w:szCs w:val="22"/>
        </w:rPr>
      </w:pPr>
    </w:p>
    <w:p w:rsidR="00002DC3" w:rsidRPr="00882085" w:rsidRDefault="00002DC3" w:rsidP="00002DC3">
      <w:pPr>
        <w:pStyle w:val="Header"/>
        <w:numPr>
          <w:ilvl w:val="0"/>
          <w:numId w:val="1"/>
        </w:numPr>
        <w:tabs>
          <w:tab w:val="clear" w:pos="4153"/>
          <w:tab w:val="clear" w:pos="8306"/>
        </w:tabs>
        <w:jc w:val="both"/>
        <w:rPr>
          <w:rFonts w:ascii="Arial" w:hAnsi="Arial"/>
          <w:b/>
          <w:sz w:val="22"/>
          <w:szCs w:val="22"/>
        </w:rPr>
      </w:pPr>
      <w:r w:rsidRPr="00882085">
        <w:rPr>
          <w:rFonts w:ascii="Arial" w:hAnsi="Arial"/>
          <w:b/>
          <w:sz w:val="22"/>
          <w:szCs w:val="22"/>
        </w:rPr>
        <w:t>Comparator</w:t>
      </w:r>
    </w:p>
    <w:p w:rsidR="00002DC3" w:rsidRPr="003A6A9B" w:rsidRDefault="00002DC3" w:rsidP="00002DC3">
      <w:pPr>
        <w:pStyle w:val="Header"/>
        <w:tabs>
          <w:tab w:val="clear" w:pos="4153"/>
          <w:tab w:val="clear" w:pos="8306"/>
        </w:tabs>
        <w:jc w:val="both"/>
        <w:rPr>
          <w:rFonts w:ascii="Arial" w:hAnsi="Arial"/>
          <w:sz w:val="22"/>
          <w:szCs w:val="22"/>
        </w:rPr>
      </w:pPr>
    </w:p>
    <w:p w:rsidR="00002DC3" w:rsidRPr="00882085" w:rsidRDefault="00002DC3" w:rsidP="00002DC3">
      <w:pPr>
        <w:pStyle w:val="ListParagraph"/>
        <w:numPr>
          <w:ilvl w:val="1"/>
          <w:numId w:val="1"/>
        </w:numPr>
        <w:jc w:val="both"/>
        <w:rPr>
          <w:rFonts w:ascii="Arial" w:hAnsi="Arial"/>
          <w:sz w:val="22"/>
          <w:szCs w:val="22"/>
        </w:rPr>
      </w:pPr>
      <w:r>
        <w:rPr>
          <w:rFonts w:ascii="Arial" w:hAnsi="Arial"/>
          <w:sz w:val="22"/>
          <w:szCs w:val="22"/>
        </w:rPr>
        <w:t>The comparator was no vaccination. This</w:t>
      </w:r>
      <w:r w:rsidRPr="00AA05D2">
        <w:rPr>
          <w:rFonts w:ascii="Arial" w:hAnsi="Arial"/>
          <w:sz w:val="22"/>
          <w:szCs w:val="22"/>
        </w:rPr>
        <w:t xml:space="preserve"> </w:t>
      </w:r>
      <w:r>
        <w:rPr>
          <w:rFonts w:ascii="Arial" w:hAnsi="Arial"/>
          <w:sz w:val="22"/>
          <w:szCs w:val="22"/>
        </w:rPr>
        <w:t>was</w:t>
      </w:r>
      <w:r w:rsidRPr="00AA05D2">
        <w:rPr>
          <w:rFonts w:ascii="Arial" w:hAnsi="Arial"/>
          <w:sz w:val="22"/>
          <w:szCs w:val="22"/>
        </w:rPr>
        <w:t xml:space="preserve"> unchanged from the previous submission. </w:t>
      </w:r>
    </w:p>
    <w:p w:rsidR="00002DC3" w:rsidRPr="003A6A9B" w:rsidRDefault="00002DC3" w:rsidP="00002DC3">
      <w:pPr>
        <w:jc w:val="both"/>
        <w:rPr>
          <w:rFonts w:ascii="Arial" w:hAnsi="Arial"/>
          <w:sz w:val="22"/>
          <w:szCs w:val="22"/>
        </w:rPr>
      </w:pPr>
    </w:p>
    <w:p w:rsidR="00002DC3" w:rsidRPr="00BB7EC3" w:rsidRDefault="00002DC3" w:rsidP="00002D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002DC3" w:rsidRDefault="00002DC3" w:rsidP="00002DC3">
      <w:pPr>
        <w:jc w:val="both"/>
        <w:rPr>
          <w:rFonts w:ascii="Arial" w:hAnsi="Arial"/>
          <w:sz w:val="22"/>
          <w:szCs w:val="22"/>
        </w:rPr>
      </w:pPr>
    </w:p>
    <w:p w:rsidR="00002DC3" w:rsidRPr="003A6A9B" w:rsidRDefault="00002DC3" w:rsidP="00002DC3">
      <w:pPr>
        <w:jc w:val="both"/>
        <w:rPr>
          <w:rFonts w:ascii="Arial" w:hAnsi="Arial"/>
          <w:sz w:val="22"/>
          <w:szCs w:val="22"/>
        </w:rPr>
      </w:pPr>
    </w:p>
    <w:p w:rsidR="00002DC3" w:rsidRPr="00882085" w:rsidRDefault="00002DC3" w:rsidP="00002DC3">
      <w:pPr>
        <w:pStyle w:val="Header"/>
        <w:numPr>
          <w:ilvl w:val="0"/>
          <w:numId w:val="1"/>
        </w:numPr>
        <w:tabs>
          <w:tab w:val="clear" w:pos="4153"/>
          <w:tab w:val="clear" w:pos="8306"/>
        </w:tabs>
        <w:jc w:val="both"/>
        <w:rPr>
          <w:rFonts w:ascii="Arial" w:hAnsi="Arial"/>
          <w:b/>
          <w:sz w:val="22"/>
          <w:szCs w:val="22"/>
        </w:rPr>
      </w:pPr>
      <w:r>
        <w:rPr>
          <w:rFonts w:ascii="Arial" w:hAnsi="Arial"/>
          <w:b/>
          <w:sz w:val="22"/>
          <w:szCs w:val="22"/>
        </w:rPr>
        <w:t>Consideration</w:t>
      </w:r>
      <w:r w:rsidRPr="00882085">
        <w:rPr>
          <w:rFonts w:ascii="Arial" w:hAnsi="Arial"/>
          <w:b/>
          <w:sz w:val="22"/>
          <w:szCs w:val="22"/>
        </w:rPr>
        <w:t xml:space="preserve"> of the evidence</w:t>
      </w:r>
    </w:p>
    <w:p w:rsidR="00002DC3" w:rsidRPr="003A6A9B" w:rsidRDefault="00002DC3" w:rsidP="00002DC3">
      <w:pPr>
        <w:jc w:val="both"/>
        <w:rPr>
          <w:rFonts w:ascii="Arial" w:hAnsi="Arial"/>
          <w:sz w:val="22"/>
          <w:szCs w:val="22"/>
        </w:rPr>
      </w:pPr>
    </w:p>
    <w:p w:rsidR="00002DC3" w:rsidRPr="00BB7EC3" w:rsidRDefault="00002DC3" w:rsidP="00002DC3">
      <w:pPr>
        <w:jc w:val="both"/>
        <w:rPr>
          <w:rFonts w:ascii="Arial" w:hAnsi="Arial"/>
          <w:b/>
          <w:i/>
          <w:sz w:val="22"/>
          <w:szCs w:val="22"/>
        </w:rPr>
      </w:pPr>
      <w:r w:rsidRPr="00BB7EC3">
        <w:rPr>
          <w:rFonts w:ascii="Arial" w:hAnsi="Arial"/>
          <w:b/>
          <w:i/>
          <w:sz w:val="22"/>
          <w:szCs w:val="22"/>
        </w:rPr>
        <w:t>Sponsor hearing</w:t>
      </w:r>
    </w:p>
    <w:p w:rsidR="00002DC3" w:rsidRPr="002C25ED" w:rsidRDefault="00002DC3" w:rsidP="00002DC3">
      <w:pPr>
        <w:jc w:val="both"/>
        <w:rPr>
          <w:rFonts w:ascii="Arial" w:hAnsi="Arial"/>
          <w:sz w:val="22"/>
          <w:szCs w:val="22"/>
        </w:rPr>
      </w:pPr>
    </w:p>
    <w:p w:rsidR="00002DC3" w:rsidRDefault="00002DC3" w:rsidP="00002DC3">
      <w:pPr>
        <w:pStyle w:val="ListParagraph"/>
        <w:numPr>
          <w:ilvl w:val="1"/>
          <w:numId w:val="1"/>
        </w:numPr>
        <w:jc w:val="both"/>
        <w:rPr>
          <w:rFonts w:ascii="Arial" w:hAnsi="Arial"/>
          <w:sz w:val="22"/>
          <w:szCs w:val="22"/>
        </w:rPr>
      </w:pPr>
      <w:r>
        <w:rPr>
          <w:rFonts w:ascii="Arial" w:hAnsi="Arial"/>
          <w:sz w:val="22"/>
          <w:szCs w:val="22"/>
        </w:rPr>
        <w:t>There was no hearing for this item.</w:t>
      </w:r>
    </w:p>
    <w:p w:rsidR="00002DC3" w:rsidRPr="003A6A9B" w:rsidRDefault="00002DC3" w:rsidP="00002DC3">
      <w:pPr>
        <w:jc w:val="both"/>
        <w:rPr>
          <w:rFonts w:ascii="Arial" w:hAnsi="Arial"/>
          <w:sz w:val="22"/>
          <w:szCs w:val="22"/>
        </w:rPr>
      </w:pPr>
    </w:p>
    <w:p w:rsidR="00002DC3" w:rsidRPr="00BB7EC3" w:rsidRDefault="00002DC3" w:rsidP="00002DC3">
      <w:pPr>
        <w:jc w:val="both"/>
        <w:rPr>
          <w:rFonts w:ascii="Arial" w:hAnsi="Arial"/>
          <w:b/>
          <w:i/>
          <w:sz w:val="22"/>
          <w:szCs w:val="22"/>
        </w:rPr>
      </w:pPr>
      <w:r w:rsidRPr="00BB7EC3">
        <w:rPr>
          <w:rFonts w:ascii="Arial" w:hAnsi="Arial"/>
          <w:b/>
          <w:i/>
          <w:sz w:val="22"/>
          <w:szCs w:val="22"/>
        </w:rPr>
        <w:t>Consumer comments</w:t>
      </w:r>
    </w:p>
    <w:p w:rsidR="00002DC3" w:rsidRPr="003A6A9B" w:rsidRDefault="00002DC3" w:rsidP="00002DC3">
      <w:pPr>
        <w:jc w:val="both"/>
        <w:rPr>
          <w:rFonts w:ascii="Arial" w:hAnsi="Arial"/>
          <w:sz w:val="22"/>
          <w:szCs w:val="22"/>
        </w:rPr>
      </w:pPr>
    </w:p>
    <w:p w:rsidR="00002DC3" w:rsidRPr="003A6A9B" w:rsidRDefault="00002DC3" w:rsidP="00002DC3">
      <w:pPr>
        <w:pStyle w:val="ListParagraph"/>
        <w:numPr>
          <w:ilvl w:val="1"/>
          <w:numId w:val="1"/>
        </w:numPr>
        <w:jc w:val="both"/>
        <w:rPr>
          <w:rFonts w:ascii="Arial" w:hAnsi="Arial"/>
          <w:sz w:val="22"/>
          <w:szCs w:val="22"/>
        </w:rPr>
      </w:pPr>
      <w:r w:rsidRPr="003A6A9B">
        <w:rPr>
          <w:rFonts w:ascii="Arial" w:hAnsi="Arial"/>
          <w:sz w:val="22"/>
          <w:szCs w:val="22"/>
        </w:rPr>
        <w:t>The PBAC noted and welcomed the input from individuals (40), health care professionals (3) and organisations (6) via the Consumer Comments facility on the PBS website.  The comments described a range of benefits of treatment with 4CMenB including preventing death and significant disability from the sudden onset of invasive meningococcal B disease.</w:t>
      </w:r>
    </w:p>
    <w:p w:rsidR="00002DC3" w:rsidRPr="006C5D8F" w:rsidRDefault="00002DC3" w:rsidP="00002DC3">
      <w:pPr>
        <w:jc w:val="both"/>
        <w:rPr>
          <w:rFonts w:ascii="Arial" w:hAnsi="Arial"/>
          <w:sz w:val="22"/>
          <w:szCs w:val="22"/>
        </w:rPr>
      </w:pPr>
    </w:p>
    <w:p w:rsidR="00002DC3" w:rsidRPr="00E51FC7" w:rsidRDefault="00002DC3" w:rsidP="00002DC3">
      <w:pPr>
        <w:ind w:firstLine="720"/>
        <w:jc w:val="both"/>
        <w:rPr>
          <w:rFonts w:ascii="Arial" w:hAnsi="Arial"/>
          <w:i/>
          <w:sz w:val="22"/>
          <w:szCs w:val="22"/>
        </w:rPr>
      </w:pPr>
      <w:r w:rsidRPr="00E51FC7">
        <w:rPr>
          <w:rFonts w:ascii="Arial" w:hAnsi="Arial"/>
          <w:i/>
          <w:sz w:val="22"/>
          <w:szCs w:val="22"/>
        </w:rPr>
        <w:t>For more detail on PBAC’s view, see section 7 “PBAC outcome”</w:t>
      </w:r>
    </w:p>
    <w:p w:rsidR="00002DC3" w:rsidRPr="006C5D8F" w:rsidRDefault="00002DC3" w:rsidP="00002DC3">
      <w:pPr>
        <w:jc w:val="both"/>
        <w:rPr>
          <w:rFonts w:ascii="Arial" w:hAnsi="Arial"/>
          <w:sz w:val="22"/>
          <w:szCs w:val="22"/>
        </w:rPr>
      </w:pPr>
    </w:p>
    <w:p w:rsidR="00002DC3" w:rsidRPr="00882085" w:rsidRDefault="00002DC3" w:rsidP="00002DC3">
      <w:pPr>
        <w:jc w:val="both"/>
        <w:rPr>
          <w:rFonts w:ascii="Arial" w:hAnsi="Arial"/>
          <w:b/>
          <w:i/>
          <w:sz w:val="22"/>
          <w:szCs w:val="22"/>
        </w:rPr>
      </w:pPr>
      <w:r w:rsidRPr="00882085">
        <w:rPr>
          <w:rFonts w:ascii="Arial" w:hAnsi="Arial"/>
          <w:b/>
          <w:i/>
          <w:sz w:val="22"/>
          <w:szCs w:val="22"/>
        </w:rPr>
        <w:t>Clinical trials</w:t>
      </w:r>
    </w:p>
    <w:p w:rsidR="00002DC3" w:rsidRPr="00882085" w:rsidRDefault="00002DC3" w:rsidP="00002DC3">
      <w:pPr>
        <w:jc w:val="both"/>
        <w:rPr>
          <w:rFonts w:ascii="Arial" w:hAnsi="Arial"/>
          <w:sz w:val="22"/>
          <w:szCs w:val="22"/>
        </w:rPr>
      </w:pPr>
    </w:p>
    <w:p w:rsidR="00002DC3" w:rsidRPr="009A0340" w:rsidRDefault="00002DC3" w:rsidP="00002DC3">
      <w:pPr>
        <w:pStyle w:val="ListParagraph"/>
        <w:numPr>
          <w:ilvl w:val="1"/>
          <w:numId w:val="1"/>
        </w:numPr>
        <w:jc w:val="both"/>
        <w:rPr>
          <w:rFonts w:ascii="Arial" w:hAnsi="Arial"/>
          <w:sz w:val="22"/>
          <w:szCs w:val="22"/>
        </w:rPr>
      </w:pPr>
      <w:r w:rsidRPr="009A0340">
        <w:rPr>
          <w:rFonts w:ascii="Arial" w:hAnsi="Arial"/>
          <w:sz w:val="22"/>
          <w:szCs w:val="22"/>
        </w:rPr>
        <w:t>The clinical trials listed below were unchanged from the previous submission.</w:t>
      </w:r>
    </w:p>
    <w:p w:rsidR="00002DC3" w:rsidRPr="009A0340" w:rsidRDefault="00002DC3" w:rsidP="00002DC3">
      <w:pPr>
        <w:jc w:val="both"/>
        <w:rPr>
          <w:rFonts w:ascii="Arial" w:hAnsi="Arial"/>
          <w:sz w:val="22"/>
          <w:szCs w:val="22"/>
        </w:rPr>
      </w:pPr>
    </w:p>
    <w:tbl>
      <w:tblPr>
        <w:tblW w:w="4640"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Description w:val="clinical trials"/>
      </w:tblPr>
      <w:tblGrid>
        <w:gridCol w:w="993"/>
        <w:gridCol w:w="5245"/>
        <w:gridCol w:w="2244"/>
      </w:tblGrid>
      <w:tr w:rsidR="00002DC3" w:rsidRPr="003D3F7B" w:rsidTr="003F4A74">
        <w:trPr>
          <w:tblHeader/>
        </w:trPr>
        <w:tc>
          <w:tcPr>
            <w:tcW w:w="585" w:type="pct"/>
          </w:tcPr>
          <w:p w:rsidR="00002DC3" w:rsidRPr="003D3F7B" w:rsidRDefault="00002DC3" w:rsidP="00D60B44">
            <w:pPr>
              <w:rPr>
                <w:rFonts w:ascii="Arial Narrow" w:hAnsi="Arial Narrow"/>
                <w:b/>
                <w:sz w:val="20"/>
              </w:rPr>
            </w:pPr>
            <w:r w:rsidRPr="003D3F7B">
              <w:rPr>
                <w:rFonts w:ascii="Arial Narrow" w:hAnsi="Arial Narrow"/>
                <w:b/>
                <w:sz w:val="20"/>
              </w:rPr>
              <w:t>Trial ID</w:t>
            </w:r>
          </w:p>
        </w:tc>
        <w:tc>
          <w:tcPr>
            <w:tcW w:w="3092" w:type="pct"/>
          </w:tcPr>
          <w:p w:rsidR="00002DC3" w:rsidRPr="003D3F7B" w:rsidRDefault="00002DC3" w:rsidP="00D60B44">
            <w:pPr>
              <w:rPr>
                <w:rFonts w:ascii="Arial Narrow" w:hAnsi="Arial Narrow"/>
                <w:b/>
                <w:sz w:val="20"/>
              </w:rPr>
            </w:pPr>
            <w:r w:rsidRPr="003D3F7B">
              <w:rPr>
                <w:rFonts w:ascii="Arial Narrow" w:hAnsi="Arial Narrow"/>
                <w:b/>
                <w:sz w:val="20"/>
              </w:rPr>
              <w:t>Protocol title/ Publication title</w:t>
            </w:r>
          </w:p>
        </w:tc>
        <w:tc>
          <w:tcPr>
            <w:tcW w:w="1323" w:type="pct"/>
          </w:tcPr>
          <w:p w:rsidR="00002DC3" w:rsidRPr="003D3F7B" w:rsidRDefault="00002DC3" w:rsidP="00D60B44">
            <w:pPr>
              <w:rPr>
                <w:rFonts w:ascii="Arial Narrow" w:hAnsi="Arial Narrow"/>
                <w:b/>
                <w:sz w:val="20"/>
              </w:rPr>
            </w:pPr>
            <w:r w:rsidRPr="003D3F7B">
              <w:rPr>
                <w:rFonts w:ascii="Arial Narrow" w:hAnsi="Arial Narrow"/>
                <w:b/>
                <w:sz w:val="20"/>
              </w:rPr>
              <w:t>Publication citation</w:t>
            </w:r>
          </w:p>
        </w:tc>
      </w:tr>
      <w:tr w:rsidR="00002DC3" w:rsidRPr="003D3F7B" w:rsidTr="00D60B44">
        <w:tc>
          <w:tcPr>
            <w:tcW w:w="5000" w:type="pct"/>
            <w:gridSpan w:val="3"/>
          </w:tcPr>
          <w:p w:rsidR="00002DC3" w:rsidRPr="003D3F7B" w:rsidRDefault="00002DC3" w:rsidP="00D60B44">
            <w:pPr>
              <w:rPr>
                <w:rFonts w:ascii="Arial Narrow" w:hAnsi="Arial Narrow"/>
                <w:b/>
                <w:sz w:val="20"/>
              </w:rPr>
            </w:pPr>
            <w:r>
              <w:rPr>
                <w:rFonts w:ascii="Arial Narrow" w:hAnsi="Arial Narrow"/>
                <w:b/>
                <w:sz w:val="20"/>
              </w:rPr>
              <w:t>Infant s</w:t>
            </w:r>
            <w:r w:rsidRPr="003D3F7B">
              <w:rPr>
                <w:rFonts w:ascii="Arial Narrow" w:hAnsi="Arial Narrow"/>
                <w:b/>
                <w:sz w:val="20"/>
              </w:rPr>
              <w:t>tudies</w:t>
            </w:r>
          </w:p>
        </w:tc>
      </w:tr>
      <w:tr w:rsidR="00002DC3" w:rsidRPr="003D3F7B" w:rsidTr="00D60B44">
        <w:tc>
          <w:tcPr>
            <w:tcW w:w="585" w:type="pct"/>
          </w:tcPr>
          <w:p w:rsidR="00002DC3" w:rsidRPr="003D3F7B" w:rsidRDefault="00002DC3" w:rsidP="00D60B44">
            <w:pPr>
              <w:rPr>
                <w:rFonts w:ascii="Arial Narrow" w:hAnsi="Arial Narrow"/>
                <w:sz w:val="20"/>
              </w:rPr>
            </w:pPr>
            <w:r w:rsidRPr="003D3F7B">
              <w:rPr>
                <w:rFonts w:ascii="Arial Narrow" w:hAnsi="Arial Narrow"/>
                <w:sz w:val="20"/>
              </w:rPr>
              <w:t>V72P12</w:t>
            </w:r>
          </w:p>
        </w:tc>
        <w:tc>
          <w:tcPr>
            <w:tcW w:w="3092" w:type="pct"/>
          </w:tcPr>
          <w:p w:rsidR="00002DC3" w:rsidRPr="003D3F7B" w:rsidRDefault="00002DC3" w:rsidP="00D60B44">
            <w:pPr>
              <w:rPr>
                <w:rFonts w:ascii="Arial Narrow" w:hAnsi="Arial Narrow"/>
                <w:sz w:val="20"/>
              </w:rPr>
            </w:pPr>
            <w:r w:rsidRPr="003D3F7B">
              <w:rPr>
                <w:rFonts w:ascii="Arial Narrow" w:hAnsi="Arial Narrow"/>
                <w:sz w:val="20"/>
              </w:rPr>
              <w:t xml:space="preserve">A Phase 2b, Open Label, Randomized, Parallel-Group, </w:t>
            </w:r>
            <w:proofErr w:type="spellStart"/>
            <w:r w:rsidRPr="003D3F7B">
              <w:rPr>
                <w:rFonts w:ascii="Arial Narrow" w:hAnsi="Arial Narrow"/>
                <w:sz w:val="20"/>
              </w:rPr>
              <w:t>Multicenter</w:t>
            </w:r>
            <w:proofErr w:type="spellEnd"/>
            <w:r w:rsidRPr="003D3F7B">
              <w:rPr>
                <w:rFonts w:ascii="Arial Narrow" w:hAnsi="Arial Narrow"/>
                <w:sz w:val="20"/>
              </w:rPr>
              <w:t xml:space="preserve"> Study to Evaluate the Safety, Tolerability and Immunogenicity of Novartis Meningococcal B Recombinant Vaccine When Administered with or without Routine Infant Vaccinations to Healthy Infants According to Different Immunization Schedules. September 2010. </w:t>
            </w:r>
            <w:proofErr w:type="gramStart"/>
            <w:r w:rsidRPr="003D3F7B">
              <w:rPr>
                <w:rFonts w:ascii="Arial Narrow" w:hAnsi="Arial Narrow"/>
                <w:sz w:val="20"/>
              </w:rPr>
              <w:t>Clinical Study Report: V72P12.</w:t>
            </w:r>
            <w:proofErr w:type="gramEnd"/>
            <w:r w:rsidRPr="003D3F7B">
              <w:rPr>
                <w:rFonts w:ascii="Arial Narrow" w:hAnsi="Arial Narrow"/>
                <w:sz w:val="20"/>
              </w:rPr>
              <w:t xml:space="preserve"> </w:t>
            </w:r>
            <w:proofErr w:type="gramStart"/>
            <w:r w:rsidRPr="003D3F7B">
              <w:rPr>
                <w:rFonts w:ascii="Arial Narrow" w:hAnsi="Arial Narrow"/>
                <w:sz w:val="20"/>
              </w:rPr>
              <w:t>Novartis Vaccines and Diagnostics.</w:t>
            </w:r>
            <w:proofErr w:type="gramEnd"/>
            <w:r w:rsidRPr="003D3F7B">
              <w:rPr>
                <w:rFonts w:ascii="Arial Narrow" w:hAnsi="Arial Narrow"/>
                <w:sz w:val="20"/>
              </w:rPr>
              <w:t xml:space="preserve"> (Pollard A et al. 2010)</w:t>
            </w:r>
          </w:p>
          <w:p w:rsidR="00002DC3" w:rsidRPr="003D3F7B" w:rsidRDefault="00002DC3" w:rsidP="00D60B44">
            <w:pPr>
              <w:rPr>
                <w:rFonts w:ascii="Arial Narrow" w:hAnsi="Arial Narrow"/>
                <w:sz w:val="20"/>
              </w:rPr>
            </w:pPr>
            <w:r w:rsidRPr="003D3F7B">
              <w:rPr>
                <w:rFonts w:ascii="Arial Narrow" w:hAnsi="Arial Narrow"/>
                <w:sz w:val="20"/>
              </w:rPr>
              <w:t>AND</w:t>
            </w:r>
          </w:p>
          <w:p w:rsidR="00002DC3" w:rsidRPr="00191B3F" w:rsidRDefault="00002DC3" w:rsidP="00D60B44">
            <w:pPr>
              <w:rPr>
                <w:rFonts w:ascii="Arial Narrow" w:hAnsi="Arial Narrow"/>
                <w:sz w:val="20"/>
                <w:highlight w:val="black"/>
              </w:rPr>
            </w:pPr>
            <w:r>
              <w:rPr>
                <w:rFonts w:ascii="Arial Narrow" w:hAnsi="Arial Narrow"/>
                <w:noProof/>
                <w:color w:val="000000"/>
                <w:sz w:val="20"/>
                <w:highlight w:val="black"/>
              </w:rPr>
              <w:t>'''''''''''''''''''''''' ''' ''''' ''''''''''''' ''''' '''''''' ''''''''''''</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spellStart"/>
            <w:r w:rsidRPr="003D3F7B">
              <w:rPr>
                <w:rFonts w:ascii="Arial Narrow" w:hAnsi="Arial Narrow"/>
                <w:sz w:val="20"/>
              </w:rPr>
              <w:t>Gossger</w:t>
            </w:r>
            <w:proofErr w:type="spellEnd"/>
            <w:r w:rsidRPr="003D3F7B">
              <w:rPr>
                <w:rFonts w:ascii="Arial Narrow" w:hAnsi="Arial Narrow"/>
                <w:sz w:val="20"/>
              </w:rPr>
              <w:t xml:space="preserve"> N, Snape MD, Finn A et al. Immunogenicity of an investigational multicomponent meningococcal </w:t>
            </w:r>
            <w:proofErr w:type="spellStart"/>
            <w:r w:rsidRPr="003D3F7B">
              <w:rPr>
                <w:rFonts w:ascii="Arial Narrow" w:hAnsi="Arial Narrow"/>
                <w:sz w:val="20"/>
              </w:rPr>
              <w:t>serogroup</w:t>
            </w:r>
            <w:proofErr w:type="spellEnd"/>
            <w:r w:rsidRPr="003D3F7B">
              <w:rPr>
                <w:rFonts w:ascii="Arial Narrow" w:hAnsi="Arial Narrow"/>
                <w:sz w:val="20"/>
              </w:rPr>
              <w:t xml:space="preserve"> B vaccine (4CMenB) administered with or without routine infant vaccinations in different schedules.</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spellStart"/>
            <w:r w:rsidRPr="003D3F7B">
              <w:rPr>
                <w:rFonts w:ascii="Arial Narrow" w:hAnsi="Arial Narrow"/>
                <w:sz w:val="20"/>
              </w:rPr>
              <w:t>Gossger</w:t>
            </w:r>
            <w:proofErr w:type="spellEnd"/>
            <w:r w:rsidRPr="003D3F7B">
              <w:rPr>
                <w:rFonts w:ascii="Arial Narrow" w:hAnsi="Arial Narrow"/>
                <w:sz w:val="20"/>
              </w:rPr>
              <w:t xml:space="preserve">, N., Snape, M. D., et al. (2012). Immunogenicity and tolerability of recombinant </w:t>
            </w:r>
            <w:proofErr w:type="spellStart"/>
            <w:r w:rsidRPr="003D3F7B">
              <w:rPr>
                <w:rFonts w:ascii="Arial Narrow" w:hAnsi="Arial Narrow"/>
                <w:sz w:val="20"/>
              </w:rPr>
              <w:t>serogroup</w:t>
            </w:r>
            <w:proofErr w:type="spellEnd"/>
            <w:r w:rsidRPr="003D3F7B">
              <w:rPr>
                <w:rFonts w:ascii="Arial Narrow" w:hAnsi="Arial Narrow"/>
                <w:sz w:val="20"/>
              </w:rPr>
              <w:t xml:space="preserve"> B meningococcal vaccine administered with or without routine infant vaccinations according to different immunization schedules: A randomized controlled trial.</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gramStart"/>
            <w:r w:rsidRPr="003D3F7B">
              <w:rPr>
                <w:rFonts w:ascii="Arial Narrow" w:hAnsi="Arial Narrow"/>
                <w:sz w:val="20"/>
              </w:rPr>
              <w:t xml:space="preserve">Cohn, A. C. and </w:t>
            </w:r>
            <w:proofErr w:type="spellStart"/>
            <w:r w:rsidRPr="003D3F7B">
              <w:rPr>
                <w:rFonts w:ascii="Arial Narrow" w:hAnsi="Arial Narrow"/>
                <w:sz w:val="20"/>
              </w:rPr>
              <w:t>Messonnier</w:t>
            </w:r>
            <w:proofErr w:type="spellEnd"/>
            <w:r w:rsidRPr="003D3F7B">
              <w:rPr>
                <w:rFonts w:ascii="Arial Narrow" w:hAnsi="Arial Narrow"/>
                <w:sz w:val="20"/>
              </w:rPr>
              <w:t>, N. E. (2012).</w:t>
            </w:r>
            <w:proofErr w:type="gramEnd"/>
            <w:r w:rsidRPr="003D3F7B">
              <w:rPr>
                <w:rFonts w:ascii="Arial Narrow" w:hAnsi="Arial Narrow"/>
                <w:sz w:val="20"/>
              </w:rPr>
              <w:t xml:space="preserve"> </w:t>
            </w:r>
            <w:proofErr w:type="gramStart"/>
            <w:r w:rsidRPr="003D3F7B">
              <w:rPr>
                <w:rFonts w:ascii="Arial Narrow" w:hAnsi="Arial Narrow"/>
                <w:sz w:val="20"/>
              </w:rPr>
              <w:t xml:space="preserve">Inching toward a </w:t>
            </w:r>
            <w:proofErr w:type="spellStart"/>
            <w:r w:rsidRPr="003D3F7B">
              <w:rPr>
                <w:rFonts w:ascii="Arial Narrow" w:hAnsi="Arial Narrow"/>
                <w:sz w:val="20"/>
              </w:rPr>
              <w:t>serogroup</w:t>
            </w:r>
            <w:proofErr w:type="spellEnd"/>
            <w:r w:rsidRPr="003D3F7B">
              <w:rPr>
                <w:rFonts w:ascii="Arial Narrow" w:hAnsi="Arial Narrow"/>
                <w:sz w:val="20"/>
              </w:rPr>
              <w:t xml:space="preserve"> B meningococcal vaccine for infants.</w:t>
            </w:r>
            <w:proofErr w:type="gramEnd"/>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spellStart"/>
            <w:proofErr w:type="gramStart"/>
            <w:r w:rsidRPr="003D3F7B">
              <w:rPr>
                <w:rFonts w:ascii="Arial Narrow" w:hAnsi="Arial Narrow"/>
                <w:sz w:val="20"/>
              </w:rPr>
              <w:t>Vesikari</w:t>
            </w:r>
            <w:proofErr w:type="spellEnd"/>
            <w:r w:rsidRPr="003D3F7B">
              <w:rPr>
                <w:rFonts w:ascii="Arial Narrow" w:hAnsi="Arial Narrow"/>
                <w:sz w:val="20"/>
              </w:rPr>
              <w:t>, T., S. Esposito, et al. (2013).</w:t>
            </w:r>
            <w:proofErr w:type="gramEnd"/>
            <w:r w:rsidRPr="003D3F7B">
              <w:rPr>
                <w:rFonts w:ascii="Arial Narrow" w:hAnsi="Arial Narrow"/>
                <w:sz w:val="20"/>
              </w:rPr>
              <w:t xml:space="preserve"> Immunogenicity and safety of an investigational multicomponent, recombinant, meningococcal </w:t>
            </w:r>
            <w:proofErr w:type="spellStart"/>
            <w:r w:rsidRPr="003D3F7B">
              <w:rPr>
                <w:rFonts w:ascii="Arial Narrow" w:hAnsi="Arial Narrow"/>
                <w:sz w:val="20"/>
              </w:rPr>
              <w:t>serogroup</w:t>
            </w:r>
            <w:proofErr w:type="spellEnd"/>
            <w:r w:rsidRPr="003D3F7B">
              <w:rPr>
                <w:rFonts w:ascii="Arial Narrow" w:hAnsi="Arial Narrow"/>
                <w:sz w:val="20"/>
              </w:rPr>
              <w:t xml:space="preserve"> B vaccine (4CMenB) administered concomitantly with routine infant and child vaccinations: Results of two randomised trials.</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spellStart"/>
            <w:r w:rsidRPr="003D3F7B">
              <w:rPr>
                <w:rFonts w:ascii="Arial Narrow" w:hAnsi="Arial Narrow"/>
                <w:sz w:val="20"/>
              </w:rPr>
              <w:t>Beeretz</w:t>
            </w:r>
            <w:proofErr w:type="spellEnd"/>
            <w:r w:rsidRPr="003D3F7B">
              <w:rPr>
                <w:rFonts w:ascii="Arial Narrow" w:hAnsi="Arial Narrow"/>
                <w:sz w:val="20"/>
              </w:rPr>
              <w:t xml:space="preserve"> </w:t>
            </w:r>
            <w:proofErr w:type="gramStart"/>
            <w:r w:rsidRPr="003D3F7B">
              <w:rPr>
                <w:rFonts w:ascii="Arial Narrow" w:hAnsi="Arial Narrow"/>
                <w:sz w:val="20"/>
              </w:rPr>
              <w:t xml:space="preserve">I, Snape MD, Finn A et al. </w:t>
            </w:r>
            <w:proofErr w:type="spellStart"/>
            <w:r w:rsidRPr="003D3F7B">
              <w:rPr>
                <w:rFonts w:ascii="Arial Narrow" w:hAnsi="Arial Narrow"/>
                <w:sz w:val="20"/>
              </w:rPr>
              <w:t>Reactogenicity</w:t>
            </w:r>
            <w:proofErr w:type="spellEnd"/>
            <w:r w:rsidRPr="003D3F7B">
              <w:rPr>
                <w:rFonts w:ascii="Arial Narrow" w:hAnsi="Arial Narrow"/>
                <w:sz w:val="20"/>
              </w:rPr>
              <w:t xml:space="preserve"> and safety of multicomponent meningococcal </w:t>
            </w:r>
            <w:proofErr w:type="spellStart"/>
            <w:r w:rsidRPr="003D3F7B">
              <w:rPr>
                <w:rFonts w:ascii="Arial Narrow" w:hAnsi="Arial Narrow"/>
                <w:sz w:val="20"/>
              </w:rPr>
              <w:t>serogroup</w:t>
            </w:r>
            <w:proofErr w:type="spellEnd"/>
            <w:r w:rsidRPr="003D3F7B">
              <w:rPr>
                <w:rFonts w:ascii="Arial Narrow" w:hAnsi="Arial Narrow"/>
                <w:sz w:val="20"/>
              </w:rPr>
              <w:t xml:space="preserve"> B vaccine (4CMenB)</w:t>
            </w:r>
            <w:proofErr w:type="gramEnd"/>
            <w:r w:rsidRPr="003D3F7B">
              <w:rPr>
                <w:rFonts w:ascii="Arial Narrow" w:hAnsi="Arial Narrow"/>
                <w:sz w:val="20"/>
              </w:rPr>
              <w:t xml:space="preserve"> administered with or without routine infant vaccinations in different schedules. </w:t>
            </w:r>
          </w:p>
        </w:tc>
        <w:tc>
          <w:tcPr>
            <w:tcW w:w="1323" w:type="pct"/>
          </w:tcPr>
          <w:p w:rsidR="00002DC3" w:rsidRPr="003D3F7B" w:rsidRDefault="00002DC3" w:rsidP="00D60B44">
            <w:pPr>
              <w:rPr>
                <w:rFonts w:ascii="Arial Narrow" w:hAnsi="Arial Narrow"/>
                <w:sz w:val="20"/>
              </w:rPr>
            </w:pPr>
            <w:r w:rsidRPr="003D3F7B">
              <w:rPr>
                <w:rFonts w:ascii="Arial Narrow" w:hAnsi="Arial Narrow"/>
                <w:sz w:val="20"/>
              </w:rPr>
              <w:t>2010</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 xml:space="preserve">Poster presented at 29th ESPID Meeting, 7-11 June 2011, The Hague, </w:t>
            </w:r>
            <w:proofErr w:type="gramStart"/>
            <w:r w:rsidRPr="003D3F7B">
              <w:rPr>
                <w:rFonts w:ascii="Arial Narrow" w:hAnsi="Arial Narrow"/>
                <w:sz w:val="20"/>
              </w:rPr>
              <w:t>The</w:t>
            </w:r>
            <w:proofErr w:type="gramEnd"/>
            <w:r w:rsidRPr="003D3F7B">
              <w:rPr>
                <w:rFonts w:ascii="Arial Narrow" w:hAnsi="Arial Narrow"/>
                <w:sz w:val="20"/>
              </w:rPr>
              <w:t xml:space="preserve"> Netherlands.</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JAMA - Journal of the American Medical Association 307(6): 573-582</w:t>
            </w:r>
          </w:p>
          <w:p w:rsidR="00002DC3" w:rsidRPr="003D3F7B" w:rsidRDefault="00002DC3" w:rsidP="00D60B44">
            <w:pPr>
              <w:rPr>
                <w:rFonts w:ascii="Arial Narrow" w:hAnsi="Arial Narrow"/>
                <w:sz w:val="20"/>
              </w:rPr>
            </w:pPr>
          </w:p>
          <w:p w:rsidR="00002DC3"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JAMA - Journal of the American Medical Association 307(6): 614-615.</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The Lancet 381(9869): 825-835.</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gramStart"/>
            <w:r w:rsidRPr="003D3F7B">
              <w:rPr>
                <w:rFonts w:ascii="Arial Narrow" w:hAnsi="Arial Narrow"/>
                <w:sz w:val="20"/>
              </w:rPr>
              <w:t>Poster No. 1187.</w:t>
            </w:r>
            <w:proofErr w:type="gramEnd"/>
            <w:r w:rsidRPr="003D3F7B">
              <w:rPr>
                <w:rFonts w:ascii="Arial Narrow" w:hAnsi="Arial Narrow"/>
                <w:sz w:val="20"/>
              </w:rPr>
              <w:t xml:space="preserve"> Presented at 29th ESPID Meeting, 7-11 June 2011, The Hague, </w:t>
            </w:r>
            <w:proofErr w:type="gramStart"/>
            <w:r w:rsidRPr="003D3F7B">
              <w:rPr>
                <w:rFonts w:ascii="Arial Narrow" w:hAnsi="Arial Narrow"/>
                <w:sz w:val="20"/>
              </w:rPr>
              <w:t>The</w:t>
            </w:r>
            <w:proofErr w:type="gramEnd"/>
            <w:r w:rsidRPr="003D3F7B">
              <w:rPr>
                <w:rFonts w:ascii="Arial Narrow" w:hAnsi="Arial Narrow"/>
                <w:sz w:val="20"/>
              </w:rPr>
              <w:t xml:space="preserve"> Netherlands.</w:t>
            </w:r>
          </w:p>
        </w:tc>
      </w:tr>
      <w:tr w:rsidR="00002DC3" w:rsidRPr="003D3F7B" w:rsidTr="00D60B44">
        <w:tc>
          <w:tcPr>
            <w:tcW w:w="585" w:type="pct"/>
          </w:tcPr>
          <w:p w:rsidR="00002DC3" w:rsidRPr="003D3F7B" w:rsidRDefault="00002DC3" w:rsidP="00D60B44">
            <w:pPr>
              <w:rPr>
                <w:rFonts w:ascii="Arial Narrow" w:hAnsi="Arial Narrow"/>
                <w:sz w:val="20"/>
              </w:rPr>
            </w:pPr>
            <w:r w:rsidRPr="003D3F7B">
              <w:rPr>
                <w:rFonts w:ascii="Arial Narrow" w:hAnsi="Arial Narrow"/>
                <w:sz w:val="20"/>
              </w:rPr>
              <w:t>V72P12E1</w:t>
            </w:r>
          </w:p>
        </w:tc>
        <w:tc>
          <w:tcPr>
            <w:tcW w:w="3092" w:type="pct"/>
          </w:tcPr>
          <w:p w:rsidR="00002DC3" w:rsidRPr="003D3F7B" w:rsidRDefault="00002DC3" w:rsidP="00D60B44">
            <w:pPr>
              <w:rPr>
                <w:rFonts w:ascii="Arial Narrow" w:hAnsi="Arial Narrow"/>
                <w:sz w:val="20"/>
              </w:rPr>
            </w:pPr>
            <w:r w:rsidRPr="003D3F7B">
              <w:rPr>
                <w:rFonts w:ascii="Arial Narrow" w:hAnsi="Arial Narrow"/>
                <w:sz w:val="20"/>
              </w:rPr>
              <w:t>A Phase 2b, Open Label, Multi-</w:t>
            </w:r>
            <w:proofErr w:type="spellStart"/>
            <w:r w:rsidRPr="003D3F7B">
              <w:rPr>
                <w:rFonts w:ascii="Arial Narrow" w:hAnsi="Arial Narrow"/>
                <w:sz w:val="20"/>
              </w:rPr>
              <w:t>Center</w:t>
            </w:r>
            <w:proofErr w:type="spellEnd"/>
            <w:r w:rsidRPr="003D3F7B">
              <w:rPr>
                <w:rFonts w:ascii="Arial Narrow" w:hAnsi="Arial Narrow"/>
                <w:sz w:val="20"/>
              </w:rPr>
              <w:t xml:space="preserve">, Extension Study to Evaluate the Safety, Tolerability and Immunogenicity of a Booster Dose of Novartis Meningococcal B Recombinant Vaccine Administered at 12, 18 or 24 Months of Age in Participants Who Previously Received a Three-Dose Primary Series of the Novartis Meningococcal B Recombinant Vaccine as Infants in Study V72P12. November 2012. </w:t>
            </w:r>
            <w:r w:rsidRPr="003D3F7B">
              <w:rPr>
                <w:rFonts w:ascii="Arial Narrow" w:hAnsi="Arial Narrow"/>
                <w:sz w:val="20"/>
              </w:rPr>
              <w:lastRenderedPageBreak/>
              <w:t xml:space="preserve">Clinical Study Report V72P12E1 Novartis Vaccines and Diagnostics. </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 xml:space="preserve">Snape, MD, Finn A, Heath et al. Persistence to 12, 18 and 24 months of bactericidal antibodies induced by infant immunisation with a </w:t>
            </w:r>
            <w:proofErr w:type="spellStart"/>
            <w:r w:rsidRPr="003D3F7B">
              <w:rPr>
                <w:rFonts w:ascii="Arial Narrow" w:hAnsi="Arial Narrow"/>
                <w:sz w:val="20"/>
              </w:rPr>
              <w:t>serogroup</w:t>
            </w:r>
            <w:proofErr w:type="spellEnd"/>
            <w:r w:rsidRPr="003D3F7B">
              <w:rPr>
                <w:rFonts w:ascii="Arial Narrow" w:hAnsi="Arial Narrow"/>
                <w:sz w:val="20"/>
              </w:rPr>
              <w:t xml:space="preserve"> B meningococcal vaccine.</w:t>
            </w:r>
          </w:p>
        </w:tc>
        <w:tc>
          <w:tcPr>
            <w:tcW w:w="1323" w:type="pct"/>
          </w:tcPr>
          <w:p w:rsidR="00002DC3" w:rsidRPr="003D3F7B" w:rsidRDefault="00002DC3" w:rsidP="00D60B44">
            <w:pPr>
              <w:rPr>
                <w:rFonts w:ascii="Arial Narrow" w:hAnsi="Arial Narrow"/>
                <w:sz w:val="20"/>
              </w:rPr>
            </w:pPr>
            <w:r w:rsidRPr="003D3F7B">
              <w:rPr>
                <w:rFonts w:ascii="Arial Narrow" w:hAnsi="Arial Narrow"/>
                <w:sz w:val="20"/>
              </w:rPr>
              <w:lastRenderedPageBreak/>
              <w:t>November 2012</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Poster presented at 31st ESPID Meeting, May 28-June 1 2013, Milan, Italy.</w:t>
            </w:r>
          </w:p>
        </w:tc>
      </w:tr>
      <w:tr w:rsidR="00002DC3" w:rsidRPr="003D3F7B" w:rsidTr="00D60B44">
        <w:tc>
          <w:tcPr>
            <w:tcW w:w="585" w:type="pct"/>
          </w:tcPr>
          <w:p w:rsidR="00002DC3" w:rsidRPr="003D3F7B" w:rsidRDefault="00002DC3" w:rsidP="00D60B44">
            <w:pPr>
              <w:rPr>
                <w:rFonts w:ascii="Arial Narrow" w:hAnsi="Arial Narrow"/>
                <w:sz w:val="20"/>
              </w:rPr>
            </w:pPr>
            <w:r w:rsidRPr="003D3F7B">
              <w:rPr>
                <w:rFonts w:ascii="Arial Narrow" w:hAnsi="Arial Narrow"/>
                <w:sz w:val="20"/>
              </w:rPr>
              <w:lastRenderedPageBreak/>
              <w:t>V72P13</w:t>
            </w:r>
          </w:p>
        </w:tc>
        <w:tc>
          <w:tcPr>
            <w:tcW w:w="3092" w:type="pct"/>
          </w:tcPr>
          <w:p w:rsidR="00002DC3" w:rsidRPr="003D3F7B" w:rsidRDefault="00002DC3" w:rsidP="00D60B44">
            <w:pPr>
              <w:rPr>
                <w:rFonts w:ascii="Arial Narrow" w:hAnsi="Arial Narrow"/>
                <w:sz w:val="20"/>
              </w:rPr>
            </w:pPr>
            <w:r w:rsidRPr="003D3F7B">
              <w:rPr>
                <w:rFonts w:ascii="Arial Narrow" w:hAnsi="Arial Narrow"/>
                <w:sz w:val="20"/>
              </w:rPr>
              <w:t xml:space="preserve">A Phase 3, Partially Blinded, Randomized, </w:t>
            </w:r>
            <w:proofErr w:type="spellStart"/>
            <w:r w:rsidRPr="003D3F7B">
              <w:rPr>
                <w:rFonts w:ascii="Arial Narrow" w:hAnsi="Arial Narrow"/>
                <w:sz w:val="20"/>
              </w:rPr>
              <w:t>Multicenter</w:t>
            </w:r>
            <w:proofErr w:type="spellEnd"/>
            <w:r w:rsidRPr="003D3F7B">
              <w:rPr>
                <w:rFonts w:ascii="Arial Narrow" w:hAnsi="Arial Narrow"/>
                <w:sz w:val="20"/>
              </w:rPr>
              <w:t xml:space="preserve">, Controlled Study to Evaluate Immunogenicity, Safety and Lot to Lot Consistency of Novartis Meningococcal B Recombinant Vaccine When Administered with Routine Infant Vaccinations to Healthy Infants. September 2010. </w:t>
            </w:r>
            <w:proofErr w:type="gramStart"/>
            <w:r w:rsidRPr="003D3F7B">
              <w:rPr>
                <w:rFonts w:ascii="Arial Narrow" w:hAnsi="Arial Narrow"/>
                <w:sz w:val="20"/>
              </w:rPr>
              <w:t>Clinical Study Report: V72P13.</w:t>
            </w:r>
            <w:proofErr w:type="gramEnd"/>
            <w:r w:rsidRPr="003D3F7B">
              <w:rPr>
                <w:rFonts w:ascii="Arial Narrow" w:hAnsi="Arial Narrow"/>
                <w:sz w:val="20"/>
              </w:rPr>
              <w:t xml:space="preserve"> </w:t>
            </w:r>
            <w:proofErr w:type="gramStart"/>
            <w:r w:rsidRPr="003D3F7B">
              <w:rPr>
                <w:rFonts w:ascii="Arial Narrow" w:hAnsi="Arial Narrow"/>
                <w:sz w:val="20"/>
              </w:rPr>
              <w:t>Novartis Vaccines and Diagnostics.</w:t>
            </w:r>
            <w:proofErr w:type="gramEnd"/>
            <w:r w:rsidRPr="003D3F7B">
              <w:rPr>
                <w:rFonts w:ascii="Arial Narrow" w:hAnsi="Arial Narrow"/>
                <w:sz w:val="20"/>
              </w:rPr>
              <w:t xml:space="preserve"> </w:t>
            </w:r>
          </w:p>
          <w:p w:rsidR="00002DC3" w:rsidRPr="003D3F7B" w:rsidRDefault="00002DC3" w:rsidP="00D60B44">
            <w:pPr>
              <w:rPr>
                <w:rFonts w:ascii="Arial Narrow" w:hAnsi="Arial Narrow"/>
                <w:sz w:val="20"/>
              </w:rPr>
            </w:pPr>
            <w:r w:rsidRPr="003D3F7B">
              <w:rPr>
                <w:rFonts w:ascii="Arial Narrow" w:hAnsi="Arial Narrow"/>
                <w:sz w:val="20"/>
              </w:rPr>
              <w:t>AND</w:t>
            </w:r>
          </w:p>
          <w:p w:rsidR="00002DC3" w:rsidRPr="00191B3F" w:rsidRDefault="00002DC3" w:rsidP="00D60B44">
            <w:pPr>
              <w:rPr>
                <w:rFonts w:ascii="Arial Narrow" w:hAnsi="Arial Narrow"/>
                <w:sz w:val="20"/>
                <w:highlight w:val="black"/>
              </w:rPr>
            </w:pPr>
            <w:r>
              <w:rPr>
                <w:rFonts w:ascii="Arial Narrow" w:hAnsi="Arial Narrow"/>
                <w:noProof/>
                <w:color w:val="000000"/>
                <w:sz w:val="20"/>
                <w:highlight w:val="black"/>
              </w:rPr>
              <w:t>''''''''''''''''''''''''' '''' ''''' ''''''''''' ''''''''''' '''''''''''''</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spellStart"/>
            <w:proofErr w:type="gramStart"/>
            <w:r w:rsidRPr="003D3F7B">
              <w:rPr>
                <w:rFonts w:ascii="Arial Narrow" w:hAnsi="Arial Narrow"/>
                <w:sz w:val="20"/>
              </w:rPr>
              <w:t>Vesikari</w:t>
            </w:r>
            <w:proofErr w:type="spellEnd"/>
            <w:r w:rsidRPr="003D3F7B">
              <w:rPr>
                <w:rFonts w:ascii="Arial Narrow" w:hAnsi="Arial Narrow"/>
                <w:sz w:val="20"/>
              </w:rPr>
              <w:t>, T., Esposito, S., et al. (2010).</w:t>
            </w:r>
            <w:proofErr w:type="gramEnd"/>
            <w:r w:rsidRPr="003D3F7B">
              <w:rPr>
                <w:rFonts w:ascii="Arial Narrow" w:hAnsi="Arial Narrow"/>
                <w:sz w:val="20"/>
              </w:rPr>
              <w:t xml:space="preserve"> </w:t>
            </w:r>
            <w:proofErr w:type="gramStart"/>
            <w:r w:rsidRPr="003D3F7B">
              <w:rPr>
                <w:rFonts w:ascii="Arial Narrow" w:hAnsi="Arial Narrow"/>
                <w:sz w:val="20"/>
              </w:rPr>
              <w:t xml:space="preserve">Immunogenicity of an investigational multicomponent meningococcal </w:t>
            </w:r>
            <w:proofErr w:type="spellStart"/>
            <w:r w:rsidRPr="003D3F7B">
              <w:rPr>
                <w:rFonts w:ascii="Arial Narrow" w:hAnsi="Arial Narrow"/>
                <w:sz w:val="20"/>
              </w:rPr>
              <w:t>serogroup</w:t>
            </w:r>
            <w:proofErr w:type="spellEnd"/>
            <w:r w:rsidRPr="003D3F7B">
              <w:rPr>
                <w:rFonts w:ascii="Arial Narrow" w:hAnsi="Arial Narrow"/>
                <w:sz w:val="20"/>
              </w:rPr>
              <w:t xml:space="preserve"> B vaccine in healthy infants at 2, 4 and 6 months of age.</w:t>
            </w:r>
            <w:proofErr w:type="gramEnd"/>
          </w:p>
          <w:p w:rsidR="00002DC3"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spellStart"/>
            <w:proofErr w:type="gramStart"/>
            <w:r w:rsidRPr="003D3F7B">
              <w:rPr>
                <w:rFonts w:ascii="Arial Narrow" w:hAnsi="Arial Narrow"/>
                <w:sz w:val="20"/>
              </w:rPr>
              <w:t>Vesikari</w:t>
            </w:r>
            <w:proofErr w:type="spellEnd"/>
            <w:r w:rsidRPr="003D3F7B">
              <w:rPr>
                <w:rFonts w:ascii="Arial Narrow" w:hAnsi="Arial Narrow"/>
                <w:sz w:val="20"/>
              </w:rPr>
              <w:t>, T., Esposito, S., et al. (2011).</w:t>
            </w:r>
            <w:proofErr w:type="gramEnd"/>
            <w:r w:rsidRPr="003D3F7B">
              <w:rPr>
                <w:rFonts w:ascii="Arial Narrow" w:hAnsi="Arial Narrow"/>
                <w:sz w:val="20"/>
              </w:rPr>
              <w:t xml:space="preserve"> </w:t>
            </w:r>
            <w:proofErr w:type="gramStart"/>
            <w:r w:rsidRPr="003D3F7B">
              <w:rPr>
                <w:rFonts w:ascii="Arial Narrow" w:hAnsi="Arial Narrow"/>
                <w:sz w:val="20"/>
              </w:rPr>
              <w:t xml:space="preserve">Use of an investigational multicomponent meningococcal </w:t>
            </w:r>
            <w:proofErr w:type="spellStart"/>
            <w:r w:rsidRPr="003D3F7B">
              <w:rPr>
                <w:rFonts w:ascii="Arial Narrow" w:hAnsi="Arial Narrow"/>
                <w:sz w:val="20"/>
              </w:rPr>
              <w:t>serogroup</w:t>
            </w:r>
            <w:proofErr w:type="spellEnd"/>
            <w:r w:rsidRPr="003D3F7B">
              <w:rPr>
                <w:rFonts w:ascii="Arial Narrow" w:hAnsi="Arial Narrow"/>
                <w:sz w:val="20"/>
              </w:rPr>
              <w:t xml:space="preserve"> B vaccine (4cmenb) in a clinical trial in 3630 infants.</w:t>
            </w:r>
            <w:proofErr w:type="gramEnd"/>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spellStart"/>
            <w:proofErr w:type="gramStart"/>
            <w:r w:rsidRPr="003D3F7B">
              <w:rPr>
                <w:rFonts w:ascii="Arial Narrow" w:hAnsi="Arial Narrow"/>
                <w:sz w:val="20"/>
              </w:rPr>
              <w:t>Vesikari</w:t>
            </w:r>
            <w:proofErr w:type="spellEnd"/>
            <w:r w:rsidRPr="003D3F7B">
              <w:rPr>
                <w:rFonts w:ascii="Arial Narrow" w:hAnsi="Arial Narrow"/>
                <w:sz w:val="20"/>
              </w:rPr>
              <w:t>, T., S. Esposito, et al. (2013).</w:t>
            </w:r>
            <w:proofErr w:type="gramEnd"/>
            <w:r w:rsidRPr="003D3F7B">
              <w:rPr>
                <w:rFonts w:ascii="Arial Narrow" w:hAnsi="Arial Narrow"/>
                <w:sz w:val="20"/>
              </w:rPr>
              <w:t xml:space="preserve"> Immunogenicity and safety of an investigational multicomponent, recombinant, meningococcal </w:t>
            </w:r>
            <w:proofErr w:type="spellStart"/>
            <w:r w:rsidRPr="003D3F7B">
              <w:rPr>
                <w:rFonts w:ascii="Arial Narrow" w:hAnsi="Arial Narrow"/>
                <w:sz w:val="20"/>
              </w:rPr>
              <w:t>serogroup</w:t>
            </w:r>
            <w:proofErr w:type="spellEnd"/>
            <w:r w:rsidRPr="003D3F7B">
              <w:rPr>
                <w:rFonts w:ascii="Arial Narrow" w:hAnsi="Arial Narrow"/>
                <w:sz w:val="20"/>
              </w:rPr>
              <w:t xml:space="preserve"> B vaccine (4CMenB) administered concomitantly with routine infant and child vaccinations: Results of two randomised trials.</w:t>
            </w:r>
          </w:p>
        </w:tc>
        <w:tc>
          <w:tcPr>
            <w:tcW w:w="1323" w:type="pct"/>
          </w:tcPr>
          <w:p w:rsidR="00002DC3" w:rsidRPr="003D3F7B" w:rsidRDefault="00002DC3" w:rsidP="00D60B44">
            <w:pPr>
              <w:rPr>
                <w:rFonts w:ascii="Arial Narrow" w:hAnsi="Arial Narrow"/>
                <w:sz w:val="20"/>
              </w:rPr>
            </w:pPr>
            <w:r w:rsidRPr="003D3F7B">
              <w:rPr>
                <w:rFonts w:ascii="Arial Narrow" w:hAnsi="Arial Narrow"/>
                <w:sz w:val="20"/>
              </w:rPr>
              <w:t>September 2010</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Canadian Journal of Infectious Diseases and Medical Microbiology 21(4): 183</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gramStart"/>
            <w:r w:rsidRPr="003D3F7B">
              <w:rPr>
                <w:rFonts w:ascii="Arial Narrow" w:hAnsi="Arial Narrow"/>
                <w:sz w:val="20"/>
              </w:rPr>
              <w:t>Archives of Disease in Childhood 96: A3.</w:t>
            </w:r>
            <w:proofErr w:type="gramEnd"/>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The Lancet 381(9869): 825-835.</w:t>
            </w:r>
          </w:p>
        </w:tc>
      </w:tr>
      <w:tr w:rsidR="00002DC3" w:rsidRPr="003D3F7B" w:rsidTr="00D60B44">
        <w:tc>
          <w:tcPr>
            <w:tcW w:w="585" w:type="pct"/>
          </w:tcPr>
          <w:p w:rsidR="00002DC3" w:rsidRPr="003D3F7B" w:rsidRDefault="00002DC3" w:rsidP="00D60B44">
            <w:pPr>
              <w:rPr>
                <w:rFonts w:ascii="Arial Narrow" w:hAnsi="Arial Narrow"/>
                <w:sz w:val="20"/>
              </w:rPr>
            </w:pPr>
            <w:r w:rsidRPr="003D3F7B">
              <w:rPr>
                <w:rFonts w:ascii="Arial Narrow" w:hAnsi="Arial Narrow"/>
                <w:sz w:val="20"/>
              </w:rPr>
              <w:t>V72P13E1</w:t>
            </w:r>
          </w:p>
        </w:tc>
        <w:tc>
          <w:tcPr>
            <w:tcW w:w="3092" w:type="pct"/>
          </w:tcPr>
          <w:p w:rsidR="00002DC3" w:rsidRPr="003D3F7B" w:rsidRDefault="00002DC3" w:rsidP="00D60B44">
            <w:pPr>
              <w:rPr>
                <w:rFonts w:ascii="Arial Narrow" w:hAnsi="Arial Narrow"/>
                <w:sz w:val="20"/>
              </w:rPr>
            </w:pPr>
            <w:r w:rsidRPr="003D3F7B">
              <w:rPr>
                <w:rFonts w:ascii="Arial Narrow" w:hAnsi="Arial Narrow"/>
                <w:sz w:val="20"/>
              </w:rPr>
              <w:t>A Phase 3, Open label, Multi-</w:t>
            </w:r>
            <w:proofErr w:type="spellStart"/>
            <w:r w:rsidRPr="003D3F7B">
              <w:rPr>
                <w:rFonts w:ascii="Arial Narrow" w:hAnsi="Arial Narrow"/>
                <w:sz w:val="20"/>
              </w:rPr>
              <w:t>Center</w:t>
            </w:r>
            <w:proofErr w:type="spellEnd"/>
            <w:r w:rsidRPr="003D3F7B">
              <w:rPr>
                <w:rFonts w:ascii="Arial Narrow" w:hAnsi="Arial Narrow"/>
                <w:sz w:val="20"/>
              </w:rPr>
              <w:t xml:space="preserve">, Extension Study to Evaluate the Safety, Tolerability and Immunogenicity of Novartis Meningococcal B Recombinant Vaccine When Administered as a Booster at 12 Months of Age or as a Two-dose Catch-up to Healthy Toddlers Who Participated in Study V72P13. November 2010. </w:t>
            </w:r>
            <w:proofErr w:type="gramStart"/>
            <w:r w:rsidRPr="003D3F7B">
              <w:rPr>
                <w:rFonts w:ascii="Arial Narrow" w:hAnsi="Arial Narrow"/>
                <w:sz w:val="20"/>
              </w:rPr>
              <w:t>Clinical Study Report: V72P13E1.</w:t>
            </w:r>
            <w:proofErr w:type="gramEnd"/>
            <w:r w:rsidRPr="003D3F7B">
              <w:rPr>
                <w:rFonts w:ascii="Arial Narrow" w:hAnsi="Arial Narrow"/>
                <w:sz w:val="20"/>
              </w:rPr>
              <w:t xml:space="preserve"> </w:t>
            </w:r>
            <w:proofErr w:type="gramStart"/>
            <w:r w:rsidRPr="003D3F7B">
              <w:rPr>
                <w:rFonts w:ascii="Arial Narrow" w:hAnsi="Arial Narrow"/>
                <w:sz w:val="20"/>
              </w:rPr>
              <w:t>Novartis Vaccines and Diagnostics.</w:t>
            </w:r>
            <w:proofErr w:type="gramEnd"/>
            <w:r w:rsidRPr="003D3F7B">
              <w:rPr>
                <w:rFonts w:ascii="Arial Narrow" w:hAnsi="Arial Narrow"/>
                <w:sz w:val="20"/>
              </w:rPr>
              <w:t xml:space="preserve"> </w:t>
            </w:r>
          </w:p>
          <w:p w:rsidR="00002DC3" w:rsidRPr="003D3F7B" w:rsidRDefault="00002DC3" w:rsidP="00D60B44">
            <w:pPr>
              <w:rPr>
                <w:rFonts w:ascii="Arial Narrow" w:hAnsi="Arial Narrow"/>
                <w:sz w:val="20"/>
              </w:rPr>
            </w:pPr>
            <w:r w:rsidRPr="003D3F7B">
              <w:rPr>
                <w:rFonts w:ascii="Arial Narrow" w:hAnsi="Arial Narrow"/>
                <w:sz w:val="20"/>
              </w:rPr>
              <w:t>AND</w:t>
            </w:r>
          </w:p>
          <w:p w:rsidR="00002DC3" w:rsidRPr="00191B3F" w:rsidRDefault="00002DC3" w:rsidP="00D60B44">
            <w:pPr>
              <w:rPr>
                <w:rFonts w:ascii="Arial Narrow" w:hAnsi="Arial Narrow"/>
                <w:sz w:val="20"/>
                <w:highlight w:val="black"/>
              </w:rPr>
            </w:pPr>
            <w:r>
              <w:rPr>
                <w:rFonts w:ascii="Arial Narrow" w:hAnsi="Arial Narrow"/>
                <w:noProof/>
                <w:color w:val="000000"/>
                <w:sz w:val="20"/>
                <w:highlight w:val="black"/>
              </w:rPr>
              <w:t>''''''''''''''''''''''''' '''' ''''''' ''''''''''' '''''''''' ''''''''''''</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spellStart"/>
            <w:r w:rsidRPr="003D3F7B">
              <w:rPr>
                <w:rFonts w:ascii="Arial Narrow" w:hAnsi="Arial Narrow"/>
                <w:sz w:val="20"/>
              </w:rPr>
              <w:t>Vesikari</w:t>
            </w:r>
            <w:proofErr w:type="spellEnd"/>
            <w:r w:rsidRPr="003D3F7B">
              <w:rPr>
                <w:rFonts w:ascii="Arial Narrow" w:hAnsi="Arial Narrow"/>
                <w:sz w:val="20"/>
              </w:rPr>
              <w:t xml:space="preserve"> T, </w:t>
            </w:r>
            <w:proofErr w:type="spellStart"/>
            <w:r w:rsidRPr="003D3F7B">
              <w:rPr>
                <w:rFonts w:ascii="Arial Narrow" w:hAnsi="Arial Narrow"/>
                <w:sz w:val="20"/>
              </w:rPr>
              <w:t>Prymula</w:t>
            </w:r>
            <w:proofErr w:type="spellEnd"/>
            <w:r w:rsidRPr="003D3F7B">
              <w:rPr>
                <w:rFonts w:ascii="Arial Narrow" w:hAnsi="Arial Narrow"/>
                <w:sz w:val="20"/>
              </w:rPr>
              <w:t xml:space="preserve"> R, </w:t>
            </w:r>
            <w:proofErr w:type="spellStart"/>
            <w:r w:rsidRPr="003D3F7B">
              <w:rPr>
                <w:rFonts w:ascii="Arial Narrow" w:hAnsi="Arial Narrow"/>
                <w:sz w:val="20"/>
              </w:rPr>
              <w:t>Liese</w:t>
            </w:r>
            <w:proofErr w:type="spellEnd"/>
            <w:r w:rsidRPr="003D3F7B">
              <w:rPr>
                <w:rFonts w:ascii="Arial Narrow" w:hAnsi="Arial Narrow"/>
                <w:sz w:val="20"/>
              </w:rPr>
              <w:t xml:space="preserve"> J et al. Booster dose at 12 months of an investigational meningococcal </w:t>
            </w:r>
            <w:proofErr w:type="spellStart"/>
            <w:r w:rsidRPr="003D3F7B">
              <w:rPr>
                <w:rFonts w:ascii="Arial Narrow" w:hAnsi="Arial Narrow"/>
                <w:sz w:val="20"/>
              </w:rPr>
              <w:t>serogroup</w:t>
            </w:r>
            <w:proofErr w:type="spellEnd"/>
            <w:r w:rsidRPr="003D3F7B">
              <w:rPr>
                <w:rFonts w:ascii="Arial Narrow" w:hAnsi="Arial Narrow"/>
                <w:sz w:val="20"/>
              </w:rPr>
              <w:t xml:space="preserve"> B vaccine (4CMenB) in healthy toddlers previously primed at 2,4,6 months.</w:t>
            </w:r>
          </w:p>
          <w:p w:rsidR="00002DC3"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spellStart"/>
            <w:r w:rsidRPr="003D3F7B">
              <w:rPr>
                <w:rFonts w:ascii="Arial Narrow" w:hAnsi="Arial Narrow"/>
                <w:sz w:val="20"/>
              </w:rPr>
              <w:t>Prymula</w:t>
            </w:r>
            <w:proofErr w:type="spellEnd"/>
            <w:r w:rsidRPr="003D3F7B">
              <w:rPr>
                <w:rFonts w:ascii="Arial Narrow" w:hAnsi="Arial Narrow"/>
                <w:sz w:val="20"/>
              </w:rPr>
              <w:t xml:space="preserve"> R, </w:t>
            </w:r>
            <w:proofErr w:type="spellStart"/>
            <w:r w:rsidRPr="003D3F7B">
              <w:rPr>
                <w:rFonts w:ascii="Arial Narrow" w:hAnsi="Arial Narrow"/>
                <w:sz w:val="20"/>
              </w:rPr>
              <w:t>Vesikari</w:t>
            </w:r>
            <w:proofErr w:type="spellEnd"/>
            <w:r w:rsidRPr="003D3F7B">
              <w:rPr>
                <w:rFonts w:ascii="Arial Narrow" w:hAnsi="Arial Narrow"/>
                <w:sz w:val="20"/>
              </w:rPr>
              <w:t xml:space="preserve"> T, Esposito S, et al. Catch-up vaccination of healthy toddlers with an investigational meningococcal </w:t>
            </w:r>
            <w:proofErr w:type="spellStart"/>
            <w:r w:rsidRPr="003D3F7B">
              <w:rPr>
                <w:rFonts w:ascii="Arial Narrow" w:hAnsi="Arial Narrow"/>
                <w:sz w:val="20"/>
              </w:rPr>
              <w:t>serogroup</w:t>
            </w:r>
            <w:proofErr w:type="spellEnd"/>
            <w:r w:rsidRPr="003D3F7B">
              <w:rPr>
                <w:rFonts w:ascii="Arial Narrow" w:hAnsi="Arial Narrow"/>
                <w:sz w:val="20"/>
              </w:rPr>
              <w:t xml:space="preserve"> B vaccine (4CMenB) - exploration of a two-dose schedule.</w:t>
            </w:r>
          </w:p>
          <w:p w:rsidR="00002DC3"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spellStart"/>
            <w:r w:rsidRPr="003D3F7B">
              <w:rPr>
                <w:rFonts w:ascii="Arial Narrow" w:hAnsi="Arial Narrow"/>
                <w:sz w:val="20"/>
              </w:rPr>
              <w:t>Toneatto</w:t>
            </w:r>
            <w:proofErr w:type="spellEnd"/>
            <w:r w:rsidRPr="003D3F7B">
              <w:rPr>
                <w:rFonts w:ascii="Arial Narrow" w:hAnsi="Arial Narrow"/>
                <w:sz w:val="20"/>
              </w:rPr>
              <w:t xml:space="preserve"> D, </w:t>
            </w:r>
            <w:proofErr w:type="spellStart"/>
            <w:r w:rsidRPr="003D3F7B">
              <w:rPr>
                <w:rFonts w:ascii="Arial Narrow" w:hAnsi="Arial Narrow"/>
                <w:sz w:val="20"/>
              </w:rPr>
              <w:t>Prymula</w:t>
            </w:r>
            <w:proofErr w:type="spellEnd"/>
            <w:r w:rsidRPr="003D3F7B">
              <w:rPr>
                <w:rFonts w:ascii="Arial Narrow" w:hAnsi="Arial Narrow"/>
                <w:sz w:val="20"/>
              </w:rPr>
              <w:t xml:space="preserve"> R, </w:t>
            </w:r>
            <w:proofErr w:type="spellStart"/>
            <w:r w:rsidRPr="003D3F7B">
              <w:rPr>
                <w:rFonts w:ascii="Arial Narrow" w:hAnsi="Arial Narrow"/>
                <w:sz w:val="20"/>
              </w:rPr>
              <w:t>Merrall</w:t>
            </w:r>
            <w:proofErr w:type="spellEnd"/>
            <w:r w:rsidRPr="003D3F7B">
              <w:rPr>
                <w:rFonts w:ascii="Arial Narrow" w:hAnsi="Arial Narrow"/>
                <w:sz w:val="20"/>
              </w:rPr>
              <w:t xml:space="preserve"> E et al. Immunogenicity and </w:t>
            </w:r>
            <w:proofErr w:type="spellStart"/>
            <w:r w:rsidRPr="003D3F7B">
              <w:rPr>
                <w:rFonts w:ascii="Arial Narrow" w:hAnsi="Arial Narrow"/>
                <w:sz w:val="20"/>
              </w:rPr>
              <w:t>reactogenicity</w:t>
            </w:r>
            <w:proofErr w:type="spellEnd"/>
            <w:r w:rsidRPr="003D3F7B">
              <w:rPr>
                <w:rFonts w:ascii="Arial Narrow" w:hAnsi="Arial Narrow"/>
                <w:sz w:val="20"/>
              </w:rPr>
              <w:t xml:space="preserve"> of two-dose vaccination with investigational meningococcal b recombinant vaccine at 24 and 26 months of age.</w:t>
            </w:r>
          </w:p>
        </w:tc>
        <w:tc>
          <w:tcPr>
            <w:tcW w:w="1323" w:type="pct"/>
          </w:tcPr>
          <w:p w:rsidR="00002DC3" w:rsidRPr="003D3F7B" w:rsidRDefault="00002DC3" w:rsidP="00D60B44">
            <w:pPr>
              <w:rPr>
                <w:rFonts w:ascii="Arial Narrow" w:hAnsi="Arial Narrow"/>
                <w:sz w:val="20"/>
              </w:rPr>
            </w:pPr>
            <w:r w:rsidRPr="003D3F7B">
              <w:rPr>
                <w:rFonts w:ascii="Arial Narrow" w:hAnsi="Arial Narrow"/>
                <w:sz w:val="20"/>
              </w:rPr>
              <w:t>November 2010</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 xml:space="preserve">Poster presented at 29th ESPID Meeting, 7-11 June 2011, The Hague, </w:t>
            </w:r>
            <w:proofErr w:type="gramStart"/>
            <w:r w:rsidRPr="003D3F7B">
              <w:rPr>
                <w:rFonts w:ascii="Arial Narrow" w:hAnsi="Arial Narrow"/>
                <w:sz w:val="20"/>
              </w:rPr>
              <w:t>The</w:t>
            </w:r>
            <w:proofErr w:type="gramEnd"/>
            <w:r w:rsidRPr="003D3F7B">
              <w:rPr>
                <w:rFonts w:ascii="Arial Narrow" w:hAnsi="Arial Narrow"/>
                <w:sz w:val="20"/>
              </w:rPr>
              <w:t xml:space="preserve"> Netherlands. </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 xml:space="preserve">Poster presented at 29th ESPID Meeting, 7-11 June 2011, The Hague, </w:t>
            </w:r>
            <w:proofErr w:type="gramStart"/>
            <w:r w:rsidRPr="003D3F7B">
              <w:rPr>
                <w:rFonts w:ascii="Arial Narrow" w:hAnsi="Arial Narrow"/>
                <w:sz w:val="20"/>
              </w:rPr>
              <w:t>The</w:t>
            </w:r>
            <w:proofErr w:type="gramEnd"/>
            <w:r w:rsidRPr="003D3F7B">
              <w:rPr>
                <w:rFonts w:ascii="Arial Narrow" w:hAnsi="Arial Narrow"/>
                <w:sz w:val="20"/>
              </w:rPr>
              <w:t xml:space="preserve"> Netherlands.</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Poster presented at 31st ESPID Meeting, May 28-June 1 2013, Milan, Italy.</w:t>
            </w:r>
          </w:p>
        </w:tc>
      </w:tr>
      <w:tr w:rsidR="00002DC3" w:rsidRPr="003D3F7B" w:rsidTr="00D60B44">
        <w:tc>
          <w:tcPr>
            <w:tcW w:w="585" w:type="pct"/>
          </w:tcPr>
          <w:p w:rsidR="00002DC3" w:rsidRPr="003D3F7B" w:rsidRDefault="00002DC3" w:rsidP="00D60B44">
            <w:pPr>
              <w:rPr>
                <w:rFonts w:ascii="Arial Narrow" w:hAnsi="Arial Narrow"/>
                <w:sz w:val="20"/>
              </w:rPr>
            </w:pPr>
            <w:r w:rsidRPr="003D3F7B">
              <w:rPr>
                <w:rFonts w:ascii="Arial Narrow" w:hAnsi="Arial Narrow"/>
                <w:sz w:val="20"/>
              </w:rPr>
              <w:t>V72P13E2</w:t>
            </w:r>
          </w:p>
        </w:tc>
        <w:tc>
          <w:tcPr>
            <w:tcW w:w="3092" w:type="pct"/>
          </w:tcPr>
          <w:p w:rsidR="00002DC3" w:rsidRPr="003D3F7B" w:rsidRDefault="00002DC3" w:rsidP="00D60B44">
            <w:pPr>
              <w:rPr>
                <w:rFonts w:ascii="Arial Narrow" w:hAnsi="Arial Narrow"/>
                <w:sz w:val="20"/>
              </w:rPr>
            </w:pPr>
            <w:r w:rsidRPr="003D3F7B">
              <w:rPr>
                <w:rFonts w:ascii="Arial Narrow" w:hAnsi="Arial Narrow"/>
                <w:sz w:val="20"/>
              </w:rPr>
              <w:t>A Phase 3, Open label, Multi-</w:t>
            </w:r>
            <w:proofErr w:type="spellStart"/>
            <w:r w:rsidRPr="003D3F7B">
              <w:rPr>
                <w:rFonts w:ascii="Arial Narrow" w:hAnsi="Arial Narrow"/>
                <w:sz w:val="20"/>
              </w:rPr>
              <w:t>Center</w:t>
            </w:r>
            <w:proofErr w:type="spellEnd"/>
            <w:r w:rsidRPr="003D3F7B">
              <w:rPr>
                <w:rFonts w:ascii="Arial Narrow" w:hAnsi="Arial Narrow"/>
                <w:sz w:val="20"/>
              </w:rPr>
              <w:t xml:space="preserve">, Extension Study of V72P13E1 to Assess Antibody Persistence at One Year After a Fourth Dose Boost or Two Catch-Up Doses of Novartis Meningococcal B Recombinant Vaccine Administered Starting at 12 Months of Age and to Evaluate the Response to a Third Dose Boost or Two Catch-Up Doses Starting at 24 Months of Age. May 2012. </w:t>
            </w:r>
            <w:proofErr w:type="gramStart"/>
            <w:r w:rsidRPr="003D3F7B">
              <w:rPr>
                <w:rFonts w:ascii="Arial Narrow" w:hAnsi="Arial Narrow"/>
                <w:sz w:val="20"/>
              </w:rPr>
              <w:t>Clinical Study Report: V72P13E2.</w:t>
            </w:r>
            <w:proofErr w:type="gramEnd"/>
            <w:r w:rsidRPr="003D3F7B">
              <w:rPr>
                <w:rFonts w:ascii="Arial Narrow" w:hAnsi="Arial Narrow"/>
                <w:sz w:val="20"/>
              </w:rPr>
              <w:t xml:space="preserve"> Novartis Vaccines and Diagnostics </w:t>
            </w:r>
          </w:p>
        </w:tc>
        <w:tc>
          <w:tcPr>
            <w:tcW w:w="1323" w:type="pct"/>
          </w:tcPr>
          <w:p w:rsidR="00002DC3" w:rsidRPr="003D3F7B" w:rsidRDefault="00002DC3" w:rsidP="00D60B44">
            <w:pPr>
              <w:rPr>
                <w:rFonts w:ascii="Arial Narrow" w:hAnsi="Arial Narrow"/>
                <w:sz w:val="20"/>
              </w:rPr>
            </w:pPr>
            <w:r w:rsidRPr="003D3F7B">
              <w:rPr>
                <w:rFonts w:ascii="Arial Narrow" w:hAnsi="Arial Narrow"/>
                <w:sz w:val="20"/>
              </w:rPr>
              <w:t>May 2012</w:t>
            </w:r>
          </w:p>
        </w:tc>
      </w:tr>
      <w:tr w:rsidR="00002DC3" w:rsidRPr="003D3F7B" w:rsidTr="00D60B44">
        <w:tc>
          <w:tcPr>
            <w:tcW w:w="5000" w:type="pct"/>
            <w:gridSpan w:val="3"/>
          </w:tcPr>
          <w:p w:rsidR="00002DC3" w:rsidRPr="003D3F7B" w:rsidRDefault="00002DC3" w:rsidP="00D60B44">
            <w:pPr>
              <w:rPr>
                <w:rFonts w:ascii="Arial Narrow" w:hAnsi="Arial Narrow"/>
                <w:b/>
                <w:sz w:val="20"/>
              </w:rPr>
            </w:pPr>
            <w:r w:rsidRPr="003D3F7B">
              <w:rPr>
                <w:rFonts w:ascii="Arial Narrow" w:hAnsi="Arial Narrow"/>
                <w:b/>
                <w:sz w:val="20"/>
              </w:rPr>
              <w:t>Supplementary infant studies presented in Section C</w:t>
            </w:r>
          </w:p>
        </w:tc>
      </w:tr>
      <w:tr w:rsidR="00002DC3" w:rsidRPr="003D3F7B" w:rsidTr="00D60B44">
        <w:tc>
          <w:tcPr>
            <w:tcW w:w="585" w:type="pct"/>
          </w:tcPr>
          <w:p w:rsidR="00002DC3" w:rsidRPr="003D3F7B" w:rsidRDefault="00002DC3" w:rsidP="00D60B44">
            <w:pPr>
              <w:rPr>
                <w:rFonts w:ascii="Arial Narrow" w:hAnsi="Arial Narrow"/>
                <w:sz w:val="20"/>
              </w:rPr>
            </w:pPr>
            <w:r w:rsidRPr="003D3F7B">
              <w:rPr>
                <w:rFonts w:ascii="Arial Narrow" w:hAnsi="Arial Narrow"/>
                <w:sz w:val="20"/>
              </w:rPr>
              <w:t>V72P6</w:t>
            </w:r>
          </w:p>
        </w:tc>
        <w:tc>
          <w:tcPr>
            <w:tcW w:w="3092" w:type="pct"/>
          </w:tcPr>
          <w:p w:rsidR="00002DC3" w:rsidRPr="003D3F7B" w:rsidRDefault="00002DC3" w:rsidP="00D60B44">
            <w:pPr>
              <w:rPr>
                <w:rFonts w:ascii="Arial Narrow" w:hAnsi="Arial Narrow"/>
                <w:sz w:val="20"/>
              </w:rPr>
            </w:pPr>
            <w:r w:rsidRPr="003D3F7B">
              <w:rPr>
                <w:rFonts w:ascii="Arial Narrow" w:hAnsi="Arial Narrow"/>
                <w:sz w:val="20"/>
              </w:rPr>
              <w:t>A Phase 2, Open Label, Multi-</w:t>
            </w:r>
            <w:proofErr w:type="spellStart"/>
            <w:r w:rsidRPr="003D3F7B">
              <w:rPr>
                <w:rFonts w:ascii="Arial Narrow" w:hAnsi="Arial Narrow"/>
                <w:sz w:val="20"/>
              </w:rPr>
              <w:t>Center</w:t>
            </w:r>
            <w:proofErr w:type="spellEnd"/>
            <w:r w:rsidRPr="003D3F7B">
              <w:rPr>
                <w:rFonts w:ascii="Arial Narrow" w:hAnsi="Arial Narrow"/>
                <w:sz w:val="20"/>
              </w:rPr>
              <w:t>, Controlled, Randomized Study of</w:t>
            </w:r>
            <w:r>
              <w:rPr>
                <w:rFonts w:ascii="Arial Narrow" w:hAnsi="Arial Narrow"/>
                <w:sz w:val="20"/>
              </w:rPr>
              <w:t xml:space="preserve"> </w:t>
            </w:r>
            <w:r w:rsidRPr="003D3F7B">
              <w:rPr>
                <w:rFonts w:ascii="Arial Narrow" w:hAnsi="Arial Narrow"/>
                <w:sz w:val="20"/>
              </w:rPr>
              <w:t xml:space="preserve">the Safety, Tolerability and Immunogenicity of Novartis </w:t>
            </w:r>
            <w:r w:rsidRPr="003D3F7B">
              <w:rPr>
                <w:rFonts w:ascii="Arial Narrow" w:hAnsi="Arial Narrow"/>
                <w:sz w:val="20"/>
              </w:rPr>
              <w:lastRenderedPageBreak/>
              <w:t xml:space="preserve">Meningococcal B Recombinant </w:t>
            </w:r>
            <w:proofErr w:type="spellStart"/>
            <w:r w:rsidRPr="003D3F7B">
              <w:rPr>
                <w:rFonts w:ascii="Arial Narrow" w:hAnsi="Arial Narrow"/>
                <w:sz w:val="20"/>
              </w:rPr>
              <w:t>Vaccine±OMV</w:t>
            </w:r>
            <w:proofErr w:type="spellEnd"/>
            <w:r w:rsidRPr="003D3F7B">
              <w:rPr>
                <w:rFonts w:ascii="Arial Narrow" w:hAnsi="Arial Narrow"/>
                <w:sz w:val="20"/>
              </w:rPr>
              <w:t xml:space="preserve">, when Administered to Healthy Infants at 2, 4, 6 and/or 12 Months of Age. </w:t>
            </w:r>
            <w:proofErr w:type="gramStart"/>
            <w:r w:rsidRPr="003D3F7B">
              <w:rPr>
                <w:rFonts w:ascii="Arial Narrow" w:hAnsi="Arial Narrow"/>
                <w:sz w:val="20"/>
              </w:rPr>
              <w:t>Clinical Study Report: V72P6.</w:t>
            </w:r>
            <w:proofErr w:type="gramEnd"/>
            <w:r w:rsidRPr="003D3F7B">
              <w:rPr>
                <w:rFonts w:ascii="Arial Narrow" w:hAnsi="Arial Narrow"/>
                <w:sz w:val="20"/>
              </w:rPr>
              <w:t xml:space="preserve"> Novartis Vaccines and Diagnostics</w:t>
            </w:r>
          </w:p>
        </w:tc>
        <w:tc>
          <w:tcPr>
            <w:tcW w:w="1323" w:type="pct"/>
          </w:tcPr>
          <w:p w:rsidR="00002DC3" w:rsidRPr="003D3F7B" w:rsidRDefault="00002DC3" w:rsidP="00D60B44">
            <w:pPr>
              <w:rPr>
                <w:rFonts w:ascii="Arial Narrow" w:hAnsi="Arial Narrow"/>
                <w:sz w:val="20"/>
              </w:rPr>
            </w:pPr>
            <w:r w:rsidRPr="003D3F7B">
              <w:rPr>
                <w:rFonts w:ascii="Arial Narrow" w:hAnsi="Arial Narrow"/>
                <w:sz w:val="20"/>
              </w:rPr>
              <w:lastRenderedPageBreak/>
              <w:t>April 2009</w:t>
            </w:r>
          </w:p>
        </w:tc>
      </w:tr>
      <w:tr w:rsidR="00002DC3" w:rsidRPr="003D3F7B" w:rsidTr="00D60B44">
        <w:tc>
          <w:tcPr>
            <w:tcW w:w="585" w:type="pct"/>
          </w:tcPr>
          <w:p w:rsidR="00002DC3" w:rsidRPr="003D3F7B" w:rsidRDefault="00002DC3" w:rsidP="00D60B44">
            <w:pPr>
              <w:rPr>
                <w:rFonts w:ascii="Arial Narrow" w:hAnsi="Arial Narrow"/>
                <w:sz w:val="20"/>
              </w:rPr>
            </w:pPr>
            <w:r w:rsidRPr="003D3F7B">
              <w:rPr>
                <w:rFonts w:ascii="Arial Narrow" w:hAnsi="Arial Narrow"/>
                <w:sz w:val="20"/>
              </w:rPr>
              <w:lastRenderedPageBreak/>
              <w:t>V72P6E1</w:t>
            </w:r>
          </w:p>
        </w:tc>
        <w:tc>
          <w:tcPr>
            <w:tcW w:w="3092" w:type="pct"/>
          </w:tcPr>
          <w:p w:rsidR="00002DC3" w:rsidRPr="003D3F7B" w:rsidRDefault="00002DC3" w:rsidP="00D60B44">
            <w:pPr>
              <w:rPr>
                <w:rFonts w:ascii="Arial Narrow" w:hAnsi="Arial Narrow"/>
                <w:sz w:val="20"/>
              </w:rPr>
            </w:pPr>
            <w:r w:rsidRPr="003D3F7B">
              <w:rPr>
                <w:rFonts w:ascii="Arial Narrow" w:hAnsi="Arial Narrow"/>
                <w:sz w:val="20"/>
              </w:rPr>
              <w:t xml:space="preserve">Snape MD, </w:t>
            </w:r>
            <w:proofErr w:type="spellStart"/>
            <w:r w:rsidRPr="003D3F7B">
              <w:rPr>
                <w:rFonts w:ascii="Arial Narrow" w:hAnsi="Arial Narrow"/>
                <w:sz w:val="20"/>
              </w:rPr>
              <w:t>Saroey</w:t>
            </w:r>
            <w:proofErr w:type="spellEnd"/>
            <w:r w:rsidRPr="003D3F7B">
              <w:rPr>
                <w:rFonts w:ascii="Arial Narrow" w:hAnsi="Arial Narrow"/>
                <w:sz w:val="20"/>
              </w:rPr>
              <w:t xml:space="preserve"> P, John TM, Robinson H, Kelly S, </w:t>
            </w:r>
            <w:proofErr w:type="spellStart"/>
            <w:r w:rsidRPr="003D3F7B">
              <w:rPr>
                <w:rFonts w:ascii="Arial Narrow" w:hAnsi="Arial Narrow"/>
                <w:sz w:val="20"/>
              </w:rPr>
              <w:t>Gossger</w:t>
            </w:r>
            <w:proofErr w:type="spellEnd"/>
            <w:r w:rsidRPr="003D3F7B">
              <w:rPr>
                <w:rFonts w:ascii="Arial Narrow" w:hAnsi="Arial Narrow"/>
                <w:sz w:val="20"/>
              </w:rPr>
              <w:t xml:space="preserve"> N, Yu LM, Wang H, </w:t>
            </w:r>
            <w:proofErr w:type="spellStart"/>
            <w:r w:rsidRPr="003D3F7B">
              <w:rPr>
                <w:rFonts w:ascii="Arial Narrow" w:hAnsi="Arial Narrow"/>
                <w:sz w:val="20"/>
              </w:rPr>
              <w:t>Toneatto</w:t>
            </w:r>
            <w:proofErr w:type="spellEnd"/>
            <w:r w:rsidRPr="003D3F7B">
              <w:rPr>
                <w:rFonts w:ascii="Arial Narrow" w:hAnsi="Arial Narrow"/>
                <w:sz w:val="20"/>
              </w:rPr>
              <w:t xml:space="preserve"> D, Dull PM, Pollard AJ. </w:t>
            </w:r>
            <w:proofErr w:type="gramStart"/>
            <w:r w:rsidRPr="003D3F7B">
              <w:rPr>
                <w:rFonts w:ascii="Arial Narrow" w:hAnsi="Arial Narrow"/>
                <w:sz w:val="20"/>
              </w:rPr>
              <w:t xml:space="preserve">(2013) Persistence of bactericidal antibodies following early infant vaccination with a </w:t>
            </w:r>
            <w:proofErr w:type="spellStart"/>
            <w:r w:rsidRPr="003D3F7B">
              <w:rPr>
                <w:rFonts w:ascii="Arial Narrow" w:hAnsi="Arial Narrow"/>
                <w:sz w:val="20"/>
              </w:rPr>
              <w:t>serogroup</w:t>
            </w:r>
            <w:proofErr w:type="spellEnd"/>
            <w:r w:rsidRPr="003D3F7B">
              <w:rPr>
                <w:rFonts w:ascii="Arial Narrow" w:hAnsi="Arial Narrow"/>
                <w:sz w:val="20"/>
              </w:rPr>
              <w:t xml:space="preserve"> B meningococcal vaccine and immunogenicity of a preschool booster dose.</w:t>
            </w:r>
            <w:proofErr w:type="gramEnd"/>
          </w:p>
        </w:tc>
        <w:tc>
          <w:tcPr>
            <w:tcW w:w="1323" w:type="pct"/>
          </w:tcPr>
          <w:p w:rsidR="00002DC3" w:rsidRPr="003D3F7B" w:rsidRDefault="00002DC3" w:rsidP="00D60B44">
            <w:pPr>
              <w:rPr>
                <w:rFonts w:ascii="Arial Narrow" w:hAnsi="Arial Narrow"/>
                <w:sz w:val="20"/>
              </w:rPr>
            </w:pPr>
            <w:proofErr w:type="gramStart"/>
            <w:r w:rsidRPr="003D3F7B">
              <w:rPr>
                <w:rFonts w:ascii="Arial Narrow" w:hAnsi="Arial Narrow"/>
                <w:sz w:val="20"/>
              </w:rPr>
              <w:t>CMAJ.</w:t>
            </w:r>
            <w:proofErr w:type="gramEnd"/>
            <w:r w:rsidRPr="003D3F7B">
              <w:rPr>
                <w:rFonts w:ascii="Arial Narrow" w:hAnsi="Arial Narrow"/>
                <w:sz w:val="20"/>
              </w:rPr>
              <w:t xml:space="preserve"> 185(15):E715-24.</w:t>
            </w:r>
          </w:p>
        </w:tc>
      </w:tr>
      <w:tr w:rsidR="00002DC3" w:rsidRPr="003D3F7B" w:rsidTr="00D60B44">
        <w:tc>
          <w:tcPr>
            <w:tcW w:w="585" w:type="pct"/>
          </w:tcPr>
          <w:p w:rsidR="00002DC3" w:rsidRPr="003D3F7B" w:rsidRDefault="00002DC3" w:rsidP="00D60B44">
            <w:pPr>
              <w:rPr>
                <w:rFonts w:ascii="Arial Narrow" w:hAnsi="Arial Narrow"/>
                <w:sz w:val="20"/>
              </w:rPr>
            </w:pPr>
            <w:r w:rsidRPr="003D3F7B">
              <w:rPr>
                <w:rFonts w:ascii="Arial Narrow" w:hAnsi="Arial Narrow"/>
                <w:sz w:val="20"/>
              </w:rPr>
              <w:t>V72P9</w:t>
            </w:r>
          </w:p>
        </w:tc>
        <w:tc>
          <w:tcPr>
            <w:tcW w:w="3092" w:type="pct"/>
          </w:tcPr>
          <w:p w:rsidR="00002DC3" w:rsidRPr="003D3F7B" w:rsidRDefault="00002DC3" w:rsidP="00D60B44">
            <w:pPr>
              <w:rPr>
                <w:rFonts w:ascii="Arial Narrow" w:hAnsi="Arial Narrow"/>
                <w:sz w:val="20"/>
              </w:rPr>
            </w:pPr>
            <w:r w:rsidRPr="003D3F7B">
              <w:rPr>
                <w:rFonts w:ascii="Arial Narrow" w:hAnsi="Arial Narrow"/>
                <w:sz w:val="20"/>
              </w:rPr>
              <w:t xml:space="preserve">A Phase 2, Single Blind, Single </w:t>
            </w:r>
            <w:proofErr w:type="spellStart"/>
            <w:r w:rsidRPr="003D3F7B">
              <w:rPr>
                <w:rFonts w:ascii="Arial Narrow" w:hAnsi="Arial Narrow"/>
                <w:sz w:val="20"/>
              </w:rPr>
              <w:t>Center</w:t>
            </w:r>
            <w:proofErr w:type="spellEnd"/>
            <w:r w:rsidRPr="003D3F7B">
              <w:rPr>
                <w:rFonts w:ascii="Arial Narrow" w:hAnsi="Arial Narrow"/>
                <w:sz w:val="20"/>
              </w:rPr>
              <w:t xml:space="preserve">, Randomized Study of the Safety, Tolerability and Immunogenicity of Novartis Meningococcal B Recombinant Vaccine ± OMV, when Administered to Healthy Infants 6-8 months old. </w:t>
            </w:r>
            <w:proofErr w:type="gramStart"/>
            <w:r w:rsidRPr="003D3F7B">
              <w:rPr>
                <w:rFonts w:ascii="Arial Narrow" w:hAnsi="Arial Narrow"/>
                <w:sz w:val="20"/>
              </w:rPr>
              <w:t>Clinical Study Report: V72P9.</w:t>
            </w:r>
            <w:proofErr w:type="gramEnd"/>
            <w:r w:rsidRPr="003D3F7B">
              <w:rPr>
                <w:rFonts w:ascii="Arial Narrow" w:hAnsi="Arial Narrow"/>
                <w:sz w:val="20"/>
              </w:rPr>
              <w:t xml:space="preserve"> Novartis Vaccines and Diagnostics</w:t>
            </w:r>
          </w:p>
        </w:tc>
        <w:tc>
          <w:tcPr>
            <w:tcW w:w="1323" w:type="pct"/>
          </w:tcPr>
          <w:p w:rsidR="00002DC3" w:rsidRPr="003D3F7B" w:rsidRDefault="00002DC3" w:rsidP="00D60B44">
            <w:pPr>
              <w:rPr>
                <w:rFonts w:ascii="Arial Narrow" w:hAnsi="Arial Narrow"/>
                <w:sz w:val="20"/>
              </w:rPr>
            </w:pPr>
            <w:r w:rsidRPr="003D3F7B">
              <w:rPr>
                <w:rFonts w:ascii="Arial Narrow" w:hAnsi="Arial Narrow"/>
                <w:sz w:val="20"/>
              </w:rPr>
              <w:t>February 2009</w:t>
            </w:r>
          </w:p>
        </w:tc>
      </w:tr>
      <w:tr w:rsidR="00002DC3" w:rsidRPr="003D3F7B" w:rsidTr="00D60B44">
        <w:tc>
          <w:tcPr>
            <w:tcW w:w="585" w:type="pct"/>
          </w:tcPr>
          <w:p w:rsidR="00002DC3" w:rsidRPr="003D3F7B" w:rsidRDefault="00002DC3" w:rsidP="00D60B44">
            <w:pPr>
              <w:rPr>
                <w:rFonts w:ascii="Arial Narrow" w:hAnsi="Arial Narrow"/>
                <w:sz w:val="20"/>
              </w:rPr>
            </w:pPr>
            <w:r w:rsidRPr="003D3F7B">
              <w:rPr>
                <w:rFonts w:ascii="Arial Narrow" w:hAnsi="Arial Narrow"/>
                <w:sz w:val="20"/>
              </w:rPr>
              <w:t>V72P9E1</w:t>
            </w:r>
          </w:p>
        </w:tc>
        <w:tc>
          <w:tcPr>
            <w:tcW w:w="3092" w:type="pct"/>
          </w:tcPr>
          <w:p w:rsidR="00002DC3" w:rsidRPr="003D3F7B" w:rsidRDefault="00002DC3" w:rsidP="00D60B44">
            <w:pPr>
              <w:rPr>
                <w:rFonts w:ascii="Arial Narrow" w:hAnsi="Arial Narrow"/>
                <w:sz w:val="20"/>
              </w:rPr>
            </w:pPr>
            <w:r w:rsidRPr="003D3F7B">
              <w:rPr>
                <w:rFonts w:ascii="Arial Narrow" w:hAnsi="Arial Narrow"/>
                <w:sz w:val="20"/>
              </w:rPr>
              <w:t>A Phase 2, Open-Label, Single-</w:t>
            </w:r>
            <w:proofErr w:type="spellStart"/>
            <w:r w:rsidRPr="003D3F7B">
              <w:rPr>
                <w:rFonts w:ascii="Arial Narrow" w:hAnsi="Arial Narrow"/>
                <w:sz w:val="20"/>
              </w:rPr>
              <w:t>Center</w:t>
            </w:r>
            <w:proofErr w:type="spellEnd"/>
            <w:r w:rsidRPr="003D3F7B">
              <w:rPr>
                <w:rFonts w:ascii="Arial Narrow" w:hAnsi="Arial Narrow"/>
                <w:sz w:val="20"/>
              </w:rPr>
              <w:t>, Extension Study Evaluating</w:t>
            </w:r>
          </w:p>
          <w:p w:rsidR="00002DC3" w:rsidRPr="003D3F7B" w:rsidRDefault="00002DC3" w:rsidP="00D60B44">
            <w:pPr>
              <w:rPr>
                <w:rFonts w:ascii="Arial Narrow" w:hAnsi="Arial Narrow"/>
                <w:sz w:val="20"/>
              </w:rPr>
            </w:pPr>
            <w:r w:rsidRPr="003D3F7B">
              <w:rPr>
                <w:rFonts w:ascii="Arial Narrow" w:hAnsi="Arial Narrow"/>
                <w:sz w:val="20"/>
              </w:rPr>
              <w:t xml:space="preserve">Antibody Persistence compared to Naive Children and Safety, Tolerability and Immunogenicity of a Booster Dose of Novartis </w:t>
            </w:r>
            <w:proofErr w:type="spellStart"/>
            <w:r w:rsidRPr="003D3F7B">
              <w:rPr>
                <w:rFonts w:ascii="Arial Narrow" w:hAnsi="Arial Narrow"/>
                <w:sz w:val="20"/>
              </w:rPr>
              <w:t>rMenB±OMV</w:t>
            </w:r>
            <w:proofErr w:type="spellEnd"/>
            <w:r w:rsidRPr="003D3F7B">
              <w:rPr>
                <w:rFonts w:ascii="Arial Narrow" w:hAnsi="Arial Narrow"/>
                <w:sz w:val="20"/>
              </w:rPr>
              <w:t xml:space="preserve"> NZ Vaccine in Healthy UK Children Who Previously Received a Three-Dose Series of the Novartis Vaccine as Infants in Study V72P9. </w:t>
            </w:r>
            <w:proofErr w:type="gramStart"/>
            <w:r w:rsidRPr="003D3F7B">
              <w:rPr>
                <w:rFonts w:ascii="Arial Narrow" w:hAnsi="Arial Narrow"/>
                <w:sz w:val="20"/>
              </w:rPr>
              <w:t>Clinical Study Report: V72P9E1.</w:t>
            </w:r>
            <w:proofErr w:type="gramEnd"/>
            <w:r w:rsidRPr="003D3F7B">
              <w:rPr>
                <w:rFonts w:ascii="Arial Narrow" w:hAnsi="Arial Narrow"/>
                <w:sz w:val="20"/>
              </w:rPr>
              <w:t xml:space="preserve"> Novartis Vaccines and Diagnostics</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 xml:space="preserve">Philip J, Snape MD, Robinson H, Kelly S, Pollard AJ, John TM, </w:t>
            </w:r>
            <w:proofErr w:type="spellStart"/>
            <w:r w:rsidRPr="003D3F7B">
              <w:rPr>
                <w:rFonts w:ascii="Arial Narrow" w:hAnsi="Arial Narrow"/>
                <w:sz w:val="20"/>
              </w:rPr>
              <w:t>Gossger</w:t>
            </w:r>
            <w:proofErr w:type="spellEnd"/>
            <w:r w:rsidRPr="003D3F7B">
              <w:rPr>
                <w:rFonts w:ascii="Arial Narrow" w:hAnsi="Arial Narrow"/>
                <w:sz w:val="20"/>
              </w:rPr>
              <w:t xml:space="preserve"> N, </w:t>
            </w:r>
            <w:proofErr w:type="spellStart"/>
            <w:r w:rsidRPr="003D3F7B">
              <w:rPr>
                <w:rFonts w:ascii="Arial Narrow" w:hAnsi="Arial Narrow"/>
                <w:sz w:val="20"/>
              </w:rPr>
              <w:t>Toneatto</w:t>
            </w:r>
            <w:proofErr w:type="spellEnd"/>
            <w:r w:rsidRPr="003D3F7B">
              <w:rPr>
                <w:rFonts w:ascii="Arial Narrow" w:hAnsi="Arial Narrow"/>
                <w:sz w:val="20"/>
              </w:rPr>
              <w:t xml:space="preserve"> D, </w:t>
            </w:r>
            <w:proofErr w:type="spellStart"/>
            <w:r w:rsidRPr="003D3F7B">
              <w:rPr>
                <w:rFonts w:ascii="Arial Narrow" w:hAnsi="Arial Narrow"/>
                <w:sz w:val="20"/>
              </w:rPr>
              <w:t>Kittel</w:t>
            </w:r>
            <w:proofErr w:type="spellEnd"/>
            <w:r w:rsidRPr="003D3F7B">
              <w:rPr>
                <w:rFonts w:ascii="Arial Narrow" w:hAnsi="Arial Narrow"/>
                <w:sz w:val="20"/>
              </w:rPr>
              <w:t xml:space="preserve"> C, Kimura A, Dull PM. (2012) Bactericidal antibody persistence two years following meningococcal B vaccination at 6, 8 and 12 months in 40 month old children</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 xml:space="preserve">Snape MD, John TM, Kelly S, Robinson H, </w:t>
            </w:r>
            <w:proofErr w:type="spellStart"/>
            <w:r w:rsidRPr="003D3F7B">
              <w:rPr>
                <w:rFonts w:ascii="Arial Narrow" w:hAnsi="Arial Narrow"/>
                <w:sz w:val="20"/>
              </w:rPr>
              <w:t>Houlden</w:t>
            </w:r>
            <w:proofErr w:type="spellEnd"/>
            <w:r w:rsidRPr="003D3F7B">
              <w:rPr>
                <w:rFonts w:ascii="Arial Narrow" w:hAnsi="Arial Narrow"/>
                <w:sz w:val="20"/>
              </w:rPr>
              <w:t xml:space="preserve"> J, </w:t>
            </w:r>
            <w:proofErr w:type="spellStart"/>
            <w:r w:rsidRPr="003D3F7B">
              <w:rPr>
                <w:rFonts w:ascii="Arial Narrow" w:hAnsi="Arial Narrow"/>
                <w:sz w:val="20"/>
              </w:rPr>
              <w:t>Toneatto</w:t>
            </w:r>
            <w:proofErr w:type="spellEnd"/>
            <w:r w:rsidRPr="003D3F7B">
              <w:rPr>
                <w:rFonts w:ascii="Arial Narrow" w:hAnsi="Arial Narrow"/>
                <w:sz w:val="20"/>
              </w:rPr>
              <w:t xml:space="preserve"> D, </w:t>
            </w:r>
            <w:proofErr w:type="spellStart"/>
            <w:r w:rsidRPr="003D3F7B">
              <w:rPr>
                <w:rFonts w:ascii="Arial Narrow" w:hAnsi="Arial Narrow"/>
                <w:sz w:val="20"/>
              </w:rPr>
              <w:t>Kittel</w:t>
            </w:r>
            <w:proofErr w:type="spellEnd"/>
            <w:r w:rsidRPr="003D3F7B">
              <w:rPr>
                <w:rFonts w:ascii="Arial Narrow" w:hAnsi="Arial Narrow"/>
                <w:sz w:val="20"/>
              </w:rPr>
              <w:t xml:space="preserve"> C, Dull PM, Pollard AJ. (2013) Persistence of bactericidal antibodies to 5 years of age following a ‘preschool’ booster dose of </w:t>
            </w:r>
            <w:proofErr w:type="spellStart"/>
            <w:r w:rsidRPr="003D3F7B">
              <w:rPr>
                <w:rFonts w:ascii="Arial Narrow" w:hAnsi="Arial Narrow"/>
                <w:sz w:val="20"/>
              </w:rPr>
              <w:t>serogroup</w:t>
            </w:r>
            <w:proofErr w:type="spellEnd"/>
            <w:r w:rsidRPr="003D3F7B">
              <w:rPr>
                <w:rFonts w:ascii="Arial Narrow" w:hAnsi="Arial Narrow"/>
                <w:sz w:val="20"/>
              </w:rPr>
              <w:t xml:space="preserve"> B meningococcal vaccine</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 xml:space="preserve">Snape MD, Philip J, John TM, Robinson H, Kelly S, </w:t>
            </w:r>
            <w:proofErr w:type="spellStart"/>
            <w:r w:rsidRPr="003D3F7B">
              <w:rPr>
                <w:rFonts w:ascii="Arial Narrow" w:hAnsi="Arial Narrow"/>
                <w:sz w:val="20"/>
              </w:rPr>
              <w:t>Gossger</w:t>
            </w:r>
            <w:proofErr w:type="spellEnd"/>
            <w:r w:rsidRPr="003D3F7B">
              <w:rPr>
                <w:rFonts w:ascii="Arial Narrow" w:hAnsi="Arial Narrow"/>
                <w:sz w:val="20"/>
              </w:rPr>
              <w:t xml:space="preserve"> N, Yu LM, </w:t>
            </w:r>
            <w:proofErr w:type="spellStart"/>
            <w:r w:rsidRPr="003D3F7B">
              <w:rPr>
                <w:rFonts w:ascii="Arial Narrow" w:hAnsi="Arial Narrow"/>
                <w:sz w:val="20"/>
              </w:rPr>
              <w:t>Kittel</w:t>
            </w:r>
            <w:proofErr w:type="spellEnd"/>
            <w:r w:rsidRPr="003D3F7B">
              <w:rPr>
                <w:rFonts w:ascii="Arial Narrow" w:hAnsi="Arial Narrow"/>
                <w:sz w:val="20"/>
              </w:rPr>
              <w:t xml:space="preserve"> C, </w:t>
            </w:r>
            <w:proofErr w:type="spellStart"/>
            <w:r w:rsidRPr="003D3F7B">
              <w:rPr>
                <w:rFonts w:ascii="Arial Narrow" w:hAnsi="Arial Narrow"/>
                <w:sz w:val="20"/>
              </w:rPr>
              <w:t>Toneatto</w:t>
            </w:r>
            <w:proofErr w:type="spellEnd"/>
            <w:r w:rsidRPr="003D3F7B">
              <w:rPr>
                <w:rFonts w:ascii="Arial Narrow" w:hAnsi="Arial Narrow"/>
                <w:sz w:val="20"/>
              </w:rPr>
              <w:t xml:space="preserve"> D, Dull PM, Pollard AJ. </w:t>
            </w:r>
            <w:proofErr w:type="gramStart"/>
            <w:r w:rsidRPr="003D3F7B">
              <w:rPr>
                <w:rFonts w:ascii="Arial Narrow" w:hAnsi="Arial Narrow"/>
                <w:sz w:val="20"/>
              </w:rPr>
              <w:t xml:space="preserve">(2013) Bactericidal antibody persistence 2 years after immunization with 2 investigational </w:t>
            </w:r>
            <w:proofErr w:type="spellStart"/>
            <w:r w:rsidRPr="003D3F7B">
              <w:rPr>
                <w:rFonts w:ascii="Arial Narrow" w:hAnsi="Arial Narrow"/>
                <w:sz w:val="20"/>
              </w:rPr>
              <w:t>serogroup</w:t>
            </w:r>
            <w:proofErr w:type="spellEnd"/>
            <w:r w:rsidRPr="003D3F7B">
              <w:rPr>
                <w:rFonts w:ascii="Arial Narrow" w:hAnsi="Arial Narrow"/>
                <w:sz w:val="20"/>
              </w:rPr>
              <w:t xml:space="preserve"> B meningococcal vaccines at 6, 8 and 12 months and immunogenicity of preschool booster doses: a follow-on study to a randomized clinical trial.</w:t>
            </w:r>
            <w:proofErr w:type="gramEnd"/>
            <w:r w:rsidRPr="003D3F7B">
              <w:rPr>
                <w:rFonts w:ascii="Arial Narrow" w:hAnsi="Arial Narrow"/>
                <w:sz w:val="20"/>
              </w:rPr>
              <w:t xml:space="preserve"> </w:t>
            </w:r>
          </w:p>
        </w:tc>
        <w:tc>
          <w:tcPr>
            <w:tcW w:w="1323" w:type="pct"/>
          </w:tcPr>
          <w:p w:rsidR="00002DC3" w:rsidRPr="003D3F7B" w:rsidRDefault="00002DC3" w:rsidP="00D60B44">
            <w:pPr>
              <w:rPr>
                <w:rFonts w:ascii="Arial Narrow" w:hAnsi="Arial Narrow"/>
                <w:sz w:val="20"/>
              </w:rPr>
            </w:pPr>
            <w:r w:rsidRPr="003D3F7B">
              <w:rPr>
                <w:rFonts w:ascii="Arial Narrow" w:hAnsi="Arial Narrow"/>
                <w:sz w:val="20"/>
              </w:rPr>
              <w:t>December 2011</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Poster presented at 30th ESPID Meeting, May 8-12 2012, Thessaloniki, Greece.</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Poster presented at 31st ESPID Meeting, May 28-June 1 2013, Milan, Italy.</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spellStart"/>
            <w:r w:rsidRPr="003D3F7B">
              <w:rPr>
                <w:rFonts w:ascii="Arial Narrow" w:hAnsi="Arial Narrow"/>
                <w:sz w:val="20"/>
              </w:rPr>
              <w:t>Pediatr</w:t>
            </w:r>
            <w:proofErr w:type="spellEnd"/>
            <w:r w:rsidRPr="003D3F7B">
              <w:rPr>
                <w:rFonts w:ascii="Arial Narrow" w:hAnsi="Arial Narrow"/>
                <w:sz w:val="20"/>
              </w:rPr>
              <w:t xml:space="preserve"> Infect Dis J. 32(10):1116-21.</w:t>
            </w:r>
          </w:p>
        </w:tc>
      </w:tr>
      <w:tr w:rsidR="00002DC3" w:rsidRPr="003D3F7B" w:rsidTr="00D60B44">
        <w:trPr>
          <w:trHeight w:val="87"/>
        </w:trPr>
        <w:tc>
          <w:tcPr>
            <w:tcW w:w="5000" w:type="pct"/>
            <w:gridSpan w:val="3"/>
          </w:tcPr>
          <w:p w:rsidR="00002DC3" w:rsidRPr="003D3F7B" w:rsidRDefault="00002DC3" w:rsidP="00D60B44">
            <w:pPr>
              <w:rPr>
                <w:rFonts w:ascii="Arial Narrow" w:hAnsi="Arial Narrow"/>
                <w:b/>
                <w:sz w:val="20"/>
              </w:rPr>
            </w:pPr>
            <w:r>
              <w:rPr>
                <w:rFonts w:ascii="Arial Narrow" w:hAnsi="Arial Narrow"/>
                <w:b/>
                <w:sz w:val="20"/>
              </w:rPr>
              <w:t>Adolescent s</w:t>
            </w:r>
            <w:r w:rsidRPr="003D3F7B">
              <w:rPr>
                <w:rFonts w:ascii="Arial Narrow" w:hAnsi="Arial Narrow"/>
                <w:b/>
                <w:sz w:val="20"/>
              </w:rPr>
              <w:t>tudies</w:t>
            </w:r>
          </w:p>
        </w:tc>
      </w:tr>
      <w:tr w:rsidR="00002DC3" w:rsidRPr="003D3F7B" w:rsidTr="00D60B44">
        <w:tc>
          <w:tcPr>
            <w:tcW w:w="585" w:type="pct"/>
          </w:tcPr>
          <w:p w:rsidR="00002DC3" w:rsidRPr="003D3F7B" w:rsidRDefault="00002DC3" w:rsidP="00D60B44">
            <w:pPr>
              <w:rPr>
                <w:rFonts w:ascii="Arial Narrow" w:hAnsi="Arial Narrow"/>
                <w:sz w:val="20"/>
              </w:rPr>
            </w:pPr>
            <w:r w:rsidRPr="003D3F7B">
              <w:rPr>
                <w:rFonts w:ascii="Arial Narrow" w:hAnsi="Arial Narrow"/>
                <w:sz w:val="20"/>
              </w:rPr>
              <w:t>V72P10</w:t>
            </w:r>
          </w:p>
        </w:tc>
        <w:tc>
          <w:tcPr>
            <w:tcW w:w="3092" w:type="pct"/>
          </w:tcPr>
          <w:p w:rsidR="00002DC3" w:rsidRPr="003D3F7B" w:rsidRDefault="00002DC3" w:rsidP="00D60B44">
            <w:pPr>
              <w:rPr>
                <w:rFonts w:ascii="Arial Narrow" w:hAnsi="Arial Narrow"/>
                <w:sz w:val="20"/>
              </w:rPr>
            </w:pPr>
            <w:r w:rsidRPr="003D3F7B">
              <w:rPr>
                <w:rFonts w:ascii="Arial Narrow" w:hAnsi="Arial Narrow"/>
                <w:sz w:val="20"/>
              </w:rPr>
              <w:t>A Phase 2b/3, Multi-</w:t>
            </w:r>
            <w:proofErr w:type="spellStart"/>
            <w:r w:rsidRPr="003D3F7B">
              <w:rPr>
                <w:rFonts w:ascii="Arial Narrow" w:hAnsi="Arial Narrow"/>
                <w:sz w:val="20"/>
              </w:rPr>
              <w:t>Center</w:t>
            </w:r>
            <w:proofErr w:type="spellEnd"/>
            <w:r w:rsidRPr="003D3F7B">
              <w:rPr>
                <w:rFonts w:ascii="Arial Narrow" w:hAnsi="Arial Narrow"/>
                <w:sz w:val="20"/>
              </w:rPr>
              <w:t xml:space="preserve">, Observer-Blind, Controlled Study of the Safety, Tolerability and Immunogenicity of Novartis Meningococcal B Recombinant Vaccine Administered to Healthy Adolescents Aged 11-17 Years According to Different Vaccination Schedules. June 2011. </w:t>
            </w:r>
            <w:proofErr w:type="gramStart"/>
            <w:r w:rsidRPr="003D3F7B">
              <w:rPr>
                <w:rFonts w:ascii="Arial Narrow" w:hAnsi="Arial Narrow"/>
                <w:sz w:val="20"/>
              </w:rPr>
              <w:t>Clinical Study Report: V72P10.</w:t>
            </w:r>
            <w:proofErr w:type="gramEnd"/>
            <w:r w:rsidRPr="003D3F7B">
              <w:rPr>
                <w:rFonts w:ascii="Arial Narrow" w:hAnsi="Arial Narrow"/>
                <w:sz w:val="20"/>
              </w:rPr>
              <w:t xml:space="preserve"> </w:t>
            </w:r>
            <w:proofErr w:type="gramStart"/>
            <w:r w:rsidRPr="003D3F7B">
              <w:rPr>
                <w:rFonts w:ascii="Arial Narrow" w:hAnsi="Arial Narrow"/>
                <w:sz w:val="20"/>
              </w:rPr>
              <w:t>Novartis Vaccines and Diagnostics.</w:t>
            </w:r>
            <w:proofErr w:type="gramEnd"/>
            <w:r w:rsidRPr="003D3F7B">
              <w:rPr>
                <w:rFonts w:ascii="Arial Narrow" w:hAnsi="Arial Narrow"/>
                <w:sz w:val="20"/>
              </w:rPr>
              <w:t xml:space="preserve"> (</w:t>
            </w:r>
            <w:proofErr w:type="spellStart"/>
            <w:r w:rsidRPr="003D3F7B">
              <w:rPr>
                <w:rFonts w:ascii="Arial Narrow" w:hAnsi="Arial Narrow"/>
                <w:sz w:val="20"/>
              </w:rPr>
              <w:t>Santolaya</w:t>
            </w:r>
            <w:proofErr w:type="spellEnd"/>
            <w:r w:rsidRPr="003D3F7B">
              <w:rPr>
                <w:rFonts w:ascii="Arial Narrow" w:hAnsi="Arial Narrow"/>
                <w:sz w:val="20"/>
              </w:rPr>
              <w:t xml:space="preserve"> et al. 2011a)</w:t>
            </w:r>
          </w:p>
          <w:p w:rsidR="00002DC3" w:rsidRPr="003D3F7B" w:rsidRDefault="00002DC3" w:rsidP="00D60B44">
            <w:pPr>
              <w:rPr>
                <w:rFonts w:ascii="Arial Narrow" w:hAnsi="Arial Narrow"/>
                <w:sz w:val="20"/>
              </w:rPr>
            </w:pPr>
            <w:r w:rsidRPr="003D3F7B">
              <w:rPr>
                <w:rFonts w:ascii="Arial Narrow" w:hAnsi="Arial Narrow"/>
                <w:sz w:val="20"/>
              </w:rPr>
              <w:t xml:space="preserve">AND </w:t>
            </w:r>
          </w:p>
          <w:p w:rsidR="00002DC3" w:rsidRPr="00191B3F" w:rsidRDefault="00002DC3" w:rsidP="00D60B44">
            <w:pPr>
              <w:rPr>
                <w:rFonts w:ascii="Arial Narrow" w:hAnsi="Arial Narrow"/>
                <w:sz w:val="20"/>
                <w:highlight w:val="black"/>
              </w:rPr>
            </w:pPr>
            <w:r>
              <w:rPr>
                <w:rFonts w:ascii="Arial Narrow" w:hAnsi="Arial Narrow"/>
                <w:noProof/>
                <w:color w:val="000000"/>
                <w:sz w:val="20"/>
                <w:highlight w:val="black"/>
              </w:rPr>
              <w:t>'''''''''''''''''''''''' ''' ''''' ''''''''''</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spellStart"/>
            <w:r w:rsidRPr="003D3F7B">
              <w:rPr>
                <w:rFonts w:ascii="Arial Narrow" w:hAnsi="Arial Narrow"/>
                <w:sz w:val="20"/>
              </w:rPr>
              <w:t>Santolaya</w:t>
            </w:r>
            <w:proofErr w:type="spellEnd"/>
            <w:r w:rsidRPr="003D3F7B">
              <w:rPr>
                <w:rFonts w:ascii="Arial Narrow" w:hAnsi="Arial Narrow"/>
                <w:sz w:val="20"/>
              </w:rPr>
              <w:t xml:space="preserve">, M. E., </w:t>
            </w:r>
            <w:proofErr w:type="spellStart"/>
            <w:r w:rsidRPr="003D3F7B">
              <w:rPr>
                <w:rFonts w:ascii="Arial Narrow" w:hAnsi="Arial Narrow"/>
                <w:sz w:val="20"/>
              </w:rPr>
              <w:t>O'Ryan</w:t>
            </w:r>
            <w:proofErr w:type="spellEnd"/>
            <w:r w:rsidRPr="003D3F7B">
              <w:rPr>
                <w:rFonts w:ascii="Arial Narrow" w:hAnsi="Arial Narrow"/>
                <w:sz w:val="20"/>
              </w:rPr>
              <w:t xml:space="preserve">, M. L., et al. (2012). </w:t>
            </w:r>
            <w:proofErr w:type="gramStart"/>
            <w:r w:rsidRPr="003D3F7B">
              <w:rPr>
                <w:rFonts w:ascii="Arial Narrow" w:hAnsi="Arial Narrow"/>
                <w:sz w:val="20"/>
              </w:rPr>
              <w:t xml:space="preserve">Immunogenicity and tolerability of a multicomponent meningococcal </w:t>
            </w:r>
            <w:proofErr w:type="spellStart"/>
            <w:r w:rsidRPr="003D3F7B">
              <w:rPr>
                <w:rFonts w:ascii="Arial Narrow" w:hAnsi="Arial Narrow"/>
                <w:sz w:val="20"/>
              </w:rPr>
              <w:t>serogroup</w:t>
            </w:r>
            <w:proofErr w:type="spellEnd"/>
            <w:r w:rsidRPr="003D3F7B">
              <w:rPr>
                <w:rFonts w:ascii="Arial Narrow" w:hAnsi="Arial Narrow"/>
                <w:sz w:val="20"/>
              </w:rPr>
              <w:t xml:space="preserve"> B (4CMenB) vaccine in healthy adolescents in Chile: A phase 2b/3 randomised, observer-blind, placebo-controlled study.</w:t>
            </w:r>
            <w:proofErr w:type="gramEnd"/>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gramStart"/>
            <w:r w:rsidRPr="003D3F7B">
              <w:rPr>
                <w:rFonts w:ascii="Arial Narrow" w:hAnsi="Arial Narrow"/>
                <w:sz w:val="20"/>
              </w:rPr>
              <w:t>Stephens, D. S. (2012).</w:t>
            </w:r>
            <w:proofErr w:type="gramEnd"/>
            <w:r w:rsidRPr="003D3F7B">
              <w:rPr>
                <w:rFonts w:ascii="Arial Narrow" w:hAnsi="Arial Narrow"/>
                <w:sz w:val="20"/>
              </w:rPr>
              <w:t xml:space="preserve"> </w:t>
            </w:r>
            <w:proofErr w:type="gramStart"/>
            <w:r w:rsidRPr="003D3F7B">
              <w:rPr>
                <w:rFonts w:ascii="Arial Narrow" w:hAnsi="Arial Narrow"/>
                <w:sz w:val="20"/>
              </w:rPr>
              <w:t xml:space="preserve">Prevention of </w:t>
            </w:r>
            <w:proofErr w:type="spellStart"/>
            <w:r w:rsidRPr="003D3F7B">
              <w:rPr>
                <w:rFonts w:ascii="Arial Narrow" w:hAnsi="Arial Narrow"/>
                <w:sz w:val="20"/>
              </w:rPr>
              <w:t>serogroup</w:t>
            </w:r>
            <w:proofErr w:type="spellEnd"/>
            <w:r w:rsidRPr="003D3F7B">
              <w:rPr>
                <w:rFonts w:ascii="Arial Narrow" w:hAnsi="Arial Narrow"/>
                <w:sz w:val="20"/>
              </w:rPr>
              <w:t xml:space="preserve"> B meningococcal disease.</w:t>
            </w:r>
            <w:proofErr w:type="gramEnd"/>
          </w:p>
        </w:tc>
        <w:tc>
          <w:tcPr>
            <w:tcW w:w="1323" w:type="pct"/>
          </w:tcPr>
          <w:p w:rsidR="00002DC3" w:rsidRPr="003D3F7B" w:rsidRDefault="00002DC3" w:rsidP="00D60B44">
            <w:pPr>
              <w:rPr>
                <w:rFonts w:ascii="Arial Narrow" w:hAnsi="Arial Narrow"/>
                <w:sz w:val="20"/>
              </w:rPr>
            </w:pPr>
            <w:r w:rsidRPr="003D3F7B">
              <w:rPr>
                <w:rFonts w:ascii="Arial Narrow" w:hAnsi="Arial Narrow"/>
                <w:sz w:val="20"/>
              </w:rPr>
              <w:t>June 2011</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The Lancet 379(9816): 617-624.</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The Lancet 379(9816): 592-594.</w:t>
            </w:r>
          </w:p>
        </w:tc>
      </w:tr>
      <w:tr w:rsidR="00002DC3" w:rsidRPr="003D3F7B" w:rsidTr="00D60B44">
        <w:tc>
          <w:tcPr>
            <w:tcW w:w="585" w:type="pct"/>
          </w:tcPr>
          <w:p w:rsidR="00002DC3" w:rsidRPr="003D3F7B" w:rsidRDefault="00002DC3" w:rsidP="00D60B44">
            <w:pPr>
              <w:rPr>
                <w:rFonts w:ascii="Arial Narrow" w:hAnsi="Arial Narrow"/>
                <w:sz w:val="20"/>
              </w:rPr>
            </w:pPr>
            <w:r w:rsidRPr="003D3F7B">
              <w:rPr>
                <w:rFonts w:ascii="Arial Narrow" w:hAnsi="Arial Narrow"/>
                <w:sz w:val="20"/>
              </w:rPr>
              <w:t>V72P10E1</w:t>
            </w:r>
          </w:p>
        </w:tc>
        <w:tc>
          <w:tcPr>
            <w:tcW w:w="3092" w:type="pct"/>
          </w:tcPr>
          <w:p w:rsidR="00002DC3" w:rsidRPr="003D3F7B" w:rsidRDefault="00002DC3" w:rsidP="00D60B44">
            <w:pPr>
              <w:rPr>
                <w:rFonts w:ascii="Arial Narrow" w:hAnsi="Arial Narrow"/>
                <w:sz w:val="20"/>
              </w:rPr>
            </w:pPr>
            <w:proofErr w:type="gramStart"/>
            <w:r w:rsidRPr="003D3F7B">
              <w:rPr>
                <w:rFonts w:ascii="Arial Narrow" w:hAnsi="Arial Narrow"/>
                <w:sz w:val="20"/>
              </w:rPr>
              <w:t>A Phase 2b/3, Multi-</w:t>
            </w:r>
            <w:proofErr w:type="spellStart"/>
            <w:r w:rsidRPr="003D3F7B">
              <w:rPr>
                <w:rFonts w:ascii="Arial Narrow" w:hAnsi="Arial Narrow"/>
                <w:sz w:val="20"/>
              </w:rPr>
              <w:t>Center</w:t>
            </w:r>
            <w:proofErr w:type="spellEnd"/>
            <w:r w:rsidRPr="003D3F7B">
              <w:rPr>
                <w:rFonts w:ascii="Arial Narrow" w:hAnsi="Arial Narrow"/>
                <w:sz w:val="20"/>
              </w:rPr>
              <w:t>, Extension Study of V72P10 to Assess Antibody Persistence at Eighteen Months After the Completion of the Vaccination Course in Study V72P10.</w:t>
            </w:r>
            <w:proofErr w:type="gramEnd"/>
            <w:r w:rsidRPr="003D3F7B">
              <w:rPr>
                <w:rFonts w:ascii="Arial Narrow" w:hAnsi="Arial Narrow"/>
                <w:sz w:val="20"/>
              </w:rPr>
              <w:t xml:space="preserve"> October 2012. Clinical Study Report V72P10E1. </w:t>
            </w:r>
            <w:proofErr w:type="gramStart"/>
            <w:r w:rsidRPr="003D3F7B">
              <w:rPr>
                <w:rFonts w:ascii="Arial Narrow" w:hAnsi="Arial Narrow"/>
                <w:sz w:val="20"/>
              </w:rPr>
              <w:t>Novartis Vaccines and Diagnostics.</w:t>
            </w:r>
            <w:proofErr w:type="gramEnd"/>
            <w:r w:rsidRPr="003D3F7B">
              <w:rPr>
                <w:rFonts w:ascii="Arial Narrow" w:hAnsi="Arial Narrow"/>
                <w:sz w:val="20"/>
              </w:rPr>
              <w:t xml:space="preserve"> </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spellStart"/>
            <w:proofErr w:type="gramStart"/>
            <w:r w:rsidRPr="003D3F7B">
              <w:rPr>
                <w:rFonts w:ascii="Arial Narrow" w:hAnsi="Arial Narrow"/>
                <w:sz w:val="20"/>
              </w:rPr>
              <w:lastRenderedPageBreak/>
              <w:t>Santolaya</w:t>
            </w:r>
            <w:proofErr w:type="spellEnd"/>
            <w:r w:rsidRPr="003D3F7B">
              <w:rPr>
                <w:rFonts w:ascii="Arial Narrow" w:hAnsi="Arial Narrow"/>
                <w:sz w:val="20"/>
              </w:rPr>
              <w:t xml:space="preserve"> ME, </w:t>
            </w:r>
            <w:proofErr w:type="spellStart"/>
            <w:r w:rsidRPr="003D3F7B">
              <w:rPr>
                <w:rFonts w:ascii="Arial Narrow" w:hAnsi="Arial Narrow"/>
                <w:sz w:val="20"/>
              </w:rPr>
              <w:t>O’Ryan</w:t>
            </w:r>
            <w:proofErr w:type="spellEnd"/>
            <w:r w:rsidRPr="003D3F7B">
              <w:rPr>
                <w:rFonts w:ascii="Arial Narrow" w:hAnsi="Arial Narrow"/>
                <w:sz w:val="20"/>
              </w:rPr>
              <w:t xml:space="preserve"> MO, Valenzuela MT et al. Persistence of antibodies 18–24 months after adolescent immunization with 1–3 doses of a multicomponent meningococcal </w:t>
            </w:r>
            <w:proofErr w:type="spellStart"/>
            <w:r w:rsidRPr="003D3F7B">
              <w:rPr>
                <w:rFonts w:ascii="Arial Narrow" w:hAnsi="Arial Narrow"/>
                <w:sz w:val="20"/>
              </w:rPr>
              <w:t>serogroup</w:t>
            </w:r>
            <w:proofErr w:type="spellEnd"/>
            <w:r w:rsidRPr="003D3F7B">
              <w:rPr>
                <w:rFonts w:ascii="Arial Narrow" w:hAnsi="Arial Narrow"/>
                <w:sz w:val="20"/>
              </w:rPr>
              <w:t xml:space="preserve"> B vaccine.</w:t>
            </w:r>
            <w:proofErr w:type="gramEnd"/>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spellStart"/>
            <w:r w:rsidRPr="003D3F7B">
              <w:rPr>
                <w:rFonts w:ascii="Arial Narrow" w:hAnsi="Arial Narrow"/>
                <w:sz w:val="20"/>
              </w:rPr>
              <w:t>Santolaya</w:t>
            </w:r>
            <w:proofErr w:type="spellEnd"/>
            <w:r w:rsidRPr="003D3F7B">
              <w:rPr>
                <w:rFonts w:ascii="Arial Narrow" w:hAnsi="Arial Narrow"/>
                <w:sz w:val="20"/>
              </w:rPr>
              <w:t xml:space="preserve"> ME, </w:t>
            </w:r>
            <w:proofErr w:type="spellStart"/>
            <w:r w:rsidRPr="003D3F7B">
              <w:rPr>
                <w:rFonts w:ascii="Arial Narrow" w:hAnsi="Arial Narrow"/>
                <w:sz w:val="20"/>
              </w:rPr>
              <w:t>O’Ryan</w:t>
            </w:r>
            <w:proofErr w:type="spellEnd"/>
            <w:r w:rsidRPr="003D3F7B">
              <w:rPr>
                <w:rFonts w:ascii="Arial Narrow" w:hAnsi="Arial Narrow"/>
                <w:sz w:val="20"/>
              </w:rPr>
              <w:t xml:space="preserve"> M, Dull, P. et. </w:t>
            </w:r>
            <w:proofErr w:type="gramStart"/>
            <w:r w:rsidRPr="003D3F7B">
              <w:rPr>
                <w:rFonts w:ascii="Arial Narrow" w:hAnsi="Arial Narrow"/>
                <w:sz w:val="20"/>
              </w:rPr>
              <w:t>al</w:t>
            </w:r>
            <w:proofErr w:type="gramEnd"/>
            <w:r w:rsidRPr="003D3F7B">
              <w:rPr>
                <w:rFonts w:ascii="Arial Narrow" w:hAnsi="Arial Narrow"/>
                <w:sz w:val="20"/>
              </w:rPr>
              <w:t xml:space="preserve">. Persistence of antibodies in adolescents 18−24 </w:t>
            </w:r>
            <w:proofErr w:type="spellStart"/>
            <w:r w:rsidRPr="003D3F7B">
              <w:rPr>
                <w:rFonts w:ascii="Arial Narrow" w:hAnsi="Arial Narrow"/>
                <w:sz w:val="20"/>
              </w:rPr>
              <w:t>mo</w:t>
            </w:r>
            <w:proofErr w:type="spellEnd"/>
            <w:r w:rsidRPr="003D3F7B">
              <w:rPr>
                <w:rFonts w:ascii="Arial Narrow" w:hAnsi="Arial Narrow"/>
                <w:sz w:val="20"/>
              </w:rPr>
              <w:t xml:space="preserve"> after immunization with one, two or three doses of 4CMenB meningococcal </w:t>
            </w:r>
            <w:proofErr w:type="spellStart"/>
            <w:r w:rsidRPr="003D3F7B">
              <w:rPr>
                <w:rFonts w:ascii="Arial Narrow" w:hAnsi="Arial Narrow"/>
                <w:sz w:val="20"/>
              </w:rPr>
              <w:t>serogroup</w:t>
            </w:r>
            <w:proofErr w:type="spellEnd"/>
            <w:r w:rsidRPr="003D3F7B">
              <w:rPr>
                <w:rFonts w:ascii="Arial Narrow" w:hAnsi="Arial Narrow"/>
                <w:sz w:val="20"/>
              </w:rPr>
              <w:t xml:space="preserve"> B vaccine.</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spellStart"/>
            <w:r w:rsidRPr="003D3F7B">
              <w:rPr>
                <w:rFonts w:ascii="Arial Narrow" w:hAnsi="Arial Narrow"/>
                <w:sz w:val="20"/>
              </w:rPr>
              <w:t>Santolaya</w:t>
            </w:r>
            <w:proofErr w:type="spellEnd"/>
            <w:r w:rsidRPr="003D3F7B">
              <w:rPr>
                <w:rFonts w:ascii="Arial Narrow" w:hAnsi="Arial Narrow"/>
                <w:sz w:val="20"/>
              </w:rPr>
              <w:t xml:space="preserve">, M. E., </w:t>
            </w:r>
            <w:proofErr w:type="spellStart"/>
            <w:r w:rsidRPr="003D3F7B">
              <w:rPr>
                <w:rFonts w:ascii="Arial Narrow" w:hAnsi="Arial Narrow"/>
                <w:sz w:val="20"/>
              </w:rPr>
              <w:t>O'Ryan</w:t>
            </w:r>
            <w:proofErr w:type="spellEnd"/>
            <w:r w:rsidRPr="003D3F7B">
              <w:rPr>
                <w:rFonts w:ascii="Arial Narrow" w:hAnsi="Arial Narrow"/>
                <w:sz w:val="20"/>
              </w:rPr>
              <w:t xml:space="preserve">, M. L., et al. (2013). "Persistence of antibodies in adolescents 18-24 months after immunization with one, two, or three doses of 4CMenB meningococcal </w:t>
            </w:r>
            <w:proofErr w:type="spellStart"/>
            <w:r w:rsidRPr="003D3F7B">
              <w:rPr>
                <w:rFonts w:ascii="Arial Narrow" w:hAnsi="Arial Narrow"/>
                <w:sz w:val="20"/>
              </w:rPr>
              <w:t>serogroup</w:t>
            </w:r>
            <w:proofErr w:type="spellEnd"/>
            <w:r w:rsidRPr="003D3F7B">
              <w:rPr>
                <w:rFonts w:ascii="Arial Narrow" w:hAnsi="Arial Narrow"/>
                <w:sz w:val="20"/>
              </w:rPr>
              <w:t xml:space="preserve"> B vaccine."</w:t>
            </w:r>
          </w:p>
        </w:tc>
        <w:tc>
          <w:tcPr>
            <w:tcW w:w="1323" w:type="pct"/>
          </w:tcPr>
          <w:p w:rsidR="00002DC3" w:rsidRPr="003D3F7B" w:rsidRDefault="00002DC3" w:rsidP="00D60B44">
            <w:pPr>
              <w:rPr>
                <w:rFonts w:ascii="Arial Narrow" w:hAnsi="Arial Narrow"/>
                <w:sz w:val="20"/>
              </w:rPr>
            </w:pPr>
            <w:r w:rsidRPr="003D3F7B">
              <w:rPr>
                <w:rFonts w:ascii="Arial Narrow" w:hAnsi="Arial Narrow"/>
                <w:sz w:val="20"/>
              </w:rPr>
              <w:lastRenderedPageBreak/>
              <w:t>October 2012</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lastRenderedPageBreak/>
              <w:t>Poster presented at 31st ESPID Meeting, May 28-June 1 2013, Milan, Italy.</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gramStart"/>
            <w:r w:rsidRPr="003D3F7B">
              <w:rPr>
                <w:rFonts w:ascii="Arial Narrow" w:hAnsi="Arial Narrow"/>
                <w:sz w:val="20"/>
              </w:rPr>
              <w:t xml:space="preserve">Human Vaccines &amp; </w:t>
            </w:r>
            <w:proofErr w:type="spellStart"/>
            <w:r w:rsidRPr="003D3F7B">
              <w:rPr>
                <w:rFonts w:ascii="Arial Narrow" w:hAnsi="Arial Narrow"/>
                <w:sz w:val="20"/>
              </w:rPr>
              <w:t>Immuno</w:t>
            </w:r>
            <w:proofErr w:type="spellEnd"/>
            <w:r w:rsidRPr="003D3F7B">
              <w:rPr>
                <w:rFonts w:ascii="Arial Narrow" w:hAnsi="Arial Narrow"/>
                <w:sz w:val="20"/>
              </w:rPr>
              <w:t>.</w:t>
            </w:r>
            <w:proofErr w:type="gramEnd"/>
            <w:r w:rsidRPr="003D3F7B">
              <w:rPr>
                <w:rFonts w:ascii="Arial Narrow" w:hAnsi="Arial Narrow"/>
                <w:sz w:val="20"/>
              </w:rPr>
              <w:t xml:space="preserve"> </w:t>
            </w:r>
            <w:proofErr w:type="spellStart"/>
            <w:r w:rsidRPr="003D3F7B">
              <w:rPr>
                <w:rFonts w:ascii="Arial Narrow" w:hAnsi="Arial Narrow"/>
                <w:sz w:val="20"/>
              </w:rPr>
              <w:t>Vol</w:t>
            </w:r>
            <w:proofErr w:type="spellEnd"/>
            <w:r w:rsidRPr="003D3F7B">
              <w:rPr>
                <w:rFonts w:ascii="Arial Narrow" w:hAnsi="Arial Narrow"/>
                <w:sz w:val="20"/>
              </w:rPr>
              <w:t xml:space="preserve"> 9 Issue 11 June 2013 (e-pub ahead of print) </w:t>
            </w:r>
          </w:p>
          <w:p w:rsidR="00002DC3" w:rsidRPr="003D3F7B" w:rsidRDefault="00002DC3" w:rsidP="00D60B44">
            <w:pPr>
              <w:rPr>
                <w:rFonts w:ascii="Arial Narrow" w:hAnsi="Arial Narrow"/>
                <w:sz w:val="20"/>
              </w:rPr>
            </w:pPr>
            <w:r w:rsidRPr="00191B3F">
              <w:rPr>
                <w:rFonts w:ascii="Arial Narrow" w:hAnsi="Arial Narrow"/>
                <w:sz w:val="20"/>
              </w:rPr>
              <w:t>http://www.landesbioscience.com/journals/vaccines/article/25505/</w:t>
            </w:r>
            <w:r w:rsidRPr="003D3F7B">
              <w:rPr>
                <w:rFonts w:ascii="Arial Narrow" w:hAnsi="Arial Narrow"/>
                <w:sz w:val="20"/>
              </w:rPr>
              <w:t xml:space="preserve"> </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r w:rsidRPr="003D3F7B">
              <w:rPr>
                <w:rFonts w:ascii="Arial Narrow" w:hAnsi="Arial Narrow"/>
                <w:sz w:val="20"/>
              </w:rPr>
              <w:t xml:space="preserve">Human Vaccines and </w:t>
            </w:r>
            <w:proofErr w:type="spellStart"/>
            <w:r w:rsidRPr="003D3F7B">
              <w:rPr>
                <w:rFonts w:ascii="Arial Narrow" w:hAnsi="Arial Narrow"/>
                <w:sz w:val="20"/>
              </w:rPr>
              <w:t>Immunotherapeutics</w:t>
            </w:r>
            <w:proofErr w:type="spellEnd"/>
            <w:r w:rsidRPr="003D3F7B">
              <w:rPr>
                <w:rFonts w:ascii="Arial Narrow" w:hAnsi="Arial Narrow"/>
                <w:sz w:val="20"/>
              </w:rPr>
              <w:t xml:space="preserve"> 9(11): 2304-2310.</w:t>
            </w:r>
          </w:p>
        </w:tc>
      </w:tr>
      <w:tr w:rsidR="00002DC3" w:rsidRPr="003D3F7B" w:rsidTr="00D60B44">
        <w:tc>
          <w:tcPr>
            <w:tcW w:w="5000" w:type="pct"/>
            <w:gridSpan w:val="3"/>
          </w:tcPr>
          <w:p w:rsidR="00002DC3" w:rsidRPr="003D3F7B" w:rsidRDefault="00002DC3" w:rsidP="00D60B44">
            <w:pPr>
              <w:rPr>
                <w:rFonts w:ascii="Arial Narrow" w:hAnsi="Arial Narrow"/>
                <w:b/>
                <w:sz w:val="20"/>
              </w:rPr>
            </w:pPr>
            <w:r w:rsidRPr="003D3F7B">
              <w:rPr>
                <w:rFonts w:ascii="Arial Narrow" w:hAnsi="Arial Narrow"/>
                <w:b/>
                <w:sz w:val="20"/>
              </w:rPr>
              <w:lastRenderedPageBreak/>
              <w:t>Nasopharyngeal carriage study presented in Section C</w:t>
            </w:r>
          </w:p>
        </w:tc>
      </w:tr>
      <w:tr w:rsidR="00002DC3" w:rsidRPr="003D3F7B" w:rsidTr="00D60B44">
        <w:tc>
          <w:tcPr>
            <w:tcW w:w="585" w:type="pct"/>
          </w:tcPr>
          <w:p w:rsidR="00002DC3" w:rsidRPr="003D3F7B" w:rsidRDefault="00002DC3" w:rsidP="00D60B44">
            <w:pPr>
              <w:rPr>
                <w:rFonts w:ascii="Arial Narrow" w:hAnsi="Arial Narrow"/>
                <w:sz w:val="20"/>
              </w:rPr>
            </w:pPr>
            <w:r w:rsidRPr="003D3F7B">
              <w:rPr>
                <w:rFonts w:ascii="Arial Narrow" w:hAnsi="Arial Narrow"/>
                <w:sz w:val="20"/>
              </w:rPr>
              <w:t>V72_29</w:t>
            </w:r>
          </w:p>
        </w:tc>
        <w:tc>
          <w:tcPr>
            <w:tcW w:w="3092" w:type="pct"/>
          </w:tcPr>
          <w:p w:rsidR="00002DC3" w:rsidRPr="003D3F7B" w:rsidRDefault="00002DC3" w:rsidP="00D60B44">
            <w:pPr>
              <w:rPr>
                <w:rFonts w:ascii="Arial Narrow" w:hAnsi="Arial Narrow"/>
                <w:sz w:val="20"/>
              </w:rPr>
            </w:pPr>
            <w:r w:rsidRPr="003D3F7B">
              <w:rPr>
                <w:rFonts w:ascii="Arial Narrow" w:hAnsi="Arial Narrow"/>
                <w:sz w:val="20"/>
              </w:rPr>
              <w:t>A Phase 3 Observer blind Randomized, Multi-</w:t>
            </w:r>
            <w:proofErr w:type="spellStart"/>
            <w:r w:rsidRPr="003D3F7B">
              <w:rPr>
                <w:rFonts w:ascii="Arial Narrow" w:hAnsi="Arial Narrow"/>
                <w:sz w:val="20"/>
              </w:rPr>
              <w:t>center</w:t>
            </w:r>
            <w:proofErr w:type="spellEnd"/>
            <w:r w:rsidRPr="003D3F7B">
              <w:rPr>
                <w:rFonts w:ascii="Arial Narrow" w:hAnsi="Arial Narrow"/>
                <w:sz w:val="20"/>
              </w:rPr>
              <w:t xml:space="preserve">, Controlled study to evaluate the effect of Novartis Vaccine’s Meningococcal B recombinant and </w:t>
            </w:r>
            <w:proofErr w:type="spellStart"/>
            <w:r w:rsidRPr="003D3F7B">
              <w:rPr>
                <w:rFonts w:ascii="Arial Narrow" w:hAnsi="Arial Narrow"/>
                <w:sz w:val="20"/>
              </w:rPr>
              <w:t>MenACWY</w:t>
            </w:r>
            <w:proofErr w:type="spellEnd"/>
            <w:r w:rsidRPr="003D3F7B">
              <w:rPr>
                <w:rFonts w:ascii="Arial Narrow" w:hAnsi="Arial Narrow"/>
                <w:sz w:val="20"/>
              </w:rPr>
              <w:t xml:space="preserve"> Conjugate vaccines on Pharyngeal Carriage of N. </w:t>
            </w:r>
            <w:proofErr w:type="spellStart"/>
            <w:r w:rsidRPr="003D3F7B">
              <w:rPr>
                <w:rFonts w:ascii="Arial Narrow" w:hAnsi="Arial Narrow"/>
                <w:sz w:val="20"/>
              </w:rPr>
              <w:t>meningitidis</w:t>
            </w:r>
            <w:proofErr w:type="spellEnd"/>
            <w:r w:rsidRPr="003D3F7B">
              <w:rPr>
                <w:rFonts w:ascii="Arial Narrow" w:hAnsi="Arial Narrow"/>
                <w:sz w:val="20"/>
              </w:rPr>
              <w:t xml:space="preserve"> in Young Adults. Clinical Study Report V72_29. </w:t>
            </w:r>
            <w:proofErr w:type="gramStart"/>
            <w:r w:rsidRPr="003D3F7B">
              <w:rPr>
                <w:rFonts w:ascii="Arial Narrow" w:hAnsi="Arial Narrow"/>
                <w:sz w:val="20"/>
              </w:rPr>
              <w:t>Novartis Vaccines and Diagnostics.</w:t>
            </w:r>
            <w:proofErr w:type="gramEnd"/>
          </w:p>
          <w:p w:rsidR="00002DC3" w:rsidRPr="003D3F7B" w:rsidRDefault="00002DC3" w:rsidP="00D60B44">
            <w:pPr>
              <w:rPr>
                <w:rFonts w:ascii="Arial Narrow" w:hAnsi="Arial Narrow"/>
                <w:sz w:val="20"/>
              </w:rPr>
            </w:pPr>
          </w:p>
          <w:p w:rsidR="00002DC3" w:rsidRPr="003D3F7B" w:rsidRDefault="00002DC3" w:rsidP="00D60B44">
            <w:pPr>
              <w:autoSpaceDE w:val="0"/>
              <w:autoSpaceDN w:val="0"/>
              <w:adjustRightInd w:val="0"/>
              <w:rPr>
                <w:rFonts w:ascii="Arial Narrow" w:hAnsi="Arial Narrow"/>
                <w:sz w:val="20"/>
              </w:rPr>
            </w:pPr>
            <w:r w:rsidRPr="003D3F7B">
              <w:rPr>
                <w:rFonts w:ascii="Arial Narrow" w:hAnsi="Arial Narrow"/>
                <w:sz w:val="20"/>
              </w:rPr>
              <w:t xml:space="preserve">Read, RC. Baxter, D. Chadwick, DR. et al (2013) Impact of a </w:t>
            </w:r>
            <w:proofErr w:type="spellStart"/>
            <w:r w:rsidRPr="003D3F7B">
              <w:rPr>
                <w:rFonts w:ascii="Arial Narrow" w:hAnsi="Arial Narrow"/>
                <w:sz w:val="20"/>
              </w:rPr>
              <w:t>quadrivalent</w:t>
            </w:r>
            <w:proofErr w:type="spellEnd"/>
            <w:r w:rsidRPr="003D3F7B">
              <w:rPr>
                <w:rFonts w:ascii="Arial Narrow" w:hAnsi="Arial Narrow"/>
                <w:sz w:val="20"/>
              </w:rPr>
              <w:t xml:space="preserve"> conjugate (</w:t>
            </w:r>
            <w:proofErr w:type="spellStart"/>
            <w:r w:rsidRPr="003D3F7B">
              <w:rPr>
                <w:rFonts w:ascii="Arial Narrow" w:hAnsi="Arial Narrow"/>
                <w:sz w:val="20"/>
              </w:rPr>
              <w:t>MenACWY</w:t>
            </w:r>
            <w:proofErr w:type="spellEnd"/>
            <w:r w:rsidRPr="003D3F7B">
              <w:rPr>
                <w:rFonts w:ascii="Arial Narrow" w:hAnsi="Arial Narrow"/>
                <w:sz w:val="20"/>
              </w:rPr>
              <w:t xml:space="preserve">-CRM) or a </w:t>
            </w:r>
            <w:proofErr w:type="spellStart"/>
            <w:r w:rsidRPr="003D3F7B">
              <w:rPr>
                <w:rFonts w:ascii="Arial Narrow" w:hAnsi="Arial Narrow"/>
                <w:sz w:val="20"/>
              </w:rPr>
              <w:t>serogroup</w:t>
            </w:r>
            <w:proofErr w:type="spellEnd"/>
            <w:r w:rsidRPr="003D3F7B">
              <w:rPr>
                <w:rFonts w:ascii="Arial Narrow" w:hAnsi="Arial Narrow"/>
                <w:sz w:val="20"/>
              </w:rPr>
              <w:t xml:space="preserve"> B (4CMenB) meningococcal vaccine on meningococcal carriage in English university students</w:t>
            </w:r>
          </w:p>
        </w:tc>
        <w:tc>
          <w:tcPr>
            <w:tcW w:w="1323" w:type="pct"/>
          </w:tcPr>
          <w:p w:rsidR="00002DC3" w:rsidRPr="003D3F7B" w:rsidRDefault="00002DC3" w:rsidP="00D60B44">
            <w:pPr>
              <w:rPr>
                <w:rFonts w:ascii="Arial Narrow" w:hAnsi="Arial Narrow"/>
                <w:sz w:val="20"/>
              </w:rPr>
            </w:pPr>
            <w:r w:rsidRPr="003D3F7B">
              <w:rPr>
                <w:rFonts w:ascii="Arial Narrow" w:hAnsi="Arial Narrow"/>
                <w:sz w:val="20"/>
              </w:rPr>
              <w:t>July 2013</w:t>
            </w: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
          <w:p w:rsidR="00002DC3" w:rsidRPr="003D3F7B" w:rsidRDefault="00002DC3" w:rsidP="00D60B44">
            <w:pPr>
              <w:rPr>
                <w:rFonts w:ascii="Arial Narrow" w:hAnsi="Arial Narrow"/>
                <w:sz w:val="20"/>
              </w:rPr>
            </w:pPr>
            <w:proofErr w:type="gramStart"/>
            <w:r w:rsidRPr="003D3F7B">
              <w:rPr>
                <w:rFonts w:ascii="Arial Narrow" w:hAnsi="Arial Narrow"/>
                <w:sz w:val="20"/>
              </w:rPr>
              <w:t>Presented at 31st ESPID Meeting, May 28-June 1 2013, Milan, Italy.</w:t>
            </w:r>
            <w:proofErr w:type="gramEnd"/>
          </w:p>
        </w:tc>
      </w:tr>
    </w:tbl>
    <w:p w:rsidR="00002DC3" w:rsidRPr="005D41E0" w:rsidRDefault="00002DC3" w:rsidP="00002DC3">
      <w:pPr>
        <w:ind w:left="709"/>
        <w:jc w:val="both"/>
        <w:rPr>
          <w:rFonts w:ascii="Arial Narrow" w:hAnsi="Arial Narrow"/>
          <w:sz w:val="18"/>
          <w:szCs w:val="18"/>
        </w:rPr>
      </w:pPr>
      <w:proofErr w:type="gramStart"/>
      <w:r w:rsidRPr="005D41E0">
        <w:rPr>
          <w:rFonts w:ascii="Arial Narrow" w:hAnsi="Arial Narrow"/>
          <w:sz w:val="18"/>
          <w:szCs w:val="18"/>
        </w:rPr>
        <w:t>Source: Table B.2.3 of the commentary.</w:t>
      </w:r>
      <w:proofErr w:type="gramEnd"/>
    </w:p>
    <w:p w:rsidR="00002DC3" w:rsidRPr="00882085" w:rsidRDefault="00002DC3" w:rsidP="00002DC3">
      <w:pPr>
        <w:jc w:val="both"/>
        <w:rPr>
          <w:rFonts w:ascii="Arial" w:hAnsi="Arial"/>
          <w:sz w:val="22"/>
          <w:szCs w:val="22"/>
        </w:rPr>
      </w:pPr>
    </w:p>
    <w:p w:rsidR="00002DC3" w:rsidRPr="00882085" w:rsidRDefault="00002DC3" w:rsidP="00002DC3">
      <w:pPr>
        <w:jc w:val="both"/>
        <w:rPr>
          <w:rFonts w:ascii="Arial" w:hAnsi="Arial"/>
          <w:b/>
          <w:i/>
          <w:sz w:val="22"/>
          <w:szCs w:val="22"/>
        </w:rPr>
      </w:pPr>
      <w:r w:rsidRPr="00882085">
        <w:rPr>
          <w:rFonts w:ascii="Arial" w:hAnsi="Arial"/>
          <w:b/>
          <w:i/>
          <w:sz w:val="22"/>
          <w:szCs w:val="22"/>
        </w:rPr>
        <w:t>Comparative effectiveness</w:t>
      </w:r>
    </w:p>
    <w:p w:rsidR="00002DC3" w:rsidRPr="00882085" w:rsidRDefault="00002DC3" w:rsidP="00002DC3">
      <w:pPr>
        <w:jc w:val="both"/>
        <w:rPr>
          <w:rFonts w:ascii="Arial" w:hAnsi="Arial"/>
          <w:sz w:val="22"/>
          <w:szCs w:val="22"/>
        </w:rPr>
      </w:pPr>
    </w:p>
    <w:p w:rsidR="00002DC3" w:rsidRDefault="00002DC3" w:rsidP="00002DC3">
      <w:pPr>
        <w:pStyle w:val="ListParagraph"/>
        <w:numPr>
          <w:ilvl w:val="1"/>
          <w:numId w:val="1"/>
        </w:numPr>
        <w:jc w:val="both"/>
        <w:rPr>
          <w:rFonts w:ascii="Arial" w:hAnsi="Arial"/>
          <w:sz w:val="22"/>
          <w:szCs w:val="22"/>
        </w:rPr>
      </w:pPr>
      <w:r>
        <w:rPr>
          <w:rFonts w:ascii="Arial" w:hAnsi="Arial"/>
          <w:sz w:val="22"/>
          <w:szCs w:val="22"/>
        </w:rPr>
        <w:t>The estimates of comparative benefit we</w:t>
      </w:r>
      <w:r w:rsidRPr="00170619">
        <w:rPr>
          <w:rFonts w:ascii="Arial" w:hAnsi="Arial"/>
          <w:sz w:val="22"/>
          <w:szCs w:val="22"/>
        </w:rPr>
        <w:t>re unchanged from the previous submission.</w:t>
      </w:r>
      <w:r>
        <w:rPr>
          <w:rFonts w:ascii="Arial" w:hAnsi="Arial"/>
          <w:sz w:val="22"/>
          <w:szCs w:val="22"/>
        </w:rPr>
        <w:t xml:space="preserve"> The resubmission also presented</w:t>
      </w:r>
      <w:r w:rsidRPr="00170619">
        <w:rPr>
          <w:rFonts w:ascii="Arial" w:hAnsi="Arial"/>
          <w:sz w:val="22"/>
          <w:szCs w:val="22"/>
        </w:rPr>
        <w:t xml:space="preserve"> an ad-hoc sub-group analysis of Studies V72P12 and V72P13 to explore the impact of concomitant administration of a rotavirus vaccine with 4CMenB</w:t>
      </w:r>
      <w:r>
        <w:rPr>
          <w:rFonts w:ascii="Arial" w:hAnsi="Arial"/>
          <w:sz w:val="22"/>
          <w:szCs w:val="22"/>
        </w:rPr>
        <w:t>.</w:t>
      </w:r>
    </w:p>
    <w:p w:rsidR="00002DC3" w:rsidRPr="003A6A9B" w:rsidRDefault="00002DC3" w:rsidP="00002DC3">
      <w:pPr>
        <w:jc w:val="both"/>
        <w:rPr>
          <w:rFonts w:ascii="Arial" w:hAnsi="Arial"/>
          <w:sz w:val="22"/>
          <w:szCs w:val="22"/>
        </w:rPr>
      </w:pPr>
    </w:p>
    <w:p w:rsidR="00002DC3" w:rsidRPr="003A6A9B" w:rsidRDefault="00002DC3" w:rsidP="00002DC3">
      <w:pPr>
        <w:pStyle w:val="ListParagraph"/>
        <w:numPr>
          <w:ilvl w:val="1"/>
          <w:numId w:val="1"/>
        </w:numPr>
        <w:jc w:val="both"/>
        <w:rPr>
          <w:rFonts w:ascii="Arial" w:hAnsi="Arial" w:cs="Arial"/>
          <w:sz w:val="20"/>
          <w:szCs w:val="22"/>
        </w:rPr>
      </w:pPr>
      <w:r w:rsidRPr="002C25ED">
        <w:rPr>
          <w:rFonts w:ascii="Arial" w:hAnsi="Arial" w:cs="Arial"/>
          <w:sz w:val="22"/>
        </w:rPr>
        <w:t xml:space="preserve">The ESC considered that the additional data provided reassurance that rotavirus vaccination is unlikely to </w:t>
      </w:r>
      <w:proofErr w:type="gramStart"/>
      <w:r w:rsidRPr="002C25ED">
        <w:rPr>
          <w:rFonts w:ascii="Arial" w:hAnsi="Arial" w:cs="Arial"/>
          <w:sz w:val="22"/>
        </w:rPr>
        <w:t>impact</w:t>
      </w:r>
      <w:proofErr w:type="gramEnd"/>
      <w:r w:rsidRPr="002C25ED">
        <w:rPr>
          <w:rFonts w:ascii="Arial" w:hAnsi="Arial" w:cs="Arial"/>
          <w:sz w:val="22"/>
        </w:rPr>
        <w:t xml:space="preserve"> on 4C</w:t>
      </w:r>
      <w:r w:rsidRPr="003A6A9B">
        <w:rPr>
          <w:rFonts w:ascii="Arial" w:hAnsi="Arial" w:cs="Arial"/>
          <w:sz w:val="22"/>
        </w:rPr>
        <w:t>MenB efficacy and vice versa.</w:t>
      </w:r>
    </w:p>
    <w:p w:rsidR="00002DC3" w:rsidRPr="003A6A9B" w:rsidRDefault="00002DC3" w:rsidP="00002DC3">
      <w:pPr>
        <w:pStyle w:val="ListParagraph"/>
        <w:ind w:left="709" w:hanging="709"/>
        <w:jc w:val="both"/>
        <w:rPr>
          <w:rFonts w:ascii="Arial" w:hAnsi="Arial"/>
          <w:sz w:val="22"/>
          <w:szCs w:val="22"/>
        </w:rPr>
      </w:pPr>
    </w:p>
    <w:p w:rsidR="00002DC3" w:rsidRPr="009A0340" w:rsidRDefault="00002DC3" w:rsidP="00002DC3">
      <w:pPr>
        <w:pStyle w:val="ListParagraph"/>
        <w:numPr>
          <w:ilvl w:val="1"/>
          <w:numId w:val="1"/>
        </w:numPr>
        <w:jc w:val="both"/>
        <w:rPr>
          <w:rFonts w:ascii="Arial" w:hAnsi="Arial"/>
          <w:sz w:val="22"/>
          <w:szCs w:val="22"/>
        </w:rPr>
      </w:pPr>
      <w:r w:rsidRPr="009A0340">
        <w:rPr>
          <w:rFonts w:ascii="Arial" w:hAnsi="Arial"/>
          <w:sz w:val="22"/>
          <w:szCs w:val="22"/>
        </w:rPr>
        <w:t xml:space="preserve">In </w:t>
      </w:r>
      <w:r w:rsidRPr="009A0340">
        <w:rPr>
          <w:rFonts w:ascii="Arial" w:hAnsi="Arial" w:cs="Arial"/>
          <w:sz w:val="22"/>
        </w:rPr>
        <w:t>November</w:t>
      </w:r>
      <w:r w:rsidRPr="009A0340">
        <w:rPr>
          <w:rFonts w:ascii="Arial" w:hAnsi="Arial"/>
          <w:sz w:val="22"/>
          <w:szCs w:val="22"/>
        </w:rPr>
        <w:t xml:space="preserve"> 2013, the PBAC accepted that </w:t>
      </w:r>
      <w:proofErr w:type="spellStart"/>
      <w:r w:rsidRPr="009A0340">
        <w:rPr>
          <w:rFonts w:ascii="Arial" w:hAnsi="Arial"/>
          <w:sz w:val="22"/>
          <w:szCs w:val="22"/>
        </w:rPr>
        <w:t>hSBA</w:t>
      </w:r>
      <w:proofErr w:type="spellEnd"/>
      <w:r w:rsidRPr="009A0340">
        <w:rPr>
          <w:rFonts w:ascii="Arial" w:hAnsi="Arial"/>
          <w:sz w:val="22"/>
          <w:szCs w:val="22"/>
        </w:rPr>
        <w:t xml:space="preserve"> titre threshold of ≥1:</w:t>
      </w:r>
      <w:proofErr w:type="gramStart"/>
      <w:r w:rsidRPr="009A0340">
        <w:rPr>
          <w:rFonts w:ascii="Arial" w:hAnsi="Arial"/>
          <w:sz w:val="22"/>
          <w:szCs w:val="22"/>
        </w:rPr>
        <w:t>4</w:t>
      </w:r>
      <w:proofErr w:type="gramEnd"/>
      <w:r w:rsidRPr="009A0340">
        <w:rPr>
          <w:rFonts w:ascii="Arial" w:hAnsi="Arial"/>
          <w:sz w:val="22"/>
          <w:szCs w:val="22"/>
        </w:rPr>
        <w:t xml:space="preserve"> is historically a ‘gold standard’ surrogate marker of vaccine efficacy, and this titre was accepted in the consideration of the combination vaccine for </w:t>
      </w:r>
      <w:proofErr w:type="spellStart"/>
      <w:r w:rsidRPr="00123572">
        <w:rPr>
          <w:rFonts w:ascii="Arial" w:hAnsi="Arial"/>
          <w:i/>
          <w:sz w:val="22"/>
          <w:szCs w:val="22"/>
        </w:rPr>
        <w:t>Haemophilus</w:t>
      </w:r>
      <w:proofErr w:type="spellEnd"/>
      <w:r w:rsidRPr="00123572">
        <w:rPr>
          <w:rFonts w:ascii="Arial" w:hAnsi="Arial"/>
          <w:i/>
          <w:sz w:val="22"/>
          <w:szCs w:val="22"/>
        </w:rPr>
        <w:t xml:space="preserve"> </w:t>
      </w:r>
      <w:proofErr w:type="spellStart"/>
      <w:r w:rsidRPr="00123572">
        <w:rPr>
          <w:rFonts w:ascii="Arial" w:hAnsi="Arial"/>
          <w:i/>
          <w:sz w:val="22"/>
          <w:szCs w:val="22"/>
        </w:rPr>
        <w:t>influenzae</w:t>
      </w:r>
      <w:proofErr w:type="spellEnd"/>
      <w:r w:rsidRPr="009A0340">
        <w:rPr>
          <w:rFonts w:ascii="Arial" w:hAnsi="Arial"/>
          <w:sz w:val="22"/>
          <w:szCs w:val="22"/>
        </w:rPr>
        <w:t xml:space="preserve"> and </w:t>
      </w:r>
      <w:r w:rsidRPr="00123572">
        <w:rPr>
          <w:rFonts w:ascii="Arial" w:hAnsi="Arial"/>
          <w:i/>
          <w:sz w:val="22"/>
          <w:szCs w:val="22"/>
        </w:rPr>
        <w:t xml:space="preserve">Neisseria meningitis </w:t>
      </w:r>
      <w:proofErr w:type="spellStart"/>
      <w:r w:rsidRPr="00123572">
        <w:rPr>
          <w:rFonts w:ascii="Arial" w:hAnsi="Arial"/>
          <w:i/>
          <w:sz w:val="22"/>
          <w:szCs w:val="22"/>
        </w:rPr>
        <w:t>serogroup</w:t>
      </w:r>
      <w:proofErr w:type="spellEnd"/>
      <w:r w:rsidRPr="00123572">
        <w:rPr>
          <w:rFonts w:ascii="Arial" w:hAnsi="Arial"/>
          <w:i/>
          <w:sz w:val="22"/>
          <w:szCs w:val="22"/>
        </w:rPr>
        <w:t xml:space="preserve"> C</w:t>
      </w:r>
      <w:r w:rsidRPr="009A0340">
        <w:rPr>
          <w:rFonts w:ascii="Arial" w:hAnsi="Arial"/>
          <w:sz w:val="22"/>
          <w:szCs w:val="22"/>
        </w:rPr>
        <w:t xml:space="preserve">. The PBAC noted that the threshold titre value was determined based on the polysaccharide capsule, not bacterial proteins, as used in the 4CMenB, and considered that the validity of this surrogate outcome and threshold titre of adequate protection had not been addressed in relation to the structure of the components of the proposed vaccine. The PBAC accepted that the data showed a clear immunogenic effect of the vaccine, but considered that </w:t>
      </w:r>
      <w:proofErr w:type="gramStart"/>
      <w:r>
        <w:rPr>
          <w:rFonts w:ascii="Arial" w:hAnsi="Arial"/>
          <w:sz w:val="22"/>
          <w:szCs w:val="22"/>
        </w:rPr>
        <w:t xml:space="preserve">the </w:t>
      </w:r>
      <w:r w:rsidRPr="009A0340">
        <w:rPr>
          <w:rFonts w:ascii="Arial" w:hAnsi="Arial"/>
          <w:sz w:val="22"/>
          <w:szCs w:val="22"/>
        </w:rPr>
        <w:t xml:space="preserve"> long</w:t>
      </w:r>
      <w:proofErr w:type="gramEnd"/>
      <w:r w:rsidRPr="009A0340">
        <w:rPr>
          <w:rFonts w:ascii="Arial" w:hAnsi="Arial"/>
          <w:sz w:val="22"/>
          <w:szCs w:val="22"/>
        </w:rPr>
        <w:t xml:space="preserve">-term persistence of a protective immune response had not been adequately supported. In the trials involving the vaccination of infants, antibody titres waned quickly and at different rates, particularly titres against </w:t>
      </w:r>
      <w:proofErr w:type="spellStart"/>
      <w:r w:rsidRPr="009A0340">
        <w:rPr>
          <w:rFonts w:ascii="Arial" w:hAnsi="Arial"/>
          <w:sz w:val="22"/>
          <w:szCs w:val="22"/>
        </w:rPr>
        <w:t>PorA</w:t>
      </w:r>
      <w:proofErr w:type="spellEnd"/>
      <w:r w:rsidRPr="009A0340">
        <w:rPr>
          <w:rFonts w:ascii="Arial" w:hAnsi="Arial"/>
          <w:sz w:val="22"/>
          <w:szCs w:val="22"/>
        </w:rPr>
        <w:t xml:space="preserve"> P1.4 and Neisseria heparin binding antigen (NHBA). The PBAC considered that ability of the vaccine to generate a protective herd immune response at a population level </w:t>
      </w:r>
      <w:proofErr w:type="gramStart"/>
      <w:r w:rsidRPr="009A0340">
        <w:rPr>
          <w:rFonts w:ascii="Arial" w:hAnsi="Arial"/>
          <w:sz w:val="22"/>
          <w:szCs w:val="22"/>
        </w:rPr>
        <w:t>had not been demonstrated</w:t>
      </w:r>
      <w:proofErr w:type="gramEnd"/>
      <w:r w:rsidRPr="009A0340">
        <w:rPr>
          <w:rFonts w:ascii="Arial" w:hAnsi="Arial"/>
          <w:sz w:val="22"/>
          <w:szCs w:val="22"/>
        </w:rPr>
        <w:t xml:space="preserve">. </w:t>
      </w:r>
    </w:p>
    <w:p w:rsidR="00002DC3" w:rsidRPr="009A0340" w:rsidRDefault="00002DC3" w:rsidP="00002DC3">
      <w:pPr>
        <w:jc w:val="both"/>
        <w:rPr>
          <w:rFonts w:ascii="Arial" w:hAnsi="Arial"/>
          <w:sz w:val="22"/>
          <w:szCs w:val="22"/>
        </w:rPr>
      </w:pPr>
    </w:p>
    <w:p w:rsidR="00002DC3" w:rsidRPr="00BB7EC3" w:rsidRDefault="00002DC3" w:rsidP="00002D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002DC3" w:rsidRPr="00882085" w:rsidRDefault="00002DC3" w:rsidP="00002DC3">
      <w:pPr>
        <w:jc w:val="both"/>
        <w:rPr>
          <w:rFonts w:ascii="Arial" w:hAnsi="Arial"/>
          <w:sz w:val="22"/>
          <w:szCs w:val="22"/>
        </w:rPr>
      </w:pPr>
    </w:p>
    <w:p w:rsidR="00002DC3" w:rsidRPr="00882085" w:rsidRDefault="00002DC3" w:rsidP="00002DC3">
      <w:pPr>
        <w:jc w:val="both"/>
        <w:rPr>
          <w:rFonts w:ascii="Arial" w:hAnsi="Arial"/>
          <w:b/>
          <w:i/>
          <w:sz w:val="22"/>
          <w:szCs w:val="22"/>
        </w:rPr>
      </w:pPr>
      <w:r w:rsidRPr="00882085">
        <w:rPr>
          <w:rFonts w:ascii="Arial" w:hAnsi="Arial"/>
          <w:b/>
          <w:i/>
          <w:sz w:val="22"/>
          <w:szCs w:val="22"/>
        </w:rPr>
        <w:t>Comparative harms</w:t>
      </w:r>
    </w:p>
    <w:p w:rsidR="00002DC3" w:rsidRPr="00882085" w:rsidRDefault="00002DC3" w:rsidP="00002DC3">
      <w:pPr>
        <w:ind w:left="720" w:hanging="720"/>
        <w:jc w:val="both"/>
        <w:rPr>
          <w:rFonts w:ascii="Arial" w:hAnsi="Arial"/>
          <w:sz w:val="22"/>
          <w:szCs w:val="22"/>
        </w:rPr>
      </w:pPr>
    </w:p>
    <w:p w:rsidR="00002DC3" w:rsidRDefault="00002DC3" w:rsidP="00002DC3">
      <w:pPr>
        <w:pStyle w:val="ListParagraph"/>
        <w:numPr>
          <w:ilvl w:val="1"/>
          <w:numId w:val="1"/>
        </w:numPr>
        <w:jc w:val="both"/>
        <w:rPr>
          <w:rFonts w:ascii="Arial" w:hAnsi="Arial"/>
          <w:sz w:val="22"/>
          <w:szCs w:val="22"/>
        </w:rPr>
      </w:pPr>
      <w:r>
        <w:rPr>
          <w:rFonts w:ascii="Arial" w:hAnsi="Arial"/>
          <w:sz w:val="22"/>
          <w:szCs w:val="22"/>
        </w:rPr>
        <w:t>The estimates of comparative harms we</w:t>
      </w:r>
      <w:r w:rsidRPr="009360A4">
        <w:rPr>
          <w:rFonts w:ascii="Arial" w:hAnsi="Arial"/>
          <w:sz w:val="22"/>
          <w:szCs w:val="22"/>
        </w:rPr>
        <w:t>re unchanged from the previous submission</w:t>
      </w:r>
      <w:r>
        <w:rPr>
          <w:rFonts w:ascii="Arial" w:hAnsi="Arial"/>
          <w:sz w:val="22"/>
          <w:szCs w:val="22"/>
        </w:rPr>
        <w:t>. The resubmission also presented</w:t>
      </w:r>
      <w:r w:rsidRPr="009360A4">
        <w:rPr>
          <w:rFonts w:ascii="Arial" w:hAnsi="Arial"/>
          <w:sz w:val="22"/>
          <w:szCs w:val="22"/>
        </w:rPr>
        <w:t xml:space="preserve"> safety data regarding the recent use of 4CMenB among young adults to address two university-based meningococcal B disease outbreaks in the United States and an updated </w:t>
      </w:r>
      <w:proofErr w:type="gramStart"/>
      <w:r w:rsidRPr="009360A4">
        <w:rPr>
          <w:rFonts w:ascii="Arial" w:hAnsi="Arial"/>
          <w:sz w:val="22"/>
          <w:szCs w:val="22"/>
        </w:rPr>
        <w:t>safety risk management plan</w:t>
      </w:r>
      <w:proofErr w:type="gramEnd"/>
      <w:r w:rsidRPr="009360A4">
        <w:rPr>
          <w:rFonts w:ascii="Arial" w:hAnsi="Arial"/>
          <w:sz w:val="22"/>
          <w:szCs w:val="22"/>
        </w:rPr>
        <w:t>.</w:t>
      </w:r>
    </w:p>
    <w:p w:rsidR="00002DC3" w:rsidRPr="003A6A9B" w:rsidRDefault="00002DC3" w:rsidP="00002DC3">
      <w:pPr>
        <w:jc w:val="both"/>
        <w:rPr>
          <w:rFonts w:ascii="Arial" w:hAnsi="Arial"/>
          <w:sz w:val="22"/>
          <w:szCs w:val="22"/>
        </w:rPr>
      </w:pPr>
    </w:p>
    <w:p w:rsidR="00002DC3" w:rsidRPr="002C25ED" w:rsidRDefault="00002DC3" w:rsidP="00002DC3">
      <w:pPr>
        <w:pStyle w:val="ListParagraph"/>
        <w:numPr>
          <w:ilvl w:val="1"/>
          <w:numId w:val="1"/>
        </w:numPr>
        <w:jc w:val="both"/>
        <w:rPr>
          <w:rFonts w:ascii="Arial" w:hAnsi="Arial" w:cs="Arial"/>
          <w:sz w:val="22"/>
          <w:szCs w:val="22"/>
        </w:rPr>
      </w:pPr>
      <w:r w:rsidRPr="002C25ED">
        <w:rPr>
          <w:rFonts w:ascii="Arial" w:hAnsi="Arial" w:cs="Arial"/>
          <w:sz w:val="22"/>
          <w:szCs w:val="22"/>
        </w:rPr>
        <w:t>The ESC noted that safety in adolescents appears to be acceptable and that the safety profile in this age group is superior to the infant population due to the increase in febrile seizures experienced in infants.</w:t>
      </w:r>
    </w:p>
    <w:p w:rsidR="00002DC3" w:rsidRPr="002C25ED" w:rsidRDefault="00002DC3" w:rsidP="00002DC3">
      <w:pPr>
        <w:jc w:val="both"/>
        <w:rPr>
          <w:rFonts w:ascii="Arial" w:hAnsi="Arial"/>
          <w:sz w:val="22"/>
          <w:szCs w:val="22"/>
        </w:rPr>
      </w:pPr>
    </w:p>
    <w:p w:rsidR="00002DC3" w:rsidRDefault="00002DC3" w:rsidP="00002DC3">
      <w:pPr>
        <w:pStyle w:val="ListParagraph"/>
        <w:numPr>
          <w:ilvl w:val="1"/>
          <w:numId w:val="1"/>
        </w:numPr>
        <w:jc w:val="both"/>
        <w:rPr>
          <w:rFonts w:ascii="Arial" w:hAnsi="Arial"/>
          <w:sz w:val="22"/>
          <w:szCs w:val="22"/>
        </w:rPr>
      </w:pPr>
      <w:r w:rsidRPr="00830262">
        <w:rPr>
          <w:rFonts w:ascii="Arial" w:hAnsi="Arial"/>
          <w:sz w:val="22"/>
          <w:szCs w:val="22"/>
        </w:rPr>
        <w:t>The results from the dynamic tr</w:t>
      </w:r>
      <w:r>
        <w:rPr>
          <w:rFonts w:ascii="Arial" w:hAnsi="Arial"/>
          <w:sz w:val="22"/>
          <w:szCs w:val="22"/>
        </w:rPr>
        <w:t>ansmission model, which converted</w:t>
      </w:r>
      <w:r w:rsidRPr="00830262">
        <w:rPr>
          <w:rFonts w:ascii="Arial" w:hAnsi="Arial"/>
          <w:sz w:val="22"/>
          <w:szCs w:val="22"/>
        </w:rPr>
        <w:t xml:space="preserve"> the estimated immunogenicity results from the clinical trials into the number of IMD cases avoided and the number of deaths avoided, </w:t>
      </w:r>
      <w:proofErr w:type="gramStart"/>
      <w:r>
        <w:rPr>
          <w:rFonts w:ascii="Arial" w:hAnsi="Arial"/>
          <w:sz w:val="22"/>
          <w:szCs w:val="22"/>
        </w:rPr>
        <w:t>we</w:t>
      </w:r>
      <w:r w:rsidRPr="00830262">
        <w:rPr>
          <w:rFonts w:ascii="Arial" w:hAnsi="Arial"/>
          <w:sz w:val="22"/>
          <w:szCs w:val="22"/>
        </w:rPr>
        <w:t>re changed</w:t>
      </w:r>
      <w:proofErr w:type="gramEnd"/>
      <w:r w:rsidRPr="00830262">
        <w:rPr>
          <w:rFonts w:ascii="Arial" w:hAnsi="Arial"/>
          <w:sz w:val="22"/>
          <w:szCs w:val="22"/>
        </w:rPr>
        <w:t xml:space="preserve"> from the previous submission. The estimates of harms </w:t>
      </w:r>
      <w:r>
        <w:rPr>
          <w:rFonts w:ascii="Arial" w:hAnsi="Arial"/>
          <w:sz w:val="22"/>
          <w:szCs w:val="22"/>
        </w:rPr>
        <w:t>we</w:t>
      </w:r>
      <w:r w:rsidRPr="00830262">
        <w:rPr>
          <w:rFonts w:ascii="Arial" w:hAnsi="Arial"/>
          <w:sz w:val="22"/>
          <w:szCs w:val="22"/>
        </w:rPr>
        <w:t>re unchanged from the previous submission.</w:t>
      </w:r>
    </w:p>
    <w:p w:rsidR="00002DC3" w:rsidRDefault="00002DC3" w:rsidP="00002DC3">
      <w:pPr>
        <w:jc w:val="both"/>
        <w:rPr>
          <w:rFonts w:ascii="Arial" w:hAnsi="Arial"/>
          <w:sz w:val="22"/>
          <w:szCs w:val="22"/>
        </w:rPr>
      </w:pPr>
    </w:p>
    <w:p w:rsidR="00002DC3" w:rsidRPr="004F34A8" w:rsidRDefault="00002DC3" w:rsidP="00002DC3">
      <w:pPr>
        <w:ind w:left="709"/>
        <w:jc w:val="both"/>
        <w:rPr>
          <w:rFonts w:ascii="Arial Narrow" w:hAnsi="Arial Narrow"/>
          <w:b/>
          <w:sz w:val="20"/>
          <w:szCs w:val="20"/>
        </w:rPr>
      </w:pPr>
      <w:r w:rsidRPr="004F34A8">
        <w:rPr>
          <w:rStyle w:val="CommentReference"/>
          <w:rFonts w:ascii="Arial Narrow" w:hAnsi="Arial Narrow"/>
          <w:b/>
          <w:sz w:val="20"/>
          <w:szCs w:val="20"/>
        </w:rPr>
        <w:t xml:space="preserve">Summary of comparative benefits and harms for 4CMenB versus no </w:t>
      </w:r>
      <w:r w:rsidRPr="00443FEC">
        <w:rPr>
          <w:rStyle w:val="CommentReference"/>
          <w:rFonts w:ascii="Arial Narrow" w:hAnsi="Arial Narrow"/>
          <w:b/>
          <w:sz w:val="20"/>
          <w:szCs w:val="20"/>
        </w:rPr>
        <w:t>vaccination</w:t>
      </w:r>
    </w:p>
    <w:tbl>
      <w:tblPr>
        <w:tblStyle w:val="TableGrid"/>
        <w:tblW w:w="4594" w:type="pct"/>
        <w:tblInd w:w="737" w:type="dxa"/>
        <w:tblLayout w:type="fixed"/>
        <w:tblCellMar>
          <w:left w:w="28" w:type="dxa"/>
          <w:right w:w="28" w:type="dxa"/>
        </w:tblCellMar>
        <w:tblLook w:val="04A0" w:firstRow="1" w:lastRow="0" w:firstColumn="1" w:lastColumn="0" w:noHBand="0" w:noVBand="1"/>
        <w:tblDescription w:val="Summary of comparative benefits and harms for 4CMenB versus no vaccination"/>
      </w:tblPr>
      <w:tblGrid>
        <w:gridCol w:w="1277"/>
        <w:gridCol w:w="1135"/>
        <w:gridCol w:w="1123"/>
        <w:gridCol w:w="15"/>
        <w:gridCol w:w="851"/>
        <w:gridCol w:w="748"/>
        <w:gridCol w:w="1238"/>
        <w:gridCol w:w="1137"/>
        <w:gridCol w:w="821"/>
      </w:tblGrid>
      <w:tr w:rsidR="00002DC3" w:rsidRPr="004C29A4" w:rsidTr="00552E7A">
        <w:trPr>
          <w:tblHeader/>
        </w:trPr>
        <w:tc>
          <w:tcPr>
            <w:tcW w:w="4507" w:type="pct"/>
            <w:gridSpan w:val="8"/>
            <w:shd w:val="clear" w:color="auto" w:fill="auto"/>
            <w:vAlign w:val="center"/>
          </w:tcPr>
          <w:p w:rsidR="00002DC3" w:rsidRPr="004F34A8" w:rsidRDefault="00002DC3" w:rsidP="00D60B44">
            <w:pPr>
              <w:keepNext/>
              <w:rPr>
                <w:rFonts w:ascii="Arial Narrow" w:hAnsi="Arial Narrow"/>
                <w:b/>
                <w:color w:val="000000"/>
                <w:sz w:val="20"/>
              </w:rPr>
            </w:pPr>
            <w:r w:rsidRPr="004F34A8">
              <w:rPr>
                <w:rFonts w:ascii="Arial Narrow" w:hAnsi="Arial Narrow"/>
                <w:b/>
                <w:color w:val="000000"/>
                <w:sz w:val="20"/>
              </w:rPr>
              <w:t>Benefits</w:t>
            </w:r>
          </w:p>
        </w:tc>
        <w:tc>
          <w:tcPr>
            <w:tcW w:w="493" w:type="pct"/>
          </w:tcPr>
          <w:p w:rsidR="00002DC3" w:rsidRPr="004F34A8" w:rsidRDefault="00002DC3" w:rsidP="00D60B44">
            <w:pPr>
              <w:keepNext/>
              <w:rPr>
                <w:rFonts w:ascii="Arial Narrow" w:hAnsi="Arial Narrow"/>
                <w:b/>
                <w:color w:val="000000"/>
                <w:sz w:val="20"/>
              </w:rPr>
            </w:pPr>
          </w:p>
        </w:tc>
      </w:tr>
      <w:tr w:rsidR="00002DC3" w:rsidRPr="004C29A4" w:rsidTr="00D60B44">
        <w:trPr>
          <w:trHeight w:val="150"/>
        </w:trPr>
        <w:tc>
          <w:tcPr>
            <w:tcW w:w="764" w:type="pct"/>
            <w:vMerge w:val="restart"/>
            <w:shd w:val="clear" w:color="auto" w:fill="auto"/>
            <w:vAlign w:val="center"/>
          </w:tcPr>
          <w:p w:rsidR="00002DC3" w:rsidRPr="00191B3F" w:rsidRDefault="00002DC3" w:rsidP="00D60B44">
            <w:pPr>
              <w:keepNext/>
              <w:rPr>
                <w:rFonts w:ascii="Arial Narrow" w:hAnsi="Arial Narrow"/>
                <w:b/>
                <w:color w:val="000000"/>
                <w:sz w:val="20"/>
              </w:rPr>
            </w:pPr>
            <w:r w:rsidRPr="002F2FC7">
              <w:rPr>
                <w:rFonts w:ascii="Arial Narrow" w:hAnsi="Arial Narrow"/>
                <w:b/>
                <w:color w:val="000000"/>
                <w:sz w:val="20"/>
              </w:rPr>
              <w:t>Trial</w:t>
            </w:r>
          </w:p>
        </w:tc>
        <w:tc>
          <w:tcPr>
            <w:tcW w:w="680" w:type="pct"/>
            <w:vMerge w:val="restart"/>
            <w:vAlign w:val="center"/>
          </w:tcPr>
          <w:p w:rsidR="00002DC3" w:rsidRPr="00191B3F" w:rsidRDefault="00002DC3" w:rsidP="00D60B44">
            <w:pPr>
              <w:keepNext/>
              <w:jc w:val="center"/>
              <w:rPr>
                <w:rFonts w:ascii="Arial Narrow" w:hAnsi="Arial Narrow"/>
                <w:b/>
                <w:color w:val="000000"/>
                <w:sz w:val="20"/>
              </w:rPr>
            </w:pPr>
            <w:r w:rsidRPr="002F2FC7">
              <w:rPr>
                <w:rFonts w:ascii="Arial Narrow" w:hAnsi="Arial Narrow"/>
                <w:b/>
                <w:color w:val="000000"/>
                <w:sz w:val="20"/>
              </w:rPr>
              <w:t>4CMenB</w:t>
            </w:r>
          </w:p>
        </w:tc>
        <w:tc>
          <w:tcPr>
            <w:tcW w:w="673" w:type="pct"/>
            <w:vMerge w:val="restart"/>
            <w:vAlign w:val="center"/>
          </w:tcPr>
          <w:p w:rsidR="00002DC3" w:rsidRPr="00191B3F" w:rsidRDefault="00002DC3" w:rsidP="00D60B44">
            <w:pPr>
              <w:keepNext/>
              <w:jc w:val="center"/>
              <w:rPr>
                <w:rFonts w:ascii="Arial Narrow" w:hAnsi="Arial Narrow"/>
                <w:b/>
                <w:color w:val="000000"/>
                <w:sz w:val="20"/>
              </w:rPr>
            </w:pPr>
            <w:r w:rsidRPr="002F2FC7">
              <w:rPr>
                <w:rFonts w:ascii="Arial Narrow" w:hAnsi="Arial Narrow"/>
                <w:b/>
                <w:color w:val="000000"/>
                <w:sz w:val="20"/>
              </w:rPr>
              <w:t>No vaccination</w:t>
            </w:r>
          </w:p>
        </w:tc>
        <w:tc>
          <w:tcPr>
            <w:tcW w:w="519" w:type="pct"/>
            <w:gridSpan w:val="2"/>
            <w:vMerge w:val="restart"/>
            <w:vAlign w:val="center"/>
          </w:tcPr>
          <w:p w:rsidR="00002DC3" w:rsidRPr="00191B3F" w:rsidRDefault="00002DC3" w:rsidP="00D60B44">
            <w:pPr>
              <w:keepNext/>
              <w:jc w:val="center"/>
              <w:rPr>
                <w:rFonts w:ascii="Arial Narrow" w:hAnsi="Arial Narrow"/>
                <w:b/>
                <w:color w:val="000000"/>
                <w:sz w:val="20"/>
              </w:rPr>
            </w:pPr>
            <w:r w:rsidRPr="002F2FC7">
              <w:rPr>
                <w:rFonts w:ascii="Arial Narrow" w:hAnsi="Arial Narrow"/>
                <w:b/>
                <w:color w:val="000000"/>
                <w:sz w:val="20"/>
              </w:rPr>
              <w:t>Difference</w:t>
            </w:r>
          </w:p>
        </w:tc>
        <w:tc>
          <w:tcPr>
            <w:tcW w:w="1190" w:type="pct"/>
            <w:gridSpan w:val="2"/>
            <w:vAlign w:val="center"/>
          </w:tcPr>
          <w:p w:rsidR="00002DC3" w:rsidRPr="00191B3F" w:rsidRDefault="00002DC3" w:rsidP="00D60B44">
            <w:pPr>
              <w:keepNext/>
              <w:jc w:val="center"/>
              <w:rPr>
                <w:rFonts w:ascii="Arial Narrow" w:hAnsi="Arial Narrow"/>
                <w:b/>
                <w:color w:val="000000"/>
                <w:sz w:val="20"/>
              </w:rPr>
            </w:pPr>
            <w:r w:rsidRPr="002F2FC7">
              <w:rPr>
                <w:rFonts w:ascii="Arial Narrow" w:hAnsi="Arial Narrow"/>
                <w:b/>
                <w:color w:val="000000"/>
                <w:sz w:val="20"/>
              </w:rPr>
              <w:t>Event rate/100 vaccinations</w:t>
            </w:r>
          </w:p>
        </w:tc>
        <w:tc>
          <w:tcPr>
            <w:tcW w:w="681" w:type="pct"/>
            <w:vMerge w:val="restart"/>
            <w:vAlign w:val="center"/>
          </w:tcPr>
          <w:p w:rsidR="00002DC3" w:rsidRPr="00191B3F" w:rsidRDefault="00002DC3" w:rsidP="00D60B44">
            <w:pPr>
              <w:keepNext/>
              <w:jc w:val="center"/>
              <w:rPr>
                <w:rFonts w:ascii="Arial Narrow" w:hAnsi="Arial Narrow"/>
                <w:b/>
                <w:color w:val="000000"/>
                <w:sz w:val="20"/>
              </w:rPr>
            </w:pPr>
            <w:r w:rsidRPr="002F2FC7">
              <w:rPr>
                <w:rFonts w:ascii="Arial Narrow" w:hAnsi="Arial Narrow"/>
                <w:b/>
                <w:color w:val="000000"/>
                <w:sz w:val="20"/>
              </w:rPr>
              <w:t>RD/100 vaccinations</w:t>
            </w:r>
          </w:p>
        </w:tc>
        <w:tc>
          <w:tcPr>
            <w:tcW w:w="493" w:type="pct"/>
            <w:vMerge w:val="restart"/>
            <w:vAlign w:val="center"/>
          </w:tcPr>
          <w:p w:rsidR="00002DC3" w:rsidRPr="00191B3F" w:rsidRDefault="00002DC3" w:rsidP="00D60B44">
            <w:pPr>
              <w:keepNext/>
              <w:jc w:val="center"/>
              <w:rPr>
                <w:rFonts w:ascii="Arial Narrow" w:hAnsi="Arial Narrow"/>
                <w:b/>
                <w:color w:val="000000"/>
                <w:sz w:val="20"/>
              </w:rPr>
            </w:pPr>
            <w:r w:rsidRPr="002F2FC7">
              <w:rPr>
                <w:rFonts w:ascii="Arial Narrow" w:hAnsi="Arial Narrow"/>
                <w:b/>
                <w:color w:val="000000"/>
                <w:sz w:val="20"/>
              </w:rPr>
              <w:t>NNT</w:t>
            </w:r>
          </w:p>
        </w:tc>
      </w:tr>
      <w:tr w:rsidR="00002DC3" w:rsidRPr="004C29A4" w:rsidTr="00D60B44">
        <w:trPr>
          <w:trHeight w:val="77"/>
        </w:trPr>
        <w:tc>
          <w:tcPr>
            <w:tcW w:w="764" w:type="pct"/>
            <w:vMerge/>
            <w:shd w:val="clear" w:color="auto" w:fill="auto"/>
            <w:vAlign w:val="center"/>
          </w:tcPr>
          <w:p w:rsidR="00002DC3" w:rsidRPr="00191B3F" w:rsidRDefault="00002DC3" w:rsidP="00D60B44">
            <w:pPr>
              <w:rPr>
                <w:rFonts w:ascii="Arial Narrow" w:hAnsi="Arial Narrow"/>
                <w:b/>
                <w:color w:val="000000"/>
                <w:sz w:val="20"/>
              </w:rPr>
            </w:pPr>
          </w:p>
        </w:tc>
        <w:tc>
          <w:tcPr>
            <w:tcW w:w="680" w:type="pct"/>
            <w:vMerge/>
            <w:vAlign w:val="center"/>
          </w:tcPr>
          <w:p w:rsidR="00002DC3" w:rsidRPr="00191B3F" w:rsidRDefault="00002DC3" w:rsidP="00D60B44">
            <w:pPr>
              <w:jc w:val="center"/>
              <w:rPr>
                <w:rFonts w:ascii="Arial Narrow" w:hAnsi="Arial Narrow"/>
                <w:b/>
                <w:color w:val="000000"/>
                <w:sz w:val="20"/>
              </w:rPr>
            </w:pPr>
          </w:p>
        </w:tc>
        <w:tc>
          <w:tcPr>
            <w:tcW w:w="673" w:type="pct"/>
            <w:vMerge/>
            <w:vAlign w:val="center"/>
          </w:tcPr>
          <w:p w:rsidR="00002DC3" w:rsidRPr="00191B3F" w:rsidRDefault="00002DC3" w:rsidP="00D60B44">
            <w:pPr>
              <w:jc w:val="center"/>
              <w:rPr>
                <w:rFonts w:ascii="Arial Narrow" w:hAnsi="Arial Narrow"/>
                <w:b/>
                <w:color w:val="000000"/>
                <w:sz w:val="20"/>
              </w:rPr>
            </w:pPr>
          </w:p>
        </w:tc>
        <w:tc>
          <w:tcPr>
            <w:tcW w:w="519" w:type="pct"/>
            <w:gridSpan w:val="2"/>
            <w:vMerge/>
            <w:vAlign w:val="center"/>
          </w:tcPr>
          <w:p w:rsidR="00002DC3" w:rsidRPr="00191B3F" w:rsidRDefault="00002DC3" w:rsidP="00D60B44">
            <w:pPr>
              <w:jc w:val="center"/>
              <w:rPr>
                <w:rFonts w:ascii="Arial Narrow" w:hAnsi="Arial Narrow"/>
                <w:b/>
                <w:color w:val="000000"/>
                <w:sz w:val="20"/>
              </w:rPr>
            </w:pPr>
          </w:p>
        </w:tc>
        <w:tc>
          <w:tcPr>
            <w:tcW w:w="448" w:type="pct"/>
            <w:vAlign w:val="center"/>
          </w:tcPr>
          <w:p w:rsidR="00002DC3" w:rsidRPr="00191B3F" w:rsidRDefault="00002DC3" w:rsidP="00D60B44">
            <w:pPr>
              <w:jc w:val="center"/>
              <w:rPr>
                <w:rFonts w:ascii="Arial Narrow" w:hAnsi="Arial Narrow"/>
                <w:b/>
                <w:color w:val="000000"/>
                <w:sz w:val="20"/>
              </w:rPr>
            </w:pPr>
            <w:r w:rsidRPr="002F2FC7">
              <w:rPr>
                <w:rFonts w:ascii="Arial Narrow" w:hAnsi="Arial Narrow"/>
                <w:b/>
                <w:color w:val="000000"/>
                <w:sz w:val="20"/>
              </w:rPr>
              <w:t>4CMenB</w:t>
            </w:r>
          </w:p>
        </w:tc>
        <w:tc>
          <w:tcPr>
            <w:tcW w:w="742" w:type="pct"/>
            <w:vAlign w:val="center"/>
          </w:tcPr>
          <w:p w:rsidR="00002DC3" w:rsidRPr="00191B3F" w:rsidRDefault="00002DC3" w:rsidP="00D60B44">
            <w:pPr>
              <w:jc w:val="center"/>
              <w:rPr>
                <w:rFonts w:ascii="Arial Narrow" w:hAnsi="Arial Narrow"/>
                <w:b/>
                <w:color w:val="000000"/>
                <w:sz w:val="20"/>
              </w:rPr>
            </w:pPr>
            <w:r w:rsidRPr="002F2FC7">
              <w:rPr>
                <w:rFonts w:ascii="Arial Narrow" w:hAnsi="Arial Narrow"/>
                <w:b/>
                <w:color w:val="000000"/>
                <w:sz w:val="20"/>
              </w:rPr>
              <w:t>No vaccination</w:t>
            </w:r>
          </w:p>
        </w:tc>
        <w:tc>
          <w:tcPr>
            <w:tcW w:w="681" w:type="pct"/>
            <w:vMerge/>
            <w:vAlign w:val="center"/>
          </w:tcPr>
          <w:p w:rsidR="00002DC3" w:rsidRPr="00191B3F" w:rsidRDefault="00002DC3" w:rsidP="00D60B44">
            <w:pPr>
              <w:jc w:val="center"/>
              <w:rPr>
                <w:rFonts w:ascii="Arial Narrow" w:hAnsi="Arial Narrow"/>
                <w:b/>
                <w:color w:val="000000"/>
                <w:sz w:val="20"/>
              </w:rPr>
            </w:pPr>
          </w:p>
        </w:tc>
        <w:tc>
          <w:tcPr>
            <w:tcW w:w="493" w:type="pct"/>
            <w:vMerge/>
            <w:vAlign w:val="center"/>
          </w:tcPr>
          <w:p w:rsidR="00002DC3" w:rsidRPr="00191B3F" w:rsidRDefault="00002DC3" w:rsidP="00D60B44">
            <w:pPr>
              <w:jc w:val="center"/>
              <w:rPr>
                <w:rFonts w:ascii="Arial Narrow" w:hAnsi="Arial Narrow"/>
                <w:b/>
                <w:color w:val="000000"/>
                <w:sz w:val="20"/>
              </w:rPr>
            </w:pPr>
          </w:p>
        </w:tc>
      </w:tr>
      <w:tr w:rsidR="00002DC3" w:rsidRPr="004C29A4" w:rsidTr="00D60B44">
        <w:tc>
          <w:tcPr>
            <w:tcW w:w="5000" w:type="pct"/>
            <w:gridSpan w:val="9"/>
            <w:shd w:val="clear" w:color="auto" w:fill="auto"/>
            <w:vAlign w:val="center"/>
          </w:tcPr>
          <w:p w:rsidR="00002DC3" w:rsidRPr="00191B3F" w:rsidRDefault="00002DC3" w:rsidP="00D60B44">
            <w:pPr>
              <w:rPr>
                <w:rFonts w:ascii="Arial Narrow" w:hAnsi="Arial Narrow"/>
                <w:b/>
                <w:color w:val="000000"/>
                <w:sz w:val="20"/>
              </w:rPr>
            </w:pPr>
            <w:r w:rsidRPr="002F2FC7">
              <w:rPr>
                <w:rFonts w:ascii="Arial Narrow" w:hAnsi="Arial Narrow"/>
                <w:b/>
                <w:color w:val="000000"/>
                <w:sz w:val="20"/>
              </w:rPr>
              <w:t>IMD cases (based on dynamic transmission model) *</w:t>
            </w:r>
          </w:p>
        </w:tc>
      </w:tr>
      <w:tr w:rsidR="00002DC3" w:rsidRPr="004C29A4" w:rsidTr="00D60B44">
        <w:tc>
          <w:tcPr>
            <w:tcW w:w="764" w:type="pct"/>
            <w:shd w:val="clear" w:color="auto" w:fill="auto"/>
            <w:vAlign w:val="center"/>
          </w:tcPr>
          <w:p w:rsidR="00002DC3" w:rsidRPr="00191B3F" w:rsidRDefault="00002DC3" w:rsidP="00D60B44">
            <w:pPr>
              <w:rPr>
                <w:rFonts w:ascii="Arial Narrow" w:hAnsi="Arial Narrow"/>
                <w:color w:val="000000"/>
                <w:sz w:val="20"/>
              </w:rPr>
            </w:pPr>
            <w:r w:rsidRPr="002F2FC7">
              <w:rPr>
                <w:rFonts w:ascii="Arial Narrow" w:hAnsi="Arial Narrow"/>
                <w:color w:val="000000"/>
                <w:sz w:val="20"/>
              </w:rPr>
              <w:t>Over 100 years</w:t>
            </w:r>
          </w:p>
        </w:tc>
        <w:tc>
          <w:tcPr>
            <w:tcW w:w="680"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682" w:type="pct"/>
            <w:gridSpan w:val="2"/>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510"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448"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42"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681"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493"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 ''''</w:t>
            </w:r>
          </w:p>
        </w:tc>
      </w:tr>
      <w:tr w:rsidR="00002DC3" w:rsidRPr="004C29A4" w:rsidTr="00D60B44">
        <w:tc>
          <w:tcPr>
            <w:tcW w:w="764" w:type="pct"/>
            <w:shd w:val="clear" w:color="auto" w:fill="auto"/>
            <w:vAlign w:val="center"/>
          </w:tcPr>
          <w:p w:rsidR="00002DC3" w:rsidRPr="00191B3F" w:rsidRDefault="00002DC3" w:rsidP="00D60B44">
            <w:pPr>
              <w:rPr>
                <w:rFonts w:ascii="Arial Narrow" w:hAnsi="Arial Narrow"/>
                <w:color w:val="000000"/>
                <w:sz w:val="20"/>
              </w:rPr>
            </w:pPr>
            <w:r w:rsidRPr="002F2FC7">
              <w:rPr>
                <w:rFonts w:ascii="Arial Narrow" w:hAnsi="Arial Narrow"/>
                <w:color w:val="000000"/>
                <w:sz w:val="20"/>
              </w:rPr>
              <w:t>Over 5 years</w:t>
            </w:r>
          </w:p>
        </w:tc>
        <w:tc>
          <w:tcPr>
            <w:tcW w:w="680"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682" w:type="pct"/>
            <w:gridSpan w:val="2"/>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510"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448"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42"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681"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493"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 ''''</w:t>
            </w:r>
          </w:p>
        </w:tc>
      </w:tr>
      <w:tr w:rsidR="00002DC3" w:rsidRPr="004C29A4" w:rsidTr="00D60B44">
        <w:tc>
          <w:tcPr>
            <w:tcW w:w="5000" w:type="pct"/>
            <w:gridSpan w:val="9"/>
            <w:shd w:val="clear" w:color="auto" w:fill="auto"/>
            <w:vAlign w:val="center"/>
          </w:tcPr>
          <w:p w:rsidR="00002DC3" w:rsidRPr="00191B3F" w:rsidRDefault="00002DC3" w:rsidP="00D60B44">
            <w:pPr>
              <w:rPr>
                <w:rFonts w:ascii="Arial Narrow" w:hAnsi="Arial Narrow"/>
                <w:b/>
                <w:color w:val="000000"/>
                <w:sz w:val="20"/>
              </w:rPr>
            </w:pPr>
            <w:r w:rsidRPr="002F2FC7">
              <w:rPr>
                <w:rFonts w:ascii="Arial Narrow" w:hAnsi="Arial Narrow"/>
                <w:b/>
                <w:color w:val="000000"/>
                <w:sz w:val="20"/>
              </w:rPr>
              <w:t>Deaths (based on dynamic transmission model) *</w:t>
            </w:r>
          </w:p>
        </w:tc>
      </w:tr>
      <w:tr w:rsidR="00002DC3" w:rsidRPr="004C29A4" w:rsidTr="00D60B44">
        <w:tc>
          <w:tcPr>
            <w:tcW w:w="764" w:type="pct"/>
            <w:shd w:val="clear" w:color="auto" w:fill="auto"/>
            <w:vAlign w:val="center"/>
          </w:tcPr>
          <w:p w:rsidR="00002DC3" w:rsidRPr="00191B3F" w:rsidRDefault="00002DC3" w:rsidP="00D60B44">
            <w:pPr>
              <w:rPr>
                <w:rFonts w:ascii="Arial Narrow" w:hAnsi="Arial Narrow"/>
                <w:color w:val="000000"/>
                <w:sz w:val="20"/>
              </w:rPr>
            </w:pPr>
            <w:r w:rsidRPr="002F2FC7">
              <w:rPr>
                <w:rFonts w:ascii="Arial Narrow" w:hAnsi="Arial Narrow"/>
                <w:color w:val="000000"/>
                <w:sz w:val="20"/>
              </w:rPr>
              <w:t>Over 100 years</w:t>
            </w:r>
          </w:p>
        </w:tc>
        <w:tc>
          <w:tcPr>
            <w:tcW w:w="680"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682" w:type="pct"/>
            <w:gridSpan w:val="2"/>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510"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448"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42"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681"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493"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 '''</w:t>
            </w:r>
          </w:p>
        </w:tc>
      </w:tr>
      <w:tr w:rsidR="00002DC3" w:rsidRPr="004C29A4" w:rsidTr="00D60B44">
        <w:tc>
          <w:tcPr>
            <w:tcW w:w="764" w:type="pct"/>
            <w:shd w:val="clear" w:color="auto" w:fill="auto"/>
            <w:vAlign w:val="center"/>
          </w:tcPr>
          <w:p w:rsidR="00002DC3" w:rsidRPr="00191B3F" w:rsidRDefault="00002DC3" w:rsidP="00D60B44">
            <w:pPr>
              <w:rPr>
                <w:rFonts w:ascii="Arial Narrow" w:hAnsi="Arial Narrow"/>
                <w:color w:val="000000"/>
                <w:sz w:val="20"/>
              </w:rPr>
            </w:pPr>
            <w:r w:rsidRPr="002F2FC7">
              <w:rPr>
                <w:rFonts w:ascii="Arial Narrow" w:hAnsi="Arial Narrow"/>
                <w:color w:val="000000"/>
                <w:sz w:val="20"/>
              </w:rPr>
              <w:t>Over 5 years</w:t>
            </w:r>
          </w:p>
        </w:tc>
        <w:tc>
          <w:tcPr>
            <w:tcW w:w="680"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682" w:type="pct"/>
            <w:gridSpan w:val="2"/>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510"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448"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42"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681"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493"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 ''''</w:t>
            </w:r>
          </w:p>
        </w:tc>
      </w:tr>
      <w:tr w:rsidR="00002DC3" w:rsidRPr="004C29A4" w:rsidTr="00D60B44">
        <w:tc>
          <w:tcPr>
            <w:tcW w:w="4507" w:type="pct"/>
            <w:gridSpan w:val="8"/>
            <w:tcBorders>
              <w:top w:val="double" w:sz="4" w:space="0" w:color="auto"/>
            </w:tcBorders>
            <w:shd w:val="clear" w:color="auto" w:fill="auto"/>
            <w:vAlign w:val="center"/>
          </w:tcPr>
          <w:p w:rsidR="00002DC3" w:rsidRPr="00191B3F" w:rsidRDefault="00002DC3" w:rsidP="00D60B44">
            <w:pPr>
              <w:keepNext/>
              <w:rPr>
                <w:rFonts w:ascii="Arial Narrow" w:hAnsi="Arial Narrow"/>
                <w:b/>
                <w:color w:val="000000"/>
                <w:sz w:val="20"/>
              </w:rPr>
            </w:pPr>
            <w:r w:rsidRPr="002F2FC7">
              <w:rPr>
                <w:rFonts w:ascii="Arial Narrow" w:hAnsi="Arial Narrow"/>
                <w:b/>
                <w:color w:val="000000"/>
                <w:sz w:val="20"/>
              </w:rPr>
              <w:t>Harms</w:t>
            </w:r>
          </w:p>
        </w:tc>
        <w:tc>
          <w:tcPr>
            <w:tcW w:w="493" w:type="pct"/>
            <w:tcBorders>
              <w:top w:val="double" w:sz="4" w:space="0" w:color="auto"/>
            </w:tcBorders>
          </w:tcPr>
          <w:p w:rsidR="00002DC3" w:rsidRPr="00191B3F" w:rsidRDefault="00002DC3" w:rsidP="00D60B44">
            <w:pPr>
              <w:keepNext/>
              <w:rPr>
                <w:rFonts w:ascii="Arial Narrow" w:hAnsi="Arial Narrow"/>
                <w:b/>
                <w:color w:val="000000"/>
                <w:sz w:val="20"/>
              </w:rPr>
            </w:pPr>
          </w:p>
        </w:tc>
      </w:tr>
      <w:tr w:rsidR="00002DC3" w:rsidRPr="004C29A4" w:rsidTr="00D60B44">
        <w:trPr>
          <w:trHeight w:val="150"/>
        </w:trPr>
        <w:tc>
          <w:tcPr>
            <w:tcW w:w="765" w:type="pct"/>
            <w:vMerge w:val="restart"/>
            <w:shd w:val="clear" w:color="auto" w:fill="auto"/>
            <w:vAlign w:val="center"/>
          </w:tcPr>
          <w:p w:rsidR="00002DC3" w:rsidRPr="00191B3F" w:rsidRDefault="00002DC3" w:rsidP="00D60B44">
            <w:pPr>
              <w:keepNext/>
              <w:rPr>
                <w:rFonts w:ascii="Arial Narrow" w:hAnsi="Arial Narrow"/>
                <w:b/>
                <w:color w:val="000000"/>
                <w:sz w:val="20"/>
              </w:rPr>
            </w:pPr>
            <w:r w:rsidRPr="002F2FC7">
              <w:rPr>
                <w:rFonts w:ascii="Arial Narrow" w:hAnsi="Arial Narrow"/>
                <w:b/>
                <w:color w:val="000000"/>
                <w:sz w:val="20"/>
              </w:rPr>
              <w:t>Trial</w:t>
            </w:r>
          </w:p>
        </w:tc>
        <w:tc>
          <w:tcPr>
            <w:tcW w:w="679" w:type="pct"/>
            <w:vMerge w:val="restart"/>
            <w:vAlign w:val="center"/>
          </w:tcPr>
          <w:p w:rsidR="00002DC3" w:rsidRPr="00191B3F" w:rsidRDefault="00002DC3" w:rsidP="00D60B44">
            <w:pPr>
              <w:keepNext/>
              <w:jc w:val="center"/>
              <w:rPr>
                <w:rFonts w:ascii="Arial Narrow" w:hAnsi="Arial Narrow"/>
                <w:b/>
                <w:color w:val="000000"/>
                <w:sz w:val="20"/>
              </w:rPr>
            </w:pPr>
            <w:r w:rsidRPr="002F2FC7">
              <w:rPr>
                <w:rFonts w:ascii="Arial Narrow" w:hAnsi="Arial Narrow"/>
                <w:b/>
                <w:color w:val="000000"/>
                <w:sz w:val="20"/>
              </w:rPr>
              <w:t>4CMenB + routine vaccinations</w:t>
            </w:r>
          </w:p>
        </w:tc>
        <w:tc>
          <w:tcPr>
            <w:tcW w:w="682" w:type="pct"/>
            <w:gridSpan w:val="2"/>
            <w:vMerge w:val="restart"/>
            <w:vAlign w:val="center"/>
          </w:tcPr>
          <w:p w:rsidR="00002DC3" w:rsidRPr="00191B3F" w:rsidRDefault="00002DC3" w:rsidP="00D60B44">
            <w:pPr>
              <w:keepNext/>
              <w:jc w:val="center"/>
              <w:rPr>
                <w:rFonts w:ascii="Arial Narrow" w:hAnsi="Arial Narrow"/>
                <w:b/>
                <w:color w:val="000000"/>
                <w:sz w:val="20"/>
              </w:rPr>
            </w:pPr>
            <w:r w:rsidRPr="002F2FC7">
              <w:rPr>
                <w:rFonts w:ascii="Arial Narrow" w:hAnsi="Arial Narrow"/>
                <w:b/>
                <w:color w:val="000000"/>
                <w:sz w:val="20"/>
              </w:rPr>
              <w:t>Routine vaccinations</w:t>
            </w:r>
          </w:p>
        </w:tc>
        <w:tc>
          <w:tcPr>
            <w:tcW w:w="510" w:type="pct"/>
            <w:vMerge w:val="restart"/>
            <w:vAlign w:val="center"/>
          </w:tcPr>
          <w:p w:rsidR="00002DC3" w:rsidRPr="002F2FC7" w:rsidRDefault="00002DC3" w:rsidP="00D60B44">
            <w:pPr>
              <w:keepNext/>
              <w:jc w:val="center"/>
              <w:rPr>
                <w:rFonts w:ascii="Arial Narrow" w:hAnsi="Arial Narrow"/>
                <w:b/>
                <w:color w:val="000000"/>
                <w:sz w:val="20"/>
              </w:rPr>
            </w:pPr>
            <w:r w:rsidRPr="002F2FC7">
              <w:rPr>
                <w:rFonts w:ascii="Arial Narrow" w:hAnsi="Arial Narrow"/>
                <w:b/>
                <w:color w:val="000000"/>
                <w:sz w:val="20"/>
              </w:rPr>
              <w:t>RR</w:t>
            </w:r>
          </w:p>
          <w:p w:rsidR="00002DC3" w:rsidRPr="00191B3F" w:rsidRDefault="00002DC3" w:rsidP="00D60B44">
            <w:pPr>
              <w:keepNext/>
              <w:jc w:val="center"/>
              <w:rPr>
                <w:rFonts w:ascii="Arial Narrow" w:hAnsi="Arial Narrow"/>
                <w:b/>
                <w:color w:val="000000"/>
                <w:sz w:val="20"/>
              </w:rPr>
            </w:pPr>
            <w:r w:rsidRPr="002F2FC7">
              <w:rPr>
                <w:rFonts w:ascii="Arial Narrow" w:hAnsi="Arial Narrow"/>
                <w:b/>
                <w:color w:val="000000"/>
                <w:sz w:val="20"/>
              </w:rPr>
              <w:t>(95% CI)</w:t>
            </w:r>
          </w:p>
        </w:tc>
        <w:tc>
          <w:tcPr>
            <w:tcW w:w="1190" w:type="pct"/>
            <w:gridSpan w:val="2"/>
            <w:vAlign w:val="center"/>
          </w:tcPr>
          <w:p w:rsidR="00002DC3" w:rsidRPr="00191B3F" w:rsidRDefault="00002DC3" w:rsidP="00D60B44">
            <w:pPr>
              <w:keepNext/>
              <w:jc w:val="center"/>
              <w:rPr>
                <w:rFonts w:ascii="Arial Narrow" w:hAnsi="Arial Narrow"/>
                <w:b/>
                <w:color w:val="000000"/>
                <w:sz w:val="20"/>
              </w:rPr>
            </w:pPr>
            <w:r w:rsidRPr="002F2FC7">
              <w:rPr>
                <w:rFonts w:ascii="Arial Narrow" w:hAnsi="Arial Narrow"/>
                <w:b/>
                <w:color w:val="000000"/>
                <w:sz w:val="20"/>
              </w:rPr>
              <w:t>Event rate/100 vaccinations **</w:t>
            </w:r>
          </w:p>
        </w:tc>
        <w:tc>
          <w:tcPr>
            <w:tcW w:w="681" w:type="pct"/>
            <w:vMerge w:val="restart"/>
            <w:vAlign w:val="center"/>
          </w:tcPr>
          <w:p w:rsidR="00002DC3" w:rsidRPr="00191B3F" w:rsidRDefault="00002DC3" w:rsidP="00D60B44">
            <w:pPr>
              <w:keepNext/>
              <w:jc w:val="center"/>
              <w:rPr>
                <w:rFonts w:ascii="Arial Narrow" w:hAnsi="Arial Narrow"/>
                <w:b/>
                <w:color w:val="000000"/>
                <w:sz w:val="20"/>
              </w:rPr>
            </w:pPr>
            <w:r w:rsidRPr="002F2FC7">
              <w:rPr>
                <w:rFonts w:ascii="Arial Narrow" w:hAnsi="Arial Narrow"/>
                <w:b/>
                <w:color w:val="000000"/>
                <w:sz w:val="20"/>
              </w:rPr>
              <w:t>RD/100 vaccinations</w:t>
            </w:r>
          </w:p>
        </w:tc>
        <w:tc>
          <w:tcPr>
            <w:tcW w:w="493" w:type="pct"/>
            <w:vMerge w:val="restart"/>
            <w:vAlign w:val="center"/>
          </w:tcPr>
          <w:p w:rsidR="00002DC3" w:rsidRPr="00191B3F" w:rsidRDefault="00002DC3" w:rsidP="00D60B44">
            <w:pPr>
              <w:keepNext/>
              <w:jc w:val="center"/>
              <w:rPr>
                <w:rFonts w:ascii="Arial Narrow" w:hAnsi="Arial Narrow"/>
                <w:b/>
                <w:color w:val="000000"/>
                <w:sz w:val="20"/>
              </w:rPr>
            </w:pPr>
            <w:r w:rsidRPr="002F2FC7">
              <w:rPr>
                <w:rFonts w:ascii="Arial Narrow" w:hAnsi="Arial Narrow"/>
                <w:b/>
                <w:color w:val="000000"/>
                <w:sz w:val="20"/>
              </w:rPr>
              <w:t>NNH ##</w:t>
            </w:r>
          </w:p>
        </w:tc>
      </w:tr>
      <w:tr w:rsidR="00002DC3" w:rsidRPr="004C29A4" w:rsidTr="00D60B44">
        <w:trPr>
          <w:trHeight w:val="77"/>
        </w:trPr>
        <w:tc>
          <w:tcPr>
            <w:tcW w:w="765" w:type="pct"/>
            <w:vMerge/>
            <w:shd w:val="clear" w:color="auto" w:fill="auto"/>
            <w:vAlign w:val="center"/>
          </w:tcPr>
          <w:p w:rsidR="00002DC3" w:rsidRPr="00191B3F" w:rsidRDefault="00002DC3" w:rsidP="00D60B44">
            <w:pPr>
              <w:keepNext/>
              <w:rPr>
                <w:rFonts w:ascii="Arial Narrow" w:hAnsi="Arial Narrow"/>
                <w:b/>
                <w:color w:val="000000"/>
                <w:sz w:val="20"/>
              </w:rPr>
            </w:pPr>
          </w:p>
        </w:tc>
        <w:tc>
          <w:tcPr>
            <w:tcW w:w="679" w:type="pct"/>
            <w:vMerge/>
            <w:vAlign w:val="center"/>
          </w:tcPr>
          <w:p w:rsidR="00002DC3" w:rsidRPr="00191B3F" w:rsidRDefault="00002DC3" w:rsidP="00D60B44">
            <w:pPr>
              <w:keepNext/>
              <w:jc w:val="center"/>
              <w:rPr>
                <w:rFonts w:ascii="Arial Narrow" w:hAnsi="Arial Narrow"/>
                <w:b/>
                <w:color w:val="000000"/>
                <w:sz w:val="20"/>
              </w:rPr>
            </w:pPr>
          </w:p>
        </w:tc>
        <w:tc>
          <w:tcPr>
            <w:tcW w:w="682" w:type="pct"/>
            <w:gridSpan w:val="2"/>
            <w:vMerge/>
            <w:vAlign w:val="center"/>
          </w:tcPr>
          <w:p w:rsidR="00002DC3" w:rsidRPr="00191B3F" w:rsidRDefault="00002DC3" w:rsidP="00D60B44">
            <w:pPr>
              <w:keepNext/>
              <w:jc w:val="center"/>
              <w:rPr>
                <w:rFonts w:ascii="Arial Narrow" w:hAnsi="Arial Narrow"/>
                <w:b/>
                <w:color w:val="000000"/>
                <w:sz w:val="20"/>
              </w:rPr>
            </w:pPr>
          </w:p>
        </w:tc>
        <w:tc>
          <w:tcPr>
            <w:tcW w:w="510" w:type="pct"/>
            <w:vMerge/>
            <w:vAlign w:val="center"/>
          </w:tcPr>
          <w:p w:rsidR="00002DC3" w:rsidRPr="00191B3F" w:rsidRDefault="00002DC3" w:rsidP="00D60B44">
            <w:pPr>
              <w:keepNext/>
              <w:jc w:val="center"/>
              <w:rPr>
                <w:rFonts w:ascii="Arial Narrow" w:hAnsi="Arial Narrow"/>
                <w:b/>
                <w:color w:val="000000"/>
                <w:sz w:val="20"/>
              </w:rPr>
            </w:pPr>
          </w:p>
        </w:tc>
        <w:tc>
          <w:tcPr>
            <w:tcW w:w="448" w:type="pct"/>
            <w:vAlign w:val="center"/>
          </w:tcPr>
          <w:p w:rsidR="00002DC3" w:rsidRPr="00191B3F" w:rsidRDefault="00002DC3" w:rsidP="00D60B44">
            <w:pPr>
              <w:keepNext/>
              <w:jc w:val="center"/>
              <w:rPr>
                <w:rFonts w:ascii="Arial Narrow" w:hAnsi="Arial Narrow"/>
                <w:b/>
                <w:color w:val="000000"/>
                <w:sz w:val="20"/>
              </w:rPr>
            </w:pPr>
            <w:r w:rsidRPr="002F2FC7">
              <w:rPr>
                <w:rFonts w:ascii="Arial Narrow" w:hAnsi="Arial Narrow"/>
                <w:b/>
                <w:color w:val="000000"/>
                <w:sz w:val="20"/>
              </w:rPr>
              <w:t>4CMenB</w:t>
            </w:r>
          </w:p>
        </w:tc>
        <w:tc>
          <w:tcPr>
            <w:tcW w:w="742" w:type="pct"/>
            <w:vAlign w:val="center"/>
          </w:tcPr>
          <w:p w:rsidR="00002DC3" w:rsidRPr="00191B3F" w:rsidRDefault="00002DC3" w:rsidP="00D60B44">
            <w:pPr>
              <w:keepNext/>
              <w:jc w:val="center"/>
              <w:rPr>
                <w:rFonts w:ascii="Arial Narrow" w:hAnsi="Arial Narrow"/>
                <w:b/>
                <w:color w:val="000000"/>
                <w:sz w:val="20"/>
              </w:rPr>
            </w:pPr>
            <w:r w:rsidRPr="002F2FC7">
              <w:rPr>
                <w:rFonts w:ascii="Arial Narrow" w:hAnsi="Arial Narrow"/>
                <w:b/>
                <w:color w:val="000000"/>
                <w:sz w:val="20"/>
              </w:rPr>
              <w:t>Placebo</w:t>
            </w:r>
          </w:p>
        </w:tc>
        <w:tc>
          <w:tcPr>
            <w:tcW w:w="681" w:type="pct"/>
            <w:vMerge/>
            <w:vAlign w:val="center"/>
          </w:tcPr>
          <w:p w:rsidR="00002DC3" w:rsidRPr="00191B3F" w:rsidRDefault="00002DC3" w:rsidP="00D60B44">
            <w:pPr>
              <w:keepNext/>
              <w:jc w:val="center"/>
              <w:rPr>
                <w:rFonts w:ascii="Arial Narrow" w:hAnsi="Arial Narrow"/>
                <w:b/>
                <w:color w:val="000000"/>
                <w:sz w:val="20"/>
              </w:rPr>
            </w:pPr>
          </w:p>
        </w:tc>
        <w:tc>
          <w:tcPr>
            <w:tcW w:w="493" w:type="pct"/>
            <w:vMerge/>
          </w:tcPr>
          <w:p w:rsidR="00002DC3" w:rsidRPr="00191B3F" w:rsidRDefault="00002DC3" w:rsidP="00D60B44">
            <w:pPr>
              <w:keepNext/>
              <w:jc w:val="center"/>
              <w:rPr>
                <w:rFonts w:ascii="Arial Narrow" w:hAnsi="Arial Narrow"/>
                <w:b/>
                <w:color w:val="000000"/>
                <w:sz w:val="20"/>
              </w:rPr>
            </w:pPr>
          </w:p>
        </w:tc>
      </w:tr>
      <w:tr w:rsidR="00002DC3" w:rsidRPr="004C29A4" w:rsidTr="00D60B44">
        <w:tc>
          <w:tcPr>
            <w:tcW w:w="5000" w:type="pct"/>
            <w:gridSpan w:val="9"/>
            <w:shd w:val="clear" w:color="auto" w:fill="auto"/>
            <w:vAlign w:val="center"/>
          </w:tcPr>
          <w:p w:rsidR="00002DC3" w:rsidRPr="00191B3F" w:rsidRDefault="00002DC3" w:rsidP="00D60B44">
            <w:pPr>
              <w:keepNext/>
              <w:rPr>
                <w:rFonts w:ascii="Arial Narrow" w:hAnsi="Arial Narrow"/>
                <w:b/>
                <w:color w:val="000000"/>
                <w:sz w:val="20"/>
                <w:szCs w:val="20"/>
              </w:rPr>
            </w:pPr>
            <w:r w:rsidRPr="002F2FC7">
              <w:rPr>
                <w:rFonts w:ascii="Arial Narrow" w:hAnsi="Arial Narrow"/>
                <w:b/>
                <w:color w:val="000000"/>
                <w:sz w:val="20"/>
                <w:szCs w:val="20"/>
              </w:rPr>
              <w:t xml:space="preserve">Fever </w:t>
            </w:r>
            <w:r w:rsidRPr="002F2FC7">
              <w:rPr>
                <w:rFonts w:ascii="Arial Narrow" w:hAnsi="Arial Narrow" w:cs="TimesNewRomanPSMT"/>
                <w:b/>
                <w:sz w:val="20"/>
                <w:szCs w:val="20"/>
              </w:rPr>
              <w:t>≥ 38.5°C</w:t>
            </w:r>
            <w:r w:rsidRPr="002F2FC7">
              <w:rPr>
                <w:rFonts w:ascii="Arial Narrow" w:hAnsi="Arial Narrow"/>
                <w:b/>
                <w:color w:val="000000"/>
                <w:sz w:val="20"/>
                <w:szCs w:val="20"/>
              </w:rPr>
              <w:t xml:space="preserve"> in infants</w:t>
            </w:r>
          </w:p>
        </w:tc>
      </w:tr>
      <w:tr w:rsidR="00002DC3" w:rsidRPr="004C29A4" w:rsidTr="00D60B44">
        <w:tc>
          <w:tcPr>
            <w:tcW w:w="764" w:type="pct"/>
            <w:shd w:val="clear" w:color="auto" w:fill="auto"/>
            <w:vAlign w:val="center"/>
          </w:tcPr>
          <w:p w:rsidR="00002DC3" w:rsidRPr="00191B3F" w:rsidRDefault="00002DC3" w:rsidP="00D60B44">
            <w:pPr>
              <w:rPr>
                <w:rFonts w:ascii="Arial Narrow" w:hAnsi="Arial Narrow"/>
                <w:color w:val="000000"/>
                <w:sz w:val="20"/>
              </w:rPr>
            </w:pPr>
            <w:r w:rsidRPr="00820AC1">
              <w:rPr>
                <w:rFonts w:ascii="Arial Narrow" w:hAnsi="Arial Narrow"/>
                <w:color w:val="000000"/>
                <w:sz w:val="20"/>
              </w:rPr>
              <w:t>V72P12</w:t>
            </w:r>
          </w:p>
        </w:tc>
        <w:tc>
          <w:tcPr>
            <w:tcW w:w="680"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682" w:type="pct"/>
            <w:gridSpan w:val="2"/>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510"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448"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742"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681"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493"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r>
      <w:tr w:rsidR="00002DC3" w:rsidRPr="004C29A4" w:rsidTr="00D60B44">
        <w:tc>
          <w:tcPr>
            <w:tcW w:w="764" w:type="pct"/>
            <w:shd w:val="clear" w:color="auto" w:fill="auto"/>
            <w:vAlign w:val="center"/>
          </w:tcPr>
          <w:p w:rsidR="00002DC3" w:rsidRPr="00191B3F" w:rsidRDefault="00002DC3" w:rsidP="00D60B44">
            <w:pPr>
              <w:rPr>
                <w:rFonts w:ascii="Arial Narrow" w:hAnsi="Arial Narrow"/>
                <w:color w:val="000000"/>
                <w:sz w:val="20"/>
              </w:rPr>
            </w:pPr>
            <w:r w:rsidRPr="00820AC1">
              <w:rPr>
                <w:rFonts w:ascii="Arial Narrow" w:hAnsi="Arial Narrow"/>
                <w:color w:val="000000"/>
                <w:sz w:val="20"/>
              </w:rPr>
              <w:t>V72P13</w:t>
            </w:r>
          </w:p>
        </w:tc>
        <w:tc>
          <w:tcPr>
            <w:tcW w:w="680"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682" w:type="pct"/>
            <w:gridSpan w:val="2"/>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510"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448"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742"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681"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493"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r>
      <w:tr w:rsidR="00002DC3" w:rsidRPr="004C29A4" w:rsidTr="00D60B44">
        <w:tc>
          <w:tcPr>
            <w:tcW w:w="5000" w:type="pct"/>
            <w:gridSpan w:val="9"/>
            <w:shd w:val="clear" w:color="auto" w:fill="auto"/>
            <w:vAlign w:val="center"/>
          </w:tcPr>
          <w:p w:rsidR="00002DC3" w:rsidRPr="00191B3F" w:rsidRDefault="00002DC3" w:rsidP="00D60B44">
            <w:pPr>
              <w:rPr>
                <w:rFonts w:ascii="Arial Narrow" w:hAnsi="Arial Narrow"/>
                <w:b/>
                <w:color w:val="000000"/>
                <w:sz w:val="20"/>
              </w:rPr>
            </w:pPr>
            <w:r w:rsidRPr="002F2FC7">
              <w:rPr>
                <w:rFonts w:ascii="Arial Narrow" w:hAnsi="Arial Narrow"/>
                <w:b/>
                <w:color w:val="000000"/>
                <w:sz w:val="20"/>
              </w:rPr>
              <w:t>Medically attended fever in infants</w:t>
            </w:r>
          </w:p>
        </w:tc>
      </w:tr>
      <w:tr w:rsidR="00002DC3" w:rsidRPr="004C29A4" w:rsidTr="00D60B44">
        <w:tc>
          <w:tcPr>
            <w:tcW w:w="764" w:type="pct"/>
            <w:shd w:val="clear" w:color="auto" w:fill="auto"/>
            <w:vAlign w:val="center"/>
          </w:tcPr>
          <w:p w:rsidR="00002DC3" w:rsidRPr="00191B3F" w:rsidRDefault="00002DC3" w:rsidP="00D60B44">
            <w:pPr>
              <w:rPr>
                <w:rFonts w:ascii="Arial Narrow" w:hAnsi="Arial Narrow"/>
                <w:color w:val="000000"/>
                <w:sz w:val="20"/>
              </w:rPr>
            </w:pPr>
            <w:r w:rsidRPr="00820AC1">
              <w:rPr>
                <w:rFonts w:ascii="Arial Narrow" w:hAnsi="Arial Narrow"/>
                <w:color w:val="000000"/>
                <w:sz w:val="20"/>
              </w:rPr>
              <w:t>V72P12</w:t>
            </w:r>
          </w:p>
        </w:tc>
        <w:tc>
          <w:tcPr>
            <w:tcW w:w="680"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682" w:type="pct"/>
            <w:gridSpan w:val="2"/>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510"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448"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742"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681"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493"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r>
      <w:tr w:rsidR="00002DC3" w:rsidRPr="004C29A4" w:rsidTr="00D60B44">
        <w:tc>
          <w:tcPr>
            <w:tcW w:w="764" w:type="pct"/>
            <w:shd w:val="clear" w:color="auto" w:fill="auto"/>
            <w:vAlign w:val="center"/>
          </w:tcPr>
          <w:p w:rsidR="00002DC3" w:rsidRPr="00191B3F" w:rsidRDefault="00002DC3" w:rsidP="00D60B44">
            <w:pPr>
              <w:rPr>
                <w:rFonts w:ascii="Arial Narrow" w:hAnsi="Arial Narrow"/>
                <w:color w:val="000000"/>
                <w:sz w:val="20"/>
              </w:rPr>
            </w:pPr>
            <w:r w:rsidRPr="00820AC1">
              <w:rPr>
                <w:rFonts w:ascii="Arial Narrow" w:hAnsi="Arial Narrow"/>
                <w:color w:val="000000"/>
                <w:sz w:val="20"/>
              </w:rPr>
              <w:t>V72P13</w:t>
            </w:r>
          </w:p>
        </w:tc>
        <w:tc>
          <w:tcPr>
            <w:tcW w:w="680"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682" w:type="pct"/>
            <w:gridSpan w:val="2"/>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510"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448"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742"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681"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493"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r>
      <w:tr w:rsidR="00002DC3" w:rsidRPr="004C29A4" w:rsidTr="00D60B44">
        <w:tc>
          <w:tcPr>
            <w:tcW w:w="5000" w:type="pct"/>
            <w:gridSpan w:val="9"/>
            <w:shd w:val="clear" w:color="auto" w:fill="auto"/>
            <w:vAlign w:val="center"/>
          </w:tcPr>
          <w:p w:rsidR="00002DC3" w:rsidRPr="00191B3F" w:rsidRDefault="00002DC3" w:rsidP="00D60B44">
            <w:pPr>
              <w:rPr>
                <w:rFonts w:ascii="Arial Narrow" w:hAnsi="Arial Narrow"/>
                <w:b/>
                <w:color w:val="000000"/>
                <w:sz w:val="20"/>
              </w:rPr>
            </w:pPr>
            <w:r w:rsidRPr="002F2FC7">
              <w:rPr>
                <w:rFonts w:ascii="Arial Narrow" w:hAnsi="Arial Narrow"/>
                <w:b/>
                <w:color w:val="000000"/>
                <w:sz w:val="20"/>
              </w:rPr>
              <w:t>Febrile seizure in infants</w:t>
            </w:r>
          </w:p>
        </w:tc>
      </w:tr>
      <w:tr w:rsidR="00002DC3" w:rsidRPr="004C29A4" w:rsidTr="00D60B44">
        <w:tc>
          <w:tcPr>
            <w:tcW w:w="764" w:type="pct"/>
            <w:shd w:val="clear" w:color="auto" w:fill="auto"/>
            <w:vAlign w:val="center"/>
          </w:tcPr>
          <w:p w:rsidR="00002DC3" w:rsidRPr="00191B3F" w:rsidRDefault="00002DC3" w:rsidP="00D60B44">
            <w:pPr>
              <w:rPr>
                <w:rFonts w:ascii="Arial Narrow" w:hAnsi="Arial Narrow"/>
                <w:color w:val="000000"/>
                <w:sz w:val="20"/>
              </w:rPr>
            </w:pPr>
            <w:r w:rsidRPr="00820AC1">
              <w:rPr>
                <w:rFonts w:ascii="Arial Narrow" w:hAnsi="Arial Narrow"/>
                <w:color w:val="000000"/>
                <w:sz w:val="20"/>
              </w:rPr>
              <w:t>V72P12 and V72P13</w:t>
            </w:r>
          </w:p>
        </w:tc>
        <w:tc>
          <w:tcPr>
            <w:tcW w:w="680"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682" w:type="pct"/>
            <w:gridSpan w:val="2"/>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510"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448"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742"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681" w:type="pct"/>
            <w:vAlign w:val="center"/>
          </w:tcPr>
          <w:p w:rsidR="00002DC3" w:rsidRPr="00191B3F" w:rsidRDefault="00002DC3" w:rsidP="00D60B44">
            <w:pPr>
              <w:jc w:val="center"/>
              <w:rPr>
                <w:rFonts w:ascii="Arial Narrow" w:hAnsi="Arial Narrow"/>
                <w:color w:val="000000"/>
                <w:sz w:val="20"/>
                <w:highlight w:val="black"/>
              </w:rPr>
            </w:pPr>
            <w:r>
              <w:rPr>
                <w:rFonts w:ascii="Arial Narrow" w:hAnsi="Arial Narrow" w:cs="Calibri"/>
                <w:noProof/>
                <w:color w:val="000000"/>
                <w:sz w:val="20"/>
                <w:highlight w:val="black"/>
              </w:rPr>
              <w:t>''''''''''''</w:t>
            </w:r>
          </w:p>
        </w:tc>
        <w:tc>
          <w:tcPr>
            <w:tcW w:w="493" w:type="pct"/>
            <w:vAlign w:val="center"/>
          </w:tcPr>
          <w:p w:rsidR="00002DC3" w:rsidRPr="00191B3F" w:rsidRDefault="00002DC3" w:rsidP="00D60B44">
            <w:pPr>
              <w:jc w:val="center"/>
              <w:rPr>
                <w:rFonts w:ascii="Arial Narrow" w:hAnsi="Arial Narrow" w:cs="Calibri"/>
                <w:color w:val="0D0D0D"/>
                <w:sz w:val="20"/>
                <w:highlight w:val="black"/>
              </w:rPr>
            </w:pPr>
            <w:r>
              <w:rPr>
                <w:rFonts w:ascii="Arial Narrow" w:hAnsi="Arial Narrow" w:cs="Calibri"/>
                <w:noProof/>
                <w:color w:val="000000"/>
                <w:sz w:val="20"/>
                <w:highlight w:val="black"/>
              </w:rPr>
              <w:t>''''''''''''''</w:t>
            </w:r>
          </w:p>
        </w:tc>
      </w:tr>
      <w:tr w:rsidR="00002DC3" w:rsidRPr="004C29A4" w:rsidTr="00D60B44">
        <w:tc>
          <w:tcPr>
            <w:tcW w:w="5000" w:type="pct"/>
            <w:gridSpan w:val="9"/>
            <w:shd w:val="clear" w:color="auto" w:fill="auto"/>
            <w:vAlign w:val="center"/>
          </w:tcPr>
          <w:p w:rsidR="00002DC3" w:rsidRPr="00191B3F" w:rsidRDefault="00002DC3" w:rsidP="00D60B44">
            <w:pPr>
              <w:rPr>
                <w:rFonts w:ascii="Arial Narrow" w:hAnsi="Arial Narrow" w:cs="Calibri"/>
                <w:color w:val="0D0D0D"/>
                <w:sz w:val="20"/>
              </w:rPr>
            </w:pPr>
            <w:r w:rsidRPr="002F2FC7">
              <w:rPr>
                <w:rFonts w:ascii="Arial Narrow" w:hAnsi="Arial Narrow"/>
                <w:b/>
                <w:color w:val="000000"/>
                <w:sz w:val="20"/>
              </w:rPr>
              <w:t>Fever</w:t>
            </w:r>
            <w:r w:rsidRPr="002F2FC7">
              <w:rPr>
                <w:rFonts w:ascii="Arial Narrow" w:hAnsi="Arial Narrow"/>
                <w:b/>
                <w:color w:val="000000"/>
                <w:sz w:val="20"/>
                <w:szCs w:val="20"/>
              </w:rPr>
              <w:t xml:space="preserve"> </w:t>
            </w:r>
            <w:r w:rsidRPr="002F2FC7">
              <w:rPr>
                <w:rFonts w:ascii="Arial Narrow" w:hAnsi="Arial Narrow" w:cs="TimesNewRomanPSMT"/>
                <w:b/>
                <w:sz w:val="20"/>
                <w:szCs w:val="20"/>
              </w:rPr>
              <w:t xml:space="preserve">≥ 38.5°C </w:t>
            </w:r>
            <w:r w:rsidRPr="002F2FC7">
              <w:rPr>
                <w:rFonts w:ascii="Arial Narrow" w:hAnsi="Arial Narrow"/>
                <w:b/>
                <w:color w:val="000000"/>
                <w:sz w:val="20"/>
              </w:rPr>
              <w:t>in adolescents</w:t>
            </w:r>
          </w:p>
        </w:tc>
      </w:tr>
      <w:tr w:rsidR="00002DC3" w:rsidRPr="004C29A4" w:rsidTr="00D60B44">
        <w:tc>
          <w:tcPr>
            <w:tcW w:w="764" w:type="pct"/>
            <w:shd w:val="clear" w:color="auto" w:fill="auto"/>
            <w:vAlign w:val="center"/>
          </w:tcPr>
          <w:p w:rsidR="00002DC3" w:rsidRPr="00191B3F" w:rsidRDefault="00002DC3" w:rsidP="00D60B44">
            <w:pPr>
              <w:rPr>
                <w:rFonts w:ascii="Arial Narrow" w:hAnsi="Arial Narrow"/>
                <w:color w:val="000000"/>
                <w:sz w:val="20"/>
              </w:rPr>
            </w:pPr>
            <w:r w:rsidRPr="00820AC1">
              <w:rPr>
                <w:rFonts w:ascii="Arial Narrow" w:hAnsi="Arial Narrow"/>
                <w:color w:val="000000"/>
                <w:sz w:val="20"/>
              </w:rPr>
              <w:t>V72P10, 1</w:t>
            </w:r>
            <w:r w:rsidRPr="00820AC1">
              <w:rPr>
                <w:rFonts w:ascii="Arial Narrow" w:hAnsi="Arial Narrow"/>
                <w:color w:val="000000"/>
                <w:sz w:val="20"/>
                <w:vertAlign w:val="superscript"/>
              </w:rPr>
              <w:t>st</w:t>
            </w:r>
            <w:r w:rsidRPr="00820AC1">
              <w:rPr>
                <w:rFonts w:ascii="Arial Narrow" w:hAnsi="Arial Narrow"/>
                <w:color w:val="000000"/>
                <w:sz w:val="20"/>
              </w:rPr>
              <w:t xml:space="preserve"> vaccination</w:t>
            </w:r>
          </w:p>
        </w:tc>
        <w:tc>
          <w:tcPr>
            <w:tcW w:w="680"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682" w:type="pct"/>
            <w:gridSpan w:val="2"/>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510"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448"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742"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681"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493"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r>
      <w:tr w:rsidR="00002DC3" w:rsidRPr="004C29A4" w:rsidTr="00D60B44">
        <w:tc>
          <w:tcPr>
            <w:tcW w:w="764" w:type="pct"/>
            <w:shd w:val="clear" w:color="auto" w:fill="auto"/>
            <w:vAlign w:val="center"/>
          </w:tcPr>
          <w:p w:rsidR="00002DC3" w:rsidRPr="00191B3F" w:rsidRDefault="00002DC3" w:rsidP="00D60B44">
            <w:pPr>
              <w:rPr>
                <w:rFonts w:ascii="Arial Narrow" w:hAnsi="Arial Narrow"/>
                <w:color w:val="000000"/>
                <w:sz w:val="20"/>
              </w:rPr>
            </w:pPr>
            <w:r w:rsidRPr="00820AC1">
              <w:rPr>
                <w:rFonts w:ascii="Arial Narrow" w:hAnsi="Arial Narrow"/>
                <w:color w:val="000000"/>
                <w:sz w:val="20"/>
              </w:rPr>
              <w:t>V72P10, 2</w:t>
            </w:r>
            <w:r w:rsidRPr="00820AC1">
              <w:rPr>
                <w:rFonts w:ascii="Arial Narrow" w:hAnsi="Arial Narrow"/>
                <w:color w:val="000000"/>
                <w:sz w:val="20"/>
                <w:vertAlign w:val="superscript"/>
              </w:rPr>
              <w:t>nd</w:t>
            </w:r>
            <w:r w:rsidRPr="00820AC1">
              <w:rPr>
                <w:rFonts w:ascii="Arial Narrow" w:hAnsi="Arial Narrow"/>
                <w:color w:val="000000"/>
                <w:sz w:val="20"/>
              </w:rPr>
              <w:t xml:space="preserve"> vaccination</w:t>
            </w:r>
          </w:p>
        </w:tc>
        <w:tc>
          <w:tcPr>
            <w:tcW w:w="680"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682" w:type="pct"/>
            <w:gridSpan w:val="2"/>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510"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448"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742"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681"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c>
          <w:tcPr>
            <w:tcW w:w="493" w:type="pct"/>
            <w:vAlign w:val="center"/>
          </w:tcPr>
          <w:p w:rsidR="00002DC3" w:rsidRPr="00191B3F" w:rsidRDefault="00002DC3" w:rsidP="00D60B44">
            <w:pPr>
              <w:jc w:val="center"/>
              <w:rPr>
                <w:rFonts w:ascii="Arial Narrow" w:hAnsi="Arial Narrow" w:cs="Calibri"/>
                <w:color w:val="000000"/>
                <w:sz w:val="20"/>
                <w:highlight w:val="black"/>
              </w:rPr>
            </w:pPr>
            <w:r>
              <w:rPr>
                <w:rFonts w:ascii="Arial Narrow" w:hAnsi="Arial Narrow" w:cs="Calibri"/>
                <w:noProof/>
                <w:color w:val="000000"/>
                <w:sz w:val="20"/>
                <w:highlight w:val="black"/>
              </w:rPr>
              <w:t>''''''</w:t>
            </w:r>
          </w:p>
        </w:tc>
      </w:tr>
    </w:tbl>
    <w:p w:rsidR="00002DC3" w:rsidRPr="004F34A8" w:rsidRDefault="00002DC3" w:rsidP="00002DC3">
      <w:pPr>
        <w:pStyle w:val="TableFooter"/>
        <w:ind w:left="709"/>
        <w:rPr>
          <w:szCs w:val="18"/>
        </w:rPr>
      </w:pPr>
      <w:r w:rsidRPr="004F34A8">
        <w:rPr>
          <w:szCs w:val="18"/>
        </w:rPr>
        <w:t>IMD = Invasive meningococcal B disease; NA = not applicable; NR = not reported, RD = risk difference; RR = relative risk.</w:t>
      </w:r>
    </w:p>
    <w:p w:rsidR="00002DC3" w:rsidRPr="004F34A8" w:rsidRDefault="00002DC3" w:rsidP="00002DC3">
      <w:pPr>
        <w:pStyle w:val="TableFooter"/>
        <w:ind w:left="709"/>
        <w:rPr>
          <w:szCs w:val="18"/>
        </w:rPr>
      </w:pPr>
      <w:r w:rsidRPr="004F34A8">
        <w:rPr>
          <w:szCs w:val="18"/>
        </w:rPr>
        <w:t xml:space="preserve">* The results from the dynamic transmission model were </w:t>
      </w:r>
      <w:proofErr w:type="gramStart"/>
      <w:r w:rsidRPr="004F34A8">
        <w:rPr>
          <w:szCs w:val="18"/>
        </w:rPr>
        <w:t>presented</w:t>
      </w:r>
      <w:proofErr w:type="gramEnd"/>
      <w:r w:rsidRPr="004F34A8">
        <w:rPr>
          <w:szCs w:val="18"/>
        </w:rPr>
        <w:t xml:space="preserve"> as they are more clinically relevant than the immunogenicity results reported by the clinical trials.</w:t>
      </w:r>
    </w:p>
    <w:p w:rsidR="00002DC3" w:rsidRPr="004F34A8" w:rsidRDefault="00002DC3" w:rsidP="00002DC3">
      <w:pPr>
        <w:pStyle w:val="TableFooter"/>
        <w:ind w:left="709"/>
        <w:rPr>
          <w:szCs w:val="18"/>
        </w:rPr>
      </w:pPr>
      <w:r w:rsidRPr="004F34A8">
        <w:rPr>
          <w:szCs w:val="18"/>
        </w:rPr>
        <w:t xml:space="preserve">** Maximum duration of exposure: V72P12 and V72P13 = </w:t>
      </w:r>
      <w:proofErr w:type="gramStart"/>
      <w:r w:rsidRPr="004F34A8">
        <w:rPr>
          <w:szCs w:val="18"/>
        </w:rPr>
        <w:t>3</w:t>
      </w:r>
      <w:proofErr w:type="gramEnd"/>
      <w:r w:rsidRPr="004F34A8">
        <w:rPr>
          <w:szCs w:val="18"/>
        </w:rPr>
        <w:t xml:space="preserve"> doses (primary vaccination).</w:t>
      </w:r>
    </w:p>
    <w:p w:rsidR="00002DC3" w:rsidRPr="004F34A8" w:rsidRDefault="00002DC3" w:rsidP="00002DC3">
      <w:pPr>
        <w:pStyle w:val="TableFooter"/>
        <w:ind w:left="709"/>
        <w:rPr>
          <w:szCs w:val="18"/>
        </w:rPr>
      </w:pPr>
      <w:r w:rsidRPr="004F34A8">
        <w:rPr>
          <w:szCs w:val="18"/>
        </w:rPr>
        <w:t># Number needed to vaccinate to avoid one case = 71,934,378 vaccinated / cases or deaths avoided (number vaccinated based on sheet “Vaccine inputs_str1” in Attach 11_Economic Model 1.xls).</w:t>
      </w:r>
    </w:p>
    <w:p w:rsidR="00002DC3" w:rsidRPr="004F34A8" w:rsidRDefault="00002DC3" w:rsidP="00002DC3">
      <w:pPr>
        <w:pStyle w:val="TableFooter"/>
        <w:ind w:left="709"/>
        <w:rPr>
          <w:szCs w:val="18"/>
        </w:rPr>
      </w:pPr>
      <w:r w:rsidRPr="004F34A8">
        <w:rPr>
          <w:szCs w:val="18"/>
        </w:rPr>
        <w:t>§ Number needed to vaccinate to avoid one case = 3,538,914 vaccinated / cases or deaths avoided (number vaccinated based on sheet “Vaccine inputs_str1” in Attach 11_Economic Model 1.xls).</w:t>
      </w:r>
    </w:p>
    <w:p w:rsidR="00002DC3" w:rsidRPr="004F34A8" w:rsidRDefault="00002DC3" w:rsidP="00002DC3">
      <w:pPr>
        <w:pStyle w:val="TableFooter"/>
        <w:ind w:left="709"/>
        <w:rPr>
          <w:szCs w:val="18"/>
        </w:rPr>
      </w:pPr>
      <w:r w:rsidRPr="004F34A8">
        <w:rPr>
          <w:szCs w:val="18"/>
        </w:rPr>
        <w:t xml:space="preserve">## Number of vaccinations to cause one AE = </w:t>
      </w:r>
      <w:proofErr w:type="gramStart"/>
      <w:r w:rsidRPr="004F34A8">
        <w:rPr>
          <w:szCs w:val="18"/>
        </w:rPr>
        <w:t>1</w:t>
      </w:r>
      <w:proofErr w:type="gramEnd"/>
      <w:r w:rsidRPr="004F34A8">
        <w:rPr>
          <w:szCs w:val="18"/>
        </w:rPr>
        <w:t xml:space="preserve"> / RD.</w:t>
      </w:r>
    </w:p>
    <w:p w:rsidR="00002DC3" w:rsidRPr="004F34A8" w:rsidRDefault="00002DC3" w:rsidP="00002DC3">
      <w:pPr>
        <w:pStyle w:val="TableFooter"/>
        <w:ind w:left="709"/>
        <w:rPr>
          <w:szCs w:val="18"/>
        </w:rPr>
      </w:pPr>
      <w:proofErr w:type="gramStart"/>
      <w:r w:rsidRPr="004F34A8">
        <w:rPr>
          <w:szCs w:val="18"/>
        </w:rPr>
        <w:t>Source: Table 5 of the commentary.</w:t>
      </w:r>
      <w:proofErr w:type="gramEnd"/>
    </w:p>
    <w:p w:rsidR="00002DC3" w:rsidRPr="0014488F" w:rsidRDefault="00002DC3" w:rsidP="00002DC3">
      <w:pPr>
        <w:jc w:val="both"/>
        <w:rPr>
          <w:rFonts w:ascii="Arial" w:hAnsi="Arial"/>
          <w:sz w:val="22"/>
          <w:szCs w:val="22"/>
        </w:rPr>
      </w:pPr>
    </w:p>
    <w:p w:rsidR="00002DC3" w:rsidRPr="00830262" w:rsidRDefault="00002DC3" w:rsidP="00002DC3">
      <w:pPr>
        <w:pStyle w:val="ListParagraph"/>
        <w:numPr>
          <w:ilvl w:val="1"/>
          <w:numId w:val="1"/>
        </w:numPr>
        <w:jc w:val="both"/>
        <w:rPr>
          <w:rFonts w:ascii="Arial" w:hAnsi="Arial"/>
          <w:sz w:val="22"/>
          <w:szCs w:val="22"/>
        </w:rPr>
      </w:pPr>
      <w:r w:rsidRPr="00882085">
        <w:rPr>
          <w:rFonts w:ascii="Arial" w:hAnsi="Arial"/>
          <w:sz w:val="22"/>
          <w:szCs w:val="22"/>
        </w:rPr>
        <w:lastRenderedPageBreak/>
        <w:t xml:space="preserve">The PBAC noted </w:t>
      </w:r>
      <w:r>
        <w:rPr>
          <w:rFonts w:ascii="Arial" w:hAnsi="Arial"/>
          <w:sz w:val="22"/>
          <w:szCs w:val="22"/>
        </w:rPr>
        <w:t xml:space="preserve">that, on </w:t>
      </w:r>
      <w:r w:rsidRPr="00830262">
        <w:rPr>
          <w:rFonts w:ascii="Arial" w:hAnsi="Arial"/>
          <w:sz w:val="22"/>
          <w:szCs w:val="22"/>
        </w:rPr>
        <w:t xml:space="preserve">the basis of the results of the dynamic infectious disease model presented </w:t>
      </w:r>
      <w:r>
        <w:rPr>
          <w:rFonts w:ascii="Arial" w:hAnsi="Arial"/>
          <w:sz w:val="22"/>
          <w:szCs w:val="22"/>
        </w:rPr>
        <w:t>in</w:t>
      </w:r>
      <w:r w:rsidRPr="00830262">
        <w:rPr>
          <w:rFonts w:ascii="Arial" w:hAnsi="Arial"/>
          <w:sz w:val="22"/>
          <w:szCs w:val="22"/>
        </w:rPr>
        <w:t xml:space="preserve"> the resubmission</w:t>
      </w:r>
      <w:r>
        <w:rPr>
          <w:rFonts w:ascii="Arial" w:hAnsi="Arial"/>
          <w:sz w:val="22"/>
          <w:szCs w:val="22"/>
        </w:rPr>
        <w:t xml:space="preserve"> to translate serologic response reported in the trials</w:t>
      </w:r>
      <w:r w:rsidRPr="00830262">
        <w:rPr>
          <w:rFonts w:ascii="Arial" w:hAnsi="Arial"/>
          <w:sz w:val="22"/>
          <w:szCs w:val="22"/>
        </w:rPr>
        <w:t>:</w:t>
      </w:r>
    </w:p>
    <w:p w:rsidR="00002DC3" w:rsidRPr="00830262" w:rsidRDefault="00002DC3" w:rsidP="00002DC3">
      <w:pPr>
        <w:pStyle w:val="ListParagraph"/>
        <w:numPr>
          <w:ilvl w:val="1"/>
          <w:numId w:val="5"/>
        </w:numPr>
        <w:jc w:val="both"/>
        <w:rPr>
          <w:rFonts w:ascii="Arial" w:hAnsi="Arial"/>
          <w:sz w:val="22"/>
          <w:szCs w:val="22"/>
        </w:rPr>
      </w:pPr>
      <w:r>
        <w:rPr>
          <w:rFonts w:ascii="Arial" w:hAnsi="Arial"/>
          <w:sz w:val="22"/>
          <w:szCs w:val="22"/>
        </w:rPr>
        <w:t>a</w:t>
      </w:r>
      <w:r w:rsidRPr="00830262">
        <w:rPr>
          <w:rFonts w:ascii="Arial" w:hAnsi="Arial"/>
          <w:sz w:val="22"/>
          <w:szCs w:val="22"/>
        </w:rPr>
        <w:t xml:space="preserve">pproximately 336 </w:t>
      </w:r>
      <w:r>
        <w:rPr>
          <w:rFonts w:ascii="Arial" w:hAnsi="Arial"/>
          <w:sz w:val="22"/>
          <w:szCs w:val="22"/>
        </w:rPr>
        <w:t xml:space="preserve">IMD </w:t>
      </w:r>
      <w:r w:rsidRPr="00830262">
        <w:rPr>
          <w:rFonts w:ascii="Arial" w:hAnsi="Arial"/>
          <w:sz w:val="22"/>
          <w:szCs w:val="22"/>
        </w:rPr>
        <w:t>cases would be avoided over 5 years</w:t>
      </w:r>
      <w:r>
        <w:rPr>
          <w:rFonts w:ascii="Arial" w:hAnsi="Arial"/>
          <w:sz w:val="22"/>
          <w:szCs w:val="22"/>
        </w:rPr>
        <w:t xml:space="preserve"> and a</w:t>
      </w:r>
      <w:r w:rsidRPr="00830262">
        <w:rPr>
          <w:rFonts w:ascii="Arial" w:hAnsi="Arial"/>
          <w:sz w:val="22"/>
          <w:szCs w:val="22"/>
        </w:rPr>
        <w:t xml:space="preserve">pproximately 10,532 individuals would need to be fully vaccinated to avoid one IMD case </w:t>
      </w:r>
      <w:r>
        <w:rPr>
          <w:rFonts w:ascii="Arial" w:hAnsi="Arial"/>
          <w:sz w:val="22"/>
          <w:szCs w:val="22"/>
        </w:rPr>
        <w:t>(over 5 years)</w:t>
      </w:r>
    </w:p>
    <w:p w:rsidR="00002DC3" w:rsidRPr="00830262" w:rsidRDefault="00002DC3" w:rsidP="00002DC3">
      <w:pPr>
        <w:pStyle w:val="ListParagraph"/>
        <w:numPr>
          <w:ilvl w:val="1"/>
          <w:numId w:val="5"/>
        </w:numPr>
        <w:jc w:val="both"/>
        <w:rPr>
          <w:rFonts w:ascii="Arial" w:hAnsi="Arial"/>
          <w:sz w:val="22"/>
          <w:szCs w:val="22"/>
        </w:rPr>
      </w:pPr>
      <w:proofErr w:type="gramStart"/>
      <w:r>
        <w:rPr>
          <w:rFonts w:ascii="Arial" w:hAnsi="Arial"/>
          <w:sz w:val="22"/>
          <w:szCs w:val="22"/>
        </w:rPr>
        <w:t>a</w:t>
      </w:r>
      <w:r w:rsidRPr="00830262">
        <w:rPr>
          <w:rFonts w:ascii="Arial" w:hAnsi="Arial"/>
          <w:sz w:val="22"/>
          <w:szCs w:val="22"/>
        </w:rPr>
        <w:t>pproximately</w:t>
      </w:r>
      <w:proofErr w:type="gramEnd"/>
      <w:r w:rsidRPr="00830262">
        <w:rPr>
          <w:rFonts w:ascii="Arial" w:hAnsi="Arial"/>
          <w:sz w:val="22"/>
          <w:szCs w:val="22"/>
        </w:rPr>
        <w:t xml:space="preserve"> 13 deaths would be avoided over 5 years</w:t>
      </w:r>
      <w:r>
        <w:rPr>
          <w:rFonts w:ascii="Arial" w:hAnsi="Arial"/>
          <w:sz w:val="22"/>
          <w:szCs w:val="22"/>
        </w:rPr>
        <w:t xml:space="preserve"> and a</w:t>
      </w:r>
      <w:r w:rsidRPr="00830262">
        <w:rPr>
          <w:rFonts w:ascii="Arial" w:hAnsi="Arial"/>
          <w:sz w:val="22"/>
          <w:szCs w:val="22"/>
        </w:rPr>
        <w:t>pproximately 272,224 individuals would need to be fully vaccinated to avoid one death (over 5 years).</w:t>
      </w:r>
    </w:p>
    <w:p w:rsidR="00002DC3" w:rsidRPr="00CF0508" w:rsidRDefault="00002DC3" w:rsidP="00002DC3">
      <w:pPr>
        <w:ind w:left="710"/>
        <w:jc w:val="both"/>
        <w:rPr>
          <w:rFonts w:ascii="Arial" w:hAnsi="Arial"/>
          <w:sz w:val="22"/>
          <w:szCs w:val="22"/>
        </w:rPr>
      </w:pPr>
      <w:r>
        <w:rPr>
          <w:rFonts w:ascii="Arial" w:hAnsi="Arial"/>
          <w:sz w:val="22"/>
          <w:szCs w:val="22"/>
        </w:rPr>
        <w:t xml:space="preserve">The PBAC noted that, </w:t>
      </w:r>
      <w:proofErr w:type="gramStart"/>
      <w:r>
        <w:rPr>
          <w:rFonts w:ascii="Arial" w:hAnsi="Arial"/>
          <w:sz w:val="22"/>
          <w:szCs w:val="22"/>
        </w:rPr>
        <w:t>o</w:t>
      </w:r>
      <w:r w:rsidRPr="00CF0508">
        <w:rPr>
          <w:rFonts w:ascii="Arial" w:hAnsi="Arial"/>
          <w:sz w:val="22"/>
          <w:szCs w:val="22"/>
        </w:rPr>
        <w:t>n the basis of</w:t>
      </w:r>
      <w:proofErr w:type="gramEnd"/>
      <w:r w:rsidRPr="00CF0508">
        <w:rPr>
          <w:rFonts w:ascii="Arial" w:hAnsi="Arial"/>
          <w:sz w:val="22"/>
          <w:szCs w:val="22"/>
        </w:rPr>
        <w:t xml:space="preserve"> the results of studies V72P12 and V72P13 in infants presented </w:t>
      </w:r>
      <w:r>
        <w:rPr>
          <w:rFonts w:ascii="Arial" w:hAnsi="Arial"/>
          <w:sz w:val="22"/>
          <w:szCs w:val="22"/>
        </w:rPr>
        <w:t>in</w:t>
      </w:r>
      <w:r w:rsidRPr="00CF0508">
        <w:rPr>
          <w:rFonts w:ascii="Arial" w:hAnsi="Arial"/>
          <w:sz w:val="22"/>
          <w:szCs w:val="22"/>
        </w:rPr>
        <w:t xml:space="preserve"> the </w:t>
      </w:r>
      <w:r>
        <w:rPr>
          <w:rFonts w:ascii="Arial" w:hAnsi="Arial"/>
          <w:sz w:val="22"/>
          <w:szCs w:val="22"/>
        </w:rPr>
        <w:t>re</w:t>
      </w:r>
      <w:r w:rsidRPr="00CF0508">
        <w:rPr>
          <w:rFonts w:ascii="Arial" w:hAnsi="Arial"/>
          <w:sz w:val="22"/>
          <w:szCs w:val="22"/>
        </w:rPr>
        <w:t>submission</w:t>
      </w:r>
      <w:r>
        <w:rPr>
          <w:rFonts w:ascii="Arial" w:hAnsi="Arial"/>
          <w:sz w:val="22"/>
          <w:szCs w:val="22"/>
        </w:rPr>
        <w:t>, and thus without effective prophylaxis with paracetamol</w:t>
      </w:r>
      <w:r w:rsidRPr="00CF0508">
        <w:rPr>
          <w:rFonts w:ascii="Arial" w:hAnsi="Arial"/>
          <w:sz w:val="22"/>
          <w:szCs w:val="22"/>
        </w:rPr>
        <w:t>:</w:t>
      </w:r>
    </w:p>
    <w:p w:rsidR="00002DC3" w:rsidRPr="00830262" w:rsidRDefault="00002DC3" w:rsidP="00002DC3">
      <w:pPr>
        <w:pStyle w:val="ListParagraph"/>
        <w:numPr>
          <w:ilvl w:val="1"/>
          <w:numId w:val="5"/>
        </w:numPr>
        <w:jc w:val="both"/>
        <w:rPr>
          <w:rFonts w:ascii="Arial" w:hAnsi="Arial"/>
          <w:sz w:val="22"/>
          <w:szCs w:val="22"/>
        </w:rPr>
      </w:pPr>
      <w:r>
        <w:rPr>
          <w:rFonts w:ascii="Arial" w:hAnsi="Arial"/>
          <w:sz w:val="22"/>
          <w:szCs w:val="22"/>
        </w:rPr>
        <w:t>a</w:t>
      </w:r>
      <w:r w:rsidRPr="00830262">
        <w:rPr>
          <w:rFonts w:ascii="Arial" w:hAnsi="Arial"/>
          <w:sz w:val="22"/>
          <w:szCs w:val="22"/>
        </w:rPr>
        <w:t>pproximately one fever ≥ 38.5</w:t>
      </w:r>
      <w:r>
        <w:rPr>
          <w:rFonts w:ascii="Arial" w:hAnsi="Arial" w:cs="Arial"/>
          <w:sz w:val="22"/>
          <w:szCs w:val="22"/>
        </w:rPr>
        <w:t>°</w:t>
      </w:r>
      <w:r w:rsidRPr="00830262">
        <w:rPr>
          <w:rFonts w:ascii="Arial" w:hAnsi="Arial"/>
          <w:sz w:val="22"/>
          <w:szCs w:val="22"/>
        </w:rPr>
        <w:t>C would occur in every</w:t>
      </w:r>
      <w:r>
        <w:rPr>
          <w:rFonts w:ascii="Arial" w:hAnsi="Arial"/>
          <w:sz w:val="22"/>
          <w:szCs w:val="22"/>
        </w:rPr>
        <w:t xml:space="preserve"> 4 to 6 vaccinations in infants</w:t>
      </w:r>
    </w:p>
    <w:p w:rsidR="00002DC3" w:rsidRPr="00830262" w:rsidRDefault="00002DC3" w:rsidP="00002DC3">
      <w:pPr>
        <w:pStyle w:val="ListParagraph"/>
        <w:numPr>
          <w:ilvl w:val="1"/>
          <w:numId w:val="5"/>
        </w:numPr>
        <w:jc w:val="both"/>
        <w:rPr>
          <w:rFonts w:ascii="Arial" w:hAnsi="Arial"/>
          <w:sz w:val="22"/>
          <w:szCs w:val="22"/>
        </w:rPr>
      </w:pPr>
      <w:r>
        <w:rPr>
          <w:rFonts w:ascii="Arial" w:hAnsi="Arial"/>
          <w:sz w:val="22"/>
          <w:szCs w:val="22"/>
        </w:rPr>
        <w:t>a</w:t>
      </w:r>
      <w:r w:rsidRPr="00830262">
        <w:rPr>
          <w:rFonts w:ascii="Arial" w:hAnsi="Arial"/>
          <w:sz w:val="22"/>
          <w:szCs w:val="22"/>
        </w:rPr>
        <w:t>pproximately one medically attended fever would occur in every 228</w:t>
      </w:r>
      <w:r>
        <w:rPr>
          <w:rFonts w:ascii="Arial" w:hAnsi="Arial"/>
          <w:sz w:val="22"/>
          <w:szCs w:val="22"/>
        </w:rPr>
        <w:t xml:space="preserve"> to 588 vaccinations in infants</w:t>
      </w:r>
    </w:p>
    <w:p w:rsidR="00002DC3" w:rsidRPr="00830262" w:rsidRDefault="00002DC3" w:rsidP="00002DC3">
      <w:pPr>
        <w:pStyle w:val="ListParagraph"/>
        <w:numPr>
          <w:ilvl w:val="1"/>
          <w:numId w:val="5"/>
        </w:numPr>
        <w:jc w:val="both"/>
        <w:rPr>
          <w:rFonts w:ascii="Arial" w:hAnsi="Arial"/>
          <w:sz w:val="22"/>
          <w:szCs w:val="22"/>
        </w:rPr>
      </w:pPr>
      <w:proofErr w:type="gramStart"/>
      <w:r>
        <w:rPr>
          <w:rFonts w:ascii="Arial" w:hAnsi="Arial"/>
          <w:sz w:val="22"/>
          <w:szCs w:val="22"/>
        </w:rPr>
        <w:t>a</w:t>
      </w:r>
      <w:r w:rsidRPr="00830262">
        <w:rPr>
          <w:rFonts w:ascii="Arial" w:hAnsi="Arial"/>
          <w:sz w:val="22"/>
          <w:szCs w:val="22"/>
        </w:rPr>
        <w:t>pproximately</w:t>
      </w:r>
      <w:proofErr w:type="gramEnd"/>
      <w:r w:rsidRPr="00830262">
        <w:rPr>
          <w:rFonts w:ascii="Arial" w:hAnsi="Arial"/>
          <w:sz w:val="22"/>
          <w:szCs w:val="22"/>
        </w:rPr>
        <w:t xml:space="preserve"> one febrile seizure would occur in every 2,500 vaccinations in infants.</w:t>
      </w:r>
    </w:p>
    <w:p w:rsidR="00002DC3" w:rsidRDefault="00002DC3" w:rsidP="00002DC3">
      <w:pPr>
        <w:ind w:left="710"/>
        <w:jc w:val="both"/>
        <w:rPr>
          <w:rFonts w:ascii="Arial" w:hAnsi="Arial"/>
          <w:sz w:val="22"/>
          <w:szCs w:val="22"/>
        </w:rPr>
      </w:pPr>
      <w:r w:rsidRPr="002E1786">
        <w:rPr>
          <w:rFonts w:ascii="Arial" w:hAnsi="Arial"/>
          <w:sz w:val="22"/>
          <w:szCs w:val="22"/>
        </w:rPr>
        <w:t>The rate of fever in adolescents is much lower.</w:t>
      </w:r>
    </w:p>
    <w:p w:rsidR="00002DC3" w:rsidRPr="002E1786" w:rsidRDefault="00002DC3" w:rsidP="00002DC3">
      <w:pPr>
        <w:jc w:val="both"/>
        <w:rPr>
          <w:rFonts w:ascii="Arial" w:hAnsi="Arial"/>
          <w:sz w:val="22"/>
          <w:szCs w:val="22"/>
        </w:rPr>
      </w:pPr>
    </w:p>
    <w:p w:rsidR="00002DC3" w:rsidRPr="003D0F9D"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The PBAC recalled that in consideration of submission in November 2013, </w:t>
      </w:r>
      <w:r w:rsidRPr="003D0F9D">
        <w:rPr>
          <w:rFonts w:ascii="Arial" w:hAnsi="Arial"/>
          <w:sz w:val="22"/>
          <w:szCs w:val="22"/>
        </w:rPr>
        <w:t xml:space="preserve">ATAGI noted that there is inadequate </w:t>
      </w:r>
      <w:r>
        <w:rPr>
          <w:rFonts w:ascii="Arial" w:hAnsi="Arial"/>
          <w:sz w:val="22"/>
          <w:szCs w:val="22"/>
        </w:rPr>
        <w:t xml:space="preserve">statistical </w:t>
      </w:r>
      <w:r w:rsidRPr="003D0F9D">
        <w:rPr>
          <w:rFonts w:ascii="Arial" w:hAnsi="Arial"/>
          <w:sz w:val="22"/>
          <w:szCs w:val="22"/>
        </w:rPr>
        <w:t xml:space="preserve">power to confirm or refute the possibility of 4CMenB causing febrile seizures, and the possibility of excess cases of vaccine-attributable febrile seizure if a toddler catch-up program </w:t>
      </w:r>
      <w:proofErr w:type="gramStart"/>
      <w:r w:rsidRPr="003D0F9D">
        <w:rPr>
          <w:rFonts w:ascii="Arial" w:hAnsi="Arial"/>
          <w:sz w:val="22"/>
          <w:szCs w:val="22"/>
        </w:rPr>
        <w:t>is implemented</w:t>
      </w:r>
      <w:proofErr w:type="gramEnd"/>
      <w:r w:rsidRPr="003D0F9D">
        <w:rPr>
          <w:rFonts w:ascii="Arial" w:hAnsi="Arial"/>
          <w:sz w:val="22"/>
          <w:szCs w:val="22"/>
        </w:rPr>
        <w:t xml:space="preserve"> cannot be dismissed. Prophylactic paracetamol use would reduce the rate of fever occurrence in infants in clinical practice</w:t>
      </w:r>
      <w:r>
        <w:rPr>
          <w:rFonts w:ascii="Arial" w:hAnsi="Arial"/>
          <w:sz w:val="22"/>
          <w:szCs w:val="22"/>
        </w:rPr>
        <w:t xml:space="preserve">. The likely uptake of routine prophylactic paracetamol in the Australian community was unknown. </w:t>
      </w:r>
      <w:r w:rsidRPr="003D0F9D">
        <w:rPr>
          <w:rFonts w:ascii="Arial" w:hAnsi="Arial"/>
          <w:sz w:val="22"/>
          <w:szCs w:val="22"/>
        </w:rPr>
        <w:t xml:space="preserve">There was, however, a lack of evidence of effective prevention of febrile seizures with paracetamol use, and evidence of lack of effectiveness in prevention of recurrence of febrile seizures with paracetamol use among those with history of febrile seizures. In rare circumstances, febrile seizures may result in long-term impacts. The PBAC also noted that there </w:t>
      </w:r>
      <w:proofErr w:type="gramStart"/>
      <w:r w:rsidRPr="003D0F9D">
        <w:rPr>
          <w:rFonts w:ascii="Arial" w:hAnsi="Arial"/>
          <w:sz w:val="22"/>
          <w:szCs w:val="22"/>
        </w:rPr>
        <w:t>may</w:t>
      </w:r>
      <w:proofErr w:type="gramEnd"/>
      <w:r w:rsidRPr="003D0F9D">
        <w:rPr>
          <w:rFonts w:ascii="Arial" w:hAnsi="Arial"/>
          <w:sz w:val="22"/>
          <w:szCs w:val="22"/>
        </w:rPr>
        <w:t xml:space="preserve"> be a loss of confidence in immunisation arising from concerns about increased rates of fever and seizures. </w:t>
      </w:r>
    </w:p>
    <w:p w:rsidR="00002DC3" w:rsidRPr="003D0F9D" w:rsidRDefault="00002DC3" w:rsidP="00002DC3">
      <w:pPr>
        <w:jc w:val="both"/>
        <w:rPr>
          <w:rFonts w:ascii="Arial" w:hAnsi="Arial"/>
          <w:sz w:val="22"/>
          <w:szCs w:val="22"/>
        </w:rPr>
      </w:pPr>
    </w:p>
    <w:p w:rsidR="00002DC3" w:rsidRPr="00BB7EC3" w:rsidRDefault="00002DC3" w:rsidP="00002D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002DC3" w:rsidRPr="0014488F" w:rsidRDefault="00002DC3" w:rsidP="00002DC3">
      <w:pPr>
        <w:jc w:val="both"/>
        <w:rPr>
          <w:rFonts w:ascii="Arial" w:hAnsi="Arial"/>
          <w:sz w:val="22"/>
          <w:szCs w:val="22"/>
        </w:rPr>
      </w:pPr>
    </w:p>
    <w:p w:rsidR="00002DC3" w:rsidRPr="00882085" w:rsidRDefault="00002DC3" w:rsidP="00002DC3">
      <w:pPr>
        <w:jc w:val="both"/>
        <w:rPr>
          <w:rFonts w:ascii="Arial" w:hAnsi="Arial"/>
          <w:b/>
          <w:i/>
          <w:sz w:val="22"/>
          <w:szCs w:val="22"/>
        </w:rPr>
      </w:pPr>
      <w:r w:rsidRPr="00882085">
        <w:rPr>
          <w:rFonts w:ascii="Arial" w:hAnsi="Arial"/>
          <w:b/>
          <w:i/>
          <w:sz w:val="22"/>
          <w:szCs w:val="22"/>
        </w:rPr>
        <w:t>Clinical claim</w:t>
      </w:r>
    </w:p>
    <w:p w:rsidR="00002DC3" w:rsidRPr="0014488F" w:rsidRDefault="00002DC3" w:rsidP="00002DC3">
      <w:pPr>
        <w:jc w:val="both"/>
        <w:rPr>
          <w:rFonts w:ascii="Arial" w:hAnsi="Arial"/>
          <w:sz w:val="22"/>
          <w:szCs w:val="22"/>
        </w:rPr>
      </w:pPr>
    </w:p>
    <w:p w:rsidR="00002DC3"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w:t>
      </w:r>
      <w:r w:rsidRPr="007411AC">
        <w:rPr>
          <w:rFonts w:ascii="Arial" w:hAnsi="Arial"/>
          <w:sz w:val="22"/>
          <w:szCs w:val="22"/>
        </w:rPr>
        <w:t xml:space="preserve">The </w:t>
      </w:r>
      <w:r>
        <w:rPr>
          <w:rFonts w:ascii="Arial" w:hAnsi="Arial"/>
          <w:sz w:val="22"/>
          <w:szCs w:val="22"/>
        </w:rPr>
        <w:t>re</w:t>
      </w:r>
      <w:r w:rsidRPr="007411AC">
        <w:rPr>
          <w:rFonts w:ascii="Arial" w:hAnsi="Arial"/>
          <w:sz w:val="22"/>
          <w:szCs w:val="22"/>
        </w:rPr>
        <w:t>submission describe</w:t>
      </w:r>
      <w:r>
        <w:rPr>
          <w:rFonts w:ascii="Arial" w:hAnsi="Arial"/>
          <w:sz w:val="22"/>
          <w:szCs w:val="22"/>
        </w:rPr>
        <w:t>d</w:t>
      </w:r>
      <w:r w:rsidRPr="007411AC">
        <w:rPr>
          <w:rFonts w:ascii="Arial" w:hAnsi="Arial"/>
          <w:sz w:val="22"/>
          <w:szCs w:val="22"/>
        </w:rPr>
        <w:t xml:space="preserve"> 4CMenB as superior in terms of comparative effectiveness, with an acceptable tolerability profile in infants and adolescents. This </w:t>
      </w:r>
      <w:r>
        <w:rPr>
          <w:rFonts w:ascii="Arial" w:hAnsi="Arial"/>
          <w:sz w:val="22"/>
          <w:szCs w:val="22"/>
        </w:rPr>
        <w:t>wa</w:t>
      </w:r>
      <w:r w:rsidRPr="007411AC">
        <w:rPr>
          <w:rFonts w:ascii="Arial" w:hAnsi="Arial"/>
          <w:sz w:val="22"/>
          <w:szCs w:val="22"/>
        </w:rPr>
        <w:t>s unchanged from the</w:t>
      </w:r>
      <w:r>
        <w:rPr>
          <w:rFonts w:ascii="Arial" w:hAnsi="Arial"/>
          <w:sz w:val="22"/>
          <w:szCs w:val="22"/>
        </w:rPr>
        <w:t xml:space="preserve"> previous submission and remained</w:t>
      </w:r>
      <w:r w:rsidRPr="007411AC">
        <w:rPr>
          <w:rFonts w:ascii="Arial" w:hAnsi="Arial"/>
          <w:sz w:val="22"/>
          <w:szCs w:val="22"/>
        </w:rPr>
        <w:t xml:space="preserve"> uncertain.</w:t>
      </w:r>
    </w:p>
    <w:p w:rsidR="00002DC3" w:rsidRPr="00BB7EC3" w:rsidRDefault="00002DC3" w:rsidP="00002DC3">
      <w:pPr>
        <w:jc w:val="both"/>
        <w:rPr>
          <w:rFonts w:ascii="Arial" w:hAnsi="Arial"/>
          <w:sz w:val="22"/>
          <w:szCs w:val="22"/>
        </w:rPr>
      </w:pPr>
    </w:p>
    <w:p w:rsidR="00002DC3"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The PBAC agreed in November 2013 that the vaccine is effective in inducing antibodies against the component antigens of 4CMenB. However, in the context of a population-based intervention against IMD, the Committee had also considered that the clinical claim was highly uncertain because of the likely short persistence of the antibody response, the unknown effect upon carriage of the bacteria, and the overall uncertain long-term protective efficacy against infection and disease.</w:t>
      </w:r>
    </w:p>
    <w:p w:rsidR="00002DC3" w:rsidRPr="0014488F" w:rsidRDefault="00002DC3" w:rsidP="00002DC3">
      <w:pPr>
        <w:rPr>
          <w:rFonts w:ascii="Arial" w:hAnsi="Arial"/>
          <w:sz w:val="22"/>
          <w:szCs w:val="22"/>
        </w:rPr>
      </w:pPr>
    </w:p>
    <w:p w:rsidR="00002DC3" w:rsidRPr="001F1882"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w:t>
      </w:r>
      <w:r w:rsidRPr="001F1882">
        <w:rPr>
          <w:rFonts w:ascii="Arial" w:hAnsi="Arial"/>
          <w:sz w:val="22"/>
          <w:szCs w:val="22"/>
        </w:rPr>
        <w:t>The PBAC agreed in November 2013 that</w:t>
      </w:r>
      <w:r>
        <w:rPr>
          <w:rFonts w:ascii="Arial" w:hAnsi="Arial"/>
          <w:sz w:val="22"/>
          <w:szCs w:val="22"/>
        </w:rPr>
        <w:t>,</w:t>
      </w:r>
      <w:r w:rsidRPr="00085010">
        <w:rPr>
          <w:rFonts w:ascii="Arial" w:hAnsi="Arial"/>
          <w:sz w:val="22"/>
          <w:szCs w:val="22"/>
        </w:rPr>
        <w:t xml:space="preserve"> in general, the local transient </w:t>
      </w:r>
      <w:proofErr w:type="spellStart"/>
      <w:r w:rsidRPr="00085010">
        <w:rPr>
          <w:rFonts w:ascii="Arial" w:hAnsi="Arial"/>
          <w:sz w:val="22"/>
          <w:szCs w:val="22"/>
        </w:rPr>
        <w:t>reactogenicity</w:t>
      </w:r>
      <w:proofErr w:type="spellEnd"/>
      <w:r w:rsidRPr="00085010">
        <w:rPr>
          <w:rFonts w:ascii="Arial" w:hAnsi="Arial"/>
          <w:sz w:val="22"/>
          <w:szCs w:val="22"/>
        </w:rPr>
        <w:t xml:space="preserve"> of 4CMen</w:t>
      </w:r>
      <w:r w:rsidRPr="00C03B46">
        <w:rPr>
          <w:rFonts w:ascii="Arial" w:hAnsi="Arial"/>
          <w:sz w:val="22"/>
          <w:szCs w:val="22"/>
        </w:rPr>
        <w:t xml:space="preserve">B was not different to routine vaccination, noting the rates of fever in infant participants of the trials </w:t>
      </w:r>
      <w:r w:rsidRPr="001F1882">
        <w:rPr>
          <w:rFonts w:ascii="Arial" w:hAnsi="Arial"/>
          <w:sz w:val="22"/>
          <w:szCs w:val="22"/>
        </w:rPr>
        <w:t>receiving the vaccine and agreed that prophylactic par</w:t>
      </w:r>
      <w:r>
        <w:rPr>
          <w:rFonts w:ascii="Arial" w:hAnsi="Arial"/>
          <w:sz w:val="22"/>
          <w:szCs w:val="22"/>
        </w:rPr>
        <w:t>acetamol would be appropriate.</w:t>
      </w:r>
    </w:p>
    <w:p w:rsidR="00002DC3" w:rsidRPr="0014488F" w:rsidRDefault="00002DC3" w:rsidP="00002DC3">
      <w:pPr>
        <w:jc w:val="both"/>
        <w:rPr>
          <w:rFonts w:ascii="Arial" w:hAnsi="Arial"/>
          <w:sz w:val="22"/>
          <w:szCs w:val="22"/>
        </w:rPr>
      </w:pPr>
    </w:p>
    <w:p w:rsidR="00002DC3" w:rsidRPr="00BB7EC3" w:rsidRDefault="00002DC3" w:rsidP="00002DC3">
      <w:pPr>
        <w:pStyle w:val="ListParagraph"/>
        <w:ind w:left="709"/>
        <w:jc w:val="both"/>
        <w:rPr>
          <w:rFonts w:ascii="Arial" w:hAnsi="Arial"/>
          <w:i/>
          <w:sz w:val="22"/>
          <w:szCs w:val="22"/>
        </w:rPr>
      </w:pPr>
      <w:r>
        <w:rPr>
          <w:rFonts w:ascii="Arial" w:hAnsi="Arial"/>
          <w:i/>
          <w:sz w:val="22"/>
          <w:szCs w:val="22"/>
        </w:rPr>
        <w:lastRenderedPageBreak/>
        <w:t>For more detail on PBAC’s view, see section 7 “PBAC outcome”</w:t>
      </w:r>
    </w:p>
    <w:p w:rsidR="00002DC3" w:rsidRPr="00882085" w:rsidRDefault="00002DC3" w:rsidP="00002DC3">
      <w:pPr>
        <w:ind w:left="720" w:hanging="720"/>
        <w:jc w:val="both"/>
        <w:rPr>
          <w:rFonts w:ascii="Arial" w:hAnsi="Arial"/>
          <w:sz w:val="22"/>
          <w:szCs w:val="22"/>
        </w:rPr>
      </w:pPr>
    </w:p>
    <w:p w:rsidR="00002DC3" w:rsidRPr="00882085" w:rsidRDefault="00002DC3" w:rsidP="00002DC3">
      <w:pPr>
        <w:ind w:left="720" w:hanging="720"/>
        <w:jc w:val="both"/>
        <w:rPr>
          <w:rFonts w:ascii="Arial" w:hAnsi="Arial"/>
          <w:b/>
          <w:i/>
          <w:sz w:val="22"/>
          <w:szCs w:val="22"/>
        </w:rPr>
      </w:pPr>
      <w:r w:rsidRPr="00882085">
        <w:rPr>
          <w:rFonts w:ascii="Arial" w:hAnsi="Arial"/>
          <w:b/>
          <w:i/>
          <w:sz w:val="22"/>
          <w:szCs w:val="22"/>
        </w:rPr>
        <w:t>Economic analysis</w:t>
      </w:r>
    </w:p>
    <w:p w:rsidR="00002DC3" w:rsidRPr="00882085" w:rsidRDefault="00002DC3" w:rsidP="00002DC3">
      <w:pPr>
        <w:ind w:left="720" w:hanging="720"/>
        <w:jc w:val="both"/>
        <w:rPr>
          <w:rFonts w:ascii="Arial" w:hAnsi="Arial"/>
          <w:sz w:val="22"/>
          <w:szCs w:val="22"/>
        </w:rPr>
      </w:pPr>
    </w:p>
    <w:p w:rsidR="00002DC3" w:rsidRPr="000C6A84" w:rsidRDefault="00002DC3" w:rsidP="00002DC3">
      <w:pPr>
        <w:pStyle w:val="ListParagraph"/>
        <w:numPr>
          <w:ilvl w:val="1"/>
          <w:numId w:val="1"/>
        </w:numPr>
        <w:jc w:val="both"/>
        <w:rPr>
          <w:rFonts w:ascii="Arial" w:hAnsi="Arial"/>
          <w:sz w:val="22"/>
          <w:szCs w:val="22"/>
        </w:rPr>
      </w:pPr>
      <w:r>
        <w:rPr>
          <w:rFonts w:ascii="Arial" w:hAnsi="Arial" w:cs="Arial"/>
          <w:sz w:val="22"/>
          <w:szCs w:val="22"/>
        </w:rPr>
        <w:t xml:space="preserve">   </w:t>
      </w:r>
      <w:r w:rsidRPr="002C25ED">
        <w:rPr>
          <w:rFonts w:ascii="Arial" w:hAnsi="Arial" w:cs="Arial"/>
          <w:sz w:val="22"/>
          <w:szCs w:val="22"/>
        </w:rPr>
        <w:t xml:space="preserve">The </w:t>
      </w:r>
      <w:r>
        <w:rPr>
          <w:rFonts w:ascii="Arial" w:hAnsi="Arial" w:cs="Arial"/>
          <w:sz w:val="22"/>
          <w:szCs w:val="22"/>
        </w:rPr>
        <w:t>re</w:t>
      </w:r>
      <w:r w:rsidRPr="002C25ED">
        <w:rPr>
          <w:rFonts w:ascii="Arial" w:hAnsi="Arial" w:cs="Arial"/>
          <w:sz w:val="22"/>
          <w:szCs w:val="22"/>
        </w:rPr>
        <w:t>submission presented a modelled economic evaluation (cost utility analysis) which was the same</w:t>
      </w:r>
      <w:r>
        <w:rPr>
          <w:rFonts w:ascii="Arial" w:hAnsi="Arial" w:cs="Arial"/>
          <w:sz w:val="22"/>
          <w:szCs w:val="22"/>
        </w:rPr>
        <w:t xml:space="preserve"> model</w:t>
      </w:r>
      <w:r w:rsidRPr="002C25ED">
        <w:rPr>
          <w:rFonts w:ascii="Arial" w:hAnsi="Arial" w:cs="Arial"/>
          <w:sz w:val="22"/>
          <w:szCs w:val="22"/>
        </w:rPr>
        <w:t xml:space="preserve"> as previously considered, except that </w:t>
      </w:r>
      <w:r w:rsidRPr="002F2FC7">
        <w:rPr>
          <w:rFonts w:ascii="Arial" w:hAnsi="Arial" w:cs="Arial"/>
          <w:sz w:val="22"/>
          <w:szCs w:val="22"/>
        </w:rPr>
        <w:t>only one scenario</w:t>
      </w:r>
      <w:r w:rsidRPr="002C25ED">
        <w:rPr>
          <w:rFonts w:ascii="Arial" w:hAnsi="Arial" w:cs="Arial"/>
          <w:sz w:val="22"/>
          <w:szCs w:val="22"/>
        </w:rPr>
        <w:t xml:space="preserve"> </w:t>
      </w:r>
      <w:proofErr w:type="gramStart"/>
      <w:r w:rsidRPr="002F2FC7">
        <w:rPr>
          <w:rFonts w:ascii="Arial" w:hAnsi="Arial" w:cs="Arial"/>
          <w:sz w:val="22"/>
          <w:szCs w:val="22"/>
        </w:rPr>
        <w:t>is presented</w:t>
      </w:r>
      <w:proofErr w:type="gramEnd"/>
      <w:r w:rsidRPr="002C25ED">
        <w:rPr>
          <w:rFonts w:ascii="Arial" w:hAnsi="Arial" w:cs="Arial"/>
          <w:sz w:val="22"/>
          <w:szCs w:val="22"/>
        </w:rPr>
        <w:t xml:space="preserve"> and the discount rate applied in the base case is </w:t>
      </w:r>
      <w:r w:rsidRPr="002F2FC7">
        <w:rPr>
          <w:rFonts w:ascii="Arial" w:hAnsi="Arial" w:cs="Arial"/>
          <w:sz w:val="22"/>
          <w:szCs w:val="22"/>
        </w:rPr>
        <w:t>5% per annum for costs and health outcomes</w:t>
      </w:r>
      <w:r w:rsidRPr="002C25ED">
        <w:rPr>
          <w:rFonts w:ascii="Arial" w:hAnsi="Arial" w:cs="Arial"/>
          <w:sz w:val="22"/>
          <w:szCs w:val="22"/>
        </w:rPr>
        <w:t xml:space="preserve">. Some cost estimates and population inputs </w:t>
      </w:r>
      <w:proofErr w:type="gramStart"/>
      <w:r w:rsidRPr="002C25ED">
        <w:rPr>
          <w:rFonts w:ascii="Arial" w:hAnsi="Arial" w:cs="Arial"/>
          <w:sz w:val="22"/>
          <w:szCs w:val="22"/>
        </w:rPr>
        <w:t>were also updated</w:t>
      </w:r>
      <w:proofErr w:type="gramEnd"/>
      <w:r w:rsidRPr="002C25ED">
        <w:rPr>
          <w:rFonts w:ascii="Arial" w:hAnsi="Arial" w:cs="Arial"/>
          <w:sz w:val="22"/>
          <w:szCs w:val="22"/>
        </w:rPr>
        <w:t>.</w:t>
      </w:r>
      <w:r w:rsidRPr="002C25ED">
        <w:rPr>
          <w:rFonts w:ascii="Arial" w:hAnsi="Arial"/>
          <w:sz w:val="22"/>
          <w:szCs w:val="22"/>
        </w:rPr>
        <w:t xml:space="preserve"> </w:t>
      </w:r>
    </w:p>
    <w:p w:rsidR="00002DC3" w:rsidRPr="0014488F" w:rsidRDefault="00002DC3" w:rsidP="00002DC3">
      <w:pPr>
        <w:jc w:val="both"/>
        <w:rPr>
          <w:rFonts w:ascii="Arial" w:hAnsi="Arial"/>
          <w:sz w:val="22"/>
          <w:szCs w:val="22"/>
        </w:rPr>
      </w:pPr>
    </w:p>
    <w:p w:rsidR="00002DC3" w:rsidRPr="0014488F" w:rsidRDefault="00002DC3" w:rsidP="00002DC3">
      <w:pPr>
        <w:pStyle w:val="ListParagraph"/>
        <w:numPr>
          <w:ilvl w:val="1"/>
          <w:numId w:val="1"/>
        </w:numPr>
        <w:jc w:val="both"/>
        <w:rPr>
          <w:rFonts w:ascii="Arial" w:hAnsi="Arial" w:cs="Arial"/>
          <w:sz w:val="20"/>
          <w:szCs w:val="22"/>
        </w:rPr>
      </w:pPr>
      <w:r>
        <w:rPr>
          <w:rFonts w:ascii="Arial" w:hAnsi="Arial" w:cs="Arial"/>
          <w:sz w:val="22"/>
        </w:rPr>
        <w:t xml:space="preserve">  </w:t>
      </w:r>
      <w:r w:rsidRPr="0014488F">
        <w:rPr>
          <w:rFonts w:ascii="Arial" w:hAnsi="Arial" w:cs="Arial"/>
          <w:sz w:val="22"/>
        </w:rPr>
        <w:t xml:space="preserve">The ESC noted the reliance on the “ESC method”, as summarised in Table C.2.2 of the commentary, was appropriate, but </w:t>
      </w:r>
      <w:r>
        <w:rPr>
          <w:rFonts w:ascii="Arial" w:hAnsi="Arial" w:cs="Arial"/>
          <w:sz w:val="22"/>
        </w:rPr>
        <w:t xml:space="preserve">the method </w:t>
      </w:r>
      <w:r w:rsidRPr="0014488F">
        <w:rPr>
          <w:rFonts w:ascii="Arial" w:hAnsi="Arial" w:cs="Arial"/>
          <w:sz w:val="22"/>
        </w:rPr>
        <w:t xml:space="preserve">still favoured the vaccine. For example, the ESC agreed that vaccine effectiveness against NHBA </w:t>
      </w:r>
      <w:proofErr w:type="gramStart"/>
      <w:r w:rsidRPr="0014488F">
        <w:rPr>
          <w:rFonts w:ascii="Arial" w:hAnsi="Arial" w:cs="Arial"/>
          <w:sz w:val="22"/>
        </w:rPr>
        <w:t>could be questioned</w:t>
      </w:r>
      <w:proofErr w:type="gramEnd"/>
      <w:r w:rsidRPr="0014488F">
        <w:rPr>
          <w:rFonts w:ascii="Arial" w:hAnsi="Arial" w:cs="Arial"/>
          <w:sz w:val="22"/>
        </w:rPr>
        <w:t xml:space="preserve"> given the limited evidence available, and removing this effect would substantially increase the ICER. </w:t>
      </w:r>
      <w:r w:rsidRPr="002F2FC7">
        <w:rPr>
          <w:rFonts w:ascii="Arial" w:hAnsi="Arial" w:cs="Arial"/>
          <w:sz w:val="22"/>
        </w:rPr>
        <w:t>The ESC supported the previous ATAGI advice that it would be reasonable to exclude vaccine effectiveness against NHBA (i.e. lower bound of 54.2%) as a sensitivity analysis in the model.</w:t>
      </w:r>
    </w:p>
    <w:p w:rsidR="00002DC3" w:rsidRPr="00443FEC" w:rsidRDefault="00002DC3" w:rsidP="00002DC3">
      <w:pPr>
        <w:rPr>
          <w:rFonts w:ascii="Arial" w:hAnsi="Arial" w:cs="Arial"/>
          <w:sz w:val="22"/>
          <w:szCs w:val="22"/>
        </w:rPr>
      </w:pPr>
    </w:p>
    <w:p w:rsidR="00002DC3" w:rsidRPr="00443FEC" w:rsidRDefault="00002DC3" w:rsidP="00002DC3">
      <w:pPr>
        <w:ind w:left="709"/>
        <w:rPr>
          <w:rFonts w:ascii="Arial Narrow" w:hAnsi="Arial Narrow"/>
          <w:b/>
          <w:sz w:val="20"/>
          <w:szCs w:val="20"/>
        </w:rPr>
      </w:pPr>
      <w:r w:rsidRPr="00443FEC">
        <w:rPr>
          <w:rStyle w:val="CommentReference"/>
          <w:rFonts w:ascii="Arial Narrow" w:hAnsi="Arial Narrow"/>
          <w:b/>
          <w:sz w:val="20"/>
          <w:szCs w:val="20"/>
        </w:rPr>
        <w:t>Summary of model structure and rationale</w:t>
      </w:r>
    </w:p>
    <w:tbl>
      <w:tblPr>
        <w:tblW w:w="462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7"/>
        <w:gridCol w:w="7122"/>
      </w:tblGrid>
      <w:tr w:rsidR="00002DC3" w:rsidRPr="003D3F7B" w:rsidTr="00D60B44">
        <w:trPr>
          <w:trHeight w:val="240"/>
          <w:tblHeader/>
        </w:trPr>
        <w:tc>
          <w:tcPr>
            <w:tcW w:w="760" w:type="pct"/>
            <w:shd w:val="clear" w:color="auto" w:fill="auto"/>
          </w:tcPr>
          <w:p w:rsidR="00002DC3" w:rsidRPr="003D3F7B" w:rsidRDefault="00002DC3" w:rsidP="00D60B44">
            <w:pPr>
              <w:rPr>
                <w:rFonts w:ascii="Arial Narrow" w:hAnsi="Arial Narrow"/>
                <w:b/>
                <w:sz w:val="20"/>
              </w:rPr>
            </w:pPr>
            <w:r w:rsidRPr="003D3F7B">
              <w:rPr>
                <w:rFonts w:ascii="Arial Narrow" w:hAnsi="Arial Narrow"/>
                <w:b/>
                <w:sz w:val="20"/>
              </w:rPr>
              <w:t>Component</w:t>
            </w:r>
          </w:p>
        </w:tc>
        <w:tc>
          <w:tcPr>
            <w:tcW w:w="4240" w:type="pct"/>
            <w:shd w:val="clear" w:color="auto" w:fill="auto"/>
          </w:tcPr>
          <w:p w:rsidR="00002DC3" w:rsidRPr="003D3F7B" w:rsidRDefault="00002DC3" w:rsidP="00D60B44">
            <w:pPr>
              <w:jc w:val="center"/>
              <w:rPr>
                <w:rFonts w:ascii="Arial Narrow" w:hAnsi="Arial Narrow"/>
                <w:b/>
                <w:sz w:val="20"/>
              </w:rPr>
            </w:pPr>
            <w:r w:rsidRPr="003D3F7B">
              <w:rPr>
                <w:rFonts w:ascii="Arial Narrow" w:hAnsi="Arial Narrow"/>
                <w:b/>
                <w:sz w:val="20"/>
              </w:rPr>
              <w:t>Summary</w:t>
            </w:r>
          </w:p>
        </w:tc>
      </w:tr>
      <w:tr w:rsidR="00002DC3" w:rsidRPr="003D3F7B" w:rsidTr="00D60B44">
        <w:trPr>
          <w:trHeight w:val="183"/>
        </w:trPr>
        <w:tc>
          <w:tcPr>
            <w:tcW w:w="76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Methods used to generate results</w:t>
            </w:r>
          </w:p>
        </w:tc>
        <w:tc>
          <w:tcPr>
            <w:tcW w:w="424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Stage 1: Dynamic transmission model</w:t>
            </w:r>
            <w:r>
              <w:rPr>
                <w:rFonts w:ascii="Arial Narrow" w:hAnsi="Arial Narrow"/>
                <w:sz w:val="20"/>
              </w:rPr>
              <w:t>;</w:t>
            </w:r>
          </w:p>
          <w:p w:rsidR="00002DC3" w:rsidRPr="003D3F7B" w:rsidRDefault="00002DC3" w:rsidP="00D60B44">
            <w:pPr>
              <w:rPr>
                <w:rFonts w:ascii="Arial Narrow" w:hAnsi="Arial Narrow"/>
                <w:sz w:val="20"/>
              </w:rPr>
            </w:pPr>
            <w:proofErr w:type="gramStart"/>
            <w:r w:rsidRPr="003D3F7B">
              <w:rPr>
                <w:rFonts w:ascii="Arial Narrow" w:hAnsi="Arial Narrow"/>
                <w:sz w:val="20"/>
              </w:rPr>
              <w:t>Stage 2: Combined Stage</w:t>
            </w:r>
            <w:r>
              <w:rPr>
                <w:rFonts w:ascii="Arial Narrow" w:hAnsi="Arial Narrow"/>
                <w:sz w:val="20"/>
              </w:rPr>
              <w:t xml:space="preserve"> 1 with decision analytic model.</w:t>
            </w:r>
            <w:proofErr w:type="gramEnd"/>
          </w:p>
        </w:tc>
      </w:tr>
      <w:tr w:rsidR="00002DC3" w:rsidRPr="003D3F7B" w:rsidTr="00D60B44">
        <w:trPr>
          <w:trHeight w:val="240"/>
        </w:trPr>
        <w:tc>
          <w:tcPr>
            <w:tcW w:w="76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Epidemiology</w:t>
            </w:r>
          </w:p>
        </w:tc>
        <w:tc>
          <w:tcPr>
            <w:tcW w:w="4240" w:type="pct"/>
            <w:shd w:val="clear" w:color="auto" w:fill="auto"/>
          </w:tcPr>
          <w:p w:rsidR="00002DC3" w:rsidRPr="00002DC3" w:rsidRDefault="00002DC3" w:rsidP="00002DC3">
            <w:pPr>
              <w:pStyle w:val="Default"/>
              <w:widowControl/>
              <w:numPr>
                <w:ilvl w:val="0"/>
                <w:numId w:val="4"/>
              </w:numPr>
              <w:ind w:left="357" w:hanging="357"/>
              <w:jc w:val="both"/>
              <w:rPr>
                <w:rFonts w:ascii="Arial Narrow" w:hAnsi="Arial Narrow"/>
                <w:sz w:val="20"/>
                <w:szCs w:val="20"/>
                <w:lang w:val="en-AU"/>
              </w:rPr>
            </w:pPr>
            <w:r w:rsidRPr="00002DC3">
              <w:rPr>
                <w:rFonts w:ascii="Arial Narrow" w:hAnsi="Arial Narrow"/>
                <w:sz w:val="20"/>
                <w:szCs w:val="20"/>
                <w:lang w:val="en-AU"/>
              </w:rPr>
              <w:t>Initial age-specific distribution of overall meningococcal carriage (all serotypes) based on a meta-analysis of carriage in multiple countries by Christensen (2010).</w:t>
            </w:r>
          </w:p>
          <w:p w:rsidR="00002DC3" w:rsidRPr="00002DC3" w:rsidRDefault="00002DC3" w:rsidP="00002DC3">
            <w:pPr>
              <w:pStyle w:val="Default"/>
              <w:widowControl/>
              <w:numPr>
                <w:ilvl w:val="0"/>
                <w:numId w:val="4"/>
              </w:numPr>
              <w:ind w:left="357" w:hanging="357"/>
              <w:jc w:val="both"/>
              <w:rPr>
                <w:rFonts w:ascii="Arial Narrow" w:hAnsi="Arial Narrow"/>
                <w:sz w:val="20"/>
                <w:szCs w:val="20"/>
                <w:lang w:val="en-AU"/>
              </w:rPr>
            </w:pPr>
            <w:r w:rsidRPr="00002DC3">
              <w:rPr>
                <w:rFonts w:ascii="Arial Narrow" w:hAnsi="Arial Narrow"/>
                <w:sz w:val="20"/>
                <w:szCs w:val="20"/>
                <w:lang w:val="en-AU"/>
              </w:rPr>
              <w:t xml:space="preserve">Incidence of IMD based on average cases of meningococcal B from 2000-2011 from NNDSS. Confirmed cases, plus imputation rule (Method 1) of probable, and </w:t>
            </w:r>
            <w:proofErr w:type="gramStart"/>
            <w:r w:rsidRPr="00002DC3">
              <w:rPr>
                <w:rFonts w:ascii="Arial Narrow" w:hAnsi="Arial Narrow"/>
                <w:sz w:val="20"/>
                <w:szCs w:val="20"/>
                <w:lang w:val="en-AU"/>
              </w:rPr>
              <w:t>not-determined</w:t>
            </w:r>
            <w:proofErr w:type="gramEnd"/>
            <w:r w:rsidRPr="00002DC3">
              <w:rPr>
                <w:rFonts w:ascii="Arial Narrow" w:hAnsi="Arial Narrow"/>
                <w:sz w:val="20"/>
                <w:szCs w:val="20"/>
                <w:lang w:val="en-AU"/>
              </w:rPr>
              <w:t>.</w:t>
            </w:r>
          </w:p>
          <w:p w:rsidR="00002DC3" w:rsidRPr="003D3F7B" w:rsidRDefault="00002DC3" w:rsidP="00002DC3">
            <w:pPr>
              <w:pStyle w:val="Default"/>
              <w:widowControl/>
              <w:numPr>
                <w:ilvl w:val="0"/>
                <w:numId w:val="4"/>
              </w:numPr>
              <w:ind w:left="357" w:hanging="357"/>
              <w:jc w:val="both"/>
              <w:rPr>
                <w:rFonts w:ascii="Arial Narrow" w:hAnsi="Arial Narrow"/>
                <w:sz w:val="20"/>
                <w:lang w:val="en-AU"/>
              </w:rPr>
            </w:pPr>
            <w:r w:rsidRPr="00002DC3">
              <w:rPr>
                <w:rFonts w:ascii="Arial Narrow" w:hAnsi="Arial Narrow"/>
                <w:sz w:val="20"/>
                <w:szCs w:val="20"/>
                <w:lang w:val="en-AU"/>
              </w:rPr>
              <w:t xml:space="preserve">The proportion of carriage that is vaccine-preventable </w:t>
            </w:r>
            <w:proofErr w:type="gramStart"/>
            <w:r w:rsidRPr="00002DC3">
              <w:rPr>
                <w:rFonts w:ascii="Arial Narrow" w:hAnsi="Arial Narrow"/>
                <w:sz w:val="20"/>
                <w:szCs w:val="20"/>
                <w:lang w:val="en-AU"/>
              </w:rPr>
              <w:t>was based</w:t>
            </w:r>
            <w:proofErr w:type="gramEnd"/>
            <w:r w:rsidRPr="00002DC3">
              <w:rPr>
                <w:rFonts w:ascii="Arial Narrow" w:hAnsi="Arial Narrow"/>
                <w:sz w:val="20"/>
                <w:szCs w:val="20"/>
                <w:lang w:val="en-AU"/>
              </w:rPr>
              <w:t xml:space="preserve"> on NNDSS data regarding IMD by serotype and MATS coverage by serotype.</w:t>
            </w:r>
          </w:p>
        </w:tc>
      </w:tr>
      <w:tr w:rsidR="00002DC3" w:rsidRPr="003D3F7B" w:rsidTr="00D60B44">
        <w:trPr>
          <w:trHeight w:val="240"/>
        </w:trPr>
        <w:tc>
          <w:tcPr>
            <w:tcW w:w="76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Transition probabilities (infection parameters)</w:t>
            </w:r>
          </w:p>
        </w:tc>
        <w:tc>
          <w:tcPr>
            <w:tcW w:w="424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Model calibration was used to estimate:</w:t>
            </w:r>
          </w:p>
          <w:p w:rsidR="00002DC3" w:rsidRPr="00002DC3" w:rsidRDefault="00002DC3" w:rsidP="00002DC3">
            <w:pPr>
              <w:pStyle w:val="Default"/>
              <w:widowControl/>
              <w:numPr>
                <w:ilvl w:val="0"/>
                <w:numId w:val="4"/>
              </w:numPr>
              <w:ind w:left="357" w:hanging="357"/>
              <w:jc w:val="both"/>
              <w:rPr>
                <w:rFonts w:ascii="Arial Narrow" w:hAnsi="Arial Narrow"/>
                <w:sz w:val="20"/>
                <w:szCs w:val="20"/>
                <w:lang w:val="en-AU"/>
              </w:rPr>
            </w:pPr>
            <w:r w:rsidRPr="00002DC3">
              <w:rPr>
                <w:rFonts w:ascii="Arial Narrow" w:hAnsi="Arial Narrow"/>
                <w:sz w:val="20"/>
                <w:szCs w:val="20"/>
                <w:lang w:val="en-AU"/>
              </w:rPr>
              <w:t>the force of infection by age and whether vaccine-preventable (λ);</w:t>
            </w:r>
          </w:p>
          <w:p w:rsidR="00002DC3" w:rsidRPr="00002DC3" w:rsidRDefault="00002DC3" w:rsidP="00002DC3">
            <w:pPr>
              <w:pStyle w:val="Default"/>
              <w:widowControl/>
              <w:numPr>
                <w:ilvl w:val="0"/>
                <w:numId w:val="4"/>
              </w:numPr>
              <w:ind w:left="357" w:hanging="357"/>
              <w:jc w:val="both"/>
              <w:rPr>
                <w:rFonts w:ascii="Arial Narrow" w:hAnsi="Arial Narrow"/>
                <w:sz w:val="20"/>
                <w:szCs w:val="20"/>
                <w:lang w:val="en-AU"/>
              </w:rPr>
            </w:pPr>
            <w:r w:rsidRPr="00002DC3">
              <w:rPr>
                <w:rFonts w:ascii="Arial Narrow" w:hAnsi="Arial Narrow"/>
                <w:sz w:val="20"/>
                <w:szCs w:val="20"/>
                <w:lang w:val="en-AU"/>
              </w:rPr>
              <w:t>age-group-pair specific probabilities of effective contact (β</w:t>
            </w:r>
            <w:proofErr w:type="spellStart"/>
            <w:r w:rsidRPr="00002DC3">
              <w:rPr>
                <w:rFonts w:ascii="Arial Narrow" w:hAnsi="Arial Narrow"/>
                <w:sz w:val="20"/>
                <w:szCs w:val="20"/>
                <w:vertAlign w:val="subscript"/>
                <w:lang w:val="en-AU"/>
              </w:rPr>
              <w:t>ij</w:t>
            </w:r>
            <w:proofErr w:type="spellEnd"/>
            <w:r w:rsidRPr="00002DC3">
              <w:rPr>
                <w:rFonts w:ascii="Arial Narrow" w:hAnsi="Arial Narrow"/>
                <w:sz w:val="20"/>
                <w:szCs w:val="20"/>
                <w:lang w:val="en-AU"/>
              </w:rPr>
              <w:t>); and</w:t>
            </w:r>
          </w:p>
          <w:p w:rsidR="00002DC3" w:rsidRPr="003D3F7B" w:rsidRDefault="00002DC3" w:rsidP="00002DC3">
            <w:pPr>
              <w:pStyle w:val="Default"/>
              <w:widowControl/>
              <w:numPr>
                <w:ilvl w:val="0"/>
                <w:numId w:val="4"/>
              </w:numPr>
              <w:ind w:left="357" w:hanging="357"/>
              <w:jc w:val="both"/>
              <w:rPr>
                <w:rFonts w:ascii="Arial Narrow" w:hAnsi="Arial Narrow"/>
                <w:sz w:val="20"/>
                <w:lang w:val="en-AU"/>
              </w:rPr>
            </w:pPr>
            <w:proofErr w:type="gramStart"/>
            <w:r w:rsidRPr="00002DC3">
              <w:rPr>
                <w:rFonts w:ascii="Arial Narrow" w:hAnsi="Arial Narrow"/>
                <w:sz w:val="20"/>
                <w:szCs w:val="20"/>
                <w:lang w:val="en-AU"/>
              </w:rPr>
              <w:t>risk</w:t>
            </w:r>
            <w:proofErr w:type="gramEnd"/>
            <w:r w:rsidRPr="00002DC3">
              <w:rPr>
                <w:rFonts w:ascii="Arial Narrow" w:hAnsi="Arial Narrow"/>
                <w:sz w:val="20"/>
                <w:szCs w:val="20"/>
                <w:lang w:val="en-AU"/>
              </w:rPr>
              <w:t xml:space="preserve"> of IMD given carriage by age and whether vaccine-preventable (θ).</w:t>
            </w:r>
          </w:p>
        </w:tc>
      </w:tr>
      <w:tr w:rsidR="00002DC3" w:rsidRPr="003D3F7B" w:rsidTr="00D60B44">
        <w:trPr>
          <w:trHeight w:val="240"/>
        </w:trPr>
        <w:tc>
          <w:tcPr>
            <w:tcW w:w="76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Scenarios</w:t>
            </w:r>
          </w:p>
        </w:tc>
        <w:tc>
          <w:tcPr>
            <w:tcW w:w="424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 xml:space="preserve">Routine vaccination with 4CMenB </w:t>
            </w:r>
            <w:proofErr w:type="gramStart"/>
            <w:r w:rsidRPr="003D3F7B">
              <w:rPr>
                <w:rFonts w:ascii="Arial Narrow" w:hAnsi="Arial Narrow"/>
                <w:sz w:val="20"/>
              </w:rPr>
              <w:t>among</w:t>
            </w:r>
            <w:proofErr w:type="gramEnd"/>
            <w:r w:rsidRPr="003D3F7B">
              <w:rPr>
                <w:rFonts w:ascii="Arial Narrow" w:hAnsi="Arial Narrow"/>
                <w:sz w:val="20"/>
              </w:rPr>
              <w:t xml:space="preserve"> infant and adolescent with catch-ups in older infants, toddlers and adolescents</w:t>
            </w:r>
            <w:r>
              <w:rPr>
                <w:rFonts w:ascii="Arial Narrow" w:hAnsi="Arial Narrow"/>
                <w:sz w:val="20"/>
              </w:rPr>
              <w:t>.</w:t>
            </w:r>
          </w:p>
        </w:tc>
      </w:tr>
      <w:tr w:rsidR="00002DC3" w:rsidRPr="003D3F7B" w:rsidTr="00D60B44">
        <w:trPr>
          <w:trHeight w:val="64"/>
        </w:trPr>
        <w:tc>
          <w:tcPr>
            <w:tcW w:w="76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Comparator</w:t>
            </w:r>
          </w:p>
        </w:tc>
        <w:tc>
          <w:tcPr>
            <w:tcW w:w="4240" w:type="pct"/>
            <w:shd w:val="clear" w:color="auto" w:fill="auto"/>
          </w:tcPr>
          <w:p w:rsidR="00002DC3" w:rsidRPr="003D3F7B" w:rsidRDefault="00002DC3" w:rsidP="00D60B44">
            <w:pPr>
              <w:rPr>
                <w:rFonts w:ascii="Arial Narrow" w:hAnsi="Arial Narrow"/>
                <w:sz w:val="20"/>
              </w:rPr>
            </w:pPr>
            <w:proofErr w:type="gramStart"/>
            <w:r w:rsidRPr="003D3F7B">
              <w:rPr>
                <w:rFonts w:ascii="Arial Narrow" w:hAnsi="Arial Narrow"/>
                <w:sz w:val="20"/>
              </w:rPr>
              <w:t>No vaccination</w:t>
            </w:r>
            <w:r>
              <w:rPr>
                <w:rFonts w:ascii="Arial Narrow" w:hAnsi="Arial Narrow"/>
                <w:sz w:val="20"/>
              </w:rPr>
              <w:t>.</w:t>
            </w:r>
            <w:proofErr w:type="gramEnd"/>
          </w:p>
        </w:tc>
      </w:tr>
      <w:tr w:rsidR="00002DC3" w:rsidRPr="003D3F7B" w:rsidTr="00D60B44">
        <w:trPr>
          <w:trHeight w:val="240"/>
        </w:trPr>
        <w:tc>
          <w:tcPr>
            <w:tcW w:w="76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Costs</w:t>
            </w:r>
          </w:p>
        </w:tc>
        <w:tc>
          <w:tcPr>
            <w:tcW w:w="424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 xml:space="preserve">Direct medical costs, </w:t>
            </w:r>
            <w:proofErr w:type="gramStart"/>
            <w:r w:rsidRPr="003D3F7B">
              <w:rPr>
                <w:rFonts w:ascii="Arial Narrow" w:hAnsi="Arial Narrow"/>
                <w:sz w:val="20"/>
              </w:rPr>
              <w:t>including:</w:t>
            </w:r>
            <w:proofErr w:type="gramEnd"/>
            <w:r w:rsidRPr="003D3F7B">
              <w:rPr>
                <w:rFonts w:ascii="Arial Narrow" w:hAnsi="Arial Narrow"/>
                <w:sz w:val="20"/>
              </w:rPr>
              <w:t xml:space="preserve"> administration; treatment of </w:t>
            </w:r>
            <w:proofErr w:type="spellStart"/>
            <w:r w:rsidRPr="003D3F7B">
              <w:rPr>
                <w:rFonts w:ascii="Arial Narrow" w:hAnsi="Arial Narrow"/>
                <w:sz w:val="20"/>
              </w:rPr>
              <w:t>sequelae</w:t>
            </w:r>
            <w:proofErr w:type="spellEnd"/>
            <w:r w:rsidRPr="003D3F7B">
              <w:rPr>
                <w:rFonts w:ascii="Arial Narrow" w:hAnsi="Arial Narrow"/>
                <w:sz w:val="20"/>
              </w:rPr>
              <w:t xml:space="preserve">, and; treatment of relevant AEs. Non-direct medical costs, </w:t>
            </w:r>
            <w:proofErr w:type="gramStart"/>
            <w:r w:rsidRPr="003D3F7B">
              <w:rPr>
                <w:rFonts w:ascii="Arial Narrow" w:hAnsi="Arial Narrow"/>
                <w:sz w:val="20"/>
              </w:rPr>
              <w:t>including:</w:t>
            </w:r>
            <w:proofErr w:type="gramEnd"/>
            <w:r w:rsidRPr="003D3F7B">
              <w:rPr>
                <w:rFonts w:ascii="Arial Narrow" w:hAnsi="Arial Narrow"/>
                <w:sz w:val="20"/>
              </w:rPr>
              <w:t xml:space="preserve"> special education associated with </w:t>
            </w:r>
            <w:proofErr w:type="spellStart"/>
            <w:r w:rsidRPr="003D3F7B">
              <w:rPr>
                <w:rFonts w:ascii="Arial Narrow" w:hAnsi="Arial Narrow"/>
                <w:sz w:val="20"/>
              </w:rPr>
              <w:t>sequelae</w:t>
            </w:r>
            <w:proofErr w:type="spellEnd"/>
            <w:r w:rsidRPr="003D3F7B">
              <w:rPr>
                <w:rFonts w:ascii="Arial Narrow" w:hAnsi="Arial Narrow"/>
                <w:sz w:val="20"/>
              </w:rPr>
              <w:t xml:space="preserve"> and public health response (reporting, surveillance and chemoprophylaxis costs)*.</w:t>
            </w:r>
          </w:p>
        </w:tc>
      </w:tr>
      <w:tr w:rsidR="00002DC3" w:rsidRPr="003D3F7B" w:rsidTr="00D60B44">
        <w:trPr>
          <w:trHeight w:val="64"/>
        </w:trPr>
        <w:tc>
          <w:tcPr>
            <w:tcW w:w="76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Perspective</w:t>
            </w:r>
          </w:p>
        </w:tc>
        <w:tc>
          <w:tcPr>
            <w:tcW w:w="424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Modified societal/health system – includes special education and public health response*.</w:t>
            </w:r>
          </w:p>
        </w:tc>
      </w:tr>
      <w:tr w:rsidR="00002DC3" w:rsidRPr="003D3F7B" w:rsidTr="00D60B44">
        <w:trPr>
          <w:trHeight w:val="64"/>
        </w:trPr>
        <w:tc>
          <w:tcPr>
            <w:tcW w:w="76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Time horizon</w:t>
            </w:r>
          </w:p>
        </w:tc>
        <w:tc>
          <w:tcPr>
            <w:tcW w:w="424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 xml:space="preserve">100 years in the model base case versus up to </w:t>
            </w:r>
            <w:r w:rsidRPr="002F2FC7">
              <w:rPr>
                <w:rFonts w:ascii="Arial Narrow" w:hAnsi="Arial Narrow"/>
                <w:sz w:val="20"/>
              </w:rPr>
              <w:t xml:space="preserve">28-30 months </w:t>
            </w:r>
            <w:r w:rsidRPr="003D3F7B">
              <w:rPr>
                <w:rFonts w:ascii="Arial Narrow" w:hAnsi="Arial Narrow"/>
                <w:sz w:val="20"/>
              </w:rPr>
              <w:t>after last dose in trials (V72P6E1).</w:t>
            </w:r>
          </w:p>
        </w:tc>
      </w:tr>
      <w:tr w:rsidR="00002DC3" w:rsidRPr="003D3F7B" w:rsidTr="00D60B44">
        <w:trPr>
          <w:trHeight w:val="225"/>
        </w:trPr>
        <w:tc>
          <w:tcPr>
            <w:tcW w:w="76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Cycle length</w:t>
            </w:r>
          </w:p>
        </w:tc>
        <w:tc>
          <w:tcPr>
            <w:tcW w:w="4240" w:type="pct"/>
            <w:shd w:val="clear" w:color="auto" w:fill="auto"/>
          </w:tcPr>
          <w:p w:rsidR="00002DC3" w:rsidRPr="008056B1" w:rsidRDefault="00002DC3" w:rsidP="00D60B44">
            <w:pPr>
              <w:rPr>
                <w:rFonts w:ascii="Arial Narrow" w:hAnsi="Arial Narrow"/>
                <w:sz w:val="20"/>
              </w:rPr>
            </w:pPr>
            <w:proofErr w:type="gramStart"/>
            <w:r w:rsidRPr="002F2FC7">
              <w:rPr>
                <w:rFonts w:ascii="Arial Narrow" w:hAnsi="Arial Narrow"/>
                <w:sz w:val="20"/>
              </w:rPr>
              <w:t>0.01 months (approximately 7 hours), although transmission between different states occur on a monthly basis (every 100 time steps).</w:t>
            </w:r>
            <w:proofErr w:type="gramEnd"/>
            <w:r w:rsidRPr="002F2FC7">
              <w:rPr>
                <w:rFonts w:ascii="Arial Narrow" w:hAnsi="Arial Narrow"/>
                <w:sz w:val="20"/>
              </w:rPr>
              <w:t xml:space="preserve"> A half-cycle correction </w:t>
            </w:r>
            <w:proofErr w:type="gramStart"/>
            <w:r w:rsidRPr="002F2FC7">
              <w:rPr>
                <w:rFonts w:ascii="Arial Narrow" w:hAnsi="Arial Narrow"/>
                <w:sz w:val="20"/>
              </w:rPr>
              <w:t>was not applied</w:t>
            </w:r>
            <w:proofErr w:type="gramEnd"/>
            <w:r w:rsidRPr="002F2FC7">
              <w:rPr>
                <w:rFonts w:ascii="Arial Narrow" w:hAnsi="Arial Narrow"/>
                <w:sz w:val="20"/>
              </w:rPr>
              <w:t xml:space="preserve">. As the cycle length is 7 </w:t>
            </w:r>
            <w:proofErr w:type="gramStart"/>
            <w:r w:rsidRPr="002F2FC7">
              <w:rPr>
                <w:rFonts w:ascii="Arial Narrow" w:hAnsi="Arial Narrow"/>
                <w:sz w:val="20"/>
              </w:rPr>
              <w:t>hours</w:t>
            </w:r>
            <w:proofErr w:type="gramEnd"/>
            <w:r w:rsidRPr="002F2FC7">
              <w:rPr>
                <w:rFonts w:ascii="Arial Narrow" w:hAnsi="Arial Narrow"/>
                <w:sz w:val="20"/>
              </w:rPr>
              <w:t xml:space="preserve"> it is unlikely to affect the results.</w:t>
            </w:r>
          </w:p>
        </w:tc>
      </w:tr>
      <w:tr w:rsidR="00002DC3" w:rsidRPr="003D3F7B" w:rsidTr="00D60B44">
        <w:trPr>
          <w:trHeight w:val="448"/>
        </w:trPr>
        <w:tc>
          <w:tcPr>
            <w:tcW w:w="76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Outcomes</w:t>
            </w:r>
          </w:p>
        </w:tc>
        <w:tc>
          <w:tcPr>
            <w:tcW w:w="424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 xml:space="preserve">Cases of vaccine preventable disease, long-term </w:t>
            </w:r>
            <w:proofErr w:type="spellStart"/>
            <w:r w:rsidRPr="003D3F7B">
              <w:rPr>
                <w:rFonts w:ascii="Arial Narrow" w:hAnsi="Arial Narrow"/>
                <w:sz w:val="20"/>
              </w:rPr>
              <w:t>sequelae</w:t>
            </w:r>
            <w:proofErr w:type="spellEnd"/>
            <w:r w:rsidRPr="003D3F7B">
              <w:rPr>
                <w:rFonts w:ascii="Arial Narrow" w:hAnsi="Arial Narrow"/>
                <w:sz w:val="20"/>
              </w:rPr>
              <w:t xml:space="preserve"> resulting from vaccine-preventable disease (limb amputation, hearing loss, seizures, renal insufficiency, significant neurological deficits, skin scarring), deaths, life years and QALYs.</w:t>
            </w:r>
          </w:p>
        </w:tc>
      </w:tr>
      <w:tr w:rsidR="00002DC3" w:rsidRPr="003D3F7B" w:rsidTr="00D60B44">
        <w:trPr>
          <w:trHeight w:val="240"/>
        </w:trPr>
        <w:tc>
          <w:tcPr>
            <w:tcW w:w="760" w:type="pct"/>
            <w:shd w:val="clear" w:color="auto" w:fill="auto"/>
          </w:tcPr>
          <w:p w:rsidR="00002DC3" w:rsidRPr="003D3F7B" w:rsidRDefault="00002DC3" w:rsidP="00D60B44">
            <w:pPr>
              <w:rPr>
                <w:rFonts w:ascii="Arial Narrow" w:hAnsi="Arial Narrow"/>
                <w:sz w:val="20"/>
              </w:rPr>
            </w:pPr>
            <w:r w:rsidRPr="003D3F7B">
              <w:rPr>
                <w:rFonts w:ascii="Arial Narrow" w:hAnsi="Arial Narrow"/>
                <w:sz w:val="20"/>
              </w:rPr>
              <w:t>Discount rate</w:t>
            </w:r>
          </w:p>
        </w:tc>
        <w:tc>
          <w:tcPr>
            <w:tcW w:w="4240" w:type="pct"/>
            <w:shd w:val="clear" w:color="auto" w:fill="auto"/>
          </w:tcPr>
          <w:p w:rsidR="00002DC3" w:rsidRPr="003D3F7B" w:rsidRDefault="00002DC3" w:rsidP="00D60B44">
            <w:pPr>
              <w:rPr>
                <w:rFonts w:ascii="Arial Narrow" w:hAnsi="Arial Narrow"/>
                <w:sz w:val="20"/>
              </w:rPr>
            </w:pPr>
            <w:r>
              <w:rPr>
                <w:rFonts w:ascii="Arial Narrow" w:hAnsi="Arial Narrow"/>
                <w:sz w:val="20"/>
              </w:rPr>
              <w:t>T</w:t>
            </w:r>
            <w:r w:rsidRPr="00AB4C55">
              <w:rPr>
                <w:rFonts w:ascii="Arial Narrow" w:hAnsi="Arial Narrow"/>
                <w:sz w:val="20"/>
              </w:rPr>
              <w:t>he standard PBAC discounting approach</w:t>
            </w:r>
            <w:r>
              <w:rPr>
                <w:rFonts w:ascii="Arial Narrow" w:hAnsi="Arial Narrow"/>
                <w:sz w:val="20"/>
              </w:rPr>
              <w:t>:</w:t>
            </w:r>
            <w:r w:rsidRPr="00AB4C55">
              <w:rPr>
                <w:rFonts w:ascii="Arial Narrow" w:hAnsi="Arial Narrow"/>
                <w:sz w:val="20"/>
              </w:rPr>
              <w:t xml:space="preserve"> </w:t>
            </w:r>
            <w:r w:rsidRPr="002F2FC7">
              <w:rPr>
                <w:rFonts w:ascii="Arial Narrow" w:hAnsi="Arial Narrow"/>
                <w:sz w:val="20"/>
              </w:rPr>
              <w:t xml:space="preserve">5% per annum </w:t>
            </w:r>
            <w:r w:rsidRPr="003D3F7B">
              <w:rPr>
                <w:rFonts w:ascii="Arial Narrow" w:hAnsi="Arial Narrow"/>
                <w:sz w:val="20"/>
              </w:rPr>
              <w:t xml:space="preserve">for costs and </w:t>
            </w:r>
            <w:r w:rsidRPr="002F2FC7">
              <w:rPr>
                <w:rFonts w:ascii="Arial Narrow" w:hAnsi="Arial Narrow"/>
                <w:sz w:val="20"/>
              </w:rPr>
              <w:t xml:space="preserve">5% per annum </w:t>
            </w:r>
            <w:r w:rsidRPr="003D3F7B">
              <w:rPr>
                <w:rFonts w:ascii="Arial Narrow" w:hAnsi="Arial Narrow"/>
                <w:sz w:val="20"/>
              </w:rPr>
              <w:t xml:space="preserve">for </w:t>
            </w:r>
            <w:r>
              <w:rPr>
                <w:rFonts w:ascii="Arial Narrow" w:hAnsi="Arial Narrow"/>
                <w:sz w:val="20"/>
              </w:rPr>
              <w:t xml:space="preserve">health </w:t>
            </w:r>
            <w:r w:rsidRPr="003D3F7B">
              <w:rPr>
                <w:rFonts w:ascii="Arial Narrow" w:hAnsi="Arial Narrow"/>
                <w:sz w:val="20"/>
              </w:rPr>
              <w:t>outcomes. Sensitivity anal</w:t>
            </w:r>
            <w:r>
              <w:rPr>
                <w:rFonts w:ascii="Arial Narrow" w:hAnsi="Arial Narrow"/>
                <w:sz w:val="20"/>
              </w:rPr>
              <w:t>yses are conducted by applying:</w:t>
            </w:r>
          </w:p>
          <w:p w:rsidR="00002DC3" w:rsidRPr="003D3F7B" w:rsidRDefault="00002DC3" w:rsidP="00D60B44">
            <w:pPr>
              <w:rPr>
                <w:rFonts w:ascii="Arial Narrow" w:hAnsi="Arial Narrow"/>
                <w:sz w:val="20"/>
              </w:rPr>
            </w:pPr>
            <w:r w:rsidRPr="003D3F7B">
              <w:rPr>
                <w:rFonts w:ascii="Arial Narrow" w:hAnsi="Arial Narrow"/>
                <w:sz w:val="20"/>
              </w:rPr>
              <w:t xml:space="preserve">a) a differential discounting approach </w:t>
            </w:r>
            <w:r w:rsidRPr="002F2FC7">
              <w:rPr>
                <w:rFonts w:ascii="Arial Narrow" w:hAnsi="Arial Narrow"/>
                <w:sz w:val="20"/>
              </w:rPr>
              <w:t>(5% per annum for costs/</w:t>
            </w:r>
            <w:r>
              <w:rPr>
                <w:rFonts w:ascii="Arial Narrow" w:hAnsi="Arial Narrow"/>
                <w:noProof/>
                <w:color w:val="000000"/>
                <w:sz w:val="20"/>
                <w:highlight w:val="black"/>
              </w:rPr>
              <w:t>''''''''</w:t>
            </w:r>
            <w:r w:rsidRPr="002F2FC7">
              <w:rPr>
                <w:rFonts w:ascii="Arial Narrow" w:hAnsi="Arial Narrow"/>
                <w:sz w:val="20"/>
              </w:rPr>
              <w:t>% per annum for health outcomes)</w:t>
            </w:r>
            <w:r w:rsidRPr="003D3F7B">
              <w:rPr>
                <w:rFonts w:ascii="Arial Narrow" w:hAnsi="Arial Narrow"/>
                <w:sz w:val="20"/>
              </w:rPr>
              <w:t>;</w:t>
            </w:r>
          </w:p>
          <w:p w:rsidR="00002DC3" w:rsidRPr="003D3F7B" w:rsidRDefault="00002DC3" w:rsidP="00D60B44">
            <w:pPr>
              <w:rPr>
                <w:rFonts w:ascii="Arial Narrow" w:hAnsi="Arial Narrow"/>
                <w:sz w:val="20"/>
              </w:rPr>
            </w:pPr>
            <w:r w:rsidRPr="003D3F7B">
              <w:rPr>
                <w:rFonts w:ascii="Arial Narrow" w:hAnsi="Arial Narrow"/>
                <w:sz w:val="20"/>
              </w:rPr>
              <w:t xml:space="preserve">b) a stepped discounting approach </w:t>
            </w:r>
            <w:r w:rsidRPr="002F2FC7">
              <w:rPr>
                <w:rFonts w:ascii="Arial Narrow" w:hAnsi="Arial Narrow"/>
                <w:sz w:val="20"/>
              </w:rPr>
              <w:t>(5% per annum for costs/5% per annum for health outcomes</w:t>
            </w:r>
            <w:r w:rsidRPr="002F2FC7" w:rsidDel="00AB4C55">
              <w:rPr>
                <w:rFonts w:ascii="Arial Narrow" w:hAnsi="Arial Narrow"/>
                <w:sz w:val="20"/>
              </w:rPr>
              <w:t xml:space="preserve"> </w:t>
            </w:r>
            <w:r w:rsidRPr="002F2FC7">
              <w:rPr>
                <w:rFonts w:ascii="Arial Narrow" w:hAnsi="Arial Narrow"/>
                <w:sz w:val="20"/>
              </w:rPr>
              <w:t xml:space="preserve">for the first 20 years and </w:t>
            </w:r>
            <w:r>
              <w:rPr>
                <w:rFonts w:ascii="Arial Narrow" w:hAnsi="Arial Narrow"/>
                <w:noProof/>
                <w:color w:val="000000"/>
                <w:sz w:val="20"/>
                <w:highlight w:val="black"/>
              </w:rPr>
              <w:t>'''''''''</w:t>
            </w:r>
            <w:r w:rsidRPr="002F2FC7">
              <w:rPr>
                <w:rFonts w:ascii="Arial Narrow" w:hAnsi="Arial Narrow"/>
                <w:sz w:val="20"/>
              </w:rPr>
              <w:t>% per annum for costs/</w:t>
            </w:r>
            <w:r>
              <w:rPr>
                <w:rFonts w:ascii="Arial Narrow" w:hAnsi="Arial Narrow"/>
                <w:noProof/>
                <w:color w:val="000000"/>
                <w:sz w:val="20"/>
                <w:highlight w:val="black"/>
              </w:rPr>
              <w:t>'''''''</w:t>
            </w:r>
            <w:r w:rsidRPr="002F2FC7">
              <w:rPr>
                <w:rFonts w:ascii="Arial Narrow" w:hAnsi="Arial Narrow"/>
                <w:sz w:val="20"/>
              </w:rPr>
              <w:t>% per annum for health outcomes</w:t>
            </w:r>
            <w:r w:rsidRPr="002F2FC7" w:rsidDel="00AB4C55">
              <w:rPr>
                <w:rFonts w:ascii="Arial Narrow" w:hAnsi="Arial Narrow"/>
                <w:sz w:val="20"/>
              </w:rPr>
              <w:t xml:space="preserve"> </w:t>
            </w:r>
            <w:r w:rsidRPr="002F2FC7">
              <w:rPr>
                <w:rFonts w:ascii="Arial Narrow" w:hAnsi="Arial Narrow"/>
                <w:sz w:val="20"/>
              </w:rPr>
              <w:t xml:space="preserve">thereafter); </w:t>
            </w:r>
            <w:r w:rsidRPr="004C29A4">
              <w:rPr>
                <w:rFonts w:ascii="Arial Narrow" w:hAnsi="Arial Narrow"/>
                <w:sz w:val="20"/>
              </w:rPr>
              <w:t>and</w:t>
            </w:r>
            <w:r w:rsidRPr="003D3F7B">
              <w:rPr>
                <w:rFonts w:ascii="Arial Narrow" w:hAnsi="Arial Narrow"/>
                <w:sz w:val="20"/>
              </w:rPr>
              <w:t xml:space="preserve"> </w:t>
            </w:r>
          </w:p>
          <w:p w:rsidR="00002DC3" w:rsidRPr="003D3F7B" w:rsidRDefault="00002DC3" w:rsidP="00D60B44">
            <w:pPr>
              <w:rPr>
                <w:rFonts w:ascii="Arial Narrow" w:hAnsi="Arial Narrow"/>
                <w:sz w:val="20"/>
              </w:rPr>
            </w:pPr>
            <w:r w:rsidRPr="003D3F7B">
              <w:rPr>
                <w:rFonts w:ascii="Arial Narrow" w:hAnsi="Arial Narrow"/>
                <w:sz w:val="20"/>
              </w:rPr>
              <w:t xml:space="preserve">c) </w:t>
            </w:r>
            <w:proofErr w:type="gramStart"/>
            <w:r w:rsidRPr="003D3F7B">
              <w:rPr>
                <w:rFonts w:ascii="Arial Narrow" w:hAnsi="Arial Narrow"/>
                <w:sz w:val="20"/>
              </w:rPr>
              <w:t>a</w:t>
            </w:r>
            <w:proofErr w:type="gramEnd"/>
            <w:r w:rsidRPr="003D3F7B">
              <w:rPr>
                <w:rFonts w:ascii="Arial Narrow" w:hAnsi="Arial Narrow"/>
                <w:sz w:val="20"/>
              </w:rPr>
              <w:t xml:space="preserve"> stepped/differential discounting approach </w:t>
            </w:r>
            <w:r w:rsidRPr="002F2FC7">
              <w:rPr>
                <w:rFonts w:ascii="Arial Narrow" w:hAnsi="Arial Narrow"/>
                <w:sz w:val="20"/>
              </w:rPr>
              <w:t>(5% per annum for costs/5% per annum for health outcomes</w:t>
            </w:r>
            <w:r w:rsidRPr="002F2FC7" w:rsidDel="00AB4C55">
              <w:rPr>
                <w:rFonts w:ascii="Arial Narrow" w:hAnsi="Arial Narrow"/>
                <w:sz w:val="20"/>
              </w:rPr>
              <w:t xml:space="preserve"> </w:t>
            </w:r>
            <w:r w:rsidRPr="002F2FC7">
              <w:rPr>
                <w:rFonts w:ascii="Arial Narrow" w:hAnsi="Arial Narrow"/>
                <w:sz w:val="20"/>
              </w:rPr>
              <w:t xml:space="preserve">for the first </w:t>
            </w:r>
            <w:r>
              <w:rPr>
                <w:rFonts w:ascii="Arial Narrow" w:hAnsi="Arial Narrow"/>
                <w:noProof/>
                <w:color w:val="000000"/>
                <w:sz w:val="20"/>
                <w:highlight w:val="black"/>
              </w:rPr>
              <w:t>'''''' '''''''''''''</w:t>
            </w:r>
            <w:r w:rsidRPr="002F2FC7">
              <w:rPr>
                <w:rFonts w:ascii="Arial Narrow" w:hAnsi="Arial Narrow"/>
                <w:sz w:val="20"/>
              </w:rPr>
              <w:t xml:space="preserve"> and 5% per annum for costs/</w:t>
            </w:r>
            <w:r>
              <w:rPr>
                <w:rFonts w:ascii="Arial Narrow" w:hAnsi="Arial Narrow"/>
                <w:noProof/>
                <w:color w:val="000000"/>
                <w:sz w:val="20"/>
                <w:highlight w:val="black"/>
              </w:rPr>
              <w:t>''''''''</w:t>
            </w:r>
            <w:r w:rsidRPr="002F2FC7">
              <w:rPr>
                <w:rFonts w:ascii="Arial Narrow" w:hAnsi="Arial Narrow"/>
                <w:sz w:val="20"/>
              </w:rPr>
              <w:t>% per annum for health outcomes thereafter).</w:t>
            </w:r>
          </w:p>
        </w:tc>
      </w:tr>
    </w:tbl>
    <w:p w:rsidR="00002DC3" w:rsidRPr="005D41E0" w:rsidRDefault="00002DC3" w:rsidP="00002DC3">
      <w:pPr>
        <w:ind w:left="709"/>
        <w:jc w:val="both"/>
        <w:rPr>
          <w:rFonts w:ascii="Arial Narrow" w:hAnsi="Arial Narrow"/>
          <w:sz w:val="18"/>
          <w:szCs w:val="18"/>
        </w:rPr>
      </w:pPr>
      <w:r w:rsidRPr="005D41E0">
        <w:rPr>
          <w:rFonts w:ascii="Arial Narrow" w:hAnsi="Arial Narrow"/>
          <w:sz w:val="18"/>
          <w:szCs w:val="18"/>
        </w:rPr>
        <w:t>AE = adverse event; IMD = invasive meningococcal B disease; QALY = quality adjusted life years.</w:t>
      </w:r>
    </w:p>
    <w:p w:rsidR="00002DC3" w:rsidRPr="005D41E0" w:rsidRDefault="00002DC3" w:rsidP="00002DC3">
      <w:pPr>
        <w:ind w:left="709"/>
        <w:jc w:val="both"/>
        <w:rPr>
          <w:rFonts w:ascii="Arial Narrow" w:hAnsi="Arial Narrow"/>
          <w:sz w:val="18"/>
          <w:szCs w:val="18"/>
        </w:rPr>
      </w:pPr>
      <w:r w:rsidRPr="005D41E0">
        <w:rPr>
          <w:rFonts w:ascii="Arial Narrow" w:hAnsi="Arial Narrow"/>
          <w:sz w:val="18"/>
          <w:szCs w:val="18"/>
        </w:rPr>
        <w:t>* Productivity costs due to IMD included as sensitivity analysis.</w:t>
      </w:r>
      <w:r>
        <w:rPr>
          <w:rFonts w:ascii="Arial Narrow" w:hAnsi="Arial Narrow"/>
          <w:sz w:val="18"/>
          <w:szCs w:val="18"/>
        </w:rPr>
        <w:t xml:space="preserve"> </w:t>
      </w:r>
      <w:proofErr w:type="gramStart"/>
      <w:r w:rsidRPr="005D41E0">
        <w:rPr>
          <w:rFonts w:ascii="Arial Narrow" w:hAnsi="Arial Narrow"/>
          <w:sz w:val="18"/>
          <w:szCs w:val="18"/>
        </w:rPr>
        <w:t>Source: Table D.3.1 of the commentary.</w:t>
      </w:r>
      <w:proofErr w:type="gramEnd"/>
    </w:p>
    <w:p w:rsidR="00002DC3" w:rsidRPr="002C63BA" w:rsidRDefault="00002DC3" w:rsidP="00002DC3">
      <w:pPr>
        <w:jc w:val="both"/>
        <w:rPr>
          <w:rFonts w:ascii="Arial" w:hAnsi="Arial"/>
          <w:sz w:val="22"/>
          <w:szCs w:val="22"/>
        </w:rPr>
      </w:pPr>
    </w:p>
    <w:p w:rsidR="00002DC3" w:rsidRDefault="00002DC3" w:rsidP="00002DC3">
      <w:pPr>
        <w:pStyle w:val="ListParagraph"/>
        <w:numPr>
          <w:ilvl w:val="1"/>
          <w:numId w:val="1"/>
        </w:numPr>
        <w:jc w:val="both"/>
        <w:rPr>
          <w:rFonts w:ascii="Arial" w:hAnsi="Arial"/>
          <w:sz w:val="22"/>
          <w:szCs w:val="22"/>
        </w:rPr>
      </w:pPr>
      <w:r>
        <w:rPr>
          <w:rFonts w:ascii="Arial" w:hAnsi="Arial"/>
          <w:sz w:val="22"/>
          <w:szCs w:val="22"/>
        </w:rPr>
        <w:t>The key drivers of the model were as follows.</w:t>
      </w:r>
    </w:p>
    <w:p w:rsidR="00002DC3" w:rsidRPr="00B37AE0" w:rsidRDefault="00002DC3" w:rsidP="00002DC3">
      <w:pPr>
        <w:jc w:val="both"/>
        <w:rPr>
          <w:rFonts w:ascii="Arial" w:hAnsi="Arial"/>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5"/>
        <w:gridCol w:w="3119"/>
        <w:gridCol w:w="3101"/>
      </w:tblGrid>
      <w:tr w:rsidR="00002DC3" w:rsidRPr="008056B1" w:rsidTr="00D60B44">
        <w:trPr>
          <w:trHeight w:val="222"/>
          <w:tblHeader/>
        </w:trPr>
        <w:tc>
          <w:tcPr>
            <w:tcW w:w="1273" w:type="pct"/>
            <w:shd w:val="clear" w:color="auto" w:fill="auto"/>
          </w:tcPr>
          <w:p w:rsidR="00002DC3" w:rsidRPr="008056B1" w:rsidRDefault="00002DC3" w:rsidP="00D60B44">
            <w:pPr>
              <w:keepNext/>
              <w:rPr>
                <w:rFonts w:ascii="Arial Narrow" w:hAnsi="Arial Narrow"/>
                <w:b/>
                <w:sz w:val="20"/>
              </w:rPr>
            </w:pPr>
            <w:r w:rsidRPr="008056B1">
              <w:rPr>
                <w:rFonts w:ascii="Arial Narrow" w:hAnsi="Arial Narrow"/>
                <w:b/>
                <w:sz w:val="20"/>
              </w:rPr>
              <w:t>Description</w:t>
            </w:r>
          </w:p>
        </w:tc>
        <w:tc>
          <w:tcPr>
            <w:tcW w:w="1869" w:type="pct"/>
            <w:shd w:val="clear" w:color="auto" w:fill="auto"/>
          </w:tcPr>
          <w:p w:rsidR="00002DC3" w:rsidRPr="008056B1" w:rsidRDefault="00002DC3" w:rsidP="00D60B44">
            <w:pPr>
              <w:keepNext/>
              <w:jc w:val="center"/>
              <w:rPr>
                <w:rFonts w:ascii="Arial Narrow" w:hAnsi="Arial Narrow"/>
                <w:b/>
                <w:sz w:val="20"/>
              </w:rPr>
            </w:pPr>
            <w:r w:rsidRPr="008056B1">
              <w:rPr>
                <w:rFonts w:ascii="Arial Narrow" w:hAnsi="Arial Narrow"/>
                <w:b/>
                <w:sz w:val="20"/>
              </w:rPr>
              <w:t>Method/value</w:t>
            </w:r>
          </w:p>
        </w:tc>
        <w:tc>
          <w:tcPr>
            <w:tcW w:w="1858" w:type="pct"/>
            <w:shd w:val="clear" w:color="auto" w:fill="auto"/>
          </w:tcPr>
          <w:p w:rsidR="00002DC3" w:rsidRPr="008056B1" w:rsidRDefault="00002DC3" w:rsidP="00D60B44">
            <w:pPr>
              <w:keepNext/>
              <w:jc w:val="center"/>
              <w:rPr>
                <w:rFonts w:ascii="Arial Narrow" w:hAnsi="Arial Narrow"/>
                <w:b/>
                <w:sz w:val="20"/>
              </w:rPr>
            </w:pPr>
            <w:r w:rsidRPr="008056B1">
              <w:rPr>
                <w:rFonts w:ascii="Arial Narrow" w:hAnsi="Arial Narrow"/>
                <w:b/>
                <w:sz w:val="20"/>
              </w:rPr>
              <w:t xml:space="preserve">Impact </w:t>
            </w:r>
          </w:p>
        </w:tc>
      </w:tr>
      <w:tr w:rsidR="00002DC3" w:rsidRPr="008056B1" w:rsidTr="00D60B44">
        <w:trPr>
          <w:trHeight w:val="222"/>
        </w:trPr>
        <w:tc>
          <w:tcPr>
            <w:tcW w:w="1273" w:type="pct"/>
            <w:shd w:val="clear" w:color="auto" w:fill="auto"/>
            <w:vAlign w:val="center"/>
          </w:tcPr>
          <w:p w:rsidR="00002DC3" w:rsidRPr="008056B1" w:rsidRDefault="00002DC3" w:rsidP="00D60B44">
            <w:pPr>
              <w:rPr>
                <w:rFonts w:ascii="Arial Narrow" w:hAnsi="Arial Narrow"/>
                <w:sz w:val="20"/>
              </w:rPr>
            </w:pPr>
            <w:r w:rsidRPr="008056B1">
              <w:rPr>
                <w:rFonts w:ascii="Arial Narrow" w:hAnsi="Arial Narrow"/>
                <w:sz w:val="20"/>
              </w:rPr>
              <w:t>Discount rate</w:t>
            </w:r>
          </w:p>
        </w:tc>
        <w:tc>
          <w:tcPr>
            <w:tcW w:w="1869" w:type="pct"/>
            <w:shd w:val="clear" w:color="auto" w:fill="auto"/>
            <w:vAlign w:val="center"/>
          </w:tcPr>
          <w:p w:rsidR="00002DC3" w:rsidRPr="008056B1" w:rsidRDefault="00002DC3" w:rsidP="00D60B44">
            <w:pPr>
              <w:rPr>
                <w:rFonts w:ascii="Arial Narrow" w:hAnsi="Arial Narrow"/>
                <w:sz w:val="20"/>
              </w:rPr>
            </w:pPr>
            <w:r w:rsidRPr="002F2FC7">
              <w:rPr>
                <w:rFonts w:ascii="Arial Narrow" w:hAnsi="Arial Narrow"/>
                <w:sz w:val="20"/>
              </w:rPr>
              <w:t>5% per annum for costs/5% per annum for health outcomes</w:t>
            </w:r>
          </w:p>
        </w:tc>
        <w:tc>
          <w:tcPr>
            <w:tcW w:w="1858" w:type="pct"/>
            <w:shd w:val="clear" w:color="auto" w:fill="auto"/>
            <w:vAlign w:val="center"/>
          </w:tcPr>
          <w:p w:rsidR="00002DC3" w:rsidRPr="008056B1" w:rsidRDefault="00002DC3" w:rsidP="00D60B44">
            <w:pPr>
              <w:rPr>
                <w:rFonts w:ascii="Arial Narrow" w:hAnsi="Arial Narrow"/>
                <w:sz w:val="20"/>
              </w:rPr>
            </w:pPr>
            <w:r w:rsidRPr="008056B1">
              <w:rPr>
                <w:rFonts w:ascii="Arial Narrow" w:hAnsi="Arial Narrow"/>
                <w:sz w:val="20"/>
              </w:rPr>
              <w:t>High, differential and stepped/differential discounting favours 4CMenB</w:t>
            </w:r>
          </w:p>
        </w:tc>
      </w:tr>
      <w:tr w:rsidR="00002DC3" w:rsidRPr="008056B1" w:rsidTr="00D60B44">
        <w:trPr>
          <w:trHeight w:val="459"/>
        </w:trPr>
        <w:tc>
          <w:tcPr>
            <w:tcW w:w="1273" w:type="pct"/>
            <w:shd w:val="clear" w:color="auto" w:fill="auto"/>
            <w:vAlign w:val="center"/>
          </w:tcPr>
          <w:p w:rsidR="00002DC3" w:rsidRPr="008056B1" w:rsidRDefault="00002DC3" w:rsidP="00D60B44">
            <w:pPr>
              <w:rPr>
                <w:rFonts w:ascii="Arial Narrow" w:hAnsi="Arial Narrow"/>
                <w:sz w:val="20"/>
              </w:rPr>
            </w:pPr>
            <w:r w:rsidRPr="008056B1">
              <w:rPr>
                <w:rFonts w:ascii="Arial Narrow" w:hAnsi="Arial Narrow"/>
                <w:sz w:val="20"/>
              </w:rPr>
              <w:t>Time horizon</w:t>
            </w:r>
          </w:p>
        </w:tc>
        <w:tc>
          <w:tcPr>
            <w:tcW w:w="1869" w:type="pct"/>
            <w:shd w:val="clear" w:color="auto" w:fill="auto"/>
            <w:vAlign w:val="center"/>
          </w:tcPr>
          <w:p w:rsidR="00002DC3" w:rsidRPr="008056B1" w:rsidRDefault="00002DC3" w:rsidP="00D60B44">
            <w:pPr>
              <w:rPr>
                <w:rFonts w:ascii="Arial Narrow" w:hAnsi="Arial Narrow"/>
                <w:sz w:val="20"/>
              </w:rPr>
            </w:pPr>
            <w:r w:rsidRPr="002F2FC7">
              <w:rPr>
                <w:rFonts w:ascii="Arial Narrow" w:hAnsi="Arial Narrow"/>
                <w:sz w:val="20"/>
              </w:rPr>
              <w:t>100 years; assumed from up to 28-30 month after last dose in trials (V72P6E1)</w:t>
            </w:r>
          </w:p>
        </w:tc>
        <w:tc>
          <w:tcPr>
            <w:tcW w:w="1858" w:type="pct"/>
            <w:shd w:val="clear" w:color="auto" w:fill="auto"/>
            <w:vAlign w:val="center"/>
          </w:tcPr>
          <w:p w:rsidR="00002DC3" w:rsidRPr="008056B1" w:rsidRDefault="00002DC3" w:rsidP="00D60B44">
            <w:pPr>
              <w:rPr>
                <w:rFonts w:ascii="Arial Narrow" w:hAnsi="Arial Narrow"/>
                <w:sz w:val="20"/>
              </w:rPr>
            </w:pPr>
            <w:r w:rsidRPr="008056B1">
              <w:rPr>
                <w:rFonts w:ascii="Arial Narrow" w:hAnsi="Arial Narrow"/>
                <w:sz w:val="20"/>
              </w:rPr>
              <w:t>Moderate, favours 4CMenB</w:t>
            </w:r>
          </w:p>
        </w:tc>
      </w:tr>
      <w:tr w:rsidR="00002DC3" w:rsidRPr="008056B1" w:rsidTr="00D60B44">
        <w:trPr>
          <w:trHeight w:val="222"/>
        </w:trPr>
        <w:tc>
          <w:tcPr>
            <w:tcW w:w="1273" w:type="pct"/>
            <w:shd w:val="clear" w:color="auto" w:fill="auto"/>
            <w:vAlign w:val="center"/>
          </w:tcPr>
          <w:p w:rsidR="00002DC3" w:rsidRPr="008056B1" w:rsidRDefault="00002DC3" w:rsidP="00D60B44">
            <w:pPr>
              <w:rPr>
                <w:rFonts w:ascii="Arial Narrow" w:hAnsi="Arial Narrow"/>
                <w:sz w:val="20"/>
              </w:rPr>
            </w:pPr>
            <w:r w:rsidRPr="008056B1">
              <w:rPr>
                <w:rFonts w:ascii="Arial Narrow" w:hAnsi="Arial Narrow"/>
                <w:sz w:val="20"/>
              </w:rPr>
              <w:t>Vaccine efficacy</w:t>
            </w:r>
          </w:p>
        </w:tc>
        <w:tc>
          <w:tcPr>
            <w:tcW w:w="1869" w:type="pct"/>
            <w:shd w:val="clear" w:color="auto" w:fill="auto"/>
            <w:vAlign w:val="center"/>
          </w:tcPr>
          <w:p w:rsidR="00002DC3" w:rsidRPr="008056B1" w:rsidRDefault="00002DC3" w:rsidP="00D60B44">
            <w:pPr>
              <w:rPr>
                <w:rFonts w:ascii="Arial Narrow" w:hAnsi="Arial Narrow"/>
                <w:sz w:val="20"/>
              </w:rPr>
            </w:pPr>
            <w:r w:rsidRPr="008056B1">
              <w:rPr>
                <w:rFonts w:ascii="Arial Narrow" w:hAnsi="Arial Narrow"/>
                <w:sz w:val="20"/>
              </w:rPr>
              <w:t>Assumed (various)</w:t>
            </w:r>
          </w:p>
        </w:tc>
        <w:tc>
          <w:tcPr>
            <w:tcW w:w="1858" w:type="pct"/>
            <w:shd w:val="clear" w:color="auto" w:fill="auto"/>
            <w:vAlign w:val="center"/>
          </w:tcPr>
          <w:p w:rsidR="00002DC3" w:rsidRPr="008056B1" w:rsidRDefault="00002DC3" w:rsidP="00D60B44">
            <w:pPr>
              <w:rPr>
                <w:rFonts w:ascii="Arial Narrow" w:hAnsi="Arial Narrow"/>
                <w:sz w:val="20"/>
              </w:rPr>
            </w:pPr>
            <w:r w:rsidRPr="008056B1">
              <w:rPr>
                <w:rFonts w:ascii="Arial Narrow" w:hAnsi="Arial Narrow"/>
                <w:sz w:val="20"/>
              </w:rPr>
              <w:t>Moderate, favours 4CMenB</w:t>
            </w:r>
          </w:p>
        </w:tc>
      </w:tr>
      <w:tr w:rsidR="00002DC3" w:rsidRPr="008056B1" w:rsidTr="00D60B44">
        <w:trPr>
          <w:trHeight w:val="222"/>
        </w:trPr>
        <w:tc>
          <w:tcPr>
            <w:tcW w:w="1273" w:type="pct"/>
            <w:shd w:val="clear" w:color="auto" w:fill="auto"/>
            <w:vAlign w:val="center"/>
          </w:tcPr>
          <w:p w:rsidR="00002DC3" w:rsidRPr="008056B1" w:rsidRDefault="00002DC3" w:rsidP="00D60B44">
            <w:pPr>
              <w:rPr>
                <w:rFonts w:ascii="Arial Narrow" w:hAnsi="Arial Narrow"/>
                <w:sz w:val="20"/>
              </w:rPr>
            </w:pPr>
            <w:r w:rsidRPr="008056B1">
              <w:rPr>
                <w:rFonts w:ascii="Arial Narrow" w:hAnsi="Arial Narrow"/>
                <w:sz w:val="20"/>
              </w:rPr>
              <w:t>Mean persistence</w:t>
            </w:r>
          </w:p>
        </w:tc>
        <w:tc>
          <w:tcPr>
            <w:tcW w:w="1869" w:type="pct"/>
            <w:shd w:val="clear" w:color="auto" w:fill="auto"/>
            <w:vAlign w:val="center"/>
          </w:tcPr>
          <w:p w:rsidR="00002DC3" w:rsidRPr="008056B1" w:rsidRDefault="00002DC3" w:rsidP="00D60B44">
            <w:pPr>
              <w:rPr>
                <w:rFonts w:ascii="Arial Narrow" w:hAnsi="Arial Narrow"/>
                <w:sz w:val="20"/>
              </w:rPr>
            </w:pPr>
            <w:r w:rsidRPr="008056B1">
              <w:rPr>
                <w:rFonts w:ascii="Arial Narrow" w:hAnsi="Arial Narrow"/>
                <w:sz w:val="20"/>
              </w:rPr>
              <w:t>Assumed (various)</w:t>
            </w:r>
          </w:p>
        </w:tc>
        <w:tc>
          <w:tcPr>
            <w:tcW w:w="1858" w:type="pct"/>
            <w:shd w:val="clear" w:color="auto" w:fill="auto"/>
            <w:vAlign w:val="center"/>
          </w:tcPr>
          <w:p w:rsidR="00002DC3" w:rsidRPr="008056B1" w:rsidRDefault="00002DC3" w:rsidP="00D60B44">
            <w:pPr>
              <w:rPr>
                <w:rFonts w:ascii="Arial Narrow" w:hAnsi="Arial Narrow"/>
                <w:sz w:val="20"/>
              </w:rPr>
            </w:pPr>
            <w:r w:rsidRPr="008056B1">
              <w:rPr>
                <w:rFonts w:ascii="Arial Narrow" w:hAnsi="Arial Narrow"/>
                <w:sz w:val="20"/>
              </w:rPr>
              <w:t>Moderate, favours 4CMenB</w:t>
            </w:r>
          </w:p>
        </w:tc>
      </w:tr>
      <w:tr w:rsidR="00002DC3" w:rsidRPr="008056B1" w:rsidTr="00D60B44">
        <w:trPr>
          <w:trHeight w:val="222"/>
        </w:trPr>
        <w:tc>
          <w:tcPr>
            <w:tcW w:w="1273" w:type="pct"/>
            <w:shd w:val="clear" w:color="auto" w:fill="auto"/>
            <w:vAlign w:val="center"/>
          </w:tcPr>
          <w:p w:rsidR="00002DC3" w:rsidRPr="008056B1" w:rsidRDefault="00002DC3" w:rsidP="00D60B44">
            <w:pPr>
              <w:rPr>
                <w:rFonts w:ascii="Arial Narrow" w:hAnsi="Arial Narrow"/>
                <w:sz w:val="20"/>
              </w:rPr>
            </w:pPr>
            <w:r w:rsidRPr="008056B1">
              <w:rPr>
                <w:rFonts w:ascii="Arial Narrow" w:hAnsi="Arial Narrow"/>
                <w:sz w:val="20"/>
              </w:rPr>
              <w:t>Vaccine efficacy against carriage acquisition (herd immunity)</w:t>
            </w:r>
          </w:p>
        </w:tc>
        <w:tc>
          <w:tcPr>
            <w:tcW w:w="1869" w:type="pct"/>
            <w:shd w:val="clear" w:color="auto" w:fill="auto"/>
            <w:vAlign w:val="center"/>
          </w:tcPr>
          <w:p w:rsidR="00002DC3" w:rsidRPr="008056B1" w:rsidRDefault="00002DC3" w:rsidP="00D60B44">
            <w:pPr>
              <w:rPr>
                <w:rFonts w:ascii="Arial Narrow" w:hAnsi="Arial Narrow"/>
                <w:sz w:val="20"/>
              </w:rPr>
            </w:pPr>
            <w:r>
              <w:rPr>
                <w:rFonts w:ascii="Arial Narrow" w:hAnsi="Arial Narrow"/>
                <w:noProof/>
                <w:color w:val="000000"/>
                <w:sz w:val="20"/>
                <w:highlight w:val="black"/>
              </w:rPr>
              <w:t>''''''''''''</w:t>
            </w:r>
            <w:r w:rsidRPr="002F2FC7">
              <w:rPr>
                <w:rFonts w:ascii="Arial Narrow" w:hAnsi="Arial Narrow"/>
                <w:sz w:val="20"/>
              </w:rPr>
              <w:t>%; based on V72_29</w:t>
            </w:r>
          </w:p>
        </w:tc>
        <w:tc>
          <w:tcPr>
            <w:tcW w:w="1858" w:type="pct"/>
            <w:shd w:val="clear" w:color="auto" w:fill="auto"/>
            <w:vAlign w:val="center"/>
          </w:tcPr>
          <w:p w:rsidR="00002DC3" w:rsidRPr="008056B1" w:rsidRDefault="00002DC3" w:rsidP="00D60B44">
            <w:pPr>
              <w:rPr>
                <w:rFonts w:ascii="Arial Narrow" w:hAnsi="Arial Narrow"/>
                <w:sz w:val="20"/>
              </w:rPr>
            </w:pPr>
            <w:r w:rsidRPr="008056B1">
              <w:rPr>
                <w:rFonts w:ascii="Arial Narrow" w:hAnsi="Arial Narrow"/>
                <w:sz w:val="20"/>
              </w:rPr>
              <w:t xml:space="preserve">Moderate, if herd immunity </w:t>
            </w:r>
            <w:r w:rsidRPr="002F2FC7">
              <w:rPr>
                <w:rFonts w:ascii="Arial Narrow" w:hAnsi="Arial Narrow"/>
                <w:sz w:val="20"/>
              </w:rPr>
              <w:t>&gt;</w:t>
            </w:r>
            <w:r>
              <w:rPr>
                <w:rFonts w:ascii="Arial Narrow" w:hAnsi="Arial Narrow"/>
                <w:noProof/>
                <w:color w:val="000000"/>
                <w:sz w:val="20"/>
                <w:highlight w:val="black"/>
              </w:rPr>
              <w:t>''''''''''</w:t>
            </w:r>
            <w:r w:rsidRPr="002F2FC7">
              <w:rPr>
                <w:rFonts w:ascii="Arial Narrow" w:hAnsi="Arial Narrow"/>
                <w:sz w:val="20"/>
              </w:rPr>
              <w:t>%</w:t>
            </w:r>
            <w:r w:rsidRPr="008056B1">
              <w:rPr>
                <w:rFonts w:ascii="Arial Narrow" w:hAnsi="Arial Narrow"/>
                <w:sz w:val="20"/>
              </w:rPr>
              <w:t xml:space="preserve"> favours </w:t>
            </w:r>
            <w:r>
              <w:rPr>
                <w:rFonts w:ascii="Arial Narrow" w:hAnsi="Arial Narrow"/>
                <w:sz w:val="20"/>
              </w:rPr>
              <w:t>4CMenB</w:t>
            </w:r>
            <w:r w:rsidRPr="008056B1">
              <w:rPr>
                <w:rFonts w:ascii="Arial Narrow" w:hAnsi="Arial Narrow"/>
                <w:sz w:val="20"/>
              </w:rPr>
              <w:t xml:space="preserve">. </w:t>
            </w:r>
            <w:r w:rsidRPr="002F2FC7">
              <w:rPr>
                <w:rFonts w:ascii="Arial Narrow" w:hAnsi="Arial Narrow"/>
                <w:sz w:val="20"/>
              </w:rPr>
              <w:t>If herd immunity &lt;</w:t>
            </w:r>
            <w:r>
              <w:rPr>
                <w:rFonts w:ascii="Arial Narrow" w:hAnsi="Arial Narrow"/>
                <w:noProof/>
                <w:color w:val="000000"/>
                <w:sz w:val="20"/>
                <w:highlight w:val="black"/>
              </w:rPr>
              <w:t>'''''''''''</w:t>
            </w:r>
            <w:r w:rsidRPr="002F2FC7">
              <w:rPr>
                <w:rFonts w:ascii="Arial Narrow" w:hAnsi="Arial Narrow"/>
                <w:sz w:val="20"/>
              </w:rPr>
              <w:t>% favours comparator</w:t>
            </w:r>
          </w:p>
        </w:tc>
      </w:tr>
    </w:tbl>
    <w:p w:rsidR="00002DC3" w:rsidRPr="005D41E0" w:rsidRDefault="00002DC3" w:rsidP="00002DC3">
      <w:pPr>
        <w:ind w:left="709"/>
        <w:jc w:val="both"/>
        <w:rPr>
          <w:rFonts w:ascii="Arial Narrow" w:hAnsi="Arial Narrow"/>
          <w:sz w:val="18"/>
          <w:szCs w:val="18"/>
        </w:rPr>
      </w:pPr>
      <w:proofErr w:type="gramStart"/>
      <w:r w:rsidRPr="005D41E0">
        <w:rPr>
          <w:rFonts w:ascii="Arial Narrow" w:hAnsi="Arial Narrow"/>
          <w:sz w:val="18"/>
          <w:szCs w:val="18"/>
        </w:rPr>
        <w:t>Source: Table 7 of the commentary.</w:t>
      </w:r>
      <w:proofErr w:type="gramEnd"/>
    </w:p>
    <w:p w:rsidR="00002DC3" w:rsidRPr="00620782" w:rsidRDefault="00002DC3" w:rsidP="00002DC3">
      <w:pPr>
        <w:jc w:val="both"/>
        <w:rPr>
          <w:rFonts w:ascii="Arial" w:hAnsi="Arial"/>
          <w:sz w:val="22"/>
          <w:szCs w:val="22"/>
        </w:rPr>
      </w:pPr>
    </w:p>
    <w:p w:rsidR="00002DC3" w:rsidRDefault="00002DC3" w:rsidP="00002DC3">
      <w:pPr>
        <w:pStyle w:val="ListParagraph"/>
        <w:numPr>
          <w:ilvl w:val="1"/>
          <w:numId w:val="1"/>
        </w:numPr>
        <w:jc w:val="both"/>
        <w:rPr>
          <w:rFonts w:ascii="Arial" w:hAnsi="Arial"/>
          <w:sz w:val="22"/>
          <w:szCs w:val="22"/>
        </w:rPr>
      </w:pPr>
      <w:r>
        <w:rPr>
          <w:rFonts w:ascii="Arial" w:hAnsi="Arial"/>
          <w:sz w:val="22"/>
          <w:szCs w:val="22"/>
        </w:rPr>
        <w:t>The results of the stepped economic evaluation were as follows.</w:t>
      </w:r>
    </w:p>
    <w:p w:rsidR="00002DC3" w:rsidRPr="008056B1" w:rsidRDefault="00002DC3" w:rsidP="00002DC3">
      <w:pPr>
        <w:jc w:val="both"/>
        <w:rPr>
          <w:rFonts w:ascii="Arial" w:hAnsi="Arial"/>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62"/>
        <w:gridCol w:w="1844"/>
        <w:gridCol w:w="1702"/>
        <w:gridCol w:w="1537"/>
      </w:tblGrid>
      <w:tr w:rsidR="00002DC3" w:rsidRPr="00D15464" w:rsidTr="00D60B44">
        <w:trPr>
          <w:tblHeader/>
        </w:trPr>
        <w:tc>
          <w:tcPr>
            <w:tcW w:w="1954" w:type="pct"/>
            <w:vAlign w:val="center"/>
          </w:tcPr>
          <w:p w:rsidR="00002DC3" w:rsidRPr="00191B3F" w:rsidRDefault="00002DC3" w:rsidP="00D60B44">
            <w:pPr>
              <w:keepNext/>
              <w:rPr>
                <w:rFonts w:ascii="Arial Narrow" w:hAnsi="Arial Narrow"/>
                <w:b/>
                <w:sz w:val="20"/>
              </w:rPr>
            </w:pPr>
            <w:r w:rsidRPr="0036034F">
              <w:rPr>
                <w:rFonts w:ascii="Arial Narrow" w:hAnsi="Arial Narrow"/>
                <w:b/>
                <w:sz w:val="20"/>
              </w:rPr>
              <w:t>Step and component</w:t>
            </w:r>
          </w:p>
        </w:tc>
        <w:tc>
          <w:tcPr>
            <w:tcW w:w="1105" w:type="pct"/>
            <w:vAlign w:val="center"/>
          </w:tcPr>
          <w:p w:rsidR="00002DC3" w:rsidRPr="00191B3F" w:rsidRDefault="00002DC3" w:rsidP="00D60B44">
            <w:pPr>
              <w:keepNext/>
              <w:jc w:val="center"/>
              <w:rPr>
                <w:rFonts w:ascii="Arial Narrow" w:hAnsi="Arial Narrow"/>
                <w:b/>
                <w:sz w:val="20"/>
              </w:rPr>
            </w:pPr>
            <w:r w:rsidRPr="0036034F">
              <w:rPr>
                <w:rFonts w:ascii="Arial Narrow" w:hAnsi="Arial Narrow"/>
                <w:b/>
                <w:sz w:val="20"/>
              </w:rPr>
              <w:t>4CMenB</w:t>
            </w:r>
          </w:p>
        </w:tc>
        <w:tc>
          <w:tcPr>
            <w:tcW w:w="1020" w:type="pct"/>
            <w:vAlign w:val="center"/>
          </w:tcPr>
          <w:p w:rsidR="00002DC3" w:rsidRPr="00191B3F" w:rsidRDefault="00002DC3" w:rsidP="00D60B44">
            <w:pPr>
              <w:keepNext/>
              <w:jc w:val="center"/>
              <w:rPr>
                <w:rFonts w:ascii="Arial Narrow" w:hAnsi="Arial Narrow"/>
                <w:b/>
                <w:sz w:val="20"/>
              </w:rPr>
            </w:pPr>
            <w:r w:rsidRPr="0036034F">
              <w:rPr>
                <w:rFonts w:ascii="Arial Narrow" w:hAnsi="Arial Narrow"/>
                <w:b/>
                <w:sz w:val="20"/>
              </w:rPr>
              <w:t>No vaccination</w:t>
            </w:r>
          </w:p>
        </w:tc>
        <w:tc>
          <w:tcPr>
            <w:tcW w:w="922" w:type="pct"/>
          </w:tcPr>
          <w:p w:rsidR="00002DC3" w:rsidRPr="00191B3F" w:rsidRDefault="00002DC3" w:rsidP="00D60B44">
            <w:pPr>
              <w:keepNext/>
              <w:jc w:val="center"/>
              <w:rPr>
                <w:rFonts w:ascii="Arial Narrow" w:hAnsi="Arial Narrow"/>
                <w:b/>
                <w:sz w:val="20"/>
              </w:rPr>
            </w:pPr>
            <w:r w:rsidRPr="0036034F">
              <w:rPr>
                <w:rFonts w:ascii="Arial Narrow" w:hAnsi="Arial Narrow"/>
                <w:b/>
                <w:sz w:val="20"/>
              </w:rPr>
              <w:t>Increment</w:t>
            </w:r>
          </w:p>
        </w:tc>
      </w:tr>
      <w:tr w:rsidR="00002DC3" w:rsidRPr="00D15464" w:rsidTr="00D60B44">
        <w:tc>
          <w:tcPr>
            <w:tcW w:w="5000" w:type="pct"/>
            <w:gridSpan w:val="4"/>
            <w:vAlign w:val="center"/>
          </w:tcPr>
          <w:p w:rsidR="00002DC3" w:rsidRPr="00191B3F" w:rsidRDefault="00002DC3" w:rsidP="00D60B44">
            <w:pPr>
              <w:pStyle w:val="TableHeading"/>
              <w:widowControl w:val="0"/>
              <w:spacing w:before="0" w:after="0"/>
              <w:rPr>
                <w:snapToGrid w:val="0"/>
              </w:rPr>
            </w:pPr>
            <w:r w:rsidRPr="0036034F">
              <w:rPr>
                <w:snapToGrid w:val="0"/>
              </w:rPr>
              <w:t>Step 1: cases averted over 100 years</w:t>
            </w:r>
          </w:p>
        </w:tc>
      </w:tr>
      <w:tr w:rsidR="00002DC3" w:rsidRPr="00D15464" w:rsidTr="00D60B44">
        <w:tc>
          <w:tcPr>
            <w:tcW w:w="1954" w:type="pct"/>
            <w:vAlign w:val="center"/>
          </w:tcPr>
          <w:p w:rsidR="00002DC3" w:rsidRPr="00191B3F" w:rsidRDefault="00002DC3" w:rsidP="00D60B44">
            <w:pPr>
              <w:rPr>
                <w:rFonts w:ascii="Arial Narrow" w:hAnsi="Arial Narrow"/>
                <w:sz w:val="20"/>
              </w:rPr>
            </w:pPr>
            <w:r w:rsidRPr="0036034F">
              <w:rPr>
                <w:rFonts w:ascii="Arial Narrow" w:hAnsi="Arial Narrow"/>
                <w:sz w:val="20"/>
              </w:rPr>
              <w:t>Costs ($)</w:t>
            </w:r>
          </w:p>
        </w:tc>
        <w:tc>
          <w:tcPr>
            <w:tcW w:w="1105"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1020"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922"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1954" w:type="pct"/>
            <w:vAlign w:val="center"/>
          </w:tcPr>
          <w:p w:rsidR="00002DC3" w:rsidRPr="00191B3F" w:rsidRDefault="00002DC3" w:rsidP="00D60B44">
            <w:pPr>
              <w:rPr>
                <w:rFonts w:ascii="Arial Narrow" w:hAnsi="Arial Narrow"/>
                <w:sz w:val="20"/>
              </w:rPr>
            </w:pPr>
            <w:r w:rsidRPr="0036034F">
              <w:rPr>
                <w:rFonts w:ascii="Arial Narrow" w:hAnsi="Arial Narrow"/>
                <w:sz w:val="20"/>
              </w:rPr>
              <w:t>Cases</w:t>
            </w:r>
          </w:p>
        </w:tc>
        <w:tc>
          <w:tcPr>
            <w:tcW w:w="1105"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1020"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922"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4078" w:type="pct"/>
            <w:gridSpan w:val="3"/>
            <w:vAlign w:val="center"/>
          </w:tcPr>
          <w:p w:rsidR="00002DC3" w:rsidRPr="00191B3F" w:rsidRDefault="00002DC3" w:rsidP="00D60B44">
            <w:pPr>
              <w:pStyle w:val="Tabletext"/>
              <w:widowControl w:val="0"/>
              <w:spacing w:after="0"/>
              <w:rPr>
                <w:rFonts w:ascii="Arial Narrow" w:hAnsi="Arial Narrow"/>
                <w:snapToGrid w:val="0"/>
              </w:rPr>
            </w:pPr>
            <w:r w:rsidRPr="0036034F">
              <w:rPr>
                <w:rFonts w:ascii="Arial Narrow" w:hAnsi="Arial Narrow"/>
                <w:b/>
              </w:rPr>
              <w:t>Incremental cost/extra case averted ($)</w:t>
            </w:r>
          </w:p>
        </w:tc>
        <w:tc>
          <w:tcPr>
            <w:tcW w:w="922" w:type="pct"/>
            <w:vAlign w:val="center"/>
          </w:tcPr>
          <w:p w:rsidR="00002DC3" w:rsidRPr="00191B3F" w:rsidRDefault="00002DC3" w:rsidP="00D60B44">
            <w:pPr>
              <w:jc w:val="center"/>
              <w:rPr>
                <w:rFonts w:ascii="Arial Narrow" w:hAnsi="Arial Narrow"/>
                <w:b/>
                <w:sz w:val="20"/>
                <w:highlight w:val="black"/>
              </w:rPr>
            </w:pPr>
            <w:r>
              <w:rPr>
                <w:rFonts w:ascii="Arial Narrow" w:hAnsi="Arial Narrow"/>
                <w:b/>
                <w:noProof/>
                <w:color w:val="000000"/>
                <w:sz w:val="20"/>
                <w:highlight w:val="black"/>
              </w:rPr>
              <w:t>''''''''''''''''</w:t>
            </w:r>
          </w:p>
        </w:tc>
      </w:tr>
      <w:tr w:rsidR="00002DC3" w:rsidRPr="00D15464" w:rsidTr="00D60B44">
        <w:tc>
          <w:tcPr>
            <w:tcW w:w="5000" w:type="pct"/>
            <w:gridSpan w:val="4"/>
            <w:vAlign w:val="center"/>
          </w:tcPr>
          <w:p w:rsidR="00002DC3" w:rsidRPr="00191B3F" w:rsidRDefault="00002DC3" w:rsidP="00D60B44">
            <w:pPr>
              <w:pStyle w:val="TableHeading"/>
              <w:widowControl w:val="0"/>
              <w:spacing w:before="0" w:after="0"/>
              <w:rPr>
                <w:snapToGrid w:val="0"/>
              </w:rPr>
            </w:pPr>
            <w:r w:rsidRPr="0036034F">
              <w:rPr>
                <w:snapToGrid w:val="0"/>
              </w:rPr>
              <w:t>Step 2a: deaths averted over 100 years</w:t>
            </w:r>
          </w:p>
        </w:tc>
      </w:tr>
      <w:tr w:rsidR="00002DC3" w:rsidRPr="00D15464" w:rsidTr="00D60B44">
        <w:tc>
          <w:tcPr>
            <w:tcW w:w="1954" w:type="pct"/>
            <w:vAlign w:val="center"/>
          </w:tcPr>
          <w:p w:rsidR="00002DC3" w:rsidRPr="00191B3F" w:rsidRDefault="00002DC3" w:rsidP="00D60B44">
            <w:pPr>
              <w:rPr>
                <w:rFonts w:ascii="Arial Narrow" w:hAnsi="Arial Narrow"/>
                <w:sz w:val="20"/>
              </w:rPr>
            </w:pPr>
            <w:r w:rsidRPr="0036034F">
              <w:rPr>
                <w:rFonts w:ascii="Arial Narrow" w:hAnsi="Arial Narrow"/>
                <w:sz w:val="20"/>
              </w:rPr>
              <w:t>Costs ($)</w:t>
            </w:r>
          </w:p>
        </w:tc>
        <w:tc>
          <w:tcPr>
            <w:tcW w:w="1105"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1020"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922"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1954" w:type="pct"/>
            <w:vAlign w:val="center"/>
          </w:tcPr>
          <w:p w:rsidR="00002DC3" w:rsidRPr="00191B3F" w:rsidRDefault="00002DC3" w:rsidP="00D60B44">
            <w:pPr>
              <w:rPr>
                <w:rFonts w:ascii="Arial Narrow" w:hAnsi="Arial Narrow"/>
                <w:sz w:val="20"/>
              </w:rPr>
            </w:pPr>
            <w:r w:rsidRPr="0036034F">
              <w:rPr>
                <w:rFonts w:ascii="Arial Narrow" w:hAnsi="Arial Narrow"/>
                <w:sz w:val="20"/>
              </w:rPr>
              <w:t>Deaths</w:t>
            </w:r>
          </w:p>
        </w:tc>
        <w:tc>
          <w:tcPr>
            <w:tcW w:w="1105"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1020"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922" w:type="pct"/>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rPr>
          <w:trHeight w:val="70"/>
        </w:trPr>
        <w:tc>
          <w:tcPr>
            <w:tcW w:w="4078" w:type="pct"/>
            <w:gridSpan w:val="3"/>
            <w:vAlign w:val="center"/>
          </w:tcPr>
          <w:p w:rsidR="00002DC3" w:rsidRPr="00191B3F" w:rsidRDefault="00002DC3" w:rsidP="00D60B44">
            <w:pPr>
              <w:pStyle w:val="Tabletext"/>
              <w:widowControl w:val="0"/>
              <w:spacing w:after="0"/>
              <w:rPr>
                <w:rFonts w:ascii="Arial Narrow" w:hAnsi="Arial Narrow"/>
                <w:snapToGrid w:val="0"/>
              </w:rPr>
            </w:pPr>
            <w:r w:rsidRPr="0036034F">
              <w:rPr>
                <w:rFonts w:ascii="Arial Narrow" w:hAnsi="Arial Narrow"/>
                <w:b/>
              </w:rPr>
              <w:t>Incremental cost/extra death averted ($)</w:t>
            </w:r>
          </w:p>
        </w:tc>
        <w:tc>
          <w:tcPr>
            <w:tcW w:w="922" w:type="pct"/>
          </w:tcPr>
          <w:p w:rsidR="00002DC3" w:rsidRPr="00191B3F" w:rsidRDefault="00002DC3" w:rsidP="00D60B44">
            <w:pPr>
              <w:jc w:val="center"/>
              <w:rPr>
                <w:rFonts w:ascii="Arial Narrow" w:hAnsi="Arial Narrow"/>
                <w:b/>
                <w:sz w:val="20"/>
                <w:highlight w:val="black"/>
              </w:rPr>
            </w:pPr>
            <w:r>
              <w:rPr>
                <w:rFonts w:ascii="Arial Narrow" w:hAnsi="Arial Narrow"/>
                <w:b/>
                <w:noProof/>
                <w:color w:val="000000"/>
                <w:sz w:val="20"/>
                <w:highlight w:val="black"/>
              </w:rPr>
              <w:t>'''''''''''''''''''</w:t>
            </w:r>
          </w:p>
        </w:tc>
      </w:tr>
      <w:tr w:rsidR="00002DC3" w:rsidRPr="00D15464" w:rsidTr="00D60B44">
        <w:tc>
          <w:tcPr>
            <w:tcW w:w="5000" w:type="pct"/>
            <w:gridSpan w:val="4"/>
            <w:vAlign w:val="center"/>
          </w:tcPr>
          <w:p w:rsidR="00002DC3" w:rsidRPr="00191B3F" w:rsidRDefault="00002DC3" w:rsidP="00D60B44">
            <w:pPr>
              <w:pStyle w:val="TableHeading"/>
              <w:widowControl w:val="0"/>
              <w:spacing w:before="0" w:after="0"/>
              <w:rPr>
                <w:snapToGrid w:val="0"/>
              </w:rPr>
            </w:pPr>
            <w:r w:rsidRPr="0036034F">
              <w:rPr>
                <w:snapToGrid w:val="0"/>
              </w:rPr>
              <w:t>Step 2b: life years lost over 100 years</w:t>
            </w:r>
          </w:p>
        </w:tc>
      </w:tr>
      <w:tr w:rsidR="00002DC3" w:rsidRPr="00D15464" w:rsidTr="00D60B44">
        <w:tc>
          <w:tcPr>
            <w:tcW w:w="1954" w:type="pct"/>
            <w:vAlign w:val="center"/>
          </w:tcPr>
          <w:p w:rsidR="00002DC3" w:rsidRPr="00191B3F" w:rsidRDefault="00002DC3" w:rsidP="00D60B44">
            <w:pPr>
              <w:rPr>
                <w:rFonts w:ascii="Arial Narrow" w:hAnsi="Arial Narrow"/>
                <w:sz w:val="20"/>
              </w:rPr>
            </w:pPr>
            <w:r w:rsidRPr="0036034F">
              <w:rPr>
                <w:rFonts w:ascii="Arial Narrow" w:hAnsi="Arial Narrow"/>
                <w:sz w:val="20"/>
              </w:rPr>
              <w:t>Costs ($)</w:t>
            </w:r>
          </w:p>
        </w:tc>
        <w:tc>
          <w:tcPr>
            <w:tcW w:w="1105"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1020"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922"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1954" w:type="pct"/>
            <w:vAlign w:val="center"/>
          </w:tcPr>
          <w:p w:rsidR="00002DC3" w:rsidRPr="00191B3F" w:rsidRDefault="00002DC3" w:rsidP="00D60B44">
            <w:pPr>
              <w:rPr>
                <w:rFonts w:ascii="Arial Narrow" w:hAnsi="Arial Narrow"/>
                <w:sz w:val="20"/>
              </w:rPr>
            </w:pPr>
            <w:r w:rsidRPr="0036034F">
              <w:rPr>
                <w:rFonts w:ascii="Arial Narrow" w:hAnsi="Arial Narrow"/>
                <w:sz w:val="20"/>
              </w:rPr>
              <w:t>Life years lost</w:t>
            </w:r>
          </w:p>
        </w:tc>
        <w:tc>
          <w:tcPr>
            <w:tcW w:w="1105"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1020"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922" w:type="pct"/>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4078" w:type="pct"/>
            <w:gridSpan w:val="3"/>
            <w:vAlign w:val="center"/>
          </w:tcPr>
          <w:p w:rsidR="00002DC3" w:rsidRPr="00191B3F" w:rsidRDefault="00002DC3" w:rsidP="00D60B44">
            <w:pPr>
              <w:rPr>
                <w:rFonts w:ascii="Arial Narrow" w:hAnsi="Arial Narrow"/>
                <w:b/>
                <w:sz w:val="20"/>
              </w:rPr>
            </w:pPr>
            <w:r w:rsidRPr="0036034F">
              <w:rPr>
                <w:rFonts w:ascii="Arial Narrow" w:hAnsi="Arial Narrow"/>
                <w:b/>
                <w:sz w:val="20"/>
              </w:rPr>
              <w:t>Incremental cost/extra life year gained</w:t>
            </w:r>
          </w:p>
        </w:tc>
        <w:tc>
          <w:tcPr>
            <w:tcW w:w="922" w:type="pct"/>
          </w:tcPr>
          <w:p w:rsidR="00002DC3" w:rsidRPr="00191B3F" w:rsidRDefault="00002DC3" w:rsidP="00D60B44">
            <w:pPr>
              <w:jc w:val="center"/>
              <w:rPr>
                <w:rFonts w:ascii="Arial Narrow" w:hAnsi="Arial Narrow"/>
                <w:b/>
                <w:sz w:val="20"/>
                <w:highlight w:val="black"/>
              </w:rPr>
            </w:pPr>
            <w:r>
              <w:rPr>
                <w:rFonts w:ascii="Arial Narrow" w:hAnsi="Arial Narrow"/>
                <w:b/>
                <w:noProof/>
                <w:color w:val="000000"/>
                <w:sz w:val="20"/>
                <w:highlight w:val="black"/>
              </w:rPr>
              <w:t>''''''''''''''''''</w:t>
            </w:r>
          </w:p>
        </w:tc>
      </w:tr>
      <w:tr w:rsidR="00002DC3" w:rsidRPr="00D15464" w:rsidTr="00D60B44">
        <w:tc>
          <w:tcPr>
            <w:tcW w:w="5000" w:type="pct"/>
            <w:gridSpan w:val="4"/>
            <w:vAlign w:val="center"/>
          </w:tcPr>
          <w:p w:rsidR="00002DC3" w:rsidRPr="00191B3F" w:rsidRDefault="00002DC3" w:rsidP="00D60B44">
            <w:pPr>
              <w:pStyle w:val="TableHeading"/>
              <w:widowControl w:val="0"/>
              <w:spacing w:before="0" w:after="0"/>
              <w:rPr>
                <w:snapToGrid w:val="0"/>
              </w:rPr>
            </w:pPr>
            <w:r w:rsidRPr="0036034F">
              <w:rPr>
                <w:snapToGrid w:val="0"/>
              </w:rPr>
              <w:t>Step 3: QALY lost over 100 years</w:t>
            </w:r>
          </w:p>
        </w:tc>
      </w:tr>
      <w:tr w:rsidR="00002DC3" w:rsidRPr="00D15464" w:rsidTr="00D60B44">
        <w:tc>
          <w:tcPr>
            <w:tcW w:w="1954" w:type="pct"/>
            <w:vAlign w:val="center"/>
          </w:tcPr>
          <w:p w:rsidR="00002DC3" w:rsidRPr="00191B3F" w:rsidRDefault="00002DC3" w:rsidP="00D60B44">
            <w:pPr>
              <w:rPr>
                <w:rFonts w:ascii="Arial Narrow" w:hAnsi="Arial Narrow"/>
                <w:sz w:val="20"/>
              </w:rPr>
            </w:pPr>
            <w:r w:rsidRPr="0036034F">
              <w:rPr>
                <w:rFonts w:ascii="Arial Narrow" w:hAnsi="Arial Narrow"/>
                <w:sz w:val="20"/>
              </w:rPr>
              <w:t>Costs ($)</w:t>
            </w:r>
          </w:p>
        </w:tc>
        <w:tc>
          <w:tcPr>
            <w:tcW w:w="1105"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1020"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922"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1954" w:type="pct"/>
            <w:vAlign w:val="center"/>
          </w:tcPr>
          <w:p w:rsidR="00002DC3" w:rsidRPr="00191B3F" w:rsidRDefault="00002DC3" w:rsidP="00D60B44">
            <w:pPr>
              <w:rPr>
                <w:rFonts w:ascii="Arial Narrow" w:hAnsi="Arial Narrow"/>
                <w:sz w:val="20"/>
              </w:rPr>
            </w:pPr>
            <w:r w:rsidRPr="0036034F">
              <w:rPr>
                <w:rFonts w:ascii="Arial Narrow" w:hAnsi="Arial Narrow"/>
                <w:sz w:val="20"/>
              </w:rPr>
              <w:t>QALYs lost</w:t>
            </w:r>
          </w:p>
        </w:tc>
        <w:tc>
          <w:tcPr>
            <w:tcW w:w="1105"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1020"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922" w:type="pct"/>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4078" w:type="pct"/>
            <w:gridSpan w:val="3"/>
            <w:vAlign w:val="center"/>
          </w:tcPr>
          <w:p w:rsidR="00002DC3" w:rsidRPr="00191B3F" w:rsidRDefault="00002DC3" w:rsidP="00D60B44">
            <w:pPr>
              <w:rPr>
                <w:rFonts w:ascii="Arial Narrow" w:hAnsi="Arial Narrow"/>
                <w:b/>
                <w:sz w:val="20"/>
              </w:rPr>
            </w:pPr>
            <w:r w:rsidRPr="0036034F">
              <w:rPr>
                <w:rFonts w:ascii="Arial Narrow" w:hAnsi="Arial Narrow"/>
                <w:b/>
                <w:sz w:val="20"/>
              </w:rPr>
              <w:t>Incremental cost/extra QALY gained ($)</w:t>
            </w:r>
          </w:p>
        </w:tc>
        <w:tc>
          <w:tcPr>
            <w:tcW w:w="922" w:type="pct"/>
          </w:tcPr>
          <w:p w:rsidR="00002DC3" w:rsidRPr="00191B3F" w:rsidRDefault="00002DC3" w:rsidP="00D60B44">
            <w:pPr>
              <w:jc w:val="center"/>
              <w:rPr>
                <w:rFonts w:ascii="Arial Narrow" w:hAnsi="Arial Narrow"/>
                <w:b/>
                <w:sz w:val="20"/>
                <w:highlight w:val="black"/>
              </w:rPr>
            </w:pPr>
            <w:r>
              <w:rPr>
                <w:rFonts w:ascii="Arial Narrow" w:hAnsi="Arial Narrow"/>
                <w:b/>
                <w:noProof/>
                <w:color w:val="000000"/>
                <w:sz w:val="20"/>
                <w:highlight w:val="black"/>
              </w:rPr>
              <w:t>''''''''''''''''</w:t>
            </w:r>
          </w:p>
        </w:tc>
      </w:tr>
      <w:tr w:rsidR="00002DC3" w:rsidRPr="00D15464" w:rsidTr="00D60B44">
        <w:tc>
          <w:tcPr>
            <w:tcW w:w="5000" w:type="pct"/>
            <w:gridSpan w:val="4"/>
            <w:vAlign w:val="center"/>
          </w:tcPr>
          <w:p w:rsidR="00002DC3" w:rsidRPr="0036034F" w:rsidRDefault="00002DC3" w:rsidP="00D60B44">
            <w:pPr>
              <w:pStyle w:val="TableHeading"/>
              <w:widowControl w:val="0"/>
              <w:spacing w:before="0" w:after="0"/>
              <w:rPr>
                <w:snapToGrid w:val="0"/>
              </w:rPr>
            </w:pPr>
            <w:r w:rsidRPr="0036034F">
              <w:rPr>
                <w:snapToGrid w:val="0"/>
              </w:rPr>
              <w:t>QALY lost over 100 years in the previous submission considered in November 2013</w:t>
            </w:r>
          </w:p>
          <w:p w:rsidR="00002DC3" w:rsidRPr="00191B3F" w:rsidRDefault="00002DC3" w:rsidP="00D60B44">
            <w:pPr>
              <w:pStyle w:val="TableHeading"/>
              <w:widowControl w:val="0"/>
              <w:spacing w:before="0" w:after="0"/>
              <w:rPr>
                <w:b w:val="0"/>
                <w:snapToGrid w:val="0"/>
              </w:rPr>
            </w:pPr>
            <w:r w:rsidRPr="0036034F">
              <w:rPr>
                <w:b w:val="0"/>
                <w:snapToGrid w:val="0"/>
                <w:sz w:val="16"/>
              </w:rPr>
              <w:t xml:space="preserve">(Scenario 6 versus no vaccination, discounted at 5% per annum for costs and </w:t>
            </w:r>
            <w:r>
              <w:rPr>
                <w:b w:val="0"/>
                <w:noProof/>
                <w:snapToGrid w:val="0"/>
                <w:color w:val="000000"/>
                <w:sz w:val="16"/>
                <w:highlight w:val="black"/>
              </w:rPr>
              <w:t>''''''''</w:t>
            </w:r>
            <w:r w:rsidRPr="0036034F">
              <w:rPr>
                <w:b w:val="0"/>
                <w:snapToGrid w:val="0"/>
                <w:sz w:val="16"/>
              </w:rPr>
              <w:t>% per annum for health outcomes, 50% herd immunity, $</w:t>
            </w:r>
            <w:r>
              <w:rPr>
                <w:b w:val="0"/>
                <w:noProof/>
                <w:snapToGrid w:val="0"/>
                <w:color w:val="000000"/>
                <w:sz w:val="16"/>
                <w:highlight w:val="black"/>
              </w:rPr>
              <w:t>'''''''</w:t>
            </w:r>
            <w:r w:rsidRPr="0036034F">
              <w:rPr>
                <w:b w:val="0"/>
                <w:snapToGrid w:val="0"/>
                <w:sz w:val="16"/>
              </w:rPr>
              <w:t xml:space="preserve"> per dose + </w:t>
            </w:r>
            <w:r>
              <w:rPr>
                <w:b w:val="0"/>
                <w:noProof/>
                <w:snapToGrid w:val="0"/>
                <w:color w:val="000000"/>
                <w:sz w:val="16"/>
                <w:highlight w:val="black"/>
              </w:rPr>
              <w:t>'''''</w:t>
            </w:r>
            <w:r w:rsidRPr="0036034F">
              <w:rPr>
                <w:b w:val="0"/>
                <w:snapToGrid w:val="0"/>
                <w:sz w:val="16"/>
              </w:rPr>
              <w:t>% discount for catch-up)</w:t>
            </w:r>
          </w:p>
        </w:tc>
      </w:tr>
      <w:tr w:rsidR="00002DC3" w:rsidRPr="00D15464" w:rsidTr="00D60B44">
        <w:tc>
          <w:tcPr>
            <w:tcW w:w="1954" w:type="pct"/>
            <w:vAlign w:val="center"/>
          </w:tcPr>
          <w:p w:rsidR="00002DC3" w:rsidRPr="00191B3F" w:rsidRDefault="00002DC3" w:rsidP="00D60B44">
            <w:pPr>
              <w:rPr>
                <w:rFonts w:ascii="Arial Narrow" w:hAnsi="Arial Narrow"/>
                <w:sz w:val="20"/>
              </w:rPr>
            </w:pPr>
            <w:r w:rsidRPr="0036034F">
              <w:rPr>
                <w:rFonts w:ascii="Arial Narrow" w:hAnsi="Arial Narrow"/>
                <w:sz w:val="20"/>
              </w:rPr>
              <w:t>Costs</w:t>
            </w:r>
          </w:p>
        </w:tc>
        <w:tc>
          <w:tcPr>
            <w:tcW w:w="1105"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1020"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922"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1954" w:type="pct"/>
            <w:vAlign w:val="center"/>
          </w:tcPr>
          <w:p w:rsidR="00002DC3" w:rsidRPr="00191B3F" w:rsidRDefault="00002DC3" w:rsidP="00D60B44">
            <w:pPr>
              <w:rPr>
                <w:rFonts w:ascii="Arial Narrow" w:hAnsi="Arial Narrow"/>
                <w:sz w:val="20"/>
              </w:rPr>
            </w:pPr>
            <w:r w:rsidRPr="0036034F">
              <w:rPr>
                <w:rFonts w:ascii="Arial Narrow" w:hAnsi="Arial Narrow"/>
                <w:sz w:val="20"/>
              </w:rPr>
              <w:t>QALYs lost</w:t>
            </w:r>
          </w:p>
        </w:tc>
        <w:tc>
          <w:tcPr>
            <w:tcW w:w="1105"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1020"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922" w:type="pct"/>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4078" w:type="pct"/>
            <w:gridSpan w:val="3"/>
            <w:vAlign w:val="center"/>
          </w:tcPr>
          <w:p w:rsidR="00002DC3" w:rsidRPr="00191B3F" w:rsidRDefault="00002DC3" w:rsidP="00D60B44">
            <w:pPr>
              <w:rPr>
                <w:rFonts w:ascii="Arial Narrow" w:hAnsi="Arial Narrow"/>
                <w:b/>
                <w:sz w:val="20"/>
              </w:rPr>
            </w:pPr>
            <w:r w:rsidRPr="0036034F">
              <w:rPr>
                <w:rFonts w:ascii="Arial Narrow" w:hAnsi="Arial Narrow"/>
                <w:b/>
                <w:sz w:val="20"/>
              </w:rPr>
              <w:t>Incremental cost/extra QALY gained ($)</w:t>
            </w:r>
          </w:p>
        </w:tc>
        <w:tc>
          <w:tcPr>
            <w:tcW w:w="922" w:type="pct"/>
            <w:vAlign w:val="center"/>
          </w:tcPr>
          <w:p w:rsidR="00002DC3" w:rsidRPr="00191B3F" w:rsidRDefault="00002DC3" w:rsidP="00D60B44">
            <w:pPr>
              <w:jc w:val="center"/>
              <w:rPr>
                <w:rFonts w:ascii="Arial Narrow" w:hAnsi="Arial Narrow"/>
                <w:b/>
                <w:sz w:val="20"/>
                <w:highlight w:val="black"/>
              </w:rPr>
            </w:pPr>
            <w:r>
              <w:rPr>
                <w:rFonts w:ascii="Arial Narrow" w:hAnsi="Arial Narrow"/>
                <w:b/>
                <w:noProof/>
                <w:color w:val="000000"/>
                <w:sz w:val="20"/>
                <w:highlight w:val="black"/>
              </w:rPr>
              <w:t>''''''''''''''</w:t>
            </w:r>
          </w:p>
        </w:tc>
      </w:tr>
      <w:tr w:rsidR="00002DC3" w:rsidRPr="00D15464" w:rsidTr="00D60B44">
        <w:tc>
          <w:tcPr>
            <w:tcW w:w="5000" w:type="pct"/>
            <w:gridSpan w:val="4"/>
            <w:vAlign w:val="center"/>
          </w:tcPr>
          <w:p w:rsidR="00002DC3" w:rsidRPr="0036034F" w:rsidRDefault="00002DC3" w:rsidP="00D60B44">
            <w:pPr>
              <w:pStyle w:val="TableHeading"/>
              <w:widowControl w:val="0"/>
              <w:spacing w:before="0" w:after="0"/>
              <w:rPr>
                <w:snapToGrid w:val="0"/>
              </w:rPr>
            </w:pPr>
            <w:r w:rsidRPr="0036034F">
              <w:rPr>
                <w:snapToGrid w:val="0"/>
              </w:rPr>
              <w:t>QALY lost over 100 years using the PBAC-preferred approach in November 2013</w:t>
            </w:r>
          </w:p>
          <w:p w:rsidR="00002DC3" w:rsidRPr="00191B3F" w:rsidRDefault="00002DC3" w:rsidP="00D60B44">
            <w:pPr>
              <w:pStyle w:val="TableHeading"/>
              <w:widowControl w:val="0"/>
              <w:spacing w:before="0" w:after="0"/>
              <w:rPr>
                <w:b w:val="0"/>
                <w:snapToGrid w:val="0"/>
              </w:rPr>
            </w:pPr>
            <w:r w:rsidRPr="0036034F">
              <w:rPr>
                <w:b w:val="0"/>
                <w:snapToGrid w:val="0"/>
                <w:sz w:val="16"/>
              </w:rPr>
              <w:t xml:space="preserve">(Scenario 6 versus no vaccination, discounted at 5% per annum for costs and 5% per annum for health outcomes, </w:t>
            </w:r>
            <w:r>
              <w:rPr>
                <w:b w:val="0"/>
                <w:noProof/>
                <w:snapToGrid w:val="0"/>
                <w:color w:val="000000"/>
                <w:sz w:val="16"/>
                <w:highlight w:val="black"/>
              </w:rPr>
              <w:t>''''''''''</w:t>
            </w:r>
            <w:r w:rsidRPr="0036034F">
              <w:rPr>
                <w:b w:val="0"/>
                <w:snapToGrid w:val="0"/>
                <w:sz w:val="16"/>
              </w:rPr>
              <w:t>% herd immunity, $</w:t>
            </w:r>
            <w:r>
              <w:rPr>
                <w:b w:val="0"/>
                <w:noProof/>
                <w:snapToGrid w:val="0"/>
                <w:color w:val="000000"/>
                <w:sz w:val="16"/>
                <w:highlight w:val="black"/>
              </w:rPr>
              <w:t xml:space="preserve">'''''' </w:t>
            </w:r>
            <w:r w:rsidRPr="0036034F">
              <w:rPr>
                <w:b w:val="0"/>
                <w:snapToGrid w:val="0"/>
                <w:sz w:val="16"/>
              </w:rPr>
              <w:t>per dose)</w:t>
            </w:r>
          </w:p>
        </w:tc>
      </w:tr>
      <w:tr w:rsidR="00002DC3" w:rsidRPr="00D15464" w:rsidTr="00D60B44">
        <w:tc>
          <w:tcPr>
            <w:tcW w:w="4078" w:type="pct"/>
            <w:gridSpan w:val="3"/>
            <w:vAlign w:val="center"/>
          </w:tcPr>
          <w:p w:rsidR="00002DC3" w:rsidRPr="00191B3F" w:rsidRDefault="00002DC3" w:rsidP="00D60B44">
            <w:pPr>
              <w:rPr>
                <w:rFonts w:ascii="Arial Narrow" w:hAnsi="Arial Narrow"/>
                <w:b/>
                <w:sz w:val="20"/>
              </w:rPr>
            </w:pPr>
            <w:r w:rsidRPr="0036034F">
              <w:rPr>
                <w:rFonts w:ascii="Arial Narrow" w:hAnsi="Arial Narrow"/>
                <w:b/>
                <w:sz w:val="20"/>
              </w:rPr>
              <w:t>Incremental cost/extra QALY gained ($)</w:t>
            </w:r>
          </w:p>
        </w:tc>
        <w:tc>
          <w:tcPr>
            <w:tcW w:w="922" w:type="pct"/>
            <w:vAlign w:val="center"/>
          </w:tcPr>
          <w:p w:rsidR="00002DC3" w:rsidRPr="00191B3F" w:rsidRDefault="00002DC3" w:rsidP="00D60B44">
            <w:pPr>
              <w:jc w:val="center"/>
              <w:rPr>
                <w:rFonts w:ascii="Arial Narrow" w:hAnsi="Arial Narrow"/>
                <w:b/>
                <w:sz w:val="20"/>
                <w:highlight w:val="black"/>
              </w:rPr>
            </w:pPr>
            <w:r>
              <w:rPr>
                <w:rFonts w:ascii="Arial Narrow" w:hAnsi="Arial Narrow"/>
                <w:b/>
                <w:noProof/>
                <w:color w:val="000000"/>
                <w:sz w:val="20"/>
                <w:highlight w:val="black"/>
              </w:rPr>
              <w:t>''''''''''''''''</w:t>
            </w:r>
          </w:p>
        </w:tc>
      </w:tr>
    </w:tbl>
    <w:p w:rsidR="00002DC3" w:rsidRPr="001F1882" w:rsidRDefault="00002DC3" w:rsidP="00002DC3">
      <w:pPr>
        <w:ind w:left="709"/>
        <w:jc w:val="both"/>
        <w:rPr>
          <w:rFonts w:ascii="Arial Narrow" w:hAnsi="Arial Narrow"/>
          <w:sz w:val="20"/>
          <w:szCs w:val="20"/>
        </w:rPr>
      </w:pPr>
      <w:proofErr w:type="gramStart"/>
      <w:r w:rsidRPr="001F1882">
        <w:rPr>
          <w:rFonts w:ascii="Arial Narrow" w:hAnsi="Arial Narrow"/>
          <w:sz w:val="20"/>
          <w:szCs w:val="20"/>
        </w:rPr>
        <w:t>Source: Table D.5.3</w:t>
      </w:r>
      <w:r>
        <w:rPr>
          <w:rFonts w:ascii="Arial Narrow" w:hAnsi="Arial Narrow"/>
          <w:sz w:val="20"/>
          <w:szCs w:val="20"/>
        </w:rPr>
        <w:t xml:space="preserve"> of the commentary.</w:t>
      </w:r>
      <w:proofErr w:type="gramEnd"/>
    </w:p>
    <w:p w:rsidR="00002DC3" w:rsidRPr="001F1882" w:rsidRDefault="00002DC3" w:rsidP="00002DC3">
      <w:pPr>
        <w:jc w:val="both"/>
        <w:rPr>
          <w:rFonts w:ascii="Arial" w:hAnsi="Arial"/>
          <w:sz w:val="22"/>
          <w:szCs w:val="22"/>
        </w:rPr>
      </w:pPr>
    </w:p>
    <w:p w:rsidR="00002DC3" w:rsidRPr="00C8529D" w:rsidRDefault="00002DC3" w:rsidP="00002DC3">
      <w:pPr>
        <w:pStyle w:val="ListParagraph"/>
        <w:numPr>
          <w:ilvl w:val="1"/>
          <w:numId w:val="1"/>
        </w:numPr>
        <w:jc w:val="both"/>
        <w:rPr>
          <w:rFonts w:ascii="Arial" w:hAnsi="Arial" w:cs="Arial"/>
          <w:sz w:val="22"/>
          <w:szCs w:val="22"/>
        </w:rPr>
      </w:pPr>
      <w:r>
        <w:rPr>
          <w:rFonts w:ascii="Arial" w:hAnsi="Arial" w:cs="Arial"/>
          <w:sz w:val="22"/>
          <w:szCs w:val="22"/>
        </w:rPr>
        <w:t xml:space="preserve">  </w:t>
      </w:r>
      <w:r w:rsidRPr="00C8529D">
        <w:rPr>
          <w:rFonts w:ascii="Arial" w:hAnsi="Arial" w:cs="Arial"/>
          <w:sz w:val="22"/>
          <w:szCs w:val="22"/>
        </w:rPr>
        <w:t>In the previous submission, differential discount</w:t>
      </w:r>
      <w:r>
        <w:rPr>
          <w:rFonts w:ascii="Arial" w:hAnsi="Arial" w:cs="Arial"/>
          <w:sz w:val="22"/>
          <w:szCs w:val="22"/>
        </w:rPr>
        <w:t xml:space="preserve"> rates</w:t>
      </w:r>
      <w:r w:rsidRPr="00C8529D">
        <w:rPr>
          <w:rFonts w:ascii="Arial" w:hAnsi="Arial" w:cs="Arial"/>
          <w:sz w:val="22"/>
          <w:szCs w:val="22"/>
        </w:rPr>
        <w:t xml:space="preserve"> of </w:t>
      </w:r>
      <w:r w:rsidRPr="0036034F">
        <w:rPr>
          <w:rFonts w:ascii="Arial" w:hAnsi="Arial" w:cs="Arial"/>
          <w:sz w:val="22"/>
          <w:szCs w:val="22"/>
        </w:rPr>
        <w:t>5% per annum</w:t>
      </w:r>
      <w:r w:rsidRPr="00C8529D">
        <w:rPr>
          <w:rFonts w:ascii="Arial" w:hAnsi="Arial" w:cs="Arial"/>
          <w:sz w:val="22"/>
          <w:szCs w:val="22"/>
        </w:rPr>
        <w:t xml:space="preserve"> for costs and </w:t>
      </w:r>
      <w:r>
        <w:rPr>
          <w:rFonts w:ascii="Arial" w:hAnsi="Arial" w:cs="Arial"/>
          <w:noProof/>
          <w:color w:val="000000"/>
          <w:sz w:val="22"/>
          <w:szCs w:val="22"/>
          <w:highlight w:val="black"/>
        </w:rPr>
        <w:t>'''''''</w:t>
      </w:r>
      <w:r w:rsidRPr="0036034F">
        <w:rPr>
          <w:rFonts w:ascii="Arial" w:hAnsi="Arial" w:cs="Arial"/>
          <w:sz w:val="22"/>
          <w:szCs w:val="22"/>
        </w:rPr>
        <w:t>% per annum</w:t>
      </w:r>
      <w:r w:rsidRPr="00C8529D">
        <w:rPr>
          <w:rFonts w:ascii="Arial" w:hAnsi="Arial" w:cs="Arial"/>
          <w:sz w:val="22"/>
          <w:szCs w:val="22"/>
        </w:rPr>
        <w:t xml:space="preserve"> for health outcomes w</w:t>
      </w:r>
      <w:r>
        <w:rPr>
          <w:rFonts w:ascii="Arial" w:hAnsi="Arial" w:cs="Arial"/>
          <w:sz w:val="22"/>
          <w:szCs w:val="22"/>
        </w:rPr>
        <w:t>ere</w:t>
      </w:r>
      <w:r w:rsidRPr="00C8529D">
        <w:rPr>
          <w:rFonts w:ascii="Arial" w:hAnsi="Arial" w:cs="Arial"/>
          <w:sz w:val="22"/>
          <w:szCs w:val="22"/>
        </w:rPr>
        <w:t xml:space="preserve"> proposed in the base case scenario. In the resubmission, a discount rate of </w:t>
      </w:r>
      <w:r w:rsidRPr="00DF7882">
        <w:rPr>
          <w:rFonts w:ascii="Arial" w:hAnsi="Arial" w:cs="Arial"/>
          <w:sz w:val="22"/>
          <w:szCs w:val="22"/>
        </w:rPr>
        <w:t>5% per annum</w:t>
      </w:r>
      <w:r w:rsidRPr="00C8529D">
        <w:rPr>
          <w:rFonts w:ascii="Arial" w:hAnsi="Arial" w:cs="Arial"/>
          <w:sz w:val="22"/>
          <w:szCs w:val="22"/>
        </w:rPr>
        <w:t xml:space="preserve"> </w:t>
      </w:r>
      <w:proofErr w:type="gramStart"/>
      <w:r>
        <w:rPr>
          <w:rFonts w:ascii="Arial" w:hAnsi="Arial" w:cs="Arial"/>
          <w:sz w:val="22"/>
          <w:szCs w:val="22"/>
        </w:rPr>
        <w:t>wa</w:t>
      </w:r>
      <w:r w:rsidRPr="00C8529D">
        <w:rPr>
          <w:rFonts w:ascii="Arial" w:hAnsi="Arial" w:cs="Arial"/>
          <w:sz w:val="22"/>
          <w:szCs w:val="22"/>
        </w:rPr>
        <w:t>s applied</w:t>
      </w:r>
      <w:proofErr w:type="gramEnd"/>
      <w:r w:rsidRPr="00C8529D">
        <w:rPr>
          <w:rFonts w:ascii="Arial" w:hAnsi="Arial" w:cs="Arial"/>
          <w:sz w:val="22"/>
          <w:szCs w:val="22"/>
        </w:rPr>
        <w:t xml:space="preserve"> to both costs and health outcomes</w:t>
      </w:r>
      <w:r>
        <w:rPr>
          <w:rFonts w:ascii="Arial" w:hAnsi="Arial" w:cs="Arial"/>
          <w:sz w:val="22"/>
          <w:szCs w:val="22"/>
        </w:rPr>
        <w:t>, consistent with the PBAC-</w:t>
      </w:r>
      <w:r w:rsidRPr="00C8529D">
        <w:rPr>
          <w:rFonts w:ascii="Arial" w:hAnsi="Arial" w:cs="Arial"/>
          <w:sz w:val="22"/>
          <w:szCs w:val="22"/>
        </w:rPr>
        <w:t xml:space="preserve">preferred approach </w:t>
      </w:r>
      <w:r>
        <w:rPr>
          <w:rFonts w:ascii="Arial" w:hAnsi="Arial" w:cs="Arial"/>
          <w:sz w:val="22"/>
          <w:szCs w:val="22"/>
        </w:rPr>
        <w:t xml:space="preserve">as </w:t>
      </w:r>
      <w:r w:rsidRPr="00C8529D">
        <w:rPr>
          <w:rFonts w:ascii="Arial" w:hAnsi="Arial" w:cs="Arial"/>
          <w:sz w:val="22"/>
          <w:szCs w:val="22"/>
        </w:rPr>
        <w:t>stated in the PBAC Ratified Minutes</w:t>
      </w:r>
      <w:r>
        <w:rPr>
          <w:rFonts w:ascii="Arial" w:hAnsi="Arial" w:cs="Arial"/>
          <w:sz w:val="22"/>
          <w:szCs w:val="22"/>
        </w:rPr>
        <w:t xml:space="preserve"> 6-8 November 2013, item 6.37.</w:t>
      </w:r>
    </w:p>
    <w:p w:rsidR="00002DC3" w:rsidRPr="00D65D4D" w:rsidRDefault="00002DC3" w:rsidP="00002DC3">
      <w:pPr>
        <w:jc w:val="both"/>
        <w:rPr>
          <w:rFonts w:ascii="Arial" w:hAnsi="Arial" w:cs="Arial"/>
          <w:sz w:val="22"/>
          <w:szCs w:val="22"/>
        </w:rPr>
      </w:pPr>
    </w:p>
    <w:p w:rsidR="00002DC3" w:rsidRPr="00C8529D" w:rsidRDefault="00002DC3" w:rsidP="00002DC3">
      <w:pPr>
        <w:pStyle w:val="ListParagraph"/>
        <w:numPr>
          <w:ilvl w:val="1"/>
          <w:numId w:val="1"/>
        </w:numPr>
        <w:jc w:val="both"/>
        <w:rPr>
          <w:rFonts w:ascii="Arial" w:hAnsi="Arial" w:cs="Arial"/>
          <w:sz w:val="22"/>
          <w:szCs w:val="22"/>
        </w:rPr>
      </w:pPr>
      <w:r>
        <w:rPr>
          <w:rFonts w:ascii="Arial" w:hAnsi="Arial" w:cs="Arial"/>
          <w:sz w:val="22"/>
          <w:szCs w:val="22"/>
        </w:rPr>
        <w:t xml:space="preserve">   </w:t>
      </w:r>
      <w:r w:rsidRPr="00C8529D">
        <w:rPr>
          <w:rFonts w:ascii="Arial" w:hAnsi="Arial" w:cs="Arial"/>
          <w:sz w:val="22"/>
          <w:szCs w:val="22"/>
        </w:rPr>
        <w:t xml:space="preserve">The ESC considered the use of a </w:t>
      </w:r>
      <w:r w:rsidRPr="0036034F">
        <w:rPr>
          <w:rFonts w:ascii="Arial" w:hAnsi="Arial" w:cs="Arial"/>
          <w:sz w:val="22"/>
          <w:szCs w:val="22"/>
        </w:rPr>
        <w:t>5% per annum</w:t>
      </w:r>
      <w:r w:rsidRPr="00C8529D">
        <w:rPr>
          <w:rFonts w:ascii="Arial" w:hAnsi="Arial" w:cs="Arial"/>
          <w:sz w:val="22"/>
          <w:szCs w:val="22"/>
        </w:rPr>
        <w:t xml:space="preserve"> discount rate for both costs and health outcomes </w:t>
      </w:r>
      <w:r>
        <w:rPr>
          <w:rFonts w:ascii="Arial" w:hAnsi="Arial" w:cs="Arial"/>
          <w:sz w:val="22"/>
          <w:szCs w:val="22"/>
        </w:rPr>
        <w:t>wa</w:t>
      </w:r>
      <w:r w:rsidRPr="00C8529D">
        <w:rPr>
          <w:rFonts w:ascii="Arial" w:hAnsi="Arial" w:cs="Arial"/>
          <w:sz w:val="22"/>
          <w:szCs w:val="22"/>
        </w:rPr>
        <w:t>s consistent with the advice reaffirmed by the PBAC in the November 2013 consideration of this item, as well as for other proposed NIP listings. The ESC noted the brief review of discounting in Attachment F of the commentary, and advised that it supported retention of the current position, particularly for consist</w:t>
      </w:r>
      <w:r>
        <w:rPr>
          <w:rFonts w:ascii="Arial" w:hAnsi="Arial" w:cs="Arial"/>
          <w:sz w:val="22"/>
          <w:szCs w:val="22"/>
        </w:rPr>
        <w:t xml:space="preserve">ency across all evaluations. </w:t>
      </w:r>
    </w:p>
    <w:p w:rsidR="00002DC3" w:rsidRPr="00D65D4D" w:rsidRDefault="00002DC3" w:rsidP="00002DC3">
      <w:pPr>
        <w:rPr>
          <w:rFonts w:ascii="Arial" w:hAnsi="Arial" w:cs="Arial"/>
          <w:sz w:val="22"/>
          <w:szCs w:val="22"/>
        </w:rPr>
      </w:pPr>
    </w:p>
    <w:p w:rsidR="00002DC3" w:rsidRPr="0036034F" w:rsidRDefault="00002DC3" w:rsidP="00002DC3">
      <w:pPr>
        <w:pStyle w:val="ListParagraph"/>
        <w:numPr>
          <w:ilvl w:val="1"/>
          <w:numId w:val="1"/>
        </w:numPr>
        <w:jc w:val="both"/>
        <w:rPr>
          <w:rFonts w:ascii="Arial" w:hAnsi="Arial" w:cs="Arial"/>
          <w:sz w:val="22"/>
          <w:szCs w:val="22"/>
        </w:rPr>
      </w:pPr>
      <w:r>
        <w:rPr>
          <w:rFonts w:ascii="Arial" w:hAnsi="Arial" w:cs="Arial"/>
          <w:sz w:val="22"/>
          <w:szCs w:val="22"/>
        </w:rPr>
        <w:t xml:space="preserve">  </w:t>
      </w:r>
      <w:r w:rsidRPr="00C8529D">
        <w:rPr>
          <w:rFonts w:ascii="Arial" w:hAnsi="Arial" w:cs="Arial"/>
          <w:sz w:val="22"/>
          <w:szCs w:val="22"/>
        </w:rPr>
        <w:t xml:space="preserve">Consequently, compared to the previous submission, the ICER increased </w:t>
      </w:r>
      <w:r>
        <w:rPr>
          <w:rFonts w:ascii="Arial" w:hAnsi="Arial" w:cs="Arial"/>
          <w:sz w:val="22"/>
          <w:szCs w:val="22"/>
        </w:rPr>
        <w:t xml:space="preserve">substantially </w:t>
      </w:r>
      <w:r w:rsidRPr="0036034F">
        <w:rPr>
          <w:rFonts w:ascii="Arial" w:hAnsi="Arial" w:cs="Arial"/>
          <w:sz w:val="22"/>
          <w:szCs w:val="22"/>
        </w:rPr>
        <w:t>(more than $200,000/QALY versus $45,000</w:t>
      </w:r>
      <w:r>
        <w:rPr>
          <w:rFonts w:ascii="Arial" w:hAnsi="Arial" w:cs="Arial"/>
          <w:sz w:val="22"/>
          <w:szCs w:val="22"/>
        </w:rPr>
        <w:t xml:space="preserve"> </w:t>
      </w:r>
      <w:r w:rsidRPr="0036034F">
        <w:rPr>
          <w:rFonts w:ascii="Arial" w:hAnsi="Arial" w:cs="Arial"/>
          <w:sz w:val="22"/>
          <w:szCs w:val="22"/>
        </w:rPr>
        <w:t>-</w:t>
      </w:r>
      <w:r>
        <w:rPr>
          <w:rFonts w:ascii="Arial" w:hAnsi="Arial" w:cs="Arial"/>
          <w:sz w:val="22"/>
          <w:szCs w:val="22"/>
        </w:rPr>
        <w:t xml:space="preserve"> </w:t>
      </w:r>
      <w:r w:rsidRPr="0036034F">
        <w:rPr>
          <w:rFonts w:ascii="Arial" w:hAnsi="Arial" w:cs="Arial"/>
          <w:sz w:val="22"/>
          <w:szCs w:val="22"/>
        </w:rPr>
        <w:t>$75,000/QALY)</w:t>
      </w:r>
      <w:r w:rsidRPr="00C8529D">
        <w:rPr>
          <w:rFonts w:ascii="Arial" w:hAnsi="Arial" w:cs="Arial"/>
          <w:sz w:val="22"/>
          <w:szCs w:val="22"/>
        </w:rPr>
        <w:t>; however the ICER is largely unchanged compared to t</w:t>
      </w:r>
      <w:r>
        <w:rPr>
          <w:rFonts w:ascii="Arial" w:hAnsi="Arial" w:cs="Arial"/>
          <w:sz w:val="22"/>
          <w:szCs w:val="22"/>
        </w:rPr>
        <w:t>he ICER resulting from the PBAC-</w:t>
      </w:r>
      <w:r w:rsidRPr="00C8529D">
        <w:rPr>
          <w:rFonts w:ascii="Arial" w:hAnsi="Arial" w:cs="Arial"/>
          <w:sz w:val="22"/>
          <w:szCs w:val="22"/>
        </w:rPr>
        <w:t xml:space="preserve">preferred approach ($309,344/QALY as per PBAC Ratified Minutes 6-8 November 2013, item 6.37). The ESC proposed that a price reduction to align the ICER with the previous submission </w:t>
      </w:r>
      <w:r>
        <w:rPr>
          <w:rFonts w:ascii="Arial" w:hAnsi="Arial" w:cs="Arial"/>
          <w:sz w:val="22"/>
          <w:szCs w:val="22"/>
        </w:rPr>
        <w:t>(</w:t>
      </w:r>
      <w:r w:rsidRPr="0036034F">
        <w:rPr>
          <w:rFonts w:ascii="Arial" w:hAnsi="Arial" w:cs="Arial"/>
          <w:sz w:val="22"/>
          <w:szCs w:val="22"/>
        </w:rPr>
        <w:t>$45,000</w:t>
      </w:r>
      <w:r>
        <w:rPr>
          <w:rFonts w:ascii="Arial" w:hAnsi="Arial" w:cs="Arial"/>
          <w:sz w:val="22"/>
          <w:szCs w:val="22"/>
        </w:rPr>
        <w:t xml:space="preserve"> </w:t>
      </w:r>
      <w:r w:rsidRPr="0036034F">
        <w:rPr>
          <w:rFonts w:ascii="Arial" w:hAnsi="Arial" w:cs="Arial"/>
          <w:sz w:val="22"/>
          <w:szCs w:val="22"/>
        </w:rPr>
        <w:t>-</w:t>
      </w:r>
      <w:r>
        <w:rPr>
          <w:rFonts w:ascii="Arial" w:hAnsi="Arial" w:cs="Arial"/>
          <w:sz w:val="22"/>
          <w:szCs w:val="22"/>
        </w:rPr>
        <w:t xml:space="preserve"> </w:t>
      </w:r>
      <w:r w:rsidRPr="0036034F">
        <w:rPr>
          <w:rFonts w:ascii="Arial" w:hAnsi="Arial" w:cs="Arial"/>
          <w:sz w:val="22"/>
          <w:szCs w:val="22"/>
        </w:rPr>
        <w:t>$75,000/QALY</w:t>
      </w:r>
      <w:r w:rsidRPr="00C8529D">
        <w:rPr>
          <w:rFonts w:ascii="Arial" w:hAnsi="Arial" w:cs="Arial"/>
          <w:sz w:val="22"/>
          <w:szCs w:val="22"/>
        </w:rPr>
        <w:t xml:space="preserve">) </w:t>
      </w:r>
      <w:proofErr w:type="gramStart"/>
      <w:r w:rsidRPr="00C8529D">
        <w:rPr>
          <w:rFonts w:ascii="Arial" w:hAnsi="Arial" w:cs="Arial"/>
          <w:sz w:val="22"/>
          <w:szCs w:val="22"/>
        </w:rPr>
        <w:t>may</w:t>
      </w:r>
      <w:proofErr w:type="gramEnd"/>
      <w:r w:rsidRPr="00C8529D">
        <w:rPr>
          <w:rFonts w:ascii="Arial" w:hAnsi="Arial" w:cs="Arial"/>
          <w:sz w:val="22"/>
          <w:szCs w:val="22"/>
        </w:rPr>
        <w:t xml:space="preserve"> be appropriate.</w:t>
      </w:r>
      <w:r w:rsidRPr="0096240B">
        <w:rPr>
          <w:rFonts w:ascii="Arial" w:hAnsi="Arial" w:cs="Arial"/>
          <w:sz w:val="22"/>
          <w:szCs w:val="22"/>
        </w:rPr>
        <w:t xml:space="preserve"> </w:t>
      </w:r>
      <w:r w:rsidRPr="00036C38">
        <w:rPr>
          <w:rFonts w:ascii="Arial" w:hAnsi="Arial" w:cs="Arial"/>
          <w:sz w:val="22"/>
          <w:szCs w:val="22"/>
        </w:rPr>
        <w:t xml:space="preserve">The Pre-PBAC response stated that the sponsor would not support a price reduction to </w:t>
      </w:r>
      <w:r w:rsidRPr="0036034F">
        <w:rPr>
          <w:rFonts w:ascii="Arial" w:hAnsi="Arial" w:cs="Arial"/>
          <w:sz w:val="22"/>
          <w:szCs w:val="22"/>
        </w:rPr>
        <w:t>$</w:t>
      </w:r>
      <w:r>
        <w:rPr>
          <w:rFonts w:ascii="Arial" w:hAnsi="Arial" w:cs="Arial"/>
          <w:noProof/>
          <w:color w:val="000000"/>
          <w:sz w:val="22"/>
          <w:szCs w:val="22"/>
          <w:highlight w:val="black"/>
        </w:rPr>
        <w:t>'''''''''''</w:t>
      </w:r>
      <w:r w:rsidRPr="00036C38">
        <w:rPr>
          <w:rFonts w:ascii="Arial" w:hAnsi="Arial" w:cs="Arial"/>
          <w:sz w:val="22"/>
          <w:szCs w:val="22"/>
        </w:rPr>
        <w:t xml:space="preserve"> as proposed by the ESC. The sponsor proposed a </w:t>
      </w:r>
      <w:r w:rsidRPr="00102B0F">
        <w:rPr>
          <w:rFonts w:ascii="Arial" w:hAnsi="Arial" w:cs="Arial"/>
          <w:sz w:val="22"/>
          <w:lang w:eastAsia="ja-JP"/>
        </w:rPr>
        <w:t>stepped non-differential discounting method: the discounting rate at</w:t>
      </w:r>
      <w:r w:rsidRPr="00102B0F">
        <w:rPr>
          <w:rFonts w:ascii="Arial" w:eastAsia="MS Mincho" w:hAnsi="Arial" w:cs="Arial"/>
          <w:sz w:val="22"/>
          <w:lang w:eastAsia="ja-JP"/>
        </w:rPr>
        <w:t xml:space="preserve"> </w:t>
      </w:r>
      <w:r>
        <w:rPr>
          <w:rFonts w:ascii="Arial" w:eastAsia="MS Mincho" w:hAnsi="Arial" w:cs="Arial"/>
          <w:noProof/>
          <w:color w:val="000000"/>
          <w:sz w:val="22"/>
          <w:highlight w:val="black"/>
          <w:lang w:eastAsia="ja-JP"/>
        </w:rPr>
        <w:t>''''</w:t>
      </w:r>
      <w:r w:rsidRPr="00102B0F">
        <w:rPr>
          <w:rFonts w:ascii="Arial" w:eastAsia="MS Mincho" w:hAnsi="Arial" w:cs="Arial"/>
          <w:sz w:val="22"/>
          <w:lang w:eastAsia="ja-JP"/>
        </w:rPr>
        <w:t>%/</w:t>
      </w:r>
      <w:r>
        <w:rPr>
          <w:rFonts w:ascii="Arial" w:eastAsia="MS Mincho" w:hAnsi="Arial" w:cs="Arial"/>
          <w:noProof/>
          <w:color w:val="000000"/>
          <w:sz w:val="22"/>
          <w:highlight w:val="black"/>
          <w:lang w:eastAsia="ja-JP"/>
        </w:rPr>
        <w:t>''''</w:t>
      </w:r>
      <w:r w:rsidRPr="00102B0F">
        <w:rPr>
          <w:rFonts w:ascii="Arial" w:eastAsia="MS Mincho" w:hAnsi="Arial" w:cs="Arial"/>
          <w:sz w:val="22"/>
          <w:lang w:eastAsia="ja-JP"/>
        </w:rPr>
        <w:t>% and a price of $</w:t>
      </w:r>
      <w:r>
        <w:rPr>
          <w:rFonts w:ascii="Arial" w:eastAsia="MS Mincho" w:hAnsi="Arial" w:cs="Arial"/>
          <w:noProof/>
          <w:color w:val="000000"/>
          <w:sz w:val="22"/>
          <w:highlight w:val="black"/>
          <w:lang w:eastAsia="ja-JP"/>
        </w:rPr>
        <w:t>''''''</w:t>
      </w:r>
      <w:r w:rsidRPr="00102B0F">
        <w:rPr>
          <w:rFonts w:ascii="Arial" w:eastAsia="MS Mincho" w:hAnsi="Arial" w:cs="Arial"/>
          <w:sz w:val="22"/>
          <w:lang w:eastAsia="ja-JP"/>
        </w:rPr>
        <w:t xml:space="preserve">/dose and </w:t>
      </w:r>
      <w:r>
        <w:rPr>
          <w:rFonts w:ascii="Arial" w:eastAsia="MS Mincho" w:hAnsi="Arial" w:cs="Arial"/>
          <w:noProof/>
          <w:color w:val="000000"/>
          <w:sz w:val="22"/>
          <w:highlight w:val="black"/>
          <w:lang w:eastAsia="ja-JP"/>
        </w:rPr>
        <w:t>''''''</w:t>
      </w:r>
      <w:r w:rsidRPr="00102B0F">
        <w:rPr>
          <w:rFonts w:ascii="Arial" w:eastAsia="MS Mincho" w:hAnsi="Arial" w:cs="Arial"/>
          <w:sz w:val="22"/>
          <w:lang w:eastAsia="ja-JP"/>
        </w:rPr>
        <w:t xml:space="preserve">% price reduction on the catch-up program, then stepping to a lower discounting rate of </w:t>
      </w:r>
      <w:r>
        <w:rPr>
          <w:rFonts w:ascii="Arial" w:eastAsia="MS Mincho" w:hAnsi="Arial" w:cs="Arial"/>
          <w:noProof/>
          <w:color w:val="000000"/>
          <w:sz w:val="22"/>
          <w:highlight w:val="black"/>
          <w:lang w:eastAsia="ja-JP"/>
        </w:rPr>
        <w:t>'''''''</w:t>
      </w:r>
      <w:r w:rsidRPr="00102B0F">
        <w:rPr>
          <w:rFonts w:ascii="Arial" w:eastAsia="MS Mincho" w:hAnsi="Arial" w:cs="Arial"/>
          <w:sz w:val="22"/>
          <w:lang w:eastAsia="ja-JP"/>
        </w:rPr>
        <w:t>%/</w:t>
      </w:r>
      <w:r>
        <w:rPr>
          <w:rFonts w:ascii="Arial" w:eastAsia="MS Mincho" w:hAnsi="Arial" w:cs="Arial"/>
          <w:noProof/>
          <w:color w:val="000000"/>
          <w:sz w:val="22"/>
          <w:highlight w:val="black"/>
          <w:lang w:eastAsia="ja-JP"/>
        </w:rPr>
        <w:t>'''''''</w:t>
      </w:r>
      <w:r w:rsidRPr="00102B0F">
        <w:rPr>
          <w:rFonts w:ascii="Arial" w:eastAsia="MS Mincho" w:hAnsi="Arial" w:cs="Arial"/>
          <w:sz w:val="22"/>
          <w:lang w:eastAsia="ja-JP"/>
        </w:rPr>
        <w:t>% with a concomitant price decrease to the equivalent of $</w:t>
      </w:r>
      <w:r>
        <w:rPr>
          <w:rFonts w:ascii="Arial" w:eastAsia="MS Mincho" w:hAnsi="Arial" w:cs="Arial"/>
          <w:noProof/>
          <w:color w:val="000000"/>
          <w:sz w:val="22"/>
          <w:highlight w:val="black"/>
          <w:lang w:eastAsia="ja-JP"/>
        </w:rPr>
        <w:t>''''''</w:t>
      </w:r>
      <w:r w:rsidRPr="00102B0F">
        <w:rPr>
          <w:rFonts w:ascii="Arial" w:eastAsia="MS Mincho" w:hAnsi="Arial" w:cs="Arial"/>
          <w:sz w:val="22"/>
          <w:lang w:eastAsia="ja-JP"/>
        </w:rPr>
        <w:t xml:space="preserve">/dose after </w:t>
      </w:r>
      <w:r>
        <w:rPr>
          <w:rFonts w:ascii="Arial" w:eastAsia="MS Mincho" w:hAnsi="Arial" w:cs="Arial"/>
          <w:noProof/>
          <w:color w:val="000000"/>
          <w:sz w:val="22"/>
          <w:highlight w:val="black"/>
          <w:lang w:eastAsia="ja-JP"/>
        </w:rPr>
        <w:t>'''''' '''''''''''''</w:t>
      </w:r>
      <w:r w:rsidRPr="00102B0F">
        <w:rPr>
          <w:rFonts w:ascii="Arial" w:eastAsia="MS Mincho" w:hAnsi="Arial" w:cs="Arial"/>
          <w:sz w:val="22"/>
          <w:lang w:eastAsia="ja-JP"/>
        </w:rPr>
        <w:t xml:space="preserve">. </w:t>
      </w:r>
      <w:r w:rsidRPr="00102B0F">
        <w:rPr>
          <w:rFonts w:ascii="Arial" w:hAnsi="Arial" w:cs="Arial"/>
          <w:sz w:val="22"/>
          <w:szCs w:val="22"/>
        </w:rPr>
        <w:t xml:space="preserve"> </w:t>
      </w:r>
      <w:r w:rsidRPr="0036034F">
        <w:rPr>
          <w:rFonts w:ascii="Arial" w:eastAsia="MS Mincho" w:hAnsi="Arial" w:cs="Arial"/>
          <w:sz w:val="22"/>
          <w:lang w:eastAsia="ja-JP"/>
        </w:rPr>
        <w:t xml:space="preserve">This alternate flat discount methodology results in the ICER of </w:t>
      </w:r>
      <w:r w:rsidRPr="0036034F">
        <w:rPr>
          <w:rFonts w:ascii="Arial" w:hAnsi="Arial" w:cs="Arial"/>
          <w:sz w:val="22"/>
          <w:szCs w:val="22"/>
        </w:rPr>
        <w:t>$45,000</w:t>
      </w:r>
      <w:r>
        <w:rPr>
          <w:rFonts w:ascii="Arial" w:hAnsi="Arial" w:cs="Arial"/>
          <w:sz w:val="22"/>
          <w:szCs w:val="22"/>
        </w:rPr>
        <w:t xml:space="preserve"> </w:t>
      </w:r>
      <w:r w:rsidRPr="0036034F">
        <w:rPr>
          <w:rFonts w:ascii="Arial" w:hAnsi="Arial" w:cs="Arial"/>
          <w:sz w:val="22"/>
          <w:szCs w:val="22"/>
        </w:rPr>
        <w:t>-</w:t>
      </w:r>
      <w:r>
        <w:rPr>
          <w:rFonts w:ascii="Arial" w:hAnsi="Arial" w:cs="Arial"/>
          <w:sz w:val="22"/>
          <w:szCs w:val="22"/>
        </w:rPr>
        <w:t xml:space="preserve"> </w:t>
      </w:r>
      <w:r w:rsidRPr="0036034F">
        <w:rPr>
          <w:rFonts w:ascii="Arial" w:hAnsi="Arial" w:cs="Arial"/>
          <w:sz w:val="22"/>
          <w:szCs w:val="22"/>
        </w:rPr>
        <w:t>$75,000</w:t>
      </w:r>
      <w:r>
        <w:rPr>
          <w:rFonts w:ascii="Arial" w:hAnsi="Arial" w:cs="Arial"/>
          <w:sz w:val="22"/>
          <w:szCs w:val="22"/>
        </w:rPr>
        <w:t>.</w:t>
      </w:r>
    </w:p>
    <w:p w:rsidR="00002DC3" w:rsidRPr="00D65D4D" w:rsidRDefault="00002DC3" w:rsidP="00002DC3">
      <w:pPr>
        <w:rPr>
          <w:rFonts w:ascii="Arial" w:hAnsi="Arial" w:cs="Arial"/>
          <w:sz w:val="22"/>
          <w:szCs w:val="22"/>
        </w:rPr>
      </w:pPr>
    </w:p>
    <w:p w:rsidR="00002DC3" w:rsidRPr="00C8529D" w:rsidRDefault="00002DC3" w:rsidP="00002DC3">
      <w:pPr>
        <w:pStyle w:val="ListParagraph"/>
        <w:numPr>
          <w:ilvl w:val="1"/>
          <w:numId w:val="1"/>
        </w:numPr>
        <w:jc w:val="both"/>
        <w:rPr>
          <w:rFonts w:ascii="Arial" w:hAnsi="Arial" w:cs="Arial"/>
          <w:sz w:val="22"/>
          <w:szCs w:val="22"/>
        </w:rPr>
      </w:pPr>
      <w:proofErr w:type="spellStart"/>
      <w:r w:rsidRPr="00C8529D">
        <w:rPr>
          <w:rFonts w:ascii="Arial" w:hAnsi="Arial" w:cs="Arial"/>
          <w:sz w:val="22"/>
          <w:szCs w:val="22"/>
        </w:rPr>
        <w:t>Univariate</w:t>
      </w:r>
      <w:proofErr w:type="spellEnd"/>
      <w:r w:rsidRPr="00C8529D">
        <w:rPr>
          <w:rFonts w:ascii="Arial" w:hAnsi="Arial" w:cs="Arial"/>
          <w:sz w:val="22"/>
          <w:szCs w:val="22"/>
        </w:rPr>
        <w:t xml:space="preserve"> sensitivity analysis </w:t>
      </w:r>
      <w:proofErr w:type="gramStart"/>
      <w:r>
        <w:rPr>
          <w:rFonts w:ascii="Arial" w:hAnsi="Arial" w:cs="Arial"/>
          <w:sz w:val="22"/>
          <w:szCs w:val="22"/>
        </w:rPr>
        <w:t>was presented</w:t>
      </w:r>
      <w:proofErr w:type="gramEnd"/>
      <w:r>
        <w:rPr>
          <w:rFonts w:ascii="Arial" w:hAnsi="Arial" w:cs="Arial"/>
          <w:sz w:val="22"/>
          <w:szCs w:val="22"/>
        </w:rPr>
        <w:t xml:space="preserve"> in </w:t>
      </w:r>
      <w:r w:rsidRPr="00C8529D">
        <w:rPr>
          <w:rFonts w:ascii="Arial" w:hAnsi="Arial" w:cs="Arial"/>
          <w:sz w:val="22"/>
          <w:szCs w:val="22"/>
        </w:rPr>
        <w:t xml:space="preserve">the resubmission on most parameters, and multivariate sensitivity analysis </w:t>
      </w:r>
      <w:r>
        <w:rPr>
          <w:rFonts w:ascii="Arial" w:hAnsi="Arial" w:cs="Arial"/>
          <w:sz w:val="22"/>
          <w:szCs w:val="22"/>
        </w:rPr>
        <w:t xml:space="preserve">was presented in </w:t>
      </w:r>
      <w:r w:rsidRPr="00C8529D">
        <w:rPr>
          <w:rFonts w:ascii="Arial" w:hAnsi="Arial" w:cs="Arial"/>
          <w:sz w:val="22"/>
          <w:szCs w:val="22"/>
        </w:rPr>
        <w:t xml:space="preserve">the resubmission on the estimate of Meningococcal Antigen Typing System (MATS) coverage and </w:t>
      </w:r>
      <w:r>
        <w:rPr>
          <w:rFonts w:ascii="Arial" w:hAnsi="Arial" w:cs="Arial"/>
          <w:sz w:val="22"/>
          <w:szCs w:val="22"/>
        </w:rPr>
        <w:t xml:space="preserve">on </w:t>
      </w:r>
      <w:r w:rsidRPr="00C8529D">
        <w:rPr>
          <w:rFonts w:ascii="Arial" w:hAnsi="Arial" w:cs="Arial"/>
          <w:sz w:val="22"/>
          <w:szCs w:val="22"/>
        </w:rPr>
        <w:t>discount rate</w:t>
      </w:r>
      <w:r>
        <w:rPr>
          <w:rFonts w:ascii="Arial" w:hAnsi="Arial" w:cs="Arial"/>
          <w:sz w:val="22"/>
          <w:szCs w:val="22"/>
        </w:rPr>
        <w:t>s</w:t>
      </w:r>
      <w:r w:rsidRPr="00C8529D">
        <w:rPr>
          <w:rFonts w:ascii="Arial" w:hAnsi="Arial" w:cs="Arial"/>
          <w:sz w:val="22"/>
          <w:szCs w:val="22"/>
        </w:rPr>
        <w:t>. During the evaluation</w:t>
      </w:r>
      <w:r>
        <w:rPr>
          <w:rFonts w:ascii="Arial" w:hAnsi="Arial" w:cs="Arial"/>
          <w:sz w:val="22"/>
          <w:szCs w:val="22"/>
        </w:rPr>
        <w:t>,</w:t>
      </w:r>
      <w:r w:rsidRPr="00C8529D">
        <w:rPr>
          <w:rFonts w:ascii="Arial" w:hAnsi="Arial" w:cs="Arial"/>
          <w:sz w:val="22"/>
          <w:szCs w:val="22"/>
        </w:rPr>
        <w:t xml:space="preserve"> </w:t>
      </w:r>
      <w:proofErr w:type="spellStart"/>
      <w:r w:rsidRPr="00C8529D">
        <w:rPr>
          <w:rFonts w:ascii="Arial" w:hAnsi="Arial" w:cs="Arial"/>
          <w:sz w:val="22"/>
          <w:szCs w:val="22"/>
        </w:rPr>
        <w:t>univariate</w:t>
      </w:r>
      <w:proofErr w:type="spellEnd"/>
      <w:r w:rsidRPr="00C8529D">
        <w:rPr>
          <w:rFonts w:ascii="Arial" w:hAnsi="Arial" w:cs="Arial"/>
          <w:sz w:val="22"/>
          <w:szCs w:val="22"/>
        </w:rPr>
        <w:t xml:space="preserve"> sensitivity analysis </w:t>
      </w:r>
      <w:proofErr w:type="gramStart"/>
      <w:r w:rsidRPr="00C8529D">
        <w:rPr>
          <w:rFonts w:ascii="Arial" w:hAnsi="Arial" w:cs="Arial"/>
          <w:sz w:val="22"/>
          <w:szCs w:val="22"/>
        </w:rPr>
        <w:t>was conducted</w:t>
      </w:r>
      <w:proofErr w:type="gramEnd"/>
      <w:r w:rsidRPr="00C8529D">
        <w:rPr>
          <w:rFonts w:ascii="Arial" w:hAnsi="Arial" w:cs="Arial"/>
          <w:sz w:val="22"/>
          <w:szCs w:val="22"/>
        </w:rPr>
        <w:t xml:space="preserve"> on applying the “ESC method” to estimate vaccine efficacy and persistence, and the use of a 2+1 schedule for infants and the time horizon. Multivariate sensitivity analysis was also conducted to reflect what </w:t>
      </w:r>
      <w:proofErr w:type="gramStart"/>
      <w:r w:rsidRPr="00C8529D">
        <w:rPr>
          <w:rFonts w:ascii="Arial" w:hAnsi="Arial" w:cs="Arial"/>
          <w:sz w:val="22"/>
          <w:szCs w:val="22"/>
        </w:rPr>
        <w:t>may</w:t>
      </w:r>
      <w:proofErr w:type="gramEnd"/>
      <w:r w:rsidRPr="00C8529D">
        <w:rPr>
          <w:rFonts w:ascii="Arial" w:hAnsi="Arial" w:cs="Arial"/>
          <w:sz w:val="22"/>
          <w:szCs w:val="22"/>
        </w:rPr>
        <w:t xml:space="preserve"> be a highly optimistic but feasible </w:t>
      </w:r>
      <w:r w:rsidRPr="00002DC3">
        <w:rPr>
          <w:rFonts w:ascii="Arial" w:hAnsi="Arial" w:cs="Arial"/>
          <w:sz w:val="22"/>
          <w:szCs w:val="22"/>
        </w:rPr>
        <w:t>scenario.</w:t>
      </w:r>
    </w:p>
    <w:p w:rsidR="00002DC3" w:rsidRPr="00D65D4D" w:rsidRDefault="00002DC3" w:rsidP="00002DC3">
      <w:pPr>
        <w:rPr>
          <w:rFonts w:ascii="Arial" w:hAnsi="Arial" w:cs="Arial"/>
          <w:sz w:val="22"/>
          <w:szCs w:val="22"/>
        </w:rPr>
      </w:pPr>
      <w:r>
        <w:rPr>
          <w:rFonts w:ascii="Arial" w:hAnsi="Arial" w:cs="Arial"/>
          <w:sz w:val="22"/>
          <w:szCs w:val="22"/>
        </w:rPr>
        <w:t xml:space="preserve">  </w:t>
      </w:r>
    </w:p>
    <w:p w:rsidR="00002DC3" w:rsidRPr="00C8529D" w:rsidRDefault="00002DC3" w:rsidP="00002DC3">
      <w:pPr>
        <w:pStyle w:val="ListParagraph"/>
        <w:numPr>
          <w:ilvl w:val="1"/>
          <w:numId w:val="1"/>
        </w:numPr>
        <w:jc w:val="both"/>
        <w:rPr>
          <w:rFonts w:ascii="Arial" w:hAnsi="Arial" w:cs="Arial"/>
          <w:sz w:val="22"/>
          <w:szCs w:val="22"/>
        </w:rPr>
      </w:pPr>
      <w:r>
        <w:rPr>
          <w:rFonts w:ascii="Arial" w:hAnsi="Arial" w:cs="Arial"/>
          <w:sz w:val="22"/>
          <w:szCs w:val="22"/>
        </w:rPr>
        <w:t xml:space="preserve">  </w:t>
      </w:r>
      <w:r w:rsidRPr="00C8529D">
        <w:rPr>
          <w:rFonts w:ascii="Arial" w:hAnsi="Arial" w:cs="Arial"/>
          <w:sz w:val="22"/>
          <w:szCs w:val="22"/>
        </w:rPr>
        <w:t>The results of the sensitivity analyses indicate</w:t>
      </w:r>
      <w:r>
        <w:rPr>
          <w:rFonts w:ascii="Arial" w:hAnsi="Arial" w:cs="Arial"/>
          <w:sz w:val="22"/>
          <w:szCs w:val="22"/>
        </w:rPr>
        <w:t>d</w:t>
      </w:r>
      <w:r w:rsidRPr="00C8529D">
        <w:rPr>
          <w:rFonts w:ascii="Arial" w:hAnsi="Arial" w:cs="Arial"/>
          <w:sz w:val="22"/>
          <w:szCs w:val="22"/>
        </w:rPr>
        <w:t xml:space="preserve"> that the model </w:t>
      </w:r>
      <w:r>
        <w:rPr>
          <w:rFonts w:ascii="Arial" w:hAnsi="Arial" w:cs="Arial"/>
          <w:sz w:val="22"/>
          <w:szCs w:val="22"/>
        </w:rPr>
        <w:t>wa</w:t>
      </w:r>
      <w:r w:rsidRPr="00C8529D">
        <w:rPr>
          <w:rFonts w:ascii="Arial" w:hAnsi="Arial" w:cs="Arial"/>
          <w:sz w:val="22"/>
          <w:szCs w:val="22"/>
        </w:rPr>
        <w:t xml:space="preserve">s most sensitive to the discount rate followed by the use of the “ESC method” to estimate vaccine efficacy and persistence (particularly when natural immunity </w:t>
      </w:r>
      <w:proofErr w:type="gramStart"/>
      <w:r w:rsidRPr="00C8529D">
        <w:rPr>
          <w:rFonts w:ascii="Arial" w:hAnsi="Arial" w:cs="Arial"/>
          <w:sz w:val="22"/>
          <w:szCs w:val="22"/>
        </w:rPr>
        <w:t>is taken</w:t>
      </w:r>
      <w:proofErr w:type="gramEnd"/>
      <w:r w:rsidRPr="00C8529D">
        <w:rPr>
          <w:rFonts w:ascii="Arial" w:hAnsi="Arial" w:cs="Arial"/>
          <w:sz w:val="22"/>
          <w:szCs w:val="22"/>
        </w:rPr>
        <w:t xml:space="preserve"> into account). Even under a highly optimistic scenario (</w:t>
      </w:r>
      <w:r w:rsidRPr="00D324E1">
        <w:rPr>
          <w:rFonts w:ascii="Arial" w:hAnsi="Arial" w:cs="Arial"/>
          <w:sz w:val="22"/>
          <w:szCs w:val="22"/>
        </w:rPr>
        <w:t>87</w:t>
      </w:r>
      <w:r w:rsidRPr="00102B0F">
        <w:rPr>
          <w:rFonts w:ascii="Arial" w:hAnsi="Arial" w:cs="Arial"/>
          <w:sz w:val="22"/>
          <w:szCs w:val="22"/>
        </w:rPr>
        <w:t xml:space="preserve">% MATS coverage, </w:t>
      </w:r>
      <w:r w:rsidRPr="00D324E1">
        <w:rPr>
          <w:rFonts w:ascii="Arial" w:hAnsi="Arial" w:cs="Arial"/>
          <w:sz w:val="22"/>
          <w:szCs w:val="22"/>
        </w:rPr>
        <w:t>100</w:t>
      </w:r>
      <w:r w:rsidRPr="00102B0F">
        <w:rPr>
          <w:rFonts w:ascii="Arial" w:hAnsi="Arial" w:cs="Arial"/>
          <w:sz w:val="22"/>
          <w:szCs w:val="22"/>
        </w:rPr>
        <w:t xml:space="preserve">% efficacy, </w:t>
      </w:r>
      <w:r>
        <w:rPr>
          <w:rFonts w:ascii="Arial" w:hAnsi="Arial" w:cs="Arial"/>
          <w:noProof/>
          <w:color w:val="000000"/>
          <w:sz w:val="22"/>
          <w:szCs w:val="22"/>
          <w:highlight w:val="black"/>
        </w:rPr>
        <w:t>'''''</w:t>
      </w:r>
      <w:r w:rsidRPr="00102B0F">
        <w:rPr>
          <w:rFonts w:ascii="Arial" w:hAnsi="Arial" w:cs="Arial"/>
          <w:sz w:val="22"/>
          <w:szCs w:val="22"/>
        </w:rPr>
        <w:t>% herd immunity, and mean persistence in infants aged &lt; 3 years is 120 months (i.e. 10 years)</w:t>
      </w:r>
      <w:r>
        <w:rPr>
          <w:rFonts w:ascii="Arial" w:hAnsi="Arial" w:cs="Arial"/>
          <w:sz w:val="22"/>
          <w:szCs w:val="22"/>
        </w:rPr>
        <w:t>), the ICER remained</w:t>
      </w:r>
      <w:r w:rsidRPr="00C8529D">
        <w:rPr>
          <w:rFonts w:ascii="Arial" w:hAnsi="Arial" w:cs="Arial"/>
          <w:sz w:val="22"/>
          <w:szCs w:val="22"/>
        </w:rPr>
        <w:t xml:space="preserve"> high at </w:t>
      </w:r>
      <w:r w:rsidRPr="00102B0F">
        <w:rPr>
          <w:rFonts w:ascii="Arial" w:hAnsi="Arial" w:cs="Arial"/>
          <w:sz w:val="22"/>
          <w:szCs w:val="22"/>
        </w:rPr>
        <w:t>$</w:t>
      </w:r>
      <w:r>
        <w:rPr>
          <w:rFonts w:ascii="Arial" w:hAnsi="Arial" w:cs="Arial"/>
          <w:sz w:val="22"/>
          <w:szCs w:val="22"/>
        </w:rPr>
        <w:t>105,000 - $200,000</w:t>
      </w:r>
      <w:r w:rsidRPr="00102B0F">
        <w:rPr>
          <w:rFonts w:ascii="Arial" w:hAnsi="Arial" w:cs="Arial"/>
          <w:sz w:val="22"/>
          <w:szCs w:val="22"/>
        </w:rPr>
        <w:t>/QALY</w:t>
      </w:r>
      <w:r w:rsidRPr="00C8529D">
        <w:rPr>
          <w:rFonts w:ascii="Arial" w:hAnsi="Arial" w:cs="Arial"/>
          <w:sz w:val="22"/>
          <w:szCs w:val="22"/>
        </w:rPr>
        <w:t xml:space="preserve"> when </w:t>
      </w:r>
      <w:r w:rsidRPr="00102B0F">
        <w:rPr>
          <w:rFonts w:ascii="Arial" w:hAnsi="Arial" w:cs="Arial"/>
          <w:sz w:val="22"/>
          <w:szCs w:val="22"/>
        </w:rPr>
        <w:t>a discount rate of 5% per annum was applied to both costs and health outcomes</w:t>
      </w:r>
      <w:r w:rsidRPr="00C8529D">
        <w:rPr>
          <w:rFonts w:ascii="Arial" w:hAnsi="Arial" w:cs="Arial"/>
          <w:sz w:val="22"/>
          <w:szCs w:val="22"/>
        </w:rPr>
        <w:t>. The ESC agreed that</w:t>
      </w:r>
      <w:r>
        <w:rPr>
          <w:rFonts w:ascii="Arial" w:hAnsi="Arial" w:cs="Arial"/>
          <w:sz w:val="22"/>
          <w:szCs w:val="22"/>
        </w:rPr>
        <w:t>,</w:t>
      </w:r>
      <w:r w:rsidRPr="00C8529D">
        <w:rPr>
          <w:rFonts w:ascii="Arial" w:hAnsi="Arial" w:cs="Arial"/>
          <w:sz w:val="22"/>
          <w:szCs w:val="22"/>
        </w:rPr>
        <w:t xml:space="preserve"> even under highly optimistic assumptions, the ICER is still high. </w:t>
      </w:r>
      <w:proofErr w:type="gramStart"/>
      <w:r w:rsidRPr="00C8529D">
        <w:rPr>
          <w:rFonts w:ascii="Arial" w:hAnsi="Arial" w:cs="Arial"/>
          <w:sz w:val="22"/>
          <w:szCs w:val="22"/>
        </w:rPr>
        <w:t>Consequently</w:t>
      </w:r>
      <w:proofErr w:type="gramEnd"/>
      <w:r w:rsidRPr="00C8529D">
        <w:rPr>
          <w:rFonts w:ascii="Arial" w:hAnsi="Arial" w:cs="Arial"/>
          <w:sz w:val="22"/>
          <w:szCs w:val="22"/>
        </w:rPr>
        <w:t xml:space="preserve"> the </w:t>
      </w:r>
      <w:r>
        <w:rPr>
          <w:rFonts w:ascii="Arial" w:hAnsi="Arial" w:cs="Arial"/>
          <w:sz w:val="22"/>
          <w:szCs w:val="22"/>
        </w:rPr>
        <w:t xml:space="preserve">ESC expressed doubt </w:t>
      </w:r>
      <w:r w:rsidRPr="00C8529D">
        <w:rPr>
          <w:rFonts w:ascii="Arial" w:hAnsi="Arial" w:cs="Arial"/>
          <w:sz w:val="22"/>
          <w:szCs w:val="22"/>
        </w:rPr>
        <w:t xml:space="preserve">that the new information provided from the proposed studies in the </w:t>
      </w:r>
      <w:r>
        <w:rPr>
          <w:rFonts w:ascii="Arial" w:hAnsi="Arial" w:cs="Arial"/>
          <w:sz w:val="22"/>
          <w:szCs w:val="22"/>
        </w:rPr>
        <w:t xml:space="preserve">proposed </w:t>
      </w:r>
      <w:r w:rsidRPr="00C8529D">
        <w:rPr>
          <w:rFonts w:ascii="Arial" w:hAnsi="Arial" w:cs="Arial"/>
          <w:sz w:val="22"/>
          <w:szCs w:val="22"/>
        </w:rPr>
        <w:t>m</w:t>
      </w:r>
      <w:r>
        <w:rPr>
          <w:rFonts w:ascii="Arial" w:hAnsi="Arial" w:cs="Arial"/>
          <w:sz w:val="22"/>
          <w:szCs w:val="22"/>
        </w:rPr>
        <w:t xml:space="preserve">anaged </w:t>
      </w:r>
      <w:r w:rsidRPr="00C8529D">
        <w:rPr>
          <w:rFonts w:ascii="Arial" w:hAnsi="Arial" w:cs="Arial"/>
          <w:sz w:val="22"/>
          <w:szCs w:val="22"/>
        </w:rPr>
        <w:t>e</w:t>
      </w:r>
      <w:r>
        <w:rPr>
          <w:rFonts w:ascii="Arial" w:hAnsi="Arial" w:cs="Arial"/>
          <w:sz w:val="22"/>
          <w:szCs w:val="22"/>
        </w:rPr>
        <w:t xml:space="preserve">ntry </w:t>
      </w:r>
      <w:r w:rsidRPr="00C8529D">
        <w:rPr>
          <w:rFonts w:ascii="Arial" w:hAnsi="Arial" w:cs="Arial"/>
          <w:sz w:val="22"/>
          <w:szCs w:val="22"/>
        </w:rPr>
        <w:t>s</w:t>
      </w:r>
      <w:r>
        <w:rPr>
          <w:rFonts w:ascii="Arial" w:hAnsi="Arial" w:cs="Arial"/>
          <w:sz w:val="22"/>
          <w:szCs w:val="22"/>
        </w:rPr>
        <w:t>cheme</w:t>
      </w:r>
      <w:r w:rsidRPr="00C8529D">
        <w:rPr>
          <w:rFonts w:ascii="Arial" w:hAnsi="Arial" w:cs="Arial"/>
          <w:sz w:val="22"/>
          <w:szCs w:val="22"/>
        </w:rPr>
        <w:t xml:space="preserve"> would yield a cost-effective outcome at the current </w:t>
      </w:r>
      <w:r>
        <w:rPr>
          <w:rFonts w:ascii="Arial" w:hAnsi="Arial" w:cs="Arial"/>
          <w:sz w:val="22"/>
          <w:szCs w:val="22"/>
        </w:rPr>
        <w:t xml:space="preserve">requested </w:t>
      </w:r>
      <w:r w:rsidRPr="00C8529D">
        <w:rPr>
          <w:rFonts w:ascii="Arial" w:hAnsi="Arial" w:cs="Arial"/>
          <w:sz w:val="22"/>
          <w:szCs w:val="22"/>
        </w:rPr>
        <w:t>vaccine price.</w:t>
      </w:r>
    </w:p>
    <w:p w:rsidR="00002DC3" w:rsidRPr="00D65D4D" w:rsidRDefault="00002DC3" w:rsidP="00002DC3">
      <w:pPr>
        <w:rPr>
          <w:rFonts w:ascii="Arial" w:hAnsi="Arial" w:cs="Arial"/>
          <w:sz w:val="22"/>
          <w:szCs w:val="22"/>
        </w:rPr>
      </w:pPr>
    </w:p>
    <w:p w:rsidR="00002DC3" w:rsidRPr="00F1421D" w:rsidRDefault="00002DC3" w:rsidP="00002DC3">
      <w:pPr>
        <w:pStyle w:val="ListParagraph"/>
        <w:numPr>
          <w:ilvl w:val="1"/>
          <w:numId w:val="1"/>
        </w:numPr>
        <w:jc w:val="both"/>
        <w:rPr>
          <w:rFonts w:ascii="Arial" w:hAnsi="Arial"/>
          <w:sz w:val="22"/>
          <w:szCs w:val="22"/>
        </w:rPr>
      </w:pPr>
      <w:r>
        <w:rPr>
          <w:rFonts w:ascii="Arial" w:hAnsi="Arial" w:cs="Arial"/>
          <w:sz w:val="22"/>
          <w:szCs w:val="22"/>
        </w:rPr>
        <w:t xml:space="preserve">   </w:t>
      </w:r>
      <w:r w:rsidRPr="00C8529D">
        <w:rPr>
          <w:rFonts w:ascii="Arial" w:hAnsi="Arial" w:cs="Arial"/>
          <w:sz w:val="22"/>
          <w:szCs w:val="22"/>
        </w:rPr>
        <w:t xml:space="preserve">The ESC noted that some costs in the context of general practice </w:t>
      </w:r>
      <w:proofErr w:type="gramStart"/>
      <w:r w:rsidRPr="00C8529D">
        <w:rPr>
          <w:rFonts w:ascii="Arial" w:hAnsi="Arial" w:cs="Arial"/>
          <w:sz w:val="22"/>
          <w:szCs w:val="22"/>
        </w:rPr>
        <w:t>have not been considered</w:t>
      </w:r>
      <w:proofErr w:type="gramEnd"/>
      <w:r w:rsidRPr="00C8529D">
        <w:rPr>
          <w:rFonts w:ascii="Arial" w:hAnsi="Arial" w:cs="Arial"/>
          <w:sz w:val="22"/>
          <w:szCs w:val="22"/>
        </w:rPr>
        <w:t>, including additional consultation time. The ESC also noted the potential consequences</w:t>
      </w:r>
      <w:r>
        <w:rPr>
          <w:rFonts w:ascii="Arial" w:hAnsi="Arial" w:cs="Arial"/>
          <w:sz w:val="22"/>
          <w:szCs w:val="22"/>
        </w:rPr>
        <w:t xml:space="preserve"> of a fall in</w:t>
      </w:r>
      <w:r w:rsidRPr="00C8529D">
        <w:rPr>
          <w:rFonts w:ascii="Arial" w:hAnsi="Arial" w:cs="Arial"/>
          <w:sz w:val="22"/>
          <w:szCs w:val="22"/>
        </w:rPr>
        <w:t xml:space="preserve"> overall vaccine coverag</w:t>
      </w:r>
      <w:r>
        <w:rPr>
          <w:rFonts w:ascii="Arial" w:hAnsi="Arial" w:cs="Arial"/>
          <w:sz w:val="22"/>
          <w:szCs w:val="22"/>
        </w:rPr>
        <w:t>e</w:t>
      </w:r>
      <w:r w:rsidRPr="00C8529D">
        <w:rPr>
          <w:rFonts w:ascii="Arial" w:hAnsi="Arial" w:cs="Arial"/>
          <w:sz w:val="22"/>
          <w:szCs w:val="22"/>
        </w:rPr>
        <w:t xml:space="preserve"> </w:t>
      </w:r>
      <w:r>
        <w:rPr>
          <w:rFonts w:ascii="Arial" w:hAnsi="Arial" w:cs="Arial"/>
          <w:sz w:val="22"/>
          <w:szCs w:val="22"/>
        </w:rPr>
        <w:t xml:space="preserve">that could occur </w:t>
      </w:r>
      <w:proofErr w:type="gramStart"/>
      <w:r w:rsidRPr="00C8529D">
        <w:rPr>
          <w:rFonts w:ascii="Arial" w:hAnsi="Arial" w:cs="Arial"/>
          <w:sz w:val="22"/>
          <w:szCs w:val="22"/>
        </w:rPr>
        <w:t>as a result</w:t>
      </w:r>
      <w:proofErr w:type="gramEnd"/>
      <w:r w:rsidRPr="00C8529D">
        <w:rPr>
          <w:rFonts w:ascii="Arial" w:hAnsi="Arial" w:cs="Arial"/>
          <w:sz w:val="22"/>
          <w:szCs w:val="22"/>
        </w:rPr>
        <w:t xml:space="preserve"> of lost confidence in vaccination</w:t>
      </w:r>
      <w:r>
        <w:rPr>
          <w:rFonts w:ascii="Arial" w:hAnsi="Arial" w:cs="Arial"/>
          <w:sz w:val="22"/>
          <w:szCs w:val="22"/>
        </w:rPr>
        <w:t xml:space="preserve"> arising from the increased rates of fever and febrile seizures</w:t>
      </w:r>
      <w:r w:rsidRPr="00C8529D">
        <w:rPr>
          <w:rFonts w:ascii="Arial" w:hAnsi="Arial" w:cs="Arial"/>
          <w:sz w:val="22"/>
          <w:szCs w:val="22"/>
        </w:rPr>
        <w:t xml:space="preserve"> should be considered.</w:t>
      </w:r>
    </w:p>
    <w:p w:rsidR="00002DC3" w:rsidRPr="00085010" w:rsidRDefault="00002DC3" w:rsidP="00002DC3">
      <w:pPr>
        <w:rPr>
          <w:rFonts w:ascii="Arial" w:hAnsi="Arial"/>
          <w:sz w:val="22"/>
          <w:szCs w:val="22"/>
        </w:rPr>
      </w:pPr>
    </w:p>
    <w:p w:rsidR="00002DC3" w:rsidRPr="00BB7EC3" w:rsidRDefault="00002DC3" w:rsidP="00002D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002DC3" w:rsidRPr="00882085" w:rsidRDefault="00002DC3" w:rsidP="00002DC3">
      <w:pPr>
        <w:ind w:left="720" w:hanging="720"/>
        <w:jc w:val="both"/>
        <w:rPr>
          <w:rFonts w:ascii="Arial" w:hAnsi="Arial"/>
          <w:sz w:val="22"/>
          <w:szCs w:val="22"/>
        </w:rPr>
      </w:pPr>
    </w:p>
    <w:p w:rsidR="00002DC3" w:rsidRPr="00882085" w:rsidRDefault="00002DC3" w:rsidP="00002DC3">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002DC3" w:rsidRPr="00882085" w:rsidRDefault="00002DC3" w:rsidP="00002DC3">
      <w:pPr>
        <w:ind w:left="720" w:hanging="720"/>
        <w:jc w:val="both"/>
        <w:rPr>
          <w:rFonts w:ascii="Arial" w:hAnsi="Arial"/>
          <w:b/>
          <w:i/>
          <w:sz w:val="22"/>
          <w:szCs w:val="22"/>
        </w:rPr>
      </w:pPr>
    </w:p>
    <w:p w:rsidR="00002DC3"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The estimated use and financial implications </w:t>
      </w:r>
      <w:proofErr w:type="gramStart"/>
      <w:r>
        <w:rPr>
          <w:rFonts w:ascii="Arial" w:hAnsi="Arial"/>
          <w:sz w:val="22"/>
          <w:szCs w:val="22"/>
        </w:rPr>
        <w:t>are shown</w:t>
      </w:r>
      <w:proofErr w:type="gramEnd"/>
      <w:r>
        <w:rPr>
          <w:rFonts w:ascii="Arial" w:hAnsi="Arial"/>
          <w:sz w:val="22"/>
          <w:szCs w:val="22"/>
        </w:rPr>
        <w:t xml:space="preserve"> in the table below.</w:t>
      </w:r>
    </w:p>
    <w:p w:rsidR="00002DC3" w:rsidRPr="00D65D4D" w:rsidRDefault="00002DC3" w:rsidP="00002DC3">
      <w:pPr>
        <w:jc w:val="both"/>
        <w:rPr>
          <w:rFonts w:ascii="Arial" w:hAnsi="Arial"/>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6"/>
        <w:gridCol w:w="1275"/>
        <w:gridCol w:w="1275"/>
        <w:gridCol w:w="1277"/>
        <w:gridCol w:w="1275"/>
        <w:gridCol w:w="1257"/>
      </w:tblGrid>
      <w:tr w:rsidR="00002DC3" w:rsidRPr="00D15464" w:rsidTr="00D60B44">
        <w:trPr>
          <w:tblHeader/>
        </w:trPr>
        <w:tc>
          <w:tcPr>
            <w:tcW w:w="1190" w:type="pct"/>
            <w:shd w:val="clear" w:color="auto" w:fill="auto"/>
            <w:vAlign w:val="center"/>
          </w:tcPr>
          <w:p w:rsidR="00002DC3" w:rsidRPr="00191B3F" w:rsidRDefault="00002DC3" w:rsidP="00D60B44">
            <w:pPr>
              <w:keepNext/>
              <w:tabs>
                <w:tab w:val="left" w:pos="142"/>
              </w:tabs>
              <w:rPr>
                <w:rFonts w:ascii="Arial Narrow" w:hAnsi="Arial Narrow"/>
                <w:b/>
                <w:sz w:val="20"/>
              </w:rPr>
            </w:pPr>
          </w:p>
        </w:tc>
        <w:tc>
          <w:tcPr>
            <w:tcW w:w="764" w:type="pct"/>
            <w:shd w:val="clear" w:color="auto" w:fill="auto"/>
            <w:vAlign w:val="center"/>
          </w:tcPr>
          <w:p w:rsidR="00002DC3" w:rsidRPr="00191B3F" w:rsidRDefault="00002DC3" w:rsidP="00D60B44">
            <w:pPr>
              <w:keepNext/>
              <w:jc w:val="center"/>
              <w:rPr>
                <w:rFonts w:ascii="Arial Narrow" w:hAnsi="Arial Narrow"/>
                <w:b/>
                <w:sz w:val="20"/>
              </w:rPr>
            </w:pPr>
            <w:r w:rsidRPr="00102B0F">
              <w:rPr>
                <w:rFonts w:ascii="Arial Narrow" w:hAnsi="Arial Narrow"/>
                <w:b/>
                <w:sz w:val="20"/>
              </w:rPr>
              <w:t>Year 1</w:t>
            </w:r>
          </w:p>
        </w:tc>
        <w:tc>
          <w:tcPr>
            <w:tcW w:w="764" w:type="pct"/>
            <w:shd w:val="clear" w:color="auto" w:fill="auto"/>
            <w:vAlign w:val="center"/>
          </w:tcPr>
          <w:p w:rsidR="00002DC3" w:rsidRPr="00191B3F" w:rsidRDefault="00002DC3" w:rsidP="00D60B44">
            <w:pPr>
              <w:keepNext/>
              <w:jc w:val="center"/>
              <w:rPr>
                <w:rFonts w:ascii="Arial Narrow" w:hAnsi="Arial Narrow"/>
                <w:b/>
                <w:sz w:val="20"/>
              </w:rPr>
            </w:pPr>
            <w:r w:rsidRPr="00102B0F">
              <w:rPr>
                <w:rFonts w:ascii="Arial Narrow" w:hAnsi="Arial Narrow"/>
                <w:b/>
                <w:sz w:val="20"/>
              </w:rPr>
              <w:t>Year 2</w:t>
            </w:r>
          </w:p>
        </w:tc>
        <w:tc>
          <w:tcPr>
            <w:tcW w:w="765" w:type="pct"/>
            <w:shd w:val="clear" w:color="auto" w:fill="auto"/>
            <w:vAlign w:val="center"/>
          </w:tcPr>
          <w:p w:rsidR="00002DC3" w:rsidRPr="00191B3F" w:rsidRDefault="00002DC3" w:rsidP="00D60B44">
            <w:pPr>
              <w:keepNext/>
              <w:jc w:val="center"/>
              <w:rPr>
                <w:rFonts w:ascii="Arial Narrow" w:hAnsi="Arial Narrow"/>
                <w:b/>
                <w:sz w:val="20"/>
              </w:rPr>
            </w:pPr>
            <w:r w:rsidRPr="00102B0F">
              <w:rPr>
                <w:rFonts w:ascii="Arial Narrow" w:hAnsi="Arial Narrow"/>
                <w:b/>
                <w:sz w:val="20"/>
              </w:rPr>
              <w:t>Year 3</w:t>
            </w:r>
          </w:p>
        </w:tc>
        <w:tc>
          <w:tcPr>
            <w:tcW w:w="764" w:type="pct"/>
            <w:shd w:val="clear" w:color="auto" w:fill="auto"/>
            <w:vAlign w:val="center"/>
          </w:tcPr>
          <w:p w:rsidR="00002DC3" w:rsidRPr="00191B3F" w:rsidRDefault="00002DC3" w:rsidP="00D60B44">
            <w:pPr>
              <w:keepNext/>
              <w:jc w:val="center"/>
              <w:rPr>
                <w:rFonts w:ascii="Arial Narrow" w:hAnsi="Arial Narrow"/>
                <w:b/>
                <w:sz w:val="20"/>
              </w:rPr>
            </w:pPr>
            <w:r w:rsidRPr="00102B0F">
              <w:rPr>
                <w:rFonts w:ascii="Arial Narrow" w:hAnsi="Arial Narrow"/>
                <w:b/>
                <w:sz w:val="20"/>
              </w:rPr>
              <w:t>Year 4</w:t>
            </w:r>
          </w:p>
        </w:tc>
        <w:tc>
          <w:tcPr>
            <w:tcW w:w="753" w:type="pct"/>
            <w:shd w:val="clear" w:color="auto" w:fill="auto"/>
            <w:vAlign w:val="center"/>
          </w:tcPr>
          <w:p w:rsidR="00002DC3" w:rsidRPr="00191B3F" w:rsidRDefault="00002DC3" w:rsidP="00D60B44">
            <w:pPr>
              <w:keepNext/>
              <w:jc w:val="center"/>
              <w:rPr>
                <w:rFonts w:ascii="Arial Narrow" w:hAnsi="Arial Narrow"/>
                <w:b/>
                <w:sz w:val="20"/>
              </w:rPr>
            </w:pPr>
            <w:r w:rsidRPr="00102B0F">
              <w:rPr>
                <w:rFonts w:ascii="Arial Narrow" w:hAnsi="Arial Narrow"/>
                <w:b/>
                <w:sz w:val="20"/>
              </w:rPr>
              <w:t>Year 5</w:t>
            </w:r>
          </w:p>
        </w:tc>
      </w:tr>
      <w:tr w:rsidR="00002DC3" w:rsidRPr="00D15464" w:rsidTr="00D60B44">
        <w:tc>
          <w:tcPr>
            <w:tcW w:w="5000" w:type="pct"/>
            <w:gridSpan w:val="6"/>
            <w:shd w:val="clear" w:color="auto" w:fill="auto"/>
            <w:vAlign w:val="center"/>
          </w:tcPr>
          <w:p w:rsidR="00002DC3" w:rsidRPr="00191B3F" w:rsidRDefault="00002DC3" w:rsidP="00D60B44">
            <w:pPr>
              <w:keepNext/>
              <w:rPr>
                <w:rFonts w:ascii="Arial Narrow" w:hAnsi="Arial Narrow"/>
                <w:b/>
                <w:bCs/>
                <w:color w:val="000000"/>
                <w:sz w:val="20"/>
              </w:rPr>
            </w:pPr>
            <w:r w:rsidRPr="00102B0F">
              <w:rPr>
                <w:rFonts w:ascii="Arial Narrow" w:hAnsi="Arial Narrow"/>
                <w:b/>
                <w:bCs/>
                <w:color w:val="000000"/>
                <w:sz w:val="20"/>
              </w:rPr>
              <w:t>Estimated extent of use</w:t>
            </w:r>
          </w:p>
        </w:tc>
      </w:tr>
      <w:tr w:rsidR="00002DC3" w:rsidRPr="00D15464" w:rsidTr="00D60B44">
        <w:tc>
          <w:tcPr>
            <w:tcW w:w="1190" w:type="pct"/>
            <w:shd w:val="clear" w:color="auto" w:fill="auto"/>
            <w:vAlign w:val="center"/>
          </w:tcPr>
          <w:p w:rsidR="00002DC3" w:rsidRPr="00191B3F" w:rsidRDefault="00002DC3" w:rsidP="00D60B44">
            <w:pPr>
              <w:tabs>
                <w:tab w:val="left" w:pos="142"/>
              </w:tabs>
              <w:rPr>
                <w:rFonts w:ascii="Arial Narrow" w:hAnsi="Arial Narrow"/>
                <w:sz w:val="20"/>
              </w:rPr>
            </w:pPr>
            <w:r w:rsidRPr="00102B0F">
              <w:rPr>
                <w:rFonts w:ascii="Arial Narrow" w:hAnsi="Arial Narrow"/>
                <w:sz w:val="20"/>
              </w:rPr>
              <w:t>Number vaccinated</w:t>
            </w:r>
          </w:p>
        </w:tc>
        <w:tc>
          <w:tcPr>
            <w:tcW w:w="764" w:type="pct"/>
            <w:shd w:val="clear" w:color="auto" w:fill="auto"/>
            <w:vAlign w:val="bottom"/>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bottom"/>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5" w:type="pct"/>
            <w:shd w:val="clear" w:color="auto" w:fill="auto"/>
            <w:vAlign w:val="bottom"/>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bottom"/>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3" w:type="pct"/>
            <w:shd w:val="clear" w:color="auto" w:fill="auto"/>
            <w:vAlign w:val="bottom"/>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002DC3" w:rsidRPr="00D15464" w:rsidTr="00D60B44">
        <w:tc>
          <w:tcPr>
            <w:tcW w:w="1190" w:type="pct"/>
            <w:shd w:val="clear" w:color="auto" w:fill="auto"/>
            <w:vAlign w:val="center"/>
          </w:tcPr>
          <w:p w:rsidR="00002DC3" w:rsidRPr="00191B3F" w:rsidRDefault="00002DC3" w:rsidP="00D60B44">
            <w:pPr>
              <w:tabs>
                <w:tab w:val="left" w:pos="142"/>
              </w:tabs>
              <w:rPr>
                <w:rFonts w:ascii="Arial Narrow" w:hAnsi="Arial Narrow"/>
                <w:sz w:val="20"/>
              </w:rPr>
            </w:pPr>
            <w:r w:rsidRPr="00102B0F">
              <w:rPr>
                <w:rFonts w:ascii="Arial Narrow" w:hAnsi="Arial Narrow"/>
                <w:sz w:val="20"/>
              </w:rPr>
              <w:t>Number vaccinated - Nov 2013</w:t>
            </w:r>
          </w:p>
        </w:tc>
        <w:tc>
          <w:tcPr>
            <w:tcW w:w="764" w:type="pct"/>
            <w:shd w:val="clear" w:color="auto" w:fill="auto"/>
            <w:vAlign w:val="bottom"/>
          </w:tcPr>
          <w:p w:rsidR="00002DC3" w:rsidRPr="00191B3F" w:rsidRDefault="00002DC3" w:rsidP="00D60B44">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bottom"/>
          </w:tcPr>
          <w:p w:rsidR="00002DC3" w:rsidRPr="00191B3F" w:rsidRDefault="00002DC3" w:rsidP="00D60B44">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5" w:type="pct"/>
            <w:shd w:val="clear" w:color="auto" w:fill="auto"/>
            <w:vAlign w:val="bottom"/>
          </w:tcPr>
          <w:p w:rsidR="00002DC3" w:rsidRPr="00191B3F" w:rsidRDefault="00002DC3" w:rsidP="00D60B44">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bottom"/>
          </w:tcPr>
          <w:p w:rsidR="00002DC3" w:rsidRPr="00191B3F" w:rsidRDefault="00002DC3" w:rsidP="00D60B44">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53" w:type="pct"/>
            <w:shd w:val="clear" w:color="auto" w:fill="auto"/>
            <w:vAlign w:val="bottom"/>
          </w:tcPr>
          <w:p w:rsidR="00002DC3" w:rsidRPr="00191B3F" w:rsidRDefault="00002DC3" w:rsidP="00D60B44">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1190" w:type="pct"/>
            <w:shd w:val="clear" w:color="auto" w:fill="auto"/>
            <w:vAlign w:val="center"/>
          </w:tcPr>
          <w:p w:rsidR="00002DC3" w:rsidRPr="00191B3F" w:rsidRDefault="00002DC3" w:rsidP="00D60B44">
            <w:pPr>
              <w:tabs>
                <w:tab w:val="left" w:pos="142"/>
              </w:tabs>
              <w:rPr>
                <w:rFonts w:ascii="Arial Narrow" w:hAnsi="Arial Narrow"/>
                <w:sz w:val="20"/>
              </w:rPr>
            </w:pPr>
            <w:r w:rsidRPr="00102B0F">
              <w:rPr>
                <w:rFonts w:ascii="Arial Narrow" w:hAnsi="Arial Narrow"/>
                <w:sz w:val="20"/>
              </w:rPr>
              <w:t>Vaccinations</w:t>
            </w:r>
          </w:p>
        </w:tc>
        <w:tc>
          <w:tcPr>
            <w:tcW w:w="764" w:type="pct"/>
            <w:shd w:val="clear" w:color="auto" w:fill="auto"/>
            <w:vAlign w:val="center"/>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5" w:type="pct"/>
            <w:shd w:val="clear" w:color="auto" w:fill="auto"/>
            <w:vAlign w:val="center"/>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3" w:type="pct"/>
            <w:shd w:val="clear" w:color="auto" w:fill="auto"/>
            <w:vAlign w:val="center"/>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002DC3" w:rsidRPr="00D15464" w:rsidTr="00D60B44">
        <w:tc>
          <w:tcPr>
            <w:tcW w:w="1190" w:type="pct"/>
            <w:shd w:val="clear" w:color="auto" w:fill="auto"/>
            <w:vAlign w:val="center"/>
          </w:tcPr>
          <w:p w:rsidR="00002DC3" w:rsidRPr="00191B3F" w:rsidRDefault="00002DC3" w:rsidP="00D60B44">
            <w:pPr>
              <w:tabs>
                <w:tab w:val="left" w:pos="142"/>
              </w:tabs>
              <w:rPr>
                <w:rFonts w:ascii="Arial Narrow" w:hAnsi="Arial Narrow"/>
                <w:sz w:val="20"/>
              </w:rPr>
            </w:pPr>
            <w:r w:rsidRPr="00102B0F">
              <w:rPr>
                <w:rFonts w:ascii="Arial Narrow" w:hAnsi="Arial Narrow"/>
                <w:sz w:val="20"/>
              </w:rPr>
              <w:t>Vaccinations - Nov 2013</w:t>
            </w:r>
          </w:p>
        </w:tc>
        <w:tc>
          <w:tcPr>
            <w:tcW w:w="764" w:type="pct"/>
            <w:shd w:val="clear" w:color="auto" w:fill="auto"/>
            <w:vAlign w:val="center"/>
          </w:tcPr>
          <w:p w:rsidR="00002DC3" w:rsidRPr="00191B3F" w:rsidRDefault="00002DC3" w:rsidP="00D60B44">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5" w:type="pct"/>
            <w:shd w:val="clear" w:color="auto" w:fill="auto"/>
            <w:vAlign w:val="center"/>
          </w:tcPr>
          <w:p w:rsidR="00002DC3" w:rsidRPr="00191B3F" w:rsidRDefault="00002DC3" w:rsidP="00D60B44">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53" w:type="pct"/>
            <w:shd w:val="clear" w:color="auto" w:fill="auto"/>
            <w:vAlign w:val="center"/>
          </w:tcPr>
          <w:p w:rsidR="00002DC3" w:rsidRPr="00191B3F" w:rsidRDefault="00002DC3" w:rsidP="00D60B44">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5000" w:type="pct"/>
            <w:gridSpan w:val="6"/>
            <w:shd w:val="clear" w:color="auto" w:fill="auto"/>
            <w:vAlign w:val="center"/>
          </w:tcPr>
          <w:p w:rsidR="00002DC3" w:rsidRPr="00191B3F" w:rsidRDefault="00002DC3" w:rsidP="00D60B44">
            <w:pPr>
              <w:rPr>
                <w:rFonts w:ascii="Arial Narrow" w:hAnsi="Arial Narrow"/>
                <w:b/>
                <w:bCs/>
                <w:color w:val="000000"/>
                <w:sz w:val="20"/>
              </w:rPr>
            </w:pPr>
            <w:r w:rsidRPr="00102B0F">
              <w:rPr>
                <w:rFonts w:ascii="Arial Narrow" w:hAnsi="Arial Narrow"/>
                <w:b/>
                <w:bCs/>
                <w:color w:val="000000"/>
                <w:sz w:val="20"/>
              </w:rPr>
              <w:lastRenderedPageBreak/>
              <w:t>Estimated net cost to NIP/MBS *</w:t>
            </w:r>
          </w:p>
        </w:tc>
      </w:tr>
      <w:tr w:rsidR="00002DC3" w:rsidRPr="00D15464" w:rsidTr="00D60B44">
        <w:tc>
          <w:tcPr>
            <w:tcW w:w="1190" w:type="pct"/>
            <w:shd w:val="clear" w:color="auto" w:fill="auto"/>
            <w:vAlign w:val="center"/>
          </w:tcPr>
          <w:p w:rsidR="00002DC3" w:rsidRPr="00191B3F" w:rsidRDefault="00002DC3" w:rsidP="00D60B44">
            <w:pPr>
              <w:tabs>
                <w:tab w:val="left" w:pos="142"/>
              </w:tabs>
              <w:rPr>
                <w:rFonts w:ascii="Arial Narrow" w:hAnsi="Arial Narrow"/>
                <w:sz w:val="20"/>
              </w:rPr>
            </w:pPr>
            <w:r w:rsidRPr="00102B0F">
              <w:rPr>
                <w:rFonts w:ascii="Arial Narrow" w:hAnsi="Arial Narrow"/>
                <w:sz w:val="20"/>
              </w:rPr>
              <w:t>Net cost to NIP</w:t>
            </w:r>
          </w:p>
        </w:tc>
        <w:tc>
          <w:tcPr>
            <w:tcW w:w="764" w:type="pct"/>
            <w:shd w:val="clear" w:color="auto" w:fill="auto"/>
            <w:vAlign w:val="center"/>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5" w:type="pct"/>
            <w:shd w:val="clear" w:color="auto" w:fill="auto"/>
            <w:vAlign w:val="center"/>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3" w:type="pct"/>
            <w:shd w:val="clear" w:color="auto" w:fill="auto"/>
            <w:vAlign w:val="center"/>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002DC3" w:rsidRPr="00D15464" w:rsidTr="00D60B44">
        <w:tc>
          <w:tcPr>
            <w:tcW w:w="1190" w:type="pct"/>
            <w:shd w:val="clear" w:color="auto" w:fill="auto"/>
            <w:vAlign w:val="center"/>
          </w:tcPr>
          <w:p w:rsidR="00002DC3" w:rsidRPr="00191B3F" w:rsidRDefault="00002DC3" w:rsidP="00D60B44">
            <w:pPr>
              <w:tabs>
                <w:tab w:val="left" w:pos="142"/>
              </w:tabs>
              <w:rPr>
                <w:rFonts w:ascii="Arial Narrow" w:hAnsi="Arial Narrow"/>
                <w:sz w:val="20"/>
              </w:rPr>
            </w:pPr>
            <w:r w:rsidRPr="00102B0F">
              <w:rPr>
                <w:rFonts w:ascii="Arial Narrow" w:hAnsi="Arial Narrow"/>
                <w:sz w:val="20"/>
              </w:rPr>
              <w:t>Net cost to MBS</w:t>
            </w:r>
          </w:p>
        </w:tc>
        <w:tc>
          <w:tcPr>
            <w:tcW w:w="764" w:type="pct"/>
            <w:shd w:val="clear" w:color="auto" w:fill="auto"/>
            <w:vAlign w:val="center"/>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5" w:type="pct"/>
            <w:shd w:val="clear" w:color="auto" w:fill="auto"/>
            <w:vAlign w:val="center"/>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3" w:type="pct"/>
            <w:shd w:val="clear" w:color="auto" w:fill="auto"/>
            <w:vAlign w:val="center"/>
          </w:tcPr>
          <w:p w:rsidR="00002DC3" w:rsidRPr="00191B3F" w:rsidRDefault="00002DC3" w:rsidP="00D60B44">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002DC3" w:rsidRPr="00D15464" w:rsidTr="00D60B44">
        <w:tc>
          <w:tcPr>
            <w:tcW w:w="1190" w:type="pct"/>
            <w:shd w:val="clear" w:color="auto" w:fill="auto"/>
            <w:vAlign w:val="center"/>
          </w:tcPr>
          <w:p w:rsidR="00002DC3" w:rsidRPr="00191B3F" w:rsidRDefault="00002DC3" w:rsidP="00D60B44">
            <w:pPr>
              <w:tabs>
                <w:tab w:val="left" w:pos="142"/>
              </w:tabs>
              <w:ind w:right="-27"/>
              <w:rPr>
                <w:rFonts w:ascii="Arial Narrow" w:hAnsi="Arial Narrow"/>
                <w:sz w:val="20"/>
              </w:rPr>
            </w:pPr>
            <w:r w:rsidRPr="00102B0F">
              <w:rPr>
                <w:rFonts w:ascii="Arial Narrow" w:hAnsi="Arial Narrow"/>
                <w:sz w:val="20"/>
              </w:rPr>
              <w:t>Other costs to government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5"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53"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5000" w:type="pct"/>
            <w:gridSpan w:val="6"/>
            <w:shd w:val="clear" w:color="auto" w:fill="auto"/>
            <w:vAlign w:val="center"/>
          </w:tcPr>
          <w:p w:rsidR="00002DC3" w:rsidRPr="00191B3F" w:rsidRDefault="00002DC3" w:rsidP="00D60B44">
            <w:pPr>
              <w:rPr>
                <w:rFonts w:ascii="Arial Narrow" w:hAnsi="Arial Narrow"/>
                <w:b/>
                <w:color w:val="000000"/>
                <w:sz w:val="20"/>
              </w:rPr>
            </w:pPr>
            <w:r w:rsidRPr="00102B0F">
              <w:rPr>
                <w:rFonts w:ascii="Arial Narrow" w:hAnsi="Arial Narrow"/>
                <w:b/>
                <w:color w:val="000000"/>
                <w:sz w:val="20"/>
              </w:rPr>
              <w:t>Estimated total net cost*</w:t>
            </w:r>
          </w:p>
        </w:tc>
      </w:tr>
      <w:tr w:rsidR="00002DC3" w:rsidRPr="00D15464" w:rsidTr="00D60B44">
        <w:tc>
          <w:tcPr>
            <w:tcW w:w="1190" w:type="pct"/>
            <w:shd w:val="clear" w:color="auto" w:fill="auto"/>
            <w:vAlign w:val="center"/>
          </w:tcPr>
          <w:p w:rsidR="00002DC3" w:rsidRPr="00191B3F" w:rsidRDefault="00002DC3" w:rsidP="00D60B44">
            <w:pPr>
              <w:tabs>
                <w:tab w:val="left" w:pos="142"/>
              </w:tabs>
              <w:rPr>
                <w:rFonts w:ascii="Arial Narrow" w:hAnsi="Arial Narrow"/>
                <w:sz w:val="20"/>
              </w:rPr>
            </w:pP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b/>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b/>
                <w:noProof/>
                <w:color w:val="000000"/>
                <w:sz w:val="20"/>
                <w:highlight w:val="black"/>
              </w:rPr>
              <w:t>''''''''''''''''''''''''</w:t>
            </w:r>
          </w:p>
        </w:tc>
        <w:tc>
          <w:tcPr>
            <w:tcW w:w="765"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b/>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b/>
                <w:noProof/>
                <w:color w:val="000000"/>
                <w:sz w:val="20"/>
                <w:highlight w:val="black"/>
              </w:rPr>
              <w:t>''''''''''''''''''''''</w:t>
            </w:r>
          </w:p>
        </w:tc>
        <w:tc>
          <w:tcPr>
            <w:tcW w:w="753"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b/>
                <w:noProof/>
                <w:color w:val="000000"/>
                <w:sz w:val="20"/>
                <w:highlight w:val="black"/>
              </w:rPr>
              <w:t>''''''''''''''''''''''''''</w:t>
            </w:r>
          </w:p>
        </w:tc>
      </w:tr>
      <w:tr w:rsidR="00002DC3" w:rsidRPr="00D15464" w:rsidTr="00D60B44">
        <w:tc>
          <w:tcPr>
            <w:tcW w:w="5000" w:type="pct"/>
            <w:gridSpan w:val="6"/>
            <w:shd w:val="clear" w:color="auto" w:fill="auto"/>
            <w:vAlign w:val="center"/>
          </w:tcPr>
          <w:p w:rsidR="00002DC3" w:rsidRPr="00191B3F" w:rsidRDefault="00002DC3" w:rsidP="00D60B44">
            <w:pPr>
              <w:rPr>
                <w:rFonts w:ascii="Arial Narrow" w:hAnsi="Arial Narrow"/>
                <w:b/>
                <w:bCs/>
                <w:sz w:val="20"/>
              </w:rPr>
            </w:pPr>
            <w:r w:rsidRPr="00102B0F">
              <w:rPr>
                <w:rFonts w:ascii="Arial Narrow" w:hAnsi="Arial Narrow"/>
                <w:b/>
                <w:bCs/>
                <w:sz w:val="20"/>
              </w:rPr>
              <w:t>Estimated net cost to NIP/MBS in the previous submission considered in November 2013 **</w:t>
            </w:r>
          </w:p>
        </w:tc>
      </w:tr>
      <w:tr w:rsidR="00002DC3" w:rsidRPr="00D15464" w:rsidTr="00D60B44">
        <w:tc>
          <w:tcPr>
            <w:tcW w:w="1190" w:type="pct"/>
            <w:shd w:val="clear" w:color="auto" w:fill="auto"/>
            <w:vAlign w:val="center"/>
          </w:tcPr>
          <w:p w:rsidR="00002DC3" w:rsidRPr="00191B3F" w:rsidRDefault="00002DC3" w:rsidP="00D60B44">
            <w:pPr>
              <w:tabs>
                <w:tab w:val="left" w:pos="142"/>
              </w:tabs>
              <w:rPr>
                <w:rFonts w:ascii="Arial Narrow" w:hAnsi="Arial Narrow"/>
                <w:sz w:val="20"/>
              </w:rPr>
            </w:pPr>
            <w:r w:rsidRPr="00102B0F">
              <w:rPr>
                <w:rFonts w:ascii="Arial Narrow" w:hAnsi="Arial Narrow"/>
                <w:sz w:val="20"/>
              </w:rPr>
              <w:t>Net cost to NIP</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5"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53"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1190" w:type="pct"/>
            <w:shd w:val="clear" w:color="auto" w:fill="auto"/>
            <w:vAlign w:val="center"/>
          </w:tcPr>
          <w:p w:rsidR="00002DC3" w:rsidRPr="00191B3F" w:rsidRDefault="00002DC3" w:rsidP="00D60B44">
            <w:pPr>
              <w:tabs>
                <w:tab w:val="left" w:pos="142"/>
              </w:tabs>
              <w:rPr>
                <w:rFonts w:ascii="Arial Narrow" w:hAnsi="Arial Narrow"/>
                <w:sz w:val="20"/>
              </w:rPr>
            </w:pPr>
            <w:r w:rsidRPr="00102B0F">
              <w:rPr>
                <w:rFonts w:ascii="Arial Narrow" w:hAnsi="Arial Narrow"/>
                <w:sz w:val="20"/>
              </w:rPr>
              <w:t>Net cost to MBS</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5"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53"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1190" w:type="pct"/>
            <w:shd w:val="clear" w:color="auto" w:fill="auto"/>
            <w:vAlign w:val="center"/>
          </w:tcPr>
          <w:p w:rsidR="00002DC3" w:rsidRPr="00191B3F" w:rsidRDefault="00002DC3" w:rsidP="00D60B44">
            <w:pPr>
              <w:tabs>
                <w:tab w:val="left" w:pos="142"/>
              </w:tabs>
              <w:ind w:right="-27"/>
              <w:rPr>
                <w:rFonts w:ascii="Arial Narrow" w:hAnsi="Arial Narrow"/>
                <w:sz w:val="20"/>
              </w:rPr>
            </w:pPr>
            <w:r w:rsidRPr="00102B0F">
              <w:rPr>
                <w:rFonts w:ascii="Arial Narrow" w:hAnsi="Arial Narrow"/>
                <w:sz w:val="20"/>
              </w:rPr>
              <w:t>Other costs to government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5"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53"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5000" w:type="pct"/>
            <w:gridSpan w:val="6"/>
            <w:shd w:val="clear" w:color="auto" w:fill="auto"/>
            <w:vAlign w:val="center"/>
          </w:tcPr>
          <w:p w:rsidR="00002DC3" w:rsidRPr="00191B3F" w:rsidRDefault="00002DC3" w:rsidP="00D60B44">
            <w:pPr>
              <w:rPr>
                <w:rFonts w:ascii="Arial Narrow" w:hAnsi="Arial Narrow"/>
                <w:b/>
                <w:bCs/>
                <w:sz w:val="20"/>
              </w:rPr>
            </w:pPr>
            <w:r w:rsidRPr="00102B0F">
              <w:rPr>
                <w:rFonts w:ascii="Arial Narrow" w:hAnsi="Arial Narrow"/>
                <w:b/>
                <w:sz w:val="20"/>
              </w:rPr>
              <w:t xml:space="preserve">Estimated total net cost </w:t>
            </w:r>
            <w:r w:rsidRPr="00102B0F">
              <w:rPr>
                <w:rFonts w:ascii="Arial Narrow" w:hAnsi="Arial Narrow"/>
                <w:b/>
                <w:bCs/>
                <w:sz w:val="20"/>
              </w:rPr>
              <w:t xml:space="preserve">in the previous submission considered in November 2013 </w:t>
            </w:r>
            <w:r w:rsidRPr="00102B0F">
              <w:rPr>
                <w:rFonts w:ascii="Arial Narrow" w:hAnsi="Arial Narrow"/>
                <w:b/>
                <w:sz w:val="20"/>
              </w:rPr>
              <w:t>**</w:t>
            </w:r>
          </w:p>
        </w:tc>
      </w:tr>
      <w:tr w:rsidR="00002DC3" w:rsidRPr="00D15464" w:rsidTr="00D60B44">
        <w:tc>
          <w:tcPr>
            <w:tcW w:w="1190" w:type="pct"/>
            <w:shd w:val="clear" w:color="auto" w:fill="auto"/>
            <w:vAlign w:val="center"/>
          </w:tcPr>
          <w:p w:rsidR="00002DC3" w:rsidRPr="00191B3F" w:rsidRDefault="00002DC3" w:rsidP="00D60B44">
            <w:pPr>
              <w:tabs>
                <w:tab w:val="left" w:pos="142"/>
              </w:tabs>
              <w:rPr>
                <w:rFonts w:ascii="Arial Narrow" w:hAnsi="Arial Narrow"/>
                <w:sz w:val="20"/>
              </w:rPr>
            </w:pP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5"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53"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5000" w:type="pct"/>
            <w:gridSpan w:val="6"/>
            <w:shd w:val="clear" w:color="auto" w:fill="auto"/>
            <w:vAlign w:val="center"/>
          </w:tcPr>
          <w:p w:rsidR="00002DC3" w:rsidRPr="00191B3F" w:rsidRDefault="00002DC3" w:rsidP="00D60B44">
            <w:pPr>
              <w:rPr>
                <w:rFonts w:ascii="Arial Narrow" w:hAnsi="Arial Narrow"/>
                <w:b/>
                <w:bCs/>
                <w:sz w:val="20"/>
              </w:rPr>
            </w:pPr>
            <w:r w:rsidRPr="00102B0F">
              <w:rPr>
                <w:rFonts w:ascii="Arial Narrow" w:hAnsi="Arial Narrow"/>
                <w:b/>
                <w:bCs/>
                <w:sz w:val="20"/>
              </w:rPr>
              <w:t>Estimated net cost to NIP/MBS considered at the November 2013 PBAC meeting ***</w:t>
            </w:r>
          </w:p>
        </w:tc>
      </w:tr>
      <w:tr w:rsidR="00002DC3" w:rsidRPr="00D15464" w:rsidTr="00D60B44">
        <w:tc>
          <w:tcPr>
            <w:tcW w:w="1190" w:type="pct"/>
            <w:shd w:val="clear" w:color="auto" w:fill="auto"/>
            <w:vAlign w:val="center"/>
          </w:tcPr>
          <w:p w:rsidR="00002DC3" w:rsidRPr="00191B3F" w:rsidRDefault="00002DC3" w:rsidP="00D60B44">
            <w:pPr>
              <w:tabs>
                <w:tab w:val="left" w:pos="142"/>
              </w:tabs>
              <w:rPr>
                <w:rFonts w:ascii="Arial Narrow" w:hAnsi="Arial Narrow"/>
                <w:sz w:val="20"/>
              </w:rPr>
            </w:pPr>
            <w:r w:rsidRPr="00102B0F">
              <w:rPr>
                <w:rFonts w:ascii="Arial Narrow" w:hAnsi="Arial Narrow"/>
                <w:sz w:val="20"/>
              </w:rPr>
              <w:t>Net cost to NIP</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5"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53"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1190" w:type="pct"/>
            <w:shd w:val="clear" w:color="auto" w:fill="auto"/>
            <w:vAlign w:val="center"/>
          </w:tcPr>
          <w:p w:rsidR="00002DC3" w:rsidRPr="00191B3F" w:rsidRDefault="00002DC3" w:rsidP="00D60B44">
            <w:pPr>
              <w:tabs>
                <w:tab w:val="left" w:pos="142"/>
              </w:tabs>
              <w:rPr>
                <w:rFonts w:ascii="Arial Narrow" w:hAnsi="Arial Narrow"/>
                <w:sz w:val="20"/>
              </w:rPr>
            </w:pPr>
            <w:r w:rsidRPr="00102B0F">
              <w:rPr>
                <w:rFonts w:ascii="Arial Narrow" w:hAnsi="Arial Narrow"/>
                <w:sz w:val="20"/>
              </w:rPr>
              <w:t>Net cost to MBS</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5"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53"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1190" w:type="pct"/>
            <w:shd w:val="clear" w:color="auto" w:fill="auto"/>
            <w:vAlign w:val="center"/>
          </w:tcPr>
          <w:p w:rsidR="00002DC3" w:rsidRPr="00191B3F" w:rsidRDefault="00002DC3" w:rsidP="00D60B44">
            <w:pPr>
              <w:tabs>
                <w:tab w:val="left" w:pos="142"/>
              </w:tabs>
              <w:ind w:right="-168"/>
              <w:rPr>
                <w:rFonts w:ascii="Arial Narrow" w:hAnsi="Arial Narrow"/>
                <w:sz w:val="20"/>
              </w:rPr>
            </w:pPr>
            <w:r w:rsidRPr="00102B0F">
              <w:rPr>
                <w:rFonts w:ascii="Arial Narrow" w:hAnsi="Arial Narrow"/>
                <w:sz w:val="20"/>
              </w:rPr>
              <w:t>Other costs to government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5"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53"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r w:rsidR="00002DC3" w:rsidRPr="00D15464" w:rsidTr="00D60B44">
        <w:tc>
          <w:tcPr>
            <w:tcW w:w="5000" w:type="pct"/>
            <w:gridSpan w:val="6"/>
            <w:shd w:val="clear" w:color="auto" w:fill="auto"/>
            <w:vAlign w:val="center"/>
          </w:tcPr>
          <w:p w:rsidR="00002DC3" w:rsidRPr="00191B3F" w:rsidRDefault="00002DC3" w:rsidP="00D60B44">
            <w:pPr>
              <w:rPr>
                <w:rFonts w:ascii="Arial Narrow" w:hAnsi="Arial Narrow"/>
                <w:b/>
                <w:bCs/>
                <w:sz w:val="20"/>
              </w:rPr>
            </w:pPr>
            <w:r w:rsidRPr="00102B0F">
              <w:rPr>
                <w:rFonts w:ascii="Arial Narrow" w:hAnsi="Arial Narrow"/>
                <w:b/>
                <w:sz w:val="20"/>
              </w:rPr>
              <w:t xml:space="preserve">Estimated total net cost </w:t>
            </w:r>
            <w:r w:rsidRPr="00102B0F">
              <w:rPr>
                <w:rFonts w:ascii="Arial Narrow" w:hAnsi="Arial Narrow"/>
                <w:b/>
                <w:bCs/>
                <w:sz w:val="20"/>
              </w:rPr>
              <w:t>considered at the November 2013 PBAC meeting ***</w:t>
            </w:r>
          </w:p>
        </w:tc>
      </w:tr>
      <w:tr w:rsidR="00002DC3" w:rsidRPr="00D15464" w:rsidTr="00D60B44">
        <w:tc>
          <w:tcPr>
            <w:tcW w:w="1190" w:type="pct"/>
            <w:shd w:val="clear" w:color="auto" w:fill="auto"/>
            <w:vAlign w:val="center"/>
          </w:tcPr>
          <w:p w:rsidR="00002DC3" w:rsidRPr="00191B3F" w:rsidRDefault="00002DC3" w:rsidP="00D60B44">
            <w:pPr>
              <w:tabs>
                <w:tab w:val="left" w:pos="142"/>
              </w:tabs>
              <w:rPr>
                <w:rFonts w:ascii="Arial Narrow" w:hAnsi="Arial Narrow"/>
                <w:sz w:val="20"/>
              </w:rPr>
            </w:pP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5"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c>
          <w:tcPr>
            <w:tcW w:w="753" w:type="pct"/>
            <w:shd w:val="clear" w:color="auto" w:fill="auto"/>
            <w:vAlign w:val="center"/>
          </w:tcPr>
          <w:p w:rsidR="00002DC3" w:rsidRPr="00191B3F" w:rsidRDefault="00002DC3" w:rsidP="00D60B44">
            <w:pPr>
              <w:jc w:val="center"/>
              <w:rPr>
                <w:rFonts w:ascii="Arial Narrow" w:hAnsi="Arial Narrow"/>
                <w:sz w:val="20"/>
                <w:highlight w:val="black"/>
              </w:rPr>
            </w:pPr>
            <w:r>
              <w:rPr>
                <w:rFonts w:ascii="Arial Narrow" w:hAnsi="Arial Narrow"/>
                <w:noProof/>
                <w:color w:val="000000"/>
                <w:sz w:val="20"/>
                <w:highlight w:val="black"/>
              </w:rPr>
              <w:t>'''''''''''''''''''''''''''''</w:t>
            </w:r>
          </w:p>
        </w:tc>
      </w:tr>
    </w:tbl>
    <w:p w:rsidR="00002DC3" w:rsidRPr="00102B0F" w:rsidRDefault="00002DC3" w:rsidP="00002DC3">
      <w:pPr>
        <w:ind w:left="709"/>
        <w:jc w:val="both"/>
        <w:rPr>
          <w:rFonts w:ascii="Arial Narrow" w:hAnsi="Arial Narrow"/>
          <w:sz w:val="18"/>
          <w:szCs w:val="18"/>
        </w:rPr>
      </w:pPr>
      <w:r w:rsidRPr="006B024E">
        <w:rPr>
          <w:rFonts w:ascii="Arial Narrow" w:hAnsi="Arial Narrow"/>
          <w:sz w:val="18"/>
          <w:szCs w:val="18"/>
        </w:rPr>
        <w:t xml:space="preserve">* </w:t>
      </w:r>
      <w:r w:rsidRPr="00102B0F">
        <w:rPr>
          <w:rFonts w:ascii="Arial Narrow" w:hAnsi="Arial Narrow"/>
          <w:sz w:val="18"/>
          <w:szCs w:val="18"/>
        </w:rPr>
        <w:t>$</w:t>
      </w:r>
      <w:r>
        <w:rPr>
          <w:rFonts w:ascii="Arial Narrow" w:hAnsi="Arial Narrow"/>
          <w:noProof/>
          <w:color w:val="000000"/>
          <w:sz w:val="18"/>
          <w:szCs w:val="18"/>
          <w:highlight w:val="black"/>
        </w:rPr>
        <w:t>''''''</w:t>
      </w:r>
      <w:r w:rsidRPr="00102B0F">
        <w:rPr>
          <w:rFonts w:ascii="Arial Narrow" w:hAnsi="Arial Narrow"/>
          <w:sz w:val="18"/>
          <w:szCs w:val="18"/>
        </w:rPr>
        <w:t xml:space="preserve"> per dose + </w:t>
      </w:r>
      <w:proofErr w:type="gramStart"/>
      <w:r>
        <w:rPr>
          <w:rFonts w:ascii="Arial Narrow" w:hAnsi="Arial Narrow"/>
          <w:noProof/>
          <w:color w:val="000000"/>
          <w:sz w:val="18"/>
          <w:szCs w:val="18"/>
          <w:highlight w:val="black"/>
        </w:rPr>
        <w:t>''''''</w:t>
      </w:r>
      <w:r w:rsidRPr="00102B0F">
        <w:rPr>
          <w:rFonts w:ascii="Arial Narrow" w:hAnsi="Arial Narrow"/>
          <w:sz w:val="18"/>
          <w:szCs w:val="18"/>
        </w:rPr>
        <w:t>%</w:t>
      </w:r>
      <w:proofErr w:type="gramEnd"/>
      <w:r w:rsidRPr="00102B0F">
        <w:rPr>
          <w:rFonts w:ascii="Arial Narrow" w:hAnsi="Arial Narrow"/>
          <w:sz w:val="18"/>
          <w:szCs w:val="18"/>
        </w:rPr>
        <w:t xml:space="preserve"> discount for catch-up program. ** $</w:t>
      </w:r>
      <w:r>
        <w:rPr>
          <w:rFonts w:ascii="Arial Narrow" w:hAnsi="Arial Narrow"/>
          <w:noProof/>
          <w:color w:val="000000"/>
          <w:sz w:val="18"/>
          <w:szCs w:val="18"/>
          <w:highlight w:val="black"/>
        </w:rPr>
        <w:t xml:space="preserve">''''''' </w:t>
      </w:r>
      <w:r w:rsidRPr="00102B0F">
        <w:rPr>
          <w:rFonts w:ascii="Arial Narrow" w:hAnsi="Arial Narrow"/>
          <w:sz w:val="18"/>
          <w:szCs w:val="18"/>
        </w:rPr>
        <w:t xml:space="preserve">per dose + </w:t>
      </w:r>
      <w:proofErr w:type="gramStart"/>
      <w:r>
        <w:rPr>
          <w:rFonts w:ascii="Arial Narrow" w:hAnsi="Arial Narrow"/>
          <w:noProof/>
          <w:color w:val="000000"/>
          <w:sz w:val="18"/>
          <w:szCs w:val="18"/>
          <w:highlight w:val="black"/>
        </w:rPr>
        <w:t>''''''</w:t>
      </w:r>
      <w:r w:rsidRPr="00102B0F">
        <w:rPr>
          <w:rFonts w:ascii="Arial Narrow" w:hAnsi="Arial Narrow"/>
          <w:sz w:val="18"/>
          <w:szCs w:val="18"/>
        </w:rPr>
        <w:t>%</w:t>
      </w:r>
      <w:proofErr w:type="gramEnd"/>
      <w:r w:rsidRPr="00102B0F">
        <w:rPr>
          <w:rFonts w:ascii="Arial Narrow" w:hAnsi="Arial Narrow"/>
          <w:sz w:val="18"/>
          <w:szCs w:val="18"/>
        </w:rPr>
        <w:t xml:space="preserve"> discount for catch-up program. </w:t>
      </w:r>
      <w:proofErr w:type="gramStart"/>
      <w:r w:rsidRPr="00102B0F">
        <w:rPr>
          <w:rFonts w:ascii="Arial Narrow" w:hAnsi="Arial Narrow"/>
          <w:sz w:val="18"/>
          <w:szCs w:val="18"/>
        </w:rPr>
        <w:t>*** $</w:t>
      </w:r>
      <w:r>
        <w:rPr>
          <w:rFonts w:ascii="Arial Narrow" w:hAnsi="Arial Narrow"/>
          <w:noProof/>
          <w:color w:val="000000"/>
          <w:sz w:val="18"/>
          <w:szCs w:val="18"/>
          <w:highlight w:val="black"/>
        </w:rPr>
        <w:t>''''''</w:t>
      </w:r>
      <w:r w:rsidRPr="00102B0F">
        <w:rPr>
          <w:rFonts w:ascii="Arial Narrow" w:hAnsi="Arial Narrow"/>
          <w:sz w:val="18"/>
          <w:szCs w:val="18"/>
        </w:rPr>
        <w:t xml:space="preserve"> per dose.</w:t>
      </w:r>
      <w:proofErr w:type="gramEnd"/>
    </w:p>
    <w:p w:rsidR="00002DC3" w:rsidRPr="00102B0F" w:rsidRDefault="00002DC3" w:rsidP="00002DC3">
      <w:pPr>
        <w:ind w:left="709"/>
        <w:jc w:val="both"/>
        <w:rPr>
          <w:rFonts w:ascii="Arial Narrow" w:hAnsi="Arial Narrow"/>
          <w:sz w:val="18"/>
          <w:szCs w:val="18"/>
        </w:rPr>
      </w:pPr>
      <w:proofErr w:type="gramStart"/>
      <w:r w:rsidRPr="00102B0F">
        <w:rPr>
          <w:rFonts w:ascii="Arial Narrow" w:hAnsi="Arial Narrow"/>
          <w:sz w:val="18"/>
          <w:szCs w:val="18"/>
        </w:rPr>
        <w:t>Source: Table 9 of the commentary.</w:t>
      </w:r>
      <w:proofErr w:type="gramEnd"/>
    </w:p>
    <w:p w:rsidR="00002DC3" w:rsidRPr="001C79D7" w:rsidRDefault="00002DC3" w:rsidP="00002DC3">
      <w:pPr>
        <w:jc w:val="both"/>
        <w:rPr>
          <w:rFonts w:ascii="Arial" w:hAnsi="Arial"/>
          <w:sz w:val="22"/>
          <w:szCs w:val="22"/>
        </w:rPr>
      </w:pPr>
    </w:p>
    <w:p w:rsidR="00002DC3" w:rsidRPr="00C8529D"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w:t>
      </w:r>
      <w:r w:rsidRPr="00C8529D">
        <w:rPr>
          <w:rFonts w:ascii="Arial" w:hAnsi="Arial"/>
          <w:sz w:val="22"/>
          <w:szCs w:val="22"/>
        </w:rPr>
        <w:t xml:space="preserve">Due to uncertainty regarding uptake, the possibility that individuals receive less than the full vaccination schedule, the potential underestimation of the school implementation </w:t>
      </w:r>
      <w:r w:rsidRPr="00C8529D">
        <w:rPr>
          <w:rFonts w:ascii="Arial" w:hAnsi="Arial" w:cs="Arial"/>
          <w:sz w:val="22"/>
          <w:szCs w:val="22"/>
        </w:rPr>
        <w:t xml:space="preserve">cost, the exclusion of MBS and hospitalisation costs associated with adverse events and avoided IMD cases, it </w:t>
      </w:r>
      <w:r>
        <w:rPr>
          <w:rFonts w:ascii="Arial" w:hAnsi="Arial" w:cs="Arial"/>
          <w:sz w:val="22"/>
          <w:szCs w:val="22"/>
        </w:rPr>
        <w:t>wa</w:t>
      </w:r>
      <w:r w:rsidRPr="00C8529D">
        <w:rPr>
          <w:rFonts w:ascii="Arial" w:hAnsi="Arial" w:cs="Arial"/>
          <w:sz w:val="22"/>
          <w:szCs w:val="22"/>
        </w:rPr>
        <w:t>s uncertain whether the net cost to government health budgets is over or underestimated</w:t>
      </w:r>
      <w:r>
        <w:rPr>
          <w:rFonts w:ascii="Arial" w:hAnsi="Arial" w:cs="Arial"/>
          <w:sz w:val="22"/>
          <w:szCs w:val="22"/>
        </w:rPr>
        <w:t>.</w:t>
      </w:r>
      <w:r w:rsidRPr="00C8529D">
        <w:rPr>
          <w:rFonts w:ascii="Arial" w:hAnsi="Arial" w:cs="Arial"/>
          <w:color w:val="FF0000"/>
          <w:sz w:val="22"/>
          <w:szCs w:val="22"/>
        </w:rPr>
        <w:t xml:space="preserve"> </w:t>
      </w:r>
      <w:r w:rsidRPr="00C8529D">
        <w:rPr>
          <w:rFonts w:ascii="Arial" w:hAnsi="Arial" w:cs="Arial"/>
          <w:sz w:val="22"/>
          <w:szCs w:val="22"/>
        </w:rPr>
        <w:t xml:space="preserve">As </w:t>
      </w:r>
      <w:r>
        <w:rPr>
          <w:rFonts w:ascii="Arial" w:hAnsi="Arial" w:cs="Arial"/>
          <w:sz w:val="22"/>
          <w:szCs w:val="22"/>
        </w:rPr>
        <w:t xml:space="preserve">noted </w:t>
      </w:r>
      <w:r w:rsidRPr="00C8529D">
        <w:rPr>
          <w:rFonts w:ascii="Arial" w:hAnsi="Arial" w:cs="Arial"/>
          <w:sz w:val="22"/>
          <w:szCs w:val="22"/>
        </w:rPr>
        <w:t>for the cost-utility analysis, the financial analysis also excluded cost consequences to GPs, such as the increased need for a longer consultation time.</w:t>
      </w:r>
      <w:r>
        <w:rPr>
          <w:rFonts w:ascii="Arial" w:hAnsi="Arial" w:cs="Arial"/>
          <w:sz w:val="22"/>
          <w:szCs w:val="22"/>
        </w:rPr>
        <w:t xml:space="preserve"> </w:t>
      </w:r>
      <w:r w:rsidRPr="00580574">
        <w:rPr>
          <w:rFonts w:ascii="Arial" w:hAnsi="Arial" w:cs="Arial"/>
          <w:sz w:val="22"/>
          <w:szCs w:val="22"/>
        </w:rPr>
        <w:t xml:space="preserve">The Pre-PBAC response acknowledged the high initial budget impact, </w:t>
      </w:r>
      <w:r>
        <w:rPr>
          <w:rFonts w:ascii="Arial" w:hAnsi="Arial" w:cs="Arial"/>
          <w:noProof/>
          <w:color w:val="000000"/>
          <w:sz w:val="22"/>
          <w:szCs w:val="22"/>
          <w:highlight w:val="black"/>
        </w:rPr>
        <w:t>''''''''''''''''' ''''''''' ''''''''''''''''' ''''' ''''''''''' ''''''''''''''''''''' '''''''' '''''''' ''''''''''''''''''''''''''' '''''''''''''''''''''' ''''''''''''''' ''''''' ''''''''' '''''''''''''''' ''''' ''''''' '''''' ''''''''''' ''''''''' ''' ''''''' ''''''''''''''''''''''''' '''''''''''''' '''''' ''''''''''''''''''''''' ''''''''''''''' '''''''''''''' ''''''''''' '''''''''''''</w:t>
      </w:r>
      <w:r w:rsidRPr="00580574">
        <w:rPr>
          <w:rFonts w:ascii="Arial" w:eastAsia="MS Mincho" w:hAnsi="Arial" w:cs="Arial"/>
          <w:sz w:val="22"/>
          <w:lang w:eastAsia="ja-JP"/>
        </w:rPr>
        <w:t>.</w:t>
      </w:r>
      <w:r w:rsidRPr="00002DC3">
        <w:rPr>
          <w:rFonts w:eastAsia="MS Mincho" w:cs="Calibri" w:hint="eastAsia"/>
          <w:sz w:val="22"/>
          <w:lang w:eastAsia="ja-JP"/>
        </w:rPr>
        <w:t xml:space="preserve">  </w:t>
      </w:r>
    </w:p>
    <w:p w:rsidR="00002DC3" w:rsidRDefault="00002DC3" w:rsidP="00002DC3">
      <w:pPr>
        <w:jc w:val="both"/>
        <w:rPr>
          <w:rFonts w:ascii="Arial" w:hAnsi="Arial"/>
          <w:sz w:val="22"/>
          <w:szCs w:val="22"/>
        </w:rPr>
      </w:pPr>
    </w:p>
    <w:p w:rsidR="00002DC3" w:rsidRDefault="00002DC3" w:rsidP="00002DC3">
      <w:pPr>
        <w:jc w:val="both"/>
        <w:rPr>
          <w:rFonts w:ascii="Arial" w:hAnsi="Arial"/>
          <w:sz w:val="22"/>
          <w:szCs w:val="22"/>
          <w:u w:val="single"/>
        </w:rPr>
      </w:pPr>
      <w:r w:rsidRPr="005E5F4D">
        <w:rPr>
          <w:rFonts w:ascii="Arial" w:hAnsi="Arial"/>
          <w:sz w:val="22"/>
          <w:szCs w:val="22"/>
          <w:u w:val="single"/>
        </w:rPr>
        <w:t>Proposed managed entry scheme</w:t>
      </w:r>
    </w:p>
    <w:p w:rsidR="00002DC3" w:rsidRPr="00102B0F" w:rsidRDefault="00002DC3" w:rsidP="00002DC3">
      <w:pPr>
        <w:jc w:val="both"/>
        <w:rPr>
          <w:rFonts w:ascii="Arial" w:hAnsi="Arial"/>
          <w:sz w:val="22"/>
          <w:szCs w:val="22"/>
          <w:u w:val="single"/>
        </w:rPr>
      </w:pPr>
    </w:p>
    <w:p w:rsidR="00002DC3" w:rsidRPr="001C79D7" w:rsidRDefault="00002DC3" w:rsidP="00002DC3">
      <w:pPr>
        <w:pStyle w:val="ListParagraph"/>
        <w:numPr>
          <w:ilvl w:val="1"/>
          <w:numId w:val="1"/>
        </w:numPr>
        <w:jc w:val="both"/>
        <w:rPr>
          <w:rFonts w:ascii="Arial" w:hAnsi="Arial" w:cs="Arial"/>
          <w:sz w:val="20"/>
          <w:szCs w:val="22"/>
        </w:rPr>
      </w:pPr>
      <w:r>
        <w:rPr>
          <w:rFonts w:ascii="Arial" w:hAnsi="Arial" w:cs="Arial"/>
          <w:sz w:val="22"/>
        </w:rPr>
        <w:t>The resubmission proposed</w:t>
      </w:r>
      <w:r w:rsidRPr="001C79D7">
        <w:rPr>
          <w:rFonts w:ascii="Arial" w:hAnsi="Arial" w:cs="Arial"/>
          <w:sz w:val="22"/>
        </w:rPr>
        <w:t xml:space="preserve"> </w:t>
      </w:r>
      <w:r>
        <w:rPr>
          <w:rFonts w:ascii="Arial" w:hAnsi="Arial" w:cs="Arial"/>
          <w:sz w:val="22"/>
        </w:rPr>
        <w:t xml:space="preserve">a managed entry scheme (MES) comprising </w:t>
      </w:r>
      <w:r w:rsidRPr="001C79D7">
        <w:rPr>
          <w:rFonts w:ascii="Arial" w:hAnsi="Arial" w:cs="Arial"/>
          <w:sz w:val="22"/>
        </w:rPr>
        <w:t>four studies to address the clinical uncertainties.</w:t>
      </w:r>
    </w:p>
    <w:p w:rsidR="00002DC3" w:rsidRDefault="00002DC3" w:rsidP="00002DC3">
      <w:pPr>
        <w:pStyle w:val="ListParagraph"/>
        <w:numPr>
          <w:ilvl w:val="1"/>
          <w:numId w:val="5"/>
        </w:numPr>
        <w:jc w:val="both"/>
        <w:rPr>
          <w:rFonts w:ascii="Arial" w:hAnsi="Arial" w:cs="Arial"/>
          <w:sz w:val="22"/>
        </w:rPr>
      </w:pPr>
      <w:proofErr w:type="gramStart"/>
      <w:r w:rsidRPr="001C79D7">
        <w:rPr>
          <w:rFonts w:ascii="Arial" w:hAnsi="Arial" w:cs="Arial"/>
          <w:sz w:val="22"/>
        </w:rPr>
        <w:t>A popu</w:t>
      </w:r>
      <w:r>
        <w:rPr>
          <w:rFonts w:ascii="Arial" w:hAnsi="Arial" w:cs="Arial"/>
          <w:sz w:val="22"/>
        </w:rPr>
        <w:t>lation-</w:t>
      </w:r>
      <w:r w:rsidRPr="001C79D7">
        <w:rPr>
          <w:rFonts w:ascii="Arial" w:hAnsi="Arial" w:cs="Arial"/>
          <w:sz w:val="22"/>
        </w:rPr>
        <w:t xml:space="preserve">wide observational study of the change in the incidence of IMD from a pre-vaccination period to a post-vaccination period, including continuation of MATS analysis </w:t>
      </w:r>
      <w:r w:rsidRPr="00102B0F">
        <w:rPr>
          <w:rFonts w:ascii="Arial" w:hAnsi="Arial" w:cs="Arial"/>
          <w:sz w:val="22"/>
        </w:rPr>
        <w:t>(observational study protocol V72_53OB)</w:t>
      </w:r>
      <w:r w:rsidRPr="001C79D7">
        <w:rPr>
          <w:rFonts w:ascii="Arial" w:hAnsi="Arial" w:cs="Arial"/>
          <w:sz w:val="22"/>
        </w:rPr>
        <w:t>.</w:t>
      </w:r>
      <w:proofErr w:type="gramEnd"/>
    </w:p>
    <w:p w:rsidR="00002DC3" w:rsidRPr="00C8529D" w:rsidRDefault="00002DC3" w:rsidP="00002DC3">
      <w:pPr>
        <w:pStyle w:val="ListParagraph"/>
        <w:widowControl w:val="0"/>
        <w:numPr>
          <w:ilvl w:val="2"/>
          <w:numId w:val="6"/>
        </w:numPr>
        <w:ind w:left="1418"/>
        <w:jc w:val="both"/>
        <w:rPr>
          <w:rFonts w:ascii="Arial" w:hAnsi="Arial" w:cs="Arial"/>
          <w:sz w:val="22"/>
          <w:szCs w:val="22"/>
        </w:rPr>
      </w:pPr>
      <w:r w:rsidRPr="00C8529D">
        <w:rPr>
          <w:rFonts w:ascii="Arial" w:hAnsi="Arial" w:cs="Arial"/>
          <w:sz w:val="22"/>
          <w:szCs w:val="22"/>
        </w:rPr>
        <w:t>Th</w:t>
      </w:r>
      <w:r>
        <w:rPr>
          <w:rFonts w:ascii="Arial" w:hAnsi="Arial" w:cs="Arial"/>
          <w:sz w:val="22"/>
          <w:szCs w:val="22"/>
        </w:rPr>
        <w:t xml:space="preserve">e ESC advised </w:t>
      </w:r>
      <w:proofErr w:type="gramStart"/>
      <w:r>
        <w:rPr>
          <w:rFonts w:ascii="Arial" w:hAnsi="Arial" w:cs="Arial"/>
          <w:sz w:val="22"/>
          <w:szCs w:val="22"/>
        </w:rPr>
        <w:t>that th</w:t>
      </w:r>
      <w:r w:rsidRPr="00C8529D">
        <w:rPr>
          <w:rFonts w:ascii="Arial" w:hAnsi="Arial" w:cs="Arial"/>
          <w:sz w:val="22"/>
          <w:szCs w:val="22"/>
        </w:rPr>
        <w:t>is study would measure the change in incidence of IMD from the start of the proposed 4CMenB vaccination program and thereby provide</w:t>
      </w:r>
      <w:r>
        <w:rPr>
          <w:rFonts w:ascii="Arial" w:hAnsi="Arial" w:cs="Arial"/>
          <w:sz w:val="22"/>
          <w:szCs w:val="22"/>
        </w:rPr>
        <w:t>s</w:t>
      </w:r>
      <w:r w:rsidRPr="00C8529D">
        <w:rPr>
          <w:rFonts w:ascii="Arial" w:hAnsi="Arial" w:cs="Arial"/>
          <w:sz w:val="22"/>
          <w:szCs w:val="22"/>
        </w:rPr>
        <w:t xml:space="preserve"> an indication of its overall impact (direct and indirect effects)</w:t>
      </w:r>
      <w:proofErr w:type="gramEnd"/>
      <w:r w:rsidRPr="00C8529D">
        <w:rPr>
          <w:rFonts w:ascii="Arial" w:hAnsi="Arial" w:cs="Arial"/>
          <w:sz w:val="22"/>
          <w:szCs w:val="22"/>
        </w:rPr>
        <w:t>. Because indirect (herd protection) effects are likely to take time to accrue, the relatively short time frame of five years is unlikely to be sufficient to capture these effects.</w:t>
      </w:r>
    </w:p>
    <w:p w:rsidR="00002DC3" w:rsidRPr="00C8529D" w:rsidRDefault="00002DC3" w:rsidP="00002DC3">
      <w:pPr>
        <w:pStyle w:val="ListParagraph"/>
        <w:widowControl w:val="0"/>
        <w:numPr>
          <w:ilvl w:val="2"/>
          <w:numId w:val="6"/>
        </w:numPr>
        <w:ind w:left="1418"/>
        <w:jc w:val="both"/>
        <w:rPr>
          <w:rFonts w:ascii="Arial" w:hAnsi="Arial" w:cs="Arial"/>
          <w:sz w:val="22"/>
          <w:szCs w:val="22"/>
        </w:rPr>
      </w:pPr>
      <w:r w:rsidRPr="00102B0F">
        <w:rPr>
          <w:rFonts w:ascii="Arial" w:hAnsi="Arial" w:cs="Arial"/>
          <w:sz w:val="22"/>
          <w:szCs w:val="22"/>
        </w:rPr>
        <w:t xml:space="preserve">This </w:t>
      </w:r>
      <w:proofErr w:type="gramStart"/>
      <w:r w:rsidRPr="00102B0F">
        <w:rPr>
          <w:rFonts w:ascii="Arial" w:hAnsi="Arial" w:cs="Arial"/>
          <w:sz w:val="22"/>
          <w:szCs w:val="22"/>
        </w:rPr>
        <w:t>is illustrated</w:t>
      </w:r>
      <w:proofErr w:type="gramEnd"/>
      <w:r w:rsidRPr="00102B0F">
        <w:rPr>
          <w:rFonts w:ascii="Arial" w:hAnsi="Arial" w:cs="Arial"/>
          <w:sz w:val="22"/>
          <w:szCs w:val="22"/>
        </w:rPr>
        <w:t xml:space="preserve"> by the figure below, which demonstrates the varying reduction of all meningococcal B cases in Australia by different assumptions of herd protection if 4CMenB was implemented on the NIP in both infants and adolescents. It indicates that, even in the optimistic scenario where efficacy against carriage of MATS serotypes is 100%, only a 50% reduction in cases </w:t>
      </w:r>
      <w:proofErr w:type="gramStart"/>
      <w:r w:rsidRPr="00102B0F">
        <w:rPr>
          <w:rFonts w:ascii="Arial" w:hAnsi="Arial" w:cs="Arial"/>
          <w:sz w:val="22"/>
          <w:szCs w:val="22"/>
        </w:rPr>
        <w:t>would be expected</w:t>
      </w:r>
      <w:proofErr w:type="gramEnd"/>
      <w:r w:rsidRPr="00102B0F">
        <w:rPr>
          <w:rFonts w:ascii="Arial" w:hAnsi="Arial" w:cs="Arial"/>
          <w:sz w:val="22"/>
          <w:szCs w:val="22"/>
        </w:rPr>
        <w:t xml:space="preserve">. The expected reduction </w:t>
      </w:r>
      <w:proofErr w:type="gramStart"/>
      <w:r w:rsidRPr="00102B0F">
        <w:rPr>
          <w:rFonts w:ascii="Arial" w:hAnsi="Arial" w:cs="Arial"/>
          <w:sz w:val="22"/>
          <w:szCs w:val="22"/>
        </w:rPr>
        <w:t>in cases over the 100-year time horizon under the assumptions in the dynamic transmission model</w:t>
      </w:r>
      <w:proofErr w:type="gramEnd"/>
      <w:r w:rsidRPr="00102B0F">
        <w:rPr>
          <w:rFonts w:ascii="Arial" w:hAnsi="Arial" w:cs="Arial"/>
          <w:sz w:val="22"/>
          <w:szCs w:val="22"/>
        </w:rPr>
        <w:t xml:space="preserve"> greatly depends upon vaccine impact on carriage. Given that true herd protection effects can only be determined once large population-based programs are in place, the ESC suggested that it may be informative to obtain comparable </w:t>
      </w:r>
      <w:r w:rsidRPr="00102B0F">
        <w:rPr>
          <w:rFonts w:ascii="Arial" w:hAnsi="Arial" w:cs="Arial"/>
          <w:sz w:val="22"/>
          <w:szCs w:val="22"/>
        </w:rPr>
        <w:lastRenderedPageBreak/>
        <w:t>follow-up data in jurisdictions implementing a population-based vaccination program (such as possibly Quebec and/or the UK) to provide some basis for estimating any herd protection effect.</w:t>
      </w:r>
    </w:p>
    <w:p w:rsidR="00002DC3" w:rsidRPr="0095461F" w:rsidRDefault="00002DC3" w:rsidP="00002DC3">
      <w:pPr>
        <w:rPr>
          <w:rFonts w:ascii="Arial" w:hAnsi="Arial" w:cs="Arial"/>
          <w:bCs/>
          <w:sz w:val="22"/>
          <w:szCs w:val="22"/>
        </w:rPr>
      </w:pPr>
    </w:p>
    <w:p w:rsidR="00002DC3" w:rsidRPr="00191B3F" w:rsidRDefault="00002DC3" w:rsidP="00002DC3">
      <w:pPr>
        <w:ind w:left="720"/>
        <w:rPr>
          <w:rFonts w:ascii="Arial Narrow" w:eastAsia="MS Mincho" w:hAnsi="Arial Narrow"/>
          <w:b/>
          <w:bCs/>
          <w:sz w:val="20"/>
          <w:highlight w:val="black"/>
        </w:rPr>
      </w:pPr>
      <w:r>
        <w:rPr>
          <w:rFonts w:ascii="Arial Narrow" w:hAnsi="Arial Narrow"/>
          <w:b/>
          <w:bCs/>
          <w:noProof/>
          <w:color w:val="000000"/>
          <w:sz w:val="20"/>
          <w:highlight w:val="black"/>
        </w:rPr>
        <w:t>''''''''''''''' '''''''''''''''''' ''''' '''''' ''''''''''''''''''''''''''''' '''' ''''''''''''' '''''''''''' '''' '''''''''''''''''' '''''''' ''''''''''''''''''' '''''''''''''' '''''''''''''''''''''''''' ''''' ''''''' '''''''' '''''''''''''''''' '''''' ''''''''' ''''''''''''' ''''''''''''''''''' ''' ''''''''' '''''''''' '''''''''' '''''''''''''' ''''' '''''''''''''''''''''' '''' ''''''''''''''''''''' '''''''''''''''' '''''''''''''''' '''''''''''''''' '''' ''''''''''''' '''''''''''''''''''''</w:t>
      </w:r>
    </w:p>
    <w:p w:rsidR="00002DC3" w:rsidRPr="00191B3F" w:rsidRDefault="00002DC3" w:rsidP="00002DC3">
      <w:pPr>
        <w:widowControl w:val="0"/>
        <w:jc w:val="right"/>
        <w:rPr>
          <w:rFonts w:ascii="Arial" w:hAnsi="Arial" w:cs="Arial"/>
          <w:b/>
          <w:sz w:val="22"/>
        </w:rPr>
      </w:pPr>
      <w:r>
        <w:rPr>
          <w:rFonts w:ascii="Arial" w:hAnsi="Arial" w:cs="Arial"/>
          <w:b/>
          <w:noProof/>
          <w:sz w:val="22"/>
        </w:rPr>
        <w:drawing>
          <wp:inline distT="0" distB="0" distL="0" distR="0">
            <wp:extent cx="621665" cy="621665"/>
            <wp:effectExtent l="0" t="0" r="6985" b="6985"/>
            <wp:docPr id="3" name="Picture 1" descr="varying reduction of all meningococcal B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a:ln>
                      <a:noFill/>
                    </a:ln>
                  </pic:spPr>
                </pic:pic>
              </a:graphicData>
            </a:graphic>
          </wp:inline>
        </w:drawing>
      </w:r>
    </w:p>
    <w:p w:rsidR="00002DC3" w:rsidRPr="00191B3F" w:rsidRDefault="00002DC3" w:rsidP="00002DC3">
      <w:pPr>
        <w:ind w:left="720"/>
        <w:rPr>
          <w:rFonts w:ascii="Arial Narrow" w:eastAsia="MS Mincho" w:hAnsi="Arial Narrow" w:cs="Calibri"/>
          <w:sz w:val="18"/>
          <w:szCs w:val="18"/>
          <w:highlight w:val="black"/>
          <w:lang w:eastAsia="ja-JP"/>
        </w:rPr>
      </w:pPr>
      <w:r>
        <w:rPr>
          <w:rFonts w:ascii="Arial Narrow" w:hAnsi="Arial Narrow"/>
          <w:noProof/>
          <w:color w:val="000000"/>
          <w:sz w:val="18"/>
          <w:szCs w:val="18"/>
          <w:highlight w:val="black"/>
        </w:rPr>
        <w:t>''''''''''''''''''' '''''''''''''''' '''''''''''''' '''''''''''''' '''''' '''''''' '''''''''''''''''''''''''''''''''' ''''''''''''''''''''''''''''''' '''''''''''''''''''' ''''' ''''''''''''''' ''''''''''''''''''''''''''''''''''' '''''''''''''''' ''''''''' ''''''''''''' ''''''''''''''''''''' '''''''''''' ''''''''''''''''''' ''''''''''''''''''''' ''''''''''''''''''''''''''' ''''''''' ''''''''''''''''''''''''''' ''''''''''''''''''</w:t>
      </w:r>
    </w:p>
    <w:p w:rsidR="00002DC3" w:rsidRPr="0095461F" w:rsidRDefault="00002DC3" w:rsidP="00002DC3">
      <w:pPr>
        <w:widowControl w:val="0"/>
        <w:jc w:val="both"/>
        <w:rPr>
          <w:rFonts w:ascii="Arial" w:hAnsi="Arial" w:cs="Arial"/>
          <w:sz w:val="22"/>
        </w:rPr>
      </w:pPr>
    </w:p>
    <w:p w:rsidR="00002DC3" w:rsidRPr="00C8529D" w:rsidRDefault="00002DC3" w:rsidP="00002DC3">
      <w:pPr>
        <w:pStyle w:val="ListParagraph"/>
        <w:widowControl w:val="0"/>
        <w:numPr>
          <w:ilvl w:val="2"/>
          <w:numId w:val="6"/>
        </w:numPr>
        <w:ind w:left="1418"/>
        <w:jc w:val="both"/>
        <w:rPr>
          <w:rFonts w:ascii="Arial" w:hAnsi="Arial" w:cs="Arial"/>
          <w:sz w:val="22"/>
        </w:rPr>
      </w:pPr>
      <w:r w:rsidRPr="00C8529D">
        <w:rPr>
          <w:rFonts w:ascii="Arial" w:hAnsi="Arial" w:cs="Arial"/>
          <w:sz w:val="22"/>
        </w:rPr>
        <w:t>Program-</w:t>
      </w:r>
      <w:r w:rsidRPr="0095461F">
        <w:rPr>
          <w:rFonts w:ascii="Arial" w:hAnsi="Arial" w:cs="Arial"/>
          <w:sz w:val="22"/>
          <w:szCs w:val="22"/>
        </w:rPr>
        <w:t>related</w:t>
      </w:r>
      <w:r w:rsidRPr="00C8529D">
        <w:rPr>
          <w:rFonts w:ascii="Arial" w:hAnsi="Arial" w:cs="Arial"/>
          <w:sz w:val="22"/>
        </w:rPr>
        <w:t xml:space="preserve"> changes in incidence of IMD </w:t>
      </w:r>
      <w:proofErr w:type="gramStart"/>
      <w:r w:rsidRPr="00C8529D">
        <w:rPr>
          <w:rFonts w:ascii="Arial" w:hAnsi="Arial" w:cs="Arial"/>
          <w:sz w:val="22"/>
        </w:rPr>
        <w:t>could be confounded</w:t>
      </w:r>
      <w:proofErr w:type="gramEnd"/>
      <w:r w:rsidRPr="00C8529D">
        <w:rPr>
          <w:rFonts w:ascii="Arial" w:hAnsi="Arial" w:cs="Arial"/>
          <w:sz w:val="22"/>
        </w:rPr>
        <w:t xml:space="preserve"> by background natural fluctuation in incidence and by improvement in IMD case ascertainment (which would most likely bias against vaccination).</w:t>
      </w:r>
    </w:p>
    <w:p w:rsidR="00002DC3" w:rsidRPr="00C8529D" w:rsidRDefault="00002DC3" w:rsidP="00002DC3">
      <w:pPr>
        <w:pStyle w:val="ListParagraph"/>
        <w:widowControl w:val="0"/>
        <w:numPr>
          <w:ilvl w:val="2"/>
          <w:numId w:val="6"/>
        </w:numPr>
        <w:ind w:left="1418"/>
        <w:jc w:val="both"/>
        <w:rPr>
          <w:rFonts w:ascii="Arial" w:hAnsi="Arial" w:cs="Arial"/>
          <w:sz w:val="22"/>
        </w:rPr>
      </w:pPr>
      <w:r w:rsidRPr="00C8529D">
        <w:rPr>
          <w:rFonts w:ascii="Arial" w:hAnsi="Arial" w:cs="Arial"/>
          <w:sz w:val="22"/>
        </w:rPr>
        <w:t xml:space="preserve">The </w:t>
      </w:r>
      <w:r w:rsidRPr="0095461F">
        <w:rPr>
          <w:rFonts w:ascii="Arial" w:hAnsi="Arial" w:cs="Arial"/>
          <w:sz w:val="22"/>
          <w:szCs w:val="22"/>
        </w:rPr>
        <w:t>consequences</w:t>
      </w:r>
      <w:r w:rsidRPr="00C8529D">
        <w:rPr>
          <w:rFonts w:ascii="Arial" w:hAnsi="Arial" w:cs="Arial"/>
          <w:sz w:val="22"/>
        </w:rPr>
        <w:t xml:space="preserve"> of waning vaccine effectiveness over time for vaccinated individuals </w:t>
      </w:r>
      <w:proofErr w:type="gramStart"/>
      <w:r w:rsidRPr="00C8529D">
        <w:rPr>
          <w:rFonts w:ascii="Arial" w:hAnsi="Arial" w:cs="Arial"/>
          <w:sz w:val="22"/>
        </w:rPr>
        <w:t>would not be measured</w:t>
      </w:r>
      <w:proofErr w:type="gramEnd"/>
      <w:r w:rsidRPr="00C8529D">
        <w:rPr>
          <w:rFonts w:ascii="Arial" w:hAnsi="Arial" w:cs="Arial"/>
          <w:sz w:val="22"/>
        </w:rPr>
        <w:t>.</w:t>
      </w:r>
    </w:p>
    <w:p w:rsidR="00002DC3" w:rsidRPr="00C8529D" w:rsidRDefault="00002DC3" w:rsidP="00002DC3">
      <w:pPr>
        <w:pStyle w:val="ListParagraph"/>
        <w:widowControl w:val="0"/>
        <w:numPr>
          <w:ilvl w:val="2"/>
          <w:numId w:val="6"/>
        </w:numPr>
        <w:ind w:left="1418"/>
        <w:jc w:val="both"/>
        <w:rPr>
          <w:rFonts w:ascii="Arial" w:hAnsi="Arial" w:cs="Arial"/>
          <w:sz w:val="22"/>
        </w:rPr>
      </w:pPr>
      <w:r w:rsidRPr="00C8529D">
        <w:rPr>
          <w:rFonts w:ascii="Arial" w:hAnsi="Arial" w:cs="Arial"/>
          <w:sz w:val="22"/>
        </w:rPr>
        <w:t xml:space="preserve">With a </w:t>
      </w:r>
      <w:r w:rsidRPr="0095461F">
        <w:rPr>
          <w:rFonts w:ascii="Arial" w:hAnsi="Arial" w:cs="Arial"/>
          <w:sz w:val="22"/>
          <w:szCs w:val="22"/>
        </w:rPr>
        <w:t>projected</w:t>
      </w:r>
      <w:r w:rsidRPr="00C8529D">
        <w:rPr>
          <w:rFonts w:ascii="Arial" w:hAnsi="Arial" w:cs="Arial"/>
          <w:sz w:val="22"/>
        </w:rPr>
        <w:t xml:space="preserve"> NNT of </w:t>
      </w:r>
      <w:r w:rsidRPr="00473946">
        <w:rPr>
          <w:rFonts w:ascii="Arial" w:hAnsi="Arial" w:cs="Arial"/>
          <w:sz w:val="22"/>
        </w:rPr>
        <w:t>10,532 over 5 years,</w:t>
      </w:r>
      <w:r w:rsidRPr="00C8529D">
        <w:rPr>
          <w:rFonts w:ascii="Arial" w:hAnsi="Arial" w:cs="Arial"/>
          <w:sz w:val="22"/>
        </w:rPr>
        <w:t xml:space="preserve"> the low incidence of IMD would render any estimates of vaccine effect imprecise.</w:t>
      </w:r>
    </w:p>
    <w:p w:rsidR="00002DC3" w:rsidRPr="00C8529D" w:rsidRDefault="00002DC3" w:rsidP="00002DC3">
      <w:pPr>
        <w:pStyle w:val="ListParagraph"/>
        <w:widowControl w:val="0"/>
        <w:numPr>
          <w:ilvl w:val="2"/>
          <w:numId w:val="6"/>
        </w:numPr>
        <w:ind w:left="1418"/>
        <w:jc w:val="both"/>
        <w:rPr>
          <w:rFonts w:ascii="Arial" w:hAnsi="Arial" w:cs="Arial"/>
          <w:sz w:val="22"/>
        </w:rPr>
      </w:pPr>
      <w:r>
        <w:rPr>
          <w:rFonts w:ascii="Arial" w:hAnsi="Arial" w:cs="Arial"/>
          <w:sz w:val="22"/>
        </w:rPr>
        <w:t xml:space="preserve">The ESC </w:t>
      </w:r>
      <w:r w:rsidRPr="0095461F">
        <w:rPr>
          <w:rFonts w:ascii="Arial" w:hAnsi="Arial" w:cs="Arial"/>
          <w:sz w:val="22"/>
          <w:szCs w:val="22"/>
        </w:rPr>
        <w:t>proposed</w:t>
      </w:r>
      <w:r w:rsidRPr="00C8529D">
        <w:rPr>
          <w:rFonts w:ascii="Arial" w:hAnsi="Arial" w:cs="Arial"/>
          <w:sz w:val="22"/>
        </w:rPr>
        <w:t xml:space="preserve"> that this study would provide a measure of (direct) vaccine effectiveness and </w:t>
      </w:r>
      <w:proofErr w:type="gramStart"/>
      <w:r w:rsidRPr="00C8529D">
        <w:rPr>
          <w:rFonts w:ascii="Arial" w:hAnsi="Arial" w:cs="Arial"/>
          <w:sz w:val="22"/>
        </w:rPr>
        <w:t>possibly</w:t>
      </w:r>
      <w:proofErr w:type="gramEnd"/>
      <w:r w:rsidRPr="00C8529D">
        <w:rPr>
          <w:rFonts w:ascii="Arial" w:hAnsi="Arial" w:cs="Arial"/>
          <w:sz w:val="22"/>
        </w:rPr>
        <w:t xml:space="preserve"> of persistence of protection, although there </w:t>
      </w:r>
      <w:r>
        <w:rPr>
          <w:rFonts w:ascii="Arial" w:hAnsi="Arial" w:cs="Arial"/>
          <w:sz w:val="22"/>
        </w:rPr>
        <w:t>wa</w:t>
      </w:r>
      <w:r w:rsidRPr="00C8529D">
        <w:rPr>
          <w:rFonts w:ascii="Arial" w:hAnsi="Arial" w:cs="Arial"/>
          <w:sz w:val="22"/>
        </w:rPr>
        <w:t>s insufficient detail provided about how these could be assessed to allow ATAGI to consider the necessity of additional booster doses.</w:t>
      </w:r>
    </w:p>
    <w:p w:rsidR="00002DC3" w:rsidRPr="00C8529D" w:rsidRDefault="00002DC3" w:rsidP="00002DC3">
      <w:pPr>
        <w:pStyle w:val="ListParagraph"/>
        <w:widowControl w:val="0"/>
        <w:numPr>
          <w:ilvl w:val="2"/>
          <w:numId w:val="6"/>
        </w:numPr>
        <w:ind w:left="1418"/>
        <w:jc w:val="both"/>
        <w:rPr>
          <w:rFonts w:ascii="Arial" w:hAnsi="Arial" w:cs="Arial"/>
          <w:sz w:val="22"/>
        </w:rPr>
      </w:pPr>
      <w:r w:rsidRPr="00C8529D">
        <w:rPr>
          <w:rFonts w:ascii="Arial" w:hAnsi="Arial" w:cs="Arial"/>
          <w:sz w:val="22"/>
        </w:rPr>
        <w:t xml:space="preserve">The proposed strategy of inferring vaccine effectiveness </w:t>
      </w:r>
      <w:r w:rsidRPr="00473946">
        <w:rPr>
          <w:rFonts w:ascii="Arial" w:hAnsi="Arial" w:cs="Arial"/>
          <w:sz w:val="22"/>
        </w:rPr>
        <w:t>by measuring the change in meningococcal B isolates expressing MATS antigens (“MATS +</w:t>
      </w:r>
      <w:proofErr w:type="spellStart"/>
      <w:r w:rsidRPr="00473946">
        <w:rPr>
          <w:rFonts w:ascii="Arial" w:hAnsi="Arial" w:cs="Arial"/>
          <w:sz w:val="22"/>
        </w:rPr>
        <w:t>ve</w:t>
      </w:r>
      <w:proofErr w:type="spellEnd"/>
      <w:r w:rsidRPr="00473946">
        <w:rPr>
          <w:rFonts w:ascii="Arial" w:hAnsi="Arial" w:cs="Arial"/>
          <w:sz w:val="22"/>
        </w:rPr>
        <w:t>”) as a proportion of overall meningococcal B isolates</w:t>
      </w:r>
      <w:r w:rsidRPr="00C8529D">
        <w:rPr>
          <w:rFonts w:ascii="Arial" w:hAnsi="Arial" w:cs="Arial"/>
          <w:sz w:val="22"/>
        </w:rPr>
        <w:t xml:space="preserve"> </w:t>
      </w:r>
      <w:proofErr w:type="gramStart"/>
      <w:r w:rsidRPr="00C8529D">
        <w:rPr>
          <w:rFonts w:ascii="Arial" w:hAnsi="Arial" w:cs="Arial"/>
          <w:sz w:val="22"/>
        </w:rPr>
        <w:t>would be biased</w:t>
      </w:r>
      <w:proofErr w:type="gramEnd"/>
      <w:r w:rsidRPr="00C8529D">
        <w:rPr>
          <w:rFonts w:ascii="Arial" w:hAnsi="Arial" w:cs="Arial"/>
          <w:sz w:val="22"/>
        </w:rPr>
        <w:t xml:space="preserve"> in favour 4CMenB if the vaccination program induced replacement with MATS -</w:t>
      </w:r>
      <w:proofErr w:type="spellStart"/>
      <w:r w:rsidRPr="00C8529D">
        <w:rPr>
          <w:rFonts w:ascii="Arial" w:hAnsi="Arial" w:cs="Arial"/>
          <w:sz w:val="22"/>
        </w:rPr>
        <w:t>ve</w:t>
      </w:r>
      <w:proofErr w:type="spellEnd"/>
      <w:r w:rsidRPr="00C8529D">
        <w:rPr>
          <w:rFonts w:ascii="Arial" w:hAnsi="Arial" w:cs="Arial"/>
          <w:sz w:val="22"/>
        </w:rPr>
        <w:t xml:space="preserve"> isolates. In other words, if strain replacement occurred, the vaccine could appear highly effective even if no net impact occurred. Conversely, such an analysis </w:t>
      </w:r>
      <w:proofErr w:type="gramStart"/>
      <w:r w:rsidRPr="00C8529D">
        <w:rPr>
          <w:rFonts w:ascii="Arial" w:hAnsi="Arial" w:cs="Arial"/>
          <w:sz w:val="22"/>
        </w:rPr>
        <w:t>would be biased</w:t>
      </w:r>
      <w:proofErr w:type="gramEnd"/>
      <w:r w:rsidRPr="00C8529D">
        <w:rPr>
          <w:rFonts w:ascii="Arial" w:hAnsi="Arial" w:cs="Arial"/>
          <w:sz w:val="22"/>
        </w:rPr>
        <w:t xml:space="preserve"> against 4CMenB if the vaccine also reduced “MATS –</w:t>
      </w:r>
      <w:proofErr w:type="spellStart"/>
      <w:r w:rsidRPr="00C8529D">
        <w:rPr>
          <w:rFonts w:ascii="Arial" w:hAnsi="Arial" w:cs="Arial"/>
          <w:sz w:val="22"/>
        </w:rPr>
        <w:t>ve</w:t>
      </w:r>
      <w:proofErr w:type="spellEnd"/>
      <w:r w:rsidRPr="00C8529D">
        <w:rPr>
          <w:rFonts w:ascii="Arial" w:hAnsi="Arial" w:cs="Arial"/>
          <w:sz w:val="22"/>
        </w:rPr>
        <w:t>” strains through an effect on sub-threshold MATS-antigen expressing strains.</w:t>
      </w:r>
    </w:p>
    <w:p w:rsidR="00002DC3" w:rsidRDefault="00002DC3" w:rsidP="00002DC3">
      <w:pPr>
        <w:pStyle w:val="ListParagraph"/>
        <w:numPr>
          <w:ilvl w:val="1"/>
          <w:numId w:val="5"/>
        </w:numPr>
        <w:jc w:val="both"/>
        <w:rPr>
          <w:rFonts w:ascii="Arial" w:hAnsi="Arial" w:cs="Arial"/>
          <w:sz w:val="22"/>
        </w:rPr>
      </w:pPr>
      <w:proofErr w:type="gramStart"/>
      <w:r w:rsidRPr="001C79D7">
        <w:rPr>
          <w:rFonts w:ascii="Arial" w:hAnsi="Arial" w:cs="Arial"/>
          <w:sz w:val="22"/>
        </w:rPr>
        <w:t xml:space="preserve">A vaccine effectiveness </w:t>
      </w:r>
      <w:r w:rsidRPr="0095461F">
        <w:rPr>
          <w:rFonts w:ascii="Arial" w:hAnsi="Arial"/>
          <w:sz w:val="22"/>
          <w:szCs w:val="22"/>
        </w:rPr>
        <w:t>analytic</w:t>
      </w:r>
      <w:r w:rsidRPr="001C79D7">
        <w:rPr>
          <w:rFonts w:ascii="Arial" w:hAnsi="Arial" w:cs="Arial"/>
          <w:sz w:val="22"/>
        </w:rPr>
        <w:t xml:space="preserve"> study of 4CMenB in preventing IMD, including establishing a vaccine registry (observational study protocol V72_53OB).</w:t>
      </w:r>
      <w:proofErr w:type="gramEnd"/>
    </w:p>
    <w:p w:rsidR="00002DC3" w:rsidRPr="00C8529D" w:rsidRDefault="00002DC3" w:rsidP="00002DC3">
      <w:pPr>
        <w:pStyle w:val="ListParagraph"/>
        <w:widowControl w:val="0"/>
        <w:numPr>
          <w:ilvl w:val="2"/>
          <w:numId w:val="6"/>
        </w:numPr>
        <w:ind w:left="1418"/>
        <w:jc w:val="both"/>
        <w:rPr>
          <w:rFonts w:ascii="Arial" w:hAnsi="Arial" w:cs="Arial"/>
          <w:sz w:val="22"/>
          <w:szCs w:val="22"/>
        </w:rPr>
      </w:pPr>
      <w:r w:rsidRPr="00C8529D">
        <w:rPr>
          <w:rFonts w:ascii="Arial" w:hAnsi="Arial" w:cs="Arial"/>
          <w:sz w:val="22"/>
          <w:szCs w:val="22"/>
        </w:rPr>
        <w:t>Th</w:t>
      </w:r>
      <w:r>
        <w:rPr>
          <w:rFonts w:ascii="Arial" w:hAnsi="Arial" w:cs="Arial"/>
          <w:sz w:val="22"/>
          <w:szCs w:val="22"/>
        </w:rPr>
        <w:t>e ESC advised that s</w:t>
      </w:r>
      <w:r w:rsidRPr="00C8529D">
        <w:rPr>
          <w:rFonts w:ascii="Arial" w:hAnsi="Arial" w:cs="Arial"/>
          <w:sz w:val="22"/>
          <w:szCs w:val="22"/>
        </w:rPr>
        <w:t xml:space="preserve">uch a </w:t>
      </w:r>
      <w:r>
        <w:rPr>
          <w:rFonts w:ascii="Arial" w:hAnsi="Arial" w:cs="Arial"/>
          <w:sz w:val="22"/>
          <w:szCs w:val="22"/>
        </w:rPr>
        <w:t xml:space="preserve">case-control </w:t>
      </w:r>
      <w:r w:rsidRPr="00C8529D">
        <w:rPr>
          <w:rFonts w:ascii="Arial" w:hAnsi="Arial" w:cs="Arial"/>
          <w:sz w:val="22"/>
          <w:szCs w:val="22"/>
        </w:rPr>
        <w:t xml:space="preserve">study would require collection and linkage of data </w:t>
      </w:r>
      <w:r>
        <w:rPr>
          <w:rFonts w:ascii="Arial" w:hAnsi="Arial" w:cs="Arial"/>
          <w:sz w:val="22"/>
          <w:szCs w:val="22"/>
        </w:rPr>
        <w:t>that</w:t>
      </w:r>
      <w:r w:rsidRPr="00C8529D">
        <w:rPr>
          <w:rFonts w:ascii="Arial" w:hAnsi="Arial" w:cs="Arial"/>
          <w:sz w:val="22"/>
          <w:szCs w:val="22"/>
        </w:rPr>
        <w:t xml:space="preserve"> </w:t>
      </w:r>
      <w:proofErr w:type="gramStart"/>
      <w:r w:rsidRPr="00C8529D">
        <w:rPr>
          <w:rFonts w:ascii="Arial" w:hAnsi="Arial" w:cs="Arial"/>
          <w:sz w:val="22"/>
          <w:szCs w:val="22"/>
        </w:rPr>
        <w:t>is not routinely linked</w:t>
      </w:r>
      <w:proofErr w:type="gramEnd"/>
      <w:r w:rsidRPr="00C8529D">
        <w:rPr>
          <w:rFonts w:ascii="Arial" w:hAnsi="Arial" w:cs="Arial"/>
          <w:sz w:val="22"/>
          <w:szCs w:val="22"/>
        </w:rPr>
        <w:t xml:space="preserve"> and which in some cases is not currently collected (e.g. immunisation records for children &gt; 7 years</w:t>
      </w:r>
      <w:r>
        <w:rPr>
          <w:rFonts w:ascii="Arial" w:hAnsi="Arial" w:cs="Arial"/>
          <w:sz w:val="22"/>
          <w:szCs w:val="22"/>
        </w:rPr>
        <w:t xml:space="preserve"> of age</w:t>
      </w:r>
      <w:r w:rsidRPr="00C8529D">
        <w:rPr>
          <w:rFonts w:ascii="Arial" w:hAnsi="Arial" w:cs="Arial"/>
          <w:sz w:val="22"/>
          <w:szCs w:val="22"/>
        </w:rPr>
        <w:t xml:space="preserve">). </w:t>
      </w:r>
      <w:r>
        <w:rPr>
          <w:rFonts w:ascii="Arial" w:hAnsi="Arial" w:cs="Arial"/>
          <w:sz w:val="22"/>
          <w:szCs w:val="22"/>
        </w:rPr>
        <w:t xml:space="preserve">The </w:t>
      </w:r>
      <w:r w:rsidRPr="00C8529D">
        <w:rPr>
          <w:rFonts w:ascii="Arial" w:hAnsi="Arial" w:cs="Arial"/>
          <w:sz w:val="22"/>
          <w:szCs w:val="22"/>
        </w:rPr>
        <w:t xml:space="preserve">ESC </w:t>
      </w:r>
      <w:r>
        <w:rPr>
          <w:rFonts w:ascii="Arial" w:hAnsi="Arial" w:cs="Arial"/>
          <w:sz w:val="22"/>
          <w:szCs w:val="22"/>
        </w:rPr>
        <w:t xml:space="preserve">advised </w:t>
      </w:r>
      <w:r w:rsidRPr="00C8529D">
        <w:rPr>
          <w:rFonts w:ascii="Arial" w:hAnsi="Arial" w:cs="Arial"/>
          <w:sz w:val="22"/>
          <w:szCs w:val="22"/>
        </w:rPr>
        <w:t xml:space="preserve">that the logistical barriers </w:t>
      </w:r>
      <w:r>
        <w:rPr>
          <w:rFonts w:ascii="Arial" w:hAnsi="Arial" w:cs="Arial"/>
          <w:sz w:val="22"/>
          <w:szCs w:val="22"/>
        </w:rPr>
        <w:t>we</w:t>
      </w:r>
      <w:r w:rsidRPr="00C8529D">
        <w:rPr>
          <w:rFonts w:ascii="Arial" w:hAnsi="Arial" w:cs="Arial"/>
          <w:sz w:val="22"/>
          <w:szCs w:val="22"/>
        </w:rPr>
        <w:t>re considerable.</w:t>
      </w:r>
    </w:p>
    <w:p w:rsidR="00002DC3" w:rsidRPr="00C8529D" w:rsidRDefault="00002DC3" w:rsidP="00002DC3">
      <w:pPr>
        <w:pStyle w:val="ListParagraph"/>
        <w:widowControl w:val="0"/>
        <w:numPr>
          <w:ilvl w:val="2"/>
          <w:numId w:val="6"/>
        </w:numPr>
        <w:ind w:left="1418"/>
        <w:jc w:val="both"/>
        <w:rPr>
          <w:rFonts w:ascii="Arial" w:hAnsi="Arial" w:cs="Arial"/>
          <w:sz w:val="22"/>
          <w:szCs w:val="22"/>
        </w:rPr>
      </w:pPr>
      <w:r w:rsidRPr="00C8529D">
        <w:rPr>
          <w:rFonts w:ascii="Arial" w:hAnsi="Arial" w:cs="Arial"/>
          <w:sz w:val="22"/>
          <w:szCs w:val="22"/>
        </w:rPr>
        <w:t xml:space="preserve">The proposal to </w:t>
      </w:r>
      <w:r w:rsidRPr="00473946">
        <w:rPr>
          <w:rFonts w:ascii="Arial" w:hAnsi="Arial" w:cs="Arial"/>
          <w:sz w:val="22"/>
          <w:szCs w:val="22"/>
        </w:rPr>
        <w:t xml:space="preserve">match cases with </w:t>
      </w:r>
      <w:proofErr w:type="gramStart"/>
      <w:r w:rsidRPr="00473946">
        <w:rPr>
          <w:rFonts w:ascii="Arial" w:hAnsi="Arial" w:cs="Arial"/>
          <w:sz w:val="22"/>
          <w:szCs w:val="22"/>
        </w:rPr>
        <w:t>3</w:t>
      </w:r>
      <w:proofErr w:type="gramEnd"/>
      <w:r w:rsidRPr="00473946">
        <w:rPr>
          <w:rFonts w:ascii="Arial" w:hAnsi="Arial" w:cs="Arial"/>
          <w:sz w:val="22"/>
          <w:szCs w:val="22"/>
        </w:rPr>
        <w:t xml:space="preserve"> controls among those registered in Australian Childhood Immunisation Register</w:t>
      </w:r>
      <w:r w:rsidRPr="00C8529D">
        <w:rPr>
          <w:rFonts w:ascii="Arial" w:hAnsi="Arial" w:cs="Arial"/>
          <w:sz w:val="22"/>
          <w:szCs w:val="22"/>
        </w:rPr>
        <w:t xml:space="preserve"> may result in significant </w:t>
      </w:r>
      <w:proofErr w:type="spellStart"/>
      <w:r w:rsidRPr="00C8529D">
        <w:rPr>
          <w:rFonts w:ascii="Arial" w:hAnsi="Arial" w:cs="Arial"/>
          <w:sz w:val="22"/>
          <w:szCs w:val="22"/>
        </w:rPr>
        <w:t>underpowering</w:t>
      </w:r>
      <w:proofErr w:type="spellEnd"/>
      <w:r w:rsidRPr="00C8529D">
        <w:rPr>
          <w:rFonts w:ascii="Arial" w:hAnsi="Arial" w:cs="Arial"/>
          <w:sz w:val="22"/>
          <w:szCs w:val="22"/>
        </w:rPr>
        <w:t xml:space="preserve"> of the study if vaccine coverage is high and the number of children receiving no doses is low. The </w:t>
      </w:r>
      <w:r>
        <w:rPr>
          <w:rFonts w:ascii="Arial" w:hAnsi="Arial" w:cs="Arial"/>
          <w:sz w:val="22"/>
          <w:szCs w:val="22"/>
        </w:rPr>
        <w:t>ESC advised that the resubmission failed</w:t>
      </w:r>
      <w:r w:rsidRPr="00C8529D">
        <w:rPr>
          <w:rFonts w:ascii="Arial" w:hAnsi="Arial" w:cs="Arial"/>
          <w:sz w:val="22"/>
          <w:szCs w:val="22"/>
        </w:rPr>
        <w:t xml:space="preserve"> to consider the need to exclude partially vaccinated children from the proposed </w:t>
      </w:r>
      <w:proofErr w:type="gramStart"/>
      <w:r w:rsidRPr="00C8529D">
        <w:rPr>
          <w:rFonts w:ascii="Arial" w:hAnsi="Arial" w:cs="Arial"/>
          <w:sz w:val="22"/>
          <w:szCs w:val="22"/>
        </w:rPr>
        <w:t>analysis which</w:t>
      </w:r>
      <w:proofErr w:type="gramEnd"/>
      <w:r w:rsidRPr="00C8529D">
        <w:rPr>
          <w:rFonts w:ascii="Arial" w:hAnsi="Arial" w:cs="Arial"/>
          <w:sz w:val="22"/>
          <w:szCs w:val="22"/>
        </w:rPr>
        <w:t xml:space="preserve"> is likely to result in a significant overestimation of the power of the analysis.</w:t>
      </w:r>
    </w:p>
    <w:p w:rsidR="00002DC3" w:rsidRPr="00C8529D" w:rsidRDefault="00002DC3" w:rsidP="00002DC3">
      <w:pPr>
        <w:pStyle w:val="ListParagraph"/>
        <w:widowControl w:val="0"/>
        <w:numPr>
          <w:ilvl w:val="2"/>
          <w:numId w:val="6"/>
        </w:numPr>
        <w:ind w:left="1418"/>
        <w:jc w:val="both"/>
        <w:rPr>
          <w:rFonts w:ascii="Arial" w:hAnsi="Arial" w:cs="Arial"/>
          <w:sz w:val="22"/>
          <w:szCs w:val="22"/>
        </w:rPr>
      </w:pPr>
      <w:r w:rsidRPr="00C8529D">
        <w:rPr>
          <w:rFonts w:ascii="Arial" w:hAnsi="Arial" w:cs="Arial"/>
          <w:sz w:val="22"/>
          <w:szCs w:val="22"/>
        </w:rPr>
        <w:t>Failure to control for potentially important confounders (e.g. socioeconomic status) and differences in ascertainment of vaccination status for cases and controls could significantly bias vaccine effectiveness estimation in either direction.</w:t>
      </w:r>
    </w:p>
    <w:p w:rsidR="00002DC3" w:rsidRDefault="00002DC3" w:rsidP="00002DC3">
      <w:pPr>
        <w:pStyle w:val="ListParagraph"/>
        <w:widowControl w:val="0"/>
        <w:numPr>
          <w:ilvl w:val="2"/>
          <w:numId w:val="6"/>
        </w:numPr>
        <w:ind w:left="1418"/>
        <w:jc w:val="both"/>
        <w:rPr>
          <w:rFonts w:ascii="Arial" w:hAnsi="Arial" w:cs="Arial"/>
          <w:sz w:val="22"/>
          <w:szCs w:val="22"/>
        </w:rPr>
      </w:pPr>
      <w:r w:rsidRPr="00C8529D">
        <w:rPr>
          <w:rFonts w:ascii="Arial" w:hAnsi="Arial" w:cs="Arial"/>
          <w:sz w:val="22"/>
          <w:szCs w:val="22"/>
        </w:rPr>
        <w:t xml:space="preserve">Even with optimistic assumptions, such a study </w:t>
      </w:r>
      <w:proofErr w:type="gramStart"/>
      <w:r>
        <w:rPr>
          <w:rFonts w:ascii="Arial" w:hAnsi="Arial" w:cs="Arial"/>
          <w:sz w:val="22"/>
          <w:szCs w:val="22"/>
        </w:rPr>
        <w:t>wa</w:t>
      </w:r>
      <w:r w:rsidRPr="00C8529D">
        <w:rPr>
          <w:rFonts w:ascii="Arial" w:hAnsi="Arial" w:cs="Arial"/>
          <w:sz w:val="22"/>
          <w:szCs w:val="22"/>
        </w:rPr>
        <w:t xml:space="preserve">s </w:t>
      </w:r>
      <w:r>
        <w:rPr>
          <w:rFonts w:ascii="Arial" w:hAnsi="Arial" w:cs="Arial"/>
          <w:sz w:val="22"/>
          <w:szCs w:val="22"/>
        </w:rPr>
        <w:t>considered</w:t>
      </w:r>
      <w:proofErr w:type="gramEnd"/>
      <w:r>
        <w:rPr>
          <w:rFonts w:ascii="Arial" w:hAnsi="Arial" w:cs="Arial"/>
          <w:sz w:val="22"/>
          <w:szCs w:val="22"/>
        </w:rPr>
        <w:t xml:space="preserve"> </w:t>
      </w:r>
      <w:r w:rsidRPr="00C8529D">
        <w:rPr>
          <w:rFonts w:ascii="Arial" w:hAnsi="Arial" w:cs="Arial"/>
          <w:sz w:val="22"/>
          <w:szCs w:val="22"/>
        </w:rPr>
        <w:t>unlikely to provide evidence of any protective effect within the timeframe of the analysis, let alone the required precision on age-specific and dose-dependent vaccine effectiveness required to reliably inform the economic model.</w:t>
      </w:r>
    </w:p>
    <w:p w:rsidR="00002DC3" w:rsidRPr="00002DC3" w:rsidRDefault="00002DC3" w:rsidP="00002DC3">
      <w:pPr>
        <w:pStyle w:val="ListParagraph"/>
        <w:widowControl w:val="0"/>
        <w:numPr>
          <w:ilvl w:val="2"/>
          <w:numId w:val="6"/>
        </w:numPr>
        <w:ind w:left="1418"/>
        <w:jc w:val="both"/>
        <w:rPr>
          <w:rFonts w:ascii="Arial" w:hAnsi="Arial" w:cs="Arial"/>
          <w:sz w:val="22"/>
          <w:szCs w:val="22"/>
        </w:rPr>
      </w:pPr>
      <w:proofErr w:type="gramStart"/>
      <w:r w:rsidRPr="00002DC3">
        <w:rPr>
          <w:rFonts w:ascii="Arial" w:hAnsi="Arial" w:cs="Arial"/>
          <w:sz w:val="22"/>
        </w:rPr>
        <w:lastRenderedPageBreak/>
        <w:t xml:space="preserve">A nasopharyngeal carriage </w:t>
      </w:r>
      <w:r w:rsidRPr="00002DC3">
        <w:rPr>
          <w:rFonts w:ascii="Arial" w:hAnsi="Arial"/>
          <w:sz w:val="22"/>
          <w:szCs w:val="22"/>
        </w:rPr>
        <w:t>survey</w:t>
      </w:r>
      <w:r w:rsidRPr="00002DC3">
        <w:rPr>
          <w:rFonts w:ascii="Arial" w:hAnsi="Arial" w:cs="Arial"/>
          <w:sz w:val="22"/>
        </w:rPr>
        <w:t xml:space="preserve"> of carriage of </w:t>
      </w:r>
      <w:r w:rsidRPr="00002DC3">
        <w:rPr>
          <w:rFonts w:ascii="Arial" w:hAnsi="Arial" w:cs="Arial"/>
          <w:i/>
          <w:sz w:val="22"/>
        </w:rPr>
        <w:t xml:space="preserve">Neisseria </w:t>
      </w:r>
      <w:proofErr w:type="spellStart"/>
      <w:r w:rsidRPr="00002DC3">
        <w:rPr>
          <w:rFonts w:ascii="Arial" w:hAnsi="Arial" w:cs="Arial"/>
          <w:i/>
          <w:sz w:val="22"/>
        </w:rPr>
        <w:t>meningitidis</w:t>
      </w:r>
      <w:proofErr w:type="spellEnd"/>
      <w:r w:rsidRPr="00002DC3">
        <w:rPr>
          <w:rFonts w:ascii="Arial" w:hAnsi="Arial" w:cs="Arial"/>
          <w:sz w:val="22"/>
        </w:rPr>
        <w:t xml:space="preserve"> before and after the introduction of 4CMenB into the NIP (observational study protocol V72_73OB).</w:t>
      </w:r>
      <w:proofErr w:type="gramEnd"/>
    </w:p>
    <w:p w:rsidR="00002DC3" w:rsidRPr="00C8529D" w:rsidRDefault="00002DC3" w:rsidP="00002DC3">
      <w:pPr>
        <w:pStyle w:val="ListParagraph"/>
        <w:widowControl w:val="0"/>
        <w:numPr>
          <w:ilvl w:val="2"/>
          <w:numId w:val="6"/>
        </w:numPr>
        <w:ind w:left="1418"/>
        <w:jc w:val="both"/>
        <w:rPr>
          <w:rFonts w:ascii="Arial" w:hAnsi="Arial" w:cs="Arial"/>
          <w:sz w:val="22"/>
          <w:szCs w:val="22"/>
        </w:rPr>
      </w:pPr>
      <w:r>
        <w:rPr>
          <w:rFonts w:ascii="Arial" w:hAnsi="Arial" w:cs="Arial"/>
          <w:sz w:val="22"/>
          <w:szCs w:val="22"/>
        </w:rPr>
        <w:t>The ESC noted</w:t>
      </w:r>
      <w:r w:rsidRPr="00C8529D">
        <w:rPr>
          <w:rFonts w:ascii="Arial" w:hAnsi="Arial" w:cs="Arial"/>
          <w:sz w:val="22"/>
          <w:szCs w:val="22"/>
        </w:rPr>
        <w:t xml:space="preserve"> that direct vaccine protection against carriage is likely to be a pre-requisite for demonstrating an effect on herd protection, but is not in itself sufficient. Herd protection is also dependent on the nature and extent of mixing patterns between vaccinated and susceptible individuals. As such, evidence of effectiveness in reducing nasopharyngeal carriage </w:t>
      </w:r>
      <w:proofErr w:type="gramStart"/>
      <w:r w:rsidRPr="00C8529D">
        <w:rPr>
          <w:rFonts w:ascii="Arial" w:hAnsi="Arial" w:cs="Arial"/>
          <w:sz w:val="22"/>
          <w:szCs w:val="22"/>
        </w:rPr>
        <w:t>should not be conflated</w:t>
      </w:r>
      <w:proofErr w:type="gramEnd"/>
      <w:r w:rsidRPr="00C8529D">
        <w:rPr>
          <w:rFonts w:ascii="Arial" w:hAnsi="Arial" w:cs="Arial"/>
          <w:sz w:val="22"/>
          <w:szCs w:val="22"/>
        </w:rPr>
        <w:t xml:space="preserve"> with evidence of effectiveness in increasing herd protection.</w:t>
      </w:r>
    </w:p>
    <w:p w:rsidR="00002DC3" w:rsidRPr="00C8529D" w:rsidRDefault="00002DC3" w:rsidP="00002DC3">
      <w:pPr>
        <w:pStyle w:val="ListParagraph"/>
        <w:widowControl w:val="0"/>
        <w:numPr>
          <w:ilvl w:val="2"/>
          <w:numId w:val="6"/>
        </w:numPr>
        <w:ind w:left="1418"/>
        <w:jc w:val="both"/>
        <w:rPr>
          <w:rFonts w:ascii="Arial" w:hAnsi="Arial" w:cs="Arial"/>
          <w:sz w:val="22"/>
          <w:szCs w:val="22"/>
        </w:rPr>
      </w:pPr>
      <w:r w:rsidRPr="00C8529D">
        <w:rPr>
          <w:rFonts w:ascii="Arial" w:hAnsi="Arial" w:cs="Arial"/>
          <w:sz w:val="22"/>
          <w:szCs w:val="22"/>
        </w:rPr>
        <w:t xml:space="preserve">Evidence of an effect on herd protection </w:t>
      </w:r>
      <w:proofErr w:type="gramStart"/>
      <w:r w:rsidRPr="00C8529D">
        <w:rPr>
          <w:rFonts w:ascii="Arial" w:hAnsi="Arial" w:cs="Arial"/>
          <w:sz w:val="22"/>
          <w:szCs w:val="22"/>
        </w:rPr>
        <w:t>would be strengthened</w:t>
      </w:r>
      <w:proofErr w:type="gramEnd"/>
      <w:r w:rsidRPr="00C8529D">
        <w:rPr>
          <w:rFonts w:ascii="Arial" w:hAnsi="Arial" w:cs="Arial"/>
          <w:sz w:val="22"/>
          <w:szCs w:val="22"/>
        </w:rPr>
        <w:t xml:space="preserve"> by evidence of reduced nasopharyngeal carriage among unvaccinated as well as vaccinated individuals, particularly among infants who are at greatest risk of IMD.</w:t>
      </w:r>
    </w:p>
    <w:p w:rsidR="00002DC3" w:rsidRPr="00C8529D" w:rsidRDefault="00002DC3" w:rsidP="00002DC3">
      <w:pPr>
        <w:pStyle w:val="ListParagraph"/>
        <w:widowControl w:val="0"/>
        <w:numPr>
          <w:ilvl w:val="2"/>
          <w:numId w:val="6"/>
        </w:numPr>
        <w:ind w:left="1418"/>
        <w:jc w:val="both"/>
        <w:rPr>
          <w:rFonts w:ascii="Arial" w:hAnsi="Arial" w:cs="Arial"/>
          <w:sz w:val="22"/>
          <w:szCs w:val="22"/>
        </w:rPr>
      </w:pPr>
      <w:r w:rsidRPr="00C8529D">
        <w:rPr>
          <w:rFonts w:ascii="Arial" w:hAnsi="Arial" w:cs="Arial"/>
          <w:sz w:val="22"/>
          <w:szCs w:val="22"/>
        </w:rPr>
        <w:t>Because of the low baseline nasopharyngeal carriage expected in the target population, the ESC considered that impact on carriage might require an unfeasibly large sample size or would alternatively take several years to accumulate and might not be feasible within the timeframe of the proposed MES.</w:t>
      </w:r>
    </w:p>
    <w:p w:rsidR="00002DC3" w:rsidRDefault="00002DC3" w:rsidP="00002DC3">
      <w:pPr>
        <w:pStyle w:val="ListParagraph"/>
        <w:widowControl w:val="0"/>
        <w:numPr>
          <w:ilvl w:val="2"/>
          <w:numId w:val="6"/>
        </w:numPr>
        <w:ind w:left="1418"/>
        <w:jc w:val="both"/>
        <w:rPr>
          <w:rFonts w:ascii="Arial" w:hAnsi="Arial" w:cs="Arial"/>
          <w:sz w:val="22"/>
          <w:szCs w:val="22"/>
        </w:rPr>
      </w:pPr>
      <w:r w:rsidRPr="00C8529D">
        <w:rPr>
          <w:rFonts w:ascii="Arial" w:hAnsi="Arial" w:cs="Arial"/>
          <w:sz w:val="22"/>
          <w:szCs w:val="22"/>
        </w:rPr>
        <w:t xml:space="preserve">Nasopharyngeal carriage in infants </w:t>
      </w:r>
      <w:proofErr w:type="gramStart"/>
      <w:r w:rsidRPr="00C8529D">
        <w:rPr>
          <w:rFonts w:ascii="Arial" w:hAnsi="Arial" w:cs="Arial"/>
          <w:sz w:val="22"/>
          <w:szCs w:val="22"/>
        </w:rPr>
        <w:t>would not also be measured</w:t>
      </w:r>
      <w:proofErr w:type="gramEnd"/>
      <w:r w:rsidRPr="00C8529D">
        <w:rPr>
          <w:rFonts w:ascii="Arial" w:hAnsi="Arial" w:cs="Arial"/>
          <w:sz w:val="22"/>
          <w:szCs w:val="22"/>
        </w:rPr>
        <w:t>, which would mean that extrapolations of the study results in adolescents to other key populations could not be verified.</w:t>
      </w:r>
    </w:p>
    <w:p w:rsidR="00002DC3" w:rsidRPr="00002DC3" w:rsidRDefault="00002DC3" w:rsidP="00002DC3">
      <w:pPr>
        <w:pStyle w:val="ListParagraph"/>
        <w:widowControl w:val="0"/>
        <w:numPr>
          <w:ilvl w:val="2"/>
          <w:numId w:val="6"/>
        </w:numPr>
        <w:ind w:left="1418"/>
        <w:jc w:val="both"/>
        <w:rPr>
          <w:rFonts w:ascii="Arial" w:hAnsi="Arial" w:cs="Arial"/>
          <w:sz w:val="22"/>
          <w:szCs w:val="22"/>
        </w:rPr>
      </w:pPr>
      <w:proofErr w:type="gramStart"/>
      <w:r w:rsidRPr="00002DC3">
        <w:rPr>
          <w:rFonts w:ascii="Arial" w:hAnsi="Arial" w:cs="Arial"/>
          <w:sz w:val="22"/>
        </w:rPr>
        <w:t xml:space="preserve">A safety surveillance </w:t>
      </w:r>
      <w:r w:rsidRPr="00002DC3">
        <w:rPr>
          <w:rFonts w:ascii="Arial" w:hAnsi="Arial"/>
          <w:sz w:val="22"/>
          <w:szCs w:val="22"/>
        </w:rPr>
        <w:t>study</w:t>
      </w:r>
      <w:r w:rsidRPr="00002DC3">
        <w:rPr>
          <w:rFonts w:ascii="Arial" w:hAnsi="Arial" w:cs="Arial"/>
          <w:sz w:val="22"/>
        </w:rPr>
        <w:t xml:space="preserve">, consisting of regular passive, enhanced and active </w:t>
      </w:r>
      <w:proofErr w:type="spellStart"/>
      <w:r w:rsidRPr="00002DC3">
        <w:rPr>
          <w:rFonts w:ascii="Arial" w:hAnsi="Arial" w:cs="Arial"/>
          <w:sz w:val="22"/>
        </w:rPr>
        <w:t>pharmacovigilance</w:t>
      </w:r>
      <w:proofErr w:type="spellEnd"/>
      <w:r w:rsidRPr="00002DC3">
        <w:rPr>
          <w:rFonts w:ascii="Arial" w:hAnsi="Arial" w:cs="Arial"/>
          <w:sz w:val="22"/>
        </w:rPr>
        <w:t>.</w:t>
      </w:r>
      <w:proofErr w:type="gramEnd"/>
    </w:p>
    <w:p w:rsidR="00002DC3" w:rsidRPr="00C8529D" w:rsidRDefault="00002DC3" w:rsidP="00002DC3">
      <w:pPr>
        <w:pStyle w:val="ListParagraph"/>
        <w:widowControl w:val="0"/>
        <w:numPr>
          <w:ilvl w:val="2"/>
          <w:numId w:val="6"/>
        </w:numPr>
        <w:ind w:left="1418"/>
        <w:jc w:val="both"/>
        <w:rPr>
          <w:rFonts w:ascii="Arial" w:hAnsi="Arial" w:cs="Arial"/>
          <w:sz w:val="22"/>
          <w:szCs w:val="22"/>
        </w:rPr>
      </w:pPr>
      <w:proofErr w:type="gramStart"/>
      <w:r w:rsidRPr="00C8529D">
        <w:rPr>
          <w:rFonts w:ascii="Arial" w:hAnsi="Arial" w:cs="Arial"/>
          <w:sz w:val="22"/>
          <w:szCs w:val="22"/>
        </w:rPr>
        <w:t xml:space="preserve">Considering the expressed concern of ATAGI on the potential for high </w:t>
      </w:r>
      <w:proofErr w:type="spellStart"/>
      <w:r w:rsidRPr="00C8529D">
        <w:rPr>
          <w:rFonts w:ascii="Arial" w:hAnsi="Arial" w:cs="Arial"/>
          <w:sz w:val="22"/>
          <w:szCs w:val="22"/>
        </w:rPr>
        <w:t>reactogenicity</w:t>
      </w:r>
      <w:proofErr w:type="spellEnd"/>
      <w:r w:rsidRPr="00C8529D">
        <w:rPr>
          <w:rFonts w:ascii="Arial" w:hAnsi="Arial" w:cs="Arial"/>
          <w:sz w:val="22"/>
          <w:szCs w:val="22"/>
        </w:rPr>
        <w:t xml:space="preserve"> to impact on parent confidence in the vaccine</w:t>
      </w:r>
      <w:proofErr w:type="gramEnd"/>
      <w:r w:rsidRPr="00C8529D">
        <w:rPr>
          <w:rFonts w:ascii="Arial" w:hAnsi="Arial" w:cs="Arial"/>
          <w:sz w:val="22"/>
          <w:szCs w:val="22"/>
        </w:rPr>
        <w:t xml:space="preserve"> program overall, the ESC </w:t>
      </w:r>
      <w:r>
        <w:rPr>
          <w:rFonts w:ascii="Arial" w:hAnsi="Arial" w:cs="Arial"/>
          <w:sz w:val="22"/>
          <w:szCs w:val="22"/>
        </w:rPr>
        <w:t xml:space="preserve">suggested </w:t>
      </w:r>
      <w:r w:rsidRPr="00C8529D">
        <w:rPr>
          <w:rFonts w:ascii="Arial" w:hAnsi="Arial" w:cs="Arial"/>
          <w:sz w:val="22"/>
          <w:szCs w:val="22"/>
        </w:rPr>
        <w:t>that the proposed safety surveillance system should also specifically monitor for increased rates of vaccine delay/hesitancy and refusal across the NIP.</w:t>
      </w:r>
    </w:p>
    <w:p w:rsidR="00002DC3" w:rsidRDefault="00002DC3" w:rsidP="00002DC3">
      <w:pPr>
        <w:widowControl w:val="0"/>
        <w:jc w:val="both"/>
        <w:rPr>
          <w:rFonts w:ascii="Arial" w:hAnsi="Arial" w:cs="Arial"/>
          <w:sz w:val="22"/>
        </w:rPr>
      </w:pPr>
    </w:p>
    <w:p w:rsidR="00002DC3"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w:t>
      </w:r>
      <w:r w:rsidRPr="0045361E">
        <w:rPr>
          <w:rFonts w:ascii="Arial" w:hAnsi="Arial"/>
          <w:sz w:val="22"/>
          <w:szCs w:val="22"/>
        </w:rPr>
        <w:t>The re-submission d</w:t>
      </w:r>
      <w:r>
        <w:rPr>
          <w:rFonts w:ascii="Arial" w:hAnsi="Arial"/>
          <w:sz w:val="22"/>
          <w:szCs w:val="22"/>
        </w:rPr>
        <w:t>id</w:t>
      </w:r>
      <w:r w:rsidRPr="0045361E">
        <w:rPr>
          <w:rFonts w:ascii="Arial" w:hAnsi="Arial"/>
          <w:sz w:val="22"/>
          <w:szCs w:val="22"/>
        </w:rPr>
        <w:t xml:space="preserve"> not explicitly state which variables from which studies w</w:t>
      </w:r>
      <w:r>
        <w:rPr>
          <w:rFonts w:ascii="Arial" w:hAnsi="Arial"/>
          <w:sz w:val="22"/>
          <w:szCs w:val="22"/>
        </w:rPr>
        <w:t>ould</w:t>
      </w:r>
      <w:r w:rsidRPr="0045361E">
        <w:rPr>
          <w:rFonts w:ascii="Arial" w:hAnsi="Arial"/>
          <w:sz w:val="22"/>
          <w:szCs w:val="22"/>
        </w:rPr>
        <w:t xml:space="preserve"> be used in the revised model to subsequently inform pricing (</w:t>
      </w:r>
      <w:r>
        <w:rPr>
          <w:rFonts w:ascii="Arial" w:hAnsi="Arial"/>
          <w:sz w:val="22"/>
          <w:szCs w:val="22"/>
        </w:rPr>
        <w:t xml:space="preserve">and </w:t>
      </w:r>
      <w:r w:rsidRPr="0045361E">
        <w:rPr>
          <w:rFonts w:ascii="Arial" w:hAnsi="Arial"/>
          <w:sz w:val="22"/>
          <w:szCs w:val="22"/>
        </w:rPr>
        <w:t>recoding of the model may be required), nor d</w:t>
      </w:r>
      <w:r>
        <w:rPr>
          <w:rFonts w:ascii="Arial" w:hAnsi="Arial"/>
          <w:sz w:val="22"/>
          <w:szCs w:val="22"/>
        </w:rPr>
        <w:t>id</w:t>
      </w:r>
      <w:r w:rsidRPr="0045361E">
        <w:rPr>
          <w:rFonts w:ascii="Arial" w:hAnsi="Arial"/>
          <w:sz w:val="22"/>
          <w:szCs w:val="22"/>
        </w:rPr>
        <w:t xml:space="preserve"> it specify the target ICER. The ESC noted that generating revised variables would also not reduce the significant uncertainty inherent in the structural assumptions required to construct the dynamic transmission model, such as minimising natural fluctuations in incidence of IMD. It would be crucial to link vaccination status to timing and severity of disease as the vaccine effect </w:t>
      </w:r>
      <w:proofErr w:type="gramStart"/>
      <w:r w:rsidRPr="0045361E">
        <w:rPr>
          <w:rFonts w:ascii="Arial" w:hAnsi="Arial"/>
          <w:sz w:val="22"/>
          <w:szCs w:val="22"/>
        </w:rPr>
        <w:t>could be underestimated</w:t>
      </w:r>
      <w:proofErr w:type="gramEnd"/>
      <w:r w:rsidRPr="0045361E">
        <w:rPr>
          <w:rFonts w:ascii="Arial" w:hAnsi="Arial"/>
          <w:sz w:val="22"/>
          <w:szCs w:val="22"/>
        </w:rPr>
        <w:t xml:space="preserve"> due herd immunity.</w:t>
      </w:r>
    </w:p>
    <w:p w:rsidR="00002DC3" w:rsidRPr="0045361E" w:rsidRDefault="00002DC3" w:rsidP="00002DC3">
      <w:pPr>
        <w:jc w:val="both"/>
        <w:rPr>
          <w:rFonts w:ascii="Arial" w:hAnsi="Arial"/>
          <w:sz w:val="22"/>
          <w:szCs w:val="22"/>
        </w:rPr>
      </w:pPr>
    </w:p>
    <w:p w:rsidR="00002DC3" w:rsidRPr="00C8529D" w:rsidRDefault="00002DC3" w:rsidP="00002DC3">
      <w:pPr>
        <w:pStyle w:val="ListParagraph"/>
        <w:numPr>
          <w:ilvl w:val="1"/>
          <w:numId w:val="1"/>
        </w:numPr>
        <w:jc w:val="both"/>
        <w:rPr>
          <w:rFonts w:ascii="Arial" w:hAnsi="Arial"/>
          <w:sz w:val="22"/>
          <w:szCs w:val="22"/>
        </w:rPr>
      </w:pPr>
      <w:r>
        <w:rPr>
          <w:rFonts w:ascii="Arial" w:hAnsi="Arial" w:cs="Arial"/>
          <w:sz w:val="22"/>
        </w:rPr>
        <w:t xml:space="preserve">   </w:t>
      </w:r>
      <w:r w:rsidRPr="00C8529D">
        <w:rPr>
          <w:rFonts w:ascii="Arial" w:hAnsi="Arial" w:cs="Arial"/>
          <w:sz w:val="22"/>
        </w:rPr>
        <w:t xml:space="preserve">The ESC agreed with </w:t>
      </w:r>
      <w:r>
        <w:rPr>
          <w:rFonts w:ascii="Arial" w:hAnsi="Arial" w:cs="Arial"/>
          <w:sz w:val="22"/>
        </w:rPr>
        <w:t xml:space="preserve">the PBAC’s previous </w:t>
      </w:r>
      <w:r w:rsidRPr="00C8529D">
        <w:rPr>
          <w:rFonts w:ascii="Arial" w:hAnsi="Arial" w:cs="Arial"/>
          <w:sz w:val="22"/>
        </w:rPr>
        <w:t>concerns about the feasibility of</w:t>
      </w:r>
      <w:r>
        <w:rPr>
          <w:rFonts w:ascii="Arial" w:hAnsi="Arial" w:cs="Arial"/>
          <w:sz w:val="22"/>
        </w:rPr>
        <w:t xml:space="preserve"> removing</w:t>
      </w:r>
      <w:r w:rsidRPr="00C8529D">
        <w:rPr>
          <w:rFonts w:ascii="Arial" w:hAnsi="Arial" w:cs="Arial"/>
          <w:sz w:val="22"/>
        </w:rPr>
        <w:t xml:space="preserve"> 4CMenB from the NIP in the event of the results of the MES being less than the projected effects (i.e. beyond a disinvestment which could be satisfactorily addressed by a reduction in price). The ESC was a</w:t>
      </w:r>
      <w:r>
        <w:rPr>
          <w:rFonts w:ascii="Arial" w:hAnsi="Arial" w:cs="Arial"/>
          <w:sz w:val="22"/>
        </w:rPr>
        <w:t>lso concerned that there remained</w:t>
      </w:r>
      <w:r w:rsidRPr="00C8529D">
        <w:rPr>
          <w:rFonts w:ascii="Arial" w:hAnsi="Arial" w:cs="Arial"/>
          <w:sz w:val="22"/>
        </w:rPr>
        <w:t xml:space="preserve"> a risk that the results of the MES may not be sufficiently conclusive as a basis to draw any revised conclusions about the incremental cost-effectiveness of 4CmenB.</w:t>
      </w:r>
    </w:p>
    <w:p w:rsidR="00002DC3" w:rsidRPr="00B37AE0" w:rsidRDefault="00002DC3" w:rsidP="00002DC3">
      <w:pPr>
        <w:jc w:val="both"/>
        <w:rPr>
          <w:rFonts w:ascii="Arial" w:hAnsi="Arial"/>
          <w:sz w:val="22"/>
          <w:szCs w:val="22"/>
        </w:rPr>
      </w:pPr>
    </w:p>
    <w:p w:rsidR="00002DC3" w:rsidRPr="000E3161" w:rsidRDefault="00002DC3" w:rsidP="00002DC3">
      <w:pPr>
        <w:pStyle w:val="ListParagraph"/>
        <w:numPr>
          <w:ilvl w:val="1"/>
          <w:numId w:val="1"/>
        </w:numPr>
        <w:jc w:val="both"/>
        <w:rPr>
          <w:rFonts w:ascii="Arial" w:hAnsi="Arial"/>
          <w:sz w:val="22"/>
          <w:szCs w:val="22"/>
        </w:rPr>
      </w:pPr>
      <w:r>
        <w:rPr>
          <w:rFonts w:ascii="Arial" w:hAnsi="Arial" w:cs="Arial"/>
          <w:sz w:val="22"/>
        </w:rPr>
        <w:t xml:space="preserve">   </w:t>
      </w:r>
      <w:r w:rsidRPr="00C8529D">
        <w:rPr>
          <w:rFonts w:ascii="Arial" w:hAnsi="Arial" w:cs="Arial"/>
          <w:sz w:val="22"/>
        </w:rPr>
        <w:t xml:space="preserve">The ESC noted the proposed governance arrangements for the MES and the role of the sponsor in these arrangements. Considering the </w:t>
      </w:r>
      <w:proofErr w:type="gramStart"/>
      <w:r w:rsidRPr="00C8529D">
        <w:rPr>
          <w:rFonts w:ascii="Arial" w:hAnsi="Arial" w:cs="Arial"/>
          <w:sz w:val="22"/>
        </w:rPr>
        <w:t>vested interests</w:t>
      </w:r>
      <w:proofErr w:type="gramEnd"/>
      <w:r w:rsidRPr="00C8529D">
        <w:rPr>
          <w:rFonts w:ascii="Arial" w:hAnsi="Arial" w:cs="Arial"/>
          <w:sz w:val="22"/>
        </w:rPr>
        <w:t xml:space="preserve"> of the sponsor in the results of the MES studies, the ESC </w:t>
      </w:r>
      <w:r>
        <w:rPr>
          <w:rFonts w:ascii="Arial" w:hAnsi="Arial" w:cs="Arial"/>
          <w:sz w:val="22"/>
        </w:rPr>
        <w:t xml:space="preserve">suggested that </w:t>
      </w:r>
      <w:r w:rsidRPr="00C8529D">
        <w:rPr>
          <w:rFonts w:ascii="Arial" w:hAnsi="Arial" w:cs="Arial"/>
          <w:sz w:val="22"/>
        </w:rPr>
        <w:t>it would be appropriate for the sponsor to have only a non-determinative ex officio role on the Scientific Steering Committee.</w:t>
      </w:r>
    </w:p>
    <w:p w:rsidR="00002DC3" w:rsidRPr="000E3161" w:rsidRDefault="00002DC3" w:rsidP="00002DC3">
      <w:pPr>
        <w:pStyle w:val="ListParagraph"/>
        <w:rPr>
          <w:rFonts w:ascii="Arial" w:hAnsi="Arial"/>
          <w:sz w:val="22"/>
          <w:szCs w:val="22"/>
        </w:rPr>
      </w:pPr>
    </w:p>
    <w:p w:rsidR="00002DC3" w:rsidRPr="00656F92" w:rsidRDefault="00002DC3" w:rsidP="00002DC3">
      <w:pPr>
        <w:pStyle w:val="ListParagraph"/>
        <w:numPr>
          <w:ilvl w:val="1"/>
          <w:numId w:val="1"/>
        </w:numPr>
        <w:jc w:val="both"/>
        <w:rPr>
          <w:rFonts w:ascii="Arial" w:hAnsi="Arial" w:cs="Arial"/>
          <w:sz w:val="22"/>
          <w:szCs w:val="22"/>
        </w:rPr>
      </w:pPr>
      <w:r>
        <w:rPr>
          <w:rFonts w:ascii="Arial" w:hAnsi="Arial"/>
          <w:sz w:val="22"/>
          <w:szCs w:val="22"/>
        </w:rPr>
        <w:t xml:space="preserve">   The post-submission advice from ATAGI </w:t>
      </w:r>
      <w:proofErr w:type="gramStart"/>
      <w:r>
        <w:rPr>
          <w:rFonts w:ascii="Arial" w:hAnsi="Arial"/>
          <w:sz w:val="22"/>
          <w:szCs w:val="22"/>
        </w:rPr>
        <w:t>stated:</w:t>
      </w:r>
      <w:proofErr w:type="gramEnd"/>
      <w:r>
        <w:rPr>
          <w:rFonts w:ascii="Arial" w:hAnsi="Arial"/>
          <w:sz w:val="22"/>
          <w:szCs w:val="22"/>
        </w:rPr>
        <w:t xml:space="preserve"> </w:t>
      </w:r>
      <w:r w:rsidRPr="000E3161">
        <w:rPr>
          <w:rFonts w:ascii="Arial" w:hAnsi="Arial"/>
          <w:sz w:val="22"/>
          <w:szCs w:val="22"/>
        </w:rPr>
        <w:t>Notwithstanding the identified</w:t>
      </w:r>
      <w:r>
        <w:rPr>
          <w:rFonts w:ascii="Arial" w:hAnsi="Arial"/>
          <w:sz w:val="22"/>
          <w:szCs w:val="22"/>
        </w:rPr>
        <w:t xml:space="preserve"> </w:t>
      </w:r>
      <w:r w:rsidRPr="000E3161">
        <w:rPr>
          <w:rFonts w:ascii="Arial" w:hAnsi="Arial"/>
          <w:sz w:val="22"/>
          <w:szCs w:val="22"/>
        </w:rPr>
        <w:t>clinical uncertainties, implementation issues and challenges outlined within this and previous</w:t>
      </w:r>
      <w:r>
        <w:rPr>
          <w:rFonts w:ascii="Arial" w:hAnsi="Arial"/>
          <w:sz w:val="22"/>
          <w:szCs w:val="22"/>
        </w:rPr>
        <w:t xml:space="preserve"> </w:t>
      </w:r>
      <w:r w:rsidRPr="000E3161">
        <w:rPr>
          <w:rFonts w:ascii="Arial" w:hAnsi="Arial"/>
          <w:sz w:val="22"/>
          <w:szCs w:val="22"/>
        </w:rPr>
        <w:t>ATAGI advice, ATAGI supports inclusion of the multicomponent meningococcal B vaccine</w:t>
      </w:r>
      <w:r>
        <w:rPr>
          <w:rFonts w:ascii="Arial" w:hAnsi="Arial"/>
          <w:sz w:val="22"/>
          <w:szCs w:val="22"/>
        </w:rPr>
        <w:t xml:space="preserve"> </w:t>
      </w:r>
      <w:r w:rsidRPr="000E3161">
        <w:rPr>
          <w:rFonts w:ascii="Arial" w:hAnsi="Arial"/>
          <w:sz w:val="22"/>
          <w:szCs w:val="22"/>
        </w:rPr>
        <w:t xml:space="preserve">(4CMenB) on the National Immunisation Program (NIP) </w:t>
      </w:r>
      <w:r w:rsidRPr="000E3161">
        <w:rPr>
          <w:rFonts w:ascii="Arial" w:hAnsi="Arial"/>
          <w:sz w:val="22"/>
          <w:szCs w:val="22"/>
        </w:rPr>
        <w:lastRenderedPageBreak/>
        <w:t>through a Managed Entry</w:t>
      </w:r>
      <w:r>
        <w:rPr>
          <w:rFonts w:ascii="Arial" w:hAnsi="Arial"/>
          <w:sz w:val="22"/>
          <w:szCs w:val="22"/>
        </w:rPr>
        <w:t xml:space="preserve"> </w:t>
      </w:r>
      <w:r w:rsidRPr="000E3161">
        <w:rPr>
          <w:rFonts w:ascii="Arial" w:hAnsi="Arial"/>
          <w:sz w:val="22"/>
          <w:szCs w:val="22"/>
        </w:rPr>
        <w:t>Scheme (MES) in a 3+1 infant schedule and adolescent program.</w:t>
      </w:r>
    </w:p>
    <w:p w:rsidR="00002DC3" w:rsidRPr="00656F92" w:rsidRDefault="00002DC3" w:rsidP="00002DC3">
      <w:pPr>
        <w:pStyle w:val="ListParagraph"/>
        <w:rPr>
          <w:rFonts w:ascii="Arial" w:hAnsi="Arial" w:cs="Arial"/>
          <w:sz w:val="22"/>
          <w:szCs w:val="22"/>
        </w:rPr>
      </w:pPr>
    </w:p>
    <w:p w:rsidR="00002DC3" w:rsidRPr="00656F92" w:rsidRDefault="00002DC3" w:rsidP="00002DC3">
      <w:pPr>
        <w:pStyle w:val="ListParagraph"/>
        <w:numPr>
          <w:ilvl w:val="1"/>
          <w:numId w:val="1"/>
        </w:numPr>
        <w:jc w:val="both"/>
        <w:rPr>
          <w:rFonts w:ascii="Arial" w:hAnsi="Arial" w:cs="Arial"/>
          <w:sz w:val="22"/>
          <w:szCs w:val="22"/>
        </w:rPr>
      </w:pPr>
      <w:r>
        <w:rPr>
          <w:rFonts w:ascii="Arial" w:hAnsi="Arial" w:cs="Arial"/>
          <w:sz w:val="22"/>
          <w:szCs w:val="22"/>
        </w:rPr>
        <w:t xml:space="preserve">   </w:t>
      </w:r>
      <w:r w:rsidRPr="00656F92">
        <w:rPr>
          <w:rFonts w:ascii="Arial" w:hAnsi="Arial" w:cs="Arial"/>
          <w:sz w:val="22"/>
          <w:szCs w:val="22"/>
        </w:rPr>
        <w:t xml:space="preserve">As the NIP is a joint initiative between the Commonwealth and states and territories, the Commonwealth Chief Medical Officer (CMO) sought the views of the </w:t>
      </w:r>
      <w:r>
        <w:rPr>
          <w:rFonts w:ascii="Arial" w:hAnsi="Arial" w:cs="Arial"/>
          <w:sz w:val="22"/>
          <w:szCs w:val="22"/>
        </w:rPr>
        <w:t>Chief Health Officers (CHO) in each</w:t>
      </w:r>
      <w:r w:rsidRPr="00656F92">
        <w:rPr>
          <w:rFonts w:ascii="Arial" w:hAnsi="Arial" w:cs="Arial"/>
          <w:sz w:val="22"/>
          <w:szCs w:val="22"/>
        </w:rPr>
        <w:t xml:space="preserve"> of the states and territories about the feasibility of an MES</w:t>
      </w:r>
      <w:r>
        <w:rPr>
          <w:rFonts w:ascii="Arial" w:hAnsi="Arial" w:cs="Arial"/>
          <w:sz w:val="22"/>
          <w:szCs w:val="22"/>
        </w:rPr>
        <w:t xml:space="preserve"> and willingness to implement it in each jurisdiction.</w:t>
      </w:r>
      <w:r w:rsidRPr="00656F92">
        <w:rPr>
          <w:rFonts w:ascii="Arial" w:hAnsi="Arial" w:cs="Arial"/>
          <w:sz w:val="22"/>
          <w:szCs w:val="22"/>
        </w:rPr>
        <w:t xml:space="preserve"> </w:t>
      </w:r>
      <w:r>
        <w:rPr>
          <w:rFonts w:ascii="Arial" w:hAnsi="Arial" w:cs="Arial"/>
          <w:sz w:val="22"/>
          <w:szCs w:val="22"/>
        </w:rPr>
        <w:t>The Department’s Office of Health Protection provided a</w:t>
      </w:r>
      <w:r w:rsidRPr="00656F92">
        <w:rPr>
          <w:rFonts w:ascii="Arial" w:hAnsi="Arial" w:cs="Arial"/>
          <w:sz w:val="22"/>
          <w:szCs w:val="22"/>
        </w:rPr>
        <w:t xml:space="preserve"> consolidated response from the C</w:t>
      </w:r>
      <w:r>
        <w:rPr>
          <w:rFonts w:ascii="Arial" w:hAnsi="Arial" w:cs="Arial"/>
          <w:sz w:val="22"/>
          <w:szCs w:val="22"/>
        </w:rPr>
        <w:t>H</w:t>
      </w:r>
      <w:r w:rsidRPr="00656F92">
        <w:rPr>
          <w:rFonts w:ascii="Arial" w:hAnsi="Arial" w:cs="Arial"/>
          <w:sz w:val="22"/>
          <w:szCs w:val="22"/>
        </w:rPr>
        <w:t>Os of the states and territories</w:t>
      </w:r>
      <w:r>
        <w:rPr>
          <w:rFonts w:ascii="Arial" w:hAnsi="Arial" w:cs="Arial"/>
          <w:sz w:val="22"/>
          <w:szCs w:val="22"/>
        </w:rPr>
        <w:t>.</w:t>
      </w:r>
    </w:p>
    <w:p w:rsidR="00002DC3" w:rsidRPr="00656F92" w:rsidRDefault="00002DC3" w:rsidP="00002DC3">
      <w:pPr>
        <w:rPr>
          <w:rFonts w:ascii="Arial" w:hAnsi="Arial" w:cs="Arial"/>
          <w:sz w:val="22"/>
          <w:szCs w:val="22"/>
        </w:rPr>
      </w:pPr>
    </w:p>
    <w:p w:rsidR="00002DC3" w:rsidRPr="00C8529D" w:rsidRDefault="00002DC3" w:rsidP="00002DC3">
      <w:pPr>
        <w:pStyle w:val="ListParagraph"/>
        <w:numPr>
          <w:ilvl w:val="1"/>
          <w:numId w:val="1"/>
        </w:numPr>
        <w:jc w:val="both"/>
        <w:rPr>
          <w:rFonts w:ascii="Arial" w:hAnsi="Arial"/>
          <w:sz w:val="22"/>
          <w:szCs w:val="22"/>
        </w:rPr>
      </w:pPr>
      <w:r>
        <w:rPr>
          <w:rFonts w:ascii="Arial" w:hAnsi="Arial" w:cs="Arial"/>
          <w:sz w:val="22"/>
        </w:rPr>
        <w:t xml:space="preserve">  </w:t>
      </w:r>
      <w:r w:rsidRPr="00C8529D">
        <w:rPr>
          <w:rFonts w:ascii="Arial" w:hAnsi="Arial" w:cs="Arial"/>
          <w:sz w:val="22"/>
        </w:rPr>
        <w:t xml:space="preserve">While the scale of the MES studies should </w:t>
      </w:r>
      <w:proofErr w:type="gramStart"/>
      <w:r w:rsidRPr="00C8529D">
        <w:rPr>
          <w:rFonts w:ascii="Arial" w:hAnsi="Arial" w:cs="Arial"/>
          <w:sz w:val="22"/>
        </w:rPr>
        <w:t>take feasibility considerations into account</w:t>
      </w:r>
      <w:proofErr w:type="gramEnd"/>
      <w:r w:rsidRPr="00C8529D">
        <w:rPr>
          <w:rFonts w:ascii="Arial" w:hAnsi="Arial" w:cs="Arial"/>
          <w:sz w:val="22"/>
        </w:rPr>
        <w:t xml:space="preserve">, the ESC also noted that the sponsor’s proposed expenditure on the MES </w:t>
      </w:r>
      <w:r w:rsidRPr="00473946">
        <w:rPr>
          <w:rFonts w:ascii="Arial" w:hAnsi="Arial" w:cs="Arial"/>
          <w:sz w:val="22"/>
        </w:rPr>
        <w:t>(less than $</w:t>
      </w:r>
      <w:r>
        <w:rPr>
          <w:rFonts w:ascii="Arial" w:hAnsi="Arial" w:cs="Arial"/>
          <w:noProof/>
          <w:color w:val="000000"/>
          <w:sz w:val="22"/>
          <w:highlight w:val="black"/>
        </w:rPr>
        <w:t>'''''''''''''''''''</w:t>
      </w:r>
      <w:r w:rsidRPr="00473946">
        <w:rPr>
          <w:rFonts w:ascii="Arial" w:hAnsi="Arial" w:cs="Arial"/>
          <w:sz w:val="22"/>
        </w:rPr>
        <w:t xml:space="preserve"> over 5 years) would represent only one thousandth of the proposed net government expenditure on the 4CMenB program over the same period.</w:t>
      </w:r>
      <w:r w:rsidRPr="00C8529D">
        <w:rPr>
          <w:rFonts w:ascii="Arial" w:hAnsi="Arial" w:cs="Arial"/>
          <w:sz w:val="22"/>
        </w:rPr>
        <w:t xml:space="preserve"> As the </w:t>
      </w:r>
      <w:r>
        <w:rPr>
          <w:rFonts w:ascii="Arial" w:hAnsi="Arial" w:cs="Arial"/>
          <w:sz w:val="22"/>
        </w:rPr>
        <w:t xml:space="preserve">requested </w:t>
      </w:r>
      <w:r w:rsidRPr="00C8529D">
        <w:rPr>
          <w:rFonts w:ascii="Arial" w:hAnsi="Arial" w:cs="Arial"/>
          <w:sz w:val="22"/>
        </w:rPr>
        <w:t xml:space="preserve">price </w:t>
      </w:r>
      <w:r>
        <w:rPr>
          <w:rFonts w:ascii="Arial" w:hAnsi="Arial" w:cs="Arial"/>
          <w:sz w:val="22"/>
        </w:rPr>
        <w:t>wa</w:t>
      </w:r>
      <w:r w:rsidRPr="00C8529D">
        <w:rPr>
          <w:rFonts w:ascii="Arial" w:hAnsi="Arial" w:cs="Arial"/>
          <w:sz w:val="22"/>
        </w:rPr>
        <w:t xml:space="preserve">s larger than would be justified by the base case of the cost-effectiveness analysis, </w:t>
      </w:r>
      <w:r w:rsidRPr="00473946">
        <w:rPr>
          <w:rFonts w:ascii="Arial" w:hAnsi="Arial" w:cs="Arial"/>
          <w:sz w:val="22"/>
        </w:rPr>
        <w:t xml:space="preserve">and no prospective or retrospective rebate </w:t>
      </w:r>
      <w:proofErr w:type="gramStart"/>
      <w:r w:rsidRPr="00473946">
        <w:rPr>
          <w:rFonts w:ascii="Arial" w:hAnsi="Arial" w:cs="Arial"/>
          <w:sz w:val="22"/>
        </w:rPr>
        <w:t>was proposed</w:t>
      </w:r>
      <w:proofErr w:type="gramEnd"/>
      <w:r w:rsidRPr="00473946">
        <w:rPr>
          <w:rFonts w:ascii="Arial" w:hAnsi="Arial" w:cs="Arial"/>
          <w:sz w:val="22"/>
        </w:rPr>
        <w:t xml:space="preserve"> for the period of the MES</w:t>
      </w:r>
      <w:r w:rsidRPr="00C8529D">
        <w:rPr>
          <w:rFonts w:ascii="Arial" w:hAnsi="Arial" w:cs="Arial"/>
          <w:sz w:val="22"/>
        </w:rPr>
        <w:t xml:space="preserve">, the balance of financial risks </w:t>
      </w:r>
      <w:r>
        <w:rPr>
          <w:rFonts w:ascii="Arial" w:hAnsi="Arial" w:cs="Arial"/>
          <w:sz w:val="22"/>
        </w:rPr>
        <w:t>wa</w:t>
      </w:r>
      <w:r w:rsidRPr="00C8529D">
        <w:rPr>
          <w:rFonts w:ascii="Arial" w:hAnsi="Arial" w:cs="Arial"/>
          <w:sz w:val="22"/>
        </w:rPr>
        <w:t>s therefore very much in favour of the sponsor.</w:t>
      </w:r>
      <w:r>
        <w:rPr>
          <w:rFonts w:ascii="Arial" w:hAnsi="Arial" w:cs="Arial"/>
          <w:sz w:val="22"/>
        </w:rPr>
        <w:t xml:space="preserve"> </w:t>
      </w:r>
      <w:proofErr w:type="gramStart"/>
      <w:r w:rsidRPr="002E3E84">
        <w:rPr>
          <w:rFonts w:ascii="Arial" w:hAnsi="Arial" w:cs="Arial"/>
          <w:sz w:val="22"/>
        </w:rPr>
        <w:t>In response</w:t>
      </w:r>
      <w:r>
        <w:rPr>
          <w:rFonts w:ascii="Arial" w:hAnsi="Arial" w:cs="Arial"/>
          <w:sz w:val="22"/>
        </w:rPr>
        <w:t xml:space="preserve"> to the assessment of the MES</w:t>
      </w:r>
      <w:r w:rsidRPr="002E3E84">
        <w:rPr>
          <w:rFonts w:ascii="Arial" w:hAnsi="Arial" w:cs="Arial"/>
          <w:sz w:val="22"/>
        </w:rPr>
        <w:t xml:space="preserve">, the sponsor </w:t>
      </w:r>
      <w:r w:rsidRPr="002E3E84">
        <w:rPr>
          <w:rFonts w:ascii="Arial" w:eastAsia="MS Mincho" w:hAnsi="Arial" w:cs="Arial"/>
          <w:sz w:val="22"/>
          <w:lang w:eastAsia="ja-JP"/>
        </w:rPr>
        <w:t xml:space="preserve">committed in good faith to a reasonable increase of </w:t>
      </w:r>
      <w:r>
        <w:rPr>
          <w:rFonts w:ascii="Arial" w:eastAsia="MS Mincho" w:hAnsi="Arial" w:cs="Arial"/>
          <w:sz w:val="22"/>
          <w:lang w:eastAsia="ja-JP"/>
        </w:rPr>
        <w:t>their</w:t>
      </w:r>
      <w:r w:rsidRPr="002E3E84">
        <w:rPr>
          <w:rFonts w:ascii="Arial" w:eastAsia="MS Mincho" w:hAnsi="Arial" w:cs="Arial"/>
          <w:sz w:val="22"/>
          <w:lang w:eastAsia="ja-JP"/>
        </w:rPr>
        <w:t xml:space="preserve"> original financial commitment to the MES </w:t>
      </w:r>
      <w:r>
        <w:rPr>
          <w:rFonts w:ascii="Arial" w:eastAsia="MS Mincho" w:hAnsi="Arial" w:cs="Arial"/>
          <w:sz w:val="22"/>
          <w:lang w:eastAsia="ja-JP"/>
        </w:rPr>
        <w:t>in the Pre-PBAC response</w:t>
      </w:r>
      <w:r w:rsidRPr="002E3E84">
        <w:rPr>
          <w:rFonts w:ascii="Arial" w:eastAsia="MS Mincho" w:hAnsi="Arial" w:cs="Arial"/>
          <w:sz w:val="22"/>
          <w:lang w:eastAsia="ja-JP"/>
        </w:rPr>
        <w:t>.</w:t>
      </w:r>
      <w:proofErr w:type="gramEnd"/>
      <w:r w:rsidRPr="002E3E84">
        <w:rPr>
          <w:rFonts w:ascii="Arial" w:hAnsi="Arial" w:cs="Arial"/>
          <w:sz w:val="22"/>
        </w:rPr>
        <w:t xml:space="preserve"> </w:t>
      </w:r>
    </w:p>
    <w:p w:rsidR="00002DC3" w:rsidRPr="00B37AE0" w:rsidRDefault="00002DC3" w:rsidP="00002DC3">
      <w:pPr>
        <w:jc w:val="both"/>
        <w:rPr>
          <w:rFonts w:ascii="Arial" w:hAnsi="Arial"/>
          <w:sz w:val="22"/>
          <w:szCs w:val="22"/>
        </w:rPr>
      </w:pPr>
    </w:p>
    <w:p w:rsidR="00002DC3" w:rsidRPr="00BB7EC3" w:rsidRDefault="00002DC3" w:rsidP="00002D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002DC3" w:rsidRDefault="00002DC3" w:rsidP="00002DC3">
      <w:pPr>
        <w:jc w:val="both"/>
        <w:rPr>
          <w:rFonts w:ascii="Arial" w:hAnsi="Arial"/>
          <w:sz w:val="22"/>
          <w:szCs w:val="22"/>
        </w:rPr>
      </w:pPr>
    </w:p>
    <w:p w:rsidR="00002DC3" w:rsidRPr="00B37AE0" w:rsidRDefault="00002DC3" w:rsidP="00002DC3">
      <w:pPr>
        <w:jc w:val="both"/>
        <w:rPr>
          <w:rFonts w:ascii="Arial" w:hAnsi="Arial"/>
          <w:sz w:val="22"/>
          <w:szCs w:val="22"/>
        </w:rPr>
      </w:pPr>
    </w:p>
    <w:p w:rsidR="00002DC3" w:rsidRPr="00882085" w:rsidRDefault="00002DC3" w:rsidP="00002DC3">
      <w:pPr>
        <w:pStyle w:val="Header"/>
        <w:numPr>
          <w:ilvl w:val="0"/>
          <w:numId w:val="1"/>
        </w:numPr>
        <w:tabs>
          <w:tab w:val="clear" w:pos="4153"/>
          <w:tab w:val="clear" w:pos="8306"/>
        </w:tabs>
        <w:jc w:val="both"/>
        <w:rPr>
          <w:rFonts w:ascii="Arial" w:hAnsi="Arial"/>
          <w:b/>
          <w:sz w:val="22"/>
          <w:szCs w:val="22"/>
        </w:rPr>
      </w:pPr>
      <w:r w:rsidRPr="00882085">
        <w:rPr>
          <w:rFonts w:ascii="Arial" w:hAnsi="Arial"/>
          <w:b/>
          <w:sz w:val="22"/>
          <w:szCs w:val="22"/>
        </w:rPr>
        <w:t>PBAC Outcome</w:t>
      </w:r>
    </w:p>
    <w:p w:rsidR="00002DC3" w:rsidRPr="00B37AE0" w:rsidRDefault="00002DC3" w:rsidP="00002DC3">
      <w:pPr>
        <w:jc w:val="both"/>
        <w:rPr>
          <w:rFonts w:ascii="Arial" w:hAnsi="Arial"/>
          <w:sz w:val="22"/>
          <w:szCs w:val="22"/>
        </w:rPr>
      </w:pPr>
    </w:p>
    <w:p w:rsidR="00002DC3"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The PBAC rejected the resubmission requesting listing of the 4CMenB vaccine on the National Immunisation Program Schedule for the prevention of meningococcal B disease in infants and adolescents.</w:t>
      </w:r>
    </w:p>
    <w:p w:rsidR="00002DC3" w:rsidRPr="00B37AE0" w:rsidRDefault="00002DC3" w:rsidP="00002DC3">
      <w:pPr>
        <w:jc w:val="both"/>
        <w:rPr>
          <w:rFonts w:ascii="Arial" w:hAnsi="Arial"/>
          <w:sz w:val="22"/>
          <w:szCs w:val="22"/>
        </w:rPr>
      </w:pPr>
    </w:p>
    <w:p w:rsidR="00002DC3"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w:t>
      </w:r>
      <w:r w:rsidRPr="00833146">
        <w:rPr>
          <w:rFonts w:ascii="Arial" w:hAnsi="Arial"/>
          <w:sz w:val="22"/>
          <w:szCs w:val="22"/>
        </w:rPr>
        <w:t xml:space="preserve">The resubmission was rejected </w:t>
      </w:r>
      <w:proofErr w:type="gramStart"/>
      <w:r w:rsidRPr="00833146">
        <w:rPr>
          <w:rFonts w:ascii="Arial" w:hAnsi="Arial"/>
          <w:sz w:val="22"/>
          <w:szCs w:val="22"/>
        </w:rPr>
        <w:t>on the basis of</w:t>
      </w:r>
      <w:proofErr w:type="gramEnd"/>
      <w:r w:rsidRPr="00833146">
        <w:rPr>
          <w:rFonts w:ascii="Arial" w:hAnsi="Arial"/>
          <w:sz w:val="22"/>
          <w:szCs w:val="22"/>
        </w:rPr>
        <w:t xml:space="preserve"> a limited demonstration of, and multiple uncertainties in relation to, </w:t>
      </w:r>
      <w:r w:rsidRPr="00377A78">
        <w:rPr>
          <w:rFonts w:ascii="Arial" w:hAnsi="Arial"/>
          <w:sz w:val="22"/>
          <w:szCs w:val="22"/>
        </w:rPr>
        <w:t xml:space="preserve">the clinical effectiveness of the vaccine against the disease when delivered in a vaccination </w:t>
      </w:r>
      <w:r w:rsidRPr="00FE2825">
        <w:rPr>
          <w:rFonts w:ascii="Arial" w:hAnsi="Arial"/>
          <w:sz w:val="22"/>
          <w:szCs w:val="22"/>
        </w:rPr>
        <w:t>program</w:t>
      </w:r>
      <w:r>
        <w:rPr>
          <w:rFonts w:ascii="Arial" w:hAnsi="Arial"/>
          <w:sz w:val="22"/>
          <w:szCs w:val="22"/>
        </w:rPr>
        <w:t xml:space="preserve">, as well as an unacceptably high and uncertain ICER, including when </w:t>
      </w:r>
      <w:r w:rsidRPr="000C6A84">
        <w:rPr>
          <w:rFonts w:ascii="Arial" w:hAnsi="Arial"/>
          <w:sz w:val="22"/>
          <w:szCs w:val="22"/>
        </w:rPr>
        <w:t xml:space="preserve">based on </w:t>
      </w:r>
      <w:r>
        <w:rPr>
          <w:rFonts w:ascii="Arial" w:hAnsi="Arial"/>
          <w:sz w:val="22"/>
          <w:szCs w:val="22"/>
        </w:rPr>
        <w:t xml:space="preserve">optimistic </w:t>
      </w:r>
      <w:r w:rsidRPr="000C6A84">
        <w:rPr>
          <w:rFonts w:ascii="Arial" w:hAnsi="Arial"/>
          <w:sz w:val="22"/>
          <w:szCs w:val="22"/>
        </w:rPr>
        <w:t>assumptions about the extent and duration of effect and herd immunity.</w:t>
      </w:r>
    </w:p>
    <w:p w:rsidR="00002DC3" w:rsidRPr="00B37AE0" w:rsidRDefault="00002DC3" w:rsidP="00002DC3">
      <w:pPr>
        <w:rPr>
          <w:rFonts w:ascii="Arial" w:hAnsi="Arial"/>
          <w:sz w:val="22"/>
          <w:szCs w:val="22"/>
        </w:rPr>
      </w:pPr>
    </w:p>
    <w:p w:rsidR="00002DC3"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The PBAC noted the clinical need for vaccination against meningococcal B disease considering the rapid onset of disease following infection, and given </w:t>
      </w:r>
      <w:proofErr w:type="gramStart"/>
      <w:r>
        <w:rPr>
          <w:rFonts w:ascii="Arial" w:hAnsi="Arial"/>
          <w:sz w:val="22"/>
          <w:szCs w:val="22"/>
        </w:rPr>
        <w:t>that</w:t>
      </w:r>
      <w:proofErr w:type="gramEnd"/>
      <w:r>
        <w:rPr>
          <w:rFonts w:ascii="Arial" w:hAnsi="Arial"/>
          <w:sz w:val="22"/>
          <w:szCs w:val="22"/>
        </w:rPr>
        <w:t xml:space="preserve"> clinical improvements in the diagnosis and management of the infection have had little impact on IMD outcomes. The PBAC noted the strong consumer support for this submission, highlighting the community’s desire to overcome IMD and its consequences.</w:t>
      </w:r>
    </w:p>
    <w:p w:rsidR="00002DC3" w:rsidRPr="00B37AE0" w:rsidRDefault="00002DC3" w:rsidP="00002DC3">
      <w:pPr>
        <w:rPr>
          <w:rFonts w:ascii="Arial" w:hAnsi="Arial"/>
          <w:sz w:val="22"/>
          <w:szCs w:val="22"/>
        </w:rPr>
      </w:pPr>
    </w:p>
    <w:p w:rsidR="00002DC3"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The PBAC agreed that the nominated comparator was appropriate, given that no vaccine against meningococcal B infection is currently available.</w:t>
      </w:r>
    </w:p>
    <w:p w:rsidR="00002DC3" w:rsidRPr="00B37AE0" w:rsidRDefault="00002DC3" w:rsidP="00002DC3">
      <w:pPr>
        <w:rPr>
          <w:rFonts w:ascii="Arial" w:hAnsi="Arial"/>
          <w:sz w:val="22"/>
          <w:szCs w:val="22"/>
        </w:rPr>
      </w:pPr>
    </w:p>
    <w:p w:rsidR="00002DC3"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w:t>
      </w:r>
      <w:r w:rsidRPr="001B78BA">
        <w:rPr>
          <w:rFonts w:ascii="Arial" w:hAnsi="Arial"/>
          <w:sz w:val="22"/>
          <w:szCs w:val="22"/>
        </w:rPr>
        <w:t xml:space="preserve">The PBAC noted that no direct evidence </w:t>
      </w:r>
      <w:proofErr w:type="gramStart"/>
      <w:r w:rsidRPr="001B78BA">
        <w:rPr>
          <w:rFonts w:ascii="Arial" w:hAnsi="Arial"/>
          <w:sz w:val="22"/>
          <w:szCs w:val="22"/>
        </w:rPr>
        <w:t>was presented</w:t>
      </w:r>
      <w:proofErr w:type="gramEnd"/>
      <w:r w:rsidRPr="001B78BA">
        <w:rPr>
          <w:rFonts w:ascii="Arial" w:hAnsi="Arial"/>
          <w:sz w:val="22"/>
          <w:szCs w:val="22"/>
        </w:rPr>
        <w:t xml:space="preserve"> regarding vaccine efficacy against infection and disease.</w:t>
      </w:r>
      <w:r>
        <w:rPr>
          <w:rFonts w:ascii="Arial" w:hAnsi="Arial"/>
          <w:sz w:val="22"/>
          <w:szCs w:val="22"/>
        </w:rPr>
        <w:t xml:space="preserve"> The PBAC acknowledged the limitations in conducting randomised controlled trials measuring clinical outcomes for this vaccine due to the nature of the disease and the low number of total cases in Australia; </w:t>
      </w:r>
      <w:proofErr w:type="gramStart"/>
      <w:r>
        <w:rPr>
          <w:rFonts w:ascii="Arial" w:hAnsi="Arial"/>
          <w:sz w:val="22"/>
          <w:szCs w:val="22"/>
        </w:rPr>
        <w:t>however</w:t>
      </w:r>
      <w:proofErr w:type="gramEnd"/>
      <w:r>
        <w:rPr>
          <w:rFonts w:ascii="Arial" w:hAnsi="Arial"/>
          <w:sz w:val="22"/>
          <w:szCs w:val="22"/>
        </w:rPr>
        <w:t xml:space="preserve"> this lack of directly relevant data leads to multiple uncertainties in relation to the magnitude of clinical effectiveness against the disease.</w:t>
      </w:r>
    </w:p>
    <w:p w:rsidR="00002DC3" w:rsidRPr="00B37AE0" w:rsidRDefault="00002DC3" w:rsidP="00002DC3">
      <w:pPr>
        <w:rPr>
          <w:rFonts w:ascii="Arial" w:hAnsi="Arial"/>
          <w:sz w:val="22"/>
          <w:szCs w:val="22"/>
        </w:rPr>
      </w:pPr>
    </w:p>
    <w:p w:rsidR="00002DC3"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The PBAC reaffirmed its November 2013 conclusion that the vaccine is effective in inducing antibodies against the component antigens of 4CMenB. </w:t>
      </w:r>
      <w:proofErr w:type="gramStart"/>
      <w:r>
        <w:rPr>
          <w:rFonts w:ascii="Arial" w:hAnsi="Arial"/>
          <w:sz w:val="22"/>
          <w:szCs w:val="22"/>
        </w:rPr>
        <w:t xml:space="preserve">However, in the </w:t>
      </w:r>
      <w:r>
        <w:rPr>
          <w:rFonts w:ascii="Arial" w:hAnsi="Arial"/>
          <w:sz w:val="22"/>
          <w:szCs w:val="22"/>
        </w:rPr>
        <w:lastRenderedPageBreak/>
        <w:t xml:space="preserve">context of a population-based intervention against IMD, the Committee considered the clinical claim was highly uncertain because of the likely short persistence of the antibody response, </w:t>
      </w:r>
      <w:r w:rsidRPr="006B024E">
        <w:rPr>
          <w:rFonts w:ascii="Arial" w:hAnsi="Arial"/>
          <w:sz w:val="22"/>
          <w:szCs w:val="22"/>
        </w:rPr>
        <w:t xml:space="preserve">uncertainty about the correlation between antibody responses and protection, </w:t>
      </w:r>
      <w:r>
        <w:rPr>
          <w:rFonts w:ascii="Arial" w:hAnsi="Arial"/>
          <w:sz w:val="22"/>
          <w:szCs w:val="22"/>
        </w:rPr>
        <w:t xml:space="preserve">the unknown effect on carriage of the bacteria, the overall uncertain long-term protective efficacy against infection and disease, </w:t>
      </w:r>
      <w:r w:rsidRPr="006B024E">
        <w:rPr>
          <w:rFonts w:ascii="Arial" w:hAnsi="Arial"/>
          <w:sz w:val="22"/>
          <w:szCs w:val="22"/>
        </w:rPr>
        <w:t>and the unknown influence of projected herd immunity effects on overall disease burden</w:t>
      </w:r>
      <w:r>
        <w:rPr>
          <w:rFonts w:ascii="Arial" w:hAnsi="Arial"/>
          <w:sz w:val="22"/>
          <w:szCs w:val="22"/>
        </w:rPr>
        <w:t>.</w:t>
      </w:r>
      <w:proofErr w:type="gramEnd"/>
    </w:p>
    <w:p w:rsidR="00002DC3" w:rsidRPr="00B37AE0" w:rsidRDefault="00002DC3" w:rsidP="00002DC3">
      <w:pPr>
        <w:rPr>
          <w:rFonts w:ascii="Arial" w:hAnsi="Arial"/>
          <w:sz w:val="22"/>
          <w:szCs w:val="22"/>
        </w:rPr>
      </w:pPr>
    </w:p>
    <w:p w:rsidR="00002DC3"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w:t>
      </w:r>
      <w:r w:rsidRPr="008D4698">
        <w:rPr>
          <w:rFonts w:ascii="Arial" w:hAnsi="Arial"/>
          <w:sz w:val="22"/>
          <w:szCs w:val="22"/>
        </w:rPr>
        <w:t xml:space="preserve">The PBAC </w:t>
      </w:r>
      <w:r>
        <w:rPr>
          <w:rFonts w:ascii="Arial" w:hAnsi="Arial"/>
          <w:sz w:val="22"/>
          <w:szCs w:val="22"/>
        </w:rPr>
        <w:t xml:space="preserve">reaffirmed its </w:t>
      </w:r>
      <w:r w:rsidRPr="008D4698">
        <w:rPr>
          <w:rFonts w:ascii="Arial" w:hAnsi="Arial"/>
          <w:sz w:val="22"/>
          <w:szCs w:val="22"/>
        </w:rPr>
        <w:t xml:space="preserve">November 2013 </w:t>
      </w:r>
      <w:r>
        <w:rPr>
          <w:rFonts w:ascii="Arial" w:hAnsi="Arial"/>
          <w:sz w:val="22"/>
          <w:szCs w:val="22"/>
        </w:rPr>
        <w:t xml:space="preserve">conclusion </w:t>
      </w:r>
      <w:r w:rsidRPr="008D4698">
        <w:rPr>
          <w:rFonts w:ascii="Arial" w:hAnsi="Arial"/>
          <w:sz w:val="22"/>
          <w:szCs w:val="22"/>
        </w:rPr>
        <w:t xml:space="preserve">that the rates of fever in infant participants of the trials </w:t>
      </w:r>
      <w:r w:rsidRPr="00A151EA">
        <w:rPr>
          <w:rFonts w:ascii="Arial" w:hAnsi="Arial"/>
          <w:sz w:val="22"/>
          <w:szCs w:val="22"/>
        </w:rPr>
        <w:t xml:space="preserve">receiving the vaccine </w:t>
      </w:r>
      <w:r>
        <w:rPr>
          <w:rFonts w:ascii="Arial" w:hAnsi="Arial"/>
          <w:sz w:val="22"/>
          <w:szCs w:val="22"/>
        </w:rPr>
        <w:t xml:space="preserve">would indicate </w:t>
      </w:r>
      <w:r w:rsidRPr="00A151EA">
        <w:rPr>
          <w:rFonts w:ascii="Arial" w:hAnsi="Arial"/>
          <w:sz w:val="22"/>
          <w:szCs w:val="22"/>
        </w:rPr>
        <w:t>that prophylactic paracetamol would be appropriate</w:t>
      </w:r>
      <w:r>
        <w:rPr>
          <w:rFonts w:ascii="Arial" w:hAnsi="Arial"/>
          <w:sz w:val="22"/>
          <w:szCs w:val="22"/>
        </w:rPr>
        <w:t xml:space="preserve"> so that </w:t>
      </w:r>
      <w:r w:rsidRPr="008D4698">
        <w:rPr>
          <w:rFonts w:ascii="Arial" w:hAnsi="Arial"/>
          <w:sz w:val="22"/>
          <w:szCs w:val="22"/>
        </w:rPr>
        <w:t xml:space="preserve">the local transient </w:t>
      </w:r>
      <w:proofErr w:type="spellStart"/>
      <w:r w:rsidRPr="008D4698">
        <w:rPr>
          <w:rFonts w:ascii="Arial" w:hAnsi="Arial"/>
          <w:sz w:val="22"/>
          <w:szCs w:val="22"/>
        </w:rPr>
        <w:t>reactogenicity</w:t>
      </w:r>
      <w:proofErr w:type="spellEnd"/>
      <w:r w:rsidRPr="008D4698">
        <w:rPr>
          <w:rFonts w:ascii="Arial" w:hAnsi="Arial"/>
          <w:sz w:val="22"/>
          <w:szCs w:val="22"/>
        </w:rPr>
        <w:t xml:space="preserve"> of 4CMenB w</w:t>
      </w:r>
      <w:r>
        <w:rPr>
          <w:rFonts w:ascii="Arial" w:hAnsi="Arial"/>
          <w:sz w:val="22"/>
          <w:szCs w:val="22"/>
        </w:rPr>
        <w:t xml:space="preserve">ould not be </w:t>
      </w:r>
      <w:r w:rsidRPr="008D4698">
        <w:rPr>
          <w:rFonts w:ascii="Arial" w:hAnsi="Arial"/>
          <w:sz w:val="22"/>
          <w:szCs w:val="22"/>
        </w:rPr>
        <w:t>different to routine vaccination</w:t>
      </w:r>
      <w:r w:rsidRPr="00A151EA">
        <w:rPr>
          <w:rFonts w:ascii="Arial" w:hAnsi="Arial"/>
          <w:sz w:val="22"/>
          <w:szCs w:val="22"/>
        </w:rPr>
        <w:t>.</w:t>
      </w:r>
      <w:r w:rsidRPr="008D4698">
        <w:rPr>
          <w:rFonts w:ascii="Arial" w:hAnsi="Arial"/>
          <w:sz w:val="22"/>
          <w:szCs w:val="22"/>
        </w:rPr>
        <w:t xml:space="preserve"> </w:t>
      </w:r>
      <w:r>
        <w:rPr>
          <w:rFonts w:ascii="Arial" w:hAnsi="Arial"/>
          <w:sz w:val="22"/>
          <w:szCs w:val="22"/>
        </w:rPr>
        <w:t>However, t</w:t>
      </w:r>
      <w:r w:rsidRPr="008D4698">
        <w:rPr>
          <w:rFonts w:ascii="Arial" w:hAnsi="Arial"/>
          <w:sz w:val="22"/>
          <w:szCs w:val="22"/>
        </w:rPr>
        <w:t xml:space="preserve">he PBAC </w:t>
      </w:r>
      <w:r>
        <w:rPr>
          <w:rFonts w:ascii="Arial" w:hAnsi="Arial"/>
          <w:sz w:val="22"/>
          <w:szCs w:val="22"/>
        </w:rPr>
        <w:t xml:space="preserve">also </w:t>
      </w:r>
      <w:r w:rsidRPr="008D4698">
        <w:rPr>
          <w:rFonts w:ascii="Arial" w:hAnsi="Arial"/>
          <w:sz w:val="22"/>
          <w:szCs w:val="22"/>
        </w:rPr>
        <w:t xml:space="preserve">noted that the impact of, and compliance with, this recommendation is unknown, and that a </w:t>
      </w:r>
      <w:r>
        <w:rPr>
          <w:rFonts w:ascii="Arial" w:hAnsi="Arial"/>
          <w:sz w:val="22"/>
          <w:szCs w:val="22"/>
        </w:rPr>
        <w:t xml:space="preserve">wider </w:t>
      </w:r>
      <w:r w:rsidRPr="008D4698">
        <w:rPr>
          <w:rFonts w:ascii="Arial" w:hAnsi="Arial"/>
          <w:sz w:val="22"/>
          <w:szCs w:val="22"/>
        </w:rPr>
        <w:t xml:space="preserve">loss of confidence in </w:t>
      </w:r>
      <w:r>
        <w:rPr>
          <w:rFonts w:ascii="Arial" w:hAnsi="Arial"/>
          <w:sz w:val="22"/>
          <w:szCs w:val="22"/>
        </w:rPr>
        <w:t>the National Immunisation Program</w:t>
      </w:r>
      <w:r w:rsidRPr="008D4698">
        <w:rPr>
          <w:rFonts w:ascii="Arial" w:hAnsi="Arial"/>
          <w:sz w:val="22"/>
          <w:szCs w:val="22"/>
        </w:rPr>
        <w:t xml:space="preserve"> </w:t>
      </w:r>
      <w:r>
        <w:rPr>
          <w:rFonts w:ascii="Arial" w:hAnsi="Arial"/>
          <w:sz w:val="22"/>
          <w:szCs w:val="22"/>
        </w:rPr>
        <w:t>may arise from concerns about increased rates of fever and convulsions. In the absence of effective prophylaxis, the relatively high frequency of adverse events reported in the trials compared to the relatively low frequency of modelled benefits would suggest a less favourable balance of benefits and harms. From</w:t>
      </w:r>
      <w:r w:rsidRPr="00002DC3">
        <w:rPr>
          <w:sz w:val="16"/>
          <w:szCs w:val="16"/>
        </w:rPr>
        <w:t xml:space="preserve"> </w:t>
      </w:r>
      <w:r>
        <w:rPr>
          <w:rFonts w:ascii="Arial" w:hAnsi="Arial"/>
          <w:sz w:val="22"/>
          <w:szCs w:val="22"/>
        </w:rPr>
        <w:t xml:space="preserve"> the table summarising the modelled benefits and harms observed in the trials, for every extra death averted over five years, there would be about 100 (272,224/2,500) febrile seizures, and for every case of IMD averted, there would be about 4 (10,532/2,500) febrile seizures. As suggested by ESC, the PBAC also noted that safety in adolescents appears acceptable.</w:t>
      </w:r>
    </w:p>
    <w:p w:rsidR="00002DC3" w:rsidRPr="008D4698" w:rsidRDefault="00002DC3" w:rsidP="00002DC3">
      <w:pPr>
        <w:jc w:val="both"/>
        <w:rPr>
          <w:rFonts w:ascii="Arial" w:hAnsi="Arial"/>
          <w:sz w:val="22"/>
          <w:szCs w:val="22"/>
        </w:rPr>
      </w:pPr>
    </w:p>
    <w:p w:rsidR="00002DC3" w:rsidRPr="000C6A84"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w:t>
      </w:r>
      <w:r w:rsidRPr="000C6A84">
        <w:rPr>
          <w:rFonts w:ascii="Arial" w:hAnsi="Arial"/>
          <w:sz w:val="22"/>
          <w:szCs w:val="22"/>
        </w:rPr>
        <w:t xml:space="preserve">The PBAC concluded that the </w:t>
      </w:r>
      <w:r>
        <w:rPr>
          <w:rFonts w:ascii="Arial" w:hAnsi="Arial"/>
          <w:sz w:val="22"/>
          <w:szCs w:val="22"/>
        </w:rPr>
        <w:t xml:space="preserve">re-submission’s base case </w:t>
      </w:r>
      <w:r w:rsidRPr="000C6A84">
        <w:rPr>
          <w:rFonts w:ascii="Arial" w:hAnsi="Arial"/>
          <w:sz w:val="22"/>
          <w:szCs w:val="22"/>
        </w:rPr>
        <w:t xml:space="preserve">ICER </w:t>
      </w:r>
      <w:r>
        <w:rPr>
          <w:rFonts w:ascii="Arial" w:hAnsi="Arial"/>
          <w:sz w:val="22"/>
          <w:szCs w:val="22"/>
        </w:rPr>
        <w:t xml:space="preserve">of more than $200,000/QALY </w:t>
      </w:r>
      <w:r w:rsidRPr="000C6A84">
        <w:rPr>
          <w:rFonts w:ascii="Arial" w:hAnsi="Arial"/>
          <w:sz w:val="22"/>
          <w:szCs w:val="22"/>
        </w:rPr>
        <w:t xml:space="preserve">was unacceptably high and was based on uncertain </w:t>
      </w:r>
      <w:r>
        <w:rPr>
          <w:rFonts w:ascii="Arial" w:hAnsi="Arial"/>
          <w:sz w:val="22"/>
          <w:szCs w:val="22"/>
        </w:rPr>
        <w:t xml:space="preserve">and optimistic </w:t>
      </w:r>
      <w:r w:rsidRPr="000C6A84">
        <w:rPr>
          <w:rFonts w:ascii="Arial" w:hAnsi="Arial"/>
          <w:sz w:val="22"/>
          <w:szCs w:val="22"/>
        </w:rPr>
        <w:t>assumptions about the extent and duration of effect and herd immunity</w:t>
      </w:r>
      <w:r>
        <w:rPr>
          <w:rFonts w:ascii="Arial" w:hAnsi="Arial"/>
          <w:sz w:val="22"/>
          <w:szCs w:val="22"/>
        </w:rPr>
        <w:t xml:space="preserve">, noting particularly </w:t>
      </w:r>
      <w:r w:rsidRPr="0014488F">
        <w:rPr>
          <w:rFonts w:ascii="Arial" w:hAnsi="Arial" w:cs="Arial"/>
          <w:sz w:val="22"/>
        </w:rPr>
        <w:t xml:space="preserve">the ESC </w:t>
      </w:r>
      <w:r>
        <w:rPr>
          <w:rFonts w:ascii="Arial" w:hAnsi="Arial" w:cs="Arial"/>
          <w:sz w:val="22"/>
        </w:rPr>
        <w:t xml:space="preserve">and ATAGI doubts about the </w:t>
      </w:r>
      <w:r w:rsidRPr="0014488F">
        <w:rPr>
          <w:rFonts w:ascii="Arial" w:hAnsi="Arial" w:cs="Arial"/>
          <w:sz w:val="22"/>
        </w:rPr>
        <w:t>vaccine</w:t>
      </w:r>
      <w:r>
        <w:rPr>
          <w:rFonts w:ascii="Arial" w:hAnsi="Arial" w:cs="Arial"/>
          <w:sz w:val="22"/>
        </w:rPr>
        <w:t>’s</w:t>
      </w:r>
      <w:r w:rsidRPr="0014488F">
        <w:rPr>
          <w:rFonts w:ascii="Arial" w:hAnsi="Arial" w:cs="Arial"/>
          <w:sz w:val="22"/>
        </w:rPr>
        <w:t xml:space="preserve"> effectiveness against NHBA</w:t>
      </w:r>
      <w:r w:rsidRPr="000C6A84">
        <w:rPr>
          <w:rFonts w:ascii="Arial" w:hAnsi="Arial"/>
          <w:sz w:val="22"/>
          <w:szCs w:val="22"/>
        </w:rPr>
        <w:t xml:space="preserve">. The </w:t>
      </w:r>
      <w:r>
        <w:rPr>
          <w:rFonts w:ascii="Arial" w:hAnsi="Arial"/>
          <w:sz w:val="22"/>
          <w:szCs w:val="22"/>
        </w:rPr>
        <w:t xml:space="preserve">PBAC noted the sensitivity analysis based on a further highly optimistic scenario resulted in an ICER of $105,000/QALY - $200,000/QALY, which was also unacceptably high. The PBAC </w:t>
      </w:r>
      <w:r w:rsidRPr="000C6A84">
        <w:rPr>
          <w:rFonts w:ascii="Arial" w:hAnsi="Arial"/>
          <w:sz w:val="22"/>
          <w:szCs w:val="22"/>
        </w:rPr>
        <w:t xml:space="preserve">considered that </w:t>
      </w:r>
      <w:r>
        <w:rPr>
          <w:rFonts w:ascii="Arial" w:hAnsi="Arial"/>
          <w:sz w:val="22"/>
          <w:szCs w:val="22"/>
        </w:rPr>
        <w:t xml:space="preserve">before </w:t>
      </w:r>
      <w:r w:rsidRPr="000C6A84">
        <w:rPr>
          <w:rFonts w:ascii="Arial" w:hAnsi="Arial"/>
          <w:sz w:val="22"/>
          <w:szCs w:val="22"/>
        </w:rPr>
        <w:t xml:space="preserve">NIP listing </w:t>
      </w:r>
      <w:proofErr w:type="gramStart"/>
      <w:r>
        <w:rPr>
          <w:rFonts w:ascii="Arial" w:hAnsi="Arial"/>
          <w:sz w:val="22"/>
          <w:szCs w:val="22"/>
        </w:rPr>
        <w:t>could be reconsidered</w:t>
      </w:r>
      <w:proofErr w:type="gramEnd"/>
      <w:r>
        <w:rPr>
          <w:rFonts w:ascii="Arial" w:hAnsi="Arial"/>
          <w:sz w:val="22"/>
          <w:szCs w:val="22"/>
        </w:rPr>
        <w:t xml:space="preserve">, there would have to be a proposal for </w:t>
      </w:r>
      <w:r w:rsidRPr="000C6A84">
        <w:rPr>
          <w:rFonts w:ascii="Arial" w:hAnsi="Arial"/>
          <w:sz w:val="22"/>
          <w:szCs w:val="22"/>
        </w:rPr>
        <w:t>a</w:t>
      </w:r>
      <w:r>
        <w:rPr>
          <w:rFonts w:ascii="Arial" w:hAnsi="Arial"/>
          <w:sz w:val="22"/>
          <w:szCs w:val="22"/>
        </w:rPr>
        <w:t xml:space="preserve"> </w:t>
      </w:r>
      <w:r w:rsidRPr="000C6A84">
        <w:rPr>
          <w:rFonts w:ascii="Arial" w:hAnsi="Arial"/>
          <w:sz w:val="22"/>
          <w:szCs w:val="22"/>
        </w:rPr>
        <w:t xml:space="preserve">price that produces an acceptable ICER as </w:t>
      </w:r>
      <w:r>
        <w:rPr>
          <w:rFonts w:ascii="Arial" w:hAnsi="Arial"/>
          <w:sz w:val="22"/>
          <w:szCs w:val="22"/>
        </w:rPr>
        <w:t>a basis for a PBAC recommendation to list. The PBAC agreed with the ESC that a reduction in price of the vaccine to align the ICER at no greater than the previous submission (</w:t>
      </w:r>
      <w:proofErr w:type="spellStart"/>
      <w:r>
        <w:rPr>
          <w:rFonts w:ascii="Arial" w:hAnsi="Arial"/>
          <w:sz w:val="22"/>
          <w:szCs w:val="22"/>
        </w:rPr>
        <w:t>ie</w:t>
      </w:r>
      <w:proofErr w:type="spellEnd"/>
      <w:r>
        <w:rPr>
          <w:rFonts w:ascii="Arial" w:hAnsi="Arial"/>
          <w:sz w:val="22"/>
          <w:szCs w:val="22"/>
        </w:rPr>
        <w:t xml:space="preserve"> $45</w:t>
      </w:r>
      <w:r w:rsidRPr="00C8529D">
        <w:rPr>
          <w:rFonts w:ascii="Arial" w:hAnsi="Arial" w:cs="Arial"/>
          <w:sz w:val="22"/>
          <w:szCs w:val="22"/>
        </w:rPr>
        <w:t>,</w:t>
      </w:r>
      <w:r>
        <w:rPr>
          <w:rFonts w:ascii="Arial" w:hAnsi="Arial" w:cs="Arial"/>
          <w:sz w:val="22"/>
          <w:szCs w:val="22"/>
        </w:rPr>
        <w:t>000</w:t>
      </w:r>
      <w:r>
        <w:rPr>
          <w:rFonts w:ascii="Arial" w:hAnsi="Arial"/>
          <w:sz w:val="22"/>
          <w:szCs w:val="22"/>
        </w:rPr>
        <w:t>/QALY - $75,000/QALY) was likely to be the only available option for further PBAC consideration.</w:t>
      </w:r>
    </w:p>
    <w:p w:rsidR="00002DC3" w:rsidRPr="0001147F" w:rsidRDefault="00002DC3" w:rsidP="00002DC3">
      <w:pPr>
        <w:jc w:val="both"/>
        <w:rPr>
          <w:rFonts w:ascii="Arial" w:hAnsi="Arial"/>
          <w:sz w:val="22"/>
          <w:szCs w:val="22"/>
        </w:rPr>
      </w:pPr>
    </w:p>
    <w:p w:rsidR="00002DC3"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w:t>
      </w:r>
      <w:r w:rsidRPr="0001147F">
        <w:rPr>
          <w:rFonts w:ascii="Arial" w:hAnsi="Arial"/>
          <w:sz w:val="22"/>
          <w:szCs w:val="22"/>
        </w:rPr>
        <w:t xml:space="preserve">The ICER remains highly sensitive to the discount rates applied to costs and outcomes. </w:t>
      </w:r>
      <w:r>
        <w:rPr>
          <w:rFonts w:ascii="Arial" w:hAnsi="Arial"/>
          <w:sz w:val="22"/>
          <w:szCs w:val="22"/>
        </w:rPr>
        <w:t xml:space="preserve">The PBAC noted the sponsor’s proposal </w:t>
      </w:r>
      <w:r w:rsidRPr="00377A78">
        <w:rPr>
          <w:rFonts w:ascii="Arial" w:hAnsi="Arial"/>
          <w:sz w:val="22"/>
          <w:szCs w:val="22"/>
        </w:rPr>
        <w:t xml:space="preserve">of </w:t>
      </w:r>
      <w:r w:rsidRPr="00377A78">
        <w:rPr>
          <w:rFonts w:ascii="Arial" w:hAnsi="Arial" w:cs="Arial"/>
          <w:sz w:val="22"/>
          <w:szCs w:val="22"/>
        </w:rPr>
        <w:t xml:space="preserve">a </w:t>
      </w:r>
      <w:r w:rsidRPr="00377A78">
        <w:rPr>
          <w:rFonts w:ascii="Arial" w:hAnsi="Arial" w:cs="Arial"/>
          <w:sz w:val="22"/>
          <w:lang w:eastAsia="ja-JP"/>
        </w:rPr>
        <w:t xml:space="preserve">stepped non-differential discounting method with a price reduction after </w:t>
      </w:r>
      <w:r>
        <w:rPr>
          <w:rFonts w:ascii="Arial" w:hAnsi="Arial" w:cs="Arial"/>
          <w:noProof/>
          <w:color w:val="000000"/>
          <w:sz w:val="22"/>
          <w:highlight w:val="black"/>
          <w:lang w:eastAsia="ja-JP"/>
        </w:rPr>
        <w:t>'''''' '''''''''''''</w:t>
      </w:r>
      <w:r w:rsidRPr="00377A78">
        <w:rPr>
          <w:rFonts w:ascii="Arial" w:hAnsi="Arial" w:cs="Arial"/>
          <w:sz w:val="22"/>
          <w:lang w:eastAsia="ja-JP"/>
        </w:rPr>
        <w:t>.</w:t>
      </w:r>
      <w:r>
        <w:rPr>
          <w:rFonts w:ascii="Arial" w:hAnsi="Arial" w:cs="Arial"/>
          <w:sz w:val="22"/>
          <w:lang w:eastAsia="ja-JP"/>
        </w:rPr>
        <w:t xml:space="preserve"> The PBAC considered that the resulting ICER of </w:t>
      </w:r>
      <w:r w:rsidRPr="00036C38">
        <w:rPr>
          <w:rFonts w:ascii="Arial" w:eastAsia="MS Mincho" w:hAnsi="Arial" w:cs="Arial"/>
          <w:sz w:val="22"/>
          <w:lang w:eastAsia="ja-JP"/>
        </w:rPr>
        <w:t>$</w:t>
      </w:r>
      <w:r>
        <w:rPr>
          <w:rFonts w:ascii="Arial" w:eastAsia="MS Mincho" w:hAnsi="Arial" w:cs="Arial"/>
          <w:sz w:val="22"/>
          <w:lang w:eastAsia="ja-JP"/>
        </w:rPr>
        <w:t>45,000</w:t>
      </w:r>
      <w:r>
        <w:rPr>
          <w:rFonts w:ascii="Arial" w:hAnsi="Arial" w:cs="Arial"/>
          <w:sz w:val="22"/>
          <w:lang w:eastAsia="ja-JP"/>
        </w:rPr>
        <w:t xml:space="preserve">/QALY - $75,000/QALY was not acceptable. </w:t>
      </w:r>
      <w:r w:rsidRPr="0001147F">
        <w:rPr>
          <w:rFonts w:ascii="Arial" w:hAnsi="Arial"/>
          <w:sz w:val="22"/>
          <w:szCs w:val="22"/>
        </w:rPr>
        <w:t xml:space="preserve">The PBAC reaffirmed </w:t>
      </w:r>
      <w:r>
        <w:rPr>
          <w:rFonts w:ascii="Arial" w:hAnsi="Arial"/>
          <w:sz w:val="22"/>
          <w:szCs w:val="22"/>
        </w:rPr>
        <w:t xml:space="preserve">its </w:t>
      </w:r>
      <w:r w:rsidRPr="0001147F">
        <w:rPr>
          <w:rFonts w:ascii="Arial" w:hAnsi="Arial"/>
          <w:sz w:val="22"/>
          <w:szCs w:val="22"/>
        </w:rPr>
        <w:t>preference for a</w:t>
      </w:r>
      <w:r>
        <w:rPr>
          <w:rFonts w:ascii="Arial" w:hAnsi="Arial"/>
          <w:sz w:val="22"/>
          <w:szCs w:val="22"/>
        </w:rPr>
        <w:t>pplying a</w:t>
      </w:r>
      <w:r w:rsidRPr="0001147F">
        <w:rPr>
          <w:rFonts w:ascii="Arial" w:hAnsi="Arial"/>
          <w:sz w:val="22"/>
          <w:szCs w:val="22"/>
        </w:rPr>
        <w:t xml:space="preserve"> discount rate of 5% </w:t>
      </w:r>
      <w:r w:rsidRPr="00C8529D">
        <w:rPr>
          <w:rFonts w:ascii="Arial" w:hAnsi="Arial" w:cs="Arial"/>
          <w:sz w:val="22"/>
          <w:szCs w:val="22"/>
        </w:rPr>
        <w:t>p</w:t>
      </w:r>
      <w:r>
        <w:rPr>
          <w:rFonts w:ascii="Arial" w:hAnsi="Arial" w:cs="Arial"/>
          <w:sz w:val="22"/>
          <w:szCs w:val="22"/>
        </w:rPr>
        <w:t>er annum</w:t>
      </w:r>
      <w:r>
        <w:rPr>
          <w:rFonts w:ascii="Arial" w:hAnsi="Arial"/>
          <w:sz w:val="22"/>
          <w:szCs w:val="22"/>
        </w:rPr>
        <w:t xml:space="preserve"> </w:t>
      </w:r>
      <w:r w:rsidRPr="0001147F">
        <w:rPr>
          <w:rFonts w:ascii="Arial" w:hAnsi="Arial"/>
          <w:sz w:val="22"/>
          <w:szCs w:val="22"/>
        </w:rPr>
        <w:t>for both costs and outcomes</w:t>
      </w:r>
      <w:r>
        <w:rPr>
          <w:rFonts w:ascii="Arial" w:hAnsi="Arial"/>
          <w:sz w:val="22"/>
          <w:szCs w:val="22"/>
        </w:rPr>
        <w:t xml:space="preserve">. The PBAC considered that this </w:t>
      </w:r>
      <w:proofErr w:type="gramStart"/>
      <w:r>
        <w:rPr>
          <w:rFonts w:ascii="Arial" w:hAnsi="Arial"/>
          <w:sz w:val="22"/>
          <w:szCs w:val="22"/>
        </w:rPr>
        <w:t>was supported</w:t>
      </w:r>
      <w:proofErr w:type="gramEnd"/>
      <w:r>
        <w:rPr>
          <w:rFonts w:ascii="Arial" w:hAnsi="Arial"/>
          <w:sz w:val="22"/>
          <w:szCs w:val="22"/>
        </w:rPr>
        <w:t xml:space="preserve"> by the brief review of the literature on discounting in the commentary and by the ESC advice, which emphasised the importance of adopting a consistent approach on discounting across all evaluations. </w:t>
      </w:r>
    </w:p>
    <w:p w:rsidR="00002DC3" w:rsidRPr="00F92A11" w:rsidRDefault="00002DC3" w:rsidP="00002DC3">
      <w:pPr>
        <w:pStyle w:val="ListParagraph"/>
        <w:rPr>
          <w:rFonts w:ascii="Arial" w:hAnsi="Arial"/>
          <w:sz w:val="22"/>
          <w:szCs w:val="22"/>
        </w:rPr>
      </w:pPr>
    </w:p>
    <w:p w:rsidR="00002DC3" w:rsidRPr="0001147F"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The PBAC noted the proposal in the Pre-PBAC response to offer </w:t>
      </w:r>
      <w:r>
        <w:rPr>
          <w:rFonts w:ascii="Arial" w:hAnsi="Arial"/>
          <w:noProof/>
          <w:color w:val="000000"/>
          <w:sz w:val="22"/>
          <w:szCs w:val="22"/>
          <w:highlight w:val="black"/>
        </w:rPr>
        <w:t>''''''''' '''''''''''''''''''''''' '''''' '''''''''' ''''' '''''''' ''''''''''''''''''''''''''' ''''''''''''''''''''' ''''''''''''''''''''' ''''' ''''''''''''''' '''''''''''''''' '''''''''''''' ''''' '''''''' '''''''''</w:t>
      </w:r>
      <w:r w:rsidRPr="00377A78">
        <w:rPr>
          <w:rFonts w:ascii="Arial" w:hAnsi="Arial"/>
          <w:sz w:val="22"/>
          <w:szCs w:val="22"/>
        </w:rPr>
        <w:t>, however the costs and implications of this proposal have not been evaluated</w:t>
      </w:r>
      <w:r w:rsidRPr="00377A78">
        <w:rPr>
          <w:rStyle w:val="CommentReference"/>
        </w:rPr>
        <w:t xml:space="preserve"> </w:t>
      </w:r>
      <w:r>
        <w:rPr>
          <w:rFonts w:ascii="Arial" w:hAnsi="Arial"/>
          <w:sz w:val="22"/>
          <w:szCs w:val="22"/>
        </w:rPr>
        <w:t>.</w:t>
      </w:r>
      <w:r w:rsidRPr="00377A78">
        <w:rPr>
          <w:rFonts w:ascii="Arial" w:hAnsi="Arial"/>
          <w:sz w:val="22"/>
          <w:szCs w:val="22"/>
        </w:rPr>
        <w:t xml:space="preserve">. </w:t>
      </w:r>
    </w:p>
    <w:p w:rsidR="00002DC3" w:rsidRPr="006A3684" w:rsidRDefault="00002DC3" w:rsidP="00002DC3">
      <w:pPr>
        <w:rPr>
          <w:rFonts w:ascii="Arial" w:hAnsi="Arial"/>
          <w:sz w:val="22"/>
          <w:szCs w:val="22"/>
        </w:rPr>
      </w:pPr>
    </w:p>
    <w:p w:rsidR="00002DC3" w:rsidRPr="00833146"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w:t>
      </w:r>
      <w:r w:rsidRPr="00833146">
        <w:rPr>
          <w:rFonts w:ascii="Arial" w:hAnsi="Arial"/>
          <w:sz w:val="22"/>
          <w:szCs w:val="22"/>
        </w:rPr>
        <w:t>The PBAC considered that the</w:t>
      </w:r>
      <w:r>
        <w:rPr>
          <w:rFonts w:ascii="Arial" w:hAnsi="Arial"/>
          <w:sz w:val="22"/>
          <w:szCs w:val="22"/>
        </w:rPr>
        <w:t xml:space="preserve"> proposed</w:t>
      </w:r>
      <w:r w:rsidRPr="00833146">
        <w:rPr>
          <w:rFonts w:ascii="Arial" w:hAnsi="Arial"/>
          <w:sz w:val="22"/>
          <w:szCs w:val="22"/>
        </w:rPr>
        <w:t xml:space="preserve"> MES w</w:t>
      </w:r>
      <w:r>
        <w:rPr>
          <w:rFonts w:ascii="Arial" w:hAnsi="Arial"/>
          <w:sz w:val="22"/>
          <w:szCs w:val="22"/>
        </w:rPr>
        <w:t>ould</w:t>
      </w:r>
      <w:r w:rsidRPr="00833146">
        <w:rPr>
          <w:rFonts w:ascii="Arial" w:hAnsi="Arial"/>
          <w:sz w:val="22"/>
          <w:szCs w:val="22"/>
        </w:rPr>
        <w:t xml:space="preserve"> reduce uncertainty, especially in the context of in</w:t>
      </w:r>
      <w:r>
        <w:rPr>
          <w:rFonts w:ascii="Arial" w:hAnsi="Arial"/>
          <w:sz w:val="22"/>
          <w:szCs w:val="22"/>
        </w:rPr>
        <w:t>tern</w:t>
      </w:r>
      <w:r w:rsidRPr="00833146">
        <w:rPr>
          <w:rFonts w:ascii="Arial" w:hAnsi="Arial"/>
          <w:sz w:val="22"/>
          <w:szCs w:val="22"/>
        </w:rPr>
        <w:t>ational</w:t>
      </w:r>
      <w:r>
        <w:rPr>
          <w:rFonts w:ascii="Arial" w:hAnsi="Arial"/>
          <w:sz w:val="22"/>
          <w:szCs w:val="22"/>
        </w:rPr>
        <w:t>ly</w:t>
      </w:r>
      <w:r w:rsidRPr="00833146">
        <w:rPr>
          <w:rFonts w:ascii="Arial" w:hAnsi="Arial"/>
          <w:sz w:val="22"/>
          <w:szCs w:val="22"/>
        </w:rPr>
        <w:t xml:space="preserve"> compatib</w:t>
      </w:r>
      <w:r>
        <w:rPr>
          <w:rFonts w:ascii="Arial" w:hAnsi="Arial"/>
          <w:sz w:val="22"/>
          <w:szCs w:val="22"/>
        </w:rPr>
        <w:t>le studies. However</w:t>
      </w:r>
      <w:r w:rsidRPr="00833146">
        <w:rPr>
          <w:rFonts w:ascii="Arial" w:hAnsi="Arial"/>
          <w:sz w:val="22"/>
          <w:szCs w:val="22"/>
        </w:rPr>
        <w:t>,</w:t>
      </w:r>
      <w:r>
        <w:rPr>
          <w:rFonts w:ascii="Arial" w:hAnsi="Arial"/>
          <w:sz w:val="22"/>
          <w:szCs w:val="22"/>
        </w:rPr>
        <w:t xml:space="preserve"> the PBAC noted the methodological reservations expressed by ATAGI and the ESC, particularly that the intermediate protective status of partially immunised participants </w:t>
      </w:r>
      <w:proofErr w:type="gramStart"/>
      <w:r>
        <w:rPr>
          <w:rFonts w:ascii="Arial" w:hAnsi="Arial"/>
          <w:sz w:val="22"/>
          <w:szCs w:val="22"/>
        </w:rPr>
        <w:t>was not adequately considered</w:t>
      </w:r>
      <w:proofErr w:type="gramEnd"/>
      <w:r>
        <w:rPr>
          <w:rFonts w:ascii="Arial" w:hAnsi="Arial"/>
          <w:sz w:val="22"/>
          <w:szCs w:val="22"/>
        </w:rPr>
        <w:t xml:space="preserve"> in the design of the proposed observational studies.</w:t>
      </w:r>
      <w:r w:rsidRPr="00833146">
        <w:rPr>
          <w:rFonts w:ascii="Arial" w:hAnsi="Arial"/>
          <w:sz w:val="22"/>
          <w:szCs w:val="22"/>
        </w:rPr>
        <w:t xml:space="preserve"> </w:t>
      </w:r>
      <w:r>
        <w:rPr>
          <w:rFonts w:ascii="Arial" w:hAnsi="Arial"/>
          <w:sz w:val="22"/>
          <w:szCs w:val="22"/>
        </w:rPr>
        <w:t xml:space="preserve">Further, the PBAC acknowledged that if twelve to eighteen months </w:t>
      </w:r>
      <w:proofErr w:type="gramStart"/>
      <w:r>
        <w:rPr>
          <w:rFonts w:ascii="Arial" w:hAnsi="Arial"/>
          <w:sz w:val="22"/>
          <w:szCs w:val="22"/>
        </w:rPr>
        <w:t>would be needed</w:t>
      </w:r>
      <w:proofErr w:type="gramEnd"/>
      <w:r>
        <w:rPr>
          <w:rFonts w:ascii="Arial" w:hAnsi="Arial"/>
          <w:sz w:val="22"/>
          <w:szCs w:val="22"/>
        </w:rPr>
        <w:t xml:space="preserve"> to extend the </w:t>
      </w:r>
      <w:r>
        <w:rPr>
          <w:rFonts w:ascii="Arial" w:hAnsi="Arial"/>
          <w:sz w:val="22"/>
          <w:szCs w:val="22"/>
        </w:rPr>
        <w:lastRenderedPageBreak/>
        <w:t xml:space="preserve">vaccination register as required for the MES studies, this would have consequences for the timing of implementing both an NIP listing and the studies. The PBAC concluded by anticipating that, </w:t>
      </w:r>
      <w:r w:rsidRPr="00833146">
        <w:rPr>
          <w:rFonts w:ascii="Arial" w:hAnsi="Arial"/>
          <w:sz w:val="22"/>
          <w:szCs w:val="22"/>
        </w:rPr>
        <w:t>even w</w:t>
      </w:r>
      <w:r>
        <w:rPr>
          <w:rFonts w:ascii="Arial" w:hAnsi="Arial"/>
          <w:sz w:val="22"/>
          <w:szCs w:val="22"/>
        </w:rPr>
        <w:t>ith highly favourable outcomes</w:t>
      </w:r>
      <w:r w:rsidRPr="00833146">
        <w:rPr>
          <w:rFonts w:ascii="Arial" w:hAnsi="Arial"/>
          <w:sz w:val="22"/>
          <w:szCs w:val="22"/>
        </w:rPr>
        <w:t xml:space="preserve"> </w:t>
      </w:r>
      <w:r>
        <w:rPr>
          <w:rFonts w:ascii="Arial" w:hAnsi="Arial"/>
          <w:sz w:val="22"/>
          <w:szCs w:val="22"/>
        </w:rPr>
        <w:t xml:space="preserve">reported by all the studies, </w:t>
      </w:r>
      <w:r w:rsidRPr="00833146">
        <w:rPr>
          <w:rFonts w:ascii="Arial" w:hAnsi="Arial"/>
          <w:sz w:val="22"/>
          <w:szCs w:val="22"/>
        </w:rPr>
        <w:t>the</w:t>
      </w:r>
      <w:r>
        <w:rPr>
          <w:rFonts w:ascii="Arial" w:hAnsi="Arial"/>
          <w:sz w:val="22"/>
          <w:szCs w:val="22"/>
        </w:rPr>
        <w:t xml:space="preserve"> reduction in the modelled </w:t>
      </w:r>
      <w:r w:rsidRPr="00833146">
        <w:rPr>
          <w:rFonts w:ascii="Arial" w:hAnsi="Arial"/>
          <w:sz w:val="22"/>
          <w:szCs w:val="22"/>
        </w:rPr>
        <w:t xml:space="preserve">ICER </w:t>
      </w:r>
      <w:r>
        <w:rPr>
          <w:rFonts w:ascii="Arial" w:hAnsi="Arial"/>
          <w:sz w:val="22"/>
          <w:szCs w:val="22"/>
        </w:rPr>
        <w:t xml:space="preserve">would be insufficient </w:t>
      </w:r>
      <w:r w:rsidRPr="00833146">
        <w:rPr>
          <w:rFonts w:ascii="Arial" w:hAnsi="Arial"/>
          <w:sz w:val="22"/>
          <w:szCs w:val="22"/>
        </w:rPr>
        <w:t xml:space="preserve">to address concerns regarding </w:t>
      </w:r>
      <w:r>
        <w:rPr>
          <w:rFonts w:ascii="Arial" w:hAnsi="Arial"/>
          <w:sz w:val="22"/>
          <w:szCs w:val="22"/>
        </w:rPr>
        <w:t xml:space="preserve">acceptable </w:t>
      </w:r>
      <w:r w:rsidRPr="00833146">
        <w:rPr>
          <w:rFonts w:ascii="Arial" w:hAnsi="Arial"/>
          <w:sz w:val="22"/>
          <w:szCs w:val="22"/>
        </w:rPr>
        <w:t>cost-effectiveness</w:t>
      </w:r>
      <w:r>
        <w:rPr>
          <w:rFonts w:ascii="Arial" w:hAnsi="Arial"/>
          <w:sz w:val="22"/>
          <w:szCs w:val="22"/>
        </w:rPr>
        <w:t xml:space="preserve"> at the current requested price. Overall, the PBAC considered that, although important, the proposed MES was a secondary issue that only warranted further consideration if a price commensurate with an acceptable ICER </w:t>
      </w:r>
      <w:proofErr w:type="gramStart"/>
      <w:r>
        <w:rPr>
          <w:rFonts w:ascii="Arial" w:hAnsi="Arial"/>
          <w:sz w:val="22"/>
          <w:szCs w:val="22"/>
        </w:rPr>
        <w:t>is proposed</w:t>
      </w:r>
      <w:proofErr w:type="gramEnd"/>
      <w:r>
        <w:rPr>
          <w:rFonts w:ascii="Arial" w:hAnsi="Arial"/>
          <w:sz w:val="22"/>
          <w:szCs w:val="22"/>
        </w:rPr>
        <w:t xml:space="preserve"> to enable a recommendation to list on the NIP in the first place.</w:t>
      </w:r>
    </w:p>
    <w:p w:rsidR="00002DC3" w:rsidRPr="0014488F" w:rsidRDefault="00002DC3" w:rsidP="00002DC3">
      <w:pPr>
        <w:rPr>
          <w:rFonts w:ascii="Arial" w:hAnsi="Arial"/>
          <w:sz w:val="22"/>
          <w:szCs w:val="22"/>
          <w:highlight w:val="yellow"/>
        </w:rPr>
      </w:pPr>
    </w:p>
    <w:p w:rsidR="00002DC3" w:rsidRPr="00833146"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w:t>
      </w:r>
      <w:r w:rsidRPr="00833146">
        <w:rPr>
          <w:rFonts w:ascii="Arial" w:hAnsi="Arial"/>
          <w:sz w:val="22"/>
          <w:szCs w:val="22"/>
        </w:rPr>
        <w:t xml:space="preserve">The PBAC noted the </w:t>
      </w:r>
      <w:r>
        <w:rPr>
          <w:rFonts w:ascii="Arial" w:hAnsi="Arial"/>
          <w:sz w:val="22"/>
          <w:szCs w:val="22"/>
        </w:rPr>
        <w:t xml:space="preserve">post submission advice from ATAGI and the </w:t>
      </w:r>
      <w:r w:rsidRPr="000F4011">
        <w:rPr>
          <w:rFonts w:ascii="Arial" w:hAnsi="Arial"/>
          <w:sz w:val="22"/>
          <w:szCs w:val="22"/>
        </w:rPr>
        <w:t>current lack of unanimous support from states and territories regarding potential implementation of a managed entry scheme for 4CMenB.</w:t>
      </w:r>
      <w:r w:rsidRPr="00833146">
        <w:rPr>
          <w:rFonts w:ascii="Arial" w:hAnsi="Arial"/>
          <w:sz w:val="22"/>
          <w:szCs w:val="22"/>
        </w:rPr>
        <w:t xml:space="preserve"> If expected </w:t>
      </w:r>
      <w:r>
        <w:rPr>
          <w:rFonts w:ascii="Arial" w:hAnsi="Arial"/>
          <w:sz w:val="22"/>
          <w:szCs w:val="22"/>
        </w:rPr>
        <w:t xml:space="preserve">clinical </w:t>
      </w:r>
      <w:r w:rsidRPr="00833146">
        <w:rPr>
          <w:rFonts w:ascii="Arial" w:hAnsi="Arial"/>
          <w:sz w:val="22"/>
          <w:szCs w:val="22"/>
        </w:rPr>
        <w:t>benefits were not realised</w:t>
      </w:r>
      <w:r>
        <w:rPr>
          <w:rFonts w:ascii="Arial" w:hAnsi="Arial"/>
          <w:sz w:val="22"/>
          <w:szCs w:val="22"/>
        </w:rPr>
        <w:t xml:space="preserve"> and/or the rate of fever-associated </w:t>
      </w:r>
      <w:proofErr w:type="gramStart"/>
      <w:r>
        <w:rPr>
          <w:rFonts w:ascii="Arial" w:hAnsi="Arial"/>
          <w:sz w:val="22"/>
          <w:szCs w:val="22"/>
        </w:rPr>
        <w:t>side-effects</w:t>
      </w:r>
      <w:proofErr w:type="gramEnd"/>
      <w:r>
        <w:rPr>
          <w:rFonts w:ascii="Arial" w:hAnsi="Arial"/>
          <w:sz w:val="22"/>
          <w:szCs w:val="22"/>
        </w:rPr>
        <w:t xml:space="preserve"> was significant</w:t>
      </w:r>
      <w:r w:rsidRPr="00833146">
        <w:rPr>
          <w:rFonts w:ascii="Arial" w:hAnsi="Arial"/>
          <w:sz w:val="22"/>
          <w:szCs w:val="22"/>
        </w:rPr>
        <w:t xml:space="preserve">, </w:t>
      </w:r>
      <w:r>
        <w:rPr>
          <w:rFonts w:ascii="Arial" w:hAnsi="Arial"/>
          <w:sz w:val="22"/>
          <w:szCs w:val="22"/>
        </w:rPr>
        <w:t xml:space="preserve">such that </w:t>
      </w:r>
      <w:r w:rsidRPr="00833146">
        <w:rPr>
          <w:rFonts w:ascii="Arial" w:hAnsi="Arial"/>
          <w:sz w:val="22"/>
          <w:szCs w:val="22"/>
        </w:rPr>
        <w:t>removal of the vaccine from the NIP</w:t>
      </w:r>
      <w:r>
        <w:rPr>
          <w:rFonts w:ascii="Arial" w:hAnsi="Arial"/>
          <w:sz w:val="22"/>
          <w:szCs w:val="22"/>
        </w:rPr>
        <w:t xml:space="preserve"> had to be contemplated</w:t>
      </w:r>
      <w:r w:rsidRPr="00833146">
        <w:rPr>
          <w:rFonts w:ascii="Arial" w:hAnsi="Arial"/>
          <w:sz w:val="22"/>
          <w:szCs w:val="22"/>
        </w:rPr>
        <w:t xml:space="preserve">, there would be great difficulty associated with </w:t>
      </w:r>
      <w:r>
        <w:rPr>
          <w:rFonts w:ascii="Arial" w:hAnsi="Arial"/>
          <w:sz w:val="22"/>
          <w:szCs w:val="22"/>
        </w:rPr>
        <w:t xml:space="preserve">such a </w:t>
      </w:r>
      <w:r w:rsidRPr="00833146">
        <w:rPr>
          <w:rFonts w:ascii="Arial" w:hAnsi="Arial"/>
          <w:sz w:val="22"/>
          <w:szCs w:val="22"/>
        </w:rPr>
        <w:t>disinvestment</w:t>
      </w:r>
      <w:r>
        <w:rPr>
          <w:rFonts w:ascii="Arial" w:hAnsi="Arial"/>
          <w:sz w:val="22"/>
          <w:szCs w:val="22"/>
        </w:rPr>
        <w:t>,</w:t>
      </w:r>
      <w:r w:rsidRPr="00833146">
        <w:rPr>
          <w:rFonts w:ascii="Arial" w:hAnsi="Arial"/>
          <w:sz w:val="22"/>
          <w:szCs w:val="22"/>
        </w:rPr>
        <w:t xml:space="preserve"> </w:t>
      </w:r>
      <w:r>
        <w:rPr>
          <w:rFonts w:ascii="Arial" w:hAnsi="Arial"/>
          <w:sz w:val="22"/>
          <w:szCs w:val="22"/>
        </w:rPr>
        <w:t xml:space="preserve">which may flow on to </w:t>
      </w:r>
      <w:r w:rsidRPr="00833146">
        <w:rPr>
          <w:rFonts w:ascii="Arial" w:hAnsi="Arial"/>
          <w:sz w:val="22"/>
          <w:szCs w:val="22"/>
        </w:rPr>
        <w:t>undermine public confide</w:t>
      </w:r>
      <w:r>
        <w:rPr>
          <w:rFonts w:ascii="Arial" w:hAnsi="Arial"/>
          <w:sz w:val="22"/>
          <w:szCs w:val="22"/>
        </w:rPr>
        <w:t>nce in the NIP in general.</w:t>
      </w:r>
    </w:p>
    <w:p w:rsidR="00002DC3" w:rsidRPr="0014488F" w:rsidRDefault="00002DC3" w:rsidP="00002DC3">
      <w:pPr>
        <w:rPr>
          <w:rFonts w:ascii="Arial" w:hAnsi="Arial" w:cs="Arial"/>
          <w:sz w:val="22"/>
          <w:szCs w:val="22"/>
        </w:rPr>
      </w:pPr>
    </w:p>
    <w:p w:rsidR="00002DC3" w:rsidRPr="00882085" w:rsidRDefault="00002DC3" w:rsidP="00002DC3">
      <w:pPr>
        <w:pStyle w:val="ListParagraph"/>
        <w:numPr>
          <w:ilvl w:val="1"/>
          <w:numId w:val="1"/>
        </w:numPr>
        <w:jc w:val="both"/>
        <w:rPr>
          <w:rFonts w:ascii="Arial" w:hAnsi="Arial"/>
          <w:sz w:val="22"/>
          <w:szCs w:val="22"/>
        </w:rPr>
      </w:pPr>
      <w:r>
        <w:rPr>
          <w:rFonts w:ascii="Arial" w:hAnsi="Arial"/>
          <w:sz w:val="22"/>
          <w:szCs w:val="22"/>
        </w:rPr>
        <w:t xml:space="preserve">   The PBAC noted that this submission is not </w:t>
      </w:r>
      <w:r w:rsidRPr="00882085">
        <w:rPr>
          <w:rFonts w:ascii="Arial" w:hAnsi="Arial"/>
          <w:sz w:val="22"/>
          <w:szCs w:val="22"/>
        </w:rPr>
        <w:t>eligibl</w:t>
      </w:r>
      <w:r>
        <w:rPr>
          <w:rFonts w:ascii="Arial" w:hAnsi="Arial"/>
          <w:sz w:val="22"/>
          <w:szCs w:val="22"/>
        </w:rPr>
        <w:t>e</w:t>
      </w:r>
      <w:r w:rsidRPr="00882085">
        <w:rPr>
          <w:rFonts w:ascii="Arial" w:hAnsi="Arial"/>
          <w:sz w:val="22"/>
          <w:szCs w:val="22"/>
        </w:rPr>
        <w:t xml:space="preserve"> for </w:t>
      </w:r>
      <w:r>
        <w:rPr>
          <w:rFonts w:ascii="Arial" w:hAnsi="Arial"/>
          <w:sz w:val="22"/>
          <w:szCs w:val="22"/>
        </w:rPr>
        <w:t xml:space="preserve">an </w:t>
      </w:r>
      <w:r w:rsidRPr="00882085">
        <w:rPr>
          <w:rFonts w:ascii="Arial" w:hAnsi="Arial"/>
          <w:sz w:val="22"/>
          <w:szCs w:val="22"/>
        </w:rPr>
        <w:t>Independent Review</w:t>
      </w:r>
      <w:r>
        <w:rPr>
          <w:rFonts w:ascii="Arial" w:hAnsi="Arial"/>
          <w:sz w:val="22"/>
          <w:szCs w:val="22"/>
        </w:rPr>
        <w:t>, which is only applicable for submissions requesting PBS listing</w:t>
      </w:r>
      <w:r w:rsidRPr="00882085">
        <w:rPr>
          <w:rFonts w:ascii="Arial" w:hAnsi="Arial"/>
          <w:sz w:val="22"/>
          <w:szCs w:val="22"/>
        </w:rPr>
        <w:t>.</w:t>
      </w:r>
    </w:p>
    <w:p w:rsidR="00002DC3" w:rsidRPr="00B37AE0" w:rsidRDefault="00002DC3" w:rsidP="00002DC3">
      <w:pPr>
        <w:jc w:val="both"/>
        <w:rPr>
          <w:rFonts w:ascii="Arial" w:hAnsi="Arial"/>
          <w:sz w:val="22"/>
          <w:szCs w:val="22"/>
        </w:rPr>
      </w:pPr>
    </w:p>
    <w:p w:rsidR="00002DC3" w:rsidRPr="00882085" w:rsidRDefault="00002DC3" w:rsidP="00002DC3">
      <w:pPr>
        <w:jc w:val="both"/>
        <w:rPr>
          <w:rFonts w:ascii="Arial" w:hAnsi="Arial"/>
          <w:b/>
          <w:sz w:val="22"/>
          <w:szCs w:val="22"/>
        </w:rPr>
      </w:pPr>
      <w:r w:rsidRPr="00882085">
        <w:rPr>
          <w:rFonts w:ascii="Arial" w:hAnsi="Arial"/>
          <w:b/>
          <w:sz w:val="22"/>
          <w:szCs w:val="22"/>
        </w:rPr>
        <w:t>Outcome:</w:t>
      </w:r>
    </w:p>
    <w:p w:rsidR="00002DC3" w:rsidRDefault="00002DC3" w:rsidP="00002DC3">
      <w:pPr>
        <w:jc w:val="both"/>
        <w:rPr>
          <w:rFonts w:ascii="Arial" w:hAnsi="Arial"/>
          <w:sz w:val="22"/>
          <w:szCs w:val="22"/>
        </w:rPr>
      </w:pPr>
      <w:r>
        <w:rPr>
          <w:rFonts w:ascii="Arial" w:hAnsi="Arial"/>
          <w:sz w:val="22"/>
          <w:szCs w:val="22"/>
        </w:rPr>
        <w:t>Rejected</w:t>
      </w:r>
    </w:p>
    <w:p w:rsidR="00002DC3" w:rsidRPr="00B37AE0" w:rsidRDefault="00002DC3" w:rsidP="00002DC3">
      <w:pPr>
        <w:rPr>
          <w:rFonts w:ascii="Arial" w:hAnsi="Arial"/>
          <w:sz w:val="22"/>
          <w:szCs w:val="22"/>
        </w:rPr>
      </w:pPr>
    </w:p>
    <w:p w:rsidR="00002DC3" w:rsidRPr="00A875B4" w:rsidRDefault="00002DC3" w:rsidP="00002DC3">
      <w:pPr>
        <w:pStyle w:val="ListParagraph"/>
        <w:numPr>
          <w:ilvl w:val="0"/>
          <w:numId w:val="1"/>
        </w:numPr>
        <w:jc w:val="both"/>
        <w:rPr>
          <w:rFonts w:ascii="Arial" w:hAnsi="Arial" w:cs="Arial"/>
          <w:b/>
          <w:sz w:val="22"/>
        </w:rPr>
      </w:pPr>
      <w:r w:rsidRPr="00A875B4">
        <w:rPr>
          <w:rFonts w:ascii="Arial" w:hAnsi="Arial" w:cs="Arial"/>
          <w:b/>
          <w:sz w:val="22"/>
        </w:rPr>
        <w:t>Context for Decision</w:t>
      </w:r>
    </w:p>
    <w:p w:rsidR="00002DC3" w:rsidRPr="00A875B4" w:rsidRDefault="00002DC3" w:rsidP="00002DC3">
      <w:pPr>
        <w:pStyle w:val="ListParagraph"/>
        <w:rPr>
          <w:rFonts w:ascii="Arial" w:hAnsi="Arial" w:cs="Arial"/>
          <w:b/>
          <w:sz w:val="22"/>
        </w:rPr>
      </w:pPr>
    </w:p>
    <w:p w:rsidR="00002DC3" w:rsidRPr="00A875B4" w:rsidRDefault="00002DC3" w:rsidP="00002DC3">
      <w:pPr>
        <w:ind w:left="720"/>
        <w:rPr>
          <w:rFonts w:ascii="Arial" w:hAnsi="Arial" w:cs="Arial"/>
          <w:sz w:val="22"/>
        </w:rPr>
      </w:pPr>
      <w:r w:rsidRPr="00A875B4">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02DC3" w:rsidRPr="00A875B4" w:rsidRDefault="00002DC3" w:rsidP="00002DC3">
      <w:pPr>
        <w:rPr>
          <w:rFonts w:ascii="Arial" w:hAnsi="Arial" w:cs="Arial"/>
          <w:sz w:val="22"/>
        </w:rPr>
      </w:pPr>
    </w:p>
    <w:p w:rsidR="00002DC3" w:rsidRPr="00A875B4" w:rsidRDefault="00002DC3" w:rsidP="00002DC3">
      <w:pPr>
        <w:pStyle w:val="ListParagraph"/>
        <w:numPr>
          <w:ilvl w:val="0"/>
          <w:numId w:val="1"/>
        </w:numPr>
        <w:jc w:val="both"/>
        <w:rPr>
          <w:rFonts w:ascii="Arial" w:hAnsi="Arial" w:cs="Arial"/>
          <w:b/>
          <w:sz w:val="22"/>
        </w:rPr>
      </w:pPr>
      <w:r w:rsidRPr="000F4011">
        <w:rPr>
          <w:rFonts w:ascii="Arial" w:hAnsi="Arial" w:cs="Arial"/>
          <w:b/>
          <w:sz w:val="22"/>
        </w:rPr>
        <w:t xml:space="preserve">Sponsor’s </w:t>
      </w:r>
      <w:r w:rsidRPr="00A875B4">
        <w:rPr>
          <w:rFonts w:ascii="Arial" w:hAnsi="Arial" w:cs="Arial"/>
          <w:b/>
          <w:sz w:val="22"/>
        </w:rPr>
        <w:t>Comment</w:t>
      </w:r>
    </w:p>
    <w:p w:rsidR="00002DC3" w:rsidRPr="000F4011" w:rsidRDefault="00002DC3" w:rsidP="00002DC3">
      <w:pPr>
        <w:pStyle w:val="ListParagraph"/>
        <w:jc w:val="both"/>
        <w:rPr>
          <w:rFonts w:ascii="Arial" w:hAnsi="Arial" w:cs="Arial"/>
          <w:b/>
          <w:sz w:val="22"/>
        </w:rPr>
      </w:pPr>
    </w:p>
    <w:p w:rsidR="00002DC3" w:rsidRPr="00CC63F8" w:rsidRDefault="00002DC3" w:rsidP="00002DC3">
      <w:pPr>
        <w:ind w:left="709"/>
        <w:rPr>
          <w:rFonts w:ascii="Arial" w:hAnsi="Arial" w:cs="Arial"/>
          <w:sz w:val="22"/>
        </w:rPr>
      </w:pPr>
      <w:r w:rsidRPr="00CC63F8">
        <w:rPr>
          <w:rFonts w:ascii="Arial" w:hAnsi="Arial" w:cs="Arial"/>
          <w:sz w:val="22"/>
        </w:rPr>
        <w:t xml:space="preserve">Novartis Vaccines disagrees with the decision.  Novartis notes that the licensure of this vaccine by the TGA and the clinical recommendations on use from ATAGI </w:t>
      </w:r>
      <w:proofErr w:type="gramStart"/>
      <w:r w:rsidRPr="00CC63F8">
        <w:rPr>
          <w:rFonts w:ascii="Arial" w:hAnsi="Arial" w:cs="Arial"/>
          <w:sz w:val="22"/>
        </w:rPr>
        <w:t>are based</w:t>
      </w:r>
      <w:proofErr w:type="gramEnd"/>
      <w:r w:rsidRPr="00CC63F8">
        <w:rPr>
          <w:rFonts w:ascii="Arial" w:hAnsi="Arial" w:cs="Arial"/>
          <w:sz w:val="22"/>
        </w:rPr>
        <w:t xml:space="preserve"> on a positive assessment of the vaccines clinical effectiveness and safety.  </w:t>
      </w:r>
    </w:p>
    <w:p w:rsidR="00002DC3" w:rsidRPr="00CC63F8" w:rsidRDefault="00002DC3" w:rsidP="00002DC3">
      <w:pPr>
        <w:ind w:left="709"/>
        <w:rPr>
          <w:rFonts w:ascii="Arial" w:hAnsi="Arial" w:cs="Arial"/>
          <w:sz w:val="22"/>
        </w:rPr>
      </w:pPr>
    </w:p>
    <w:p w:rsidR="00002DC3" w:rsidRDefault="00002DC3" w:rsidP="00002DC3">
      <w:pPr>
        <w:ind w:left="709"/>
        <w:rPr>
          <w:rFonts w:ascii="Arial" w:hAnsi="Arial"/>
          <w:sz w:val="22"/>
          <w:szCs w:val="22"/>
          <w:lang w:eastAsia="ja-JP"/>
        </w:rPr>
      </w:pPr>
      <w:r w:rsidRPr="00CC63F8">
        <w:rPr>
          <w:rFonts w:ascii="Arial" w:hAnsi="Arial" w:cs="Arial"/>
          <w:sz w:val="22"/>
        </w:rPr>
        <w:t xml:space="preserve">The current methodology of cost-effectiveness developed for therapeutic interventions significantly underestimates the </w:t>
      </w:r>
      <w:proofErr w:type="gramStart"/>
      <w:r w:rsidRPr="00CC63F8">
        <w:rPr>
          <w:rFonts w:ascii="Arial" w:hAnsi="Arial" w:cs="Arial"/>
          <w:sz w:val="22"/>
        </w:rPr>
        <w:t>long term</w:t>
      </w:r>
      <w:proofErr w:type="gramEnd"/>
      <w:r w:rsidRPr="00CC63F8">
        <w:rPr>
          <w:rFonts w:ascii="Arial" w:hAnsi="Arial" w:cs="Arial"/>
          <w:sz w:val="22"/>
        </w:rPr>
        <w:t xml:space="preserve"> value of vaccinations, and the rare but devastating impact of meningococcal meningitis on children and their families</w:t>
      </w:r>
      <w:r w:rsidRPr="00CC63F8">
        <w:rPr>
          <w:rFonts w:ascii="Arial" w:hAnsi="Arial"/>
          <w:sz w:val="22"/>
          <w:szCs w:val="22"/>
        </w:rPr>
        <w:t>.</w:t>
      </w:r>
      <w:r>
        <w:rPr>
          <w:rFonts w:ascii="Arial" w:hAnsi="Arial" w:hint="eastAsia"/>
          <w:sz w:val="22"/>
          <w:szCs w:val="22"/>
          <w:lang w:eastAsia="ja-JP"/>
        </w:rPr>
        <w:t xml:space="preserve"> </w:t>
      </w:r>
    </w:p>
    <w:p w:rsidR="00002DC3" w:rsidRDefault="00002DC3" w:rsidP="00002DC3">
      <w:pPr>
        <w:ind w:left="709"/>
        <w:rPr>
          <w:rFonts w:ascii="Arial" w:hAnsi="Arial"/>
          <w:sz w:val="22"/>
          <w:szCs w:val="22"/>
          <w:lang w:eastAsia="ja-JP"/>
        </w:rPr>
      </w:pPr>
    </w:p>
    <w:p w:rsidR="00002DC3" w:rsidRPr="00B83BCB" w:rsidRDefault="00002DC3" w:rsidP="00002DC3">
      <w:pPr>
        <w:ind w:left="709"/>
        <w:rPr>
          <w:rFonts w:ascii="Arial" w:hAnsi="Arial" w:cs="Arial"/>
          <w:sz w:val="22"/>
          <w:lang w:eastAsia="ja-JP"/>
        </w:rPr>
      </w:pPr>
      <w:proofErr w:type="gramStart"/>
      <w:r w:rsidRPr="00B83BCB">
        <w:rPr>
          <w:rFonts w:ascii="Arial" w:hAnsi="Arial" w:cs="Arial"/>
          <w:sz w:val="22"/>
        </w:rPr>
        <w:t>In relation to Studies V72P12 and V72P13, we disagree with the PBAC’s comments on febrile seizures which is based on studies not powered to show a difference and hence it is not appropriate to draw conclusions on the number of febrile seizures expected based on number of vaccinations; statistically there was no difference between the active and control group which is acknowledged by</w:t>
      </w:r>
      <w:r w:rsidRPr="00B83BCB">
        <w:rPr>
          <w:rFonts w:ascii="Arial" w:hAnsi="Arial" w:cs="Arial" w:hint="eastAsia"/>
          <w:sz w:val="22"/>
          <w:lang w:eastAsia="ja-JP"/>
        </w:rPr>
        <w:t xml:space="preserve"> A</w:t>
      </w:r>
      <w:r w:rsidRPr="00B83BCB">
        <w:rPr>
          <w:rFonts w:ascii="Arial" w:hAnsi="Arial" w:cs="Arial"/>
          <w:sz w:val="22"/>
        </w:rPr>
        <w:t>TAGI. </w:t>
      </w:r>
      <w:proofErr w:type="gramEnd"/>
      <w:r w:rsidRPr="00B83BCB">
        <w:rPr>
          <w:rFonts w:ascii="Arial" w:hAnsi="Arial" w:cs="Arial"/>
          <w:sz w:val="22"/>
        </w:rPr>
        <w:t xml:space="preserve"> </w:t>
      </w:r>
    </w:p>
    <w:p w:rsidR="00002DC3" w:rsidRPr="00C81C24" w:rsidRDefault="00002DC3" w:rsidP="00002DC3">
      <w:pPr>
        <w:ind w:left="709"/>
        <w:rPr>
          <w:rFonts w:ascii="Arial" w:hAnsi="Arial" w:cs="Arial"/>
          <w:sz w:val="22"/>
        </w:rPr>
      </w:pPr>
      <w:r w:rsidRPr="00B83BCB">
        <w:rPr>
          <w:rFonts w:ascii="Arial" w:hAnsi="Arial" w:cs="Arial"/>
          <w:sz w:val="22"/>
        </w:rPr>
        <w:t xml:space="preserve">Furthermore, we point out ATAGI’s clinical recommendation on the use of prophylactic paracetamol with every dose of 4CMenB administered to children &lt;2 years of age to reduce probability and severity of fever </w:t>
      </w:r>
      <w:r w:rsidRPr="00B83BCB">
        <w:rPr>
          <w:rFonts w:ascii="Arial" w:hAnsi="Arial" w:cs="Arial" w:hint="eastAsia"/>
          <w:sz w:val="22"/>
          <w:lang w:eastAsia="ja-JP"/>
        </w:rPr>
        <w:t xml:space="preserve">which </w:t>
      </w:r>
      <w:r w:rsidRPr="00B83BCB">
        <w:rPr>
          <w:rFonts w:ascii="Arial" w:hAnsi="Arial" w:cs="Arial"/>
          <w:sz w:val="22"/>
        </w:rPr>
        <w:t>will reflect the real life experience of this vaccine as opposed to the clinical trial experience where prophylactic paracetamol was not used.  Recent experience in the Quebec public program has shown 93% uptake of prophylactic paracetamol in infants and toddlers with corresponding reduction in fever.</w:t>
      </w:r>
    </w:p>
    <w:p w:rsidR="00002DC3" w:rsidRPr="00002DC3" w:rsidRDefault="00002DC3">
      <w:pPr>
        <w:rPr>
          <w:b/>
          <w:sz w:val="28"/>
        </w:rPr>
      </w:pPr>
    </w:p>
    <w:sectPr w:rsidR="00002DC3" w:rsidRPr="00002DC3">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2A1" w:rsidRDefault="003362A1">
      <w:r>
        <w:separator/>
      </w:r>
    </w:p>
  </w:endnote>
  <w:endnote w:type="continuationSeparator" w:id="0">
    <w:p w:rsidR="003362A1" w:rsidRDefault="0033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2A1" w:rsidRDefault="003362A1">
      <w:r>
        <w:separator/>
      </w:r>
    </w:p>
  </w:footnote>
  <w:footnote w:type="continuationSeparator" w:id="0">
    <w:p w:rsidR="003362A1" w:rsidRDefault="00336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1FE7"/>
    <w:multiLevelType w:val="hybridMultilevel"/>
    <w:tmpl w:val="EFE4B4D2"/>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7BD5"/>
    <w:multiLevelType w:val="multilevel"/>
    <w:tmpl w:val="F40E5A5E"/>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A1E0BD0"/>
    <w:multiLevelType w:val="hybridMultilevel"/>
    <w:tmpl w:val="C57E2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820D91"/>
    <w:multiLevelType w:val="hybridMultilevel"/>
    <w:tmpl w:val="C6261D50"/>
    <w:lvl w:ilvl="0" w:tplc="078AA4CC">
      <w:start w:val="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2115C"/>
    <w:multiLevelType w:val="hybridMultilevel"/>
    <w:tmpl w:val="2E4ED04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nsid w:val="784D033C"/>
    <w:multiLevelType w:val="multilevel"/>
    <w:tmpl w:val="FD5C563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4"/>
  </w:num>
  <w:num w:numId="4">
    <w:abstractNumId w:val="3"/>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2AD"/>
    <w:rsid w:val="0000132B"/>
    <w:rsid w:val="00002DC3"/>
    <w:rsid w:val="000109FB"/>
    <w:rsid w:val="00016CF9"/>
    <w:rsid w:val="00021C2D"/>
    <w:rsid w:val="00032082"/>
    <w:rsid w:val="0004080D"/>
    <w:rsid w:val="000549CF"/>
    <w:rsid w:val="00060256"/>
    <w:rsid w:val="000763A9"/>
    <w:rsid w:val="00076A57"/>
    <w:rsid w:val="000814B0"/>
    <w:rsid w:val="00082DA4"/>
    <w:rsid w:val="00094C45"/>
    <w:rsid w:val="00097FBD"/>
    <w:rsid w:val="000B0D77"/>
    <w:rsid w:val="000B6582"/>
    <w:rsid w:val="000C0AE4"/>
    <w:rsid w:val="000C771E"/>
    <w:rsid w:val="000D014B"/>
    <w:rsid w:val="000D03C6"/>
    <w:rsid w:val="000D253A"/>
    <w:rsid w:val="000D76B8"/>
    <w:rsid w:val="000D7EBE"/>
    <w:rsid w:val="000E2409"/>
    <w:rsid w:val="000E27B3"/>
    <w:rsid w:val="000E3B15"/>
    <w:rsid w:val="000F06E3"/>
    <w:rsid w:val="000F0B14"/>
    <w:rsid w:val="001020BB"/>
    <w:rsid w:val="00103744"/>
    <w:rsid w:val="001136FA"/>
    <w:rsid w:val="00125833"/>
    <w:rsid w:val="00125EE4"/>
    <w:rsid w:val="00133C96"/>
    <w:rsid w:val="001349AF"/>
    <w:rsid w:val="00143FAD"/>
    <w:rsid w:val="00146942"/>
    <w:rsid w:val="001522CF"/>
    <w:rsid w:val="0017146D"/>
    <w:rsid w:val="00177C76"/>
    <w:rsid w:val="00182736"/>
    <w:rsid w:val="00183DC5"/>
    <w:rsid w:val="001A42DC"/>
    <w:rsid w:val="001A4320"/>
    <w:rsid w:val="001A5E8B"/>
    <w:rsid w:val="001B086B"/>
    <w:rsid w:val="001B59F8"/>
    <w:rsid w:val="001C1287"/>
    <w:rsid w:val="001C26E9"/>
    <w:rsid w:val="001D0FE6"/>
    <w:rsid w:val="001D103E"/>
    <w:rsid w:val="001D3D9A"/>
    <w:rsid w:val="001D47B5"/>
    <w:rsid w:val="001E30B2"/>
    <w:rsid w:val="001E7B0F"/>
    <w:rsid w:val="001F101B"/>
    <w:rsid w:val="0021661E"/>
    <w:rsid w:val="00221B4D"/>
    <w:rsid w:val="00230440"/>
    <w:rsid w:val="002371A8"/>
    <w:rsid w:val="0024100D"/>
    <w:rsid w:val="00250047"/>
    <w:rsid w:val="00253FC1"/>
    <w:rsid w:val="0026255B"/>
    <w:rsid w:val="00266910"/>
    <w:rsid w:val="00267568"/>
    <w:rsid w:val="0027686D"/>
    <w:rsid w:val="00286FAB"/>
    <w:rsid w:val="002A57B9"/>
    <w:rsid w:val="002B268D"/>
    <w:rsid w:val="002B776B"/>
    <w:rsid w:val="002B79BB"/>
    <w:rsid w:val="002B7E79"/>
    <w:rsid w:val="002C0C3A"/>
    <w:rsid w:val="002C2A44"/>
    <w:rsid w:val="002C3E5F"/>
    <w:rsid w:val="002C7CC3"/>
    <w:rsid w:val="002E2593"/>
    <w:rsid w:val="002E4E44"/>
    <w:rsid w:val="002E54B9"/>
    <w:rsid w:val="002E56DB"/>
    <w:rsid w:val="002F54C9"/>
    <w:rsid w:val="00312CB5"/>
    <w:rsid w:val="0031682E"/>
    <w:rsid w:val="00321524"/>
    <w:rsid w:val="00321783"/>
    <w:rsid w:val="003233AB"/>
    <w:rsid w:val="00323B18"/>
    <w:rsid w:val="00335AA4"/>
    <w:rsid w:val="003362A1"/>
    <w:rsid w:val="00351867"/>
    <w:rsid w:val="003532D6"/>
    <w:rsid w:val="00353ECA"/>
    <w:rsid w:val="00354547"/>
    <w:rsid w:val="00355AA4"/>
    <w:rsid w:val="003579D2"/>
    <w:rsid w:val="00360409"/>
    <w:rsid w:val="00372559"/>
    <w:rsid w:val="00375E7C"/>
    <w:rsid w:val="0038552C"/>
    <w:rsid w:val="00391D28"/>
    <w:rsid w:val="00394B80"/>
    <w:rsid w:val="00397378"/>
    <w:rsid w:val="003A0AFD"/>
    <w:rsid w:val="003B6324"/>
    <w:rsid w:val="003C24F2"/>
    <w:rsid w:val="003C512A"/>
    <w:rsid w:val="003D177A"/>
    <w:rsid w:val="003D43DE"/>
    <w:rsid w:val="003D791E"/>
    <w:rsid w:val="003F4A74"/>
    <w:rsid w:val="003F70B8"/>
    <w:rsid w:val="0040567E"/>
    <w:rsid w:val="004219DF"/>
    <w:rsid w:val="0042345B"/>
    <w:rsid w:val="0042396D"/>
    <w:rsid w:val="00435502"/>
    <w:rsid w:val="004451D8"/>
    <w:rsid w:val="004473AD"/>
    <w:rsid w:val="00456794"/>
    <w:rsid w:val="00461B08"/>
    <w:rsid w:val="004649BB"/>
    <w:rsid w:val="00483F8A"/>
    <w:rsid w:val="00486E28"/>
    <w:rsid w:val="00493705"/>
    <w:rsid w:val="00493C53"/>
    <w:rsid w:val="004A46F7"/>
    <w:rsid w:val="004B058A"/>
    <w:rsid w:val="004B1085"/>
    <w:rsid w:val="004B4330"/>
    <w:rsid w:val="004B5E5F"/>
    <w:rsid w:val="004C01E1"/>
    <w:rsid w:val="004C49C0"/>
    <w:rsid w:val="004D314E"/>
    <w:rsid w:val="004E0561"/>
    <w:rsid w:val="004E2AFC"/>
    <w:rsid w:val="004E35D4"/>
    <w:rsid w:val="004E44A5"/>
    <w:rsid w:val="004E6890"/>
    <w:rsid w:val="005019E7"/>
    <w:rsid w:val="00507661"/>
    <w:rsid w:val="00514166"/>
    <w:rsid w:val="00517FC1"/>
    <w:rsid w:val="0052434C"/>
    <w:rsid w:val="00533900"/>
    <w:rsid w:val="00537BFB"/>
    <w:rsid w:val="0055264D"/>
    <w:rsid w:val="00552E7A"/>
    <w:rsid w:val="00566E0D"/>
    <w:rsid w:val="00574842"/>
    <w:rsid w:val="00577906"/>
    <w:rsid w:val="005810D1"/>
    <w:rsid w:val="00586DE6"/>
    <w:rsid w:val="00590183"/>
    <w:rsid w:val="00590D3B"/>
    <w:rsid w:val="00591E3D"/>
    <w:rsid w:val="0059265A"/>
    <w:rsid w:val="00592B11"/>
    <w:rsid w:val="00596299"/>
    <w:rsid w:val="005964E0"/>
    <w:rsid w:val="005A2931"/>
    <w:rsid w:val="005A300C"/>
    <w:rsid w:val="005A40F0"/>
    <w:rsid w:val="005B0879"/>
    <w:rsid w:val="005B4A9D"/>
    <w:rsid w:val="005B669B"/>
    <w:rsid w:val="005D0FAE"/>
    <w:rsid w:val="005D1634"/>
    <w:rsid w:val="005D246D"/>
    <w:rsid w:val="005D3548"/>
    <w:rsid w:val="005D4120"/>
    <w:rsid w:val="005D6FA9"/>
    <w:rsid w:val="005E3184"/>
    <w:rsid w:val="005F4EB2"/>
    <w:rsid w:val="00603B55"/>
    <w:rsid w:val="00605300"/>
    <w:rsid w:val="00606B5C"/>
    <w:rsid w:val="00621994"/>
    <w:rsid w:val="006276A2"/>
    <w:rsid w:val="006429D3"/>
    <w:rsid w:val="006455C8"/>
    <w:rsid w:val="00654079"/>
    <w:rsid w:val="00664E1F"/>
    <w:rsid w:val="006656B2"/>
    <w:rsid w:val="00665C08"/>
    <w:rsid w:val="006673BA"/>
    <w:rsid w:val="00671CB8"/>
    <w:rsid w:val="00684727"/>
    <w:rsid w:val="00685C0A"/>
    <w:rsid w:val="006937D9"/>
    <w:rsid w:val="00694684"/>
    <w:rsid w:val="006964F7"/>
    <w:rsid w:val="006A56C9"/>
    <w:rsid w:val="006A59A8"/>
    <w:rsid w:val="006A7405"/>
    <w:rsid w:val="006B0607"/>
    <w:rsid w:val="006B1E7F"/>
    <w:rsid w:val="006B3E58"/>
    <w:rsid w:val="006B7BCE"/>
    <w:rsid w:val="006C2B33"/>
    <w:rsid w:val="006C5BF5"/>
    <w:rsid w:val="006D5056"/>
    <w:rsid w:val="006E21FE"/>
    <w:rsid w:val="006E48EB"/>
    <w:rsid w:val="006E5C56"/>
    <w:rsid w:val="006F2C07"/>
    <w:rsid w:val="0070763A"/>
    <w:rsid w:val="00725FCD"/>
    <w:rsid w:val="00737B82"/>
    <w:rsid w:val="007436C3"/>
    <w:rsid w:val="00746E3F"/>
    <w:rsid w:val="007602D8"/>
    <w:rsid w:val="00760748"/>
    <w:rsid w:val="007621B6"/>
    <w:rsid w:val="007658D7"/>
    <w:rsid w:val="00765A5E"/>
    <w:rsid w:val="00766B75"/>
    <w:rsid w:val="00772EC1"/>
    <w:rsid w:val="00775468"/>
    <w:rsid w:val="00776C72"/>
    <w:rsid w:val="00796356"/>
    <w:rsid w:val="007A22F6"/>
    <w:rsid w:val="007A7DA5"/>
    <w:rsid w:val="007B3A0A"/>
    <w:rsid w:val="007C5995"/>
    <w:rsid w:val="007D57E8"/>
    <w:rsid w:val="007E2805"/>
    <w:rsid w:val="00805C49"/>
    <w:rsid w:val="00817E07"/>
    <w:rsid w:val="00835907"/>
    <w:rsid w:val="008417AB"/>
    <w:rsid w:val="00852F28"/>
    <w:rsid w:val="00871370"/>
    <w:rsid w:val="008852BB"/>
    <w:rsid w:val="0088675E"/>
    <w:rsid w:val="008873E6"/>
    <w:rsid w:val="008A4A5F"/>
    <w:rsid w:val="008A7C29"/>
    <w:rsid w:val="008B230D"/>
    <w:rsid w:val="008C1282"/>
    <w:rsid w:val="008D0532"/>
    <w:rsid w:val="008D2B55"/>
    <w:rsid w:val="008D727E"/>
    <w:rsid w:val="008D7B92"/>
    <w:rsid w:val="008E3588"/>
    <w:rsid w:val="008E3661"/>
    <w:rsid w:val="008E4585"/>
    <w:rsid w:val="008F4BAB"/>
    <w:rsid w:val="008F7A5C"/>
    <w:rsid w:val="00900B99"/>
    <w:rsid w:val="00902081"/>
    <w:rsid w:val="009102D9"/>
    <w:rsid w:val="00910548"/>
    <w:rsid w:val="00915E18"/>
    <w:rsid w:val="00920743"/>
    <w:rsid w:val="00925192"/>
    <w:rsid w:val="00933DB9"/>
    <w:rsid w:val="00933DF3"/>
    <w:rsid w:val="00934AB2"/>
    <w:rsid w:val="0094601C"/>
    <w:rsid w:val="009467CC"/>
    <w:rsid w:val="009568CB"/>
    <w:rsid w:val="009671FE"/>
    <w:rsid w:val="00972AB8"/>
    <w:rsid w:val="0098074F"/>
    <w:rsid w:val="009848B7"/>
    <w:rsid w:val="009962E5"/>
    <w:rsid w:val="009A7186"/>
    <w:rsid w:val="009B4850"/>
    <w:rsid w:val="009B72BF"/>
    <w:rsid w:val="009B7ECE"/>
    <w:rsid w:val="009C4188"/>
    <w:rsid w:val="009C5EE6"/>
    <w:rsid w:val="009D0343"/>
    <w:rsid w:val="009D2B56"/>
    <w:rsid w:val="009E2EA8"/>
    <w:rsid w:val="009E44CA"/>
    <w:rsid w:val="00A003DC"/>
    <w:rsid w:val="00A102AD"/>
    <w:rsid w:val="00A11C2A"/>
    <w:rsid w:val="00A12E74"/>
    <w:rsid w:val="00A2167C"/>
    <w:rsid w:val="00A22286"/>
    <w:rsid w:val="00A3649C"/>
    <w:rsid w:val="00A44819"/>
    <w:rsid w:val="00A52958"/>
    <w:rsid w:val="00A60AC0"/>
    <w:rsid w:val="00A63879"/>
    <w:rsid w:val="00A64C66"/>
    <w:rsid w:val="00A75C34"/>
    <w:rsid w:val="00A77897"/>
    <w:rsid w:val="00A81078"/>
    <w:rsid w:val="00A859BE"/>
    <w:rsid w:val="00A90991"/>
    <w:rsid w:val="00A958F0"/>
    <w:rsid w:val="00AB1BC3"/>
    <w:rsid w:val="00AB5208"/>
    <w:rsid w:val="00AB62A1"/>
    <w:rsid w:val="00AB7B92"/>
    <w:rsid w:val="00AC16AC"/>
    <w:rsid w:val="00AC6003"/>
    <w:rsid w:val="00AE15FD"/>
    <w:rsid w:val="00AE4F7E"/>
    <w:rsid w:val="00AE5E75"/>
    <w:rsid w:val="00AF71DF"/>
    <w:rsid w:val="00B01D9C"/>
    <w:rsid w:val="00B02FD4"/>
    <w:rsid w:val="00B03B05"/>
    <w:rsid w:val="00B04925"/>
    <w:rsid w:val="00B12DA2"/>
    <w:rsid w:val="00B149E8"/>
    <w:rsid w:val="00B16C8B"/>
    <w:rsid w:val="00B1707F"/>
    <w:rsid w:val="00B17AC2"/>
    <w:rsid w:val="00B307B7"/>
    <w:rsid w:val="00B345DF"/>
    <w:rsid w:val="00B37ECA"/>
    <w:rsid w:val="00B42130"/>
    <w:rsid w:val="00B42F7C"/>
    <w:rsid w:val="00B47476"/>
    <w:rsid w:val="00B51940"/>
    <w:rsid w:val="00B5500F"/>
    <w:rsid w:val="00B6732F"/>
    <w:rsid w:val="00B7597F"/>
    <w:rsid w:val="00B80A12"/>
    <w:rsid w:val="00B9246A"/>
    <w:rsid w:val="00B9474C"/>
    <w:rsid w:val="00BA5A5E"/>
    <w:rsid w:val="00BB030C"/>
    <w:rsid w:val="00BB219E"/>
    <w:rsid w:val="00BB48B9"/>
    <w:rsid w:val="00BB4A7E"/>
    <w:rsid w:val="00BC0CA6"/>
    <w:rsid w:val="00BC4A53"/>
    <w:rsid w:val="00BC56C5"/>
    <w:rsid w:val="00BC79D1"/>
    <w:rsid w:val="00BD1E47"/>
    <w:rsid w:val="00BD4203"/>
    <w:rsid w:val="00BE1752"/>
    <w:rsid w:val="00BE225E"/>
    <w:rsid w:val="00BE7606"/>
    <w:rsid w:val="00C0313A"/>
    <w:rsid w:val="00C04C32"/>
    <w:rsid w:val="00C05710"/>
    <w:rsid w:val="00C11E0F"/>
    <w:rsid w:val="00C17ADA"/>
    <w:rsid w:val="00C24BF6"/>
    <w:rsid w:val="00C35370"/>
    <w:rsid w:val="00C371ED"/>
    <w:rsid w:val="00C42A1E"/>
    <w:rsid w:val="00C523B2"/>
    <w:rsid w:val="00C55EA5"/>
    <w:rsid w:val="00C55FFA"/>
    <w:rsid w:val="00C56D24"/>
    <w:rsid w:val="00C60000"/>
    <w:rsid w:val="00C60D88"/>
    <w:rsid w:val="00C635A8"/>
    <w:rsid w:val="00C81850"/>
    <w:rsid w:val="00C82924"/>
    <w:rsid w:val="00C844A9"/>
    <w:rsid w:val="00C87FBC"/>
    <w:rsid w:val="00CA02DA"/>
    <w:rsid w:val="00CA6A3B"/>
    <w:rsid w:val="00CB6CAE"/>
    <w:rsid w:val="00CB7E4F"/>
    <w:rsid w:val="00CC4214"/>
    <w:rsid w:val="00CE6FB5"/>
    <w:rsid w:val="00D01B54"/>
    <w:rsid w:val="00D10FF2"/>
    <w:rsid w:val="00D126EB"/>
    <w:rsid w:val="00D154C8"/>
    <w:rsid w:val="00D15584"/>
    <w:rsid w:val="00D178E8"/>
    <w:rsid w:val="00D22299"/>
    <w:rsid w:val="00D2229A"/>
    <w:rsid w:val="00D2451D"/>
    <w:rsid w:val="00D2674F"/>
    <w:rsid w:val="00D31A0A"/>
    <w:rsid w:val="00D35199"/>
    <w:rsid w:val="00D4051A"/>
    <w:rsid w:val="00D45072"/>
    <w:rsid w:val="00D659F6"/>
    <w:rsid w:val="00D762DB"/>
    <w:rsid w:val="00D811C5"/>
    <w:rsid w:val="00D86644"/>
    <w:rsid w:val="00DA4A6D"/>
    <w:rsid w:val="00DB1796"/>
    <w:rsid w:val="00DB5E17"/>
    <w:rsid w:val="00DB6945"/>
    <w:rsid w:val="00DC5F4C"/>
    <w:rsid w:val="00DD1019"/>
    <w:rsid w:val="00DD2D0F"/>
    <w:rsid w:val="00DD5597"/>
    <w:rsid w:val="00DD5646"/>
    <w:rsid w:val="00DD5AD5"/>
    <w:rsid w:val="00DE4969"/>
    <w:rsid w:val="00DE60AB"/>
    <w:rsid w:val="00DE6499"/>
    <w:rsid w:val="00DE65C7"/>
    <w:rsid w:val="00DF07FF"/>
    <w:rsid w:val="00DF239C"/>
    <w:rsid w:val="00DF4CEB"/>
    <w:rsid w:val="00DF6AA2"/>
    <w:rsid w:val="00E07320"/>
    <w:rsid w:val="00E123AB"/>
    <w:rsid w:val="00E3314A"/>
    <w:rsid w:val="00E3410D"/>
    <w:rsid w:val="00E40BE2"/>
    <w:rsid w:val="00E4711B"/>
    <w:rsid w:val="00E50351"/>
    <w:rsid w:val="00E50F49"/>
    <w:rsid w:val="00E60351"/>
    <w:rsid w:val="00E670FA"/>
    <w:rsid w:val="00E90524"/>
    <w:rsid w:val="00E94C87"/>
    <w:rsid w:val="00E94EC2"/>
    <w:rsid w:val="00EB3536"/>
    <w:rsid w:val="00EB35F3"/>
    <w:rsid w:val="00EB609D"/>
    <w:rsid w:val="00EB6D7C"/>
    <w:rsid w:val="00EC4620"/>
    <w:rsid w:val="00EC609D"/>
    <w:rsid w:val="00ED4BDA"/>
    <w:rsid w:val="00ED5AFB"/>
    <w:rsid w:val="00EE12C5"/>
    <w:rsid w:val="00EE6EAF"/>
    <w:rsid w:val="00EE7787"/>
    <w:rsid w:val="00EF0FBF"/>
    <w:rsid w:val="00EF32F5"/>
    <w:rsid w:val="00EF6E7B"/>
    <w:rsid w:val="00F012CC"/>
    <w:rsid w:val="00F02976"/>
    <w:rsid w:val="00F07659"/>
    <w:rsid w:val="00F10FFF"/>
    <w:rsid w:val="00F20818"/>
    <w:rsid w:val="00F22DD7"/>
    <w:rsid w:val="00F24CFC"/>
    <w:rsid w:val="00F267E0"/>
    <w:rsid w:val="00F30830"/>
    <w:rsid w:val="00F340F2"/>
    <w:rsid w:val="00F45213"/>
    <w:rsid w:val="00F458BE"/>
    <w:rsid w:val="00F52D66"/>
    <w:rsid w:val="00F628B6"/>
    <w:rsid w:val="00F7080A"/>
    <w:rsid w:val="00F770DC"/>
    <w:rsid w:val="00F83467"/>
    <w:rsid w:val="00F85402"/>
    <w:rsid w:val="00F9326C"/>
    <w:rsid w:val="00F933D1"/>
    <w:rsid w:val="00FA354E"/>
    <w:rsid w:val="00FB6F4C"/>
    <w:rsid w:val="00FD4C68"/>
    <w:rsid w:val="00FE06AB"/>
    <w:rsid w:val="00FE5219"/>
    <w:rsid w:val="00FF20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7B9"/>
    <w:rPr>
      <w:sz w:val="24"/>
      <w:szCs w:val="24"/>
    </w:rPr>
  </w:style>
  <w:style w:type="paragraph" w:styleId="Heading1">
    <w:name w:val="heading 1"/>
    <w:basedOn w:val="Normal"/>
    <w:next w:val="Normal"/>
    <w:link w:val="Heading1Char"/>
    <w:qFormat/>
    <w:rsid w:val="00002DC3"/>
    <w:pPr>
      <w:keepNext/>
      <w:outlineLvl w:val="0"/>
    </w:pPr>
    <w:rPr>
      <w:b/>
    </w:rPr>
  </w:style>
  <w:style w:type="paragraph" w:styleId="Heading2">
    <w:name w:val="heading 2"/>
    <w:basedOn w:val="Normal"/>
    <w:next w:val="Normal"/>
    <w:link w:val="Heading2Char"/>
    <w:unhideWhenUsed/>
    <w:qFormat/>
    <w:rsid w:val="009102D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04080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86FAB"/>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002DC3"/>
    <w:pPr>
      <w:spacing w:before="240" w:after="60"/>
      <w:outlineLvl w:val="4"/>
    </w:pPr>
    <w:rPr>
      <w:b/>
      <w:bCs/>
      <w:i/>
      <w:iCs/>
      <w:sz w:val="26"/>
      <w:szCs w:val="26"/>
    </w:rPr>
  </w:style>
  <w:style w:type="paragraph" w:styleId="Heading6">
    <w:name w:val="heading 6"/>
    <w:basedOn w:val="Normal"/>
    <w:next w:val="Normal"/>
    <w:link w:val="Heading6Char"/>
    <w:qFormat/>
    <w:rsid w:val="00002DC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beth"/>
    <w:basedOn w:val="TableNormal"/>
    <w:uiPriority w:val="59"/>
    <w:rsid w:val="002A5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B4850"/>
    <w:rPr>
      <w:rFonts w:ascii="Tahoma" w:hAnsi="Tahoma" w:cs="Tahoma"/>
      <w:sz w:val="16"/>
      <w:szCs w:val="16"/>
    </w:rPr>
  </w:style>
  <w:style w:type="paragraph" w:styleId="Header">
    <w:name w:val="header"/>
    <w:aliases w:val="Page Header,Header title,he=header,cntr/bld"/>
    <w:basedOn w:val="Normal"/>
    <w:link w:val="HeaderChar"/>
    <w:uiPriority w:val="99"/>
    <w:rsid w:val="009B4850"/>
    <w:pPr>
      <w:tabs>
        <w:tab w:val="center" w:pos="4153"/>
        <w:tab w:val="right" w:pos="8306"/>
      </w:tabs>
    </w:pPr>
  </w:style>
  <w:style w:type="paragraph" w:styleId="Footer">
    <w:name w:val="footer"/>
    <w:aliases w:val="Page Footer"/>
    <w:basedOn w:val="Normal"/>
    <w:link w:val="FooterChar"/>
    <w:uiPriority w:val="99"/>
    <w:rsid w:val="009B4850"/>
    <w:pPr>
      <w:tabs>
        <w:tab w:val="center" w:pos="4153"/>
        <w:tab w:val="right" w:pos="8306"/>
      </w:tabs>
    </w:pPr>
  </w:style>
  <w:style w:type="paragraph" w:customStyle="1" w:styleId="Default">
    <w:name w:val="Default"/>
    <w:link w:val="DefaultChar"/>
    <w:rsid w:val="0000132B"/>
    <w:pPr>
      <w:widowControl w:val="0"/>
      <w:autoSpaceDE w:val="0"/>
      <w:autoSpaceDN w:val="0"/>
      <w:adjustRightInd w:val="0"/>
    </w:pPr>
    <w:rPr>
      <w:color w:val="000000"/>
      <w:sz w:val="24"/>
      <w:szCs w:val="24"/>
      <w:lang w:val="en-US" w:eastAsia="en-US"/>
    </w:rPr>
  </w:style>
  <w:style w:type="character" w:styleId="PageNumber">
    <w:name w:val="page number"/>
    <w:basedOn w:val="DefaultParagraphFont"/>
    <w:rsid w:val="003D177A"/>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E3661"/>
    <w:pPr>
      <w:spacing w:after="160" w:line="240" w:lineRule="exact"/>
    </w:pPr>
    <w:rPr>
      <w:rFonts w:ascii="Verdana" w:eastAsia="MS Mincho" w:hAnsi="Verdana" w:cs="Verdana"/>
      <w:sz w:val="20"/>
      <w:szCs w:val="20"/>
      <w:lang w:val="en-US" w:eastAsia="en-US"/>
    </w:rPr>
  </w:style>
  <w:style w:type="character" w:customStyle="1" w:styleId="MathematicaFormatStandardForm">
    <w:name w:val="MathematicaFormatStandardForm"/>
    <w:rsid w:val="00B149E8"/>
    <w:rPr>
      <w:rFonts w:ascii="Courier" w:hAnsi="Courier" w:cs="Courier"/>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
    <w:basedOn w:val="Normal"/>
    <w:link w:val="FootnoteTextChar"/>
    <w:rsid w:val="00B149E8"/>
    <w:rPr>
      <w:sz w:val="20"/>
      <w:szCs w:val="20"/>
    </w:rPr>
  </w:style>
  <w:style w:type="character" w:styleId="FootnoteReference">
    <w:name w:val="footnote reference"/>
    <w:rsid w:val="00B149E8"/>
    <w:rPr>
      <w:vertAlign w:val="superscript"/>
    </w:rPr>
  </w:style>
  <w:style w:type="character" w:customStyle="1" w:styleId="HeaderChar">
    <w:name w:val="Header Char"/>
    <w:aliases w:val="Page Header Char,Header title Char,he=header Char,cntr/bld Char"/>
    <w:link w:val="Header"/>
    <w:uiPriority w:val="99"/>
    <w:rsid w:val="00EE12C5"/>
    <w:rPr>
      <w:sz w:val="24"/>
      <w:szCs w:val="24"/>
    </w:rPr>
  </w:style>
  <w:style w:type="paragraph" w:customStyle="1" w:styleId="Tabletext">
    <w:name w:val="Table text"/>
    <w:basedOn w:val="Normal"/>
    <w:link w:val="TabletextChar"/>
    <w:qFormat/>
    <w:rsid w:val="00EE12C5"/>
    <w:pPr>
      <w:spacing w:after="120"/>
    </w:pPr>
    <w:rPr>
      <w:rFonts w:ascii="Arial" w:hAnsi="Arial"/>
      <w:sz w:val="20"/>
      <w:szCs w:val="20"/>
      <w:lang w:eastAsia="en-US"/>
    </w:rPr>
  </w:style>
  <w:style w:type="character" w:customStyle="1" w:styleId="TabletextChar">
    <w:name w:val="Table text Char"/>
    <w:link w:val="Tabletext"/>
    <w:rsid w:val="00EE12C5"/>
    <w:rPr>
      <w:rFonts w:ascii="Arial" w:hAnsi="Arial"/>
      <w:lang w:eastAsia="en-US"/>
    </w:rPr>
  </w:style>
  <w:style w:type="character" w:customStyle="1" w:styleId="Heading2Char">
    <w:name w:val="Heading 2 Char"/>
    <w:link w:val="Heading2"/>
    <w:rsid w:val="009102D9"/>
    <w:rPr>
      <w:rFonts w:ascii="Cambria" w:eastAsia="Times New Roman" w:hAnsi="Cambria" w:cs="Times New Roman"/>
      <w:b/>
      <w:bCs/>
      <w:i/>
      <w:iCs/>
      <w:sz w:val="28"/>
      <w:szCs w:val="28"/>
    </w:rPr>
  </w:style>
  <w:style w:type="character" w:customStyle="1" w:styleId="Heading3Char">
    <w:name w:val="Heading 3 Char"/>
    <w:link w:val="Heading3"/>
    <w:rsid w:val="0004080D"/>
    <w:rPr>
      <w:rFonts w:ascii="Cambria" w:eastAsia="Times New Roman" w:hAnsi="Cambria" w:cs="Times New Roman"/>
      <w:b/>
      <w:bCs/>
      <w:sz w:val="26"/>
      <w:szCs w:val="26"/>
    </w:rPr>
  </w:style>
  <w:style w:type="character" w:styleId="Strong">
    <w:name w:val="Strong"/>
    <w:qFormat/>
    <w:rsid w:val="00BB219E"/>
    <w:rPr>
      <w:b/>
      <w:bCs/>
    </w:rPr>
  </w:style>
  <w:style w:type="paragraph" w:styleId="ListParagraph">
    <w:name w:val="List Paragraph"/>
    <w:basedOn w:val="Normal"/>
    <w:link w:val="ListParagraphChar"/>
    <w:uiPriority w:val="72"/>
    <w:qFormat/>
    <w:rsid w:val="00286FAB"/>
    <w:pPr>
      <w:ind w:left="720"/>
      <w:contextualSpacing/>
    </w:pPr>
  </w:style>
  <w:style w:type="character" w:customStyle="1" w:styleId="Heading4Char">
    <w:name w:val="Heading 4 Char"/>
    <w:link w:val="Heading4"/>
    <w:semiHidden/>
    <w:rsid w:val="00286FAB"/>
    <w:rPr>
      <w:rFonts w:ascii="Cambria" w:hAnsi="Cambria"/>
      <w:b/>
      <w:bCs/>
      <w:i/>
      <w:iCs/>
      <w:color w:val="4F81BD"/>
      <w:sz w:val="24"/>
      <w:szCs w:val="24"/>
    </w:rPr>
  </w:style>
  <w:style w:type="character" w:customStyle="1" w:styleId="Table">
    <w:name w:val="Table"/>
    <w:rsid w:val="00EB609D"/>
    <w:rPr>
      <w:rFonts w:ascii="Arial" w:hAnsi="Arial"/>
      <w:bCs/>
      <w:sz w:val="18"/>
    </w:rPr>
  </w:style>
  <w:style w:type="character" w:customStyle="1" w:styleId="DefaultChar">
    <w:name w:val="Default Char"/>
    <w:link w:val="Default"/>
    <w:rsid w:val="00EB609D"/>
    <w:rPr>
      <w:color w:val="000000"/>
      <w:sz w:val="24"/>
      <w:szCs w:val="24"/>
      <w:lang w:val="en-US" w:eastAsia="en-US"/>
    </w:rPr>
  </w:style>
  <w:style w:type="paragraph" w:customStyle="1" w:styleId="TableNotes">
    <w:name w:val="Table Notes"/>
    <w:basedOn w:val="Normal"/>
    <w:next w:val="Normal"/>
    <w:link w:val="TableNotesChar"/>
    <w:qFormat/>
    <w:rsid w:val="00EB609D"/>
    <w:pPr>
      <w:keepLines/>
      <w:tabs>
        <w:tab w:val="left" w:pos="1134"/>
      </w:tabs>
      <w:ind w:left="1138" w:hanging="1138"/>
    </w:pPr>
    <w:rPr>
      <w:rFonts w:ascii="Calibri" w:hAnsi="Calibri" w:cs="Arial Narrow"/>
      <w:sz w:val="16"/>
      <w:szCs w:val="18"/>
      <w:lang w:val="fr-FR" w:eastAsia="en-US"/>
    </w:rPr>
  </w:style>
  <w:style w:type="character" w:customStyle="1" w:styleId="TableNotesChar">
    <w:name w:val="Table Notes Char"/>
    <w:link w:val="TableNotes"/>
    <w:rsid w:val="00EB609D"/>
    <w:rPr>
      <w:rFonts w:ascii="Calibri" w:hAnsi="Calibri" w:cs="Arial Narrow"/>
      <w:sz w:val="16"/>
      <w:szCs w:val="18"/>
      <w:lang w:val="fr-FR" w:eastAsia="en-US"/>
    </w:rPr>
  </w:style>
  <w:style w:type="paragraph" w:customStyle="1" w:styleId="TableTitle">
    <w:name w:val="TableTitle"/>
    <w:basedOn w:val="BodyText"/>
    <w:next w:val="BodyText"/>
    <w:link w:val="TableTitleChar"/>
    <w:rsid w:val="00EB609D"/>
    <w:pPr>
      <w:keepNext/>
      <w:tabs>
        <w:tab w:val="left" w:pos="1559"/>
      </w:tabs>
      <w:spacing w:after="60"/>
      <w:ind w:left="1559" w:hanging="1559"/>
    </w:pPr>
    <w:rPr>
      <w:rFonts w:ascii="Calibri" w:hAnsi="Calibri"/>
      <w:b/>
      <w:lang w:eastAsia="en-US"/>
    </w:rPr>
  </w:style>
  <w:style w:type="character" w:customStyle="1" w:styleId="TableTitleChar">
    <w:name w:val="TableTitle Char"/>
    <w:link w:val="TableTitle"/>
    <w:rsid w:val="00EB609D"/>
    <w:rPr>
      <w:rFonts w:ascii="Calibri" w:hAnsi="Calibri"/>
      <w:b/>
      <w:sz w:val="24"/>
      <w:szCs w:val="24"/>
      <w:lang w:eastAsia="en-US"/>
    </w:rPr>
  </w:style>
  <w:style w:type="paragraph" w:customStyle="1" w:styleId="TableName">
    <w:name w:val="TableName"/>
    <w:basedOn w:val="Normal"/>
    <w:rsid w:val="00EB609D"/>
    <w:pPr>
      <w:keepNext/>
    </w:pPr>
    <w:rPr>
      <w:rFonts w:ascii="Arial" w:hAnsi="Arial" w:cs="Arial Narrow"/>
      <w:b/>
      <w:bCs/>
      <w:sz w:val="20"/>
      <w:szCs w:val="22"/>
      <w:lang w:eastAsia="en-US"/>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link w:val="FootnoteText"/>
    <w:rsid w:val="00EB609D"/>
  </w:style>
  <w:style w:type="paragraph" w:styleId="BodyText">
    <w:name w:val="Body Text"/>
    <w:basedOn w:val="Normal"/>
    <w:link w:val="BodyTextChar"/>
    <w:rsid w:val="00EB609D"/>
    <w:pPr>
      <w:spacing w:after="120"/>
    </w:pPr>
  </w:style>
  <w:style w:type="character" w:customStyle="1" w:styleId="BodyTextChar">
    <w:name w:val="Body Text Char"/>
    <w:link w:val="BodyText"/>
    <w:rsid w:val="00EB609D"/>
    <w:rPr>
      <w:sz w:val="24"/>
      <w:szCs w:val="24"/>
    </w:rPr>
  </w:style>
  <w:style w:type="character" w:styleId="CommentReference">
    <w:name w:val="annotation reference"/>
    <w:aliases w:val="Table Title"/>
    <w:uiPriority w:val="99"/>
    <w:qFormat/>
    <w:rsid w:val="005810D1"/>
    <w:rPr>
      <w:sz w:val="16"/>
      <w:szCs w:val="16"/>
    </w:rPr>
  </w:style>
  <w:style w:type="paragraph" w:styleId="CommentText">
    <w:name w:val="annotation text"/>
    <w:basedOn w:val="Normal"/>
    <w:link w:val="CommentTextChar"/>
    <w:rsid w:val="005810D1"/>
    <w:rPr>
      <w:sz w:val="20"/>
      <w:szCs w:val="20"/>
    </w:rPr>
  </w:style>
  <w:style w:type="character" w:customStyle="1" w:styleId="CommentTextChar">
    <w:name w:val="Comment Text Char"/>
    <w:basedOn w:val="DefaultParagraphFont"/>
    <w:link w:val="CommentText"/>
    <w:rsid w:val="005810D1"/>
  </w:style>
  <w:style w:type="paragraph" w:styleId="CommentSubject">
    <w:name w:val="annotation subject"/>
    <w:basedOn w:val="CommentText"/>
    <w:next w:val="CommentText"/>
    <w:link w:val="CommentSubjectChar"/>
    <w:rsid w:val="005810D1"/>
    <w:rPr>
      <w:b/>
      <w:bCs/>
    </w:rPr>
  </w:style>
  <w:style w:type="character" w:customStyle="1" w:styleId="CommentSubjectChar">
    <w:name w:val="Comment Subject Char"/>
    <w:link w:val="CommentSubject"/>
    <w:rsid w:val="005810D1"/>
    <w:rPr>
      <w:b/>
      <w:bCs/>
    </w:rPr>
  </w:style>
  <w:style w:type="paragraph" w:customStyle="1" w:styleId="TableText0">
    <w:name w:val="Table Text"/>
    <w:basedOn w:val="Normal"/>
    <w:link w:val="TableTextChar1"/>
    <w:autoRedefine/>
    <w:qFormat/>
    <w:rsid w:val="005810D1"/>
    <w:rPr>
      <w:rFonts w:ascii="Calibri" w:eastAsia="SimSun" w:hAnsi="Calibri"/>
      <w:b/>
      <w:color w:val="000000"/>
      <w:sz w:val="21"/>
      <w:szCs w:val="22"/>
      <w:lang w:val="x-none"/>
    </w:rPr>
  </w:style>
  <w:style w:type="character" w:customStyle="1" w:styleId="TableTextChar1">
    <w:name w:val="Table Text Char1"/>
    <w:link w:val="TableText0"/>
    <w:rsid w:val="005810D1"/>
    <w:rPr>
      <w:rFonts w:ascii="Calibri" w:eastAsia="SimSun" w:hAnsi="Calibri"/>
      <w:b/>
      <w:color w:val="000000"/>
      <w:sz w:val="21"/>
      <w:szCs w:val="22"/>
      <w:lang w:val="x-none"/>
    </w:rPr>
  </w:style>
  <w:style w:type="paragraph" w:styleId="Revision">
    <w:name w:val="Revision"/>
    <w:hidden/>
    <w:uiPriority w:val="71"/>
    <w:rsid w:val="009671FE"/>
    <w:rPr>
      <w:sz w:val="24"/>
      <w:szCs w:val="24"/>
    </w:rPr>
  </w:style>
  <w:style w:type="character" w:customStyle="1" w:styleId="Heading1Char">
    <w:name w:val="Heading 1 Char"/>
    <w:basedOn w:val="DefaultParagraphFont"/>
    <w:link w:val="Heading1"/>
    <w:rsid w:val="00002DC3"/>
    <w:rPr>
      <w:b/>
      <w:sz w:val="24"/>
      <w:szCs w:val="24"/>
    </w:rPr>
  </w:style>
  <w:style w:type="character" w:customStyle="1" w:styleId="Heading5Char">
    <w:name w:val="Heading 5 Char"/>
    <w:basedOn w:val="DefaultParagraphFont"/>
    <w:link w:val="Heading5"/>
    <w:rsid w:val="00002DC3"/>
    <w:rPr>
      <w:b/>
      <w:bCs/>
      <w:i/>
      <w:iCs/>
      <w:sz w:val="26"/>
      <w:szCs w:val="26"/>
    </w:rPr>
  </w:style>
  <w:style w:type="character" w:customStyle="1" w:styleId="Heading6Char">
    <w:name w:val="Heading 6 Char"/>
    <w:basedOn w:val="DefaultParagraphFont"/>
    <w:link w:val="Heading6"/>
    <w:rsid w:val="00002DC3"/>
    <w:rPr>
      <w:b/>
      <w:bCs/>
      <w:sz w:val="22"/>
      <w:szCs w:val="22"/>
    </w:rPr>
  </w:style>
  <w:style w:type="character" w:customStyle="1" w:styleId="FooterChar">
    <w:name w:val="Footer Char"/>
    <w:aliases w:val="Page Footer Char"/>
    <w:link w:val="Footer"/>
    <w:uiPriority w:val="99"/>
    <w:rsid w:val="00002DC3"/>
    <w:rPr>
      <w:sz w:val="24"/>
      <w:szCs w:val="24"/>
    </w:rPr>
  </w:style>
  <w:style w:type="character" w:customStyle="1" w:styleId="BalloonTextChar">
    <w:name w:val="Balloon Text Char"/>
    <w:link w:val="BalloonText"/>
    <w:semiHidden/>
    <w:rsid w:val="00002DC3"/>
    <w:rPr>
      <w:rFonts w:ascii="Tahoma" w:hAnsi="Tahoma" w:cs="Tahoma"/>
      <w:sz w:val="16"/>
      <w:szCs w:val="16"/>
    </w:rPr>
  </w:style>
  <w:style w:type="paragraph" w:styleId="BodyText2">
    <w:name w:val="Body Text 2"/>
    <w:basedOn w:val="Normal"/>
    <w:link w:val="BodyText2Char"/>
    <w:rsid w:val="00002DC3"/>
    <w:pPr>
      <w:widowControl w:val="0"/>
      <w:jc w:val="both"/>
    </w:pPr>
    <w:rPr>
      <w:rFonts w:ascii="Arial" w:hAnsi="Arial"/>
      <w:snapToGrid w:val="0"/>
      <w:sz w:val="20"/>
      <w:szCs w:val="20"/>
      <w:lang w:eastAsia="en-US"/>
    </w:rPr>
  </w:style>
  <w:style w:type="character" w:customStyle="1" w:styleId="BodyText2Char">
    <w:name w:val="Body Text 2 Char"/>
    <w:basedOn w:val="DefaultParagraphFont"/>
    <w:link w:val="BodyText2"/>
    <w:rsid w:val="00002DC3"/>
    <w:rPr>
      <w:rFonts w:ascii="Arial" w:hAnsi="Arial"/>
      <w:snapToGrid w:val="0"/>
      <w:lang w:eastAsia="en-US"/>
    </w:rPr>
  </w:style>
  <w:style w:type="paragraph" w:customStyle="1" w:styleId="TableHeading">
    <w:name w:val="TableHeading"/>
    <w:basedOn w:val="Normal"/>
    <w:rsid w:val="00002DC3"/>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rsid w:val="00002DC3"/>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rsid w:val="00002DC3"/>
    <w:pPr>
      <w:spacing w:after="120"/>
    </w:pPr>
    <w:rPr>
      <w:sz w:val="16"/>
      <w:szCs w:val="16"/>
    </w:rPr>
  </w:style>
  <w:style w:type="character" w:customStyle="1" w:styleId="BodyText3Char">
    <w:name w:val="Body Text 3 Char"/>
    <w:basedOn w:val="DefaultParagraphFont"/>
    <w:link w:val="BodyText3"/>
    <w:rsid w:val="00002DC3"/>
    <w:rPr>
      <w:sz w:val="16"/>
      <w:szCs w:val="16"/>
    </w:rPr>
  </w:style>
  <w:style w:type="character" w:customStyle="1" w:styleId="SubtitleChar">
    <w:name w:val="Subtitle Char"/>
    <w:link w:val="Subtitle"/>
    <w:rsid w:val="00002DC3"/>
    <w:rPr>
      <w:lang w:eastAsia="en-US"/>
    </w:rPr>
  </w:style>
  <w:style w:type="paragraph" w:styleId="Subtitle">
    <w:name w:val="Subtitle"/>
    <w:basedOn w:val="Normal"/>
    <w:link w:val="SubtitleChar"/>
    <w:qFormat/>
    <w:rsid w:val="00002DC3"/>
    <w:pPr>
      <w:jc w:val="both"/>
    </w:pPr>
    <w:rPr>
      <w:sz w:val="20"/>
      <w:szCs w:val="20"/>
      <w:lang w:eastAsia="en-US"/>
    </w:rPr>
  </w:style>
  <w:style w:type="character" w:customStyle="1" w:styleId="SubtitleChar1">
    <w:name w:val="Subtitle Char1"/>
    <w:basedOn w:val="DefaultParagraphFont"/>
    <w:rsid w:val="00002DC3"/>
    <w:rPr>
      <w:rFonts w:asciiTheme="majorHAnsi" w:eastAsiaTheme="majorEastAsia" w:hAnsiTheme="majorHAnsi" w:cstheme="majorBidi"/>
      <w:sz w:val="24"/>
      <w:szCs w:val="24"/>
    </w:rPr>
  </w:style>
  <w:style w:type="paragraph" w:customStyle="1" w:styleId="MediumGrid21">
    <w:name w:val="Medium Grid 21"/>
    <w:link w:val="MediumGrid2Char"/>
    <w:qFormat/>
    <w:rsid w:val="00002DC3"/>
    <w:rPr>
      <w:rFonts w:ascii="PMingLiU" w:eastAsia="MS Mincho" w:hAnsi="PMingLiU"/>
      <w:sz w:val="22"/>
      <w:szCs w:val="22"/>
      <w:lang w:val="en-US" w:eastAsia="en-US"/>
    </w:rPr>
  </w:style>
  <w:style w:type="character" w:customStyle="1" w:styleId="MediumGrid2Char">
    <w:name w:val="Medium Grid 2 Char"/>
    <w:link w:val="MediumGrid21"/>
    <w:rsid w:val="00002DC3"/>
    <w:rPr>
      <w:rFonts w:ascii="PMingLiU" w:eastAsia="MS Mincho" w:hAnsi="PMingLiU"/>
      <w:sz w:val="22"/>
      <w:szCs w:val="22"/>
      <w:lang w:val="en-US" w:eastAsia="en-US"/>
    </w:rPr>
  </w:style>
  <w:style w:type="table" w:customStyle="1" w:styleId="IntenseQuote1">
    <w:name w:val="Intense Quote1"/>
    <w:basedOn w:val="TableNormal"/>
    <w:uiPriority w:val="60"/>
    <w:qFormat/>
    <w:rsid w:val="00002DC3"/>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ableFooter">
    <w:name w:val="Table Footer"/>
    <w:basedOn w:val="Normal"/>
    <w:qFormat/>
    <w:rsid w:val="00002DC3"/>
    <w:pPr>
      <w:widowControl w:val="0"/>
      <w:jc w:val="both"/>
    </w:pPr>
    <w:rPr>
      <w:rFonts w:ascii="Arial Narrow" w:hAnsi="Arial Narrow" w:cs="Arial"/>
      <w:snapToGrid w:val="0"/>
      <w:sz w:val="18"/>
      <w:szCs w:val="20"/>
      <w:lang w:eastAsia="en-US"/>
    </w:rPr>
  </w:style>
  <w:style w:type="character" w:styleId="Hyperlink">
    <w:name w:val="Hyperlink"/>
    <w:uiPriority w:val="99"/>
    <w:unhideWhenUsed/>
    <w:rsid w:val="00002DC3"/>
    <w:rPr>
      <w:color w:val="0000FF"/>
      <w:u w:val="single"/>
    </w:rPr>
  </w:style>
  <w:style w:type="character" w:customStyle="1" w:styleId="ListParagraphChar">
    <w:name w:val="List Paragraph Char"/>
    <w:link w:val="ListParagraph"/>
    <w:uiPriority w:val="72"/>
    <w:rsid w:val="00002D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7B9"/>
    <w:rPr>
      <w:sz w:val="24"/>
      <w:szCs w:val="24"/>
    </w:rPr>
  </w:style>
  <w:style w:type="paragraph" w:styleId="Heading1">
    <w:name w:val="heading 1"/>
    <w:basedOn w:val="Normal"/>
    <w:next w:val="Normal"/>
    <w:link w:val="Heading1Char"/>
    <w:qFormat/>
    <w:rsid w:val="00002DC3"/>
    <w:pPr>
      <w:keepNext/>
      <w:outlineLvl w:val="0"/>
    </w:pPr>
    <w:rPr>
      <w:b/>
    </w:rPr>
  </w:style>
  <w:style w:type="paragraph" w:styleId="Heading2">
    <w:name w:val="heading 2"/>
    <w:basedOn w:val="Normal"/>
    <w:next w:val="Normal"/>
    <w:link w:val="Heading2Char"/>
    <w:unhideWhenUsed/>
    <w:qFormat/>
    <w:rsid w:val="009102D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04080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86FAB"/>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002DC3"/>
    <w:pPr>
      <w:spacing w:before="240" w:after="60"/>
      <w:outlineLvl w:val="4"/>
    </w:pPr>
    <w:rPr>
      <w:b/>
      <w:bCs/>
      <w:i/>
      <w:iCs/>
      <w:sz w:val="26"/>
      <w:szCs w:val="26"/>
    </w:rPr>
  </w:style>
  <w:style w:type="paragraph" w:styleId="Heading6">
    <w:name w:val="heading 6"/>
    <w:basedOn w:val="Normal"/>
    <w:next w:val="Normal"/>
    <w:link w:val="Heading6Char"/>
    <w:qFormat/>
    <w:rsid w:val="00002DC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beth"/>
    <w:basedOn w:val="TableNormal"/>
    <w:uiPriority w:val="59"/>
    <w:rsid w:val="002A5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B4850"/>
    <w:rPr>
      <w:rFonts w:ascii="Tahoma" w:hAnsi="Tahoma" w:cs="Tahoma"/>
      <w:sz w:val="16"/>
      <w:szCs w:val="16"/>
    </w:rPr>
  </w:style>
  <w:style w:type="paragraph" w:styleId="Header">
    <w:name w:val="header"/>
    <w:aliases w:val="Page Header,Header title,he=header,cntr/bld"/>
    <w:basedOn w:val="Normal"/>
    <w:link w:val="HeaderChar"/>
    <w:uiPriority w:val="99"/>
    <w:rsid w:val="009B4850"/>
    <w:pPr>
      <w:tabs>
        <w:tab w:val="center" w:pos="4153"/>
        <w:tab w:val="right" w:pos="8306"/>
      </w:tabs>
    </w:pPr>
  </w:style>
  <w:style w:type="paragraph" w:styleId="Footer">
    <w:name w:val="footer"/>
    <w:aliases w:val="Page Footer"/>
    <w:basedOn w:val="Normal"/>
    <w:link w:val="FooterChar"/>
    <w:uiPriority w:val="99"/>
    <w:rsid w:val="009B4850"/>
    <w:pPr>
      <w:tabs>
        <w:tab w:val="center" w:pos="4153"/>
        <w:tab w:val="right" w:pos="8306"/>
      </w:tabs>
    </w:pPr>
  </w:style>
  <w:style w:type="paragraph" w:customStyle="1" w:styleId="Default">
    <w:name w:val="Default"/>
    <w:link w:val="DefaultChar"/>
    <w:rsid w:val="0000132B"/>
    <w:pPr>
      <w:widowControl w:val="0"/>
      <w:autoSpaceDE w:val="0"/>
      <w:autoSpaceDN w:val="0"/>
      <w:adjustRightInd w:val="0"/>
    </w:pPr>
    <w:rPr>
      <w:color w:val="000000"/>
      <w:sz w:val="24"/>
      <w:szCs w:val="24"/>
      <w:lang w:val="en-US" w:eastAsia="en-US"/>
    </w:rPr>
  </w:style>
  <w:style w:type="character" w:styleId="PageNumber">
    <w:name w:val="page number"/>
    <w:basedOn w:val="DefaultParagraphFont"/>
    <w:rsid w:val="003D177A"/>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E3661"/>
    <w:pPr>
      <w:spacing w:after="160" w:line="240" w:lineRule="exact"/>
    </w:pPr>
    <w:rPr>
      <w:rFonts w:ascii="Verdana" w:eastAsia="MS Mincho" w:hAnsi="Verdana" w:cs="Verdana"/>
      <w:sz w:val="20"/>
      <w:szCs w:val="20"/>
      <w:lang w:val="en-US" w:eastAsia="en-US"/>
    </w:rPr>
  </w:style>
  <w:style w:type="character" w:customStyle="1" w:styleId="MathematicaFormatStandardForm">
    <w:name w:val="MathematicaFormatStandardForm"/>
    <w:rsid w:val="00B149E8"/>
    <w:rPr>
      <w:rFonts w:ascii="Courier" w:hAnsi="Courier" w:cs="Courier"/>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
    <w:basedOn w:val="Normal"/>
    <w:link w:val="FootnoteTextChar"/>
    <w:rsid w:val="00B149E8"/>
    <w:rPr>
      <w:sz w:val="20"/>
      <w:szCs w:val="20"/>
    </w:rPr>
  </w:style>
  <w:style w:type="character" w:styleId="FootnoteReference">
    <w:name w:val="footnote reference"/>
    <w:rsid w:val="00B149E8"/>
    <w:rPr>
      <w:vertAlign w:val="superscript"/>
    </w:rPr>
  </w:style>
  <w:style w:type="character" w:customStyle="1" w:styleId="HeaderChar">
    <w:name w:val="Header Char"/>
    <w:aliases w:val="Page Header Char,Header title Char,he=header Char,cntr/bld Char"/>
    <w:link w:val="Header"/>
    <w:uiPriority w:val="99"/>
    <w:rsid w:val="00EE12C5"/>
    <w:rPr>
      <w:sz w:val="24"/>
      <w:szCs w:val="24"/>
    </w:rPr>
  </w:style>
  <w:style w:type="paragraph" w:customStyle="1" w:styleId="Tabletext">
    <w:name w:val="Table text"/>
    <w:basedOn w:val="Normal"/>
    <w:link w:val="TabletextChar"/>
    <w:qFormat/>
    <w:rsid w:val="00EE12C5"/>
    <w:pPr>
      <w:spacing w:after="120"/>
    </w:pPr>
    <w:rPr>
      <w:rFonts w:ascii="Arial" w:hAnsi="Arial"/>
      <w:sz w:val="20"/>
      <w:szCs w:val="20"/>
      <w:lang w:eastAsia="en-US"/>
    </w:rPr>
  </w:style>
  <w:style w:type="character" w:customStyle="1" w:styleId="TabletextChar">
    <w:name w:val="Table text Char"/>
    <w:link w:val="Tabletext"/>
    <w:rsid w:val="00EE12C5"/>
    <w:rPr>
      <w:rFonts w:ascii="Arial" w:hAnsi="Arial"/>
      <w:lang w:eastAsia="en-US"/>
    </w:rPr>
  </w:style>
  <w:style w:type="character" w:customStyle="1" w:styleId="Heading2Char">
    <w:name w:val="Heading 2 Char"/>
    <w:link w:val="Heading2"/>
    <w:rsid w:val="009102D9"/>
    <w:rPr>
      <w:rFonts w:ascii="Cambria" w:eastAsia="Times New Roman" w:hAnsi="Cambria" w:cs="Times New Roman"/>
      <w:b/>
      <w:bCs/>
      <w:i/>
      <w:iCs/>
      <w:sz w:val="28"/>
      <w:szCs w:val="28"/>
    </w:rPr>
  </w:style>
  <w:style w:type="character" w:customStyle="1" w:styleId="Heading3Char">
    <w:name w:val="Heading 3 Char"/>
    <w:link w:val="Heading3"/>
    <w:rsid w:val="0004080D"/>
    <w:rPr>
      <w:rFonts w:ascii="Cambria" w:eastAsia="Times New Roman" w:hAnsi="Cambria" w:cs="Times New Roman"/>
      <w:b/>
      <w:bCs/>
      <w:sz w:val="26"/>
      <w:szCs w:val="26"/>
    </w:rPr>
  </w:style>
  <w:style w:type="character" w:styleId="Strong">
    <w:name w:val="Strong"/>
    <w:qFormat/>
    <w:rsid w:val="00BB219E"/>
    <w:rPr>
      <w:b/>
      <w:bCs/>
    </w:rPr>
  </w:style>
  <w:style w:type="paragraph" w:styleId="ListParagraph">
    <w:name w:val="List Paragraph"/>
    <w:basedOn w:val="Normal"/>
    <w:link w:val="ListParagraphChar"/>
    <w:uiPriority w:val="72"/>
    <w:qFormat/>
    <w:rsid w:val="00286FAB"/>
    <w:pPr>
      <w:ind w:left="720"/>
      <w:contextualSpacing/>
    </w:pPr>
  </w:style>
  <w:style w:type="character" w:customStyle="1" w:styleId="Heading4Char">
    <w:name w:val="Heading 4 Char"/>
    <w:link w:val="Heading4"/>
    <w:semiHidden/>
    <w:rsid w:val="00286FAB"/>
    <w:rPr>
      <w:rFonts w:ascii="Cambria" w:hAnsi="Cambria"/>
      <w:b/>
      <w:bCs/>
      <w:i/>
      <w:iCs/>
      <w:color w:val="4F81BD"/>
      <w:sz w:val="24"/>
      <w:szCs w:val="24"/>
    </w:rPr>
  </w:style>
  <w:style w:type="character" w:customStyle="1" w:styleId="Table">
    <w:name w:val="Table"/>
    <w:rsid w:val="00EB609D"/>
    <w:rPr>
      <w:rFonts w:ascii="Arial" w:hAnsi="Arial"/>
      <w:bCs/>
      <w:sz w:val="18"/>
    </w:rPr>
  </w:style>
  <w:style w:type="character" w:customStyle="1" w:styleId="DefaultChar">
    <w:name w:val="Default Char"/>
    <w:link w:val="Default"/>
    <w:rsid w:val="00EB609D"/>
    <w:rPr>
      <w:color w:val="000000"/>
      <w:sz w:val="24"/>
      <w:szCs w:val="24"/>
      <w:lang w:val="en-US" w:eastAsia="en-US"/>
    </w:rPr>
  </w:style>
  <w:style w:type="paragraph" w:customStyle="1" w:styleId="TableNotes">
    <w:name w:val="Table Notes"/>
    <w:basedOn w:val="Normal"/>
    <w:next w:val="Normal"/>
    <w:link w:val="TableNotesChar"/>
    <w:qFormat/>
    <w:rsid w:val="00EB609D"/>
    <w:pPr>
      <w:keepLines/>
      <w:tabs>
        <w:tab w:val="left" w:pos="1134"/>
      </w:tabs>
      <w:ind w:left="1138" w:hanging="1138"/>
    </w:pPr>
    <w:rPr>
      <w:rFonts w:ascii="Calibri" w:hAnsi="Calibri" w:cs="Arial Narrow"/>
      <w:sz w:val="16"/>
      <w:szCs w:val="18"/>
      <w:lang w:val="fr-FR" w:eastAsia="en-US"/>
    </w:rPr>
  </w:style>
  <w:style w:type="character" w:customStyle="1" w:styleId="TableNotesChar">
    <w:name w:val="Table Notes Char"/>
    <w:link w:val="TableNotes"/>
    <w:rsid w:val="00EB609D"/>
    <w:rPr>
      <w:rFonts w:ascii="Calibri" w:hAnsi="Calibri" w:cs="Arial Narrow"/>
      <w:sz w:val="16"/>
      <w:szCs w:val="18"/>
      <w:lang w:val="fr-FR" w:eastAsia="en-US"/>
    </w:rPr>
  </w:style>
  <w:style w:type="paragraph" w:customStyle="1" w:styleId="TableTitle">
    <w:name w:val="TableTitle"/>
    <w:basedOn w:val="BodyText"/>
    <w:next w:val="BodyText"/>
    <w:link w:val="TableTitleChar"/>
    <w:rsid w:val="00EB609D"/>
    <w:pPr>
      <w:keepNext/>
      <w:tabs>
        <w:tab w:val="left" w:pos="1559"/>
      </w:tabs>
      <w:spacing w:after="60"/>
      <w:ind w:left="1559" w:hanging="1559"/>
    </w:pPr>
    <w:rPr>
      <w:rFonts w:ascii="Calibri" w:hAnsi="Calibri"/>
      <w:b/>
      <w:lang w:eastAsia="en-US"/>
    </w:rPr>
  </w:style>
  <w:style w:type="character" w:customStyle="1" w:styleId="TableTitleChar">
    <w:name w:val="TableTitle Char"/>
    <w:link w:val="TableTitle"/>
    <w:rsid w:val="00EB609D"/>
    <w:rPr>
      <w:rFonts w:ascii="Calibri" w:hAnsi="Calibri"/>
      <w:b/>
      <w:sz w:val="24"/>
      <w:szCs w:val="24"/>
      <w:lang w:eastAsia="en-US"/>
    </w:rPr>
  </w:style>
  <w:style w:type="paragraph" w:customStyle="1" w:styleId="TableName">
    <w:name w:val="TableName"/>
    <w:basedOn w:val="Normal"/>
    <w:rsid w:val="00EB609D"/>
    <w:pPr>
      <w:keepNext/>
    </w:pPr>
    <w:rPr>
      <w:rFonts w:ascii="Arial" w:hAnsi="Arial" w:cs="Arial Narrow"/>
      <w:b/>
      <w:bCs/>
      <w:sz w:val="20"/>
      <w:szCs w:val="22"/>
      <w:lang w:eastAsia="en-US"/>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link w:val="FootnoteText"/>
    <w:rsid w:val="00EB609D"/>
  </w:style>
  <w:style w:type="paragraph" w:styleId="BodyText">
    <w:name w:val="Body Text"/>
    <w:basedOn w:val="Normal"/>
    <w:link w:val="BodyTextChar"/>
    <w:rsid w:val="00EB609D"/>
    <w:pPr>
      <w:spacing w:after="120"/>
    </w:pPr>
  </w:style>
  <w:style w:type="character" w:customStyle="1" w:styleId="BodyTextChar">
    <w:name w:val="Body Text Char"/>
    <w:link w:val="BodyText"/>
    <w:rsid w:val="00EB609D"/>
    <w:rPr>
      <w:sz w:val="24"/>
      <w:szCs w:val="24"/>
    </w:rPr>
  </w:style>
  <w:style w:type="character" w:styleId="CommentReference">
    <w:name w:val="annotation reference"/>
    <w:aliases w:val="Table Title"/>
    <w:uiPriority w:val="99"/>
    <w:qFormat/>
    <w:rsid w:val="005810D1"/>
    <w:rPr>
      <w:sz w:val="16"/>
      <w:szCs w:val="16"/>
    </w:rPr>
  </w:style>
  <w:style w:type="paragraph" w:styleId="CommentText">
    <w:name w:val="annotation text"/>
    <w:basedOn w:val="Normal"/>
    <w:link w:val="CommentTextChar"/>
    <w:rsid w:val="005810D1"/>
    <w:rPr>
      <w:sz w:val="20"/>
      <w:szCs w:val="20"/>
    </w:rPr>
  </w:style>
  <w:style w:type="character" w:customStyle="1" w:styleId="CommentTextChar">
    <w:name w:val="Comment Text Char"/>
    <w:basedOn w:val="DefaultParagraphFont"/>
    <w:link w:val="CommentText"/>
    <w:rsid w:val="005810D1"/>
  </w:style>
  <w:style w:type="paragraph" w:styleId="CommentSubject">
    <w:name w:val="annotation subject"/>
    <w:basedOn w:val="CommentText"/>
    <w:next w:val="CommentText"/>
    <w:link w:val="CommentSubjectChar"/>
    <w:rsid w:val="005810D1"/>
    <w:rPr>
      <w:b/>
      <w:bCs/>
    </w:rPr>
  </w:style>
  <w:style w:type="character" w:customStyle="1" w:styleId="CommentSubjectChar">
    <w:name w:val="Comment Subject Char"/>
    <w:link w:val="CommentSubject"/>
    <w:rsid w:val="005810D1"/>
    <w:rPr>
      <w:b/>
      <w:bCs/>
    </w:rPr>
  </w:style>
  <w:style w:type="paragraph" w:customStyle="1" w:styleId="TableText0">
    <w:name w:val="Table Text"/>
    <w:basedOn w:val="Normal"/>
    <w:link w:val="TableTextChar1"/>
    <w:autoRedefine/>
    <w:qFormat/>
    <w:rsid w:val="005810D1"/>
    <w:rPr>
      <w:rFonts w:ascii="Calibri" w:eastAsia="SimSun" w:hAnsi="Calibri"/>
      <w:b/>
      <w:color w:val="000000"/>
      <w:sz w:val="21"/>
      <w:szCs w:val="22"/>
      <w:lang w:val="x-none"/>
    </w:rPr>
  </w:style>
  <w:style w:type="character" w:customStyle="1" w:styleId="TableTextChar1">
    <w:name w:val="Table Text Char1"/>
    <w:link w:val="TableText0"/>
    <w:rsid w:val="005810D1"/>
    <w:rPr>
      <w:rFonts w:ascii="Calibri" w:eastAsia="SimSun" w:hAnsi="Calibri"/>
      <w:b/>
      <w:color w:val="000000"/>
      <w:sz w:val="21"/>
      <w:szCs w:val="22"/>
      <w:lang w:val="x-none"/>
    </w:rPr>
  </w:style>
  <w:style w:type="paragraph" w:styleId="Revision">
    <w:name w:val="Revision"/>
    <w:hidden/>
    <w:uiPriority w:val="71"/>
    <w:rsid w:val="009671FE"/>
    <w:rPr>
      <w:sz w:val="24"/>
      <w:szCs w:val="24"/>
    </w:rPr>
  </w:style>
  <w:style w:type="character" w:customStyle="1" w:styleId="Heading1Char">
    <w:name w:val="Heading 1 Char"/>
    <w:basedOn w:val="DefaultParagraphFont"/>
    <w:link w:val="Heading1"/>
    <w:rsid w:val="00002DC3"/>
    <w:rPr>
      <w:b/>
      <w:sz w:val="24"/>
      <w:szCs w:val="24"/>
    </w:rPr>
  </w:style>
  <w:style w:type="character" w:customStyle="1" w:styleId="Heading5Char">
    <w:name w:val="Heading 5 Char"/>
    <w:basedOn w:val="DefaultParagraphFont"/>
    <w:link w:val="Heading5"/>
    <w:rsid w:val="00002DC3"/>
    <w:rPr>
      <w:b/>
      <w:bCs/>
      <w:i/>
      <w:iCs/>
      <w:sz w:val="26"/>
      <w:szCs w:val="26"/>
    </w:rPr>
  </w:style>
  <w:style w:type="character" w:customStyle="1" w:styleId="Heading6Char">
    <w:name w:val="Heading 6 Char"/>
    <w:basedOn w:val="DefaultParagraphFont"/>
    <w:link w:val="Heading6"/>
    <w:rsid w:val="00002DC3"/>
    <w:rPr>
      <w:b/>
      <w:bCs/>
      <w:sz w:val="22"/>
      <w:szCs w:val="22"/>
    </w:rPr>
  </w:style>
  <w:style w:type="character" w:customStyle="1" w:styleId="FooterChar">
    <w:name w:val="Footer Char"/>
    <w:aliases w:val="Page Footer Char"/>
    <w:link w:val="Footer"/>
    <w:uiPriority w:val="99"/>
    <w:rsid w:val="00002DC3"/>
    <w:rPr>
      <w:sz w:val="24"/>
      <w:szCs w:val="24"/>
    </w:rPr>
  </w:style>
  <w:style w:type="character" w:customStyle="1" w:styleId="BalloonTextChar">
    <w:name w:val="Balloon Text Char"/>
    <w:link w:val="BalloonText"/>
    <w:semiHidden/>
    <w:rsid w:val="00002DC3"/>
    <w:rPr>
      <w:rFonts w:ascii="Tahoma" w:hAnsi="Tahoma" w:cs="Tahoma"/>
      <w:sz w:val="16"/>
      <w:szCs w:val="16"/>
    </w:rPr>
  </w:style>
  <w:style w:type="paragraph" w:styleId="BodyText2">
    <w:name w:val="Body Text 2"/>
    <w:basedOn w:val="Normal"/>
    <w:link w:val="BodyText2Char"/>
    <w:rsid w:val="00002DC3"/>
    <w:pPr>
      <w:widowControl w:val="0"/>
      <w:jc w:val="both"/>
    </w:pPr>
    <w:rPr>
      <w:rFonts w:ascii="Arial" w:hAnsi="Arial"/>
      <w:snapToGrid w:val="0"/>
      <w:sz w:val="20"/>
      <w:szCs w:val="20"/>
      <w:lang w:eastAsia="en-US"/>
    </w:rPr>
  </w:style>
  <w:style w:type="character" w:customStyle="1" w:styleId="BodyText2Char">
    <w:name w:val="Body Text 2 Char"/>
    <w:basedOn w:val="DefaultParagraphFont"/>
    <w:link w:val="BodyText2"/>
    <w:rsid w:val="00002DC3"/>
    <w:rPr>
      <w:rFonts w:ascii="Arial" w:hAnsi="Arial"/>
      <w:snapToGrid w:val="0"/>
      <w:lang w:eastAsia="en-US"/>
    </w:rPr>
  </w:style>
  <w:style w:type="paragraph" w:customStyle="1" w:styleId="TableHeading">
    <w:name w:val="TableHeading"/>
    <w:basedOn w:val="Normal"/>
    <w:rsid w:val="00002DC3"/>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rsid w:val="00002DC3"/>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rsid w:val="00002DC3"/>
    <w:pPr>
      <w:spacing w:after="120"/>
    </w:pPr>
    <w:rPr>
      <w:sz w:val="16"/>
      <w:szCs w:val="16"/>
    </w:rPr>
  </w:style>
  <w:style w:type="character" w:customStyle="1" w:styleId="BodyText3Char">
    <w:name w:val="Body Text 3 Char"/>
    <w:basedOn w:val="DefaultParagraphFont"/>
    <w:link w:val="BodyText3"/>
    <w:rsid w:val="00002DC3"/>
    <w:rPr>
      <w:sz w:val="16"/>
      <w:szCs w:val="16"/>
    </w:rPr>
  </w:style>
  <w:style w:type="character" w:customStyle="1" w:styleId="SubtitleChar">
    <w:name w:val="Subtitle Char"/>
    <w:link w:val="Subtitle"/>
    <w:rsid w:val="00002DC3"/>
    <w:rPr>
      <w:lang w:eastAsia="en-US"/>
    </w:rPr>
  </w:style>
  <w:style w:type="paragraph" w:styleId="Subtitle">
    <w:name w:val="Subtitle"/>
    <w:basedOn w:val="Normal"/>
    <w:link w:val="SubtitleChar"/>
    <w:qFormat/>
    <w:rsid w:val="00002DC3"/>
    <w:pPr>
      <w:jc w:val="both"/>
    </w:pPr>
    <w:rPr>
      <w:sz w:val="20"/>
      <w:szCs w:val="20"/>
      <w:lang w:eastAsia="en-US"/>
    </w:rPr>
  </w:style>
  <w:style w:type="character" w:customStyle="1" w:styleId="SubtitleChar1">
    <w:name w:val="Subtitle Char1"/>
    <w:basedOn w:val="DefaultParagraphFont"/>
    <w:rsid w:val="00002DC3"/>
    <w:rPr>
      <w:rFonts w:asciiTheme="majorHAnsi" w:eastAsiaTheme="majorEastAsia" w:hAnsiTheme="majorHAnsi" w:cstheme="majorBidi"/>
      <w:sz w:val="24"/>
      <w:szCs w:val="24"/>
    </w:rPr>
  </w:style>
  <w:style w:type="paragraph" w:customStyle="1" w:styleId="MediumGrid21">
    <w:name w:val="Medium Grid 21"/>
    <w:link w:val="MediumGrid2Char"/>
    <w:qFormat/>
    <w:rsid w:val="00002DC3"/>
    <w:rPr>
      <w:rFonts w:ascii="PMingLiU" w:eastAsia="MS Mincho" w:hAnsi="PMingLiU"/>
      <w:sz w:val="22"/>
      <w:szCs w:val="22"/>
      <w:lang w:val="en-US" w:eastAsia="en-US"/>
    </w:rPr>
  </w:style>
  <w:style w:type="character" w:customStyle="1" w:styleId="MediumGrid2Char">
    <w:name w:val="Medium Grid 2 Char"/>
    <w:link w:val="MediumGrid21"/>
    <w:rsid w:val="00002DC3"/>
    <w:rPr>
      <w:rFonts w:ascii="PMingLiU" w:eastAsia="MS Mincho" w:hAnsi="PMingLiU"/>
      <w:sz w:val="22"/>
      <w:szCs w:val="22"/>
      <w:lang w:val="en-US" w:eastAsia="en-US"/>
    </w:rPr>
  </w:style>
  <w:style w:type="table" w:customStyle="1" w:styleId="IntenseQuote1">
    <w:name w:val="Intense Quote1"/>
    <w:basedOn w:val="TableNormal"/>
    <w:uiPriority w:val="60"/>
    <w:qFormat/>
    <w:rsid w:val="00002DC3"/>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ableFooter">
    <w:name w:val="Table Footer"/>
    <w:basedOn w:val="Normal"/>
    <w:qFormat/>
    <w:rsid w:val="00002DC3"/>
    <w:pPr>
      <w:widowControl w:val="0"/>
      <w:jc w:val="both"/>
    </w:pPr>
    <w:rPr>
      <w:rFonts w:ascii="Arial Narrow" w:hAnsi="Arial Narrow" w:cs="Arial"/>
      <w:snapToGrid w:val="0"/>
      <w:sz w:val="18"/>
      <w:szCs w:val="20"/>
      <w:lang w:eastAsia="en-US"/>
    </w:rPr>
  </w:style>
  <w:style w:type="character" w:styleId="Hyperlink">
    <w:name w:val="Hyperlink"/>
    <w:uiPriority w:val="99"/>
    <w:unhideWhenUsed/>
    <w:rsid w:val="00002DC3"/>
    <w:rPr>
      <w:color w:val="0000FF"/>
      <w:u w:val="single"/>
    </w:rPr>
  </w:style>
  <w:style w:type="character" w:customStyle="1" w:styleId="ListParagraphChar">
    <w:name w:val="List Paragraph Char"/>
    <w:link w:val="ListParagraph"/>
    <w:uiPriority w:val="72"/>
    <w:rsid w:val="00002D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35</Pages>
  <Words>16539</Words>
  <Characters>96381</Characters>
  <Application>Microsoft Office Word</Application>
  <DocSecurity>0</DocSecurity>
  <Lines>803</Lines>
  <Paragraphs>225</Paragraphs>
  <ScaleCrop>false</ScaleCrop>
  <HeadingPairs>
    <vt:vector size="2" baseType="variant">
      <vt:variant>
        <vt:lpstr>Title</vt:lpstr>
      </vt:variant>
      <vt:variant>
        <vt:i4>1</vt:i4>
      </vt:variant>
    </vt:vector>
  </HeadingPairs>
  <TitlesOfParts>
    <vt:vector size="1" baseType="lpstr">
      <vt:lpstr>PUBLIC SUMMARY DOCUMENT</vt:lpstr>
    </vt:vector>
  </TitlesOfParts>
  <Company>DHA</Company>
  <LinksUpToDate>false</LinksUpToDate>
  <CharactersWithSpaces>112695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SUMMARY DOCUMENT</dc:title>
  <dc:creator>Ricky Bolton</dc:creator>
  <cp:lastModifiedBy>Thomas Gareth</cp:lastModifiedBy>
  <cp:revision>5</cp:revision>
  <cp:lastPrinted>2014-03-11T05:00:00Z</cp:lastPrinted>
  <dcterms:created xsi:type="dcterms:W3CDTF">2014-10-29T03:20:00Z</dcterms:created>
  <dcterms:modified xsi:type="dcterms:W3CDTF">2014-11-04T03:15:00Z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