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6D6EC7" w:rsidRDefault="00A71ADF" w:rsidP="00E96455">
      <w:pPr>
        <w:pStyle w:val="Heading1"/>
      </w:pPr>
      <w:r>
        <w:t>5</w:t>
      </w:r>
      <w:r w:rsidR="0004240E" w:rsidRPr="006D6EC7">
        <w:t>.</w:t>
      </w:r>
      <w:r>
        <w:t>10</w:t>
      </w:r>
      <w:r w:rsidR="007C0F57" w:rsidRPr="006D6EC7">
        <w:tab/>
      </w:r>
      <w:r>
        <w:t>OBINUTUZUMAB</w:t>
      </w:r>
      <w:r w:rsidR="0004240E" w:rsidRPr="006D6EC7">
        <w:t xml:space="preserve">, </w:t>
      </w:r>
      <w:r>
        <w:t>solution for IV infusion</w:t>
      </w:r>
      <w:r w:rsidR="0004240E" w:rsidRPr="006D6EC7">
        <w:t xml:space="preserve">, </w:t>
      </w:r>
      <w:r>
        <w:t>1000 mg/40 mL</w:t>
      </w:r>
      <w:r w:rsidR="0004240E" w:rsidRPr="006D6EC7">
        <w:t xml:space="preserve">, </w:t>
      </w:r>
      <w:proofErr w:type="spellStart"/>
      <w:r>
        <w:t>Gazyva</w:t>
      </w:r>
      <w:proofErr w:type="spellEnd"/>
      <w:r w:rsidR="0004240E" w:rsidRPr="006D6EC7">
        <w:rPr>
          <w:vertAlign w:val="superscript"/>
        </w:rPr>
        <w:t>®</w:t>
      </w:r>
      <w:r w:rsidR="0004240E" w:rsidRPr="006D6EC7">
        <w:t xml:space="preserve">, </w:t>
      </w:r>
      <w:r>
        <w:t>Roche Products Pty Ltd</w:t>
      </w:r>
      <w:r w:rsidR="0004240E" w:rsidRPr="006D6EC7">
        <w:t>.</w:t>
      </w:r>
    </w:p>
    <w:p w:rsidR="008D447E" w:rsidRDefault="008D447E" w:rsidP="00A5273B">
      <w:pPr>
        <w:rPr>
          <w:rFonts w:ascii="Arial" w:hAnsi="Arial"/>
          <w:b/>
        </w:rPr>
      </w:pPr>
    </w:p>
    <w:p w:rsidR="00CE10C4" w:rsidRPr="00300C63" w:rsidRDefault="00CE10C4" w:rsidP="00300C63">
      <w:pPr>
        <w:pStyle w:val="ListParagraph"/>
        <w:numPr>
          <w:ilvl w:val="0"/>
          <w:numId w:val="25"/>
        </w:numPr>
        <w:jc w:val="both"/>
        <w:rPr>
          <w:rFonts w:ascii="Arial" w:hAnsi="Arial"/>
          <w:b/>
          <w:sz w:val="22"/>
          <w:szCs w:val="22"/>
        </w:rPr>
      </w:pPr>
      <w:r w:rsidRPr="00300C63">
        <w:rPr>
          <w:rFonts w:ascii="Arial" w:hAnsi="Arial"/>
          <w:b/>
          <w:sz w:val="22"/>
          <w:szCs w:val="22"/>
        </w:rPr>
        <w:t xml:space="preserve">Purpose of </w:t>
      </w:r>
      <w:r w:rsidR="0004240E" w:rsidRPr="00300C63">
        <w:rPr>
          <w:rFonts w:ascii="Arial" w:hAnsi="Arial"/>
          <w:b/>
          <w:sz w:val="22"/>
          <w:szCs w:val="22"/>
        </w:rPr>
        <w:t>Application</w:t>
      </w:r>
    </w:p>
    <w:p w:rsidR="006A12A5" w:rsidRPr="00882085" w:rsidRDefault="006A12A5" w:rsidP="00882085">
      <w:pPr>
        <w:jc w:val="both"/>
        <w:rPr>
          <w:rFonts w:ascii="Arial" w:hAnsi="Arial"/>
          <w:sz w:val="22"/>
          <w:szCs w:val="22"/>
        </w:rPr>
      </w:pPr>
    </w:p>
    <w:p w:rsidR="00E16910" w:rsidRPr="00882085" w:rsidRDefault="00A71ADF" w:rsidP="00A71ADF">
      <w:pPr>
        <w:pStyle w:val="ListParagraph"/>
        <w:numPr>
          <w:ilvl w:val="1"/>
          <w:numId w:val="25"/>
        </w:numPr>
        <w:jc w:val="both"/>
        <w:rPr>
          <w:rFonts w:ascii="Arial" w:hAnsi="Arial"/>
          <w:sz w:val="22"/>
          <w:szCs w:val="22"/>
        </w:rPr>
      </w:pPr>
      <w:r w:rsidRPr="00A71ADF">
        <w:rPr>
          <w:rFonts w:ascii="Arial" w:hAnsi="Arial"/>
          <w:sz w:val="22"/>
          <w:szCs w:val="22"/>
        </w:rPr>
        <w:t>T</w:t>
      </w:r>
      <w:r w:rsidR="00861F43">
        <w:rPr>
          <w:rFonts w:ascii="Arial" w:hAnsi="Arial"/>
          <w:sz w:val="22"/>
          <w:szCs w:val="22"/>
        </w:rPr>
        <w:t>o se</w:t>
      </w:r>
      <w:r w:rsidRPr="00A71ADF">
        <w:rPr>
          <w:rFonts w:ascii="Arial" w:hAnsi="Arial"/>
          <w:sz w:val="22"/>
          <w:szCs w:val="22"/>
        </w:rPr>
        <w:t>ek</w:t>
      </w:r>
      <w:r w:rsidR="00861F43">
        <w:rPr>
          <w:rFonts w:ascii="Arial" w:hAnsi="Arial"/>
          <w:sz w:val="22"/>
          <w:szCs w:val="22"/>
        </w:rPr>
        <w:t xml:space="preserve"> a</w:t>
      </w:r>
      <w:r w:rsidRPr="00A71ADF">
        <w:rPr>
          <w:rFonts w:ascii="Arial" w:hAnsi="Arial"/>
          <w:sz w:val="22"/>
          <w:szCs w:val="22"/>
        </w:rPr>
        <w:t xml:space="preserve"> Section 100 Efficient </w:t>
      </w:r>
      <w:r w:rsidR="00861F43">
        <w:rPr>
          <w:rFonts w:ascii="Arial" w:hAnsi="Arial"/>
          <w:sz w:val="22"/>
          <w:szCs w:val="22"/>
        </w:rPr>
        <w:t>F</w:t>
      </w:r>
      <w:r w:rsidRPr="00A71ADF">
        <w:rPr>
          <w:rFonts w:ascii="Arial" w:hAnsi="Arial"/>
          <w:sz w:val="22"/>
          <w:szCs w:val="22"/>
        </w:rPr>
        <w:t xml:space="preserve">unding of </w:t>
      </w:r>
      <w:r w:rsidR="00861F43">
        <w:rPr>
          <w:rFonts w:ascii="Arial" w:hAnsi="Arial"/>
          <w:sz w:val="22"/>
          <w:szCs w:val="22"/>
        </w:rPr>
        <w:t>C</w:t>
      </w:r>
      <w:r w:rsidRPr="00A71ADF">
        <w:rPr>
          <w:rFonts w:ascii="Arial" w:hAnsi="Arial"/>
          <w:sz w:val="22"/>
          <w:szCs w:val="22"/>
        </w:rPr>
        <w:t xml:space="preserve">hemotherapy listing for </w:t>
      </w:r>
      <w:proofErr w:type="spellStart"/>
      <w:r w:rsidRPr="00A71ADF">
        <w:rPr>
          <w:rFonts w:ascii="Arial" w:hAnsi="Arial"/>
          <w:sz w:val="22"/>
          <w:szCs w:val="22"/>
        </w:rPr>
        <w:t>obinutuzumab</w:t>
      </w:r>
      <w:proofErr w:type="spellEnd"/>
      <w:r w:rsidRPr="00A71ADF">
        <w:rPr>
          <w:rFonts w:ascii="Arial" w:hAnsi="Arial"/>
          <w:sz w:val="22"/>
          <w:szCs w:val="22"/>
        </w:rPr>
        <w:t xml:space="preserve"> in combination with </w:t>
      </w:r>
      <w:proofErr w:type="spellStart"/>
      <w:r w:rsidRPr="00A71ADF">
        <w:rPr>
          <w:rFonts w:ascii="Arial" w:hAnsi="Arial"/>
          <w:sz w:val="22"/>
          <w:szCs w:val="22"/>
        </w:rPr>
        <w:t>chlorambucil</w:t>
      </w:r>
      <w:proofErr w:type="spellEnd"/>
      <w:r w:rsidR="00861F43">
        <w:rPr>
          <w:rFonts w:ascii="Arial" w:hAnsi="Arial"/>
          <w:sz w:val="22"/>
          <w:szCs w:val="22"/>
        </w:rPr>
        <w:t xml:space="preserve"> </w:t>
      </w:r>
      <w:r w:rsidRPr="00A71ADF">
        <w:rPr>
          <w:rFonts w:ascii="Arial" w:hAnsi="Arial"/>
          <w:sz w:val="22"/>
          <w:szCs w:val="22"/>
        </w:rPr>
        <w:t xml:space="preserve">for </w:t>
      </w:r>
      <w:r w:rsidR="00861F43">
        <w:rPr>
          <w:rFonts w:ascii="Arial" w:hAnsi="Arial"/>
          <w:sz w:val="22"/>
          <w:szCs w:val="22"/>
        </w:rPr>
        <w:t xml:space="preserve">the treatment of </w:t>
      </w:r>
      <w:r w:rsidRPr="00A71ADF">
        <w:rPr>
          <w:rFonts w:ascii="Arial" w:hAnsi="Arial"/>
          <w:sz w:val="22"/>
          <w:szCs w:val="22"/>
        </w:rPr>
        <w:t xml:space="preserve">chronic lymphocytic leukaemia (CLL) </w:t>
      </w:r>
      <w:r w:rsidR="00861F43">
        <w:rPr>
          <w:rFonts w:ascii="Arial" w:hAnsi="Arial"/>
          <w:sz w:val="22"/>
          <w:szCs w:val="22"/>
        </w:rPr>
        <w:t>in patients with</w:t>
      </w:r>
      <w:r w:rsidRPr="00A71ADF">
        <w:rPr>
          <w:rFonts w:ascii="Arial" w:hAnsi="Arial"/>
          <w:sz w:val="22"/>
          <w:szCs w:val="22"/>
        </w:rPr>
        <w:t xml:space="preserve"> comorbid</w:t>
      </w:r>
      <w:r w:rsidR="00861F43">
        <w:rPr>
          <w:rFonts w:ascii="Arial" w:hAnsi="Arial"/>
          <w:sz w:val="22"/>
          <w:szCs w:val="22"/>
        </w:rPr>
        <w:t>ities</w:t>
      </w:r>
      <w:r w:rsidRPr="00A71ADF">
        <w:rPr>
          <w:rFonts w:ascii="Arial" w:hAnsi="Arial"/>
          <w:sz w:val="22"/>
          <w:szCs w:val="22"/>
        </w:rPr>
        <w:t>.</w:t>
      </w:r>
    </w:p>
    <w:p w:rsidR="006A12A5" w:rsidRDefault="006A12A5" w:rsidP="00882085">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A71ADF" w:rsidRPr="00A71ADF" w:rsidRDefault="00A71ADF" w:rsidP="00A71ADF">
      <w:pPr>
        <w:widowControl w:val="0"/>
        <w:jc w:val="both"/>
        <w:rPr>
          <w:rFonts w:ascii="Arial" w:hAnsi="Arial" w:cs="Arial"/>
          <w:snapToGrid w:val="0"/>
          <w:sz w:val="22"/>
          <w:szCs w:val="20"/>
          <w:lang w:eastAsia="en-US"/>
        </w:rPr>
      </w:pPr>
    </w:p>
    <w:tbl>
      <w:tblPr>
        <w:tblW w:w="4690" w:type="pct"/>
        <w:tblInd w:w="737" w:type="dxa"/>
        <w:tblCellMar>
          <w:left w:w="28" w:type="dxa"/>
          <w:right w:w="28" w:type="dxa"/>
        </w:tblCellMar>
        <w:tblLook w:val="0000" w:firstRow="0" w:lastRow="0" w:firstColumn="0" w:lastColumn="0" w:noHBand="0" w:noVBand="0"/>
        <w:tblDescription w:val="Requested listing"/>
      </w:tblPr>
      <w:tblGrid>
        <w:gridCol w:w="3119"/>
        <w:gridCol w:w="992"/>
        <w:gridCol w:w="920"/>
        <w:gridCol w:w="668"/>
        <w:gridCol w:w="2765"/>
        <w:gridCol w:w="55"/>
      </w:tblGrid>
      <w:tr w:rsidR="00861F43" w:rsidRPr="00A71ADF" w:rsidTr="00523710">
        <w:trPr>
          <w:gridAfter w:val="1"/>
          <w:wAfter w:w="32" w:type="pct"/>
          <w:cantSplit/>
          <w:trHeight w:val="471"/>
        </w:trPr>
        <w:tc>
          <w:tcPr>
            <w:tcW w:w="1831" w:type="pct"/>
            <w:tcBorders>
              <w:bottom w:val="single" w:sz="4" w:space="0" w:color="auto"/>
            </w:tcBorders>
            <w:vAlign w:val="center"/>
          </w:tcPr>
          <w:p w:rsidR="00861F43" w:rsidRPr="00A71ADF" w:rsidRDefault="00861F43" w:rsidP="00A71ADF">
            <w:pPr>
              <w:keepNext/>
              <w:widowControl w:val="0"/>
              <w:rPr>
                <w:rFonts w:ascii="Arial" w:hAnsi="Arial" w:cs="Arial"/>
                <w:snapToGrid w:val="0"/>
                <w:sz w:val="18"/>
                <w:szCs w:val="20"/>
                <w:lang w:eastAsia="en-US"/>
              </w:rPr>
            </w:pPr>
            <w:r w:rsidRPr="00A71ADF">
              <w:rPr>
                <w:rFonts w:ascii="Arial" w:hAnsi="Arial" w:cs="Arial"/>
                <w:snapToGrid w:val="0"/>
                <w:sz w:val="18"/>
                <w:szCs w:val="20"/>
                <w:lang w:eastAsia="en-US"/>
              </w:rPr>
              <w:t>Name, Restriction,</w:t>
            </w:r>
          </w:p>
          <w:p w:rsidR="00861F43" w:rsidRPr="00A71ADF" w:rsidRDefault="00861F43" w:rsidP="00A71ADF">
            <w:pPr>
              <w:keepNext/>
              <w:widowControl w:val="0"/>
              <w:rPr>
                <w:rFonts w:ascii="Arial" w:hAnsi="Arial" w:cs="Arial"/>
                <w:snapToGrid w:val="0"/>
                <w:sz w:val="18"/>
                <w:szCs w:val="20"/>
                <w:lang w:eastAsia="en-US"/>
              </w:rPr>
            </w:pPr>
            <w:r w:rsidRPr="00A71ADF">
              <w:rPr>
                <w:rFonts w:ascii="Arial" w:hAnsi="Arial" w:cs="Arial"/>
                <w:snapToGrid w:val="0"/>
                <w:sz w:val="18"/>
                <w:szCs w:val="20"/>
                <w:lang w:eastAsia="en-US"/>
              </w:rPr>
              <w:t>Manner of administration and form</w:t>
            </w:r>
          </w:p>
        </w:tc>
        <w:tc>
          <w:tcPr>
            <w:tcW w:w="582" w:type="pct"/>
            <w:tcBorders>
              <w:bottom w:val="single" w:sz="4" w:space="0" w:color="auto"/>
            </w:tcBorders>
            <w:vAlign w:val="center"/>
          </w:tcPr>
          <w:p w:rsidR="00861F43" w:rsidRPr="00A71ADF" w:rsidRDefault="00861F43" w:rsidP="00A71ADF">
            <w:pPr>
              <w:keepNext/>
              <w:widowControl w:val="0"/>
              <w:jc w:val="center"/>
              <w:rPr>
                <w:rFonts w:ascii="Arial" w:hAnsi="Arial" w:cs="Arial"/>
                <w:snapToGrid w:val="0"/>
                <w:sz w:val="18"/>
                <w:szCs w:val="20"/>
                <w:lang w:eastAsia="en-US"/>
              </w:rPr>
            </w:pPr>
            <w:r w:rsidRPr="00A71ADF">
              <w:rPr>
                <w:rFonts w:ascii="Arial" w:hAnsi="Arial" w:cs="Arial"/>
                <w:snapToGrid w:val="0"/>
                <w:sz w:val="18"/>
                <w:szCs w:val="20"/>
                <w:lang w:eastAsia="en-US"/>
              </w:rPr>
              <w:t>Max.</w:t>
            </w:r>
          </w:p>
          <w:p w:rsidR="00861F43" w:rsidRPr="00A71ADF" w:rsidRDefault="00861F43" w:rsidP="00A71ADF">
            <w:pPr>
              <w:keepNext/>
              <w:widowControl w:val="0"/>
              <w:jc w:val="center"/>
              <w:rPr>
                <w:rFonts w:ascii="Arial" w:hAnsi="Arial" w:cs="Arial"/>
                <w:snapToGrid w:val="0"/>
                <w:sz w:val="18"/>
                <w:szCs w:val="20"/>
                <w:lang w:eastAsia="en-US"/>
              </w:rPr>
            </w:pPr>
            <w:proofErr w:type="spellStart"/>
            <w:r w:rsidRPr="00A71ADF">
              <w:rPr>
                <w:rFonts w:ascii="Arial" w:hAnsi="Arial" w:cs="Arial"/>
                <w:snapToGrid w:val="0"/>
                <w:sz w:val="18"/>
                <w:szCs w:val="20"/>
                <w:lang w:eastAsia="en-US"/>
              </w:rPr>
              <w:t>Qty</w:t>
            </w:r>
            <w:proofErr w:type="spellEnd"/>
          </w:p>
        </w:tc>
        <w:tc>
          <w:tcPr>
            <w:tcW w:w="540" w:type="pct"/>
            <w:tcBorders>
              <w:bottom w:val="single" w:sz="4" w:space="0" w:color="auto"/>
            </w:tcBorders>
            <w:vAlign w:val="center"/>
          </w:tcPr>
          <w:p w:rsidR="00861F43" w:rsidRPr="00A71ADF" w:rsidRDefault="00861F43" w:rsidP="00A71ADF">
            <w:pPr>
              <w:keepNext/>
              <w:widowControl w:val="0"/>
              <w:jc w:val="center"/>
              <w:rPr>
                <w:rFonts w:ascii="Arial" w:hAnsi="Arial" w:cs="Arial"/>
                <w:snapToGrid w:val="0"/>
                <w:sz w:val="18"/>
                <w:szCs w:val="20"/>
                <w:lang w:eastAsia="en-US"/>
              </w:rPr>
            </w:pPr>
            <w:r w:rsidRPr="00A71ADF">
              <w:rPr>
                <w:rFonts w:ascii="Arial" w:hAnsi="Arial" w:cs="Arial"/>
                <w:snapToGrid w:val="0"/>
                <w:sz w:val="18"/>
                <w:szCs w:val="20"/>
                <w:lang w:eastAsia="en-US"/>
              </w:rPr>
              <w:t>№.of</w:t>
            </w:r>
          </w:p>
          <w:p w:rsidR="00861F43" w:rsidRPr="00A71ADF" w:rsidRDefault="00861F43" w:rsidP="00A71ADF">
            <w:pPr>
              <w:keepNext/>
              <w:widowControl w:val="0"/>
              <w:jc w:val="center"/>
              <w:rPr>
                <w:rFonts w:ascii="Arial" w:hAnsi="Arial" w:cs="Arial"/>
                <w:snapToGrid w:val="0"/>
                <w:sz w:val="18"/>
                <w:szCs w:val="20"/>
                <w:lang w:eastAsia="en-US"/>
              </w:rPr>
            </w:pPr>
            <w:proofErr w:type="spellStart"/>
            <w:r w:rsidRPr="00A71ADF">
              <w:rPr>
                <w:rFonts w:ascii="Arial" w:hAnsi="Arial" w:cs="Arial"/>
                <w:snapToGrid w:val="0"/>
                <w:sz w:val="18"/>
                <w:szCs w:val="20"/>
                <w:lang w:eastAsia="en-US"/>
              </w:rPr>
              <w:t>Rpts</w:t>
            </w:r>
            <w:proofErr w:type="spellEnd"/>
          </w:p>
        </w:tc>
        <w:tc>
          <w:tcPr>
            <w:tcW w:w="2015" w:type="pct"/>
            <w:gridSpan w:val="2"/>
            <w:tcBorders>
              <w:bottom w:val="single" w:sz="4" w:space="0" w:color="auto"/>
            </w:tcBorders>
            <w:vAlign w:val="center"/>
          </w:tcPr>
          <w:p w:rsidR="00861F43" w:rsidRPr="00A71ADF" w:rsidRDefault="00861F43" w:rsidP="00A71ADF">
            <w:pPr>
              <w:keepNext/>
              <w:widowControl w:val="0"/>
              <w:jc w:val="center"/>
              <w:rPr>
                <w:rFonts w:ascii="Arial" w:hAnsi="Arial" w:cs="Arial"/>
                <w:snapToGrid w:val="0"/>
                <w:sz w:val="18"/>
                <w:szCs w:val="20"/>
                <w:lang w:eastAsia="en-US"/>
              </w:rPr>
            </w:pPr>
            <w:r w:rsidRPr="00A71ADF">
              <w:rPr>
                <w:rFonts w:ascii="Arial" w:hAnsi="Arial" w:cs="Arial"/>
                <w:snapToGrid w:val="0"/>
                <w:sz w:val="18"/>
                <w:szCs w:val="20"/>
                <w:lang w:eastAsia="en-US"/>
              </w:rPr>
              <w:t>Proprietary Name and Manufacturer</w:t>
            </w:r>
          </w:p>
        </w:tc>
      </w:tr>
      <w:tr w:rsidR="00861F43" w:rsidRPr="00A71ADF" w:rsidTr="00523710">
        <w:trPr>
          <w:cantSplit/>
          <w:trHeight w:val="577"/>
        </w:trPr>
        <w:tc>
          <w:tcPr>
            <w:tcW w:w="1831" w:type="pct"/>
          </w:tcPr>
          <w:p w:rsidR="00861F43" w:rsidRPr="00A71ADF" w:rsidRDefault="00861F43" w:rsidP="00A71ADF">
            <w:pPr>
              <w:keepNext/>
              <w:widowControl w:val="0"/>
              <w:rPr>
                <w:rFonts w:ascii="Arial" w:hAnsi="Arial" w:cs="Arial"/>
                <w:snapToGrid w:val="0"/>
                <w:sz w:val="18"/>
                <w:szCs w:val="20"/>
                <w:lang w:eastAsia="en-US"/>
              </w:rPr>
            </w:pPr>
            <w:proofErr w:type="spellStart"/>
            <w:r w:rsidRPr="00A71ADF">
              <w:rPr>
                <w:rFonts w:ascii="Arial" w:hAnsi="Arial" w:cs="Arial"/>
                <w:smallCaps/>
                <w:snapToGrid w:val="0"/>
                <w:sz w:val="18"/>
                <w:szCs w:val="20"/>
                <w:lang w:eastAsia="en-US"/>
              </w:rPr>
              <w:t>Obinutuzumab</w:t>
            </w:r>
            <w:proofErr w:type="spellEnd"/>
          </w:p>
          <w:p w:rsidR="00861F43" w:rsidRPr="00A71ADF" w:rsidRDefault="00861F43" w:rsidP="00A71ADF">
            <w:pPr>
              <w:keepNext/>
              <w:widowControl w:val="0"/>
              <w:rPr>
                <w:rFonts w:ascii="Arial" w:hAnsi="Arial" w:cs="Arial"/>
                <w:snapToGrid w:val="0"/>
                <w:sz w:val="18"/>
                <w:szCs w:val="20"/>
                <w:lang w:eastAsia="en-US"/>
              </w:rPr>
            </w:pPr>
            <w:r w:rsidRPr="00A71ADF">
              <w:rPr>
                <w:rFonts w:ascii="Arial" w:hAnsi="Arial" w:cs="Arial"/>
                <w:snapToGrid w:val="0"/>
                <w:sz w:val="18"/>
                <w:szCs w:val="20"/>
                <w:lang w:eastAsia="en-US"/>
              </w:rPr>
              <w:t>solution for intravenous infusion</w:t>
            </w:r>
          </w:p>
          <w:p w:rsidR="00861F43" w:rsidRPr="00A71ADF" w:rsidRDefault="00861F43" w:rsidP="00A71ADF">
            <w:pPr>
              <w:keepNext/>
              <w:widowControl w:val="0"/>
              <w:rPr>
                <w:rFonts w:ascii="Arial" w:hAnsi="Arial" w:cs="Arial"/>
                <w:snapToGrid w:val="0"/>
                <w:sz w:val="18"/>
                <w:szCs w:val="20"/>
                <w:lang w:eastAsia="en-US"/>
              </w:rPr>
            </w:pPr>
            <w:r w:rsidRPr="00A71ADF">
              <w:rPr>
                <w:rFonts w:ascii="Arial" w:hAnsi="Arial" w:cs="Arial"/>
                <w:snapToGrid w:val="0"/>
                <w:sz w:val="18"/>
                <w:szCs w:val="20"/>
                <w:lang w:eastAsia="en-US"/>
              </w:rPr>
              <w:t>1,000 mg in 40 mL</w:t>
            </w:r>
          </w:p>
        </w:tc>
        <w:tc>
          <w:tcPr>
            <w:tcW w:w="582" w:type="pct"/>
          </w:tcPr>
          <w:p w:rsidR="00861F43" w:rsidRPr="00A71ADF" w:rsidRDefault="00861F43" w:rsidP="00A71ADF">
            <w:pPr>
              <w:keepNext/>
              <w:widowControl w:val="0"/>
              <w:jc w:val="center"/>
              <w:rPr>
                <w:rFonts w:ascii="Arial" w:hAnsi="Arial" w:cs="Arial"/>
                <w:snapToGrid w:val="0"/>
                <w:sz w:val="18"/>
                <w:szCs w:val="20"/>
                <w:lang w:eastAsia="en-US"/>
              </w:rPr>
            </w:pPr>
            <w:r w:rsidRPr="00A71ADF">
              <w:rPr>
                <w:rFonts w:ascii="Arial" w:hAnsi="Arial" w:cs="Arial"/>
                <w:snapToGrid w:val="0"/>
                <w:sz w:val="18"/>
                <w:szCs w:val="20"/>
                <w:lang w:eastAsia="en-US"/>
              </w:rPr>
              <w:t>1,000 mg</w:t>
            </w:r>
          </w:p>
        </w:tc>
        <w:tc>
          <w:tcPr>
            <w:tcW w:w="540" w:type="pct"/>
          </w:tcPr>
          <w:p w:rsidR="00861F43" w:rsidRPr="00A71ADF" w:rsidRDefault="00861F43" w:rsidP="00A71ADF">
            <w:pPr>
              <w:keepNext/>
              <w:widowControl w:val="0"/>
              <w:jc w:val="center"/>
              <w:rPr>
                <w:rFonts w:ascii="Arial" w:hAnsi="Arial" w:cs="Arial"/>
                <w:snapToGrid w:val="0"/>
                <w:sz w:val="18"/>
                <w:szCs w:val="20"/>
                <w:lang w:eastAsia="en-US"/>
              </w:rPr>
            </w:pPr>
            <w:r w:rsidRPr="00A71ADF">
              <w:rPr>
                <w:rFonts w:ascii="Arial" w:hAnsi="Arial" w:cs="Arial"/>
                <w:snapToGrid w:val="0"/>
                <w:sz w:val="18"/>
                <w:szCs w:val="20"/>
                <w:lang w:eastAsia="en-US"/>
              </w:rPr>
              <w:t>7</w:t>
            </w:r>
          </w:p>
        </w:tc>
        <w:tc>
          <w:tcPr>
            <w:tcW w:w="392" w:type="pct"/>
          </w:tcPr>
          <w:p w:rsidR="00861F43" w:rsidRPr="00A71ADF" w:rsidRDefault="00861F43" w:rsidP="00A71ADF">
            <w:pPr>
              <w:keepNext/>
              <w:widowControl w:val="0"/>
              <w:jc w:val="center"/>
              <w:rPr>
                <w:rFonts w:ascii="Arial" w:hAnsi="Arial" w:cs="Arial"/>
                <w:snapToGrid w:val="0"/>
                <w:sz w:val="18"/>
                <w:szCs w:val="20"/>
                <w:lang w:eastAsia="en-US"/>
              </w:rPr>
            </w:pPr>
            <w:proofErr w:type="spellStart"/>
            <w:r w:rsidRPr="00A71ADF">
              <w:rPr>
                <w:rFonts w:ascii="Arial" w:hAnsi="Arial" w:cs="Arial"/>
                <w:snapToGrid w:val="0"/>
                <w:sz w:val="18"/>
                <w:szCs w:val="20"/>
                <w:lang w:eastAsia="en-US"/>
              </w:rPr>
              <w:t>Gazyva</w:t>
            </w:r>
            <w:proofErr w:type="spellEnd"/>
          </w:p>
        </w:tc>
        <w:tc>
          <w:tcPr>
            <w:tcW w:w="1655" w:type="pct"/>
            <w:gridSpan w:val="2"/>
          </w:tcPr>
          <w:p w:rsidR="00861F43" w:rsidRPr="00A71ADF" w:rsidRDefault="00861F43" w:rsidP="00A71ADF">
            <w:pPr>
              <w:keepNext/>
              <w:widowControl w:val="0"/>
              <w:jc w:val="center"/>
              <w:rPr>
                <w:rFonts w:ascii="Arial" w:hAnsi="Arial" w:cs="Arial"/>
                <w:snapToGrid w:val="0"/>
                <w:sz w:val="18"/>
                <w:szCs w:val="20"/>
                <w:lang w:eastAsia="en-US"/>
              </w:rPr>
            </w:pPr>
            <w:r w:rsidRPr="00A71ADF">
              <w:rPr>
                <w:rFonts w:ascii="Arial" w:hAnsi="Arial" w:cs="Arial"/>
                <w:snapToGrid w:val="0"/>
                <w:sz w:val="18"/>
                <w:szCs w:val="20"/>
                <w:lang w:eastAsia="en-US"/>
              </w:rPr>
              <w:t>Roche Products Pty Ltd</w:t>
            </w:r>
          </w:p>
        </w:tc>
      </w:tr>
      <w:tr w:rsidR="00A71ADF" w:rsidRPr="00A71ADF" w:rsidTr="00523710">
        <w:trPr>
          <w:gridAfter w:val="1"/>
          <w:wAfter w:w="32" w:type="pct"/>
          <w:cantSplit/>
          <w:trHeight w:val="360"/>
        </w:trPr>
        <w:tc>
          <w:tcPr>
            <w:tcW w:w="4968" w:type="pct"/>
            <w:gridSpan w:val="5"/>
            <w:vAlign w:val="center"/>
          </w:tcPr>
          <w:p w:rsidR="00A71ADF" w:rsidRPr="00A71ADF" w:rsidRDefault="00A71ADF" w:rsidP="00A71ADF">
            <w:pPr>
              <w:widowControl w:val="0"/>
              <w:rPr>
                <w:rFonts w:ascii="Arial" w:hAnsi="Arial" w:cs="Arial"/>
                <w:snapToGrid w:val="0"/>
                <w:sz w:val="18"/>
                <w:szCs w:val="20"/>
                <w:lang w:eastAsia="en-US"/>
              </w:rPr>
            </w:pPr>
            <w:r w:rsidRPr="00A71ADF">
              <w:rPr>
                <w:rFonts w:ascii="Arial" w:hAnsi="Arial" w:cs="Arial"/>
                <w:b/>
                <w:snapToGrid w:val="0"/>
                <w:sz w:val="18"/>
                <w:szCs w:val="20"/>
                <w:u w:val="single"/>
                <w:lang w:eastAsia="en-US"/>
              </w:rPr>
              <w:t>Section 100 Efficient funding of chemotherapy</w:t>
            </w:r>
          </w:p>
        </w:tc>
      </w:tr>
    </w:tbl>
    <w:p w:rsidR="00A71ADF" w:rsidRPr="00A71ADF" w:rsidRDefault="00A71ADF" w:rsidP="00523710">
      <w:pPr>
        <w:widowControl w:val="0"/>
        <w:ind w:left="720"/>
        <w:jc w:val="both"/>
        <w:rPr>
          <w:rFonts w:ascii="Arial Narrow" w:eastAsia="SimSun" w:hAnsi="Arial Narrow"/>
          <w:sz w:val="20"/>
          <w:szCs w:val="20"/>
          <w:lang w:eastAsia="zh-CN"/>
        </w:rPr>
      </w:pPr>
      <w:r w:rsidRPr="00A71ADF">
        <w:rPr>
          <w:rFonts w:ascii="Arial Narrow" w:eastAsia="SimSun" w:hAnsi="Arial Narrow"/>
          <w:sz w:val="20"/>
          <w:szCs w:val="20"/>
          <w:lang w:eastAsia="zh-CN"/>
        </w:rPr>
        <w:t xml:space="preserve">In combination with </w:t>
      </w:r>
      <w:proofErr w:type="spellStart"/>
      <w:r w:rsidRPr="00A71ADF">
        <w:rPr>
          <w:rFonts w:ascii="Arial Narrow" w:eastAsia="SimSun" w:hAnsi="Arial Narrow"/>
          <w:sz w:val="20"/>
          <w:szCs w:val="20"/>
          <w:lang w:eastAsia="zh-CN"/>
        </w:rPr>
        <w:t>chlorambucil</w:t>
      </w:r>
      <w:proofErr w:type="spellEnd"/>
      <w:r w:rsidRPr="00A71ADF">
        <w:rPr>
          <w:rFonts w:ascii="Arial Narrow" w:eastAsia="SimSun" w:hAnsi="Arial Narrow"/>
          <w:sz w:val="20"/>
          <w:szCs w:val="20"/>
          <w:lang w:eastAsia="zh-CN"/>
        </w:rPr>
        <w:t xml:space="preserve"> for previously untreated patients with CD20 positive chronic lymphocytic leukaemia (CLL) and comorbidities, defined as a total cumulative illness rating scale (CIRS) score &gt;6, or creatinine clearance (</w:t>
      </w:r>
      <w:proofErr w:type="spellStart"/>
      <w:r w:rsidRPr="00A71ADF">
        <w:rPr>
          <w:rFonts w:ascii="Arial Narrow" w:eastAsia="SimSun" w:hAnsi="Arial Narrow"/>
          <w:sz w:val="20"/>
          <w:szCs w:val="20"/>
          <w:lang w:eastAsia="zh-CN"/>
        </w:rPr>
        <w:t>CrCl</w:t>
      </w:r>
      <w:proofErr w:type="spellEnd"/>
      <w:r w:rsidRPr="00A71ADF">
        <w:rPr>
          <w:rFonts w:ascii="Arial Narrow" w:eastAsia="SimSun" w:hAnsi="Arial Narrow"/>
          <w:sz w:val="20"/>
          <w:szCs w:val="20"/>
          <w:lang w:eastAsia="zh-CN"/>
        </w:rPr>
        <w:t>) &lt;70 mL/min or both.</w:t>
      </w:r>
    </w:p>
    <w:p w:rsidR="00A71ADF" w:rsidRPr="00A71ADF" w:rsidRDefault="00A71ADF" w:rsidP="00523710">
      <w:pPr>
        <w:widowControl w:val="0"/>
        <w:ind w:firstLine="720"/>
        <w:jc w:val="both"/>
        <w:rPr>
          <w:rFonts w:ascii="Arial Narrow" w:eastAsia="SimSun" w:hAnsi="Arial Narrow"/>
          <w:sz w:val="20"/>
          <w:szCs w:val="20"/>
          <w:u w:val="single"/>
          <w:lang w:val="en-GB" w:eastAsia="zh-CN"/>
        </w:rPr>
      </w:pPr>
      <w:r w:rsidRPr="00A71ADF">
        <w:rPr>
          <w:rFonts w:ascii="Arial Narrow" w:eastAsia="SimSun" w:hAnsi="Arial Narrow"/>
          <w:sz w:val="20"/>
          <w:szCs w:val="20"/>
          <w:u w:val="single"/>
          <w:lang w:val="en-GB" w:eastAsia="zh-CN"/>
        </w:rPr>
        <w:t>Note:</w:t>
      </w:r>
    </w:p>
    <w:p w:rsidR="00A71ADF" w:rsidRPr="00A71ADF" w:rsidRDefault="00A71ADF" w:rsidP="00523710">
      <w:pPr>
        <w:widowControl w:val="0"/>
        <w:ind w:firstLine="720"/>
        <w:jc w:val="both"/>
        <w:rPr>
          <w:rFonts w:ascii="Arial Narrow" w:eastAsia="SimSun" w:hAnsi="Arial Narrow"/>
          <w:sz w:val="20"/>
          <w:szCs w:val="20"/>
          <w:lang w:val="en-GB" w:eastAsia="zh-CN"/>
        </w:rPr>
      </w:pPr>
      <w:r w:rsidRPr="00A71ADF">
        <w:rPr>
          <w:rFonts w:ascii="Arial Narrow" w:eastAsia="SimSun" w:hAnsi="Arial Narrow"/>
          <w:sz w:val="20"/>
          <w:szCs w:val="20"/>
          <w:lang w:val="en-GB" w:eastAsia="zh-CN"/>
        </w:rPr>
        <w:t>1 script +7 repeats</w:t>
      </w:r>
    </w:p>
    <w:p w:rsidR="00A71ADF" w:rsidRPr="00A71ADF" w:rsidRDefault="00A71ADF" w:rsidP="00523710">
      <w:pPr>
        <w:widowControl w:val="0"/>
        <w:ind w:firstLine="720"/>
        <w:jc w:val="both"/>
        <w:rPr>
          <w:rFonts w:ascii="Arial Narrow" w:eastAsia="SimSun" w:hAnsi="Arial Narrow"/>
          <w:sz w:val="20"/>
          <w:szCs w:val="20"/>
          <w:lang w:eastAsia="zh-CN"/>
        </w:rPr>
      </w:pPr>
      <w:r w:rsidRPr="00A71ADF">
        <w:rPr>
          <w:rFonts w:ascii="Arial Narrow" w:eastAsia="SimSun" w:hAnsi="Arial Narrow"/>
          <w:sz w:val="20"/>
          <w:szCs w:val="20"/>
          <w:lang w:val="en-GB" w:eastAsia="zh-CN"/>
        </w:rPr>
        <w:t>Not to be used as monotherapy</w:t>
      </w:r>
    </w:p>
    <w:p w:rsidR="00A71ADF" w:rsidRPr="00A71ADF" w:rsidRDefault="00A71ADF" w:rsidP="00882085">
      <w:pPr>
        <w:jc w:val="both"/>
        <w:rPr>
          <w:rFonts w:ascii="Arial" w:hAnsi="Arial"/>
          <w:sz w:val="22"/>
          <w:szCs w:val="22"/>
        </w:rPr>
      </w:pPr>
    </w:p>
    <w:p w:rsidR="00196307" w:rsidRPr="001C0B35" w:rsidRDefault="00CA70D9" w:rsidP="00882085">
      <w:pPr>
        <w:pStyle w:val="ListParagraph"/>
        <w:numPr>
          <w:ilvl w:val="1"/>
          <w:numId w:val="25"/>
        </w:numPr>
        <w:jc w:val="both"/>
        <w:rPr>
          <w:rFonts w:ascii="Arial" w:hAnsi="Arial"/>
          <w:sz w:val="22"/>
          <w:szCs w:val="22"/>
        </w:rPr>
      </w:pPr>
      <w:r>
        <w:rPr>
          <w:rFonts w:ascii="Arial" w:hAnsi="Arial"/>
          <w:sz w:val="22"/>
          <w:szCs w:val="22"/>
        </w:rPr>
        <w:t xml:space="preserve">Listing was </w:t>
      </w:r>
      <w:r w:rsidR="00861F43">
        <w:rPr>
          <w:rFonts w:ascii="Arial" w:hAnsi="Arial"/>
          <w:sz w:val="22"/>
          <w:szCs w:val="22"/>
        </w:rPr>
        <w:t>requested</w:t>
      </w:r>
      <w:r>
        <w:rPr>
          <w:rFonts w:ascii="Arial" w:hAnsi="Arial"/>
          <w:sz w:val="22"/>
          <w:szCs w:val="22"/>
        </w:rPr>
        <w:t xml:space="preserve"> on </w:t>
      </w:r>
      <w:r w:rsidR="00861F43">
        <w:rPr>
          <w:rFonts w:ascii="Arial" w:hAnsi="Arial"/>
          <w:sz w:val="22"/>
          <w:szCs w:val="22"/>
        </w:rPr>
        <w:t xml:space="preserve">the basis of a </w:t>
      </w:r>
      <w:r>
        <w:rPr>
          <w:rFonts w:ascii="Arial" w:hAnsi="Arial"/>
          <w:sz w:val="22"/>
          <w:szCs w:val="22"/>
        </w:rPr>
        <w:t xml:space="preserve">cost-utility </w:t>
      </w:r>
      <w:r w:rsidR="00861F43">
        <w:rPr>
          <w:rFonts w:ascii="Arial" w:hAnsi="Arial"/>
          <w:sz w:val="22"/>
          <w:szCs w:val="22"/>
        </w:rPr>
        <w:t>analysis</w:t>
      </w:r>
      <w:r>
        <w:rPr>
          <w:rFonts w:ascii="Arial" w:hAnsi="Arial"/>
          <w:sz w:val="22"/>
          <w:szCs w:val="22"/>
        </w:rPr>
        <w:t xml:space="preserve"> with two analyses presented: 1. </w:t>
      </w:r>
      <w:proofErr w:type="spellStart"/>
      <w:r>
        <w:rPr>
          <w:rFonts w:ascii="Arial" w:hAnsi="Arial"/>
          <w:sz w:val="22"/>
          <w:szCs w:val="22"/>
        </w:rPr>
        <w:t>obinutuzumab</w:t>
      </w:r>
      <w:proofErr w:type="spellEnd"/>
      <w:r>
        <w:rPr>
          <w:rFonts w:ascii="Arial" w:hAnsi="Arial"/>
          <w:sz w:val="22"/>
          <w:szCs w:val="22"/>
        </w:rPr>
        <w:t xml:space="preserve"> plus </w:t>
      </w:r>
      <w:proofErr w:type="spellStart"/>
      <w:r>
        <w:rPr>
          <w:rFonts w:ascii="Arial" w:hAnsi="Arial"/>
          <w:sz w:val="22"/>
          <w:szCs w:val="22"/>
        </w:rPr>
        <w:t>chlorambucil</w:t>
      </w:r>
      <w:proofErr w:type="spellEnd"/>
      <w:r>
        <w:rPr>
          <w:rFonts w:ascii="Arial" w:hAnsi="Arial"/>
          <w:sz w:val="22"/>
          <w:szCs w:val="22"/>
        </w:rPr>
        <w:t xml:space="preserve"> compared to </w:t>
      </w:r>
      <w:proofErr w:type="spellStart"/>
      <w:r>
        <w:rPr>
          <w:rFonts w:ascii="Arial" w:hAnsi="Arial"/>
          <w:sz w:val="22"/>
          <w:szCs w:val="22"/>
        </w:rPr>
        <w:t>chlorambucil</w:t>
      </w:r>
      <w:proofErr w:type="spellEnd"/>
      <w:r w:rsidR="00861F43">
        <w:rPr>
          <w:rFonts w:ascii="Arial" w:hAnsi="Arial"/>
          <w:sz w:val="22"/>
          <w:szCs w:val="22"/>
        </w:rPr>
        <w:t xml:space="preserve"> monotherapy</w:t>
      </w:r>
      <w:r>
        <w:rPr>
          <w:rFonts w:ascii="Arial" w:hAnsi="Arial"/>
          <w:sz w:val="22"/>
          <w:szCs w:val="22"/>
        </w:rPr>
        <w:t xml:space="preserve">; and 2. </w:t>
      </w:r>
      <w:proofErr w:type="spellStart"/>
      <w:r w:rsidR="00861F43">
        <w:rPr>
          <w:rFonts w:ascii="Arial" w:hAnsi="Arial"/>
          <w:sz w:val="22"/>
          <w:szCs w:val="22"/>
        </w:rPr>
        <w:t>o</w:t>
      </w:r>
      <w:r w:rsidR="00045DAA">
        <w:rPr>
          <w:rFonts w:ascii="Arial" w:hAnsi="Arial"/>
          <w:sz w:val="22"/>
          <w:szCs w:val="22"/>
        </w:rPr>
        <w:t>binutuzumab</w:t>
      </w:r>
      <w:proofErr w:type="spellEnd"/>
      <w:r w:rsidR="00045DAA">
        <w:rPr>
          <w:rFonts w:ascii="Arial" w:hAnsi="Arial"/>
          <w:sz w:val="22"/>
          <w:szCs w:val="22"/>
        </w:rPr>
        <w:t xml:space="preserve"> plus </w:t>
      </w:r>
      <w:proofErr w:type="spellStart"/>
      <w:r w:rsidR="00045DAA">
        <w:rPr>
          <w:rFonts w:ascii="Arial" w:hAnsi="Arial"/>
          <w:sz w:val="22"/>
          <w:szCs w:val="22"/>
        </w:rPr>
        <w:t>chlorambucil</w:t>
      </w:r>
      <w:proofErr w:type="spellEnd"/>
      <w:r w:rsidR="00045DAA">
        <w:rPr>
          <w:rFonts w:ascii="Arial" w:hAnsi="Arial"/>
          <w:sz w:val="22"/>
          <w:szCs w:val="22"/>
        </w:rPr>
        <w:t xml:space="preserve"> compared to rituximab plus </w:t>
      </w:r>
      <w:proofErr w:type="spellStart"/>
      <w:r w:rsidR="00045DAA">
        <w:rPr>
          <w:rFonts w:ascii="Arial" w:hAnsi="Arial"/>
          <w:sz w:val="22"/>
          <w:szCs w:val="22"/>
        </w:rPr>
        <w:t>chlorambucil</w:t>
      </w:r>
      <w:proofErr w:type="spellEnd"/>
      <w:r w:rsidR="00045DAA">
        <w:rPr>
          <w:rFonts w:ascii="Arial" w:hAnsi="Arial"/>
          <w:sz w:val="22"/>
          <w:szCs w:val="22"/>
        </w:rPr>
        <w:t>.</w:t>
      </w:r>
    </w:p>
    <w:p w:rsidR="001C0B35" w:rsidRDefault="001C0B35" w:rsidP="001C0B35">
      <w:pPr>
        <w:pStyle w:val="ListParagraph"/>
        <w:jc w:val="both"/>
        <w:rPr>
          <w:rFonts w:ascii="Arial" w:hAnsi="Arial"/>
          <w:sz w:val="22"/>
          <w:szCs w:val="22"/>
        </w:rPr>
      </w:pPr>
    </w:p>
    <w:p w:rsidR="00974F72" w:rsidRPr="00C163BF" w:rsidRDefault="00974F72" w:rsidP="001862BB">
      <w:pPr>
        <w:pStyle w:val="ListParagraph"/>
        <w:numPr>
          <w:ilvl w:val="1"/>
          <w:numId w:val="25"/>
        </w:numPr>
        <w:jc w:val="both"/>
        <w:rPr>
          <w:rFonts w:ascii="Arial" w:hAnsi="Arial"/>
          <w:sz w:val="22"/>
          <w:szCs w:val="22"/>
        </w:rPr>
      </w:pPr>
      <w:r w:rsidRPr="00C163BF">
        <w:rPr>
          <w:rFonts w:ascii="Arial" w:hAnsi="Arial"/>
          <w:sz w:val="22"/>
          <w:szCs w:val="22"/>
        </w:rPr>
        <w:t xml:space="preserve">The ESC </w:t>
      </w:r>
      <w:r w:rsidR="00510E78">
        <w:rPr>
          <w:rFonts w:ascii="Arial" w:hAnsi="Arial"/>
          <w:sz w:val="22"/>
          <w:szCs w:val="22"/>
        </w:rPr>
        <w:t xml:space="preserve">and DUSC </w:t>
      </w:r>
      <w:r w:rsidRPr="00C163BF">
        <w:rPr>
          <w:rFonts w:ascii="Arial" w:hAnsi="Arial"/>
          <w:sz w:val="22"/>
          <w:szCs w:val="22"/>
        </w:rPr>
        <w:t xml:space="preserve">noted that there is potential for patients who are ‘medically fit’ to be considered eligible for </w:t>
      </w:r>
      <w:proofErr w:type="spellStart"/>
      <w:r w:rsidRPr="00C163BF">
        <w:rPr>
          <w:rFonts w:ascii="Arial" w:hAnsi="Arial"/>
          <w:sz w:val="22"/>
          <w:szCs w:val="22"/>
        </w:rPr>
        <w:t>obinutuzumab</w:t>
      </w:r>
      <w:proofErr w:type="spellEnd"/>
      <w:r w:rsidRPr="00C163BF">
        <w:rPr>
          <w:rFonts w:ascii="Arial" w:hAnsi="Arial"/>
          <w:sz w:val="22"/>
          <w:szCs w:val="22"/>
        </w:rPr>
        <w:t xml:space="preserve"> because</w:t>
      </w:r>
      <w:r w:rsidR="004A1C71">
        <w:rPr>
          <w:rFonts w:ascii="Arial" w:hAnsi="Arial"/>
          <w:sz w:val="22"/>
          <w:szCs w:val="22"/>
        </w:rPr>
        <w:t>:</w:t>
      </w:r>
      <w:r w:rsidRPr="00C163BF">
        <w:rPr>
          <w:rFonts w:ascii="Arial" w:hAnsi="Arial"/>
          <w:sz w:val="22"/>
          <w:szCs w:val="22"/>
        </w:rPr>
        <w:t xml:space="preserve"> the </w:t>
      </w:r>
      <w:r w:rsidR="00510E78" w:rsidRPr="002F2300">
        <w:rPr>
          <w:rFonts w:ascii="Arial" w:hAnsi="Arial"/>
          <w:sz w:val="22"/>
          <w:szCs w:val="22"/>
        </w:rPr>
        <w:t xml:space="preserve">cumulative illness rating scale </w:t>
      </w:r>
      <w:r w:rsidR="00510E78">
        <w:rPr>
          <w:rFonts w:ascii="Arial" w:hAnsi="Arial"/>
          <w:sz w:val="22"/>
          <w:szCs w:val="22"/>
        </w:rPr>
        <w:t>(</w:t>
      </w:r>
      <w:r w:rsidR="00510E78" w:rsidRPr="00C163BF">
        <w:rPr>
          <w:rFonts w:ascii="Arial" w:hAnsi="Arial"/>
          <w:sz w:val="22"/>
          <w:szCs w:val="22"/>
        </w:rPr>
        <w:t>CIRS</w:t>
      </w:r>
      <w:r w:rsidR="00510E78">
        <w:rPr>
          <w:rFonts w:ascii="Arial" w:hAnsi="Arial"/>
          <w:sz w:val="22"/>
          <w:szCs w:val="22"/>
        </w:rPr>
        <w:t>)</w:t>
      </w:r>
      <w:r w:rsidR="00510E78" w:rsidRPr="00C163BF">
        <w:rPr>
          <w:rFonts w:ascii="Arial" w:hAnsi="Arial"/>
          <w:sz w:val="22"/>
          <w:szCs w:val="22"/>
        </w:rPr>
        <w:t xml:space="preserve"> </w:t>
      </w:r>
      <w:r w:rsidRPr="00C163BF">
        <w:rPr>
          <w:rFonts w:ascii="Arial" w:hAnsi="Arial"/>
          <w:sz w:val="22"/>
          <w:szCs w:val="22"/>
        </w:rPr>
        <w:t xml:space="preserve">involves </w:t>
      </w:r>
      <w:r w:rsidR="002F2300">
        <w:rPr>
          <w:rFonts w:ascii="Arial" w:hAnsi="Arial"/>
          <w:sz w:val="22"/>
          <w:szCs w:val="22"/>
        </w:rPr>
        <w:t>assessment</w:t>
      </w:r>
      <w:r w:rsidR="00510E78">
        <w:rPr>
          <w:rFonts w:ascii="Arial" w:hAnsi="Arial"/>
          <w:sz w:val="22"/>
          <w:szCs w:val="22"/>
        </w:rPr>
        <w:t xml:space="preserve">s that may be considered </w:t>
      </w:r>
      <w:r w:rsidR="004A1C71">
        <w:rPr>
          <w:rFonts w:ascii="Arial" w:hAnsi="Arial"/>
          <w:sz w:val="22"/>
          <w:szCs w:val="22"/>
        </w:rPr>
        <w:t xml:space="preserve">to be </w:t>
      </w:r>
      <w:r w:rsidR="00510E78">
        <w:rPr>
          <w:rFonts w:ascii="Arial" w:hAnsi="Arial"/>
          <w:sz w:val="22"/>
          <w:szCs w:val="22"/>
        </w:rPr>
        <w:t>subjective</w:t>
      </w:r>
      <w:r w:rsidR="004A1C71">
        <w:rPr>
          <w:rFonts w:ascii="Arial" w:hAnsi="Arial"/>
          <w:sz w:val="22"/>
          <w:szCs w:val="22"/>
        </w:rPr>
        <w:t>;</w:t>
      </w:r>
      <w:r w:rsidR="00510E78">
        <w:rPr>
          <w:rFonts w:ascii="Arial" w:hAnsi="Arial"/>
          <w:sz w:val="22"/>
          <w:szCs w:val="22"/>
        </w:rPr>
        <w:t xml:space="preserve"> assessment of co</w:t>
      </w:r>
      <w:r w:rsidR="00510E78">
        <w:rPr>
          <w:rFonts w:ascii="Arial" w:hAnsi="Arial"/>
          <w:sz w:val="22"/>
          <w:szCs w:val="22"/>
        </w:rPr>
        <w:noBreakHyphen/>
      </w:r>
      <w:r w:rsidRPr="00C163BF">
        <w:rPr>
          <w:rFonts w:ascii="Arial" w:hAnsi="Arial"/>
          <w:sz w:val="22"/>
          <w:szCs w:val="22"/>
        </w:rPr>
        <w:t>morbidity other than CLL may be difficult to determine</w:t>
      </w:r>
      <w:r w:rsidR="004A1C71">
        <w:rPr>
          <w:rFonts w:ascii="Arial" w:hAnsi="Arial"/>
          <w:sz w:val="22"/>
          <w:szCs w:val="22"/>
        </w:rPr>
        <w:t>;</w:t>
      </w:r>
      <w:r w:rsidRPr="00C163BF">
        <w:rPr>
          <w:rFonts w:ascii="Arial" w:hAnsi="Arial"/>
          <w:sz w:val="22"/>
          <w:szCs w:val="22"/>
        </w:rPr>
        <w:t xml:space="preserve"> and many patients would attain a score greater than six</w:t>
      </w:r>
      <w:r w:rsidR="002F2300">
        <w:rPr>
          <w:rFonts w:ascii="Arial" w:hAnsi="Arial"/>
          <w:sz w:val="22"/>
          <w:szCs w:val="22"/>
        </w:rPr>
        <w:t xml:space="preserve"> including some patients who may be eligible for </w:t>
      </w:r>
      <w:proofErr w:type="spellStart"/>
      <w:r w:rsidR="002F2300">
        <w:rPr>
          <w:rFonts w:ascii="Arial" w:hAnsi="Arial"/>
          <w:sz w:val="22"/>
          <w:szCs w:val="22"/>
        </w:rPr>
        <w:t>fludarabine</w:t>
      </w:r>
      <w:proofErr w:type="spellEnd"/>
      <w:r w:rsidRPr="00C163BF">
        <w:rPr>
          <w:rFonts w:ascii="Arial" w:hAnsi="Arial"/>
          <w:sz w:val="22"/>
          <w:szCs w:val="22"/>
        </w:rPr>
        <w:t>.</w:t>
      </w:r>
      <w:r w:rsidR="00C163BF" w:rsidRPr="00C163BF">
        <w:rPr>
          <w:rFonts w:ascii="Arial" w:hAnsi="Arial"/>
          <w:color w:val="00B050"/>
          <w:sz w:val="22"/>
          <w:szCs w:val="22"/>
        </w:rPr>
        <w:t xml:space="preserve"> </w:t>
      </w:r>
      <w:r w:rsidR="00C163BF" w:rsidRPr="00C163BF">
        <w:rPr>
          <w:rFonts w:ascii="Arial" w:hAnsi="Arial"/>
          <w:sz w:val="22"/>
          <w:szCs w:val="22"/>
        </w:rPr>
        <w:t>The Pre</w:t>
      </w:r>
      <w:r w:rsidR="002F2300">
        <w:rPr>
          <w:rFonts w:ascii="Arial" w:hAnsi="Arial"/>
          <w:sz w:val="22"/>
          <w:szCs w:val="22"/>
        </w:rPr>
        <w:noBreakHyphen/>
      </w:r>
      <w:r w:rsidR="00C163BF" w:rsidRPr="00C163BF">
        <w:rPr>
          <w:rFonts w:ascii="Arial" w:hAnsi="Arial"/>
          <w:sz w:val="22"/>
          <w:szCs w:val="22"/>
        </w:rPr>
        <w:t>PBAC response argued that there is currently no alternative to the CIRS score to assess co</w:t>
      </w:r>
      <w:r w:rsidR="00C163BF" w:rsidRPr="00C163BF">
        <w:rPr>
          <w:rFonts w:ascii="Arial" w:hAnsi="Arial"/>
          <w:sz w:val="22"/>
          <w:szCs w:val="22"/>
        </w:rPr>
        <w:noBreakHyphen/>
        <w:t xml:space="preserve">morbidity. </w:t>
      </w:r>
    </w:p>
    <w:p w:rsidR="00974F72" w:rsidRPr="00974F72" w:rsidRDefault="00974F72" w:rsidP="00974F72">
      <w:pPr>
        <w:pStyle w:val="ListParagraph"/>
        <w:rPr>
          <w:rFonts w:ascii="Arial" w:hAnsi="Arial"/>
          <w:sz w:val="22"/>
          <w:szCs w:val="22"/>
        </w:rPr>
      </w:pPr>
    </w:p>
    <w:p w:rsidR="00974F72" w:rsidRDefault="00510E78" w:rsidP="00974F72">
      <w:pPr>
        <w:pStyle w:val="ListParagraph"/>
        <w:numPr>
          <w:ilvl w:val="1"/>
          <w:numId w:val="25"/>
        </w:numPr>
        <w:jc w:val="both"/>
        <w:rPr>
          <w:rFonts w:ascii="Arial" w:hAnsi="Arial"/>
          <w:sz w:val="22"/>
          <w:szCs w:val="22"/>
        </w:rPr>
      </w:pPr>
      <w:r>
        <w:rPr>
          <w:rFonts w:ascii="Arial" w:hAnsi="Arial"/>
          <w:sz w:val="22"/>
          <w:szCs w:val="22"/>
        </w:rPr>
        <w:t>T</w:t>
      </w:r>
      <w:r w:rsidRPr="00974F72">
        <w:rPr>
          <w:rFonts w:ascii="Arial" w:hAnsi="Arial"/>
          <w:sz w:val="22"/>
          <w:szCs w:val="22"/>
        </w:rPr>
        <w:t xml:space="preserve">o help </w:t>
      </w:r>
      <w:r>
        <w:rPr>
          <w:rFonts w:ascii="Arial" w:hAnsi="Arial"/>
          <w:sz w:val="22"/>
          <w:szCs w:val="22"/>
        </w:rPr>
        <w:t>limit</w:t>
      </w:r>
      <w:r w:rsidRPr="00974F72">
        <w:rPr>
          <w:rFonts w:ascii="Arial" w:hAnsi="Arial"/>
          <w:sz w:val="22"/>
          <w:szCs w:val="22"/>
        </w:rPr>
        <w:t xml:space="preserve"> </w:t>
      </w:r>
      <w:proofErr w:type="spellStart"/>
      <w:r w:rsidRPr="00974F72">
        <w:rPr>
          <w:rFonts w:ascii="Arial" w:hAnsi="Arial"/>
          <w:sz w:val="22"/>
          <w:szCs w:val="22"/>
        </w:rPr>
        <w:t>obinutuzumab</w:t>
      </w:r>
      <w:proofErr w:type="spellEnd"/>
      <w:r w:rsidRPr="00974F72">
        <w:rPr>
          <w:rFonts w:ascii="Arial" w:hAnsi="Arial"/>
          <w:sz w:val="22"/>
          <w:szCs w:val="22"/>
        </w:rPr>
        <w:t xml:space="preserve"> use to the intended population</w:t>
      </w:r>
      <w:r>
        <w:rPr>
          <w:rFonts w:ascii="Arial" w:hAnsi="Arial"/>
          <w:sz w:val="22"/>
          <w:szCs w:val="22"/>
        </w:rPr>
        <w:t>, t</w:t>
      </w:r>
      <w:r w:rsidR="00974F72">
        <w:rPr>
          <w:rFonts w:ascii="Arial" w:hAnsi="Arial"/>
          <w:sz w:val="22"/>
          <w:szCs w:val="22"/>
        </w:rPr>
        <w:t>he P</w:t>
      </w:r>
      <w:r w:rsidR="00AD37A4">
        <w:rPr>
          <w:rFonts w:ascii="Arial" w:hAnsi="Arial"/>
          <w:sz w:val="22"/>
          <w:szCs w:val="22"/>
        </w:rPr>
        <w:t>re-</w:t>
      </w:r>
      <w:r w:rsidR="00974F72">
        <w:rPr>
          <w:rFonts w:ascii="Arial" w:hAnsi="Arial"/>
          <w:sz w:val="22"/>
          <w:szCs w:val="22"/>
        </w:rPr>
        <w:t>S</w:t>
      </w:r>
      <w:r w:rsidR="00AD37A4">
        <w:rPr>
          <w:rFonts w:ascii="Arial" w:hAnsi="Arial"/>
          <w:sz w:val="22"/>
          <w:szCs w:val="22"/>
        </w:rPr>
        <w:t>ub-</w:t>
      </w:r>
      <w:r w:rsidR="00974F72">
        <w:rPr>
          <w:rFonts w:ascii="Arial" w:hAnsi="Arial"/>
          <w:sz w:val="22"/>
          <w:szCs w:val="22"/>
        </w:rPr>
        <w:t>C</w:t>
      </w:r>
      <w:r w:rsidR="00AD37A4">
        <w:rPr>
          <w:rFonts w:ascii="Arial" w:hAnsi="Arial"/>
          <w:sz w:val="22"/>
          <w:szCs w:val="22"/>
        </w:rPr>
        <w:t xml:space="preserve">ommittee </w:t>
      </w:r>
      <w:r w:rsidR="00974F72">
        <w:rPr>
          <w:rFonts w:ascii="Arial" w:hAnsi="Arial"/>
          <w:sz w:val="22"/>
          <w:szCs w:val="22"/>
        </w:rPr>
        <w:t>R</w:t>
      </w:r>
      <w:r w:rsidR="00AD37A4">
        <w:rPr>
          <w:rFonts w:ascii="Arial" w:hAnsi="Arial"/>
          <w:sz w:val="22"/>
          <w:szCs w:val="22"/>
        </w:rPr>
        <w:t>esponse (PSCR)</w:t>
      </w:r>
      <w:r w:rsidR="00974F72">
        <w:rPr>
          <w:rFonts w:ascii="Arial" w:hAnsi="Arial"/>
          <w:sz w:val="22"/>
          <w:szCs w:val="22"/>
        </w:rPr>
        <w:t xml:space="preserve"> and Pre-PBAC response proposed that</w:t>
      </w:r>
      <w:r w:rsidR="00974F72" w:rsidRPr="00974F72">
        <w:rPr>
          <w:rFonts w:ascii="Arial" w:hAnsi="Arial"/>
          <w:sz w:val="22"/>
          <w:szCs w:val="22"/>
        </w:rPr>
        <w:t xml:space="preserve"> the PBS restriction could:</w:t>
      </w:r>
    </w:p>
    <w:p w:rsidR="00974F72" w:rsidRPr="00974F72" w:rsidRDefault="00974F72" w:rsidP="00974F72">
      <w:pPr>
        <w:pStyle w:val="ListParagraph"/>
        <w:numPr>
          <w:ilvl w:val="0"/>
          <w:numId w:val="48"/>
        </w:numPr>
        <w:ind w:left="1276"/>
        <w:jc w:val="both"/>
        <w:rPr>
          <w:rFonts w:ascii="Arial" w:hAnsi="Arial"/>
          <w:sz w:val="22"/>
          <w:szCs w:val="22"/>
        </w:rPr>
      </w:pPr>
      <w:r w:rsidRPr="00974F72">
        <w:rPr>
          <w:rFonts w:ascii="Arial" w:hAnsi="Arial"/>
          <w:sz w:val="22"/>
          <w:szCs w:val="22"/>
        </w:rPr>
        <w:t xml:space="preserve">include a criterion that the patient is ineligible for </w:t>
      </w:r>
      <w:proofErr w:type="spellStart"/>
      <w:r w:rsidRPr="00974F72">
        <w:rPr>
          <w:rFonts w:ascii="Arial" w:hAnsi="Arial"/>
          <w:sz w:val="22"/>
          <w:szCs w:val="22"/>
        </w:rPr>
        <w:t>fludarabine</w:t>
      </w:r>
      <w:proofErr w:type="spellEnd"/>
      <w:r w:rsidRPr="00974F72">
        <w:rPr>
          <w:rFonts w:ascii="Arial" w:hAnsi="Arial"/>
          <w:sz w:val="22"/>
          <w:szCs w:val="22"/>
        </w:rPr>
        <w:t xml:space="preserve">; </w:t>
      </w:r>
    </w:p>
    <w:p w:rsidR="00974F72" w:rsidRPr="00974F72" w:rsidRDefault="00974F72" w:rsidP="00974F72">
      <w:pPr>
        <w:pStyle w:val="ListParagraph"/>
        <w:numPr>
          <w:ilvl w:val="0"/>
          <w:numId w:val="48"/>
        </w:numPr>
        <w:ind w:left="1276"/>
        <w:jc w:val="both"/>
        <w:rPr>
          <w:rFonts w:ascii="Arial" w:hAnsi="Arial"/>
          <w:sz w:val="22"/>
          <w:szCs w:val="22"/>
        </w:rPr>
      </w:pPr>
      <w:r w:rsidRPr="00974F72">
        <w:rPr>
          <w:rFonts w:ascii="Arial" w:hAnsi="Arial"/>
          <w:sz w:val="22"/>
          <w:szCs w:val="22"/>
        </w:rPr>
        <w:t xml:space="preserve">specifically exclude ‘medically </w:t>
      </w:r>
      <w:r w:rsidR="004466E7">
        <w:rPr>
          <w:rFonts w:ascii="Arial" w:hAnsi="Arial"/>
          <w:sz w:val="22"/>
          <w:szCs w:val="22"/>
        </w:rPr>
        <w:t>frail’ patients (</w:t>
      </w:r>
      <w:proofErr w:type="spellStart"/>
      <w:r w:rsidR="004466E7">
        <w:rPr>
          <w:rFonts w:ascii="Arial" w:hAnsi="Arial"/>
          <w:sz w:val="22"/>
          <w:szCs w:val="22"/>
        </w:rPr>
        <w:t>CrCL</w:t>
      </w:r>
      <w:proofErr w:type="spellEnd"/>
      <w:r w:rsidR="004466E7">
        <w:rPr>
          <w:rFonts w:ascii="Arial" w:hAnsi="Arial"/>
          <w:sz w:val="22"/>
          <w:szCs w:val="22"/>
        </w:rPr>
        <w:t>&lt;30mL/min);</w:t>
      </w:r>
      <w:r w:rsidRPr="00974F72">
        <w:rPr>
          <w:rFonts w:ascii="Arial" w:hAnsi="Arial"/>
          <w:sz w:val="22"/>
          <w:szCs w:val="22"/>
        </w:rPr>
        <w:t xml:space="preserve"> </w:t>
      </w:r>
    </w:p>
    <w:p w:rsidR="00974F72" w:rsidRDefault="00974F72" w:rsidP="00974F72">
      <w:pPr>
        <w:pStyle w:val="ListParagraph"/>
        <w:numPr>
          <w:ilvl w:val="0"/>
          <w:numId w:val="48"/>
        </w:numPr>
        <w:ind w:left="1276"/>
        <w:jc w:val="both"/>
        <w:rPr>
          <w:rFonts w:ascii="Arial" w:hAnsi="Arial"/>
          <w:sz w:val="22"/>
          <w:szCs w:val="22"/>
        </w:rPr>
      </w:pPr>
      <w:proofErr w:type="gramStart"/>
      <w:r w:rsidRPr="00974F72">
        <w:rPr>
          <w:rFonts w:ascii="Arial" w:hAnsi="Arial"/>
          <w:sz w:val="22"/>
          <w:szCs w:val="22"/>
        </w:rPr>
        <w:t>explicitly</w:t>
      </w:r>
      <w:proofErr w:type="gramEnd"/>
      <w:r w:rsidRPr="00974F72">
        <w:rPr>
          <w:rFonts w:ascii="Arial" w:hAnsi="Arial"/>
          <w:sz w:val="22"/>
          <w:szCs w:val="22"/>
        </w:rPr>
        <w:t xml:space="preserve"> state that the CIRS score must exclude CLL-induced illness or organ damage.</w:t>
      </w:r>
    </w:p>
    <w:p w:rsidR="00974F72" w:rsidRPr="00974F72" w:rsidRDefault="00974F72" w:rsidP="00974F72">
      <w:pPr>
        <w:pStyle w:val="ListParagrap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jc w:val="both"/>
        <w:rPr>
          <w:rFonts w:ascii="Arial" w:hAnsi="Arial"/>
          <w:b/>
          <w:sz w:val="22"/>
          <w:szCs w:val="22"/>
        </w:rPr>
      </w:pPr>
    </w:p>
    <w:p w:rsidR="00CE10C4" w:rsidRPr="00523710" w:rsidRDefault="00CE10C4" w:rsidP="00523710">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Background</w:t>
      </w:r>
    </w:p>
    <w:p w:rsidR="00523710" w:rsidRPr="00523710" w:rsidRDefault="00523710" w:rsidP="00523710">
      <w:pPr>
        <w:pStyle w:val="ListParagraph"/>
        <w:jc w:val="both"/>
        <w:rPr>
          <w:rFonts w:ascii="Arial" w:hAnsi="Arial"/>
          <w:sz w:val="22"/>
          <w:szCs w:val="22"/>
        </w:rPr>
      </w:pPr>
    </w:p>
    <w:p w:rsidR="002B1AE6" w:rsidRPr="00BA2CF3" w:rsidRDefault="00E830E1" w:rsidP="007E6994">
      <w:pPr>
        <w:pStyle w:val="ListParagraph"/>
        <w:keepNext/>
        <w:keepLines/>
        <w:numPr>
          <w:ilvl w:val="1"/>
          <w:numId w:val="25"/>
        </w:numPr>
        <w:jc w:val="both"/>
        <w:rPr>
          <w:rFonts w:ascii="Arial" w:hAnsi="Arial"/>
          <w:sz w:val="22"/>
          <w:szCs w:val="22"/>
        </w:rPr>
      </w:pPr>
      <w:proofErr w:type="spellStart"/>
      <w:r w:rsidRPr="00BA2CF3">
        <w:rPr>
          <w:rFonts w:ascii="Arial" w:hAnsi="Arial"/>
          <w:sz w:val="22"/>
          <w:szCs w:val="22"/>
        </w:rPr>
        <w:t>Obinutuzumab</w:t>
      </w:r>
      <w:proofErr w:type="spellEnd"/>
      <w:r w:rsidRPr="00BA2CF3">
        <w:rPr>
          <w:rFonts w:ascii="Arial" w:hAnsi="Arial"/>
          <w:sz w:val="22"/>
          <w:szCs w:val="22"/>
        </w:rPr>
        <w:t xml:space="preserve"> </w:t>
      </w:r>
      <w:r w:rsidR="007D190E">
        <w:rPr>
          <w:rFonts w:ascii="Arial" w:hAnsi="Arial"/>
          <w:sz w:val="22"/>
          <w:szCs w:val="22"/>
        </w:rPr>
        <w:t>is an anti-CD20 monoclonal antibody</w:t>
      </w:r>
      <w:r w:rsidR="00A617CC">
        <w:rPr>
          <w:rFonts w:ascii="Arial" w:hAnsi="Arial"/>
          <w:sz w:val="22"/>
          <w:szCs w:val="22"/>
        </w:rPr>
        <w:t xml:space="preserve"> that was</w:t>
      </w:r>
      <w:r w:rsidR="002B1AE6" w:rsidRPr="00BA2CF3">
        <w:rPr>
          <w:rFonts w:ascii="Arial" w:hAnsi="Arial"/>
          <w:sz w:val="22"/>
          <w:szCs w:val="22"/>
        </w:rPr>
        <w:t xml:space="preserve"> registered </w:t>
      </w:r>
      <w:r w:rsidR="007D190E">
        <w:rPr>
          <w:rFonts w:ascii="Arial" w:hAnsi="Arial"/>
          <w:sz w:val="22"/>
          <w:szCs w:val="22"/>
        </w:rPr>
        <w:t xml:space="preserve">by the TGA </w:t>
      </w:r>
      <w:r w:rsidR="002B1AE6" w:rsidRPr="00BA2CF3">
        <w:rPr>
          <w:rFonts w:ascii="Arial" w:hAnsi="Arial"/>
          <w:sz w:val="22"/>
          <w:szCs w:val="22"/>
        </w:rPr>
        <w:t xml:space="preserve">on </w:t>
      </w:r>
      <w:r w:rsidRPr="00BA2CF3">
        <w:rPr>
          <w:rFonts w:ascii="Arial" w:hAnsi="Arial"/>
          <w:sz w:val="22"/>
          <w:szCs w:val="22"/>
        </w:rPr>
        <w:t>15</w:t>
      </w:r>
      <w:r w:rsidR="00A617CC">
        <w:rPr>
          <w:rFonts w:ascii="Arial" w:hAnsi="Arial"/>
          <w:sz w:val="22"/>
          <w:szCs w:val="22"/>
        </w:rPr>
        <w:t> </w:t>
      </w:r>
      <w:r w:rsidRPr="00BA2CF3">
        <w:rPr>
          <w:rFonts w:ascii="Arial" w:hAnsi="Arial"/>
          <w:sz w:val="22"/>
          <w:szCs w:val="22"/>
        </w:rPr>
        <w:t>May 2014</w:t>
      </w:r>
      <w:r w:rsidR="00861F43">
        <w:rPr>
          <w:rFonts w:ascii="Arial" w:hAnsi="Arial"/>
          <w:sz w:val="22"/>
          <w:szCs w:val="22"/>
        </w:rPr>
        <w:t xml:space="preserve"> for use</w:t>
      </w:r>
      <w:r w:rsidR="00601B1E">
        <w:rPr>
          <w:rFonts w:ascii="Arial" w:hAnsi="Arial"/>
          <w:sz w:val="22"/>
          <w:szCs w:val="22"/>
        </w:rPr>
        <w:t xml:space="preserve"> in combination with </w:t>
      </w:r>
      <w:proofErr w:type="spellStart"/>
      <w:r w:rsidR="00601B1E">
        <w:rPr>
          <w:rFonts w:ascii="Arial" w:hAnsi="Arial"/>
          <w:sz w:val="22"/>
          <w:szCs w:val="22"/>
        </w:rPr>
        <w:t>chlorambucil</w:t>
      </w:r>
      <w:proofErr w:type="spellEnd"/>
      <w:r w:rsidR="0070779B">
        <w:rPr>
          <w:rFonts w:ascii="Arial" w:hAnsi="Arial"/>
          <w:sz w:val="22"/>
          <w:szCs w:val="22"/>
        </w:rPr>
        <w:t>,</w:t>
      </w:r>
      <w:r w:rsidR="00601B1E">
        <w:rPr>
          <w:rFonts w:ascii="Arial" w:hAnsi="Arial"/>
          <w:sz w:val="22"/>
          <w:szCs w:val="22"/>
        </w:rPr>
        <w:t xml:space="preserve"> for the treatment of patients with previously untreated CLL.</w:t>
      </w:r>
      <w:r w:rsidR="002B1AE6" w:rsidRPr="00BA2CF3">
        <w:rPr>
          <w:rFonts w:ascii="Arial" w:hAnsi="Arial"/>
          <w:sz w:val="22"/>
          <w:szCs w:val="22"/>
        </w:rPr>
        <w:t xml:space="preserve"> </w:t>
      </w:r>
    </w:p>
    <w:p w:rsidR="006B0D94" w:rsidRPr="00882085" w:rsidRDefault="006B0D94" w:rsidP="00882085">
      <w:pPr>
        <w:pStyle w:val="ListParagraph"/>
        <w:jc w:val="both"/>
        <w:rPr>
          <w:rFonts w:ascii="Arial" w:hAnsi="Arial"/>
          <w:sz w:val="22"/>
          <w:szCs w:val="22"/>
        </w:rPr>
      </w:pPr>
    </w:p>
    <w:p w:rsidR="00326E79" w:rsidRDefault="00A71ADF" w:rsidP="00882085">
      <w:pPr>
        <w:pStyle w:val="ListParagraph"/>
        <w:numPr>
          <w:ilvl w:val="1"/>
          <w:numId w:val="25"/>
        </w:numPr>
        <w:jc w:val="both"/>
        <w:rPr>
          <w:rFonts w:ascii="Arial" w:hAnsi="Arial"/>
          <w:sz w:val="22"/>
          <w:szCs w:val="22"/>
        </w:rPr>
      </w:pPr>
      <w:proofErr w:type="spellStart"/>
      <w:r>
        <w:rPr>
          <w:rFonts w:ascii="Arial" w:hAnsi="Arial"/>
          <w:sz w:val="22"/>
          <w:szCs w:val="22"/>
        </w:rPr>
        <w:t>Obinutuzumab</w:t>
      </w:r>
      <w:proofErr w:type="spellEnd"/>
      <w:r>
        <w:rPr>
          <w:rFonts w:ascii="Arial" w:hAnsi="Arial"/>
          <w:sz w:val="22"/>
          <w:szCs w:val="22"/>
        </w:rPr>
        <w:t xml:space="preserve"> has not previously been considered by the PBAC.</w:t>
      </w:r>
    </w:p>
    <w:p w:rsidR="00724545" w:rsidRPr="00724545" w:rsidRDefault="00724545" w:rsidP="00724545">
      <w:pPr>
        <w:pStyle w:val="ListParagraph"/>
        <w:rPr>
          <w:rFonts w:ascii="Arial" w:hAnsi="Arial"/>
          <w:sz w:val="22"/>
          <w:szCs w:val="22"/>
        </w:rPr>
      </w:pPr>
    </w:p>
    <w:p w:rsidR="00086512" w:rsidRPr="00124EE7" w:rsidRDefault="00724545" w:rsidP="00AD64FF">
      <w:pPr>
        <w:pStyle w:val="ListParagraph"/>
        <w:numPr>
          <w:ilvl w:val="1"/>
          <w:numId w:val="25"/>
        </w:numPr>
        <w:jc w:val="both"/>
        <w:rPr>
          <w:rFonts w:ascii="Arial" w:hAnsi="Arial"/>
          <w:b/>
          <w:sz w:val="22"/>
          <w:szCs w:val="22"/>
        </w:rPr>
      </w:pPr>
      <w:r w:rsidRPr="00AD64FF">
        <w:rPr>
          <w:rFonts w:ascii="Arial" w:hAnsi="Arial"/>
          <w:sz w:val="22"/>
          <w:szCs w:val="22"/>
        </w:rPr>
        <w:lastRenderedPageBreak/>
        <w:t>Rituximab</w:t>
      </w:r>
      <w:r w:rsidR="007D190E">
        <w:rPr>
          <w:rFonts w:ascii="Arial" w:hAnsi="Arial"/>
          <w:sz w:val="22"/>
          <w:szCs w:val="22"/>
        </w:rPr>
        <w:t>, the first registered anti-CD20 monoclonal antibody,</w:t>
      </w:r>
      <w:r w:rsidRPr="00AD64FF">
        <w:rPr>
          <w:rFonts w:ascii="Arial" w:hAnsi="Arial"/>
          <w:sz w:val="22"/>
          <w:szCs w:val="22"/>
        </w:rPr>
        <w:t xml:space="preserve"> is </w:t>
      </w:r>
      <w:r w:rsidR="001862BB">
        <w:rPr>
          <w:rFonts w:ascii="Arial" w:hAnsi="Arial"/>
          <w:sz w:val="22"/>
          <w:szCs w:val="22"/>
        </w:rPr>
        <w:t>PBS-</w:t>
      </w:r>
      <w:r w:rsidRPr="00AD64FF">
        <w:rPr>
          <w:rFonts w:ascii="Arial" w:hAnsi="Arial"/>
          <w:sz w:val="22"/>
          <w:szCs w:val="22"/>
        </w:rPr>
        <w:t xml:space="preserve">listed </w:t>
      </w:r>
      <w:r w:rsidR="001862BB" w:rsidRPr="00AD64FF">
        <w:rPr>
          <w:rFonts w:ascii="Arial" w:hAnsi="Arial"/>
          <w:sz w:val="22"/>
          <w:szCs w:val="22"/>
        </w:rPr>
        <w:t xml:space="preserve">for the treatment of patients with CD20 positive CLL </w:t>
      </w:r>
      <w:r w:rsidRPr="00AD64FF">
        <w:rPr>
          <w:rFonts w:ascii="Arial" w:hAnsi="Arial"/>
          <w:sz w:val="22"/>
          <w:szCs w:val="22"/>
        </w:rPr>
        <w:t xml:space="preserve">in combination with </w:t>
      </w:r>
      <w:proofErr w:type="spellStart"/>
      <w:r w:rsidRPr="00AD64FF">
        <w:rPr>
          <w:rFonts w:ascii="Arial" w:hAnsi="Arial"/>
          <w:sz w:val="22"/>
          <w:szCs w:val="22"/>
        </w:rPr>
        <w:t>fludarabine</w:t>
      </w:r>
      <w:proofErr w:type="spellEnd"/>
      <w:r w:rsidRPr="00AD64FF">
        <w:rPr>
          <w:rFonts w:ascii="Arial" w:hAnsi="Arial"/>
          <w:sz w:val="22"/>
          <w:szCs w:val="22"/>
        </w:rPr>
        <w:t xml:space="preserve"> and cyclophosphamide (FC) (recommended at </w:t>
      </w:r>
      <w:r w:rsidR="00E730F6">
        <w:rPr>
          <w:rFonts w:ascii="Arial" w:hAnsi="Arial"/>
          <w:sz w:val="22"/>
          <w:szCs w:val="22"/>
        </w:rPr>
        <w:t>the</w:t>
      </w:r>
      <w:r w:rsidRPr="00AD64FF">
        <w:rPr>
          <w:rFonts w:ascii="Arial" w:hAnsi="Arial"/>
          <w:sz w:val="22"/>
          <w:szCs w:val="22"/>
        </w:rPr>
        <w:t xml:space="preserve"> November 2010 </w:t>
      </w:r>
      <w:r w:rsidR="00E730F6">
        <w:rPr>
          <w:rFonts w:ascii="Arial" w:hAnsi="Arial"/>
          <w:sz w:val="22"/>
          <w:szCs w:val="22"/>
        </w:rPr>
        <w:t xml:space="preserve">PBAC </w:t>
      </w:r>
      <w:r w:rsidRPr="00AD64FF">
        <w:rPr>
          <w:rFonts w:ascii="Arial" w:hAnsi="Arial"/>
          <w:sz w:val="22"/>
          <w:szCs w:val="22"/>
        </w:rPr>
        <w:t xml:space="preserve">meeting). </w:t>
      </w:r>
      <w:r w:rsidR="0049462F">
        <w:rPr>
          <w:rFonts w:ascii="Arial" w:hAnsi="Arial"/>
          <w:sz w:val="22"/>
          <w:szCs w:val="22"/>
        </w:rPr>
        <w:t>However, r</w:t>
      </w:r>
      <w:r w:rsidR="001862BB" w:rsidRPr="00AD64FF">
        <w:rPr>
          <w:rFonts w:ascii="Arial" w:hAnsi="Arial"/>
          <w:sz w:val="22"/>
          <w:szCs w:val="22"/>
        </w:rPr>
        <w:t>ituximab is</w:t>
      </w:r>
      <w:r w:rsidR="001862BB">
        <w:rPr>
          <w:rFonts w:ascii="Arial" w:hAnsi="Arial"/>
          <w:sz w:val="22"/>
          <w:szCs w:val="22"/>
        </w:rPr>
        <w:t xml:space="preserve"> not</w:t>
      </w:r>
      <w:r w:rsidR="001862BB" w:rsidRPr="00AD64FF">
        <w:rPr>
          <w:rFonts w:ascii="Arial" w:hAnsi="Arial"/>
          <w:sz w:val="22"/>
          <w:szCs w:val="22"/>
        </w:rPr>
        <w:t xml:space="preserve"> currently PBS-listed for</w:t>
      </w:r>
      <w:r w:rsidR="0049462F">
        <w:rPr>
          <w:rFonts w:ascii="Arial" w:hAnsi="Arial"/>
          <w:sz w:val="22"/>
          <w:szCs w:val="22"/>
        </w:rPr>
        <w:t xml:space="preserve"> CLL for</w:t>
      </w:r>
      <w:r w:rsidR="001862BB" w:rsidRPr="00AD64FF">
        <w:rPr>
          <w:rFonts w:ascii="Arial" w:hAnsi="Arial"/>
          <w:sz w:val="22"/>
          <w:szCs w:val="22"/>
        </w:rPr>
        <w:t xml:space="preserve"> </w:t>
      </w:r>
      <w:r w:rsidR="0049462F">
        <w:rPr>
          <w:rFonts w:ascii="Arial" w:hAnsi="Arial"/>
          <w:sz w:val="22"/>
          <w:szCs w:val="22"/>
        </w:rPr>
        <w:t xml:space="preserve">the broader indication of </w:t>
      </w:r>
      <w:r w:rsidR="001862BB" w:rsidRPr="00AD64FF">
        <w:rPr>
          <w:rFonts w:ascii="Arial" w:hAnsi="Arial"/>
          <w:sz w:val="22"/>
          <w:szCs w:val="22"/>
        </w:rPr>
        <w:t xml:space="preserve">use </w:t>
      </w:r>
      <w:r w:rsidR="0049462F">
        <w:rPr>
          <w:rFonts w:ascii="Arial" w:hAnsi="Arial"/>
          <w:sz w:val="22"/>
          <w:szCs w:val="22"/>
        </w:rPr>
        <w:t>‘</w:t>
      </w:r>
      <w:r w:rsidR="001862BB" w:rsidRPr="00AD64FF">
        <w:rPr>
          <w:rFonts w:ascii="Arial" w:hAnsi="Arial"/>
          <w:sz w:val="22"/>
          <w:szCs w:val="22"/>
        </w:rPr>
        <w:t>in combination with chemotherapy</w:t>
      </w:r>
      <w:r w:rsidR="0049462F">
        <w:rPr>
          <w:rFonts w:ascii="Arial" w:hAnsi="Arial"/>
          <w:sz w:val="22"/>
          <w:szCs w:val="22"/>
        </w:rPr>
        <w:t>’</w:t>
      </w:r>
      <w:r w:rsidR="00693766">
        <w:rPr>
          <w:rFonts w:ascii="Arial" w:hAnsi="Arial"/>
          <w:sz w:val="22"/>
          <w:szCs w:val="22"/>
        </w:rPr>
        <w:t xml:space="preserve"> (</w:t>
      </w:r>
      <w:r w:rsidR="00F80688">
        <w:rPr>
          <w:rFonts w:ascii="Arial" w:hAnsi="Arial"/>
          <w:sz w:val="22"/>
          <w:szCs w:val="22"/>
        </w:rPr>
        <w:t xml:space="preserve">i.e. chemotherapy </w:t>
      </w:r>
      <w:r w:rsidR="00693766">
        <w:rPr>
          <w:rFonts w:ascii="Arial" w:hAnsi="Arial"/>
          <w:sz w:val="22"/>
          <w:szCs w:val="22"/>
        </w:rPr>
        <w:t>other than FC)</w:t>
      </w:r>
      <w:r w:rsidR="001862BB">
        <w:rPr>
          <w:rFonts w:ascii="Arial" w:hAnsi="Arial"/>
          <w:sz w:val="22"/>
          <w:szCs w:val="22"/>
        </w:rPr>
        <w:t xml:space="preserve">, despite being </w:t>
      </w:r>
      <w:r w:rsidRPr="00AD64FF">
        <w:rPr>
          <w:rFonts w:ascii="Arial" w:hAnsi="Arial"/>
          <w:sz w:val="22"/>
          <w:szCs w:val="22"/>
        </w:rPr>
        <w:t xml:space="preserve">recommended </w:t>
      </w:r>
      <w:r w:rsidR="001862BB">
        <w:rPr>
          <w:rFonts w:ascii="Arial" w:hAnsi="Arial"/>
          <w:sz w:val="22"/>
          <w:szCs w:val="22"/>
        </w:rPr>
        <w:t>in this setting</w:t>
      </w:r>
      <w:r w:rsidR="001862BB" w:rsidRPr="00AD64FF">
        <w:rPr>
          <w:rFonts w:ascii="Arial" w:hAnsi="Arial"/>
          <w:sz w:val="22"/>
          <w:szCs w:val="22"/>
        </w:rPr>
        <w:t xml:space="preserve"> </w:t>
      </w:r>
      <w:r w:rsidRPr="00AD64FF">
        <w:rPr>
          <w:rFonts w:ascii="Arial" w:hAnsi="Arial"/>
          <w:sz w:val="22"/>
          <w:szCs w:val="22"/>
        </w:rPr>
        <w:t xml:space="preserve">by the PBAC in January 2011. The sponsor </w:t>
      </w:r>
      <w:r w:rsidR="00F80688">
        <w:rPr>
          <w:rFonts w:ascii="Arial" w:hAnsi="Arial"/>
          <w:sz w:val="22"/>
          <w:szCs w:val="22"/>
        </w:rPr>
        <w:t xml:space="preserve">had </w:t>
      </w:r>
      <w:r w:rsidRPr="00AD64FF">
        <w:rPr>
          <w:rFonts w:ascii="Arial" w:hAnsi="Arial"/>
          <w:sz w:val="22"/>
          <w:szCs w:val="22"/>
        </w:rPr>
        <w:t xml:space="preserve">proposed a </w:t>
      </w:r>
      <w:r w:rsidR="00197B45">
        <w:rPr>
          <w:rFonts w:ascii="Arial" w:hAnsi="Arial"/>
          <w:noProof/>
          <w:color w:val="000000"/>
          <w:sz w:val="22"/>
          <w:szCs w:val="22"/>
          <w:highlight w:val="black"/>
        </w:rPr>
        <w:t>''''''</w:t>
      </w:r>
      <w:r w:rsidRPr="00DA0EAB">
        <w:rPr>
          <w:rFonts w:ascii="Arial" w:hAnsi="Arial"/>
          <w:sz w:val="22"/>
          <w:szCs w:val="22"/>
        </w:rPr>
        <w:t xml:space="preserve">% </w:t>
      </w:r>
      <w:r w:rsidR="00510E78" w:rsidRPr="00DA0EAB">
        <w:rPr>
          <w:rFonts w:ascii="Arial" w:hAnsi="Arial"/>
          <w:sz w:val="22"/>
          <w:szCs w:val="22"/>
        </w:rPr>
        <w:t>price</w:t>
      </w:r>
      <w:r w:rsidR="00510E78" w:rsidRPr="00AD64FF">
        <w:rPr>
          <w:rFonts w:ascii="Arial" w:hAnsi="Arial"/>
          <w:sz w:val="22"/>
          <w:szCs w:val="22"/>
        </w:rPr>
        <w:t xml:space="preserve"> decrease for this listing</w:t>
      </w:r>
      <w:r w:rsidR="00DC11E4">
        <w:rPr>
          <w:rFonts w:ascii="Arial" w:hAnsi="Arial"/>
          <w:sz w:val="22"/>
          <w:szCs w:val="22"/>
        </w:rPr>
        <w:t>.</w:t>
      </w:r>
      <w:r w:rsidRPr="00AD64FF">
        <w:rPr>
          <w:rFonts w:ascii="Arial" w:hAnsi="Arial"/>
          <w:sz w:val="22"/>
          <w:szCs w:val="22"/>
        </w:rPr>
        <w:t xml:space="preserve"> A risk-share arrangement is yet to be developed and agreed upon</w:t>
      </w:r>
      <w:r w:rsidR="001862BB">
        <w:rPr>
          <w:rFonts w:ascii="Arial" w:hAnsi="Arial"/>
          <w:sz w:val="22"/>
          <w:szCs w:val="22"/>
        </w:rPr>
        <w:t xml:space="preserve">. </w:t>
      </w:r>
    </w:p>
    <w:p w:rsidR="00124EE7" w:rsidRPr="00124EE7" w:rsidRDefault="00124EE7" w:rsidP="00124EE7">
      <w:pPr>
        <w:pStyle w:val="ListParagraph"/>
        <w:rPr>
          <w:rFonts w:ascii="Arial" w:hAnsi="Arial"/>
          <w:b/>
          <w:sz w:val="22"/>
          <w:szCs w:val="22"/>
        </w:rPr>
      </w:pPr>
    </w:p>
    <w:p w:rsidR="00124EE7" w:rsidRPr="00BB7EC3" w:rsidRDefault="00124EE7" w:rsidP="00124EE7">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523710" w:rsidRPr="00AD64FF" w:rsidRDefault="00523710" w:rsidP="00AD64FF">
      <w:pPr>
        <w:pStyle w:val="ListParagraph"/>
        <w:jc w:val="both"/>
        <w:rPr>
          <w:rFonts w:ascii="Arial" w:hAnsi="Arial"/>
          <w:b/>
          <w:sz w:val="22"/>
          <w:szCs w:val="22"/>
        </w:rPr>
      </w:pPr>
    </w:p>
    <w:p w:rsidR="00CE10C4" w:rsidRPr="00882085" w:rsidRDefault="00CE10C4" w:rsidP="00523710">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523710" w:rsidRDefault="00CE10C4" w:rsidP="00523710">
      <w:pPr>
        <w:pStyle w:val="ListParagraph"/>
        <w:rPr>
          <w:rFonts w:ascii="Arial" w:hAnsi="Arial"/>
          <w:b/>
          <w:sz w:val="22"/>
          <w:szCs w:val="22"/>
        </w:rPr>
      </w:pPr>
    </w:p>
    <w:p w:rsidR="00E830E1" w:rsidRPr="00E830E1" w:rsidRDefault="00E830E1" w:rsidP="0069321F">
      <w:pPr>
        <w:pStyle w:val="ListParagraph"/>
        <w:numPr>
          <w:ilvl w:val="1"/>
          <w:numId w:val="25"/>
        </w:numPr>
        <w:jc w:val="both"/>
        <w:rPr>
          <w:rFonts w:ascii="Arial" w:hAnsi="Arial"/>
          <w:sz w:val="22"/>
          <w:szCs w:val="22"/>
        </w:rPr>
      </w:pPr>
      <w:r w:rsidRPr="00E830E1">
        <w:rPr>
          <w:rFonts w:ascii="Arial" w:hAnsi="Arial"/>
          <w:sz w:val="22"/>
          <w:szCs w:val="22"/>
        </w:rPr>
        <w:t>The submission propose</w:t>
      </w:r>
      <w:r w:rsidR="00724545">
        <w:rPr>
          <w:rFonts w:ascii="Arial" w:hAnsi="Arial"/>
          <w:sz w:val="22"/>
          <w:szCs w:val="22"/>
        </w:rPr>
        <w:t>d that the place in therapy for</w:t>
      </w:r>
      <w:r w:rsidRPr="00E830E1">
        <w:rPr>
          <w:rFonts w:ascii="Arial" w:hAnsi="Arial"/>
          <w:sz w:val="22"/>
          <w:szCs w:val="22"/>
        </w:rPr>
        <w:t xml:space="preserve"> </w:t>
      </w:r>
      <w:proofErr w:type="spellStart"/>
      <w:r w:rsidRPr="00E830E1">
        <w:rPr>
          <w:rFonts w:ascii="Arial" w:hAnsi="Arial"/>
          <w:sz w:val="22"/>
          <w:szCs w:val="22"/>
        </w:rPr>
        <w:t>obinutuzumab</w:t>
      </w:r>
      <w:proofErr w:type="spellEnd"/>
      <w:r w:rsidRPr="00E830E1">
        <w:rPr>
          <w:rFonts w:ascii="Arial" w:hAnsi="Arial"/>
          <w:sz w:val="22"/>
          <w:szCs w:val="22"/>
        </w:rPr>
        <w:t xml:space="preserve"> </w:t>
      </w:r>
      <w:r w:rsidR="00724545">
        <w:rPr>
          <w:rFonts w:ascii="Arial" w:hAnsi="Arial"/>
          <w:sz w:val="22"/>
          <w:szCs w:val="22"/>
        </w:rPr>
        <w:t>i</w:t>
      </w:r>
      <w:r w:rsidRPr="00E830E1">
        <w:rPr>
          <w:rFonts w:ascii="Arial" w:hAnsi="Arial"/>
          <w:sz w:val="22"/>
          <w:szCs w:val="22"/>
        </w:rPr>
        <w:t>s</w:t>
      </w:r>
      <w:r w:rsidR="00146436">
        <w:rPr>
          <w:rFonts w:ascii="Arial" w:hAnsi="Arial"/>
          <w:sz w:val="22"/>
          <w:szCs w:val="22"/>
        </w:rPr>
        <w:t>,</w:t>
      </w:r>
      <w:r w:rsidRPr="00E830E1">
        <w:rPr>
          <w:rFonts w:ascii="Arial" w:hAnsi="Arial"/>
          <w:sz w:val="22"/>
          <w:szCs w:val="22"/>
        </w:rPr>
        <w:t xml:space="preserve"> </w:t>
      </w:r>
      <w:r w:rsidR="00146436" w:rsidRPr="00E830E1">
        <w:rPr>
          <w:rFonts w:ascii="Arial" w:hAnsi="Arial"/>
          <w:sz w:val="22"/>
          <w:szCs w:val="22"/>
        </w:rPr>
        <w:t xml:space="preserve">in combination with </w:t>
      </w:r>
      <w:proofErr w:type="spellStart"/>
      <w:r w:rsidR="00146436" w:rsidRPr="00E830E1">
        <w:rPr>
          <w:rFonts w:ascii="Arial" w:hAnsi="Arial"/>
          <w:sz w:val="22"/>
          <w:szCs w:val="22"/>
        </w:rPr>
        <w:t>chlorambucil</w:t>
      </w:r>
      <w:proofErr w:type="spellEnd"/>
      <w:r w:rsidR="00146436">
        <w:rPr>
          <w:rFonts w:ascii="Arial" w:hAnsi="Arial"/>
          <w:sz w:val="22"/>
          <w:szCs w:val="22"/>
        </w:rPr>
        <w:t>,</w:t>
      </w:r>
      <w:r w:rsidR="00146436" w:rsidRPr="00E830E1">
        <w:rPr>
          <w:rFonts w:ascii="Arial" w:hAnsi="Arial"/>
          <w:sz w:val="22"/>
          <w:szCs w:val="22"/>
        </w:rPr>
        <w:t xml:space="preserve"> </w:t>
      </w:r>
      <w:r w:rsidRPr="00E830E1">
        <w:rPr>
          <w:rFonts w:ascii="Arial" w:hAnsi="Arial"/>
          <w:sz w:val="22"/>
          <w:szCs w:val="22"/>
        </w:rPr>
        <w:t>a</w:t>
      </w:r>
      <w:r w:rsidR="00E6276E">
        <w:rPr>
          <w:rFonts w:ascii="Arial" w:hAnsi="Arial"/>
          <w:sz w:val="22"/>
          <w:szCs w:val="22"/>
        </w:rPr>
        <w:t>s</w:t>
      </w:r>
      <w:r w:rsidRPr="00E830E1">
        <w:rPr>
          <w:rFonts w:ascii="Arial" w:hAnsi="Arial"/>
          <w:sz w:val="22"/>
          <w:szCs w:val="22"/>
        </w:rPr>
        <w:t xml:space="preserve"> first-line treatment for previously untreated, unfit patients with CD20 positive CLL and comorbidities. The comorbidities are defined as a total CIRS score of more than six, or creatinine clearance (</w:t>
      </w:r>
      <w:proofErr w:type="spellStart"/>
      <w:r w:rsidRPr="00E830E1">
        <w:rPr>
          <w:rFonts w:ascii="Arial" w:hAnsi="Arial"/>
          <w:sz w:val="22"/>
          <w:szCs w:val="22"/>
        </w:rPr>
        <w:t>CrCl</w:t>
      </w:r>
      <w:proofErr w:type="spellEnd"/>
      <w:r w:rsidRPr="00E830E1">
        <w:rPr>
          <w:rFonts w:ascii="Arial" w:hAnsi="Arial"/>
          <w:sz w:val="22"/>
          <w:szCs w:val="22"/>
        </w:rPr>
        <w:t>) &lt;70 mL/min, or both.</w:t>
      </w:r>
      <w:r w:rsidRPr="00E830E1">
        <w:rPr>
          <w:rFonts w:ascii="Arial" w:hAnsi="Arial"/>
          <w:color w:val="00B050"/>
          <w:sz w:val="22"/>
          <w:szCs w:val="22"/>
        </w:rPr>
        <w:t xml:space="preserve"> </w:t>
      </w:r>
    </w:p>
    <w:p w:rsidR="0069321F" w:rsidRDefault="0069321F" w:rsidP="0069321F">
      <w:pPr>
        <w:pStyle w:val="ListParagraph"/>
        <w:jc w:val="both"/>
        <w:rPr>
          <w:rFonts w:ascii="Arial" w:hAnsi="Arial"/>
          <w:sz w:val="22"/>
          <w:szCs w:val="22"/>
        </w:rPr>
      </w:pPr>
    </w:p>
    <w:p w:rsidR="00BB7EC3" w:rsidRPr="00BB7EC3" w:rsidRDefault="00BB7EC3" w:rsidP="0069321F">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523710" w:rsidRPr="00523710" w:rsidRDefault="00523710" w:rsidP="00523710">
      <w:pPr>
        <w:pStyle w:val="ListParagraph"/>
        <w:rPr>
          <w:rFonts w:ascii="Arial" w:hAnsi="Arial"/>
          <w:b/>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E830E1" w:rsidRPr="00E830E1" w:rsidRDefault="00E830E1" w:rsidP="00E830E1">
      <w:pPr>
        <w:pStyle w:val="ListParagraph"/>
        <w:numPr>
          <w:ilvl w:val="1"/>
          <w:numId w:val="25"/>
        </w:numPr>
        <w:jc w:val="both"/>
        <w:rPr>
          <w:rFonts w:ascii="Arial" w:hAnsi="Arial"/>
          <w:sz w:val="22"/>
          <w:szCs w:val="22"/>
        </w:rPr>
      </w:pPr>
      <w:r w:rsidRPr="00E830E1">
        <w:rPr>
          <w:rFonts w:ascii="Arial" w:hAnsi="Arial"/>
          <w:sz w:val="22"/>
          <w:szCs w:val="22"/>
        </w:rPr>
        <w:t>The submission nominate</w:t>
      </w:r>
      <w:r w:rsidR="00ED1F7B">
        <w:rPr>
          <w:rFonts w:ascii="Arial" w:hAnsi="Arial"/>
          <w:sz w:val="22"/>
          <w:szCs w:val="22"/>
        </w:rPr>
        <w:t>d</w:t>
      </w:r>
      <w:r w:rsidRPr="00E830E1">
        <w:rPr>
          <w:rFonts w:ascii="Arial" w:hAnsi="Arial"/>
          <w:sz w:val="22"/>
          <w:szCs w:val="22"/>
        </w:rPr>
        <w:t xml:space="preserve"> two comparators:</w:t>
      </w:r>
    </w:p>
    <w:p w:rsidR="00E830E1" w:rsidRPr="00E830E1" w:rsidRDefault="00E830E1" w:rsidP="00E830E1">
      <w:pPr>
        <w:pStyle w:val="ListParagraph"/>
        <w:numPr>
          <w:ilvl w:val="0"/>
          <w:numId w:val="38"/>
        </w:numPr>
        <w:jc w:val="both"/>
        <w:rPr>
          <w:rFonts w:ascii="Arial" w:hAnsi="Arial"/>
          <w:sz w:val="22"/>
          <w:szCs w:val="22"/>
        </w:rPr>
      </w:pPr>
      <w:proofErr w:type="spellStart"/>
      <w:r w:rsidRPr="00E830E1">
        <w:rPr>
          <w:rFonts w:ascii="Arial" w:hAnsi="Arial"/>
          <w:sz w:val="22"/>
          <w:szCs w:val="22"/>
        </w:rPr>
        <w:t>chlorambucil</w:t>
      </w:r>
      <w:proofErr w:type="spellEnd"/>
      <w:r w:rsidRPr="00E830E1">
        <w:rPr>
          <w:rFonts w:ascii="Arial" w:hAnsi="Arial"/>
          <w:sz w:val="22"/>
          <w:szCs w:val="22"/>
        </w:rPr>
        <w:t xml:space="preserve"> monotherapy as </w:t>
      </w:r>
      <w:r w:rsidR="00F80688">
        <w:rPr>
          <w:rFonts w:ascii="Arial" w:hAnsi="Arial"/>
          <w:sz w:val="22"/>
          <w:szCs w:val="22"/>
        </w:rPr>
        <w:t xml:space="preserve">the </w:t>
      </w:r>
      <w:r w:rsidRPr="00E830E1">
        <w:rPr>
          <w:rFonts w:ascii="Arial" w:hAnsi="Arial"/>
          <w:sz w:val="22"/>
          <w:szCs w:val="22"/>
        </w:rPr>
        <w:t>primary comparator;</w:t>
      </w:r>
    </w:p>
    <w:p w:rsidR="00E830E1" w:rsidRPr="00E830E1" w:rsidRDefault="00E830E1" w:rsidP="00E830E1">
      <w:pPr>
        <w:pStyle w:val="ListParagraph"/>
        <w:numPr>
          <w:ilvl w:val="0"/>
          <w:numId w:val="38"/>
        </w:numPr>
        <w:jc w:val="both"/>
        <w:rPr>
          <w:rFonts w:ascii="Arial" w:hAnsi="Arial"/>
          <w:sz w:val="22"/>
          <w:szCs w:val="22"/>
        </w:rPr>
      </w:pPr>
      <w:proofErr w:type="gramStart"/>
      <w:r w:rsidRPr="00E830E1">
        <w:rPr>
          <w:rFonts w:ascii="Arial" w:hAnsi="Arial"/>
          <w:sz w:val="22"/>
          <w:szCs w:val="22"/>
        </w:rPr>
        <w:t>rituximab</w:t>
      </w:r>
      <w:proofErr w:type="gramEnd"/>
      <w:r w:rsidRPr="00E830E1">
        <w:rPr>
          <w:rFonts w:ascii="Arial" w:hAnsi="Arial"/>
          <w:sz w:val="22"/>
          <w:szCs w:val="22"/>
        </w:rPr>
        <w:t xml:space="preserve"> plus </w:t>
      </w:r>
      <w:proofErr w:type="spellStart"/>
      <w:r w:rsidRPr="00E830E1">
        <w:rPr>
          <w:rFonts w:ascii="Arial" w:hAnsi="Arial"/>
          <w:sz w:val="22"/>
          <w:szCs w:val="22"/>
        </w:rPr>
        <w:t>chlorambucil</w:t>
      </w:r>
      <w:proofErr w:type="spellEnd"/>
      <w:r w:rsidRPr="00E830E1">
        <w:rPr>
          <w:rFonts w:ascii="Arial" w:hAnsi="Arial"/>
          <w:sz w:val="22"/>
          <w:szCs w:val="22"/>
        </w:rPr>
        <w:t xml:space="preserve"> as </w:t>
      </w:r>
      <w:r w:rsidR="00F80688">
        <w:rPr>
          <w:rFonts w:ascii="Arial" w:hAnsi="Arial"/>
          <w:sz w:val="22"/>
          <w:szCs w:val="22"/>
        </w:rPr>
        <w:t xml:space="preserve">the </w:t>
      </w:r>
      <w:r w:rsidRPr="00E830E1">
        <w:rPr>
          <w:rFonts w:ascii="Arial" w:hAnsi="Arial"/>
          <w:sz w:val="22"/>
          <w:szCs w:val="22"/>
        </w:rPr>
        <w:t>secondary comparator.</w:t>
      </w:r>
    </w:p>
    <w:p w:rsidR="00AA50B5" w:rsidRDefault="00AA50B5" w:rsidP="00AA50B5">
      <w:pPr>
        <w:pStyle w:val="ListParagraph"/>
        <w:jc w:val="both"/>
        <w:rPr>
          <w:rFonts w:ascii="Arial" w:hAnsi="Arial"/>
          <w:sz w:val="22"/>
          <w:szCs w:val="22"/>
        </w:rPr>
      </w:pPr>
    </w:p>
    <w:p w:rsidR="00A14611" w:rsidRDefault="00787ADB" w:rsidP="00AA50B5">
      <w:pPr>
        <w:pStyle w:val="ListParagraph"/>
        <w:numPr>
          <w:ilvl w:val="1"/>
          <w:numId w:val="25"/>
        </w:numPr>
        <w:jc w:val="both"/>
        <w:rPr>
          <w:rFonts w:ascii="Arial" w:hAnsi="Arial"/>
          <w:sz w:val="22"/>
          <w:szCs w:val="22"/>
        </w:rPr>
      </w:pPr>
      <w:r w:rsidRPr="00787ADB">
        <w:rPr>
          <w:rFonts w:ascii="Arial" w:hAnsi="Arial"/>
          <w:sz w:val="22"/>
          <w:szCs w:val="22"/>
        </w:rPr>
        <w:t xml:space="preserve">The ESC agreed that </w:t>
      </w:r>
      <w:proofErr w:type="spellStart"/>
      <w:r w:rsidR="003C24E7" w:rsidRPr="00E830E1">
        <w:rPr>
          <w:rFonts w:ascii="Arial" w:hAnsi="Arial"/>
          <w:sz w:val="22"/>
          <w:szCs w:val="22"/>
        </w:rPr>
        <w:t>chlorambucil</w:t>
      </w:r>
      <w:proofErr w:type="spellEnd"/>
      <w:r w:rsidR="003C24E7" w:rsidRPr="00E830E1">
        <w:rPr>
          <w:rFonts w:ascii="Arial" w:hAnsi="Arial"/>
          <w:sz w:val="22"/>
          <w:szCs w:val="22"/>
        </w:rPr>
        <w:t xml:space="preserve"> monotherapy </w:t>
      </w:r>
      <w:r w:rsidR="003C24E7">
        <w:rPr>
          <w:rFonts w:ascii="Arial" w:hAnsi="Arial"/>
          <w:sz w:val="22"/>
          <w:szCs w:val="22"/>
        </w:rPr>
        <w:t xml:space="preserve">was an </w:t>
      </w:r>
      <w:r w:rsidRPr="00787ADB">
        <w:rPr>
          <w:rFonts w:ascii="Arial" w:hAnsi="Arial"/>
          <w:sz w:val="22"/>
          <w:szCs w:val="22"/>
        </w:rPr>
        <w:t>appropriate</w:t>
      </w:r>
      <w:r w:rsidR="003C24E7">
        <w:rPr>
          <w:rFonts w:ascii="Arial" w:hAnsi="Arial"/>
          <w:sz w:val="22"/>
          <w:szCs w:val="22"/>
        </w:rPr>
        <w:t xml:space="preserve"> comparator</w:t>
      </w:r>
      <w:r w:rsidRPr="00787ADB">
        <w:rPr>
          <w:rFonts w:ascii="Arial" w:hAnsi="Arial"/>
          <w:sz w:val="22"/>
          <w:szCs w:val="22"/>
        </w:rPr>
        <w:t xml:space="preserve">. </w:t>
      </w:r>
      <w:r w:rsidR="003C24E7">
        <w:rPr>
          <w:rFonts w:ascii="Arial" w:hAnsi="Arial"/>
          <w:sz w:val="22"/>
          <w:szCs w:val="22"/>
        </w:rPr>
        <w:t>Further</w:t>
      </w:r>
      <w:r w:rsidRPr="00787ADB">
        <w:rPr>
          <w:rFonts w:ascii="Arial" w:hAnsi="Arial"/>
          <w:sz w:val="22"/>
          <w:szCs w:val="22"/>
        </w:rPr>
        <w:t xml:space="preserve">, the ESC agreed with the PSCR that rituximab plus </w:t>
      </w:r>
      <w:proofErr w:type="spellStart"/>
      <w:r w:rsidRPr="00787ADB">
        <w:rPr>
          <w:rFonts w:ascii="Arial" w:hAnsi="Arial"/>
          <w:sz w:val="22"/>
          <w:szCs w:val="22"/>
        </w:rPr>
        <w:t>chlorambucil</w:t>
      </w:r>
      <w:proofErr w:type="spellEnd"/>
      <w:r w:rsidRPr="00787ADB">
        <w:rPr>
          <w:rFonts w:ascii="Arial" w:hAnsi="Arial"/>
          <w:sz w:val="22"/>
          <w:szCs w:val="22"/>
        </w:rPr>
        <w:t xml:space="preserve"> </w:t>
      </w:r>
      <w:r w:rsidR="00F80688">
        <w:rPr>
          <w:rFonts w:ascii="Arial" w:hAnsi="Arial"/>
          <w:sz w:val="22"/>
          <w:szCs w:val="22"/>
        </w:rPr>
        <w:t>was also</w:t>
      </w:r>
      <w:r w:rsidRPr="00787ADB">
        <w:rPr>
          <w:rFonts w:ascii="Arial" w:hAnsi="Arial"/>
          <w:sz w:val="22"/>
          <w:szCs w:val="22"/>
        </w:rPr>
        <w:t xml:space="preserve"> a relevant comparator.</w:t>
      </w:r>
      <w:r w:rsidRPr="00AA50B5">
        <w:rPr>
          <w:rFonts w:ascii="Arial" w:hAnsi="Arial"/>
          <w:sz w:val="22"/>
          <w:szCs w:val="22"/>
        </w:rPr>
        <w:t xml:space="preserve"> </w:t>
      </w:r>
    </w:p>
    <w:p w:rsidR="00A14611" w:rsidRDefault="00A14611" w:rsidP="00A14611">
      <w:pPr>
        <w:pStyle w:val="ListParagraph"/>
        <w:jc w:val="both"/>
        <w:rPr>
          <w:rFonts w:ascii="Arial" w:hAnsi="Arial"/>
          <w:sz w:val="22"/>
          <w:szCs w:val="22"/>
        </w:rPr>
      </w:pPr>
    </w:p>
    <w:p w:rsidR="00A14611" w:rsidRPr="0022519A" w:rsidRDefault="0022519A" w:rsidP="00A14611">
      <w:pPr>
        <w:pStyle w:val="ListParagraph"/>
        <w:numPr>
          <w:ilvl w:val="1"/>
          <w:numId w:val="25"/>
        </w:numPr>
        <w:jc w:val="both"/>
        <w:rPr>
          <w:rFonts w:ascii="Arial" w:hAnsi="Arial"/>
          <w:color w:val="00B050"/>
          <w:sz w:val="22"/>
          <w:szCs w:val="22"/>
        </w:rPr>
      </w:pPr>
      <w:r>
        <w:rPr>
          <w:rFonts w:ascii="Arial" w:hAnsi="Arial"/>
          <w:sz w:val="22"/>
          <w:szCs w:val="22"/>
        </w:rPr>
        <w:t>The PSCR</w:t>
      </w:r>
      <w:r w:rsidR="00A14611">
        <w:rPr>
          <w:rFonts w:ascii="Arial" w:hAnsi="Arial"/>
          <w:sz w:val="22"/>
          <w:szCs w:val="22"/>
        </w:rPr>
        <w:t xml:space="preserve"> </w:t>
      </w:r>
      <w:r w:rsidR="00787ADB" w:rsidRPr="00AA50B5">
        <w:rPr>
          <w:rFonts w:ascii="Arial" w:hAnsi="Arial"/>
          <w:sz w:val="22"/>
          <w:szCs w:val="22"/>
        </w:rPr>
        <w:t xml:space="preserve">provided </w:t>
      </w:r>
      <w:r>
        <w:rPr>
          <w:rFonts w:ascii="Arial" w:hAnsi="Arial"/>
          <w:sz w:val="22"/>
          <w:szCs w:val="22"/>
        </w:rPr>
        <w:t xml:space="preserve">market research </w:t>
      </w:r>
      <w:r w:rsidR="00787ADB" w:rsidRPr="00AA50B5">
        <w:rPr>
          <w:rFonts w:ascii="Arial" w:hAnsi="Arial"/>
          <w:sz w:val="22"/>
          <w:szCs w:val="22"/>
        </w:rPr>
        <w:t xml:space="preserve">data </w:t>
      </w:r>
      <w:r w:rsidR="003C24E7">
        <w:rPr>
          <w:rFonts w:ascii="Arial" w:hAnsi="Arial"/>
          <w:sz w:val="22"/>
          <w:szCs w:val="22"/>
        </w:rPr>
        <w:t>showing</w:t>
      </w:r>
      <w:r w:rsidR="00787ADB" w:rsidRPr="00AA50B5">
        <w:rPr>
          <w:rFonts w:ascii="Arial" w:hAnsi="Arial"/>
          <w:sz w:val="22"/>
          <w:szCs w:val="22"/>
        </w:rPr>
        <w:t xml:space="preserve"> </w:t>
      </w:r>
      <w:r w:rsidR="00A14611" w:rsidRPr="00AA50B5">
        <w:rPr>
          <w:rFonts w:ascii="Arial" w:hAnsi="Arial"/>
          <w:sz w:val="22"/>
          <w:szCs w:val="22"/>
        </w:rPr>
        <w:t xml:space="preserve">that an increasing proportion of Australian patients with CLL and </w:t>
      </w:r>
      <w:proofErr w:type="gramStart"/>
      <w:r w:rsidR="00A14611">
        <w:rPr>
          <w:rFonts w:ascii="Arial" w:hAnsi="Arial"/>
          <w:sz w:val="22"/>
          <w:szCs w:val="22"/>
        </w:rPr>
        <w:t xml:space="preserve">at least one </w:t>
      </w:r>
      <w:r w:rsidR="00A14611" w:rsidRPr="00AA50B5">
        <w:rPr>
          <w:rFonts w:ascii="Arial" w:hAnsi="Arial"/>
          <w:sz w:val="22"/>
          <w:szCs w:val="22"/>
        </w:rPr>
        <w:t>comorbidi</w:t>
      </w:r>
      <w:r>
        <w:rPr>
          <w:rFonts w:ascii="Arial" w:hAnsi="Arial"/>
          <w:sz w:val="22"/>
          <w:szCs w:val="22"/>
        </w:rPr>
        <w:t>t</w:t>
      </w:r>
      <w:r w:rsidR="00A14611">
        <w:rPr>
          <w:rFonts w:ascii="Arial" w:hAnsi="Arial"/>
          <w:sz w:val="22"/>
          <w:szCs w:val="22"/>
        </w:rPr>
        <w:t>y</w:t>
      </w:r>
      <w:proofErr w:type="gramEnd"/>
      <w:r w:rsidR="00A14611" w:rsidRPr="00AA50B5">
        <w:rPr>
          <w:rFonts w:ascii="Arial" w:hAnsi="Arial"/>
          <w:sz w:val="22"/>
          <w:szCs w:val="22"/>
        </w:rPr>
        <w:t xml:space="preserve"> are being treated with rituximab-containing regimens </w:t>
      </w:r>
      <w:r w:rsidR="00A14611">
        <w:rPr>
          <w:rFonts w:ascii="Arial" w:hAnsi="Arial"/>
          <w:sz w:val="22"/>
          <w:szCs w:val="22"/>
        </w:rPr>
        <w:t xml:space="preserve">other than FCR. In 2013-14, </w:t>
      </w:r>
      <w:r w:rsidR="00197B45">
        <w:rPr>
          <w:rFonts w:ascii="Arial" w:hAnsi="Arial"/>
          <w:noProof/>
          <w:color w:val="000000"/>
          <w:sz w:val="22"/>
          <w:szCs w:val="22"/>
          <w:highlight w:val="black"/>
        </w:rPr>
        <w:t>''''''</w:t>
      </w:r>
      <w:r w:rsidR="00A14611" w:rsidRPr="00DA0EAB">
        <w:rPr>
          <w:rFonts w:ascii="Arial" w:hAnsi="Arial"/>
          <w:sz w:val="22"/>
          <w:szCs w:val="22"/>
        </w:rPr>
        <w:t>%</w:t>
      </w:r>
      <w:r w:rsidR="00A14611">
        <w:rPr>
          <w:rFonts w:ascii="Arial" w:hAnsi="Arial"/>
          <w:sz w:val="22"/>
          <w:szCs w:val="22"/>
        </w:rPr>
        <w:t xml:space="preserve"> of CLL treatment regimens in patients with comorbidities </w:t>
      </w:r>
      <w:r w:rsidR="003C24E7">
        <w:rPr>
          <w:rFonts w:ascii="Arial" w:hAnsi="Arial"/>
          <w:sz w:val="22"/>
          <w:szCs w:val="22"/>
        </w:rPr>
        <w:t xml:space="preserve">were </w:t>
      </w:r>
      <w:r w:rsidR="0049462F">
        <w:rPr>
          <w:rFonts w:ascii="Arial" w:hAnsi="Arial"/>
          <w:sz w:val="22"/>
          <w:szCs w:val="22"/>
        </w:rPr>
        <w:t>categorised as</w:t>
      </w:r>
      <w:r w:rsidR="003C24E7">
        <w:rPr>
          <w:rFonts w:ascii="Arial" w:hAnsi="Arial"/>
          <w:sz w:val="22"/>
          <w:szCs w:val="22"/>
        </w:rPr>
        <w:t xml:space="preserve"> ‘</w:t>
      </w:r>
      <w:r w:rsidR="00A14611">
        <w:rPr>
          <w:rFonts w:ascii="Arial" w:hAnsi="Arial"/>
          <w:sz w:val="22"/>
          <w:szCs w:val="22"/>
        </w:rPr>
        <w:t>rituximab</w:t>
      </w:r>
      <w:r w:rsidR="00A14611" w:rsidRPr="00146436">
        <w:rPr>
          <w:sz w:val="22"/>
          <w:szCs w:val="22"/>
        </w:rPr>
        <w:t xml:space="preserve"> ±</w:t>
      </w:r>
      <w:r w:rsidR="003C24E7">
        <w:rPr>
          <w:rFonts w:ascii="Arial" w:hAnsi="Arial"/>
          <w:sz w:val="22"/>
          <w:szCs w:val="22"/>
        </w:rPr>
        <w:t xml:space="preserve"> </w:t>
      </w:r>
      <w:proofErr w:type="spellStart"/>
      <w:r w:rsidR="003C24E7">
        <w:rPr>
          <w:rFonts w:ascii="Arial" w:hAnsi="Arial"/>
          <w:sz w:val="22"/>
          <w:szCs w:val="22"/>
        </w:rPr>
        <w:t>chlorambucil</w:t>
      </w:r>
      <w:proofErr w:type="spellEnd"/>
      <w:r w:rsidR="003C24E7">
        <w:rPr>
          <w:rFonts w:ascii="Arial" w:hAnsi="Arial"/>
          <w:sz w:val="22"/>
          <w:szCs w:val="22"/>
        </w:rPr>
        <w:t xml:space="preserve"> and other rituximab</w:t>
      </w:r>
      <w:r w:rsidR="003C24E7">
        <w:rPr>
          <w:rFonts w:ascii="Arial" w:hAnsi="Arial"/>
          <w:sz w:val="22"/>
          <w:szCs w:val="22"/>
        </w:rPr>
        <w:noBreakHyphen/>
      </w:r>
      <w:r w:rsidR="00A14611">
        <w:rPr>
          <w:rFonts w:ascii="Arial" w:hAnsi="Arial"/>
          <w:sz w:val="22"/>
          <w:szCs w:val="22"/>
        </w:rPr>
        <w:t>containing regimens</w:t>
      </w:r>
      <w:r w:rsidR="003C24E7">
        <w:rPr>
          <w:rFonts w:ascii="Arial" w:hAnsi="Arial"/>
          <w:sz w:val="22"/>
          <w:szCs w:val="22"/>
        </w:rPr>
        <w:t>’ (i.e.</w:t>
      </w:r>
      <w:r w:rsidR="00A14611">
        <w:rPr>
          <w:rFonts w:ascii="Arial" w:hAnsi="Arial"/>
          <w:sz w:val="22"/>
          <w:szCs w:val="22"/>
        </w:rPr>
        <w:t xml:space="preserve"> other than FCR </w:t>
      </w:r>
      <w:proofErr w:type="spellStart"/>
      <w:r w:rsidR="00A14611">
        <w:rPr>
          <w:rFonts w:ascii="Arial" w:hAnsi="Arial"/>
          <w:sz w:val="22"/>
          <w:szCs w:val="22"/>
        </w:rPr>
        <w:t>lite</w:t>
      </w:r>
      <w:proofErr w:type="spellEnd"/>
      <w:r w:rsidR="003C24E7">
        <w:rPr>
          <w:rFonts w:ascii="Arial" w:hAnsi="Arial"/>
          <w:sz w:val="22"/>
          <w:szCs w:val="22"/>
        </w:rPr>
        <w:t>)</w:t>
      </w:r>
      <w:r w:rsidR="00A14611">
        <w:rPr>
          <w:rFonts w:ascii="Arial" w:hAnsi="Arial"/>
          <w:sz w:val="22"/>
          <w:szCs w:val="22"/>
        </w:rPr>
        <w:t xml:space="preserve"> compared to </w:t>
      </w:r>
      <w:r w:rsidR="00197B45">
        <w:rPr>
          <w:rFonts w:ascii="Arial" w:hAnsi="Arial"/>
          <w:noProof/>
          <w:color w:val="000000"/>
          <w:sz w:val="22"/>
          <w:szCs w:val="22"/>
          <w:highlight w:val="black"/>
        </w:rPr>
        <w:t>'''''''</w:t>
      </w:r>
      <w:r w:rsidR="00A14611" w:rsidRPr="00DA0EAB">
        <w:rPr>
          <w:rFonts w:ascii="Arial" w:hAnsi="Arial"/>
          <w:sz w:val="22"/>
          <w:szCs w:val="22"/>
        </w:rPr>
        <w:t>%</w:t>
      </w:r>
      <w:r w:rsidR="00A14611">
        <w:rPr>
          <w:rFonts w:ascii="Arial" w:hAnsi="Arial"/>
          <w:sz w:val="22"/>
          <w:szCs w:val="22"/>
        </w:rPr>
        <w:t xml:space="preserve"> in 2011-12 (IPSOS Australian market research data). The data does not specify whether such use is being supplied under the PBS. </w:t>
      </w:r>
    </w:p>
    <w:p w:rsidR="00D62DE0" w:rsidRPr="0022519A" w:rsidRDefault="00D62DE0" w:rsidP="00D62DE0">
      <w:pPr>
        <w:pStyle w:val="ListParagraph"/>
        <w:rPr>
          <w:rFonts w:ascii="Arial" w:hAnsi="Arial"/>
          <w:color w:val="00B050"/>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DF26A7" w:rsidRPr="008D447E" w:rsidRDefault="00C35996" w:rsidP="008D447E">
      <w:pPr>
        <w:pStyle w:val="ListParagraph"/>
        <w:jc w:val="both"/>
        <w:rPr>
          <w:rFonts w:ascii="Arial" w:hAnsi="Arial"/>
          <w:sz w:val="22"/>
          <w:szCs w:val="22"/>
        </w:rPr>
      </w:pPr>
      <w:r w:rsidRPr="00882085">
        <w:rPr>
          <w:rFonts w:ascii="Arial" w:hAnsi="Arial"/>
          <w:sz w:val="22"/>
          <w:szCs w:val="22"/>
        </w:rPr>
        <w:tab/>
      </w:r>
    </w:p>
    <w:p w:rsidR="000B558D" w:rsidRPr="00882085" w:rsidRDefault="00F80688" w:rsidP="00300C63">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Sponsor hearing</w:t>
      </w:r>
    </w:p>
    <w:p w:rsidR="00BB7EC3" w:rsidRPr="00882085" w:rsidRDefault="00BB7EC3" w:rsidP="00BB7EC3">
      <w:pPr>
        <w:ind w:left="709"/>
        <w:jc w:val="both"/>
        <w:rPr>
          <w:rFonts w:ascii="Arial" w:hAnsi="Arial"/>
          <w:b/>
          <w:sz w:val="22"/>
          <w:szCs w:val="22"/>
        </w:rPr>
      </w:pPr>
    </w:p>
    <w:p w:rsidR="00B15124" w:rsidRPr="00304684" w:rsidRDefault="00B15124" w:rsidP="00B15124">
      <w:pPr>
        <w:pStyle w:val="ListParagraph"/>
        <w:numPr>
          <w:ilvl w:val="1"/>
          <w:numId w:val="25"/>
        </w:numPr>
        <w:rPr>
          <w:rFonts w:ascii="Arial" w:hAnsi="Arial"/>
          <w:sz w:val="22"/>
          <w:szCs w:val="22"/>
        </w:rPr>
      </w:pPr>
      <w:r w:rsidRPr="00304684">
        <w:rPr>
          <w:rFonts w:ascii="Arial" w:hAnsi="Arial"/>
          <w:sz w:val="22"/>
          <w:szCs w:val="22"/>
        </w:rPr>
        <w:t>The sponsor did not request a hearing for this item.</w:t>
      </w:r>
    </w:p>
    <w:p w:rsidR="00BB7EC3" w:rsidRPr="00D62DE0" w:rsidRDefault="00BB7EC3" w:rsidP="00B15124">
      <w:pPr>
        <w:pStyle w:val="ListParagraph"/>
        <w:ind w:left="709"/>
        <w:jc w:val="both"/>
        <w:rPr>
          <w:rFonts w:ascii="Arial" w:hAnsi="Arial"/>
          <w:sz w:val="22"/>
          <w:szCs w:val="22"/>
        </w:rPr>
      </w:pPr>
    </w:p>
    <w:p w:rsidR="00BB7EC3" w:rsidRPr="00BB7EC3" w:rsidRDefault="00BB7EC3" w:rsidP="00523710">
      <w:pPr>
        <w:jc w:val="both"/>
        <w:rPr>
          <w:rFonts w:ascii="Arial" w:hAnsi="Arial"/>
          <w:b/>
          <w:i/>
          <w:sz w:val="22"/>
          <w:szCs w:val="22"/>
        </w:rPr>
      </w:pPr>
      <w:r w:rsidRPr="00BB7EC3">
        <w:rPr>
          <w:rFonts w:ascii="Arial" w:hAnsi="Arial"/>
          <w:b/>
          <w:i/>
          <w:sz w:val="22"/>
          <w:szCs w:val="22"/>
        </w:rPr>
        <w:t>Consumer comments</w:t>
      </w:r>
    </w:p>
    <w:p w:rsidR="00BB7EC3" w:rsidRPr="00523710" w:rsidRDefault="00BB7EC3" w:rsidP="00523710">
      <w:pPr>
        <w:pStyle w:val="ListParagraph"/>
        <w:ind w:left="709"/>
        <w:jc w:val="both"/>
        <w:rPr>
          <w:rFonts w:ascii="Arial" w:hAnsi="Arial"/>
          <w:sz w:val="22"/>
          <w:szCs w:val="22"/>
        </w:rPr>
      </w:pPr>
    </w:p>
    <w:p w:rsidR="00D237CF" w:rsidRPr="00523710" w:rsidRDefault="00BB7EC3" w:rsidP="00523710">
      <w:pPr>
        <w:pStyle w:val="ListParagraph"/>
        <w:numPr>
          <w:ilvl w:val="1"/>
          <w:numId w:val="25"/>
        </w:numPr>
        <w:rPr>
          <w:rFonts w:ascii="Arial" w:hAnsi="Arial"/>
          <w:sz w:val="22"/>
          <w:szCs w:val="22"/>
        </w:rPr>
      </w:pPr>
      <w:r w:rsidRPr="00523710">
        <w:rPr>
          <w:rFonts w:ascii="Arial" w:hAnsi="Arial"/>
          <w:sz w:val="22"/>
          <w:szCs w:val="22"/>
        </w:rPr>
        <w:t>The PBAC noted and welcomed the input from</w:t>
      </w:r>
      <w:r w:rsidR="006D40E1" w:rsidRPr="00523710">
        <w:rPr>
          <w:rFonts w:ascii="Arial" w:hAnsi="Arial"/>
          <w:sz w:val="22"/>
          <w:szCs w:val="22"/>
        </w:rPr>
        <w:t xml:space="preserve"> five</w:t>
      </w:r>
      <w:r w:rsidRPr="00523710">
        <w:rPr>
          <w:rFonts w:ascii="Arial" w:hAnsi="Arial"/>
          <w:sz w:val="22"/>
          <w:szCs w:val="22"/>
        </w:rPr>
        <w:t xml:space="preserve"> individuals, </w:t>
      </w:r>
      <w:r w:rsidR="006D40E1" w:rsidRPr="00523710">
        <w:rPr>
          <w:rFonts w:ascii="Arial" w:hAnsi="Arial"/>
          <w:sz w:val="22"/>
          <w:szCs w:val="22"/>
        </w:rPr>
        <w:t xml:space="preserve">two </w:t>
      </w:r>
      <w:r w:rsidRPr="00523710">
        <w:rPr>
          <w:rFonts w:ascii="Arial" w:hAnsi="Arial"/>
          <w:sz w:val="22"/>
          <w:szCs w:val="22"/>
        </w:rPr>
        <w:t xml:space="preserve">healthcare professionals </w:t>
      </w:r>
      <w:r w:rsidR="00C71150" w:rsidRPr="00523710">
        <w:rPr>
          <w:rFonts w:ascii="Arial" w:hAnsi="Arial"/>
          <w:sz w:val="22"/>
          <w:szCs w:val="22"/>
        </w:rPr>
        <w:t xml:space="preserve">and </w:t>
      </w:r>
      <w:r w:rsidR="004466E7" w:rsidRPr="00523710">
        <w:rPr>
          <w:rFonts w:ascii="Arial" w:hAnsi="Arial"/>
          <w:sz w:val="22"/>
          <w:szCs w:val="22"/>
        </w:rPr>
        <w:t>four</w:t>
      </w:r>
      <w:r w:rsidR="006D40E1" w:rsidRPr="00523710">
        <w:rPr>
          <w:rFonts w:ascii="Arial" w:hAnsi="Arial"/>
          <w:sz w:val="22"/>
          <w:szCs w:val="22"/>
        </w:rPr>
        <w:t xml:space="preserve"> </w:t>
      </w:r>
      <w:r w:rsidR="00C71150" w:rsidRPr="00523710">
        <w:rPr>
          <w:rFonts w:ascii="Arial" w:hAnsi="Arial"/>
          <w:sz w:val="22"/>
          <w:szCs w:val="22"/>
        </w:rPr>
        <w:t>organisations</w:t>
      </w:r>
      <w:r w:rsidR="006D40E1" w:rsidRPr="00523710">
        <w:rPr>
          <w:rFonts w:ascii="Arial" w:hAnsi="Arial"/>
          <w:sz w:val="22"/>
          <w:szCs w:val="22"/>
        </w:rPr>
        <w:t>;</w:t>
      </w:r>
      <w:r w:rsidRPr="00523710">
        <w:rPr>
          <w:rFonts w:ascii="Arial" w:hAnsi="Arial"/>
          <w:sz w:val="22"/>
          <w:szCs w:val="22"/>
        </w:rPr>
        <w:t xml:space="preserve"> </w:t>
      </w:r>
      <w:r w:rsidR="006D40E1" w:rsidRPr="00523710">
        <w:rPr>
          <w:rFonts w:ascii="Arial" w:hAnsi="Arial"/>
          <w:sz w:val="22"/>
          <w:szCs w:val="22"/>
        </w:rPr>
        <w:t>Lymphoma Australia, the Medical Oncology Group of Australia and Private Cancer Physicians of Australia (joint submission), and the Haematology Society of Australia and New Zealand (two letters)</w:t>
      </w:r>
      <w:r w:rsidRPr="00523710">
        <w:rPr>
          <w:rFonts w:ascii="Arial" w:hAnsi="Arial"/>
          <w:sz w:val="22"/>
          <w:szCs w:val="22"/>
        </w:rPr>
        <w:t xml:space="preserve">. The comments </w:t>
      </w:r>
      <w:r w:rsidR="007C72BE" w:rsidRPr="00523710">
        <w:rPr>
          <w:rFonts w:ascii="Arial" w:hAnsi="Arial"/>
          <w:sz w:val="22"/>
          <w:szCs w:val="22"/>
        </w:rPr>
        <w:t xml:space="preserve">highlighted that </w:t>
      </w:r>
      <w:proofErr w:type="spellStart"/>
      <w:r w:rsidR="00C71150" w:rsidRPr="00523710">
        <w:rPr>
          <w:rFonts w:ascii="Arial" w:hAnsi="Arial"/>
          <w:sz w:val="22"/>
          <w:szCs w:val="22"/>
        </w:rPr>
        <w:t>obinutuzumab</w:t>
      </w:r>
      <w:proofErr w:type="spellEnd"/>
      <w:r w:rsidR="007C72BE" w:rsidRPr="00523710">
        <w:rPr>
          <w:rFonts w:ascii="Arial" w:hAnsi="Arial"/>
          <w:sz w:val="22"/>
          <w:szCs w:val="22"/>
        </w:rPr>
        <w:t xml:space="preserve"> provides a treatment option for older ‘less fit’ patients with CLL and prolongs remission during which time patients can live ‘a normal life’. </w:t>
      </w:r>
    </w:p>
    <w:p w:rsidR="007C72BE" w:rsidRPr="007C72BE" w:rsidRDefault="007C72BE" w:rsidP="007C72BE">
      <w:pPr>
        <w:pStyle w:val="ListParagraph"/>
        <w:ind w:left="709"/>
        <w:jc w:val="both"/>
        <w:rPr>
          <w:rFonts w:ascii="Arial" w:hAnsi="Arial"/>
          <w:color w:val="FF0000"/>
          <w:sz w:val="22"/>
          <w:szCs w:val="22"/>
        </w:rPr>
      </w:pPr>
    </w:p>
    <w:p w:rsidR="00BB7EC3" w:rsidRPr="00C71150" w:rsidRDefault="00BB7EC3" w:rsidP="00C71150">
      <w:pPr>
        <w:pStyle w:val="ListParagraph"/>
        <w:numPr>
          <w:ilvl w:val="1"/>
          <w:numId w:val="25"/>
        </w:numPr>
        <w:ind w:left="709" w:hanging="709"/>
        <w:jc w:val="both"/>
        <w:rPr>
          <w:rFonts w:ascii="Arial" w:hAnsi="Arial"/>
          <w:color w:val="FF0000"/>
          <w:sz w:val="22"/>
          <w:szCs w:val="22"/>
        </w:rPr>
      </w:pPr>
      <w:r w:rsidRPr="00C71150">
        <w:rPr>
          <w:rFonts w:ascii="Arial" w:hAnsi="Arial"/>
          <w:sz w:val="22"/>
          <w:szCs w:val="22"/>
        </w:rPr>
        <w:t>The PBAC noted that this advice was supportive of the evidence provided in the submission.</w:t>
      </w:r>
    </w:p>
    <w:p w:rsidR="00D237CF" w:rsidRDefault="00D237CF" w:rsidP="00BB7EC3">
      <w:pPr>
        <w:pStyle w:val="ListParagraph"/>
        <w:ind w:left="709"/>
        <w:jc w:val="both"/>
        <w:rPr>
          <w:rFonts w:ascii="Arial" w:hAnsi="Arial"/>
          <w:i/>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2B1AE6" w:rsidRPr="00882085" w:rsidRDefault="002B1AE6" w:rsidP="00882085">
      <w:pPr>
        <w:jc w:val="both"/>
        <w:rPr>
          <w:rFonts w:ascii="Arial" w:hAnsi="Arial"/>
          <w:sz w:val="22"/>
          <w:szCs w:val="22"/>
        </w:rPr>
      </w:pPr>
    </w:p>
    <w:p w:rsidR="004466E7" w:rsidRDefault="006025D4" w:rsidP="006025D4">
      <w:pPr>
        <w:pStyle w:val="ListParagraph"/>
        <w:numPr>
          <w:ilvl w:val="1"/>
          <w:numId w:val="25"/>
        </w:numPr>
        <w:snapToGrid w:val="0"/>
        <w:jc w:val="both"/>
        <w:rPr>
          <w:rFonts w:ascii="Arial" w:hAnsi="Arial" w:cs="Arial"/>
          <w:snapToGrid w:val="0"/>
          <w:sz w:val="22"/>
          <w:szCs w:val="20"/>
          <w:lang w:eastAsia="en-US"/>
        </w:rPr>
      </w:pPr>
      <w:r w:rsidRPr="009922C1">
        <w:rPr>
          <w:rFonts w:ascii="Arial" w:hAnsi="Arial" w:cs="Arial"/>
          <w:snapToGrid w:val="0"/>
          <w:sz w:val="22"/>
          <w:szCs w:val="20"/>
          <w:lang w:eastAsia="en-US"/>
        </w:rPr>
        <w:t xml:space="preserve">The submission presented the results of one trial, </w:t>
      </w:r>
      <w:r w:rsidR="009922C1" w:rsidRPr="009922C1">
        <w:rPr>
          <w:rFonts w:ascii="Arial" w:hAnsi="Arial" w:cs="Arial"/>
          <w:snapToGrid w:val="0"/>
          <w:sz w:val="22"/>
          <w:szCs w:val="20"/>
          <w:lang w:eastAsia="en-US"/>
        </w:rPr>
        <w:t>CLL11</w:t>
      </w:r>
      <w:r w:rsidRPr="009922C1">
        <w:rPr>
          <w:rFonts w:ascii="Arial" w:hAnsi="Arial" w:cs="Arial"/>
          <w:snapToGrid w:val="0"/>
          <w:sz w:val="22"/>
          <w:szCs w:val="20"/>
          <w:lang w:eastAsia="en-US"/>
        </w:rPr>
        <w:t>. This was a</w:t>
      </w:r>
      <w:r w:rsidR="009922C1">
        <w:rPr>
          <w:rFonts w:ascii="Arial" w:hAnsi="Arial" w:cs="Arial"/>
          <w:snapToGrid w:val="0"/>
          <w:sz w:val="22"/>
          <w:szCs w:val="20"/>
          <w:lang w:eastAsia="en-US"/>
        </w:rPr>
        <w:t>n open-label</w:t>
      </w:r>
      <w:r w:rsidRPr="009922C1">
        <w:rPr>
          <w:rFonts w:ascii="Arial" w:hAnsi="Arial" w:cs="Arial"/>
          <w:snapToGrid w:val="0"/>
          <w:sz w:val="22"/>
          <w:szCs w:val="20"/>
          <w:lang w:eastAsia="en-US"/>
        </w:rPr>
        <w:t xml:space="preserve"> randomised trial that compared</w:t>
      </w:r>
      <w:r w:rsidR="004466E7">
        <w:rPr>
          <w:rFonts w:ascii="Arial" w:hAnsi="Arial" w:cs="Arial"/>
          <w:snapToGrid w:val="0"/>
          <w:sz w:val="22"/>
          <w:szCs w:val="20"/>
          <w:lang w:eastAsia="en-US"/>
        </w:rPr>
        <w:t>:</w:t>
      </w:r>
    </w:p>
    <w:p w:rsidR="004466E7" w:rsidRDefault="004466E7" w:rsidP="004466E7">
      <w:pPr>
        <w:pStyle w:val="ListParagraph"/>
        <w:numPr>
          <w:ilvl w:val="0"/>
          <w:numId w:val="48"/>
        </w:numPr>
        <w:ind w:left="1276"/>
        <w:jc w:val="both"/>
        <w:rPr>
          <w:rFonts w:ascii="Arial" w:hAnsi="Arial" w:cs="Arial"/>
          <w:snapToGrid w:val="0"/>
          <w:sz w:val="22"/>
          <w:szCs w:val="20"/>
          <w:lang w:eastAsia="en-US"/>
        </w:rPr>
      </w:pPr>
      <w:r>
        <w:rPr>
          <w:rFonts w:ascii="Arial" w:hAnsi="Arial" w:cs="Arial"/>
          <w:snapToGrid w:val="0"/>
          <w:sz w:val="22"/>
          <w:szCs w:val="20"/>
          <w:lang w:eastAsia="en-US"/>
        </w:rPr>
        <w:t xml:space="preserve">Stage 1a: </w:t>
      </w:r>
      <w:proofErr w:type="spellStart"/>
      <w:r w:rsidR="009922C1" w:rsidRPr="009922C1">
        <w:rPr>
          <w:rFonts w:ascii="Arial" w:hAnsi="Arial" w:cs="Arial"/>
          <w:snapToGrid w:val="0"/>
          <w:sz w:val="22"/>
          <w:szCs w:val="20"/>
          <w:lang w:eastAsia="en-US"/>
        </w:rPr>
        <w:t>obinutuzumab</w:t>
      </w:r>
      <w:proofErr w:type="spellEnd"/>
      <w:r w:rsidR="009922C1" w:rsidRPr="009922C1">
        <w:rPr>
          <w:rFonts w:ascii="Arial" w:hAnsi="Arial" w:cs="Arial"/>
          <w:snapToGrid w:val="0"/>
          <w:sz w:val="22"/>
          <w:szCs w:val="20"/>
          <w:lang w:eastAsia="en-US"/>
        </w:rPr>
        <w:t xml:space="preserve"> plus </w:t>
      </w:r>
      <w:proofErr w:type="spellStart"/>
      <w:r w:rsidR="009922C1" w:rsidRPr="009922C1">
        <w:rPr>
          <w:rFonts w:ascii="Arial" w:hAnsi="Arial" w:cs="Arial"/>
          <w:snapToGrid w:val="0"/>
          <w:sz w:val="22"/>
          <w:szCs w:val="20"/>
          <w:lang w:eastAsia="en-US"/>
        </w:rPr>
        <w:t>chlorambucil</w:t>
      </w:r>
      <w:proofErr w:type="spellEnd"/>
      <w:r w:rsidR="009922C1" w:rsidRPr="009922C1">
        <w:rPr>
          <w:rFonts w:ascii="Arial" w:hAnsi="Arial" w:cs="Arial"/>
          <w:snapToGrid w:val="0"/>
          <w:sz w:val="22"/>
          <w:szCs w:val="20"/>
          <w:lang w:eastAsia="en-US"/>
        </w:rPr>
        <w:t xml:space="preserve"> to </w:t>
      </w:r>
      <w:proofErr w:type="spellStart"/>
      <w:r w:rsidR="009922C1" w:rsidRPr="009922C1">
        <w:rPr>
          <w:rFonts w:ascii="Arial" w:hAnsi="Arial" w:cs="Arial"/>
          <w:snapToGrid w:val="0"/>
          <w:sz w:val="22"/>
          <w:szCs w:val="20"/>
          <w:lang w:eastAsia="en-US"/>
        </w:rPr>
        <w:t>chlorambucil</w:t>
      </w:r>
      <w:proofErr w:type="spellEnd"/>
      <w:r w:rsidR="009922C1" w:rsidRPr="009922C1">
        <w:rPr>
          <w:rFonts w:ascii="Arial" w:hAnsi="Arial" w:cs="Arial"/>
          <w:snapToGrid w:val="0"/>
          <w:sz w:val="22"/>
          <w:szCs w:val="20"/>
          <w:lang w:eastAsia="en-US"/>
        </w:rPr>
        <w:t xml:space="preserve"> monotherapy</w:t>
      </w:r>
      <w:r>
        <w:rPr>
          <w:rFonts w:ascii="Arial" w:hAnsi="Arial" w:cs="Arial"/>
          <w:snapToGrid w:val="0"/>
          <w:sz w:val="22"/>
          <w:szCs w:val="20"/>
          <w:lang w:eastAsia="en-US"/>
        </w:rPr>
        <w:t>.</w:t>
      </w:r>
      <w:r w:rsidR="009922C1" w:rsidRPr="009922C1">
        <w:rPr>
          <w:rFonts w:ascii="Arial" w:hAnsi="Arial" w:cs="Arial"/>
          <w:snapToGrid w:val="0"/>
          <w:sz w:val="22"/>
          <w:szCs w:val="20"/>
          <w:lang w:eastAsia="en-US"/>
        </w:rPr>
        <w:t xml:space="preserve"> </w:t>
      </w:r>
    </w:p>
    <w:p w:rsidR="004466E7" w:rsidRPr="009922C1" w:rsidRDefault="004466E7" w:rsidP="004466E7">
      <w:pPr>
        <w:pStyle w:val="ListParagraph"/>
        <w:numPr>
          <w:ilvl w:val="0"/>
          <w:numId w:val="48"/>
        </w:numPr>
        <w:ind w:left="1276"/>
        <w:jc w:val="both"/>
        <w:rPr>
          <w:rFonts w:ascii="Arial" w:hAnsi="Arial" w:cs="Arial"/>
          <w:snapToGrid w:val="0"/>
          <w:sz w:val="22"/>
          <w:szCs w:val="20"/>
          <w:lang w:eastAsia="en-US"/>
        </w:rPr>
      </w:pPr>
      <w:r>
        <w:rPr>
          <w:rFonts w:ascii="Arial" w:hAnsi="Arial" w:cs="Arial"/>
          <w:snapToGrid w:val="0"/>
          <w:sz w:val="22"/>
          <w:szCs w:val="20"/>
          <w:lang w:eastAsia="en-US"/>
        </w:rPr>
        <w:t xml:space="preserve">Stage 1b: rituximab plus </w:t>
      </w:r>
      <w:proofErr w:type="spellStart"/>
      <w:r>
        <w:rPr>
          <w:rFonts w:ascii="Arial" w:hAnsi="Arial" w:cs="Arial"/>
          <w:snapToGrid w:val="0"/>
          <w:sz w:val="22"/>
          <w:szCs w:val="20"/>
          <w:lang w:eastAsia="en-US"/>
        </w:rPr>
        <w:t>chlorambucil</w:t>
      </w:r>
      <w:proofErr w:type="spellEnd"/>
      <w:r>
        <w:rPr>
          <w:rFonts w:ascii="Arial" w:hAnsi="Arial" w:cs="Arial"/>
          <w:snapToGrid w:val="0"/>
          <w:sz w:val="22"/>
          <w:szCs w:val="20"/>
          <w:lang w:eastAsia="en-US"/>
        </w:rPr>
        <w:t xml:space="preserve"> to </w:t>
      </w:r>
      <w:proofErr w:type="spellStart"/>
      <w:r>
        <w:rPr>
          <w:rFonts w:ascii="Arial" w:hAnsi="Arial" w:cs="Arial"/>
          <w:snapToGrid w:val="0"/>
          <w:sz w:val="22"/>
          <w:szCs w:val="20"/>
          <w:lang w:eastAsia="en-US"/>
        </w:rPr>
        <w:t>chlorambucil</w:t>
      </w:r>
      <w:proofErr w:type="spellEnd"/>
      <w:r>
        <w:rPr>
          <w:rFonts w:ascii="Arial" w:hAnsi="Arial" w:cs="Arial"/>
          <w:snapToGrid w:val="0"/>
          <w:sz w:val="22"/>
          <w:szCs w:val="20"/>
          <w:lang w:eastAsia="en-US"/>
        </w:rPr>
        <w:t xml:space="preserve"> monotherapy.</w:t>
      </w:r>
    </w:p>
    <w:p w:rsidR="004466E7" w:rsidRDefault="009922C1" w:rsidP="004466E7">
      <w:pPr>
        <w:pStyle w:val="ListParagraph"/>
        <w:numPr>
          <w:ilvl w:val="0"/>
          <w:numId w:val="48"/>
        </w:numPr>
        <w:ind w:left="1276"/>
        <w:jc w:val="both"/>
        <w:rPr>
          <w:rFonts w:ascii="Arial" w:hAnsi="Arial" w:cs="Arial"/>
          <w:snapToGrid w:val="0"/>
          <w:sz w:val="22"/>
          <w:szCs w:val="20"/>
          <w:lang w:eastAsia="en-US"/>
        </w:rPr>
      </w:pPr>
      <w:r w:rsidRPr="009922C1">
        <w:rPr>
          <w:rFonts w:ascii="Arial" w:hAnsi="Arial" w:cs="Arial"/>
          <w:snapToGrid w:val="0"/>
          <w:sz w:val="22"/>
          <w:szCs w:val="20"/>
          <w:lang w:eastAsia="en-US"/>
        </w:rPr>
        <w:t xml:space="preserve">Stage </w:t>
      </w:r>
      <w:r w:rsidR="004466E7">
        <w:rPr>
          <w:rFonts w:ascii="Arial" w:hAnsi="Arial" w:cs="Arial"/>
          <w:snapToGrid w:val="0"/>
          <w:sz w:val="22"/>
          <w:szCs w:val="20"/>
          <w:lang w:eastAsia="en-US"/>
        </w:rPr>
        <w:t>2:</w:t>
      </w:r>
      <w:r w:rsidRPr="009922C1">
        <w:rPr>
          <w:rFonts w:ascii="Arial" w:hAnsi="Arial" w:cs="Arial"/>
          <w:snapToGrid w:val="0"/>
          <w:sz w:val="22"/>
          <w:szCs w:val="20"/>
          <w:lang w:eastAsia="en-US"/>
        </w:rPr>
        <w:t xml:space="preserve"> </w:t>
      </w:r>
      <w:proofErr w:type="spellStart"/>
      <w:r w:rsidR="004466E7" w:rsidRPr="009922C1">
        <w:rPr>
          <w:rFonts w:ascii="Arial" w:hAnsi="Arial" w:cs="Arial"/>
          <w:snapToGrid w:val="0"/>
          <w:sz w:val="22"/>
          <w:szCs w:val="20"/>
          <w:lang w:eastAsia="en-US"/>
        </w:rPr>
        <w:t>obinutuzumab</w:t>
      </w:r>
      <w:proofErr w:type="spellEnd"/>
      <w:r w:rsidR="004466E7" w:rsidRPr="009922C1">
        <w:rPr>
          <w:rFonts w:ascii="Arial" w:hAnsi="Arial" w:cs="Arial"/>
          <w:snapToGrid w:val="0"/>
          <w:sz w:val="22"/>
          <w:szCs w:val="20"/>
          <w:lang w:eastAsia="en-US"/>
        </w:rPr>
        <w:t xml:space="preserve"> plus </w:t>
      </w:r>
      <w:proofErr w:type="spellStart"/>
      <w:r w:rsidR="004466E7" w:rsidRPr="009922C1">
        <w:rPr>
          <w:rFonts w:ascii="Arial" w:hAnsi="Arial" w:cs="Arial"/>
          <w:snapToGrid w:val="0"/>
          <w:sz w:val="22"/>
          <w:szCs w:val="20"/>
          <w:lang w:eastAsia="en-US"/>
        </w:rPr>
        <w:t>chlorambucil</w:t>
      </w:r>
      <w:proofErr w:type="spellEnd"/>
      <w:r w:rsidR="004466E7" w:rsidRPr="009922C1">
        <w:rPr>
          <w:rFonts w:ascii="Arial" w:hAnsi="Arial" w:cs="Arial"/>
          <w:snapToGrid w:val="0"/>
          <w:sz w:val="22"/>
          <w:szCs w:val="20"/>
          <w:lang w:eastAsia="en-US"/>
        </w:rPr>
        <w:t xml:space="preserve"> to </w:t>
      </w:r>
      <w:r w:rsidRPr="009922C1">
        <w:rPr>
          <w:rFonts w:ascii="Arial" w:hAnsi="Arial" w:cs="Arial"/>
          <w:snapToGrid w:val="0"/>
          <w:sz w:val="22"/>
          <w:szCs w:val="20"/>
          <w:lang w:eastAsia="en-US"/>
        </w:rPr>
        <w:t xml:space="preserve">rituximab plus </w:t>
      </w:r>
      <w:proofErr w:type="spellStart"/>
      <w:r w:rsidRPr="009922C1">
        <w:rPr>
          <w:rFonts w:ascii="Arial" w:hAnsi="Arial" w:cs="Arial"/>
          <w:snapToGrid w:val="0"/>
          <w:sz w:val="22"/>
          <w:szCs w:val="20"/>
          <w:lang w:eastAsia="en-US"/>
        </w:rPr>
        <w:t>chlorambucil</w:t>
      </w:r>
      <w:proofErr w:type="spellEnd"/>
      <w:r w:rsidR="004466E7">
        <w:rPr>
          <w:rFonts w:ascii="Arial" w:hAnsi="Arial" w:cs="Arial"/>
          <w:snapToGrid w:val="0"/>
          <w:sz w:val="22"/>
          <w:szCs w:val="20"/>
          <w:lang w:eastAsia="en-US"/>
        </w:rPr>
        <w:t>.</w:t>
      </w:r>
    </w:p>
    <w:p w:rsidR="009874E2" w:rsidRDefault="009874E2" w:rsidP="009874E2">
      <w:pPr>
        <w:pStyle w:val="ListParagraph"/>
        <w:ind w:left="1276"/>
        <w:jc w:val="both"/>
        <w:rPr>
          <w:rFonts w:ascii="Arial" w:hAnsi="Arial" w:cs="Arial"/>
          <w:snapToGrid w:val="0"/>
          <w:sz w:val="22"/>
          <w:szCs w:val="20"/>
          <w:lang w:eastAsia="en-US"/>
        </w:rPr>
      </w:pPr>
    </w:p>
    <w:p w:rsidR="009874E2" w:rsidRDefault="009874E2" w:rsidP="009874E2">
      <w:pPr>
        <w:pStyle w:val="ListParagraph"/>
        <w:numPr>
          <w:ilvl w:val="1"/>
          <w:numId w:val="25"/>
        </w:numPr>
        <w:snapToGrid w:val="0"/>
        <w:jc w:val="both"/>
        <w:rPr>
          <w:rFonts w:ascii="Arial" w:hAnsi="Arial" w:cs="Arial"/>
          <w:snapToGrid w:val="0"/>
          <w:sz w:val="22"/>
          <w:szCs w:val="20"/>
          <w:lang w:eastAsia="en-US"/>
        </w:rPr>
      </w:pPr>
      <w:r w:rsidRPr="009874E2">
        <w:rPr>
          <w:rFonts w:ascii="Arial" w:hAnsi="Arial" w:cs="Arial"/>
          <w:snapToGrid w:val="0"/>
          <w:sz w:val="22"/>
          <w:szCs w:val="20"/>
          <w:lang w:eastAsia="en-US"/>
        </w:rPr>
        <w:t xml:space="preserve">The submission was based on </w:t>
      </w:r>
      <w:r w:rsidR="008D4457">
        <w:rPr>
          <w:rFonts w:ascii="Arial" w:hAnsi="Arial" w:cs="Arial"/>
          <w:snapToGrid w:val="0"/>
          <w:sz w:val="22"/>
          <w:szCs w:val="20"/>
          <w:lang w:eastAsia="en-US"/>
        </w:rPr>
        <w:t xml:space="preserve">the </w:t>
      </w:r>
      <w:r w:rsidRPr="009874E2">
        <w:rPr>
          <w:rFonts w:ascii="Arial" w:hAnsi="Arial" w:cs="Arial"/>
          <w:snapToGrid w:val="0"/>
          <w:sz w:val="22"/>
          <w:szCs w:val="20"/>
          <w:lang w:eastAsia="en-US"/>
        </w:rPr>
        <w:t>May 2013 data-cut</w:t>
      </w:r>
      <w:r w:rsidR="008D4457">
        <w:rPr>
          <w:rFonts w:ascii="Arial" w:hAnsi="Arial" w:cs="Arial"/>
          <w:snapToGrid w:val="0"/>
          <w:sz w:val="22"/>
          <w:szCs w:val="20"/>
          <w:lang w:eastAsia="en-US"/>
        </w:rPr>
        <w:t xml:space="preserve"> of CLL11</w:t>
      </w:r>
      <w:r w:rsidRPr="009874E2">
        <w:rPr>
          <w:rFonts w:ascii="Arial" w:hAnsi="Arial" w:cs="Arial"/>
          <w:snapToGrid w:val="0"/>
          <w:sz w:val="22"/>
          <w:szCs w:val="20"/>
          <w:lang w:eastAsia="en-US"/>
        </w:rPr>
        <w:t>, which had</w:t>
      </w:r>
      <w:r w:rsidR="003C24E7">
        <w:rPr>
          <w:rFonts w:ascii="Arial" w:hAnsi="Arial" w:cs="Arial"/>
          <w:snapToGrid w:val="0"/>
          <w:sz w:val="22"/>
          <w:szCs w:val="20"/>
          <w:lang w:eastAsia="en-US"/>
        </w:rPr>
        <w:t xml:space="preserve"> a</w:t>
      </w:r>
      <w:r w:rsidRPr="009874E2">
        <w:rPr>
          <w:rFonts w:ascii="Arial" w:hAnsi="Arial" w:cs="Arial"/>
          <w:snapToGrid w:val="0"/>
          <w:sz w:val="22"/>
          <w:szCs w:val="20"/>
          <w:lang w:eastAsia="en-US"/>
        </w:rPr>
        <w:t xml:space="preserve"> median duration of follow-up of 22.8</w:t>
      </w:r>
      <w:r w:rsidR="003C24E7">
        <w:rPr>
          <w:rFonts w:ascii="Arial" w:hAnsi="Arial" w:cs="Arial"/>
          <w:snapToGrid w:val="0"/>
          <w:sz w:val="22"/>
          <w:szCs w:val="20"/>
          <w:lang w:eastAsia="en-US"/>
        </w:rPr>
        <w:t xml:space="preserve"> months</w:t>
      </w:r>
      <w:r w:rsidRPr="009874E2">
        <w:rPr>
          <w:rFonts w:ascii="Arial" w:hAnsi="Arial" w:cs="Arial"/>
          <w:snapToGrid w:val="0"/>
          <w:sz w:val="22"/>
          <w:szCs w:val="20"/>
          <w:lang w:eastAsia="en-US"/>
        </w:rPr>
        <w:t xml:space="preserve"> for Stage 1a and 18.7 months for Stage 2. The PSCR and pre-PBAC responses provided information regarding a more recent data</w:t>
      </w:r>
      <w:r w:rsidR="008D4457">
        <w:rPr>
          <w:rFonts w:ascii="Arial" w:hAnsi="Arial" w:cs="Arial"/>
          <w:snapToGrid w:val="0"/>
          <w:sz w:val="22"/>
          <w:szCs w:val="20"/>
          <w:lang w:eastAsia="en-US"/>
        </w:rPr>
        <w:noBreakHyphen/>
      </w:r>
      <w:r w:rsidRPr="009874E2">
        <w:rPr>
          <w:rFonts w:ascii="Arial" w:hAnsi="Arial" w:cs="Arial"/>
          <w:snapToGrid w:val="0"/>
          <w:sz w:val="22"/>
          <w:szCs w:val="20"/>
          <w:lang w:eastAsia="en-US"/>
        </w:rPr>
        <w:t xml:space="preserve">cut (3 March </w:t>
      </w:r>
      <w:r w:rsidR="007D190E" w:rsidRPr="009874E2">
        <w:rPr>
          <w:rFonts w:ascii="Arial" w:hAnsi="Arial" w:cs="Arial"/>
          <w:snapToGrid w:val="0"/>
          <w:sz w:val="22"/>
          <w:szCs w:val="20"/>
          <w:lang w:eastAsia="en-US"/>
        </w:rPr>
        <w:t>201</w:t>
      </w:r>
      <w:r w:rsidR="007D190E">
        <w:rPr>
          <w:rFonts w:ascii="Arial" w:hAnsi="Arial" w:cs="Arial"/>
          <w:snapToGrid w:val="0"/>
          <w:sz w:val="22"/>
          <w:szCs w:val="20"/>
          <w:lang w:eastAsia="en-US"/>
        </w:rPr>
        <w:t>4</w:t>
      </w:r>
      <w:r w:rsidRPr="009874E2">
        <w:rPr>
          <w:rFonts w:ascii="Arial" w:hAnsi="Arial" w:cs="Arial"/>
          <w:snapToGrid w:val="0"/>
          <w:sz w:val="22"/>
          <w:szCs w:val="20"/>
          <w:lang w:eastAsia="en-US"/>
        </w:rPr>
        <w:t xml:space="preserve">) which </w:t>
      </w:r>
      <w:r w:rsidR="00716FB6">
        <w:rPr>
          <w:rFonts w:ascii="Arial" w:hAnsi="Arial" w:cs="Arial"/>
          <w:snapToGrid w:val="0"/>
          <w:sz w:val="22"/>
          <w:szCs w:val="20"/>
          <w:lang w:eastAsia="en-US"/>
        </w:rPr>
        <w:t>provided around 9 months of additional follow-up (i.e. </w:t>
      </w:r>
      <w:r w:rsidRPr="009874E2">
        <w:rPr>
          <w:rFonts w:ascii="Arial" w:hAnsi="Arial" w:cs="Arial"/>
          <w:snapToGrid w:val="0"/>
          <w:sz w:val="22"/>
          <w:szCs w:val="20"/>
          <w:lang w:eastAsia="en-US"/>
        </w:rPr>
        <w:t>median duration of follow-up of 31.8</w:t>
      </w:r>
      <w:r w:rsidR="008D4457">
        <w:rPr>
          <w:rFonts w:ascii="Arial" w:hAnsi="Arial" w:cs="Arial"/>
          <w:snapToGrid w:val="0"/>
          <w:sz w:val="22"/>
          <w:szCs w:val="20"/>
          <w:lang w:eastAsia="en-US"/>
        </w:rPr>
        <w:t xml:space="preserve"> months</w:t>
      </w:r>
      <w:r w:rsidRPr="009874E2">
        <w:rPr>
          <w:rFonts w:ascii="Arial" w:hAnsi="Arial" w:cs="Arial"/>
          <w:snapToGrid w:val="0"/>
          <w:sz w:val="22"/>
          <w:szCs w:val="20"/>
          <w:lang w:eastAsia="en-US"/>
        </w:rPr>
        <w:t xml:space="preserve"> for Stage 1a and 27.3 months for Stage 2</w:t>
      </w:r>
      <w:r w:rsidR="00716FB6">
        <w:rPr>
          <w:rFonts w:ascii="Arial" w:hAnsi="Arial" w:cs="Arial"/>
          <w:snapToGrid w:val="0"/>
          <w:sz w:val="22"/>
          <w:szCs w:val="20"/>
          <w:lang w:eastAsia="en-US"/>
        </w:rPr>
        <w:t>)</w:t>
      </w:r>
      <w:r w:rsidRPr="009874E2">
        <w:rPr>
          <w:rFonts w:ascii="Arial" w:hAnsi="Arial" w:cs="Arial"/>
          <w:snapToGrid w:val="0"/>
          <w:sz w:val="22"/>
          <w:szCs w:val="20"/>
          <w:lang w:eastAsia="en-US"/>
        </w:rPr>
        <w:t xml:space="preserve">. </w:t>
      </w:r>
      <w:r w:rsidR="007E6994">
        <w:rPr>
          <w:rFonts w:ascii="Arial" w:hAnsi="Arial" w:cs="Arial"/>
          <w:snapToGrid w:val="0"/>
          <w:sz w:val="22"/>
          <w:szCs w:val="20"/>
          <w:lang w:eastAsia="en-US"/>
        </w:rPr>
        <w:t>Where available, the more recent data is used in these Minutes.</w:t>
      </w:r>
    </w:p>
    <w:p w:rsidR="009874E2" w:rsidRPr="009874E2" w:rsidRDefault="009874E2" w:rsidP="009874E2">
      <w:pPr>
        <w:pStyle w:val="ListParagraph"/>
        <w:snapToGrid w:val="0"/>
        <w:jc w:val="both"/>
        <w:rPr>
          <w:rFonts w:ascii="Arial" w:hAnsi="Arial" w:cs="Arial"/>
          <w:snapToGrid w:val="0"/>
          <w:sz w:val="22"/>
          <w:szCs w:val="20"/>
          <w:lang w:eastAsia="en-US"/>
        </w:rPr>
      </w:pPr>
    </w:p>
    <w:p w:rsidR="006025D4" w:rsidRPr="006025D4" w:rsidRDefault="006025D4" w:rsidP="006025D4">
      <w:pPr>
        <w:pStyle w:val="ListParagraph"/>
        <w:numPr>
          <w:ilvl w:val="1"/>
          <w:numId w:val="25"/>
        </w:numPr>
        <w:snapToGrid w:val="0"/>
        <w:jc w:val="both"/>
        <w:rPr>
          <w:rFonts w:ascii="Arial" w:hAnsi="Arial" w:cs="Arial"/>
          <w:snapToGrid w:val="0"/>
          <w:sz w:val="22"/>
          <w:szCs w:val="20"/>
          <w:lang w:eastAsia="en-US"/>
        </w:rPr>
      </w:pPr>
      <w:r w:rsidRPr="006025D4">
        <w:rPr>
          <w:rFonts w:ascii="Arial" w:hAnsi="Arial" w:cs="Arial"/>
          <w:snapToGrid w:val="0"/>
          <w:sz w:val="22"/>
          <w:szCs w:val="20"/>
          <w:lang w:eastAsia="en-US"/>
        </w:rPr>
        <w:t xml:space="preserve">Details of the </w:t>
      </w:r>
      <w:r w:rsidR="009922C1">
        <w:rPr>
          <w:rFonts w:ascii="Arial" w:hAnsi="Arial" w:cs="Arial"/>
          <w:snapToGrid w:val="0"/>
          <w:sz w:val="22"/>
          <w:szCs w:val="20"/>
          <w:lang w:eastAsia="en-US"/>
        </w:rPr>
        <w:t>CLL11</w:t>
      </w:r>
      <w:r w:rsidR="009874E2">
        <w:rPr>
          <w:rFonts w:ascii="Arial" w:hAnsi="Arial" w:cs="Arial"/>
          <w:snapToGrid w:val="0"/>
          <w:sz w:val="22"/>
          <w:szCs w:val="20"/>
          <w:lang w:eastAsia="en-US"/>
        </w:rPr>
        <w:t xml:space="preserve"> trial, as provided in the submission, </w:t>
      </w:r>
      <w:r w:rsidRPr="006025D4">
        <w:rPr>
          <w:rFonts w:ascii="Arial" w:hAnsi="Arial" w:cs="Arial"/>
          <w:snapToGrid w:val="0"/>
          <w:sz w:val="22"/>
          <w:szCs w:val="20"/>
          <w:lang w:eastAsia="en-US"/>
        </w:rPr>
        <w:t xml:space="preserve">are presented in </w:t>
      </w:r>
      <w:r w:rsidR="004466E7">
        <w:rPr>
          <w:rFonts w:ascii="Arial" w:hAnsi="Arial" w:cs="Arial"/>
          <w:snapToGrid w:val="0"/>
          <w:sz w:val="22"/>
          <w:szCs w:val="20"/>
          <w:lang w:eastAsia="en-US"/>
        </w:rPr>
        <w:t>the t</w:t>
      </w:r>
      <w:r w:rsidRPr="006025D4">
        <w:rPr>
          <w:rFonts w:ascii="Arial" w:hAnsi="Arial" w:cs="Arial"/>
          <w:snapToGrid w:val="0"/>
          <w:sz w:val="22"/>
          <w:szCs w:val="20"/>
          <w:lang w:eastAsia="en-US"/>
        </w:rPr>
        <w:t xml:space="preserve">ables </w:t>
      </w:r>
      <w:r w:rsidR="004466E7">
        <w:rPr>
          <w:rFonts w:ascii="Arial" w:hAnsi="Arial" w:cs="Arial"/>
          <w:snapToGrid w:val="0"/>
          <w:sz w:val="22"/>
          <w:szCs w:val="20"/>
          <w:lang w:eastAsia="en-US"/>
        </w:rPr>
        <w:t>below</w:t>
      </w:r>
      <w:r w:rsidRPr="006025D4">
        <w:rPr>
          <w:rFonts w:ascii="Arial" w:hAnsi="Arial" w:cs="Arial"/>
          <w:snapToGrid w:val="0"/>
          <w:sz w:val="22"/>
          <w:szCs w:val="20"/>
          <w:lang w:eastAsia="en-US"/>
        </w:rPr>
        <w:t>.</w:t>
      </w:r>
    </w:p>
    <w:p w:rsidR="00146436" w:rsidRPr="00B8622A" w:rsidRDefault="00146436" w:rsidP="00146436">
      <w:pPr>
        <w:pStyle w:val="ListParagraph"/>
        <w:ind w:left="709"/>
        <w:jc w:val="both"/>
        <w:rPr>
          <w:rFonts w:ascii="Arial" w:hAnsi="Arial" w:cs="Arial"/>
          <w:snapToGrid w:val="0"/>
          <w:sz w:val="22"/>
          <w:szCs w:val="20"/>
          <w:lang w:eastAsia="en-US"/>
        </w:rPr>
      </w:pPr>
    </w:p>
    <w:p w:rsidR="00B8622A" w:rsidRPr="00523710" w:rsidRDefault="00B8622A" w:rsidP="00523710">
      <w:pPr>
        <w:ind w:firstLine="720"/>
        <w:rPr>
          <w:rFonts w:ascii="Arial Narrow" w:hAnsi="Arial Narrow"/>
          <w:b/>
          <w:snapToGrid w:val="0"/>
          <w:sz w:val="20"/>
          <w:lang w:eastAsia="en-US"/>
        </w:rPr>
      </w:pPr>
      <w:r w:rsidRPr="00523710">
        <w:rPr>
          <w:rFonts w:ascii="Arial Narrow" w:hAnsi="Arial Narrow"/>
          <w:b/>
          <w:snapToGrid w:val="0"/>
          <w:sz w:val="20"/>
          <w:lang w:eastAsia="en-US"/>
        </w:rPr>
        <w:t>Trials and associated reports presented in the submission</w:t>
      </w:r>
    </w:p>
    <w:tbl>
      <w:tblPr>
        <w:tblW w:w="463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Trials and associated reports presented in the submission"/>
      </w:tblPr>
      <w:tblGrid>
        <w:gridCol w:w="709"/>
        <w:gridCol w:w="6433"/>
        <w:gridCol w:w="1270"/>
      </w:tblGrid>
      <w:tr w:rsidR="00B8622A" w:rsidRPr="00B8622A" w:rsidTr="00523710">
        <w:tc>
          <w:tcPr>
            <w:tcW w:w="421" w:type="pct"/>
          </w:tcPr>
          <w:p w:rsidR="00B8622A" w:rsidRPr="00B8622A" w:rsidRDefault="00B8622A" w:rsidP="00146436">
            <w:pPr>
              <w:keepNext/>
              <w:keepLines/>
              <w:widowControl w:val="0"/>
              <w:rPr>
                <w:rFonts w:ascii="Arial Narrow" w:hAnsi="Arial Narrow" w:cs="Arial"/>
                <w:b/>
                <w:snapToGrid w:val="0"/>
                <w:sz w:val="20"/>
                <w:szCs w:val="20"/>
                <w:lang w:eastAsia="en-US"/>
              </w:rPr>
            </w:pPr>
            <w:r w:rsidRPr="00B8622A">
              <w:rPr>
                <w:rFonts w:ascii="Arial Narrow" w:hAnsi="Arial Narrow" w:cs="Arial"/>
                <w:b/>
                <w:snapToGrid w:val="0"/>
                <w:sz w:val="20"/>
                <w:szCs w:val="20"/>
                <w:lang w:eastAsia="en-US"/>
              </w:rPr>
              <w:t>Trial ID</w:t>
            </w:r>
          </w:p>
        </w:tc>
        <w:tc>
          <w:tcPr>
            <w:tcW w:w="3824" w:type="pct"/>
          </w:tcPr>
          <w:p w:rsidR="00B8622A" w:rsidRPr="00B8622A" w:rsidRDefault="00B8622A" w:rsidP="00146436">
            <w:pPr>
              <w:keepNext/>
              <w:keepLines/>
              <w:widowControl w:val="0"/>
              <w:jc w:val="center"/>
              <w:rPr>
                <w:rFonts w:ascii="Arial Narrow" w:hAnsi="Arial Narrow" w:cs="Arial"/>
                <w:b/>
                <w:snapToGrid w:val="0"/>
                <w:sz w:val="20"/>
                <w:szCs w:val="20"/>
                <w:lang w:eastAsia="en-US"/>
              </w:rPr>
            </w:pPr>
            <w:r w:rsidRPr="00B8622A">
              <w:rPr>
                <w:rFonts w:ascii="Arial Narrow" w:hAnsi="Arial Narrow" w:cs="Arial"/>
                <w:b/>
                <w:snapToGrid w:val="0"/>
                <w:sz w:val="20"/>
                <w:szCs w:val="20"/>
                <w:lang w:eastAsia="en-US"/>
              </w:rPr>
              <w:t>Protocol title/ Publication title</w:t>
            </w:r>
          </w:p>
        </w:tc>
        <w:tc>
          <w:tcPr>
            <w:tcW w:w="754" w:type="pct"/>
          </w:tcPr>
          <w:p w:rsidR="00B8622A" w:rsidRPr="00B8622A" w:rsidRDefault="00B8622A" w:rsidP="00146436">
            <w:pPr>
              <w:keepNext/>
              <w:keepLines/>
              <w:widowControl w:val="0"/>
              <w:jc w:val="center"/>
              <w:rPr>
                <w:rFonts w:ascii="Arial Narrow" w:hAnsi="Arial Narrow" w:cs="Arial"/>
                <w:b/>
                <w:snapToGrid w:val="0"/>
                <w:sz w:val="20"/>
                <w:szCs w:val="20"/>
                <w:lang w:eastAsia="en-US"/>
              </w:rPr>
            </w:pPr>
            <w:r w:rsidRPr="00B8622A">
              <w:rPr>
                <w:rFonts w:ascii="Arial Narrow" w:hAnsi="Arial Narrow" w:cs="Arial"/>
                <w:b/>
                <w:snapToGrid w:val="0"/>
                <w:sz w:val="20"/>
                <w:szCs w:val="20"/>
                <w:lang w:eastAsia="en-US"/>
              </w:rPr>
              <w:t>Publication citation</w:t>
            </w:r>
          </w:p>
        </w:tc>
      </w:tr>
      <w:tr w:rsidR="00B8622A" w:rsidRPr="00B8622A" w:rsidTr="00523710">
        <w:tc>
          <w:tcPr>
            <w:tcW w:w="5000" w:type="pct"/>
            <w:gridSpan w:val="3"/>
          </w:tcPr>
          <w:p w:rsidR="00B8622A" w:rsidRPr="00B8622A" w:rsidRDefault="00B8622A" w:rsidP="00146436">
            <w:pPr>
              <w:keepNext/>
              <w:keepLines/>
              <w:widowControl w:val="0"/>
              <w:rPr>
                <w:rFonts w:ascii="Arial Narrow" w:hAnsi="Arial Narrow" w:cs="Arial"/>
                <w:b/>
                <w:snapToGrid w:val="0"/>
                <w:sz w:val="20"/>
                <w:szCs w:val="20"/>
                <w:lang w:eastAsia="en-US"/>
              </w:rPr>
            </w:pPr>
            <w:r w:rsidRPr="00B8622A">
              <w:rPr>
                <w:rFonts w:ascii="Arial Narrow" w:hAnsi="Arial Narrow" w:cs="Arial"/>
                <w:b/>
                <w:snapToGrid w:val="0"/>
                <w:sz w:val="20"/>
                <w:szCs w:val="20"/>
                <w:lang w:eastAsia="en-US"/>
              </w:rPr>
              <w:t>Direct randomised trial(s)</w:t>
            </w:r>
          </w:p>
        </w:tc>
      </w:tr>
      <w:tr w:rsidR="00B8622A" w:rsidRPr="00B8622A" w:rsidTr="00523710">
        <w:trPr>
          <w:trHeight w:val="5031"/>
        </w:trPr>
        <w:tc>
          <w:tcPr>
            <w:tcW w:w="421" w:type="pct"/>
          </w:tcPr>
          <w:p w:rsidR="00B8622A" w:rsidRPr="00B8622A" w:rsidRDefault="00B8622A" w:rsidP="00146436">
            <w:pPr>
              <w:keepNext/>
              <w:keepLines/>
              <w:widowControl w:val="0"/>
              <w:rPr>
                <w:rFonts w:ascii="Arial Narrow" w:hAnsi="Arial Narrow" w:cs="Arial"/>
                <w:snapToGrid w:val="0"/>
                <w:sz w:val="20"/>
                <w:szCs w:val="20"/>
                <w:lang w:eastAsia="en-US"/>
              </w:rPr>
            </w:pPr>
            <w:r w:rsidRPr="00B8622A">
              <w:rPr>
                <w:rFonts w:ascii="Arial Narrow" w:hAnsi="Arial Narrow" w:cs="Arial"/>
                <w:snapToGrid w:val="0"/>
                <w:sz w:val="20"/>
                <w:szCs w:val="20"/>
                <w:lang w:eastAsia="en-US"/>
              </w:rPr>
              <w:t>CLL11</w:t>
            </w:r>
          </w:p>
        </w:tc>
        <w:tc>
          <w:tcPr>
            <w:tcW w:w="3824" w:type="pct"/>
          </w:tcPr>
          <w:p w:rsidR="00B8622A" w:rsidRPr="00B8622A" w:rsidRDefault="00B8622A" w:rsidP="00146436">
            <w:pPr>
              <w:keepNext/>
              <w:keepLines/>
              <w:widowControl w:val="0"/>
              <w:rPr>
                <w:rFonts w:ascii="Arial Narrow" w:hAnsi="Arial Narrow" w:cs="Arial"/>
                <w:snapToGrid w:val="0"/>
                <w:sz w:val="20"/>
                <w:szCs w:val="20"/>
                <w:lang w:eastAsia="en-US"/>
              </w:rPr>
            </w:pPr>
            <w:r w:rsidRPr="00B8622A">
              <w:rPr>
                <w:rFonts w:ascii="Arial Narrow" w:hAnsi="Arial Narrow" w:cs="Arial"/>
                <w:snapToGrid w:val="0"/>
                <w:sz w:val="20"/>
                <w:szCs w:val="20"/>
                <w:lang w:eastAsia="en-US"/>
              </w:rPr>
              <w:t>Primary Clinical Study Report - BO21004/CLL11 - Stage 1a (</w:t>
            </w:r>
            <w:proofErr w:type="spellStart"/>
            <w:r w:rsidRPr="00B8622A">
              <w:rPr>
                <w:rFonts w:ascii="Arial Narrow" w:hAnsi="Arial Narrow" w:cs="Arial"/>
                <w:snapToGrid w:val="0"/>
                <w:sz w:val="20"/>
                <w:szCs w:val="20"/>
                <w:lang w:eastAsia="en-US"/>
              </w:rPr>
              <w:t>GClb</w:t>
            </w:r>
            <w:proofErr w:type="spellEnd"/>
            <w:r w:rsidRPr="00B8622A">
              <w:rPr>
                <w:rFonts w:ascii="Arial Narrow" w:hAnsi="Arial Narrow" w:cs="Arial"/>
                <w:snapToGrid w:val="0"/>
                <w:sz w:val="20"/>
                <w:szCs w:val="20"/>
                <w:lang w:eastAsia="en-US"/>
              </w:rPr>
              <w:t xml:space="preserve"> vs. </w:t>
            </w:r>
            <w:proofErr w:type="spellStart"/>
            <w:r w:rsidRPr="00B8622A">
              <w:rPr>
                <w:rFonts w:ascii="Arial Narrow" w:hAnsi="Arial Narrow" w:cs="Arial"/>
                <w:snapToGrid w:val="0"/>
                <w:sz w:val="20"/>
                <w:szCs w:val="20"/>
                <w:lang w:eastAsia="en-US"/>
              </w:rPr>
              <w:t>Clb</w:t>
            </w:r>
            <w:proofErr w:type="spellEnd"/>
            <w:r w:rsidRPr="00B8622A">
              <w:rPr>
                <w:rFonts w:ascii="Arial Narrow" w:hAnsi="Arial Narrow" w:cs="Arial"/>
                <w:snapToGrid w:val="0"/>
                <w:sz w:val="20"/>
                <w:szCs w:val="20"/>
                <w:lang w:eastAsia="en-US"/>
              </w:rPr>
              <w:t xml:space="preserve">) – An open-label, multi-centre, three arm randomized, phase III study to compare the efficacy and safety of RO5072759 + </w:t>
            </w:r>
            <w:proofErr w:type="spellStart"/>
            <w:r w:rsidRPr="00B8622A">
              <w:rPr>
                <w:rFonts w:ascii="Arial Narrow" w:hAnsi="Arial Narrow" w:cs="Arial"/>
                <w:snapToGrid w:val="0"/>
                <w:sz w:val="20"/>
                <w:szCs w:val="20"/>
                <w:lang w:eastAsia="en-US"/>
              </w:rPr>
              <w:t>chlorambucil</w:t>
            </w:r>
            <w:proofErr w:type="spellEnd"/>
            <w:r w:rsidRPr="00B8622A">
              <w:rPr>
                <w:rFonts w:ascii="Arial Narrow" w:hAnsi="Arial Narrow" w:cs="Arial"/>
                <w:snapToGrid w:val="0"/>
                <w:sz w:val="20"/>
                <w:szCs w:val="20"/>
                <w:lang w:eastAsia="en-US"/>
              </w:rPr>
              <w:t xml:space="preserve"> (</w:t>
            </w:r>
            <w:proofErr w:type="spellStart"/>
            <w:r w:rsidRPr="00B8622A">
              <w:rPr>
                <w:rFonts w:ascii="Arial Narrow" w:hAnsi="Arial Narrow" w:cs="Arial"/>
                <w:snapToGrid w:val="0"/>
                <w:sz w:val="20"/>
                <w:szCs w:val="20"/>
                <w:lang w:eastAsia="en-US"/>
              </w:rPr>
              <w:t>GClb</w:t>
            </w:r>
            <w:proofErr w:type="spellEnd"/>
            <w:r w:rsidRPr="00B8622A">
              <w:rPr>
                <w:rFonts w:ascii="Arial Narrow" w:hAnsi="Arial Narrow" w:cs="Arial"/>
                <w:snapToGrid w:val="0"/>
                <w:sz w:val="20"/>
                <w:szCs w:val="20"/>
                <w:lang w:eastAsia="en-US"/>
              </w:rPr>
              <w:t xml:space="preserve">), rituximab + </w:t>
            </w:r>
            <w:proofErr w:type="spellStart"/>
            <w:r w:rsidRPr="00B8622A">
              <w:rPr>
                <w:rFonts w:ascii="Arial Narrow" w:hAnsi="Arial Narrow" w:cs="Arial"/>
                <w:snapToGrid w:val="0"/>
                <w:sz w:val="20"/>
                <w:szCs w:val="20"/>
                <w:lang w:eastAsia="en-US"/>
              </w:rPr>
              <w:t>chlorambucil</w:t>
            </w:r>
            <w:proofErr w:type="spellEnd"/>
            <w:r w:rsidRPr="00B8622A">
              <w:rPr>
                <w:rFonts w:ascii="Arial Narrow" w:hAnsi="Arial Narrow" w:cs="Arial"/>
                <w:snapToGrid w:val="0"/>
                <w:sz w:val="20"/>
                <w:szCs w:val="20"/>
                <w:lang w:eastAsia="en-US"/>
              </w:rPr>
              <w:t xml:space="preserve"> (</w:t>
            </w:r>
            <w:proofErr w:type="spellStart"/>
            <w:r w:rsidRPr="00B8622A">
              <w:rPr>
                <w:rFonts w:ascii="Arial Narrow" w:hAnsi="Arial Narrow" w:cs="Arial"/>
                <w:snapToGrid w:val="0"/>
                <w:sz w:val="20"/>
                <w:szCs w:val="20"/>
                <w:lang w:eastAsia="en-US"/>
              </w:rPr>
              <w:t>RClb</w:t>
            </w:r>
            <w:proofErr w:type="spellEnd"/>
            <w:r w:rsidRPr="00B8622A">
              <w:rPr>
                <w:rFonts w:ascii="Arial Narrow" w:hAnsi="Arial Narrow" w:cs="Arial"/>
                <w:snapToGrid w:val="0"/>
                <w:sz w:val="20"/>
                <w:szCs w:val="20"/>
                <w:lang w:eastAsia="en-US"/>
              </w:rPr>
              <w:t xml:space="preserve">) or </w:t>
            </w:r>
            <w:proofErr w:type="spellStart"/>
            <w:r w:rsidRPr="00B8622A">
              <w:rPr>
                <w:rFonts w:ascii="Arial Narrow" w:hAnsi="Arial Narrow" w:cs="Arial"/>
                <w:snapToGrid w:val="0"/>
                <w:sz w:val="20"/>
                <w:szCs w:val="20"/>
                <w:lang w:eastAsia="en-US"/>
              </w:rPr>
              <w:t>chlorambucil</w:t>
            </w:r>
            <w:proofErr w:type="spellEnd"/>
            <w:r w:rsidRPr="00B8622A">
              <w:rPr>
                <w:rFonts w:ascii="Arial Narrow" w:hAnsi="Arial Narrow" w:cs="Arial"/>
                <w:snapToGrid w:val="0"/>
                <w:sz w:val="20"/>
                <w:szCs w:val="20"/>
                <w:lang w:eastAsia="en-US"/>
              </w:rPr>
              <w:t xml:space="preserve"> (</w:t>
            </w:r>
            <w:proofErr w:type="spellStart"/>
            <w:r w:rsidRPr="00B8622A">
              <w:rPr>
                <w:rFonts w:ascii="Arial Narrow" w:hAnsi="Arial Narrow" w:cs="Arial"/>
                <w:snapToGrid w:val="0"/>
                <w:sz w:val="20"/>
                <w:szCs w:val="20"/>
                <w:lang w:eastAsia="en-US"/>
              </w:rPr>
              <w:t>Clb</w:t>
            </w:r>
            <w:proofErr w:type="spellEnd"/>
            <w:r w:rsidRPr="00B8622A">
              <w:rPr>
                <w:rFonts w:ascii="Arial Narrow" w:hAnsi="Arial Narrow" w:cs="Arial"/>
                <w:snapToGrid w:val="0"/>
                <w:sz w:val="20"/>
                <w:szCs w:val="20"/>
                <w:lang w:eastAsia="en-US"/>
              </w:rPr>
              <w:t>) alone in previously untreated CLL patients with comorbidities. Research Report Number 1038127.</w:t>
            </w:r>
          </w:p>
          <w:p w:rsidR="00B8622A" w:rsidRPr="00B8622A" w:rsidRDefault="00B8622A"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snapToGrid w:val="0"/>
                <w:sz w:val="20"/>
                <w:szCs w:val="20"/>
                <w:lang w:eastAsia="en-US"/>
              </w:rPr>
            </w:pPr>
            <w:r w:rsidRPr="00B8622A">
              <w:rPr>
                <w:rFonts w:ascii="Arial Narrow" w:hAnsi="Arial Narrow" w:cs="Arial"/>
                <w:snapToGrid w:val="0"/>
                <w:sz w:val="20"/>
                <w:szCs w:val="20"/>
                <w:lang w:eastAsia="en-US"/>
              </w:rPr>
              <w:t xml:space="preserve">Update Clinical Study Report – BO21004: Stage 1a – 1b Update. An open-label, multicentre, three arm randomized, phase III study to compare the efficacy and safety of RO5072759 + </w:t>
            </w:r>
            <w:proofErr w:type="spellStart"/>
            <w:r w:rsidRPr="00B8622A">
              <w:rPr>
                <w:rFonts w:ascii="Arial Narrow" w:hAnsi="Arial Narrow" w:cs="Arial"/>
                <w:snapToGrid w:val="0"/>
                <w:sz w:val="20"/>
                <w:szCs w:val="20"/>
                <w:lang w:eastAsia="en-US"/>
              </w:rPr>
              <w:t>chlorambucil</w:t>
            </w:r>
            <w:proofErr w:type="spellEnd"/>
            <w:r w:rsidRPr="00B8622A">
              <w:rPr>
                <w:rFonts w:ascii="Arial Narrow" w:hAnsi="Arial Narrow" w:cs="Arial"/>
                <w:snapToGrid w:val="0"/>
                <w:sz w:val="20"/>
                <w:szCs w:val="20"/>
                <w:lang w:eastAsia="en-US"/>
              </w:rPr>
              <w:t xml:space="preserve"> (</w:t>
            </w:r>
            <w:proofErr w:type="spellStart"/>
            <w:r w:rsidRPr="00B8622A">
              <w:rPr>
                <w:rFonts w:ascii="Arial Narrow" w:hAnsi="Arial Narrow" w:cs="Arial"/>
                <w:snapToGrid w:val="0"/>
                <w:sz w:val="20"/>
                <w:szCs w:val="20"/>
                <w:lang w:eastAsia="en-US"/>
              </w:rPr>
              <w:t>GClb</w:t>
            </w:r>
            <w:proofErr w:type="spellEnd"/>
            <w:r w:rsidRPr="00B8622A">
              <w:rPr>
                <w:rFonts w:ascii="Arial Narrow" w:hAnsi="Arial Narrow" w:cs="Arial"/>
                <w:snapToGrid w:val="0"/>
                <w:sz w:val="20"/>
                <w:szCs w:val="20"/>
                <w:lang w:eastAsia="en-US"/>
              </w:rPr>
              <w:t xml:space="preserve">), rituximab + </w:t>
            </w:r>
            <w:proofErr w:type="spellStart"/>
            <w:r w:rsidRPr="00B8622A">
              <w:rPr>
                <w:rFonts w:ascii="Arial Narrow" w:hAnsi="Arial Narrow" w:cs="Arial"/>
                <w:snapToGrid w:val="0"/>
                <w:sz w:val="20"/>
                <w:szCs w:val="20"/>
                <w:lang w:eastAsia="en-US"/>
              </w:rPr>
              <w:t>chlorambucil</w:t>
            </w:r>
            <w:proofErr w:type="spellEnd"/>
            <w:r w:rsidRPr="00B8622A">
              <w:rPr>
                <w:rFonts w:ascii="Arial Narrow" w:hAnsi="Arial Narrow" w:cs="Arial"/>
                <w:snapToGrid w:val="0"/>
                <w:sz w:val="20"/>
                <w:szCs w:val="20"/>
                <w:lang w:eastAsia="en-US"/>
              </w:rPr>
              <w:t xml:space="preserve"> (</w:t>
            </w:r>
            <w:proofErr w:type="spellStart"/>
            <w:r w:rsidRPr="00B8622A">
              <w:rPr>
                <w:rFonts w:ascii="Arial Narrow" w:hAnsi="Arial Narrow" w:cs="Arial"/>
                <w:snapToGrid w:val="0"/>
                <w:sz w:val="20"/>
                <w:szCs w:val="20"/>
                <w:lang w:eastAsia="en-US"/>
              </w:rPr>
              <w:t>RClb</w:t>
            </w:r>
            <w:proofErr w:type="spellEnd"/>
            <w:r w:rsidRPr="00B8622A">
              <w:rPr>
                <w:rFonts w:ascii="Arial Narrow" w:hAnsi="Arial Narrow" w:cs="Arial"/>
                <w:snapToGrid w:val="0"/>
                <w:sz w:val="20"/>
                <w:szCs w:val="20"/>
                <w:lang w:eastAsia="en-US"/>
              </w:rPr>
              <w:t xml:space="preserve">) or </w:t>
            </w:r>
            <w:proofErr w:type="spellStart"/>
            <w:r w:rsidRPr="00B8622A">
              <w:rPr>
                <w:rFonts w:ascii="Arial Narrow" w:hAnsi="Arial Narrow" w:cs="Arial"/>
                <w:snapToGrid w:val="0"/>
                <w:sz w:val="20"/>
                <w:szCs w:val="20"/>
                <w:lang w:eastAsia="en-US"/>
              </w:rPr>
              <w:t>chlorambucil</w:t>
            </w:r>
            <w:proofErr w:type="spellEnd"/>
            <w:r w:rsidRPr="00B8622A">
              <w:rPr>
                <w:rFonts w:ascii="Arial Narrow" w:hAnsi="Arial Narrow" w:cs="Arial"/>
                <w:snapToGrid w:val="0"/>
                <w:sz w:val="20"/>
                <w:szCs w:val="20"/>
                <w:lang w:eastAsia="en-US"/>
              </w:rPr>
              <w:t xml:space="preserve"> (</w:t>
            </w:r>
            <w:proofErr w:type="spellStart"/>
            <w:r w:rsidRPr="00B8622A">
              <w:rPr>
                <w:rFonts w:ascii="Arial Narrow" w:hAnsi="Arial Narrow" w:cs="Arial"/>
                <w:snapToGrid w:val="0"/>
                <w:sz w:val="20"/>
                <w:szCs w:val="20"/>
                <w:lang w:eastAsia="en-US"/>
              </w:rPr>
              <w:t>Clb</w:t>
            </w:r>
            <w:proofErr w:type="spellEnd"/>
            <w:r w:rsidRPr="00B8622A">
              <w:rPr>
                <w:rFonts w:ascii="Arial Narrow" w:hAnsi="Arial Narrow" w:cs="Arial"/>
                <w:snapToGrid w:val="0"/>
                <w:sz w:val="20"/>
                <w:szCs w:val="20"/>
                <w:lang w:eastAsia="en-US"/>
              </w:rPr>
              <w:t>) alone in previously untreated CLL patients with comorbidities. Research Report Number 1057363.</w:t>
            </w:r>
          </w:p>
          <w:p w:rsidR="00B8622A" w:rsidRPr="00B8622A" w:rsidRDefault="00B8622A"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snapToGrid w:val="0"/>
                <w:sz w:val="20"/>
                <w:szCs w:val="20"/>
                <w:lang w:eastAsia="en-US"/>
              </w:rPr>
            </w:pPr>
            <w:r w:rsidRPr="00B8622A">
              <w:rPr>
                <w:rFonts w:ascii="Arial Narrow" w:hAnsi="Arial Narrow" w:cs="Arial"/>
                <w:snapToGrid w:val="0"/>
                <w:sz w:val="20"/>
                <w:szCs w:val="20"/>
                <w:lang w:eastAsia="en-US"/>
              </w:rPr>
              <w:t>Primary Clinical Study Report − BO21004/CLL11 − Stage 2 (</w:t>
            </w:r>
            <w:proofErr w:type="spellStart"/>
            <w:r w:rsidRPr="00B8622A">
              <w:rPr>
                <w:rFonts w:ascii="Arial Narrow" w:hAnsi="Arial Narrow" w:cs="Arial"/>
                <w:snapToGrid w:val="0"/>
                <w:sz w:val="20"/>
                <w:szCs w:val="20"/>
                <w:lang w:eastAsia="en-US"/>
              </w:rPr>
              <w:t>GClb</w:t>
            </w:r>
            <w:proofErr w:type="spellEnd"/>
            <w:r w:rsidRPr="00B8622A">
              <w:rPr>
                <w:rFonts w:ascii="Arial Narrow" w:hAnsi="Arial Narrow" w:cs="Arial"/>
                <w:snapToGrid w:val="0"/>
                <w:sz w:val="20"/>
                <w:szCs w:val="20"/>
                <w:lang w:eastAsia="en-US"/>
              </w:rPr>
              <w:t xml:space="preserve"> vs. </w:t>
            </w:r>
            <w:proofErr w:type="spellStart"/>
            <w:r w:rsidRPr="00B8622A">
              <w:rPr>
                <w:rFonts w:ascii="Arial Narrow" w:hAnsi="Arial Narrow" w:cs="Arial"/>
                <w:snapToGrid w:val="0"/>
                <w:sz w:val="20"/>
                <w:szCs w:val="20"/>
                <w:lang w:eastAsia="en-US"/>
              </w:rPr>
              <w:t>RClb</w:t>
            </w:r>
            <w:proofErr w:type="spellEnd"/>
            <w:r w:rsidRPr="00B8622A">
              <w:rPr>
                <w:rFonts w:ascii="Arial Narrow" w:hAnsi="Arial Narrow" w:cs="Arial"/>
                <w:snapToGrid w:val="0"/>
                <w:sz w:val="20"/>
                <w:szCs w:val="20"/>
                <w:lang w:eastAsia="en-US"/>
              </w:rPr>
              <w:t xml:space="preserve">) – An open-label, multi-centre, three arm randomized, phase III study to compare the efficacy and safety of RO5072759 + </w:t>
            </w:r>
            <w:proofErr w:type="spellStart"/>
            <w:r w:rsidRPr="00B8622A">
              <w:rPr>
                <w:rFonts w:ascii="Arial Narrow" w:hAnsi="Arial Narrow" w:cs="Arial"/>
                <w:snapToGrid w:val="0"/>
                <w:sz w:val="20"/>
                <w:szCs w:val="20"/>
                <w:lang w:eastAsia="en-US"/>
              </w:rPr>
              <w:t>chlorambucil</w:t>
            </w:r>
            <w:proofErr w:type="spellEnd"/>
            <w:r w:rsidRPr="00B8622A">
              <w:rPr>
                <w:rFonts w:ascii="Arial Narrow" w:hAnsi="Arial Narrow" w:cs="Arial"/>
                <w:snapToGrid w:val="0"/>
                <w:sz w:val="20"/>
                <w:szCs w:val="20"/>
                <w:lang w:eastAsia="en-US"/>
              </w:rPr>
              <w:t xml:space="preserve"> (</w:t>
            </w:r>
            <w:proofErr w:type="spellStart"/>
            <w:r w:rsidRPr="00B8622A">
              <w:rPr>
                <w:rFonts w:ascii="Arial Narrow" w:hAnsi="Arial Narrow" w:cs="Arial"/>
                <w:snapToGrid w:val="0"/>
                <w:sz w:val="20"/>
                <w:szCs w:val="20"/>
                <w:lang w:eastAsia="en-US"/>
              </w:rPr>
              <w:t>GClb</w:t>
            </w:r>
            <w:proofErr w:type="spellEnd"/>
            <w:r w:rsidRPr="00B8622A">
              <w:rPr>
                <w:rFonts w:ascii="Arial Narrow" w:hAnsi="Arial Narrow" w:cs="Arial"/>
                <w:snapToGrid w:val="0"/>
                <w:sz w:val="20"/>
                <w:szCs w:val="20"/>
                <w:lang w:eastAsia="en-US"/>
              </w:rPr>
              <w:t xml:space="preserve">), rituximab + </w:t>
            </w:r>
            <w:proofErr w:type="spellStart"/>
            <w:r w:rsidRPr="00B8622A">
              <w:rPr>
                <w:rFonts w:ascii="Arial Narrow" w:hAnsi="Arial Narrow" w:cs="Arial"/>
                <w:snapToGrid w:val="0"/>
                <w:sz w:val="20"/>
                <w:szCs w:val="20"/>
                <w:lang w:eastAsia="en-US"/>
              </w:rPr>
              <w:t>chlorambucil</w:t>
            </w:r>
            <w:proofErr w:type="spellEnd"/>
            <w:r w:rsidRPr="00B8622A">
              <w:rPr>
                <w:rFonts w:ascii="Arial Narrow" w:hAnsi="Arial Narrow" w:cs="Arial"/>
                <w:snapToGrid w:val="0"/>
                <w:sz w:val="20"/>
                <w:szCs w:val="20"/>
                <w:lang w:eastAsia="en-US"/>
              </w:rPr>
              <w:t xml:space="preserve"> (</w:t>
            </w:r>
            <w:proofErr w:type="spellStart"/>
            <w:r w:rsidRPr="00B8622A">
              <w:rPr>
                <w:rFonts w:ascii="Arial Narrow" w:hAnsi="Arial Narrow" w:cs="Arial"/>
                <w:snapToGrid w:val="0"/>
                <w:sz w:val="20"/>
                <w:szCs w:val="20"/>
                <w:lang w:eastAsia="en-US"/>
              </w:rPr>
              <w:t>RClb</w:t>
            </w:r>
            <w:proofErr w:type="spellEnd"/>
            <w:r w:rsidRPr="00B8622A">
              <w:rPr>
                <w:rFonts w:ascii="Arial Narrow" w:hAnsi="Arial Narrow" w:cs="Arial"/>
                <w:snapToGrid w:val="0"/>
                <w:sz w:val="20"/>
                <w:szCs w:val="20"/>
                <w:lang w:eastAsia="en-US"/>
              </w:rPr>
              <w:t xml:space="preserve">) or </w:t>
            </w:r>
            <w:proofErr w:type="spellStart"/>
            <w:r w:rsidRPr="00B8622A">
              <w:rPr>
                <w:rFonts w:ascii="Arial Narrow" w:hAnsi="Arial Narrow" w:cs="Arial"/>
                <w:snapToGrid w:val="0"/>
                <w:sz w:val="20"/>
                <w:szCs w:val="20"/>
                <w:lang w:eastAsia="en-US"/>
              </w:rPr>
              <w:t>chlorambucil</w:t>
            </w:r>
            <w:proofErr w:type="spellEnd"/>
            <w:r w:rsidRPr="00B8622A">
              <w:rPr>
                <w:rFonts w:ascii="Arial Narrow" w:hAnsi="Arial Narrow" w:cs="Arial"/>
                <w:snapToGrid w:val="0"/>
                <w:sz w:val="20"/>
                <w:szCs w:val="20"/>
                <w:lang w:eastAsia="en-US"/>
              </w:rPr>
              <w:t xml:space="preserve"> (</w:t>
            </w:r>
            <w:proofErr w:type="spellStart"/>
            <w:r w:rsidRPr="00B8622A">
              <w:rPr>
                <w:rFonts w:ascii="Arial Narrow" w:hAnsi="Arial Narrow" w:cs="Arial"/>
                <w:snapToGrid w:val="0"/>
                <w:sz w:val="20"/>
                <w:szCs w:val="20"/>
                <w:lang w:eastAsia="en-US"/>
              </w:rPr>
              <w:t>Clb</w:t>
            </w:r>
            <w:proofErr w:type="spellEnd"/>
            <w:r w:rsidRPr="00B8622A">
              <w:rPr>
                <w:rFonts w:ascii="Arial Narrow" w:hAnsi="Arial Narrow" w:cs="Arial"/>
                <w:snapToGrid w:val="0"/>
                <w:sz w:val="20"/>
                <w:szCs w:val="20"/>
                <w:lang w:eastAsia="en-US"/>
              </w:rPr>
              <w:t>) alone in previously untreated CLL patients with comorbidities. Research Report Number 1056550.</w:t>
            </w:r>
          </w:p>
          <w:p w:rsidR="00B8622A" w:rsidRPr="00B8622A" w:rsidRDefault="00B8622A"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b/>
                <w:snapToGrid w:val="0"/>
                <w:sz w:val="20"/>
                <w:szCs w:val="20"/>
                <w:lang w:eastAsia="en-US"/>
              </w:rPr>
            </w:pPr>
            <w:proofErr w:type="spellStart"/>
            <w:r w:rsidRPr="00B8622A">
              <w:rPr>
                <w:rFonts w:ascii="Arial Narrow" w:hAnsi="Arial Narrow" w:cs="Arial"/>
                <w:snapToGrid w:val="0"/>
                <w:sz w:val="20"/>
                <w:szCs w:val="20"/>
                <w:lang w:eastAsia="en-US"/>
              </w:rPr>
              <w:t>Goede</w:t>
            </w:r>
            <w:proofErr w:type="spellEnd"/>
            <w:r w:rsidRPr="00B8622A">
              <w:rPr>
                <w:rFonts w:ascii="Arial Narrow" w:hAnsi="Arial Narrow" w:cs="Arial"/>
                <w:snapToGrid w:val="0"/>
                <w:sz w:val="20"/>
                <w:szCs w:val="20"/>
                <w:lang w:eastAsia="en-US"/>
              </w:rPr>
              <w:t xml:space="preserve"> V, Fischer K, Busch R et al. </w:t>
            </w:r>
            <w:proofErr w:type="spellStart"/>
            <w:r w:rsidRPr="00B8622A">
              <w:rPr>
                <w:rFonts w:ascii="Arial Narrow" w:hAnsi="Arial Narrow" w:cs="Arial"/>
                <w:snapToGrid w:val="0"/>
                <w:sz w:val="20"/>
                <w:szCs w:val="20"/>
                <w:lang w:eastAsia="en-US"/>
              </w:rPr>
              <w:t>Obinutuzumab</w:t>
            </w:r>
            <w:proofErr w:type="spellEnd"/>
            <w:r w:rsidRPr="00B8622A">
              <w:rPr>
                <w:rFonts w:ascii="Arial Narrow" w:hAnsi="Arial Narrow" w:cs="Arial"/>
                <w:snapToGrid w:val="0"/>
                <w:sz w:val="20"/>
                <w:szCs w:val="20"/>
                <w:lang w:eastAsia="en-US"/>
              </w:rPr>
              <w:t xml:space="preserve"> plus </w:t>
            </w:r>
            <w:proofErr w:type="spellStart"/>
            <w:r w:rsidRPr="00B8622A">
              <w:rPr>
                <w:rFonts w:ascii="Arial Narrow" w:hAnsi="Arial Narrow" w:cs="Arial"/>
                <w:snapToGrid w:val="0"/>
                <w:sz w:val="20"/>
                <w:szCs w:val="20"/>
                <w:lang w:eastAsia="en-US"/>
              </w:rPr>
              <w:t>chlorambucil</w:t>
            </w:r>
            <w:proofErr w:type="spellEnd"/>
            <w:r w:rsidRPr="00B8622A">
              <w:rPr>
                <w:rFonts w:ascii="Arial Narrow" w:hAnsi="Arial Narrow" w:cs="Arial"/>
                <w:snapToGrid w:val="0"/>
                <w:sz w:val="20"/>
                <w:szCs w:val="20"/>
                <w:lang w:eastAsia="en-US"/>
              </w:rPr>
              <w:t xml:space="preserve"> in patients with CLL and coexisting conditions.</w:t>
            </w:r>
          </w:p>
        </w:tc>
        <w:tc>
          <w:tcPr>
            <w:tcW w:w="754" w:type="pct"/>
          </w:tcPr>
          <w:p w:rsidR="00B8622A" w:rsidRPr="00B8622A" w:rsidRDefault="00B8622A" w:rsidP="00146436">
            <w:pPr>
              <w:keepNext/>
              <w:keepLines/>
              <w:widowControl w:val="0"/>
              <w:rPr>
                <w:rFonts w:ascii="Arial Narrow" w:hAnsi="Arial Narrow" w:cs="Arial"/>
                <w:snapToGrid w:val="0"/>
                <w:sz w:val="20"/>
                <w:szCs w:val="20"/>
                <w:lang w:eastAsia="en-US"/>
              </w:rPr>
            </w:pPr>
            <w:r w:rsidRPr="00B8622A">
              <w:rPr>
                <w:rFonts w:ascii="Arial Narrow" w:hAnsi="Arial Narrow" w:cs="Arial"/>
                <w:snapToGrid w:val="0"/>
                <w:sz w:val="20"/>
                <w:szCs w:val="20"/>
                <w:lang w:eastAsia="en-US"/>
              </w:rPr>
              <w:t>March 2013</w:t>
            </w:r>
          </w:p>
          <w:p w:rsidR="00B8622A" w:rsidRPr="00B8622A" w:rsidRDefault="00B8622A"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snapToGrid w:val="0"/>
                <w:sz w:val="20"/>
                <w:szCs w:val="20"/>
                <w:lang w:eastAsia="en-US"/>
              </w:rPr>
            </w:pPr>
          </w:p>
          <w:p w:rsidR="00523710" w:rsidRDefault="00523710"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snapToGrid w:val="0"/>
                <w:sz w:val="20"/>
                <w:szCs w:val="20"/>
                <w:lang w:eastAsia="en-US"/>
              </w:rPr>
            </w:pPr>
            <w:r w:rsidRPr="00B8622A">
              <w:rPr>
                <w:rFonts w:ascii="Arial Narrow" w:hAnsi="Arial Narrow" w:cs="Arial"/>
                <w:snapToGrid w:val="0"/>
                <w:sz w:val="20"/>
                <w:szCs w:val="20"/>
                <w:lang w:eastAsia="en-US"/>
              </w:rPr>
              <w:t>December 2013</w:t>
            </w:r>
          </w:p>
          <w:p w:rsidR="00B8622A" w:rsidRPr="00B8622A" w:rsidRDefault="00B8622A"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snapToGrid w:val="0"/>
                <w:sz w:val="20"/>
                <w:szCs w:val="20"/>
                <w:lang w:eastAsia="en-US"/>
              </w:rPr>
            </w:pPr>
          </w:p>
          <w:p w:rsidR="00523710" w:rsidRDefault="00523710"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snapToGrid w:val="0"/>
                <w:sz w:val="20"/>
                <w:szCs w:val="20"/>
                <w:lang w:eastAsia="en-US"/>
              </w:rPr>
            </w:pPr>
            <w:r w:rsidRPr="00B8622A">
              <w:rPr>
                <w:rFonts w:ascii="Arial Narrow" w:hAnsi="Arial Narrow" w:cs="Arial"/>
                <w:snapToGrid w:val="0"/>
                <w:sz w:val="20"/>
                <w:szCs w:val="20"/>
                <w:lang w:eastAsia="en-US"/>
              </w:rPr>
              <w:t>December 2013</w:t>
            </w:r>
          </w:p>
          <w:p w:rsidR="00B8622A" w:rsidRPr="00B8622A" w:rsidRDefault="00B8622A"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snapToGrid w:val="0"/>
                <w:sz w:val="20"/>
                <w:szCs w:val="20"/>
                <w:lang w:eastAsia="en-US"/>
              </w:rPr>
            </w:pPr>
          </w:p>
          <w:p w:rsidR="00523710" w:rsidRDefault="00523710" w:rsidP="00146436">
            <w:pPr>
              <w:keepNext/>
              <w:keepLines/>
              <w:widowControl w:val="0"/>
              <w:rPr>
                <w:rFonts w:ascii="Arial Narrow" w:hAnsi="Arial Narrow" w:cs="Arial"/>
                <w:snapToGrid w:val="0"/>
                <w:sz w:val="20"/>
                <w:szCs w:val="20"/>
                <w:lang w:eastAsia="en-US"/>
              </w:rPr>
            </w:pPr>
          </w:p>
          <w:p w:rsidR="00523710" w:rsidRDefault="00523710" w:rsidP="00146436">
            <w:pPr>
              <w:keepNext/>
              <w:keepLines/>
              <w:widowControl w:val="0"/>
              <w:rPr>
                <w:rFonts w:ascii="Arial Narrow" w:hAnsi="Arial Narrow" w:cs="Arial"/>
                <w:snapToGrid w:val="0"/>
                <w:sz w:val="20"/>
                <w:szCs w:val="20"/>
                <w:lang w:eastAsia="en-US"/>
              </w:rPr>
            </w:pPr>
          </w:p>
          <w:p w:rsidR="00B8622A" w:rsidRPr="00B8622A" w:rsidRDefault="00B8622A" w:rsidP="00146436">
            <w:pPr>
              <w:keepNext/>
              <w:keepLines/>
              <w:widowControl w:val="0"/>
              <w:rPr>
                <w:rFonts w:ascii="Arial Narrow" w:hAnsi="Arial Narrow" w:cs="Arial"/>
                <w:b/>
                <w:snapToGrid w:val="0"/>
                <w:sz w:val="20"/>
                <w:szCs w:val="20"/>
                <w:lang w:eastAsia="en-US"/>
              </w:rPr>
            </w:pPr>
            <w:r w:rsidRPr="00B8622A">
              <w:rPr>
                <w:rFonts w:ascii="Arial Narrow" w:hAnsi="Arial Narrow" w:cs="Arial"/>
                <w:snapToGrid w:val="0"/>
                <w:sz w:val="20"/>
                <w:szCs w:val="20"/>
                <w:lang w:eastAsia="en-US"/>
              </w:rPr>
              <w:t xml:space="preserve">N </w:t>
            </w:r>
            <w:proofErr w:type="spellStart"/>
            <w:r w:rsidRPr="00B8622A">
              <w:rPr>
                <w:rFonts w:ascii="Arial Narrow" w:hAnsi="Arial Narrow" w:cs="Arial"/>
                <w:snapToGrid w:val="0"/>
                <w:sz w:val="20"/>
                <w:szCs w:val="20"/>
                <w:lang w:eastAsia="en-US"/>
              </w:rPr>
              <w:t>Eng</w:t>
            </w:r>
            <w:proofErr w:type="spellEnd"/>
            <w:r w:rsidRPr="00B8622A">
              <w:rPr>
                <w:rFonts w:ascii="Arial Narrow" w:hAnsi="Arial Narrow" w:cs="Arial"/>
                <w:snapToGrid w:val="0"/>
                <w:sz w:val="20"/>
                <w:szCs w:val="20"/>
                <w:lang w:eastAsia="en-US"/>
              </w:rPr>
              <w:t xml:space="preserve"> J Med 2014 Jan 8 [</w:t>
            </w:r>
            <w:proofErr w:type="spellStart"/>
            <w:r w:rsidRPr="00B8622A">
              <w:rPr>
                <w:rFonts w:ascii="Arial Narrow" w:hAnsi="Arial Narrow" w:cs="Arial"/>
                <w:snapToGrid w:val="0"/>
                <w:sz w:val="20"/>
                <w:szCs w:val="20"/>
                <w:lang w:eastAsia="en-US"/>
              </w:rPr>
              <w:t>Epub</w:t>
            </w:r>
            <w:proofErr w:type="spellEnd"/>
            <w:r w:rsidRPr="00B8622A">
              <w:rPr>
                <w:rFonts w:ascii="Arial Narrow" w:hAnsi="Arial Narrow" w:cs="Arial"/>
                <w:snapToGrid w:val="0"/>
                <w:sz w:val="20"/>
                <w:szCs w:val="20"/>
                <w:lang w:eastAsia="en-US"/>
              </w:rPr>
              <w:t xml:space="preserve"> ahead of print]</w:t>
            </w:r>
          </w:p>
        </w:tc>
      </w:tr>
    </w:tbl>
    <w:p w:rsidR="00B8622A" w:rsidRPr="00523710" w:rsidRDefault="00B8622A" w:rsidP="00523710">
      <w:pPr>
        <w:ind w:firstLine="720"/>
        <w:rPr>
          <w:rFonts w:ascii="Arial Narrow" w:hAnsi="Arial Narrow"/>
          <w:snapToGrid w:val="0"/>
          <w:sz w:val="18"/>
          <w:lang w:eastAsia="en-US"/>
        </w:rPr>
      </w:pPr>
      <w:r w:rsidRPr="00523710">
        <w:rPr>
          <w:rFonts w:ascii="Arial Narrow" w:hAnsi="Arial Narrow"/>
          <w:snapToGrid w:val="0"/>
          <w:sz w:val="18"/>
          <w:lang w:eastAsia="en-US"/>
        </w:rPr>
        <w:t xml:space="preserve">Source: Table B.2.3. </w:t>
      </w:r>
      <w:proofErr w:type="gramStart"/>
      <w:r w:rsidRPr="00523710">
        <w:rPr>
          <w:rFonts w:ascii="Arial Narrow" w:hAnsi="Arial Narrow"/>
          <w:snapToGrid w:val="0"/>
          <w:sz w:val="18"/>
          <w:lang w:eastAsia="en-US"/>
        </w:rPr>
        <w:t>pp.7-8</w:t>
      </w:r>
      <w:proofErr w:type="gramEnd"/>
      <w:r w:rsidRPr="00523710">
        <w:rPr>
          <w:rFonts w:ascii="Arial Narrow" w:hAnsi="Arial Narrow"/>
          <w:snapToGrid w:val="0"/>
          <w:sz w:val="18"/>
          <w:lang w:eastAsia="en-US"/>
        </w:rPr>
        <w:t xml:space="preserve"> of the submission.</w:t>
      </w:r>
    </w:p>
    <w:p w:rsidR="00EA212F" w:rsidRPr="00523710" w:rsidRDefault="00EA212F" w:rsidP="00523710">
      <w:pPr>
        <w:ind w:firstLine="720"/>
        <w:rPr>
          <w:rFonts w:ascii="Arial Narrow" w:hAnsi="Arial Narrow"/>
          <w:b/>
          <w:snapToGrid w:val="0"/>
          <w:sz w:val="20"/>
          <w:lang w:eastAsia="en-US"/>
        </w:rPr>
      </w:pPr>
      <w:r w:rsidRPr="00523710">
        <w:rPr>
          <w:rFonts w:ascii="Arial Narrow" w:hAnsi="Arial Narrow"/>
          <w:b/>
          <w:snapToGrid w:val="0"/>
          <w:sz w:val="20"/>
          <w:lang w:eastAsia="en-US"/>
        </w:rPr>
        <w:t>Key features of the included evidence</w:t>
      </w:r>
    </w:p>
    <w:tbl>
      <w:tblPr>
        <w:tblW w:w="456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Trials and associated reports presented in the submission"/>
      </w:tblPr>
      <w:tblGrid>
        <w:gridCol w:w="803"/>
        <w:gridCol w:w="509"/>
        <w:gridCol w:w="2293"/>
        <w:gridCol w:w="765"/>
        <w:gridCol w:w="1526"/>
        <w:gridCol w:w="1117"/>
        <w:gridCol w:w="1282"/>
      </w:tblGrid>
      <w:tr w:rsidR="00EA212F" w:rsidRPr="00EA212F" w:rsidTr="00523710">
        <w:trPr>
          <w:trHeight w:val="452"/>
        </w:trPr>
        <w:tc>
          <w:tcPr>
            <w:tcW w:w="484" w:type="pct"/>
            <w:shd w:val="clear" w:color="auto" w:fill="auto"/>
            <w:vAlign w:val="center"/>
          </w:tcPr>
          <w:p w:rsidR="00EA212F" w:rsidRPr="009922C1" w:rsidRDefault="00EA212F" w:rsidP="00D07166">
            <w:pPr>
              <w:keepNext/>
              <w:keepLines/>
              <w:widowControl w:val="0"/>
              <w:rPr>
                <w:rFonts w:ascii="Arial Narrow" w:hAnsi="Arial Narrow" w:cs="Arial"/>
                <w:b/>
                <w:snapToGrid w:val="0"/>
                <w:sz w:val="20"/>
                <w:szCs w:val="20"/>
                <w:lang w:eastAsia="en-US"/>
              </w:rPr>
            </w:pPr>
            <w:r w:rsidRPr="009922C1">
              <w:rPr>
                <w:rFonts w:ascii="Arial Narrow" w:hAnsi="Arial Narrow" w:cs="Arial"/>
                <w:b/>
                <w:snapToGrid w:val="0"/>
                <w:sz w:val="20"/>
                <w:szCs w:val="20"/>
                <w:lang w:eastAsia="en-US"/>
              </w:rPr>
              <w:lastRenderedPageBreak/>
              <w:t>Trial</w:t>
            </w:r>
          </w:p>
        </w:tc>
        <w:tc>
          <w:tcPr>
            <w:tcW w:w="307" w:type="pct"/>
            <w:shd w:val="clear" w:color="auto" w:fill="auto"/>
            <w:vAlign w:val="center"/>
          </w:tcPr>
          <w:p w:rsidR="00EA212F" w:rsidRPr="009922C1" w:rsidRDefault="00EA212F" w:rsidP="00D07166">
            <w:pPr>
              <w:keepNext/>
              <w:keepLines/>
              <w:widowControl w:val="0"/>
              <w:jc w:val="center"/>
              <w:rPr>
                <w:rFonts w:ascii="Arial Narrow" w:hAnsi="Arial Narrow" w:cs="Arial"/>
                <w:b/>
                <w:snapToGrid w:val="0"/>
                <w:sz w:val="20"/>
                <w:szCs w:val="20"/>
                <w:lang w:eastAsia="en-US"/>
              </w:rPr>
            </w:pPr>
            <w:r w:rsidRPr="009922C1">
              <w:rPr>
                <w:rFonts w:ascii="Arial Narrow" w:hAnsi="Arial Narrow" w:cs="Arial"/>
                <w:b/>
                <w:snapToGrid w:val="0"/>
                <w:sz w:val="20"/>
                <w:szCs w:val="20"/>
                <w:lang w:eastAsia="en-US"/>
              </w:rPr>
              <w:t>N</w:t>
            </w:r>
          </w:p>
        </w:tc>
        <w:tc>
          <w:tcPr>
            <w:tcW w:w="1382" w:type="pct"/>
            <w:shd w:val="clear" w:color="auto" w:fill="auto"/>
            <w:vAlign w:val="center"/>
          </w:tcPr>
          <w:p w:rsidR="00EA212F" w:rsidRPr="009922C1" w:rsidRDefault="00EA212F" w:rsidP="00D07166">
            <w:pPr>
              <w:keepNext/>
              <w:keepLines/>
              <w:widowControl w:val="0"/>
              <w:jc w:val="center"/>
              <w:rPr>
                <w:rFonts w:ascii="Arial Narrow" w:hAnsi="Arial Narrow" w:cs="Arial"/>
                <w:b/>
                <w:snapToGrid w:val="0"/>
                <w:sz w:val="20"/>
                <w:szCs w:val="20"/>
                <w:lang w:eastAsia="en-US"/>
              </w:rPr>
            </w:pPr>
            <w:r w:rsidRPr="009922C1">
              <w:rPr>
                <w:rFonts w:ascii="Arial Narrow" w:hAnsi="Arial Narrow" w:cs="Arial"/>
                <w:b/>
                <w:snapToGrid w:val="0"/>
                <w:sz w:val="20"/>
                <w:szCs w:val="20"/>
                <w:lang w:eastAsia="en-US"/>
              </w:rPr>
              <w:t>Design/ duration</w:t>
            </w:r>
          </w:p>
        </w:tc>
        <w:tc>
          <w:tcPr>
            <w:tcW w:w="461" w:type="pct"/>
            <w:shd w:val="clear" w:color="auto" w:fill="auto"/>
            <w:vAlign w:val="center"/>
          </w:tcPr>
          <w:p w:rsidR="00EA212F" w:rsidRPr="009922C1" w:rsidRDefault="00EA212F" w:rsidP="00D07166">
            <w:pPr>
              <w:keepNext/>
              <w:keepLines/>
              <w:widowControl w:val="0"/>
              <w:jc w:val="center"/>
              <w:rPr>
                <w:rFonts w:ascii="Arial Narrow" w:hAnsi="Arial Narrow" w:cs="Arial"/>
                <w:b/>
                <w:snapToGrid w:val="0"/>
                <w:sz w:val="20"/>
                <w:szCs w:val="20"/>
                <w:lang w:eastAsia="en-US"/>
              </w:rPr>
            </w:pPr>
            <w:r w:rsidRPr="009922C1">
              <w:rPr>
                <w:rFonts w:ascii="Arial Narrow" w:hAnsi="Arial Narrow" w:cs="Arial"/>
                <w:b/>
                <w:snapToGrid w:val="0"/>
                <w:sz w:val="20"/>
                <w:szCs w:val="20"/>
                <w:lang w:eastAsia="en-US"/>
              </w:rPr>
              <w:t>Risk of bias</w:t>
            </w:r>
          </w:p>
        </w:tc>
        <w:tc>
          <w:tcPr>
            <w:tcW w:w="920" w:type="pct"/>
            <w:shd w:val="clear" w:color="auto" w:fill="auto"/>
            <w:vAlign w:val="center"/>
          </w:tcPr>
          <w:p w:rsidR="00EA212F" w:rsidRPr="009922C1" w:rsidRDefault="00EA212F" w:rsidP="00D07166">
            <w:pPr>
              <w:keepNext/>
              <w:keepLines/>
              <w:widowControl w:val="0"/>
              <w:jc w:val="center"/>
              <w:rPr>
                <w:rFonts w:ascii="Arial Narrow" w:hAnsi="Arial Narrow" w:cs="Arial"/>
                <w:b/>
                <w:snapToGrid w:val="0"/>
                <w:sz w:val="20"/>
                <w:szCs w:val="20"/>
                <w:lang w:eastAsia="en-US"/>
              </w:rPr>
            </w:pPr>
            <w:r w:rsidRPr="009922C1">
              <w:rPr>
                <w:rFonts w:ascii="Arial Narrow" w:hAnsi="Arial Narrow" w:cs="Arial"/>
                <w:b/>
                <w:snapToGrid w:val="0"/>
                <w:sz w:val="20"/>
                <w:szCs w:val="20"/>
                <w:lang w:eastAsia="en-US"/>
              </w:rPr>
              <w:t>Patient population</w:t>
            </w:r>
          </w:p>
        </w:tc>
        <w:tc>
          <w:tcPr>
            <w:tcW w:w="673" w:type="pct"/>
            <w:shd w:val="clear" w:color="auto" w:fill="auto"/>
            <w:vAlign w:val="center"/>
          </w:tcPr>
          <w:p w:rsidR="00EA212F" w:rsidRPr="009922C1" w:rsidRDefault="00EA212F" w:rsidP="00D07166">
            <w:pPr>
              <w:keepNext/>
              <w:keepLines/>
              <w:widowControl w:val="0"/>
              <w:jc w:val="center"/>
              <w:rPr>
                <w:rFonts w:ascii="Arial Narrow" w:hAnsi="Arial Narrow" w:cs="Arial"/>
                <w:b/>
                <w:snapToGrid w:val="0"/>
                <w:sz w:val="20"/>
                <w:szCs w:val="20"/>
                <w:lang w:eastAsia="en-US"/>
              </w:rPr>
            </w:pPr>
            <w:r w:rsidRPr="009922C1">
              <w:rPr>
                <w:rFonts w:ascii="Arial Narrow" w:hAnsi="Arial Narrow" w:cs="Arial"/>
                <w:b/>
                <w:snapToGrid w:val="0"/>
                <w:sz w:val="20"/>
                <w:szCs w:val="20"/>
                <w:lang w:eastAsia="en-US"/>
              </w:rPr>
              <w:t>Outcome(s)</w:t>
            </w:r>
          </w:p>
        </w:tc>
        <w:tc>
          <w:tcPr>
            <w:tcW w:w="773" w:type="pct"/>
            <w:shd w:val="clear" w:color="auto" w:fill="auto"/>
            <w:vAlign w:val="center"/>
          </w:tcPr>
          <w:p w:rsidR="00EA212F" w:rsidRPr="009922C1" w:rsidRDefault="00EA212F" w:rsidP="00D07166">
            <w:pPr>
              <w:keepNext/>
              <w:keepLines/>
              <w:widowControl w:val="0"/>
              <w:jc w:val="center"/>
              <w:rPr>
                <w:rFonts w:ascii="Arial Narrow" w:hAnsi="Arial Narrow" w:cs="Arial"/>
                <w:b/>
                <w:snapToGrid w:val="0"/>
                <w:sz w:val="20"/>
                <w:szCs w:val="20"/>
                <w:lang w:eastAsia="en-US"/>
              </w:rPr>
            </w:pPr>
            <w:r w:rsidRPr="009922C1">
              <w:rPr>
                <w:rFonts w:ascii="Arial Narrow" w:hAnsi="Arial Narrow" w:cs="Arial"/>
                <w:b/>
                <w:snapToGrid w:val="0"/>
                <w:sz w:val="20"/>
                <w:szCs w:val="20"/>
                <w:lang w:eastAsia="en-US"/>
              </w:rPr>
              <w:t>Use in modelled evaluation</w:t>
            </w:r>
          </w:p>
        </w:tc>
      </w:tr>
      <w:tr w:rsidR="00EA212F" w:rsidRPr="00EA212F" w:rsidTr="00523710">
        <w:trPr>
          <w:trHeight w:val="226"/>
        </w:trPr>
        <w:tc>
          <w:tcPr>
            <w:tcW w:w="5000" w:type="pct"/>
            <w:gridSpan w:val="7"/>
            <w:shd w:val="clear" w:color="auto" w:fill="auto"/>
            <w:vAlign w:val="center"/>
          </w:tcPr>
          <w:p w:rsidR="00EA212F" w:rsidRPr="009922C1" w:rsidRDefault="00EA212F" w:rsidP="00D07166">
            <w:pPr>
              <w:keepNext/>
              <w:keepLines/>
              <w:widowControl w:val="0"/>
              <w:rPr>
                <w:rFonts w:ascii="Arial Narrow" w:hAnsi="Arial Narrow" w:cs="Arial"/>
                <w:b/>
                <w:snapToGrid w:val="0"/>
                <w:sz w:val="20"/>
                <w:szCs w:val="20"/>
                <w:lang w:eastAsia="en-US"/>
              </w:rPr>
            </w:pPr>
            <w:proofErr w:type="spellStart"/>
            <w:r w:rsidRPr="009922C1">
              <w:rPr>
                <w:rFonts w:ascii="Arial Narrow" w:hAnsi="Arial Narrow" w:cs="Arial"/>
                <w:b/>
                <w:snapToGrid w:val="0"/>
                <w:sz w:val="20"/>
                <w:szCs w:val="20"/>
                <w:lang w:eastAsia="en-US"/>
              </w:rPr>
              <w:t>Obinutuzumab</w:t>
            </w:r>
            <w:proofErr w:type="spellEnd"/>
            <w:r w:rsidRPr="009922C1">
              <w:rPr>
                <w:rFonts w:ascii="Arial Narrow" w:hAnsi="Arial Narrow" w:cs="Arial"/>
                <w:b/>
                <w:snapToGrid w:val="0"/>
                <w:sz w:val="20"/>
                <w:szCs w:val="20"/>
                <w:lang w:eastAsia="en-US"/>
              </w:rPr>
              <w:t xml:space="preserve"> +</w:t>
            </w:r>
            <w:proofErr w:type="spellStart"/>
            <w:r w:rsidRPr="009922C1">
              <w:rPr>
                <w:rFonts w:ascii="Arial Narrow" w:hAnsi="Arial Narrow" w:cs="Arial"/>
                <w:b/>
                <w:snapToGrid w:val="0"/>
                <w:sz w:val="20"/>
                <w:szCs w:val="20"/>
                <w:lang w:eastAsia="en-US"/>
              </w:rPr>
              <w:t>chlorambucil</w:t>
            </w:r>
            <w:proofErr w:type="spellEnd"/>
            <w:r w:rsidRPr="009922C1">
              <w:rPr>
                <w:rFonts w:ascii="Arial Narrow" w:hAnsi="Arial Narrow" w:cs="Arial"/>
                <w:b/>
                <w:snapToGrid w:val="0"/>
                <w:sz w:val="20"/>
                <w:szCs w:val="20"/>
                <w:lang w:eastAsia="en-US"/>
              </w:rPr>
              <w:t xml:space="preserve"> vs. </w:t>
            </w:r>
            <w:proofErr w:type="spellStart"/>
            <w:r w:rsidRPr="009922C1">
              <w:rPr>
                <w:rFonts w:ascii="Arial Narrow" w:hAnsi="Arial Narrow" w:cs="Arial"/>
                <w:b/>
                <w:snapToGrid w:val="0"/>
                <w:sz w:val="20"/>
                <w:szCs w:val="20"/>
                <w:lang w:eastAsia="en-US"/>
              </w:rPr>
              <w:t>chlorambucil</w:t>
            </w:r>
            <w:proofErr w:type="spellEnd"/>
          </w:p>
        </w:tc>
      </w:tr>
      <w:tr w:rsidR="00EA212F" w:rsidRPr="00EA212F" w:rsidTr="00523710">
        <w:trPr>
          <w:trHeight w:val="920"/>
        </w:trPr>
        <w:tc>
          <w:tcPr>
            <w:tcW w:w="484" w:type="pct"/>
            <w:shd w:val="clear" w:color="auto" w:fill="auto"/>
            <w:vAlign w:val="center"/>
          </w:tcPr>
          <w:p w:rsidR="00EA212F" w:rsidRPr="009922C1" w:rsidRDefault="00EA212F" w:rsidP="00D07166">
            <w:pPr>
              <w:keepNext/>
              <w:keepLines/>
              <w:widowControl w:val="0"/>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 xml:space="preserve">CLL11 </w:t>
            </w:r>
            <w:r w:rsidRPr="009922C1">
              <w:rPr>
                <w:rFonts w:ascii="Arial Narrow" w:hAnsi="Arial Narrow" w:cs="Arial"/>
                <w:snapToGrid w:val="0"/>
                <w:sz w:val="20"/>
                <w:szCs w:val="20"/>
                <w:lang w:eastAsia="en-US"/>
              </w:rPr>
              <w:br/>
              <w:t>Stage 1a</w:t>
            </w:r>
          </w:p>
        </w:tc>
        <w:tc>
          <w:tcPr>
            <w:tcW w:w="307" w:type="pct"/>
            <w:shd w:val="clear" w:color="auto" w:fill="auto"/>
            <w:vAlign w:val="center"/>
          </w:tcPr>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356</w:t>
            </w:r>
          </w:p>
        </w:tc>
        <w:tc>
          <w:tcPr>
            <w:tcW w:w="1382" w:type="pct"/>
            <w:shd w:val="clear" w:color="auto" w:fill="auto"/>
            <w:vAlign w:val="center"/>
          </w:tcPr>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R, OL, MC</w:t>
            </w:r>
          </w:p>
          <w:p w:rsidR="00232C76"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median follow-up 22.8 months</w:t>
            </w:r>
            <w:r w:rsidR="00232C76">
              <w:rPr>
                <w:rFonts w:ascii="Arial Narrow" w:hAnsi="Arial Narrow" w:cs="Arial"/>
                <w:snapToGrid w:val="0"/>
                <w:sz w:val="20"/>
                <w:szCs w:val="20"/>
                <w:lang w:eastAsia="en-US"/>
              </w:rPr>
              <w:t xml:space="preserve"> in</w:t>
            </w:r>
            <w:r w:rsidR="003359D9">
              <w:rPr>
                <w:rFonts w:ascii="Arial Narrow" w:hAnsi="Arial Narrow" w:cs="Arial"/>
                <w:snapToGrid w:val="0"/>
                <w:sz w:val="20"/>
                <w:szCs w:val="20"/>
                <w:lang w:eastAsia="en-US"/>
              </w:rPr>
              <w:t xml:space="preserve"> submission (31.8 months in Pre</w:t>
            </w:r>
            <w:r w:rsidR="003359D9">
              <w:rPr>
                <w:rFonts w:ascii="Arial Narrow" w:hAnsi="Arial Narrow" w:cs="Arial"/>
                <w:snapToGrid w:val="0"/>
                <w:sz w:val="20"/>
                <w:szCs w:val="20"/>
                <w:lang w:eastAsia="en-US"/>
              </w:rPr>
              <w:noBreakHyphen/>
            </w:r>
            <w:r w:rsidR="00232C76">
              <w:rPr>
                <w:rFonts w:ascii="Arial Narrow" w:hAnsi="Arial Narrow" w:cs="Arial"/>
                <w:snapToGrid w:val="0"/>
                <w:sz w:val="20"/>
                <w:szCs w:val="20"/>
                <w:lang w:eastAsia="en-US"/>
              </w:rPr>
              <w:t>PBAC response)</w:t>
            </w:r>
          </w:p>
        </w:tc>
        <w:tc>
          <w:tcPr>
            <w:tcW w:w="461" w:type="pct"/>
            <w:shd w:val="clear" w:color="auto" w:fill="auto"/>
            <w:vAlign w:val="center"/>
          </w:tcPr>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Unclear</w:t>
            </w:r>
          </w:p>
        </w:tc>
        <w:tc>
          <w:tcPr>
            <w:tcW w:w="920" w:type="pct"/>
            <w:shd w:val="clear" w:color="auto" w:fill="auto"/>
            <w:vAlign w:val="center"/>
          </w:tcPr>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Previously untreated CLL with comorbidities</w:t>
            </w:r>
          </w:p>
        </w:tc>
        <w:tc>
          <w:tcPr>
            <w:tcW w:w="673" w:type="pct"/>
            <w:shd w:val="clear" w:color="auto" w:fill="auto"/>
            <w:vAlign w:val="center"/>
          </w:tcPr>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PFS, OS (secondary)</w:t>
            </w:r>
          </w:p>
        </w:tc>
        <w:tc>
          <w:tcPr>
            <w:tcW w:w="773" w:type="pct"/>
            <w:shd w:val="clear" w:color="auto" w:fill="auto"/>
            <w:vAlign w:val="center"/>
          </w:tcPr>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Yes</w:t>
            </w:r>
          </w:p>
        </w:tc>
      </w:tr>
      <w:tr w:rsidR="00EA212F" w:rsidRPr="00EA212F" w:rsidTr="00523710">
        <w:trPr>
          <w:trHeight w:val="226"/>
        </w:trPr>
        <w:tc>
          <w:tcPr>
            <w:tcW w:w="5000" w:type="pct"/>
            <w:gridSpan w:val="7"/>
            <w:shd w:val="clear" w:color="auto" w:fill="auto"/>
            <w:vAlign w:val="center"/>
          </w:tcPr>
          <w:p w:rsidR="00EA212F" w:rsidRPr="009922C1" w:rsidRDefault="00EA212F" w:rsidP="00D07166">
            <w:pPr>
              <w:keepNext/>
              <w:keepLines/>
              <w:widowControl w:val="0"/>
              <w:rPr>
                <w:rFonts w:ascii="Arial Narrow" w:hAnsi="Arial Narrow" w:cs="Arial"/>
                <w:b/>
                <w:snapToGrid w:val="0"/>
                <w:sz w:val="20"/>
                <w:szCs w:val="20"/>
                <w:lang w:eastAsia="en-US"/>
              </w:rPr>
            </w:pPr>
            <w:proofErr w:type="spellStart"/>
            <w:r w:rsidRPr="009922C1">
              <w:rPr>
                <w:rFonts w:ascii="Arial Narrow" w:hAnsi="Arial Narrow" w:cs="Arial"/>
                <w:b/>
                <w:snapToGrid w:val="0"/>
                <w:sz w:val="20"/>
                <w:szCs w:val="20"/>
                <w:lang w:eastAsia="en-US"/>
              </w:rPr>
              <w:t>Obinutuzumab</w:t>
            </w:r>
            <w:proofErr w:type="spellEnd"/>
            <w:r w:rsidRPr="009922C1">
              <w:rPr>
                <w:rFonts w:ascii="Arial Narrow" w:hAnsi="Arial Narrow" w:cs="Arial"/>
                <w:b/>
                <w:snapToGrid w:val="0"/>
                <w:sz w:val="20"/>
                <w:szCs w:val="20"/>
                <w:lang w:eastAsia="en-US"/>
              </w:rPr>
              <w:t xml:space="preserve"> +</w:t>
            </w:r>
            <w:proofErr w:type="spellStart"/>
            <w:r w:rsidRPr="009922C1">
              <w:rPr>
                <w:rFonts w:ascii="Arial Narrow" w:hAnsi="Arial Narrow" w:cs="Arial"/>
                <w:b/>
                <w:snapToGrid w:val="0"/>
                <w:sz w:val="20"/>
                <w:szCs w:val="20"/>
                <w:lang w:eastAsia="en-US"/>
              </w:rPr>
              <w:t>chlorambucil</w:t>
            </w:r>
            <w:proofErr w:type="spellEnd"/>
            <w:r w:rsidRPr="009922C1">
              <w:rPr>
                <w:rFonts w:ascii="Arial Narrow" w:hAnsi="Arial Narrow" w:cs="Arial"/>
                <w:b/>
                <w:snapToGrid w:val="0"/>
                <w:sz w:val="20"/>
                <w:szCs w:val="20"/>
                <w:lang w:eastAsia="en-US"/>
              </w:rPr>
              <w:t xml:space="preserve"> vs. rituximab +</w:t>
            </w:r>
            <w:proofErr w:type="spellStart"/>
            <w:r w:rsidRPr="009922C1">
              <w:rPr>
                <w:rFonts w:ascii="Arial Narrow" w:hAnsi="Arial Narrow" w:cs="Arial"/>
                <w:b/>
                <w:snapToGrid w:val="0"/>
                <w:sz w:val="20"/>
                <w:szCs w:val="20"/>
                <w:lang w:eastAsia="en-US"/>
              </w:rPr>
              <w:t>chlorambucil</w:t>
            </w:r>
            <w:proofErr w:type="spellEnd"/>
          </w:p>
        </w:tc>
      </w:tr>
      <w:tr w:rsidR="00EA212F" w:rsidRPr="00EA212F" w:rsidTr="00523710">
        <w:trPr>
          <w:trHeight w:val="920"/>
        </w:trPr>
        <w:tc>
          <w:tcPr>
            <w:tcW w:w="484" w:type="pct"/>
            <w:shd w:val="clear" w:color="auto" w:fill="auto"/>
            <w:vAlign w:val="center"/>
          </w:tcPr>
          <w:p w:rsidR="00EA212F" w:rsidRPr="009922C1" w:rsidRDefault="00EA212F" w:rsidP="00D07166">
            <w:pPr>
              <w:keepNext/>
              <w:keepLines/>
              <w:widowControl w:val="0"/>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 xml:space="preserve">CLL11 </w:t>
            </w:r>
            <w:r w:rsidRPr="009922C1">
              <w:rPr>
                <w:rFonts w:ascii="Arial Narrow" w:hAnsi="Arial Narrow" w:cs="Arial"/>
                <w:snapToGrid w:val="0"/>
                <w:sz w:val="20"/>
                <w:szCs w:val="20"/>
                <w:lang w:eastAsia="en-US"/>
              </w:rPr>
              <w:br/>
              <w:t>Stage 2</w:t>
            </w:r>
          </w:p>
        </w:tc>
        <w:tc>
          <w:tcPr>
            <w:tcW w:w="307" w:type="pct"/>
            <w:shd w:val="clear" w:color="auto" w:fill="auto"/>
            <w:vAlign w:val="center"/>
          </w:tcPr>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663</w:t>
            </w:r>
          </w:p>
        </w:tc>
        <w:tc>
          <w:tcPr>
            <w:tcW w:w="1382" w:type="pct"/>
            <w:shd w:val="clear" w:color="auto" w:fill="auto"/>
            <w:vAlign w:val="center"/>
          </w:tcPr>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R, OL, MC</w:t>
            </w:r>
          </w:p>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median follow-up 18.7 months</w:t>
            </w:r>
            <w:r w:rsidR="00232C76">
              <w:rPr>
                <w:rFonts w:ascii="Arial Narrow" w:hAnsi="Arial Narrow" w:cs="Arial"/>
                <w:snapToGrid w:val="0"/>
                <w:sz w:val="20"/>
                <w:szCs w:val="20"/>
                <w:lang w:eastAsia="en-US"/>
              </w:rPr>
              <w:t xml:space="preserve"> in submis</w:t>
            </w:r>
            <w:r w:rsidR="003359D9">
              <w:rPr>
                <w:rFonts w:ascii="Arial Narrow" w:hAnsi="Arial Narrow" w:cs="Arial"/>
                <w:snapToGrid w:val="0"/>
                <w:sz w:val="20"/>
                <w:szCs w:val="20"/>
                <w:lang w:eastAsia="en-US"/>
              </w:rPr>
              <w:t>sion (27.3 months in Pre</w:t>
            </w:r>
            <w:r w:rsidR="003359D9">
              <w:rPr>
                <w:rFonts w:ascii="Arial Narrow" w:hAnsi="Arial Narrow" w:cs="Arial"/>
                <w:snapToGrid w:val="0"/>
                <w:sz w:val="20"/>
                <w:szCs w:val="20"/>
                <w:lang w:eastAsia="en-US"/>
              </w:rPr>
              <w:noBreakHyphen/>
            </w:r>
            <w:r w:rsidR="00232C76">
              <w:rPr>
                <w:rFonts w:ascii="Arial Narrow" w:hAnsi="Arial Narrow" w:cs="Arial"/>
                <w:snapToGrid w:val="0"/>
                <w:sz w:val="20"/>
                <w:szCs w:val="20"/>
                <w:lang w:eastAsia="en-US"/>
              </w:rPr>
              <w:t>PBAC response)</w:t>
            </w:r>
          </w:p>
        </w:tc>
        <w:tc>
          <w:tcPr>
            <w:tcW w:w="461" w:type="pct"/>
            <w:shd w:val="clear" w:color="auto" w:fill="auto"/>
            <w:vAlign w:val="center"/>
          </w:tcPr>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Unclear</w:t>
            </w:r>
          </w:p>
        </w:tc>
        <w:tc>
          <w:tcPr>
            <w:tcW w:w="920" w:type="pct"/>
            <w:shd w:val="clear" w:color="auto" w:fill="auto"/>
            <w:vAlign w:val="center"/>
          </w:tcPr>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Previously untreated CLL with comorbidities</w:t>
            </w:r>
          </w:p>
        </w:tc>
        <w:tc>
          <w:tcPr>
            <w:tcW w:w="673" w:type="pct"/>
            <w:shd w:val="clear" w:color="auto" w:fill="auto"/>
            <w:vAlign w:val="center"/>
          </w:tcPr>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PFS, OS (secondary)</w:t>
            </w:r>
          </w:p>
        </w:tc>
        <w:tc>
          <w:tcPr>
            <w:tcW w:w="773" w:type="pct"/>
            <w:shd w:val="clear" w:color="auto" w:fill="auto"/>
            <w:vAlign w:val="center"/>
          </w:tcPr>
          <w:p w:rsidR="00EA212F" w:rsidRPr="009922C1" w:rsidRDefault="00EA212F" w:rsidP="00D07166">
            <w:pPr>
              <w:keepNext/>
              <w:keepLines/>
              <w:widowControl w:val="0"/>
              <w:jc w:val="center"/>
              <w:rPr>
                <w:rFonts w:ascii="Arial Narrow" w:hAnsi="Arial Narrow" w:cs="Arial"/>
                <w:snapToGrid w:val="0"/>
                <w:sz w:val="20"/>
                <w:szCs w:val="20"/>
                <w:lang w:eastAsia="en-US"/>
              </w:rPr>
            </w:pPr>
            <w:r w:rsidRPr="009922C1">
              <w:rPr>
                <w:rFonts w:ascii="Arial Narrow" w:hAnsi="Arial Narrow" w:cs="Arial"/>
                <w:snapToGrid w:val="0"/>
                <w:sz w:val="20"/>
                <w:szCs w:val="20"/>
                <w:lang w:eastAsia="en-US"/>
              </w:rPr>
              <w:t>Yes</w:t>
            </w:r>
          </w:p>
        </w:tc>
      </w:tr>
    </w:tbl>
    <w:p w:rsidR="00EA212F" w:rsidRPr="00523710" w:rsidRDefault="00EA212F" w:rsidP="00523710">
      <w:pPr>
        <w:ind w:firstLine="720"/>
        <w:rPr>
          <w:rFonts w:ascii="Arial Narrow" w:hAnsi="Arial Narrow"/>
          <w:snapToGrid w:val="0"/>
          <w:sz w:val="18"/>
          <w:lang w:eastAsia="en-US"/>
        </w:rPr>
      </w:pPr>
      <w:r w:rsidRPr="00523710">
        <w:rPr>
          <w:rFonts w:ascii="Arial Narrow" w:hAnsi="Arial Narrow"/>
          <w:snapToGrid w:val="0"/>
          <w:sz w:val="18"/>
          <w:lang w:eastAsia="en-US"/>
        </w:rPr>
        <w:t>MC=multi-centre; OL=open label; OS=overall survival; PFS=progression-free survival; R=randomised;</w:t>
      </w:r>
    </w:p>
    <w:p w:rsidR="00EA212F" w:rsidRPr="00523710" w:rsidRDefault="00EA212F" w:rsidP="00523710">
      <w:pPr>
        <w:ind w:firstLine="720"/>
        <w:rPr>
          <w:rFonts w:ascii="Arial Narrow" w:hAnsi="Arial Narrow"/>
          <w:snapToGrid w:val="0"/>
          <w:sz w:val="18"/>
          <w:lang w:eastAsia="en-US"/>
        </w:rPr>
      </w:pPr>
      <w:r w:rsidRPr="00523710">
        <w:rPr>
          <w:rFonts w:ascii="Arial Narrow" w:hAnsi="Arial Narrow"/>
          <w:snapToGrid w:val="0"/>
          <w:sz w:val="18"/>
          <w:lang w:eastAsia="en-US"/>
        </w:rPr>
        <w:t>Source: compiled during the evaluation.</w:t>
      </w:r>
    </w:p>
    <w:p w:rsidR="00EA212F" w:rsidRDefault="00EA212F" w:rsidP="00EA212F">
      <w:pPr>
        <w:jc w:val="both"/>
        <w:rPr>
          <w:rFonts w:ascii="Arial" w:hAnsi="Arial"/>
          <w:sz w:val="22"/>
          <w:szCs w:val="22"/>
        </w:rPr>
      </w:pPr>
    </w:p>
    <w:p w:rsidR="003359D9" w:rsidRPr="00781F46" w:rsidRDefault="00DF60A8" w:rsidP="009874E2">
      <w:pPr>
        <w:pStyle w:val="ListParagraph"/>
        <w:numPr>
          <w:ilvl w:val="1"/>
          <w:numId w:val="25"/>
        </w:numPr>
        <w:jc w:val="both"/>
        <w:rPr>
          <w:rFonts w:ascii="Arial" w:hAnsi="Arial"/>
          <w:color w:val="00B050"/>
          <w:sz w:val="22"/>
          <w:szCs w:val="22"/>
        </w:rPr>
      </w:pPr>
      <w:r w:rsidRPr="00D07166">
        <w:rPr>
          <w:rFonts w:ascii="Arial" w:hAnsi="Arial"/>
          <w:sz w:val="22"/>
          <w:szCs w:val="22"/>
        </w:rPr>
        <w:t xml:space="preserve">The primary </w:t>
      </w:r>
      <w:r w:rsidR="004466E7">
        <w:rPr>
          <w:rFonts w:ascii="Arial" w:hAnsi="Arial"/>
          <w:sz w:val="22"/>
          <w:szCs w:val="22"/>
        </w:rPr>
        <w:t xml:space="preserve">outcome from CLL11 </w:t>
      </w:r>
      <w:r w:rsidR="006D40E1" w:rsidRPr="00D07166">
        <w:rPr>
          <w:rFonts w:ascii="Arial" w:hAnsi="Arial"/>
          <w:sz w:val="22"/>
          <w:szCs w:val="22"/>
        </w:rPr>
        <w:t>wa</w:t>
      </w:r>
      <w:r w:rsidRPr="00D07166">
        <w:rPr>
          <w:rFonts w:ascii="Arial" w:hAnsi="Arial"/>
          <w:sz w:val="22"/>
          <w:szCs w:val="22"/>
        </w:rPr>
        <w:t>s progression-free survival (PFS)</w:t>
      </w:r>
      <w:r w:rsidR="00781F46">
        <w:rPr>
          <w:rFonts w:ascii="Arial" w:hAnsi="Arial"/>
          <w:sz w:val="22"/>
          <w:szCs w:val="22"/>
        </w:rPr>
        <w:t xml:space="preserve"> as assessed by the site investigators</w:t>
      </w:r>
      <w:r w:rsidRPr="00D07166">
        <w:rPr>
          <w:rFonts w:ascii="Arial" w:hAnsi="Arial"/>
          <w:sz w:val="22"/>
          <w:szCs w:val="22"/>
        </w:rPr>
        <w:t>.</w:t>
      </w:r>
      <w:r w:rsidRPr="00D07166">
        <w:rPr>
          <w:rFonts w:ascii="Arial" w:hAnsi="Arial"/>
          <w:color w:val="4F81BD" w:themeColor="accent1"/>
          <w:sz w:val="22"/>
          <w:szCs w:val="22"/>
        </w:rPr>
        <w:t xml:space="preserve"> </w:t>
      </w:r>
      <w:r w:rsidR="00D07166" w:rsidRPr="00D07166">
        <w:rPr>
          <w:rFonts w:ascii="Arial" w:hAnsi="Arial"/>
          <w:sz w:val="22"/>
          <w:szCs w:val="22"/>
        </w:rPr>
        <w:t>Secondary outcomes included overall survival</w:t>
      </w:r>
      <w:r w:rsidR="008D4457">
        <w:rPr>
          <w:rFonts w:ascii="Arial" w:hAnsi="Arial"/>
          <w:sz w:val="22"/>
          <w:szCs w:val="22"/>
        </w:rPr>
        <w:t xml:space="preserve"> (OS)</w:t>
      </w:r>
      <w:r w:rsidR="00D07166" w:rsidRPr="00D07166">
        <w:rPr>
          <w:rFonts w:ascii="Arial" w:hAnsi="Arial"/>
          <w:sz w:val="22"/>
          <w:szCs w:val="22"/>
        </w:rPr>
        <w:t xml:space="preserve">, quality of life and </w:t>
      </w:r>
      <w:r w:rsidR="002E75CD">
        <w:rPr>
          <w:rFonts w:ascii="Arial" w:hAnsi="Arial"/>
          <w:sz w:val="22"/>
          <w:szCs w:val="22"/>
        </w:rPr>
        <w:t>t</w:t>
      </w:r>
      <w:r w:rsidR="009874E2" w:rsidRPr="009874E2">
        <w:rPr>
          <w:rFonts w:ascii="Arial" w:hAnsi="Arial"/>
          <w:sz w:val="22"/>
          <w:szCs w:val="22"/>
        </w:rPr>
        <w:t xml:space="preserve">ime to </w:t>
      </w:r>
      <w:r w:rsidR="002E75CD">
        <w:rPr>
          <w:rFonts w:ascii="Arial" w:hAnsi="Arial"/>
          <w:sz w:val="22"/>
          <w:szCs w:val="22"/>
        </w:rPr>
        <w:t>n</w:t>
      </w:r>
      <w:r w:rsidR="009874E2" w:rsidRPr="009874E2">
        <w:rPr>
          <w:rFonts w:ascii="Arial" w:hAnsi="Arial"/>
          <w:sz w:val="22"/>
          <w:szCs w:val="22"/>
        </w:rPr>
        <w:t xml:space="preserve">ew </w:t>
      </w:r>
      <w:r w:rsidR="002E75CD">
        <w:rPr>
          <w:rFonts w:ascii="Arial" w:hAnsi="Arial"/>
          <w:sz w:val="22"/>
          <w:szCs w:val="22"/>
        </w:rPr>
        <w:t>a</w:t>
      </w:r>
      <w:r w:rsidR="009874E2" w:rsidRPr="009874E2">
        <w:rPr>
          <w:rFonts w:ascii="Arial" w:hAnsi="Arial"/>
          <w:sz w:val="22"/>
          <w:szCs w:val="22"/>
        </w:rPr>
        <w:t>nti-</w:t>
      </w:r>
      <w:r w:rsidR="001A4D0E">
        <w:rPr>
          <w:rFonts w:ascii="Arial" w:hAnsi="Arial"/>
          <w:sz w:val="22"/>
          <w:szCs w:val="22"/>
        </w:rPr>
        <w:t>l</w:t>
      </w:r>
      <w:r w:rsidR="001A4D0E" w:rsidRPr="009874E2">
        <w:rPr>
          <w:rFonts w:ascii="Arial" w:hAnsi="Arial"/>
          <w:sz w:val="22"/>
          <w:szCs w:val="22"/>
        </w:rPr>
        <w:t>eukaemia</w:t>
      </w:r>
      <w:r w:rsidR="009874E2" w:rsidRPr="009874E2">
        <w:rPr>
          <w:rFonts w:ascii="Arial" w:hAnsi="Arial"/>
          <w:sz w:val="22"/>
          <w:szCs w:val="22"/>
        </w:rPr>
        <w:t xml:space="preserve"> </w:t>
      </w:r>
      <w:r w:rsidR="002E75CD">
        <w:rPr>
          <w:rFonts w:ascii="Arial" w:hAnsi="Arial"/>
          <w:sz w:val="22"/>
          <w:szCs w:val="22"/>
        </w:rPr>
        <w:t>t</w:t>
      </w:r>
      <w:r w:rsidR="009874E2" w:rsidRPr="009874E2">
        <w:rPr>
          <w:rFonts w:ascii="Arial" w:hAnsi="Arial"/>
          <w:sz w:val="22"/>
          <w:szCs w:val="22"/>
        </w:rPr>
        <w:t>reatment</w:t>
      </w:r>
      <w:r w:rsidR="002E75CD">
        <w:rPr>
          <w:rFonts w:ascii="Arial" w:hAnsi="Arial"/>
          <w:sz w:val="22"/>
          <w:szCs w:val="22"/>
        </w:rPr>
        <w:t>.</w:t>
      </w:r>
    </w:p>
    <w:p w:rsidR="004E360A" w:rsidRPr="004E360A" w:rsidRDefault="004E360A" w:rsidP="004E360A">
      <w:pPr>
        <w:pStyle w:val="ListParagraph"/>
        <w:jc w:val="both"/>
        <w:rPr>
          <w:rFonts w:ascii="Arial" w:hAnsi="Arial"/>
          <w:color w:val="00B050"/>
          <w:sz w:val="22"/>
          <w:szCs w:val="22"/>
        </w:rPr>
      </w:pPr>
    </w:p>
    <w:p w:rsidR="004079C1" w:rsidRDefault="004079C1" w:rsidP="000A2E55">
      <w:pPr>
        <w:pStyle w:val="ListParagraph"/>
        <w:numPr>
          <w:ilvl w:val="1"/>
          <w:numId w:val="25"/>
        </w:numPr>
        <w:jc w:val="both"/>
        <w:rPr>
          <w:rFonts w:ascii="Arial" w:hAnsi="Arial"/>
          <w:sz w:val="22"/>
          <w:szCs w:val="22"/>
        </w:rPr>
      </w:pPr>
      <w:r>
        <w:rPr>
          <w:rFonts w:ascii="Arial" w:hAnsi="Arial"/>
          <w:sz w:val="22"/>
          <w:szCs w:val="22"/>
        </w:rPr>
        <w:t xml:space="preserve">The comparative efficacy of </w:t>
      </w:r>
      <w:proofErr w:type="spellStart"/>
      <w:r>
        <w:rPr>
          <w:rFonts w:ascii="Arial" w:hAnsi="Arial"/>
          <w:sz w:val="22"/>
          <w:szCs w:val="22"/>
        </w:rPr>
        <w:t>obinutuzumab</w:t>
      </w:r>
      <w:proofErr w:type="spellEnd"/>
      <w:r>
        <w:rPr>
          <w:rFonts w:ascii="Arial" w:hAnsi="Arial"/>
          <w:sz w:val="22"/>
          <w:szCs w:val="22"/>
        </w:rPr>
        <w:t xml:space="preserve"> plus </w:t>
      </w:r>
      <w:proofErr w:type="spellStart"/>
      <w:r>
        <w:rPr>
          <w:rFonts w:ascii="Arial" w:hAnsi="Arial"/>
          <w:sz w:val="22"/>
          <w:szCs w:val="22"/>
        </w:rPr>
        <w:t>chlorambucil</w:t>
      </w:r>
      <w:proofErr w:type="spellEnd"/>
      <w:r>
        <w:rPr>
          <w:rFonts w:ascii="Arial" w:hAnsi="Arial"/>
          <w:sz w:val="22"/>
          <w:szCs w:val="22"/>
        </w:rPr>
        <w:t xml:space="preserve"> was </w:t>
      </w:r>
      <w:r w:rsidR="00000F41">
        <w:rPr>
          <w:rFonts w:ascii="Arial" w:hAnsi="Arial"/>
          <w:sz w:val="22"/>
          <w:szCs w:val="22"/>
        </w:rPr>
        <w:t>investigated</w:t>
      </w:r>
      <w:r>
        <w:rPr>
          <w:rFonts w:ascii="Arial" w:hAnsi="Arial"/>
          <w:sz w:val="22"/>
          <w:szCs w:val="22"/>
        </w:rPr>
        <w:t xml:space="preserve"> in Stages 1a and 2 of the trial:</w:t>
      </w:r>
    </w:p>
    <w:p w:rsidR="004079C1" w:rsidRPr="004079C1" w:rsidRDefault="004079C1" w:rsidP="004079C1">
      <w:pPr>
        <w:pStyle w:val="ListParagraph"/>
        <w:rPr>
          <w:rFonts w:ascii="Arial" w:hAnsi="Arial"/>
          <w:sz w:val="22"/>
          <w:szCs w:val="22"/>
        </w:rPr>
      </w:pPr>
    </w:p>
    <w:p w:rsidR="000A2E55" w:rsidRDefault="000A2E55" w:rsidP="004079C1">
      <w:pPr>
        <w:pStyle w:val="ListParagraph"/>
        <w:numPr>
          <w:ilvl w:val="0"/>
          <w:numId w:val="50"/>
        </w:numPr>
        <w:jc w:val="both"/>
        <w:rPr>
          <w:rFonts w:ascii="Arial" w:hAnsi="Arial"/>
          <w:color w:val="00B050"/>
          <w:sz w:val="22"/>
          <w:szCs w:val="22"/>
        </w:rPr>
      </w:pPr>
      <w:r>
        <w:rPr>
          <w:rFonts w:ascii="Arial" w:hAnsi="Arial" w:cs="Arial"/>
          <w:snapToGrid w:val="0"/>
          <w:sz w:val="22"/>
          <w:szCs w:val="20"/>
          <w:lang w:eastAsia="en-US"/>
        </w:rPr>
        <w:t xml:space="preserve">In </w:t>
      </w:r>
      <w:r w:rsidR="003D39C9">
        <w:rPr>
          <w:rFonts w:ascii="Arial" w:hAnsi="Arial" w:cs="Arial"/>
          <w:snapToGrid w:val="0"/>
          <w:sz w:val="22"/>
          <w:szCs w:val="20"/>
          <w:lang w:eastAsia="en-US"/>
        </w:rPr>
        <w:t>S</w:t>
      </w:r>
      <w:r w:rsidR="00781F46">
        <w:rPr>
          <w:rFonts w:ascii="Arial" w:hAnsi="Arial" w:cs="Arial"/>
          <w:snapToGrid w:val="0"/>
          <w:sz w:val="22"/>
          <w:szCs w:val="20"/>
          <w:lang w:eastAsia="en-US"/>
        </w:rPr>
        <w:t>tage 1a</w:t>
      </w:r>
      <w:r w:rsidR="004E360A">
        <w:rPr>
          <w:rFonts w:ascii="Arial" w:hAnsi="Arial" w:cs="Arial"/>
          <w:snapToGrid w:val="0"/>
          <w:sz w:val="22"/>
          <w:szCs w:val="20"/>
          <w:lang w:eastAsia="en-US"/>
        </w:rPr>
        <w:t xml:space="preserve"> of CLL11</w:t>
      </w:r>
      <w:r>
        <w:rPr>
          <w:rFonts w:ascii="Arial" w:hAnsi="Arial" w:cs="Arial"/>
          <w:snapToGrid w:val="0"/>
          <w:sz w:val="22"/>
          <w:szCs w:val="20"/>
          <w:lang w:eastAsia="en-US"/>
        </w:rPr>
        <w:t>,</w:t>
      </w:r>
      <w:r w:rsidR="004E360A">
        <w:rPr>
          <w:rFonts w:ascii="Arial" w:hAnsi="Arial" w:cs="Arial"/>
          <w:snapToGrid w:val="0"/>
          <w:sz w:val="22"/>
          <w:szCs w:val="20"/>
          <w:lang w:eastAsia="en-US"/>
        </w:rPr>
        <w:t xml:space="preserve"> 356 </w:t>
      </w:r>
      <w:r>
        <w:rPr>
          <w:rFonts w:ascii="Arial" w:hAnsi="Arial" w:cs="Arial"/>
          <w:snapToGrid w:val="0"/>
          <w:sz w:val="22"/>
          <w:szCs w:val="20"/>
          <w:lang w:eastAsia="en-US"/>
        </w:rPr>
        <w:t xml:space="preserve">patients were </w:t>
      </w:r>
      <w:r w:rsidR="004E360A">
        <w:rPr>
          <w:rFonts w:ascii="Arial" w:hAnsi="Arial" w:cs="Arial"/>
          <w:snapToGrid w:val="0"/>
          <w:sz w:val="22"/>
          <w:szCs w:val="20"/>
          <w:lang w:eastAsia="en-US"/>
        </w:rPr>
        <w:t xml:space="preserve">randomised 2:1 to </w:t>
      </w:r>
      <w:proofErr w:type="spellStart"/>
      <w:r w:rsidR="004E360A" w:rsidRPr="009922C1">
        <w:rPr>
          <w:rFonts w:ascii="Arial" w:hAnsi="Arial" w:cs="Arial"/>
          <w:snapToGrid w:val="0"/>
          <w:sz w:val="22"/>
          <w:szCs w:val="20"/>
          <w:lang w:eastAsia="en-US"/>
        </w:rPr>
        <w:t>obinutuzumab</w:t>
      </w:r>
      <w:proofErr w:type="spellEnd"/>
      <w:r w:rsidR="004E360A" w:rsidRPr="009922C1">
        <w:rPr>
          <w:rFonts w:ascii="Arial" w:hAnsi="Arial" w:cs="Arial"/>
          <w:snapToGrid w:val="0"/>
          <w:sz w:val="22"/>
          <w:szCs w:val="20"/>
          <w:lang w:eastAsia="en-US"/>
        </w:rPr>
        <w:t xml:space="preserve"> plus </w:t>
      </w:r>
      <w:proofErr w:type="spellStart"/>
      <w:r w:rsidR="004E360A" w:rsidRPr="009922C1">
        <w:rPr>
          <w:rFonts w:ascii="Arial" w:hAnsi="Arial" w:cs="Arial"/>
          <w:snapToGrid w:val="0"/>
          <w:sz w:val="22"/>
          <w:szCs w:val="20"/>
          <w:lang w:eastAsia="en-US"/>
        </w:rPr>
        <w:t>chlorambucil</w:t>
      </w:r>
      <w:proofErr w:type="spellEnd"/>
      <w:r>
        <w:rPr>
          <w:rFonts w:ascii="Arial" w:hAnsi="Arial" w:cs="Arial"/>
          <w:snapToGrid w:val="0"/>
          <w:sz w:val="22"/>
          <w:szCs w:val="20"/>
          <w:lang w:eastAsia="en-US"/>
        </w:rPr>
        <w:t xml:space="preserve"> versus </w:t>
      </w:r>
      <w:proofErr w:type="spellStart"/>
      <w:r w:rsidR="004E360A" w:rsidRPr="009922C1">
        <w:rPr>
          <w:rFonts w:ascii="Arial" w:hAnsi="Arial" w:cs="Arial"/>
          <w:snapToGrid w:val="0"/>
          <w:sz w:val="22"/>
          <w:szCs w:val="20"/>
          <w:lang w:eastAsia="en-US"/>
        </w:rPr>
        <w:t>chlorambucil</w:t>
      </w:r>
      <w:proofErr w:type="spellEnd"/>
      <w:r w:rsidR="004E360A" w:rsidRPr="009922C1">
        <w:rPr>
          <w:rFonts w:ascii="Arial" w:hAnsi="Arial" w:cs="Arial"/>
          <w:snapToGrid w:val="0"/>
          <w:sz w:val="22"/>
          <w:szCs w:val="20"/>
          <w:lang w:eastAsia="en-US"/>
        </w:rPr>
        <w:t xml:space="preserve"> monotherap</w:t>
      </w:r>
      <w:r w:rsidR="004E360A">
        <w:rPr>
          <w:rFonts w:ascii="Arial" w:hAnsi="Arial" w:cs="Arial"/>
          <w:snapToGrid w:val="0"/>
          <w:sz w:val="22"/>
          <w:szCs w:val="20"/>
          <w:lang w:eastAsia="en-US"/>
        </w:rPr>
        <w:t>y</w:t>
      </w:r>
      <w:r w:rsidR="00CF051F">
        <w:rPr>
          <w:rFonts w:ascii="Arial" w:hAnsi="Arial" w:cs="Arial"/>
          <w:snapToGrid w:val="0"/>
          <w:sz w:val="22"/>
          <w:szCs w:val="20"/>
          <w:lang w:eastAsia="en-US"/>
        </w:rPr>
        <w:t>.</w:t>
      </w:r>
      <w:r w:rsidRPr="000A2E55">
        <w:rPr>
          <w:rFonts w:ascii="Arial" w:hAnsi="Arial" w:cs="Arial"/>
          <w:snapToGrid w:val="0"/>
          <w:sz w:val="22"/>
          <w:szCs w:val="20"/>
          <w:lang w:eastAsia="en-US"/>
        </w:rPr>
        <w:t xml:space="preserve"> 25.4% of the </w:t>
      </w:r>
      <w:proofErr w:type="spellStart"/>
      <w:r w:rsidRPr="000A2E55">
        <w:rPr>
          <w:rFonts w:ascii="Arial" w:hAnsi="Arial" w:cs="Arial"/>
          <w:snapToGrid w:val="0"/>
          <w:sz w:val="22"/>
          <w:szCs w:val="20"/>
          <w:lang w:eastAsia="en-US"/>
        </w:rPr>
        <w:t>chlorambucil</w:t>
      </w:r>
      <w:proofErr w:type="spellEnd"/>
      <w:r w:rsidRPr="000A2E55">
        <w:rPr>
          <w:rFonts w:ascii="Arial" w:hAnsi="Arial" w:cs="Arial"/>
          <w:snapToGrid w:val="0"/>
          <w:sz w:val="22"/>
          <w:szCs w:val="20"/>
          <w:lang w:eastAsia="en-US"/>
        </w:rPr>
        <w:t xml:space="preserve"> </w:t>
      </w:r>
      <w:r>
        <w:rPr>
          <w:rFonts w:ascii="Arial" w:hAnsi="Arial" w:cs="Arial"/>
          <w:snapToGrid w:val="0"/>
          <w:sz w:val="22"/>
          <w:szCs w:val="20"/>
          <w:lang w:eastAsia="en-US"/>
        </w:rPr>
        <w:t>monotherapy</w:t>
      </w:r>
      <w:r w:rsidRPr="000A2E55">
        <w:rPr>
          <w:rFonts w:ascii="Arial" w:hAnsi="Arial" w:cs="Arial"/>
          <w:snapToGrid w:val="0"/>
          <w:sz w:val="22"/>
          <w:szCs w:val="20"/>
          <w:lang w:eastAsia="en-US"/>
        </w:rPr>
        <w:t xml:space="preserve"> patients crossed over to </w:t>
      </w:r>
      <w:proofErr w:type="spellStart"/>
      <w:r w:rsidRPr="000A2E55">
        <w:rPr>
          <w:rFonts w:ascii="Arial" w:hAnsi="Arial" w:cs="Arial"/>
          <w:snapToGrid w:val="0"/>
          <w:sz w:val="22"/>
          <w:szCs w:val="20"/>
          <w:lang w:eastAsia="en-US"/>
        </w:rPr>
        <w:t>obinutuzumab</w:t>
      </w:r>
      <w:proofErr w:type="spellEnd"/>
      <w:r w:rsidRPr="000A2E55">
        <w:rPr>
          <w:rFonts w:ascii="Arial" w:hAnsi="Arial" w:cs="Arial"/>
          <w:snapToGrid w:val="0"/>
          <w:sz w:val="22"/>
          <w:szCs w:val="20"/>
          <w:lang w:eastAsia="en-US"/>
        </w:rPr>
        <w:t xml:space="preserve"> plus </w:t>
      </w:r>
      <w:proofErr w:type="spellStart"/>
      <w:r w:rsidRPr="000A2E55">
        <w:rPr>
          <w:rFonts w:ascii="Arial" w:hAnsi="Arial" w:cs="Arial"/>
          <w:snapToGrid w:val="0"/>
          <w:sz w:val="22"/>
          <w:szCs w:val="20"/>
          <w:lang w:eastAsia="en-US"/>
        </w:rPr>
        <w:t>chlorambucil</w:t>
      </w:r>
      <w:proofErr w:type="spellEnd"/>
      <w:r w:rsidRPr="000A2E55">
        <w:rPr>
          <w:rFonts w:ascii="Arial" w:hAnsi="Arial" w:cs="Arial"/>
          <w:snapToGrid w:val="0"/>
          <w:sz w:val="22"/>
          <w:szCs w:val="20"/>
          <w:lang w:eastAsia="en-US"/>
        </w:rPr>
        <w:t xml:space="preserve"> treatment</w:t>
      </w:r>
      <w:r>
        <w:rPr>
          <w:rFonts w:ascii="Arial" w:hAnsi="Arial" w:cs="Arial"/>
          <w:snapToGrid w:val="0"/>
          <w:sz w:val="22"/>
          <w:szCs w:val="20"/>
          <w:lang w:eastAsia="en-US"/>
        </w:rPr>
        <w:t>.</w:t>
      </w:r>
    </w:p>
    <w:p w:rsidR="004079C1" w:rsidRDefault="004079C1" w:rsidP="004079C1">
      <w:pPr>
        <w:pStyle w:val="ListParagraph"/>
        <w:ind w:left="1440"/>
        <w:jc w:val="both"/>
        <w:rPr>
          <w:rFonts w:ascii="Arial" w:hAnsi="Arial"/>
          <w:sz w:val="22"/>
          <w:szCs w:val="22"/>
        </w:rPr>
      </w:pPr>
    </w:p>
    <w:p w:rsidR="004079C1" w:rsidRPr="003D39C9" w:rsidRDefault="004079C1" w:rsidP="004079C1">
      <w:pPr>
        <w:pStyle w:val="ListParagraph"/>
        <w:numPr>
          <w:ilvl w:val="0"/>
          <w:numId w:val="50"/>
        </w:numPr>
        <w:jc w:val="both"/>
        <w:rPr>
          <w:rFonts w:ascii="Arial" w:hAnsi="Arial"/>
          <w:sz w:val="22"/>
          <w:szCs w:val="22"/>
        </w:rPr>
      </w:pPr>
      <w:r w:rsidRPr="003D39C9">
        <w:rPr>
          <w:rFonts w:ascii="Arial" w:hAnsi="Arial"/>
          <w:sz w:val="22"/>
          <w:szCs w:val="22"/>
        </w:rPr>
        <w:t xml:space="preserve">In Stage 2 of CLL11, </w:t>
      </w:r>
      <w:r>
        <w:rPr>
          <w:rFonts w:ascii="Arial" w:hAnsi="Arial"/>
          <w:sz w:val="22"/>
          <w:szCs w:val="22"/>
        </w:rPr>
        <w:t xml:space="preserve">663 patients were randomised 1:1 to </w:t>
      </w:r>
      <w:proofErr w:type="spellStart"/>
      <w:r w:rsidRPr="009922C1">
        <w:rPr>
          <w:rFonts w:ascii="Arial" w:hAnsi="Arial" w:cs="Arial"/>
          <w:snapToGrid w:val="0"/>
          <w:sz w:val="22"/>
          <w:szCs w:val="20"/>
          <w:lang w:eastAsia="en-US"/>
        </w:rPr>
        <w:t>obinutuzumab</w:t>
      </w:r>
      <w:proofErr w:type="spellEnd"/>
      <w:r w:rsidRPr="009922C1">
        <w:rPr>
          <w:rFonts w:ascii="Arial" w:hAnsi="Arial" w:cs="Arial"/>
          <w:snapToGrid w:val="0"/>
          <w:sz w:val="22"/>
          <w:szCs w:val="20"/>
          <w:lang w:eastAsia="en-US"/>
        </w:rPr>
        <w:t xml:space="preserve"> plus </w:t>
      </w:r>
      <w:proofErr w:type="spellStart"/>
      <w:r w:rsidRPr="009922C1">
        <w:rPr>
          <w:rFonts w:ascii="Arial" w:hAnsi="Arial" w:cs="Arial"/>
          <w:snapToGrid w:val="0"/>
          <w:sz w:val="22"/>
          <w:szCs w:val="20"/>
          <w:lang w:eastAsia="en-US"/>
        </w:rPr>
        <w:t>chlorambucil</w:t>
      </w:r>
      <w:proofErr w:type="spellEnd"/>
      <w:r>
        <w:rPr>
          <w:rFonts w:ascii="Arial" w:hAnsi="Arial" w:cs="Arial"/>
          <w:snapToGrid w:val="0"/>
          <w:sz w:val="22"/>
          <w:szCs w:val="20"/>
          <w:lang w:eastAsia="en-US"/>
        </w:rPr>
        <w:t xml:space="preserve"> versus rituximab plus </w:t>
      </w:r>
      <w:proofErr w:type="spellStart"/>
      <w:r w:rsidRPr="009922C1">
        <w:rPr>
          <w:rFonts w:ascii="Arial" w:hAnsi="Arial" w:cs="Arial"/>
          <w:snapToGrid w:val="0"/>
          <w:sz w:val="22"/>
          <w:szCs w:val="20"/>
          <w:lang w:eastAsia="en-US"/>
        </w:rPr>
        <w:t>chlorambucil</w:t>
      </w:r>
      <w:proofErr w:type="spellEnd"/>
      <w:r>
        <w:rPr>
          <w:rFonts w:ascii="Arial" w:hAnsi="Arial" w:cs="Arial"/>
          <w:snapToGrid w:val="0"/>
          <w:sz w:val="22"/>
          <w:szCs w:val="20"/>
          <w:lang w:eastAsia="en-US"/>
        </w:rPr>
        <w:t xml:space="preserve">. Cross-over was not permitted in this stage. </w:t>
      </w:r>
    </w:p>
    <w:p w:rsidR="003D39C9" w:rsidRDefault="003D39C9" w:rsidP="003D39C9">
      <w:pPr>
        <w:pStyle w:val="ListParagraph"/>
        <w:rPr>
          <w:rFonts w:ascii="Arial" w:hAnsi="Arial"/>
          <w:sz w:val="22"/>
          <w:szCs w:val="22"/>
        </w:rPr>
      </w:pPr>
    </w:p>
    <w:p w:rsidR="009874E2" w:rsidRPr="009874E2" w:rsidRDefault="0068147D" w:rsidP="003D39C9">
      <w:pPr>
        <w:pStyle w:val="ListParagraph"/>
        <w:numPr>
          <w:ilvl w:val="1"/>
          <w:numId w:val="25"/>
        </w:numPr>
        <w:jc w:val="both"/>
        <w:rPr>
          <w:rFonts w:ascii="Arial" w:hAnsi="Arial"/>
          <w:sz w:val="22"/>
          <w:szCs w:val="22"/>
        </w:rPr>
      </w:pPr>
      <w:r w:rsidRPr="009874E2">
        <w:rPr>
          <w:rFonts w:ascii="Arial" w:hAnsi="Arial"/>
          <w:sz w:val="22"/>
          <w:szCs w:val="22"/>
        </w:rPr>
        <w:t xml:space="preserve">In Stage 1b of CLL11, 351 </w:t>
      </w:r>
      <w:r w:rsidRPr="009874E2">
        <w:rPr>
          <w:rFonts w:ascii="Arial" w:hAnsi="Arial" w:cs="Arial"/>
          <w:snapToGrid w:val="0"/>
          <w:sz w:val="22"/>
          <w:szCs w:val="20"/>
          <w:lang w:eastAsia="en-US"/>
        </w:rPr>
        <w:t xml:space="preserve">patients were randomised 2:1 to rituximab plus </w:t>
      </w:r>
      <w:proofErr w:type="spellStart"/>
      <w:r w:rsidRPr="009874E2">
        <w:rPr>
          <w:rFonts w:ascii="Arial" w:hAnsi="Arial" w:cs="Arial"/>
          <w:snapToGrid w:val="0"/>
          <w:sz w:val="22"/>
          <w:szCs w:val="20"/>
          <w:lang w:eastAsia="en-US"/>
        </w:rPr>
        <w:t>chlorambucil</w:t>
      </w:r>
      <w:proofErr w:type="spellEnd"/>
      <w:r w:rsidRPr="009874E2">
        <w:rPr>
          <w:rFonts w:ascii="Arial" w:hAnsi="Arial" w:cs="Arial"/>
          <w:snapToGrid w:val="0"/>
          <w:sz w:val="22"/>
          <w:szCs w:val="20"/>
          <w:lang w:eastAsia="en-US"/>
        </w:rPr>
        <w:t xml:space="preserve"> versus </w:t>
      </w:r>
      <w:proofErr w:type="spellStart"/>
      <w:r w:rsidRPr="009874E2">
        <w:rPr>
          <w:rFonts w:ascii="Arial" w:hAnsi="Arial" w:cs="Arial"/>
          <w:snapToGrid w:val="0"/>
          <w:sz w:val="22"/>
          <w:szCs w:val="20"/>
          <w:lang w:eastAsia="en-US"/>
        </w:rPr>
        <w:t>chlorambucil</w:t>
      </w:r>
      <w:proofErr w:type="spellEnd"/>
      <w:r w:rsidRPr="009874E2">
        <w:rPr>
          <w:rFonts w:ascii="Arial" w:hAnsi="Arial" w:cs="Arial"/>
          <w:snapToGrid w:val="0"/>
          <w:sz w:val="22"/>
          <w:szCs w:val="20"/>
          <w:lang w:eastAsia="en-US"/>
        </w:rPr>
        <w:t xml:space="preserve"> monotherapy</w:t>
      </w:r>
      <w:r w:rsidR="00D50D52">
        <w:rPr>
          <w:rFonts w:ascii="Arial" w:hAnsi="Arial" w:cs="Arial"/>
          <w:snapToGrid w:val="0"/>
          <w:sz w:val="22"/>
          <w:szCs w:val="20"/>
          <w:lang w:eastAsia="en-US"/>
        </w:rPr>
        <w:t>. A</w:t>
      </w:r>
      <w:r w:rsidRPr="009874E2">
        <w:rPr>
          <w:rFonts w:ascii="Arial" w:hAnsi="Arial" w:cs="Arial"/>
          <w:snapToGrid w:val="0"/>
          <w:sz w:val="22"/>
          <w:szCs w:val="20"/>
          <w:lang w:eastAsia="en-US"/>
        </w:rPr>
        <w:t xml:space="preserve">t median follow-up of 22.7 months, rituximab plus </w:t>
      </w:r>
      <w:proofErr w:type="spellStart"/>
      <w:r w:rsidRPr="009874E2">
        <w:rPr>
          <w:rFonts w:ascii="Arial" w:hAnsi="Arial" w:cs="Arial"/>
          <w:snapToGrid w:val="0"/>
          <w:sz w:val="22"/>
          <w:szCs w:val="20"/>
          <w:lang w:eastAsia="en-US"/>
        </w:rPr>
        <w:t>chlorambucil</w:t>
      </w:r>
      <w:proofErr w:type="spellEnd"/>
      <w:r w:rsidRPr="009874E2">
        <w:rPr>
          <w:rFonts w:ascii="Arial" w:hAnsi="Arial" w:cs="Arial"/>
          <w:snapToGrid w:val="0"/>
          <w:sz w:val="22"/>
          <w:szCs w:val="20"/>
          <w:lang w:eastAsia="en-US"/>
        </w:rPr>
        <w:t xml:space="preserve"> resulted in 16.3 months </w:t>
      </w:r>
      <w:r w:rsidR="004079C1">
        <w:rPr>
          <w:rFonts w:ascii="Arial" w:hAnsi="Arial" w:cs="Arial"/>
          <w:snapToGrid w:val="0"/>
          <w:sz w:val="22"/>
          <w:szCs w:val="20"/>
          <w:lang w:eastAsia="en-US"/>
        </w:rPr>
        <w:t xml:space="preserve">median </w:t>
      </w:r>
      <w:r w:rsidRPr="009874E2">
        <w:rPr>
          <w:rFonts w:ascii="Arial" w:hAnsi="Arial" w:cs="Arial"/>
          <w:snapToGrid w:val="0"/>
          <w:sz w:val="22"/>
          <w:szCs w:val="20"/>
          <w:lang w:eastAsia="en-US"/>
        </w:rPr>
        <w:t>PFS, compared to 11.1</w:t>
      </w:r>
      <w:r w:rsidR="004079C1">
        <w:rPr>
          <w:rFonts w:ascii="Arial" w:hAnsi="Arial" w:cs="Arial"/>
          <w:snapToGrid w:val="0"/>
          <w:sz w:val="22"/>
          <w:szCs w:val="20"/>
          <w:lang w:eastAsia="en-US"/>
        </w:rPr>
        <w:t> </w:t>
      </w:r>
      <w:r w:rsidRPr="009874E2">
        <w:rPr>
          <w:rFonts w:ascii="Arial" w:hAnsi="Arial" w:cs="Arial"/>
          <w:snapToGrid w:val="0"/>
          <w:sz w:val="22"/>
          <w:szCs w:val="20"/>
          <w:lang w:eastAsia="en-US"/>
        </w:rPr>
        <w:t xml:space="preserve">months in the </w:t>
      </w:r>
      <w:proofErr w:type="spellStart"/>
      <w:r w:rsidRPr="009874E2">
        <w:rPr>
          <w:rFonts w:ascii="Arial" w:hAnsi="Arial" w:cs="Arial"/>
          <w:snapToGrid w:val="0"/>
          <w:sz w:val="22"/>
          <w:szCs w:val="20"/>
          <w:lang w:eastAsia="en-US"/>
        </w:rPr>
        <w:t>chlorambucil</w:t>
      </w:r>
      <w:proofErr w:type="spellEnd"/>
      <w:r w:rsidRPr="009874E2">
        <w:rPr>
          <w:rFonts w:ascii="Arial" w:hAnsi="Arial" w:cs="Arial"/>
          <w:snapToGrid w:val="0"/>
          <w:sz w:val="22"/>
          <w:szCs w:val="20"/>
          <w:lang w:eastAsia="en-US"/>
        </w:rPr>
        <w:t xml:space="preserve"> monotherapy arm (PFS HR:</w:t>
      </w:r>
      <w:r w:rsidR="009874E2" w:rsidRPr="009874E2">
        <w:rPr>
          <w:rFonts w:ascii="Arial" w:hAnsi="Arial" w:cs="Arial"/>
          <w:snapToGrid w:val="0"/>
          <w:sz w:val="22"/>
          <w:szCs w:val="20"/>
          <w:lang w:eastAsia="en-US"/>
        </w:rPr>
        <w:t>0.44, p&lt;0.001)</w:t>
      </w:r>
      <w:r w:rsidR="003F16D9">
        <w:rPr>
          <w:rFonts w:ascii="Arial" w:hAnsi="Arial" w:cs="Arial"/>
          <w:snapToGrid w:val="0"/>
          <w:sz w:val="22"/>
          <w:szCs w:val="20"/>
          <w:lang w:eastAsia="en-US"/>
        </w:rPr>
        <w:t>.</w:t>
      </w:r>
      <w:r w:rsidR="009874E2" w:rsidRPr="009874E2">
        <w:rPr>
          <w:rFonts w:ascii="Arial" w:hAnsi="Arial" w:cs="Arial"/>
          <w:snapToGrid w:val="0"/>
          <w:sz w:val="22"/>
          <w:szCs w:val="20"/>
          <w:lang w:eastAsia="en-US"/>
        </w:rPr>
        <w:t xml:space="preserve"> </w:t>
      </w:r>
      <w:r w:rsidR="004079C1">
        <w:rPr>
          <w:rFonts w:ascii="Arial" w:hAnsi="Arial" w:cs="Arial"/>
          <w:snapToGrid w:val="0"/>
          <w:sz w:val="22"/>
          <w:szCs w:val="20"/>
          <w:lang w:eastAsia="en-US"/>
        </w:rPr>
        <w:t>Overall survival was not statistically significantly improved (OS HR:</w:t>
      </w:r>
      <w:r w:rsidR="009874E2" w:rsidRPr="009874E2">
        <w:rPr>
          <w:rFonts w:ascii="Arial" w:hAnsi="Arial" w:cs="Arial"/>
          <w:snapToGrid w:val="0"/>
          <w:sz w:val="22"/>
          <w:szCs w:val="20"/>
          <w:lang w:eastAsia="en-US"/>
        </w:rPr>
        <w:t xml:space="preserve"> 0.66 (</w:t>
      </w:r>
      <w:r w:rsidR="003F16D9">
        <w:rPr>
          <w:rFonts w:ascii="Arial" w:hAnsi="Arial" w:cs="Arial"/>
          <w:snapToGrid w:val="0"/>
          <w:sz w:val="22"/>
          <w:szCs w:val="20"/>
          <w:lang w:eastAsia="en-US"/>
        </w:rPr>
        <w:t xml:space="preserve">95% CI: </w:t>
      </w:r>
      <w:r w:rsidR="009874E2" w:rsidRPr="009874E2">
        <w:rPr>
          <w:rFonts w:ascii="Arial" w:hAnsi="Arial" w:cs="Arial"/>
          <w:snapToGrid w:val="0"/>
          <w:sz w:val="22"/>
          <w:szCs w:val="20"/>
          <w:lang w:eastAsia="en-US"/>
        </w:rPr>
        <w:t>0.3</w:t>
      </w:r>
      <w:r w:rsidR="00BF6917">
        <w:rPr>
          <w:rFonts w:ascii="Arial" w:hAnsi="Arial" w:cs="Arial"/>
          <w:snapToGrid w:val="0"/>
          <w:sz w:val="22"/>
          <w:szCs w:val="20"/>
          <w:lang w:eastAsia="en-US"/>
        </w:rPr>
        <w:t>9</w:t>
      </w:r>
      <w:r w:rsidR="009874E2" w:rsidRPr="009874E2">
        <w:rPr>
          <w:rFonts w:ascii="Arial" w:hAnsi="Arial" w:cs="Arial"/>
          <w:snapToGrid w:val="0"/>
          <w:sz w:val="22"/>
          <w:szCs w:val="20"/>
          <w:lang w:eastAsia="en-US"/>
        </w:rPr>
        <w:t>-1.11</w:t>
      </w:r>
      <w:r w:rsidR="003F16D9">
        <w:rPr>
          <w:rFonts w:ascii="Arial" w:hAnsi="Arial" w:cs="Arial"/>
          <w:snapToGrid w:val="0"/>
          <w:sz w:val="22"/>
          <w:szCs w:val="20"/>
          <w:lang w:eastAsia="en-US"/>
        </w:rPr>
        <w:t>; p=0.11</w:t>
      </w:r>
      <w:r w:rsidR="009874E2" w:rsidRPr="009874E2">
        <w:rPr>
          <w:rFonts w:ascii="Arial" w:hAnsi="Arial" w:cs="Arial"/>
          <w:snapToGrid w:val="0"/>
          <w:sz w:val="22"/>
          <w:szCs w:val="20"/>
          <w:lang w:eastAsia="en-US"/>
        </w:rPr>
        <w:t>)</w:t>
      </w:r>
      <w:r w:rsidR="004079C1">
        <w:rPr>
          <w:rFonts w:ascii="Arial" w:hAnsi="Arial" w:cs="Arial"/>
          <w:snapToGrid w:val="0"/>
          <w:sz w:val="22"/>
          <w:szCs w:val="20"/>
          <w:lang w:eastAsia="en-US"/>
        </w:rPr>
        <w:t>. However,</w:t>
      </w:r>
      <w:r w:rsidR="003F16D9" w:rsidRPr="009874E2">
        <w:rPr>
          <w:rFonts w:ascii="Arial" w:hAnsi="Arial" w:cs="Arial"/>
          <w:snapToGrid w:val="0"/>
          <w:sz w:val="22"/>
          <w:szCs w:val="20"/>
          <w:lang w:eastAsia="en-US"/>
        </w:rPr>
        <w:t xml:space="preserve"> this </w:t>
      </w:r>
      <w:r w:rsidR="003F16D9" w:rsidRPr="00716FB6">
        <w:rPr>
          <w:rFonts w:ascii="Arial" w:hAnsi="Arial" w:cs="Arial"/>
          <w:snapToGrid w:val="0"/>
          <w:sz w:val="22"/>
          <w:szCs w:val="20"/>
          <w:lang w:eastAsia="en-US"/>
        </w:rPr>
        <w:t xml:space="preserve">arm of the trial </w:t>
      </w:r>
      <w:r w:rsidR="00716FB6" w:rsidRPr="00716FB6">
        <w:rPr>
          <w:rFonts w:ascii="Arial" w:hAnsi="Arial" w:cs="Arial"/>
          <w:snapToGrid w:val="0"/>
          <w:sz w:val="22"/>
          <w:szCs w:val="20"/>
          <w:lang w:eastAsia="en-US"/>
        </w:rPr>
        <w:t>may have been</w:t>
      </w:r>
      <w:r w:rsidR="003F16D9" w:rsidRPr="00716FB6">
        <w:rPr>
          <w:rFonts w:ascii="Arial" w:hAnsi="Arial" w:cs="Arial"/>
          <w:snapToGrid w:val="0"/>
          <w:sz w:val="22"/>
          <w:szCs w:val="20"/>
          <w:lang w:eastAsia="en-US"/>
        </w:rPr>
        <w:t xml:space="preserve"> underpowered for this comparison (</w:t>
      </w:r>
      <w:r w:rsidR="00000F41">
        <w:rPr>
          <w:rFonts w:ascii="Arial" w:hAnsi="Arial" w:cs="Arial"/>
          <w:snapToGrid w:val="0"/>
          <w:sz w:val="22"/>
          <w:szCs w:val="20"/>
          <w:lang w:eastAsia="en-US"/>
        </w:rPr>
        <w:t xml:space="preserve">it was </w:t>
      </w:r>
      <w:r w:rsidR="003F16D9" w:rsidRPr="00716FB6">
        <w:rPr>
          <w:rFonts w:ascii="Arial" w:hAnsi="Arial" w:cs="Arial"/>
          <w:snapToGrid w:val="0"/>
          <w:sz w:val="22"/>
          <w:szCs w:val="20"/>
          <w:lang w:eastAsia="en-US"/>
        </w:rPr>
        <w:t xml:space="preserve">powered </w:t>
      </w:r>
      <w:r w:rsidR="00000F41">
        <w:rPr>
          <w:rFonts w:ascii="Arial" w:hAnsi="Arial" w:cs="Arial"/>
          <w:snapToGrid w:val="0"/>
          <w:sz w:val="22"/>
          <w:szCs w:val="20"/>
          <w:lang w:eastAsia="en-US"/>
        </w:rPr>
        <w:t>[</w:t>
      </w:r>
      <w:r w:rsidR="003F16D9" w:rsidRPr="00716FB6">
        <w:rPr>
          <w:rFonts w:ascii="Arial" w:hAnsi="Arial" w:cs="Arial"/>
          <w:snapToGrid w:val="0"/>
          <w:sz w:val="22"/>
          <w:szCs w:val="20"/>
          <w:lang w:eastAsia="en-US"/>
        </w:rPr>
        <w:t>80%</w:t>
      </w:r>
      <w:r w:rsidR="00000F41">
        <w:rPr>
          <w:rFonts w:ascii="Arial" w:hAnsi="Arial" w:cs="Arial"/>
          <w:snapToGrid w:val="0"/>
          <w:sz w:val="22"/>
          <w:szCs w:val="20"/>
          <w:lang w:eastAsia="en-US"/>
        </w:rPr>
        <w:t>]</w:t>
      </w:r>
      <w:r w:rsidR="003F16D9" w:rsidRPr="00716FB6">
        <w:rPr>
          <w:rFonts w:ascii="Arial" w:hAnsi="Arial" w:cs="Arial"/>
          <w:snapToGrid w:val="0"/>
          <w:sz w:val="22"/>
          <w:szCs w:val="20"/>
          <w:lang w:eastAsia="en-US"/>
        </w:rPr>
        <w:t xml:space="preserve"> to detect a HR of 0.6)</w:t>
      </w:r>
      <w:r w:rsidR="00716FB6" w:rsidRPr="00716FB6">
        <w:rPr>
          <w:rFonts w:ascii="Arial" w:hAnsi="Arial" w:cs="Arial"/>
          <w:snapToGrid w:val="0"/>
          <w:sz w:val="22"/>
          <w:szCs w:val="20"/>
          <w:lang w:eastAsia="en-US"/>
        </w:rPr>
        <w:t xml:space="preserve">, and </w:t>
      </w:r>
      <w:r w:rsidR="009874E2" w:rsidRPr="00716FB6">
        <w:rPr>
          <w:rFonts w:ascii="Arial" w:hAnsi="Arial" w:cs="Arial"/>
          <w:snapToGrid w:val="0"/>
          <w:sz w:val="22"/>
          <w:szCs w:val="20"/>
          <w:lang w:eastAsia="en-US"/>
        </w:rPr>
        <w:t>25.4</w:t>
      </w:r>
      <w:r w:rsidR="009874E2" w:rsidRPr="009874E2">
        <w:rPr>
          <w:rFonts w:ascii="Arial" w:hAnsi="Arial" w:cs="Arial"/>
          <w:snapToGrid w:val="0"/>
          <w:sz w:val="22"/>
          <w:szCs w:val="20"/>
          <w:lang w:eastAsia="en-US"/>
        </w:rPr>
        <w:t xml:space="preserve">% of the </w:t>
      </w:r>
      <w:proofErr w:type="spellStart"/>
      <w:r w:rsidR="009874E2" w:rsidRPr="009874E2">
        <w:rPr>
          <w:rFonts w:ascii="Arial" w:hAnsi="Arial" w:cs="Arial"/>
          <w:snapToGrid w:val="0"/>
          <w:sz w:val="22"/>
          <w:szCs w:val="20"/>
          <w:lang w:eastAsia="en-US"/>
        </w:rPr>
        <w:t>chlorambucil</w:t>
      </w:r>
      <w:proofErr w:type="spellEnd"/>
      <w:r w:rsidR="009874E2" w:rsidRPr="009874E2">
        <w:rPr>
          <w:rFonts w:ascii="Arial" w:hAnsi="Arial" w:cs="Arial"/>
          <w:snapToGrid w:val="0"/>
          <w:sz w:val="22"/>
          <w:szCs w:val="20"/>
          <w:lang w:eastAsia="en-US"/>
        </w:rPr>
        <w:t xml:space="preserve"> monotherapy patients crossed over to </w:t>
      </w:r>
      <w:proofErr w:type="spellStart"/>
      <w:r w:rsidR="009874E2" w:rsidRPr="009874E2">
        <w:rPr>
          <w:rFonts w:ascii="Arial" w:hAnsi="Arial" w:cs="Arial"/>
          <w:snapToGrid w:val="0"/>
          <w:sz w:val="22"/>
          <w:szCs w:val="20"/>
          <w:lang w:eastAsia="en-US"/>
        </w:rPr>
        <w:t>obinutuzumab</w:t>
      </w:r>
      <w:proofErr w:type="spellEnd"/>
      <w:r w:rsidR="009874E2" w:rsidRPr="009874E2">
        <w:rPr>
          <w:rFonts w:ascii="Arial" w:hAnsi="Arial" w:cs="Arial"/>
          <w:snapToGrid w:val="0"/>
          <w:sz w:val="22"/>
          <w:szCs w:val="20"/>
          <w:lang w:eastAsia="en-US"/>
        </w:rPr>
        <w:t xml:space="preserve"> plus </w:t>
      </w:r>
      <w:proofErr w:type="spellStart"/>
      <w:r w:rsidR="009874E2" w:rsidRPr="009874E2">
        <w:rPr>
          <w:rFonts w:ascii="Arial" w:hAnsi="Arial" w:cs="Arial"/>
          <w:snapToGrid w:val="0"/>
          <w:sz w:val="22"/>
          <w:szCs w:val="20"/>
          <w:lang w:eastAsia="en-US"/>
        </w:rPr>
        <w:t>chlorambucil</w:t>
      </w:r>
      <w:proofErr w:type="spellEnd"/>
      <w:r w:rsidR="009874E2" w:rsidRPr="009874E2">
        <w:rPr>
          <w:rFonts w:ascii="Arial" w:hAnsi="Arial" w:cs="Arial"/>
          <w:snapToGrid w:val="0"/>
          <w:sz w:val="22"/>
          <w:szCs w:val="20"/>
          <w:lang w:eastAsia="en-US"/>
        </w:rPr>
        <w:t xml:space="preserve"> treatment.</w:t>
      </w:r>
    </w:p>
    <w:p w:rsidR="00693766" w:rsidRPr="009874E2" w:rsidRDefault="00693766" w:rsidP="009874E2">
      <w:pPr>
        <w:pStyle w:val="ListParagrap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effectiveness</w:t>
      </w:r>
    </w:p>
    <w:p w:rsidR="005A3173" w:rsidRPr="00882085" w:rsidRDefault="005A3173" w:rsidP="00882085">
      <w:pPr>
        <w:jc w:val="both"/>
        <w:rPr>
          <w:rFonts w:ascii="Arial" w:hAnsi="Arial"/>
          <w:sz w:val="22"/>
          <w:szCs w:val="22"/>
        </w:rPr>
      </w:pPr>
    </w:p>
    <w:p w:rsidR="00EA212F" w:rsidRDefault="004E360A" w:rsidP="00EA212F">
      <w:pPr>
        <w:pStyle w:val="ListParagraph"/>
        <w:numPr>
          <w:ilvl w:val="1"/>
          <w:numId w:val="25"/>
        </w:numPr>
        <w:jc w:val="both"/>
        <w:rPr>
          <w:rFonts w:ascii="Arial" w:hAnsi="Arial"/>
          <w:sz w:val="22"/>
          <w:szCs w:val="22"/>
        </w:rPr>
      </w:pPr>
      <w:r>
        <w:rPr>
          <w:rFonts w:ascii="Arial" w:hAnsi="Arial"/>
          <w:sz w:val="22"/>
          <w:szCs w:val="22"/>
        </w:rPr>
        <w:t xml:space="preserve">The table </w:t>
      </w:r>
      <w:r w:rsidR="00000F41">
        <w:rPr>
          <w:rFonts w:ascii="Arial" w:hAnsi="Arial"/>
          <w:sz w:val="22"/>
          <w:szCs w:val="22"/>
        </w:rPr>
        <w:t xml:space="preserve">and Kaplan-Meier plots </w:t>
      </w:r>
      <w:r>
        <w:rPr>
          <w:rFonts w:ascii="Arial" w:hAnsi="Arial"/>
          <w:sz w:val="22"/>
          <w:szCs w:val="22"/>
        </w:rPr>
        <w:t>below show the c</w:t>
      </w:r>
      <w:r w:rsidR="00EA212F" w:rsidRPr="00EA212F">
        <w:rPr>
          <w:rFonts w:ascii="Arial" w:hAnsi="Arial"/>
          <w:sz w:val="22"/>
          <w:szCs w:val="22"/>
        </w:rPr>
        <w:t xml:space="preserve">omparative effectiveness </w:t>
      </w:r>
      <w:r>
        <w:rPr>
          <w:rFonts w:ascii="Arial" w:hAnsi="Arial"/>
          <w:sz w:val="22"/>
          <w:szCs w:val="22"/>
        </w:rPr>
        <w:t xml:space="preserve">of </w:t>
      </w:r>
      <w:proofErr w:type="spellStart"/>
      <w:r>
        <w:rPr>
          <w:rFonts w:ascii="Arial" w:hAnsi="Arial"/>
          <w:sz w:val="22"/>
          <w:szCs w:val="22"/>
        </w:rPr>
        <w:t>obinutuzumab</w:t>
      </w:r>
      <w:proofErr w:type="spellEnd"/>
      <w:r>
        <w:rPr>
          <w:rFonts w:ascii="Arial" w:hAnsi="Arial"/>
          <w:sz w:val="22"/>
          <w:szCs w:val="22"/>
        </w:rPr>
        <w:t xml:space="preserve"> plus </w:t>
      </w:r>
      <w:proofErr w:type="spellStart"/>
      <w:r>
        <w:rPr>
          <w:rFonts w:ascii="Arial" w:hAnsi="Arial"/>
          <w:sz w:val="22"/>
          <w:szCs w:val="22"/>
        </w:rPr>
        <w:t>chlorambucil</w:t>
      </w:r>
      <w:proofErr w:type="spellEnd"/>
      <w:r w:rsidR="00EA212F" w:rsidRPr="00EA212F">
        <w:rPr>
          <w:rFonts w:ascii="Arial" w:hAnsi="Arial"/>
          <w:sz w:val="22"/>
          <w:szCs w:val="22"/>
        </w:rPr>
        <w:t xml:space="preserve"> compared to </w:t>
      </w:r>
      <w:proofErr w:type="spellStart"/>
      <w:r w:rsidR="00EA212F" w:rsidRPr="00EA212F">
        <w:rPr>
          <w:rFonts w:ascii="Arial" w:hAnsi="Arial"/>
          <w:sz w:val="22"/>
          <w:szCs w:val="22"/>
        </w:rPr>
        <w:t>chlorambucil</w:t>
      </w:r>
      <w:proofErr w:type="spellEnd"/>
      <w:r w:rsidR="00EA212F" w:rsidRPr="00EA212F">
        <w:rPr>
          <w:rFonts w:ascii="Arial" w:hAnsi="Arial"/>
          <w:sz w:val="22"/>
          <w:szCs w:val="22"/>
        </w:rPr>
        <w:t xml:space="preserve"> monotherapy</w:t>
      </w:r>
      <w:r w:rsidR="008D4457">
        <w:rPr>
          <w:rFonts w:ascii="Arial" w:hAnsi="Arial"/>
          <w:sz w:val="22"/>
          <w:szCs w:val="22"/>
        </w:rPr>
        <w:t xml:space="preserve"> (Stage 1a)</w:t>
      </w:r>
      <w:r>
        <w:rPr>
          <w:rFonts w:ascii="Arial" w:hAnsi="Arial"/>
          <w:sz w:val="22"/>
          <w:szCs w:val="22"/>
        </w:rPr>
        <w:t>.</w:t>
      </w:r>
    </w:p>
    <w:p w:rsidR="00EA212F" w:rsidRPr="00EA212F" w:rsidRDefault="00EA212F" w:rsidP="00EA212F">
      <w:pPr>
        <w:pStyle w:val="ListParagraph"/>
        <w:rPr>
          <w:rFonts w:ascii="Arial" w:hAnsi="Arial"/>
          <w:sz w:val="22"/>
          <w:szCs w:val="22"/>
        </w:rPr>
      </w:pPr>
    </w:p>
    <w:p w:rsidR="00EA212F" w:rsidRPr="00F96AE5" w:rsidRDefault="00EA212F" w:rsidP="00F96AE5">
      <w:pPr>
        <w:ind w:firstLine="720"/>
        <w:rPr>
          <w:rFonts w:ascii="Arial Narrow" w:hAnsi="Arial Narrow"/>
          <w:b/>
          <w:snapToGrid w:val="0"/>
          <w:sz w:val="20"/>
          <w:lang w:eastAsia="en-US"/>
        </w:rPr>
      </w:pPr>
      <w:r w:rsidRPr="00F96AE5">
        <w:rPr>
          <w:rFonts w:ascii="Arial Narrow" w:hAnsi="Arial Narrow"/>
          <w:b/>
          <w:snapToGrid w:val="0"/>
          <w:sz w:val="20"/>
          <w:lang w:eastAsia="en-US"/>
        </w:rPr>
        <w:t xml:space="preserve">Key results of </w:t>
      </w:r>
      <w:proofErr w:type="spellStart"/>
      <w:r w:rsidRPr="00F96AE5">
        <w:rPr>
          <w:rFonts w:ascii="Arial Narrow" w:hAnsi="Arial Narrow"/>
          <w:b/>
          <w:snapToGrid w:val="0"/>
          <w:sz w:val="20"/>
          <w:lang w:eastAsia="en-US"/>
        </w:rPr>
        <w:t>obinutuzumab</w:t>
      </w:r>
      <w:proofErr w:type="spellEnd"/>
      <w:r w:rsidRPr="00F96AE5">
        <w:rPr>
          <w:rFonts w:ascii="Arial Narrow" w:hAnsi="Arial Narrow"/>
          <w:b/>
          <w:snapToGrid w:val="0"/>
          <w:sz w:val="20"/>
          <w:lang w:eastAsia="en-US"/>
        </w:rPr>
        <w:t xml:space="preserve"> plus </w:t>
      </w:r>
      <w:proofErr w:type="spellStart"/>
      <w:r w:rsidRPr="00F96AE5">
        <w:rPr>
          <w:rFonts w:ascii="Arial Narrow" w:hAnsi="Arial Narrow"/>
          <w:b/>
          <w:snapToGrid w:val="0"/>
          <w:sz w:val="20"/>
          <w:lang w:eastAsia="en-US"/>
        </w:rPr>
        <w:t>chlorambucil</w:t>
      </w:r>
      <w:proofErr w:type="spellEnd"/>
      <w:r w:rsidRPr="00F96AE5">
        <w:rPr>
          <w:rFonts w:ascii="Arial Narrow" w:hAnsi="Arial Narrow"/>
          <w:b/>
          <w:snapToGrid w:val="0"/>
          <w:sz w:val="20"/>
          <w:lang w:eastAsia="en-US"/>
        </w:rPr>
        <w:t xml:space="preserve"> versus </w:t>
      </w:r>
      <w:proofErr w:type="spellStart"/>
      <w:r w:rsidRPr="00F96AE5">
        <w:rPr>
          <w:rFonts w:ascii="Arial Narrow" w:hAnsi="Arial Narrow"/>
          <w:b/>
          <w:snapToGrid w:val="0"/>
          <w:sz w:val="20"/>
          <w:lang w:eastAsia="en-US"/>
        </w:rPr>
        <w:t>chlorambucil</w:t>
      </w:r>
      <w:proofErr w:type="spellEnd"/>
      <w:r w:rsidRPr="00F96AE5">
        <w:rPr>
          <w:rFonts w:ascii="Arial Narrow" w:hAnsi="Arial Narrow"/>
          <w:b/>
          <w:snapToGrid w:val="0"/>
          <w:sz w:val="20"/>
          <w:lang w:eastAsia="en-US"/>
        </w:rPr>
        <w:t xml:space="preserve"> monotherapy in CLL11 </w:t>
      </w:r>
      <w:r w:rsidR="00AE249D" w:rsidRPr="00F96AE5">
        <w:rPr>
          <w:rFonts w:ascii="Arial Narrow" w:hAnsi="Arial Narrow"/>
          <w:b/>
          <w:snapToGrid w:val="0"/>
          <w:sz w:val="20"/>
          <w:lang w:eastAsia="en-US"/>
        </w:rPr>
        <w:t>(Stage 1a)</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ey results of obinutuzumab plus chlorambucil versus chlorambucil monotherapy in CLL11 (Stage 1a)"/>
      </w:tblPr>
      <w:tblGrid>
        <w:gridCol w:w="1843"/>
        <w:gridCol w:w="1820"/>
        <w:gridCol w:w="1883"/>
        <w:gridCol w:w="1380"/>
        <w:gridCol w:w="1437"/>
      </w:tblGrid>
      <w:tr w:rsidR="00EA212F" w:rsidRPr="00EA212F" w:rsidTr="00F96AE5">
        <w:trPr>
          <w:trHeight w:val="690"/>
        </w:trPr>
        <w:tc>
          <w:tcPr>
            <w:tcW w:w="1102" w:type="pct"/>
            <w:shd w:val="clear" w:color="auto" w:fill="auto"/>
            <w:vAlign w:val="center"/>
          </w:tcPr>
          <w:p w:rsidR="00EA212F" w:rsidRPr="00EA212F" w:rsidRDefault="00EA212F" w:rsidP="009874E2">
            <w:pPr>
              <w:keepNext/>
              <w:keepLines/>
              <w:widowControl w:val="0"/>
              <w:rPr>
                <w:rFonts w:ascii="Arial Narrow" w:hAnsi="Arial Narrow" w:cs="Arial"/>
                <w:b/>
                <w:snapToGrid w:val="0"/>
                <w:sz w:val="20"/>
                <w:szCs w:val="20"/>
                <w:lang w:eastAsia="en-US"/>
              </w:rPr>
            </w:pPr>
          </w:p>
        </w:tc>
        <w:tc>
          <w:tcPr>
            <w:tcW w:w="1088" w:type="pct"/>
            <w:shd w:val="clear" w:color="auto" w:fill="auto"/>
            <w:vAlign w:val="center"/>
          </w:tcPr>
          <w:p w:rsidR="00EA212F" w:rsidRPr="00EA212F" w:rsidRDefault="00EA212F" w:rsidP="009874E2">
            <w:pPr>
              <w:keepNext/>
              <w:keepLines/>
              <w:widowControl w:val="0"/>
              <w:jc w:val="center"/>
              <w:rPr>
                <w:rFonts w:ascii="Arial Narrow" w:hAnsi="Arial Narrow" w:cs="Arial"/>
                <w:b/>
                <w:snapToGrid w:val="0"/>
                <w:sz w:val="20"/>
                <w:szCs w:val="20"/>
                <w:lang w:eastAsia="en-US"/>
              </w:rPr>
            </w:pPr>
            <w:proofErr w:type="spellStart"/>
            <w:r w:rsidRPr="00EA212F">
              <w:rPr>
                <w:rFonts w:ascii="Arial Narrow" w:hAnsi="Arial Narrow" w:cs="Arial"/>
                <w:b/>
                <w:snapToGrid w:val="0"/>
                <w:sz w:val="20"/>
                <w:szCs w:val="20"/>
                <w:lang w:eastAsia="en-US"/>
              </w:rPr>
              <w:t>Obinutuzumab</w:t>
            </w:r>
            <w:proofErr w:type="spellEnd"/>
            <w:r w:rsidRPr="00EA212F">
              <w:rPr>
                <w:rFonts w:ascii="Arial Narrow" w:hAnsi="Arial Narrow" w:cs="Arial"/>
                <w:b/>
                <w:snapToGrid w:val="0"/>
                <w:sz w:val="20"/>
                <w:szCs w:val="20"/>
                <w:lang w:eastAsia="en-US"/>
              </w:rPr>
              <w:t xml:space="preserve"> +</w:t>
            </w:r>
            <w:proofErr w:type="spellStart"/>
            <w:r w:rsidRPr="00EA212F">
              <w:rPr>
                <w:rFonts w:ascii="Arial Narrow" w:hAnsi="Arial Narrow" w:cs="Arial"/>
                <w:b/>
                <w:snapToGrid w:val="0"/>
                <w:sz w:val="20"/>
                <w:szCs w:val="20"/>
                <w:lang w:eastAsia="en-US"/>
              </w:rPr>
              <w:t>chlorambucil</w:t>
            </w:r>
            <w:proofErr w:type="spellEnd"/>
            <w:r w:rsidRPr="00EA212F">
              <w:rPr>
                <w:rFonts w:ascii="Arial Narrow" w:hAnsi="Arial Narrow" w:cs="Arial"/>
                <w:b/>
                <w:snapToGrid w:val="0"/>
                <w:sz w:val="20"/>
                <w:szCs w:val="20"/>
                <w:lang w:eastAsia="en-US"/>
              </w:rPr>
              <w:t xml:space="preserve"> </w:t>
            </w:r>
          </w:p>
          <w:p w:rsidR="00EA212F" w:rsidRPr="00EA212F" w:rsidRDefault="00EA212F" w:rsidP="009874E2">
            <w:pPr>
              <w:keepNext/>
              <w:keepLines/>
              <w:widowControl w:val="0"/>
              <w:jc w:val="center"/>
              <w:rPr>
                <w:rFonts w:ascii="Arial Narrow" w:hAnsi="Arial Narrow" w:cs="Arial"/>
                <w:b/>
                <w:snapToGrid w:val="0"/>
                <w:sz w:val="20"/>
                <w:szCs w:val="20"/>
                <w:lang w:eastAsia="en-US"/>
              </w:rPr>
            </w:pPr>
            <w:proofErr w:type="gramStart"/>
            <w:r w:rsidRPr="00EA212F">
              <w:rPr>
                <w:rFonts w:ascii="Arial Narrow" w:hAnsi="Arial Narrow" w:cs="Arial"/>
                <w:b/>
                <w:snapToGrid w:val="0"/>
                <w:sz w:val="20"/>
                <w:szCs w:val="20"/>
                <w:lang w:eastAsia="en-US"/>
              </w:rPr>
              <w:t>n</w:t>
            </w:r>
            <w:proofErr w:type="gramEnd"/>
            <w:r w:rsidRPr="00EA212F">
              <w:rPr>
                <w:rFonts w:ascii="Arial Narrow" w:hAnsi="Arial Narrow" w:cs="Arial"/>
                <w:b/>
                <w:snapToGrid w:val="0"/>
                <w:sz w:val="20"/>
                <w:szCs w:val="20"/>
                <w:lang w:eastAsia="en-US"/>
              </w:rPr>
              <w:t xml:space="preserve"> with event/N (%)</w:t>
            </w:r>
          </w:p>
        </w:tc>
        <w:tc>
          <w:tcPr>
            <w:tcW w:w="1126" w:type="pct"/>
            <w:shd w:val="clear" w:color="auto" w:fill="auto"/>
            <w:vAlign w:val="center"/>
          </w:tcPr>
          <w:p w:rsidR="00EA212F" w:rsidRPr="00EA212F" w:rsidRDefault="00EA212F" w:rsidP="009874E2">
            <w:pPr>
              <w:keepNext/>
              <w:keepLines/>
              <w:widowControl w:val="0"/>
              <w:jc w:val="center"/>
              <w:rPr>
                <w:rFonts w:ascii="Arial Narrow" w:hAnsi="Arial Narrow" w:cs="Arial"/>
                <w:b/>
                <w:snapToGrid w:val="0"/>
                <w:sz w:val="20"/>
                <w:szCs w:val="20"/>
                <w:lang w:eastAsia="en-US"/>
              </w:rPr>
            </w:pPr>
            <w:proofErr w:type="spellStart"/>
            <w:r w:rsidRPr="00EA212F">
              <w:rPr>
                <w:rFonts w:ascii="Arial Narrow" w:hAnsi="Arial Narrow" w:cs="Arial"/>
                <w:b/>
                <w:snapToGrid w:val="0"/>
                <w:sz w:val="20"/>
                <w:szCs w:val="20"/>
                <w:lang w:eastAsia="en-US"/>
              </w:rPr>
              <w:t>Chlorambucil</w:t>
            </w:r>
            <w:proofErr w:type="spellEnd"/>
          </w:p>
          <w:p w:rsidR="00EA212F" w:rsidRPr="00EA212F" w:rsidRDefault="00EA212F" w:rsidP="009874E2">
            <w:pPr>
              <w:keepNext/>
              <w:keepLines/>
              <w:widowControl w:val="0"/>
              <w:jc w:val="center"/>
              <w:rPr>
                <w:rFonts w:ascii="Arial Narrow" w:hAnsi="Arial Narrow" w:cs="Arial"/>
                <w:b/>
                <w:snapToGrid w:val="0"/>
                <w:sz w:val="20"/>
                <w:szCs w:val="20"/>
                <w:lang w:eastAsia="en-US"/>
              </w:rPr>
            </w:pPr>
            <w:proofErr w:type="gramStart"/>
            <w:r w:rsidRPr="00EA212F">
              <w:rPr>
                <w:rFonts w:ascii="Arial Narrow" w:hAnsi="Arial Narrow" w:cs="Arial"/>
                <w:b/>
                <w:snapToGrid w:val="0"/>
                <w:sz w:val="20"/>
                <w:szCs w:val="20"/>
                <w:lang w:eastAsia="en-US"/>
              </w:rPr>
              <w:t>n</w:t>
            </w:r>
            <w:proofErr w:type="gramEnd"/>
            <w:r w:rsidRPr="00EA212F">
              <w:rPr>
                <w:rFonts w:ascii="Arial Narrow" w:hAnsi="Arial Narrow" w:cs="Arial"/>
                <w:b/>
                <w:snapToGrid w:val="0"/>
                <w:sz w:val="20"/>
                <w:szCs w:val="20"/>
                <w:lang w:eastAsia="en-US"/>
              </w:rPr>
              <w:t xml:space="preserve"> with event/N (%)</w:t>
            </w:r>
          </w:p>
        </w:tc>
        <w:tc>
          <w:tcPr>
            <w:tcW w:w="825" w:type="pct"/>
            <w:vAlign w:val="center"/>
          </w:tcPr>
          <w:p w:rsidR="00EA212F" w:rsidRPr="00EA212F" w:rsidRDefault="00EA212F" w:rsidP="009874E2">
            <w:pPr>
              <w:keepNext/>
              <w:keepLines/>
              <w:widowControl w:val="0"/>
              <w:jc w:val="center"/>
              <w:rPr>
                <w:rFonts w:ascii="Arial Narrow" w:hAnsi="Arial Narrow" w:cs="Arial"/>
                <w:b/>
                <w:snapToGrid w:val="0"/>
                <w:sz w:val="20"/>
                <w:szCs w:val="20"/>
                <w:lang w:eastAsia="en-US"/>
              </w:rPr>
            </w:pPr>
            <w:r w:rsidRPr="00EA212F">
              <w:rPr>
                <w:rFonts w:ascii="Arial Narrow" w:hAnsi="Arial Narrow" w:cs="Arial"/>
                <w:b/>
                <w:snapToGrid w:val="0"/>
                <w:sz w:val="20"/>
                <w:szCs w:val="20"/>
                <w:lang w:eastAsia="en-US"/>
              </w:rPr>
              <w:t>RD</w:t>
            </w:r>
          </w:p>
          <w:p w:rsidR="00EA212F" w:rsidRPr="00EA212F" w:rsidDel="008D5AB7" w:rsidRDefault="00EA212F" w:rsidP="009874E2">
            <w:pPr>
              <w:keepNext/>
              <w:keepLines/>
              <w:widowControl w:val="0"/>
              <w:jc w:val="center"/>
              <w:rPr>
                <w:rFonts w:ascii="Arial Narrow" w:hAnsi="Arial Narrow" w:cs="Arial"/>
                <w:b/>
                <w:snapToGrid w:val="0"/>
                <w:sz w:val="20"/>
                <w:szCs w:val="20"/>
                <w:lang w:eastAsia="en-US"/>
              </w:rPr>
            </w:pPr>
            <w:r w:rsidRPr="00EA212F">
              <w:rPr>
                <w:rFonts w:ascii="Arial Narrow" w:hAnsi="Arial Narrow" w:cs="Arial"/>
                <w:b/>
                <w:snapToGrid w:val="0"/>
                <w:sz w:val="20"/>
                <w:szCs w:val="20"/>
                <w:lang w:eastAsia="en-US"/>
              </w:rPr>
              <w:t>(95% CI)</w:t>
            </w:r>
          </w:p>
        </w:tc>
        <w:tc>
          <w:tcPr>
            <w:tcW w:w="859" w:type="pct"/>
            <w:shd w:val="clear" w:color="auto" w:fill="auto"/>
            <w:vAlign w:val="center"/>
          </w:tcPr>
          <w:p w:rsidR="00EA212F" w:rsidRPr="00EA212F" w:rsidRDefault="00EA212F" w:rsidP="009874E2">
            <w:pPr>
              <w:keepNext/>
              <w:keepLines/>
              <w:widowControl w:val="0"/>
              <w:jc w:val="center"/>
              <w:rPr>
                <w:rFonts w:ascii="Arial Narrow" w:hAnsi="Arial Narrow" w:cs="Arial"/>
                <w:b/>
                <w:snapToGrid w:val="0"/>
                <w:sz w:val="20"/>
                <w:szCs w:val="20"/>
                <w:lang w:eastAsia="en-US"/>
              </w:rPr>
            </w:pPr>
            <w:r w:rsidRPr="00EA212F">
              <w:rPr>
                <w:rFonts w:ascii="Arial Narrow" w:hAnsi="Arial Narrow" w:cs="Arial"/>
                <w:b/>
                <w:snapToGrid w:val="0"/>
                <w:sz w:val="20"/>
                <w:szCs w:val="20"/>
                <w:lang w:eastAsia="en-US"/>
              </w:rPr>
              <w:t>Hazard ratio</w:t>
            </w:r>
          </w:p>
          <w:p w:rsidR="00EA212F" w:rsidRPr="00EA212F" w:rsidRDefault="00EA212F" w:rsidP="009874E2">
            <w:pPr>
              <w:keepNext/>
              <w:keepLines/>
              <w:widowControl w:val="0"/>
              <w:jc w:val="center"/>
              <w:rPr>
                <w:rFonts w:ascii="Arial Narrow" w:hAnsi="Arial Narrow" w:cs="Arial"/>
                <w:b/>
                <w:snapToGrid w:val="0"/>
                <w:sz w:val="20"/>
                <w:szCs w:val="20"/>
                <w:lang w:eastAsia="en-US"/>
              </w:rPr>
            </w:pPr>
            <w:r w:rsidRPr="00EA212F">
              <w:rPr>
                <w:rFonts w:ascii="Arial Narrow" w:hAnsi="Arial Narrow" w:cs="Arial"/>
                <w:b/>
                <w:snapToGrid w:val="0"/>
                <w:sz w:val="20"/>
                <w:szCs w:val="20"/>
                <w:lang w:eastAsia="en-US"/>
              </w:rPr>
              <w:t>(95% CI)</w:t>
            </w:r>
          </w:p>
        </w:tc>
      </w:tr>
      <w:tr w:rsidR="00EA212F" w:rsidRPr="00EA212F" w:rsidTr="00F96AE5">
        <w:trPr>
          <w:trHeight w:val="230"/>
        </w:trPr>
        <w:tc>
          <w:tcPr>
            <w:tcW w:w="5000" w:type="pct"/>
            <w:gridSpan w:val="5"/>
          </w:tcPr>
          <w:p w:rsidR="00EA212F" w:rsidRPr="00EA212F" w:rsidRDefault="00EA212F" w:rsidP="009874E2">
            <w:pPr>
              <w:keepNext/>
              <w:keepLines/>
              <w:widowControl w:val="0"/>
              <w:rPr>
                <w:rFonts w:ascii="Arial Narrow" w:hAnsi="Arial Narrow" w:cs="Arial"/>
                <w:b/>
                <w:sz w:val="20"/>
                <w:szCs w:val="20"/>
                <w:lang w:eastAsia="en-US"/>
              </w:rPr>
            </w:pPr>
            <w:r w:rsidRPr="00EA212F">
              <w:rPr>
                <w:rFonts w:ascii="Arial Narrow" w:hAnsi="Arial Narrow" w:cs="Arial"/>
                <w:b/>
                <w:snapToGrid w:val="0"/>
                <w:sz w:val="20"/>
                <w:szCs w:val="20"/>
                <w:lang w:eastAsia="en-US"/>
              </w:rPr>
              <w:t>Progression free survival</w:t>
            </w:r>
            <w:r w:rsidR="00F93215">
              <w:rPr>
                <w:rFonts w:ascii="Arial Narrow" w:hAnsi="Arial Narrow" w:cs="Arial"/>
                <w:b/>
                <w:snapToGrid w:val="0"/>
                <w:sz w:val="20"/>
                <w:szCs w:val="20"/>
                <w:lang w:eastAsia="en-US"/>
              </w:rPr>
              <w:t xml:space="preserve"> (investigator assessed)</w:t>
            </w:r>
          </w:p>
        </w:tc>
      </w:tr>
      <w:tr w:rsidR="00EA212F" w:rsidRPr="00EA212F" w:rsidTr="00F96AE5">
        <w:trPr>
          <w:trHeight w:val="230"/>
        </w:trPr>
        <w:tc>
          <w:tcPr>
            <w:tcW w:w="1102" w:type="pct"/>
            <w:shd w:val="clear" w:color="auto" w:fill="auto"/>
            <w:vAlign w:val="center"/>
          </w:tcPr>
          <w:p w:rsidR="00EA212F" w:rsidRPr="00EA212F" w:rsidRDefault="00EA212F" w:rsidP="009874E2">
            <w:pPr>
              <w:keepNext/>
              <w:keepLines/>
              <w:widowControl w:val="0"/>
              <w:rPr>
                <w:rFonts w:ascii="Arial Narrow" w:hAnsi="Arial Narrow" w:cs="Arial"/>
                <w:snapToGrid w:val="0"/>
                <w:sz w:val="20"/>
                <w:szCs w:val="20"/>
                <w:lang w:eastAsia="en-US"/>
              </w:rPr>
            </w:pPr>
            <w:r w:rsidRPr="00EA212F">
              <w:rPr>
                <w:rFonts w:ascii="Arial Narrow" w:hAnsi="Arial Narrow" w:cs="Arial"/>
                <w:snapToGrid w:val="0"/>
                <w:sz w:val="20"/>
                <w:szCs w:val="20"/>
                <w:lang w:eastAsia="en-US"/>
              </w:rPr>
              <w:t xml:space="preserve">14.2 </w:t>
            </w:r>
            <w:proofErr w:type="spellStart"/>
            <w:r w:rsidRPr="00EA212F">
              <w:rPr>
                <w:rFonts w:ascii="Arial Narrow" w:hAnsi="Arial Narrow" w:cs="Arial"/>
                <w:snapToGrid w:val="0"/>
                <w:sz w:val="20"/>
                <w:szCs w:val="20"/>
                <w:lang w:eastAsia="en-US"/>
              </w:rPr>
              <w:t>mths</w:t>
            </w:r>
            <w:proofErr w:type="spellEnd"/>
            <w:r w:rsidRPr="00EA212F">
              <w:rPr>
                <w:rFonts w:ascii="Arial Narrow" w:hAnsi="Arial Narrow" w:cs="Arial"/>
                <w:snapToGrid w:val="0"/>
                <w:sz w:val="20"/>
                <w:szCs w:val="20"/>
                <w:lang w:eastAsia="en-US"/>
              </w:rPr>
              <w:t xml:space="preserve"> follow-up</w:t>
            </w:r>
          </w:p>
        </w:tc>
        <w:tc>
          <w:tcPr>
            <w:tcW w:w="1088" w:type="pct"/>
            <w:shd w:val="clear" w:color="auto" w:fill="auto"/>
            <w:vAlign w:val="center"/>
          </w:tcPr>
          <w:p w:rsidR="00EA212F" w:rsidRPr="00EA212F" w:rsidRDefault="00EA212F" w:rsidP="009874E2">
            <w:pPr>
              <w:keepNext/>
              <w:keepLines/>
              <w:widowControl w:val="0"/>
              <w:jc w:val="center"/>
              <w:rPr>
                <w:rFonts w:ascii="Arial Narrow" w:hAnsi="Arial Narrow" w:cs="Arial"/>
                <w:snapToGrid w:val="0"/>
                <w:sz w:val="20"/>
                <w:szCs w:val="20"/>
                <w:lang w:eastAsia="en-US"/>
              </w:rPr>
            </w:pPr>
            <w:r w:rsidRPr="00EA212F">
              <w:rPr>
                <w:rFonts w:ascii="Arial Narrow" w:hAnsi="Arial Narrow" w:cs="Arial"/>
                <w:snapToGrid w:val="0"/>
                <w:sz w:val="20"/>
                <w:szCs w:val="20"/>
                <w:lang w:eastAsia="en-US"/>
              </w:rPr>
              <w:t>52/238</w:t>
            </w:r>
            <w:r w:rsidRPr="00EA212F" w:rsidDel="00002025">
              <w:rPr>
                <w:rFonts w:ascii="Arial Narrow" w:hAnsi="Arial Narrow" w:cs="Arial"/>
                <w:snapToGrid w:val="0"/>
                <w:sz w:val="20"/>
                <w:szCs w:val="20"/>
                <w:lang w:eastAsia="en-US"/>
              </w:rPr>
              <w:t xml:space="preserve"> </w:t>
            </w:r>
            <w:r w:rsidRPr="00EA212F">
              <w:rPr>
                <w:rFonts w:ascii="Arial Narrow" w:hAnsi="Arial Narrow" w:cs="Arial"/>
                <w:snapToGrid w:val="0"/>
                <w:sz w:val="20"/>
                <w:szCs w:val="20"/>
                <w:lang w:eastAsia="en-US"/>
              </w:rPr>
              <w:t>(21.8%)</w:t>
            </w:r>
          </w:p>
        </w:tc>
        <w:tc>
          <w:tcPr>
            <w:tcW w:w="1126" w:type="pct"/>
            <w:shd w:val="clear" w:color="auto" w:fill="auto"/>
            <w:vAlign w:val="center"/>
          </w:tcPr>
          <w:p w:rsidR="00EA212F" w:rsidRPr="00EA212F" w:rsidRDefault="00EA212F" w:rsidP="009874E2">
            <w:pPr>
              <w:keepNext/>
              <w:keepLines/>
              <w:widowControl w:val="0"/>
              <w:jc w:val="center"/>
              <w:rPr>
                <w:rFonts w:ascii="Arial Narrow" w:hAnsi="Arial Narrow" w:cs="Arial"/>
                <w:snapToGrid w:val="0"/>
                <w:sz w:val="20"/>
                <w:szCs w:val="20"/>
                <w:lang w:eastAsia="en-US"/>
              </w:rPr>
            </w:pPr>
            <w:r w:rsidRPr="00EA212F">
              <w:rPr>
                <w:rFonts w:ascii="Arial Narrow" w:hAnsi="Arial Narrow" w:cs="Arial"/>
                <w:snapToGrid w:val="0"/>
                <w:sz w:val="20"/>
                <w:szCs w:val="20"/>
                <w:lang w:eastAsia="en-US"/>
              </w:rPr>
              <w:t>71/118</w:t>
            </w:r>
            <w:r w:rsidRPr="00EA212F" w:rsidDel="00002025">
              <w:rPr>
                <w:rFonts w:ascii="Arial Narrow" w:hAnsi="Arial Narrow" w:cs="Arial"/>
                <w:snapToGrid w:val="0"/>
                <w:sz w:val="20"/>
                <w:szCs w:val="20"/>
                <w:lang w:eastAsia="en-US"/>
              </w:rPr>
              <w:t xml:space="preserve"> </w:t>
            </w:r>
            <w:r w:rsidRPr="00EA212F">
              <w:rPr>
                <w:rFonts w:ascii="Arial Narrow" w:hAnsi="Arial Narrow" w:cs="Arial"/>
                <w:snapToGrid w:val="0"/>
                <w:sz w:val="20"/>
                <w:szCs w:val="20"/>
                <w:lang w:eastAsia="en-US"/>
              </w:rPr>
              <w:t>(60.2%)</w:t>
            </w:r>
          </w:p>
        </w:tc>
        <w:tc>
          <w:tcPr>
            <w:tcW w:w="825" w:type="pct"/>
          </w:tcPr>
          <w:p w:rsidR="00F96AE5" w:rsidRDefault="00EA212F" w:rsidP="009874E2">
            <w:pPr>
              <w:keepNext/>
              <w:keepLines/>
              <w:widowControl w:val="0"/>
              <w:jc w:val="center"/>
              <w:rPr>
                <w:rFonts w:ascii="Arial Narrow" w:hAnsi="Arial Narrow" w:cs="Arial"/>
                <w:b/>
                <w:snapToGrid w:val="0"/>
                <w:sz w:val="20"/>
                <w:szCs w:val="20"/>
                <w:lang w:eastAsia="en-US"/>
              </w:rPr>
            </w:pPr>
            <w:r w:rsidRPr="00EA212F">
              <w:rPr>
                <w:rFonts w:ascii="Arial Narrow" w:hAnsi="Arial Narrow" w:cs="Arial"/>
                <w:b/>
                <w:snapToGrid w:val="0"/>
                <w:sz w:val="20"/>
                <w:szCs w:val="20"/>
                <w:lang w:eastAsia="en-US"/>
              </w:rPr>
              <w:t xml:space="preserve">–38.3 </w:t>
            </w:r>
          </w:p>
          <w:p w:rsidR="00EA212F" w:rsidRPr="00EA212F" w:rsidRDefault="00EA212F" w:rsidP="009874E2">
            <w:pPr>
              <w:keepNext/>
              <w:keepLines/>
              <w:widowControl w:val="0"/>
              <w:jc w:val="center"/>
              <w:rPr>
                <w:rFonts w:ascii="Arial Narrow" w:hAnsi="Arial Narrow" w:cs="Arial"/>
                <w:b/>
                <w:snapToGrid w:val="0"/>
                <w:sz w:val="20"/>
                <w:szCs w:val="20"/>
                <w:lang w:eastAsia="en-US"/>
              </w:rPr>
            </w:pPr>
            <w:r w:rsidRPr="00EA212F">
              <w:rPr>
                <w:rFonts w:ascii="Arial Narrow" w:hAnsi="Arial Narrow" w:cs="Arial"/>
                <w:b/>
                <w:snapToGrid w:val="0"/>
                <w:sz w:val="20"/>
                <w:szCs w:val="20"/>
                <w:lang w:eastAsia="en-US"/>
              </w:rPr>
              <w:t>(–48.6, –28.0)</w:t>
            </w:r>
          </w:p>
        </w:tc>
        <w:tc>
          <w:tcPr>
            <w:tcW w:w="859" w:type="pct"/>
            <w:shd w:val="clear" w:color="auto" w:fill="auto"/>
            <w:vAlign w:val="center"/>
          </w:tcPr>
          <w:p w:rsidR="00EA212F" w:rsidRPr="00EA212F" w:rsidRDefault="00EA212F" w:rsidP="009874E2">
            <w:pPr>
              <w:keepNext/>
              <w:keepLines/>
              <w:widowControl w:val="0"/>
              <w:jc w:val="center"/>
              <w:rPr>
                <w:rFonts w:ascii="Arial Narrow" w:hAnsi="Arial Narrow" w:cs="Arial"/>
                <w:b/>
                <w:snapToGrid w:val="0"/>
                <w:sz w:val="20"/>
                <w:szCs w:val="20"/>
                <w:lang w:eastAsia="en-US"/>
              </w:rPr>
            </w:pPr>
            <w:r w:rsidRPr="00EA212F">
              <w:rPr>
                <w:rFonts w:ascii="Arial Narrow" w:hAnsi="Arial Narrow" w:cs="Arial"/>
                <w:b/>
                <w:snapToGrid w:val="0"/>
                <w:sz w:val="20"/>
                <w:szCs w:val="20"/>
                <w:lang w:eastAsia="en-US"/>
              </w:rPr>
              <w:t xml:space="preserve">0.14 (0.09, 0.21) </w:t>
            </w:r>
          </w:p>
        </w:tc>
      </w:tr>
      <w:tr w:rsidR="00EA212F" w:rsidRPr="00EA212F" w:rsidTr="00F96AE5">
        <w:trPr>
          <w:trHeight w:val="230"/>
        </w:trPr>
        <w:tc>
          <w:tcPr>
            <w:tcW w:w="1102" w:type="pct"/>
            <w:shd w:val="clear" w:color="auto" w:fill="auto"/>
            <w:vAlign w:val="center"/>
          </w:tcPr>
          <w:p w:rsidR="00EA212F" w:rsidRPr="00EA212F" w:rsidRDefault="00EA212F" w:rsidP="009874E2">
            <w:pPr>
              <w:keepNext/>
              <w:keepLines/>
              <w:widowControl w:val="0"/>
              <w:rPr>
                <w:rFonts w:ascii="Arial Narrow" w:hAnsi="Arial Narrow" w:cs="Arial"/>
                <w:snapToGrid w:val="0"/>
                <w:sz w:val="20"/>
                <w:szCs w:val="20"/>
                <w:lang w:eastAsia="en-US"/>
              </w:rPr>
            </w:pPr>
            <w:r w:rsidRPr="00EA212F">
              <w:rPr>
                <w:rFonts w:ascii="Arial Narrow" w:hAnsi="Arial Narrow" w:cs="Arial"/>
                <w:snapToGrid w:val="0"/>
                <w:sz w:val="20"/>
                <w:szCs w:val="20"/>
                <w:lang w:eastAsia="en-US"/>
              </w:rPr>
              <w:t xml:space="preserve">22.8 </w:t>
            </w:r>
            <w:proofErr w:type="spellStart"/>
            <w:r w:rsidRPr="00EA212F">
              <w:rPr>
                <w:rFonts w:ascii="Arial Narrow" w:hAnsi="Arial Narrow" w:cs="Arial"/>
                <w:snapToGrid w:val="0"/>
                <w:sz w:val="20"/>
                <w:szCs w:val="20"/>
                <w:lang w:eastAsia="en-US"/>
              </w:rPr>
              <w:t>mths</w:t>
            </w:r>
            <w:proofErr w:type="spellEnd"/>
            <w:r w:rsidRPr="00EA212F">
              <w:rPr>
                <w:rFonts w:ascii="Arial Narrow" w:hAnsi="Arial Narrow" w:cs="Arial"/>
                <w:snapToGrid w:val="0"/>
                <w:sz w:val="20"/>
                <w:szCs w:val="20"/>
                <w:lang w:eastAsia="en-US"/>
              </w:rPr>
              <w:t xml:space="preserve"> follow-up</w:t>
            </w:r>
          </w:p>
        </w:tc>
        <w:tc>
          <w:tcPr>
            <w:tcW w:w="1088" w:type="pct"/>
            <w:shd w:val="clear" w:color="auto" w:fill="auto"/>
            <w:vAlign w:val="center"/>
          </w:tcPr>
          <w:p w:rsidR="00EA212F" w:rsidRPr="00EA212F" w:rsidRDefault="00EA212F" w:rsidP="009874E2">
            <w:pPr>
              <w:keepNext/>
              <w:keepLines/>
              <w:widowControl w:val="0"/>
              <w:jc w:val="center"/>
              <w:rPr>
                <w:rFonts w:ascii="Arial Narrow" w:hAnsi="Arial Narrow" w:cs="Arial"/>
                <w:snapToGrid w:val="0"/>
                <w:sz w:val="20"/>
                <w:szCs w:val="20"/>
                <w:lang w:eastAsia="en-US"/>
              </w:rPr>
            </w:pPr>
            <w:r w:rsidRPr="00EA212F">
              <w:rPr>
                <w:rFonts w:ascii="Arial Narrow" w:hAnsi="Arial Narrow" w:cs="Arial"/>
                <w:snapToGrid w:val="0"/>
                <w:sz w:val="20"/>
                <w:szCs w:val="20"/>
                <w:lang w:eastAsia="en-US"/>
              </w:rPr>
              <w:t>93/238</w:t>
            </w:r>
            <w:r w:rsidRPr="00EA212F" w:rsidDel="00002025">
              <w:rPr>
                <w:rFonts w:ascii="Arial Narrow" w:hAnsi="Arial Narrow" w:cs="Arial"/>
                <w:snapToGrid w:val="0"/>
                <w:sz w:val="20"/>
                <w:szCs w:val="20"/>
                <w:lang w:eastAsia="en-US"/>
              </w:rPr>
              <w:t xml:space="preserve"> </w:t>
            </w:r>
            <w:r w:rsidRPr="00EA212F">
              <w:rPr>
                <w:rFonts w:ascii="Arial Narrow" w:hAnsi="Arial Narrow" w:cs="Arial"/>
                <w:snapToGrid w:val="0"/>
                <w:sz w:val="20"/>
                <w:szCs w:val="20"/>
                <w:lang w:eastAsia="en-US"/>
              </w:rPr>
              <w:t>(39.1%)</w:t>
            </w:r>
          </w:p>
        </w:tc>
        <w:tc>
          <w:tcPr>
            <w:tcW w:w="1126" w:type="pct"/>
            <w:shd w:val="clear" w:color="auto" w:fill="auto"/>
            <w:vAlign w:val="center"/>
          </w:tcPr>
          <w:p w:rsidR="00EA212F" w:rsidRPr="00EA212F" w:rsidRDefault="00EA212F" w:rsidP="009874E2">
            <w:pPr>
              <w:keepNext/>
              <w:keepLines/>
              <w:widowControl w:val="0"/>
              <w:jc w:val="center"/>
              <w:rPr>
                <w:rFonts w:ascii="Arial Narrow" w:hAnsi="Arial Narrow" w:cs="Arial"/>
                <w:snapToGrid w:val="0"/>
                <w:sz w:val="20"/>
                <w:szCs w:val="20"/>
                <w:lang w:eastAsia="en-US"/>
              </w:rPr>
            </w:pPr>
            <w:r w:rsidRPr="00EA212F">
              <w:rPr>
                <w:rFonts w:ascii="Arial Narrow" w:hAnsi="Arial Narrow" w:cs="Arial"/>
                <w:snapToGrid w:val="0"/>
                <w:sz w:val="20"/>
                <w:szCs w:val="20"/>
                <w:lang w:eastAsia="en-US"/>
              </w:rPr>
              <w:t>96/118 (81.4%)</w:t>
            </w:r>
          </w:p>
        </w:tc>
        <w:tc>
          <w:tcPr>
            <w:tcW w:w="825" w:type="pct"/>
          </w:tcPr>
          <w:p w:rsidR="00F96AE5" w:rsidRDefault="00EA212F" w:rsidP="009874E2">
            <w:pPr>
              <w:keepNext/>
              <w:keepLines/>
              <w:widowControl w:val="0"/>
              <w:jc w:val="center"/>
              <w:rPr>
                <w:rFonts w:ascii="Arial Narrow" w:hAnsi="Arial Narrow" w:cs="Arial"/>
                <w:b/>
                <w:snapToGrid w:val="0"/>
                <w:sz w:val="20"/>
                <w:szCs w:val="20"/>
                <w:lang w:eastAsia="en-US"/>
              </w:rPr>
            </w:pPr>
            <w:r w:rsidRPr="00EA212F">
              <w:rPr>
                <w:rFonts w:ascii="Arial Narrow" w:hAnsi="Arial Narrow" w:cs="Arial"/>
                <w:b/>
                <w:snapToGrid w:val="0"/>
                <w:sz w:val="20"/>
                <w:szCs w:val="20"/>
                <w:lang w:eastAsia="en-US"/>
              </w:rPr>
              <w:t xml:space="preserve">-42.3 </w:t>
            </w:r>
          </w:p>
          <w:p w:rsidR="00EA212F" w:rsidRPr="00EA212F" w:rsidRDefault="00EA212F" w:rsidP="009874E2">
            <w:pPr>
              <w:keepNext/>
              <w:keepLines/>
              <w:widowControl w:val="0"/>
              <w:jc w:val="center"/>
              <w:rPr>
                <w:rFonts w:ascii="Arial Narrow" w:hAnsi="Arial Narrow" w:cs="Arial"/>
                <w:b/>
                <w:snapToGrid w:val="0"/>
                <w:sz w:val="20"/>
                <w:szCs w:val="20"/>
                <w:lang w:eastAsia="en-US"/>
              </w:rPr>
            </w:pPr>
            <w:r w:rsidRPr="00EA212F">
              <w:rPr>
                <w:rFonts w:ascii="Arial Narrow" w:hAnsi="Arial Narrow" w:cs="Arial"/>
                <w:b/>
                <w:snapToGrid w:val="0"/>
                <w:sz w:val="20"/>
                <w:szCs w:val="20"/>
                <w:lang w:eastAsia="en-US"/>
              </w:rPr>
              <w:t>(–51.6, –32.9)</w:t>
            </w:r>
          </w:p>
        </w:tc>
        <w:tc>
          <w:tcPr>
            <w:tcW w:w="859" w:type="pct"/>
            <w:shd w:val="clear" w:color="auto" w:fill="auto"/>
            <w:vAlign w:val="center"/>
          </w:tcPr>
          <w:p w:rsidR="00EA212F" w:rsidRPr="00EA212F" w:rsidRDefault="00EA212F" w:rsidP="009874E2">
            <w:pPr>
              <w:keepNext/>
              <w:keepLines/>
              <w:widowControl w:val="0"/>
              <w:jc w:val="center"/>
              <w:rPr>
                <w:rFonts w:ascii="Arial Narrow" w:hAnsi="Arial Narrow" w:cs="Arial"/>
                <w:b/>
                <w:snapToGrid w:val="0"/>
                <w:sz w:val="20"/>
                <w:szCs w:val="20"/>
                <w:lang w:eastAsia="en-US"/>
              </w:rPr>
            </w:pPr>
            <w:r w:rsidRPr="00EA212F">
              <w:rPr>
                <w:rFonts w:ascii="Arial Narrow" w:hAnsi="Arial Narrow" w:cs="Arial"/>
                <w:b/>
                <w:snapToGrid w:val="0"/>
                <w:sz w:val="20"/>
                <w:szCs w:val="20"/>
                <w:lang w:eastAsia="en-US"/>
              </w:rPr>
              <w:t>0.18 (0.13, 0.24)</w:t>
            </w:r>
          </w:p>
        </w:tc>
      </w:tr>
      <w:tr w:rsidR="001C0DB0" w:rsidRPr="00EA212F" w:rsidTr="00F96AE5">
        <w:trPr>
          <w:trHeight w:val="230"/>
        </w:trPr>
        <w:tc>
          <w:tcPr>
            <w:tcW w:w="1102" w:type="pct"/>
            <w:shd w:val="clear" w:color="auto" w:fill="auto"/>
          </w:tcPr>
          <w:p w:rsidR="001C0DB0" w:rsidRDefault="00197B45" w:rsidP="009874E2">
            <w:pPr>
              <w:keepNext/>
              <w:keepLines/>
            </w:pPr>
            <w:r>
              <w:rPr>
                <w:rFonts w:ascii="Arial Narrow" w:hAnsi="Arial Narrow" w:cs="Arial"/>
                <w:noProof/>
                <w:snapToGrid w:val="0"/>
                <w:color w:val="000000"/>
                <w:sz w:val="20"/>
                <w:szCs w:val="20"/>
                <w:highlight w:val="black"/>
                <w:lang w:eastAsia="en-US"/>
              </w:rPr>
              <w:t xml:space="preserve">''''''''''' </w:t>
            </w:r>
            <w:proofErr w:type="spellStart"/>
            <w:r w:rsidR="001C0DB0" w:rsidRPr="00DA0EAB">
              <w:rPr>
                <w:rFonts w:ascii="Arial Narrow" w:hAnsi="Arial Narrow" w:cs="Arial"/>
                <w:snapToGrid w:val="0"/>
                <w:sz w:val="20"/>
                <w:szCs w:val="20"/>
                <w:lang w:eastAsia="en-US"/>
              </w:rPr>
              <w:t>mths</w:t>
            </w:r>
            <w:proofErr w:type="spellEnd"/>
            <w:r w:rsidR="001C0DB0" w:rsidRPr="00DA0EAB">
              <w:rPr>
                <w:rFonts w:ascii="Arial Narrow" w:hAnsi="Arial Narrow" w:cs="Arial"/>
                <w:snapToGrid w:val="0"/>
                <w:sz w:val="20"/>
                <w:szCs w:val="20"/>
                <w:lang w:eastAsia="en-US"/>
              </w:rPr>
              <w:t xml:space="preserve"> follow-up</w:t>
            </w:r>
          </w:p>
        </w:tc>
        <w:tc>
          <w:tcPr>
            <w:tcW w:w="1088" w:type="pct"/>
            <w:shd w:val="clear" w:color="auto" w:fill="auto"/>
            <w:vAlign w:val="center"/>
          </w:tcPr>
          <w:p w:rsidR="001C0DB0" w:rsidRDefault="00197B45" w:rsidP="009874E2">
            <w:pPr>
              <w:keepNext/>
              <w:keepLines/>
              <w:widowControl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w:t>
            </w:r>
            <w:r w:rsidR="001C0DB0" w:rsidRPr="008517F7">
              <w:rPr>
                <w:rFonts w:ascii="Arial Narrow" w:hAnsi="Arial Narrow" w:cs="Arial"/>
                <w:snapToGrid w:val="0"/>
                <w:sz w:val="20"/>
                <w:szCs w:val="20"/>
                <w:lang w:eastAsia="en-US"/>
              </w:rPr>
              <w:t>%</w:t>
            </w:r>
            <w:r>
              <w:rPr>
                <w:rFonts w:ascii="Arial Narrow" w:hAnsi="Arial Narrow" w:cs="Arial"/>
                <w:noProof/>
                <w:snapToGrid w:val="0"/>
                <w:color w:val="000000"/>
                <w:sz w:val="20"/>
                <w:szCs w:val="20"/>
                <w:highlight w:val="black"/>
                <w:lang w:eastAsia="en-US"/>
              </w:rPr>
              <w:t>''</w:t>
            </w:r>
          </w:p>
        </w:tc>
        <w:tc>
          <w:tcPr>
            <w:tcW w:w="1126" w:type="pct"/>
            <w:shd w:val="clear" w:color="auto" w:fill="auto"/>
            <w:vAlign w:val="center"/>
          </w:tcPr>
          <w:p w:rsidR="001C0DB0" w:rsidRDefault="00197B45" w:rsidP="009874E2">
            <w:pPr>
              <w:keepNext/>
              <w:keepLines/>
              <w:widowControl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w:t>
            </w:r>
            <w:r w:rsidR="001C0DB0" w:rsidRPr="008517F7">
              <w:rPr>
                <w:rFonts w:ascii="Arial Narrow" w:hAnsi="Arial Narrow" w:cs="Arial"/>
                <w:snapToGrid w:val="0"/>
                <w:sz w:val="20"/>
                <w:szCs w:val="20"/>
                <w:lang w:eastAsia="en-US"/>
              </w:rPr>
              <w:t>%</w:t>
            </w:r>
            <w:r>
              <w:rPr>
                <w:rFonts w:ascii="Arial Narrow" w:hAnsi="Arial Narrow" w:cs="Arial"/>
                <w:noProof/>
                <w:snapToGrid w:val="0"/>
                <w:color w:val="000000"/>
                <w:sz w:val="20"/>
                <w:szCs w:val="20"/>
                <w:highlight w:val="black"/>
                <w:lang w:eastAsia="en-US"/>
              </w:rPr>
              <w:t>''</w:t>
            </w:r>
          </w:p>
        </w:tc>
        <w:tc>
          <w:tcPr>
            <w:tcW w:w="825" w:type="pct"/>
          </w:tcPr>
          <w:p w:rsidR="001C0DB0" w:rsidRPr="00197B45" w:rsidRDefault="00197B45" w:rsidP="009874E2">
            <w:pPr>
              <w:keepNext/>
              <w:keepLines/>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859" w:type="pct"/>
            <w:shd w:val="clear" w:color="auto" w:fill="auto"/>
            <w:vAlign w:val="center"/>
          </w:tcPr>
          <w:p w:rsidR="001C0DB0" w:rsidRPr="00197B45" w:rsidRDefault="00197B45" w:rsidP="009874E2">
            <w:pPr>
              <w:keepNext/>
              <w:keepLines/>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r>
      <w:tr w:rsidR="001C0DB0" w:rsidRPr="00EA212F" w:rsidTr="00F96AE5">
        <w:trPr>
          <w:trHeight w:val="706"/>
        </w:trPr>
        <w:tc>
          <w:tcPr>
            <w:tcW w:w="1102" w:type="pct"/>
            <w:shd w:val="clear" w:color="auto" w:fill="auto"/>
          </w:tcPr>
          <w:p w:rsidR="001C0DB0" w:rsidRPr="00DA0EAB" w:rsidRDefault="00197B45" w:rsidP="009874E2">
            <w:pPr>
              <w:keepNext/>
              <w:keepLines/>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xml:space="preserve">''''''''''' </w:t>
            </w:r>
            <w:proofErr w:type="spellStart"/>
            <w:r w:rsidR="001C0DB0" w:rsidRPr="00DA0EAB">
              <w:rPr>
                <w:rFonts w:ascii="Arial Narrow" w:hAnsi="Arial Narrow" w:cs="Arial"/>
                <w:snapToGrid w:val="0"/>
                <w:sz w:val="20"/>
                <w:szCs w:val="20"/>
                <w:lang w:eastAsia="en-US"/>
              </w:rPr>
              <w:t>mths</w:t>
            </w:r>
            <w:proofErr w:type="spellEnd"/>
            <w:r w:rsidR="001C0DB0" w:rsidRPr="00DA0EAB">
              <w:rPr>
                <w:rFonts w:ascii="Arial Narrow" w:hAnsi="Arial Narrow" w:cs="Arial"/>
                <w:snapToGrid w:val="0"/>
                <w:sz w:val="20"/>
                <w:szCs w:val="20"/>
                <w:lang w:eastAsia="en-US"/>
              </w:rPr>
              <w:t xml:space="preserve"> follow-up</w:t>
            </w:r>
          </w:p>
          <w:p w:rsidR="001C0DB0" w:rsidRPr="001C0DB0" w:rsidRDefault="001C0DB0" w:rsidP="009874E2">
            <w:pPr>
              <w:keepNext/>
              <w:keepLines/>
              <w:widowControl w:val="0"/>
              <w:jc w:val="center"/>
              <w:rPr>
                <w:vertAlign w:val="superscript"/>
              </w:rPr>
            </w:pPr>
            <w:r w:rsidRPr="00DA0EAB">
              <w:rPr>
                <w:rFonts w:ascii="Arial Narrow" w:hAnsi="Arial Narrow" w:cs="Arial"/>
                <w:snapToGrid w:val="0"/>
                <w:sz w:val="20"/>
                <w:szCs w:val="20"/>
                <w:lang w:eastAsia="en-US"/>
              </w:rPr>
              <w:t xml:space="preserve">Median time to </w:t>
            </w:r>
            <w:proofErr w:type="spellStart"/>
            <w:r w:rsidRPr="00DA0EAB">
              <w:rPr>
                <w:rFonts w:ascii="Arial Narrow" w:hAnsi="Arial Narrow" w:cs="Arial"/>
                <w:snapToGrid w:val="0"/>
                <w:sz w:val="20"/>
                <w:szCs w:val="20"/>
                <w:lang w:eastAsia="en-US"/>
              </w:rPr>
              <w:t>progression</w:t>
            </w:r>
            <w:r w:rsidRPr="00DA0EAB">
              <w:rPr>
                <w:rFonts w:ascii="Arial Narrow" w:hAnsi="Arial Narrow" w:cs="Arial"/>
                <w:snapToGrid w:val="0"/>
                <w:sz w:val="20"/>
                <w:szCs w:val="20"/>
                <w:vertAlign w:val="superscript"/>
                <w:lang w:eastAsia="en-US"/>
              </w:rPr>
              <w:t>a</w:t>
            </w:r>
            <w:proofErr w:type="spellEnd"/>
          </w:p>
        </w:tc>
        <w:tc>
          <w:tcPr>
            <w:tcW w:w="1088" w:type="pct"/>
            <w:shd w:val="clear" w:color="auto" w:fill="auto"/>
            <w:vAlign w:val="center"/>
          </w:tcPr>
          <w:p w:rsidR="001C0DB0" w:rsidRPr="001C0DB0" w:rsidRDefault="00197B45" w:rsidP="009874E2">
            <w:pPr>
              <w:keepNext/>
              <w:keepLines/>
              <w:widowControl w:val="0"/>
              <w:jc w:val="center"/>
              <w:rPr>
                <w:rFonts w:ascii="Arial Narrow" w:hAnsi="Arial Narrow" w:cs="Arial"/>
                <w:snapToGrid w:val="0"/>
                <w:sz w:val="20"/>
                <w:szCs w:val="20"/>
                <w:vertAlign w:val="superscript"/>
                <w:lang w:eastAsia="en-US"/>
              </w:rPr>
            </w:pPr>
            <w:r>
              <w:rPr>
                <w:rFonts w:ascii="Arial Narrow" w:hAnsi="Arial Narrow" w:cs="Arial"/>
                <w:noProof/>
                <w:snapToGrid w:val="0"/>
                <w:color w:val="000000"/>
                <w:sz w:val="20"/>
                <w:szCs w:val="20"/>
                <w:highlight w:val="black"/>
                <w:lang w:eastAsia="en-US"/>
              </w:rPr>
              <w:t xml:space="preserve">'''''''''' </w:t>
            </w:r>
            <w:proofErr w:type="spellStart"/>
            <w:r w:rsidR="001C0DB0" w:rsidRPr="00DA0EAB">
              <w:rPr>
                <w:rFonts w:ascii="Arial Narrow" w:hAnsi="Arial Narrow" w:cs="Arial"/>
                <w:snapToGrid w:val="0"/>
                <w:sz w:val="20"/>
                <w:szCs w:val="20"/>
                <w:lang w:eastAsia="en-US"/>
              </w:rPr>
              <w:t>months</w:t>
            </w:r>
            <w:r w:rsidR="001C0DB0" w:rsidRPr="00DA0EAB">
              <w:rPr>
                <w:rFonts w:ascii="Arial Narrow" w:hAnsi="Arial Narrow" w:cs="Arial"/>
                <w:snapToGrid w:val="0"/>
                <w:sz w:val="20"/>
                <w:szCs w:val="20"/>
                <w:vertAlign w:val="superscript"/>
                <w:lang w:eastAsia="en-US"/>
              </w:rPr>
              <w:t>a</w:t>
            </w:r>
            <w:proofErr w:type="spellEnd"/>
          </w:p>
        </w:tc>
        <w:tc>
          <w:tcPr>
            <w:tcW w:w="1126" w:type="pct"/>
            <w:shd w:val="clear" w:color="auto" w:fill="auto"/>
            <w:vAlign w:val="center"/>
          </w:tcPr>
          <w:p w:rsidR="001C0DB0" w:rsidRPr="001C0DB0" w:rsidRDefault="00197B45" w:rsidP="009874E2">
            <w:pPr>
              <w:keepNext/>
              <w:keepLines/>
              <w:widowControl w:val="0"/>
              <w:jc w:val="center"/>
              <w:rPr>
                <w:rFonts w:ascii="Arial Narrow" w:hAnsi="Arial Narrow" w:cs="Arial"/>
                <w:snapToGrid w:val="0"/>
                <w:sz w:val="20"/>
                <w:szCs w:val="20"/>
                <w:vertAlign w:val="superscript"/>
                <w:lang w:eastAsia="en-US"/>
              </w:rPr>
            </w:pPr>
            <w:r>
              <w:rPr>
                <w:rFonts w:ascii="Arial Narrow" w:hAnsi="Arial Narrow" w:cs="Arial"/>
                <w:noProof/>
                <w:snapToGrid w:val="0"/>
                <w:color w:val="000000"/>
                <w:sz w:val="20"/>
                <w:szCs w:val="20"/>
                <w:highlight w:val="black"/>
                <w:lang w:eastAsia="en-US"/>
              </w:rPr>
              <w:t xml:space="preserve">'''''''''' </w:t>
            </w:r>
            <w:proofErr w:type="spellStart"/>
            <w:r w:rsidR="001C0DB0" w:rsidRPr="00DA0EAB">
              <w:rPr>
                <w:rFonts w:ascii="Arial Narrow" w:hAnsi="Arial Narrow" w:cs="Arial"/>
                <w:snapToGrid w:val="0"/>
                <w:sz w:val="20"/>
                <w:szCs w:val="20"/>
                <w:lang w:eastAsia="en-US"/>
              </w:rPr>
              <w:t>months</w:t>
            </w:r>
            <w:r w:rsidR="001C0DB0" w:rsidRPr="00DA0EAB">
              <w:rPr>
                <w:rFonts w:ascii="Arial Narrow" w:hAnsi="Arial Narrow" w:cs="Arial"/>
                <w:snapToGrid w:val="0"/>
                <w:sz w:val="20"/>
                <w:szCs w:val="20"/>
                <w:vertAlign w:val="superscript"/>
                <w:lang w:eastAsia="en-US"/>
              </w:rPr>
              <w:t>a</w:t>
            </w:r>
            <w:proofErr w:type="spellEnd"/>
          </w:p>
        </w:tc>
        <w:tc>
          <w:tcPr>
            <w:tcW w:w="825" w:type="pct"/>
          </w:tcPr>
          <w:p w:rsidR="001C0DB0" w:rsidRPr="00EA212F" w:rsidRDefault="001C0DB0" w:rsidP="009874E2">
            <w:pPr>
              <w:keepNext/>
              <w:keepLines/>
              <w:widowControl w:val="0"/>
              <w:jc w:val="center"/>
              <w:rPr>
                <w:rFonts w:ascii="Arial Narrow" w:hAnsi="Arial Narrow" w:cs="Arial"/>
                <w:b/>
                <w:snapToGrid w:val="0"/>
                <w:sz w:val="20"/>
                <w:szCs w:val="20"/>
                <w:lang w:eastAsia="en-US"/>
              </w:rPr>
            </w:pPr>
          </w:p>
        </w:tc>
        <w:tc>
          <w:tcPr>
            <w:tcW w:w="859" w:type="pct"/>
            <w:shd w:val="clear" w:color="auto" w:fill="auto"/>
            <w:vAlign w:val="center"/>
          </w:tcPr>
          <w:p w:rsidR="001C0DB0" w:rsidRPr="00EA212F" w:rsidRDefault="001C0DB0" w:rsidP="009874E2">
            <w:pPr>
              <w:keepNext/>
              <w:keepLines/>
              <w:widowControl w:val="0"/>
              <w:jc w:val="center"/>
              <w:rPr>
                <w:rFonts w:ascii="Arial Narrow" w:hAnsi="Arial Narrow" w:cs="Arial"/>
                <w:b/>
                <w:snapToGrid w:val="0"/>
                <w:sz w:val="20"/>
                <w:szCs w:val="20"/>
                <w:lang w:eastAsia="en-US"/>
              </w:rPr>
            </w:pPr>
          </w:p>
        </w:tc>
      </w:tr>
      <w:tr w:rsidR="00EA212F" w:rsidRPr="00EA212F" w:rsidTr="00F96AE5">
        <w:trPr>
          <w:trHeight w:val="230"/>
        </w:trPr>
        <w:tc>
          <w:tcPr>
            <w:tcW w:w="5000" w:type="pct"/>
            <w:gridSpan w:val="5"/>
            <w:shd w:val="clear" w:color="auto" w:fill="auto"/>
            <w:vAlign w:val="center"/>
          </w:tcPr>
          <w:p w:rsidR="00EA212F" w:rsidRPr="00EA212F" w:rsidRDefault="00EA212F" w:rsidP="009874E2">
            <w:pPr>
              <w:keepNext/>
              <w:keepLines/>
              <w:widowControl w:val="0"/>
              <w:rPr>
                <w:rFonts w:ascii="Arial Narrow" w:hAnsi="Arial Narrow" w:cs="Arial"/>
                <w:b/>
                <w:sz w:val="20"/>
                <w:szCs w:val="20"/>
                <w:lang w:eastAsia="en-US"/>
              </w:rPr>
            </w:pPr>
            <w:r w:rsidRPr="00EA212F">
              <w:rPr>
                <w:rFonts w:ascii="Arial Narrow" w:hAnsi="Arial Narrow" w:cs="Arial"/>
                <w:b/>
                <w:snapToGrid w:val="0"/>
                <w:sz w:val="20"/>
                <w:szCs w:val="20"/>
                <w:lang w:eastAsia="en-US"/>
              </w:rPr>
              <w:t>Overall survival</w:t>
            </w:r>
          </w:p>
        </w:tc>
      </w:tr>
      <w:tr w:rsidR="00EA212F" w:rsidRPr="00EA212F" w:rsidTr="00F96AE5">
        <w:trPr>
          <w:trHeight w:val="230"/>
        </w:trPr>
        <w:tc>
          <w:tcPr>
            <w:tcW w:w="1102" w:type="pct"/>
            <w:shd w:val="clear" w:color="auto" w:fill="auto"/>
            <w:vAlign w:val="center"/>
          </w:tcPr>
          <w:p w:rsidR="00EA212F" w:rsidRPr="00EA212F" w:rsidDel="008D5AB7" w:rsidRDefault="00EA212F" w:rsidP="009874E2">
            <w:pPr>
              <w:keepNext/>
              <w:keepLines/>
              <w:widowControl w:val="0"/>
              <w:rPr>
                <w:rFonts w:ascii="Arial Narrow" w:hAnsi="Arial Narrow" w:cs="Arial"/>
                <w:snapToGrid w:val="0"/>
                <w:sz w:val="20"/>
                <w:szCs w:val="20"/>
                <w:lang w:eastAsia="en-US"/>
              </w:rPr>
            </w:pPr>
            <w:r w:rsidRPr="00EA212F">
              <w:rPr>
                <w:rFonts w:ascii="Arial Narrow" w:hAnsi="Arial Narrow" w:cs="Arial"/>
                <w:snapToGrid w:val="0"/>
                <w:sz w:val="20"/>
                <w:szCs w:val="20"/>
                <w:lang w:eastAsia="en-US"/>
              </w:rPr>
              <w:t xml:space="preserve">14.2 </w:t>
            </w:r>
            <w:proofErr w:type="spellStart"/>
            <w:r w:rsidRPr="00EA212F">
              <w:rPr>
                <w:rFonts w:ascii="Arial Narrow" w:hAnsi="Arial Narrow" w:cs="Arial"/>
                <w:snapToGrid w:val="0"/>
                <w:sz w:val="20"/>
                <w:szCs w:val="20"/>
                <w:lang w:eastAsia="en-US"/>
              </w:rPr>
              <w:t>mths</w:t>
            </w:r>
            <w:proofErr w:type="spellEnd"/>
            <w:r w:rsidRPr="00EA212F">
              <w:rPr>
                <w:rFonts w:ascii="Arial Narrow" w:hAnsi="Arial Narrow" w:cs="Arial"/>
                <w:snapToGrid w:val="0"/>
                <w:sz w:val="20"/>
                <w:szCs w:val="20"/>
                <w:lang w:eastAsia="en-US"/>
              </w:rPr>
              <w:t xml:space="preserve"> follow-up</w:t>
            </w:r>
          </w:p>
        </w:tc>
        <w:tc>
          <w:tcPr>
            <w:tcW w:w="1088" w:type="pct"/>
            <w:shd w:val="clear" w:color="auto" w:fill="auto"/>
            <w:vAlign w:val="center"/>
          </w:tcPr>
          <w:p w:rsidR="00EA212F" w:rsidRPr="00EA212F" w:rsidRDefault="00EA212F" w:rsidP="009874E2">
            <w:pPr>
              <w:keepNext/>
              <w:keepLines/>
              <w:widowControl w:val="0"/>
              <w:jc w:val="center"/>
              <w:rPr>
                <w:rFonts w:ascii="Arial Narrow" w:hAnsi="Arial Narrow" w:cs="Arial"/>
                <w:snapToGrid w:val="0"/>
                <w:sz w:val="20"/>
                <w:szCs w:val="20"/>
                <w:lang w:eastAsia="en-US"/>
              </w:rPr>
            </w:pPr>
            <w:r w:rsidRPr="00EA212F">
              <w:rPr>
                <w:rFonts w:ascii="Arial Narrow" w:hAnsi="Arial Narrow" w:cs="Arial"/>
                <w:snapToGrid w:val="0"/>
                <w:sz w:val="20"/>
                <w:szCs w:val="20"/>
                <w:lang w:eastAsia="en-US"/>
              </w:rPr>
              <w:t>13/238 (5.5%)</w:t>
            </w:r>
          </w:p>
        </w:tc>
        <w:tc>
          <w:tcPr>
            <w:tcW w:w="1126" w:type="pct"/>
            <w:shd w:val="clear" w:color="auto" w:fill="auto"/>
            <w:vAlign w:val="center"/>
          </w:tcPr>
          <w:p w:rsidR="00EA212F" w:rsidRPr="00EA212F" w:rsidRDefault="00EA212F" w:rsidP="009874E2">
            <w:pPr>
              <w:keepNext/>
              <w:keepLines/>
              <w:widowControl w:val="0"/>
              <w:jc w:val="center"/>
              <w:rPr>
                <w:rFonts w:ascii="Arial Narrow" w:hAnsi="Arial Narrow" w:cs="Arial"/>
                <w:snapToGrid w:val="0"/>
                <w:sz w:val="20"/>
                <w:szCs w:val="20"/>
                <w:lang w:eastAsia="en-US"/>
              </w:rPr>
            </w:pPr>
            <w:r w:rsidRPr="00EA212F">
              <w:rPr>
                <w:rFonts w:ascii="Arial Narrow" w:hAnsi="Arial Narrow" w:cs="Arial"/>
                <w:snapToGrid w:val="0"/>
                <w:sz w:val="20"/>
                <w:szCs w:val="20"/>
                <w:lang w:eastAsia="en-US"/>
              </w:rPr>
              <w:t>9/118 (7.6%)</w:t>
            </w:r>
          </w:p>
        </w:tc>
        <w:tc>
          <w:tcPr>
            <w:tcW w:w="825" w:type="pct"/>
          </w:tcPr>
          <w:p w:rsidR="00EA212F" w:rsidRPr="00EA212F" w:rsidRDefault="00EA212F" w:rsidP="009874E2">
            <w:pPr>
              <w:keepNext/>
              <w:keepLines/>
              <w:widowControl w:val="0"/>
              <w:jc w:val="center"/>
              <w:rPr>
                <w:rFonts w:ascii="Arial Narrow" w:hAnsi="Arial Narrow" w:cs="Arial"/>
                <w:i/>
                <w:snapToGrid w:val="0"/>
                <w:sz w:val="20"/>
                <w:szCs w:val="20"/>
                <w:lang w:eastAsia="en-US"/>
              </w:rPr>
            </w:pPr>
            <w:r w:rsidRPr="00EA212F">
              <w:rPr>
                <w:rFonts w:ascii="Arial Narrow" w:hAnsi="Arial Narrow" w:cs="Arial"/>
                <w:i/>
                <w:snapToGrid w:val="0"/>
                <w:sz w:val="20"/>
                <w:szCs w:val="20"/>
                <w:lang w:eastAsia="en-US"/>
              </w:rPr>
              <w:t>-2.2 (-7.8, 3.4)</w:t>
            </w:r>
          </w:p>
        </w:tc>
        <w:tc>
          <w:tcPr>
            <w:tcW w:w="859" w:type="pct"/>
            <w:shd w:val="clear" w:color="auto" w:fill="auto"/>
          </w:tcPr>
          <w:p w:rsidR="00EA212F" w:rsidRPr="00EA212F" w:rsidRDefault="00EA212F" w:rsidP="009874E2">
            <w:pPr>
              <w:keepNext/>
              <w:keepLines/>
              <w:widowControl w:val="0"/>
              <w:jc w:val="center"/>
              <w:rPr>
                <w:rFonts w:ascii="Arial Narrow" w:hAnsi="Arial Narrow" w:cs="Arial"/>
                <w:b/>
                <w:snapToGrid w:val="0"/>
                <w:sz w:val="20"/>
                <w:szCs w:val="20"/>
                <w:lang w:eastAsia="en-US"/>
              </w:rPr>
            </w:pPr>
            <w:r w:rsidRPr="00EA212F">
              <w:rPr>
                <w:rFonts w:ascii="Arial Narrow" w:hAnsi="Arial Narrow" w:cs="Arial"/>
                <w:snapToGrid w:val="0"/>
                <w:sz w:val="20"/>
                <w:szCs w:val="20"/>
                <w:lang w:eastAsia="en-US"/>
              </w:rPr>
              <w:t>0.68 (0.29, 1.60)</w:t>
            </w:r>
          </w:p>
        </w:tc>
      </w:tr>
      <w:tr w:rsidR="00EA212F" w:rsidRPr="00EA212F" w:rsidTr="00F96AE5">
        <w:trPr>
          <w:trHeight w:val="230"/>
        </w:trPr>
        <w:tc>
          <w:tcPr>
            <w:tcW w:w="1102" w:type="pct"/>
            <w:shd w:val="clear" w:color="auto" w:fill="auto"/>
            <w:vAlign w:val="center"/>
          </w:tcPr>
          <w:p w:rsidR="00EA212F" w:rsidRPr="00EA212F" w:rsidDel="008D5AB7" w:rsidRDefault="00EA212F" w:rsidP="009874E2">
            <w:pPr>
              <w:keepNext/>
              <w:keepLines/>
              <w:widowControl w:val="0"/>
              <w:rPr>
                <w:rFonts w:ascii="Arial Narrow" w:hAnsi="Arial Narrow" w:cs="Arial"/>
                <w:snapToGrid w:val="0"/>
                <w:sz w:val="20"/>
                <w:szCs w:val="20"/>
                <w:lang w:eastAsia="en-US"/>
              </w:rPr>
            </w:pPr>
            <w:r w:rsidRPr="00EA212F">
              <w:rPr>
                <w:rFonts w:ascii="Arial Narrow" w:hAnsi="Arial Narrow" w:cs="Arial"/>
                <w:snapToGrid w:val="0"/>
                <w:sz w:val="20"/>
                <w:szCs w:val="20"/>
                <w:lang w:eastAsia="en-US"/>
              </w:rPr>
              <w:t xml:space="preserve">22.8 </w:t>
            </w:r>
            <w:proofErr w:type="spellStart"/>
            <w:r w:rsidRPr="00EA212F">
              <w:rPr>
                <w:rFonts w:ascii="Arial Narrow" w:hAnsi="Arial Narrow" w:cs="Arial"/>
                <w:snapToGrid w:val="0"/>
                <w:sz w:val="20"/>
                <w:szCs w:val="20"/>
                <w:lang w:eastAsia="en-US"/>
              </w:rPr>
              <w:t>mths</w:t>
            </w:r>
            <w:proofErr w:type="spellEnd"/>
            <w:r w:rsidRPr="00EA212F">
              <w:rPr>
                <w:rFonts w:ascii="Arial Narrow" w:hAnsi="Arial Narrow" w:cs="Arial"/>
                <w:snapToGrid w:val="0"/>
                <w:sz w:val="20"/>
                <w:szCs w:val="20"/>
                <w:lang w:eastAsia="en-US"/>
              </w:rPr>
              <w:t xml:space="preserve"> follow-up</w:t>
            </w:r>
          </w:p>
        </w:tc>
        <w:tc>
          <w:tcPr>
            <w:tcW w:w="1088" w:type="pct"/>
            <w:shd w:val="clear" w:color="auto" w:fill="auto"/>
            <w:vAlign w:val="center"/>
          </w:tcPr>
          <w:p w:rsidR="00EA212F" w:rsidRPr="00EA212F" w:rsidRDefault="00EA212F" w:rsidP="009874E2">
            <w:pPr>
              <w:keepNext/>
              <w:keepLines/>
              <w:widowControl w:val="0"/>
              <w:jc w:val="center"/>
              <w:rPr>
                <w:rFonts w:ascii="Arial Narrow" w:hAnsi="Arial Narrow" w:cs="Arial"/>
                <w:snapToGrid w:val="0"/>
                <w:sz w:val="20"/>
                <w:szCs w:val="20"/>
                <w:lang w:eastAsia="en-US"/>
              </w:rPr>
            </w:pPr>
            <w:r w:rsidRPr="00EA212F">
              <w:rPr>
                <w:rFonts w:ascii="Arial Narrow" w:hAnsi="Arial Narrow" w:cs="Arial"/>
                <w:snapToGrid w:val="0"/>
                <w:sz w:val="20"/>
                <w:szCs w:val="20"/>
                <w:lang w:eastAsia="en-US"/>
              </w:rPr>
              <w:t>22/238 (9.2%)</w:t>
            </w:r>
          </w:p>
        </w:tc>
        <w:tc>
          <w:tcPr>
            <w:tcW w:w="1126" w:type="pct"/>
            <w:shd w:val="clear" w:color="auto" w:fill="auto"/>
            <w:vAlign w:val="center"/>
          </w:tcPr>
          <w:p w:rsidR="00EA212F" w:rsidRPr="00EA212F" w:rsidRDefault="00EA212F" w:rsidP="009874E2">
            <w:pPr>
              <w:keepNext/>
              <w:keepLines/>
              <w:widowControl w:val="0"/>
              <w:jc w:val="center"/>
              <w:rPr>
                <w:rFonts w:ascii="Arial Narrow" w:hAnsi="Arial Narrow" w:cs="Arial"/>
                <w:snapToGrid w:val="0"/>
                <w:sz w:val="20"/>
                <w:szCs w:val="20"/>
                <w:lang w:eastAsia="en-US"/>
              </w:rPr>
            </w:pPr>
            <w:r w:rsidRPr="00EA212F">
              <w:rPr>
                <w:rFonts w:ascii="Arial Narrow" w:hAnsi="Arial Narrow" w:cs="Arial"/>
                <w:snapToGrid w:val="0"/>
                <w:sz w:val="20"/>
                <w:szCs w:val="20"/>
                <w:lang w:eastAsia="en-US"/>
              </w:rPr>
              <w:t>24/118 (20.3%)</w:t>
            </w:r>
          </w:p>
        </w:tc>
        <w:tc>
          <w:tcPr>
            <w:tcW w:w="825" w:type="pct"/>
          </w:tcPr>
          <w:p w:rsidR="00EA212F" w:rsidRPr="00EA212F" w:rsidRDefault="00EA212F" w:rsidP="009874E2">
            <w:pPr>
              <w:keepNext/>
              <w:keepLines/>
              <w:widowControl w:val="0"/>
              <w:jc w:val="center"/>
              <w:rPr>
                <w:rFonts w:ascii="Arial Narrow" w:hAnsi="Arial Narrow" w:cs="Arial"/>
                <w:b/>
                <w:i/>
                <w:snapToGrid w:val="0"/>
                <w:sz w:val="20"/>
                <w:szCs w:val="20"/>
                <w:lang w:eastAsia="en-US"/>
              </w:rPr>
            </w:pPr>
            <w:r w:rsidRPr="00EA212F">
              <w:rPr>
                <w:rFonts w:ascii="Arial Narrow" w:hAnsi="Arial Narrow" w:cs="Arial"/>
                <w:b/>
                <w:i/>
                <w:snapToGrid w:val="0"/>
                <w:sz w:val="20"/>
                <w:szCs w:val="20"/>
                <w:lang w:eastAsia="en-US"/>
              </w:rPr>
              <w:t>-11.1 (-19.2, -3.0)</w:t>
            </w:r>
          </w:p>
        </w:tc>
        <w:tc>
          <w:tcPr>
            <w:tcW w:w="859" w:type="pct"/>
            <w:shd w:val="clear" w:color="auto" w:fill="auto"/>
          </w:tcPr>
          <w:p w:rsidR="00EA212F" w:rsidRPr="00EA212F" w:rsidRDefault="00EA212F" w:rsidP="009874E2">
            <w:pPr>
              <w:keepNext/>
              <w:keepLines/>
              <w:widowControl w:val="0"/>
              <w:jc w:val="center"/>
              <w:rPr>
                <w:rFonts w:ascii="Arial Narrow" w:hAnsi="Arial Narrow" w:cs="Arial"/>
                <w:b/>
                <w:snapToGrid w:val="0"/>
                <w:sz w:val="20"/>
                <w:szCs w:val="20"/>
                <w:lang w:eastAsia="en-US"/>
              </w:rPr>
            </w:pPr>
            <w:r w:rsidRPr="00EA212F">
              <w:rPr>
                <w:rFonts w:ascii="Arial Narrow" w:hAnsi="Arial Narrow" w:cs="Arial"/>
                <w:b/>
                <w:snapToGrid w:val="0"/>
                <w:sz w:val="20"/>
                <w:szCs w:val="20"/>
                <w:lang w:eastAsia="en-US"/>
              </w:rPr>
              <w:t>0.41 (0.23, 0.74)</w:t>
            </w:r>
          </w:p>
        </w:tc>
      </w:tr>
      <w:tr w:rsidR="001823DE" w:rsidRPr="00EA212F" w:rsidTr="00F96AE5">
        <w:trPr>
          <w:trHeight w:val="230"/>
        </w:trPr>
        <w:tc>
          <w:tcPr>
            <w:tcW w:w="1102" w:type="pct"/>
            <w:shd w:val="clear" w:color="auto" w:fill="auto"/>
            <w:vAlign w:val="center"/>
          </w:tcPr>
          <w:p w:rsidR="001823DE" w:rsidRPr="00EA212F" w:rsidRDefault="00197B45" w:rsidP="009874E2">
            <w:pPr>
              <w:keepNext/>
              <w:keepLines/>
              <w:widowControl w:val="0"/>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xml:space="preserve">''''''''''' </w:t>
            </w:r>
            <w:proofErr w:type="spellStart"/>
            <w:r w:rsidR="001823DE" w:rsidRPr="00DA0EAB">
              <w:rPr>
                <w:rFonts w:ascii="Arial Narrow" w:hAnsi="Arial Narrow" w:cs="Arial"/>
                <w:snapToGrid w:val="0"/>
                <w:sz w:val="20"/>
                <w:szCs w:val="20"/>
                <w:lang w:eastAsia="en-US"/>
              </w:rPr>
              <w:t>mths</w:t>
            </w:r>
            <w:proofErr w:type="spellEnd"/>
            <w:r w:rsidR="001823DE" w:rsidRPr="00DA0EAB">
              <w:rPr>
                <w:rFonts w:ascii="Arial Narrow" w:hAnsi="Arial Narrow" w:cs="Arial"/>
                <w:snapToGrid w:val="0"/>
                <w:sz w:val="20"/>
                <w:szCs w:val="20"/>
                <w:lang w:eastAsia="en-US"/>
              </w:rPr>
              <w:t xml:space="preserve"> follow-up</w:t>
            </w:r>
          </w:p>
        </w:tc>
        <w:tc>
          <w:tcPr>
            <w:tcW w:w="1088" w:type="pct"/>
            <w:shd w:val="clear" w:color="auto" w:fill="auto"/>
            <w:vAlign w:val="center"/>
          </w:tcPr>
          <w:p w:rsidR="001823DE" w:rsidRPr="00EA212F" w:rsidRDefault="00197B45" w:rsidP="009874E2">
            <w:pPr>
              <w:keepNext/>
              <w:keepLines/>
              <w:widowControl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w:t>
            </w:r>
            <w:r w:rsidR="001823DE" w:rsidRPr="008517F7">
              <w:rPr>
                <w:rFonts w:ascii="Arial Narrow" w:hAnsi="Arial Narrow" w:cs="Arial"/>
                <w:snapToGrid w:val="0"/>
                <w:sz w:val="20"/>
                <w:szCs w:val="20"/>
                <w:lang w:eastAsia="en-US"/>
              </w:rPr>
              <w:t>%</w:t>
            </w:r>
            <w:r>
              <w:rPr>
                <w:rFonts w:ascii="Arial Narrow" w:hAnsi="Arial Narrow" w:cs="Arial"/>
                <w:noProof/>
                <w:snapToGrid w:val="0"/>
                <w:color w:val="000000"/>
                <w:sz w:val="20"/>
                <w:szCs w:val="20"/>
                <w:highlight w:val="black"/>
                <w:lang w:eastAsia="en-US"/>
              </w:rPr>
              <w:t>''</w:t>
            </w:r>
          </w:p>
        </w:tc>
        <w:tc>
          <w:tcPr>
            <w:tcW w:w="1126" w:type="pct"/>
            <w:shd w:val="clear" w:color="auto" w:fill="auto"/>
            <w:vAlign w:val="center"/>
          </w:tcPr>
          <w:p w:rsidR="001823DE" w:rsidRPr="00EA212F" w:rsidRDefault="00197B45" w:rsidP="009874E2">
            <w:pPr>
              <w:keepNext/>
              <w:keepLines/>
              <w:widowControl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w:t>
            </w:r>
            <w:r w:rsidR="001823DE" w:rsidRPr="008517F7">
              <w:rPr>
                <w:rFonts w:ascii="Arial Narrow" w:hAnsi="Arial Narrow" w:cs="Arial"/>
                <w:snapToGrid w:val="0"/>
                <w:sz w:val="20"/>
                <w:szCs w:val="20"/>
                <w:lang w:eastAsia="en-US"/>
              </w:rPr>
              <w:t>%</w:t>
            </w:r>
            <w:r>
              <w:rPr>
                <w:rFonts w:ascii="Arial Narrow" w:hAnsi="Arial Narrow" w:cs="Arial"/>
                <w:noProof/>
                <w:snapToGrid w:val="0"/>
                <w:color w:val="000000"/>
                <w:sz w:val="20"/>
                <w:szCs w:val="20"/>
                <w:highlight w:val="black"/>
                <w:lang w:eastAsia="en-US"/>
              </w:rPr>
              <w:t>'''</w:t>
            </w:r>
          </w:p>
        </w:tc>
        <w:tc>
          <w:tcPr>
            <w:tcW w:w="825" w:type="pct"/>
          </w:tcPr>
          <w:p w:rsidR="001823DE" w:rsidRPr="00EA212F" w:rsidRDefault="001823DE" w:rsidP="009874E2">
            <w:pPr>
              <w:keepNext/>
              <w:keepLines/>
              <w:widowControl w:val="0"/>
              <w:jc w:val="center"/>
              <w:rPr>
                <w:rFonts w:ascii="Arial Narrow" w:hAnsi="Arial Narrow" w:cs="Arial"/>
                <w:b/>
                <w:i/>
                <w:snapToGrid w:val="0"/>
                <w:sz w:val="20"/>
                <w:szCs w:val="20"/>
                <w:lang w:eastAsia="en-US"/>
              </w:rPr>
            </w:pPr>
          </w:p>
        </w:tc>
        <w:tc>
          <w:tcPr>
            <w:tcW w:w="859" w:type="pct"/>
            <w:shd w:val="clear" w:color="auto" w:fill="auto"/>
          </w:tcPr>
          <w:p w:rsidR="001823DE" w:rsidRPr="00197B45" w:rsidRDefault="00197B45" w:rsidP="009874E2">
            <w:pPr>
              <w:keepNext/>
              <w:keepLines/>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r>
    </w:tbl>
    <w:p w:rsidR="001C0DB0" w:rsidRPr="00F96AE5" w:rsidRDefault="00EA212F" w:rsidP="00F96AE5">
      <w:pPr>
        <w:ind w:left="720"/>
        <w:rPr>
          <w:rFonts w:ascii="Arial Narrow" w:hAnsi="Arial Narrow"/>
          <w:snapToGrid w:val="0"/>
          <w:sz w:val="18"/>
          <w:lang w:eastAsia="en-US"/>
        </w:rPr>
      </w:pPr>
      <w:r w:rsidRPr="00F96AE5">
        <w:rPr>
          <w:rFonts w:ascii="Arial Narrow" w:hAnsi="Arial Narrow"/>
          <w:snapToGrid w:val="0"/>
          <w:sz w:val="18"/>
          <w:lang w:eastAsia="en-US"/>
        </w:rPr>
        <w:t xml:space="preserve">Source: Table B.6.1 p.64, Table B.6.2, p.69, and Table </w:t>
      </w:r>
      <w:r w:rsidR="001C0DB0" w:rsidRPr="00F96AE5">
        <w:rPr>
          <w:rFonts w:ascii="Arial Narrow" w:hAnsi="Arial Narrow"/>
          <w:snapToGrid w:val="0"/>
          <w:sz w:val="18"/>
          <w:lang w:eastAsia="en-US"/>
        </w:rPr>
        <w:t xml:space="preserve">B.6.9, p89-90 of the submission; </w:t>
      </w:r>
      <w:r w:rsidR="00197B45">
        <w:rPr>
          <w:rFonts w:ascii="Arial Narrow" w:hAnsi="Arial Narrow"/>
          <w:noProof/>
          <w:snapToGrid w:val="0"/>
          <w:color w:val="000000"/>
          <w:sz w:val="18"/>
          <w:highlight w:val="black"/>
          <w:lang w:eastAsia="en-US"/>
        </w:rPr>
        <w:t>''''''''''''' '''''''''' '''''''''''' '''''' '''' ''''''''''''''' ''''''''''''</w:t>
      </w:r>
      <w:r w:rsidR="001C0DB0" w:rsidRPr="00F96AE5">
        <w:rPr>
          <w:rFonts w:ascii="Arial Narrow" w:hAnsi="Arial Narrow"/>
          <w:snapToGrid w:val="0"/>
          <w:sz w:val="18"/>
          <w:lang w:eastAsia="en-US"/>
        </w:rPr>
        <w:t xml:space="preserve"> data-cut</w:t>
      </w:r>
      <w:r w:rsidR="003E272B" w:rsidRPr="00F96AE5">
        <w:rPr>
          <w:rFonts w:ascii="Arial Narrow" w:hAnsi="Arial Narrow"/>
          <w:snapToGrid w:val="0"/>
          <w:sz w:val="18"/>
          <w:lang w:eastAsia="en-US"/>
        </w:rPr>
        <w:t xml:space="preserve">            </w:t>
      </w:r>
      <w:proofErr w:type="spellStart"/>
      <w:r w:rsidR="001C0DB0" w:rsidRPr="00F96AE5">
        <w:rPr>
          <w:rFonts w:ascii="Arial Narrow" w:hAnsi="Arial Narrow"/>
          <w:snapToGrid w:val="0"/>
          <w:sz w:val="18"/>
          <w:lang w:eastAsia="en-US"/>
        </w:rPr>
        <w:t>aKaplan</w:t>
      </w:r>
      <w:proofErr w:type="spellEnd"/>
      <w:r w:rsidR="001C0DB0" w:rsidRPr="00F96AE5">
        <w:rPr>
          <w:rFonts w:ascii="Arial Narrow" w:hAnsi="Arial Narrow"/>
          <w:snapToGrid w:val="0"/>
          <w:sz w:val="18"/>
          <w:lang w:eastAsia="en-US"/>
        </w:rPr>
        <w:t>-Meier estimates</w:t>
      </w:r>
    </w:p>
    <w:p w:rsidR="00EA212F" w:rsidRPr="00F96AE5" w:rsidRDefault="00EA212F" w:rsidP="00F96AE5">
      <w:pPr>
        <w:ind w:firstLine="720"/>
        <w:rPr>
          <w:rFonts w:ascii="Arial Narrow" w:hAnsi="Arial Narrow"/>
          <w:snapToGrid w:val="0"/>
          <w:sz w:val="18"/>
          <w:lang w:eastAsia="en-US"/>
        </w:rPr>
      </w:pPr>
      <w:r w:rsidRPr="00F96AE5">
        <w:rPr>
          <w:rFonts w:ascii="Arial Narrow" w:hAnsi="Arial Narrow"/>
          <w:b/>
          <w:snapToGrid w:val="0"/>
          <w:sz w:val="18"/>
          <w:lang w:eastAsia="en-US"/>
        </w:rPr>
        <w:t>Bold</w:t>
      </w:r>
      <w:r w:rsidRPr="00F96AE5">
        <w:rPr>
          <w:rFonts w:ascii="Arial Narrow" w:hAnsi="Arial Narrow"/>
          <w:snapToGrid w:val="0"/>
          <w:sz w:val="18"/>
          <w:lang w:eastAsia="en-US"/>
        </w:rPr>
        <w:t>=statistically significant; italics = calculated during evaluation;</w:t>
      </w:r>
    </w:p>
    <w:p w:rsidR="00A22FEA" w:rsidRDefault="00A22FEA" w:rsidP="00EA212F">
      <w:pPr>
        <w:jc w:val="both"/>
        <w:rPr>
          <w:rFonts w:ascii="Arial" w:hAnsi="Arial"/>
          <w:sz w:val="22"/>
          <w:szCs w:val="22"/>
        </w:rPr>
      </w:pPr>
    </w:p>
    <w:p w:rsidR="00C82E09" w:rsidRPr="008517F7" w:rsidRDefault="00E52991" w:rsidP="00F96AE5">
      <w:pPr>
        <w:ind w:left="720"/>
        <w:jc w:val="both"/>
        <w:rPr>
          <w:rFonts w:ascii="Arial Narrow" w:hAnsi="Arial Narrow"/>
          <w:b/>
          <w:sz w:val="20"/>
          <w:szCs w:val="20"/>
        </w:rPr>
      </w:pPr>
      <w:r w:rsidRPr="008517F7">
        <w:rPr>
          <w:rFonts w:ascii="Arial Narrow" w:hAnsi="Arial Narrow"/>
          <w:b/>
          <w:sz w:val="20"/>
          <w:szCs w:val="20"/>
        </w:rPr>
        <w:t>Figure: Kaplan-Meier plots of Progression Free Survival (Investigator assessment) and Overall Survival – Stage 1a Update (ITT)</w:t>
      </w:r>
    </w:p>
    <w:p w:rsidR="00F96AE5" w:rsidRPr="00197B45" w:rsidRDefault="00F96AE5" w:rsidP="00F96AE5">
      <w:pPr>
        <w:ind w:left="720"/>
        <w:jc w:val="both"/>
        <w:rPr>
          <w:rFonts w:ascii="Arial Narrow" w:hAnsi="Arial Narrow"/>
          <w:b/>
          <w:sz w:val="20"/>
          <w:szCs w:val="20"/>
        </w:rPr>
      </w:pPr>
    </w:p>
    <w:p w:rsidR="00E52991" w:rsidRPr="00A1715D" w:rsidRDefault="00E52991" w:rsidP="00EA212F">
      <w:pPr>
        <w:jc w:val="both"/>
        <w:rPr>
          <w:rFonts w:ascii="Arial Narrow" w:hAnsi="Arial Narrow"/>
          <w:b/>
          <w:sz w:val="20"/>
          <w:szCs w:val="20"/>
        </w:rPr>
      </w:pPr>
      <w:r w:rsidRPr="00A1715D">
        <w:rPr>
          <w:rFonts w:ascii="Arial Narrow" w:hAnsi="Arial Narrow"/>
          <w:b/>
          <w:sz w:val="20"/>
          <w:szCs w:val="20"/>
        </w:rPr>
        <w:tab/>
        <w:t>Progression Free Survival</w:t>
      </w:r>
      <w:r w:rsidRPr="00A1715D">
        <w:rPr>
          <w:rFonts w:ascii="Arial Narrow" w:hAnsi="Arial Narrow"/>
          <w:b/>
          <w:sz w:val="20"/>
          <w:szCs w:val="20"/>
        </w:rPr>
        <w:tab/>
      </w:r>
      <w:r w:rsidRPr="00A1715D">
        <w:rPr>
          <w:rFonts w:ascii="Arial Narrow" w:hAnsi="Arial Narrow"/>
          <w:b/>
          <w:sz w:val="20"/>
          <w:szCs w:val="20"/>
        </w:rPr>
        <w:tab/>
      </w:r>
      <w:r w:rsidRPr="00A1715D">
        <w:rPr>
          <w:rFonts w:ascii="Arial Narrow" w:hAnsi="Arial Narrow"/>
          <w:b/>
          <w:sz w:val="20"/>
          <w:szCs w:val="20"/>
        </w:rPr>
        <w:tab/>
      </w:r>
      <w:r w:rsidRPr="00A1715D">
        <w:rPr>
          <w:rFonts w:ascii="Arial Narrow" w:hAnsi="Arial Narrow"/>
          <w:b/>
          <w:sz w:val="20"/>
          <w:szCs w:val="20"/>
        </w:rPr>
        <w:tab/>
        <w:t>Overall Survival</w:t>
      </w:r>
    </w:p>
    <w:p w:rsidR="00C82E09" w:rsidRPr="00197B45" w:rsidRDefault="00197B45" w:rsidP="00F96AE5">
      <w:pPr>
        <w:jc w:val="right"/>
        <w:rPr>
          <w:rFonts w:ascii="Arial" w:hAnsi="Arial"/>
          <w:sz w:val="20"/>
          <w:szCs w:val="20"/>
          <w:highlight w:val="black"/>
        </w:rPr>
      </w:pPr>
      <w:r>
        <w:rPr>
          <w:rFonts w:ascii="Arial" w:hAnsi="Arial"/>
          <w:noProof/>
          <w:sz w:val="20"/>
          <w:szCs w:val="20"/>
        </w:rPr>
        <w:drawing>
          <wp:inline distT="0" distB="0" distL="0" distR="0">
            <wp:extent cx="2790825" cy="1960880"/>
            <wp:effectExtent l="0" t="0" r="9525" b="1270"/>
            <wp:docPr id="9" name="Picture 9" descr="Kaplan-Meier plots of Progression Free Survival (Investigator assessment) – Stage 1a Update (IT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90825" cy="1960880"/>
                    </a:xfrm>
                    <a:prstGeom prst="rect">
                      <a:avLst/>
                    </a:prstGeom>
                  </pic:spPr>
                </pic:pic>
              </a:graphicData>
            </a:graphic>
          </wp:inline>
        </w:drawing>
      </w:r>
      <w:r>
        <w:rPr>
          <w:rFonts w:ascii="Arial" w:hAnsi="Arial"/>
          <w:noProof/>
          <w:sz w:val="20"/>
          <w:szCs w:val="20"/>
        </w:rPr>
        <w:drawing>
          <wp:inline distT="0" distB="0" distL="0" distR="0">
            <wp:extent cx="2486025" cy="1978025"/>
            <wp:effectExtent l="0" t="0" r="9525" b="3175"/>
            <wp:docPr id="6" name="Picture 6" descr="Kaplan-Meier plots of Overall Survival – Stage 1a Update (IT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86025" cy="1978025"/>
                    </a:xfrm>
                    <a:prstGeom prst="rect">
                      <a:avLst/>
                    </a:prstGeom>
                  </pic:spPr>
                </pic:pic>
              </a:graphicData>
            </a:graphic>
          </wp:inline>
        </w:drawing>
      </w:r>
    </w:p>
    <w:p w:rsidR="00E52991" w:rsidRPr="00197B45" w:rsidRDefault="00197B45" w:rsidP="00F96AE5">
      <w:pPr>
        <w:ind w:firstLine="720"/>
        <w:jc w:val="both"/>
        <w:rPr>
          <w:rFonts w:ascii="Arial Narrow" w:hAnsi="Arial Narrow"/>
          <w:b/>
          <w:sz w:val="20"/>
          <w:szCs w:val="20"/>
          <w:highlight w:val="black"/>
        </w:rPr>
      </w:pPr>
      <w:r>
        <w:rPr>
          <w:rFonts w:ascii="Arial Narrow" w:hAnsi="Arial Narrow"/>
          <w:b/>
          <w:noProof/>
          <w:color w:val="000000"/>
          <w:sz w:val="20"/>
          <w:szCs w:val="20"/>
          <w:highlight w:val="black"/>
        </w:rPr>
        <w:t>'''''''''''''''''' ''''''''''''' '''''' ''''''' '''' '''' '''''''''</w:t>
      </w:r>
    </w:p>
    <w:p w:rsidR="00C82E09" w:rsidRDefault="00C82E09" w:rsidP="00EA212F">
      <w:pPr>
        <w:jc w:val="both"/>
        <w:rPr>
          <w:rFonts w:ascii="Arial" w:hAnsi="Arial"/>
          <w:sz w:val="22"/>
          <w:szCs w:val="22"/>
        </w:rPr>
      </w:pPr>
    </w:p>
    <w:p w:rsidR="00B92C54" w:rsidRPr="001823DE" w:rsidRDefault="00B92C54" w:rsidP="00B92C54">
      <w:pPr>
        <w:pStyle w:val="ListParagraph"/>
        <w:numPr>
          <w:ilvl w:val="1"/>
          <w:numId w:val="25"/>
        </w:numPr>
        <w:jc w:val="both"/>
        <w:rPr>
          <w:rFonts w:ascii="Arial" w:hAnsi="Arial"/>
          <w:color w:val="4F81BD" w:themeColor="accent1"/>
          <w:sz w:val="22"/>
          <w:szCs w:val="22"/>
        </w:rPr>
      </w:pPr>
      <w:r w:rsidRPr="00B92C54">
        <w:rPr>
          <w:rFonts w:ascii="Arial" w:hAnsi="Arial"/>
          <w:sz w:val="22"/>
          <w:szCs w:val="22"/>
        </w:rPr>
        <w:t>A statistically significant improvement in PFS and OS (</w:t>
      </w:r>
      <w:r w:rsidR="004E360A">
        <w:rPr>
          <w:rFonts w:ascii="Arial" w:hAnsi="Arial"/>
          <w:sz w:val="22"/>
          <w:szCs w:val="22"/>
        </w:rPr>
        <w:t xml:space="preserve">at </w:t>
      </w:r>
      <w:r w:rsidRPr="00B92C54">
        <w:rPr>
          <w:rFonts w:ascii="Arial" w:hAnsi="Arial"/>
          <w:sz w:val="22"/>
          <w:szCs w:val="22"/>
        </w:rPr>
        <w:t>22.8</w:t>
      </w:r>
      <w:r w:rsidR="004E360A">
        <w:rPr>
          <w:rFonts w:ascii="Arial" w:hAnsi="Arial"/>
          <w:sz w:val="22"/>
          <w:szCs w:val="22"/>
        </w:rPr>
        <w:t xml:space="preserve"> and </w:t>
      </w:r>
      <w:r w:rsidR="00197B45">
        <w:rPr>
          <w:rFonts w:ascii="Arial" w:hAnsi="Arial"/>
          <w:noProof/>
          <w:color w:val="000000"/>
          <w:sz w:val="22"/>
          <w:szCs w:val="22"/>
          <w:highlight w:val="black"/>
        </w:rPr>
        <w:t>'''''''''''</w:t>
      </w:r>
      <w:r w:rsidRPr="00B92C54">
        <w:rPr>
          <w:rFonts w:ascii="Arial" w:hAnsi="Arial"/>
          <w:sz w:val="22"/>
          <w:szCs w:val="22"/>
        </w:rPr>
        <w:t xml:space="preserve"> months follow-up) was observed for </w:t>
      </w:r>
      <w:proofErr w:type="spellStart"/>
      <w:r w:rsidRPr="00B92C54">
        <w:rPr>
          <w:rFonts w:ascii="Arial" w:hAnsi="Arial"/>
          <w:sz w:val="22"/>
          <w:szCs w:val="22"/>
        </w:rPr>
        <w:t>obinutuzumab</w:t>
      </w:r>
      <w:proofErr w:type="spellEnd"/>
      <w:r w:rsidRPr="00B92C54">
        <w:rPr>
          <w:rFonts w:ascii="Arial" w:hAnsi="Arial"/>
          <w:sz w:val="22"/>
          <w:szCs w:val="22"/>
        </w:rPr>
        <w:t xml:space="preserve"> plus </w:t>
      </w:r>
      <w:proofErr w:type="spellStart"/>
      <w:r w:rsidRPr="00B92C54">
        <w:rPr>
          <w:rFonts w:ascii="Arial" w:hAnsi="Arial"/>
          <w:sz w:val="22"/>
          <w:szCs w:val="22"/>
        </w:rPr>
        <w:t>chlorambucil</w:t>
      </w:r>
      <w:proofErr w:type="spellEnd"/>
      <w:r w:rsidRPr="00B92C54">
        <w:rPr>
          <w:rFonts w:ascii="Arial" w:hAnsi="Arial"/>
          <w:sz w:val="22"/>
          <w:szCs w:val="22"/>
        </w:rPr>
        <w:t xml:space="preserve"> compared to </w:t>
      </w:r>
      <w:proofErr w:type="spellStart"/>
      <w:r w:rsidRPr="00B92C54">
        <w:rPr>
          <w:rFonts w:ascii="Arial" w:hAnsi="Arial"/>
          <w:sz w:val="22"/>
          <w:szCs w:val="22"/>
        </w:rPr>
        <w:t>chl</w:t>
      </w:r>
      <w:r w:rsidR="008D4457">
        <w:rPr>
          <w:rFonts w:ascii="Arial" w:hAnsi="Arial"/>
          <w:sz w:val="22"/>
          <w:szCs w:val="22"/>
        </w:rPr>
        <w:t>orambucil</w:t>
      </w:r>
      <w:proofErr w:type="spellEnd"/>
      <w:r w:rsidR="008D4457">
        <w:rPr>
          <w:rFonts w:ascii="Arial" w:hAnsi="Arial"/>
          <w:sz w:val="22"/>
          <w:szCs w:val="22"/>
        </w:rPr>
        <w:t xml:space="preserve"> monotherapy</w:t>
      </w:r>
      <w:r w:rsidRPr="00B92C54">
        <w:rPr>
          <w:rFonts w:ascii="Arial" w:hAnsi="Arial"/>
          <w:sz w:val="22"/>
          <w:szCs w:val="22"/>
        </w:rPr>
        <w:t xml:space="preserve">. At </w:t>
      </w:r>
      <w:r w:rsidR="00197B45">
        <w:rPr>
          <w:rFonts w:ascii="Arial" w:hAnsi="Arial"/>
          <w:noProof/>
          <w:color w:val="000000"/>
          <w:sz w:val="22"/>
          <w:szCs w:val="22"/>
          <w:highlight w:val="black"/>
        </w:rPr>
        <w:t>''''''''''</w:t>
      </w:r>
      <w:r w:rsidRPr="00B92C54">
        <w:rPr>
          <w:rFonts w:ascii="Arial" w:hAnsi="Arial"/>
          <w:sz w:val="22"/>
          <w:szCs w:val="22"/>
        </w:rPr>
        <w:t xml:space="preserve"> months the</w:t>
      </w:r>
      <w:r w:rsidR="00CF051F">
        <w:rPr>
          <w:rFonts w:ascii="Arial" w:hAnsi="Arial"/>
          <w:sz w:val="22"/>
          <w:szCs w:val="22"/>
        </w:rPr>
        <w:t xml:space="preserve"> HR for PFS was </w:t>
      </w:r>
      <w:r w:rsidR="00197B45">
        <w:rPr>
          <w:rFonts w:ascii="Arial" w:hAnsi="Arial"/>
          <w:noProof/>
          <w:color w:val="000000"/>
          <w:sz w:val="22"/>
          <w:szCs w:val="22"/>
          <w:highlight w:val="black"/>
        </w:rPr>
        <w:t>'''''''''''</w:t>
      </w:r>
      <w:r w:rsidR="00CF051F">
        <w:rPr>
          <w:rFonts w:ascii="Arial" w:hAnsi="Arial"/>
          <w:sz w:val="22"/>
          <w:szCs w:val="22"/>
        </w:rPr>
        <w:t xml:space="preserve"> (95% CI: </w:t>
      </w:r>
      <w:r w:rsidR="00197B45">
        <w:rPr>
          <w:rFonts w:ascii="Arial" w:hAnsi="Arial"/>
          <w:noProof/>
          <w:color w:val="000000"/>
          <w:sz w:val="22"/>
          <w:szCs w:val="22"/>
          <w:highlight w:val="black"/>
        </w:rPr>
        <w:t>''''''''''' ''''''''''''</w:t>
      </w:r>
      <w:r w:rsidR="00CF051F">
        <w:rPr>
          <w:rFonts w:ascii="Arial" w:hAnsi="Arial"/>
          <w:sz w:val="22"/>
          <w:szCs w:val="22"/>
        </w:rPr>
        <w:t xml:space="preserve">) and the HR for OS was </w:t>
      </w:r>
      <w:r w:rsidR="00197B45">
        <w:rPr>
          <w:rFonts w:ascii="Arial" w:hAnsi="Arial"/>
          <w:noProof/>
          <w:color w:val="000000"/>
          <w:sz w:val="22"/>
          <w:szCs w:val="22"/>
          <w:highlight w:val="black"/>
        </w:rPr>
        <w:t>''''''''''' ''''''''''' ''''''''''''''</w:t>
      </w:r>
      <w:r w:rsidRPr="00B92C54">
        <w:rPr>
          <w:rFonts w:ascii="Arial" w:hAnsi="Arial"/>
          <w:sz w:val="22"/>
          <w:szCs w:val="22"/>
        </w:rPr>
        <w:t>.</w:t>
      </w:r>
      <w:r w:rsidR="00B04DF2">
        <w:rPr>
          <w:rFonts w:ascii="Arial" w:hAnsi="Arial"/>
          <w:sz w:val="22"/>
          <w:szCs w:val="22"/>
        </w:rPr>
        <w:t xml:space="preserve"> </w:t>
      </w:r>
    </w:p>
    <w:p w:rsidR="00B92C54" w:rsidRDefault="00B92C54" w:rsidP="00B92C54">
      <w:pPr>
        <w:pStyle w:val="ListParagraph"/>
        <w:jc w:val="both"/>
        <w:rPr>
          <w:rFonts w:ascii="Arial" w:hAnsi="Arial"/>
          <w:sz w:val="22"/>
          <w:szCs w:val="22"/>
        </w:rPr>
      </w:pPr>
    </w:p>
    <w:p w:rsidR="00C6190B" w:rsidRDefault="009E0A04" w:rsidP="00C6190B">
      <w:pPr>
        <w:pStyle w:val="ListParagraph"/>
        <w:numPr>
          <w:ilvl w:val="1"/>
          <w:numId w:val="25"/>
        </w:numPr>
        <w:jc w:val="both"/>
        <w:rPr>
          <w:rFonts w:ascii="Arial" w:hAnsi="Arial"/>
          <w:color w:val="4F81BD" w:themeColor="accent1"/>
          <w:sz w:val="22"/>
          <w:szCs w:val="22"/>
        </w:rPr>
      </w:pPr>
      <w:r w:rsidRPr="002F2300">
        <w:rPr>
          <w:rFonts w:ascii="Arial" w:hAnsi="Arial"/>
          <w:sz w:val="22"/>
          <w:szCs w:val="22"/>
        </w:rPr>
        <w:t xml:space="preserve">The ESC </w:t>
      </w:r>
      <w:r w:rsidR="00B31462">
        <w:rPr>
          <w:rFonts w:ascii="Arial" w:hAnsi="Arial"/>
          <w:sz w:val="22"/>
          <w:szCs w:val="22"/>
        </w:rPr>
        <w:t xml:space="preserve">considered the </w:t>
      </w:r>
      <w:proofErr w:type="spellStart"/>
      <w:r w:rsidR="00B92C54" w:rsidRPr="002F2300">
        <w:rPr>
          <w:rFonts w:ascii="Arial" w:hAnsi="Arial"/>
          <w:sz w:val="22"/>
          <w:szCs w:val="22"/>
        </w:rPr>
        <w:t>chlorambucil</w:t>
      </w:r>
      <w:proofErr w:type="spellEnd"/>
      <w:r w:rsidR="00B92C54" w:rsidRPr="002F2300">
        <w:rPr>
          <w:rFonts w:ascii="Arial" w:hAnsi="Arial"/>
          <w:sz w:val="22"/>
          <w:szCs w:val="22"/>
        </w:rPr>
        <w:t xml:space="preserve"> dose in </w:t>
      </w:r>
      <w:r w:rsidR="00693766">
        <w:rPr>
          <w:rFonts w:ascii="Arial" w:hAnsi="Arial"/>
          <w:sz w:val="22"/>
          <w:szCs w:val="22"/>
        </w:rPr>
        <w:t xml:space="preserve">the </w:t>
      </w:r>
      <w:r w:rsidR="00B92C54" w:rsidRPr="002F2300">
        <w:rPr>
          <w:rFonts w:ascii="Arial" w:hAnsi="Arial"/>
          <w:sz w:val="22"/>
          <w:szCs w:val="22"/>
        </w:rPr>
        <w:t>CLL11</w:t>
      </w:r>
      <w:r w:rsidR="00693766">
        <w:rPr>
          <w:rFonts w:ascii="Arial" w:hAnsi="Arial"/>
          <w:sz w:val="22"/>
          <w:szCs w:val="22"/>
        </w:rPr>
        <w:t xml:space="preserve"> trial</w:t>
      </w:r>
      <w:r w:rsidR="00B92C54" w:rsidRPr="002F2300">
        <w:rPr>
          <w:rFonts w:ascii="Arial" w:hAnsi="Arial"/>
          <w:sz w:val="22"/>
          <w:szCs w:val="22"/>
        </w:rPr>
        <w:t xml:space="preserve"> was at the lower end of usual practice (</w:t>
      </w:r>
      <w:r w:rsidR="00197B45">
        <w:rPr>
          <w:rFonts w:ascii="Arial" w:hAnsi="Arial"/>
          <w:noProof/>
          <w:color w:val="000000"/>
          <w:sz w:val="22"/>
          <w:szCs w:val="22"/>
          <w:highlight w:val="black"/>
        </w:rPr>
        <w:t>''''''</w:t>
      </w:r>
      <w:r w:rsidR="00B92C54" w:rsidRPr="002F2300">
        <w:rPr>
          <w:rFonts w:ascii="Arial" w:hAnsi="Arial"/>
          <w:sz w:val="22"/>
          <w:szCs w:val="22"/>
        </w:rPr>
        <w:t xml:space="preserve"> mg per cycle, compared to </w:t>
      </w:r>
      <w:r w:rsidR="00197B45">
        <w:rPr>
          <w:rFonts w:ascii="Arial" w:hAnsi="Arial"/>
          <w:noProof/>
          <w:color w:val="000000"/>
          <w:sz w:val="22"/>
          <w:szCs w:val="22"/>
          <w:highlight w:val="black"/>
        </w:rPr>
        <w:t>'''''''''''''''</w:t>
      </w:r>
      <w:r w:rsidR="00B92C54" w:rsidRPr="002F2300">
        <w:rPr>
          <w:rFonts w:ascii="Arial" w:hAnsi="Arial"/>
          <w:sz w:val="22"/>
          <w:szCs w:val="22"/>
        </w:rPr>
        <w:t xml:space="preserve"> mg which was suggested as an appropriate dose for CLL patients with comorbidities by </w:t>
      </w:r>
      <w:r w:rsidR="00197B45">
        <w:rPr>
          <w:rFonts w:ascii="Arial" w:hAnsi="Arial"/>
          <w:noProof/>
          <w:color w:val="000000"/>
          <w:sz w:val="22"/>
          <w:szCs w:val="22"/>
          <w:highlight w:val="black"/>
        </w:rPr>
        <w:t xml:space="preserve">'''''' </w:t>
      </w:r>
      <w:r w:rsidR="00B92C54" w:rsidRPr="002F2300">
        <w:rPr>
          <w:rFonts w:ascii="Arial" w:hAnsi="Arial"/>
          <w:sz w:val="22"/>
          <w:szCs w:val="22"/>
        </w:rPr>
        <w:t xml:space="preserve">Australian clinicians). </w:t>
      </w:r>
      <w:r w:rsidR="00C6190B" w:rsidRPr="002F2300">
        <w:rPr>
          <w:rFonts w:ascii="Arial" w:hAnsi="Arial"/>
          <w:sz w:val="22"/>
          <w:szCs w:val="22"/>
        </w:rPr>
        <w:t xml:space="preserve">The ESC noted data from the literature that suggested that a higher </w:t>
      </w:r>
      <w:proofErr w:type="spellStart"/>
      <w:r w:rsidR="00C6190B" w:rsidRPr="002F2300">
        <w:rPr>
          <w:rFonts w:ascii="Arial" w:hAnsi="Arial"/>
          <w:sz w:val="22"/>
          <w:szCs w:val="22"/>
        </w:rPr>
        <w:t>chlorambucil</w:t>
      </w:r>
      <w:proofErr w:type="spellEnd"/>
      <w:r w:rsidR="00C6190B" w:rsidRPr="002F2300">
        <w:rPr>
          <w:rFonts w:ascii="Arial" w:hAnsi="Arial"/>
          <w:sz w:val="22"/>
          <w:szCs w:val="22"/>
        </w:rPr>
        <w:t xml:space="preserve"> dose </w:t>
      </w:r>
      <w:r w:rsidR="00AE57C9" w:rsidRPr="002F2300">
        <w:rPr>
          <w:rFonts w:ascii="Arial" w:hAnsi="Arial"/>
          <w:sz w:val="22"/>
          <w:szCs w:val="22"/>
        </w:rPr>
        <w:t xml:space="preserve">per cycle </w:t>
      </w:r>
      <w:r w:rsidR="00C6190B" w:rsidRPr="002F2300">
        <w:rPr>
          <w:rFonts w:ascii="Arial" w:hAnsi="Arial"/>
          <w:sz w:val="22"/>
          <w:szCs w:val="22"/>
        </w:rPr>
        <w:t>may result in longer PFS. Thus the ESC considered that the use of low</w:t>
      </w:r>
      <w:r w:rsidR="008D4457">
        <w:rPr>
          <w:rFonts w:ascii="Arial" w:hAnsi="Arial"/>
          <w:sz w:val="22"/>
          <w:szCs w:val="22"/>
        </w:rPr>
        <w:t>er</w:t>
      </w:r>
      <w:r w:rsidR="00C6190B" w:rsidRPr="002F2300">
        <w:rPr>
          <w:rFonts w:ascii="Arial" w:hAnsi="Arial"/>
          <w:sz w:val="22"/>
          <w:szCs w:val="22"/>
        </w:rPr>
        <w:t xml:space="preserve"> doses in the monotherapy arm may have led to an underestimation of PFS in this arm of the trial, compared to the benefits that would be seen in clinical practice. The </w:t>
      </w:r>
      <w:proofErr w:type="spellStart"/>
      <w:r w:rsidR="00C6190B" w:rsidRPr="002F2300">
        <w:rPr>
          <w:rFonts w:ascii="Arial" w:hAnsi="Arial"/>
          <w:sz w:val="22"/>
          <w:szCs w:val="22"/>
        </w:rPr>
        <w:t>chlorambucil</w:t>
      </w:r>
      <w:proofErr w:type="spellEnd"/>
      <w:r w:rsidR="00C6190B" w:rsidRPr="002F2300">
        <w:rPr>
          <w:rFonts w:ascii="Arial" w:hAnsi="Arial"/>
          <w:sz w:val="22"/>
          <w:szCs w:val="22"/>
        </w:rPr>
        <w:t xml:space="preserve"> </w:t>
      </w:r>
      <w:r w:rsidR="00B93C93">
        <w:rPr>
          <w:rFonts w:ascii="Arial" w:hAnsi="Arial"/>
          <w:sz w:val="22"/>
          <w:szCs w:val="22"/>
        </w:rPr>
        <w:t xml:space="preserve">doses used </w:t>
      </w:r>
      <w:r w:rsidR="00C6190B" w:rsidRPr="002F2300">
        <w:rPr>
          <w:rFonts w:ascii="Arial" w:hAnsi="Arial"/>
          <w:sz w:val="22"/>
          <w:szCs w:val="22"/>
        </w:rPr>
        <w:t xml:space="preserve">in combination with </w:t>
      </w:r>
      <w:proofErr w:type="spellStart"/>
      <w:r w:rsidR="00C6190B" w:rsidRPr="002F2300">
        <w:rPr>
          <w:rFonts w:ascii="Arial" w:hAnsi="Arial"/>
          <w:sz w:val="22"/>
          <w:szCs w:val="22"/>
        </w:rPr>
        <w:t>obinutuzumab</w:t>
      </w:r>
      <w:proofErr w:type="spellEnd"/>
      <w:r w:rsidR="00C6190B" w:rsidRPr="002F2300">
        <w:rPr>
          <w:rFonts w:ascii="Arial" w:hAnsi="Arial"/>
          <w:sz w:val="22"/>
          <w:szCs w:val="22"/>
        </w:rPr>
        <w:t xml:space="preserve"> </w:t>
      </w:r>
      <w:r w:rsidR="00B93C93">
        <w:rPr>
          <w:rFonts w:ascii="Arial" w:hAnsi="Arial"/>
          <w:sz w:val="22"/>
          <w:szCs w:val="22"/>
        </w:rPr>
        <w:t xml:space="preserve">in the trial </w:t>
      </w:r>
      <w:r w:rsidR="00C6190B" w:rsidRPr="002F2300">
        <w:rPr>
          <w:rFonts w:ascii="Arial" w:hAnsi="Arial"/>
          <w:sz w:val="22"/>
          <w:szCs w:val="22"/>
        </w:rPr>
        <w:t>are likely to reasonably reflect the doses that will be used in clinical practice due to risk-benefit trade-offs when used in combination. Thus, the</w:t>
      </w:r>
      <w:r w:rsidR="00AE57C9" w:rsidRPr="002F2300">
        <w:rPr>
          <w:rFonts w:ascii="Arial" w:hAnsi="Arial"/>
          <w:sz w:val="22"/>
          <w:szCs w:val="22"/>
        </w:rPr>
        <w:t xml:space="preserve"> ESC considered that the </w:t>
      </w:r>
      <w:r w:rsidR="00C6190B" w:rsidRPr="002F2300">
        <w:rPr>
          <w:rFonts w:ascii="Arial" w:hAnsi="Arial"/>
          <w:sz w:val="22"/>
          <w:szCs w:val="22"/>
        </w:rPr>
        <w:t xml:space="preserve">incremental efficacy of </w:t>
      </w:r>
      <w:proofErr w:type="spellStart"/>
      <w:r w:rsidR="00C6190B" w:rsidRPr="002F2300">
        <w:rPr>
          <w:rFonts w:ascii="Arial" w:hAnsi="Arial"/>
          <w:sz w:val="22"/>
          <w:szCs w:val="22"/>
        </w:rPr>
        <w:t>obinutuzumab</w:t>
      </w:r>
      <w:proofErr w:type="spellEnd"/>
      <w:r w:rsidR="00C6190B" w:rsidRPr="002F2300">
        <w:rPr>
          <w:rFonts w:ascii="Arial" w:hAnsi="Arial"/>
          <w:sz w:val="22"/>
          <w:szCs w:val="22"/>
        </w:rPr>
        <w:t xml:space="preserve"> plus </w:t>
      </w:r>
      <w:proofErr w:type="spellStart"/>
      <w:r w:rsidR="00C6190B" w:rsidRPr="002F2300">
        <w:rPr>
          <w:rFonts w:ascii="Arial" w:hAnsi="Arial"/>
          <w:sz w:val="22"/>
          <w:szCs w:val="22"/>
        </w:rPr>
        <w:t>chlorambucil</w:t>
      </w:r>
      <w:proofErr w:type="spellEnd"/>
      <w:r w:rsidR="00C6190B" w:rsidRPr="002F2300">
        <w:rPr>
          <w:rFonts w:ascii="Arial" w:hAnsi="Arial"/>
          <w:sz w:val="22"/>
          <w:szCs w:val="22"/>
        </w:rPr>
        <w:t xml:space="preserve"> compared to </w:t>
      </w:r>
      <w:proofErr w:type="spellStart"/>
      <w:r w:rsidR="00C6190B" w:rsidRPr="002F2300">
        <w:rPr>
          <w:rFonts w:ascii="Arial" w:hAnsi="Arial"/>
          <w:sz w:val="22"/>
          <w:szCs w:val="22"/>
        </w:rPr>
        <w:t>chlorambucil</w:t>
      </w:r>
      <w:proofErr w:type="spellEnd"/>
      <w:r w:rsidR="00C6190B" w:rsidRPr="002F2300">
        <w:rPr>
          <w:rFonts w:ascii="Arial" w:hAnsi="Arial"/>
          <w:sz w:val="22"/>
          <w:szCs w:val="22"/>
        </w:rPr>
        <w:t xml:space="preserve"> monotherapy may have been overestimated in the trial</w:t>
      </w:r>
      <w:r w:rsidR="00C6190B" w:rsidRPr="001823DE">
        <w:rPr>
          <w:rFonts w:ascii="Arial" w:hAnsi="Arial"/>
          <w:color w:val="4F81BD" w:themeColor="accent1"/>
          <w:sz w:val="22"/>
          <w:szCs w:val="22"/>
        </w:rPr>
        <w:t>.</w:t>
      </w:r>
    </w:p>
    <w:p w:rsidR="00C6190B" w:rsidRPr="00C6190B" w:rsidRDefault="00C6190B" w:rsidP="00C6190B">
      <w:pPr>
        <w:pStyle w:val="ListParagraph"/>
        <w:rPr>
          <w:rFonts w:ascii="Arial" w:hAnsi="Arial"/>
          <w:color w:val="4F81BD" w:themeColor="accent1"/>
          <w:sz w:val="22"/>
          <w:szCs w:val="22"/>
        </w:rPr>
      </w:pPr>
    </w:p>
    <w:p w:rsidR="009E0A04" w:rsidRPr="002F2300" w:rsidRDefault="00B92C54" w:rsidP="00B92C54">
      <w:pPr>
        <w:pStyle w:val="ListParagraph"/>
        <w:numPr>
          <w:ilvl w:val="1"/>
          <w:numId w:val="25"/>
        </w:numPr>
        <w:jc w:val="both"/>
        <w:rPr>
          <w:rFonts w:ascii="Arial" w:hAnsi="Arial"/>
          <w:sz w:val="22"/>
          <w:szCs w:val="22"/>
        </w:rPr>
      </w:pPr>
      <w:r w:rsidRPr="002F2300">
        <w:rPr>
          <w:rFonts w:ascii="Arial" w:hAnsi="Arial"/>
          <w:sz w:val="22"/>
          <w:szCs w:val="22"/>
        </w:rPr>
        <w:lastRenderedPageBreak/>
        <w:t xml:space="preserve">The PSCR </w:t>
      </w:r>
      <w:r w:rsidR="00C6190B" w:rsidRPr="002F2300">
        <w:rPr>
          <w:rFonts w:ascii="Arial" w:hAnsi="Arial"/>
          <w:sz w:val="22"/>
          <w:szCs w:val="22"/>
        </w:rPr>
        <w:t>a</w:t>
      </w:r>
      <w:r w:rsidRPr="002F2300">
        <w:rPr>
          <w:rFonts w:ascii="Arial" w:hAnsi="Arial"/>
          <w:sz w:val="22"/>
          <w:szCs w:val="22"/>
        </w:rPr>
        <w:t>rgue</w:t>
      </w:r>
      <w:r w:rsidR="00C6190B" w:rsidRPr="002F2300">
        <w:rPr>
          <w:rFonts w:ascii="Arial" w:hAnsi="Arial"/>
          <w:sz w:val="22"/>
          <w:szCs w:val="22"/>
        </w:rPr>
        <w:t>d</w:t>
      </w:r>
      <w:r w:rsidRPr="002F2300">
        <w:rPr>
          <w:rFonts w:ascii="Arial" w:hAnsi="Arial"/>
          <w:sz w:val="22"/>
          <w:szCs w:val="22"/>
        </w:rPr>
        <w:t xml:space="preserve"> that there is no established optimal </w:t>
      </w:r>
      <w:proofErr w:type="spellStart"/>
      <w:r w:rsidRPr="002F2300">
        <w:rPr>
          <w:rFonts w:ascii="Arial" w:hAnsi="Arial"/>
          <w:sz w:val="22"/>
          <w:szCs w:val="22"/>
        </w:rPr>
        <w:t>chlorambucil</w:t>
      </w:r>
      <w:proofErr w:type="spellEnd"/>
      <w:r w:rsidRPr="002F2300">
        <w:rPr>
          <w:rFonts w:ascii="Arial" w:hAnsi="Arial"/>
          <w:sz w:val="22"/>
          <w:szCs w:val="22"/>
        </w:rPr>
        <w:t xml:space="preserve"> dose and that reduced doses are recommended for elderly patients with significant comorbidities. </w:t>
      </w:r>
      <w:r w:rsidR="00AE57C9" w:rsidRPr="002F2300">
        <w:rPr>
          <w:rFonts w:ascii="Arial" w:hAnsi="Arial"/>
          <w:sz w:val="22"/>
          <w:szCs w:val="22"/>
        </w:rPr>
        <w:t>Further, the</w:t>
      </w:r>
      <w:r w:rsidR="00A75956">
        <w:rPr>
          <w:rFonts w:ascii="Arial" w:hAnsi="Arial"/>
          <w:sz w:val="22"/>
          <w:szCs w:val="22"/>
        </w:rPr>
        <w:t xml:space="preserve"> PSCR and</w:t>
      </w:r>
      <w:r w:rsidR="00AE57C9" w:rsidRPr="002F2300">
        <w:rPr>
          <w:rFonts w:ascii="Arial" w:hAnsi="Arial"/>
          <w:sz w:val="22"/>
          <w:szCs w:val="22"/>
        </w:rPr>
        <w:t xml:space="preserve"> </w:t>
      </w:r>
      <w:r w:rsidR="00A75956">
        <w:rPr>
          <w:rFonts w:ascii="Arial" w:hAnsi="Arial"/>
          <w:sz w:val="22"/>
          <w:szCs w:val="22"/>
        </w:rPr>
        <w:t>p</w:t>
      </w:r>
      <w:r w:rsidR="00AE57C9" w:rsidRPr="002F2300">
        <w:rPr>
          <w:rFonts w:ascii="Arial" w:hAnsi="Arial"/>
          <w:sz w:val="22"/>
          <w:szCs w:val="22"/>
        </w:rPr>
        <w:t>re-PBAC response</w:t>
      </w:r>
      <w:r w:rsidR="00A75956">
        <w:rPr>
          <w:rFonts w:ascii="Arial" w:hAnsi="Arial"/>
          <w:sz w:val="22"/>
          <w:szCs w:val="22"/>
        </w:rPr>
        <w:t>s</w:t>
      </w:r>
      <w:r w:rsidR="00AE57C9" w:rsidRPr="002F2300">
        <w:rPr>
          <w:rFonts w:ascii="Arial" w:hAnsi="Arial"/>
          <w:sz w:val="22"/>
          <w:szCs w:val="22"/>
        </w:rPr>
        <w:t xml:space="preserve"> argued that </w:t>
      </w:r>
      <w:r w:rsidR="009E0A04" w:rsidRPr="002F2300">
        <w:rPr>
          <w:rFonts w:ascii="Arial" w:hAnsi="Arial"/>
          <w:sz w:val="22"/>
          <w:szCs w:val="22"/>
        </w:rPr>
        <w:t xml:space="preserve">the relationship between the median </w:t>
      </w:r>
      <w:proofErr w:type="spellStart"/>
      <w:r w:rsidR="009E0A04" w:rsidRPr="002F2300">
        <w:rPr>
          <w:rFonts w:ascii="Arial" w:hAnsi="Arial"/>
          <w:sz w:val="22"/>
          <w:szCs w:val="22"/>
        </w:rPr>
        <w:t>chlorambucil</w:t>
      </w:r>
      <w:proofErr w:type="spellEnd"/>
      <w:r w:rsidR="009E0A04" w:rsidRPr="002F2300">
        <w:rPr>
          <w:rFonts w:ascii="Arial" w:hAnsi="Arial"/>
          <w:sz w:val="22"/>
          <w:szCs w:val="22"/>
        </w:rPr>
        <w:t xml:space="preserve"> dose per cycle and PFS in CLL </w:t>
      </w:r>
      <w:r w:rsidR="00AE57C9" w:rsidRPr="002F2300">
        <w:rPr>
          <w:rFonts w:ascii="Arial" w:hAnsi="Arial"/>
          <w:sz w:val="22"/>
          <w:szCs w:val="22"/>
        </w:rPr>
        <w:t xml:space="preserve">was based on the </w:t>
      </w:r>
      <w:proofErr w:type="spellStart"/>
      <w:r w:rsidR="00AE57C9" w:rsidRPr="002F2300">
        <w:rPr>
          <w:rFonts w:ascii="Arial" w:hAnsi="Arial"/>
          <w:sz w:val="22"/>
          <w:szCs w:val="22"/>
        </w:rPr>
        <w:t>chlorambucil</w:t>
      </w:r>
      <w:proofErr w:type="spellEnd"/>
      <w:r w:rsidR="00AE57C9" w:rsidRPr="002F2300">
        <w:rPr>
          <w:rFonts w:ascii="Arial" w:hAnsi="Arial"/>
          <w:sz w:val="22"/>
          <w:szCs w:val="22"/>
        </w:rPr>
        <w:t xml:space="preserve"> dose per cycle,</w:t>
      </w:r>
      <w:r w:rsidR="009E0A04" w:rsidRPr="002F2300">
        <w:rPr>
          <w:rFonts w:ascii="Arial" w:hAnsi="Arial"/>
          <w:sz w:val="22"/>
          <w:szCs w:val="22"/>
        </w:rPr>
        <w:t xml:space="preserve"> </w:t>
      </w:r>
      <w:r w:rsidR="00544EAF" w:rsidRPr="002F2300">
        <w:rPr>
          <w:rFonts w:ascii="Arial" w:hAnsi="Arial"/>
          <w:sz w:val="22"/>
          <w:szCs w:val="22"/>
        </w:rPr>
        <w:t xml:space="preserve">and did not </w:t>
      </w:r>
      <w:r w:rsidR="00081AFA" w:rsidRPr="002F2300">
        <w:rPr>
          <w:rFonts w:ascii="Arial" w:hAnsi="Arial"/>
          <w:sz w:val="22"/>
          <w:szCs w:val="22"/>
        </w:rPr>
        <w:t>conside</w:t>
      </w:r>
      <w:r w:rsidR="00544EAF" w:rsidRPr="002F2300">
        <w:rPr>
          <w:rFonts w:ascii="Arial" w:hAnsi="Arial"/>
          <w:sz w:val="22"/>
          <w:szCs w:val="22"/>
        </w:rPr>
        <w:t>r</w:t>
      </w:r>
      <w:r w:rsidR="00081AFA" w:rsidRPr="002F2300">
        <w:rPr>
          <w:rFonts w:ascii="Arial" w:hAnsi="Arial"/>
          <w:sz w:val="22"/>
          <w:szCs w:val="22"/>
        </w:rPr>
        <w:t xml:space="preserve"> the total cumulative </w:t>
      </w:r>
      <w:proofErr w:type="spellStart"/>
      <w:r w:rsidR="00081AFA" w:rsidRPr="002F2300">
        <w:rPr>
          <w:rFonts w:ascii="Arial" w:hAnsi="Arial"/>
          <w:sz w:val="22"/>
          <w:szCs w:val="22"/>
        </w:rPr>
        <w:t>chlorambucil</w:t>
      </w:r>
      <w:proofErr w:type="spellEnd"/>
      <w:r w:rsidR="00081AFA" w:rsidRPr="002F2300">
        <w:rPr>
          <w:rFonts w:ascii="Arial" w:hAnsi="Arial"/>
          <w:sz w:val="22"/>
          <w:szCs w:val="22"/>
        </w:rPr>
        <w:t xml:space="preserve"> dose administered.</w:t>
      </w:r>
      <w:r w:rsidR="00AD5C68">
        <w:rPr>
          <w:rFonts w:ascii="Arial" w:hAnsi="Arial"/>
          <w:sz w:val="22"/>
          <w:szCs w:val="22"/>
        </w:rPr>
        <w:t xml:space="preserve"> The PSCR further argued that there is no conclusive randomised controlled trial evidence to establish any relationship between </w:t>
      </w:r>
      <w:proofErr w:type="spellStart"/>
      <w:r w:rsidR="00AD5C68">
        <w:rPr>
          <w:rFonts w:ascii="Arial" w:hAnsi="Arial"/>
          <w:sz w:val="22"/>
          <w:szCs w:val="22"/>
        </w:rPr>
        <w:t>chlorambucil</w:t>
      </w:r>
      <w:proofErr w:type="spellEnd"/>
      <w:r w:rsidR="00AD5C68">
        <w:rPr>
          <w:rFonts w:ascii="Arial" w:hAnsi="Arial"/>
          <w:sz w:val="22"/>
          <w:szCs w:val="22"/>
        </w:rPr>
        <w:t xml:space="preserve"> dose and PFS.</w:t>
      </w:r>
    </w:p>
    <w:p w:rsidR="002A6CF5" w:rsidRPr="002A6CF5" w:rsidRDefault="002A6CF5" w:rsidP="002A6CF5">
      <w:pPr>
        <w:pStyle w:val="ListParagraph"/>
        <w:rPr>
          <w:rFonts w:ascii="Arial" w:hAnsi="Arial"/>
          <w:color w:val="4F81BD" w:themeColor="accent1"/>
          <w:sz w:val="22"/>
          <w:szCs w:val="22"/>
        </w:rPr>
      </w:pPr>
    </w:p>
    <w:p w:rsidR="00074DEF" w:rsidRPr="00BB7EC3" w:rsidRDefault="00074DEF" w:rsidP="00074DEF">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074DEF" w:rsidRPr="00882085" w:rsidRDefault="00074DEF" w:rsidP="00074DEF">
      <w:pPr>
        <w:ind w:left="709"/>
        <w:jc w:val="both"/>
        <w:rPr>
          <w:rFonts w:ascii="Arial" w:hAnsi="Arial"/>
          <w:sz w:val="22"/>
          <w:szCs w:val="22"/>
        </w:rPr>
      </w:pPr>
    </w:p>
    <w:p w:rsidR="00AC12BA" w:rsidRPr="00AE57C9" w:rsidRDefault="00AE57C9" w:rsidP="00AC12BA">
      <w:pPr>
        <w:pStyle w:val="ListParagraph"/>
        <w:numPr>
          <w:ilvl w:val="1"/>
          <w:numId w:val="25"/>
        </w:numPr>
        <w:jc w:val="both"/>
        <w:rPr>
          <w:rFonts w:ascii="Arial" w:hAnsi="Arial"/>
          <w:sz w:val="22"/>
          <w:szCs w:val="22"/>
        </w:rPr>
      </w:pPr>
      <w:r w:rsidRPr="00AE57C9">
        <w:rPr>
          <w:rFonts w:ascii="Arial" w:hAnsi="Arial"/>
          <w:sz w:val="22"/>
          <w:szCs w:val="22"/>
        </w:rPr>
        <w:t xml:space="preserve">The table </w:t>
      </w:r>
      <w:r w:rsidR="00AD5C68">
        <w:rPr>
          <w:rFonts w:ascii="Arial" w:hAnsi="Arial"/>
          <w:sz w:val="22"/>
          <w:szCs w:val="22"/>
        </w:rPr>
        <w:t xml:space="preserve">and Kaplan-Meier plots </w:t>
      </w:r>
      <w:r w:rsidRPr="00AE57C9">
        <w:rPr>
          <w:rFonts w:ascii="Arial" w:hAnsi="Arial"/>
          <w:sz w:val="22"/>
          <w:szCs w:val="22"/>
        </w:rPr>
        <w:t xml:space="preserve">below show the comparative effectiveness of </w:t>
      </w:r>
      <w:proofErr w:type="spellStart"/>
      <w:r w:rsidRPr="00AE57C9">
        <w:rPr>
          <w:rFonts w:ascii="Arial" w:hAnsi="Arial"/>
          <w:sz w:val="22"/>
          <w:szCs w:val="22"/>
        </w:rPr>
        <w:t>obinutuzumab</w:t>
      </w:r>
      <w:proofErr w:type="spellEnd"/>
      <w:r w:rsidRPr="00AE57C9">
        <w:rPr>
          <w:rFonts w:ascii="Arial" w:hAnsi="Arial"/>
          <w:sz w:val="22"/>
          <w:szCs w:val="22"/>
        </w:rPr>
        <w:t xml:space="preserve"> plus </w:t>
      </w:r>
      <w:proofErr w:type="spellStart"/>
      <w:r w:rsidRPr="00AE57C9">
        <w:rPr>
          <w:rFonts w:ascii="Arial" w:hAnsi="Arial"/>
          <w:sz w:val="22"/>
          <w:szCs w:val="22"/>
        </w:rPr>
        <w:t>chlorambucil</w:t>
      </w:r>
      <w:proofErr w:type="spellEnd"/>
      <w:r w:rsidRPr="00AE57C9">
        <w:rPr>
          <w:rFonts w:ascii="Arial" w:hAnsi="Arial"/>
          <w:sz w:val="22"/>
          <w:szCs w:val="22"/>
        </w:rPr>
        <w:t xml:space="preserve"> compared to </w:t>
      </w:r>
      <w:r w:rsidR="00AC12BA" w:rsidRPr="00AE57C9">
        <w:rPr>
          <w:rFonts w:ascii="Arial" w:hAnsi="Arial"/>
          <w:sz w:val="22"/>
          <w:szCs w:val="22"/>
        </w:rPr>
        <w:t>rituximab</w:t>
      </w:r>
      <w:r w:rsidR="0012119F">
        <w:rPr>
          <w:rFonts w:ascii="Arial" w:hAnsi="Arial"/>
          <w:sz w:val="22"/>
          <w:szCs w:val="22"/>
        </w:rPr>
        <w:t xml:space="preserve"> plus </w:t>
      </w:r>
      <w:proofErr w:type="spellStart"/>
      <w:r w:rsidR="00AC12BA" w:rsidRPr="00AE57C9">
        <w:rPr>
          <w:rFonts w:ascii="Arial" w:hAnsi="Arial"/>
          <w:sz w:val="22"/>
          <w:szCs w:val="22"/>
        </w:rPr>
        <w:t>chlorambucil</w:t>
      </w:r>
      <w:proofErr w:type="spellEnd"/>
      <w:r w:rsidR="008D4457">
        <w:rPr>
          <w:rFonts w:ascii="Arial" w:hAnsi="Arial"/>
          <w:sz w:val="22"/>
          <w:szCs w:val="22"/>
        </w:rPr>
        <w:t xml:space="preserve"> (Stage 2)</w:t>
      </w:r>
      <w:r>
        <w:rPr>
          <w:rFonts w:ascii="Arial" w:hAnsi="Arial"/>
          <w:sz w:val="22"/>
          <w:szCs w:val="22"/>
        </w:rPr>
        <w:t>.</w:t>
      </w:r>
    </w:p>
    <w:p w:rsidR="00AC12BA" w:rsidRPr="00AC12BA" w:rsidRDefault="00AC12BA" w:rsidP="00AC12BA">
      <w:pPr>
        <w:pStyle w:val="ListParagraph"/>
        <w:jc w:val="both"/>
        <w:rPr>
          <w:rFonts w:ascii="Arial" w:hAnsi="Arial"/>
          <w:sz w:val="22"/>
          <w:szCs w:val="22"/>
        </w:rPr>
      </w:pPr>
    </w:p>
    <w:p w:rsidR="00AC12BA" w:rsidRPr="00AC12BA" w:rsidRDefault="00AC12BA" w:rsidP="00F96AE5">
      <w:pPr>
        <w:keepNext/>
        <w:keepLines/>
        <w:widowControl w:val="0"/>
        <w:ind w:firstLine="720"/>
        <w:jc w:val="both"/>
        <w:rPr>
          <w:rFonts w:ascii="Arial Narrow" w:hAnsi="Arial Narrow" w:cs="Arial"/>
          <w:b/>
          <w:snapToGrid w:val="0"/>
          <w:sz w:val="20"/>
          <w:szCs w:val="20"/>
          <w:lang w:eastAsia="en-US"/>
        </w:rPr>
      </w:pPr>
      <w:r w:rsidRPr="00AC12BA">
        <w:rPr>
          <w:rFonts w:ascii="Arial Narrow" w:hAnsi="Arial Narrow" w:cs="Arial"/>
          <w:b/>
          <w:snapToGrid w:val="0"/>
          <w:sz w:val="20"/>
          <w:szCs w:val="20"/>
          <w:lang w:eastAsia="en-US"/>
        </w:rPr>
        <w:t xml:space="preserve">Key results of </w:t>
      </w:r>
      <w:proofErr w:type="spellStart"/>
      <w:r w:rsidRPr="00AC12BA">
        <w:rPr>
          <w:rFonts w:ascii="Arial Narrow" w:hAnsi="Arial Narrow" w:cs="Arial"/>
          <w:b/>
          <w:snapToGrid w:val="0"/>
          <w:sz w:val="20"/>
          <w:szCs w:val="20"/>
          <w:lang w:eastAsia="en-US"/>
        </w:rPr>
        <w:t>obinutuzumab</w:t>
      </w:r>
      <w:proofErr w:type="spellEnd"/>
      <w:r w:rsidRPr="00AC12BA">
        <w:rPr>
          <w:rFonts w:ascii="Arial Narrow" w:hAnsi="Arial Narrow" w:cs="Arial"/>
          <w:b/>
          <w:snapToGrid w:val="0"/>
          <w:sz w:val="20"/>
          <w:szCs w:val="20"/>
          <w:lang w:eastAsia="en-US"/>
        </w:rPr>
        <w:t xml:space="preserve"> plus </w:t>
      </w:r>
      <w:proofErr w:type="spellStart"/>
      <w:r w:rsidRPr="00AC12BA">
        <w:rPr>
          <w:rFonts w:ascii="Arial Narrow" w:hAnsi="Arial Narrow" w:cs="Arial"/>
          <w:b/>
          <w:snapToGrid w:val="0"/>
          <w:sz w:val="20"/>
          <w:szCs w:val="20"/>
          <w:lang w:eastAsia="en-US"/>
        </w:rPr>
        <w:t>chlorambucil</w:t>
      </w:r>
      <w:proofErr w:type="spellEnd"/>
      <w:r w:rsidRPr="00AC12BA">
        <w:rPr>
          <w:rFonts w:ascii="Arial Narrow" w:hAnsi="Arial Narrow" w:cs="Arial"/>
          <w:b/>
          <w:snapToGrid w:val="0"/>
          <w:sz w:val="20"/>
          <w:szCs w:val="20"/>
          <w:lang w:eastAsia="en-US"/>
        </w:rPr>
        <w:t xml:space="preserve"> versus rituximab plus </w:t>
      </w:r>
      <w:proofErr w:type="spellStart"/>
      <w:r w:rsidRPr="00AC12BA">
        <w:rPr>
          <w:rFonts w:ascii="Arial Narrow" w:hAnsi="Arial Narrow" w:cs="Arial"/>
          <w:b/>
          <w:snapToGrid w:val="0"/>
          <w:sz w:val="20"/>
          <w:szCs w:val="20"/>
          <w:lang w:eastAsia="en-US"/>
        </w:rPr>
        <w:t>chlorambucil</w:t>
      </w:r>
      <w:proofErr w:type="spellEnd"/>
      <w:r w:rsidRPr="00AC12BA">
        <w:rPr>
          <w:rFonts w:ascii="Arial Narrow" w:hAnsi="Arial Narrow" w:cs="Arial"/>
          <w:b/>
          <w:snapToGrid w:val="0"/>
          <w:sz w:val="20"/>
          <w:szCs w:val="20"/>
          <w:lang w:eastAsia="en-US"/>
        </w:rPr>
        <w:t xml:space="preserve"> in CLL11 Stage 2 </w:t>
      </w:r>
    </w:p>
    <w:tbl>
      <w:tblPr>
        <w:tblW w:w="4585" w:type="pct"/>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Key results of obinutuzumab plus chlorambucil versus rituximab plus chlorambucil in CLL11 Stage 2 "/>
      </w:tblPr>
      <w:tblGrid>
        <w:gridCol w:w="2248"/>
        <w:gridCol w:w="1502"/>
        <w:gridCol w:w="1502"/>
        <w:gridCol w:w="1502"/>
        <w:gridCol w:w="1574"/>
      </w:tblGrid>
      <w:tr w:rsidR="00973E1D" w:rsidRPr="00AC12BA" w:rsidTr="00F96AE5">
        <w:trPr>
          <w:trHeight w:val="782"/>
        </w:trPr>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3E1D" w:rsidRPr="00AC12BA" w:rsidRDefault="00973E1D" w:rsidP="00AC12BA">
            <w:pPr>
              <w:keepNext/>
              <w:keepLines/>
              <w:widowControl w:val="0"/>
              <w:snapToGrid w:val="0"/>
              <w:rPr>
                <w:rFonts w:ascii="Arial Narrow" w:hAnsi="Arial Narrow" w:cs="Arial"/>
                <w:snapToGrid w:val="0"/>
                <w:sz w:val="20"/>
                <w:szCs w:val="20"/>
                <w:lang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3E1D" w:rsidRPr="00AC12BA" w:rsidRDefault="00973E1D" w:rsidP="00C568D7">
            <w:pPr>
              <w:keepNext/>
              <w:keepLines/>
              <w:widowControl w:val="0"/>
              <w:snapToGrid w:val="0"/>
              <w:ind w:right="33"/>
              <w:jc w:val="center"/>
              <w:rPr>
                <w:rFonts w:ascii="Arial Narrow" w:hAnsi="Arial Narrow" w:cs="Arial"/>
                <w:snapToGrid w:val="0"/>
                <w:sz w:val="20"/>
                <w:szCs w:val="20"/>
                <w:lang w:eastAsia="en-US"/>
              </w:rPr>
            </w:pPr>
            <w:proofErr w:type="spellStart"/>
            <w:r w:rsidRPr="00AC12BA">
              <w:rPr>
                <w:rFonts w:ascii="Arial Narrow" w:hAnsi="Arial Narrow" w:cs="Arial"/>
                <w:b/>
                <w:snapToGrid w:val="0"/>
                <w:sz w:val="20"/>
                <w:szCs w:val="20"/>
                <w:lang w:eastAsia="en-US"/>
              </w:rPr>
              <w:t>Obinutuzumab</w:t>
            </w:r>
            <w:proofErr w:type="spellEnd"/>
            <w:r w:rsidRPr="00AC12BA">
              <w:rPr>
                <w:rFonts w:ascii="Arial Narrow" w:hAnsi="Arial Narrow" w:cs="Arial"/>
                <w:b/>
                <w:snapToGrid w:val="0"/>
                <w:sz w:val="20"/>
                <w:szCs w:val="20"/>
                <w:lang w:eastAsia="en-US"/>
              </w:rPr>
              <w:t xml:space="preserve"> +</w:t>
            </w:r>
            <w:proofErr w:type="spellStart"/>
            <w:r w:rsidRPr="00AC12BA">
              <w:rPr>
                <w:rFonts w:ascii="Arial Narrow" w:hAnsi="Arial Narrow" w:cs="Arial"/>
                <w:b/>
                <w:snapToGrid w:val="0"/>
                <w:sz w:val="20"/>
                <w:szCs w:val="20"/>
                <w:lang w:eastAsia="en-US"/>
              </w:rPr>
              <w:t>chlorambucil</w:t>
            </w:r>
            <w:proofErr w:type="spellEnd"/>
            <w:r w:rsidRPr="00AC12BA">
              <w:rPr>
                <w:rFonts w:ascii="Arial Narrow" w:hAnsi="Arial Narrow" w:cs="Arial"/>
                <w:b/>
                <w:snapToGrid w:val="0"/>
                <w:sz w:val="20"/>
                <w:szCs w:val="20"/>
                <w:lang w:eastAsia="en-US"/>
              </w:rPr>
              <w:t xml:space="preserve"> (N=333)</w:t>
            </w:r>
          </w:p>
        </w:tc>
        <w:tc>
          <w:tcPr>
            <w:tcW w:w="9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3E1D" w:rsidRPr="00AC12BA" w:rsidRDefault="00973E1D" w:rsidP="00AC12BA">
            <w:pPr>
              <w:keepNext/>
              <w:keepLines/>
              <w:widowControl w:val="0"/>
              <w:jc w:val="center"/>
              <w:rPr>
                <w:rFonts w:ascii="Arial Narrow" w:hAnsi="Arial Narrow" w:cs="Arial"/>
                <w:b/>
                <w:snapToGrid w:val="0"/>
                <w:sz w:val="20"/>
                <w:szCs w:val="20"/>
                <w:lang w:eastAsia="en-US"/>
              </w:rPr>
            </w:pPr>
            <w:r w:rsidRPr="00AC12BA">
              <w:rPr>
                <w:rFonts w:ascii="Arial Narrow" w:hAnsi="Arial Narrow" w:cs="Arial"/>
                <w:b/>
                <w:snapToGrid w:val="0"/>
                <w:sz w:val="20"/>
                <w:szCs w:val="20"/>
                <w:lang w:eastAsia="en-US"/>
              </w:rPr>
              <w:t>Rituximab +</w:t>
            </w:r>
            <w:proofErr w:type="spellStart"/>
            <w:r w:rsidRPr="00AC12BA">
              <w:rPr>
                <w:rFonts w:ascii="Arial Narrow" w:hAnsi="Arial Narrow" w:cs="Arial"/>
                <w:b/>
                <w:snapToGrid w:val="0"/>
                <w:sz w:val="20"/>
                <w:szCs w:val="20"/>
                <w:lang w:eastAsia="en-US"/>
              </w:rPr>
              <w:t>chlorambucil</w:t>
            </w:r>
            <w:proofErr w:type="spellEnd"/>
          </w:p>
          <w:p w:rsidR="00973E1D" w:rsidRPr="00AC12BA" w:rsidRDefault="00973E1D" w:rsidP="00AC12BA">
            <w:pPr>
              <w:keepNext/>
              <w:keepLines/>
              <w:widowControl w:val="0"/>
              <w:snapToGrid w:val="0"/>
              <w:jc w:val="center"/>
              <w:rPr>
                <w:rFonts w:ascii="Arial Narrow" w:hAnsi="Arial Narrow" w:cs="Arial"/>
                <w:snapToGrid w:val="0"/>
                <w:sz w:val="20"/>
                <w:szCs w:val="20"/>
                <w:lang w:eastAsia="en-US"/>
              </w:rPr>
            </w:pPr>
            <w:r w:rsidRPr="00AC12BA">
              <w:rPr>
                <w:rFonts w:ascii="Arial Narrow" w:hAnsi="Arial Narrow" w:cs="Arial"/>
                <w:b/>
                <w:snapToGrid w:val="0"/>
                <w:sz w:val="20"/>
                <w:szCs w:val="20"/>
                <w:lang w:eastAsia="en-US"/>
              </w:rPr>
              <w:t>N=330</w:t>
            </w:r>
          </w:p>
        </w:tc>
        <w:tc>
          <w:tcPr>
            <w:tcW w:w="9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3E1D" w:rsidRPr="00AC12BA" w:rsidRDefault="00973E1D" w:rsidP="00AC12BA">
            <w:pPr>
              <w:keepNext/>
              <w:keepLines/>
              <w:widowControl w:val="0"/>
              <w:jc w:val="center"/>
              <w:rPr>
                <w:rFonts w:ascii="Arial Narrow" w:hAnsi="Arial Narrow" w:cs="Arial"/>
                <w:b/>
                <w:snapToGrid w:val="0"/>
                <w:sz w:val="20"/>
                <w:szCs w:val="20"/>
                <w:lang w:eastAsia="en-US"/>
              </w:rPr>
            </w:pPr>
            <w:r w:rsidRPr="00AC12BA">
              <w:rPr>
                <w:rFonts w:ascii="Arial Narrow" w:hAnsi="Arial Narrow" w:cs="Arial"/>
                <w:b/>
                <w:snapToGrid w:val="0"/>
                <w:sz w:val="20"/>
                <w:szCs w:val="20"/>
                <w:lang w:eastAsia="en-US"/>
              </w:rPr>
              <w:t>RD</w:t>
            </w:r>
          </w:p>
          <w:p w:rsidR="00973E1D" w:rsidRPr="00AC12BA" w:rsidRDefault="00973E1D" w:rsidP="00AC12BA">
            <w:pPr>
              <w:keepNext/>
              <w:keepLines/>
              <w:widowControl w:val="0"/>
              <w:snapToGrid w:val="0"/>
              <w:jc w:val="center"/>
              <w:rPr>
                <w:rFonts w:ascii="Arial Narrow" w:hAnsi="Arial Narrow" w:cs="Arial"/>
                <w:b/>
                <w:snapToGrid w:val="0"/>
                <w:sz w:val="20"/>
                <w:szCs w:val="20"/>
                <w:lang w:eastAsia="en-US"/>
              </w:rPr>
            </w:pPr>
            <w:r w:rsidRPr="00AC12BA">
              <w:rPr>
                <w:rFonts w:ascii="Arial Narrow" w:hAnsi="Arial Narrow" w:cs="Arial"/>
                <w:b/>
                <w:snapToGrid w:val="0"/>
                <w:sz w:val="20"/>
                <w:szCs w:val="20"/>
                <w:lang w:eastAsia="en-US"/>
              </w:rPr>
              <w:t>(95% CI)</w:t>
            </w:r>
          </w:p>
        </w:tc>
        <w:tc>
          <w:tcPr>
            <w:tcW w:w="9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3E1D" w:rsidRPr="004334EC" w:rsidRDefault="00973E1D" w:rsidP="00AC12BA">
            <w:pPr>
              <w:keepNext/>
              <w:keepLines/>
              <w:widowControl w:val="0"/>
              <w:snapToGrid w:val="0"/>
              <w:jc w:val="center"/>
              <w:rPr>
                <w:rFonts w:ascii="Arial Narrow" w:hAnsi="Arial Narrow" w:cs="Arial"/>
                <w:b/>
                <w:snapToGrid w:val="0"/>
                <w:sz w:val="20"/>
                <w:szCs w:val="20"/>
                <w:lang w:eastAsia="en-US"/>
              </w:rPr>
            </w:pPr>
            <w:r w:rsidRPr="004334EC">
              <w:rPr>
                <w:rFonts w:ascii="Arial Narrow" w:hAnsi="Arial Narrow" w:cs="Arial"/>
                <w:b/>
                <w:snapToGrid w:val="0"/>
                <w:sz w:val="20"/>
                <w:szCs w:val="20"/>
                <w:lang w:eastAsia="en-US"/>
              </w:rPr>
              <w:t>HR</w:t>
            </w:r>
          </w:p>
          <w:p w:rsidR="00973E1D" w:rsidRPr="00AC12BA" w:rsidRDefault="00973E1D" w:rsidP="00AC12BA">
            <w:pPr>
              <w:keepNext/>
              <w:keepLines/>
              <w:widowControl w:val="0"/>
              <w:snapToGrid w:val="0"/>
              <w:jc w:val="center"/>
              <w:rPr>
                <w:rFonts w:ascii="Arial Narrow" w:hAnsi="Arial Narrow" w:cs="Arial"/>
                <w:snapToGrid w:val="0"/>
                <w:sz w:val="20"/>
                <w:szCs w:val="20"/>
                <w:lang w:eastAsia="en-US"/>
              </w:rPr>
            </w:pPr>
            <w:r w:rsidRPr="004334EC">
              <w:rPr>
                <w:rFonts w:ascii="Arial Narrow" w:hAnsi="Arial Narrow" w:cs="Arial"/>
                <w:b/>
                <w:snapToGrid w:val="0"/>
                <w:sz w:val="20"/>
                <w:szCs w:val="20"/>
                <w:lang w:eastAsia="en-US"/>
              </w:rPr>
              <w:t>(95% CI)</w:t>
            </w:r>
          </w:p>
        </w:tc>
      </w:tr>
      <w:tr w:rsidR="004334EC" w:rsidRPr="00AC12BA" w:rsidTr="00F96AE5">
        <w:trPr>
          <w:trHeight w:val="248"/>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34EC" w:rsidRPr="00EA212F" w:rsidRDefault="00197B45" w:rsidP="00F93215">
            <w:pPr>
              <w:keepNext/>
              <w:keepLines/>
              <w:widowControl w:val="0"/>
              <w:snapToGrid w:val="0"/>
              <w:rPr>
                <w:rFonts w:ascii="Arial Narrow" w:hAnsi="Arial Narrow" w:cs="Arial"/>
                <w:b/>
                <w:snapToGrid w:val="0"/>
                <w:sz w:val="20"/>
                <w:szCs w:val="20"/>
                <w:lang w:eastAsia="en-US"/>
              </w:rPr>
            </w:pPr>
            <w:r>
              <w:rPr>
                <w:rFonts w:ascii="Arial Narrow" w:hAnsi="Arial Narrow" w:cs="Arial"/>
                <w:b/>
                <w:noProof/>
                <w:snapToGrid w:val="0"/>
                <w:color w:val="000000"/>
                <w:sz w:val="20"/>
                <w:szCs w:val="20"/>
                <w:highlight w:val="black"/>
                <w:lang w:eastAsia="en-US"/>
              </w:rPr>
              <w:t>''''''''</w:t>
            </w:r>
            <w:r w:rsidR="00544EAF">
              <w:rPr>
                <w:rFonts w:ascii="Arial Narrow" w:hAnsi="Arial Narrow" w:cs="Arial"/>
                <w:b/>
                <w:snapToGrid w:val="0"/>
                <w:sz w:val="20"/>
                <w:szCs w:val="20"/>
                <w:lang w:eastAsia="en-US"/>
              </w:rPr>
              <w:t xml:space="preserve"> month follow-up</w:t>
            </w:r>
          </w:p>
        </w:tc>
      </w:tr>
      <w:tr w:rsidR="00973E1D" w:rsidRPr="00AC12BA" w:rsidTr="00F96AE5">
        <w:trPr>
          <w:trHeight w:val="515"/>
        </w:trPr>
        <w:tc>
          <w:tcPr>
            <w:tcW w:w="1349" w:type="pct"/>
            <w:tcBorders>
              <w:top w:val="single" w:sz="4" w:space="0" w:color="auto"/>
              <w:left w:val="single" w:sz="4" w:space="0" w:color="auto"/>
              <w:bottom w:val="single" w:sz="4" w:space="0" w:color="auto"/>
              <w:right w:val="single" w:sz="4" w:space="0" w:color="auto"/>
            </w:tcBorders>
            <w:vAlign w:val="center"/>
          </w:tcPr>
          <w:p w:rsidR="00973E1D" w:rsidRDefault="00973E1D" w:rsidP="00544EAF">
            <w:pPr>
              <w:keepNext/>
              <w:keepLines/>
              <w:widowControl w:val="0"/>
              <w:rPr>
                <w:rFonts w:ascii="Arial Narrow" w:hAnsi="Arial Narrow" w:cs="Arial"/>
                <w:snapToGrid w:val="0"/>
                <w:sz w:val="20"/>
                <w:szCs w:val="20"/>
                <w:lang w:eastAsia="en-US"/>
              </w:rPr>
            </w:pPr>
            <w:r w:rsidRPr="00AC12BA">
              <w:rPr>
                <w:rFonts w:ascii="Arial Narrow" w:hAnsi="Arial Narrow" w:cs="Arial"/>
                <w:snapToGrid w:val="0"/>
                <w:sz w:val="20"/>
                <w:szCs w:val="20"/>
                <w:lang w:eastAsia="en-US"/>
              </w:rPr>
              <w:t>PFS, disease progression</w:t>
            </w:r>
            <w:r>
              <w:rPr>
                <w:rFonts w:ascii="Arial Narrow" w:hAnsi="Arial Narrow" w:cs="Arial"/>
                <w:snapToGrid w:val="0"/>
                <w:sz w:val="20"/>
                <w:szCs w:val="20"/>
                <w:lang w:eastAsia="en-US"/>
              </w:rPr>
              <w:t xml:space="preserve"> </w:t>
            </w:r>
          </w:p>
          <w:p w:rsidR="00544EAF" w:rsidRPr="004334EC" w:rsidRDefault="00544EAF" w:rsidP="00544EAF">
            <w:pPr>
              <w:keepNext/>
              <w:keepLines/>
              <w:widowControl w:val="0"/>
              <w:rPr>
                <w:rFonts w:ascii="Arial Narrow" w:hAnsi="Arial Narrow" w:cs="Arial"/>
                <w:snapToGrid w:val="0"/>
                <w:sz w:val="20"/>
                <w:szCs w:val="20"/>
                <w:lang w:eastAsia="en-US"/>
              </w:rPr>
            </w:pPr>
            <w:r>
              <w:rPr>
                <w:rFonts w:ascii="Arial Narrow" w:hAnsi="Arial Narrow" w:cs="Arial"/>
                <w:snapToGrid w:val="0"/>
                <w:sz w:val="20"/>
                <w:szCs w:val="20"/>
                <w:lang w:eastAsia="en-US"/>
              </w:rPr>
              <w:t>(investigator assessed)</w:t>
            </w:r>
          </w:p>
        </w:tc>
        <w:tc>
          <w:tcPr>
            <w:tcW w:w="902" w:type="pct"/>
            <w:tcBorders>
              <w:top w:val="single" w:sz="4" w:space="0" w:color="auto"/>
              <w:left w:val="single" w:sz="4" w:space="0" w:color="auto"/>
              <w:bottom w:val="single" w:sz="4" w:space="0" w:color="auto"/>
              <w:right w:val="single" w:sz="4" w:space="0" w:color="auto"/>
            </w:tcBorders>
            <w:vAlign w:val="center"/>
          </w:tcPr>
          <w:p w:rsidR="00973E1D" w:rsidRPr="004334EC" w:rsidRDefault="00197B45" w:rsidP="004334EC">
            <w:pPr>
              <w:keepNext/>
              <w:keepLines/>
              <w:widowControl w:val="0"/>
              <w:snapToGrid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w:t>
            </w:r>
            <w:r w:rsidR="00973E1D" w:rsidRPr="008517F7">
              <w:rPr>
                <w:rFonts w:ascii="Arial Narrow" w:hAnsi="Arial Narrow" w:cs="Arial"/>
                <w:snapToGrid w:val="0"/>
                <w:sz w:val="20"/>
                <w:szCs w:val="20"/>
                <w:lang w:eastAsia="en-US"/>
              </w:rPr>
              <w:t>%</w:t>
            </w:r>
            <w:r>
              <w:rPr>
                <w:rFonts w:ascii="Arial Narrow" w:hAnsi="Arial Narrow" w:cs="Arial"/>
                <w:noProof/>
                <w:snapToGrid w:val="0"/>
                <w:color w:val="000000"/>
                <w:sz w:val="20"/>
                <w:szCs w:val="20"/>
                <w:highlight w:val="black"/>
                <w:lang w:eastAsia="en-US"/>
              </w:rPr>
              <w:t>'''</w:t>
            </w:r>
          </w:p>
        </w:tc>
        <w:tc>
          <w:tcPr>
            <w:tcW w:w="902" w:type="pct"/>
            <w:tcBorders>
              <w:top w:val="single" w:sz="4" w:space="0" w:color="auto"/>
              <w:left w:val="single" w:sz="4" w:space="0" w:color="auto"/>
              <w:bottom w:val="single" w:sz="4" w:space="0" w:color="auto"/>
              <w:right w:val="single" w:sz="4" w:space="0" w:color="auto"/>
            </w:tcBorders>
            <w:vAlign w:val="center"/>
          </w:tcPr>
          <w:p w:rsidR="00973E1D" w:rsidRPr="004334EC" w:rsidRDefault="00197B45" w:rsidP="004334EC">
            <w:pPr>
              <w:keepNext/>
              <w:keepLines/>
              <w:widowControl w:val="0"/>
              <w:snapToGrid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w:t>
            </w:r>
            <w:r w:rsidR="00973E1D" w:rsidRPr="008517F7">
              <w:rPr>
                <w:rFonts w:ascii="Arial Narrow" w:hAnsi="Arial Narrow" w:cs="Arial"/>
                <w:snapToGrid w:val="0"/>
                <w:sz w:val="20"/>
                <w:szCs w:val="20"/>
                <w:lang w:eastAsia="en-US"/>
              </w:rPr>
              <w:t>%</w:t>
            </w:r>
            <w:r>
              <w:rPr>
                <w:rFonts w:ascii="Arial Narrow" w:hAnsi="Arial Narrow" w:cs="Arial"/>
                <w:noProof/>
                <w:snapToGrid w:val="0"/>
                <w:color w:val="000000"/>
                <w:sz w:val="20"/>
                <w:szCs w:val="20"/>
                <w:highlight w:val="black"/>
                <w:lang w:eastAsia="en-US"/>
              </w:rPr>
              <w:t>'''</w:t>
            </w:r>
          </w:p>
        </w:tc>
        <w:tc>
          <w:tcPr>
            <w:tcW w:w="902" w:type="pct"/>
            <w:tcBorders>
              <w:top w:val="single" w:sz="4" w:space="0" w:color="auto"/>
              <w:left w:val="single" w:sz="4" w:space="0" w:color="auto"/>
              <w:bottom w:val="single" w:sz="4" w:space="0" w:color="auto"/>
              <w:right w:val="single" w:sz="4" w:space="0" w:color="auto"/>
            </w:tcBorders>
            <w:vAlign w:val="center"/>
          </w:tcPr>
          <w:p w:rsidR="00973E1D" w:rsidRPr="00197B45" w:rsidRDefault="00197B45" w:rsidP="00AC12BA">
            <w:pPr>
              <w:keepNext/>
              <w:keepLines/>
              <w:widowControl w:val="0"/>
              <w:snapToGrid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46" w:type="pct"/>
            <w:tcBorders>
              <w:top w:val="single" w:sz="4" w:space="0" w:color="auto"/>
              <w:left w:val="single" w:sz="4" w:space="0" w:color="auto"/>
              <w:bottom w:val="single" w:sz="4" w:space="0" w:color="auto"/>
              <w:right w:val="single" w:sz="4" w:space="0" w:color="auto"/>
            </w:tcBorders>
            <w:vAlign w:val="center"/>
          </w:tcPr>
          <w:p w:rsidR="00973E1D" w:rsidRPr="00197B45" w:rsidRDefault="00197B45" w:rsidP="00B315E2">
            <w:pPr>
              <w:keepNext/>
              <w:keepLines/>
              <w:widowControl w:val="0"/>
              <w:snapToGrid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xml:space="preserve">'''''''' </w:t>
            </w:r>
          </w:p>
          <w:p w:rsidR="00973E1D" w:rsidRPr="00197B45" w:rsidRDefault="00197B45" w:rsidP="00973E1D">
            <w:pPr>
              <w:keepNext/>
              <w:keepLines/>
              <w:widowControl w:val="0"/>
              <w:snapToGrid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w:t>
            </w:r>
          </w:p>
        </w:tc>
      </w:tr>
      <w:tr w:rsidR="00973E1D" w:rsidRPr="00AC12BA" w:rsidTr="00F96AE5">
        <w:trPr>
          <w:trHeight w:val="515"/>
        </w:trPr>
        <w:tc>
          <w:tcPr>
            <w:tcW w:w="1349" w:type="pct"/>
            <w:tcBorders>
              <w:top w:val="single" w:sz="4" w:space="0" w:color="auto"/>
              <w:left w:val="single" w:sz="4" w:space="0" w:color="auto"/>
              <w:bottom w:val="single" w:sz="4" w:space="0" w:color="auto"/>
              <w:right w:val="single" w:sz="4" w:space="0" w:color="auto"/>
            </w:tcBorders>
            <w:vAlign w:val="center"/>
            <w:hideMark/>
          </w:tcPr>
          <w:p w:rsidR="00973E1D" w:rsidRPr="004334EC" w:rsidRDefault="00973E1D" w:rsidP="00F93215">
            <w:pPr>
              <w:keepNext/>
              <w:keepLines/>
              <w:widowControl w:val="0"/>
              <w:rPr>
                <w:rFonts w:ascii="Arial Narrow" w:hAnsi="Arial Narrow" w:cs="Arial"/>
                <w:snapToGrid w:val="0"/>
                <w:sz w:val="20"/>
                <w:szCs w:val="20"/>
                <w:lang w:eastAsia="en-US"/>
              </w:rPr>
            </w:pPr>
            <w:r w:rsidRPr="004334EC">
              <w:rPr>
                <w:rFonts w:ascii="Arial Narrow" w:hAnsi="Arial Narrow" w:cs="Arial"/>
                <w:snapToGrid w:val="0"/>
                <w:sz w:val="20"/>
                <w:szCs w:val="20"/>
                <w:lang w:eastAsia="en-US"/>
              </w:rPr>
              <w:t xml:space="preserve">Median time to </w:t>
            </w:r>
            <w:proofErr w:type="spellStart"/>
            <w:r w:rsidRPr="004334EC">
              <w:rPr>
                <w:rFonts w:ascii="Arial Narrow" w:hAnsi="Arial Narrow" w:cs="Arial"/>
                <w:snapToGrid w:val="0"/>
                <w:sz w:val="20"/>
                <w:szCs w:val="20"/>
                <w:lang w:eastAsia="en-US"/>
              </w:rPr>
              <w:t>progression,</w:t>
            </w:r>
            <w:r w:rsidRPr="004334EC">
              <w:rPr>
                <w:rFonts w:ascii="Arial Narrow" w:hAnsi="Arial Narrow" w:cs="Arial"/>
                <w:snapToGrid w:val="0"/>
                <w:sz w:val="20"/>
                <w:szCs w:val="20"/>
                <w:vertAlign w:val="superscript"/>
                <w:lang w:eastAsia="en-US"/>
              </w:rPr>
              <w:t>a</w:t>
            </w:r>
            <w:proofErr w:type="spellEnd"/>
            <w:r w:rsidRPr="004334EC">
              <w:rPr>
                <w:rFonts w:ascii="Arial Narrow" w:hAnsi="Arial Narrow" w:cs="Arial"/>
                <w:snapToGrid w:val="0"/>
                <w:sz w:val="20"/>
                <w:szCs w:val="20"/>
                <w:lang w:eastAsia="en-US"/>
              </w:rPr>
              <w:t xml:space="preserve"> </w:t>
            </w:r>
          </w:p>
          <w:p w:rsidR="00973E1D" w:rsidRPr="004334EC" w:rsidRDefault="00973E1D" w:rsidP="00544EAF">
            <w:pPr>
              <w:keepNext/>
              <w:keepLines/>
              <w:widowControl w:val="0"/>
              <w:rPr>
                <w:rFonts w:ascii="Arial Narrow" w:hAnsi="Arial Narrow" w:cs="Arial"/>
                <w:snapToGrid w:val="0"/>
                <w:sz w:val="20"/>
                <w:szCs w:val="20"/>
                <w:lang w:eastAsia="en-US"/>
              </w:rPr>
            </w:pPr>
            <w:r w:rsidRPr="004334EC">
              <w:rPr>
                <w:rFonts w:ascii="Arial Narrow" w:hAnsi="Arial Narrow" w:cs="Arial"/>
                <w:snapToGrid w:val="0"/>
                <w:sz w:val="20"/>
                <w:szCs w:val="20"/>
                <w:lang w:eastAsia="en-US"/>
              </w:rPr>
              <w:t xml:space="preserve">months </w:t>
            </w:r>
          </w:p>
        </w:tc>
        <w:tc>
          <w:tcPr>
            <w:tcW w:w="902" w:type="pct"/>
            <w:tcBorders>
              <w:top w:val="single" w:sz="4" w:space="0" w:color="auto"/>
              <w:left w:val="single" w:sz="4" w:space="0" w:color="auto"/>
              <w:bottom w:val="single" w:sz="4" w:space="0" w:color="auto"/>
              <w:right w:val="single" w:sz="4" w:space="0" w:color="auto"/>
            </w:tcBorders>
            <w:vAlign w:val="center"/>
            <w:hideMark/>
          </w:tcPr>
          <w:p w:rsidR="00973E1D" w:rsidRPr="004334EC" w:rsidRDefault="00197B45" w:rsidP="00973E1D">
            <w:pPr>
              <w:keepNext/>
              <w:keepLines/>
              <w:widowControl w:val="0"/>
              <w:snapToGrid w:val="0"/>
              <w:jc w:val="center"/>
              <w:rPr>
                <w:rFonts w:ascii="Arial Narrow" w:hAnsi="Arial Narrow" w:cs="Arial"/>
                <w:snapToGrid w:val="0"/>
                <w:sz w:val="20"/>
                <w:szCs w:val="20"/>
                <w:vertAlign w:val="superscript"/>
                <w:lang w:eastAsia="en-US"/>
              </w:rPr>
            </w:pPr>
            <w:r>
              <w:rPr>
                <w:rFonts w:ascii="Arial Narrow" w:hAnsi="Arial Narrow" w:cs="Arial"/>
                <w:noProof/>
                <w:snapToGrid w:val="0"/>
                <w:color w:val="000000"/>
                <w:sz w:val="20"/>
                <w:szCs w:val="20"/>
                <w:highlight w:val="black"/>
                <w:lang w:eastAsia="en-US"/>
              </w:rPr>
              <w:t xml:space="preserve">''''''''''' </w:t>
            </w:r>
            <w:proofErr w:type="spellStart"/>
            <w:r w:rsidR="00544EAF" w:rsidRPr="00DA0EAB">
              <w:rPr>
                <w:rFonts w:ascii="Arial Narrow" w:hAnsi="Arial Narrow" w:cs="Arial"/>
                <w:snapToGrid w:val="0"/>
                <w:sz w:val="20"/>
                <w:szCs w:val="20"/>
                <w:lang w:eastAsia="en-US"/>
              </w:rPr>
              <w:t>months</w:t>
            </w:r>
            <w:r w:rsidR="00973E1D" w:rsidRPr="00DA0EAB">
              <w:rPr>
                <w:rFonts w:ascii="Arial Narrow" w:hAnsi="Arial Narrow" w:cs="Arial"/>
                <w:snapToGrid w:val="0"/>
                <w:sz w:val="20"/>
                <w:szCs w:val="20"/>
                <w:vertAlign w:val="superscript"/>
                <w:lang w:eastAsia="en-US"/>
              </w:rPr>
              <w:t>a</w:t>
            </w:r>
            <w:proofErr w:type="spellEnd"/>
          </w:p>
        </w:tc>
        <w:tc>
          <w:tcPr>
            <w:tcW w:w="902" w:type="pct"/>
            <w:tcBorders>
              <w:top w:val="single" w:sz="4" w:space="0" w:color="auto"/>
              <w:left w:val="single" w:sz="4" w:space="0" w:color="auto"/>
              <w:bottom w:val="single" w:sz="4" w:space="0" w:color="auto"/>
              <w:right w:val="single" w:sz="4" w:space="0" w:color="auto"/>
            </w:tcBorders>
            <w:vAlign w:val="center"/>
            <w:hideMark/>
          </w:tcPr>
          <w:p w:rsidR="00973E1D" w:rsidRPr="004334EC" w:rsidRDefault="00197B45" w:rsidP="00973E1D">
            <w:pPr>
              <w:keepNext/>
              <w:keepLines/>
              <w:widowControl w:val="0"/>
              <w:snapToGrid w:val="0"/>
              <w:jc w:val="center"/>
              <w:rPr>
                <w:rFonts w:ascii="Arial Narrow" w:hAnsi="Arial Narrow" w:cs="Arial"/>
                <w:snapToGrid w:val="0"/>
                <w:sz w:val="20"/>
                <w:szCs w:val="20"/>
                <w:vertAlign w:val="superscript"/>
                <w:lang w:eastAsia="en-US"/>
              </w:rPr>
            </w:pPr>
            <w:r>
              <w:rPr>
                <w:rFonts w:ascii="Arial Narrow" w:hAnsi="Arial Narrow" w:cs="Arial"/>
                <w:noProof/>
                <w:snapToGrid w:val="0"/>
                <w:color w:val="000000"/>
                <w:sz w:val="20"/>
                <w:szCs w:val="20"/>
                <w:highlight w:val="black"/>
                <w:lang w:eastAsia="en-US"/>
              </w:rPr>
              <w:t xml:space="preserve">'''''''''' </w:t>
            </w:r>
            <w:proofErr w:type="spellStart"/>
            <w:r w:rsidR="00544EAF" w:rsidRPr="00DA0EAB">
              <w:rPr>
                <w:rFonts w:ascii="Arial Narrow" w:hAnsi="Arial Narrow" w:cs="Arial"/>
                <w:snapToGrid w:val="0"/>
                <w:sz w:val="20"/>
                <w:szCs w:val="20"/>
                <w:lang w:eastAsia="en-US"/>
              </w:rPr>
              <w:t>months</w:t>
            </w:r>
            <w:r w:rsidR="00973E1D" w:rsidRPr="00DA0EAB">
              <w:rPr>
                <w:rFonts w:ascii="Arial Narrow" w:hAnsi="Arial Narrow" w:cs="Arial"/>
                <w:snapToGrid w:val="0"/>
                <w:sz w:val="20"/>
                <w:szCs w:val="20"/>
                <w:vertAlign w:val="superscript"/>
                <w:lang w:eastAsia="en-US"/>
              </w:rPr>
              <w:t>a</w:t>
            </w:r>
            <w:proofErr w:type="spellEnd"/>
          </w:p>
        </w:tc>
        <w:tc>
          <w:tcPr>
            <w:tcW w:w="902" w:type="pct"/>
            <w:tcBorders>
              <w:top w:val="single" w:sz="4" w:space="0" w:color="auto"/>
              <w:left w:val="single" w:sz="4" w:space="0" w:color="auto"/>
              <w:bottom w:val="single" w:sz="4" w:space="0" w:color="auto"/>
              <w:right w:val="single" w:sz="4" w:space="0" w:color="auto"/>
            </w:tcBorders>
            <w:vAlign w:val="center"/>
          </w:tcPr>
          <w:p w:rsidR="00973E1D" w:rsidRPr="004334EC" w:rsidRDefault="00973E1D" w:rsidP="00AC12BA">
            <w:pPr>
              <w:keepNext/>
              <w:keepLines/>
              <w:widowControl w:val="0"/>
              <w:snapToGrid w:val="0"/>
              <w:jc w:val="center"/>
              <w:rPr>
                <w:rFonts w:ascii="Arial Narrow" w:hAnsi="Arial Narrow" w:cs="Arial"/>
                <w:snapToGrid w:val="0"/>
                <w:sz w:val="20"/>
                <w:szCs w:val="20"/>
                <w:lang w:eastAsia="en-US"/>
              </w:rPr>
            </w:pPr>
          </w:p>
        </w:tc>
        <w:tc>
          <w:tcPr>
            <w:tcW w:w="946" w:type="pct"/>
            <w:tcBorders>
              <w:top w:val="single" w:sz="4" w:space="0" w:color="auto"/>
              <w:left w:val="single" w:sz="4" w:space="0" w:color="auto"/>
              <w:bottom w:val="single" w:sz="4" w:space="0" w:color="auto"/>
              <w:right w:val="single" w:sz="4" w:space="0" w:color="auto"/>
            </w:tcBorders>
            <w:vAlign w:val="center"/>
          </w:tcPr>
          <w:p w:rsidR="00973E1D" w:rsidRPr="004334EC" w:rsidRDefault="00973E1D" w:rsidP="004466E7">
            <w:pPr>
              <w:keepNext/>
              <w:keepLines/>
              <w:widowControl w:val="0"/>
              <w:snapToGrid w:val="0"/>
              <w:jc w:val="center"/>
              <w:rPr>
                <w:rFonts w:ascii="Arial Narrow" w:hAnsi="Arial Narrow" w:cs="Arial"/>
                <w:b/>
                <w:snapToGrid w:val="0"/>
                <w:sz w:val="20"/>
                <w:szCs w:val="20"/>
                <w:lang w:eastAsia="en-US"/>
              </w:rPr>
            </w:pPr>
          </w:p>
        </w:tc>
      </w:tr>
      <w:tr w:rsidR="00973E1D" w:rsidRPr="00AC12BA" w:rsidTr="00F96AE5">
        <w:trPr>
          <w:trHeight w:val="515"/>
        </w:trPr>
        <w:tc>
          <w:tcPr>
            <w:tcW w:w="1349" w:type="pct"/>
            <w:tcBorders>
              <w:top w:val="single" w:sz="4" w:space="0" w:color="auto"/>
              <w:left w:val="single" w:sz="4" w:space="0" w:color="auto"/>
              <w:bottom w:val="single" w:sz="4" w:space="0" w:color="auto"/>
              <w:right w:val="single" w:sz="4" w:space="0" w:color="auto"/>
            </w:tcBorders>
            <w:vAlign w:val="center"/>
          </w:tcPr>
          <w:p w:rsidR="00F95B9F" w:rsidRDefault="00973E1D" w:rsidP="00F95B9F">
            <w:pPr>
              <w:keepNext/>
              <w:keepLines/>
              <w:widowControl w:val="0"/>
              <w:rPr>
                <w:rFonts w:ascii="Arial Narrow" w:hAnsi="Arial Narrow" w:cs="Arial"/>
                <w:snapToGrid w:val="0"/>
                <w:sz w:val="20"/>
                <w:szCs w:val="20"/>
                <w:lang w:eastAsia="en-US"/>
              </w:rPr>
            </w:pPr>
            <w:r w:rsidRPr="004334EC">
              <w:rPr>
                <w:rFonts w:ascii="Arial Narrow" w:hAnsi="Arial Narrow" w:cs="Arial"/>
                <w:snapToGrid w:val="0"/>
                <w:sz w:val="20"/>
                <w:szCs w:val="20"/>
                <w:lang w:eastAsia="en-US"/>
              </w:rPr>
              <w:t>Time To Next Therapy</w:t>
            </w:r>
            <w:r w:rsidR="00F95B9F">
              <w:rPr>
                <w:rFonts w:ascii="Arial Narrow" w:hAnsi="Arial Narrow" w:cs="Arial"/>
                <w:snapToGrid w:val="0"/>
                <w:sz w:val="20"/>
                <w:szCs w:val="20"/>
                <w:lang w:eastAsia="en-US"/>
              </w:rPr>
              <w:t>,</w:t>
            </w:r>
          </w:p>
          <w:p w:rsidR="00973E1D" w:rsidRPr="004334EC" w:rsidRDefault="00F95B9F" w:rsidP="00F95B9F">
            <w:pPr>
              <w:keepNext/>
              <w:keepLines/>
              <w:widowControl w:val="0"/>
              <w:rPr>
                <w:rFonts w:ascii="Arial Narrow" w:hAnsi="Arial Narrow" w:cs="Arial"/>
                <w:snapToGrid w:val="0"/>
                <w:sz w:val="20"/>
                <w:szCs w:val="20"/>
                <w:lang w:eastAsia="en-US"/>
              </w:rPr>
            </w:pPr>
            <w:proofErr w:type="gramStart"/>
            <w:r w:rsidRPr="00544EAF">
              <w:rPr>
                <w:rFonts w:ascii="Arial Narrow" w:hAnsi="Arial Narrow" w:cs="Arial"/>
                <w:snapToGrid w:val="0"/>
                <w:sz w:val="20"/>
                <w:szCs w:val="20"/>
                <w:lang w:eastAsia="en-US"/>
              </w:rPr>
              <w:t>n</w:t>
            </w:r>
            <w:proofErr w:type="gramEnd"/>
            <w:r w:rsidRPr="00544EAF">
              <w:rPr>
                <w:rFonts w:ascii="Arial Narrow" w:hAnsi="Arial Narrow" w:cs="Arial"/>
                <w:snapToGrid w:val="0"/>
                <w:sz w:val="20"/>
                <w:szCs w:val="20"/>
                <w:lang w:eastAsia="en-US"/>
              </w:rPr>
              <w:t xml:space="preserve"> with event (%)</w:t>
            </w:r>
          </w:p>
        </w:tc>
        <w:tc>
          <w:tcPr>
            <w:tcW w:w="902" w:type="pct"/>
            <w:tcBorders>
              <w:top w:val="single" w:sz="4" w:space="0" w:color="auto"/>
              <w:left w:val="single" w:sz="4" w:space="0" w:color="auto"/>
              <w:bottom w:val="single" w:sz="4" w:space="0" w:color="auto"/>
              <w:right w:val="single" w:sz="4" w:space="0" w:color="auto"/>
            </w:tcBorders>
            <w:vAlign w:val="center"/>
          </w:tcPr>
          <w:p w:rsidR="00973E1D" w:rsidRPr="004334EC" w:rsidRDefault="00197B45" w:rsidP="00544EAF">
            <w:pPr>
              <w:keepNext/>
              <w:keepLines/>
              <w:widowControl w:val="0"/>
              <w:snapToGrid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w:t>
            </w:r>
            <w:r w:rsidR="00973E1D" w:rsidRPr="008517F7">
              <w:rPr>
                <w:rFonts w:ascii="Arial Narrow" w:hAnsi="Arial Narrow" w:cs="Arial"/>
                <w:snapToGrid w:val="0"/>
                <w:sz w:val="20"/>
                <w:szCs w:val="20"/>
                <w:lang w:eastAsia="en-US"/>
              </w:rPr>
              <w:t>%</w:t>
            </w:r>
            <w:r>
              <w:rPr>
                <w:rFonts w:ascii="Arial Narrow" w:hAnsi="Arial Narrow" w:cs="Arial"/>
                <w:noProof/>
                <w:snapToGrid w:val="0"/>
                <w:color w:val="000000"/>
                <w:sz w:val="20"/>
                <w:szCs w:val="20"/>
                <w:highlight w:val="black"/>
                <w:lang w:eastAsia="en-US"/>
              </w:rPr>
              <w:t>''</w:t>
            </w:r>
          </w:p>
        </w:tc>
        <w:tc>
          <w:tcPr>
            <w:tcW w:w="902" w:type="pct"/>
            <w:tcBorders>
              <w:top w:val="single" w:sz="4" w:space="0" w:color="auto"/>
              <w:left w:val="single" w:sz="4" w:space="0" w:color="auto"/>
              <w:bottom w:val="single" w:sz="4" w:space="0" w:color="auto"/>
              <w:right w:val="single" w:sz="4" w:space="0" w:color="auto"/>
            </w:tcBorders>
            <w:vAlign w:val="center"/>
          </w:tcPr>
          <w:p w:rsidR="00973E1D" w:rsidRPr="004334EC" w:rsidRDefault="00197B45" w:rsidP="00544EAF">
            <w:pPr>
              <w:keepNext/>
              <w:keepLines/>
              <w:widowControl w:val="0"/>
              <w:snapToGrid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w:t>
            </w:r>
            <w:r w:rsidR="00973E1D" w:rsidRPr="008517F7">
              <w:rPr>
                <w:rFonts w:ascii="Arial Narrow" w:hAnsi="Arial Narrow" w:cs="Arial"/>
                <w:snapToGrid w:val="0"/>
                <w:sz w:val="20"/>
                <w:szCs w:val="20"/>
                <w:lang w:eastAsia="en-US"/>
              </w:rPr>
              <w:t>%</w:t>
            </w:r>
            <w:r>
              <w:rPr>
                <w:rFonts w:ascii="Arial Narrow" w:hAnsi="Arial Narrow" w:cs="Arial"/>
                <w:noProof/>
                <w:snapToGrid w:val="0"/>
                <w:color w:val="000000"/>
                <w:sz w:val="20"/>
                <w:szCs w:val="20"/>
                <w:highlight w:val="black"/>
                <w:lang w:eastAsia="en-US"/>
              </w:rPr>
              <w:t>'''</w:t>
            </w:r>
          </w:p>
        </w:tc>
        <w:tc>
          <w:tcPr>
            <w:tcW w:w="902" w:type="pct"/>
            <w:tcBorders>
              <w:top w:val="single" w:sz="4" w:space="0" w:color="auto"/>
              <w:left w:val="single" w:sz="4" w:space="0" w:color="auto"/>
              <w:bottom w:val="single" w:sz="4" w:space="0" w:color="auto"/>
              <w:right w:val="single" w:sz="4" w:space="0" w:color="auto"/>
            </w:tcBorders>
            <w:vAlign w:val="center"/>
          </w:tcPr>
          <w:p w:rsidR="00973E1D" w:rsidRPr="00197B45" w:rsidRDefault="00197B45" w:rsidP="00F93215">
            <w:pPr>
              <w:keepNext/>
              <w:keepLines/>
              <w:widowControl w:val="0"/>
              <w:snapToGrid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46" w:type="pct"/>
            <w:tcBorders>
              <w:top w:val="single" w:sz="4" w:space="0" w:color="auto"/>
              <w:left w:val="single" w:sz="4" w:space="0" w:color="auto"/>
              <w:bottom w:val="single" w:sz="4" w:space="0" w:color="auto"/>
              <w:right w:val="single" w:sz="4" w:space="0" w:color="auto"/>
            </w:tcBorders>
            <w:vAlign w:val="center"/>
          </w:tcPr>
          <w:p w:rsidR="00973E1D" w:rsidRPr="004334EC" w:rsidRDefault="00973E1D" w:rsidP="004466E7">
            <w:pPr>
              <w:keepNext/>
              <w:keepLines/>
              <w:widowControl w:val="0"/>
              <w:snapToGrid w:val="0"/>
              <w:jc w:val="center"/>
              <w:rPr>
                <w:rFonts w:ascii="Arial Narrow" w:hAnsi="Arial Narrow" w:cs="Arial"/>
                <w:b/>
                <w:snapToGrid w:val="0"/>
                <w:sz w:val="20"/>
                <w:szCs w:val="20"/>
                <w:lang w:eastAsia="en-US"/>
              </w:rPr>
            </w:pPr>
          </w:p>
        </w:tc>
      </w:tr>
      <w:tr w:rsidR="00973E1D" w:rsidRPr="00AC12BA" w:rsidTr="00F96AE5">
        <w:trPr>
          <w:trHeight w:val="515"/>
        </w:trPr>
        <w:tc>
          <w:tcPr>
            <w:tcW w:w="1349" w:type="pct"/>
            <w:tcBorders>
              <w:top w:val="single" w:sz="4" w:space="0" w:color="auto"/>
              <w:left w:val="single" w:sz="4" w:space="0" w:color="auto"/>
              <w:bottom w:val="single" w:sz="4" w:space="0" w:color="auto"/>
              <w:right w:val="single" w:sz="4" w:space="0" w:color="auto"/>
            </w:tcBorders>
            <w:vAlign w:val="center"/>
          </w:tcPr>
          <w:p w:rsidR="00973E1D" w:rsidRPr="004334EC" w:rsidRDefault="00973E1D" w:rsidP="00F95B9F">
            <w:pPr>
              <w:keepNext/>
              <w:keepLines/>
              <w:widowControl w:val="0"/>
              <w:rPr>
                <w:rFonts w:ascii="Arial Narrow" w:hAnsi="Arial Narrow" w:cs="Arial"/>
                <w:snapToGrid w:val="0"/>
                <w:sz w:val="20"/>
                <w:szCs w:val="20"/>
                <w:vertAlign w:val="superscript"/>
                <w:lang w:eastAsia="en-US"/>
              </w:rPr>
            </w:pPr>
            <w:r w:rsidRPr="004334EC">
              <w:rPr>
                <w:rFonts w:ascii="Arial Narrow" w:hAnsi="Arial Narrow" w:cs="Arial"/>
                <w:snapToGrid w:val="0"/>
                <w:sz w:val="20"/>
                <w:szCs w:val="20"/>
                <w:lang w:eastAsia="en-US"/>
              </w:rPr>
              <w:t xml:space="preserve">Median Time To </w:t>
            </w:r>
            <w:r w:rsidRPr="00F95B9F">
              <w:rPr>
                <w:rFonts w:ascii="Arial Narrow" w:hAnsi="Arial Narrow" w:cs="Arial"/>
                <w:snapToGrid w:val="0"/>
                <w:sz w:val="20"/>
                <w:szCs w:val="20"/>
                <w:lang w:eastAsia="en-US"/>
              </w:rPr>
              <w:t xml:space="preserve">Next </w:t>
            </w:r>
            <w:proofErr w:type="spellStart"/>
            <w:r w:rsidRPr="00F95B9F">
              <w:rPr>
                <w:rFonts w:ascii="Arial Narrow" w:hAnsi="Arial Narrow" w:cs="Arial"/>
                <w:snapToGrid w:val="0"/>
                <w:sz w:val="20"/>
                <w:szCs w:val="20"/>
                <w:lang w:eastAsia="en-US"/>
              </w:rPr>
              <w:t>Therapy</w:t>
            </w:r>
            <w:r w:rsidR="00F95B9F">
              <w:rPr>
                <w:rFonts w:ascii="Arial Narrow" w:hAnsi="Arial Narrow" w:cs="Arial"/>
                <w:snapToGrid w:val="0"/>
                <w:sz w:val="20"/>
                <w:szCs w:val="20"/>
                <w:vertAlign w:val="superscript"/>
                <w:lang w:eastAsia="en-US"/>
              </w:rPr>
              <w:t>a,</w:t>
            </w:r>
            <w:r w:rsidRPr="00F95B9F">
              <w:rPr>
                <w:rFonts w:ascii="Arial Narrow" w:hAnsi="Arial Narrow" w:cs="Arial"/>
                <w:snapToGrid w:val="0"/>
                <w:sz w:val="20"/>
                <w:szCs w:val="20"/>
                <w:vertAlign w:val="superscript"/>
                <w:lang w:eastAsia="en-US"/>
              </w:rPr>
              <w:t>b</w:t>
            </w:r>
            <w:proofErr w:type="spellEnd"/>
          </w:p>
        </w:tc>
        <w:tc>
          <w:tcPr>
            <w:tcW w:w="902" w:type="pct"/>
            <w:tcBorders>
              <w:top w:val="single" w:sz="4" w:space="0" w:color="auto"/>
              <w:left w:val="single" w:sz="4" w:space="0" w:color="auto"/>
              <w:bottom w:val="single" w:sz="4" w:space="0" w:color="auto"/>
              <w:right w:val="single" w:sz="4" w:space="0" w:color="auto"/>
            </w:tcBorders>
            <w:vAlign w:val="center"/>
          </w:tcPr>
          <w:p w:rsidR="00973E1D" w:rsidRPr="00F95B9F" w:rsidRDefault="00197B45" w:rsidP="004334EC">
            <w:pPr>
              <w:keepNext/>
              <w:keepLines/>
              <w:widowControl w:val="0"/>
              <w:snapToGrid w:val="0"/>
              <w:jc w:val="center"/>
              <w:rPr>
                <w:rFonts w:ascii="Arial Narrow" w:hAnsi="Arial Narrow" w:cs="Arial"/>
                <w:snapToGrid w:val="0"/>
                <w:sz w:val="20"/>
                <w:szCs w:val="20"/>
                <w:vertAlign w:val="superscript"/>
                <w:lang w:eastAsia="en-US"/>
              </w:rPr>
            </w:pPr>
            <w:r>
              <w:rPr>
                <w:rFonts w:ascii="Arial Narrow" w:hAnsi="Arial Narrow" w:cs="Arial"/>
                <w:noProof/>
                <w:snapToGrid w:val="0"/>
                <w:color w:val="000000"/>
                <w:sz w:val="20"/>
                <w:szCs w:val="20"/>
                <w:highlight w:val="black"/>
                <w:lang w:eastAsia="en-US"/>
              </w:rPr>
              <w:t xml:space="preserve">'''''''''' </w:t>
            </w:r>
            <w:proofErr w:type="spellStart"/>
            <w:r w:rsidR="00544EAF" w:rsidRPr="00DA0EAB">
              <w:rPr>
                <w:rFonts w:ascii="Arial Narrow" w:hAnsi="Arial Narrow" w:cs="Arial"/>
                <w:snapToGrid w:val="0"/>
                <w:sz w:val="20"/>
                <w:szCs w:val="20"/>
                <w:lang w:eastAsia="en-US"/>
              </w:rPr>
              <w:t>months</w:t>
            </w:r>
            <w:r w:rsidR="00F95B9F" w:rsidRPr="00DA0EAB">
              <w:rPr>
                <w:rFonts w:ascii="Arial Narrow" w:hAnsi="Arial Narrow" w:cs="Arial"/>
                <w:snapToGrid w:val="0"/>
                <w:sz w:val="20"/>
                <w:szCs w:val="20"/>
                <w:vertAlign w:val="superscript"/>
                <w:lang w:eastAsia="en-US"/>
              </w:rPr>
              <w:t>a</w:t>
            </w:r>
            <w:proofErr w:type="spellEnd"/>
          </w:p>
        </w:tc>
        <w:tc>
          <w:tcPr>
            <w:tcW w:w="902" w:type="pct"/>
            <w:tcBorders>
              <w:top w:val="single" w:sz="4" w:space="0" w:color="auto"/>
              <w:left w:val="single" w:sz="4" w:space="0" w:color="auto"/>
              <w:bottom w:val="single" w:sz="4" w:space="0" w:color="auto"/>
              <w:right w:val="single" w:sz="4" w:space="0" w:color="auto"/>
            </w:tcBorders>
            <w:vAlign w:val="center"/>
          </w:tcPr>
          <w:p w:rsidR="00973E1D" w:rsidRPr="00F95B9F" w:rsidRDefault="00197B45" w:rsidP="004334EC">
            <w:pPr>
              <w:keepNext/>
              <w:keepLines/>
              <w:widowControl w:val="0"/>
              <w:snapToGrid w:val="0"/>
              <w:jc w:val="center"/>
              <w:rPr>
                <w:rFonts w:ascii="Arial Narrow" w:hAnsi="Arial Narrow" w:cs="Arial"/>
                <w:snapToGrid w:val="0"/>
                <w:sz w:val="20"/>
                <w:szCs w:val="20"/>
                <w:vertAlign w:val="superscript"/>
                <w:lang w:eastAsia="en-US"/>
              </w:rPr>
            </w:pPr>
            <w:r>
              <w:rPr>
                <w:rFonts w:ascii="Arial Narrow" w:hAnsi="Arial Narrow" w:cs="Arial"/>
                <w:noProof/>
                <w:snapToGrid w:val="0"/>
                <w:color w:val="000000"/>
                <w:sz w:val="20"/>
                <w:szCs w:val="20"/>
                <w:highlight w:val="black"/>
                <w:lang w:eastAsia="en-US"/>
              </w:rPr>
              <w:t xml:space="preserve">''''''''''' </w:t>
            </w:r>
            <w:proofErr w:type="spellStart"/>
            <w:r w:rsidR="00544EAF" w:rsidRPr="00DA0EAB">
              <w:rPr>
                <w:rFonts w:ascii="Arial Narrow" w:hAnsi="Arial Narrow" w:cs="Arial"/>
                <w:snapToGrid w:val="0"/>
                <w:sz w:val="20"/>
                <w:szCs w:val="20"/>
                <w:lang w:eastAsia="en-US"/>
              </w:rPr>
              <w:t>months</w:t>
            </w:r>
            <w:r w:rsidR="00F95B9F" w:rsidRPr="00DA0EAB">
              <w:rPr>
                <w:rFonts w:ascii="Arial Narrow" w:hAnsi="Arial Narrow" w:cs="Arial"/>
                <w:snapToGrid w:val="0"/>
                <w:sz w:val="20"/>
                <w:szCs w:val="20"/>
                <w:vertAlign w:val="superscript"/>
                <w:lang w:eastAsia="en-US"/>
              </w:rPr>
              <w:t>a</w:t>
            </w:r>
            <w:proofErr w:type="spellEnd"/>
          </w:p>
        </w:tc>
        <w:tc>
          <w:tcPr>
            <w:tcW w:w="902" w:type="pct"/>
            <w:tcBorders>
              <w:top w:val="single" w:sz="4" w:space="0" w:color="auto"/>
              <w:left w:val="single" w:sz="4" w:space="0" w:color="auto"/>
              <w:bottom w:val="single" w:sz="4" w:space="0" w:color="auto"/>
              <w:right w:val="single" w:sz="4" w:space="0" w:color="auto"/>
            </w:tcBorders>
            <w:vAlign w:val="center"/>
          </w:tcPr>
          <w:p w:rsidR="00973E1D" w:rsidRPr="004334EC" w:rsidRDefault="00973E1D" w:rsidP="00F93215">
            <w:pPr>
              <w:keepNext/>
              <w:keepLines/>
              <w:widowControl w:val="0"/>
              <w:snapToGrid w:val="0"/>
              <w:jc w:val="center"/>
              <w:rPr>
                <w:rFonts w:ascii="Arial Narrow" w:hAnsi="Arial Narrow" w:cs="Arial"/>
                <w:snapToGrid w:val="0"/>
                <w:sz w:val="20"/>
                <w:szCs w:val="20"/>
                <w:lang w:eastAsia="en-US"/>
              </w:rPr>
            </w:pPr>
          </w:p>
        </w:tc>
        <w:tc>
          <w:tcPr>
            <w:tcW w:w="946" w:type="pct"/>
            <w:tcBorders>
              <w:top w:val="single" w:sz="4" w:space="0" w:color="auto"/>
              <w:left w:val="single" w:sz="4" w:space="0" w:color="auto"/>
              <w:bottom w:val="single" w:sz="4" w:space="0" w:color="auto"/>
              <w:right w:val="single" w:sz="4" w:space="0" w:color="auto"/>
            </w:tcBorders>
            <w:vAlign w:val="center"/>
          </w:tcPr>
          <w:p w:rsidR="00973E1D" w:rsidRPr="00197B45" w:rsidRDefault="00197B45" w:rsidP="004466E7">
            <w:pPr>
              <w:keepNext/>
              <w:keepLines/>
              <w:widowControl w:val="0"/>
              <w:snapToGrid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xml:space="preserve">''''''''' </w:t>
            </w:r>
          </w:p>
          <w:p w:rsidR="00973E1D" w:rsidRPr="004334EC" w:rsidRDefault="00197B45" w:rsidP="004466E7">
            <w:pPr>
              <w:keepNext/>
              <w:keepLines/>
              <w:widowControl w:val="0"/>
              <w:snapToGrid w:val="0"/>
              <w:jc w:val="center"/>
              <w:rPr>
                <w:rFonts w:ascii="Arial Narrow" w:hAnsi="Arial Narrow" w:cs="Arial"/>
                <w:b/>
                <w:snapToGrid w:val="0"/>
                <w:sz w:val="20"/>
                <w:szCs w:val="20"/>
                <w:lang w:eastAsia="en-US"/>
              </w:rPr>
            </w:pPr>
            <w:r>
              <w:rPr>
                <w:rFonts w:ascii="Arial Narrow" w:hAnsi="Arial Narrow" w:cs="Arial"/>
                <w:b/>
                <w:noProof/>
                <w:snapToGrid w:val="0"/>
                <w:color w:val="000000"/>
                <w:sz w:val="20"/>
                <w:szCs w:val="20"/>
                <w:highlight w:val="black"/>
                <w:lang w:eastAsia="en-US"/>
              </w:rPr>
              <w:t>'''''''''' ''''''''''</w:t>
            </w:r>
            <w:r w:rsidR="00973E1D" w:rsidRPr="004334EC">
              <w:rPr>
                <w:rFonts w:ascii="Arial Narrow" w:hAnsi="Arial Narrow" w:cs="Arial"/>
                <w:b/>
                <w:snapToGrid w:val="0"/>
                <w:sz w:val="20"/>
                <w:szCs w:val="20"/>
                <w:lang w:eastAsia="en-US"/>
              </w:rPr>
              <w:t>)</w:t>
            </w:r>
          </w:p>
        </w:tc>
      </w:tr>
      <w:tr w:rsidR="004334EC" w:rsidRPr="00AC12BA" w:rsidTr="00F96AE5">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334EC" w:rsidRPr="00AC12BA" w:rsidRDefault="004334EC" w:rsidP="00973E1D">
            <w:pPr>
              <w:keepNext/>
              <w:keepLines/>
              <w:widowControl w:val="0"/>
              <w:snapToGrid w:val="0"/>
              <w:rPr>
                <w:rFonts w:ascii="Arial Narrow" w:hAnsi="Arial Narrow" w:cs="Arial"/>
                <w:b/>
                <w:snapToGrid w:val="0"/>
                <w:sz w:val="20"/>
                <w:szCs w:val="20"/>
                <w:lang w:eastAsia="en-US"/>
              </w:rPr>
            </w:pPr>
            <w:r>
              <w:rPr>
                <w:rFonts w:ascii="Arial Narrow" w:hAnsi="Arial Narrow" w:cs="Arial"/>
                <w:b/>
                <w:snapToGrid w:val="0"/>
                <w:sz w:val="20"/>
                <w:szCs w:val="20"/>
                <w:lang w:eastAsia="en-US"/>
              </w:rPr>
              <w:t>Overall survival</w:t>
            </w:r>
          </w:p>
        </w:tc>
      </w:tr>
      <w:tr w:rsidR="00973E1D" w:rsidRPr="00AC12BA" w:rsidTr="00F96AE5">
        <w:trPr>
          <w:trHeight w:val="515"/>
        </w:trPr>
        <w:tc>
          <w:tcPr>
            <w:tcW w:w="1349" w:type="pct"/>
            <w:tcBorders>
              <w:top w:val="single" w:sz="4" w:space="0" w:color="auto"/>
              <w:left w:val="single" w:sz="4" w:space="0" w:color="auto"/>
              <w:bottom w:val="single" w:sz="4" w:space="0" w:color="auto"/>
              <w:right w:val="single" w:sz="4" w:space="0" w:color="auto"/>
            </w:tcBorders>
            <w:vAlign w:val="center"/>
            <w:hideMark/>
          </w:tcPr>
          <w:p w:rsidR="00973E1D" w:rsidRPr="00AC12BA" w:rsidRDefault="00973E1D" w:rsidP="00544EAF">
            <w:pPr>
              <w:keepNext/>
              <w:keepLines/>
              <w:widowControl w:val="0"/>
              <w:rPr>
                <w:rFonts w:ascii="Arial Narrow" w:hAnsi="Arial Narrow" w:cs="Arial"/>
                <w:snapToGrid w:val="0"/>
                <w:sz w:val="20"/>
                <w:szCs w:val="20"/>
                <w:lang w:eastAsia="en-US"/>
              </w:rPr>
            </w:pPr>
            <w:r w:rsidRPr="00AC12BA">
              <w:rPr>
                <w:rFonts w:ascii="Arial Narrow" w:hAnsi="Arial Narrow" w:cs="Arial"/>
                <w:snapToGrid w:val="0"/>
                <w:sz w:val="20"/>
                <w:szCs w:val="20"/>
                <w:lang w:eastAsia="en-US"/>
              </w:rPr>
              <w:t>Overall survival</w:t>
            </w:r>
            <w:r>
              <w:rPr>
                <w:rFonts w:ascii="Arial Narrow" w:hAnsi="Arial Narrow" w:cs="Arial"/>
                <w:snapToGrid w:val="0"/>
                <w:sz w:val="20"/>
                <w:szCs w:val="20"/>
                <w:lang w:eastAsia="en-US"/>
              </w:rPr>
              <w:t xml:space="preserve"> (18.7 month follow-up)</w:t>
            </w:r>
            <w:r w:rsidR="00544EAF">
              <w:rPr>
                <w:rFonts w:ascii="Arial Narrow" w:hAnsi="Arial Narrow" w:cs="Arial"/>
                <w:snapToGrid w:val="0"/>
                <w:sz w:val="20"/>
                <w:szCs w:val="20"/>
                <w:lang w:eastAsia="en-US"/>
              </w:rPr>
              <w:t xml:space="preserve">, </w:t>
            </w:r>
            <w:r w:rsidR="00544EAF" w:rsidRPr="00544EAF">
              <w:rPr>
                <w:rFonts w:ascii="Arial Narrow" w:hAnsi="Arial Narrow" w:cs="Arial"/>
                <w:snapToGrid w:val="0"/>
                <w:sz w:val="20"/>
                <w:szCs w:val="20"/>
                <w:lang w:eastAsia="en-US"/>
              </w:rPr>
              <w:t>n with event (%)</w:t>
            </w:r>
          </w:p>
        </w:tc>
        <w:tc>
          <w:tcPr>
            <w:tcW w:w="902" w:type="pct"/>
            <w:tcBorders>
              <w:top w:val="single" w:sz="4" w:space="0" w:color="auto"/>
              <w:left w:val="single" w:sz="4" w:space="0" w:color="auto"/>
              <w:bottom w:val="single" w:sz="4" w:space="0" w:color="auto"/>
              <w:right w:val="single" w:sz="4" w:space="0" w:color="auto"/>
            </w:tcBorders>
            <w:vAlign w:val="center"/>
            <w:hideMark/>
          </w:tcPr>
          <w:p w:rsidR="00973E1D" w:rsidRPr="00AC12BA" w:rsidRDefault="00973E1D" w:rsidP="00AC12BA">
            <w:pPr>
              <w:keepNext/>
              <w:keepLines/>
              <w:widowControl w:val="0"/>
              <w:snapToGrid w:val="0"/>
              <w:jc w:val="center"/>
              <w:rPr>
                <w:rFonts w:ascii="Arial Narrow" w:hAnsi="Arial Narrow" w:cs="Arial"/>
                <w:snapToGrid w:val="0"/>
                <w:sz w:val="20"/>
                <w:szCs w:val="20"/>
                <w:lang w:eastAsia="en-US"/>
              </w:rPr>
            </w:pPr>
            <w:r w:rsidRPr="00AC12BA">
              <w:rPr>
                <w:rFonts w:ascii="Arial Narrow" w:hAnsi="Arial Narrow" w:cs="Arial"/>
                <w:snapToGrid w:val="0"/>
                <w:sz w:val="20"/>
                <w:szCs w:val="20"/>
                <w:lang w:eastAsia="en-US"/>
              </w:rPr>
              <w:t>28 (8.4%)</w:t>
            </w:r>
          </w:p>
        </w:tc>
        <w:tc>
          <w:tcPr>
            <w:tcW w:w="902" w:type="pct"/>
            <w:tcBorders>
              <w:top w:val="single" w:sz="4" w:space="0" w:color="auto"/>
              <w:left w:val="single" w:sz="4" w:space="0" w:color="auto"/>
              <w:bottom w:val="single" w:sz="4" w:space="0" w:color="auto"/>
              <w:right w:val="single" w:sz="4" w:space="0" w:color="auto"/>
            </w:tcBorders>
            <w:vAlign w:val="center"/>
            <w:hideMark/>
          </w:tcPr>
          <w:p w:rsidR="00973E1D" w:rsidRPr="00AC12BA" w:rsidRDefault="00973E1D" w:rsidP="00AC12BA">
            <w:pPr>
              <w:keepNext/>
              <w:keepLines/>
              <w:widowControl w:val="0"/>
              <w:snapToGrid w:val="0"/>
              <w:jc w:val="center"/>
              <w:rPr>
                <w:rFonts w:ascii="Arial Narrow" w:hAnsi="Arial Narrow" w:cs="Arial"/>
                <w:snapToGrid w:val="0"/>
                <w:sz w:val="20"/>
                <w:szCs w:val="20"/>
                <w:lang w:eastAsia="en-US"/>
              </w:rPr>
            </w:pPr>
            <w:r w:rsidRPr="00AC12BA">
              <w:rPr>
                <w:rFonts w:ascii="Arial Narrow" w:hAnsi="Arial Narrow" w:cs="Arial"/>
                <w:snapToGrid w:val="0"/>
                <w:sz w:val="20"/>
                <w:szCs w:val="20"/>
                <w:lang w:eastAsia="en-US"/>
              </w:rPr>
              <w:t>41 (12.4%)</w:t>
            </w:r>
          </w:p>
        </w:tc>
        <w:tc>
          <w:tcPr>
            <w:tcW w:w="902" w:type="pct"/>
            <w:tcBorders>
              <w:top w:val="single" w:sz="4" w:space="0" w:color="auto"/>
              <w:left w:val="single" w:sz="4" w:space="0" w:color="auto"/>
              <w:bottom w:val="single" w:sz="4" w:space="0" w:color="auto"/>
              <w:right w:val="single" w:sz="4" w:space="0" w:color="auto"/>
            </w:tcBorders>
            <w:vAlign w:val="center"/>
          </w:tcPr>
          <w:p w:rsidR="00973E1D" w:rsidRPr="00AC12BA" w:rsidRDefault="00973E1D" w:rsidP="00AC12BA">
            <w:pPr>
              <w:keepNext/>
              <w:keepLines/>
              <w:widowControl w:val="0"/>
              <w:snapToGrid w:val="0"/>
              <w:jc w:val="center"/>
              <w:rPr>
                <w:rFonts w:ascii="Arial Narrow" w:hAnsi="Arial Narrow" w:cs="Arial"/>
                <w:snapToGrid w:val="0"/>
                <w:sz w:val="20"/>
                <w:szCs w:val="20"/>
                <w:lang w:eastAsia="en-US"/>
              </w:rPr>
            </w:pPr>
          </w:p>
        </w:tc>
        <w:tc>
          <w:tcPr>
            <w:tcW w:w="946" w:type="pct"/>
            <w:tcBorders>
              <w:top w:val="single" w:sz="4" w:space="0" w:color="auto"/>
              <w:left w:val="single" w:sz="4" w:space="0" w:color="auto"/>
              <w:bottom w:val="single" w:sz="4" w:space="0" w:color="auto"/>
              <w:right w:val="single" w:sz="4" w:space="0" w:color="auto"/>
            </w:tcBorders>
            <w:vAlign w:val="center"/>
          </w:tcPr>
          <w:p w:rsidR="00973E1D" w:rsidRPr="00AC12BA" w:rsidRDefault="00973E1D" w:rsidP="004466E7">
            <w:pPr>
              <w:keepNext/>
              <w:keepLines/>
              <w:widowControl w:val="0"/>
              <w:snapToGrid w:val="0"/>
              <w:jc w:val="center"/>
              <w:rPr>
                <w:rFonts w:ascii="Arial Narrow" w:hAnsi="Arial Narrow" w:cs="Arial"/>
                <w:snapToGrid w:val="0"/>
                <w:sz w:val="20"/>
                <w:szCs w:val="20"/>
                <w:lang w:eastAsia="en-US"/>
              </w:rPr>
            </w:pPr>
            <w:r w:rsidRPr="00AC12BA">
              <w:rPr>
                <w:rFonts w:ascii="Arial Narrow" w:hAnsi="Arial Narrow" w:cs="Arial"/>
                <w:snapToGrid w:val="0"/>
                <w:sz w:val="20"/>
                <w:szCs w:val="20"/>
                <w:lang w:eastAsia="en-US"/>
              </w:rPr>
              <w:t>0.66 (0.41, 1.06)</w:t>
            </w:r>
          </w:p>
        </w:tc>
      </w:tr>
      <w:tr w:rsidR="00973E1D" w:rsidRPr="00AC12BA" w:rsidTr="00F96AE5">
        <w:trPr>
          <w:trHeight w:val="515"/>
        </w:trPr>
        <w:tc>
          <w:tcPr>
            <w:tcW w:w="1349" w:type="pct"/>
            <w:tcBorders>
              <w:top w:val="single" w:sz="4" w:space="0" w:color="auto"/>
              <w:left w:val="single" w:sz="4" w:space="0" w:color="auto"/>
              <w:bottom w:val="single" w:sz="4" w:space="0" w:color="auto"/>
              <w:right w:val="single" w:sz="4" w:space="0" w:color="auto"/>
            </w:tcBorders>
            <w:vAlign w:val="center"/>
            <w:hideMark/>
          </w:tcPr>
          <w:p w:rsidR="00973E1D" w:rsidRPr="00AC12BA" w:rsidRDefault="00973E1D" w:rsidP="00544EAF">
            <w:pPr>
              <w:keepNext/>
              <w:keepLines/>
              <w:widowControl w:val="0"/>
              <w:rPr>
                <w:rFonts w:ascii="Arial Narrow" w:hAnsi="Arial Narrow" w:cs="Arial"/>
                <w:snapToGrid w:val="0"/>
                <w:sz w:val="20"/>
                <w:szCs w:val="20"/>
                <w:lang w:eastAsia="en-US"/>
              </w:rPr>
            </w:pPr>
            <w:r w:rsidRPr="008517F7">
              <w:rPr>
                <w:rFonts w:ascii="Arial Narrow" w:hAnsi="Arial Narrow" w:cs="Arial"/>
                <w:snapToGrid w:val="0"/>
                <w:sz w:val="20"/>
                <w:szCs w:val="20"/>
                <w:lang w:eastAsia="en-US"/>
              </w:rPr>
              <w:t>Overall survival (</w:t>
            </w:r>
            <w:r w:rsidR="00197B45">
              <w:rPr>
                <w:rFonts w:ascii="Arial Narrow" w:hAnsi="Arial Narrow" w:cs="Arial"/>
                <w:noProof/>
                <w:snapToGrid w:val="0"/>
                <w:color w:val="000000"/>
                <w:sz w:val="20"/>
                <w:szCs w:val="20"/>
                <w:highlight w:val="black"/>
                <w:lang w:eastAsia="en-US"/>
              </w:rPr>
              <w:t>''''''''''</w:t>
            </w:r>
            <w:r w:rsidRPr="008517F7">
              <w:rPr>
                <w:rFonts w:ascii="Arial Narrow" w:hAnsi="Arial Narrow" w:cs="Arial"/>
                <w:snapToGrid w:val="0"/>
                <w:sz w:val="20"/>
                <w:szCs w:val="20"/>
                <w:lang w:eastAsia="en-US"/>
              </w:rPr>
              <w:t xml:space="preserve"> month follow-up)</w:t>
            </w:r>
            <w:r w:rsidR="00544EAF" w:rsidRPr="008517F7">
              <w:rPr>
                <w:rFonts w:ascii="Arial Narrow" w:hAnsi="Arial Narrow" w:cs="Arial"/>
                <w:snapToGrid w:val="0"/>
                <w:sz w:val="20"/>
                <w:szCs w:val="20"/>
                <w:lang w:eastAsia="en-US"/>
              </w:rPr>
              <w:t>, n with event (%)</w:t>
            </w:r>
          </w:p>
        </w:tc>
        <w:tc>
          <w:tcPr>
            <w:tcW w:w="902" w:type="pct"/>
            <w:tcBorders>
              <w:top w:val="single" w:sz="4" w:space="0" w:color="auto"/>
              <w:left w:val="single" w:sz="4" w:space="0" w:color="auto"/>
              <w:bottom w:val="single" w:sz="4" w:space="0" w:color="auto"/>
              <w:right w:val="single" w:sz="4" w:space="0" w:color="auto"/>
            </w:tcBorders>
            <w:vAlign w:val="center"/>
            <w:hideMark/>
          </w:tcPr>
          <w:p w:rsidR="00973E1D" w:rsidRPr="00AC12BA" w:rsidRDefault="00197B45" w:rsidP="00544EAF">
            <w:pPr>
              <w:keepNext/>
              <w:keepLines/>
              <w:widowControl w:val="0"/>
              <w:snapToGrid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w:t>
            </w:r>
            <w:r w:rsidR="00973E1D" w:rsidRPr="008517F7">
              <w:rPr>
                <w:rFonts w:ascii="Arial Narrow" w:hAnsi="Arial Narrow" w:cs="Arial"/>
                <w:snapToGrid w:val="0"/>
                <w:sz w:val="20"/>
                <w:szCs w:val="20"/>
                <w:lang w:eastAsia="en-US"/>
              </w:rPr>
              <w:t>%</w:t>
            </w:r>
            <w:r>
              <w:rPr>
                <w:rFonts w:ascii="Arial Narrow" w:hAnsi="Arial Narrow" w:cs="Arial"/>
                <w:noProof/>
                <w:snapToGrid w:val="0"/>
                <w:color w:val="000000"/>
                <w:sz w:val="20"/>
                <w:szCs w:val="20"/>
                <w:highlight w:val="black"/>
                <w:lang w:eastAsia="en-US"/>
              </w:rPr>
              <w:t>''</w:t>
            </w:r>
          </w:p>
        </w:tc>
        <w:tc>
          <w:tcPr>
            <w:tcW w:w="902" w:type="pct"/>
            <w:tcBorders>
              <w:top w:val="single" w:sz="4" w:space="0" w:color="auto"/>
              <w:left w:val="single" w:sz="4" w:space="0" w:color="auto"/>
              <w:bottom w:val="single" w:sz="4" w:space="0" w:color="auto"/>
              <w:right w:val="single" w:sz="4" w:space="0" w:color="auto"/>
            </w:tcBorders>
            <w:vAlign w:val="center"/>
            <w:hideMark/>
          </w:tcPr>
          <w:p w:rsidR="00973E1D" w:rsidRPr="00AC12BA" w:rsidRDefault="00197B45" w:rsidP="00544EAF">
            <w:pPr>
              <w:keepNext/>
              <w:keepLines/>
              <w:widowControl w:val="0"/>
              <w:snapToGrid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w:t>
            </w:r>
            <w:r w:rsidR="00973E1D" w:rsidRPr="008517F7">
              <w:rPr>
                <w:rFonts w:ascii="Arial Narrow" w:hAnsi="Arial Narrow" w:cs="Arial"/>
                <w:snapToGrid w:val="0"/>
                <w:sz w:val="20"/>
                <w:szCs w:val="20"/>
                <w:lang w:eastAsia="en-US"/>
              </w:rPr>
              <w:t>%</w:t>
            </w:r>
            <w:r>
              <w:rPr>
                <w:rFonts w:ascii="Arial Narrow" w:hAnsi="Arial Narrow" w:cs="Arial"/>
                <w:noProof/>
                <w:snapToGrid w:val="0"/>
                <w:color w:val="000000"/>
                <w:sz w:val="20"/>
                <w:szCs w:val="20"/>
                <w:highlight w:val="black"/>
                <w:lang w:eastAsia="en-US"/>
              </w:rPr>
              <w:t>''</w:t>
            </w:r>
          </w:p>
        </w:tc>
        <w:tc>
          <w:tcPr>
            <w:tcW w:w="902" w:type="pct"/>
            <w:tcBorders>
              <w:top w:val="single" w:sz="4" w:space="0" w:color="auto"/>
              <w:left w:val="single" w:sz="4" w:space="0" w:color="auto"/>
              <w:bottom w:val="single" w:sz="4" w:space="0" w:color="auto"/>
              <w:right w:val="single" w:sz="4" w:space="0" w:color="auto"/>
            </w:tcBorders>
            <w:vAlign w:val="center"/>
          </w:tcPr>
          <w:p w:rsidR="00973E1D" w:rsidRPr="00197B45" w:rsidRDefault="00197B45" w:rsidP="00AC12BA">
            <w:pPr>
              <w:keepNext/>
              <w:keepLines/>
              <w:widowControl w:val="0"/>
              <w:snapToGrid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46" w:type="pct"/>
            <w:tcBorders>
              <w:top w:val="single" w:sz="4" w:space="0" w:color="auto"/>
              <w:left w:val="single" w:sz="4" w:space="0" w:color="auto"/>
              <w:bottom w:val="single" w:sz="4" w:space="0" w:color="auto"/>
              <w:right w:val="single" w:sz="4" w:space="0" w:color="auto"/>
            </w:tcBorders>
            <w:vAlign w:val="center"/>
          </w:tcPr>
          <w:p w:rsidR="00973E1D" w:rsidRPr="00197B45" w:rsidRDefault="00197B45" w:rsidP="004466E7">
            <w:pPr>
              <w:keepNext/>
              <w:keepLines/>
              <w:widowControl w:val="0"/>
              <w:snapToGrid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bl>
    <w:p w:rsidR="00AC12BA" w:rsidRPr="00197B45" w:rsidRDefault="00AC12BA" w:rsidP="00F96AE5">
      <w:pPr>
        <w:keepNext/>
        <w:keepLines/>
        <w:widowControl w:val="0"/>
        <w:ind w:left="720"/>
        <w:jc w:val="both"/>
        <w:rPr>
          <w:rFonts w:ascii="Arial Narrow" w:hAnsi="Arial Narrow"/>
          <w:snapToGrid w:val="0"/>
          <w:sz w:val="18"/>
          <w:lang w:eastAsia="en-US"/>
        </w:rPr>
      </w:pPr>
      <w:r w:rsidRPr="00F96AE5">
        <w:rPr>
          <w:rFonts w:ascii="Arial Narrow" w:hAnsi="Arial Narrow"/>
          <w:snapToGrid w:val="0"/>
          <w:sz w:val="18"/>
          <w:lang w:eastAsia="en-US"/>
        </w:rPr>
        <w:t xml:space="preserve">Source: </w:t>
      </w:r>
      <w:r w:rsidR="00197B45">
        <w:rPr>
          <w:rFonts w:ascii="Arial Narrow" w:hAnsi="Arial Narrow"/>
          <w:noProof/>
          <w:snapToGrid w:val="0"/>
          <w:color w:val="000000"/>
          <w:sz w:val="18"/>
          <w:highlight w:val="black"/>
          <w:lang w:eastAsia="en-US"/>
        </w:rPr>
        <w:t xml:space="preserve">'''''''''''''' ''''''''''''' ''''''''''' '''''''' ''''''''''''''' ''''''''''''' '''''''''' ''''''''' '''''''''' ''''' '''''''' ''''''''''''''''''''''''''' '''''''''' '''''''' '''''''''' ''''' ''''''''''' '''''' ''' ''''''''''''''' ''''''''''' '''''''''''''' ''''''' ''''''''''''''''' </w:t>
      </w:r>
    </w:p>
    <w:p w:rsidR="007D7203" w:rsidRPr="00F96AE5" w:rsidRDefault="007D7203" w:rsidP="00F96AE5">
      <w:pPr>
        <w:keepNext/>
        <w:keepLines/>
        <w:widowControl w:val="0"/>
        <w:ind w:firstLine="720"/>
        <w:jc w:val="both"/>
        <w:rPr>
          <w:rFonts w:ascii="Arial Narrow" w:hAnsi="Arial Narrow"/>
          <w:snapToGrid w:val="0"/>
          <w:sz w:val="18"/>
          <w:lang w:eastAsia="en-US"/>
        </w:rPr>
      </w:pPr>
      <w:proofErr w:type="gramStart"/>
      <w:r w:rsidRPr="00F96AE5">
        <w:rPr>
          <w:rFonts w:ascii="Arial Narrow" w:hAnsi="Arial Narrow"/>
          <w:snapToGrid w:val="0"/>
          <w:sz w:val="18"/>
          <w:lang w:eastAsia="en-US"/>
        </w:rPr>
        <w:t>a</w:t>
      </w:r>
      <w:proofErr w:type="gramEnd"/>
      <w:r w:rsidRPr="00F96AE5">
        <w:rPr>
          <w:rFonts w:ascii="Arial Narrow" w:hAnsi="Arial Narrow"/>
          <w:snapToGrid w:val="0"/>
          <w:sz w:val="18"/>
          <w:lang w:eastAsia="en-US"/>
        </w:rPr>
        <w:t xml:space="preserve"> Kaplan-Meier estimates</w:t>
      </w:r>
      <w:r w:rsidR="004334EC" w:rsidRPr="00F96AE5">
        <w:rPr>
          <w:rFonts w:ascii="Arial Narrow" w:hAnsi="Arial Narrow"/>
          <w:snapToGrid w:val="0"/>
          <w:sz w:val="18"/>
          <w:lang w:eastAsia="en-US"/>
        </w:rPr>
        <w:t>; b time to new anti-</w:t>
      </w:r>
      <w:proofErr w:type="spellStart"/>
      <w:r w:rsidR="004334EC" w:rsidRPr="00F96AE5">
        <w:rPr>
          <w:rFonts w:ascii="Arial Narrow" w:hAnsi="Arial Narrow"/>
          <w:snapToGrid w:val="0"/>
          <w:sz w:val="18"/>
          <w:lang w:eastAsia="en-US"/>
        </w:rPr>
        <w:t>leukemia</w:t>
      </w:r>
      <w:proofErr w:type="spellEnd"/>
      <w:r w:rsidR="004334EC" w:rsidRPr="00F96AE5">
        <w:rPr>
          <w:rFonts w:ascii="Arial Narrow" w:hAnsi="Arial Narrow"/>
          <w:snapToGrid w:val="0"/>
          <w:sz w:val="18"/>
          <w:lang w:eastAsia="en-US"/>
        </w:rPr>
        <w:t xml:space="preserve"> treatment </w:t>
      </w:r>
    </w:p>
    <w:p w:rsidR="00AC12BA" w:rsidRDefault="00AC12BA" w:rsidP="00F96AE5">
      <w:pPr>
        <w:keepNext/>
        <w:keepLines/>
        <w:widowControl w:val="0"/>
        <w:ind w:left="720"/>
        <w:jc w:val="both"/>
        <w:rPr>
          <w:rFonts w:ascii="Arial Narrow" w:hAnsi="Arial Narrow"/>
          <w:snapToGrid w:val="0"/>
          <w:sz w:val="18"/>
          <w:lang w:eastAsia="en-US"/>
        </w:rPr>
      </w:pPr>
      <w:r w:rsidRPr="00F96AE5">
        <w:rPr>
          <w:rFonts w:ascii="Arial Narrow" w:hAnsi="Arial Narrow"/>
          <w:snapToGrid w:val="0"/>
          <w:sz w:val="18"/>
          <w:lang w:eastAsia="en-US"/>
        </w:rPr>
        <w:t>RD = risk difference; NNT = number needed to treat; PFS = progression free survival; CI = confidence interval; bold = statistically significant</w:t>
      </w:r>
    </w:p>
    <w:p w:rsidR="00A22FEA" w:rsidRDefault="00A22FEA" w:rsidP="00882085">
      <w:pPr>
        <w:jc w:val="both"/>
        <w:rPr>
          <w:rFonts w:ascii="Arial" w:hAnsi="Arial"/>
          <w:sz w:val="22"/>
          <w:szCs w:val="22"/>
        </w:rPr>
      </w:pPr>
    </w:p>
    <w:p w:rsidR="00E52991" w:rsidRPr="008517F7" w:rsidRDefault="00E52991" w:rsidP="00F96AE5">
      <w:pPr>
        <w:ind w:left="720"/>
        <w:jc w:val="both"/>
        <w:rPr>
          <w:rFonts w:ascii="Arial Narrow" w:hAnsi="Arial Narrow"/>
          <w:b/>
          <w:sz w:val="20"/>
          <w:szCs w:val="20"/>
        </w:rPr>
      </w:pPr>
      <w:r w:rsidRPr="008517F7">
        <w:rPr>
          <w:rFonts w:ascii="Arial Narrow" w:hAnsi="Arial Narrow"/>
          <w:b/>
          <w:sz w:val="20"/>
          <w:szCs w:val="20"/>
        </w:rPr>
        <w:t>Figure: Kaplan-Meier Plots of Progression Free Survival (Investigator assessed) and Overall Survival – Stage 2 update (ITT)</w:t>
      </w:r>
    </w:p>
    <w:p w:rsidR="00F96AE5" w:rsidRPr="008517F7" w:rsidRDefault="00F96AE5" w:rsidP="00F96AE5">
      <w:pPr>
        <w:ind w:left="720"/>
        <w:jc w:val="both"/>
        <w:rPr>
          <w:rFonts w:ascii="Arial Narrow" w:hAnsi="Arial Narrow"/>
          <w:b/>
          <w:sz w:val="20"/>
          <w:szCs w:val="20"/>
        </w:rPr>
      </w:pPr>
    </w:p>
    <w:p w:rsidR="00E52991" w:rsidRPr="008517F7" w:rsidRDefault="00E52991" w:rsidP="00882085">
      <w:pPr>
        <w:jc w:val="both"/>
        <w:rPr>
          <w:rFonts w:ascii="Arial Narrow" w:hAnsi="Arial Narrow"/>
          <w:b/>
          <w:sz w:val="20"/>
          <w:szCs w:val="20"/>
        </w:rPr>
      </w:pPr>
      <w:r w:rsidRPr="008517F7">
        <w:rPr>
          <w:rFonts w:ascii="Arial Narrow" w:hAnsi="Arial Narrow"/>
          <w:b/>
          <w:sz w:val="20"/>
          <w:szCs w:val="20"/>
        </w:rPr>
        <w:tab/>
        <w:t>Progression Free Survival</w:t>
      </w:r>
      <w:r w:rsidRPr="008517F7">
        <w:rPr>
          <w:rFonts w:ascii="Arial Narrow" w:hAnsi="Arial Narrow"/>
          <w:b/>
          <w:sz w:val="20"/>
          <w:szCs w:val="20"/>
        </w:rPr>
        <w:tab/>
      </w:r>
      <w:r w:rsidRPr="008517F7">
        <w:rPr>
          <w:rFonts w:ascii="Arial Narrow" w:hAnsi="Arial Narrow"/>
          <w:b/>
          <w:sz w:val="20"/>
          <w:szCs w:val="20"/>
        </w:rPr>
        <w:tab/>
      </w:r>
      <w:r w:rsidRPr="008517F7">
        <w:rPr>
          <w:rFonts w:ascii="Arial Narrow" w:hAnsi="Arial Narrow"/>
          <w:b/>
          <w:sz w:val="20"/>
          <w:szCs w:val="20"/>
        </w:rPr>
        <w:tab/>
      </w:r>
      <w:r w:rsidR="007356A1" w:rsidRPr="008517F7">
        <w:rPr>
          <w:rFonts w:ascii="Arial Narrow" w:hAnsi="Arial Narrow"/>
          <w:b/>
          <w:sz w:val="20"/>
          <w:szCs w:val="20"/>
        </w:rPr>
        <w:tab/>
      </w:r>
      <w:r w:rsidR="007356A1" w:rsidRPr="008517F7">
        <w:rPr>
          <w:rFonts w:ascii="Arial Narrow" w:hAnsi="Arial Narrow"/>
          <w:b/>
          <w:sz w:val="20"/>
          <w:szCs w:val="20"/>
        </w:rPr>
        <w:tab/>
      </w:r>
      <w:r w:rsidRPr="008517F7">
        <w:rPr>
          <w:rFonts w:ascii="Arial Narrow" w:hAnsi="Arial Narrow"/>
          <w:b/>
          <w:sz w:val="20"/>
          <w:szCs w:val="20"/>
        </w:rPr>
        <w:t>Overall Survival</w:t>
      </w:r>
    </w:p>
    <w:p w:rsidR="00E52991" w:rsidRPr="00197B45" w:rsidRDefault="00197B45" w:rsidP="00F96AE5">
      <w:pPr>
        <w:jc w:val="right"/>
        <w:rPr>
          <w:rFonts w:ascii="Arial Narrow" w:hAnsi="Arial Narrow"/>
          <w:sz w:val="22"/>
          <w:szCs w:val="22"/>
          <w:highlight w:val="black"/>
        </w:rPr>
      </w:pPr>
      <w:r>
        <w:rPr>
          <w:rFonts w:ascii="Arial Narrow" w:hAnsi="Arial Narrow"/>
          <w:noProof/>
          <w:color w:val="000000"/>
          <w:sz w:val="22"/>
          <w:szCs w:val="22"/>
        </w:rPr>
        <w:drawing>
          <wp:inline distT="0" distB="0" distL="0" distR="0">
            <wp:extent cx="2724150" cy="1726565"/>
            <wp:effectExtent l="0" t="0" r="0" b="6985"/>
            <wp:docPr id="5" name="Picture 5" descr="Kaplan-Meier Plots of Progression Free Survival (Investigator assessed) – Stage 2 update (IT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24150" cy="1726565"/>
                    </a:xfrm>
                    <a:prstGeom prst="rect">
                      <a:avLst/>
                    </a:prstGeom>
                  </pic:spPr>
                </pic:pic>
              </a:graphicData>
            </a:graphic>
          </wp:inline>
        </w:drawing>
      </w:r>
      <w:r>
        <w:rPr>
          <w:rFonts w:ascii="Arial Narrow" w:hAnsi="Arial Narrow"/>
          <w:noProof/>
          <w:color w:val="000000"/>
          <w:sz w:val="22"/>
          <w:szCs w:val="22"/>
          <w:highlight w:val="black"/>
        </w:rPr>
        <w:t xml:space="preserve"> </w:t>
      </w:r>
      <w:r>
        <w:rPr>
          <w:rFonts w:ascii="Arial Narrow" w:hAnsi="Arial Narrow"/>
          <w:noProof/>
          <w:sz w:val="22"/>
          <w:szCs w:val="22"/>
        </w:rPr>
        <w:drawing>
          <wp:inline distT="0" distB="0" distL="0" distR="0">
            <wp:extent cx="2698115" cy="1733550"/>
            <wp:effectExtent l="0" t="0" r="6985" b="0"/>
            <wp:docPr id="1" name="Picture 1" descr="Kaplan-Meier Plots of  Overall Survival – Stage 2 update (IT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98115" cy="1733550"/>
                    </a:xfrm>
                    <a:prstGeom prst="rect">
                      <a:avLst/>
                    </a:prstGeom>
                  </pic:spPr>
                </pic:pic>
              </a:graphicData>
            </a:graphic>
          </wp:inline>
        </w:drawing>
      </w:r>
    </w:p>
    <w:p w:rsidR="00E52991" w:rsidRPr="00197B45" w:rsidRDefault="00197B45" w:rsidP="00F96AE5">
      <w:pPr>
        <w:ind w:firstLine="720"/>
        <w:jc w:val="both"/>
        <w:rPr>
          <w:rFonts w:ascii="Arial Narrow" w:hAnsi="Arial Narrow"/>
          <w:b/>
          <w:sz w:val="20"/>
          <w:szCs w:val="20"/>
        </w:rPr>
      </w:pPr>
      <w:r>
        <w:rPr>
          <w:rFonts w:ascii="Arial Narrow" w:hAnsi="Arial Narrow"/>
          <w:b/>
          <w:noProof/>
          <w:color w:val="000000"/>
          <w:sz w:val="20"/>
          <w:szCs w:val="20"/>
          <w:highlight w:val="black"/>
        </w:rPr>
        <w:t>'''''''''''''''''</w:t>
      </w:r>
      <w:r w:rsidR="00E52991" w:rsidRPr="00E52991">
        <w:rPr>
          <w:rFonts w:ascii="Arial Narrow" w:hAnsi="Arial Narrow"/>
          <w:b/>
          <w:sz w:val="20"/>
          <w:szCs w:val="20"/>
        </w:rPr>
        <w:t xml:space="preserve"> </w:t>
      </w:r>
      <w:r>
        <w:rPr>
          <w:rFonts w:ascii="Arial Narrow" w:hAnsi="Arial Narrow"/>
          <w:b/>
          <w:noProof/>
          <w:color w:val="000000"/>
          <w:sz w:val="20"/>
          <w:szCs w:val="20"/>
          <w:highlight w:val="black"/>
        </w:rPr>
        <w:t>'''''''''''' ''''' '''''''' '''' ''''' '''''''''' '''''' ''''''''''''' ''' ''''''''''''' '''''''''</w:t>
      </w:r>
    </w:p>
    <w:p w:rsidR="00E52991" w:rsidRDefault="00E52991" w:rsidP="00882085">
      <w:pPr>
        <w:jc w:val="both"/>
        <w:rPr>
          <w:rFonts w:ascii="Arial" w:hAnsi="Arial"/>
          <w:sz w:val="22"/>
          <w:szCs w:val="22"/>
        </w:rPr>
      </w:pPr>
    </w:p>
    <w:p w:rsidR="00E52991" w:rsidRDefault="00E52991" w:rsidP="00882085">
      <w:pPr>
        <w:jc w:val="both"/>
        <w:rPr>
          <w:rFonts w:ascii="Arial" w:hAnsi="Arial"/>
          <w:sz w:val="22"/>
          <w:szCs w:val="22"/>
        </w:rPr>
      </w:pPr>
    </w:p>
    <w:p w:rsidR="00AC12BA" w:rsidRPr="00B315E2" w:rsidRDefault="00AC12BA" w:rsidP="00AC12BA">
      <w:pPr>
        <w:pStyle w:val="ListParagraph"/>
        <w:numPr>
          <w:ilvl w:val="1"/>
          <w:numId w:val="25"/>
        </w:numPr>
        <w:jc w:val="both"/>
        <w:rPr>
          <w:rFonts w:ascii="Arial" w:hAnsi="Arial"/>
          <w:sz w:val="22"/>
          <w:szCs w:val="22"/>
        </w:rPr>
      </w:pPr>
      <w:r w:rsidRPr="00AC12BA">
        <w:rPr>
          <w:rFonts w:ascii="Arial" w:hAnsi="Arial"/>
          <w:sz w:val="22"/>
          <w:szCs w:val="22"/>
        </w:rPr>
        <w:lastRenderedPageBreak/>
        <w:t xml:space="preserve">A statistically significant improvement in PFS was observed for </w:t>
      </w:r>
      <w:proofErr w:type="spellStart"/>
      <w:r w:rsidRPr="00AC12BA">
        <w:rPr>
          <w:rFonts w:ascii="Arial" w:hAnsi="Arial"/>
          <w:sz w:val="22"/>
          <w:szCs w:val="22"/>
        </w:rPr>
        <w:t>obinutuzumab</w:t>
      </w:r>
      <w:proofErr w:type="spellEnd"/>
      <w:r w:rsidRPr="00AC12BA">
        <w:rPr>
          <w:rFonts w:ascii="Arial" w:hAnsi="Arial"/>
          <w:sz w:val="22"/>
          <w:szCs w:val="22"/>
        </w:rPr>
        <w:t xml:space="preserve"> plus </w:t>
      </w:r>
      <w:proofErr w:type="spellStart"/>
      <w:r w:rsidRPr="00AC12BA">
        <w:rPr>
          <w:rFonts w:ascii="Arial" w:hAnsi="Arial"/>
          <w:sz w:val="22"/>
          <w:szCs w:val="22"/>
        </w:rPr>
        <w:t>chlorambucil</w:t>
      </w:r>
      <w:proofErr w:type="spellEnd"/>
      <w:r w:rsidRPr="00AC12BA">
        <w:rPr>
          <w:rFonts w:ascii="Arial" w:hAnsi="Arial"/>
          <w:sz w:val="22"/>
          <w:szCs w:val="22"/>
        </w:rPr>
        <w:t xml:space="preserve"> compared to rituximab plus </w:t>
      </w:r>
      <w:proofErr w:type="spellStart"/>
      <w:r w:rsidRPr="00AC12BA">
        <w:rPr>
          <w:rFonts w:ascii="Arial" w:hAnsi="Arial"/>
          <w:sz w:val="22"/>
          <w:szCs w:val="22"/>
        </w:rPr>
        <w:t>chlorambucil</w:t>
      </w:r>
      <w:proofErr w:type="spellEnd"/>
      <w:r w:rsidRPr="00AC12BA">
        <w:rPr>
          <w:rFonts w:ascii="Arial" w:hAnsi="Arial"/>
          <w:sz w:val="22"/>
          <w:szCs w:val="22"/>
        </w:rPr>
        <w:t xml:space="preserve">. At </w:t>
      </w:r>
      <w:r w:rsidR="00197B45">
        <w:rPr>
          <w:rFonts w:ascii="Arial" w:hAnsi="Arial"/>
          <w:noProof/>
          <w:color w:val="000000"/>
          <w:sz w:val="22"/>
          <w:szCs w:val="22"/>
          <w:highlight w:val="black"/>
        </w:rPr>
        <w:t>''''''''''</w:t>
      </w:r>
      <w:r w:rsidRPr="00AC12BA">
        <w:rPr>
          <w:rFonts w:ascii="Arial" w:hAnsi="Arial"/>
          <w:sz w:val="22"/>
          <w:szCs w:val="22"/>
        </w:rPr>
        <w:t xml:space="preserve"> months there was a </w:t>
      </w:r>
      <w:r w:rsidR="00197B45">
        <w:rPr>
          <w:rFonts w:ascii="Arial" w:hAnsi="Arial"/>
          <w:noProof/>
          <w:color w:val="000000"/>
          <w:sz w:val="22"/>
          <w:szCs w:val="22"/>
          <w:highlight w:val="black"/>
        </w:rPr>
        <w:t>''''''''''</w:t>
      </w:r>
      <w:r w:rsidRPr="00DA0EAB">
        <w:rPr>
          <w:rFonts w:ascii="Arial" w:hAnsi="Arial"/>
          <w:sz w:val="22"/>
          <w:szCs w:val="22"/>
        </w:rPr>
        <w:t xml:space="preserve">% </w:t>
      </w:r>
      <w:r w:rsidRPr="00AC12BA">
        <w:rPr>
          <w:rFonts w:ascii="Arial" w:hAnsi="Arial"/>
          <w:sz w:val="22"/>
          <w:szCs w:val="22"/>
        </w:rPr>
        <w:t>risk difference in PFS (</w:t>
      </w:r>
      <w:r w:rsidR="00DA31A5">
        <w:rPr>
          <w:rFonts w:ascii="Arial" w:hAnsi="Arial"/>
          <w:sz w:val="22"/>
          <w:szCs w:val="22"/>
        </w:rPr>
        <w:t xml:space="preserve">HR </w:t>
      </w:r>
      <w:r w:rsidR="00197B45">
        <w:rPr>
          <w:rFonts w:ascii="Arial" w:hAnsi="Arial"/>
          <w:noProof/>
          <w:color w:val="000000"/>
          <w:sz w:val="22"/>
          <w:szCs w:val="22"/>
          <w:highlight w:val="black"/>
        </w:rPr>
        <w:t>'''''''''''</w:t>
      </w:r>
      <w:r w:rsidR="00DA31A5">
        <w:rPr>
          <w:rFonts w:ascii="Arial" w:hAnsi="Arial"/>
          <w:sz w:val="22"/>
          <w:szCs w:val="22"/>
        </w:rPr>
        <w:t xml:space="preserve"> [</w:t>
      </w:r>
      <w:r w:rsidR="00197B45">
        <w:rPr>
          <w:rFonts w:ascii="Arial" w:hAnsi="Arial"/>
          <w:noProof/>
          <w:color w:val="000000"/>
          <w:sz w:val="22"/>
          <w:szCs w:val="22"/>
          <w:highlight w:val="black"/>
        </w:rPr>
        <w:t>''''''''''</w:t>
      </w:r>
      <w:r w:rsidR="00DA31A5">
        <w:rPr>
          <w:rFonts w:ascii="Arial" w:hAnsi="Arial"/>
          <w:sz w:val="22"/>
          <w:szCs w:val="22"/>
        </w:rPr>
        <w:t xml:space="preserve"> to </w:t>
      </w:r>
      <w:r w:rsidR="00197B45">
        <w:rPr>
          <w:rFonts w:ascii="Arial" w:hAnsi="Arial"/>
          <w:noProof/>
          <w:color w:val="000000"/>
          <w:sz w:val="22"/>
          <w:szCs w:val="22"/>
          <w:highlight w:val="black"/>
        </w:rPr>
        <w:t>'''''''''''</w:t>
      </w:r>
      <w:r w:rsidR="00DA31A5">
        <w:rPr>
          <w:rFonts w:ascii="Arial" w:hAnsi="Arial"/>
          <w:sz w:val="22"/>
          <w:szCs w:val="22"/>
        </w:rPr>
        <w:t xml:space="preserve">]) </w:t>
      </w:r>
      <w:r w:rsidRPr="00AC12BA">
        <w:rPr>
          <w:rFonts w:ascii="Arial" w:hAnsi="Arial"/>
          <w:sz w:val="22"/>
          <w:szCs w:val="22"/>
        </w:rPr>
        <w:t xml:space="preserve">favouring </w:t>
      </w:r>
      <w:proofErr w:type="spellStart"/>
      <w:r w:rsidRPr="00AC12BA">
        <w:rPr>
          <w:rFonts w:ascii="Arial" w:hAnsi="Arial"/>
          <w:sz w:val="22"/>
          <w:szCs w:val="22"/>
        </w:rPr>
        <w:t>obinutuzumab</w:t>
      </w:r>
      <w:proofErr w:type="spellEnd"/>
      <w:r w:rsidRPr="00AC12BA">
        <w:rPr>
          <w:rFonts w:ascii="Arial" w:hAnsi="Arial"/>
          <w:sz w:val="22"/>
          <w:szCs w:val="22"/>
        </w:rPr>
        <w:t xml:space="preserve"> plus </w:t>
      </w:r>
      <w:proofErr w:type="spellStart"/>
      <w:r w:rsidRPr="00AC12BA">
        <w:rPr>
          <w:rFonts w:ascii="Arial" w:hAnsi="Arial"/>
          <w:sz w:val="22"/>
          <w:szCs w:val="22"/>
        </w:rPr>
        <w:t>chlorambucil</w:t>
      </w:r>
      <w:proofErr w:type="spellEnd"/>
      <w:r w:rsidRPr="00AC12BA">
        <w:rPr>
          <w:rFonts w:ascii="Arial" w:hAnsi="Arial"/>
          <w:sz w:val="22"/>
          <w:szCs w:val="22"/>
        </w:rPr>
        <w:t xml:space="preserve">. </w:t>
      </w:r>
      <w:r w:rsidR="00DA31A5">
        <w:rPr>
          <w:rFonts w:ascii="Arial" w:hAnsi="Arial"/>
          <w:sz w:val="22"/>
          <w:szCs w:val="22"/>
        </w:rPr>
        <w:t>Median</w:t>
      </w:r>
      <w:r w:rsidRPr="00AC12BA">
        <w:rPr>
          <w:rFonts w:ascii="Arial" w:hAnsi="Arial"/>
          <w:sz w:val="22"/>
          <w:szCs w:val="22"/>
        </w:rPr>
        <w:t xml:space="preserve"> OS result </w:t>
      </w:r>
      <w:r w:rsidR="00DA31A5">
        <w:rPr>
          <w:rFonts w:ascii="Arial" w:hAnsi="Arial"/>
          <w:sz w:val="22"/>
          <w:szCs w:val="22"/>
        </w:rPr>
        <w:t>has not been reached</w:t>
      </w:r>
      <w:r w:rsidRPr="00AC12BA">
        <w:rPr>
          <w:rFonts w:ascii="Arial" w:hAnsi="Arial"/>
          <w:sz w:val="22"/>
          <w:szCs w:val="22"/>
        </w:rPr>
        <w:t xml:space="preserve"> with </w:t>
      </w:r>
      <w:r w:rsidR="00197B45">
        <w:rPr>
          <w:rFonts w:ascii="Arial" w:hAnsi="Arial"/>
          <w:noProof/>
          <w:color w:val="000000"/>
          <w:sz w:val="22"/>
          <w:szCs w:val="22"/>
          <w:highlight w:val="black"/>
        </w:rPr>
        <w:t>''''''''''''</w:t>
      </w:r>
      <w:r w:rsidRPr="00DA0EAB">
        <w:rPr>
          <w:rFonts w:ascii="Arial" w:hAnsi="Arial"/>
          <w:sz w:val="22"/>
          <w:szCs w:val="22"/>
        </w:rPr>
        <w:t>%</w:t>
      </w:r>
      <w:r w:rsidRPr="00AC12BA">
        <w:rPr>
          <w:rFonts w:ascii="Arial" w:hAnsi="Arial"/>
          <w:sz w:val="22"/>
          <w:szCs w:val="22"/>
        </w:rPr>
        <w:t xml:space="preserve"> </w:t>
      </w:r>
      <w:r w:rsidR="00AD5C68">
        <w:rPr>
          <w:rFonts w:ascii="Arial" w:hAnsi="Arial"/>
          <w:sz w:val="22"/>
          <w:szCs w:val="22"/>
        </w:rPr>
        <w:t xml:space="preserve">and </w:t>
      </w:r>
      <w:r w:rsidR="00197B45">
        <w:rPr>
          <w:rFonts w:ascii="Arial" w:hAnsi="Arial"/>
          <w:noProof/>
          <w:color w:val="000000"/>
          <w:sz w:val="22"/>
          <w:szCs w:val="22"/>
          <w:highlight w:val="black"/>
        </w:rPr>
        <w:t>'''''''''''</w:t>
      </w:r>
      <w:r w:rsidR="00AD5C68" w:rsidRPr="00DA0EAB">
        <w:rPr>
          <w:rFonts w:ascii="Arial" w:hAnsi="Arial"/>
          <w:sz w:val="22"/>
          <w:szCs w:val="22"/>
        </w:rPr>
        <w:t>%</w:t>
      </w:r>
      <w:r w:rsidR="00AD5C68">
        <w:rPr>
          <w:rFonts w:ascii="Arial" w:hAnsi="Arial"/>
          <w:sz w:val="22"/>
          <w:szCs w:val="22"/>
        </w:rPr>
        <w:t xml:space="preserve"> </w:t>
      </w:r>
      <w:r w:rsidRPr="00AC12BA">
        <w:rPr>
          <w:rFonts w:ascii="Arial" w:hAnsi="Arial"/>
          <w:sz w:val="22"/>
          <w:szCs w:val="22"/>
        </w:rPr>
        <w:t xml:space="preserve">of patients </w:t>
      </w:r>
      <w:r w:rsidR="00AD5C68">
        <w:rPr>
          <w:rFonts w:ascii="Arial" w:hAnsi="Arial"/>
          <w:sz w:val="22"/>
          <w:szCs w:val="22"/>
        </w:rPr>
        <w:t xml:space="preserve">having died </w:t>
      </w:r>
      <w:r w:rsidRPr="00AC12BA">
        <w:rPr>
          <w:rFonts w:ascii="Arial" w:hAnsi="Arial"/>
          <w:sz w:val="22"/>
          <w:szCs w:val="22"/>
        </w:rPr>
        <w:t xml:space="preserve">in the </w:t>
      </w:r>
      <w:proofErr w:type="spellStart"/>
      <w:r w:rsidRPr="00AC12BA">
        <w:rPr>
          <w:rFonts w:ascii="Arial" w:hAnsi="Arial"/>
          <w:sz w:val="22"/>
          <w:szCs w:val="22"/>
        </w:rPr>
        <w:t>obinutuzumab</w:t>
      </w:r>
      <w:proofErr w:type="spellEnd"/>
      <w:r w:rsidRPr="00AC12BA">
        <w:rPr>
          <w:rFonts w:ascii="Arial" w:hAnsi="Arial"/>
          <w:sz w:val="22"/>
          <w:szCs w:val="22"/>
        </w:rPr>
        <w:t xml:space="preserve"> plus </w:t>
      </w:r>
      <w:proofErr w:type="spellStart"/>
      <w:r w:rsidRPr="00AC12BA">
        <w:rPr>
          <w:rFonts w:ascii="Arial" w:hAnsi="Arial"/>
          <w:sz w:val="22"/>
          <w:szCs w:val="22"/>
        </w:rPr>
        <w:t>chlorambucil</w:t>
      </w:r>
      <w:proofErr w:type="spellEnd"/>
      <w:r w:rsidR="00AD5C68">
        <w:rPr>
          <w:rFonts w:ascii="Arial" w:hAnsi="Arial"/>
          <w:sz w:val="22"/>
          <w:szCs w:val="22"/>
        </w:rPr>
        <w:t>, and</w:t>
      </w:r>
      <w:r w:rsidRPr="00AC12BA">
        <w:rPr>
          <w:rFonts w:ascii="Arial" w:hAnsi="Arial"/>
          <w:sz w:val="22"/>
          <w:szCs w:val="22"/>
        </w:rPr>
        <w:t xml:space="preserve"> </w:t>
      </w:r>
      <w:r w:rsidR="00AD5C68">
        <w:rPr>
          <w:rFonts w:ascii="Arial" w:hAnsi="Arial"/>
          <w:sz w:val="22"/>
          <w:szCs w:val="22"/>
        </w:rPr>
        <w:t>the</w:t>
      </w:r>
      <w:r w:rsidR="00AD5C68" w:rsidRPr="00AC12BA">
        <w:rPr>
          <w:rFonts w:ascii="Arial" w:hAnsi="Arial"/>
          <w:sz w:val="22"/>
          <w:szCs w:val="22"/>
        </w:rPr>
        <w:t xml:space="preserve"> rituximab plus </w:t>
      </w:r>
      <w:proofErr w:type="spellStart"/>
      <w:r w:rsidR="00AD5C68" w:rsidRPr="00AC12BA">
        <w:rPr>
          <w:rFonts w:ascii="Arial" w:hAnsi="Arial"/>
          <w:sz w:val="22"/>
          <w:szCs w:val="22"/>
        </w:rPr>
        <w:t>chlorambucil</w:t>
      </w:r>
      <w:proofErr w:type="spellEnd"/>
      <w:r w:rsidR="00AD5C68" w:rsidRPr="00AC12BA">
        <w:rPr>
          <w:rFonts w:ascii="Arial" w:hAnsi="Arial"/>
          <w:sz w:val="22"/>
          <w:szCs w:val="22"/>
        </w:rPr>
        <w:t xml:space="preserve"> arm</w:t>
      </w:r>
      <w:r w:rsidR="00AD5C68">
        <w:rPr>
          <w:rFonts w:ascii="Arial" w:hAnsi="Arial"/>
          <w:sz w:val="22"/>
          <w:szCs w:val="22"/>
        </w:rPr>
        <w:t>s, respectively.</w:t>
      </w:r>
      <w:r w:rsidRPr="00AC12BA">
        <w:rPr>
          <w:rFonts w:ascii="Arial" w:hAnsi="Arial"/>
          <w:sz w:val="22"/>
          <w:szCs w:val="22"/>
        </w:rPr>
        <w:t xml:space="preserve"> The ESC noted that while the hazard ratio for OS was not </w:t>
      </w:r>
      <w:r w:rsidR="00E2026F">
        <w:rPr>
          <w:rFonts w:ascii="Arial" w:hAnsi="Arial"/>
          <w:sz w:val="22"/>
          <w:szCs w:val="22"/>
        </w:rPr>
        <w:t xml:space="preserve">statistically </w:t>
      </w:r>
      <w:r w:rsidRPr="00AC12BA">
        <w:rPr>
          <w:rFonts w:ascii="Arial" w:hAnsi="Arial"/>
          <w:sz w:val="22"/>
          <w:szCs w:val="22"/>
        </w:rPr>
        <w:t xml:space="preserve">significant, the trend was in favour of </w:t>
      </w:r>
      <w:proofErr w:type="spellStart"/>
      <w:r w:rsidRPr="00AC12BA">
        <w:rPr>
          <w:rFonts w:ascii="Arial" w:hAnsi="Arial"/>
          <w:sz w:val="22"/>
          <w:szCs w:val="22"/>
        </w:rPr>
        <w:t>obinutuzumab</w:t>
      </w:r>
      <w:proofErr w:type="spellEnd"/>
      <w:r w:rsidRPr="00AC12BA">
        <w:rPr>
          <w:rFonts w:ascii="Arial" w:hAnsi="Arial"/>
          <w:sz w:val="22"/>
          <w:szCs w:val="22"/>
        </w:rPr>
        <w:t xml:space="preserve"> plus </w:t>
      </w:r>
      <w:proofErr w:type="spellStart"/>
      <w:r w:rsidRPr="00AC12BA">
        <w:rPr>
          <w:rFonts w:ascii="Arial" w:hAnsi="Arial"/>
          <w:sz w:val="22"/>
          <w:szCs w:val="22"/>
        </w:rPr>
        <w:t>chlorambucil</w:t>
      </w:r>
      <w:proofErr w:type="spellEnd"/>
      <w:r w:rsidRPr="00AC12BA">
        <w:rPr>
          <w:rFonts w:ascii="Arial" w:hAnsi="Arial"/>
          <w:sz w:val="22"/>
          <w:szCs w:val="22"/>
        </w:rPr>
        <w:t>.</w:t>
      </w:r>
      <w:r>
        <w:rPr>
          <w:rFonts w:ascii="Arial" w:hAnsi="Arial"/>
          <w:sz w:val="22"/>
          <w:szCs w:val="22"/>
        </w:rPr>
        <w:t xml:space="preserve"> </w:t>
      </w:r>
    </w:p>
    <w:p w:rsidR="00973E1D" w:rsidRDefault="00973E1D" w:rsidP="00973E1D">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harms</w:t>
      </w:r>
    </w:p>
    <w:p w:rsidR="005A3173" w:rsidRPr="00882085" w:rsidRDefault="005A3173" w:rsidP="00882085">
      <w:pPr>
        <w:ind w:left="720" w:hanging="720"/>
        <w:jc w:val="both"/>
        <w:rPr>
          <w:rFonts w:ascii="Arial" w:hAnsi="Arial"/>
          <w:sz w:val="22"/>
          <w:szCs w:val="22"/>
        </w:rPr>
      </w:pPr>
    </w:p>
    <w:p w:rsidR="00AC12BA" w:rsidRDefault="00AC12BA" w:rsidP="00AC12BA">
      <w:pPr>
        <w:pStyle w:val="ListParagraph"/>
        <w:numPr>
          <w:ilvl w:val="1"/>
          <w:numId w:val="25"/>
        </w:numPr>
        <w:jc w:val="both"/>
        <w:rPr>
          <w:rFonts w:ascii="Arial" w:hAnsi="Arial"/>
          <w:sz w:val="22"/>
          <w:szCs w:val="22"/>
        </w:rPr>
      </w:pPr>
      <w:r w:rsidRPr="00AC12BA">
        <w:rPr>
          <w:rFonts w:ascii="Arial" w:hAnsi="Arial"/>
          <w:sz w:val="22"/>
          <w:szCs w:val="22"/>
        </w:rPr>
        <w:t xml:space="preserve">The CLL11 trial </w:t>
      </w:r>
      <w:r w:rsidR="00DB4235">
        <w:rPr>
          <w:rFonts w:ascii="Arial" w:hAnsi="Arial"/>
          <w:sz w:val="22"/>
          <w:szCs w:val="22"/>
        </w:rPr>
        <w:t>results</w:t>
      </w:r>
      <w:r w:rsidRPr="00AC12BA">
        <w:rPr>
          <w:rFonts w:ascii="Arial" w:hAnsi="Arial"/>
          <w:sz w:val="22"/>
          <w:szCs w:val="22"/>
        </w:rPr>
        <w:t xml:space="preserve"> show the </w:t>
      </w:r>
      <w:proofErr w:type="spellStart"/>
      <w:r w:rsidRPr="00AC12BA">
        <w:rPr>
          <w:rFonts w:ascii="Arial" w:hAnsi="Arial"/>
          <w:sz w:val="22"/>
          <w:szCs w:val="22"/>
        </w:rPr>
        <w:t>obinutuzumab</w:t>
      </w:r>
      <w:proofErr w:type="spellEnd"/>
      <w:r w:rsidRPr="00AC12BA">
        <w:rPr>
          <w:rFonts w:ascii="Arial" w:hAnsi="Arial"/>
          <w:sz w:val="22"/>
          <w:szCs w:val="22"/>
        </w:rPr>
        <w:t xml:space="preserve"> arm has an inferior safety profile relative to its comparators. The most common treatment-related Grade 3 to 5 (moderate to severe) adverse events were infusion-related reaction, neutropenia, and thrombocytopenia. While the submission stated that the adverse events associated with </w:t>
      </w:r>
      <w:proofErr w:type="spellStart"/>
      <w:r w:rsidRPr="00AC12BA">
        <w:rPr>
          <w:rFonts w:ascii="Arial" w:hAnsi="Arial"/>
          <w:sz w:val="22"/>
          <w:szCs w:val="22"/>
        </w:rPr>
        <w:t>obinutuzumab</w:t>
      </w:r>
      <w:proofErr w:type="spellEnd"/>
      <w:r w:rsidRPr="00AC12BA">
        <w:rPr>
          <w:rFonts w:ascii="Arial" w:hAnsi="Arial"/>
          <w:sz w:val="22"/>
          <w:szCs w:val="22"/>
        </w:rPr>
        <w:t xml:space="preserve"> were manageable, the ESC noted the higher incidence of grade 3 to 5 reactions (as outlined in the discussion of benefits and harms below).</w:t>
      </w:r>
    </w:p>
    <w:p w:rsidR="00D31D8B" w:rsidRPr="00D31D8B" w:rsidRDefault="00D31D8B" w:rsidP="00D31D8B">
      <w:pPr>
        <w:pStyle w:val="ListParagraph"/>
        <w:rPr>
          <w:rFonts w:ascii="Arial" w:hAnsi="Arial"/>
          <w:sz w:val="22"/>
          <w:szCs w:val="22"/>
        </w:rPr>
      </w:pPr>
    </w:p>
    <w:p w:rsidR="00D31D8B" w:rsidRDefault="00D31D8B" w:rsidP="00D31D8B">
      <w:pPr>
        <w:pStyle w:val="ListParagraph"/>
        <w:numPr>
          <w:ilvl w:val="1"/>
          <w:numId w:val="25"/>
        </w:numPr>
        <w:rPr>
          <w:rFonts w:ascii="Arial" w:hAnsi="Arial"/>
          <w:sz w:val="22"/>
          <w:szCs w:val="22"/>
        </w:rPr>
      </w:pPr>
      <w:r w:rsidRPr="00D31D8B">
        <w:rPr>
          <w:rFonts w:ascii="Arial" w:hAnsi="Arial"/>
          <w:sz w:val="22"/>
          <w:szCs w:val="22"/>
        </w:rPr>
        <w:t xml:space="preserve">A summary of the comparative benefits and harms for </w:t>
      </w:r>
      <w:proofErr w:type="spellStart"/>
      <w:r w:rsidRPr="00D31D8B">
        <w:rPr>
          <w:rFonts w:ascii="Arial" w:hAnsi="Arial"/>
          <w:sz w:val="22"/>
          <w:szCs w:val="22"/>
        </w:rPr>
        <w:t>obinutuzumab</w:t>
      </w:r>
      <w:proofErr w:type="spellEnd"/>
      <w:r w:rsidRPr="00D31D8B">
        <w:rPr>
          <w:rFonts w:ascii="Arial" w:hAnsi="Arial"/>
          <w:sz w:val="22"/>
          <w:szCs w:val="22"/>
        </w:rPr>
        <w:t xml:space="preserve"> plus </w:t>
      </w:r>
      <w:proofErr w:type="spellStart"/>
      <w:r w:rsidRPr="00D31D8B">
        <w:rPr>
          <w:rFonts w:ascii="Arial" w:hAnsi="Arial"/>
          <w:sz w:val="22"/>
          <w:szCs w:val="22"/>
        </w:rPr>
        <w:t>chlorambucil</w:t>
      </w:r>
      <w:proofErr w:type="spellEnd"/>
      <w:r w:rsidRPr="00D31D8B">
        <w:rPr>
          <w:rFonts w:ascii="Arial" w:hAnsi="Arial"/>
          <w:sz w:val="22"/>
          <w:szCs w:val="22"/>
        </w:rPr>
        <w:t xml:space="preserve"> versus </w:t>
      </w:r>
      <w:proofErr w:type="spellStart"/>
      <w:r w:rsidRPr="00D31D8B">
        <w:rPr>
          <w:rFonts w:ascii="Arial" w:hAnsi="Arial"/>
          <w:sz w:val="22"/>
          <w:szCs w:val="22"/>
        </w:rPr>
        <w:t>chlorambucil</w:t>
      </w:r>
      <w:proofErr w:type="spellEnd"/>
      <w:r w:rsidRPr="00D31D8B">
        <w:rPr>
          <w:rFonts w:ascii="Arial" w:hAnsi="Arial"/>
          <w:sz w:val="22"/>
          <w:szCs w:val="22"/>
        </w:rPr>
        <w:t xml:space="preserve"> is presented in the table below.</w:t>
      </w:r>
    </w:p>
    <w:p w:rsidR="00DB4235" w:rsidRPr="00DB4235" w:rsidRDefault="00DB4235" w:rsidP="00DB4235">
      <w:pPr>
        <w:pStyle w:val="ListParagraph"/>
        <w:rPr>
          <w:rFonts w:ascii="Arial" w:hAnsi="Arial"/>
          <w:sz w:val="22"/>
          <w:szCs w:val="22"/>
        </w:rPr>
      </w:pPr>
    </w:p>
    <w:p w:rsidR="00AC12BA" w:rsidRPr="00AC12BA" w:rsidRDefault="00AC12BA" w:rsidP="00F95986">
      <w:pPr>
        <w:keepNext/>
        <w:keepLines/>
        <w:widowControl w:val="0"/>
        <w:ind w:left="720"/>
        <w:jc w:val="both"/>
        <w:rPr>
          <w:rFonts w:ascii="Arial Narrow" w:hAnsi="Arial Narrow" w:cs="Arial"/>
          <w:b/>
          <w:snapToGrid w:val="0"/>
          <w:sz w:val="20"/>
          <w:szCs w:val="20"/>
          <w:lang w:eastAsia="en-US"/>
        </w:rPr>
      </w:pPr>
      <w:r w:rsidRPr="00AC12BA">
        <w:rPr>
          <w:rFonts w:ascii="Arial Narrow" w:hAnsi="Arial Narrow" w:cs="Arial"/>
          <w:b/>
          <w:snapToGrid w:val="0"/>
          <w:sz w:val="20"/>
          <w:szCs w:val="20"/>
          <w:lang w:eastAsia="en-US"/>
        </w:rPr>
        <w:t xml:space="preserve">Summary of comparative benefits and harms for </w:t>
      </w:r>
      <w:proofErr w:type="spellStart"/>
      <w:r w:rsidRPr="00AC12BA">
        <w:rPr>
          <w:rFonts w:ascii="Arial Narrow" w:hAnsi="Arial Narrow" w:cs="Arial"/>
          <w:b/>
          <w:snapToGrid w:val="0"/>
          <w:sz w:val="20"/>
          <w:szCs w:val="20"/>
          <w:lang w:eastAsia="en-US"/>
        </w:rPr>
        <w:t>obinutuzumab</w:t>
      </w:r>
      <w:proofErr w:type="spellEnd"/>
      <w:r w:rsidRPr="00AC12BA">
        <w:rPr>
          <w:rFonts w:ascii="Arial Narrow" w:hAnsi="Arial Narrow" w:cs="Arial"/>
          <w:b/>
          <w:snapToGrid w:val="0"/>
          <w:sz w:val="20"/>
          <w:szCs w:val="20"/>
          <w:lang w:eastAsia="en-US"/>
        </w:rPr>
        <w:t xml:space="preserve"> plus </w:t>
      </w:r>
      <w:proofErr w:type="spellStart"/>
      <w:r w:rsidRPr="00AC12BA">
        <w:rPr>
          <w:rFonts w:ascii="Arial Narrow" w:hAnsi="Arial Narrow" w:cs="Arial"/>
          <w:b/>
          <w:snapToGrid w:val="0"/>
          <w:sz w:val="20"/>
          <w:szCs w:val="20"/>
          <w:lang w:eastAsia="en-US"/>
        </w:rPr>
        <w:t>chlorambucil</w:t>
      </w:r>
      <w:proofErr w:type="spellEnd"/>
      <w:r w:rsidRPr="00AC12BA">
        <w:rPr>
          <w:rFonts w:ascii="Arial Narrow" w:hAnsi="Arial Narrow" w:cs="Arial"/>
          <w:b/>
          <w:snapToGrid w:val="0"/>
          <w:sz w:val="20"/>
          <w:szCs w:val="20"/>
          <w:lang w:eastAsia="en-US"/>
        </w:rPr>
        <w:t xml:space="preserve"> and </w:t>
      </w:r>
      <w:proofErr w:type="spellStart"/>
      <w:r w:rsidRPr="00AC12BA">
        <w:rPr>
          <w:rFonts w:ascii="Arial Narrow" w:hAnsi="Arial Narrow" w:cs="Arial"/>
          <w:b/>
          <w:snapToGrid w:val="0"/>
          <w:sz w:val="20"/>
          <w:szCs w:val="20"/>
          <w:lang w:eastAsia="en-US"/>
        </w:rPr>
        <w:t>chlorambucil</w:t>
      </w:r>
      <w:proofErr w:type="spellEnd"/>
      <w:r w:rsidRPr="00AC12BA">
        <w:rPr>
          <w:rFonts w:ascii="Arial Narrow" w:hAnsi="Arial Narrow" w:cs="Arial"/>
          <w:b/>
          <w:snapToGrid w:val="0"/>
          <w:sz w:val="20"/>
          <w:szCs w:val="20"/>
          <w:lang w:eastAsia="en-US"/>
        </w:rPr>
        <w:t xml:space="preserve"> – CLL11 trial</w:t>
      </w:r>
      <w:r w:rsidR="00994A26">
        <w:rPr>
          <w:rFonts w:ascii="Arial Narrow" w:hAnsi="Arial Narrow" w:cs="Arial"/>
          <w:b/>
          <w:snapToGrid w:val="0"/>
          <w:sz w:val="20"/>
          <w:szCs w:val="20"/>
          <w:lang w:eastAsia="en-US"/>
        </w:rPr>
        <w:t xml:space="preserve"> (Stage 1a)</w:t>
      </w:r>
    </w:p>
    <w:tbl>
      <w:tblPr>
        <w:tblStyle w:val="TableGrid"/>
        <w:tblW w:w="4566" w:type="pct"/>
        <w:tblInd w:w="737" w:type="dxa"/>
        <w:tblLayout w:type="fixed"/>
        <w:tblCellMar>
          <w:left w:w="28" w:type="dxa"/>
          <w:right w:w="28" w:type="dxa"/>
        </w:tblCellMar>
        <w:tblLook w:val="04A0" w:firstRow="1" w:lastRow="0" w:firstColumn="1" w:lastColumn="0" w:noHBand="0" w:noVBand="1"/>
        <w:tblDescription w:val="Summary of comparative benefits and harms for obinutuzumab plus chlorambucil and chlorambucil – CLL11 trial (Stage 1a)"/>
      </w:tblPr>
      <w:tblGrid>
        <w:gridCol w:w="1275"/>
        <w:gridCol w:w="798"/>
        <w:gridCol w:w="566"/>
        <w:gridCol w:w="1105"/>
        <w:gridCol w:w="491"/>
        <w:gridCol w:w="521"/>
        <w:gridCol w:w="1519"/>
        <w:gridCol w:w="15"/>
        <w:gridCol w:w="1105"/>
        <w:gridCol w:w="899"/>
      </w:tblGrid>
      <w:tr w:rsidR="00AC12BA" w:rsidRPr="00AC12BA" w:rsidTr="00DF1494">
        <w:trPr>
          <w:cantSplit/>
          <w:trHeight w:val="243"/>
          <w:tblHeader/>
        </w:trPr>
        <w:tc>
          <w:tcPr>
            <w:tcW w:w="5000" w:type="pct"/>
            <w:gridSpan w:val="10"/>
            <w:shd w:val="clear" w:color="auto" w:fill="auto"/>
            <w:vAlign w:val="center"/>
          </w:tcPr>
          <w:p w:rsidR="00AC12BA" w:rsidRPr="00AC12BA" w:rsidRDefault="00AC12BA" w:rsidP="00AC12BA">
            <w:pPr>
              <w:keepNext/>
              <w:keepLines/>
              <w:widowControl w:val="0"/>
              <w:jc w:val="both"/>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Benefits</w:t>
            </w:r>
            <w:r w:rsidR="00996676">
              <w:rPr>
                <w:rFonts w:ascii="Arial Narrow" w:hAnsi="Arial Narrow" w:cs="Arial"/>
                <w:b/>
                <w:snapToGrid w:val="0"/>
                <w:color w:val="000000"/>
                <w:sz w:val="20"/>
                <w:szCs w:val="18"/>
                <w:lang w:eastAsia="en-US"/>
              </w:rPr>
              <w:t xml:space="preserve">- median </w:t>
            </w:r>
            <w:r w:rsidR="00197B45">
              <w:rPr>
                <w:rFonts w:ascii="Arial Narrow" w:hAnsi="Arial Narrow" w:cs="Arial"/>
                <w:b/>
                <w:noProof/>
                <w:snapToGrid w:val="0"/>
                <w:color w:val="000000"/>
                <w:sz w:val="20"/>
                <w:szCs w:val="18"/>
                <w:highlight w:val="black"/>
                <w:lang w:eastAsia="en-US"/>
              </w:rPr>
              <w:t>''''''''''</w:t>
            </w:r>
            <w:r w:rsidR="00996676">
              <w:rPr>
                <w:rFonts w:ascii="Arial Narrow" w:hAnsi="Arial Narrow" w:cs="Arial"/>
                <w:b/>
                <w:snapToGrid w:val="0"/>
                <w:color w:val="000000"/>
                <w:sz w:val="20"/>
                <w:szCs w:val="18"/>
                <w:lang w:eastAsia="en-US"/>
              </w:rPr>
              <w:t xml:space="preserve"> months follow-up</w:t>
            </w:r>
          </w:p>
        </w:tc>
      </w:tr>
      <w:tr w:rsidR="00A22FEA" w:rsidRPr="00AC12BA" w:rsidTr="00F95986">
        <w:trPr>
          <w:cantSplit/>
          <w:trHeight w:val="504"/>
        </w:trPr>
        <w:tc>
          <w:tcPr>
            <w:tcW w:w="1250" w:type="pct"/>
            <w:gridSpan w:val="2"/>
            <w:shd w:val="clear" w:color="auto" w:fill="auto"/>
            <w:vAlign w:val="center"/>
          </w:tcPr>
          <w:p w:rsidR="00A22FEA" w:rsidRPr="00AC12BA" w:rsidRDefault="00A22FEA" w:rsidP="004466E7">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Median</w:t>
            </w:r>
            <w:r>
              <w:rPr>
                <w:rFonts w:ascii="Arial Narrow" w:hAnsi="Arial Narrow" w:cs="Arial"/>
                <w:b/>
                <w:snapToGrid w:val="0"/>
                <w:color w:val="000000"/>
                <w:sz w:val="20"/>
                <w:szCs w:val="18"/>
                <w:lang w:eastAsia="en-US"/>
              </w:rPr>
              <w:t xml:space="preserve"> </w:t>
            </w:r>
            <w:r w:rsidR="00197B45">
              <w:rPr>
                <w:rFonts w:ascii="Arial Narrow" w:hAnsi="Arial Narrow" w:cs="Arial"/>
                <w:b/>
                <w:noProof/>
                <w:snapToGrid w:val="0"/>
                <w:color w:val="000000"/>
                <w:sz w:val="20"/>
                <w:szCs w:val="18"/>
                <w:highlight w:val="black"/>
                <w:lang w:eastAsia="en-US"/>
              </w:rPr>
              <w:t>'''''''''</w:t>
            </w:r>
            <w:r w:rsidRPr="00AC12BA">
              <w:rPr>
                <w:rFonts w:ascii="Arial Narrow" w:hAnsi="Arial Narrow" w:cs="Arial"/>
                <w:b/>
                <w:snapToGrid w:val="0"/>
                <w:color w:val="000000"/>
                <w:sz w:val="20"/>
                <w:szCs w:val="18"/>
                <w:lang w:eastAsia="en-US"/>
              </w:rPr>
              <w:t xml:space="preserve"> months</w:t>
            </w:r>
          </w:p>
          <w:p w:rsidR="00A22FEA" w:rsidRPr="00AC12BA" w:rsidRDefault="00A22FEA" w:rsidP="004466E7">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b/>
                <w:snapToGrid w:val="0"/>
                <w:color w:val="000000"/>
                <w:sz w:val="20"/>
                <w:szCs w:val="18"/>
                <w:lang w:eastAsia="en-US"/>
              </w:rPr>
              <w:t>follow-up</w:t>
            </w:r>
          </w:p>
        </w:tc>
        <w:tc>
          <w:tcPr>
            <w:tcW w:w="1303" w:type="pct"/>
            <w:gridSpan w:val="3"/>
            <w:vAlign w:val="center"/>
          </w:tcPr>
          <w:p w:rsidR="00A22FEA" w:rsidRPr="00AC12BA" w:rsidRDefault="00A22FEA" w:rsidP="004466E7">
            <w:pPr>
              <w:keepNext/>
              <w:keepLines/>
              <w:widowControl w:val="0"/>
              <w:jc w:val="center"/>
              <w:rPr>
                <w:rFonts w:ascii="Arial Narrow" w:hAnsi="Arial Narrow" w:cs="Arial"/>
                <w:b/>
                <w:snapToGrid w:val="0"/>
                <w:color w:val="000000"/>
                <w:sz w:val="20"/>
                <w:szCs w:val="18"/>
                <w:lang w:eastAsia="en-US"/>
              </w:rPr>
            </w:pPr>
            <w:proofErr w:type="spellStart"/>
            <w:r w:rsidRPr="00AC12BA">
              <w:rPr>
                <w:rFonts w:ascii="Arial Narrow" w:hAnsi="Arial Narrow" w:cs="Arial"/>
                <w:b/>
                <w:snapToGrid w:val="0"/>
                <w:color w:val="000000"/>
                <w:sz w:val="20"/>
                <w:szCs w:val="18"/>
                <w:lang w:eastAsia="en-US"/>
              </w:rPr>
              <w:t>Obinutuzumab</w:t>
            </w:r>
            <w:proofErr w:type="spellEnd"/>
            <w:r w:rsidRPr="00AC12BA">
              <w:rPr>
                <w:rFonts w:ascii="Arial Narrow" w:hAnsi="Arial Narrow" w:cs="Arial"/>
                <w:b/>
                <w:snapToGrid w:val="0"/>
                <w:color w:val="000000"/>
                <w:sz w:val="20"/>
                <w:szCs w:val="18"/>
                <w:lang w:eastAsia="en-US"/>
              </w:rPr>
              <w:t xml:space="preserve"> +</w:t>
            </w:r>
            <w:proofErr w:type="spellStart"/>
            <w:r w:rsidRPr="00AC12BA">
              <w:rPr>
                <w:rFonts w:ascii="Arial Narrow" w:hAnsi="Arial Narrow" w:cs="Arial"/>
                <w:b/>
                <w:snapToGrid w:val="0"/>
                <w:color w:val="000000"/>
                <w:sz w:val="20"/>
                <w:szCs w:val="18"/>
                <w:lang w:eastAsia="en-US"/>
              </w:rPr>
              <w:t>chlorambucil</w:t>
            </w:r>
            <w:proofErr w:type="spellEnd"/>
          </w:p>
        </w:tc>
        <w:tc>
          <w:tcPr>
            <w:tcW w:w="1230" w:type="pct"/>
            <w:gridSpan w:val="2"/>
            <w:vAlign w:val="center"/>
          </w:tcPr>
          <w:p w:rsidR="00A22FEA" w:rsidRPr="00AC12BA" w:rsidRDefault="00A22FEA" w:rsidP="004466E7">
            <w:pPr>
              <w:keepNext/>
              <w:keepLines/>
              <w:widowControl w:val="0"/>
              <w:jc w:val="center"/>
              <w:rPr>
                <w:rFonts w:ascii="Arial Narrow" w:hAnsi="Arial Narrow" w:cs="Arial"/>
                <w:b/>
                <w:snapToGrid w:val="0"/>
                <w:color w:val="000000"/>
                <w:sz w:val="20"/>
                <w:szCs w:val="18"/>
                <w:lang w:eastAsia="en-US"/>
              </w:rPr>
            </w:pPr>
            <w:proofErr w:type="spellStart"/>
            <w:r w:rsidRPr="00AC12BA">
              <w:rPr>
                <w:rFonts w:ascii="Arial Narrow" w:hAnsi="Arial Narrow" w:cs="Arial"/>
                <w:b/>
                <w:snapToGrid w:val="0"/>
                <w:color w:val="000000"/>
                <w:sz w:val="20"/>
                <w:szCs w:val="18"/>
                <w:lang w:eastAsia="en-US"/>
              </w:rPr>
              <w:t>Chlorambucil</w:t>
            </w:r>
            <w:proofErr w:type="spellEnd"/>
          </w:p>
        </w:tc>
        <w:tc>
          <w:tcPr>
            <w:tcW w:w="1217" w:type="pct"/>
            <w:gridSpan w:val="3"/>
            <w:vAlign w:val="center"/>
          </w:tcPr>
          <w:p w:rsidR="00A22FEA" w:rsidRPr="00AC12BA" w:rsidRDefault="00A22FEA" w:rsidP="004466E7">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 xml:space="preserve">HR </w:t>
            </w:r>
            <w:r w:rsidRPr="00AC12BA">
              <w:rPr>
                <w:rFonts w:ascii="Arial Narrow" w:hAnsi="Arial Narrow" w:cs="Arial"/>
                <w:b/>
                <w:snapToGrid w:val="0"/>
                <w:color w:val="000000"/>
                <w:sz w:val="20"/>
                <w:szCs w:val="18"/>
                <w:lang w:eastAsia="en-US"/>
              </w:rPr>
              <w:br/>
              <w:t>(95% CI)</w:t>
            </w:r>
          </w:p>
        </w:tc>
      </w:tr>
      <w:tr w:rsidR="00A22FEA" w:rsidRPr="00AC12BA" w:rsidTr="00F95986">
        <w:trPr>
          <w:cantSplit/>
          <w:trHeight w:val="504"/>
        </w:trPr>
        <w:tc>
          <w:tcPr>
            <w:tcW w:w="1250" w:type="pct"/>
            <w:gridSpan w:val="2"/>
            <w:shd w:val="clear" w:color="auto" w:fill="auto"/>
            <w:vAlign w:val="center"/>
          </w:tcPr>
          <w:p w:rsidR="00A22FEA" w:rsidRPr="00AD5C68" w:rsidRDefault="00A22FEA" w:rsidP="004466E7">
            <w:pPr>
              <w:keepNext/>
              <w:keepLines/>
              <w:widowControl w:val="0"/>
              <w:jc w:val="both"/>
              <w:rPr>
                <w:rFonts w:ascii="Arial Narrow" w:hAnsi="Arial Narrow" w:cs="Arial"/>
                <w:snapToGrid w:val="0"/>
                <w:color w:val="000000"/>
                <w:sz w:val="20"/>
                <w:szCs w:val="18"/>
                <w:vertAlign w:val="superscript"/>
                <w:lang w:eastAsia="en-US"/>
              </w:rPr>
            </w:pPr>
            <w:proofErr w:type="spellStart"/>
            <w:r w:rsidRPr="00AC12BA">
              <w:rPr>
                <w:rFonts w:ascii="Arial Narrow" w:hAnsi="Arial Narrow" w:cs="Arial"/>
                <w:snapToGrid w:val="0"/>
                <w:color w:val="000000"/>
                <w:sz w:val="20"/>
                <w:szCs w:val="18"/>
                <w:lang w:eastAsia="en-US"/>
              </w:rPr>
              <w:t>Progressed</w:t>
            </w:r>
            <w:r w:rsidR="00AD5C68">
              <w:rPr>
                <w:rFonts w:ascii="Arial Narrow" w:hAnsi="Arial Narrow" w:cs="Arial"/>
                <w:snapToGrid w:val="0"/>
                <w:color w:val="000000"/>
                <w:sz w:val="20"/>
                <w:szCs w:val="18"/>
                <w:vertAlign w:val="superscript"/>
                <w:lang w:eastAsia="en-US"/>
              </w:rPr>
              <w:t>a</w:t>
            </w:r>
            <w:proofErr w:type="spellEnd"/>
          </w:p>
        </w:tc>
        <w:tc>
          <w:tcPr>
            <w:tcW w:w="1303" w:type="pct"/>
            <w:gridSpan w:val="3"/>
            <w:vAlign w:val="center"/>
          </w:tcPr>
          <w:p w:rsidR="00A22FEA" w:rsidRDefault="00A22FEA" w:rsidP="004466E7">
            <w:pPr>
              <w:widowControl w:val="0"/>
              <w:jc w:val="center"/>
              <w:rPr>
                <w:rFonts w:ascii="Arial Narrow" w:hAnsi="Arial Narrow" w:cs="Arial"/>
                <w:snapToGrid w:val="0"/>
                <w:sz w:val="20"/>
                <w:szCs w:val="20"/>
                <w:lang w:eastAsia="en-US"/>
              </w:rPr>
            </w:pPr>
            <w:r>
              <w:rPr>
                <w:rFonts w:ascii="Arial Narrow" w:hAnsi="Arial Narrow" w:cs="Arial"/>
                <w:snapToGrid w:val="0"/>
                <w:sz w:val="20"/>
                <w:szCs w:val="20"/>
                <w:lang w:eastAsia="en-US"/>
              </w:rPr>
              <w:t>Median time to progression:</w:t>
            </w:r>
          </w:p>
          <w:p w:rsidR="00A22FEA" w:rsidRPr="00EA212F" w:rsidRDefault="00197B45" w:rsidP="004466E7">
            <w:pPr>
              <w:widowControl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w:t>
            </w:r>
            <w:r w:rsidR="00A22FEA">
              <w:rPr>
                <w:rFonts w:ascii="Arial Narrow" w:hAnsi="Arial Narrow" w:cs="Arial"/>
                <w:snapToGrid w:val="0"/>
                <w:sz w:val="20"/>
                <w:szCs w:val="20"/>
                <w:lang w:eastAsia="en-US"/>
              </w:rPr>
              <w:t xml:space="preserve"> months</w:t>
            </w:r>
          </w:p>
        </w:tc>
        <w:tc>
          <w:tcPr>
            <w:tcW w:w="1230" w:type="pct"/>
            <w:gridSpan w:val="2"/>
            <w:vAlign w:val="center"/>
          </w:tcPr>
          <w:p w:rsidR="00A22FEA" w:rsidRDefault="00A22FEA" w:rsidP="004466E7">
            <w:pPr>
              <w:widowControl w:val="0"/>
              <w:jc w:val="center"/>
              <w:rPr>
                <w:rFonts w:ascii="Arial Narrow" w:hAnsi="Arial Narrow" w:cs="Arial"/>
                <w:snapToGrid w:val="0"/>
                <w:sz w:val="20"/>
                <w:szCs w:val="20"/>
                <w:lang w:eastAsia="en-US"/>
              </w:rPr>
            </w:pPr>
            <w:r>
              <w:rPr>
                <w:rFonts w:ascii="Arial Narrow" w:hAnsi="Arial Narrow" w:cs="Arial"/>
                <w:snapToGrid w:val="0"/>
                <w:sz w:val="20"/>
                <w:szCs w:val="20"/>
                <w:lang w:eastAsia="en-US"/>
              </w:rPr>
              <w:t>Median time to progression:</w:t>
            </w:r>
          </w:p>
          <w:p w:rsidR="00A22FEA" w:rsidRPr="00EA212F" w:rsidRDefault="00197B45" w:rsidP="004466E7">
            <w:pPr>
              <w:widowControl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w:t>
            </w:r>
            <w:r w:rsidR="00A22FEA">
              <w:rPr>
                <w:rFonts w:ascii="Arial Narrow" w:hAnsi="Arial Narrow" w:cs="Arial"/>
                <w:snapToGrid w:val="0"/>
                <w:sz w:val="20"/>
                <w:szCs w:val="20"/>
                <w:lang w:eastAsia="en-US"/>
              </w:rPr>
              <w:t xml:space="preserve"> months</w:t>
            </w:r>
          </w:p>
        </w:tc>
        <w:tc>
          <w:tcPr>
            <w:tcW w:w="1217" w:type="pct"/>
            <w:gridSpan w:val="3"/>
            <w:vAlign w:val="center"/>
          </w:tcPr>
          <w:p w:rsidR="00A22FEA" w:rsidRPr="00EA212F" w:rsidRDefault="00197B45" w:rsidP="004466E7">
            <w:pPr>
              <w:widowControl w:val="0"/>
              <w:jc w:val="center"/>
              <w:rPr>
                <w:rFonts w:ascii="Arial Narrow" w:hAnsi="Arial Narrow" w:cs="Arial"/>
                <w:b/>
                <w:snapToGrid w:val="0"/>
                <w:sz w:val="20"/>
                <w:szCs w:val="20"/>
                <w:lang w:eastAsia="en-US"/>
              </w:rPr>
            </w:pPr>
            <w:r>
              <w:rPr>
                <w:rFonts w:ascii="Arial Narrow" w:hAnsi="Arial Narrow" w:cs="Arial"/>
                <w:b/>
                <w:noProof/>
                <w:snapToGrid w:val="0"/>
                <w:color w:val="000000"/>
                <w:sz w:val="20"/>
                <w:szCs w:val="20"/>
                <w:highlight w:val="black"/>
                <w:lang w:eastAsia="en-US"/>
              </w:rPr>
              <w:t>''''''''' '''''''''''' '''''''''</w:t>
            </w:r>
            <w:r w:rsidR="00A22FEA">
              <w:rPr>
                <w:rFonts w:ascii="Arial Narrow" w:hAnsi="Arial Narrow" w:cs="Arial"/>
                <w:b/>
                <w:snapToGrid w:val="0"/>
                <w:sz w:val="20"/>
                <w:szCs w:val="20"/>
                <w:lang w:eastAsia="en-US"/>
              </w:rPr>
              <w:t>)</w:t>
            </w:r>
          </w:p>
        </w:tc>
      </w:tr>
      <w:tr w:rsidR="00A22FEA" w:rsidRPr="00AC12BA" w:rsidTr="00F95986">
        <w:trPr>
          <w:cantSplit/>
          <w:trHeight w:val="261"/>
        </w:trPr>
        <w:tc>
          <w:tcPr>
            <w:tcW w:w="1250" w:type="pct"/>
            <w:gridSpan w:val="2"/>
            <w:shd w:val="clear" w:color="auto" w:fill="auto"/>
            <w:vAlign w:val="center"/>
          </w:tcPr>
          <w:p w:rsidR="00A22FEA" w:rsidRPr="00AC12BA" w:rsidRDefault="00A22FEA" w:rsidP="004466E7">
            <w:pPr>
              <w:keepNext/>
              <w:keepLines/>
              <w:widowControl w:val="0"/>
              <w:jc w:val="both"/>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OS (patients died)</w:t>
            </w:r>
          </w:p>
        </w:tc>
        <w:tc>
          <w:tcPr>
            <w:tcW w:w="1303" w:type="pct"/>
            <w:gridSpan w:val="3"/>
            <w:vAlign w:val="center"/>
          </w:tcPr>
          <w:p w:rsidR="00A22FEA" w:rsidRPr="00197B45" w:rsidRDefault="00197B45" w:rsidP="00DA0EAB">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DA0EAB" w:rsidRPr="00197B45">
              <w:rPr>
                <w:rFonts w:ascii="Arial Narrow" w:hAnsi="Arial Narrow" w:cs="Arial"/>
                <w:snapToGrid w:val="0"/>
                <w:sz w:val="20"/>
                <w:szCs w:val="20"/>
                <w:highlight w:val="black"/>
                <w:lang w:eastAsia="en-US"/>
              </w:rPr>
              <w:t xml:space="preserve"> </w:t>
            </w:r>
          </w:p>
        </w:tc>
        <w:tc>
          <w:tcPr>
            <w:tcW w:w="1230" w:type="pct"/>
            <w:gridSpan w:val="2"/>
            <w:vAlign w:val="center"/>
          </w:tcPr>
          <w:p w:rsidR="00A22FEA" w:rsidRPr="00EA212F" w:rsidRDefault="00197B45" w:rsidP="004466E7">
            <w:pPr>
              <w:widowControl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w:t>
            </w:r>
            <w:r w:rsidR="00A22FEA" w:rsidRPr="00DA0EAB">
              <w:rPr>
                <w:rFonts w:ascii="Arial Narrow" w:hAnsi="Arial Narrow" w:cs="Arial"/>
                <w:snapToGrid w:val="0"/>
                <w:sz w:val="20"/>
                <w:szCs w:val="20"/>
                <w:lang w:eastAsia="en-US"/>
              </w:rPr>
              <w:t>%</w:t>
            </w:r>
          </w:p>
        </w:tc>
        <w:tc>
          <w:tcPr>
            <w:tcW w:w="1217" w:type="pct"/>
            <w:gridSpan w:val="3"/>
          </w:tcPr>
          <w:p w:rsidR="00A22FEA" w:rsidRPr="00197B45" w:rsidRDefault="00197B45" w:rsidP="004466E7">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r>
      <w:tr w:rsidR="00AC12BA" w:rsidRPr="00AC12BA" w:rsidTr="00F95986">
        <w:trPr>
          <w:cantSplit/>
          <w:trHeight w:val="224"/>
        </w:trPr>
        <w:tc>
          <w:tcPr>
            <w:tcW w:w="5000" w:type="pct"/>
            <w:gridSpan w:val="10"/>
            <w:tcBorders>
              <w:top w:val="double" w:sz="4" w:space="0" w:color="auto"/>
            </w:tcBorders>
            <w:shd w:val="clear" w:color="auto" w:fill="auto"/>
            <w:vAlign w:val="center"/>
          </w:tcPr>
          <w:p w:rsidR="00AC12BA" w:rsidRPr="00AC12BA" w:rsidRDefault="00AC12BA" w:rsidP="00AC12BA">
            <w:pPr>
              <w:keepNext/>
              <w:keepLines/>
              <w:widowControl w:val="0"/>
              <w:jc w:val="both"/>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 xml:space="preserve">Harms </w:t>
            </w:r>
            <w:r w:rsidR="00996676">
              <w:rPr>
                <w:rFonts w:ascii="Arial Narrow" w:hAnsi="Arial Narrow" w:cs="Arial"/>
                <w:b/>
                <w:snapToGrid w:val="0"/>
                <w:color w:val="000000"/>
                <w:sz w:val="20"/>
                <w:szCs w:val="18"/>
                <w:lang w:eastAsia="en-US"/>
              </w:rPr>
              <w:t>– based on median follow-up at 22.8 months</w:t>
            </w:r>
          </w:p>
        </w:tc>
      </w:tr>
      <w:tr w:rsidR="00F95986" w:rsidRPr="00AC12BA" w:rsidTr="00F95986">
        <w:trPr>
          <w:cantSplit/>
          <w:trHeight w:val="78"/>
        </w:trPr>
        <w:tc>
          <w:tcPr>
            <w:tcW w:w="769" w:type="pct"/>
            <w:vMerge w:val="restart"/>
            <w:shd w:val="clear" w:color="auto" w:fill="auto"/>
            <w:vAlign w:val="center"/>
          </w:tcPr>
          <w:p w:rsidR="00AC12BA" w:rsidRPr="00AC12BA" w:rsidRDefault="00AC12BA" w:rsidP="00AC12BA">
            <w:pPr>
              <w:keepNext/>
              <w:keepLines/>
              <w:widowControl w:val="0"/>
              <w:jc w:val="both"/>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Grade 3 to 5</w:t>
            </w:r>
          </w:p>
        </w:tc>
        <w:tc>
          <w:tcPr>
            <w:tcW w:w="822" w:type="pct"/>
            <w:gridSpan w:val="2"/>
            <w:vMerge w:val="restart"/>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proofErr w:type="spellStart"/>
            <w:r w:rsidRPr="00AC12BA">
              <w:rPr>
                <w:rFonts w:ascii="Arial Narrow" w:hAnsi="Arial Narrow" w:cs="Arial"/>
                <w:b/>
                <w:snapToGrid w:val="0"/>
                <w:color w:val="000000"/>
                <w:sz w:val="20"/>
                <w:szCs w:val="18"/>
                <w:lang w:eastAsia="en-US"/>
              </w:rPr>
              <w:t>Obinutuzumab</w:t>
            </w:r>
            <w:proofErr w:type="spellEnd"/>
            <w:r w:rsidRPr="00AC12BA">
              <w:rPr>
                <w:rFonts w:ascii="Arial Narrow" w:hAnsi="Arial Narrow" w:cs="Arial"/>
                <w:b/>
                <w:snapToGrid w:val="0"/>
                <w:color w:val="000000"/>
                <w:sz w:val="20"/>
                <w:szCs w:val="18"/>
                <w:lang w:eastAsia="en-US"/>
              </w:rPr>
              <w:t xml:space="preserve"> +</w:t>
            </w:r>
            <w:proofErr w:type="spellStart"/>
            <w:r w:rsidRPr="00AC12BA">
              <w:rPr>
                <w:rFonts w:ascii="Arial Narrow" w:hAnsi="Arial Narrow" w:cs="Arial"/>
                <w:b/>
                <w:snapToGrid w:val="0"/>
                <w:color w:val="000000"/>
                <w:sz w:val="20"/>
                <w:szCs w:val="18"/>
                <w:lang w:eastAsia="en-US"/>
              </w:rPr>
              <w:t>chlorambucil</w:t>
            </w:r>
            <w:proofErr w:type="spellEnd"/>
          </w:p>
        </w:tc>
        <w:tc>
          <w:tcPr>
            <w:tcW w:w="666" w:type="pct"/>
            <w:vMerge w:val="restart"/>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proofErr w:type="spellStart"/>
            <w:r w:rsidRPr="00AC12BA">
              <w:rPr>
                <w:rFonts w:ascii="Arial Narrow" w:hAnsi="Arial Narrow" w:cs="Arial"/>
                <w:b/>
                <w:snapToGrid w:val="0"/>
                <w:color w:val="000000"/>
                <w:sz w:val="20"/>
                <w:szCs w:val="18"/>
                <w:lang w:eastAsia="en-US"/>
              </w:rPr>
              <w:t>Chlorambucil</w:t>
            </w:r>
            <w:proofErr w:type="spellEnd"/>
          </w:p>
        </w:tc>
        <w:tc>
          <w:tcPr>
            <w:tcW w:w="610" w:type="pct"/>
            <w:gridSpan w:val="2"/>
            <w:vMerge w:val="restart"/>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RR</w:t>
            </w:r>
          </w:p>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(95% CI)</w:t>
            </w:r>
          </w:p>
        </w:tc>
        <w:tc>
          <w:tcPr>
            <w:tcW w:w="1591" w:type="pct"/>
            <w:gridSpan w:val="3"/>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Event rate/100 patients/22.8 months</w:t>
            </w:r>
          </w:p>
        </w:tc>
        <w:tc>
          <w:tcPr>
            <w:tcW w:w="542" w:type="pct"/>
            <w:vMerge w:val="restart"/>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RD</w:t>
            </w:r>
          </w:p>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(95% CI)</w:t>
            </w:r>
          </w:p>
        </w:tc>
      </w:tr>
      <w:tr w:rsidR="00F95986" w:rsidRPr="00AC12BA" w:rsidTr="00F95986">
        <w:trPr>
          <w:cantSplit/>
          <w:trHeight w:val="435"/>
        </w:trPr>
        <w:tc>
          <w:tcPr>
            <w:tcW w:w="769" w:type="pct"/>
            <w:vMerge/>
            <w:shd w:val="clear" w:color="auto" w:fill="auto"/>
            <w:vAlign w:val="center"/>
          </w:tcPr>
          <w:p w:rsidR="00AC12BA" w:rsidRPr="00AC12BA" w:rsidRDefault="00AC12BA" w:rsidP="00AC12BA">
            <w:pPr>
              <w:keepNext/>
              <w:keepLines/>
              <w:widowControl w:val="0"/>
              <w:jc w:val="both"/>
              <w:rPr>
                <w:rFonts w:ascii="Arial Narrow" w:hAnsi="Arial Narrow" w:cs="Arial"/>
                <w:b/>
                <w:snapToGrid w:val="0"/>
                <w:color w:val="000000"/>
                <w:sz w:val="20"/>
                <w:szCs w:val="18"/>
                <w:lang w:eastAsia="en-US"/>
              </w:rPr>
            </w:pPr>
          </w:p>
        </w:tc>
        <w:tc>
          <w:tcPr>
            <w:tcW w:w="822" w:type="pct"/>
            <w:gridSpan w:val="2"/>
            <w:vMerge/>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p>
        </w:tc>
        <w:tc>
          <w:tcPr>
            <w:tcW w:w="666" w:type="pct"/>
            <w:vMerge/>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p>
        </w:tc>
        <w:tc>
          <w:tcPr>
            <w:tcW w:w="610" w:type="pct"/>
            <w:gridSpan w:val="2"/>
            <w:vMerge/>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p>
        </w:tc>
        <w:tc>
          <w:tcPr>
            <w:tcW w:w="925" w:type="pct"/>
            <w:gridSpan w:val="2"/>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proofErr w:type="spellStart"/>
            <w:r w:rsidRPr="00AC12BA">
              <w:rPr>
                <w:rFonts w:ascii="Arial Narrow" w:hAnsi="Arial Narrow" w:cs="Arial"/>
                <w:b/>
                <w:snapToGrid w:val="0"/>
                <w:color w:val="000000"/>
                <w:sz w:val="20"/>
                <w:szCs w:val="18"/>
                <w:lang w:eastAsia="en-US"/>
              </w:rPr>
              <w:t>Obinutuzumab</w:t>
            </w:r>
            <w:proofErr w:type="spellEnd"/>
            <w:r w:rsidRPr="00AC12BA">
              <w:rPr>
                <w:rFonts w:ascii="Arial Narrow" w:hAnsi="Arial Narrow" w:cs="Arial"/>
                <w:b/>
                <w:snapToGrid w:val="0"/>
                <w:color w:val="000000"/>
                <w:sz w:val="20"/>
                <w:szCs w:val="18"/>
                <w:lang w:eastAsia="en-US"/>
              </w:rPr>
              <w:t xml:space="preserve"> +</w:t>
            </w:r>
            <w:proofErr w:type="spellStart"/>
            <w:r w:rsidRPr="00AC12BA">
              <w:rPr>
                <w:rFonts w:ascii="Arial Narrow" w:hAnsi="Arial Narrow" w:cs="Arial"/>
                <w:b/>
                <w:snapToGrid w:val="0"/>
                <w:color w:val="000000"/>
                <w:sz w:val="20"/>
                <w:szCs w:val="18"/>
                <w:lang w:eastAsia="en-US"/>
              </w:rPr>
              <w:t>chlorambucil</w:t>
            </w:r>
            <w:proofErr w:type="spellEnd"/>
          </w:p>
        </w:tc>
        <w:tc>
          <w:tcPr>
            <w:tcW w:w="666" w:type="pct"/>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proofErr w:type="spellStart"/>
            <w:r w:rsidRPr="00AC12BA">
              <w:rPr>
                <w:rFonts w:ascii="Arial Narrow" w:hAnsi="Arial Narrow" w:cs="Arial"/>
                <w:b/>
                <w:snapToGrid w:val="0"/>
                <w:color w:val="000000"/>
                <w:sz w:val="20"/>
                <w:szCs w:val="18"/>
                <w:lang w:eastAsia="en-US"/>
              </w:rPr>
              <w:t>Chlorambucil</w:t>
            </w:r>
            <w:proofErr w:type="spellEnd"/>
          </w:p>
        </w:tc>
        <w:tc>
          <w:tcPr>
            <w:tcW w:w="542" w:type="pct"/>
            <w:vMerge/>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p>
        </w:tc>
      </w:tr>
      <w:tr w:rsidR="00F95986" w:rsidRPr="00AC12BA" w:rsidTr="00F95986">
        <w:trPr>
          <w:cantSplit/>
          <w:trHeight w:val="504"/>
        </w:trPr>
        <w:tc>
          <w:tcPr>
            <w:tcW w:w="769" w:type="pct"/>
            <w:shd w:val="clear" w:color="auto" w:fill="auto"/>
            <w:vAlign w:val="center"/>
          </w:tcPr>
          <w:p w:rsidR="00AC12BA" w:rsidRPr="00AC12BA" w:rsidRDefault="00AC12BA" w:rsidP="00AC12BA">
            <w:pPr>
              <w:keepNext/>
              <w:keepLines/>
              <w:widowControl w:val="0"/>
              <w:jc w:val="both"/>
              <w:rPr>
                <w:rFonts w:ascii="Arial Narrow" w:hAnsi="Arial Narrow" w:cs="Arial"/>
                <w:snapToGrid w:val="0"/>
                <w:color w:val="000000"/>
                <w:sz w:val="20"/>
                <w:szCs w:val="18"/>
                <w:lang w:eastAsia="en-US"/>
              </w:rPr>
            </w:pPr>
            <w:r w:rsidRPr="00AC12BA">
              <w:rPr>
                <w:rFonts w:ascii="Arial Narrow" w:hAnsi="Arial Narrow" w:cs="Arial"/>
                <w:b/>
                <w:snapToGrid w:val="0"/>
                <w:color w:val="000000"/>
                <w:sz w:val="20"/>
                <w:szCs w:val="18"/>
                <w:lang w:eastAsia="en-US"/>
              </w:rPr>
              <w:t>Infusion-related reactions</w:t>
            </w:r>
            <w:r w:rsidRPr="00AC12BA">
              <w:rPr>
                <w:rFonts w:ascii="Arial Narrow" w:hAnsi="Arial Narrow" w:cs="Arial"/>
                <w:snapToGrid w:val="0"/>
                <w:color w:val="000000"/>
                <w:sz w:val="20"/>
                <w:szCs w:val="18"/>
                <w:lang w:eastAsia="en-US"/>
              </w:rPr>
              <w:t xml:space="preserve"> </w:t>
            </w:r>
          </w:p>
        </w:tc>
        <w:tc>
          <w:tcPr>
            <w:tcW w:w="822" w:type="pct"/>
            <w:gridSpan w:val="2"/>
            <w:vAlign w:val="center"/>
          </w:tcPr>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51/241</w:t>
            </w:r>
          </w:p>
        </w:tc>
        <w:tc>
          <w:tcPr>
            <w:tcW w:w="666" w:type="pct"/>
            <w:vAlign w:val="center"/>
          </w:tcPr>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0/116</w:t>
            </w:r>
          </w:p>
        </w:tc>
        <w:tc>
          <w:tcPr>
            <w:tcW w:w="610" w:type="pct"/>
            <w:gridSpan w:val="2"/>
            <w:vAlign w:val="center"/>
          </w:tcPr>
          <w:p w:rsidR="00AC12BA" w:rsidRPr="00AC12BA" w:rsidRDefault="00AC12BA" w:rsidP="00AC12BA">
            <w:pPr>
              <w:keepNext/>
              <w:keepLines/>
              <w:widowControl w:val="0"/>
              <w:jc w:val="center"/>
              <w:rPr>
                <w:rFonts w:ascii="Arial Narrow" w:hAnsi="Arial Narrow" w:cs="Arial"/>
                <w:b/>
                <w:bCs/>
                <w:snapToGrid w:val="0"/>
                <w:sz w:val="20"/>
                <w:szCs w:val="20"/>
                <w:lang w:eastAsia="en-US"/>
              </w:rPr>
            </w:pPr>
            <w:r w:rsidRPr="00AC12BA">
              <w:rPr>
                <w:rFonts w:ascii="Arial Narrow" w:hAnsi="Arial Narrow" w:cs="Arial"/>
                <w:b/>
                <w:bCs/>
                <w:snapToGrid w:val="0"/>
                <w:sz w:val="20"/>
                <w:szCs w:val="20"/>
                <w:lang w:eastAsia="en-US"/>
              </w:rPr>
              <w:t xml:space="preserve">49.3 </w:t>
            </w:r>
          </w:p>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b/>
                <w:bCs/>
                <w:snapToGrid w:val="0"/>
                <w:sz w:val="20"/>
                <w:szCs w:val="20"/>
                <w:lang w:eastAsia="en-US"/>
              </w:rPr>
              <w:t>(3.07, 792)</w:t>
            </w:r>
          </w:p>
        </w:tc>
        <w:tc>
          <w:tcPr>
            <w:tcW w:w="925" w:type="pct"/>
            <w:gridSpan w:val="2"/>
            <w:vAlign w:val="center"/>
          </w:tcPr>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21</w:t>
            </w:r>
          </w:p>
        </w:tc>
        <w:tc>
          <w:tcPr>
            <w:tcW w:w="666" w:type="pct"/>
            <w:vAlign w:val="center"/>
          </w:tcPr>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0</w:t>
            </w:r>
          </w:p>
        </w:tc>
        <w:tc>
          <w:tcPr>
            <w:tcW w:w="542" w:type="pct"/>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 xml:space="preserve">0.21 </w:t>
            </w:r>
          </w:p>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(0.16, 0.26)</w:t>
            </w:r>
          </w:p>
        </w:tc>
      </w:tr>
      <w:tr w:rsidR="00F95986" w:rsidRPr="00AC12BA" w:rsidTr="00F95986">
        <w:trPr>
          <w:cantSplit/>
          <w:trHeight w:val="504"/>
        </w:trPr>
        <w:tc>
          <w:tcPr>
            <w:tcW w:w="769" w:type="pct"/>
            <w:shd w:val="clear" w:color="auto" w:fill="auto"/>
            <w:vAlign w:val="center"/>
          </w:tcPr>
          <w:p w:rsidR="00AC12BA" w:rsidRPr="00AC12BA" w:rsidRDefault="00AC12BA" w:rsidP="00AC12BA">
            <w:pPr>
              <w:keepNext/>
              <w:keepLines/>
              <w:widowControl w:val="0"/>
              <w:jc w:val="both"/>
              <w:rPr>
                <w:rFonts w:ascii="Arial Narrow" w:hAnsi="Arial Narrow" w:cs="Arial"/>
                <w:snapToGrid w:val="0"/>
                <w:color w:val="000000"/>
                <w:sz w:val="20"/>
                <w:szCs w:val="18"/>
                <w:lang w:eastAsia="en-US"/>
              </w:rPr>
            </w:pPr>
            <w:r w:rsidRPr="00AC12BA">
              <w:rPr>
                <w:rFonts w:ascii="Arial Narrow" w:hAnsi="Arial Narrow" w:cs="Arial"/>
                <w:b/>
                <w:snapToGrid w:val="0"/>
                <w:color w:val="000000"/>
                <w:sz w:val="20"/>
                <w:szCs w:val="18"/>
                <w:lang w:eastAsia="en-US"/>
              </w:rPr>
              <w:t>Neutropenia</w:t>
            </w:r>
            <w:r w:rsidRPr="00AC12BA" w:rsidDel="00C26ABF">
              <w:rPr>
                <w:rFonts w:ascii="Arial Narrow" w:hAnsi="Arial Narrow" w:cs="Arial"/>
                <w:snapToGrid w:val="0"/>
                <w:color w:val="000000"/>
                <w:sz w:val="20"/>
                <w:szCs w:val="18"/>
                <w:lang w:eastAsia="en-US"/>
              </w:rPr>
              <w:t xml:space="preserve"> </w:t>
            </w:r>
          </w:p>
        </w:tc>
        <w:tc>
          <w:tcPr>
            <w:tcW w:w="822" w:type="pct"/>
            <w:gridSpan w:val="2"/>
            <w:vAlign w:val="center"/>
          </w:tcPr>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82/241</w:t>
            </w:r>
          </w:p>
        </w:tc>
        <w:tc>
          <w:tcPr>
            <w:tcW w:w="666" w:type="pct"/>
            <w:vAlign w:val="center"/>
          </w:tcPr>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18/116</w:t>
            </w:r>
          </w:p>
        </w:tc>
        <w:tc>
          <w:tcPr>
            <w:tcW w:w="610" w:type="pct"/>
            <w:gridSpan w:val="2"/>
            <w:vAlign w:val="center"/>
          </w:tcPr>
          <w:p w:rsidR="00AC12BA" w:rsidRPr="00AC12BA" w:rsidRDefault="00AC12BA" w:rsidP="00AC12BA">
            <w:pPr>
              <w:keepNext/>
              <w:keepLines/>
              <w:widowControl w:val="0"/>
              <w:jc w:val="center"/>
              <w:rPr>
                <w:rFonts w:ascii="Arial Narrow" w:hAnsi="Arial Narrow" w:cs="Arial"/>
                <w:b/>
                <w:bCs/>
                <w:snapToGrid w:val="0"/>
                <w:sz w:val="20"/>
                <w:szCs w:val="20"/>
                <w:lang w:eastAsia="en-US"/>
              </w:rPr>
            </w:pPr>
            <w:r w:rsidRPr="00AC12BA">
              <w:rPr>
                <w:rFonts w:ascii="Arial Narrow" w:hAnsi="Arial Narrow" w:cs="Arial"/>
                <w:b/>
                <w:bCs/>
                <w:snapToGrid w:val="0"/>
                <w:sz w:val="20"/>
                <w:szCs w:val="20"/>
                <w:lang w:eastAsia="en-US"/>
              </w:rPr>
              <w:t xml:space="preserve">2.20 </w:t>
            </w:r>
          </w:p>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b/>
                <w:bCs/>
                <w:snapToGrid w:val="0"/>
                <w:sz w:val="20"/>
                <w:szCs w:val="20"/>
                <w:lang w:eastAsia="en-US"/>
              </w:rPr>
              <w:t>(1.39, 3.49)</w:t>
            </w:r>
          </w:p>
        </w:tc>
        <w:tc>
          <w:tcPr>
            <w:tcW w:w="925" w:type="pct"/>
            <w:gridSpan w:val="2"/>
            <w:vAlign w:val="center"/>
          </w:tcPr>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34</w:t>
            </w:r>
          </w:p>
        </w:tc>
        <w:tc>
          <w:tcPr>
            <w:tcW w:w="666" w:type="pct"/>
            <w:vAlign w:val="center"/>
          </w:tcPr>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17</w:t>
            </w:r>
          </w:p>
        </w:tc>
        <w:tc>
          <w:tcPr>
            <w:tcW w:w="542" w:type="pct"/>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 xml:space="preserve">0.19 </w:t>
            </w:r>
          </w:p>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(0.10, 0.27)</w:t>
            </w:r>
          </w:p>
        </w:tc>
      </w:tr>
      <w:tr w:rsidR="00F95986" w:rsidRPr="00AC12BA" w:rsidTr="00F95986">
        <w:trPr>
          <w:cantSplit/>
          <w:trHeight w:val="504"/>
        </w:trPr>
        <w:tc>
          <w:tcPr>
            <w:tcW w:w="769" w:type="pct"/>
            <w:shd w:val="clear" w:color="auto" w:fill="auto"/>
            <w:vAlign w:val="center"/>
          </w:tcPr>
          <w:p w:rsidR="00AC12BA" w:rsidRPr="00AC12BA" w:rsidRDefault="00AC12BA" w:rsidP="00AC12BA">
            <w:pPr>
              <w:keepNext/>
              <w:keepLines/>
              <w:widowControl w:val="0"/>
              <w:jc w:val="both"/>
              <w:rPr>
                <w:rFonts w:ascii="Arial Narrow" w:hAnsi="Arial Narrow" w:cs="Arial"/>
                <w:snapToGrid w:val="0"/>
                <w:color w:val="000000"/>
                <w:sz w:val="20"/>
                <w:szCs w:val="18"/>
                <w:lang w:eastAsia="en-US"/>
              </w:rPr>
            </w:pPr>
            <w:proofErr w:type="spellStart"/>
            <w:r w:rsidRPr="00AC12BA">
              <w:rPr>
                <w:rFonts w:ascii="Arial Narrow" w:hAnsi="Arial Narrow" w:cs="Arial"/>
                <w:b/>
                <w:snapToGrid w:val="0"/>
                <w:color w:val="000000"/>
                <w:sz w:val="20"/>
                <w:szCs w:val="18"/>
                <w:lang w:eastAsia="en-US"/>
              </w:rPr>
              <w:t>Thrombocyto</w:t>
            </w:r>
            <w:r w:rsidR="00F95986">
              <w:rPr>
                <w:rFonts w:ascii="Arial Narrow" w:hAnsi="Arial Narrow" w:cs="Arial"/>
                <w:b/>
                <w:snapToGrid w:val="0"/>
                <w:color w:val="000000"/>
                <w:sz w:val="20"/>
                <w:szCs w:val="18"/>
                <w:lang w:eastAsia="en-US"/>
              </w:rPr>
              <w:t>-</w:t>
            </w:r>
            <w:r w:rsidRPr="00AC12BA">
              <w:rPr>
                <w:rFonts w:ascii="Arial Narrow" w:hAnsi="Arial Narrow" w:cs="Arial"/>
                <w:b/>
                <w:snapToGrid w:val="0"/>
                <w:color w:val="000000"/>
                <w:sz w:val="20"/>
                <w:szCs w:val="18"/>
                <w:lang w:eastAsia="en-US"/>
              </w:rPr>
              <w:t>penia</w:t>
            </w:r>
            <w:proofErr w:type="spellEnd"/>
            <w:r w:rsidRPr="00AC12BA">
              <w:rPr>
                <w:rFonts w:ascii="Arial Narrow" w:hAnsi="Arial Narrow" w:cs="Arial"/>
                <w:snapToGrid w:val="0"/>
                <w:color w:val="000000"/>
                <w:sz w:val="20"/>
                <w:szCs w:val="18"/>
                <w:lang w:eastAsia="en-US"/>
              </w:rPr>
              <w:t xml:space="preserve"> </w:t>
            </w:r>
          </w:p>
        </w:tc>
        <w:tc>
          <w:tcPr>
            <w:tcW w:w="822" w:type="pct"/>
            <w:gridSpan w:val="2"/>
            <w:vAlign w:val="center"/>
          </w:tcPr>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26/241</w:t>
            </w:r>
          </w:p>
        </w:tc>
        <w:tc>
          <w:tcPr>
            <w:tcW w:w="666" w:type="pct"/>
            <w:vAlign w:val="center"/>
          </w:tcPr>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4/116</w:t>
            </w:r>
          </w:p>
        </w:tc>
        <w:tc>
          <w:tcPr>
            <w:tcW w:w="610" w:type="pct"/>
            <w:gridSpan w:val="2"/>
            <w:vAlign w:val="center"/>
          </w:tcPr>
          <w:p w:rsidR="00AC12BA" w:rsidRPr="00AC12BA" w:rsidRDefault="00AC12BA" w:rsidP="00AC12BA">
            <w:pPr>
              <w:keepNext/>
              <w:keepLines/>
              <w:widowControl w:val="0"/>
              <w:jc w:val="center"/>
              <w:rPr>
                <w:rFonts w:ascii="Arial Narrow" w:hAnsi="Arial Narrow" w:cs="Arial"/>
                <w:b/>
                <w:bCs/>
                <w:snapToGrid w:val="0"/>
                <w:sz w:val="20"/>
                <w:szCs w:val="20"/>
                <w:lang w:eastAsia="en-US"/>
              </w:rPr>
            </w:pPr>
            <w:r w:rsidRPr="00AC12BA">
              <w:rPr>
                <w:rFonts w:ascii="Arial Narrow" w:hAnsi="Arial Narrow" w:cs="Arial"/>
                <w:b/>
                <w:bCs/>
                <w:snapToGrid w:val="0"/>
                <w:sz w:val="20"/>
                <w:szCs w:val="20"/>
                <w:lang w:eastAsia="en-US"/>
              </w:rPr>
              <w:t xml:space="preserve">3.14 </w:t>
            </w:r>
          </w:p>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b/>
                <w:bCs/>
                <w:snapToGrid w:val="0"/>
                <w:sz w:val="20"/>
                <w:szCs w:val="20"/>
                <w:lang w:eastAsia="en-US"/>
              </w:rPr>
              <w:t>(1.12, 8.79)</w:t>
            </w:r>
          </w:p>
        </w:tc>
        <w:tc>
          <w:tcPr>
            <w:tcW w:w="925" w:type="pct"/>
            <w:gridSpan w:val="2"/>
            <w:vAlign w:val="center"/>
          </w:tcPr>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11</w:t>
            </w:r>
          </w:p>
        </w:tc>
        <w:tc>
          <w:tcPr>
            <w:tcW w:w="666" w:type="pct"/>
            <w:vAlign w:val="center"/>
          </w:tcPr>
          <w:p w:rsidR="00AC12BA" w:rsidRPr="00AC12BA" w:rsidRDefault="00AC12BA" w:rsidP="00AC12BA">
            <w:pPr>
              <w:keepNext/>
              <w:keepLines/>
              <w:widowControl w:val="0"/>
              <w:jc w:val="center"/>
              <w:rPr>
                <w:rFonts w:ascii="Arial Narrow" w:hAnsi="Arial Narrow" w:cs="Arial"/>
                <w:snapToGrid w:val="0"/>
                <w:color w:val="000000"/>
                <w:sz w:val="20"/>
                <w:szCs w:val="18"/>
                <w:lang w:eastAsia="en-US"/>
              </w:rPr>
            </w:pPr>
            <w:r w:rsidRPr="00AC12BA">
              <w:rPr>
                <w:rFonts w:ascii="Arial Narrow" w:hAnsi="Arial Narrow" w:cs="Arial"/>
                <w:snapToGrid w:val="0"/>
                <w:color w:val="000000"/>
                <w:sz w:val="20"/>
                <w:szCs w:val="18"/>
                <w:lang w:eastAsia="en-US"/>
              </w:rPr>
              <w:t>3</w:t>
            </w:r>
          </w:p>
        </w:tc>
        <w:tc>
          <w:tcPr>
            <w:tcW w:w="542" w:type="pct"/>
            <w:vAlign w:val="center"/>
          </w:tcPr>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 xml:space="preserve">0.07 </w:t>
            </w:r>
          </w:p>
          <w:p w:rsidR="00AC12BA" w:rsidRPr="00AC12BA" w:rsidRDefault="00AC12BA" w:rsidP="00AC12BA">
            <w:pPr>
              <w:keepNext/>
              <w:keepLines/>
              <w:widowControl w:val="0"/>
              <w:jc w:val="center"/>
              <w:rPr>
                <w:rFonts w:ascii="Arial Narrow" w:hAnsi="Arial Narrow" w:cs="Arial"/>
                <w:b/>
                <w:snapToGrid w:val="0"/>
                <w:color w:val="000000"/>
                <w:sz w:val="20"/>
                <w:szCs w:val="18"/>
                <w:lang w:eastAsia="en-US"/>
              </w:rPr>
            </w:pPr>
            <w:r w:rsidRPr="00AC12BA">
              <w:rPr>
                <w:rFonts w:ascii="Arial Narrow" w:hAnsi="Arial Narrow" w:cs="Arial"/>
                <w:b/>
                <w:snapToGrid w:val="0"/>
                <w:color w:val="000000"/>
                <w:sz w:val="20"/>
                <w:szCs w:val="18"/>
                <w:lang w:eastAsia="en-US"/>
              </w:rPr>
              <w:t>(0.02, 0.13)</w:t>
            </w:r>
          </w:p>
        </w:tc>
      </w:tr>
    </w:tbl>
    <w:p w:rsidR="00AC12BA" w:rsidRPr="00AC12BA" w:rsidRDefault="00AC12BA" w:rsidP="00F95986">
      <w:pPr>
        <w:keepNext/>
        <w:keepLines/>
        <w:widowControl w:val="0"/>
        <w:ind w:firstLine="720"/>
        <w:jc w:val="both"/>
        <w:rPr>
          <w:rFonts w:ascii="Arial Narrow" w:hAnsi="Arial Narrow" w:cs="Arial"/>
          <w:snapToGrid w:val="0"/>
          <w:sz w:val="18"/>
          <w:szCs w:val="20"/>
          <w:lang w:eastAsia="en-US"/>
        </w:rPr>
      </w:pPr>
      <w:r w:rsidRPr="00AC12BA">
        <w:rPr>
          <w:rFonts w:ascii="Arial Narrow" w:hAnsi="Arial Narrow" w:cs="Arial"/>
          <w:snapToGrid w:val="0"/>
          <w:sz w:val="18"/>
          <w:szCs w:val="20"/>
          <w:lang w:eastAsia="en-US"/>
        </w:rPr>
        <w:t>Abbreviations: RD = risk difference; RR = risk ratio; HR = hazard ratio; CI = confidence interval</w:t>
      </w:r>
    </w:p>
    <w:p w:rsidR="00AD5C68" w:rsidRDefault="00AD5C68" w:rsidP="00F95986">
      <w:pPr>
        <w:keepNext/>
        <w:keepLines/>
        <w:widowControl w:val="0"/>
        <w:ind w:firstLine="720"/>
        <w:jc w:val="both"/>
        <w:rPr>
          <w:rFonts w:ascii="Arial Narrow" w:hAnsi="Arial Narrow" w:cs="Arial"/>
          <w:snapToGrid w:val="0"/>
          <w:sz w:val="18"/>
          <w:szCs w:val="20"/>
          <w:lang w:eastAsia="en-US"/>
        </w:rPr>
      </w:pPr>
      <w:proofErr w:type="spellStart"/>
      <w:proofErr w:type="gramStart"/>
      <w:r>
        <w:rPr>
          <w:rFonts w:ascii="Arial Narrow" w:hAnsi="Arial Narrow" w:cs="Arial"/>
          <w:snapToGrid w:val="0"/>
          <w:sz w:val="18"/>
          <w:szCs w:val="20"/>
          <w:vertAlign w:val="superscript"/>
          <w:lang w:eastAsia="en-US"/>
        </w:rPr>
        <w:t>a</w:t>
      </w:r>
      <w:r>
        <w:rPr>
          <w:rFonts w:ascii="Arial Narrow" w:hAnsi="Arial Narrow" w:cs="Arial"/>
          <w:snapToGrid w:val="0"/>
          <w:sz w:val="18"/>
          <w:szCs w:val="20"/>
          <w:lang w:eastAsia="en-US"/>
        </w:rPr>
        <w:t>Kaplan</w:t>
      </w:r>
      <w:proofErr w:type="spellEnd"/>
      <w:r>
        <w:rPr>
          <w:rFonts w:ascii="Arial Narrow" w:hAnsi="Arial Narrow" w:cs="Arial"/>
          <w:snapToGrid w:val="0"/>
          <w:sz w:val="18"/>
          <w:szCs w:val="20"/>
          <w:lang w:eastAsia="en-US"/>
        </w:rPr>
        <w:t>-Meier</w:t>
      </w:r>
      <w:proofErr w:type="gramEnd"/>
      <w:r>
        <w:rPr>
          <w:rFonts w:ascii="Arial Narrow" w:hAnsi="Arial Narrow" w:cs="Arial"/>
          <w:snapToGrid w:val="0"/>
          <w:sz w:val="18"/>
          <w:szCs w:val="20"/>
          <w:lang w:eastAsia="en-US"/>
        </w:rPr>
        <w:t xml:space="preserve"> estimates</w:t>
      </w:r>
    </w:p>
    <w:p w:rsidR="00AC12BA" w:rsidRPr="00AC12BA" w:rsidRDefault="00AC12BA" w:rsidP="00F95986">
      <w:pPr>
        <w:keepNext/>
        <w:keepLines/>
        <w:widowControl w:val="0"/>
        <w:ind w:firstLine="720"/>
        <w:jc w:val="both"/>
        <w:rPr>
          <w:rFonts w:ascii="Arial Narrow" w:hAnsi="Arial Narrow" w:cs="Arial"/>
          <w:snapToGrid w:val="0"/>
          <w:sz w:val="18"/>
          <w:szCs w:val="20"/>
          <w:lang w:eastAsia="en-US"/>
        </w:rPr>
      </w:pPr>
      <w:r w:rsidRPr="00AC12BA">
        <w:rPr>
          <w:rFonts w:ascii="Arial Narrow" w:hAnsi="Arial Narrow" w:cs="Arial"/>
          <w:snapToGrid w:val="0"/>
          <w:sz w:val="18"/>
          <w:szCs w:val="20"/>
          <w:lang w:eastAsia="en-US"/>
        </w:rPr>
        <w:t>Source: Compiled during the evaluation (italics)/Table B.6.1-B.6.2 p.64</w:t>
      </w:r>
      <w:proofErr w:type="gramStart"/>
      <w:r w:rsidRPr="00AC12BA">
        <w:rPr>
          <w:rFonts w:ascii="Arial Narrow" w:hAnsi="Arial Narrow" w:cs="Arial"/>
          <w:snapToGrid w:val="0"/>
          <w:sz w:val="18"/>
          <w:szCs w:val="20"/>
          <w:lang w:eastAsia="en-US"/>
        </w:rPr>
        <w:t>,69</w:t>
      </w:r>
      <w:proofErr w:type="gramEnd"/>
      <w:r w:rsidRPr="00AC12BA">
        <w:rPr>
          <w:rFonts w:ascii="Arial Narrow" w:hAnsi="Arial Narrow" w:cs="Arial"/>
          <w:snapToGrid w:val="0"/>
          <w:sz w:val="18"/>
          <w:szCs w:val="20"/>
          <w:lang w:eastAsia="en-US"/>
        </w:rPr>
        <w:t xml:space="preserve"> of the submission.</w:t>
      </w:r>
    </w:p>
    <w:p w:rsidR="00AC12BA" w:rsidRDefault="00AC12BA" w:rsidP="00AC12BA">
      <w:pPr>
        <w:jc w:val="both"/>
        <w:rPr>
          <w:rFonts w:ascii="Arial" w:hAnsi="Arial"/>
          <w:sz w:val="22"/>
          <w:szCs w:val="22"/>
        </w:rPr>
      </w:pPr>
    </w:p>
    <w:p w:rsidR="00AC12BA" w:rsidRPr="00AC12BA" w:rsidRDefault="00AC12BA" w:rsidP="00AC12BA">
      <w:pPr>
        <w:pStyle w:val="ListParagraph"/>
        <w:numPr>
          <w:ilvl w:val="1"/>
          <w:numId w:val="25"/>
        </w:numPr>
        <w:jc w:val="both"/>
        <w:rPr>
          <w:rFonts w:ascii="Arial" w:hAnsi="Arial"/>
          <w:sz w:val="22"/>
          <w:szCs w:val="22"/>
        </w:rPr>
      </w:pPr>
      <w:r w:rsidRPr="00AC12BA">
        <w:rPr>
          <w:rFonts w:ascii="Arial" w:hAnsi="Arial"/>
          <w:sz w:val="22"/>
          <w:szCs w:val="22"/>
        </w:rPr>
        <w:t>On the basis of direct evidence presented by the submission</w:t>
      </w:r>
      <w:r w:rsidR="00A22FEA">
        <w:rPr>
          <w:rFonts w:ascii="Arial" w:hAnsi="Arial"/>
          <w:sz w:val="22"/>
          <w:szCs w:val="22"/>
        </w:rPr>
        <w:t xml:space="preserve"> and the pre-PBAC response</w:t>
      </w:r>
      <w:r w:rsidRPr="00AC12BA">
        <w:rPr>
          <w:rFonts w:ascii="Arial" w:hAnsi="Arial"/>
          <w:sz w:val="22"/>
          <w:szCs w:val="22"/>
        </w:rPr>
        <w:t xml:space="preserve">, the comparison of </w:t>
      </w:r>
      <w:proofErr w:type="spellStart"/>
      <w:r w:rsidRPr="00AC12BA">
        <w:rPr>
          <w:rFonts w:ascii="Arial" w:hAnsi="Arial"/>
          <w:sz w:val="22"/>
          <w:szCs w:val="22"/>
        </w:rPr>
        <w:t>obinutuzumab</w:t>
      </w:r>
      <w:proofErr w:type="spellEnd"/>
      <w:r w:rsidRPr="00AC12BA">
        <w:rPr>
          <w:rFonts w:ascii="Arial" w:hAnsi="Arial"/>
          <w:sz w:val="22"/>
          <w:szCs w:val="22"/>
        </w:rPr>
        <w:t xml:space="preserve"> plus </w:t>
      </w:r>
      <w:proofErr w:type="spellStart"/>
      <w:r w:rsidRPr="00AC12BA">
        <w:rPr>
          <w:rFonts w:ascii="Arial" w:hAnsi="Arial"/>
          <w:sz w:val="22"/>
          <w:szCs w:val="22"/>
        </w:rPr>
        <w:t>chlorambucil</w:t>
      </w:r>
      <w:proofErr w:type="spellEnd"/>
      <w:r w:rsidRPr="00AC12BA">
        <w:rPr>
          <w:rFonts w:ascii="Arial" w:hAnsi="Arial"/>
          <w:sz w:val="22"/>
          <w:szCs w:val="22"/>
        </w:rPr>
        <w:t xml:space="preserve"> and </w:t>
      </w:r>
      <w:proofErr w:type="spellStart"/>
      <w:r w:rsidRPr="00AC12BA">
        <w:rPr>
          <w:rFonts w:ascii="Arial" w:hAnsi="Arial"/>
          <w:sz w:val="22"/>
          <w:szCs w:val="22"/>
        </w:rPr>
        <w:t>chlorambucil</w:t>
      </w:r>
      <w:proofErr w:type="spellEnd"/>
      <w:r w:rsidRPr="00AC12BA">
        <w:rPr>
          <w:rFonts w:ascii="Arial" w:hAnsi="Arial"/>
          <w:sz w:val="22"/>
          <w:szCs w:val="22"/>
        </w:rPr>
        <w:t xml:space="preserve"> monotherapy resulted in:</w:t>
      </w:r>
    </w:p>
    <w:p w:rsidR="00A22FEA" w:rsidRDefault="00AC12BA" w:rsidP="00A22FEA">
      <w:pPr>
        <w:pStyle w:val="ListParagraph"/>
        <w:numPr>
          <w:ilvl w:val="0"/>
          <w:numId w:val="39"/>
        </w:numPr>
        <w:jc w:val="both"/>
        <w:rPr>
          <w:rFonts w:ascii="Arial" w:hAnsi="Arial"/>
          <w:sz w:val="22"/>
          <w:szCs w:val="22"/>
        </w:rPr>
      </w:pPr>
      <w:r w:rsidRPr="00B60A0E">
        <w:rPr>
          <w:rFonts w:ascii="Arial" w:hAnsi="Arial"/>
          <w:sz w:val="22"/>
          <w:szCs w:val="22"/>
        </w:rPr>
        <w:t>A</w:t>
      </w:r>
      <w:r w:rsidR="009D4568" w:rsidRPr="00B60A0E">
        <w:rPr>
          <w:rFonts w:ascii="Arial" w:hAnsi="Arial"/>
          <w:sz w:val="22"/>
          <w:szCs w:val="22"/>
        </w:rPr>
        <w:t>n improvement in median PFS</w:t>
      </w:r>
      <w:r w:rsidR="009D4568" w:rsidRPr="00B60A0E" w:rsidDel="009D4568">
        <w:rPr>
          <w:rFonts w:ascii="Arial" w:hAnsi="Arial"/>
          <w:sz w:val="22"/>
          <w:szCs w:val="22"/>
        </w:rPr>
        <w:t xml:space="preserve"> </w:t>
      </w:r>
      <w:r w:rsidR="009D4568" w:rsidRPr="00B60A0E">
        <w:rPr>
          <w:rFonts w:ascii="Arial" w:hAnsi="Arial"/>
          <w:sz w:val="22"/>
          <w:szCs w:val="22"/>
        </w:rPr>
        <w:t xml:space="preserve">of </w:t>
      </w:r>
      <w:r w:rsidR="00197B45">
        <w:rPr>
          <w:rFonts w:ascii="Arial" w:hAnsi="Arial"/>
          <w:noProof/>
          <w:color w:val="000000"/>
          <w:sz w:val="22"/>
          <w:szCs w:val="22"/>
          <w:highlight w:val="black"/>
        </w:rPr>
        <w:t>''''''''''</w:t>
      </w:r>
      <w:r w:rsidRPr="00B60A0E">
        <w:rPr>
          <w:rFonts w:ascii="Arial" w:hAnsi="Arial"/>
          <w:sz w:val="22"/>
          <w:szCs w:val="22"/>
        </w:rPr>
        <w:t xml:space="preserve"> additional months</w:t>
      </w:r>
      <w:r w:rsidR="00B04DF2">
        <w:rPr>
          <w:rFonts w:ascii="Arial" w:hAnsi="Arial"/>
          <w:sz w:val="22"/>
          <w:szCs w:val="22"/>
        </w:rPr>
        <w:t xml:space="preserve">. </w:t>
      </w:r>
    </w:p>
    <w:p w:rsidR="00B60A0E" w:rsidRPr="00B60A0E" w:rsidRDefault="00B60A0E" w:rsidP="00B60A0E">
      <w:pPr>
        <w:pStyle w:val="ListParagraph"/>
        <w:ind w:left="1080"/>
        <w:jc w:val="both"/>
        <w:rPr>
          <w:rFonts w:ascii="Arial" w:hAnsi="Arial"/>
          <w:sz w:val="22"/>
          <w:szCs w:val="22"/>
        </w:rPr>
      </w:pPr>
    </w:p>
    <w:p w:rsidR="00AC12BA" w:rsidRPr="00AC12BA" w:rsidRDefault="00AC12BA" w:rsidP="00AC12BA">
      <w:pPr>
        <w:pStyle w:val="ListParagraph"/>
        <w:numPr>
          <w:ilvl w:val="1"/>
          <w:numId w:val="25"/>
        </w:numPr>
        <w:jc w:val="both"/>
        <w:rPr>
          <w:rFonts w:ascii="Arial" w:hAnsi="Arial"/>
          <w:sz w:val="22"/>
          <w:szCs w:val="22"/>
        </w:rPr>
      </w:pPr>
      <w:r w:rsidRPr="00AC12BA">
        <w:rPr>
          <w:rFonts w:ascii="Arial" w:hAnsi="Arial"/>
          <w:sz w:val="22"/>
          <w:szCs w:val="22"/>
        </w:rPr>
        <w:lastRenderedPageBreak/>
        <w:t xml:space="preserve">On the basis of direct evidence presented by the submission, for every 100 patients treated with </w:t>
      </w:r>
      <w:proofErr w:type="spellStart"/>
      <w:r w:rsidRPr="00AC12BA">
        <w:rPr>
          <w:rFonts w:ascii="Arial" w:hAnsi="Arial"/>
          <w:sz w:val="22"/>
          <w:szCs w:val="22"/>
        </w:rPr>
        <w:t>obinutuzumab</w:t>
      </w:r>
      <w:proofErr w:type="spellEnd"/>
      <w:r w:rsidRPr="00AC12BA">
        <w:rPr>
          <w:rFonts w:ascii="Arial" w:hAnsi="Arial"/>
          <w:sz w:val="22"/>
          <w:szCs w:val="22"/>
        </w:rPr>
        <w:t xml:space="preserve"> plus </w:t>
      </w:r>
      <w:proofErr w:type="spellStart"/>
      <w:r w:rsidRPr="00AC12BA">
        <w:rPr>
          <w:rFonts w:ascii="Arial" w:hAnsi="Arial"/>
          <w:sz w:val="22"/>
          <w:szCs w:val="22"/>
        </w:rPr>
        <w:t>chlorambucil</w:t>
      </w:r>
      <w:proofErr w:type="spellEnd"/>
      <w:r w:rsidRPr="00AC12BA">
        <w:rPr>
          <w:rFonts w:ascii="Arial" w:hAnsi="Arial"/>
          <w:sz w:val="22"/>
          <w:szCs w:val="22"/>
        </w:rPr>
        <w:t xml:space="preserve">, in comparison to </w:t>
      </w:r>
      <w:proofErr w:type="spellStart"/>
      <w:r w:rsidR="00B93C93">
        <w:rPr>
          <w:rFonts w:ascii="Arial" w:hAnsi="Arial"/>
          <w:sz w:val="22"/>
          <w:szCs w:val="22"/>
        </w:rPr>
        <w:t>chlorambucil</w:t>
      </w:r>
      <w:proofErr w:type="spellEnd"/>
      <w:r w:rsidR="00B93C93">
        <w:rPr>
          <w:rFonts w:ascii="Arial" w:hAnsi="Arial"/>
          <w:sz w:val="22"/>
          <w:szCs w:val="22"/>
        </w:rPr>
        <w:t xml:space="preserve"> </w:t>
      </w:r>
      <w:r w:rsidRPr="00AC12BA">
        <w:rPr>
          <w:rFonts w:ascii="Arial" w:hAnsi="Arial"/>
          <w:sz w:val="22"/>
          <w:szCs w:val="22"/>
        </w:rPr>
        <w:t>monotherapy, over a 22.8 months median duration of follow-up there would be:</w:t>
      </w:r>
    </w:p>
    <w:p w:rsidR="00AC12BA" w:rsidRPr="00AC12BA" w:rsidRDefault="00AC12BA" w:rsidP="00AC12BA">
      <w:pPr>
        <w:pStyle w:val="ListParagraph"/>
        <w:numPr>
          <w:ilvl w:val="0"/>
          <w:numId w:val="39"/>
        </w:numPr>
        <w:jc w:val="both"/>
        <w:rPr>
          <w:rFonts w:ascii="Arial" w:hAnsi="Arial"/>
          <w:sz w:val="22"/>
          <w:szCs w:val="22"/>
        </w:rPr>
      </w:pPr>
      <w:r w:rsidRPr="00AC12BA">
        <w:rPr>
          <w:rFonts w:ascii="Arial" w:hAnsi="Arial"/>
          <w:sz w:val="22"/>
          <w:szCs w:val="22"/>
        </w:rPr>
        <w:t>Approximately 21 additional grade 3 to 5 infusion-related reactions;</w:t>
      </w:r>
    </w:p>
    <w:p w:rsidR="00AC12BA" w:rsidRPr="00AC12BA" w:rsidRDefault="00AC12BA" w:rsidP="00AE57C9">
      <w:pPr>
        <w:pStyle w:val="ListParagraph"/>
        <w:numPr>
          <w:ilvl w:val="0"/>
          <w:numId w:val="39"/>
        </w:numPr>
        <w:jc w:val="both"/>
        <w:rPr>
          <w:rFonts w:ascii="Arial" w:hAnsi="Arial"/>
          <w:sz w:val="22"/>
          <w:szCs w:val="22"/>
        </w:rPr>
      </w:pPr>
      <w:r w:rsidRPr="00AC12BA">
        <w:rPr>
          <w:rFonts w:ascii="Arial" w:hAnsi="Arial"/>
          <w:sz w:val="22"/>
          <w:szCs w:val="22"/>
        </w:rPr>
        <w:t>Approximately 17 additional episodes of grade 3 to 5 neutropenia</w:t>
      </w:r>
      <w:r w:rsidR="00AE57C9">
        <w:rPr>
          <w:rFonts w:ascii="Arial" w:hAnsi="Arial"/>
          <w:sz w:val="22"/>
          <w:szCs w:val="22"/>
        </w:rPr>
        <w:t xml:space="preserve">, but no </w:t>
      </w:r>
      <w:r w:rsidR="00AE57C9" w:rsidRPr="00AE57C9">
        <w:rPr>
          <w:rFonts w:ascii="Arial" w:hAnsi="Arial"/>
          <w:sz w:val="22"/>
          <w:szCs w:val="22"/>
        </w:rPr>
        <w:t>additional episodes</w:t>
      </w:r>
      <w:r w:rsidR="003D39C9">
        <w:rPr>
          <w:rFonts w:ascii="Arial" w:hAnsi="Arial"/>
          <w:sz w:val="22"/>
          <w:szCs w:val="22"/>
        </w:rPr>
        <w:t xml:space="preserve"> of</w:t>
      </w:r>
      <w:r w:rsidR="00AE57C9" w:rsidRPr="00AE57C9">
        <w:rPr>
          <w:rFonts w:ascii="Arial" w:hAnsi="Arial"/>
          <w:sz w:val="22"/>
          <w:szCs w:val="22"/>
        </w:rPr>
        <w:t xml:space="preserve"> infection (all-Grade</w:t>
      </w:r>
      <w:r w:rsidR="003D39C9">
        <w:rPr>
          <w:rFonts w:ascii="Arial" w:hAnsi="Arial"/>
          <w:sz w:val="22"/>
          <w:szCs w:val="22"/>
        </w:rPr>
        <w:t xml:space="preserve"> infection</w:t>
      </w:r>
      <w:r w:rsidR="00994A26">
        <w:rPr>
          <w:rFonts w:ascii="Arial" w:hAnsi="Arial"/>
          <w:sz w:val="22"/>
          <w:szCs w:val="22"/>
        </w:rPr>
        <w:t>)</w:t>
      </w:r>
      <w:r w:rsidR="00AE57C9" w:rsidRPr="00AE57C9">
        <w:rPr>
          <w:rFonts w:ascii="Arial" w:hAnsi="Arial"/>
          <w:sz w:val="22"/>
          <w:szCs w:val="22"/>
        </w:rPr>
        <w:t>;</w:t>
      </w:r>
    </w:p>
    <w:p w:rsidR="00AC12BA" w:rsidRPr="00AC12BA" w:rsidRDefault="00AC12BA" w:rsidP="00AC12BA">
      <w:pPr>
        <w:pStyle w:val="ListParagraph"/>
        <w:numPr>
          <w:ilvl w:val="0"/>
          <w:numId w:val="39"/>
        </w:numPr>
        <w:jc w:val="both"/>
        <w:rPr>
          <w:rFonts w:ascii="Arial" w:hAnsi="Arial"/>
          <w:sz w:val="22"/>
          <w:szCs w:val="22"/>
        </w:rPr>
      </w:pPr>
      <w:r w:rsidRPr="00AC12BA">
        <w:rPr>
          <w:rFonts w:ascii="Arial" w:hAnsi="Arial"/>
          <w:sz w:val="22"/>
          <w:szCs w:val="22"/>
        </w:rPr>
        <w:t>Approximately 8 additional episodes of grade 3 to 5 thrombocytopenia.</w:t>
      </w:r>
      <w:r w:rsidR="002B011F">
        <w:rPr>
          <w:rFonts w:ascii="Arial" w:hAnsi="Arial"/>
          <w:sz w:val="22"/>
          <w:szCs w:val="22"/>
        </w:rPr>
        <w:t xml:space="preserve"> </w:t>
      </w:r>
    </w:p>
    <w:p w:rsidR="00AC12BA" w:rsidRDefault="00AC12BA" w:rsidP="00AC12BA">
      <w:pPr>
        <w:jc w:val="both"/>
        <w:rPr>
          <w:rFonts w:ascii="Arial" w:hAnsi="Arial"/>
          <w:sz w:val="22"/>
          <w:szCs w:val="22"/>
        </w:rPr>
      </w:pPr>
    </w:p>
    <w:p w:rsidR="00D31D8B" w:rsidRPr="00882085" w:rsidRDefault="00D31D8B" w:rsidP="00D31D8B">
      <w:pPr>
        <w:pStyle w:val="ListParagraph"/>
        <w:numPr>
          <w:ilvl w:val="1"/>
          <w:numId w:val="25"/>
        </w:numPr>
        <w:ind w:left="709" w:hanging="709"/>
        <w:jc w:val="both"/>
        <w:rPr>
          <w:rFonts w:ascii="Arial" w:hAnsi="Arial"/>
          <w:sz w:val="22"/>
          <w:szCs w:val="22"/>
        </w:rPr>
      </w:pPr>
      <w:r w:rsidRPr="00882085">
        <w:rPr>
          <w:rFonts w:ascii="Arial" w:hAnsi="Arial"/>
          <w:sz w:val="22"/>
          <w:szCs w:val="22"/>
        </w:rPr>
        <w:t xml:space="preserve">A summary of the comparative benefits and harms for </w:t>
      </w:r>
      <w:proofErr w:type="spellStart"/>
      <w:r>
        <w:rPr>
          <w:rFonts w:ascii="Arial" w:hAnsi="Arial"/>
          <w:sz w:val="22"/>
          <w:szCs w:val="22"/>
        </w:rPr>
        <w:t>obinutuzumab</w:t>
      </w:r>
      <w:proofErr w:type="spellEnd"/>
      <w:r>
        <w:rPr>
          <w:rFonts w:ascii="Arial" w:hAnsi="Arial"/>
          <w:sz w:val="22"/>
          <w:szCs w:val="22"/>
        </w:rPr>
        <w:t xml:space="preserve"> plus </w:t>
      </w:r>
      <w:proofErr w:type="spellStart"/>
      <w:r>
        <w:rPr>
          <w:rFonts w:ascii="Arial" w:hAnsi="Arial"/>
          <w:sz w:val="22"/>
          <w:szCs w:val="22"/>
        </w:rPr>
        <w:t>chlorambucil</w:t>
      </w:r>
      <w:proofErr w:type="spellEnd"/>
      <w:r w:rsidRPr="00882085">
        <w:rPr>
          <w:rFonts w:ascii="Arial" w:hAnsi="Arial"/>
          <w:sz w:val="22"/>
          <w:szCs w:val="22"/>
        </w:rPr>
        <w:t xml:space="preserve"> versus </w:t>
      </w:r>
      <w:r>
        <w:rPr>
          <w:rFonts w:ascii="Arial" w:hAnsi="Arial"/>
          <w:sz w:val="22"/>
          <w:szCs w:val="22"/>
        </w:rPr>
        <w:t xml:space="preserve">rituximab plus </w:t>
      </w:r>
      <w:proofErr w:type="spellStart"/>
      <w:r>
        <w:rPr>
          <w:rFonts w:ascii="Arial" w:hAnsi="Arial"/>
          <w:sz w:val="22"/>
          <w:szCs w:val="22"/>
        </w:rPr>
        <w:t>chlorambucil</w:t>
      </w:r>
      <w:proofErr w:type="spellEnd"/>
      <w:r w:rsidRPr="00882085">
        <w:rPr>
          <w:rFonts w:ascii="Arial" w:hAnsi="Arial"/>
          <w:sz w:val="22"/>
          <w:szCs w:val="22"/>
        </w:rPr>
        <w:t xml:space="preserve"> is presented in the table below.</w:t>
      </w:r>
    </w:p>
    <w:p w:rsidR="008048AF" w:rsidRPr="00D31D8B" w:rsidRDefault="008048AF" w:rsidP="00D31D8B">
      <w:pPr>
        <w:rPr>
          <w:rFonts w:ascii="Arial" w:hAnsi="Arial"/>
          <w:sz w:val="22"/>
          <w:szCs w:val="22"/>
        </w:rPr>
      </w:pPr>
    </w:p>
    <w:p w:rsidR="008048AF" w:rsidRPr="002B011F" w:rsidRDefault="008048AF" w:rsidP="00977EEA">
      <w:pPr>
        <w:keepNext/>
        <w:keepLines/>
        <w:widowControl w:val="0"/>
        <w:ind w:left="709"/>
        <w:jc w:val="both"/>
        <w:rPr>
          <w:rFonts w:ascii="Arial Narrow" w:hAnsi="Arial Narrow" w:cs="Arial"/>
          <w:b/>
          <w:snapToGrid w:val="0"/>
          <w:sz w:val="20"/>
          <w:szCs w:val="20"/>
          <w:lang w:eastAsia="en-US"/>
        </w:rPr>
      </w:pPr>
      <w:r w:rsidRPr="002B011F">
        <w:rPr>
          <w:rFonts w:ascii="Arial Narrow" w:hAnsi="Arial Narrow" w:cs="Arial"/>
          <w:b/>
          <w:snapToGrid w:val="0"/>
          <w:sz w:val="20"/>
          <w:szCs w:val="20"/>
          <w:lang w:eastAsia="en-US"/>
        </w:rPr>
        <w:t xml:space="preserve">Summary of comparative benefits and harms for </w:t>
      </w:r>
      <w:proofErr w:type="spellStart"/>
      <w:r w:rsidRPr="002B011F">
        <w:rPr>
          <w:rFonts w:ascii="Arial Narrow" w:hAnsi="Arial Narrow" w:cs="Arial"/>
          <w:b/>
          <w:snapToGrid w:val="0"/>
          <w:sz w:val="20"/>
          <w:szCs w:val="20"/>
          <w:lang w:eastAsia="en-US"/>
        </w:rPr>
        <w:t>obinutuzumab</w:t>
      </w:r>
      <w:proofErr w:type="spellEnd"/>
      <w:r w:rsidRPr="002B011F">
        <w:rPr>
          <w:rFonts w:ascii="Arial Narrow" w:hAnsi="Arial Narrow" w:cs="Arial"/>
          <w:b/>
          <w:snapToGrid w:val="0"/>
          <w:sz w:val="20"/>
          <w:szCs w:val="20"/>
          <w:lang w:eastAsia="en-US"/>
        </w:rPr>
        <w:t xml:space="preserve"> plus </w:t>
      </w:r>
      <w:proofErr w:type="spellStart"/>
      <w:r w:rsidRPr="002B011F">
        <w:rPr>
          <w:rFonts w:ascii="Arial Narrow" w:hAnsi="Arial Narrow" w:cs="Arial"/>
          <w:b/>
          <w:snapToGrid w:val="0"/>
          <w:sz w:val="20"/>
          <w:szCs w:val="20"/>
          <w:lang w:eastAsia="en-US"/>
        </w:rPr>
        <w:t>chlorambucil</w:t>
      </w:r>
      <w:proofErr w:type="spellEnd"/>
      <w:r w:rsidRPr="002B011F">
        <w:rPr>
          <w:rFonts w:ascii="Arial Narrow" w:hAnsi="Arial Narrow" w:cs="Arial"/>
          <w:b/>
          <w:snapToGrid w:val="0"/>
          <w:sz w:val="20"/>
          <w:szCs w:val="20"/>
          <w:lang w:eastAsia="en-US"/>
        </w:rPr>
        <w:t xml:space="preserve"> and rituximab plus </w:t>
      </w:r>
      <w:proofErr w:type="spellStart"/>
      <w:r w:rsidRPr="002B011F">
        <w:rPr>
          <w:rFonts w:ascii="Arial Narrow" w:hAnsi="Arial Narrow" w:cs="Arial"/>
          <w:b/>
          <w:snapToGrid w:val="0"/>
          <w:sz w:val="20"/>
          <w:szCs w:val="20"/>
          <w:lang w:eastAsia="en-US"/>
        </w:rPr>
        <w:t>chlorambucil</w:t>
      </w:r>
      <w:proofErr w:type="spellEnd"/>
      <w:r w:rsidRPr="002B011F">
        <w:rPr>
          <w:rFonts w:ascii="Arial Narrow" w:hAnsi="Arial Narrow" w:cs="Arial"/>
          <w:b/>
          <w:snapToGrid w:val="0"/>
          <w:sz w:val="20"/>
          <w:szCs w:val="20"/>
          <w:lang w:eastAsia="en-US"/>
        </w:rPr>
        <w:t xml:space="preserve"> – CLL11 trial (Stage 2)</w:t>
      </w:r>
    </w:p>
    <w:tbl>
      <w:tblPr>
        <w:tblStyle w:val="TableGrid1"/>
        <w:tblW w:w="4604" w:type="pct"/>
        <w:tblInd w:w="737" w:type="dxa"/>
        <w:tblCellMar>
          <w:left w:w="28" w:type="dxa"/>
          <w:right w:w="28" w:type="dxa"/>
        </w:tblCellMar>
        <w:tblLook w:val="04A0" w:firstRow="1" w:lastRow="0" w:firstColumn="1" w:lastColumn="0" w:noHBand="0" w:noVBand="1"/>
        <w:tblDescription w:val="Summary of comparative benefits and harms for obinutuzumab plus chlorambucil and rituximab plus chlorambucil – CLL11 trial (Stage 2)"/>
      </w:tblPr>
      <w:tblGrid>
        <w:gridCol w:w="1635"/>
        <w:gridCol w:w="361"/>
        <w:gridCol w:w="846"/>
        <w:gridCol w:w="697"/>
        <w:gridCol w:w="477"/>
        <w:gridCol w:w="866"/>
        <w:gridCol w:w="70"/>
        <w:gridCol w:w="1149"/>
        <w:gridCol w:w="734"/>
        <w:gridCol w:w="560"/>
        <w:gridCol w:w="968"/>
      </w:tblGrid>
      <w:tr w:rsidR="008048AF" w:rsidRPr="002B011F" w:rsidTr="00DF1494">
        <w:trPr>
          <w:cantSplit/>
          <w:trHeight w:val="231"/>
          <w:tblHeader/>
        </w:trPr>
        <w:tc>
          <w:tcPr>
            <w:tcW w:w="5000" w:type="pct"/>
            <w:gridSpan w:val="11"/>
            <w:shd w:val="clear" w:color="auto" w:fill="auto"/>
            <w:vAlign w:val="center"/>
          </w:tcPr>
          <w:p w:rsidR="008048AF" w:rsidRPr="002B011F" w:rsidRDefault="008048AF" w:rsidP="008048AF">
            <w:pPr>
              <w:keepNext/>
              <w:keepLines/>
              <w:widowControl w:val="0"/>
              <w:jc w:val="both"/>
              <w:rPr>
                <w:rFonts w:ascii="Arial Narrow" w:hAnsi="Arial Narrow" w:cs="Arial"/>
                <w:b/>
                <w:snapToGrid w:val="0"/>
                <w:color w:val="000000"/>
                <w:sz w:val="20"/>
                <w:szCs w:val="18"/>
              </w:rPr>
            </w:pPr>
            <w:bookmarkStart w:id="0" w:name="_GoBack" w:colFirst="0" w:colLast="1"/>
            <w:r w:rsidRPr="002B011F">
              <w:rPr>
                <w:rFonts w:ascii="Arial Narrow" w:hAnsi="Arial Narrow" w:cs="Arial"/>
                <w:b/>
                <w:snapToGrid w:val="0"/>
                <w:color w:val="000000"/>
                <w:sz w:val="20"/>
                <w:szCs w:val="18"/>
              </w:rPr>
              <w:t>Benefits</w:t>
            </w:r>
            <w:r w:rsidR="002B011F">
              <w:rPr>
                <w:rFonts w:ascii="Arial Narrow" w:hAnsi="Arial Narrow" w:cs="Arial"/>
                <w:b/>
                <w:snapToGrid w:val="0"/>
                <w:color w:val="000000"/>
                <w:sz w:val="20"/>
                <w:szCs w:val="18"/>
              </w:rPr>
              <w:t xml:space="preserve"> – median </w:t>
            </w:r>
            <w:r w:rsidR="00197B45">
              <w:rPr>
                <w:rFonts w:ascii="Arial Narrow" w:hAnsi="Arial Narrow" w:cs="Arial"/>
                <w:b/>
                <w:noProof/>
                <w:snapToGrid w:val="0"/>
                <w:color w:val="000000"/>
                <w:sz w:val="20"/>
                <w:szCs w:val="18"/>
                <w:highlight w:val="black"/>
              </w:rPr>
              <w:t>'''''''''</w:t>
            </w:r>
            <w:r w:rsidR="002B011F">
              <w:rPr>
                <w:rFonts w:ascii="Arial Narrow" w:hAnsi="Arial Narrow" w:cs="Arial"/>
                <w:b/>
                <w:snapToGrid w:val="0"/>
                <w:color w:val="000000"/>
                <w:sz w:val="20"/>
                <w:szCs w:val="18"/>
              </w:rPr>
              <w:t xml:space="preserve"> months follow-up</w:t>
            </w:r>
          </w:p>
        </w:tc>
      </w:tr>
      <w:bookmarkEnd w:id="0"/>
      <w:tr w:rsidR="008048AF" w:rsidRPr="002B011F" w:rsidTr="004053B3">
        <w:trPr>
          <w:cantSplit/>
          <w:trHeight w:val="480"/>
        </w:trPr>
        <w:tc>
          <w:tcPr>
            <w:tcW w:w="1192" w:type="pct"/>
            <w:gridSpan w:val="2"/>
            <w:shd w:val="clear" w:color="auto" w:fill="auto"/>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 xml:space="preserve">median </w:t>
            </w:r>
            <w:r w:rsidR="00197B45">
              <w:rPr>
                <w:rFonts w:ascii="Arial Narrow" w:hAnsi="Arial Narrow" w:cs="Arial"/>
                <w:b/>
                <w:noProof/>
                <w:snapToGrid w:val="0"/>
                <w:color w:val="000000"/>
                <w:sz w:val="20"/>
                <w:szCs w:val="18"/>
                <w:highlight w:val="black"/>
              </w:rPr>
              <w:t>'''''''''</w:t>
            </w:r>
            <w:r w:rsidRPr="002B011F">
              <w:rPr>
                <w:rFonts w:ascii="Arial Narrow" w:hAnsi="Arial Narrow" w:cs="Arial"/>
                <w:b/>
                <w:snapToGrid w:val="0"/>
                <w:color w:val="000000"/>
                <w:sz w:val="20"/>
                <w:szCs w:val="18"/>
              </w:rPr>
              <w:t xml:space="preserve"> months</w:t>
            </w:r>
          </w:p>
          <w:p w:rsidR="008048AF" w:rsidRPr="002B011F" w:rsidRDefault="008048AF" w:rsidP="008048AF">
            <w:pPr>
              <w:keepNext/>
              <w:keepLines/>
              <w:widowControl w:val="0"/>
              <w:jc w:val="center"/>
              <w:rPr>
                <w:rFonts w:ascii="Arial Narrow" w:hAnsi="Arial Narrow" w:cs="Arial"/>
                <w:snapToGrid w:val="0"/>
                <w:color w:val="000000"/>
                <w:sz w:val="20"/>
                <w:szCs w:val="18"/>
              </w:rPr>
            </w:pPr>
            <w:r w:rsidRPr="002B011F">
              <w:rPr>
                <w:rFonts w:ascii="Arial Narrow" w:hAnsi="Arial Narrow" w:cs="Arial"/>
                <w:b/>
                <w:snapToGrid w:val="0"/>
                <w:color w:val="000000"/>
                <w:sz w:val="20"/>
                <w:szCs w:val="18"/>
              </w:rPr>
              <w:t>follow-up</w:t>
            </w:r>
          </w:p>
        </w:tc>
        <w:tc>
          <w:tcPr>
            <w:tcW w:w="923" w:type="pct"/>
            <w:gridSpan w:val="2"/>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proofErr w:type="spellStart"/>
            <w:r w:rsidRPr="002B011F">
              <w:rPr>
                <w:rFonts w:ascii="Arial Narrow" w:hAnsi="Arial Narrow" w:cs="Arial"/>
                <w:b/>
                <w:snapToGrid w:val="0"/>
                <w:color w:val="000000"/>
                <w:sz w:val="20"/>
                <w:szCs w:val="18"/>
              </w:rPr>
              <w:t>Obinutuzumab</w:t>
            </w:r>
            <w:proofErr w:type="spellEnd"/>
            <w:r w:rsidRPr="002B011F">
              <w:rPr>
                <w:rFonts w:ascii="Arial Narrow" w:hAnsi="Arial Narrow" w:cs="Arial"/>
                <w:b/>
                <w:snapToGrid w:val="0"/>
                <w:color w:val="000000"/>
                <w:sz w:val="20"/>
                <w:szCs w:val="18"/>
              </w:rPr>
              <w:t xml:space="preserve"> +</w:t>
            </w:r>
            <w:proofErr w:type="spellStart"/>
            <w:r w:rsidRPr="002B011F">
              <w:rPr>
                <w:rFonts w:ascii="Arial Narrow" w:hAnsi="Arial Narrow" w:cs="Arial"/>
                <w:b/>
                <w:snapToGrid w:val="0"/>
                <w:color w:val="000000"/>
                <w:sz w:val="20"/>
                <w:szCs w:val="18"/>
              </w:rPr>
              <w:t>chlorambucil</w:t>
            </w:r>
            <w:proofErr w:type="spellEnd"/>
          </w:p>
        </w:tc>
        <w:tc>
          <w:tcPr>
            <w:tcW w:w="845" w:type="pct"/>
            <w:gridSpan w:val="3"/>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Rituximab +</w:t>
            </w:r>
            <w:proofErr w:type="spellStart"/>
            <w:r w:rsidRPr="002B011F">
              <w:rPr>
                <w:rFonts w:ascii="Arial Narrow" w:hAnsi="Arial Narrow" w:cs="Arial"/>
                <w:b/>
                <w:snapToGrid w:val="0"/>
                <w:color w:val="000000"/>
                <w:sz w:val="20"/>
                <w:szCs w:val="18"/>
              </w:rPr>
              <w:t>chlorambucil</w:t>
            </w:r>
            <w:proofErr w:type="spellEnd"/>
          </w:p>
        </w:tc>
        <w:tc>
          <w:tcPr>
            <w:tcW w:w="1126" w:type="pct"/>
            <w:gridSpan w:val="2"/>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u w:val="words"/>
              </w:rPr>
            </w:pPr>
            <w:r w:rsidRPr="002B011F">
              <w:rPr>
                <w:rFonts w:ascii="Arial Narrow" w:hAnsi="Arial Narrow" w:cs="Arial"/>
                <w:b/>
                <w:snapToGrid w:val="0"/>
                <w:color w:val="000000"/>
                <w:sz w:val="20"/>
                <w:szCs w:val="18"/>
              </w:rPr>
              <w:t xml:space="preserve">RD </w:t>
            </w:r>
            <w:r w:rsidRPr="002B011F">
              <w:rPr>
                <w:rFonts w:ascii="Arial Narrow" w:hAnsi="Arial Narrow" w:cs="Arial"/>
                <w:b/>
                <w:snapToGrid w:val="0"/>
                <w:color w:val="000000"/>
                <w:sz w:val="20"/>
                <w:szCs w:val="18"/>
              </w:rPr>
              <w:br/>
              <w:t>(95% CI)</w:t>
            </w:r>
          </w:p>
        </w:tc>
        <w:tc>
          <w:tcPr>
            <w:tcW w:w="915" w:type="pct"/>
            <w:gridSpan w:val="2"/>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 xml:space="preserve">HR </w:t>
            </w:r>
            <w:r w:rsidRPr="002B011F">
              <w:rPr>
                <w:rFonts w:ascii="Arial Narrow" w:hAnsi="Arial Narrow" w:cs="Arial"/>
                <w:b/>
                <w:snapToGrid w:val="0"/>
                <w:color w:val="000000"/>
                <w:sz w:val="20"/>
                <w:szCs w:val="18"/>
              </w:rPr>
              <w:br/>
              <w:t>(95% CI)</w:t>
            </w:r>
          </w:p>
        </w:tc>
      </w:tr>
      <w:tr w:rsidR="008048AF" w:rsidRPr="002B011F" w:rsidTr="004053B3">
        <w:trPr>
          <w:cantSplit/>
          <w:trHeight w:val="231"/>
        </w:trPr>
        <w:tc>
          <w:tcPr>
            <w:tcW w:w="1192" w:type="pct"/>
            <w:gridSpan w:val="2"/>
            <w:shd w:val="clear" w:color="auto" w:fill="auto"/>
            <w:vAlign w:val="center"/>
          </w:tcPr>
          <w:p w:rsidR="008048AF" w:rsidRPr="002B011F" w:rsidRDefault="008048AF" w:rsidP="008048AF">
            <w:pPr>
              <w:keepNext/>
              <w:keepLines/>
              <w:widowControl w:val="0"/>
              <w:jc w:val="both"/>
              <w:rPr>
                <w:rFonts w:ascii="Arial Narrow" w:hAnsi="Arial Narrow" w:cs="Arial"/>
                <w:snapToGrid w:val="0"/>
                <w:color w:val="000000"/>
                <w:sz w:val="20"/>
                <w:szCs w:val="18"/>
              </w:rPr>
            </w:pPr>
            <w:r w:rsidRPr="002B011F">
              <w:rPr>
                <w:rFonts w:ascii="Arial Narrow" w:hAnsi="Arial Narrow" w:cs="Arial"/>
                <w:snapToGrid w:val="0"/>
                <w:color w:val="000000"/>
                <w:sz w:val="20"/>
                <w:szCs w:val="18"/>
              </w:rPr>
              <w:t>Progressed</w:t>
            </w:r>
          </w:p>
        </w:tc>
        <w:tc>
          <w:tcPr>
            <w:tcW w:w="923" w:type="pct"/>
            <w:gridSpan w:val="2"/>
            <w:vAlign w:val="center"/>
          </w:tcPr>
          <w:p w:rsidR="008048AF" w:rsidRPr="002B011F" w:rsidRDefault="00197B45" w:rsidP="002B011F">
            <w:pPr>
              <w:keepNext/>
              <w:keepLines/>
              <w:widowControl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 '''''''''''</w:t>
            </w:r>
            <w:r w:rsidR="008048AF" w:rsidRPr="008517F7">
              <w:rPr>
                <w:rFonts w:ascii="Arial Narrow" w:hAnsi="Arial Narrow" w:cs="Arial"/>
                <w:snapToGrid w:val="0"/>
                <w:sz w:val="20"/>
                <w:szCs w:val="20"/>
              </w:rPr>
              <w:t>%</w:t>
            </w:r>
            <w:r>
              <w:rPr>
                <w:rFonts w:ascii="Arial Narrow" w:hAnsi="Arial Narrow" w:cs="Arial"/>
                <w:noProof/>
                <w:snapToGrid w:val="0"/>
                <w:color w:val="000000"/>
                <w:sz w:val="20"/>
                <w:szCs w:val="20"/>
                <w:highlight w:val="black"/>
              </w:rPr>
              <w:t>''</w:t>
            </w:r>
          </w:p>
        </w:tc>
        <w:tc>
          <w:tcPr>
            <w:tcW w:w="845" w:type="pct"/>
            <w:gridSpan w:val="3"/>
            <w:vAlign w:val="center"/>
          </w:tcPr>
          <w:p w:rsidR="008048AF" w:rsidRPr="002B011F" w:rsidRDefault="00197B45" w:rsidP="002B011F">
            <w:pPr>
              <w:keepNext/>
              <w:keepLines/>
              <w:widowControl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 ''''''''''''</w:t>
            </w:r>
            <w:r w:rsidR="008048AF" w:rsidRPr="008517F7">
              <w:rPr>
                <w:rFonts w:ascii="Arial Narrow" w:hAnsi="Arial Narrow" w:cs="Arial"/>
                <w:snapToGrid w:val="0"/>
                <w:sz w:val="20"/>
                <w:szCs w:val="20"/>
              </w:rPr>
              <w:t>%</w:t>
            </w:r>
            <w:r>
              <w:rPr>
                <w:rFonts w:ascii="Arial Narrow" w:hAnsi="Arial Narrow" w:cs="Arial"/>
                <w:noProof/>
                <w:snapToGrid w:val="0"/>
                <w:color w:val="000000"/>
                <w:sz w:val="20"/>
                <w:szCs w:val="20"/>
                <w:highlight w:val="black"/>
              </w:rPr>
              <w:t>'''</w:t>
            </w:r>
          </w:p>
        </w:tc>
        <w:tc>
          <w:tcPr>
            <w:tcW w:w="1126" w:type="pct"/>
            <w:gridSpan w:val="2"/>
          </w:tcPr>
          <w:p w:rsidR="008048AF" w:rsidRPr="002B011F" w:rsidRDefault="008048AF" w:rsidP="008048AF">
            <w:pPr>
              <w:keepNext/>
              <w:keepLines/>
              <w:widowControl w:val="0"/>
              <w:jc w:val="center"/>
              <w:rPr>
                <w:rFonts w:ascii="Arial Narrow" w:hAnsi="Arial Narrow" w:cs="Arial"/>
                <w:b/>
                <w:snapToGrid w:val="0"/>
                <w:sz w:val="20"/>
                <w:szCs w:val="20"/>
              </w:rPr>
            </w:pPr>
          </w:p>
        </w:tc>
        <w:tc>
          <w:tcPr>
            <w:tcW w:w="915" w:type="pct"/>
            <w:gridSpan w:val="2"/>
            <w:vAlign w:val="center"/>
          </w:tcPr>
          <w:p w:rsidR="008048AF" w:rsidRPr="00197B45" w:rsidRDefault="00197B45" w:rsidP="002B011F">
            <w:pPr>
              <w:keepNext/>
              <w:keepLines/>
              <w:widowControl w:val="0"/>
              <w:snapToGrid w:val="0"/>
              <w:jc w:val="center"/>
              <w:rPr>
                <w:rFonts w:ascii="Arial Narrow" w:hAnsi="Arial Narrow" w:cs="Arial"/>
                <w:b/>
                <w:snapToGrid w:val="0"/>
                <w:sz w:val="20"/>
                <w:szCs w:val="20"/>
                <w:highlight w:val="black"/>
              </w:rPr>
            </w:pPr>
            <w:r>
              <w:rPr>
                <w:rFonts w:ascii="Arial Narrow" w:hAnsi="Arial Narrow" w:cs="Arial"/>
                <w:b/>
                <w:noProof/>
                <w:snapToGrid w:val="0"/>
                <w:color w:val="000000"/>
                <w:sz w:val="20"/>
                <w:szCs w:val="20"/>
                <w:highlight w:val="black"/>
                <w:lang w:eastAsia="en-US"/>
              </w:rPr>
              <w:t>'''''''' ''''''''''' '''''''''</w:t>
            </w:r>
          </w:p>
        </w:tc>
      </w:tr>
      <w:tr w:rsidR="008048AF" w:rsidRPr="002B011F" w:rsidTr="004053B3">
        <w:trPr>
          <w:cantSplit/>
          <w:trHeight w:val="231"/>
        </w:trPr>
        <w:tc>
          <w:tcPr>
            <w:tcW w:w="1192" w:type="pct"/>
            <w:gridSpan w:val="2"/>
            <w:shd w:val="clear" w:color="auto" w:fill="auto"/>
            <w:vAlign w:val="center"/>
          </w:tcPr>
          <w:p w:rsidR="008048AF" w:rsidRPr="002B011F" w:rsidRDefault="008048AF" w:rsidP="008048AF">
            <w:pPr>
              <w:keepNext/>
              <w:keepLines/>
              <w:widowControl w:val="0"/>
              <w:jc w:val="both"/>
              <w:rPr>
                <w:rFonts w:ascii="Arial Narrow" w:hAnsi="Arial Narrow" w:cs="Arial"/>
                <w:snapToGrid w:val="0"/>
                <w:color w:val="000000"/>
                <w:sz w:val="20"/>
                <w:szCs w:val="18"/>
              </w:rPr>
            </w:pPr>
            <w:r w:rsidRPr="002B011F">
              <w:rPr>
                <w:rFonts w:ascii="Arial Narrow" w:hAnsi="Arial Narrow" w:cs="Arial"/>
                <w:snapToGrid w:val="0"/>
                <w:color w:val="000000"/>
                <w:sz w:val="20"/>
                <w:szCs w:val="18"/>
              </w:rPr>
              <w:t>OS (patients died)</w:t>
            </w:r>
          </w:p>
        </w:tc>
        <w:tc>
          <w:tcPr>
            <w:tcW w:w="923" w:type="pct"/>
            <w:gridSpan w:val="2"/>
            <w:vAlign w:val="center"/>
          </w:tcPr>
          <w:p w:rsidR="008048AF" w:rsidRPr="002B011F" w:rsidRDefault="00197B45" w:rsidP="002B011F">
            <w:pPr>
              <w:keepNext/>
              <w:keepLines/>
              <w:widowControl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 '''''''''''</w:t>
            </w:r>
            <w:r w:rsidR="008048AF" w:rsidRPr="008517F7">
              <w:rPr>
                <w:rFonts w:ascii="Arial Narrow" w:hAnsi="Arial Narrow" w:cs="Arial"/>
                <w:snapToGrid w:val="0"/>
                <w:sz w:val="20"/>
                <w:szCs w:val="20"/>
              </w:rPr>
              <w:t>%</w:t>
            </w:r>
            <w:r>
              <w:rPr>
                <w:rFonts w:ascii="Arial Narrow" w:hAnsi="Arial Narrow" w:cs="Arial"/>
                <w:noProof/>
                <w:snapToGrid w:val="0"/>
                <w:color w:val="000000"/>
                <w:sz w:val="20"/>
                <w:szCs w:val="20"/>
                <w:highlight w:val="black"/>
              </w:rPr>
              <w:t>'''</w:t>
            </w:r>
          </w:p>
        </w:tc>
        <w:tc>
          <w:tcPr>
            <w:tcW w:w="845" w:type="pct"/>
            <w:gridSpan w:val="3"/>
            <w:vAlign w:val="center"/>
          </w:tcPr>
          <w:p w:rsidR="008048AF" w:rsidRPr="002B011F" w:rsidRDefault="00197B45" w:rsidP="002B011F">
            <w:pPr>
              <w:keepNext/>
              <w:keepLines/>
              <w:widowControl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 ''''''''''''''</w:t>
            </w:r>
            <w:r w:rsidR="008048AF" w:rsidRPr="008517F7">
              <w:rPr>
                <w:rFonts w:ascii="Arial Narrow" w:hAnsi="Arial Narrow" w:cs="Arial"/>
                <w:snapToGrid w:val="0"/>
                <w:sz w:val="20"/>
                <w:szCs w:val="20"/>
              </w:rPr>
              <w:t>%</w:t>
            </w:r>
            <w:r>
              <w:rPr>
                <w:rFonts w:ascii="Arial Narrow" w:hAnsi="Arial Narrow" w:cs="Arial"/>
                <w:noProof/>
                <w:snapToGrid w:val="0"/>
                <w:color w:val="000000"/>
                <w:sz w:val="20"/>
                <w:szCs w:val="20"/>
                <w:highlight w:val="black"/>
              </w:rPr>
              <w:t>'''</w:t>
            </w:r>
          </w:p>
        </w:tc>
        <w:tc>
          <w:tcPr>
            <w:tcW w:w="1126" w:type="pct"/>
            <w:gridSpan w:val="2"/>
          </w:tcPr>
          <w:p w:rsidR="008048AF" w:rsidRPr="002B011F" w:rsidRDefault="008048AF" w:rsidP="008048AF">
            <w:pPr>
              <w:keepNext/>
              <w:keepLines/>
              <w:widowControl w:val="0"/>
              <w:jc w:val="center"/>
              <w:rPr>
                <w:rFonts w:ascii="Arial Narrow" w:hAnsi="Arial Narrow" w:cs="Arial"/>
                <w:snapToGrid w:val="0"/>
                <w:color w:val="000000"/>
                <w:sz w:val="20"/>
                <w:szCs w:val="18"/>
              </w:rPr>
            </w:pPr>
          </w:p>
        </w:tc>
        <w:tc>
          <w:tcPr>
            <w:tcW w:w="915" w:type="pct"/>
            <w:gridSpan w:val="2"/>
          </w:tcPr>
          <w:p w:rsidR="008048AF" w:rsidRPr="002B011F" w:rsidRDefault="00197B45" w:rsidP="008048AF">
            <w:pPr>
              <w:keepNext/>
              <w:keepLines/>
              <w:widowControl w:val="0"/>
              <w:jc w:val="center"/>
              <w:rPr>
                <w:rFonts w:ascii="Arial Narrow" w:hAnsi="Arial Narrow" w:cs="Arial"/>
                <w:snapToGrid w:val="0"/>
                <w:color w:val="000000"/>
                <w:sz w:val="20"/>
                <w:szCs w:val="18"/>
              </w:rPr>
            </w:pPr>
            <w:r>
              <w:rPr>
                <w:rFonts w:ascii="Arial Narrow" w:hAnsi="Arial Narrow" w:cs="Arial"/>
                <w:noProof/>
                <w:snapToGrid w:val="0"/>
                <w:color w:val="000000"/>
                <w:sz w:val="20"/>
                <w:szCs w:val="20"/>
                <w:highlight w:val="black"/>
                <w:lang w:eastAsia="en-US"/>
              </w:rPr>
              <w:t>'''''''''' ''''''''''''' ''''''''''</w:t>
            </w:r>
            <w:r w:rsidR="002B011F">
              <w:rPr>
                <w:rFonts w:ascii="Arial Narrow" w:hAnsi="Arial Narrow" w:cs="Arial"/>
                <w:snapToGrid w:val="0"/>
                <w:sz w:val="20"/>
                <w:szCs w:val="20"/>
                <w:lang w:eastAsia="en-US"/>
              </w:rPr>
              <w:t>)</w:t>
            </w:r>
          </w:p>
        </w:tc>
      </w:tr>
      <w:tr w:rsidR="008048AF" w:rsidRPr="002B011F" w:rsidTr="00977EEA">
        <w:trPr>
          <w:cantSplit/>
          <w:trHeight w:val="231"/>
        </w:trPr>
        <w:tc>
          <w:tcPr>
            <w:tcW w:w="5000" w:type="pct"/>
            <w:gridSpan w:val="11"/>
            <w:tcBorders>
              <w:top w:val="double" w:sz="4" w:space="0" w:color="auto"/>
            </w:tcBorders>
            <w:shd w:val="clear" w:color="auto" w:fill="auto"/>
            <w:vAlign w:val="center"/>
          </w:tcPr>
          <w:p w:rsidR="008048AF" w:rsidRPr="002B011F" w:rsidRDefault="008048AF" w:rsidP="008048AF">
            <w:pPr>
              <w:keepNext/>
              <w:keepLines/>
              <w:widowControl w:val="0"/>
              <w:jc w:val="both"/>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 xml:space="preserve">Harms </w:t>
            </w:r>
            <w:r w:rsidR="002B011F">
              <w:rPr>
                <w:rFonts w:ascii="Arial Narrow" w:hAnsi="Arial Narrow" w:cs="Arial"/>
                <w:b/>
                <w:snapToGrid w:val="0"/>
                <w:color w:val="000000"/>
                <w:sz w:val="20"/>
                <w:szCs w:val="18"/>
              </w:rPr>
              <w:t xml:space="preserve">– median </w:t>
            </w:r>
            <w:r w:rsidR="00EA631B">
              <w:rPr>
                <w:rFonts w:ascii="Arial Narrow" w:hAnsi="Arial Narrow" w:cs="Arial"/>
                <w:b/>
                <w:snapToGrid w:val="0"/>
                <w:color w:val="000000"/>
                <w:sz w:val="20"/>
                <w:szCs w:val="18"/>
              </w:rPr>
              <w:t>18.7 months follow-up</w:t>
            </w:r>
          </w:p>
        </w:tc>
      </w:tr>
      <w:tr w:rsidR="008048AF" w:rsidRPr="002B011F" w:rsidTr="004053B3">
        <w:trPr>
          <w:cantSplit/>
          <w:trHeight w:val="74"/>
        </w:trPr>
        <w:tc>
          <w:tcPr>
            <w:tcW w:w="977" w:type="pct"/>
            <w:vMerge w:val="restart"/>
            <w:shd w:val="clear" w:color="auto" w:fill="auto"/>
            <w:vAlign w:val="center"/>
          </w:tcPr>
          <w:p w:rsidR="008048AF" w:rsidRPr="002B011F" w:rsidRDefault="008048AF" w:rsidP="008048AF">
            <w:pPr>
              <w:keepNext/>
              <w:keepLines/>
              <w:widowControl w:val="0"/>
              <w:jc w:val="both"/>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Grade 3 to 5</w:t>
            </w:r>
          </w:p>
        </w:tc>
        <w:tc>
          <w:tcPr>
            <w:tcW w:w="721" w:type="pct"/>
            <w:gridSpan w:val="2"/>
            <w:vMerge w:val="restart"/>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proofErr w:type="spellStart"/>
            <w:r w:rsidRPr="002B011F">
              <w:rPr>
                <w:rFonts w:ascii="Arial Narrow" w:hAnsi="Arial Narrow" w:cs="Arial"/>
                <w:b/>
                <w:snapToGrid w:val="0"/>
                <w:color w:val="000000"/>
                <w:sz w:val="20"/>
                <w:szCs w:val="18"/>
              </w:rPr>
              <w:t>Obinutuzumab</w:t>
            </w:r>
            <w:proofErr w:type="spellEnd"/>
            <w:r w:rsidRPr="002B011F">
              <w:rPr>
                <w:rFonts w:ascii="Arial Narrow" w:hAnsi="Arial Narrow" w:cs="Arial"/>
                <w:b/>
                <w:snapToGrid w:val="0"/>
                <w:color w:val="000000"/>
                <w:sz w:val="20"/>
                <w:szCs w:val="18"/>
              </w:rPr>
              <w:t xml:space="preserve"> +</w:t>
            </w:r>
            <w:proofErr w:type="spellStart"/>
            <w:r w:rsidRPr="002B011F">
              <w:rPr>
                <w:rFonts w:ascii="Arial Narrow" w:hAnsi="Arial Narrow" w:cs="Arial"/>
                <w:b/>
                <w:snapToGrid w:val="0"/>
                <w:color w:val="000000"/>
                <w:sz w:val="20"/>
                <w:szCs w:val="18"/>
              </w:rPr>
              <w:t>chlorambucil</w:t>
            </w:r>
            <w:proofErr w:type="spellEnd"/>
          </w:p>
        </w:tc>
        <w:tc>
          <w:tcPr>
            <w:tcW w:w="702" w:type="pct"/>
            <w:gridSpan w:val="2"/>
            <w:vMerge w:val="restart"/>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Rituximab +</w:t>
            </w:r>
            <w:proofErr w:type="spellStart"/>
            <w:r w:rsidRPr="002B011F">
              <w:rPr>
                <w:rFonts w:ascii="Arial Narrow" w:hAnsi="Arial Narrow" w:cs="Arial"/>
                <w:b/>
                <w:snapToGrid w:val="0"/>
                <w:color w:val="000000"/>
                <w:sz w:val="20"/>
                <w:szCs w:val="18"/>
              </w:rPr>
              <w:t>chlorambucil</w:t>
            </w:r>
            <w:proofErr w:type="spellEnd"/>
          </w:p>
        </w:tc>
        <w:tc>
          <w:tcPr>
            <w:tcW w:w="518" w:type="pct"/>
            <w:vMerge w:val="restart"/>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RR</w:t>
            </w:r>
          </w:p>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(95% CI)</w:t>
            </w:r>
          </w:p>
        </w:tc>
        <w:tc>
          <w:tcPr>
            <w:tcW w:w="1502" w:type="pct"/>
            <w:gridSpan w:val="4"/>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Event rate/100 patients/18.7 months</w:t>
            </w:r>
          </w:p>
        </w:tc>
        <w:tc>
          <w:tcPr>
            <w:tcW w:w="580" w:type="pct"/>
            <w:vMerge w:val="restart"/>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RD</w:t>
            </w:r>
          </w:p>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(95% CI)</w:t>
            </w:r>
          </w:p>
        </w:tc>
      </w:tr>
      <w:tr w:rsidR="008048AF" w:rsidRPr="002B011F" w:rsidTr="004053B3">
        <w:trPr>
          <w:cantSplit/>
          <w:trHeight w:val="414"/>
        </w:trPr>
        <w:tc>
          <w:tcPr>
            <w:tcW w:w="977" w:type="pct"/>
            <w:vMerge/>
            <w:shd w:val="clear" w:color="auto" w:fill="auto"/>
            <w:vAlign w:val="center"/>
          </w:tcPr>
          <w:p w:rsidR="008048AF" w:rsidRPr="002B011F" w:rsidRDefault="008048AF" w:rsidP="008048AF">
            <w:pPr>
              <w:keepNext/>
              <w:keepLines/>
              <w:widowControl w:val="0"/>
              <w:jc w:val="both"/>
              <w:rPr>
                <w:rFonts w:ascii="Arial Narrow" w:hAnsi="Arial Narrow" w:cs="Arial"/>
                <w:b/>
                <w:snapToGrid w:val="0"/>
                <w:color w:val="000000"/>
                <w:sz w:val="20"/>
                <w:szCs w:val="18"/>
              </w:rPr>
            </w:pPr>
          </w:p>
        </w:tc>
        <w:tc>
          <w:tcPr>
            <w:tcW w:w="721" w:type="pct"/>
            <w:gridSpan w:val="2"/>
            <w:vMerge/>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p>
        </w:tc>
        <w:tc>
          <w:tcPr>
            <w:tcW w:w="702" w:type="pct"/>
            <w:gridSpan w:val="2"/>
            <w:vMerge/>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p>
        </w:tc>
        <w:tc>
          <w:tcPr>
            <w:tcW w:w="518" w:type="pct"/>
            <w:vMerge/>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p>
        </w:tc>
        <w:tc>
          <w:tcPr>
            <w:tcW w:w="729" w:type="pct"/>
            <w:gridSpan w:val="2"/>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proofErr w:type="spellStart"/>
            <w:r w:rsidRPr="002B011F">
              <w:rPr>
                <w:rFonts w:ascii="Arial Narrow" w:hAnsi="Arial Narrow" w:cs="Arial"/>
                <w:b/>
                <w:snapToGrid w:val="0"/>
                <w:color w:val="000000"/>
                <w:sz w:val="20"/>
                <w:szCs w:val="18"/>
              </w:rPr>
              <w:t>Obinutuzumab</w:t>
            </w:r>
            <w:proofErr w:type="spellEnd"/>
            <w:r w:rsidRPr="002B011F">
              <w:rPr>
                <w:rFonts w:ascii="Arial Narrow" w:hAnsi="Arial Narrow" w:cs="Arial"/>
                <w:b/>
                <w:snapToGrid w:val="0"/>
                <w:color w:val="000000"/>
                <w:sz w:val="20"/>
                <w:szCs w:val="18"/>
              </w:rPr>
              <w:t xml:space="preserve"> +</w:t>
            </w:r>
            <w:proofErr w:type="spellStart"/>
            <w:r w:rsidRPr="002B011F">
              <w:rPr>
                <w:rFonts w:ascii="Arial Narrow" w:hAnsi="Arial Narrow" w:cs="Arial"/>
                <w:b/>
                <w:snapToGrid w:val="0"/>
                <w:color w:val="000000"/>
                <w:sz w:val="20"/>
                <w:szCs w:val="18"/>
              </w:rPr>
              <w:t>chlorambucil</w:t>
            </w:r>
            <w:proofErr w:type="spellEnd"/>
          </w:p>
        </w:tc>
        <w:tc>
          <w:tcPr>
            <w:tcW w:w="774" w:type="pct"/>
            <w:gridSpan w:val="2"/>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Rituximab +</w:t>
            </w:r>
            <w:proofErr w:type="spellStart"/>
            <w:r w:rsidRPr="002B011F">
              <w:rPr>
                <w:rFonts w:ascii="Arial Narrow" w:hAnsi="Arial Narrow" w:cs="Arial"/>
                <w:b/>
                <w:snapToGrid w:val="0"/>
                <w:color w:val="000000"/>
                <w:sz w:val="20"/>
                <w:szCs w:val="18"/>
              </w:rPr>
              <w:t>chlorambucil</w:t>
            </w:r>
            <w:proofErr w:type="spellEnd"/>
          </w:p>
        </w:tc>
        <w:tc>
          <w:tcPr>
            <w:tcW w:w="580" w:type="pct"/>
            <w:vMerge/>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p>
        </w:tc>
      </w:tr>
      <w:tr w:rsidR="008048AF" w:rsidRPr="002B011F" w:rsidTr="004053B3">
        <w:trPr>
          <w:cantSplit/>
          <w:trHeight w:val="480"/>
        </w:trPr>
        <w:tc>
          <w:tcPr>
            <w:tcW w:w="977" w:type="pct"/>
            <w:shd w:val="clear" w:color="auto" w:fill="auto"/>
            <w:vAlign w:val="center"/>
          </w:tcPr>
          <w:p w:rsidR="008048AF" w:rsidRPr="002B011F" w:rsidRDefault="008048AF" w:rsidP="008048AF">
            <w:pPr>
              <w:keepNext/>
              <w:keepLines/>
              <w:widowControl w:val="0"/>
              <w:jc w:val="both"/>
              <w:rPr>
                <w:rFonts w:ascii="Arial Narrow" w:hAnsi="Arial Narrow" w:cs="Arial"/>
                <w:snapToGrid w:val="0"/>
                <w:color w:val="000000"/>
                <w:sz w:val="20"/>
                <w:szCs w:val="18"/>
              </w:rPr>
            </w:pPr>
            <w:r w:rsidRPr="002B011F">
              <w:rPr>
                <w:rFonts w:ascii="Arial Narrow" w:hAnsi="Arial Narrow" w:cs="Arial"/>
                <w:b/>
                <w:snapToGrid w:val="0"/>
                <w:color w:val="000000"/>
                <w:sz w:val="20"/>
                <w:szCs w:val="18"/>
              </w:rPr>
              <w:t>Infusion-related reactions</w:t>
            </w:r>
            <w:r w:rsidRPr="002B011F">
              <w:rPr>
                <w:rFonts w:ascii="Arial Narrow" w:hAnsi="Arial Narrow" w:cs="Arial"/>
                <w:snapToGrid w:val="0"/>
                <w:color w:val="000000"/>
                <w:sz w:val="20"/>
                <w:szCs w:val="18"/>
              </w:rPr>
              <w:t xml:space="preserve"> </w:t>
            </w:r>
          </w:p>
        </w:tc>
        <w:tc>
          <w:tcPr>
            <w:tcW w:w="721" w:type="pct"/>
            <w:gridSpan w:val="2"/>
            <w:vAlign w:val="center"/>
          </w:tcPr>
          <w:p w:rsidR="008048AF" w:rsidRPr="002B011F" w:rsidRDefault="008048AF" w:rsidP="008048AF">
            <w:pPr>
              <w:keepNext/>
              <w:keepLines/>
              <w:widowControl w:val="0"/>
              <w:jc w:val="center"/>
              <w:rPr>
                <w:rFonts w:ascii="Arial Narrow" w:hAnsi="Arial Narrow" w:cs="Arial"/>
                <w:snapToGrid w:val="0"/>
                <w:color w:val="000000"/>
                <w:sz w:val="20"/>
                <w:szCs w:val="18"/>
              </w:rPr>
            </w:pPr>
            <w:r w:rsidRPr="002B011F">
              <w:rPr>
                <w:rFonts w:ascii="Arial Narrow" w:hAnsi="Arial Narrow" w:cs="Arial"/>
                <w:snapToGrid w:val="0"/>
                <w:color w:val="000000"/>
                <w:sz w:val="20"/>
                <w:szCs w:val="18"/>
              </w:rPr>
              <w:t>66/336</w:t>
            </w:r>
          </w:p>
        </w:tc>
        <w:tc>
          <w:tcPr>
            <w:tcW w:w="702" w:type="pct"/>
            <w:gridSpan w:val="2"/>
            <w:vAlign w:val="center"/>
          </w:tcPr>
          <w:p w:rsidR="008048AF" w:rsidRPr="002B011F" w:rsidRDefault="008048AF" w:rsidP="008048AF">
            <w:pPr>
              <w:keepNext/>
              <w:keepLines/>
              <w:widowControl w:val="0"/>
              <w:jc w:val="center"/>
              <w:rPr>
                <w:rFonts w:ascii="Arial Narrow" w:hAnsi="Arial Narrow" w:cs="Arial"/>
                <w:snapToGrid w:val="0"/>
                <w:color w:val="000000"/>
                <w:sz w:val="20"/>
                <w:szCs w:val="18"/>
              </w:rPr>
            </w:pPr>
            <w:r w:rsidRPr="002B011F">
              <w:rPr>
                <w:rFonts w:ascii="Arial Narrow" w:hAnsi="Arial Narrow" w:cs="Arial"/>
                <w:snapToGrid w:val="0"/>
                <w:color w:val="000000"/>
                <w:sz w:val="20"/>
                <w:szCs w:val="18"/>
              </w:rPr>
              <w:t>12/321</w:t>
            </w:r>
          </w:p>
        </w:tc>
        <w:tc>
          <w:tcPr>
            <w:tcW w:w="518" w:type="pct"/>
            <w:vAlign w:val="center"/>
          </w:tcPr>
          <w:p w:rsidR="008048AF" w:rsidRPr="002B011F" w:rsidRDefault="008048AF" w:rsidP="008048AF">
            <w:pPr>
              <w:keepNext/>
              <w:keepLines/>
              <w:widowControl w:val="0"/>
              <w:jc w:val="center"/>
              <w:rPr>
                <w:rFonts w:ascii="Arial Narrow" w:hAnsi="Arial Narrow" w:cs="Arial"/>
                <w:b/>
                <w:bCs/>
                <w:snapToGrid w:val="0"/>
                <w:sz w:val="20"/>
                <w:szCs w:val="20"/>
              </w:rPr>
            </w:pPr>
            <w:r w:rsidRPr="002B011F">
              <w:rPr>
                <w:rFonts w:ascii="Arial Narrow" w:hAnsi="Arial Narrow" w:cs="Arial"/>
                <w:b/>
                <w:bCs/>
                <w:snapToGrid w:val="0"/>
                <w:sz w:val="20"/>
                <w:szCs w:val="20"/>
              </w:rPr>
              <w:t xml:space="preserve">5.25 </w:t>
            </w:r>
          </w:p>
          <w:p w:rsidR="008048AF" w:rsidRPr="002B011F" w:rsidRDefault="008048AF" w:rsidP="008048AF">
            <w:pPr>
              <w:keepNext/>
              <w:keepLines/>
              <w:widowControl w:val="0"/>
              <w:jc w:val="center"/>
              <w:rPr>
                <w:rFonts w:ascii="Arial Narrow" w:hAnsi="Arial Narrow" w:cs="Arial"/>
                <w:snapToGrid w:val="0"/>
                <w:color w:val="000000"/>
                <w:sz w:val="20"/>
                <w:szCs w:val="18"/>
              </w:rPr>
            </w:pPr>
            <w:r w:rsidRPr="002B011F">
              <w:rPr>
                <w:rFonts w:ascii="Arial Narrow" w:hAnsi="Arial Narrow" w:cs="Arial"/>
                <w:b/>
                <w:bCs/>
                <w:snapToGrid w:val="0"/>
                <w:sz w:val="20"/>
                <w:szCs w:val="20"/>
              </w:rPr>
              <w:t>(2.90, 9.53)</w:t>
            </w:r>
          </w:p>
        </w:tc>
        <w:tc>
          <w:tcPr>
            <w:tcW w:w="729" w:type="pct"/>
            <w:gridSpan w:val="2"/>
            <w:vAlign w:val="center"/>
          </w:tcPr>
          <w:p w:rsidR="008048AF" w:rsidRPr="002B011F" w:rsidRDefault="008048AF" w:rsidP="008048AF">
            <w:pPr>
              <w:keepNext/>
              <w:keepLines/>
              <w:widowControl w:val="0"/>
              <w:jc w:val="center"/>
              <w:rPr>
                <w:rFonts w:ascii="Arial Narrow" w:hAnsi="Arial Narrow" w:cs="Arial"/>
                <w:snapToGrid w:val="0"/>
                <w:color w:val="000000"/>
                <w:sz w:val="20"/>
                <w:szCs w:val="18"/>
              </w:rPr>
            </w:pPr>
            <w:r w:rsidRPr="002B011F">
              <w:rPr>
                <w:rFonts w:ascii="Arial Narrow" w:hAnsi="Arial Narrow" w:cs="Arial"/>
                <w:snapToGrid w:val="0"/>
                <w:color w:val="000000"/>
                <w:sz w:val="20"/>
                <w:szCs w:val="18"/>
              </w:rPr>
              <w:t>20</w:t>
            </w:r>
          </w:p>
        </w:tc>
        <w:tc>
          <w:tcPr>
            <w:tcW w:w="774" w:type="pct"/>
            <w:gridSpan w:val="2"/>
            <w:vAlign w:val="center"/>
          </w:tcPr>
          <w:p w:rsidR="008048AF" w:rsidRPr="002B011F" w:rsidRDefault="008048AF" w:rsidP="008048AF">
            <w:pPr>
              <w:keepNext/>
              <w:keepLines/>
              <w:widowControl w:val="0"/>
              <w:jc w:val="center"/>
              <w:rPr>
                <w:rFonts w:ascii="Arial Narrow" w:hAnsi="Arial Narrow" w:cs="Arial"/>
                <w:snapToGrid w:val="0"/>
                <w:color w:val="000000"/>
                <w:sz w:val="20"/>
                <w:szCs w:val="18"/>
              </w:rPr>
            </w:pPr>
            <w:r w:rsidRPr="002B011F">
              <w:rPr>
                <w:rFonts w:ascii="Arial Narrow" w:hAnsi="Arial Narrow" w:cs="Arial"/>
                <w:snapToGrid w:val="0"/>
                <w:color w:val="000000"/>
                <w:sz w:val="20"/>
                <w:szCs w:val="18"/>
              </w:rPr>
              <w:t>4</w:t>
            </w:r>
          </w:p>
        </w:tc>
        <w:tc>
          <w:tcPr>
            <w:tcW w:w="580" w:type="pct"/>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0.16</w:t>
            </w:r>
          </w:p>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(0.11, 0.21)</w:t>
            </w:r>
          </w:p>
        </w:tc>
      </w:tr>
      <w:tr w:rsidR="008048AF" w:rsidRPr="002B011F" w:rsidTr="004053B3">
        <w:trPr>
          <w:cantSplit/>
          <w:trHeight w:val="480"/>
        </w:trPr>
        <w:tc>
          <w:tcPr>
            <w:tcW w:w="977" w:type="pct"/>
            <w:shd w:val="clear" w:color="auto" w:fill="auto"/>
            <w:vAlign w:val="center"/>
          </w:tcPr>
          <w:p w:rsidR="008048AF" w:rsidRPr="002B011F" w:rsidRDefault="008048AF" w:rsidP="008048AF">
            <w:pPr>
              <w:keepNext/>
              <w:keepLines/>
              <w:widowControl w:val="0"/>
              <w:jc w:val="both"/>
              <w:rPr>
                <w:rFonts w:ascii="Arial Narrow" w:hAnsi="Arial Narrow" w:cs="Arial"/>
                <w:snapToGrid w:val="0"/>
                <w:color w:val="000000"/>
                <w:sz w:val="20"/>
                <w:szCs w:val="18"/>
              </w:rPr>
            </w:pPr>
            <w:r w:rsidRPr="002B011F">
              <w:rPr>
                <w:rFonts w:ascii="Arial Narrow" w:hAnsi="Arial Narrow" w:cs="Arial"/>
                <w:b/>
                <w:snapToGrid w:val="0"/>
                <w:color w:val="000000"/>
                <w:sz w:val="20"/>
                <w:szCs w:val="18"/>
              </w:rPr>
              <w:t>Neutropenia</w:t>
            </w:r>
            <w:r w:rsidRPr="002B011F" w:rsidDel="00C26ABF">
              <w:rPr>
                <w:rFonts w:ascii="Arial Narrow" w:hAnsi="Arial Narrow" w:cs="Arial"/>
                <w:snapToGrid w:val="0"/>
                <w:color w:val="000000"/>
                <w:sz w:val="20"/>
                <w:szCs w:val="18"/>
              </w:rPr>
              <w:t xml:space="preserve"> </w:t>
            </w:r>
          </w:p>
          <w:p w:rsidR="008048AF" w:rsidRPr="002B011F" w:rsidRDefault="008048AF" w:rsidP="008048AF">
            <w:pPr>
              <w:keepNext/>
              <w:keepLines/>
              <w:widowControl w:val="0"/>
              <w:jc w:val="both"/>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(Grade 4-5)</w:t>
            </w:r>
            <w:r w:rsidRPr="002B011F">
              <w:rPr>
                <w:rFonts w:ascii="Arial Narrow" w:hAnsi="Arial Narrow" w:cs="Arial"/>
                <w:b/>
                <w:snapToGrid w:val="0"/>
                <w:color w:val="000000"/>
                <w:sz w:val="20"/>
                <w:szCs w:val="18"/>
                <w:vertAlign w:val="superscript"/>
              </w:rPr>
              <w:t>a</w:t>
            </w:r>
          </w:p>
        </w:tc>
        <w:tc>
          <w:tcPr>
            <w:tcW w:w="721" w:type="pct"/>
            <w:gridSpan w:val="2"/>
            <w:vAlign w:val="center"/>
          </w:tcPr>
          <w:p w:rsidR="008048AF" w:rsidRPr="002B011F" w:rsidRDefault="008048AF" w:rsidP="008048AF">
            <w:pPr>
              <w:keepNext/>
              <w:keepLines/>
              <w:widowControl w:val="0"/>
              <w:jc w:val="center"/>
              <w:rPr>
                <w:rFonts w:ascii="Arial Narrow" w:hAnsi="Arial Narrow" w:cs="Arial"/>
                <w:snapToGrid w:val="0"/>
                <w:color w:val="000000"/>
                <w:sz w:val="20"/>
                <w:szCs w:val="18"/>
              </w:rPr>
            </w:pPr>
            <w:r w:rsidRPr="002B011F">
              <w:rPr>
                <w:rFonts w:ascii="Arial Narrow" w:hAnsi="Arial Narrow" w:cs="Arial"/>
                <w:snapToGrid w:val="0"/>
                <w:color w:val="000000"/>
                <w:sz w:val="20"/>
                <w:szCs w:val="18"/>
              </w:rPr>
              <w:t>59/336</w:t>
            </w:r>
          </w:p>
        </w:tc>
        <w:tc>
          <w:tcPr>
            <w:tcW w:w="702" w:type="pct"/>
            <w:gridSpan w:val="2"/>
            <w:vAlign w:val="center"/>
          </w:tcPr>
          <w:p w:rsidR="008048AF" w:rsidRPr="002B011F" w:rsidRDefault="008048AF" w:rsidP="008048AF">
            <w:pPr>
              <w:keepNext/>
              <w:keepLines/>
              <w:widowControl w:val="0"/>
              <w:jc w:val="center"/>
              <w:rPr>
                <w:rFonts w:ascii="Arial Narrow" w:hAnsi="Arial Narrow" w:cs="Arial"/>
                <w:snapToGrid w:val="0"/>
                <w:color w:val="000000"/>
                <w:sz w:val="20"/>
                <w:szCs w:val="18"/>
              </w:rPr>
            </w:pPr>
            <w:r w:rsidRPr="002B011F">
              <w:rPr>
                <w:rFonts w:ascii="Arial Narrow" w:hAnsi="Arial Narrow" w:cs="Arial"/>
                <w:snapToGrid w:val="0"/>
                <w:color w:val="000000"/>
                <w:sz w:val="20"/>
                <w:szCs w:val="18"/>
              </w:rPr>
              <w:t>35/321</w:t>
            </w:r>
          </w:p>
        </w:tc>
        <w:tc>
          <w:tcPr>
            <w:tcW w:w="518" w:type="pct"/>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1.61</w:t>
            </w:r>
          </w:p>
          <w:p w:rsidR="008048AF" w:rsidRPr="002B011F" w:rsidRDefault="008048AF" w:rsidP="008048AF">
            <w:pPr>
              <w:keepNext/>
              <w:keepLines/>
              <w:widowControl w:val="0"/>
              <w:jc w:val="center"/>
              <w:rPr>
                <w:rFonts w:ascii="Arial Narrow" w:hAnsi="Arial Narrow" w:cs="Arial"/>
                <w:snapToGrid w:val="0"/>
                <w:color w:val="000000"/>
                <w:sz w:val="20"/>
                <w:szCs w:val="18"/>
              </w:rPr>
            </w:pPr>
            <w:r w:rsidRPr="002B011F">
              <w:rPr>
                <w:rFonts w:ascii="Arial Narrow" w:hAnsi="Arial Narrow" w:cs="Arial"/>
                <w:b/>
                <w:snapToGrid w:val="0"/>
                <w:color w:val="000000"/>
                <w:sz w:val="20"/>
                <w:szCs w:val="18"/>
              </w:rPr>
              <w:t>(1.09, 2.38)</w:t>
            </w:r>
          </w:p>
        </w:tc>
        <w:tc>
          <w:tcPr>
            <w:tcW w:w="729" w:type="pct"/>
            <w:gridSpan w:val="2"/>
            <w:vAlign w:val="center"/>
          </w:tcPr>
          <w:p w:rsidR="008048AF" w:rsidRPr="002B011F" w:rsidRDefault="008048AF" w:rsidP="008048AF">
            <w:pPr>
              <w:keepNext/>
              <w:keepLines/>
              <w:widowControl w:val="0"/>
              <w:jc w:val="center"/>
              <w:rPr>
                <w:rFonts w:ascii="Arial Narrow" w:hAnsi="Arial Narrow" w:cs="Arial"/>
                <w:snapToGrid w:val="0"/>
                <w:color w:val="000000"/>
                <w:sz w:val="20"/>
                <w:szCs w:val="18"/>
              </w:rPr>
            </w:pPr>
            <w:r w:rsidRPr="002B011F">
              <w:rPr>
                <w:rFonts w:ascii="Arial Narrow" w:hAnsi="Arial Narrow" w:cs="Arial"/>
                <w:snapToGrid w:val="0"/>
                <w:color w:val="000000"/>
                <w:sz w:val="20"/>
                <w:szCs w:val="18"/>
              </w:rPr>
              <w:t>18</w:t>
            </w:r>
          </w:p>
        </w:tc>
        <w:tc>
          <w:tcPr>
            <w:tcW w:w="774" w:type="pct"/>
            <w:gridSpan w:val="2"/>
            <w:vAlign w:val="center"/>
          </w:tcPr>
          <w:p w:rsidR="008048AF" w:rsidRPr="002B011F" w:rsidRDefault="008048AF" w:rsidP="008048AF">
            <w:pPr>
              <w:keepNext/>
              <w:keepLines/>
              <w:widowControl w:val="0"/>
              <w:jc w:val="center"/>
              <w:rPr>
                <w:rFonts w:ascii="Arial Narrow" w:hAnsi="Arial Narrow" w:cs="Arial"/>
                <w:snapToGrid w:val="0"/>
                <w:color w:val="000000"/>
                <w:sz w:val="20"/>
                <w:szCs w:val="18"/>
              </w:rPr>
            </w:pPr>
            <w:r w:rsidRPr="002B011F">
              <w:rPr>
                <w:rFonts w:ascii="Arial Narrow" w:hAnsi="Arial Narrow" w:cs="Arial"/>
                <w:snapToGrid w:val="0"/>
                <w:color w:val="000000"/>
                <w:sz w:val="20"/>
                <w:szCs w:val="18"/>
              </w:rPr>
              <w:t>11</w:t>
            </w:r>
          </w:p>
        </w:tc>
        <w:tc>
          <w:tcPr>
            <w:tcW w:w="580" w:type="pct"/>
            <w:vAlign w:val="center"/>
          </w:tcPr>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0.07</w:t>
            </w:r>
          </w:p>
          <w:p w:rsidR="008048AF" w:rsidRPr="002B011F" w:rsidRDefault="008048AF" w:rsidP="008048AF">
            <w:pPr>
              <w:keepNext/>
              <w:keepLines/>
              <w:widowControl w:val="0"/>
              <w:jc w:val="center"/>
              <w:rPr>
                <w:rFonts w:ascii="Arial Narrow" w:hAnsi="Arial Narrow" w:cs="Arial"/>
                <w:b/>
                <w:snapToGrid w:val="0"/>
                <w:color w:val="000000"/>
                <w:sz w:val="20"/>
                <w:szCs w:val="18"/>
              </w:rPr>
            </w:pPr>
            <w:r w:rsidRPr="002B011F">
              <w:rPr>
                <w:rFonts w:ascii="Arial Narrow" w:hAnsi="Arial Narrow" w:cs="Arial"/>
                <w:b/>
                <w:snapToGrid w:val="0"/>
                <w:color w:val="000000"/>
                <w:sz w:val="20"/>
                <w:szCs w:val="18"/>
              </w:rPr>
              <w:t>(0.01, 0.12)</w:t>
            </w:r>
          </w:p>
        </w:tc>
      </w:tr>
      <w:tr w:rsidR="004053B3" w:rsidRPr="002B011F" w:rsidTr="004053B3">
        <w:trPr>
          <w:cantSplit/>
          <w:trHeight w:val="498"/>
        </w:trPr>
        <w:tc>
          <w:tcPr>
            <w:tcW w:w="977" w:type="pct"/>
            <w:shd w:val="clear" w:color="auto" w:fill="auto"/>
            <w:vAlign w:val="center"/>
          </w:tcPr>
          <w:p w:rsidR="004053B3" w:rsidRPr="002B011F" w:rsidRDefault="004053B3" w:rsidP="008048AF">
            <w:pPr>
              <w:keepNext/>
              <w:keepLines/>
              <w:widowControl w:val="0"/>
              <w:jc w:val="both"/>
              <w:rPr>
                <w:rFonts w:ascii="Arial Narrow" w:hAnsi="Arial Narrow" w:cs="Arial"/>
                <w:snapToGrid w:val="0"/>
                <w:color w:val="000000"/>
                <w:sz w:val="20"/>
                <w:szCs w:val="18"/>
              </w:rPr>
            </w:pPr>
            <w:r w:rsidRPr="002B011F">
              <w:rPr>
                <w:rFonts w:ascii="Arial Narrow" w:hAnsi="Arial Narrow" w:cs="Arial"/>
                <w:b/>
                <w:snapToGrid w:val="0"/>
                <w:color w:val="000000"/>
                <w:sz w:val="20"/>
                <w:szCs w:val="18"/>
              </w:rPr>
              <w:t>Thrombocytopenia</w:t>
            </w:r>
            <w:r w:rsidRPr="002B011F">
              <w:rPr>
                <w:rFonts w:ascii="Arial Narrow" w:hAnsi="Arial Narrow" w:cs="Arial"/>
                <w:snapToGrid w:val="0"/>
                <w:color w:val="000000"/>
                <w:sz w:val="20"/>
                <w:szCs w:val="18"/>
              </w:rPr>
              <w:t xml:space="preserve"> </w:t>
            </w:r>
          </w:p>
        </w:tc>
        <w:tc>
          <w:tcPr>
            <w:tcW w:w="721" w:type="pct"/>
            <w:gridSpan w:val="2"/>
            <w:vAlign w:val="center"/>
          </w:tcPr>
          <w:p w:rsidR="004053B3" w:rsidRPr="002B011F" w:rsidRDefault="004053B3" w:rsidP="008048AF">
            <w:pPr>
              <w:keepNext/>
              <w:keepLines/>
              <w:widowControl w:val="0"/>
              <w:jc w:val="center"/>
              <w:rPr>
                <w:rFonts w:ascii="Arial Narrow" w:hAnsi="Arial Narrow" w:cs="Arial"/>
                <w:snapToGrid w:val="0"/>
                <w:color w:val="000000"/>
                <w:sz w:val="20"/>
                <w:szCs w:val="18"/>
              </w:rPr>
            </w:pPr>
            <w:r>
              <w:rPr>
                <w:rFonts w:ascii="Arial Narrow" w:hAnsi="Arial Narrow"/>
                <w:color w:val="000000"/>
                <w:sz w:val="20"/>
                <w:szCs w:val="20"/>
              </w:rPr>
              <w:t>35/336</w:t>
            </w:r>
          </w:p>
        </w:tc>
        <w:tc>
          <w:tcPr>
            <w:tcW w:w="702" w:type="pct"/>
            <w:gridSpan w:val="2"/>
            <w:vAlign w:val="center"/>
          </w:tcPr>
          <w:p w:rsidR="004053B3" w:rsidRPr="002B011F" w:rsidRDefault="004053B3" w:rsidP="008048AF">
            <w:pPr>
              <w:keepNext/>
              <w:keepLines/>
              <w:widowControl w:val="0"/>
              <w:jc w:val="center"/>
              <w:rPr>
                <w:rFonts w:ascii="Arial Narrow" w:hAnsi="Arial Narrow" w:cs="Arial"/>
                <w:snapToGrid w:val="0"/>
                <w:color w:val="000000"/>
                <w:sz w:val="20"/>
                <w:szCs w:val="18"/>
              </w:rPr>
            </w:pPr>
            <w:r>
              <w:rPr>
                <w:rFonts w:ascii="Arial Narrow" w:hAnsi="Arial Narrow"/>
                <w:color w:val="000000"/>
                <w:sz w:val="20"/>
                <w:szCs w:val="20"/>
              </w:rPr>
              <w:t>10/321</w:t>
            </w:r>
          </w:p>
        </w:tc>
        <w:tc>
          <w:tcPr>
            <w:tcW w:w="518" w:type="pct"/>
            <w:vAlign w:val="center"/>
          </w:tcPr>
          <w:p w:rsidR="004053B3" w:rsidRDefault="004053B3" w:rsidP="008048AF">
            <w:pPr>
              <w:keepNext/>
              <w:keepLines/>
              <w:widowControl w:val="0"/>
              <w:jc w:val="center"/>
              <w:rPr>
                <w:rFonts w:ascii="Arial Narrow" w:hAnsi="Arial Narrow"/>
                <w:b/>
                <w:bCs/>
                <w:color w:val="000000"/>
                <w:sz w:val="20"/>
                <w:szCs w:val="20"/>
              </w:rPr>
            </w:pPr>
            <w:r>
              <w:rPr>
                <w:rFonts w:ascii="Arial Narrow" w:hAnsi="Arial Narrow"/>
                <w:b/>
                <w:bCs/>
                <w:color w:val="000000"/>
                <w:sz w:val="20"/>
                <w:szCs w:val="20"/>
              </w:rPr>
              <w:t xml:space="preserve">3.34 </w:t>
            </w:r>
          </w:p>
          <w:p w:rsidR="004053B3" w:rsidRPr="002B011F" w:rsidRDefault="004053B3" w:rsidP="008048AF">
            <w:pPr>
              <w:keepNext/>
              <w:keepLines/>
              <w:widowControl w:val="0"/>
              <w:jc w:val="center"/>
              <w:rPr>
                <w:rFonts w:ascii="Arial Narrow" w:hAnsi="Arial Narrow" w:cs="Arial"/>
                <w:snapToGrid w:val="0"/>
                <w:color w:val="000000"/>
                <w:sz w:val="20"/>
                <w:szCs w:val="18"/>
              </w:rPr>
            </w:pPr>
            <w:r>
              <w:rPr>
                <w:rFonts w:ascii="Arial Narrow" w:hAnsi="Arial Narrow"/>
                <w:b/>
                <w:bCs/>
                <w:color w:val="000000"/>
                <w:sz w:val="20"/>
                <w:szCs w:val="20"/>
              </w:rPr>
              <w:t>(1.68, 6.64)</w:t>
            </w:r>
          </w:p>
        </w:tc>
        <w:tc>
          <w:tcPr>
            <w:tcW w:w="729" w:type="pct"/>
            <w:gridSpan w:val="2"/>
            <w:vAlign w:val="center"/>
          </w:tcPr>
          <w:p w:rsidR="004053B3" w:rsidRPr="002B011F" w:rsidRDefault="004053B3" w:rsidP="008048AF">
            <w:pPr>
              <w:keepNext/>
              <w:keepLines/>
              <w:widowControl w:val="0"/>
              <w:jc w:val="center"/>
              <w:rPr>
                <w:rFonts w:ascii="Arial Narrow" w:hAnsi="Arial Narrow" w:cs="Arial"/>
                <w:snapToGrid w:val="0"/>
                <w:color w:val="000000"/>
                <w:sz w:val="20"/>
                <w:szCs w:val="18"/>
              </w:rPr>
            </w:pPr>
            <w:r>
              <w:rPr>
                <w:rFonts w:ascii="Arial Narrow" w:hAnsi="Arial Narrow"/>
                <w:color w:val="000000"/>
                <w:sz w:val="20"/>
                <w:szCs w:val="20"/>
              </w:rPr>
              <w:t>10</w:t>
            </w:r>
          </w:p>
        </w:tc>
        <w:tc>
          <w:tcPr>
            <w:tcW w:w="774" w:type="pct"/>
            <w:gridSpan w:val="2"/>
            <w:vAlign w:val="center"/>
          </w:tcPr>
          <w:p w:rsidR="004053B3" w:rsidRPr="002B011F" w:rsidRDefault="004053B3" w:rsidP="008048AF">
            <w:pPr>
              <w:keepNext/>
              <w:keepLines/>
              <w:widowControl w:val="0"/>
              <w:jc w:val="center"/>
              <w:rPr>
                <w:rFonts w:ascii="Arial Narrow" w:hAnsi="Arial Narrow" w:cs="Arial"/>
                <w:snapToGrid w:val="0"/>
                <w:color w:val="000000"/>
                <w:sz w:val="20"/>
                <w:szCs w:val="18"/>
              </w:rPr>
            </w:pPr>
            <w:r>
              <w:rPr>
                <w:rFonts w:ascii="Arial Narrow" w:hAnsi="Arial Narrow"/>
                <w:color w:val="000000"/>
                <w:sz w:val="20"/>
                <w:szCs w:val="20"/>
              </w:rPr>
              <w:t>3</w:t>
            </w:r>
          </w:p>
        </w:tc>
        <w:tc>
          <w:tcPr>
            <w:tcW w:w="580" w:type="pct"/>
            <w:vAlign w:val="center"/>
          </w:tcPr>
          <w:p w:rsidR="004053B3" w:rsidRDefault="004053B3">
            <w:pPr>
              <w:spacing w:before="100" w:beforeAutospacing="1" w:after="100" w:afterAutospacing="1"/>
              <w:jc w:val="center"/>
            </w:pPr>
            <w:r>
              <w:rPr>
                <w:rFonts w:ascii="Arial Narrow" w:hAnsi="Arial Narrow"/>
                <w:b/>
                <w:bCs/>
                <w:color w:val="000000"/>
                <w:sz w:val="20"/>
                <w:szCs w:val="20"/>
              </w:rPr>
              <w:t>0.07</w:t>
            </w:r>
          </w:p>
          <w:p w:rsidR="004053B3" w:rsidRPr="002B011F" w:rsidRDefault="004053B3" w:rsidP="008048AF">
            <w:pPr>
              <w:keepNext/>
              <w:keepLines/>
              <w:widowControl w:val="0"/>
              <w:jc w:val="center"/>
              <w:rPr>
                <w:rFonts w:ascii="Arial Narrow" w:hAnsi="Arial Narrow" w:cs="Arial"/>
                <w:b/>
                <w:snapToGrid w:val="0"/>
                <w:color w:val="000000"/>
                <w:sz w:val="20"/>
                <w:szCs w:val="18"/>
              </w:rPr>
            </w:pPr>
            <w:r>
              <w:rPr>
                <w:rFonts w:ascii="Arial Narrow" w:hAnsi="Arial Narrow"/>
                <w:b/>
                <w:bCs/>
                <w:color w:val="000000"/>
                <w:sz w:val="20"/>
                <w:szCs w:val="20"/>
              </w:rPr>
              <w:t>(0.04, 0.11)</w:t>
            </w:r>
          </w:p>
        </w:tc>
      </w:tr>
    </w:tbl>
    <w:p w:rsidR="008048AF" w:rsidRPr="002B011F" w:rsidRDefault="008048AF" w:rsidP="00977EEA">
      <w:pPr>
        <w:keepNext/>
        <w:keepLines/>
        <w:widowControl w:val="0"/>
        <w:ind w:firstLine="720"/>
        <w:jc w:val="both"/>
        <w:rPr>
          <w:rFonts w:ascii="Arial Narrow" w:hAnsi="Arial Narrow" w:cs="Arial"/>
          <w:snapToGrid w:val="0"/>
          <w:sz w:val="18"/>
          <w:szCs w:val="20"/>
          <w:lang w:eastAsia="en-US"/>
        </w:rPr>
      </w:pPr>
      <w:r w:rsidRPr="002B011F">
        <w:rPr>
          <w:rFonts w:ascii="Arial Narrow" w:hAnsi="Arial Narrow" w:cs="Arial"/>
          <w:snapToGrid w:val="0"/>
          <w:sz w:val="18"/>
          <w:szCs w:val="20"/>
          <w:lang w:eastAsia="en-US"/>
        </w:rPr>
        <w:t>Abbreviations: RD = risk difference; RR = risk ratio; HR = hazard ratio; CI = confidence interval</w:t>
      </w:r>
    </w:p>
    <w:p w:rsidR="008048AF" w:rsidRPr="002B011F" w:rsidRDefault="008048AF" w:rsidP="00977EEA">
      <w:pPr>
        <w:keepNext/>
        <w:keepLines/>
        <w:widowControl w:val="0"/>
        <w:ind w:firstLine="720"/>
        <w:jc w:val="both"/>
        <w:rPr>
          <w:rFonts w:ascii="Arial Narrow" w:hAnsi="Arial Narrow" w:cs="Arial"/>
          <w:snapToGrid w:val="0"/>
          <w:sz w:val="18"/>
          <w:szCs w:val="20"/>
          <w:lang w:eastAsia="en-US"/>
        </w:rPr>
      </w:pPr>
      <w:r w:rsidRPr="002B011F">
        <w:rPr>
          <w:rFonts w:ascii="Arial Narrow" w:hAnsi="Arial Narrow" w:cs="Arial"/>
          <w:snapToGrid w:val="0"/>
          <w:sz w:val="18"/>
          <w:szCs w:val="20"/>
          <w:lang w:eastAsia="en-US"/>
        </w:rPr>
        <w:t>Source: Section B.6 of the submission</w:t>
      </w:r>
      <w:r w:rsidR="00197B45">
        <w:rPr>
          <w:rFonts w:ascii="Arial Narrow" w:hAnsi="Arial Narrow" w:cs="Arial"/>
          <w:noProof/>
          <w:snapToGrid w:val="0"/>
          <w:color w:val="000000"/>
          <w:sz w:val="18"/>
          <w:szCs w:val="20"/>
          <w:highlight w:val="black"/>
          <w:lang w:eastAsia="en-US"/>
        </w:rPr>
        <w:t>'' '''''''''' ''''''''' ''''''''''' ''''' '''''''''''' '''''' '''' '''''''''''''''' ''''''''''''' ''''''''''''' '''''' '''''''''''''''''' '''''''''''''''''''''' ''''''''''''' ''''''''''''''''''''''''''</w:t>
      </w:r>
      <w:r w:rsidRPr="002B011F">
        <w:rPr>
          <w:rFonts w:ascii="Arial Narrow" w:hAnsi="Arial Narrow" w:cs="Arial"/>
          <w:snapToGrid w:val="0"/>
          <w:sz w:val="18"/>
          <w:szCs w:val="20"/>
          <w:lang w:eastAsia="en-US"/>
        </w:rPr>
        <w:t xml:space="preserve">. </w:t>
      </w:r>
    </w:p>
    <w:p w:rsidR="008048AF" w:rsidRDefault="008048AF" w:rsidP="008048AF">
      <w:pPr>
        <w:jc w:val="both"/>
        <w:rPr>
          <w:rFonts w:ascii="Arial" w:hAnsi="Arial"/>
          <w:sz w:val="22"/>
          <w:szCs w:val="22"/>
        </w:rPr>
      </w:pPr>
    </w:p>
    <w:p w:rsidR="008048AF" w:rsidRPr="008048AF" w:rsidRDefault="008048AF" w:rsidP="008048AF">
      <w:pPr>
        <w:pStyle w:val="ListParagraph"/>
        <w:numPr>
          <w:ilvl w:val="1"/>
          <w:numId w:val="25"/>
        </w:numPr>
        <w:jc w:val="both"/>
        <w:rPr>
          <w:rFonts w:ascii="Arial" w:hAnsi="Arial"/>
          <w:sz w:val="22"/>
          <w:szCs w:val="22"/>
        </w:rPr>
      </w:pPr>
      <w:r w:rsidRPr="008048AF">
        <w:rPr>
          <w:rFonts w:ascii="Arial" w:hAnsi="Arial"/>
          <w:sz w:val="22"/>
          <w:szCs w:val="22"/>
        </w:rPr>
        <w:t xml:space="preserve">On the basis of direct evidence presented by the submission, the comparison of </w:t>
      </w:r>
      <w:proofErr w:type="spellStart"/>
      <w:r w:rsidRPr="008048AF">
        <w:rPr>
          <w:rFonts w:ascii="Arial" w:hAnsi="Arial"/>
          <w:sz w:val="22"/>
          <w:szCs w:val="22"/>
        </w:rPr>
        <w:t>obinutuzumab</w:t>
      </w:r>
      <w:proofErr w:type="spellEnd"/>
      <w:r w:rsidRPr="008048AF">
        <w:rPr>
          <w:rFonts w:ascii="Arial" w:hAnsi="Arial"/>
          <w:sz w:val="22"/>
          <w:szCs w:val="22"/>
        </w:rPr>
        <w:t xml:space="preserve"> plus </w:t>
      </w:r>
      <w:proofErr w:type="spellStart"/>
      <w:r w:rsidRPr="008048AF">
        <w:rPr>
          <w:rFonts w:ascii="Arial" w:hAnsi="Arial"/>
          <w:sz w:val="22"/>
          <w:szCs w:val="22"/>
        </w:rPr>
        <w:t>chlorambucil</w:t>
      </w:r>
      <w:proofErr w:type="spellEnd"/>
      <w:r w:rsidRPr="008048AF">
        <w:rPr>
          <w:rFonts w:ascii="Arial" w:hAnsi="Arial"/>
          <w:sz w:val="22"/>
          <w:szCs w:val="22"/>
        </w:rPr>
        <w:t xml:space="preserve"> and rituximab plus </w:t>
      </w:r>
      <w:proofErr w:type="spellStart"/>
      <w:r w:rsidRPr="008048AF">
        <w:rPr>
          <w:rFonts w:ascii="Arial" w:hAnsi="Arial"/>
          <w:sz w:val="22"/>
          <w:szCs w:val="22"/>
        </w:rPr>
        <w:t>chlorambucil</w:t>
      </w:r>
      <w:proofErr w:type="spellEnd"/>
      <w:r w:rsidR="00EA631B" w:rsidRPr="00EA631B">
        <w:rPr>
          <w:rFonts w:ascii="Arial" w:hAnsi="Arial"/>
          <w:sz w:val="22"/>
          <w:szCs w:val="22"/>
        </w:rPr>
        <w:t xml:space="preserve"> </w:t>
      </w:r>
      <w:r w:rsidR="00EA631B" w:rsidRPr="008048AF">
        <w:rPr>
          <w:rFonts w:ascii="Arial" w:hAnsi="Arial"/>
          <w:sz w:val="22"/>
          <w:szCs w:val="22"/>
        </w:rPr>
        <w:t xml:space="preserve">over a median follow-up of </w:t>
      </w:r>
      <w:r w:rsidR="00197B45">
        <w:rPr>
          <w:rFonts w:ascii="Arial" w:hAnsi="Arial"/>
          <w:noProof/>
          <w:color w:val="000000"/>
          <w:sz w:val="22"/>
          <w:szCs w:val="22"/>
          <w:highlight w:val="black"/>
        </w:rPr>
        <w:t xml:space="preserve">''''''''''' </w:t>
      </w:r>
      <w:r w:rsidR="00EA631B" w:rsidRPr="008048AF">
        <w:rPr>
          <w:rFonts w:ascii="Arial" w:hAnsi="Arial"/>
          <w:sz w:val="22"/>
          <w:szCs w:val="22"/>
        </w:rPr>
        <w:t>months</w:t>
      </w:r>
      <w:r w:rsidR="00EA631B">
        <w:rPr>
          <w:rFonts w:ascii="Arial" w:hAnsi="Arial"/>
          <w:sz w:val="22"/>
          <w:szCs w:val="22"/>
        </w:rPr>
        <w:t>,</w:t>
      </w:r>
      <w:r w:rsidRPr="008048AF">
        <w:rPr>
          <w:rFonts w:ascii="Arial" w:hAnsi="Arial"/>
          <w:sz w:val="22"/>
          <w:szCs w:val="22"/>
        </w:rPr>
        <w:t xml:space="preserve"> resulted in:</w:t>
      </w:r>
    </w:p>
    <w:p w:rsidR="008048AF" w:rsidRPr="008048AF" w:rsidRDefault="00F66E3C" w:rsidP="008048AF">
      <w:pPr>
        <w:pStyle w:val="ListParagraph"/>
        <w:numPr>
          <w:ilvl w:val="0"/>
          <w:numId w:val="41"/>
        </w:numPr>
        <w:jc w:val="both"/>
        <w:rPr>
          <w:rFonts w:ascii="Arial" w:hAnsi="Arial"/>
          <w:sz w:val="22"/>
          <w:szCs w:val="22"/>
        </w:rPr>
      </w:pPr>
      <w:r w:rsidRPr="008048AF">
        <w:rPr>
          <w:rFonts w:ascii="Arial" w:hAnsi="Arial"/>
          <w:sz w:val="22"/>
          <w:szCs w:val="22"/>
        </w:rPr>
        <w:t>A</w:t>
      </w:r>
      <w:r>
        <w:rPr>
          <w:rFonts w:ascii="Arial" w:hAnsi="Arial"/>
          <w:sz w:val="22"/>
          <w:szCs w:val="22"/>
        </w:rPr>
        <w:t>n improvement in median PFS of</w:t>
      </w:r>
      <w:r w:rsidRPr="008048AF">
        <w:rPr>
          <w:rFonts w:ascii="Arial" w:hAnsi="Arial"/>
          <w:sz w:val="22"/>
          <w:szCs w:val="22"/>
        </w:rPr>
        <w:t xml:space="preserve"> </w:t>
      </w:r>
      <w:r w:rsidR="00197B45">
        <w:rPr>
          <w:rFonts w:ascii="Arial" w:hAnsi="Arial"/>
          <w:noProof/>
          <w:color w:val="000000"/>
          <w:sz w:val="22"/>
          <w:szCs w:val="22"/>
          <w:highlight w:val="black"/>
        </w:rPr>
        <w:t>''''''</w:t>
      </w:r>
      <w:r w:rsidR="008048AF" w:rsidRPr="008517F7">
        <w:rPr>
          <w:rFonts w:ascii="Arial" w:hAnsi="Arial"/>
          <w:sz w:val="22"/>
          <w:szCs w:val="22"/>
        </w:rPr>
        <w:t xml:space="preserve"> </w:t>
      </w:r>
      <w:r w:rsidR="008048AF" w:rsidRPr="008048AF">
        <w:rPr>
          <w:rFonts w:ascii="Arial" w:hAnsi="Arial"/>
          <w:sz w:val="22"/>
          <w:szCs w:val="22"/>
        </w:rPr>
        <w:t>months.</w:t>
      </w:r>
    </w:p>
    <w:p w:rsidR="00EA631B" w:rsidRDefault="00EA631B" w:rsidP="008048AF">
      <w:pPr>
        <w:pStyle w:val="ListParagraph"/>
        <w:numPr>
          <w:ilvl w:val="0"/>
          <w:numId w:val="41"/>
        </w:numPr>
        <w:jc w:val="both"/>
        <w:rPr>
          <w:rFonts w:ascii="Arial" w:hAnsi="Arial"/>
          <w:sz w:val="22"/>
          <w:szCs w:val="22"/>
        </w:rPr>
      </w:pPr>
      <w:r>
        <w:rPr>
          <w:rFonts w:ascii="Arial" w:hAnsi="Arial"/>
          <w:sz w:val="22"/>
          <w:szCs w:val="22"/>
        </w:rPr>
        <w:t xml:space="preserve">Approximately </w:t>
      </w:r>
      <w:r w:rsidR="00197B45">
        <w:rPr>
          <w:rFonts w:ascii="Arial" w:hAnsi="Arial"/>
          <w:noProof/>
          <w:color w:val="000000"/>
          <w:sz w:val="22"/>
          <w:szCs w:val="22"/>
          <w:highlight w:val="black"/>
        </w:rPr>
        <w:t>''''''</w:t>
      </w:r>
      <w:r w:rsidRPr="008517F7">
        <w:rPr>
          <w:rFonts w:ascii="Arial" w:hAnsi="Arial"/>
          <w:sz w:val="22"/>
          <w:szCs w:val="22"/>
        </w:rPr>
        <w:t xml:space="preserve"> </w:t>
      </w:r>
      <w:r w:rsidR="00B460DB">
        <w:rPr>
          <w:rFonts w:ascii="Arial" w:hAnsi="Arial"/>
          <w:sz w:val="22"/>
          <w:szCs w:val="22"/>
        </w:rPr>
        <w:t>fewer</w:t>
      </w:r>
      <w:r>
        <w:rPr>
          <w:rFonts w:ascii="Arial" w:hAnsi="Arial"/>
          <w:sz w:val="22"/>
          <w:szCs w:val="22"/>
        </w:rPr>
        <w:t xml:space="preserve"> patients per 100 </w:t>
      </w:r>
      <w:r w:rsidR="00B460DB">
        <w:rPr>
          <w:rFonts w:ascii="Arial" w:hAnsi="Arial"/>
          <w:sz w:val="22"/>
          <w:szCs w:val="22"/>
        </w:rPr>
        <w:t>having progressed.</w:t>
      </w:r>
    </w:p>
    <w:p w:rsidR="008048AF" w:rsidRPr="00436F76" w:rsidRDefault="00EA631B" w:rsidP="008048AF">
      <w:pPr>
        <w:pStyle w:val="ListParagraph"/>
        <w:numPr>
          <w:ilvl w:val="0"/>
          <w:numId w:val="41"/>
        </w:numPr>
        <w:jc w:val="both"/>
        <w:rPr>
          <w:rFonts w:ascii="Arial" w:hAnsi="Arial"/>
          <w:sz w:val="22"/>
          <w:szCs w:val="22"/>
        </w:rPr>
      </w:pPr>
      <w:r w:rsidRPr="00436F76">
        <w:rPr>
          <w:rFonts w:ascii="Arial" w:hAnsi="Arial"/>
          <w:sz w:val="22"/>
          <w:szCs w:val="22"/>
        </w:rPr>
        <w:t xml:space="preserve">Approximately </w:t>
      </w:r>
      <w:r w:rsidR="00197B45">
        <w:rPr>
          <w:rFonts w:ascii="Arial" w:hAnsi="Arial"/>
          <w:noProof/>
          <w:color w:val="000000"/>
          <w:sz w:val="22"/>
          <w:szCs w:val="22"/>
          <w:highlight w:val="black"/>
        </w:rPr>
        <w:t>'''''''</w:t>
      </w:r>
      <w:r w:rsidRPr="008517F7">
        <w:rPr>
          <w:rFonts w:ascii="Arial" w:hAnsi="Arial"/>
          <w:sz w:val="22"/>
          <w:szCs w:val="22"/>
        </w:rPr>
        <w:t xml:space="preserve"> </w:t>
      </w:r>
      <w:r w:rsidR="00B460DB" w:rsidRPr="00436F76">
        <w:rPr>
          <w:rFonts w:ascii="Arial" w:hAnsi="Arial"/>
          <w:sz w:val="22"/>
          <w:szCs w:val="22"/>
        </w:rPr>
        <w:t>fewer</w:t>
      </w:r>
      <w:r w:rsidRPr="00436F76">
        <w:rPr>
          <w:rFonts w:ascii="Arial" w:hAnsi="Arial"/>
          <w:sz w:val="22"/>
          <w:szCs w:val="22"/>
        </w:rPr>
        <w:t xml:space="preserve"> patients per 100 requir</w:t>
      </w:r>
      <w:r w:rsidR="00B460DB" w:rsidRPr="00436F76">
        <w:rPr>
          <w:rFonts w:ascii="Arial" w:hAnsi="Arial"/>
          <w:sz w:val="22"/>
          <w:szCs w:val="22"/>
        </w:rPr>
        <w:t>ing</w:t>
      </w:r>
      <w:r w:rsidRPr="00436F76">
        <w:rPr>
          <w:rFonts w:ascii="Arial" w:hAnsi="Arial"/>
          <w:sz w:val="22"/>
          <w:szCs w:val="22"/>
        </w:rPr>
        <w:t xml:space="preserve"> </w:t>
      </w:r>
      <w:r w:rsidR="00B460DB" w:rsidRPr="00436F76">
        <w:rPr>
          <w:rFonts w:ascii="Arial" w:hAnsi="Arial"/>
          <w:sz w:val="22"/>
          <w:szCs w:val="22"/>
        </w:rPr>
        <w:t>further</w:t>
      </w:r>
      <w:r w:rsidRPr="00436F76">
        <w:rPr>
          <w:rFonts w:ascii="Arial" w:hAnsi="Arial"/>
          <w:sz w:val="22"/>
          <w:szCs w:val="22"/>
        </w:rPr>
        <w:t xml:space="preserve"> anti</w:t>
      </w:r>
      <w:r w:rsidRPr="00436F76">
        <w:rPr>
          <w:rFonts w:ascii="Arial" w:hAnsi="Arial"/>
          <w:sz w:val="22"/>
          <w:szCs w:val="22"/>
        </w:rPr>
        <w:noBreakHyphen/>
      </w:r>
      <w:proofErr w:type="spellStart"/>
      <w:r w:rsidRPr="00436F76">
        <w:rPr>
          <w:rFonts w:ascii="Arial" w:hAnsi="Arial"/>
          <w:sz w:val="22"/>
          <w:szCs w:val="22"/>
        </w:rPr>
        <w:t>leukemia</w:t>
      </w:r>
      <w:proofErr w:type="spellEnd"/>
      <w:r w:rsidRPr="00436F76">
        <w:rPr>
          <w:rFonts w:ascii="Arial" w:hAnsi="Arial"/>
          <w:sz w:val="22"/>
          <w:szCs w:val="22"/>
        </w:rPr>
        <w:t xml:space="preserve"> therapy.</w:t>
      </w:r>
      <w:r w:rsidR="00AE57C9" w:rsidRPr="00436F76">
        <w:rPr>
          <w:rFonts w:ascii="Arial" w:hAnsi="Arial"/>
          <w:color w:val="00B050"/>
          <w:sz w:val="22"/>
          <w:szCs w:val="22"/>
        </w:rPr>
        <w:t xml:space="preserve"> </w:t>
      </w:r>
    </w:p>
    <w:p w:rsidR="008048AF" w:rsidRPr="008048AF" w:rsidRDefault="008048AF" w:rsidP="008048AF">
      <w:pPr>
        <w:pStyle w:val="ListParagraph"/>
        <w:jc w:val="both"/>
        <w:rPr>
          <w:rFonts w:ascii="Arial" w:hAnsi="Arial"/>
          <w:sz w:val="22"/>
          <w:szCs w:val="22"/>
        </w:rPr>
      </w:pPr>
    </w:p>
    <w:p w:rsidR="008048AF" w:rsidRPr="008048AF" w:rsidRDefault="008048AF" w:rsidP="008048AF">
      <w:pPr>
        <w:pStyle w:val="ListParagraph"/>
        <w:numPr>
          <w:ilvl w:val="1"/>
          <w:numId w:val="25"/>
        </w:numPr>
        <w:jc w:val="both"/>
        <w:rPr>
          <w:rFonts w:ascii="Arial" w:hAnsi="Arial"/>
          <w:sz w:val="22"/>
          <w:szCs w:val="22"/>
        </w:rPr>
      </w:pPr>
      <w:r w:rsidRPr="008048AF">
        <w:rPr>
          <w:rFonts w:ascii="Arial" w:hAnsi="Arial"/>
          <w:sz w:val="22"/>
          <w:szCs w:val="22"/>
        </w:rPr>
        <w:t xml:space="preserve">On the basis of direct evidence presented by the submission, for every 100 patients treated with </w:t>
      </w:r>
      <w:proofErr w:type="spellStart"/>
      <w:r w:rsidRPr="008048AF">
        <w:rPr>
          <w:rFonts w:ascii="Arial" w:hAnsi="Arial"/>
          <w:sz w:val="22"/>
          <w:szCs w:val="22"/>
        </w:rPr>
        <w:t>obinutuzumab</w:t>
      </w:r>
      <w:proofErr w:type="spellEnd"/>
      <w:r w:rsidRPr="008048AF">
        <w:rPr>
          <w:rFonts w:ascii="Arial" w:hAnsi="Arial"/>
          <w:sz w:val="22"/>
          <w:szCs w:val="22"/>
        </w:rPr>
        <w:t xml:space="preserve"> plus </w:t>
      </w:r>
      <w:proofErr w:type="spellStart"/>
      <w:r w:rsidRPr="008048AF">
        <w:rPr>
          <w:rFonts w:ascii="Arial" w:hAnsi="Arial"/>
          <w:sz w:val="22"/>
          <w:szCs w:val="22"/>
        </w:rPr>
        <w:t>chlorambucil</w:t>
      </w:r>
      <w:proofErr w:type="spellEnd"/>
      <w:r w:rsidRPr="008048AF">
        <w:rPr>
          <w:rFonts w:ascii="Arial" w:hAnsi="Arial"/>
          <w:sz w:val="22"/>
          <w:szCs w:val="22"/>
        </w:rPr>
        <w:t xml:space="preserve">, in comparison to rituximab plus </w:t>
      </w:r>
      <w:proofErr w:type="spellStart"/>
      <w:r w:rsidR="004053B3">
        <w:rPr>
          <w:rFonts w:ascii="Arial" w:hAnsi="Arial"/>
          <w:sz w:val="22"/>
          <w:szCs w:val="22"/>
        </w:rPr>
        <w:t>chlorambucil</w:t>
      </w:r>
      <w:proofErr w:type="spellEnd"/>
      <w:r w:rsidRPr="008048AF">
        <w:rPr>
          <w:rFonts w:ascii="Arial" w:hAnsi="Arial"/>
          <w:sz w:val="22"/>
          <w:szCs w:val="22"/>
        </w:rPr>
        <w:t xml:space="preserve">, over a median duration of follow-up </w:t>
      </w:r>
      <w:r w:rsidR="00436F76">
        <w:rPr>
          <w:rFonts w:ascii="Arial" w:hAnsi="Arial"/>
          <w:sz w:val="22"/>
          <w:szCs w:val="22"/>
        </w:rPr>
        <w:t xml:space="preserve">of 18.7 months, </w:t>
      </w:r>
      <w:r w:rsidRPr="008048AF">
        <w:rPr>
          <w:rFonts w:ascii="Arial" w:hAnsi="Arial"/>
          <w:sz w:val="22"/>
          <w:szCs w:val="22"/>
        </w:rPr>
        <w:t>there would be:</w:t>
      </w:r>
    </w:p>
    <w:p w:rsidR="008048AF" w:rsidRPr="008048AF" w:rsidRDefault="008048AF" w:rsidP="008048AF">
      <w:pPr>
        <w:pStyle w:val="ListParagraph"/>
        <w:numPr>
          <w:ilvl w:val="0"/>
          <w:numId w:val="42"/>
        </w:numPr>
        <w:jc w:val="both"/>
        <w:rPr>
          <w:rFonts w:ascii="Arial" w:hAnsi="Arial"/>
          <w:sz w:val="22"/>
          <w:szCs w:val="22"/>
        </w:rPr>
      </w:pPr>
      <w:r w:rsidRPr="008048AF">
        <w:rPr>
          <w:rFonts w:ascii="Arial" w:hAnsi="Arial"/>
          <w:sz w:val="22"/>
          <w:szCs w:val="22"/>
        </w:rPr>
        <w:t>Approximately 16 additional grade 3 to 5 infusion-related reactions;</w:t>
      </w:r>
    </w:p>
    <w:p w:rsidR="008048AF" w:rsidRPr="00996676" w:rsidRDefault="008048AF" w:rsidP="00996676">
      <w:pPr>
        <w:pStyle w:val="ListParagraph"/>
        <w:numPr>
          <w:ilvl w:val="0"/>
          <w:numId w:val="42"/>
        </w:numPr>
        <w:jc w:val="both"/>
        <w:rPr>
          <w:rFonts w:ascii="Arial" w:hAnsi="Arial"/>
          <w:sz w:val="22"/>
          <w:szCs w:val="22"/>
        </w:rPr>
      </w:pPr>
      <w:r w:rsidRPr="00996676">
        <w:rPr>
          <w:rFonts w:ascii="Arial" w:hAnsi="Arial"/>
          <w:sz w:val="22"/>
          <w:szCs w:val="22"/>
        </w:rPr>
        <w:t>Approximately 7 additional episodes of grade 4 neutropenia</w:t>
      </w:r>
      <w:r w:rsidR="00994A26" w:rsidRPr="00994A26">
        <w:rPr>
          <w:rFonts w:ascii="Arial" w:hAnsi="Arial"/>
          <w:sz w:val="22"/>
          <w:szCs w:val="22"/>
        </w:rPr>
        <w:t xml:space="preserve"> </w:t>
      </w:r>
      <w:r w:rsidR="00994A26">
        <w:rPr>
          <w:rFonts w:ascii="Arial" w:hAnsi="Arial"/>
          <w:sz w:val="22"/>
          <w:szCs w:val="22"/>
        </w:rPr>
        <w:t xml:space="preserve">but no </w:t>
      </w:r>
      <w:r w:rsidR="00994A26" w:rsidRPr="00AE57C9">
        <w:rPr>
          <w:rFonts w:ascii="Arial" w:hAnsi="Arial"/>
          <w:sz w:val="22"/>
          <w:szCs w:val="22"/>
        </w:rPr>
        <w:t>additional episodes</w:t>
      </w:r>
      <w:r w:rsidR="00994A26">
        <w:rPr>
          <w:rFonts w:ascii="Arial" w:hAnsi="Arial"/>
          <w:sz w:val="22"/>
          <w:szCs w:val="22"/>
        </w:rPr>
        <w:t xml:space="preserve"> of</w:t>
      </w:r>
      <w:r w:rsidR="00994A26" w:rsidRPr="00AE57C9">
        <w:rPr>
          <w:rFonts w:ascii="Arial" w:hAnsi="Arial"/>
          <w:sz w:val="22"/>
          <w:szCs w:val="22"/>
        </w:rPr>
        <w:t xml:space="preserve"> infection (all-Grade</w:t>
      </w:r>
      <w:r w:rsidR="00994A26">
        <w:rPr>
          <w:rFonts w:ascii="Arial" w:hAnsi="Arial"/>
          <w:sz w:val="22"/>
          <w:szCs w:val="22"/>
        </w:rPr>
        <w:t xml:space="preserve"> infection)</w:t>
      </w:r>
      <w:r w:rsidR="00994A26" w:rsidRPr="00AE57C9">
        <w:rPr>
          <w:rFonts w:ascii="Arial" w:hAnsi="Arial"/>
          <w:sz w:val="22"/>
          <w:szCs w:val="22"/>
        </w:rPr>
        <w:t>;</w:t>
      </w:r>
    </w:p>
    <w:p w:rsidR="008048AF" w:rsidRPr="008048AF" w:rsidRDefault="008048AF" w:rsidP="008048AF">
      <w:pPr>
        <w:pStyle w:val="ListParagraph"/>
        <w:numPr>
          <w:ilvl w:val="0"/>
          <w:numId w:val="42"/>
        </w:numPr>
        <w:jc w:val="both"/>
        <w:rPr>
          <w:rFonts w:ascii="Arial" w:hAnsi="Arial"/>
          <w:sz w:val="22"/>
          <w:szCs w:val="22"/>
        </w:rPr>
      </w:pPr>
      <w:r w:rsidRPr="008048AF">
        <w:rPr>
          <w:rFonts w:ascii="Arial" w:hAnsi="Arial"/>
          <w:sz w:val="22"/>
          <w:szCs w:val="22"/>
        </w:rPr>
        <w:t xml:space="preserve">Approximately </w:t>
      </w:r>
      <w:r w:rsidR="004053B3">
        <w:rPr>
          <w:rFonts w:ascii="Arial" w:hAnsi="Arial"/>
          <w:sz w:val="22"/>
          <w:szCs w:val="22"/>
        </w:rPr>
        <w:t>7</w:t>
      </w:r>
      <w:r w:rsidRPr="008048AF">
        <w:rPr>
          <w:rFonts w:ascii="Arial" w:hAnsi="Arial"/>
          <w:sz w:val="22"/>
          <w:szCs w:val="22"/>
        </w:rPr>
        <w:t xml:space="preserve"> additional episodes of grade 3 to 5 thrombocytopenia.</w:t>
      </w:r>
    </w:p>
    <w:p w:rsidR="008E5870" w:rsidRPr="00882085" w:rsidRDefault="008E5870" w:rsidP="00882085">
      <w:pPr>
        <w:jc w:val="both"/>
        <w:rPr>
          <w:rFonts w:ascii="Arial" w:hAnsi="Arial"/>
          <w:sz w:val="22"/>
          <w:szCs w:val="22"/>
        </w:rPr>
      </w:pPr>
    </w:p>
    <w:p w:rsidR="005A3173" w:rsidRPr="00882085" w:rsidRDefault="005A3173" w:rsidP="00977EEA">
      <w:pPr>
        <w:jc w:val="both"/>
        <w:rPr>
          <w:rFonts w:ascii="Arial" w:hAnsi="Arial"/>
          <w:b/>
          <w:i/>
          <w:sz w:val="22"/>
          <w:szCs w:val="22"/>
        </w:rPr>
      </w:pPr>
      <w:r w:rsidRPr="00882085">
        <w:rPr>
          <w:rFonts w:ascii="Arial" w:hAnsi="Arial"/>
          <w:b/>
          <w:i/>
          <w:sz w:val="22"/>
          <w:szCs w:val="22"/>
        </w:rPr>
        <w:t>Clinical claim</w:t>
      </w:r>
    </w:p>
    <w:p w:rsidR="005A3173" w:rsidRPr="00882085" w:rsidRDefault="005A3173" w:rsidP="00977EEA">
      <w:pPr>
        <w:jc w:val="both"/>
        <w:rPr>
          <w:rFonts w:ascii="Arial" w:hAnsi="Arial"/>
          <w:sz w:val="22"/>
          <w:szCs w:val="22"/>
        </w:rPr>
      </w:pPr>
    </w:p>
    <w:p w:rsidR="006E7E6B" w:rsidRPr="0063594F" w:rsidRDefault="006E7E6B" w:rsidP="0063594F">
      <w:pPr>
        <w:pStyle w:val="ListParagraph"/>
        <w:numPr>
          <w:ilvl w:val="1"/>
          <w:numId w:val="25"/>
        </w:numPr>
        <w:jc w:val="both"/>
        <w:rPr>
          <w:rFonts w:ascii="Arial" w:hAnsi="Arial"/>
          <w:sz w:val="22"/>
          <w:szCs w:val="22"/>
        </w:rPr>
      </w:pPr>
      <w:r w:rsidRPr="0063594F">
        <w:rPr>
          <w:rFonts w:ascii="Arial" w:hAnsi="Arial"/>
          <w:sz w:val="22"/>
          <w:szCs w:val="22"/>
        </w:rPr>
        <w:t xml:space="preserve">The submission describes </w:t>
      </w:r>
      <w:proofErr w:type="spellStart"/>
      <w:r w:rsidRPr="0063594F">
        <w:rPr>
          <w:rFonts w:ascii="Arial" w:hAnsi="Arial"/>
          <w:sz w:val="22"/>
          <w:szCs w:val="22"/>
        </w:rPr>
        <w:t>obinutuzumab</w:t>
      </w:r>
      <w:proofErr w:type="spellEnd"/>
      <w:r w:rsidRPr="0063594F">
        <w:rPr>
          <w:rFonts w:ascii="Arial" w:hAnsi="Arial"/>
          <w:sz w:val="22"/>
          <w:szCs w:val="22"/>
        </w:rPr>
        <w:t xml:space="preserve"> plus </w:t>
      </w:r>
      <w:proofErr w:type="spellStart"/>
      <w:r w:rsidRPr="0063594F">
        <w:rPr>
          <w:rFonts w:ascii="Arial" w:hAnsi="Arial"/>
          <w:sz w:val="22"/>
          <w:szCs w:val="22"/>
        </w:rPr>
        <w:t>chlorambucil</w:t>
      </w:r>
      <w:proofErr w:type="spellEnd"/>
      <w:r w:rsidRPr="0063594F">
        <w:rPr>
          <w:rFonts w:ascii="Arial" w:hAnsi="Arial"/>
          <w:sz w:val="22"/>
          <w:szCs w:val="22"/>
        </w:rPr>
        <w:t xml:space="preserve"> as superior in terms of comparative effectiveness and inferior in terms of comparative safety over </w:t>
      </w:r>
      <w:proofErr w:type="spellStart"/>
      <w:r w:rsidRPr="0063594F">
        <w:rPr>
          <w:rFonts w:ascii="Arial" w:hAnsi="Arial"/>
          <w:sz w:val="22"/>
          <w:szCs w:val="22"/>
        </w:rPr>
        <w:lastRenderedPageBreak/>
        <w:t>chlorambucil</w:t>
      </w:r>
      <w:proofErr w:type="spellEnd"/>
      <w:r w:rsidRPr="0063594F">
        <w:rPr>
          <w:rFonts w:ascii="Arial" w:hAnsi="Arial"/>
          <w:sz w:val="22"/>
          <w:szCs w:val="22"/>
        </w:rPr>
        <w:t xml:space="preserve"> alone. </w:t>
      </w:r>
      <w:r w:rsidR="0063594F">
        <w:rPr>
          <w:rFonts w:ascii="Arial" w:hAnsi="Arial"/>
          <w:sz w:val="22"/>
          <w:szCs w:val="22"/>
        </w:rPr>
        <w:t>The ESC considered that t</w:t>
      </w:r>
      <w:r w:rsidR="0063594F" w:rsidRPr="0063594F">
        <w:rPr>
          <w:rFonts w:ascii="Arial" w:hAnsi="Arial"/>
          <w:sz w:val="22"/>
          <w:szCs w:val="22"/>
        </w:rPr>
        <w:t xml:space="preserve">he clinical claims </w:t>
      </w:r>
      <w:r w:rsidR="0063594F">
        <w:rPr>
          <w:rFonts w:ascii="Arial" w:hAnsi="Arial"/>
          <w:sz w:val="22"/>
          <w:szCs w:val="22"/>
        </w:rPr>
        <w:t>we</w:t>
      </w:r>
      <w:r w:rsidR="0063594F" w:rsidRPr="0063594F">
        <w:rPr>
          <w:rFonts w:ascii="Arial" w:hAnsi="Arial"/>
          <w:sz w:val="22"/>
          <w:szCs w:val="22"/>
        </w:rPr>
        <w:t xml:space="preserve">re supported by the evidence from the key </w:t>
      </w:r>
      <w:proofErr w:type="gramStart"/>
      <w:r w:rsidR="0063594F" w:rsidRPr="0063594F">
        <w:rPr>
          <w:rFonts w:ascii="Arial" w:hAnsi="Arial"/>
          <w:sz w:val="22"/>
          <w:szCs w:val="22"/>
        </w:rPr>
        <w:t>trial,</w:t>
      </w:r>
      <w:proofErr w:type="gramEnd"/>
      <w:r w:rsidR="0063594F" w:rsidRPr="0063594F">
        <w:rPr>
          <w:rFonts w:ascii="Arial" w:hAnsi="Arial"/>
          <w:sz w:val="22"/>
          <w:szCs w:val="22"/>
        </w:rPr>
        <w:t xml:space="preserve"> however the extent of the benefit, in terms of both comparative effectiveness and safety, may have been overestimated for Australian clinical practice because the </w:t>
      </w:r>
      <w:proofErr w:type="spellStart"/>
      <w:r w:rsidR="0063594F" w:rsidRPr="0063594F">
        <w:rPr>
          <w:rFonts w:ascii="Arial" w:hAnsi="Arial"/>
          <w:sz w:val="22"/>
          <w:szCs w:val="22"/>
        </w:rPr>
        <w:t>chlorambucil</w:t>
      </w:r>
      <w:proofErr w:type="spellEnd"/>
      <w:r w:rsidR="0063594F" w:rsidRPr="0063594F">
        <w:rPr>
          <w:rFonts w:ascii="Arial" w:hAnsi="Arial"/>
          <w:sz w:val="22"/>
          <w:szCs w:val="22"/>
        </w:rPr>
        <w:t xml:space="preserve"> dose was at the lower end of usual practice.</w:t>
      </w:r>
    </w:p>
    <w:p w:rsidR="003D39C9" w:rsidRDefault="003D39C9" w:rsidP="003D39C9">
      <w:pPr>
        <w:pStyle w:val="ListParagraph"/>
        <w:jc w:val="both"/>
        <w:rPr>
          <w:rFonts w:ascii="Arial" w:hAnsi="Arial"/>
          <w:sz w:val="22"/>
          <w:szCs w:val="22"/>
        </w:rPr>
      </w:pPr>
    </w:p>
    <w:p w:rsidR="006E7E6B" w:rsidRDefault="006E7E6B" w:rsidP="006E7E6B">
      <w:pPr>
        <w:pStyle w:val="ListParagraph"/>
        <w:numPr>
          <w:ilvl w:val="1"/>
          <w:numId w:val="25"/>
        </w:numPr>
        <w:jc w:val="both"/>
        <w:rPr>
          <w:rFonts w:ascii="Arial" w:hAnsi="Arial"/>
          <w:sz w:val="22"/>
          <w:szCs w:val="22"/>
        </w:rPr>
      </w:pPr>
      <w:r w:rsidRPr="006E7E6B">
        <w:rPr>
          <w:rFonts w:ascii="Arial" w:hAnsi="Arial"/>
          <w:sz w:val="22"/>
          <w:szCs w:val="22"/>
        </w:rPr>
        <w:t xml:space="preserve">The submission describes </w:t>
      </w:r>
      <w:proofErr w:type="spellStart"/>
      <w:r w:rsidRPr="006E7E6B">
        <w:rPr>
          <w:rFonts w:ascii="Arial" w:hAnsi="Arial"/>
          <w:sz w:val="22"/>
          <w:szCs w:val="22"/>
        </w:rPr>
        <w:t>obinutuzumab</w:t>
      </w:r>
      <w:proofErr w:type="spellEnd"/>
      <w:r w:rsidRPr="006E7E6B">
        <w:rPr>
          <w:rFonts w:ascii="Arial" w:hAnsi="Arial"/>
          <w:sz w:val="22"/>
          <w:szCs w:val="22"/>
        </w:rPr>
        <w:t xml:space="preserve"> </w:t>
      </w:r>
      <w:r w:rsidR="0005649C">
        <w:rPr>
          <w:rFonts w:ascii="Arial" w:hAnsi="Arial"/>
          <w:sz w:val="22"/>
          <w:szCs w:val="22"/>
        </w:rPr>
        <w:t>plus</w:t>
      </w:r>
      <w:r w:rsidRPr="006E7E6B">
        <w:rPr>
          <w:rFonts w:ascii="Arial" w:hAnsi="Arial"/>
          <w:sz w:val="22"/>
          <w:szCs w:val="22"/>
        </w:rPr>
        <w:t xml:space="preserve"> </w:t>
      </w:r>
      <w:proofErr w:type="spellStart"/>
      <w:r w:rsidRPr="006E7E6B">
        <w:rPr>
          <w:rFonts w:ascii="Arial" w:hAnsi="Arial"/>
          <w:sz w:val="22"/>
          <w:szCs w:val="22"/>
        </w:rPr>
        <w:t>chlorambucil</w:t>
      </w:r>
      <w:proofErr w:type="spellEnd"/>
      <w:r w:rsidRPr="006E7E6B">
        <w:rPr>
          <w:rFonts w:ascii="Arial" w:hAnsi="Arial"/>
          <w:sz w:val="22"/>
          <w:szCs w:val="22"/>
        </w:rPr>
        <w:t xml:space="preserve"> as superior in terms of comparative effectiveness and inferior in terms of comparative safety over rituximab plus </w:t>
      </w:r>
      <w:proofErr w:type="spellStart"/>
      <w:r w:rsidRPr="006E7E6B">
        <w:rPr>
          <w:rFonts w:ascii="Arial" w:hAnsi="Arial"/>
          <w:sz w:val="22"/>
          <w:szCs w:val="22"/>
        </w:rPr>
        <w:t>chlorambucil</w:t>
      </w:r>
      <w:proofErr w:type="spellEnd"/>
      <w:r w:rsidRPr="006E7E6B">
        <w:rPr>
          <w:rFonts w:ascii="Arial" w:hAnsi="Arial"/>
          <w:sz w:val="22"/>
          <w:szCs w:val="22"/>
        </w:rPr>
        <w:t xml:space="preserve">. </w:t>
      </w:r>
      <w:r w:rsidR="0005649C">
        <w:rPr>
          <w:rFonts w:ascii="Arial" w:hAnsi="Arial"/>
          <w:sz w:val="22"/>
          <w:szCs w:val="22"/>
        </w:rPr>
        <w:t>The ESC considered that the claim was</w:t>
      </w:r>
      <w:r w:rsidRPr="006E7E6B">
        <w:rPr>
          <w:rFonts w:ascii="Arial" w:hAnsi="Arial"/>
          <w:sz w:val="22"/>
          <w:szCs w:val="22"/>
        </w:rPr>
        <w:t xml:space="preserve"> supported for PFS, </w:t>
      </w:r>
      <w:r w:rsidR="00EA6F9C">
        <w:rPr>
          <w:rFonts w:ascii="Arial" w:hAnsi="Arial"/>
          <w:sz w:val="22"/>
          <w:szCs w:val="22"/>
        </w:rPr>
        <w:t>but</w:t>
      </w:r>
      <w:r w:rsidRPr="006E7E6B">
        <w:rPr>
          <w:rFonts w:ascii="Arial" w:hAnsi="Arial"/>
          <w:sz w:val="22"/>
          <w:szCs w:val="22"/>
        </w:rPr>
        <w:t xml:space="preserve"> not for OS where the hazard ratio </w:t>
      </w:r>
      <w:r w:rsidR="0005649C">
        <w:rPr>
          <w:rFonts w:ascii="Arial" w:hAnsi="Arial"/>
          <w:sz w:val="22"/>
          <w:szCs w:val="22"/>
        </w:rPr>
        <w:t xml:space="preserve">at 18.7 months follow-up </w:t>
      </w:r>
      <w:r w:rsidRPr="006E7E6B">
        <w:rPr>
          <w:rFonts w:ascii="Arial" w:hAnsi="Arial"/>
          <w:sz w:val="22"/>
          <w:szCs w:val="22"/>
        </w:rPr>
        <w:t xml:space="preserve">was </w:t>
      </w:r>
      <w:r w:rsidR="007A5969">
        <w:rPr>
          <w:rFonts w:ascii="Arial" w:hAnsi="Arial"/>
          <w:sz w:val="22"/>
          <w:szCs w:val="22"/>
        </w:rPr>
        <w:t xml:space="preserve">not </w:t>
      </w:r>
      <w:r w:rsidR="00E2026F">
        <w:rPr>
          <w:rFonts w:ascii="Arial" w:hAnsi="Arial"/>
          <w:sz w:val="22"/>
          <w:szCs w:val="22"/>
        </w:rPr>
        <w:t xml:space="preserve">statistically </w:t>
      </w:r>
      <w:r w:rsidR="007A5969">
        <w:rPr>
          <w:rFonts w:ascii="Arial" w:hAnsi="Arial"/>
          <w:sz w:val="22"/>
          <w:szCs w:val="22"/>
        </w:rPr>
        <w:t xml:space="preserve">significant (HR: </w:t>
      </w:r>
      <w:r w:rsidRPr="006E7E6B">
        <w:rPr>
          <w:rFonts w:ascii="Arial" w:hAnsi="Arial"/>
          <w:sz w:val="22"/>
          <w:szCs w:val="22"/>
        </w:rPr>
        <w:t>0.66</w:t>
      </w:r>
      <w:r w:rsidR="007A5969">
        <w:rPr>
          <w:rFonts w:ascii="Arial" w:hAnsi="Arial"/>
          <w:sz w:val="22"/>
          <w:szCs w:val="22"/>
        </w:rPr>
        <w:t xml:space="preserve">; </w:t>
      </w:r>
      <w:r w:rsidRPr="006E7E6B">
        <w:rPr>
          <w:rFonts w:ascii="Arial" w:hAnsi="Arial"/>
          <w:sz w:val="22"/>
          <w:szCs w:val="22"/>
        </w:rPr>
        <w:t>95% CI: 0.41 to 1.06).</w:t>
      </w:r>
      <w:r>
        <w:rPr>
          <w:rFonts w:ascii="Arial" w:hAnsi="Arial"/>
          <w:sz w:val="22"/>
          <w:szCs w:val="22"/>
        </w:rPr>
        <w:t xml:space="preserve"> </w:t>
      </w:r>
    </w:p>
    <w:p w:rsidR="00BB7EC3" w:rsidRDefault="00BB7EC3" w:rsidP="00355D20">
      <w:pPr>
        <w:jc w:val="both"/>
        <w:rPr>
          <w:rFonts w:ascii="Arial" w:hAnsi="Arial"/>
          <w:sz w:val="22"/>
          <w:szCs w:val="22"/>
        </w:rPr>
      </w:pPr>
    </w:p>
    <w:p w:rsidR="00AF38A6" w:rsidRPr="00BB7EC3" w:rsidRDefault="00AF38A6" w:rsidP="00AF38A6">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AF38A6" w:rsidRPr="00355D20" w:rsidRDefault="00AF38A6" w:rsidP="00355D20">
      <w:pPr>
        <w:jc w:val="both"/>
        <w:rPr>
          <w:rFonts w:ascii="Arial" w:hAnsi="Arial"/>
          <w:sz w:val="22"/>
          <w:szCs w:val="22"/>
        </w:rPr>
      </w:pPr>
    </w:p>
    <w:p w:rsidR="005A3173" w:rsidRPr="00882085" w:rsidRDefault="005A3173" w:rsidP="00977EEA">
      <w:pPr>
        <w:jc w:val="both"/>
        <w:rPr>
          <w:rFonts w:ascii="Arial" w:hAnsi="Arial"/>
          <w:b/>
          <w:i/>
          <w:sz w:val="22"/>
          <w:szCs w:val="22"/>
        </w:rPr>
      </w:pPr>
      <w:r w:rsidRPr="00882085">
        <w:rPr>
          <w:rFonts w:ascii="Arial" w:hAnsi="Arial"/>
          <w:b/>
          <w:i/>
          <w:sz w:val="22"/>
          <w:szCs w:val="22"/>
        </w:rPr>
        <w:t>Economic analysis</w:t>
      </w:r>
    </w:p>
    <w:p w:rsidR="00BB10AC" w:rsidRDefault="00BB10AC" w:rsidP="00977EEA">
      <w:pPr>
        <w:jc w:val="both"/>
        <w:rPr>
          <w:rFonts w:ascii="Arial" w:hAnsi="Arial"/>
          <w:sz w:val="22"/>
          <w:szCs w:val="22"/>
        </w:rPr>
      </w:pPr>
    </w:p>
    <w:p w:rsidR="00F42610" w:rsidRDefault="00BB10AC" w:rsidP="000B0179">
      <w:pPr>
        <w:pStyle w:val="ListParagraph"/>
        <w:keepNext/>
        <w:keepLines/>
        <w:numPr>
          <w:ilvl w:val="1"/>
          <w:numId w:val="25"/>
        </w:numPr>
        <w:ind w:left="709" w:hanging="709"/>
        <w:jc w:val="both"/>
        <w:rPr>
          <w:rFonts w:ascii="Arial" w:hAnsi="Arial"/>
          <w:sz w:val="22"/>
          <w:szCs w:val="22"/>
        </w:rPr>
      </w:pPr>
      <w:r w:rsidRPr="00F42610">
        <w:rPr>
          <w:rFonts w:ascii="Arial" w:hAnsi="Arial"/>
          <w:sz w:val="22"/>
          <w:szCs w:val="22"/>
        </w:rPr>
        <w:t xml:space="preserve">The submission presented a cost-utility analysis that resulted in an incremental cost per quality adjusted life year (QALY) of </w:t>
      </w:r>
      <w:r w:rsidR="009F36F8">
        <w:rPr>
          <w:rFonts w:ascii="Arial" w:hAnsi="Arial"/>
          <w:sz w:val="22"/>
          <w:szCs w:val="22"/>
        </w:rPr>
        <w:t xml:space="preserve">$45,000/QALY - $75,000/QALY </w:t>
      </w:r>
      <w:r w:rsidRPr="00F42610">
        <w:rPr>
          <w:rFonts w:ascii="Arial" w:hAnsi="Arial"/>
          <w:sz w:val="22"/>
          <w:szCs w:val="22"/>
        </w:rPr>
        <w:t xml:space="preserve">compared to </w:t>
      </w:r>
      <w:proofErr w:type="spellStart"/>
      <w:r w:rsidRPr="00F42610">
        <w:rPr>
          <w:rFonts w:ascii="Arial" w:hAnsi="Arial"/>
          <w:sz w:val="22"/>
          <w:szCs w:val="22"/>
        </w:rPr>
        <w:t>chlorambucil</w:t>
      </w:r>
      <w:proofErr w:type="spellEnd"/>
      <w:r w:rsidRPr="00F42610">
        <w:rPr>
          <w:rFonts w:ascii="Arial" w:hAnsi="Arial"/>
          <w:sz w:val="22"/>
          <w:szCs w:val="22"/>
        </w:rPr>
        <w:t xml:space="preserve"> monotherapy and </w:t>
      </w:r>
      <w:r w:rsidR="009F36F8">
        <w:rPr>
          <w:rFonts w:ascii="Arial" w:hAnsi="Arial"/>
          <w:sz w:val="22"/>
          <w:szCs w:val="22"/>
        </w:rPr>
        <w:t>$45,000/QALY - $75,000/QALY</w:t>
      </w:r>
      <w:r w:rsidRPr="00F42610">
        <w:rPr>
          <w:rFonts w:ascii="Arial" w:hAnsi="Arial"/>
          <w:sz w:val="22"/>
          <w:szCs w:val="22"/>
        </w:rPr>
        <w:t xml:space="preserve"> compared to rituximab plus </w:t>
      </w:r>
      <w:proofErr w:type="spellStart"/>
      <w:r w:rsidRPr="00F42610">
        <w:rPr>
          <w:rFonts w:ascii="Arial" w:hAnsi="Arial"/>
          <w:sz w:val="22"/>
          <w:szCs w:val="22"/>
        </w:rPr>
        <w:t>chlorambucil</w:t>
      </w:r>
      <w:proofErr w:type="spellEnd"/>
      <w:r w:rsidRPr="00F42610">
        <w:rPr>
          <w:rFonts w:ascii="Arial" w:hAnsi="Arial"/>
          <w:sz w:val="22"/>
          <w:szCs w:val="22"/>
        </w:rPr>
        <w:t>.</w:t>
      </w:r>
      <w:r w:rsidR="00F42610" w:rsidRPr="00F42610">
        <w:rPr>
          <w:rFonts w:ascii="Arial" w:hAnsi="Arial"/>
          <w:sz w:val="22"/>
          <w:szCs w:val="22"/>
        </w:rPr>
        <w:t xml:space="preserve"> These were based on the May 2013 data-cut</w:t>
      </w:r>
      <w:r w:rsidR="00554F50">
        <w:rPr>
          <w:rFonts w:ascii="Arial" w:hAnsi="Arial"/>
          <w:sz w:val="22"/>
          <w:szCs w:val="22"/>
        </w:rPr>
        <w:t xml:space="preserve"> of CLL11</w:t>
      </w:r>
      <w:r w:rsidR="00F42610" w:rsidRPr="00F42610">
        <w:rPr>
          <w:rFonts w:ascii="Arial" w:hAnsi="Arial"/>
          <w:sz w:val="22"/>
          <w:szCs w:val="22"/>
        </w:rPr>
        <w:t>.</w:t>
      </w:r>
    </w:p>
    <w:p w:rsidR="00F42610" w:rsidRDefault="00F42610" w:rsidP="00F42610">
      <w:pPr>
        <w:pStyle w:val="ListParagraph"/>
        <w:ind w:left="709"/>
        <w:jc w:val="both"/>
        <w:rPr>
          <w:rFonts w:ascii="Arial" w:hAnsi="Arial"/>
          <w:sz w:val="22"/>
          <w:szCs w:val="22"/>
        </w:rPr>
      </w:pPr>
    </w:p>
    <w:p w:rsidR="00BB10AC" w:rsidRPr="00F42610" w:rsidRDefault="00F42610" w:rsidP="00F42610">
      <w:pPr>
        <w:pStyle w:val="ListParagraph"/>
        <w:numPr>
          <w:ilvl w:val="1"/>
          <w:numId w:val="25"/>
        </w:numPr>
        <w:ind w:left="709" w:hanging="709"/>
        <w:jc w:val="both"/>
        <w:rPr>
          <w:rFonts w:ascii="Arial" w:hAnsi="Arial"/>
          <w:sz w:val="22"/>
          <w:szCs w:val="22"/>
        </w:rPr>
      </w:pPr>
      <w:r w:rsidRPr="00F42610">
        <w:rPr>
          <w:rFonts w:ascii="Arial" w:hAnsi="Arial"/>
          <w:sz w:val="22"/>
          <w:szCs w:val="22"/>
        </w:rPr>
        <w:t xml:space="preserve">The PSCR and pre-PBAC responses </w:t>
      </w:r>
      <w:r>
        <w:rPr>
          <w:rFonts w:ascii="Arial" w:hAnsi="Arial"/>
          <w:sz w:val="22"/>
          <w:szCs w:val="22"/>
        </w:rPr>
        <w:t xml:space="preserve">updated </w:t>
      </w:r>
      <w:r w:rsidR="00DB4235">
        <w:rPr>
          <w:rFonts w:ascii="Arial" w:hAnsi="Arial"/>
          <w:sz w:val="22"/>
          <w:szCs w:val="22"/>
        </w:rPr>
        <w:t xml:space="preserve">the </w:t>
      </w:r>
      <w:r>
        <w:rPr>
          <w:rFonts w:ascii="Arial" w:hAnsi="Arial"/>
          <w:sz w:val="22"/>
          <w:szCs w:val="22"/>
        </w:rPr>
        <w:t xml:space="preserve">economic model </w:t>
      </w:r>
      <w:r w:rsidR="00DB4235">
        <w:rPr>
          <w:rFonts w:ascii="Arial" w:hAnsi="Arial"/>
          <w:sz w:val="22"/>
          <w:szCs w:val="22"/>
        </w:rPr>
        <w:t xml:space="preserve">using </w:t>
      </w:r>
      <w:r w:rsidR="0063594F">
        <w:rPr>
          <w:rFonts w:ascii="Arial" w:hAnsi="Arial"/>
          <w:sz w:val="22"/>
          <w:szCs w:val="22"/>
        </w:rPr>
        <w:t xml:space="preserve">inputs </w:t>
      </w:r>
      <w:r w:rsidR="00F26D50">
        <w:rPr>
          <w:rFonts w:ascii="Arial" w:hAnsi="Arial"/>
          <w:sz w:val="22"/>
          <w:szCs w:val="22"/>
        </w:rPr>
        <w:t>from</w:t>
      </w:r>
      <w:r w:rsidR="0063594F">
        <w:rPr>
          <w:rFonts w:ascii="Arial" w:hAnsi="Arial"/>
          <w:sz w:val="22"/>
          <w:szCs w:val="22"/>
        </w:rPr>
        <w:t xml:space="preserve"> </w:t>
      </w:r>
      <w:r w:rsidR="00DB4235">
        <w:rPr>
          <w:rFonts w:ascii="Arial" w:hAnsi="Arial"/>
          <w:sz w:val="22"/>
          <w:szCs w:val="22"/>
        </w:rPr>
        <w:t xml:space="preserve">the </w:t>
      </w:r>
      <w:r>
        <w:rPr>
          <w:rFonts w:ascii="Arial" w:hAnsi="Arial"/>
          <w:sz w:val="22"/>
          <w:szCs w:val="22"/>
        </w:rPr>
        <w:t>more recent</w:t>
      </w:r>
      <w:r w:rsidR="00DB4235">
        <w:rPr>
          <w:rFonts w:ascii="Arial" w:hAnsi="Arial"/>
          <w:sz w:val="22"/>
          <w:szCs w:val="22"/>
        </w:rPr>
        <w:t xml:space="preserve"> </w:t>
      </w:r>
      <w:r>
        <w:rPr>
          <w:rFonts w:ascii="Arial" w:hAnsi="Arial"/>
          <w:sz w:val="22"/>
          <w:szCs w:val="22"/>
        </w:rPr>
        <w:t>data</w:t>
      </w:r>
      <w:r w:rsidR="00DB4235">
        <w:rPr>
          <w:rFonts w:ascii="Arial" w:hAnsi="Arial"/>
          <w:sz w:val="22"/>
          <w:szCs w:val="22"/>
        </w:rPr>
        <w:t>-</w:t>
      </w:r>
      <w:r>
        <w:rPr>
          <w:rFonts w:ascii="Arial" w:hAnsi="Arial"/>
          <w:sz w:val="22"/>
          <w:szCs w:val="22"/>
        </w:rPr>
        <w:t xml:space="preserve">cut (3 March </w:t>
      </w:r>
      <w:r w:rsidRPr="0063594F">
        <w:rPr>
          <w:rFonts w:ascii="Arial" w:hAnsi="Arial"/>
          <w:sz w:val="22"/>
          <w:szCs w:val="22"/>
        </w:rPr>
        <w:t>201</w:t>
      </w:r>
      <w:r w:rsidR="009874E2" w:rsidRPr="0063594F">
        <w:rPr>
          <w:rFonts w:ascii="Arial" w:hAnsi="Arial"/>
          <w:sz w:val="22"/>
          <w:szCs w:val="22"/>
        </w:rPr>
        <w:t>4</w:t>
      </w:r>
      <w:r w:rsidRPr="0063594F">
        <w:rPr>
          <w:rFonts w:ascii="Arial" w:hAnsi="Arial"/>
          <w:sz w:val="22"/>
          <w:szCs w:val="22"/>
        </w:rPr>
        <w:t>)</w:t>
      </w:r>
      <w:r w:rsidR="00183B53" w:rsidRPr="0063594F">
        <w:rPr>
          <w:rFonts w:ascii="Arial" w:hAnsi="Arial"/>
          <w:sz w:val="22"/>
          <w:szCs w:val="22"/>
        </w:rPr>
        <w:t xml:space="preserve">. The </w:t>
      </w:r>
      <w:r w:rsidR="0022519A" w:rsidRPr="0063594F">
        <w:rPr>
          <w:rFonts w:ascii="Arial" w:hAnsi="Arial"/>
          <w:sz w:val="22"/>
          <w:szCs w:val="22"/>
        </w:rPr>
        <w:t>PSCR</w:t>
      </w:r>
      <w:r w:rsidR="00F81C3F" w:rsidRPr="0063594F">
        <w:rPr>
          <w:rFonts w:ascii="Arial" w:hAnsi="Arial"/>
          <w:sz w:val="22"/>
          <w:szCs w:val="22"/>
        </w:rPr>
        <w:t xml:space="preserve"> </w:t>
      </w:r>
      <w:r w:rsidR="00183B53" w:rsidRPr="0063594F">
        <w:rPr>
          <w:rFonts w:ascii="Arial" w:hAnsi="Arial"/>
          <w:sz w:val="22"/>
          <w:szCs w:val="22"/>
        </w:rPr>
        <w:t xml:space="preserve">base case maintained the same </w:t>
      </w:r>
      <w:r w:rsidR="0022519A" w:rsidRPr="0063594F">
        <w:rPr>
          <w:rFonts w:ascii="Arial" w:hAnsi="Arial"/>
          <w:sz w:val="22"/>
          <w:szCs w:val="22"/>
        </w:rPr>
        <w:t xml:space="preserve">model </w:t>
      </w:r>
      <w:r w:rsidR="00183B53" w:rsidRPr="0063594F">
        <w:rPr>
          <w:rFonts w:ascii="Arial" w:hAnsi="Arial"/>
          <w:sz w:val="22"/>
          <w:szCs w:val="22"/>
        </w:rPr>
        <w:t xml:space="preserve">structure and </w:t>
      </w:r>
      <w:r w:rsidR="0022519A" w:rsidRPr="0063594F">
        <w:rPr>
          <w:rFonts w:ascii="Arial" w:hAnsi="Arial"/>
          <w:sz w:val="22"/>
          <w:szCs w:val="22"/>
        </w:rPr>
        <w:t xml:space="preserve">other </w:t>
      </w:r>
      <w:r w:rsidR="00183B53" w:rsidRPr="0063594F">
        <w:rPr>
          <w:rFonts w:ascii="Arial" w:hAnsi="Arial"/>
          <w:sz w:val="22"/>
          <w:szCs w:val="22"/>
        </w:rPr>
        <w:t xml:space="preserve">assumptions as </w:t>
      </w:r>
      <w:r w:rsidR="00554F50" w:rsidRPr="0063594F">
        <w:rPr>
          <w:rFonts w:ascii="Arial" w:hAnsi="Arial"/>
          <w:sz w:val="22"/>
          <w:szCs w:val="22"/>
        </w:rPr>
        <w:t xml:space="preserve">used in </w:t>
      </w:r>
      <w:r w:rsidR="0022519A" w:rsidRPr="0063594F">
        <w:rPr>
          <w:rFonts w:ascii="Arial" w:hAnsi="Arial"/>
          <w:sz w:val="22"/>
          <w:szCs w:val="22"/>
        </w:rPr>
        <w:t xml:space="preserve">the </w:t>
      </w:r>
      <w:r w:rsidR="00183B53" w:rsidRPr="0063594F">
        <w:rPr>
          <w:rFonts w:ascii="Arial" w:hAnsi="Arial"/>
          <w:sz w:val="22"/>
          <w:szCs w:val="22"/>
        </w:rPr>
        <w:t>submission, and resulted in an incremental cost per QALY of</w:t>
      </w:r>
      <w:r w:rsidR="008111E5">
        <w:rPr>
          <w:rFonts w:ascii="Arial" w:hAnsi="Arial"/>
          <w:sz w:val="22"/>
          <w:szCs w:val="22"/>
        </w:rPr>
        <w:t xml:space="preserve"> $15,000/QALY - $45,000/QALY </w:t>
      </w:r>
      <w:r w:rsidR="00183B53" w:rsidRPr="0063594F">
        <w:rPr>
          <w:rFonts w:ascii="Arial" w:hAnsi="Arial"/>
          <w:sz w:val="22"/>
          <w:szCs w:val="22"/>
        </w:rPr>
        <w:t xml:space="preserve">compared to </w:t>
      </w:r>
      <w:proofErr w:type="spellStart"/>
      <w:r w:rsidR="00183B53" w:rsidRPr="0063594F">
        <w:rPr>
          <w:rFonts w:ascii="Arial" w:hAnsi="Arial"/>
          <w:sz w:val="22"/>
          <w:szCs w:val="22"/>
        </w:rPr>
        <w:t>chlorambucil</w:t>
      </w:r>
      <w:proofErr w:type="spellEnd"/>
      <w:r w:rsidR="00183B53" w:rsidRPr="0063594F">
        <w:rPr>
          <w:rFonts w:ascii="Arial" w:hAnsi="Arial"/>
          <w:sz w:val="22"/>
          <w:szCs w:val="22"/>
        </w:rPr>
        <w:t xml:space="preserve"> monotherapy</w:t>
      </w:r>
      <w:r w:rsidR="00495C53" w:rsidRPr="0063594F">
        <w:rPr>
          <w:rFonts w:ascii="Arial" w:hAnsi="Arial"/>
          <w:sz w:val="22"/>
          <w:szCs w:val="22"/>
        </w:rPr>
        <w:t xml:space="preserve"> (or </w:t>
      </w:r>
      <w:r w:rsidR="008111E5">
        <w:rPr>
          <w:rFonts w:ascii="Arial" w:hAnsi="Arial"/>
          <w:sz w:val="22"/>
          <w:szCs w:val="22"/>
        </w:rPr>
        <w:t xml:space="preserve">$15,000/QALY - $45,000/QALY </w:t>
      </w:r>
      <w:r w:rsidR="00495C53" w:rsidRPr="0063594F">
        <w:rPr>
          <w:rFonts w:ascii="Arial" w:hAnsi="Arial"/>
          <w:sz w:val="22"/>
          <w:szCs w:val="22"/>
        </w:rPr>
        <w:t>using the best-fitting tail</w:t>
      </w:r>
      <w:r w:rsidR="00A96A09" w:rsidRPr="0063594F">
        <w:rPr>
          <w:rFonts w:ascii="Arial" w:hAnsi="Arial"/>
          <w:sz w:val="22"/>
          <w:szCs w:val="22"/>
        </w:rPr>
        <w:t xml:space="preserve"> for PFS</w:t>
      </w:r>
      <w:r w:rsidR="00495C53">
        <w:rPr>
          <w:rFonts w:ascii="Arial" w:hAnsi="Arial"/>
          <w:sz w:val="22"/>
          <w:szCs w:val="22"/>
        </w:rPr>
        <w:t>)</w:t>
      </w:r>
      <w:r w:rsidR="00183B53">
        <w:rPr>
          <w:rFonts w:ascii="Arial" w:hAnsi="Arial"/>
          <w:sz w:val="22"/>
          <w:szCs w:val="22"/>
        </w:rPr>
        <w:t xml:space="preserve">. </w:t>
      </w:r>
    </w:p>
    <w:p w:rsidR="006E7E6B" w:rsidRPr="006E7E6B" w:rsidRDefault="006E7E6B" w:rsidP="006E7E6B">
      <w:pPr>
        <w:widowControl w:val="0"/>
        <w:jc w:val="both"/>
        <w:rPr>
          <w:rFonts w:ascii="Arial" w:hAnsi="Arial" w:cs="Arial"/>
          <w:snapToGrid w:val="0"/>
          <w:sz w:val="22"/>
          <w:szCs w:val="20"/>
          <w:lang w:eastAsia="en-US"/>
        </w:rPr>
      </w:pPr>
    </w:p>
    <w:p w:rsidR="006E7E6B" w:rsidRPr="006E7E6B" w:rsidRDefault="006E7E6B" w:rsidP="00977EEA">
      <w:pPr>
        <w:widowControl w:val="0"/>
        <w:ind w:firstLine="709"/>
        <w:jc w:val="both"/>
        <w:rPr>
          <w:rFonts w:ascii="Arial Narrow" w:hAnsi="Arial Narrow" w:cs="Arial"/>
          <w:b/>
          <w:snapToGrid w:val="0"/>
          <w:sz w:val="20"/>
          <w:szCs w:val="20"/>
          <w:lang w:eastAsia="en-US"/>
        </w:rPr>
      </w:pPr>
      <w:r w:rsidRPr="006E7E6B">
        <w:rPr>
          <w:rFonts w:ascii="Arial Narrow" w:hAnsi="Arial Narrow" w:cs="Arial"/>
          <w:b/>
          <w:snapToGrid w:val="0"/>
          <w:sz w:val="20"/>
          <w:szCs w:val="20"/>
          <w:lang w:eastAsia="en-US"/>
        </w:rPr>
        <w:t>Summary of model structure and rationale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model structure and rationale"/>
      </w:tblPr>
      <w:tblGrid>
        <w:gridCol w:w="2126"/>
        <w:gridCol w:w="6237"/>
      </w:tblGrid>
      <w:tr w:rsidR="006E7E6B" w:rsidRPr="006E7E6B" w:rsidTr="00977EEA">
        <w:trPr>
          <w:tblHeader/>
        </w:trPr>
        <w:tc>
          <w:tcPr>
            <w:tcW w:w="1271" w:type="pct"/>
            <w:shd w:val="clear" w:color="auto" w:fill="auto"/>
            <w:vAlign w:val="center"/>
          </w:tcPr>
          <w:p w:rsidR="006E7E6B" w:rsidRPr="006E7E6B" w:rsidRDefault="006E7E6B" w:rsidP="006E7E6B">
            <w:pPr>
              <w:widowControl w:val="0"/>
              <w:rPr>
                <w:rFonts w:ascii="Arial Narrow" w:hAnsi="Arial Narrow" w:cs="Arial"/>
                <w:b/>
                <w:snapToGrid w:val="0"/>
                <w:sz w:val="20"/>
                <w:szCs w:val="20"/>
                <w:lang w:eastAsia="en-US"/>
              </w:rPr>
            </w:pPr>
            <w:r w:rsidRPr="006E7E6B">
              <w:rPr>
                <w:rFonts w:ascii="Arial Narrow" w:hAnsi="Arial Narrow" w:cs="Arial"/>
                <w:b/>
                <w:snapToGrid w:val="0"/>
                <w:sz w:val="20"/>
                <w:szCs w:val="20"/>
                <w:lang w:eastAsia="en-US"/>
              </w:rPr>
              <w:t>Component</w:t>
            </w:r>
          </w:p>
        </w:tc>
        <w:tc>
          <w:tcPr>
            <w:tcW w:w="3729" w:type="pct"/>
            <w:shd w:val="clear" w:color="auto" w:fill="auto"/>
            <w:vAlign w:val="center"/>
          </w:tcPr>
          <w:p w:rsidR="006E7E6B" w:rsidRPr="006E7E6B" w:rsidRDefault="006E7E6B" w:rsidP="006E7E6B">
            <w:pPr>
              <w:widowControl w:val="0"/>
              <w:jc w:val="center"/>
              <w:rPr>
                <w:rFonts w:ascii="Arial Narrow" w:hAnsi="Arial Narrow" w:cs="Arial"/>
                <w:b/>
                <w:snapToGrid w:val="0"/>
                <w:sz w:val="20"/>
                <w:szCs w:val="20"/>
                <w:lang w:eastAsia="en-US"/>
              </w:rPr>
            </w:pPr>
            <w:r w:rsidRPr="006E7E6B">
              <w:rPr>
                <w:rFonts w:ascii="Arial Narrow" w:hAnsi="Arial Narrow" w:cs="Arial"/>
                <w:b/>
                <w:snapToGrid w:val="0"/>
                <w:sz w:val="20"/>
                <w:szCs w:val="20"/>
                <w:lang w:eastAsia="en-US"/>
              </w:rPr>
              <w:t>Summary</w:t>
            </w:r>
          </w:p>
        </w:tc>
      </w:tr>
      <w:tr w:rsidR="006E7E6B" w:rsidRPr="006E7E6B" w:rsidTr="00977EEA">
        <w:tc>
          <w:tcPr>
            <w:tcW w:w="1271" w:type="pct"/>
            <w:shd w:val="clear" w:color="auto" w:fill="auto"/>
            <w:vAlign w:val="center"/>
          </w:tcPr>
          <w:p w:rsidR="006E7E6B" w:rsidRPr="006E7E6B" w:rsidRDefault="006E7E6B" w:rsidP="006E7E6B">
            <w:pPr>
              <w:widowControl w:val="0"/>
              <w:rPr>
                <w:rFonts w:ascii="Arial Narrow" w:hAnsi="Arial Narrow" w:cs="Arial"/>
                <w:snapToGrid w:val="0"/>
                <w:sz w:val="20"/>
                <w:szCs w:val="20"/>
                <w:lang w:eastAsia="en-US"/>
              </w:rPr>
            </w:pPr>
            <w:r w:rsidRPr="006E7E6B">
              <w:rPr>
                <w:rFonts w:ascii="Arial Narrow" w:hAnsi="Arial Narrow" w:cs="Arial"/>
                <w:snapToGrid w:val="0"/>
                <w:sz w:val="20"/>
                <w:szCs w:val="20"/>
                <w:lang w:eastAsia="en-US"/>
              </w:rPr>
              <w:t>Time horizon</w:t>
            </w:r>
          </w:p>
        </w:tc>
        <w:tc>
          <w:tcPr>
            <w:tcW w:w="3729" w:type="pct"/>
            <w:shd w:val="clear" w:color="auto" w:fill="auto"/>
            <w:vAlign w:val="center"/>
          </w:tcPr>
          <w:p w:rsidR="006E7E6B" w:rsidRPr="006E7E6B" w:rsidRDefault="006E7E6B" w:rsidP="00495C53">
            <w:pPr>
              <w:widowControl w:val="0"/>
              <w:rPr>
                <w:rFonts w:ascii="Arial Narrow" w:hAnsi="Arial Narrow" w:cs="Arial"/>
                <w:snapToGrid w:val="0"/>
                <w:sz w:val="20"/>
                <w:szCs w:val="20"/>
                <w:lang w:eastAsia="en-US"/>
              </w:rPr>
            </w:pPr>
            <w:r w:rsidRPr="006E7E6B">
              <w:rPr>
                <w:rFonts w:ascii="Arial Narrow" w:hAnsi="Arial Narrow" w:cs="Arial"/>
                <w:snapToGrid w:val="0"/>
                <w:sz w:val="20"/>
                <w:szCs w:val="20"/>
                <w:lang w:eastAsia="en-US"/>
              </w:rPr>
              <w:t xml:space="preserve">10 years extrapolated from CLL11 data </w:t>
            </w:r>
          </w:p>
        </w:tc>
      </w:tr>
      <w:tr w:rsidR="006E7E6B" w:rsidRPr="006E7E6B" w:rsidTr="00977EEA">
        <w:tc>
          <w:tcPr>
            <w:tcW w:w="1271" w:type="pct"/>
            <w:shd w:val="clear" w:color="auto" w:fill="auto"/>
            <w:vAlign w:val="center"/>
          </w:tcPr>
          <w:p w:rsidR="006E7E6B" w:rsidRPr="006E7E6B" w:rsidRDefault="006E7E6B" w:rsidP="006E7E6B">
            <w:pPr>
              <w:widowControl w:val="0"/>
              <w:rPr>
                <w:rFonts w:ascii="Arial Narrow" w:hAnsi="Arial Narrow" w:cs="Arial"/>
                <w:snapToGrid w:val="0"/>
                <w:sz w:val="20"/>
                <w:szCs w:val="20"/>
                <w:lang w:eastAsia="en-US"/>
              </w:rPr>
            </w:pPr>
            <w:r w:rsidRPr="006E7E6B">
              <w:rPr>
                <w:rFonts w:ascii="Arial Narrow" w:hAnsi="Arial Narrow" w:cs="Arial"/>
                <w:snapToGrid w:val="0"/>
                <w:sz w:val="20"/>
                <w:szCs w:val="20"/>
                <w:lang w:eastAsia="en-US"/>
              </w:rPr>
              <w:t>Outcomes</w:t>
            </w:r>
          </w:p>
        </w:tc>
        <w:tc>
          <w:tcPr>
            <w:tcW w:w="3729" w:type="pct"/>
            <w:shd w:val="clear" w:color="auto" w:fill="auto"/>
            <w:vAlign w:val="center"/>
          </w:tcPr>
          <w:p w:rsidR="006E7E6B" w:rsidRPr="006E7E6B" w:rsidRDefault="006E7E6B" w:rsidP="006E7E6B">
            <w:pPr>
              <w:widowControl w:val="0"/>
              <w:rPr>
                <w:rFonts w:ascii="Arial Narrow" w:hAnsi="Arial Narrow" w:cs="Arial"/>
                <w:snapToGrid w:val="0"/>
                <w:sz w:val="20"/>
                <w:szCs w:val="20"/>
                <w:lang w:eastAsia="en-US"/>
              </w:rPr>
            </w:pPr>
            <w:r w:rsidRPr="006E7E6B">
              <w:rPr>
                <w:rFonts w:ascii="Arial Narrow" w:hAnsi="Arial Narrow" w:cs="Arial"/>
                <w:snapToGrid w:val="0"/>
                <w:sz w:val="20"/>
                <w:szCs w:val="20"/>
                <w:lang w:eastAsia="en-US"/>
              </w:rPr>
              <w:t>QALYs, LYs, costs</w:t>
            </w:r>
          </w:p>
        </w:tc>
      </w:tr>
      <w:tr w:rsidR="006E7E6B" w:rsidRPr="006E7E6B" w:rsidTr="00977EEA">
        <w:tc>
          <w:tcPr>
            <w:tcW w:w="1271" w:type="pct"/>
            <w:shd w:val="clear" w:color="auto" w:fill="auto"/>
            <w:vAlign w:val="center"/>
          </w:tcPr>
          <w:p w:rsidR="006E7E6B" w:rsidRPr="006E7E6B" w:rsidRDefault="006E7E6B" w:rsidP="006E7E6B">
            <w:pPr>
              <w:widowControl w:val="0"/>
              <w:rPr>
                <w:rFonts w:ascii="Arial Narrow" w:hAnsi="Arial Narrow" w:cs="Arial"/>
                <w:snapToGrid w:val="0"/>
                <w:sz w:val="20"/>
                <w:szCs w:val="20"/>
                <w:lang w:eastAsia="en-US"/>
              </w:rPr>
            </w:pPr>
            <w:r w:rsidRPr="006E7E6B">
              <w:rPr>
                <w:rFonts w:ascii="Arial Narrow" w:hAnsi="Arial Narrow" w:cs="Arial"/>
                <w:snapToGrid w:val="0"/>
                <w:sz w:val="20"/>
                <w:szCs w:val="20"/>
                <w:lang w:eastAsia="en-US"/>
              </w:rPr>
              <w:t>Methods used to generate results</w:t>
            </w:r>
          </w:p>
        </w:tc>
        <w:tc>
          <w:tcPr>
            <w:tcW w:w="3729" w:type="pct"/>
            <w:shd w:val="clear" w:color="auto" w:fill="auto"/>
            <w:vAlign w:val="center"/>
          </w:tcPr>
          <w:p w:rsidR="006E7E6B" w:rsidRPr="006E7E6B" w:rsidRDefault="006E7E6B" w:rsidP="006E7E6B">
            <w:pPr>
              <w:widowControl w:val="0"/>
              <w:rPr>
                <w:rFonts w:ascii="Arial Narrow" w:hAnsi="Arial Narrow" w:cs="Arial"/>
                <w:snapToGrid w:val="0"/>
                <w:sz w:val="20"/>
                <w:szCs w:val="20"/>
                <w:lang w:eastAsia="en-US"/>
              </w:rPr>
            </w:pPr>
            <w:r w:rsidRPr="006E7E6B">
              <w:rPr>
                <w:rFonts w:ascii="Arial Narrow" w:hAnsi="Arial Narrow" w:cs="Arial"/>
                <w:snapToGrid w:val="0"/>
                <w:sz w:val="20"/>
                <w:szCs w:val="20"/>
                <w:lang w:eastAsia="en-US"/>
              </w:rPr>
              <w:t>Markov model, cohort expected value analysis, extrapolated trial data</w:t>
            </w:r>
          </w:p>
        </w:tc>
      </w:tr>
      <w:tr w:rsidR="006E7E6B" w:rsidRPr="006E7E6B" w:rsidTr="00977EEA">
        <w:tc>
          <w:tcPr>
            <w:tcW w:w="1271" w:type="pct"/>
            <w:shd w:val="clear" w:color="auto" w:fill="auto"/>
            <w:vAlign w:val="center"/>
          </w:tcPr>
          <w:p w:rsidR="006E7E6B" w:rsidRPr="006E7E6B" w:rsidRDefault="006E7E6B" w:rsidP="006E7E6B">
            <w:pPr>
              <w:widowControl w:val="0"/>
              <w:rPr>
                <w:rFonts w:ascii="Arial Narrow" w:hAnsi="Arial Narrow" w:cs="Arial"/>
                <w:snapToGrid w:val="0"/>
                <w:sz w:val="20"/>
                <w:szCs w:val="20"/>
                <w:lang w:eastAsia="en-US"/>
              </w:rPr>
            </w:pPr>
            <w:r w:rsidRPr="006E7E6B">
              <w:rPr>
                <w:rFonts w:ascii="Arial Narrow" w:hAnsi="Arial Narrow" w:cs="Arial"/>
                <w:snapToGrid w:val="0"/>
                <w:sz w:val="20"/>
                <w:szCs w:val="20"/>
                <w:lang w:eastAsia="en-US"/>
              </w:rPr>
              <w:t>Health states</w:t>
            </w:r>
          </w:p>
        </w:tc>
        <w:tc>
          <w:tcPr>
            <w:tcW w:w="3729" w:type="pct"/>
            <w:shd w:val="clear" w:color="auto" w:fill="auto"/>
            <w:vAlign w:val="center"/>
          </w:tcPr>
          <w:p w:rsidR="006E7E6B" w:rsidRPr="006E7E6B" w:rsidRDefault="006E7E6B" w:rsidP="006E7E6B">
            <w:pPr>
              <w:widowControl w:val="0"/>
              <w:rPr>
                <w:rFonts w:ascii="Arial Narrow" w:hAnsi="Arial Narrow" w:cs="Arial"/>
                <w:snapToGrid w:val="0"/>
                <w:sz w:val="20"/>
                <w:szCs w:val="20"/>
                <w:lang w:eastAsia="en-US"/>
              </w:rPr>
            </w:pPr>
            <w:r w:rsidRPr="006E7E6B">
              <w:rPr>
                <w:rFonts w:ascii="Arial Narrow" w:hAnsi="Arial Narrow" w:cs="Arial"/>
                <w:snapToGrid w:val="0"/>
                <w:sz w:val="20"/>
                <w:szCs w:val="20"/>
                <w:lang w:eastAsia="en-US"/>
              </w:rPr>
              <w:t>Progression-free during treatment, progression-free after treatment, progression, death</w:t>
            </w:r>
          </w:p>
        </w:tc>
      </w:tr>
      <w:tr w:rsidR="006E7E6B" w:rsidRPr="006E7E6B" w:rsidTr="00977EEA">
        <w:tc>
          <w:tcPr>
            <w:tcW w:w="1271" w:type="pct"/>
            <w:shd w:val="clear" w:color="auto" w:fill="auto"/>
            <w:vAlign w:val="center"/>
          </w:tcPr>
          <w:p w:rsidR="006E7E6B" w:rsidRPr="006E7E6B" w:rsidRDefault="006E7E6B" w:rsidP="006E7E6B">
            <w:pPr>
              <w:widowControl w:val="0"/>
              <w:rPr>
                <w:rFonts w:ascii="Arial Narrow" w:hAnsi="Arial Narrow" w:cs="Arial"/>
                <w:snapToGrid w:val="0"/>
                <w:sz w:val="20"/>
                <w:szCs w:val="20"/>
                <w:lang w:eastAsia="en-US"/>
              </w:rPr>
            </w:pPr>
            <w:r w:rsidRPr="006E7E6B">
              <w:rPr>
                <w:rFonts w:ascii="Arial Narrow" w:hAnsi="Arial Narrow" w:cs="Arial"/>
                <w:snapToGrid w:val="0"/>
                <w:sz w:val="20"/>
                <w:szCs w:val="20"/>
                <w:lang w:eastAsia="en-US"/>
              </w:rPr>
              <w:t>Cycle length</w:t>
            </w:r>
          </w:p>
        </w:tc>
        <w:tc>
          <w:tcPr>
            <w:tcW w:w="3729" w:type="pct"/>
            <w:shd w:val="clear" w:color="auto" w:fill="auto"/>
            <w:vAlign w:val="center"/>
          </w:tcPr>
          <w:p w:rsidR="006E7E6B" w:rsidRPr="006E7E6B" w:rsidRDefault="006E7E6B" w:rsidP="006E7E6B">
            <w:pPr>
              <w:widowControl w:val="0"/>
              <w:rPr>
                <w:rFonts w:ascii="Arial Narrow" w:hAnsi="Arial Narrow" w:cs="Arial"/>
                <w:snapToGrid w:val="0"/>
                <w:sz w:val="20"/>
                <w:szCs w:val="20"/>
                <w:lang w:eastAsia="en-US"/>
              </w:rPr>
            </w:pPr>
            <w:r w:rsidRPr="006E7E6B">
              <w:rPr>
                <w:rFonts w:ascii="Arial Narrow" w:hAnsi="Arial Narrow" w:cs="Arial"/>
                <w:snapToGrid w:val="0"/>
                <w:sz w:val="20"/>
                <w:szCs w:val="20"/>
                <w:lang w:eastAsia="en-US"/>
              </w:rPr>
              <w:t>1 week with half-cycle correction</w:t>
            </w:r>
          </w:p>
        </w:tc>
      </w:tr>
      <w:tr w:rsidR="006E7E6B" w:rsidRPr="009F36F8" w:rsidTr="00977EEA">
        <w:tc>
          <w:tcPr>
            <w:tcW w:w="1271" w:type="pct"/>
            <w:shd w:val="clear" w:color="auto" w:fill="auto"/>
            <w:vAlign w:val="center"/>
          </w:tcPr>
          <w:p w:rsidR="006E7E6B" w:rsidRPr="00197B45" w:rsidRDefault="006E7E6B" w:rsidP="006E7E6B">
            <w:pPr>
              <w:widowControl w:val="0"/>
              <w:rPr>
                <w:rFonts w:ascii="Arial Narrow" w:hAnsi="Arial Narrow" w:cs="Arial"/>
                <w:snapToGrid w:val="0"/>
                <w:sz w:val="20"/>
                <w:szCs w:val="20"/>
                <w:lang w:eastAsia="en-US"/>
              </w:rPr>
            </w:pPr>
            <w:r w:rsidRPr="00FC7EB0">
              <w:rPr>
                <w:rFonts w:ascii="Arial Narrow" w:hAnsi="Arial Narrow" w:cs="Arial"/>
                <w:snapToGrid w:val="0"/>
                <w:sz w:val="20"/>
                <w:szCs w:val="20"/>
                <w:lang w:eastAsia="en-US"/>
              </w:rPr>
              <w:t>Transition probabilities</w:t>
            </w:r>
          </w:p>
        </w:tc>
        <w:tc>
          <w:tcPr>
            <w:tcW w:w="3729" w:type="pct"/>
            <w:shd w:val="clear" w:color="auto" w:fill="auto"/>
            <w:vAlign w:val="center"/>
          </w:tcPr>
          <w:p w:rsidR="006E7E6B" w:rsidRPr="00197B45" w:rsidRDefault="006E7E6B" w:rsidP="006E7E6B">
            <w:pPr>
              <w:widowControl w:val="0"/>
              <w:rPr>
                <w:rFonts w:ascii="Arial Narrow" w:hAnsi="Arial Narrow" w:cs="Arial"/>
                <w:snapToGrid w:val="0"/>
                <w:sz w:val="20"/>
                <w:szCs w:val="20"/>
                <w:lang w:eastAsia="en-US"/>
              </w:rPr>
            </w:pPr>
            <w:r w:rsidRPr="00FC7EB0">
              <w:rPr>
                <w:rFonts w:ascii="Arial Narrow" w:hAnsi="Arial Narrow" w:cs="Arial"/>
                <w:snapToGrid w:val="0"/>
                <w:sz w:val="20"/>
                <w:szCs w:val="20"/>
                <w:lang w:eastAsia="en-US"/>
              </w:rPr>
              <w:t>CLL11 for PFS and CLL5 for PPS, extrapolation as discussed in the</w:t>
            </w:r>
            <w:r w:rsidR="006039C2" w:rsidRPr="00FC7EB0">
              <w:rPr>
                <w:rFonts w:ascii="Arial Narrow" w:hAnsi="Arial Narrow" w:cs="Arial"/>
                <w:snapToGrid w:val="0"/>
                <w:sz w:val="20"/>
                <w:szCs w:val="20"/>
                <w:lang w:eastAsia="en-US"/>
              </w:rPr>
              <w:t xml:space="preserve"> </w:t>
            </w:r>
            <w:r w:rsidR="006039C2" w:rsidRPr="00B04DF2">
              <w:rPr>
                <w:rFonts w:ascii="Arial Narrow" w:hAnsi="Arial Narrow" w:cs="Arial"/>
                <w:snapToGrid w:val="0"/>
                <w:sz w:val="20"/>
                <w:szCs w:val="20"/>
                <w:lang w:eastAsia="en-US"/>
              </w:rPr>
              <w:t>commentary</w:t>
            </w:r>
            <w:r w:rsidRPr="00B04DF2">
              <w:rPr>
                <w:rFonts w:ascii="Arial Narrow" w:hAnsi="Arial Narrow" w:cs="Arial"/>
                <w:snapToGrid w:val="0"/>
                <w:sz w:val="20"/>
                <w:szCs w:val="20"/>
                <w:lang w:eastAsia="en-US"/>
              </w:rPr>
              <w:t xml:space="preserve">  </w:t>
            </w:r>
          </w:p>
        </w:tc>
      </w:tr>
    </w:tbl>
    <w:p w:rsidR="006E7E6B" w:rsidRPr="006E7E6B" w:rsidRDefault="006E7E6B" w:rsidP="00977EEA">
      <w:pPr>
        <w:widowControl w:val="0"/>
        <w:ind w:firstLine="720"/>
        <w:jc w:val="both"/>
        <w:rPr>
          <w:rFonts w:ascii="Arial Narrow" w:hAnsi="Arial Narrow" w:cs="Arial"/>
          <w:snapToGrid w:val="0"/>
          <w:sz w:val="18"/>
          <w:szCs w:val="20"/>
          <w:lang w:eastAsia="en-US"/>
        </w:rPr>
      </w:pPr>
      <w:r w:rsidRPr="006E7E6B">
        <w:rPr>
          <w:rFonts w:ascii="Arial Narrow" w:hAnsi="Arial Narrow" w:cs="Arial"/>
          <w:snapToGrid w:val="0"/>
          <w:sz w:val="18"/>
          <w:szCs w:val="20"/>
          <w:lang w:eastAsia="en-US"/>
        </w:rPr>
        <w:t>Source: compiled during the evaluation;</w:t>
      </w:r>
    </w:p>
    <w:p w:rsidR="006E7E6B" w:rsidRPr="006E7E6B" w:rsidRDefault="006E7E6B" w:rsidP="00977EEA">
      <w:pPr>
        <w:widowControl w:val="0"/>
        <w:ind w:firstLine="720"/>
        <w:jc w:val="both"/>
        <w:rPr>
          <w:rFonts w:ascii="Arial Narrow" w:hAnsi="Arial Narrow" w:cs="Arial"/>
          <w:snapToGrid w:val="0"/>
          <w:sz w:val="20"/>
          <w:szCs w:val="20"/>
          <w:lang w:eastAsia="en-US"/>
        </w:rPr>
      </w:pPr>
      <w:r w:rsidRPr="006E7E6B">
        <w:rPr>
          <w:rFonts w:ascii="Arial Narrow" w:hAnsi="Arial Narrow" w:cs="Arial"/>
          <w:snapToGrid w:val="0"/>
          <w:sz w:val="18"/>
          <w:szCs w:val="20"/>
          <w:lang w:eastAsia="en-US"/>
        </w:rPr>
        <w:t>PFS = progression-free survival; PPS = post-progression survival; QALY = quality-adjusted life year; LY = life year;</w:t>
      </w:r>
    </w:p>
    <w:p w:rsidR="006E7E6B" w:rsidRDefault="006E7E6B" w:rsidP="006E7E6B">
      <w:pPr>
        <w:widowControl w:val="0"/>
        <w:jc w:val="both"/>
        <w:rPr>
          <w:rFonts w:ascii="Arial" w:hAnsi="Arial" w:cs="Arial"/>
          <w:snapToGrid w:val="0"/>
          <w:sz w:val="22"/>
          <w:szCs w:val="20"/>
          <w:lang w:eastAsia="en-US"/>
        </w:rPr>
      </w:pPr>
    </w:p>
    <w:p w:rsidR="006039C2" w:rsidRDefault="00E21A2E" w:rsidP="006039C2">
      <w:pPr>
        <w:keepNext/>
        <w:keepLines/>
        <w:ind w:firstLine="720"/>
        <w:rPr>
          <w:rStyle w:val="CommentReference"/>
          <w:rFonts w:ascii="Arial Narrow" w:hAnsi="Arial Narrow"/>
          <w:b/>
          <w:sz w:val="20"/>
          <w:szCs w:val="20"/>
        </w:rPr>
      </w:pPr>
      <w:r w:rsidRPr="006039C2">
        <w:rPr>
          <w:rStyle w:val="CommentReference"/>
          <w:rFonts w:ascii="Arial Narrow" w:hAnsi="Arial Narrow"/>
          <w:b/>
          <w:sz w:val="20"/>
          <w:szCs w:val="20"/>
        </w:rPr>
        <w:t>Structure of economic model</w:t>
      </w:r>
      <w:r w:rsidR="00A96A09" w:rsidRPr="006039C2">
        <w:rPr>
          <w:rStyle w:val="CommentReference"/>
          <w:rFonts w:ascii="Arial Narrow" w:hAnsi="Arial Narrow"/>
          <w:b/>
          <w:sz w:val="20"/>
          <w:szCs w:val="20"/>
        </w:rPr>
        <w:t xml:space="preserve"> (as provided in the </w:t>
      </w:r>
      <w:r w:rsidR="006039C2">
        <w:rPr>
          <w:rStyle w:val="CommentReference"/>
          <w:rFonts w:ascii="Arial Narrow" w:hAnsi="Arial Narrow"/>
          <w:b/>
          <w:sz w:val="20"/>
          <w:szCs w:val="20"/>
        </w:rPr>
        <w:t>submission)</w:t>
      </w:r>
    </w:p>
    <w:p w:rsidR="00E21A2E" w:rsidRPr="006039C2" w:rsidRDefault="00E21A2E" w:rsidP="00826CDF">
      <w:pPr>
        <w:keepNext/>
        <w:keepLines/>
        <w:ind w:firstLine="720"/>
        <w:rPr>
          <w:rStyle w:val="CommentReference"/>
          <w:rFonts w:ascii="Arial Narrow" w:hAnsi="Arial Narrow"/>
          <w:b/>
          <w:sz w:val="20"/>
          <w:szCs w:val="20"/>
        </w:rPr>
      </w:pPr>
    </w:p>
    <w:p w:rsidR="005E62C9" w:rsidRPr="00197B45" w:rsidRDefault="005E62C9" w:rsidP="005E62C9">
      <w:pPr>
        <w:rPr>
          <w:rStyle w:val="CommentReference"/>
          <w:rFonts w:ascii="Arial Narrow" w:hAnsi="Arial Narrow"/>
          <w:b/>
          <w:sz w:val="20"/>
          <w:szCs w:val="20"/>
        </w:rPr>
      </w:pPr>
    </w:p>
    <w:p w:rsidR="005E62C9" w:rsidRPr="00197B45" w:rsidRDefault="005E62C9" w:rsidP="005E62C9">
      <w:pPr>
        <w:jc w:val="center"/>
        <w:rPr>
          <w:rStyle w:val="CommentReference"/>
          <w:rFonts w:ascii="Arial Narrow" w:hAnsi="Arial Narrow"/>
          <w:b/>
          <w:sz w:val="20"/>
          <w:szCs w:val="20"/>
        </w:rPr>
      </w:pPr>
      <w:r w:rsidRPr="006039C2">
        <w:rPr>
          <w:noProof/>
        </w:rPr>
        <w:lastRenderedPageBreak/>
        <w:drawing>
          <wp:inline distT="0" distB="0" distL="0" distR="0" wp14:anchorId="5E818AD6" wp14:editId="68F09EFC">
            <wp:extent cx="3189768" cy="2004861"/>
            <wp:effectExtent l="0" t="0" r="0" b="0"/>
            <wp:docPr id="4" name="Picture 4" descr="Structure of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2331" cy="2006472"/>
                    </a:xfrm>
                    <a:prstGeom prst="rect">
                      <a:avLst/>
                    </a:prstGeom>
                    <a:noFill/>
                    <a:ln>
                      <a:noFill/>
                    </a:ln>
                  </pic:spPr>
                </pic:pic>
              </a:graphicData>
            </a:graphic>
          </wp:inline>
        </w:drawing>
      </w:r>
    </w:p>
    <w:p w:rsidR="00E21A2E" w:rsidRPr="006039C2" w:rsidRDefault="00E21A2E" w:rsidP="005E62C9">
      <w:pPr>
        <w:pStyle w:val="TableFooter"/>
        <w:keepNext/>
        <w:keepLines/>
        <w:ind w:firstLine="720"/>
        <w:rPr>
          <w:sz w:val="20"/>
        </w:rPr>
      </w:pPr>
      <w:r w:rsidRPr="006039C2">
        <w:rPr>
          <w:sz w:val="20"/>
        </w:rPr>
        <w:t>Source: Figure D.3.1 p. 8 of the submission.</w:t>
      </w:r>
    </w:p>
    <w:p w:rsidR="00E21A2E" w:rsidRPr="006039C2" w:rsidRDefault="00A96A09" w:rsidP="005E62C9">
      <w:pPr>
        <w:pStyle w:val="TableFooter"/>
        <w:ind w:firstLine="709"/>
        <w:rPr>
          <w:sz w:val="20"/>
        </w:rPr>
      </w:pPr>
      <w:r w:rsidRPr="006039C2">
        <w:rPr>
          <w:sz w:val="20"/>
        </w:rPr>
        <w:t>While not depicted in</w:t>
      </w:r>
      <w:r w:rsidR="00E21A2E" w:rsidRPr="006039C2">
        <w:rPr>
          <w:sz w:val="20"/>
        </w:rPr>
        <w:t xml:space="preserve"> the figure</w:t>
      </w:r>
      <w:r w:rsidRPr="006039C2">
        <w:rPr>
          <w:sz w:val="20"/>
        </w:rPr>
        <w:t>,</w:t>
      </w:r>
      <w:r w:rsidR="00E21A2E" w:rsidRPr="006039C2">
        <w:rPr>
          <w:sz w:val="20"/>
        </w:rPr>
        <w:t xml:space="preserve"> patients can stay in the same health state </w:t>
      </w:r>
      <w:r w:rsidRPr="006039C2">
        <w:rPr>
          <w:sz w:val="20"/>
        </w:rPr>
        <w:t xml:space="preserve">for </w:t>
      </w:r>
      <w:r w:rsidR="00E21A2E" w:rsidRPr="006039C2">
        <w:rPr>
          <w:sz w:val="20"/>
        </w:rPr>
        <w:t>more than one cycle</w:t>
      </w:r>
      <w:r w:rsidRPr="006039C2">
        <w:rPr>
          <w:sz w:val="20"/>
        </w:rPr>
        <w:t>.</w:t>
      </w:r>
      <w:r w:rsidR="006039C2">
        <w:rPr>
          <w:rStyle w:val="CommentReference"/>
          <w:b/>
          <w:sz w:val="20"/>
          <w:szCs w:val="20"/>
        </w:rPr>
        <w:t>)</w:t>
      </w:r>
    </w:p>
    <w:p w:rsidR="00E21A2E" w:rsidRDefault="00E21A2E" w:rsidP="006E7E6B">
      <w:pPr>
        <w:widowControl w:val="0"/>
        <w:jc w:val="both"/>
        <w:rPr>
          <w:rFonts w:ascii="Arial" w:hAnsi="Arial" w:cs="Arial"/>
          <w:snapToGrid w:val="0"/>
          <w:sz w:val="22"/>
          <w:szCs w:val="20"/>
          <w:lang w:eastAsia="en-US"/>
        </w:rPr>
      </w:pPr>
    </w:p>
    <w:p w:rsidR="00AE27CF" w:rsidRPr="00C72AEB" w:rsidRDefault="00AE27CF" w:rsidP="00A96A09">
      <w:pPr>
        <w:pStyle w:val="ListParagraph"/>
        <w:numPr>
          <w:ilvl w:val="1"/>
          <w:numId w:val="25"/>
        </w:numPr>
        <w:ind w:left="709" w:hanging="709"/>
        <w:jc w:val="both"/>
        <w:rPr>
          <w:rFonts w:ascii="Arial" w:hAnsi="Arial"/>
          <w:sz w:val="22"/>
          <w:szCs w:val="22"/>
        </w:rPr>
      </w:pPr>
      <w:r w:rsidRPr="00C72AEB">
        <w:rPr>
          <w:rFonts w:ascii="Arial" w:hAnsi="Arial"/>
          <w:sz w:val="22"/>
          <w:szCs w:val="22"/>
        </w:rPr>
        <w:t>The submission presented stepped economic evaluation</w:t>
      </w:r>
      <w:r>
        <w:rPr>
          <w:rFonts w:ascii="Arial" w:hAnsi="Arial"/>
          <w:sz w:val="22"/>
          <w:szCs w:val="22"/>
        </w:rPr>
        <w:t>s for each of the comparators</w:t>
      </w:r>
      <w:r w:rsidRPr="00C72AEB">
        <w:rPr>
          <w:rFonts w:ascii="Arial" w:hAnsi="Arial"/>
          <w:sz w:val="22"/>
          <w:szCs w:val="22"/>
        </w:rPr>
        <w:t xml:space="preserve">. </w:t>
      </w:r>
      <w:r w:rsidRPr="00A96A09">
        <w:rPr>
          <w:rFonts w:ascii="Arial" w:hAnsi="Arial"/>
          <w:sz w:val="22"/>
          <w:szCs w:val="22"/>
        </w:rPr>
        <w:t>Details are summarised in the tables below</w:t>
      </w:r>
      <w:r w:rsidRPr="00C72AEB">
        <w:rPr>
          <w:rFonts w:ascii="Arial" w:hAnsi="Arial"/>
          <w:sz w:val="22"/>
          <w:szCs w:val="22"/>
        </w:rPr>
        <w:t>.</w:t>
      </w:r>
    </w:p>
    <w:p w:rsidR="00AE27CF" w:rsidRDefault="00AE27CF" w:rsidP="00495C53">
      <w:pPr>
        <w:widowControl w:val="0"/>
        <w:jc w:val="both"/>
        <w:rPr>
          <w:rFonts w:ascii="Arial Narrow" w:hAnsi="Arial Narrow" w:cs="Arial"/>
          <w:b/>
          <w:snapToGrid w:val="0"/>
          <w:sz w:val="20"/>
          <w:szCs w:val="20"/>
          <w:lang w:eastAsia="en-US"/>
        </w:rPr>
      </w:pPr>
    </w:p>
    <w:p w:rsidR="006E7E6B" w:rsidRPr="008111E5" w:rsidRDefault="006E7E6B" w:rsidP="00826CDF">
      <w:pPr>
        <w:keepNext/>
        <w:keepLines/>
        <w:widowControl w:val="0"/>
        <w:ind w:left="709"/>
        <w:jc w:val="both"/>
        <w:rPr>
          <w:rFonts w:ascii="Arial Narrow" w:hAnsi="Arial Narrow" w:cs="Arial"/>
          <w:b/>
          <w:snapToGrid w:val="0"/>
          <w:sz w:val="20"/>
          <w:szCs w:val="20"/>
          <w:lang w:eastAsia="en-US"/>
        </w:rPr>
      </w:pPr>
      <w:r w:rsidRPr="008111E5">
        <w:rPr>
          <w:rFonts w:ascii="Arial Narrow" w:hAnsi="Arial Narrow" w:cs="Arial"/>
          <w:b/>
          <w:snapToGrid w:val="0"/>
          <w:sz w:val="20"/>
          <w:szCs w:val="20"/>
          <w:lang w:eastAsia="en-US"/>
        </w:rPr>
        <w:t xml:space="preserve">Results of the stepped economic evaluation: </w:t>
      </w:r>
      <w:proofErr w:type="spellStart"/>
      <w:r w:rsidRPr="008111E5">
        <w:rPr>
          <w:rFonts w:ascii="Arial Narrow" w:hAnsi="Arial Narrow" w:cs="Arial"/>
          <w:b/>
          <w:snapToGrid w:val="0"/>
          <w:sz w:val="20"/>
          <w:szCs w:val="20"/>
          <w:lang w:eastAsia="en-US"/>
        </w:rPr>
        <w:t>obinutuzumab</w:t>
      </w:r>
      <w:proofErr w:type="spellEnd"/>
      <w:r w:rsidRPr="008111E5">
        <w:rPr>
          <w:rFonts w:ascii="Arial Narrow" w:hAnsi="Arial Narrow" w:cs="Arial"/>
          <w:b/>
          <w:snapToGrid w:val="0"/>
          <w:sz w:val="20"/>
          <w:szCs w:val="20"/>
          <w:lang w:eastAsia="en-US"/>
        </w:rPr>
        <w:t xml:space="preserve"> + </w:t>
      </w:r>
      <w:proofErr w:type="spellStart"/>
      <w:r w:rsidRPr="008111E5">
        <w:rPr>
          <w:rFonts w:ascii="Arial Narrow" w:hAnsi="Arial Narrow" w:cs="Arial"/>
          <w:b/>
          <w:snapToGrid w:val="0"/>
          <w:sz w:val="20"/>
          <w:szCs w:val="20"/>
          <w:lang w:eastAsia="en-US"/>
        </w:rPr>
        <w:t>chlorambucil</w:t>
      </w:r>
      <w:proofErr w:type="spellEnd"/>
      <w:r w:rsidRPr="008111E5">
        <w:rPr>
          <w:rFonts w:ascii="Arial Narrow" w:hAnsi="Arial Narrow" w:cs="Arial"/>
          <w:b/>
          <w:snapToGrid w:val="0"/>
          <w:sz w:val="20"/>
          <w:szCs w:val="20"/>
          <w:lang w:eastAsia="en-US"/>
        </w:rPr>
        <w:t xml:space="preserve"> versus </w:t>
      </w:r>
      <w:proofErr w:type="spellStart"/>
      <w:r w:rsidRPr="008111E5">
        <w:rPr>
          <w:rFonts w:ascii="Arial Narrow" w:hAnsi="Arial Narrow" w:cs="Arial"/>
          <w:b/>
          <w:snapToGrid w:val="0"/>
          <w:sz w:val="20"/>
          <w:szCs w:val="20"/>
          <w:lang w:eastAsia="en-US"/>
        </w:rPr>
        <w:t>chlorambucil</w:t>
      </w:r>
      <w:proofErr w:type="spellEnd"/>
      <w:r w:rsidR="00495C53" w:rsidRPr="008111E5">
        <w:rPr>
          <w:rFonts w:ascii="Arial Narrow" w:hAnsi="Arial Narrow" w:cs="Arial"/>
          <w:b/>
          <w:snapToGrid w:val="0"/>
          <w:sz w:val="20"/>
          <w:szCs w:val="20"/>
          <w:lang w:eastAsia="en-US"/>
        </w:rPr>
        <w:t xml:space="preserve"> – based on May 2013 data-cut, as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the stepped economic evaluation: obinutuzumab + chlorambucil versus chlorambucil – based on May 2013 data-cut, as presented in the submission."/>
      </w:tblPr>
      <w:tblGrid>
        <w:gridCol w:w="2193"/>
        <w:gridCol w:w="1897"/>
        <w:gridCol w:w="1898"/>
        <w:gridCol w:w="2375"/>
      </w:tblGrid>
      <w:tr w:rsidR="006E7E6B" w:rsidRPr="009F36F8" w:rsidTr="00826CDF">
        <w:trPr>
          <w:trHeight w:val="493"/>
          <w:tblHeader/>
        </w:trPr>
        <w:tc>
          <w:tcPr>
            <w:tcW w:w="1311" w:type="pct"/>
            <w:vAlign w:val="center"/>
          </w:tcPr>
          <w:p w:rsidR="006E7E6B" w:rsidRPr="008111E5" w:rsidRDefault="006E7E6B" w:rsidP="00495C53">
            <w:pPr>
              <w:keepNext/>
              <w:keepLines/>
              <w:widowControl w:val="0"/>
              <w:rPr>
                <w:rFonts w:ascii="Arial Narrow" w:hAnsi="Arial Narrow"/>
                <w:b/>
                <w:sz w:val="20"/>
                <w:szCs w:val="20"/>
                <w:lang w:eastAsia="en-US"/>
              </w:rPr>
            </w:pPr>
            <w:r w:rsidRPr="008111E5">
              <w:rPr>
                <w:rFonts w:ascii="Arial Narrow" w:hAnsi="Arial Narrow"/>
                <w:b/>
                <w:snapToGrid w:val="0"/>
                <w:sz w:val="20"/>
                <w:szCs w:val="20"/>
                <w:lang w:eastAsia="en-US"/>
              </w:rPr>
              <w:t>Step and component</w:t>
            </w:r>
          </w:p>
        </w:tc>
        <w:tc>
          <w:tcPr>
            <w:tcW w:w="1134" w:type="pct"/>
            <w:vAlign w:val="center"/>
          </w:tcPr>
          <w:p w:rsidR="006E7E6B" w:rsidRPr="008111E5" w:rsidRDefault="006E7E6B" w:rsidP="00495C53">
            <w:pPr>
              <w:keepNext/>
              <w:keepLines/>
              <w:widowControl w:val="0"/>
              <w:jc w:val="center"/>
              <w:rPr>
                <w:rFonts w:ascii="Arial Narrow" w:hAnsi="Arial Narrow"/>
                <w:b/>
                <w:snapToGrid w:val="0"/>
                <w:sz w:val="20"/>
                <w:szCs w:val="20"/>
                <w:lang w:eastAsia="en-US"/>
              </w:rPr>
            </w:pPr>
            <w:proofErr w:type="spellStart"/>
            <w:r w:rsidRPr="008111E5">
              <w:rPr>
                <w:rFonts w:ascii="Arial Narrow" w:hAnsi="Arial Narrow"/>
                <w:b/>
                <w:snapToGrid w:val="0"/>
                <w:sz w:val="20"/>
                <w:szCs w:val="20"/>
                <w:lang w:eastAsia="en-US"/>
              </w:rPr>
              <w:t>Obinutuzumab</w:t>
            </w:r>
            <w:proofErr w:type="spellEnd"/>
            <w:r w:rsidRPr="008111E5">
              <w:rPr>
                <w:rFonts w:ascii="Arial Narrow" w:hAnsi="Arial Narrow"/>
                <w:b/>
                <w:snapToGrid w:val="0"/>
                <w:sz w:val="20"/>
                <w:szCs w:val="20"/>
                <w:lang w:eastAsia="en-US"/>
              </w:rPr>
              <w:t xml:space="preserve"> +</w:t>
            </w:r>
            <w:proofErr w:type="spellStart"/>
            <w:r w:rsidRPr="008111E5">
              <w:rPr>
                <w:rFonts w:ascii="Arial Narrow" w:hAnsi="Arial Narrow"/>
                <w:b/>
                <w:snapToGrid w:val="0"/>
                <w:sz w:val="20"/>
                <w:szCs w:val="20"/>
                <w:lang w:eastAsia="en-US"/>
              </w:rPr>
              <w:t>chlorambucil</w:t>
            </w:r>
            <w:proofErr w:type="spellEnd"/>
          </w:p>
        </w:tc>
        <w:tc>
          <w:tcPr>
            <w:tcW w:w="1135" w:type="pct"/>
            <w:vAlign w:val="center"/>
          </w:tcPr>
          <w:p w:rsidR="006E7E6B" w:rsidRPr="008111E5" w:rsidRDefault="006E7E6B" w:rsidP="00495C53">
            <w:pPr>
              <w:keepNext/>
              <w:keepLines/>
              <w:widowControl w:val="0"/>
              <w:jc w:val="center"/>
              <w:rPr>
                <w:rFonts w:ascii="Arial Narrow" w:hAnsi="Arial Narrow"/>
                <w:b/>
                <w:snapToGrid w:val="0"/>
                <w:sz w:val="20"/>
                <w:szCs w:val="20"/>
                <w:lang w:eastAsia="en-US"/>
              </w:rPr>
            </w:pPr>
            <w:proofErr w:type="spellStart"/>
            <w:r w:rsidRPr="008111E5">
              <w:rPr>
                <w:rFonts w:ascii="Arial Narrow" w:hAnsi="Arial Narrow"/>
                <w:b/>
                <w:snapToGrid w:val="0"/>
                <w:sz w:val="20"/>
                <w:szCs w:val="20"/>
                <w:lang w:eastAsia="en-US"/>
              </w:rPr>
              <w:t>Chlorambucil</w:t>
            </w:r>
            <w:proofErr w:type="spellEnd"/>
          </w:p>
        </w:tc>
        <w:tc>
          <w:tcPr>
            <w:tcW w:w="1421" w:type="pct"/>
            <w:vAlign w:val="center"/>
          </w:tcPr>
          <w:p w:rsidR="006E7E6B" w:rsidRPr="008111E5" w:rsidRDefault="006E7E6B" w:rsidP="00495C53">
            <w:pPr>
              <w:keepNext/>
              <w:keepLines/>
              <w:widowControl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Increment</w:t>
            </w:r>
          </w:p>
        </w:tc>
      </w:tr>
      <w:tr w:rsidR="006E7E6B" w:rsidRPr="009F36F8" w:rsidTr="00826CDF">
        <w:trPr>
          <w:trHeight w:val="238"/>
        </w:trPr>
        <w:tc>
          <w:tcPr>
            <w:tcW w:w="5000" w:type="pct"/>
            <w:gridSpan w:val="4"/>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cs="Arial Narrow"/>
                <w:b/>
                <w:bCs/>
                <w:snapToGrid w:val="0"/>
                <w:sz w:val="20"/>
                <w:szCs w:val="20"/>
                <w:lang w:eastAsia="en-US"/>
              </w:rPr>
              <w:t>Step 1: trial-based costs and outcomes</w:t>
            </w:r>
          </w:p>
        </w:tc>
      </w:tr>
      <w:tr w:rsidR="006E7E6B" w:rsidRPr="009F36F8" w:rsidTr="00826CDF">
        <w:trPr>
          <w:trHeight w:val="255"/>
        </w:trPr>
        <w:tc>
          <w:tcPr>
            <w:tcW w:w="1311" w:type="pct"/>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snapToGrid w:val="0"/>
                <w:sz w:val="20"/>
                <w:szCs w:val="20"/>
                <w:lang w:eastAsia="en-US"/>
              </w:rPr>
              <w:t>Costs</w:t>
            </w:r>
          </w:p>
        </w:tc>
        <w:tc>
          <w:tcPr>
            <w:tcW w:w="1134" w:type="pct"/>
            <w:vAlign w:val="center"/>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135" w:type="pct"/>
            <w:vAlign w:val="center"/>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421" w:type="pct"/>
            <w:vAlign w:val="center"/>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r>
      <w:tr w:rsidR="006E7E6B" w:rsidRPr="009F36F8" w:rsidTr="00826CDF">
        <w:trPr>
          <w:trHeight w:val="238"/>
        </w:trPr>
        <w:tc>
          <w:tcPr>
            <w:tcW w:w="1311" w:type="pct"/>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snapToGrid w:val="0"/>
                <w:sz w:val="20"/>
                <w:szCs w:val="20"/>
                <w:lang w:eastAsia="en-US"/>
              </w:rPr>
              <w:t>QALYs</w:t>
            </w:r>
          </w:p>
        </w:tc>
        <w:tc>
          <w:tcPr>
            <w:tcW w:w="1134" w:type="pct"/>
            <w:vAlign w:val="center"/>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5" w:type="pct"/>
            <w:vAlign w:val="center"/>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21" w:type="pct"/>
            <w:vAlign w:val="center"/>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6E7E6B" w:rsidRPr="009F36F8" w:rsidTr="00826CDF">
        <w:trPr>
          <w:trHeight w:val="238"/>
        </w:trPr>
        <w:tc>
          <w:tcPr>
            <w:tcW w:w="3579" w:type="pct"/>
            <w:gridSpan w:val="3"/>
            <w:vAlign w:val="center"/>
          </w:tcPr>
          <w:p w:rsidR="006E7E6B" w:rsidRPr="008111E5" w:rsidRDefault="006E7E6B" w:rsidP="00495C53">
            <w:pPr>
              <w:keepNext/>
              <w:keepLines/>
              <w:widowControl w:val="0"/>
              <w:rPr>
                <w:rFonts w:ascii="Arial Narrow" w:hAnsi="Arial Narrow"/>
                <w:sz w:val="20"/>
                <w:szCs w:val="20"/>
                <w:lang w:eastAsia="en-US"/>
              </w:rPr>
            </w:pPr>
            <w:r w:rsidRPr="008111E5">
              <w:rPr>
                <w:rFonts w:ascii="Arial Narrow" w:hAnsi="Arial Narrow"/>
                <w:b/>
                <w:sz w:val="20"/>
                <w:szCs w:val="20"/>
                <w:lang w:eastAsia="en-US"/>
              </w:rPr>
              <w:t>Incremental cost/extra QALY gained</w:t>
            </w:r>
          </w:p>
        </w:tc>
        <w:tc>
          <w:tcPr>
            <w:tcW w:w="1421" w:type="pct"/>
            <w:vAlign w:val="center"/>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6E7E6B" w:rsidRPr="009F36F8" w:rsidTr="00826CDF">
        <w:trPr>
          <w:trHeight w:val="238"/>
        </w:trPr>
        <w:tc>
          <w:tcPr>
            <w:tcW w:w="5000" w:type="pct"/>
            <w:gridSpan w:val="4"/>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cs="Arial Narrow"/>
                <w:b/>
                <w:bCs/>
                <w:snapToGrid w:val="0"/>
                <w:sz w:val="20"/>
                <w:szCs w:val="20"/>
                <w:lang w:eastAsia="en-US"/>
              </w:rPr>
              <w:t>Step 2: parametric extrapolation from 22.8 over a 10 year time horizon</w:t>
            </w:r>
          </w:p>
        </w:tc>
      </w:tr>
      <w:tr w:rsidR="006E7E6B" w:rsidRPr="009F36F8" w:rsidTr="00826CDF">
        <w:trPr>
          <w:trHeight w:val="255"/>
        </w:trPr>
        <w:tc>
          <w:tcPr>
            <w:tcW w:w="1311" w:type="pct"/>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snapToGrid w:val="0"/>
                <w:sz w:val="20"/>
                <w:szCs w:val="20"/>
                <w:lang w:eastAsia="en-US"/>
              </w:rPr>
              <w:t>Costs</w:t>
            </w:r>
          </w:p>
        </w:tc>
        <w:tc>
          <w:tcPr>
            <w:tcW w:w="1134" w:type="pct"/>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135" w:type="pct"/>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421" w:type="pct"/>
            <w:vAlign w:val="center"/>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r>
      <w:tr w:rsidR="006E7E6B" w:rsidRPr="009F36F8" w:rsidTr="00826CDF">
        <w:trPr>
          <w:trHeight w:val="238"/>
        </w:trPr>
        <w:tc>
          <w:tcPr>
            <w:tcW w:w="1311" w:type="pct"/>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snapToGrid w:val="0"/>
                <w:sz w:val="20"/>
                <w:szCs w:val="20"/>
                <w:lang w:eastAsia="en-US"/>
              </w:rPr>
              <w:t>QALYs</w:t>
            </w:r>
          </w:p>
        </w:tc>
        <w:tc>
          <w:tcPr>
            <w:tcW w:w="1134" w:type="pct"/>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5" w:type="pct"/>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21" w:type="pct"/>
            <w:vAlign w:val="center"/>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6E7E6B" w:rsidRPr="009F36F8" w:rsidTr="00826CDF">
        <w:trPr>
          <w:trHeight w:val="238"/>
        </w:trPr>
        <w:tc>
          <w:tcPr>
            <w:tcW w:w="3579" w:type="pct"/>
            <w:gridSpan w:val="3"/>
            <w:vAlign w:val="center"/>
          </w:tcPr>
          <w:p w:rsidR="006E7E6B" w:rsidRPr="008111E5" w:rsidRDefault="006E7E6B" w:rsidP="00495C53">
            <w:pPr>
              <w:keepNext/>
              <w:keepLines/>
              <w:widowControl w:val="0"/>
              <w:rPr>
                <w:rFonts w:ascii="Arial Narrow" w:hAnsi="Arial Narrow"/>
                <w:b/>
                <w:sz w:val="20"/>
                <w:szCs w:val="20"/>
                <w:lang w:eastAsia="en-US"/>
              </w:rPr>
            </w:pPr>
            <w:r w:rsidRPr="008111E5">
              <w:rPr>
                <w:rFonts w:ascii="Arial Narrow" w:hAnsi="Arial Narrow"/>
                <w:b/>
                <w:sz w:val="20"/>
                <w:szCs w:val="20"/>
                <w:lang w:eastAsia="en-US"/>
              </w:rPr>
              <w:t>Incremental cost/extra QALY gained</w:t>
            </w:r>
          </w:p>
        </w:tc>
        <w:tc>
          <w:tcPr>
            <w:tcW w:w="1421" w:type="pct"/>
            <w:vAlign w:val="center"/>
          </w:tcPr>
          <w:p w:rsidR="006E7E6B" w:rsidRPr="008111E5" w:rsidRDefault="006E7E6B" w:rsidP="00495C53">
            <w:pPr>
              <w:keepNext/>
              <w:keepLines/>
              <w:widowControl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6E7E6B" w:rsidRPr="009F36F8" w:rsidTr="00826CDF">
        <w:trPr>
          <w:trHeight w:val="255"/>
        </w:trPr>
        <w:tc>
          <w:tcPr>
            <w:tcW w:w="5000" w:type="pct"/>
            <w:gridSpan w:val="4"/>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cs="Arial Narrow"/>
                <w:b/>
                <w:bCs/>
                <w:snapToGrid w:val="0"/>
                <w:sz w:val="20"/>
                <w:szCs w:val="20"/>
                <w:lang w:eastAsia="en-US"/>
              </w:rPr>
              <w:t>Step 3:</w:t>
            </w:r>
            <w:r w:rsidRPr="008111E5">
              <w:rPr>
                <w:rFonts w:ascii="Arial Narrow" w:hAnsi="Arial Narrow" w:cs="Arial"/>
                <w:snapToGrid w:val="0"/>
                <w:sz w:val="20"/>
                <w:szCs w:val="20"/>
                <w:lang w:eastAsia="en-US"/>
              </w:rPr>
              <w:t xml:space="preserve"> </w:t>
            </w:r>
            <w:r w:rsidRPr="008111E5">
              <w:rPr>
                <w:rFonts w:ascii="Arial Narrow" w:hAnsi="Arial Narrow" w:cs="Arial Narrow"/>
                <w:b/>
                <w:bCs/>
                <w:snapToGrid w:val="0"/>
                <w:sz w:val="20"/>
                <w:szCs w:val="20"/>
                <w:lang w:eastAsia="en-US"/>
              </w:rPr>
              <w:t>inclusion of MRU costs</w:t>
            </w:r>
          </w:p>
        </w:tc>
      </w:tr>
      <w:tr w:rsidR="006E7E6B" w:rsidRPr="009F36F8" w:rsidTr="00826CDF">
        <w:trPr>
          <w:trHeight w:val="238"/>
        </w:trPr>
        <w:tc>
          <w:tcPr>
            <w:tcW w:w="1311" w:type="pct"/>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snapToGrid w:val="0"/>
                <w:sz w:val="20"/>
                <w:szCs w:val="20"/>
                <w:lang w:eastAsia="en-US"/>
              </w:rPr>
              <w:t>Costs</w:t>
            </w:r>
          </w:p>
        </w:tc>
        <w:tc>
          <w:tcPr>
            <w:tcW w:w="1134" w:type="pct"/>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135" w:type="pct"/>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421" w:type="pct"/>
            <w:vAlign w:val="center"/>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r>
      <w:tr w:rsidR="006E7E6B" w:rsidRPr="009F36F8" w:rsidTr="00826CDF">
        <w:trPr>
          <w:trHeight w:val="238"/>
        </w:trPr>
        <w:tc>
          <w:tcPr>
            <w:tcW w:w="1311" w:type="pct"/>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snapToGrid w:val="0"/>
                <w:sz w:val="20"/>
                <w:szCs w:val="20"/>
                <w:lang w:eastAsia="en-US"/>
              </w:rPr>
              <w:t>QALYs</w:t>
            </w:r>
          </w:p>
        </w:tc>
        <w:tc>
          <w:tcPr>
            <w:tcW w:w="1134" w:type="pct"/>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5" w:type="pct"/>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21" w:type="pct"/>
            <w:vAlign w:val="center"/>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6E7E6B" w:rsidRPr="009F36F8" w:rsidTr="00826CDF">
        <w:trPr>
          <w:trHeight w:val="255"/>
        </w:trPr>
        <w:tc>
          <w:tcPr>
            <w:tcW w:w="3579" w:type="pct"/>
            <w:gridSpan w:val="3"/>
            <w:vAlign w:val="center"/>
          </w:tcPr>
          <w:p w:rsidR="006E7E6B" w:rsidRPr="008111E5" w:rsidRDefault="006E7E6B" w:rsidP="00495C53">
            <w:pPr>
              <w:keepNext/>
              <w:keepLines/>
              <w:widowControl w:val="0"/>
              <w:rPr>
                <w:rFonts w:ascii="Arial Narrow" w:hAnsi="Arial Narrow"/>
                <w:b/>
                <w:sz w:val="20"/>
                <w:szCs w:val="20"/>
                <w:lang w:eastAsia="en-US"/>
              </w:rPr>
            </w:pPr>
            <w:r w:rsidRPr="008111E5">
              <w:rPr>
                <w:rFonts w:ascii="Arial Narrow" w:hAnsi="Arial Narrow"/>
                <w:b/>
                <w:sz w:val="20"/>
                <w:szCs w:val="20"/>
                <w:lang w:eastAsia="en-US"/>
              </w:rPr>
              <w:t>Incremental cost/extra QALY gained</w:t>
            </w:r>
          </w:p>
        </w:tc>
        <w:tc>
          <w:tcPr>
            <w:tcW w:w="1421" w:type="pct"/>
            <w:vAlign w:val="center"/>
          </w:tcPr>
          <w:p w:rsidR="006E7E6B" w:rsidRPr="008111E5" w:rsidRDefault="006E7E6B" w:rsidP="00495C53">
            <w:pPr>
              <w:keepNext/>
              <w:keepLines/>
              <w:widowControl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6E7E6B" w:rsidRPr="009F36F8" w:rsidTr="00826CDF">
        <w:trPr>
          <w:trHeight w:val="238"/>
        </w:trPr>
        <w:tc>
          <w:tcPr>
            <w:tcW w:w="5000" w:type="pct"/>
            <w:gridSpan w:val="4"/>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cs="Arial Narrow"/>
                <w:b/>
                <w:bCs/>
                <w:snapToGrid w:val="0"/>
                <w:sz w:val="20"/>
                <w:szCs w:val="20"/>
                <w:lang w:eastAsia="en-US"/>
              </w:rPr>
              <w:t>Step 4: inclusion of AE costs</w:t>
            </w:r>
          </w:p>
        </w:tc>
      </w:tr>
      <w:tr w:rsidR="006E7E6B" w:rsidRPr="009F36F8" w:rsidTr="00826CDF">
        <w:trPr>
          <w:trHeight w:val="238"/>
        </w:trPr>
        <w:tc>
          <w:tcPr>
            <w:tcW w:w="1311" w:type="pct"/>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snapToGrid w:val="0"/>
                <w:sz w:val="20"/>
                <w:szCs w:val="20"/>
                <w:lang w:eastAsia="en-US"/>
              </w:rPr>
              <w:t>Costs</w:t>
            </w:r>
          </w:p>
        </w:tc>
        <w:tc>
          <w:tcPr>
            <w:tcW w:w="1134" w:type="pct"/>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135" w:type="pct"/>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421" w:type="pct"/>
            <w:vAlign w:val="center"/>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r>
      <w:tr w:rsidR="006E7E6B" w:rsidRPr="009F36F8" w:rsidTr="00826CDF">
        <w:trPr>
          <w:trHeight w:val="238"/>
        </w:trPr>
        <w:tc>
          <w:tcPr>
            <w:tcW w:w="1311" w:type="pct"/>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snapToGrid w:val="0"/>
                <w:sz w:val="20"/>
                <w:szCs w:val="20"/>
                <w:lang w:eastAsia="en-US"/>
              </w:rPr>
              <w:t>QALYs</w:t>
            </w:r>
          </w:p>
        </w:tc>
        <w:tc>
          <w:tcPr>
            <w:tcW w:w="1134" w:type="pct"/>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5" w:type="pct"/>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21" w:type="pct"/>
            <w:vAlign w:val="center"/>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6E7E6B" w:rsidRPr="009F36F8" w:rsidTr="00826CDF">
        <w:trPr>
          <w:trHeight w:val="255"/>
        </w:trPr>
        <w:tc>
          <w:tcPr>
            <w:tcW w:w="3579" w:type="pct"/>
            <w:gridSpan w:val="3"/>
            <w:vAlign w:val="center"/>
          </w:tcPr>
          <w:p w:rsidR="006E7E6B" w:rsidRPr="008111E5" w:rsidRDefault="006E7E6B" w:rsidP="00495C53">
            <w:pPr>
              <w:keepNext/>
              <w:keepLines/>
              <w:widowControl w:val="0"/>
              <w:rPr>
                <w:rFonts w:ascii="Arial Narrow" w:hAnsi="Arial Narrow"/>
                <w:b/>
                <w:sz w:val="20"/>
                <w:szCs w:val="20"/>
                <w:lang w:eastAsia="en-US"/>
              </w:rPr>
            </w:pPr>
            <w:r w:rsidRPr="008111E5">
              <w:rPr>
                <w:rFonts w:ascii="Arial Narrow" w:hAnsi="Arial Narrow"/>
                <w:b/>
                <w:sz w:val="20"/>
                <w:szCs w:val="20"/>
                <w:lang w:eastAsia="en-US"/>
              </w:rPr>
              <w:t>Incremental cost/extra QALY gained</w:t>
            </w:r>
          </w:p>
        </w:tc>
        <w:tc>
          <w:tcPr>
            <w:tcW w:w="1421" w:type="pct"/>
            <w:vAlign w:val="center"/>
          </w:tcPr>
          <w:p w:rsidR="006E7E6B" w:rsidRPr="008111E5" w:rsidRDefault="006E7E6B" w:rsidP="00495C53">
            <w:pPr>
              <w:keepNext/>
              <w:keepLines/>
              <w:widowControl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6E7E6B" w:rsidRPr="009F36F8" w:rsidTr="00826CDF">
        <w:trPr>
          <w:trHeight w:val="238"/>
        </w:trPr>
        <w:tc>
          <w:tcPr>
            <w:tcW w:w="5000" w:type="pct"/>
            <w:gridSpan w:val="4"/>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cs="Arial Narrow"/>
                <w:b/>
                <w:bCs/>
                <w:snapToGrid w:val="0"/>
                <w:sz w:val="20"/>
                <w:szCs w:val="20"/>
                <w:lang w:eastAsia="en-US"/>
              </w:rPr>
              <w:t xml:space="preserve">Base case (including incorporation of </w:t>
            </w:r>
            <w:r w:rsidR="00197B45">
              <w:rPr>
                <w:rFonts w:ascii="Arial Narrow" w:hAnsi="Arial Narrow" w:cs="Arial Narrow"/>
                <w:b/>
                <w:bCs/>
                <w:noProof/>
                <w:snapToGrid w:val="0"/>
                <w:color w:val="000000"/>
                <w:sz w:val="20"/>
                <w:szCs w:val="20"/>
                <w:highlight w:val="black"/>
                <w:lang w:eastAsia="en-US"/>
              </w:rPr>
              <w:t>'''''''''</w:t>
            </w:r>
            <w:r w:rsidRPr="008111E5">
              <w:rPr>
                <w:rFonts w:ascii="Arial Narrow" w:hAnsi="Arial Narrow" w:cs="Arial Narrow"/>
                <w:b/>
                <w:bCs/>
                <w:snapToGrid w:val="0"/>
                <w:sz w:val="20"/>
                <w:szCs w:val="20"/>
                <w:lang w:eastAsia="en-US"/>
              </w:rPr>
              <w:t xml:space="preserve">% rebate for </w:t>
            </w:r>
            <w:proofErr w:type="spellStart"/>
            <w:r w:rsidRPr="008111E5">
              <w:rPr>
                <w:rFonts w:ascii="Arial Narrow" w:hAnsi="Arial Narrow" w:cs="Arial Narrow"/>
                <w:b/>
                <w:bCs/>
                <w:snapToGrid w:val="0"/>
                <w:sz w:val="20"/>
                <w:szCs w:val="20"/>
                <w:lang w:eastAsia="en-US"/>
              </w:rPr>
              <w:t>obinutuzumab</w:t>
            </w:r>
            <w:proofErr w:type="spellEnd"/>
            <w:r w:rsidRPr="008111E5">
              <w:rPr>
                <w:rFonts w:ascii="Arial Narrow" w:hAnsi="Arial Narrow" w:cs="Arial Narrow"/>
                <w:b/>
                <w:bCs/>
                <w:snapToGrid w:val="0"/>
                <w:sz w:val="20"/>
                <w:szCs w:val="20"/>
                <w:lang w:eastAsia="en-US"/>
              </w:rPr>
              <w:t>)</w:t>
            </w:r>
          </w:p>
        </w:tc>
      </w:tr>
      <w:tr w:rsidR="006E7E6B" w:rsidRPr="009F36F8" w:rsidTr="00826CDF">
        <w:trPr>
          <w:trHeight w:val="238"/>
        </w:trPr>
        <w:tc>
          <w:tcPr>
            <w:tcW w:w="1311" w:type="pct"/>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snapToGrid w:val="0"/>
                <w:sz w:val="20"/>
                <w:szCs w:val="20"/>
                <w:lang w:eastAsia="en-US"/>
              </w:rPr>
              <w:t>Costs</w:t>
            </w:r>
          </w:p>
        </w:tc>
        <w:tc>
          <w:tcPr>
            <w:tcW w:w="1134" w:type="pct"/>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135" w:type="pct"/>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421" w:type="pct"/>
            <w:vAlign w:val="center"/>
          </w:tcPr>
          <w:p w:rsidR="006E7E6B" w:rsidRPr="008111E5" w:rsidRDefault="006E7E6B" w:rsidP="00495C53">
            <w:pPr>
              <w:keepNext/>
              <w:keepLines/>
              <w:widowControl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r>
      <w:tr w:rsidR="006E7E6B" w:rsidRPr="009F36F8" w:rsidTr="00826CDF">
        <w:trPr>
          <w:trHeight w:val="255"/>
        </w:trPr>
        <w:tc>
          <w:tcPr>
            <w:tcW w:w="1311" w:type="pct"/>
            <w:vAlign w:val="center"/>
          </w:tcPr>
          <w:p w:rsidR="006E7E6B" w:rsidRPr="008111E5" w:rsidRDefault="006E7E6B" w:rsidP="00495C53">
            <w:pPr>
              <w:keepNext/>
              <w:keepLines/>
              <w:widowControl w:val="0"/>
              <w:rPr>
                <w:rFonts w:ascii="Arial Narrow" w:hAnsi="Arial Narrow"/>
                <w:snapToGrid w:val="0"/>
                <w:sz w:val="20"/>
                <w:szCs w:val="20"/>
                <w:lang w:eastAsia="en-US"/>
              </w:rPr>
            </w:pPr>
            <w:r w:rsidRPr="008111E5">
              <w:rPr>
                <w:rFonts w:ascii="Arial Narrow" w:hAnsi="Arial Narrow"/>
                <w:snapToGrid w:val="0"/>
                <w:sz w:val="20"/>
                <w:szCs w:val="20"/>
                <w:lang w:eastAsia="en-US"/>
              </w:rPr>
              <w:t>QALYs</w:t>
            </w:r>
          </w:p>
        </w:tc>
        <w:tc>
          <w:tcPr>
            <w:tcW w:w="1134" w:type="pct"/>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135" w:type="pct"/>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21" w:type="pct"/>
            <w:vAlign w:val="center"/>
          </w:tcPr>
          <w:p w:rsidR="006E7E6B" w:rsidRPr="00197B45" w:rsidRDefault="00197B45" w:rsidP="00495C53">
            <w:pPr>
              <w:keepNext/>
              <w:keepLines/>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6E7E6B" w:rsidRPr="009F36F8" w:rsidTr="00826CDF">
        <w:trPr>
          <w:trHeight w:val="255"/>
        </w:trPr>
        <w:tc>
          <w:tcPr>
            <w:tcW w:w="3579" w:type="pct"/>
            <w:gridSpan w:val="3"/>
            <w:vAlign w:val="center"/>
          </w:tcPr>
          <w:p w:rsidR="006E7E6B" w:rsidRPr="008111E5" w:rsidRDefault="006E7E6B" w:rsidP="00495C53">
            <w:pPr>
              <w:keepNext/>
              <w:keepLines/>
              <w:widowControl w:val="0"/>
              <w:rPr>
                <w:rFonts w:ascii="Arial Narrow" w:hAnsi="Arial Narrow"/>
                <w:b/>
                <w:sz w:val="20"/>
                <w:szCs w:val="20"/>
                <w:lang w:eastAsia="en-US"/>
              </w:rPr>
            </w:pPr>
            <w:r w:rsidRPr="008111E5">
              <w:rPr>
                <w:rFonts w:ascii="Arial Narrow" w:hAnsi="Arial Narrow"/>
                <w:b/>
                <w:sz w:val="20"/>
                <w:szCs w:val="20"/>
                <w:lang w:eastAsia="en-US"/>
              </w:rPr>
              <w:t>Incremental cost/extra QALY gained</w:t>
            </w:r>
          </w:p>
        </w:tc>
        <w:tc>
          <w:tcPr>
            <w:tcW w:w="1421" w:type="pct"/>
            <w:vAlign w:val="center"/>
          </w:tcPr>
          <w:p w:rsidR="006E7E6B" w:rsidRPr="008111E5" w:rsidRDefault="006E7E6B" w:rsidP="00495C53">
            <w:pPr>
              <w:keepNext/>
              <w:keepLines/>
              <w:widowControl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bl>
    <w:p w:rsidR="006E7E6B" w:rsidRPr="00FC7EB0" w:rsidRDefault="006E7E6B" w:rsidP="00826CDF">
      <w:pPr>
        <w:keepNext/>
        <w:keepLines/>
        <w:widowControl w:val="0"/>
        <w:ind w:firstLine="720"/>
        <w:jc w:val="both"/>
        <w:rPr>
          <w:rFonts w:ascii="Arial Narrow" w:hAnsi="Arial Narrow" w:cs="Arial"/>
          <w:snapToGrid w:val="0"/>
          <w:sz w:val="20"/>
          <w:szCs w:val="20"/>
          <w:lang w:eastAsia="en-US"/>
        </w:rPr>
      </w:pPr>
      <w:r w:rsidRPr="00FC7EB0">
        <w:rPr>
          <w:rFonts w:ascii="Arial Narrow" w:hAnsi="Arial Narrow" w:cs="Arial"/>
          <w:snapToGrid w:val="0"/>
          <w:sz w:val="20"/>
          <w:szCs w:val="20"/>
          <w:lang w:eastAsia="en-US"/>
        </w:rPr>
        <w:t>Source: Tables D.5.1-6 pp.20-25 of the submission.</w:t>
      </w:r>
    </w:p>
    <w:p w:rsidR="006E7E6B" w:rsidRPr="008111E5" w:rsidRDefault="006E7E6B" w:rsidP="00826CDF">
      <w:pPr>
        <w:keepNext/>
        <w:keepLines/>
        <w:widowControl w:val="0"/>
        <w:ind w:firstLine="720"/>
        <w:jc w:val="both"/>
        <w:rPr>
          <w:rFonts w:ascii="Arial Narrow" w:hAnsi="Arial Narrow" w:cs="Arial"/>
          <w:snapToGrid w:val="0"/>
          <w:sz w:val="20"/>
          <w:szCs w:val="20"/>
          <w:lang w:eastAsia="en-US"/>
        </w:rPr>
      </w:pPr>
      <w:r w:rsidRPr="008111E5">
        <w:rPr>
          <w:rFonts w:ascii="Arial Narrow" w:hAnsi="Arial Narrow" w:cs="Arial"/>
          <w:snapToGrid w:val="0"/>
          <w:sz w:val="20"/>
          <w:szCs w:val="20"/>
          <w:lang w:eastAsia="en-US"/>
        </w:rPr>
        <w:t>QALY = quality adjusted life year; MRU = medical resource utilisation (progression free health state only)</w:t>
      </w:r>
    </w:p>
    <w:p w:rsidR="006E7E6B" w:rsidRDefault="006E7E6B" w:rsidP="00A96A09">
      <w:pPr>
        <w:jc w:val="both"/>
        <w:rPr>
          <w:rFonts w:ascii="Arial" w:hAnsi="Arial"/>
          <w:sz w:val="22"/>
          <w:szCs w:val="22"/>
        </w:rPr>
      </w:pPr>
    </w:p>
    <w:p w:rsidR="00A96A09" w:rsidRPr="008111E5" w:rsidRDefault="00A96A09" w:rsidP="005E62C9">
      <w:pPr>
        <w:keepNext/>
        <w:keepLines/>
        <w:widowControl w:val="0"/>
        <w:ind w:left="720"/>
        <w:jc w:val="both"/>
        <w:rPr>
          <w:rFonts w:ascii="Arial Narrow" w:hAnsi="Arial Narrow" w:cs="Arial"/>
          <w:b/>
          <w:snapToGrid w:val="0"/>
          <w:sz w:val="20"/>
          <w:szCs w:val="20"/>
          <w:lang w:eastAsia="en-US"/>
        </w:rPr>
      </w:pPr>
      <w:r w:rsidRPr="008111E5">
        <w:rPr>
          <w:rFonts w:ascii="Arial Narrow" w:hAnsi="Arial Narrow" w:cs="Arial"/>
          <w:b/>
          <w:snapToGrid w:val="0"/>
          <w:sz w:val="20"/>
          <w:szCs w:val="20"/>
          <w:lang w:eastAsia="en-US"/>
        </w:rPr>
        <w:lastRenderedPageBreak/>
        <w:t xml:space="preserve">Table 8: Results of the stepped economic evaluation – </w:t>
      </w:r>
      <w:proofErr w:type="spellStart"/>
      <w:r w:rsidRPr="008111E5">
        <w:rPr>
          <w:rFonts w:ascii="Arial Narrow" w:hAnsi="Arial Narrow" w:cs="Arial"/>
          <w:b/>
          <w:snapToGrid w:val="0"/>
          <w:sz w:val="20"/>
          <w:szCs w:val="20"/>
          <w:lang w:eastAsia="en-US"/>
        </w:rPr>
        <w:t>obinutuzumab</w:t>
      </w:r>
      <w:proofErr w:type="spellEnd"/>
      <w:r w:rsidRPr="008111E5">
        <w:rPr>
          <w:rFonts w:ascii="Arial Narrow" w:hAnsi="Arial Narrow" w:cs="Arial"/>
          <w:b/>
          <w:snapToGrid w:val="0"/>
          <w:sz w:val="20"/>
          <w:szCs w:val="20"/>
          <w:lang w:eastAsia="en-US"/>
        </w:rPr>
        <w:t xml:space="preserve"> plus </w:t>
      </w:r>
      <w:proofErr w:type="spellStart"/>
      <w:r w:rsidRPr="008111E5">
        <w:rPr>
          <w:rFonts w:ascii="Arial Narrow" w:hAnsi="Arial Narrow" w:cs="Arial"/>
          <w:b/>
          <w:snapToGrid w:val="0"/>
          <w:sz w:val="20"/>
          <w:szCs w:val="20"/>
          <w:lang w:eastAsia="en-US"/>
        </w:rPr>
        <w:t>chlorambucil</w:t>
      </w:r>
      <w:proofErr w:type="spellEnd"/>
      <w:r w:rsidRPr="008111E5">
        <w:rPr>
          <w:rFonts w:ascii="Arial Narrow" w:hAnsi="Arial Narrow" w:cs="Arial"/>
          <w:b/>
          <w:snapToGrid w:val="0"/>
          <w:sz w:val="20"/>
          <w:szCs w:val="20"/>
          <w:lang w:eastAsia="en-US"/>
        </w:rPr>
        <w:t xml:space="preserve"> versus rituximab plus </w:t>
      </w:r>
      <w:proofErr w:type="spellStart"/>
      <w:r w:rsidRPr="008111E5">
        <w:rPr>
          <w:rFonts w:ascii="Arial Narrow" w:hAnsi="Arial Narrow" w:cs="Arial"/>
          <w:b/>
          <w:snapToGrid w:val="0"/>
          <w:sz w:val="20"/>
          <w:szCs w:val="20"/>
          <w:lang w:eastAsia="en-US"/>
        </w:rPr>
        <w:t>chlorambucil</w:t>
      </w:r>
      <w:proofErr w:type="spellEnd"/>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the stepped economic evaluation – obinutuzumab plus chlorambucil versus rituximab plus chlorambucil"/>
      </w:tblPr>
      <w:tblGrid>
        <w:gridCol w:w="1812"/>
        <w:gridCol w:w="2644"/>
        <w:gridCol w:w="2362"/>
        <w:gridCol w:w="1545"/>
      </w:tblGrid>
      <w:tr w:rsidR="00A96A09" w:rsidRPr="009F36F8" w:rsidTr="005E62C9">
        <w:trPr>
          <w:trHeight w:val="262"/>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b/>
                <w:snapToGrid w:val="0"/>
                <w:sz w:val="20"/>
                <w:szCs w:val="20"/>
                <w:lang w:eastAsia="en-US"/>
              </w:rPr>
            </w:pPr>
            <w:r w:rsidRPr="008111E5">
              <w:rPr>
                <w:rFonts w:ascii="Arial Narrow" w:hAnsi="Arial Narrow"/>
                <w:b/>
                <w:snapToGrid w:val="0"/>
                <w:sz w:val="20"/>
                <w:szCs w:val="20"/>
                <w:lang w:eastAsia="en-US"/>
              </w:rPr>
              <w:t>Step and component</w:t>
            </w:r>
          </w:p>
        </w:tc>
        <w:tc>
          <w:tcPr>
            <w:tcW w:w="1581" w:type="pct"/>
            <w:tcBorders>
              <w:top w:val="single" w:sz="4" w:space="0" w:color="auto"/>
              <w:left w:val="single" w:sz="4" w:space="0" w:color="auto"/>
              <w:bottom w:val="single" w:sz="4" w:space="0" w:color="auto"/>
              <w:right w:val="single" w:sz="4" w:space="0" w:color="auto"/>
            </w:tcBorders>
            <w:hideMark/>
          </w:tcPr>
          <w:p w:rsidR="00A96A09" w:rsidRPr="008111E5" w:rsidRDefault="00A96A09" w:rsidP="00A96A09">
            <w:pPr>
              <w:keepNext/>
              <w:keepLines/>
              <w:widowControl w:val="0"/>
              <w:snapToGrid w:val="0"/>
              <w:jc w:val="center"/>
              <w:rPr>
                <w:rFonts w:ascii="Arial Narrow" w:hAnsi="Arial Narrow"/>
                <w:b/>
                <w:snapToGrid w:val="0"/>
                <w:sz w:val="20"/>
                <w:szCs w:val="20"/>
                <w:lang w:eastAsia="en-US"/>
              </w:rPr>
            </w:pPr>
            <w:proofErr w:type="spellStart"/>
            <w:r w:rsidRPr="008111E5">
              <w:rPr>
                <w:rFonts w:ascii="Arial Narrow" w:hAnsi="Arial Narrow"/>
                <w:b/>
                <w:snapToGrid w:val="0"/>
                <w:sz w:val="20"/>
                <w:szCs w:val="20"/>
                <w:lang w:eastAsia="en-US"/>
              </w:rPr>
              <w:t>Obinutuzumab</w:t>
            </w:r>
            <w:proofErr w:type="spellEnd"/>
            <w:r w:rsidRPr="008111E5">
              <w:rPr>
                <w:rFonts w:ascii="Arial Narrow" w:hAnsi="Arial Narrow"/>
                <w:b/>
                <w:snapToGrid w:val="0"/>
                <w:sz w:val="20"/>
                <w:szCs w:val="20"/>
                <w:lang w:eastAsia="en-US"/>
              </w:rPr>
              <w:t xml:space="preserve"> +</w:t>
            </w:r>
            <w:proofErr w:type="spellStart"/>
            <w:r w:rsidRPr="008111E5">
              <w:rPr>
                <w:rFonts w:ascii="Arial Narrow" w:hAnsi="Arial Narrow"/>
                <w:b/>
                <w:snapToGrid w:val="0"/>
                <w:sz w:val="20"/>
                <w:szCs w:val="20"/>
                <w:lang w:eastAsia="en-US"/>
              </w:rPr>
              <w:t>chlorambucil</w:t>
            </w:r>
            <w:proofErr w:type="spellEnd"/>
          </w:p>
        </w:tc>
        <w:tc>
          <w:tcPr>
            <w:tcW w:w="1412" w:type="pct"/>
            <w:tcBorders>
              <w:top w:val="single" w:sz="4" w:space="0" w:color="auto"/>
              <w:left w:val="single" w:sz="4" w:space="0" w:color="auto"/>
              <w:bottom w:val="single" w:sz="4" w:space="0" w:color="auto"/>
              <w:right w:val="single" w:sz="4" w:space="0" w:color="auto"/>
            </w:tcBorders>
            <w:hideMark/>
          </w:tcPr>
          <w:p w:rsidR="00A96A09" w:rsidRPr="008111E5" w:rsidRDefault="00A96A09" w:rsidP="00A96A09">
            <w:pPr>
              <w:keepNext/>
              <w:keepLines/>
              <w:widowControl w:val="0"/>
              <w:snapToGrid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Rituximab +</w:t>
            </w:r>
            <w:proofErr w:type="spellStart"/>
            <w:r w:rsidRPr="008111E5">
              <w:rPr>
                <w:rFonts w:ascii="Arial Narrow" w:hAnsi="Arial Narrow"/>
                <w:b/>
                <w:snapToGrid w:val="0"/>
                <w:sz w:val="20"/>
                <w:szCs w:val="20"/>
                <w:lang w:eastAsia="en-US"/>
              </w:rPr>
              <w:t>chlorambucil</w:t>
            </w:r>
            <w:proofErr w:type="spellEnd"/>
          </w:p>
        </w:tc>
        <w:tc>
          <w:tcPr>
            <w:tcW w:w="924" w:type="pct"/>
            <w:tcBorders>
              <w:top w:val="single" w:sz="4" w:space="0" w:color="auto"/>
              <w:left w:val="single" w:sz="4" w:space="0" w:color="auto"/>
              <w:bottom w:val="single" w:sz="4" w:space="0" w:color="auto"/>
              <w:right w:val="single" w:sz="4" w:space="0" w:color="auto"/>
            </w:tcBorders>
            <w:hideMark/>
          </w:tcPr>
          <w:p w:rsidR="00A96A09" w:rsidRPr="008111E5" w:rsidRDefault="00A96A09" w:rsidP="00A96A09">
            <w:pPr>
              <w:keepNext/>
              <w:keepLines/>
              <w:widowControl w:val="0"/>
              <w:snapToGrid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Increment</w:t>
            </w:r>
          </w:p>
        </w:tc>
      </w:tr>
      <w:tr w:rsidR="00A96A09" w:rsidRPr="009F36F8" w:rsidTr="005E62C9">
        <w:trPr>
          <w:trHeight w:val="24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cs="Arial Narrow"/>
                <w:b/>
                <w:bCs/>
                <w:snapToGrid w:val="0"/>
                <w:sz w:val="20"/>
                <w:szCs w:val="20"/>
                <w:lang w:eastAsia="en-US"/>
              </w:rPr>
              <w:t>Step 1: trial-based costs and outcomes</w:t>
            </w:r>
          </w:p>
        </w:tc>
      </w:tr>
      <w:tr w:rsidR="00A96A09" w:rsidRPr="009F36F8" w:rsidTr="005E62C9">
        <w:trPr>
          <w:trHeight w:val="244"/>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Costs</w:t>
            </w:r>
          </w:p>
        </w:tc>
        <w:tc>
          <w:tcPr>
            <w:tcW w:w="1581"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r>
      <w:tr w:rsidR="00A96A09" w:rsidRPr="009F36F8" w:rsidTr="005E62C9">
        <w:trPr>
          <w:trHeight w:val="262"/>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LYs</w:t>
            </w:r>
          </w:p>
        </w:tc>
        <w:tc>
          <w:tcPr>
            <w:tcW w:w="1581"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A96A09" w:rsidRPr="009F36F8" w:rsidTr="005E62C9">
        <w:trPr>
          <w:trHeight w:val="244"/>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QALYs</w:t>
            </w:r>
          </w:p>
        </w:tc>
        <w:tc>
          <w:tcPr>
            <w:tcW w:w="1581"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jc w:val="center"/>
              <w:outlineLvl w:val="0"/>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jc w:val="center"/>
              <w:outlineLvl w:val="0"/>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A96A09" w:rsidRPr="009F36F8" w:rsidTr="005E62C9">
        <w:trPr>
          <w:trHeight w:val="244"/>
        </w:trPr>
        <w:tc>
          <w:tcPr>
            <w:tcW w:w="4076" w:type="pct"/>
            <w:gridSpan w:val="3"/>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b/>
                <w:snapToGrid w:val="0"/>
                <w:sz w:val="20"/>
                <w:szCs w:val="20"/>
                <w:lang w:eastAsia="en-US"/>
              </w:rPr>
              <w:t>Incremental cost/extra LY gained</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A96A09" w:rsidRPr="009F36F8" w:rsidTr="005E62C9">
        <w:trPr>
          <w:trHeight w:val="244"/>
        </w:trPr>
        <w:tc>
          <w:tcPr>
            <w:tcW w:w="4076" w:type="pct"/>
            <w:gridSpan w:val="3"/>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b/>
                <w:snapToGrid w:val="0"/>
                <w:sz w:val="20"/>
                <w:szCs w:val="20"/>
                <w:lang w:eastAsia="en-US"/>
              </w:rPr>
              <w:t>Incremental cost/extra QALY gained</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A96A09" w:rsidRPr="009F36F8" w:rsidTr="005E62C9">
        <w:trPr>
          <w:trHeight w:val="391"/>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cs="Arial Narrow"/>
                <w:b/>
                <w:bCs/>
                <w:snapToGrid w:val="0"/>
                <w:sz w:val="20"/>
                <w:szCs w:val="20"/>
                <w:lang w:eastAsia="en-US"/>
              </w:rPr>
              <w:t>Step 2: parametric extrapolation from 18.7 months over a 10 year time horizon</w:t>
            </w:r>
          </w:p>
        </w:tc>
      </w:tr>
      <w:tr w:rsidR="00A96A09" w:rsidRPr="009F36F8" w:rsidTr="005E62C9">
        <w:trPr>
          <w:trHeight w:val="244"/>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Costs</w:t>
            </w:r>
          </w:p>
        </w:tc>
        <w:tc>
          <w:tcPr>
            <w:tcW w:w="1581" w:type="pct"/>
            <w:tcBorders>
              <w:top w:val="single" w:sz="4" w:space="0" w:color="auto"/>
              <w:left w:val="single" w:sz="4" w:space="0" w:color="auto"/>
              <w:bottom w:val="single" w:sz="4" w:space="0" w:color="auto"/>
              <w:right w:val="single" w:sz="4" w:space="0" w:color="auto"/>
            </w:tcBorders>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r>
      <w:tr w:rsidR="00A96A09" w:rsidRPr="009F36F8" w:rsidTr="005E62C9">
        <w:trPr>
          <w:trHeight w:val="262"/>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LYs</w:t>
            </w:r>
          </w:p>
        </w:tc>
        <w:tc>
          <w:tcPr>
            <w:tcW w:w="1581"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A96A09" w:rsidRPr="009F36F8" w:rsidTr="005E62C9">
        <w:trPr>
          <w:trHeight w:val="244"/>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QALYs</w:t>
            </w:r>
          </w:p>
        </w:tc>
        <w:tc>
          <w:tcPr>
            <w:tcW w:w="1581"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A96A09" w:rsidRPr="009F36F8" w:rsidTr="005E62C9">
        <w:trPr>
          <w:trHeight w:val="244"/>
        </w:trPr>
        <w:tc>
          <w:tcPr>
            <w:tcW w:w="4076" w:type="pct"/>
            <w:gridSpan w:val="3"/>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b/>
                <w:snapToGrid w:val="0"/>
                <w:sz w:val="20"/>
                <w:szCs w:val="20"/>
                <w:lang w:eastAsia="en-US"/>
              </w:rPr>
              <w:t>Incremental cost/extra LY gained</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A96A09" w:rsidRPr="009F36F8" w:rsidTr="005E62C9">
        <w:trPr>
          <w:trHeight w:val="244"/>
        </w:trPr>
        <w:tc>
          <w:tcPr>
            <w:tcW w:w="4076" w:type="pct"/>
            <w:gridSpan w:val="3"/>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b/>
                <w:snapToGrid w:val="0"/>
                <w:sz w:val="20"/>
                <w:szCs w:val="20"/>
                <w:lang w:eastAsia="en-US"/>
              </w:rPr>
              <w:t>Incremental cost/extra QALY gained</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A96A09" w:rsidRPr="009F36F8" w:rsidTr="005E62C9">
        <w:trPr>
          <w:trHeight w:val="26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cs="Arial Narrow"/>
                <w:b/>
                <w:bCs/>
                <w:snapToGrid w:val="0"/>
                <w:sz w:val="20"/>
                <w:szCs w:val="20"/>
                <w:lang w:eastAsia="en-US"/>
              </w:rPr>
              <w:t>Step 3:</w:t>
            </w:r>
            <w:r w:rsidRPr="008111E5">
              <w:rPr>
                <w:rFonts w:ascii="Arial Narrow" w:hAnsi="Arial Narrow" w:cs="Arial"/>
                <w:snapToGrid w:val="0"/>
                <w:sz w:val="20"/>
                <w:szCs w:val="20"/>
                <w:lang w:eastAsia="en-US"/>
              </w:rPr>
              <w:t xml:space="preserve"> </w:t>
            </w:r>
            <w:r w:rsidRPr="008111E5">
              <w:rPr>
                <w:rFonts w:ascii="Arial Narrow" w:hAnsi="Arial Narrow" w:cs="Arial Narrow"/>
                <w:b/>
                <w:bCs/>
                <w:snapToGrid w:val="0"/>
                <w:sz w:val="20"/>
                <w:szCs w:val="20"/>
                <w:lang w:eastAsia="en-US"/>
              </w:rPr>
              <w:t>inclusion of MRU costs</w:t>
            </w:r>
          </w:p>
        </w:tc>
      </w:tr>
      <w:tr w:rsidR="00A96A09" w:rsidRPr="009F36F8" w:rsidTr="005E62C9">
        <w:trPr>
          <w:trHeight w:val="244"/>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Costs</w:t>
            </w:r>
          </w:p>
        </w:tc>
        <w:tc>
          <w:tcPr>
            <w:tcW w:w="1581" w:type="pct"/>
            <w:tcBorders>
              <w:top w:val="single" w:sz="4" w:space="0" w:color="auto"/>
              <w:left w:val="single" w:sz="4" w:space="0" w:color="auto"/>
              <w:bottom w:val="single" w:sz="4" w:space="0" w:color="auto"/>
              <w:right w:val="single" w:sz="4" w:space="0" w:color="auto"/>
            </w:tcBorders>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r>
      <w:tr w:rsidR="00A96A09" w:rsidRPr="009F36F8" w:rsidTr="005E62C9">
        <w:trPr>
          <w:trHeight w:val="244"/>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LYs</w:t>
            </w:r>
          </w:p>
        </w:tc>
        <w:tc>
          <w:tcPr>
            <w:tcW w:w="1581"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A96A09" w:rsidRPr="009F36F8" w:rsidTr="005E62C9">
        <w:trPr>
          <w:trHeight w:val="262"/>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QALYs</w:t>
            </w:r>
          </w:p>
        </w:tc>
        <w:tc>
          <w:tcPr>
            <w:tcW w:w="1581"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A96A09" w:rsidRPr="009F36F8" w:rsidTr="005E62C9">
        <w:trPr>
          <w:trHeight w:val="244"/>
        </w:trPr>
        <w:tc>
          <w:tcPr>
            <w:tcW w:w="4076" w:type="pct"/>
            <w:gridSpan w:val="3"/>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b/>
                <w:snapToGrid w:val="0"/>
                <w:sz w:val="20"/>
                <w:szCs w:val="20"/>
                <w:lang w:eastAsia="en-US"/>
              </w:rPr>
              <w:t>Incremental cost/extra LY gained</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A96A09" w:rsidRPr="009F36F8" w:rsidTr="005E62C9">
        <w:trPr>
          <w:trHeight w:val="244"/>
        </w:trPr>
        <w:tc>
          <w:tcPr>
            <w:tcW w:w="4076" w:type="pct"/>
            <w:gridSpan w:val="3"/>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b/>
                <w:snapToGrid w:val="0"/>
                <w:sz w:val="20"/>
                <w:szCs w:val="20"/>
                <w:lang w:eastAsia="en-US"/>
              </w:rPr>
              <w:t>Incremental cost/extra QALY gained</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A96A09" w:rsidRPr="009F36F8" w:rsidTr="005E62C9">
        <w:trPr>
          <w:trHeight w:val="26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cs="Arial Narrow"/>
                <w:b/>
                <w:bCs/>
                <w:snapToGrid w:val="0"/>
                <w:sz w:val="20"/>
                <w:szCs w:val="20"/>
                <w:lang w:eastAsia="en-US"/>
              </w:rPr>
              <w:t>Step 4: inclusion of AE costs</w:t>
            </w:r>
          </w:p>
        </w:tc>
      </w:tr>
      <w:tr w:rsidR="00A96A09" w:rsidRPr="009F36F8" w:rsidTr="005E62C9">
        <w:trPr>
          <w:trHeight w:val="244"/>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Costs</w:t>
            </w:r>
          </w:p>
        </w:tc>
        <w:tc>
          <w:tcPr>
            <w:tcW w:w="1581" w:type="pct"/>
            <w:tcBorders>
              <w:top w:val="single" w:sz="4" w:space="0" w:color="auto"/>
              <w:left w:val="single" w:sz="4" w:space="0" w:color="auto"/>
              <w:bottom w:val="single" w:sz="4" w:space="0" w:color="auto"/>
              <w:right w:val="single" w:sz="4" w:space="0" w:color="auto"/>
            </w:tcBorders>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r>
      <w:tr w:rsidR="00A96A09" w:rsidRPr="009F36F8" w:rsidTr="005E62C9">
        <w:trPr>
          <w:trHeight w:val="244"/>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LYs</w:t>
            </w:r>
          </w:p>
        </w:tc>
        <w:tc>
          <w:tcPr>
            <w:tcW w:w="1581"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A96A09" w:rsidRPr="009F36F8" w:rsidTr="005E62C9">
        <w:trPr>
          <w:trHeight w:val="244"/>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QALYs</w:t>
            </w:r>
          </w:p>
        </w:tc>
        <w:tc>
          <w:tcPr>
            <w:tcW w:w="1581"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A96A09" w:rsidRPr="009F36F8" w:rsidTr="005E62C9">
        <w:trPr>
          <w:trHeight w:val="262"/>
        </w:trPr>
        <w:tc>
          <w:tcPr>
            <w:tcW w:w="4076" w:type="pct"/>
            <w:gridSpan w:val="3"/>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b/>
                <w:snapToGrid w:val="0"/>
                <w:sz w:val="20"/>
                <w:szCs w:val="20"/>
                <w:lang w:eastAsia="en-US"/>
              </w:rPr>
              <w:t>Incremental cost/extra LY gained</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A96A09" w:rsidRPr="009F36F8" w:rsidTr="005E62C9">
        <w:trPr>
          <w:trHeight w:val="244"/>
        </w:trPr>
        <w:tc>
          <w:tcPr>
            <w:tcW w:w="4076" w:type="pct"/>
            <w:gridSpan w:val="3"/>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b/>
                <w:snapToGrid w:val="0"/>
                <w:sz w:val="20"/>
                <w:szCs w:val="20"/>
                <w:lang w:eastAsia="en-US"/>
              </w:rPr>
              <w:t>Incremental cost/extra QALY gained</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A96A09" w:rsidRPr="009F36F8" w:rsidTr="005E62C9">
        <w:trPr>
          <w:trHeight w:val="24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cs="Arial Narrow"/>
                <w:b/>
                <w:bCs/>
                <w:snapToGrid w:val="0"/>
                <w:sz w:val="20"/>
                <w:szCs w:val="20"/>
                <w:lang w:eastAsia="en-US"/>
              </w:rPr>
              <w:t xml:space="preserve">Base case (incorporation of </w:t>
            </w:r>
            <w:r w:rsidR="00197B45">
              <w:rPr>
                <w:rFonts w:ascii="Arial Narrow" w:hAnsi="Arial Narrow" w:cs="Arial Narrow"/>
                <w:b/>
                <w:bCs/>
                <w:noProof/>
                <w:snapToGrid w:val="0"/>
                <w:color w:val="000000"/>
                <w:sz w:val="20"/>
                <w:szCs w:val="20"/>
                <w:highlight w:val="black"/>
                <w:lang w:eastAsia="en-US"/>
              </w:rPr>
              <w:t>'''''''''</w:t>
            </w:r>
            <w:r w:rsidRPr="008111E5">
              <w:rPr>
                <w:rFonts w:ascii="Arial Narrow" w:hAnsi="Arial Narrow" w:cs="Arial Narrow"/>
                <w:b/>
                <w:bCs/>
                <w:snapToGrid w:val="0"/>
                <w:sz w:val="20"/>
                <w:szCs w:val="20"/>
                <w:lang w:eastAsia="en-US"/>
              </w:rPr>
              <w:t xml:space="preserve">% rebate for </w:t>
            </w:r>
            <w:proofErr w:type="spellStart"/>
            <w:r w:rsidRPr="008111E5">
              <w:rPr>
                <w:rFonts w:ascii="Arial Narrow" w:hAnsi="Arial Narrow" w:cs="Arial Narrow"/>
                <w:b/>
                <w:bCs/>
                <w:snapToGrid w:val="0"/>
                <w:sz w:val="20"/>
                <w:szCs w:val="20"/>
                <w:lang w:eastAsia="en-US"/>
              </w:rPr>
              <w:t>obinutuzumab</w:t>
            </w:r>
            <w:proofErr w:type="spellEnd"/>
            <w:r w:rsidRPr="008111E5">
              <w:rPr>
                <w:rFonts w:ascii="Arial Narrow" w:hAnsi="Arial Narrow" w:cs="Arial Narrow"/>
                <w:b/>
                <w:bCs/>
                <w:snapToGrid w:val="0"/>
                <w:sz w:val="20"/>
                <w:szCs w:val="20"/>
                <w:lang w:eastAsia="en-US"/>
              </w:rPr>
              <w:t>)</w:t>
            </w:r>
          </w:p>
        </w:tc>
      </w:tr>
      <w:tr w:rsidR="00A96A09" w:rsidRPr="009F36F8" w:rsidTr="005E62C9">
        <w:trPr>
          <w:trHeight w:val="262"/>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Costs</w:t>
            </w:r>
          </w:p>
        </w:tc>
        <w:tc>
          <w:tcPr>
            <w:tcW w:w="1581" w:type="pct"/>
            <w:tcBorders>
              <w:top w:val="single" w:sz="4" w:space="0" w:color="auto"/>
              <w:left w:val="single" w:sz="4" w:space="0" w:color="auto"/>
              <w:bottom w:val="single" w:sz="4" w:space="0" w:color="auto"/>
              <w:right w:val="single" w:sz="4" w:space="0" w:color="auto"/>
            </w:tcBorders>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snapToGrid w:val="0"/>
                <w:sz w:val="20"/>
                <w:szCs w:val="20"/>
                <w:lang w:eastAsia="en-US"/>
              </w:rPr>
            </w:pPr>
            <w:r w:rsidRPr="008111E5">
              <w:rPr>
                <w:rFonts w:ascii="Arial Narrow" w:hAnsi="Arial Narrow"/>
                <w:snapToGrid w:val="0"/>
                <w:sz w:val="20"/>
                <w:szCs w:val="20"/>
                <w:lang w:eastAsia="en-US"/>
              </w:rPr>
              <w:t>$</w:t>
            </w:r>
            <w:r w:rsidR="00197B45">
              <w:rPr>
                <w:rFonts w:ascii="Arial Narrow" w:hAnsi="Arial Narrow"/>
                <w:noProof/>
                <w:snapToGrid w:val="0"/>
                <w:color w:val="000000"/>
                <w:sz w:val="20"/>
                <w:szCs w:val="20"/>
                <w:highlight w:val="black"/>
                <w:lang w:eastAsia="en-US"/>
              </w:rPr>
              <w:t>''''''''''''''''</w:t>
            </w:r>
          </w:p>
        </w:tc>
      </w:tr>
      <w:tr w:rsidR="00A96A09" w:rsidRPr="009F36F8" w:rsidTr="005E62C9">
        <w:trPr>
          <w:trHeight w:val="244"/>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LYs</w:t>
            </w:r>
          </w:p>
        </w:tc>
        <w:tc>
          <w:tcPr>
            <w:tcW w:w="1581"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A96A09" w:rsidRPr="009F36F8" w:rsidTr="005E62C9">
        <w:trPr>
          <w:trHeight w:val="244"/>
        </w:trPr>
        <w:tc>
          <w:tcPr>
            <w:tcW w:w="1083"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snapToGrid w:val="0"/>
                <w:sz w:val="20"/>
                <w:szCs w:val="20"/>
                <w:lang w:eastAsia="en-US"/>
              </w:rPr>
              <w:t>QALYs</w:t>
            </w:r>
          </w:p>
        </w:tc>
        <w:tc>
          <w:tcPr>
            <w:tcW w:w="1581"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1412" w:type="pct"/>
            <w:tcBorders>
              <w:top w:val="single" w:sz="4" w:space="0" w:color="auto"/>
              <w:left w:val="single" w:sz="4" w:space="0" w:color="auto"/>
              <w:bottom w:val="single" w:sz="4" w:space="0" w:color="auto"/>
              <w:right w:val="single" w:sz="4" w:space="0" w:color="auto"/>
            </w:tcBorders>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197B45" w:rsidRDefault="00197B45" w:rsidP="00A96A09">
            <w:pPr>
              <w:keepNext/>
              <w:keepLines/>
              <w:widowControl w:val="0"/>
              <w:snapToGrid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r>
      <w:tr w:rsidR="00A96A09" w:rsidRPr="009F36F8" w:rsidTr="005E62C9">
        <w:trPr>
          <w:trHeight w:val="262"/>
        </w:trPr>
        <w:tc>
          <w:tcPr>
            <w:tcW w:w="4076" w:type="pct"/>
            <w:gridSpan w:val="3"/>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b/>
                <w:snapToGrid w:val="0"/>
                <w:sz w:val="20"/>
                <w:szCs w:val="20"/>
                <w:lang w:eastAsia="en-US"/>
              </w:rPr>
              <w:t>Incremental cost/extra LY gained</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r w:rsidR="00A96A09" w:rsidRPr="009F36F8" w:rsidTr="005E62C9">
        <w:trPr>
          <w:trHeight w:val="244"/>
        </w:trPr>
        <w:tc>
          <w:tcPr>
            <w:tcW w:w="4076" w:type="pct"/>
            <w:gridSpan w:val="3"/>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rPr>
                <w:rFonts w:ascii="Arial Narrow" w:hAnsi="Arial Narrow"/>
                <w:snapToGrid w:val="0"/>
                <w:sz w:val="20"/>
                <w:szCs w:val="20"/>
                <w:lang w:eastAsia="en-US"/>
              </w:rPr>
            </w:pPr>
            <w:r w:rsidRPr="008111E5">
              <w:rPr>
                <w:rFonts w:ascii="Arial Narrow" w:hAnsi="Arial Narrow"/>
                <w:b/>
                <w:snapToGrid w:val="0"/>
                <w:sz w:val="20"/>
                <w:szCs w:val="20"/>
                <w:lang w:eastAsia="en-US"/>
              </w:rPr>
              <w:t>Incremental cost/extra QALY gained</w:t>
            </w:r>
          </w:p>
        </w:tc>
        <w:tc>
          <w:tcPr>
            <w:tcW w:w="924" w:type="pct"/>
            <w:tcBorders>
              <w:top w:val="single" w:sz="4" w:space="0" w:color="auto"/>
              <w:left w:val="single" w:sz="4" w:space="0" w:color="auto"/>
              <w:bottom w:val="single" w:sz="4" w:space="0" w:color="auto"/>
              <w:right w:val="single" w:sz="4" w:space="0" w:color="auto"/>
            </w:tcBorders>
            <w:vAlign w:val="center"/>
            <w:hideMark/>
          </w:tcPr>
          <w:p w:rsidR="00A96A09" w:rsidRPr="008111E5" w:rsidRDefault="00A96A09" w:rsidP="00A96A09">
            <w:pPr>
              <w:keepNext/>
              <w:keepLines/>
              <w:widowControl w:val="0"/>
              <w:snapToGrid w:val="0"/>
              <w:jc w:val="center"/>
              <w:rPr>
                <w:rFonts w:ascii="Arial Narrow" w:hAnsi="Arial Narrow"/>
                <w:b/>
                <w:snapToGrid w:val="0"/>
                <w:sz w:val="20"/>
                <w:szCs w:val="20"/>
                <w:lang w:eastAsia="en-US"/>
              </w:rPr>
            </w:pPr>
            <w:r w:rsidRPr="008111E5">
              <w:rPr>
                <w:rFonts w:ascii="Arial Narrow" w:hAnsi="Arial Narrow"/>
                <w:b/>
                <w:snapToGrid w:val="0"/>
                <w:sz w:val="20"/>
                <w:szCs w:val="20"/>
                <w:lang w:eastAsia="en-US"/>
              </w:rPr>
              <w:t>$</w:t>
            </w:r>
            <w:r w:rsidR="00197B45">
              <w:rPr>
                <w:rFonts w:ascii="Arial Narrow" w:hAnsi="Arial Narrow"/>
                <w:b/>
                <w:noProof/>
                <w:snapToGrid w:val="0"/>
                <w:color w:val="000000"/>
                <w:sz w:val="20"/>
                <w:szCs w:val="20"/>
                <w:highlight w:val="black"/>
                <w:lang w:eastAsia="en-US"/>
              </w:rPr>
              <w:t>''''''''''''</w:t>
            </w:r>
          </w:p>
        </w:tc>
      </w:tr>
    </w:tbl>
    <w:p w:rsidR="00A96A09" w:rsidRPr="00FC7EB0" w:rsidRDefault="00A96A09" w:rsidP="005E62C9">
      <w:pPr>
        <w:keepNext/>
        <w:keepLines/>
        <w:widowControl w:val="0"/>
        <w:ind w:firstLine="720"/>
        <w:jc w:val="both"/>
        <w:rPr>
          <w:rFonts w:ascii="Arial Narrow" w:hAnsi="Arial Narrow" w:cs="Arial"/>
          <w:snapToGrid w:val="0"/>
          <w:sz w:val="18"/>
          <w:szCs w:val="20"/>
          <w:lang w:eastAsia="en-US"/>
        </w:rPr>
      </w:pPr>
      <w:r w:rsidRPr="00FC7EB0">
        <w:rPr>
          <w:rFonts w:ascii="Arial Narrow" w:hAnsi="Arial Narrow" w:cs="Arial"/>
          <w:snapToGrid w:val="0"/>
          <w:sz w:val="18"/>
          <w:szCs w:val="20"/>
          <w:lang w:eastAsia="en-US"/>
        </w:rPr>
        <w:t>Source: Tables D.5.1-6 pp.20-25 of the submission.</w:t>
      </w:r>
    </w:p>
    <w:p w:rsidR="00A96A09" w:rsidRDefault="00A96A09" w:rsidP="00A96A09">
      <w:pPr>
        <w:jc w:val="both"/>
        <w:rPr>
          <w:rFonts w:ascii="Arial" w:hAnsi="Arial"/>
          <w:sz w:val="22"/>
          <w:szCs w:val="22"/>
        </w:rPr>
      </w:pPr>
    </w:p>
    <w:p w:rsidR="00503E04" w:rsidRPr="0023095E" w:rsidRDefault="00503E04" w:rsidP="00503E04">
      <w:pPr>
        <w:pStyle w:val="ListParagraph"/>
        <w:numPr>
          <w:ilvl w:val="1"/>
          <w:numId w:val="25"/>
        </w:numPr>
        <w:rPr>
          <w:rFonts w:ascii="Arial" w:hAnsi="Arial"/>
          <w:sz w:val="22"/>
          <w:szCs w:val="22"/>
        </w:rPr>
      </w:pPr>
      <w:r w:rsidRPr="0023095E">
        <w:rPr>
          <w:rFonts w:ascii="Arial" w:hAnsi="Arial"/>
          <w:sz w:val="22"/>
          <w:szCs w:val="22"/>
        </w:rPr>
        <w:t xml:space="preserve">For the modelled economic evaluation against rituximab plus </w:t>
      </w:r>
      <w:proofErr w:type="spellStart"/>
      <w:r w:rsidRPr="0023095E">
        <w:rPr>
          <w:rFonts w:ascii="Arial" w:hAnsi="Arial"/>
          <w:sz w:val="22"/>
          <w:szCs w:val="22"/>
        </w:rPr>
        <w:t>chlorambucil</w:t>
      </w:r>
      <w:proofErr w:type="spellEnd"/>
      <w:r w:rsidRPr="0023095E">
        <w:rPr>
          <w:rFonts w:ascii="Arial" w:hAnsi="Arial"/>
          <w:sz w:val="22"/>
          <w:szCs w:val="22"/>
        </w:rPr>
        <w:t xml:space="preserve">, the comparator rituximab price used in the submission was the price proposed </w:t>
      </w:r>
      <w:r w:rsidR="007B77B8">
        <w:rPr>
          <w:rFonts w:ascii="Arial" w:hAnsi="Arial"/>
          <w:sz w:val="22"/>
          <w:szCs w:val="22"/>
        </w:rPr>
        <w:t xml:space="preserve">by the sponsor </w:t>
      </w:r>
      <w:r w:rsidRPr="0023095E">
        <w:rPr>
          <w:rFonts w:ascii="Arial" w:hAnsi="Arial"/>
          <w:sz w:val="22"/>
          <w:szCs w:val="22"/>
        </w:rPr>
        <w:t>when rituximab was recommended for use in this indication</w:t>
      </w:r>
      <w:r w:rsidR="00A12F28">
        <w:rPr>
          <w:rFonts w:ascii="Arial" w:hAnsi="Arial"/>
          <w:sz w:val="22"/>
          <w:szCs w:val="22"/>
        </w:rPr>
        <w:t>. This price was used</w:t>
      </w:r>
      <w:r w:rsidRPr="0023095E">
        <w:rPr>
          <w:rFonts w:ascii="Arial" w:hAnsi="Arial"/>
          <w:sz w:val="22"/>
          <w:szCs w:val="22"/>
        </w:rPr>
        <w:t xml:space="preserve"> </w:t>
      </w:r>
      <w:r w:rsidR="00A12F28">
        <w:rPr>
          <w:rFonts w:ascii="Arial" w:hAnsi="Arial"/>
          <w:sz w:val="22"/>
          <w:szCs w:val="22"/>
        </w:rPr>
        <w:t xml:space="preserve">as a means of </w:t>
      </w:r>
      <w:r w:rsidRPr="0023095E">
        <w:rPr>
          <w:rFonts w:ascii="Arial" w:hAnsi="Arial"/>
          <w:sz w:val="22"/>
          <w:szCs w:val="22"/>
        </w:rPr>
        <w:t>represent</w:t>
      </w:r>
      <w:r w:rsidR="00A12F28">
        <w:rPr>
          <w:rFonts w:ascii="Arial" w:hAnsi="Arial"/>
          <w:sz w:val="22"/>
          <w:szCs w:val="22"/>
        </w:rPr>
        <w:t>ing</w:t>
      </w:r>
      <w:r w:rsidRPr="0023095E">
        <w:rPr>
          <w:rFonts w:ascii="Arial" w:hAnsi="Arial"/>
          <w:sz w:val="22"/>
          <w:szCs w:val="22"/>
        </w:rPr>
        <w:t xml:space="preserve"> the value of rituximab in this setting. </w:t>
      </w:r>
    </w:p>
    <w:p w:rsidR="00503E04" w:rsidRDefault="00503E04" w:rsidP="00503E04">
      <w:pPr>
        <w:pStyle w:val="ListParagraph"/>
        <w:jc w:val="both"/>
        <w:rPr>
          <w:rFonts w:ascii="Arial" w:hAnsi="Arial"/>
          <w:sz w:val="22"/>
          <w:szCs w:val="22"/>
        </w:rPr>
      </w:pPr>
    </w:p>
    <w:p w:rsidR="006E7E6B" w:rsidRDefault="006E7E6B" w:rsidP="006E7E6B">
      <w:pPr>
        <w:pStyle w:val="ListParagraph"/>
        <w:numPr>
          <w:ilvl w:val="1"/>
          <w:numId w:val="25"/>
        </w:numPr>
        <w:jc w:val="both"/>
        <w:rPr>
          <w:rFonts w:ascii="Arial" w:hAnsi="Arial"/>
          <w:sz w:val="22"/>
          <w:szCs w:val="22"/>
        </w:rPr>
      </w:pPr>
      <w:r w:rsidRPr="006E7E6B">
        <w:rPr>
          <w:rFonts w:ascii="Arial" w:hAnsi="Arial"/>
          <w:sz w:val="22"/>
          <w:szCs w:val="22"/>
        </w:rPr>
        <w:t xml:space="preserve">The </w:t>
      </w:r>
      <w:r w:rsidR="00495C53">
        <w:rPr>
          <w:rFonts w:ascii="Arial" w:hAnsi="Arial"/>
          <w:sz w:val="22"/>
          <w:szCs w:val="22"/>
        </w:rPr>
        <w:t xml:space="preserve">ESC considered that </w:t>
      </w:r>
      <w:r w:rsidR="007A5969">
        <w:rPr>
          <w:rFonts w:ascii="Arial" w:hAnsi="Arial"/>
          <w:sz w:val="22"/>
          <w:szCs w:val="22"/>
        </w:rPr>
        <w:t xml:space="preserve">the </w:t>
      </w:r>
      <w:r w:rsidRPr="006E7E6B">
        <w:rPr>
          <w:rFonts w:ascii="Arial" w:hAnsi="Arial"/>
          <w:sz w:val="22"/>
          <w:szCs w:val="22"/>
        </w:rPr>
        <w:t>incremental cost-effective</w:t>
      </w:r>
      <w:r w:rsidR="00F81C3F">
        <w:rPr>
          <w:rFonts w:ascii="Arial" w:hAnsi="Arial"/>
          <w:sz w:val="22"/>
          <w:szCs w:val="22"/>
        </w:rPr>
        <w:t xml:space="preserve">ness ratio (ICER) of </w:t>
      </w:r>
      <w:r w:rsidR="009F36F8">
        <w:rPr>
          <w:rFonts w:ascii="Arial" w:hAnsi="Arial"/>
          <w:sz w:val="22"/>
          <w:szCs w:val="22"/>
        </w:rPr>
        <w:t>$45,000/QALY - $75,000/QALY</w:t>
      </w:r>
      <w:r w:rsidRPr="006E7E6B">
        <w:rPr>
          <w:rFonts w:ascii="Arial" w:hAnsi="Arial"/>
          <w:sz w:val="22"/>
          <w:szCs w:val="22"/>
        </w:rPr>
        <w:t xml:space="preserve"> for </w:t>
      </w:r>
      <w:proofErr w:type="spellStart"/>
      <w:r w:rsidRPr="006E7E6B">
        <w:rPr>
          <w:rFonts w:ascii="Arial" w:hAnsi="Arial"/>
          <w:sz w:val="22"/>
          <w:szCs w:val="22"/>
        </w:rPr>
        <w:t>obinutuzumab</w:t>
      </w:r>
      <w:proofErr w:type="spellEnd"/>
      <w:r w:rsidRPr="006E7E6B">
        <w:rPr>
          <w:rFonts w:ascii="Arial" w:hAnsi="Arial"/>
          <w:sz w:val="22"/>
          <w:szCs w:val="22"/>
        </w:rPr>
        <w:t xml:space="preserve"> plus </w:t>
      </w:r>
      <w:proofErr w:type="spellStart"/>
      <w:r w:rsidRPr="006E7E6B">
        <w:rPr>
          <w:rFonts w:ascii="Arial" w:hAnsi="Arial"/>
          <w:sz w:val="22"/>
          <w:szCs w:val="22"/>
        </w:rPr>
        <w:t>chlorambucil</w:t>
      </w:r>
      <w:proofErr w:type="spellEnd"/>
      <w:r w:rsidRPr="006E7E6B">
        <w:rPr>
          <w:rFonts w:ascii="Arial" w:hAnsi="Arial"/>
          <w:sz w:val="22"/>
          <w:szCs w:val="22"/>
        </w:rPr>
        <w:t xml:space="preserve"> versus </w:t>
      </w:r>
      <w:proofErr w:type="spellStart"/>
      <w:r w:rsidRPr="006E7E6B">
        <w:rPr>
          <w:rFonts w:ascii="Arial" w:hAnsi="Arial"/>
          <w:sz w:val="22"/>
          <w:szCs w:val="22"/>
        </w:rPr>
        <w:t>chlorambucil</w:t>
      </w:r>
      <w:proofErr w:type="spellEnd"/>
      <w:r w:rsidR="00495C53">
        <w:rPr>
          <w:rFonts w:ascii="Arial" w:hAnsi="Arial"/>
          <w:sz w:val="22"/>
          <w:szCs w:val="22"/>
        </w:rPr>
        <w:t xml:space="preserve"> was </w:t>
      </w:r>
      <w:r w:rsidR="00B15124">
        <w:rPr>
          <w:rFonts w:ascii="Arial" w:hAnsi="Arial"/>
          <w:sz w:val="22"/>
          <w:szCs w:val="22"/>
        </w:rPr>
        <w:t xml:space="preserve">unreliable </w:t>
      </w:r>
      <w:r w:rsidRPr="006E7E6B">
        <w:rPr>
          <w:rFonts w:ascii="Arial" w:hAnsi="Arial"/>
          <w:sz w:val="22"/>
          <w:szCs w:val="22"/>
        </w:rPr>
        <w:t>because:</w:t>
      </w:r>
    </w:p>
    <w:p w:rsidR="00F26D50" w:rsidRDefault="00F26D50" w:rsidP="00F26D50">
      <w:pPr>
        <w:pStyle w:val="ListParagraph"/>
        <w:ind w:left="1440"/>
        <w:jc w:val="both"/>
        <w:rPr>
          <w:rFonts w:ascii="Arial" w:hAnsi="Arial"/>
          <w:sz w:val="22"/>
          <w:szCs w:val="22"/>
        </w:rPr>
      </w:pPr>
    </w:p>
    <w:p w:rsidR="0063594F" w:rsidRPr="00F26D50" w:rsidRDefault="006E7E6B" w:rsidP="00A05365">
      <w:pPr>
        <w:pStyle w:val="ListParagraph"/>
        <w:numPr>
          <w:ilvl w:val="0"/>
          <w:numId w:val="43"/>
        </w:numPr>
        <w:jc w:val="both"/>
        <w:rPr>
          <w:rFonts w:ascii="Arial" w:hAnsi="Arial"/>
          <w:sz w:val="22"/>
          <w:szCs w:val="22"/>
        </w:rPr>
      </w:pPr>
      <w:r w:rsidRPr="00F26D50">
        <w:rPr>
          <w:rFonts w:ascii="Arial" w:hAnsi="Arial"/>
          <w:sz w:val="22"/>
          <w:szCs w:val="22"/>
        </w:rPr>
        <w:t xml:space="preserve">The low </w:t>
      </w:r>
      <w:proofErr w:type="spellStart"/>
      <w:r w:rsidRPr="00F26D50">
        <w:rPr>
          <w:rFonts w:ascii="Arial" w:hAnsi="Arial"/>
          <w:sz w:val="22"/>
          <w:szCs w:val="22"/>
        </w:rPr>
        <w:t>chlorambucil</w:t>
      </w:r>
      <w:proofErr w:type="spellEnd"/>
      <w:r w:rsidRPr="00F26D50">
        <w:rPr>
          <w:rFonts w:ascii="Arial" w:hAnsi="Arial"/>
          <w:sz w:val="22"/>
          <w:szCs w:val="22"/>
        </w:rPr>
        <w:t xml:space="preserve"> dose used in monotherapy in the clinical trial may have underestimated PFS in this treatment arm. </w:t>
      </w:r>
      <w:r w:rsidR="0063594F" w:rsidRPr="00F26D50">
        <w:rPr>
          <w:rFonts w:ascii="Arial" w:hAnsi="Arial"/>
          <w:sz w:val="22"/>
          <w:szCs w:val="22"/>
        </w:rPr>
        <w:t>The PSCR attempted to account for this in sensitivity analys</w:t>
      </w:r>
      <w:r w:rsidR="00E42D5D">
        <w:rPr>
          <w:rFonts w:ascii="Arial" w:hAnsi="Arial"/>
          <w:sz w:val="22"/>
          <w:szCs w:val="22"/>
        </w:rPr>
        <w:t>e</w:t>
      </w:r>
      <w:r w:rsidR="0063594F" w:rsidRPr="00F26D50">
        <w:rPr>
          <w:rFonts w:ascii="Arial" w:hAnsi="Arial"/>
          <w:sz w:val="22"/>
          <w:szCs w:val="22"/>
        </w:rPr>
        <w:t xml:space="preserve">s </w:t>
      </w:r>
      <w:r w:rsidR="0063594F" w:rsidRPr="00E55E43">
        <w:rPr>
          <w:rFonts w:ascii="Arial" w:hAnsi="Arial"/>
          <w:sz w:val="22"/>
          <w:szCs w:val="22"/>
        </w:rPr>
        <w:t xml:space="preserve">by adjusting the HR by </w:t>
      </w:r>
      <w:r w:rsidR="00197B45">
        <w:rPr>
          <w:rFonts w:ascii="Arial" w:hAnsi="Arial"/>
          <w:noProof/>
          <w:color w:val="000000"/>
          <w:sz w:val="22"/>
          <w:szCs w:val="22"/>
          <w:highlight w:val="black"/>
        </w:rPr>
        <w:t>'''''''</w:t>
      </w:r>
      <w:r w:rsidR="00B04DF2" w:rsidRPr="00B04DF2">
        <w:rPr>
          <w:rFonts w:ascii="Arial" w:hAnsi="Arial"/>
          <w:sz w:val="22"/>
          <w:szCs w:val="22"/>
        </w:rPr>
        <w:t xml:space="preserve"> </w:t>
      </w:r>
      <w:r w:rsidR="00B04DF2" w:rsidRPr="006039C2">
        <w:rPr>
          <w:rFonts w:ascii="Arial" w:hAnsi="Arial"/>
          <w:sz w:val="22"/>
          <w:szCs w:val="22"/>
        </w:rPr>
        <w:t>for</w:t>
      </w:r>
      <w:r w:rsidR="006039C2">
        <w:rPr>
          <w:rFonts w:ascii="Arial" w:hAnsi="Arial"/>
          <w:sz w:val="22"/>
          <w:szCs w:val="22"/>
        </w:rPr>
        <w:t xml:space="preserve"> </w:t>
      </w:r>
      <w:r w:rsidR="0063594F" w:rsidRPr="006039C2">
        <w:rPr>
          <w:rFonts w:ascii="Arial" w:hAnsi="Arial"/>
          <w:sz w:val="22"/>
          <w:szCs w:val="22"/>
        </w:rPr>
        <w:t xml:space="preserve">(a) both the treatment arms; and (b) just the </w:t>
      </w:r>
      <w:proofErr w:type="spellStart"/>
      <w:r w:rsidR="0063594F" w:rsidRPr="006039C2">
        <w:rPr>
          <w:rFonts w:ascii="Arial" w:hAnsi="Arial"/>
          <w:sz w:val="22"/>
          <w:szCs w:val="22"/>
        </w:rPr>
        <w:t>chlorambucil</w:t>
      </w:r>
      <w:proofErr w:type="spellEnd"/>
      <w:r w:rsidR="0063594F" w:rsidRPr="006039C2">
        <w:rPr>
          <w:rFonts w:ascii="Arial" w:hAnsi="Arial"/>
          <w:sz w:val="22"/>
          <w:szCs w:val="22"/>
        </w:rPr>
        <w:t xml:space="preserve"> monotherapy arm</w:t>
      </w:r>
      <w:r w:rsidR="0063594F" w:rsidRPr="00F26D50">
        <w:rPr>
          <w:rFonts w:ascii="Arial" w:hAnsi="Arial"/>
          <w:sz w:val="22"/>
          <w:szCs w:val="22"/>
        </w:rPr>
        <w:t xml:space="preserve">. The ESC considered that the latter sensitivity analysis (i.e. only adjusting the HR for the monotherapy arm) was more informative because in clinical practice lower </w:t>
      </w:r>
      <w:proofErr w:type="spellStart"/>
      <w:r w:rsidR="0063594F" w:rsidRPr="00F26D50">
        <w:rPr>
          <w:rFonts w:ascii="Arial" w:hAnsi="Arial"/>
          <w:sz w:val="22"/>
          <w:szCs w:val="22"/>
        </w:rPr>
        <w:t>chlorambucil</w:t>
      </w:r>
      <w:proofErr w:type="spellEnd"/>
      <w:r w:rsidR="0063594F" w:rsidRPr="00F26D50">
        <w:rPr>
          <w:rFonts w:ascii="Arial" w:hAnsi="Arial"/>
          <w:sz w:val="22"/>
          <w:szCs w:val="22"/>
        </w:rPr>
        <w:t xml:space="preserve"> doses may be used in combination with </w:t>
      </w:r>
      <w:proofErr w:type="spellStart"/>
      <w:r w:rsidR="0063594F" w:rsidRPr="00F26D50">
        <w:rPr>
          <w:rFonts w:ascii="Arial" w:hAnsi="Arial"/>
          <w:sz w:val="22"/>
          <w:szCs w:val="22"/>
        </w:rPr>
        <w:t>obinutuzumab</w:t>
      </w:r>
      <w:proofErr w:type="spellEnd"/>
      <w:r w:rsidR="0063594F" w:rsidRPr="00F26D50">
        <w:rPr>
          <w:rFonts w:ascii="Arial" w:hAnsi="Arial"/>
          <w:sz w:val="22"/>
          <w:szCs w:val="22"/>
        </w:rPr>
        <w:t xml:space="preserve">. The ESC noted that the PSCR provided no justification for the use of the </w:t>
      </w:r>
      <w:r w:rsidR="00197B45">
        <w:rPr>
          <w:rFonts w:ascii="Arial" w:hAnsi="Arial"/>
          <w:noProof/>
          <w:color w:val="000000"/>
          <w:sz w:val="22"/>
          <w:szCs w:val="22"/>
          <w:highlight w:val="black"/>
        </w:rPr>
        <w:t>''''''''</w:t>
      </w:r>
      <w:r w:rsidR="0063594F" w:rsidRPr="00F26D50">
        <w:rPr>
          <w:rFonts w:ascii="Arial" w:hAnsi="Arial"/>
          <w:sz w:val="22"/>
          <w:szCs w:val="22"/>
        </w:rPr>
        <w:t xml:space="preserve"> adjustment value.</w:t>
      </w:r>
    </w:p>
    <w:p w:rsidR="0063594F" w:rsidRDefault="0063594F" w:rsidP="006E7E6B">
      <w:pPr>
        <w:pStyle w:val="ListParagraph"/>
        <w:ind w:left="1440"/>
        <w:jc w:val="both"/>
        <w:rPr>
          <w:rFonts w:ascii="Arial" w:hAnsi="Arial"/>
          <w:sz w:val="22"/>
          <w:szCs w:val="22"/>
        </w:rPr>
      </w:pPr>
    </w:p>
    <w:p w:rsidR="007A3878" w:rsidRDefault="006E7E6B" w:rsidP="007A3878">
      <w:pPr>
        <w:pStyle w:val="ListParagraph"/>
        <w:numPr>
          <w:ilvl w:val="0"/>
          <w:numId w:val="43"/>
        </w:numPr>
        <w:jc w:val="both"/>
        <w:rPr>
          <w:rFonts w:ascii="Arial" w:hAnsi="Arial"/>
          <w:sz w:val="22"/>
          <w:szCs w:val="22"/>
        </w:rPr>
      </w:pPr>
      <w:r w:rsidRPr="006E7E6B">
        <w:rPr>
          <w:rFonts w:ascii="Arial" w:hAnsi="Arial"/>
          <w:sz w:val="22"/>
          <w:szCs w:val="22"/>
        </w:rPr>
        <w:lastRenderedPageBreak/>
        <w:t xml:space="preserve">The model structure does not appropriately reflect paths of disease progression, </w:t>
      </w:r>
      <w:r w:rsidR="00A96A09">
        <w:rPr>
          <w:rFonts w:ascii="Arial" w:hAnsi="Arial"/>
          <w:sz w:val="22"/>
          <w:szCs w:val="22"/>
        </w:rPr>
        <w:t>including</w:t>
      </w:r>
      <w:r w:rsidRPr="006E7E6B">
        <w:rPr>
          <w:rFonts w:ascii="Arial" w:hAnsi="Arial"/>
          <w:sz w:val="22"/>
          <w:szCs w:val="22"/>
        </w:rPr>
        <w:t xml:space="preserve"> the possibility of additional lines of treatment,</w:t>
      </w:r>
      <w:r w:rsidR="00A96A09" w:rsidRPr="00A96A09">
        <w:rPr>
          <w:rFonts w:ascii="Arial" w:hAnsi="Arial"/>
          <w:sz w:val="22"/>
          <w:szCs w:val="22"/>
        </w:rPr>
        <w:t xml:space="preserve"> </w:t>
      </w:r>
      <w:r w:rsidR="00A96A09" w:rsidRPr="006E7E6B">
        <w:rPr>
          <w:rFonts w:ascii="Arial" w:hAnsi="Arial"/>
          <w:sz w:val="22"/>
          <w:szCs w:val="22"/>
        </w:rPr>
        <w:t>with their costs and health benefits</w:t>
      </w:r>
      <w:r w:rsidR="00A96A09">
        <w:rPr>
          <w:rFonts w:ascii="Arial" w:hAnsi="Arial"/>
          <w:sz w:val="22"/>
          <w:szCs w:val="22"/>
        </w:rPr>
        <w:t>.</w:t>
      </w:r>
      <w:r w:rsidR="007A5969">
        <w:rPr>
          <w:rFonts w:ascii="Arial" w:hAnsi="Arial"/>
          <w:sz w:val="22"/>
          <w:szCs w:val="22"/>
        </w:rPr>
        <w:t xml:space="preserve"> The potential for additional lines of treatment was </w:t>
      </w:r>
      <w:r w:rsidR="003675F9">
        <w:rPr>
          <w:rFonts w:ascii="Arial" w:hAnsi="Arial"/>
          <w:sz w:val="22"/>
          <w:szCs w:val="22"/>
        </w:rPr>
        <w:t>also noted</w:t>
      </w:r>
      <w:r w:rsidR="007A5969">
        <w:rPr>
          <w:rFonts w:ascii="Arial" w:hAnsi="Arial"/>
          <w:sz w:val="22"/>
          <w:szCs w:val="22"/>
        </w:rPr>
        <w:t xml:space="preserve"> by the </w:t>
      </w:r>
      <w:r w:rsidRPr="006E7E6B">
        <w:rPr>
          <w:rFonts w:ascii="Arial" w:hAnsi="Arial"/>
          <w:sz w:val="22"/>
          <w:szCs w:val="22"/>
        </w:rPr>
        <w:t>Haematology Advisory Board</w:t>
      </w:r>
      <w:r w:rsidR="00F16300">
        <w:rPr>
          <w:rFonts w:ascii="Arial" w:hAnsi="Arial"/>
          <w:sz w:val="22"/>
          <w:szCs w:val="22"/>
        </w:rPr>
        <w:t xml:space="preserve"> </w:t>
      </w:r>
      <w:r w:rsidR="007A5969">
        <w:rPr>
          <w:rFonts w:ascii="Arial" w:hAnsi="Arial"/>
          <w:sz w:val="22"/>
          <w:szCs w:val="22"/>
        </w:rPr>
        <w:t xml:space="preserve">which was </w:t>
      </w:r>
      <w:r w:rsidRPr="006E7E6B">
        <w:rPr>
          <w:rFonts w:ascii="Arial" w:hAnsi="Arial"/>
          <w:sz w:val="22"/>
          <w:szCs w:val="22"/>
        </w:rPr>
        <w:t xml:space="preserve">quoted in the submission </w:t>
      </w:r>
      <w:r w:rsidR="007A5969">
        <w:rPr>
          <w:rFonts w:ascii="Arial" w:hAnsi="Arial"/>
          <w:sz w:val="22"/>
          <w:szCs w:val="22"/>
        </w:rPr>
        <w:t xml:space="preserve">as </w:t>
      </w:r>
      <w:r w:rsidRPr="006E7E6B">
        <w:rPr>
          <w:rFonts w:ascii="Arial" w:hAnsi="Arial"/>
          <w:sz w:val="22"/>
          <w:szCs w:val="22"/>
        </w:rPr>
        <w:t>stat</w:t>
      </w:r>
      <w:r w:rsidR="007A5969">
        <w:rPr>
          <w:rFonts w:ascii="Arial" w:hAnsi="Arial"/>
          <w:sz w:val="22"/>
          <w:szCs w:val="22"/>
        </w:rPr>
        <w:t>ing</w:t>
      </w:r>
      <w:r w:rsidRPr="006E7E6B">
        <w:rPr>
          <w:rFonts w:ascii="Arial" w:hAnsi="Arial"/>
          <w:sz w:val="22"/>
          <w:szCs w:val="22"/>
        </w:rPr>
        <w:t xml:space="preserve"> that </w:t>
      </w:r>
      <w:r w:rsidR="00197B45">
        <w:rPr>
          <w:rFonts w:ascii="Arial" w:hAnsi="Arial"/>
          <w:noProof/>
          <w:color w:val="000000"/>
          <w:sz w:val="22"/>
          <w:szCs w:val="22"/>
          <w:highlight w:val="black"/>
        </w:rPr>
        <w:t>''''''</w:t>
      </w:r>
      <w:r w:rsidRPr="008111E5">
        <w:rPr>
          <w:rFonts w:ascii="Arial" w:hAnsi="Arial"/>
          <w:sz w:val="22"/>
          <w:szCs w:val="22"/>
        </w:rPr>
        <w:t>%</w:t>
      </w:r>
      <w:r w:rsidRPr="006E7E6B">
        <w:rPr>
          <w:rFonts w:ascii="Arial" w:hAnsi="Arial"/>
          <w:sz w:val="22"/>
          <w:szCs w:val="22"/>
        </w:rPr>
        <w:t xml:space="preserve"> of unfit CLL patients with comorbidities would receive 2 or more lines of therapy. </w:t>
      </w:r>
      <w:r w:rsidR="00554F50" w:rsidRPr="001B3507">
        <w:rPr>
          <w:rFonts w:ascii="Arial" w:hAnsi="Arial"/>
          <w:sz w:val="22"/>
          <w:szCs w:val="22"/>
          <w:shd w:val="clear" w:color="auto" w:fill="FFFFFF" w:themeFill="background1"/>
        </w:rPr>
        <w:t>The ESC considered that the model should have accounted for treatment post-progression, p</w:t>
      </w:r>
      <w:r w:rsidR="007A5969" w:rsidRPr="001B3507">
        <w:rPr>
          <w:rFonts w:ascii="Arial" w:hAnsi="Arial"/>
          <w:sz w:val="22"/>
          <w:szCs w:val="22"/>
          <w:shd w:val="clear" w:color="auto" w:fill="FFFFFF" w:themeFill="background1"/>
        </w:rPr>
        <w:t>articularly given the potential for use of rituximab-based regimens in later lines of treatment.</w:t>
      </w:r>
    </w:p>
    <w:p w:rsidR="00554F50" w:rsidRPr="00554F50" w:rsidRDefault="00554F50" w:rsidP="00554F50">
      <w:pPr>
        <w:pStyle w:val="ListParagraph"/>
        <w:rPr>
          <w:rFonts w:ascii="Arial" w:hAnsi="Arial"/>
          <w:sz w:val="22"/>
          <w:szCs w:val="22"/>
        </w:rPr>
      </w:pPr>
    </w:p>
    <w:p w:rsidR="00554F50" w:rsidRDefault="00554F50" w:rsidP="00554F50">
      <w:pPr>
        <w:pStyle w:val="ListParagraph"/>
        <w:ind w:left="1440"/>
        <w:jc w:val="both"/>
        <w:rPr>
          <w:rFonts w:ascii="Arial" w:hAnsi="Arial"/>
          <w:sz w:val="22"/>
          <w:szCs w:val="22"/>
        </w:rPr>
      </w:pPr>
      <w:r w:rsidRPr="007A3878">
        <w:rPr>
          <w:rFonts w:ascii="Arial" w:hAnsi="Arial"/>
          <w:sz w:val="22"/>
          <w:szCs w:val="22"/>
        </w:rPr>
        <w:t>The PSCR (</w:t>
      </w:r>
      <w:proofErr w:type="spellStart"/>
      <w:r w:rsidRPr="007A3878">
        <w:rPr>
          <w:rFonts w:ascii="Arial" w:hAnsi="Arial"/>
          <w:sz w:val="22"/>
          <w:szCs w:val="22"/>
        </w:rPr>
        <w:t>pg</w:t>
      </w:r>
      <w:proofErr w:type="spellEnd"/>
      <w:r w:rsidRPr="007A3878">
        <w:rPr>
          <w:rFonts w:ascii="Arial" w:hAnsi="Arial"/>
          <w:sz w:val="22"/>
          <w:szCs w:val="22"/>
        </w:rPr>
        <w:t xml:space="preserve"> 3) argue</w:t>
      </w:r>
      <w:r>
        <w:rPr>
          <w:rFonts w:ascii="Arial" w:hAnsi="Arial"/>
          <w:sz w:val="22"/>
          <w:szCs w:val="22"/>
        </w:rPr>
        <w:t>d</w:t>
      </w:r>
      <w:r w:rsidRPr="007A3878">
        <w:rPr>
          <w:rFonts w:ascii="Arial" w:hAnsi="Arial"/>
          <w:sz w:val="22"/>
          <w:szCs w:val="22"/>
        </w:rPr>
        <w:t xml:space="preserve"> that a more complex model would require a number of assumptions for which there are no reliable data, and that subsequent lines of treatment are inherently captured </w:t>
      </w:r>
      <w:r w:rsidRPr="00E55E43">
        <w:rPr>
          <w:rFonts w:ascii="Arial" w:hAnsi="Arial"/>
          <w:sz w:val="22"/>
          <w:szCs w:val="22"/>
        </w:rPr>
        <w:t xml:space="preserve">by using the CLL5 data to </w:t>
      </w:r>
      <w:r w:rsidR="00B04DF2" w:rsidRPr="00E55E43">
        <w:rPr>
          <w:rFonts w:ascii="Arial" w:hAnsi="Arial"/>
          <w:sz w:val="22"/>
          <w:szCs w:val="22"/>
        </w:rPr>
        <w:t>extrapolate</w:t>
      </w:r>
      <w:r w:rsidR="00B04DF2" w:rsidRPr="00FC7EB0">
        <w:rPr>
          <w:rStyle w:val="CommentReference"/>
        </w:rPr>
        <w:t xml:space="preserve"> </w:t>
      </w:r>
      <w:r w:rsidR="00B04DF2" w:rsidRPr="00E55E43">
        <w:rPr>
          <w:rFonts w:ascii="Arial" w:hAnsi="Arial"/>
          <w:sz w:val="22"/>
          <w:szCs w:val="22"/>
        </w:rPr>
        <w:t>OS</w:t>
      </w:r>
      <w:r w:rsidRPr="007A3878">
        <w:rPr>
          <w:rFonts w:ascii="Arial" w:hAnsi="Arial"/>
          <w:sz w:val="22"/>
          <w:szCs w:val="22"/>
        </w:rPr>
        <w:t>. The PSCR attempt</w:t>
      </w:r>
      <w:r>
        <w:rPr>
          <w:rFonts w:ascii="Arial" w:hAnsi="Arial"/>
          <w:sz w:val="22"/>
          <w:szCs w:val="22"/>
        </w:rPr>
        <w:t>ed</w:t>
      </w:r>
      <w:r w:rsidRPr="007A3878">
        <w:rPr>
          <w:rFonts w:ascii="Arial" w:hAnsi="Arial"/>
          <w:sz w:val="22"/>
          <w:szCs w:val="22"/>
        </w:rPr>
        <w:t xml:space="preserve"> to account for post-progression treatment in a sensitivity analysis</w:t>
      </w:r>
      <w:r w:rsidR="00E55E43">
        <w:rPr>
          <w:rFonts w:ascii="Arial" w:hAnsi="Arial"/>
          <w:sz w:val="22"/>
          <w:szCs w:val="22"/>
        </w:rPr>
        <w:t xml:space="preserve"> </w:t>
      </w:r>
      <w:r w:rsidRPr="00E55E43">
        <w:rPr>
          <w:rFonts w:ascii="Arial" w:hAnsi="Arial"/>
          <w:sz w:val="22"/>
          <w:szCs w:val="22"/>
        </w:rPr>
        <w:t xml:space="preserve">in which the costs and utilities of second-line rituximab therapy </w:t>
      </w:r>
      <w:r w:rsidR="0063594F" w:rsidRPr="00E55E43">
        <w:rPr>
          <w:rFonts w:ascii="Arial" w:hAnsi="Arial"/>
          <w:sz w:val="22"/>
          <w:szCs w:val="22"/>
        </w:rPr>
        <w:t>we</w:t>
      </w:r>
      <w:r w:rsidRPr="00E55E43">
        <w:rPr>
          <w:rFonts w:ascii="Arial" w:hAnsi="Arial"/>
          <w:sz w:val="22"/>
          <w:szCs w:val="22"/>
        </w:rPr>
        <w:t xml:space="preserve">re applied at the time of patient </w:t>
      </w:r>
      <w:r w:rsidR="00B04DF2" w:rsidRPr="00E55E43">
        <w:rPr>
          <w:rFonts w:ascii="Arial" w:hAnsi="Arial"/>
          <w:sz w:val="22"/>
          <w:szCs w:val="22"/>
        </w:rPr>
        <w:t>progression</w:t>
      </w:r>
      <w:r w:rsidR="00B04DF2" w:rsidRPr="00FC7EB0">
        <w:rPr>
          <w:rStyle w:val="CommentReference"/>
        </w:rPr>
        <w:t xml:space="preserve">. </w:t>
      </w:r>
      <w:r w:rsidRPr="007A3878">
        <w:rPr>
          <w:rFonts w:ascii="Arial" w:hAnsi="Arial"/>
          <w:sz w:val="22"/>
          <w:szCs w:val="22"/>
        </w:rPr>
        <w:t>The adjustment was simplistic, for example it did not include any differences in OS resulting from second-line therapy. The ESC considered that new health state/s would need to be incorporated into the model to reliably capture the impacts of treatment post progression.</w:t>
      </w:r>
    </w:p>
    <w:p w:rsidR="007A3878" w:rsidRDefault="007A3878" w:rsidP="007A3878">
      <w:pPr>
        <w:pStyle w:val="ListParagraph"/>
        <w:ind w:left="1440"/>
        <w:jc w:val="both"/>
        <w:rPr>
          <w:rFonts w:ascii="Arial" w:hAnsi="Arial"/>
          <w:sz w:val="22"/>
          <w:szCs w:val="22"/>
        </w:rPr>
      </w:pPr>
    </w:p>
    <w:p w:rsidR="00162B66" w:rsidRPr="00493D26" w:rsidRDefault="006E7E6B" w:rsidP="007A3878">
      <w:pPr>
        <w:pStyle w:val="ListParagraph"/>
        <w:numPr>
          <w:ilvl w:val="0"/>
          <w:numId w:val="43"/>
        </w:numPr>
        <w:jc w:val="both"/>
        <w:rPr>
          <w:rFonts w:ascii="Arial" w:hAnsi="Arial"/>
          <w:sz w:val="22"/>
          <w:szCs w:val="22"/>
        </w:rPr>
      </w:pPr>
      <w:r w:rsidRPr="00493D26">
        <w:rPr>
          <w:rFonts w:ascii="Arial" w:hAnsi="Arial"/>
          <w:sz w:val="22"/>
          <w:szCs w:val="22"/>
        </w:rPr>
        <w:t>The</w:t>
      </w:r>
      <w:r w:rsidR="00A96A09" w:rsidRPr="00493D26">
        <w:rPr>
          <w:rFonts w:ascii="Arial" w:hAnsi="Arial"/>
          <w:sz w:val="22"/>
          <w:szCs w:val="22"/>
        </w:rPr>
        <w:t xml:space="preserve"> </w:t>
      </w:r>
      <w:r w:rsidR="00554F50" w:rsidRPr="00493D26">
        <w:rPr>
          <w:rFonts w:ascii="Arial" w:hAnsi="Arial"/>
          <w:sz w:val="22"/>
          <w:szCs w:val="22"/>
        </w:rPr>
        <w:t xml:space="preserve">extrapolation of OS beyond the trial duration </w:t>
      </w:r>
      <w:r w:rsidRPr="00493D26">
        <w:rPr>
          <w:rFonts w:ascii="Arial" w:hAnsi="Arial"/>
          <w:sz w:val="22"/>
          <w:szCs w:val="22"/>
        </w:rPr>
        <w:t xml:space="preserve">may not be reasonable. </w:t>
      </w:r>
      <w:proofErr w:type="gramStart"/>
      <w:r w:rsidRPr="00493D26">
        <w:rPr>
          <w:rFonts w:ascii="Arial" w:hAnsi="Arial"/>
          <w:sz w:val="22"/>
          <w:szCs w:val="22"/>
        </w:rPr>
        <w:t>The</w:t>
      </w:r>
      <w:r w:rsidR="006039C2" w:rsidRPr="006039C2">
        <w:rPr>
          <w:rStyle w:val="CommentReference"/>
        </w:rPr>
        <w:t xml:space="preserve"> </w:t>
      </w:r>
      <w:r w:rsidRPr="00493D26">
        <w:rPr>
          <w:rFonts w:ascii="Arial" w:hAnsi="Arial"/>
          <w:sz w:val="22"/>
          <w:szCs w:val="22"/>
        </w:rPr>
        <w:t xml:space="preserve"> model</w:t>
      </w:r>
      <w:proofErr w:type="gramEnd"/>
      <w:r w:rsidRPr="00493D26">
        <w:rPr>
          <w:rFonts w:ascii="Arial" w:hAnsi="Arial"/>
          <w:sz w:val="22"/>
          <w:szCs w:val="22"/>
        </w:rPr>
        <w:t xml:space="preserve"> e</w:t>
      </w:r>
      <w:r w:rsidR="00A96A09" w:rsidRPr="00493D26">
        <w:rPr>
          <w:rFonts w:ascii="Arial" w:hAnsi="Arial"/>
          <w:sz w:val="22"/>
          <w:szCs w:val="22"/>
        </w:rPr>
        <w:t>stimate</w:t>
      </w:r>
      <w:r w:rsidR="0063594F" w:rsidRPr="00493D26">
        <w:rPr>
          <w:rFonts w:ascii="Arial" w:hAnsi="Arial"/>
          <w:sz w:val="22"/>
          <w:szCs w:val="22"/>
        </w:rPr>
        <w:t>d</w:t>
      </w:r>
      <w:r w:rsidRPr="00493D26">
        <w:rPr>
          <w:rFonts w:ascii="Arial" w:hAnsi="Arial"/>
          <w:sz w:val="22"/>
          <w:szCs w:val="22"/>
        </w:rPr>
        <w:t xml:space="preserve"> OS by applying post-progression survival data from the CLL5 trial. The CLL5 trial compared </w:t>
      </w:r>
      <w:proofErr w:type="spellStart"/>
      <w:r w:rsidRPr="00493D26">
        <w:rPr>
          <w:rFonts w:ascii="Arial" w:hAnsi="Arial"/>
          <w:sz w:val="22"/>
          <w:szCs w:val="22"/>
        </w:rPr>
        <w:t>chlorambucil</w:t>
      </w:r>
      <w:proofErr w:type="spellEnd"/>
      <w:r w:rsidRPr="00493D26">
        <w:rPr>
          <w:rFonts w:ascii="Arial" w:hAnsi="Arial"/>
          <w:sz w:val="22"/>
          <w:szCs w:val="22"/>
        </w:rPr>
        <w:t xml:space="preserve"> with </w:t>
      </w:r>
      <w:proofErr w:type="spellStart"/>
      <w:r w:rsidRPr="00493D26">
        <w:rPr>
          <w:rFonts w:ascii="Arial" w:hAnsi="Arial"/>
          <w:sz w:val="22"/>
          <w:szCs w:val="22"/>
        </w:rPr>
        <w:t>fludarabine</w:t>
      </w:r>
      <w:proofErr w:type="spellEnd"/>
      <w:r w:rsidR="00B15124" w:rsidRPr="00493D26">
        <w:rPr>
          <w:rFonts w:ascii="Arial" w:hAnsi="Arial"/>
          <w:sz w:val="22"/>
          <w:szCs w:val="22"/>
        </w:rPr>
        <w:t>,</w:t>
      </w:r>
      <w:r w:rsidRPr="00493D26">
        <w:rPr>
          <w:rFonts w:ascii="Arial" w:hAnsi="Arial"/>
          <w:sz w:val="22"/>
          <w:szCs w:val="22"/>
        </w:rPr>
        <w:t xml:space="preserve"> and recruited patients from 1999 to 2004. The ESC considered that the CLL5 trial data </w:t>
      </w:r>
      <w:r w:rsidR="00F16300" w:rsidRPr="00493D26">
        <w:rPr>
          <w:rFonts w:ascii="Arial" w:hAnsi="Arial"/>
          <w:sz w:val="22"/>
          <w:szCs w:val="22"/>
        </w:rPr>
        <w:t>might</w:t>
      </w:r>
      <w:r w:rsidRPr="00493D26">
        <w:rPr>
          <w:rFonts w:ascii="Arial" w:hAnsi="Arial"/>
          <w:sz w:val="22"/>
          <w:szCs w:val="22"/>
        </w:rPr>
        <w:t xml:space="preserve"> not reflect current clinical practice and the improved efficacy of additional lines of treatment (which is not captured in the model structure).</w:t>
      </w:r>
      <w:r w:rsidR="00A96A09" w:rsidRPr="00493D26">
        <w:rPr>
          <w:rFonts w:ascii="Arial" w:hAnsi="Arial"/>
          <w:sz w:val="22"/>
          <w:szCs w:val="22"/>
        </w:rPr>
        <w:t xml:space="preserve"> </w:t>
      </w:r>
      <w:r w:rsidRPr="00493D26">
        <w:rPr>
          <w:rFonts w:ascii="Arial" w:hAnsi="Arial"/>
          <w:sz w:val="22"/>
          <w:szCs w:val="22"/>
        </w:rPr>
        <w:t xml:space="preserve">This </w:t>
      </w:r>
      <w:r w:rsidR="00F81C3F" w:rsidRPr="00493D26">
        <w:rPr>
          <w:rFonts w:ascii="Arial" w:hAnsi="Arial"/>
          <w:sz w:val="22"/>
          <w:szCs w:val="22"/>
        </w:rPr>
        <w:t>model appear</w:t>
      </w:r>
      <w:r w:rsidR="0063594F" w:rsidRPr="00493D26">
        <w:rPr>
          <w:rFonts w:ascii="Arial" w:hAnsi="Arial"/>
          <w:sz w:val="22"/>
          <w:szCs w:val="22"/>
        </w:rPr>
        <w:t>ed</w:t>
      </w:r>
      <w:r w:rsidR="00F81C3F" w:rsidRPr="00493D26">
        <w:rPr>
          <w:rFonts w:ascii="Arial" w:hAnsi="Arial"/>
          <w:sz w:val="22"/>
          <w:szCs w:val="22"/>
        </w:rPr>
        <w:t xml:space="preserve"> to </w:t>
      </w:r>
      <w:r w:rsidRPr="00493D26">
        <w:rPr>
          <w:rFonts w:ascii="Arial" w:hAnsi="Arial"/>
          <w:sz w:val="22"/>
          <w:szCs w:val="22"/>
        </w:rPr>
        <w:t>under-estimat</w:t>
      </w:r>
      <w:r w:rsidR="00F81C3F" w:rsidRPr="00493D26">
        <w:rPr>
          <w:rFonts w:ascii="Arial" w:hAnsi="Arial"/>
          <w:sz w:val="22"/>
          <w:szCs w:val="22"/>
        </w:rPr>
        <w:t>e</w:t>
      </w:r>
      <w:r w:rsidRPr="00493D26">
        <w:rPr>
          <w:rFonts w:ascii="Arial" w:hAnsi="Arial"/>
          <w:sz w:val="22"/>
          <w:szCs w:val="22"/>
        </w:rPr>
        <w:t xml:space="preserve"> OS in both arms of the model</w:t>
      </w:r>
      <w:r w:rsidR="00F16300" w:rsidRPr="00493D26">
        <w:rPr>
          <w:rFonts w:ascii="Arial" w:hAnsi="Arial"/>
          <w:sz w:val="22"/>
          <w:szCs w:val="22"/>
        </w:rPr>
        <w:t>.</w:t>
      </w:r>
      <w:r w:rsidRPr="00493D26">
        <w:rPr>
          <w:rFonts w:ascii="Arial" w:hAnsi="Arial"/>
          <w:sz w:val="22"/>
          <w:szCs w:val="22"/>
        </w:rPr>
        <w:t xml:space="preserve"> </w:t>
      </w:r>
      <w:r w:rsidR="001B3507" w:rsidRPr="00493D26">
        <w:rPr>
          <w:rFonts w:ascii="Arial" w:hAnsi="Arial"/>
          <w:sz w:val="22"/>
          <w:szCs w:val="22"/>
        </w:rPr>
        <w:t>T</w:t>
      </w:r>
      <w:r w:rsidR="00BB6338" w:rsidRPr="00493D26">
        <w:rPr>
          <w:rFonts w:ascii="Arial" w:hAnsi="Arial"/>
          <w:sz w:val="22"/>
          <w:szCs w:val="22"/>
        </w:rPr>
        <w:t>h</w:t>
      </w:r>
      <w:r w:rsidRPr="00493D26">
        <w:rPr>
          <w:rFonts w:ascii="Arial" w:hAnsi="Arial"/>
          <w:sz w:val="22"/>
          <w:szCs w:val="22"/>
        </w:rPr>
        <w:t xml:space="preserve">e modelled OS for </w:t>
      </w:r>
      <w:proofErr w:type="spellStart"/>
      <w:r w:rsidRPr="00493D26">
        <w:rPr>
          <w:rFonts w:ascii="Arial" w:hAnsi="Arial"/>
          <w:sz w:val="22"/>
          <w:szCs w:val="22"/>
        </w:rPr>
        <w:t>obinutuzumab</w:t>
      </w:r>
      <w:proofErr w:type="spellEnd"/>
      <w:r w:rsidR="0012119F" w:rsidRPr="00493D26">
        <w:rPr>
          <w:rFonts w:ascii="Arial" w:hAnsi="Arial"/>
          <w:sz w:val="22"/>
          <w:szCs w:val="22"/>
        </w:rPr>
        <w:t xml:space="preserve"> plus </w:t>
      </w:r>
      <w:proofErr w:type="spellStart"/>
      <w:r w:rsidRPr="00493D26">
        <w:rPr>
          <w:rFonts w:ascii="Arial" w:hAnsi="Arial"/>
          <w:sz w:val="22"/>
          <w:szCs w:val="22"/>
        </w:rPr>
        <w:t>chlorambucil</w:t>
      </w:r>
      <w:proofErr w:type="spellEnd"/>
      <w:r w:rsidRPr="00493D26">
        <w:rPr>
          <w:rFonts w:ascii="Arial" w:hAnsi="Arial"/>
          <w:sz w:val="22"/>
          <w:szCs w:val="22"/>
        </w:rPr>
        <w:t xml:space="preserve"> and </w:t>
      </w:r>
      <w:proofErr w:type="spellStart"/>
      <w:r w:rsidRPr="00493D26">
        <w:rPr>
          <w:rFonts w:ascii="Arial" w:hAnsi="Arial"/>
          <w:sz w:val="22"/>
          <w:szCs w:val="22"/>
        </w:rPr>
        <w:t>chlorambucil</w:t>
      </w:r>
      <w:proofErr w:type="spellEnd"/>
      <w:r w:rsidRPr="00493D26">
        <w:rPr>
          <w:rFonts w:ascii="Arial" w:hAnsi="Arial"/>
          <w:sz w:val="22"/>
          <w:szCs w:val="22"/>
        </w:rPr>
        <w:t xml:space="preserve"> monotherapy at 10 years (</w:t>
      </w:r>
      <w:r w:rsidR="00197B45">
        <w:rPr>
          <w:rFonts w:ascii="Arial" w:hAnsi="Arial"/>
          <w:noProof/>
          <w:color w:val="000000"/>
          <w:sz w:val="22"/>
          <w:szCs w:val="22"/>
          <w:highlight w:val="black"/>
        </w:rPr>
        <w:t>''''''''''''</w:t>
      </w:r>
      <w:r w:rsidRPr="00493D26">
        <w:rPr>
          <w:rFonts w:ascii="Arial" w:hAnsi="Arial"/>
          <w:sz w:val="22"/>
          <w:szCs w:val="22"/>
        </w:rPr>
        <w:t xml:space="preserve">% and </w:t>
      </w:r>
      <w:r w:rsidR="00197B45">
        <w:rPr>
          <w:rFonts w:ascii="Arial" w:hAnsi="Arial"/>
          <w:noProof/>
          <w:color w:val="000000"/>
          <w:sz w:val="22"/>
          <w:szCs w:val="22"/>
          <w:highlight w:val="black"/>
        </w:rPr>
        <w:t>'''''''''''</w:t>
      </w:r>
      <w:r w:rsidRPr="00493D26">
        <w:rPr>
          <w:rFonts w:ascii="Arial" w:hAnsi="Arial"/>
          <w:sz w:val="22"/>
          <w:szCs w:val="22"/>
        </w:rPr>
        <w:t>%, respectively) is less than observed in the long-term follow up of CLL5 and also in registry data (</w:t>
      </w:r>
      <w:proofErr w:type="spellStart"/>
      <w:r w:rsidRPr="00493D26">
        <w:rPr>
          <w:rFonts w:ascii="Arial" w:hAnsi="Arial"/>
          <w:sz w:val="22"/>
          <w:szCs w:val="22"/>
        </w:rPr>
        <w:t>eg</w:t>
      </w:r>
      <w:proofErr w:type="spellEnd"/>
      <w:r w:rsidRPr="00493D26">
        <w:rPr>
          <w:rFonts w:ascii="Arial" w:hAnsi="Arial"/>
          <w:sz w:val="22"/>
          <w:szCs w:val="22"/>
        </w:rPr>
        <w:t xml:space="preserve">. 10-year survival in American CLL patients aged 75 and older is 37.6%). While acknowledging that patients included in the registries may not be representative of the trial population (PSCR, </w:t>
      </w:r>
      <w:proofErr w:type="spellStart"/>
      <w:r w:rsidRPr="00493D26">
        <w:rPr>
          <w:rFonts w:ascii="Arial" w:hAnsi="Arial"/>
          <w:sz w:val="22"/>
          <w:szCs w:val="22"/>
        </w:rPr>
        <w:t>pg</w:t>
      </w:r>
      <w:proofErr w:type="spellEnd"/>
      <w:r w:rsidRPr="00493D26">
        <w:rPr>
          <w:rFonts w:ascii="Arial" w:hAnsi="Arial"/>
          <w:sz w:val="22"/>
          <w:szCs w:val="22"/>
        </w:rPr>
        <w:t xml:space="preserve"> 4), the ESC concluded that OS is underestimated in both arms, and that this favours </w:t>
      </w:r>
      <w:proofErr w:type="spellStart"/>
      <w:r w:rsidRPr="00493D26">
        <w:rPr>
          <w:rFonts w:ascii="Arial" w:hAnsi="Arial"/>
          <w:sz w:val="22"/>
          <w:szCs w:val="22"/>
        </w:rPr>
        <w:t>obinutuzumab</w:t>
      </w:r>
      <w:proofErr w:type="spellEnd"/>
      <w:r w:rsidRPr="00493D26">
        <w:rPr>
          <w:rFonts w:ascii="Arial" w:hAnsi="Arial"/>
          <w:sz w:val="22"/>
          <w:szCs w:val="22"/>
        </w:rPr>
        <w:t>.</w:t>
      </w:r>
      <w:r w:rsidR="007A3878" w:rsidRPr="00493D26">
        <w:rPr>
          <w:rFonts w:ascii="Arial" w:hAnsi="Arial"/>
          <w:sz w:val="22"/>
          <w:szCs w:val="22"/>
        </w:rPr>
        <w:t xml:space="preserve"> </w:t>
      </w:r>
      <w:r w:rsidR="00F03235" w:rsidRPr="00493D26">
        <w:rPr>
          <w:rFonts w:ascii="Arial" w:hAnsi="Arial"/>
          <w:sz w:val="22"/>
          <w:szCs w:val="22"/>
        </w:rPr>
        <w:t>To attempt to account for this issue, the PSCR include</w:t>
      </w:r>
      <w:r w:rsidR="0063594F" w:rsidRPr="00493D26">
        <w:rPr>
          <w:rFonts w:ascii="Arial" w:hAnsi="Arial"/>
          <w:sz w:val="22"/>
          <w:szCs w:val="22"/>
        </w:rPr>
        <w:t>d</w:t>
      </w:r>
      <w:r w:rsidR="00F03235" w:rsidRPr="00493D26">
        <w:rPr>
          <w:rFonts w:ascii="Arial" w:hAnsi="Arial"/>
          <w:sz w:val="22"/>
          <w:szCs w:val="22"/>
        </w:rPr>
        <w:t xml:space="preserve"> a sensitivity analysis that decrease</w:t>
      </w:r>
      <w:r w:rsidR="0063594F" w:rsidRPr="00493D26">
        <w:rPr>
          <w:rFonts w:ascii="Arial" w:hAnsi="Arial"/>
          <w:sz w:val="22"/>
          <w:szCs w:val="22"/>
        </w:rPr>
        <w:t>d</w:t>
      </w:r>
      <w:r w:rsidR="00F03235" w:rsidRPr="00493D26">
        <w:rPr>
          <w:rFonts w:ascii="Arial" w:hAnsi="Arial"/>
          <w:sz w:val="22"/>
          <w:szCs w:val="22"/>
        </w:rPr>
        <w:t xml:space="preserve"> the probability of post-progression death by a factor of </w:t>
      </w:r>
      <w:r w:rsidR="00197B45">
        <w:rPr>
          <w:rFonts w:ascii="Arial" w:hAnsi="Arial"/>
          <w:noProof/>
          <w:color w:val="000000"/>
          <w:sz w:val="22"/>
          <w:szCs w:val="22"/>
          <w:highlight w:val="black"/>
        </w:rPr>
        <w:t>''''''''''</w:t>
      </w:r>
      <w:r w:rsidR="00493D26">
        <w:rPr>
          <w:rFonts w:ascii="Arial" w:hAnsi="Arial"/>
          <w:sz w:val="22"/>
          <w:szCs w:val="22"/>
        </w:rPr>
        <w:t>.</w:t>
      </w:r>
    </w:p>
    <w:p w:rsidR="00493D26" w:rsidRDefault="00493D26" w:rsidP="007A3878">
      <w:pPr>
        <w:pStyle w:val="ListParagraph"/>
        <w:ind w:left="1440"/>
        <w:jc w:val="both"/>
        <w:rPr>
          <w:rFonts w:ascii="Arial" w:hAnsi="Arial"/>
          <w:sz w:val="22"/>
          <w:szCs w:val="22"/>
        </w:rPr>
      </w:pPr>
    </w:p>
    <w:p w:rsidR="007A3878" w:rsidRDefault="006E7E6B" w:rsidP="007A3878">
      <w:pPr>
        <w:pStyle w:val="ListParagraph"/>
        <w:ind w:left="1440"/>
        <w:jc w:val="both"/>
        <w:rPr>
          <w:rFonts w:ascii="Arial" w:hAnsi="Arial"/>
          <w:sz w:val="22"/>
          <w:szCs w:val="22"/>
        </w:rPr>
      </w:pPr>
      <w:r w:rsidRPr="006E7E6B">
        <w:rPr>
          <w:rFonts w:ascii="Arial" w:hAnsi="Arial"/>
          <w:sz w:val="22"/>
          <w:szCs w:val="22"/>
        </w:rPr>
        <w:t>Further,</w:t>
      </w:r>
      <w:r w:rsidR="0063594F">
        <w:rPr>
          <w:rFonts w:ascii="Arial" w:hAnsi="Arial"/>
          <w:sz w:val="22"/>
          <w:szCs w:val="22"/>
        </w:rPr>
        <w:t xml:space="preserve"> the ESC noted that </w:t>
      </w:r>
      <w:r w:rsidRPr="006E7E6B">
        <w:rPr>
          <w:rFonts w:ascii="Arial" w:hAnsi="Arial"/>
          <w:sz w:val="22"/>
          <w:szCs w:val="22"/>
        </w:rPr>
        <w:t>time to progression is the primary driver of effectiveness differences in the model because the same mortality rate is applied to both arms for progressed patients. The OS curves do not converge over the 10-year time horizon of the model.</w:t>
      </w:r>
    </w:p>
    <w:p w:rsidR="007A3878" w:rsidRDefault="007A3878" w:rsidP="007A3878">
      <w:pPr>
        <w:pStyle w:val="ListParagraph"/>
        <w:ind w:left="1440"/>
        <w:jc w:val="both"/>
        <w:rPr>
          <w:rFonts w:ascii="Arial" w:hAnsi="Arial"/>
          <w:sz w:val="22"/>
          <w:szCs w:val="22"/>
        </w:rPr>
      </w:pPr>
    </w:p>
    <w:p w:rsidR="007A3878" w:rsidRDefault="006E7E6B" w:rsidP="007A3878">
      <w:pPr>
        <w:pStyle w:val="ListParagraph"/>
        <w:numPr>
          <w:ilvl w:val="0"/>
          <w:numId w:val="43"/>
        </w:numPr>
        <w:jc w:val="both"/>
        <w:rPr>
          <w:rFonts w:ascii="Arial" w:hAnsi="Arial"/>
          <w:sz w:val="22"/>
          <w:szCs w:val="22"/>
        </w:rPr>
      </w:pPr>
      <w:r w:rsidRPr="006E7E6B">
        <w:rPr>
          <w:rFonts w:ascii="Arial" w:hAnsi="Arial"/>
          <w:sz w:val="22"/>
          <w:szCs w:val="22"/>
        </w:rPr>
        <w:t xml:space="preserve">The ESC considered that </w:t>
      </w:r>
      <w:r w:rsidR="007A5969">
        <w:rPr>
          <w:rFonts w:ascii="Arial" w:hAnsi="Arial"/>
          <w:sz w:val="22"/>
          <w:szCs w:val="22"/>
        </w:rPr>
        <w:t xml:space="preserve">the </w:t>
      </w:r>
      <w:r w:rsidRPr="006E7E6B">
        <w:rPr>
          <w:rFonts w:ascii="Arial" w:hAnsi="Arial"/>
          <w:sz w:val="22"/>
          <w:szCs w:val="22"/>
        </w:rPr>
        <w:t>cost of adverse events we</w:t>
      </w:r>
      <w:r w:rsidR="00FB7A21">
        <w:rPr>
          <w:rFonts w:ascii="Arial" w:hAnsi="Arial"/>
          <w:sz w:val="22"/>
          <w:szCs w:val="22"/>
        </w:rPr>
        <w:t xml:space="preserve">re under-estimated in the model because </w:t>
      </w:r>
      <w:r w:rsidRPr="006E7E6B">
        <w:rPr>
          <w:rFonts w:ascii="Arial" w:hAnsi="Arial"/>
          <w:sz w:val="22"/>
          <w:szCs w:val="22"/>
        </w:rPr>
        <w:t>events that were deemed to be either ‘non-serious’ or not of ‘special interest’</w:t>
      </w:r>
      <w:r w:rsidR="00F81C3F">
        <w:rPr>
          <w:rFonts w:ascii="Arial" w:hAnsi="Arial"/>
          <w:sz w:val="22"/>
          <w:szCs w:val="22"/>
        </w:rPr>
        <w:t xml:space="preserve"> were not included</w:t>
      </w:r>
      <w:r w:rsidRPr="006E7E6B">
        <w:rPr>
          <w:rFonts w:ascii="Arial" w:hAnsi="Arial"/>
          <w:sz w:val="22"/>
          <w:szCs w:val="22"/>
        </w:rPr>
        <w:t xml:space="preserve">. </w:t>
      </w:r>
      <w:r w:rsidR="00FB7A21" w:rsidRPr="006E7E6B">
        <w:rPr>
          <w:rFonts w:ascii="Arial" w:hAnsi="Arial"/>
          <w:sz w:val="22"/>
          <w:szCs w:val="22"/>
        </w:rPr>
        <w:t xml:space="preserve">The ESC considered that the exclusion of these costs was inappropriate given the high incidence of grade 3-5 adverse events in the </w:t>
      </w:r>
      <w:proofErr w:type="spellStart"/>
      <w:r w:rsidR="00FB7A21" w:rsidRPr="006E7E6B">
        <w:rPr>
          <w:rFonts w:ascii="Arial" w:hAnsi="Arial"/>
          <w:sz w:val="22"/>
          <w:szCs w:val="22"/>
        </w:rPr>
        <w:t>obinutuzumab</w:t>
      </w:r>
      <w:proofErr w:type="spellEnd"/>
      <w:r w:rsidR="00FB7A21" w:rsidRPr="006E7E6B">
        <w:rPr>
          <w:rFonts w:ascii="Arial" w:hAnsi="Arial"/>
          <w:sz w:val="22"/>
          <w:szCs w:val="22"/>
        </w:rPr>
        <w:t xml:space="preserve"> arm, and was likely to favour </w:t>
      </w:r>
      <w:proofErr w:type="spellStart"/>
      <w:r w:rsidR="00FB7A21" w:rsidRPr="006E7E6B">
        <w:rPr>
          <w:rFonts w:ascii="Arial" w:hAnsi="Arial"/>
          <w:sz w:val="22"/>
          <w:szCs w:val="22"/>
        </w:rPr>
        <w:t>obinutuzumab</w:t>
      </w:r>
      <w:proofErr w:type="spellEnd"/>
      <w:r w:rsidR="00FB7A21">
        <w:rPr>
          <w:rFonts w:ascii="Arial" w:hAnsi="Arial"/>
          <w:sz w:val="22"/>
          <w:szCs w:val="22"/>
        </w:rPr>
        <w:t xml:space="preserve">. </w:t>
      </w:r>
      <w:r w:rsidR="007A5969">
        <w:rPr>
          <w:rFonts w:ascii="Arial" w:hAnsi="Arial"/>
          <w:sz w:val="22"/>
          <w:szCs w:val="22"/>
        </w:rPr>
        <w:t>T</w:t>
      </w:r>
      <w:r w:rsidR="00FB7A21">
        <w:rPr>
          <w:rFonts w:ascii="Arial" w:hAnsi="Arial"/>
          <w:sz w:val="22"/>
          <w:szCs w:val="22"/>
        </w:rPr>
        <w:t xml:space="preserve">he </w:t>
      </w:r>
      <w:r w:rsidR="009E6382">
        <w:rPr>
          <w:rFonts w:ascii="Arial" w:hAnsi="Arial"/>
          <w:sz w:val="22"/>
          <w:szCs w:val="22"/>
        </w:rPr>
        <w:t>PSCR and p</w:t>
      </w:r>
      <w:r w:rsidR="00FB7A21">
        <w:rPr>
          <w:rFonts w:ascii="Arial" w:hAnsi="Arial"/>
          <w:sz w:val="22"/>
          <w:szCs w:val="22"/>
        </w:rPr>
        <w:t xml:space="preserve">re-PBAC response </w:t>
      </w:r>
      <w:r w:rsidR="009E6382">
        <w:rPr>
          <w:rFonts w:ascii="Arial" w:hAnsi="Arial"/>
          <w:sz w:val="22"/>
          <w:szCs w:val="22"/>
        </w:rPr>
        <w:t xml:space="preserve">included costs for cardiac adverse events and serious </w:t>
      </w:r>
      <w:proofErr w:type="spellStart"/>
      <w:r w:rsidR="009E6382">
        <w:rPr>
          <w:rFonts w:ascii="Arial" w:hAnsi="Arial"/>
          <w:sz w:val="22"/>
          <w:szCs w:val="22"/>
        </w:rPr>
        <w:t>leucopenia</w:t>
      </w:r>
      <w:proofErr w:type="spellEnd"/>
      <w:r w:rsidRPr="006E7E6B">
        <w:rPr>
          <w:rFonts w:ascii="Arial" w:hAnsi="Arial"/>
          <w:sz w:val="22"/>
          <w:szCs w:val="22"/>
        </w:rPr>
        <w:t xml:space="preserve">. </w:t>
      </w:r>
    </w:p>
    <w:p w:rsidR="009E6382" w:rsidRDefault="009E6382" w:rsidP="009E6382">
      <w:pPr>
        <w:pStyle w:val="ListParagraph"/>
        <w:ind w:left="709"/>
        <w:jc w:val="both"/>
        <w:rPr>
          <w:rFonts w:ascii="Arial" w:hAnsi="Arial"/>
          <w:sz w:val="22"/>
          <w:szCs w:val="22"/>
        </w:rPr>
      </w:pPr>
    </w:p>
    <w:p w:rsidR="007A3878" w:rsidRDefault="009E6382" w:rsidP="009E6382">
      <w:pPr>
        <w:pStyle w:val="ListParagraph"/>
        <w:numPr>
          <w:ilvl w:val="1"/>
          <w:numId w:val="25"/>
        </w:numPr>
        <w:ind w:left="709" w:hanging="709"/>
        <w:jc w:val="both"/>
        <w:rPr>
          <w:rFonts w:ascii="Arial" w:hAnsi="Arial"/>
          <w:sz w:val="22"/>
          <w:szCs w:val="22"/>
        </w:rPr>
      </w:pPr>
      <w:r>
        <w:rPr>
          <w:rFonts w:ascii="Arial" w:hAnsi="Arial"/>
          <w:sz w:val="22"/>
          <w:szCs w:val="22"/>
        </w:rPr>
        <w:t>The ESC also noted that:</w:t>
      </w:r>
    </w:p>
    <w:p w:rsidR="00F26D50" w:rsidRDefault="00F26D50" w:rsidP="00F26D50">
      <w:pPr>
        <w:pStyle w:val="ListParagraph"/>
        <w:ind w:left="1440"/>
        <w:jc w:val="both"/>
        <w:rPr>
          <w:rFonts w:ascii="Arial" w:hAnsi="Arial"/>
          <w:sz w:val="22"/>
          <w:szCs w:val="22"/>
        </w:rPr>
      </w:pPr>
    </w:p>
    <w:p w:rsidR="009E6382" w:rsidRDefault="00162B66" w:rsidP="0063594F">
      <w:pPr>
        <w:pStyle w:val="ListParagraph"/>
        <w:numPr>
          <w:ilvl w:val="0"/>
          <w:numId w:val="42"/>
        </w:numPr>
        <w:jc w:val="both"/>
        <w:rPr>
          <w:rFonts w:ascii="Arial" w:hAnsi="Arial"/>
          <w:sz w:val="22"/>
          <w:szCs w:val="22"/>
        </w:rPr>
      </w:pPr>
      <w:proofErr w:type="gramStart"/>
      <w:r>
        <w:rPr>
          <w:rFonts w:ascii="Arial" w:hAnsi="Arial"/>
          <w:sz w:val="22"/>
          <w:szCs w:val="22"/>
        </w:rPr>
        <w:t>the</w:t>
      </w:r>
      <w:proofErr w:type="gramEnd"/>
      <w:r>
        <w:rPr>
          <w:rFonts w:ascii="Arial" w:hAnsi="Arial"/>
          <w:sz w:val="22"/>
          <w:szCs w:val="22"/>
        </w:rPr>
        <w:t xml:space="preserve"> </w:t>
      </w:r>
      <w:r w:rsidR="006E7E6B" w:rsidRPr="007A3878">
        <w:rPr>
          <w:rFonts w:ascii="Arial" w:hAnsi="Arial"/>
          <w:sz w:val="22"/>
          <w:szCs w:val="22"/>
        </w:rPr>
        <w:t xml:space="preserve">10-year time horizon used in the model may not adequately reflect the length of survival of CLL patients who are older and/or have co-morbidities that has been shown in observational data and CLL5. In its previous </w:t>
      </w:r>
      <w:r w:rsidR="006E7E6B" w:rsidRPr="007A3878">
        <w:rPr>
          <w:rFonts w:ascii="Arial" w:hAnsi="Arial"/>
          <w:sz w:val="22"/>
          <w:szCs w:val="22"/>
        </w:rPr>
        <w:lastRenderedPageBreak/>
        <w:t>considerations of rituximab, the PBAC had considered that a 10-year time horizon was appropriate in CLL patients who are older and have other comorbidities (rituximab public summary document March 2010</w:t>
      </w:r>
      <w:r>
        <w:rPr>
          <w:rFonts w:ascii="Arial" w:hAnsi="Arial"/>
          <w:sz w:val="22"/>
          <w:szCs w:val="22"/>
        </w:rPr>
        <w:t>).</w:t>
      </w:r>
    </w:p>
    <w:p w:rsidR="009E6382" w:rsidRDefault="009E6382" w:rsidP="009E6382">
      <w:pPr>
        <w:pStyle w:val="ListParagraph"/>
        <w:ind w:left="1440"/>
        <w:jc w:val="both"/>
        <w:rPr>
          <w:rFonts w:ascii="Arial" w:hAnsi="Arial"/>
          <w:sz w:val="22"/>
          <w:szCs w:val="22"/>
        </w:rPr>
      </w:pPr>
    </w:p>
    <w:p w:rsidR="007A3878" w:rsidRPr="009E6382" w:rsidRDefault="006E7E6B" w:rsidP="009E6382">
      <w:pPr>
        <w:pStyle w:val="ListParagraph"/>
        <w:numPr>
          <w:ilvl w:val="0"/>
          <w:numId w:val="42"/>
        </w:numPr>
        <w:jc w:val="both"/>
        <w:rPr>
          <w:rFonts w:ascii="Arial" w:hAnsi="Arial"/>
          <w:sz w:val="22"/>
          <w:szCs w:val="22"/>
        </w:rPr>
      </w:pPr>
      <w:r w:rsidRPr="009E6382">
        <w:rPr>
          <w:rFonts w:ascii="Arial" w:hAnsi="Arial"/>
          <w:sz w:val="22"/>
          <w:szCs w:val="22"/>
        </w:rPr>
        <w:t xml:space="preserve">Patient-reported outcomes using the QLQ-C30 questionnaire were collected in CLL11 but were not used in the economic model. </w:t>
      </w:r>
      <w:r w:rsidRPr="005C4082">
        <w:rPr>
          <w:rFonts w:ascii="Arial" w:hAnsi="Arial"/>
          <w:sz w:val="22"/>
          <w:szCs w:val="22"/>
        </w:rPr>
        <w:t>The submission did not justify this. The ESC noted that published mapping a</w:t>
      </w:r>
      <w:r w:rsidRPr="009E6382">
        <w:rPr>
          <w:rFonts w:ascii="Arial" w:hAnsi="Arial"/>
          <w:sz w:val="22"/>
          <w:szCs w:val="22"/>
        </w:rPr>
        <w:t>lgorithms are available and considered that it would have been informative for the results to have been presented.</w:t>
      </w:r>
    </w:p>
    <w:p w:rsidR="007A3878" w:rsidRDefault="007A3878" w:rsidP="007A3878">
      <w:pPr>
        <w:pStyle w:val="ListParagraph"/>
        <w:ind w:left="1440"/>
        <w:jc w:val="both"/>
        <w:rPr>
          <w:rFonts w:ascii="Arial" w:hAnsi="Arial"/>
          <w:sz w:val="22"/>
          <w:szCs w:val="22"/>
        </w:rPr>
      </w:pPr>
    </w:p>
    <w:p w:rsidR="007A3878" w:rsidRDefault="006E7E6B" w:rsidP="00162B66">
      <w:pPr>
        <w:pStyle w:val="ListParagraph"/>
        <w:numPr>
          <w:ilvl w:val="1"/>
          <w:numId w:val="25"/>
        </w:numPr>
        <w:ind w:left="709" w:hanging="709"/>
        <w:jc w:val="both"/>
        <w:rPr>
          <w:rFonts w:ascii="Arial" w:hAnsi="Arial"/>
          <w:sz w:val="22"/>
          <w:szCs w:val="22"/>
        </w:rPr>
      </w:pPr>
      <w:r w:rsidRPr="007A3878">
        <w:rPr>
          <w:rFonts w:ascii="Arial" w:hAnsi="Arial"/>
          <w:sz w:val="22"/>
          <w:szCs w:val="22"/>
        </w:rPr>
        <w:t xml:space="preserve">The </w:t>
      </w:r>
      <w:r w:rsidR="00162B66">
        <w:rPr>
          <w:rFonts w:ascii="Arial" w:hAnsi="Arial"/>
          <w:sz w:val="22"/>
          <w:szCs w:val="22"/>
        </w:rPr>
        <w:t xml:space="preserve">ESC noted that the </w:t>
      </w:r>
      <w:r w:rsidRPr="007A3878">
        <w:rPr>
          <w:rFonts w:ascii="Arial" w:hAnsi="Arial"/>
          <w:sz w:val="22"/>
          <w:szCs w:val="22"/>
        </w:rPr>
        <w:t xml:space="preserve">PSCR provided sensitivity analyses to attempt to account for </w:t>
      </w:r>
      <w:r w:rsidR="009E6382">
        <w:rPr>
          <w:rFonts w:ascii="Arial" w:hAnsi="Arial"/>
          <w:sz w:val="22"/>
          <w:szCs w:val="22"/>
        </w:rPr>
        <w:t xml:space="preserve">many of </w:t>
      </w:r>
      <w:r w:rsidRPr="007A3878">
        <w:rPr>
          <w:rFonts w:ascii="Arial" w:hAnsi="Arial"/>
          <w:sz w:val="22"/>
          <w:szCs w:val="22"/>
        </w:rPr>
        <w:t>the issues outlined above. The ESC noted that the a</w:t>
      </w:r>
      <w:r w:rsidR="009D38A8">
        <w:rPr>
          <w:rFonts w:ascii="Arial" w:hAnsi="Arial"/>
          <w:sz w:val="22"/>
          <w:szCs w:val="22"/>
        </w:rPr>
        <w:t>nalyses</w:t>
      </w:r>
      <w:r w:rsidRPr="007A3878">
        <w:rPr>
          <w:rFonts w:ascii="Arial" w:hAnsi="Arial"/>
          <w:sz w:val="22"/>
          <w:szCs w:val="22"/>
        </w:rPr>
        <w:t xml:space="preserve"> </w:t>
      </w:r>
      <w:r w:rsidR="00162B66">
        <w:rPr>
          <w:rFonts w:ascii="Arial" w:hAnsi="Arial"/>
          <w:sz w:val="22"/>
          <w:szCs w:val="22"/>
        </w:rPr>
        <w:t>we</w:t>
      </w:r>
      <w:r w:rsidRPr="007A3878">
        <w:rPr>
          <w:rFonts w:ascii="Arial" w:hAnsi="Arial"/>
          <w:sz w:val="22"/>
          <w:szCs w:val="22"/>
        </w:rPr>
        <w:t>re based on arbitrary parameter values and may not provide a re</w:t>
      </w:r>
      <w:r w:rsidR="005C4082">
        <w:rPr>
          <w:rFonts w:ascii="Arial" w:hAnsi="Arial"/>
          <w:sz w:val="22"/>
          <w:szCs w:val="22"/>
        </w:rPr>
        <w:t>liable basis for decision</w:t>
      </w:r>
      <w:r w:rsidR="005C4082">
        <w:rPr>
          <w:rFonts w:ascii="Arial" w:hAnsi="Arial"/>
          <w:sz w:val="22"/>
          <w:szCs w:val="22"/>
        </w:rPr>
        <w:noBreakHyphen/>
      </w:r>
      <w:r w:rsidRPr="007A3878">
        <w:rPr>
          <w:rFonts w:ascii="Arial" w:hAnsi="Arial"/>
          <w:sz w:val="22"/>
          <w:szCs w:val="22"/>
        </w:rPr>
        <w:t>making. The ESC considered that the most informative scenario included</w:t>
      </w:r>
      <w:r w:rsidR="00F03235">
        <w:rPr>
          <w:rFonts w:ascii="Arial" w:hAnsi="Arial"/>
          <w:sz w:val="22"/>
          <w:szCs w:val="22"/>
        </w:rPr>
        <w:t xml:space="preserve"> all changes </w:t>
      </w:r>
      <w:r w:rsidR="00F03235" w:rsidRPr="006039C2">
        <w:rPr>
          <w:rFonts w:ascii="Arial" w:hAnsi="Arial"/>
          <w:sz w:val="22"/>
          <w:szCs w:val="22"/>
        </w:rPr>
        <w:t>(i.e</w:t>
      </w:r>
      <w:r w:rsidR="002E5297" w:rsidRPr="006039C2">
        <w:rPr>
          <w:rFonts w:ascii="Arial" w:hAnsi="Arial"/>
          <w:sz w:val="22"/>
          <w:szCs w:val="22"/>
        </w:rPr>
        <w:t>.</w:t>
      </w:r>
      <w:r w:rsidR="009D38A8" w:rsidRPr="006039C2">
        <w:rPr>
          <w:rFonts w:ascii="Arial" w:hAnsi="Arial"/>
          <w:sz w:val="22"/>
          <w:szCs w:val="22"/>
        </w:rPr>
        <w:t xml:space="preserve"> an adjustment to the HR</w:t>
      </w:r>
      <w:r w:rsidR="00F03235" w:rsidRPr="006039C2">
        <w:rPr>
          <w:rFonts w:ascii="Arial" w:hAnsi="Arial"/>
          <w:sz w:val="22"/>
          <w:szCs w:val="22"/>
        </w:rPr>
        <w:t xml:space="preserve"> of </w:t>
      </w:r>
      <w:r w:rsidR="00197B45">
        <w:rPr>
          <w:rFonts w:ascii="Arial" w:hAnsi="Arial"/>
          <w:noProof/>
          <w:color w:val="000000"/>
          <w:sz w:val="22"/>
          <w:szCs w:val="22"/>
          <w:highlight w:val="black"/>
        </w:rPr>
        <w:t>'''''''''</w:t>
      </w:r>
      <w:r w:rsidR="009D38A8" w:rsidRPr="00493D26">
        <w:rPr>
          <w:rFonts w:ascii="Arial" w:hAnsi="Arial"/>
          <w:sz w:val="22"/>
          <w:szCs w:val="22"/>
        </w:rPr>
        <w:t xml:space="preserve"> </w:t>
      </w:r>
      <w:r w:rsidR="009D38A8" w:rsidRPr="006039C2">
        <w:rPr>
          <w:rFonts w:ascii="Arial" w:hAnsi="Arial"/>
          <w:sz w:val="22"/>
          <w:szCs w:val="22"/>
        </w:rPr>
        <w:t xml:space="preserve">in the </w:t>
      </w:r>
      <w:proofErr w:type="spellStart"/>
      <w:r w:rsidR="009D38A8" w:rsidRPr="006039C2">
        <w:rPr>
          <w:rFonts w:ascii="Arial" w:hAnsi="Arial"/>
          <w:sz w:val="22"/>
          <w:szCs w:val="22"/>
        </w:rPr>
        <w:t>chlorambucil</w:t>
      </w:r>
      <w:proofErr w:type="spellEnd"/>
      <w:r w:rsidR="009D38A8" w:rsidRPr="006039C2">
        <w:rPr>
          <w:rFonts w:ascii="Arial" w:hAnsi="Arial"/>
          <w:sz w:val="22"/>
          <w:szCs w:val="22"/>
        </w:rPr>
        <w:t xml:space="preserve"> arm only</w:t>
      </w:r>
      <w:r w:rsidR="00F03235" w:rsidRPr="006039C2">
        <w:rPr>
          <w:rFonts w:ascii="Arial" w:hAnsi="Arial"/>
          <w:sz w:val="22"/>
          <w:szCs w:val="22"/>
        </w:rPr>
        <w:t>,</w:t>
      </w:r>
      <w:r w:rsidR="009D38A8" w:rsidRPr="006039C2">
        <w:rPr>
          <w:rFonts w:ascii="Arial" w:hAnsi="Arial"/>
          <w:sz w:val="22"/>
          <w:szCs w:val="22"/>
        </w:rPr>
        <w:t xml:space="preserve"> </w:t>
      </w:r>
      <w:r w:rsidR="00F03235" w:rsidRPr="006039C2">
        <w:rPr>
          <w:rFonts w:ascii="Arial" w:hAnsi="Arial"/>
          <w:sz w:val="22"/>
          <w:szCs w:val="22"/>
        </w:rPr>
        <w:t>application of costs and utilities of second-line rituximab at the time of patient progression, and a decrease in the weekly probability of post-progression death by a factor of</w:t>
      </w:r>
      <w:r w:rsidR="00F03235" w:rsidRPr="00B04DF2">
        <w:rPr>
          <w:rFonts w:ascii="Arial" w:hAnsi="Arial"/>
          <w:sz w:val="22"/>
          <w:szCs w:val="22"/>
        </w:rPr>
        <w:t xml:space="preserve"> </w:t>
      </w:r>
      <w:r w:rsidR="00197B45">
        <w:rPr>
          <w:rFonts w:ascii="Arial" w:hAnsi="Arial"/>
          <w:noProof/>
          <w:color w:val="000000"/>
          <w:sz w:val="22"/>
          <w:szCs w:val="22"/>
          <w:highlight w:val="black"/>
        </w:rPr>
        <w:t>''''''''''''</w:t>
      </w:r>
      <w:r w:rsidR="00F03235">
        <w:rPr>
          <w:rFonts w:ascii="Arial" w:hAnsi="Arial"/>
          <w:sz w:val="22"/>
          <w:szCs w:val="22"/>
        </w:rPr>
        <w:t xml:space="preserve">. </w:t>
      </w:r>
      <w:r w:rsidRPr="007A3878">
        <w:rPr>
          <w:rFonts w:ascii="Arial" w:hAnsi="Arial"/>
          <w:sz w:val="22"/>
          <w:szCs w:val="22"/>
        </w:rPr>
        <w:t>This result</w:t>
      </w:r>
      <w:r w:rsidR="00F03235">
        <w:rPr>
          <w:rFonts w:ascii="Arial" w:hAnsi="Arial"/>
          <w:sz w:val="22"/>
          <w:szCs w:val="22"/>
        </w:rPr>
        <w:t>ed</w:t>
      </w:r>
      <w:r w:rsidRPr="007A3878">
        <w:rPr>
          <w:rFonts w:ascii="Arial" w:hAnsi="Arial"/>
          <w:sz w:val="22"/>
          <w:szCs w:val="22"/>
        </w:rPr>
        <w:t xml:space="preserve"> in an ICER of </w:t>
      </w:r>
      <w:r w:rsidR="004C21E9">
        <w:rPr>
          <w:rFonts w:ascii="Arial" w:hAnsi="Arial"/>
          <w:sz w:val="22"/>
          <w:szCs w:val="22"/>
        </w:rPr>
        <w:t>$45,000/QALY - $75,000/QALY</w:t>
      </w:r>
      <w:r w:rsidRPr="007A3878">
        <w:rPr>
          <w:rFonts w:ascii="Arial" w:hAnsi="Arial"/>
          <w:sz w:val="22"/>
          <w:szCs w:val="22"/>
        </w:rPr>
        <w:t xml:space="preserve"> </w:t>
      </w:r>
      <w:r w:rsidR="009D38A8">
        <w:rPr>
          <w:rFonts w:ascii="Arial" w:hAnsi="Arial"/>
          <w:sz w:val="22"/>
          <w:szCs w:val="22"/>
        </w:rPr>
        <w:t xml:space="preserve">for the comparison against </w:t>
      </w:r>
      <w:proofErr w:type="spellStart"/>
      <w:r w:rsidR="009D38A8">
        <w:rPr>
          <w:rFonts w:ascii="Arial" w:hAnsi="Arial"/>
          <w:sz w:val="22"/>
          <w:szCs w:val="22"/>
        </w:rPr>
        <w:t>chlorambucil</w:t>
      </w:r>
      <w:proofErr w:type="spellEnd"/>
      <w:r w:rsidR="009D38A8">
        <w:rPr>
          <w:rFonts w:ascii="Arial" w:hAnsi="Arial"/>
          <w:sz w:val="22"/>
          <w:szCs w:val="22"/>
        </w:rPr>
        <w:t xml:space="preserve"> monotherapy </w:t>
      </w:r>
      <w:r w:rsidRPr="007A3878">
        <w:rPr>
          <w:rFonts w:ascii="Arial" w:hAnsi="Arial"/>
          <w:sz w:val="22"/>
          <w:szCs w:val="22"/>
        </w:rPr>
        <w:t xml:space="preserve">based on the </w:t>
      </w:r>
      <w:proofErr w:type="spellStart"/>
      <w:r w:rsidRPr="007A3878">
        <w:rPr>
          <w:rFonts w:ascii="Arial" w:hAnsi="Arial"/>
          <w:sz w:val="22"/>
          <w:szCs w:val="22"/>
        </w:rPr>
        <w:t>datacut</w:t>
      </w:r>
      <w:proofErr w:type="spellEnd"/>
      <w:r w:rsidRPr="007A3878">
        <w:rPr>
          <w:rFonts w:ascii="Arial" w:hAnsi="Arial"/>
          <w:sz w:val="22"/>
          <w:szCs w:val="22"/>
        </w:rPr>
        <w:t xml:space="preserve"> presented in the submission. </w:t>
      </w:r>
    </w:p>
    <w:p w:rsidR="00047520" w:rsidRDefault="00047520" w:rsidP="00047520">
      <w:pPr>
        <w:pStyle w:val="ListParagraph"/>
        <w:jc w:val="both"/>
        <w:rPr>
          <w:rFonts w:ascii="Arial" w:hAnsi="Arial"/>
          <w:i/>
          <w:sz w:val="22"/>
          <w:szCs w:val="22"/>
        </w:rPr>
      </w:pPr>
    </w:p>
    <w:p w:rsidR="00047520" w:rsidRPr="00BB7EC3" w:rsidRDefault="00047520" w:rsidP="00047520">
      <w:pPr>
        <w:pStyle w:val="ListParagraph"/>
        <w:jc w:val="both"/>
        <w:rPr>
          <w:rFonts w:ascii="Arial" w:hAnsi="Arial"/>
          <w:i/>
          <w:sz w:val="22"/>
          <w:szCs w:val="22"/>
        </w:rPr>
      </w:pPr>
      <w:r>
        <w:rPr>
          <w:rFonts w:ascii="Arial" w:hAnsi="Arial"/>
          <w:i/>
          <w:sz w:val="22"/>
          <w:szCs w:val="22"/>
        </w:rPr>
        <w:t>For more detail on PBAC’s view, see section 7 “PBAC outcome”</w:t>
      </w:r>
    </w:p>
    <w:p w:rsidR="00BB7EC3" w:rsidRDefault="00BB7EC3" w:rsidP="00BB7EC3">
      <w:pPr>
        <w:pStyle w:val="ListParagraph"/>
        <w:rPr>
          <w:rFonts w:ascii="Arial" w:hAnsi="Arial"/>
          <w:sz w:val="22"/>
          <w:szCs w:val="22"/>
        </w:rPr>
      </w:pPr>
    </w:p>
    <w:p w:rsidR="00B15124" w:rsidRPr="00431E76" w:rsidRDefault="00B15124" w:rsidP="005E62C9">
      <w:pPr>
        <w:widowControl w:val="0"/>
        <w:ind w:left="720"/>
        <w:jc w:val="both"/>
        <w:rPr>
          <w:rFonts w:ascii="Arial" w:hAnsi="Arial" w:cs="Arial"/>
          <w:snapToGrid w:val="0"/>
          <w:color w:val="00B050"/>
          <w:sz w:val="22"/>
          <w:szCs w:val="20"/>
          <w:lang w:eastAsia="en-US"/>
        </w:rPr>
      </w:pPr>
      <w:bookmarkStart w:id="1" w:name="_Toc387069754"/>
      <w:r w:rsidRPr="00A3600F">
        <w:rPr>
          <w:rFonts w:ascii="Arial" w:hAnsi="Arial" w:cs="Arial"/>
          <w:b/>
          <w:sz w:val="22"/>
          <w:szCs w:val="20"/>
          <w:lang w:eastAsia="en-US"/>
        </w:rPr>
        <w:t>Drug cost/patient:</w:t>
      </w:r>
      <w:bookmarkEnd w:id="1"/>
      <w:r w:rsidRPr="00A3600F">
        <w:rPr>
          <w:rFonts w:ascii="Arial" w:hAnsi="Arial" w:cs="Arial"/>
          <w:snapToGrid w:val="0"/>
          <w:sz w:val="22"/>
          <w:szCs w:val="20"/>
          <w:lang w:eastAsia="en-US"/>
        </w:rPr>
        <w:t xml:space="preserve"> </w:t>
      </w:r>
      <w:r w:rsidRPr="00431E76">
        <w:rPr>
          <w:rFonts w:ascii="Arial" w:hAnsi="Arial" w:cs="Arial"/>
          <w:snapToGrid w:val="0"/>
          <w:sz w:val="22"/>
          <w:szCs w:val="20"/>
          <w:lang w:eastAsia="en-US"/>
        </w:rPr>
        <w:t xml:space="preserve">estimated </w:t>
      </w:r>
      <w:r w:rsidR="00197B45">
        <w:rPr>
          <w:rFonts w:ascii="Arial" w:hAnsi="Arial" w:cs="Arial"/>
          <w:noProof/>
          <w:snapToGrid w:val="0"/>
          <w:color w:val="000000"/>
          <w:sz w:val="22"/>
          <w:szCs w:val="20"/>
          <w:highlight w:val="black"/>
          <w:lang w:eastAsia="en-US"/>
        </w:rPr>
        <w:t>''''''''''''''''''</w:t>
      </w:r>
      <w:r w:rsidRPr="00431E76">
        <w:rPr>
          <w:rFonts w:ascii="Arial" w:hAnsi="Arial" w:cs="Arial"/>
          <w:snapToGrid w:val="0"/>
          <w:sz w:val="22"/>
          <w:szCs w:val="20"/>
          <w:lang w:eastAsia="en-US"/>
        </w:rPr>
        <w:t>, based on net cost to PBS after rebate, offsets and patient co</w:t>
      </w:r>
      <w:r>
        <w:rPr>
          <w:rFonts w:ascii="Arial" w:hAnsi="Arial" w:cs="Arial"/>
          <w:snapToGrid w:val="0"/>
          <w:sz w:val="22"/>
          <w:szCs w:val="20"/>
          <w:lang w:eastAsia="en-US"/>
        </w:rPr>
        <w:t>-</w:t>
      </w:r>
      <w:r w:rsidRPr="00431E76">
        <w:rPr>
          <w:rFonts w:ascii="Arial" w:hAnsi="Arial" w:cs="Arial"/>
          <w:snapToGrid w:val="0"/>
          <w:sz w:val="22"/>
          <w:szCs w:val="20"/>
          <w:lang w:eastAsia="en-US"/>
        </w:rPr>
        <w:t xml:space="preserve">payments, assuming an average of </w:t>
      </w:r>
      <w:r w:rsidR="00197B45">
        <w:rPr>
          <w:rFonts w:ascii="Arial" w:hAnsi="Arial" w:cs="Arial"/>
          <w:noProof/>
          <w:snapToGrid w:val="0"/>
          <w:color w:val="000000"/>
          <w:sz w:val="22"/>
          <w:szCs w:val="20"/>
          <w:highlight w:val="black"/>
          <w:lang w:eastAsia="en-US"/>
        </w:rPr>
        <w:t>'''''''</w:t>
      </w:r>
      <w:r w:rsidRPr="00B04DF2">
        <w:rPr>
          <w:rFonts w:ascii="Arial" w:hAnsi="Arial" w:cs="Arial"/>
          <w:snapToGrid w:val="0"/>
          <w:sz w:val="22"/>
          <w:szCs w:val="20"/>
          <w:lang w:eastAsia="en-US"/>
        </w:rPr>
        <w:t xml:space="preserve"> </w:t>
      </w:r>
      <w:r w:rsidRPr="00E55E43">
        <w:rPr>
          <w:rFonts w:ascii="Arial" w:hAnsi="Arial" w:cs="Arial"/>
          <w:snapToGrid w:val="0"/>
          <w:sz w:val="22"/>
          <w:szCs w:val="20"/>
          <w:lang w:eastAsia="en-US"/>
        </w:rPr>
        <w:t>scripts</w:t>
      </w:r>
      <w:r w:rsidRPr="00431E76">
        <w:rPr>
          <w:rFonts w:ascii="Arial" w:hAnsi="Arial" w:cs="Arial"/>
          <w:snapToGrid w:val="0"/>
          <w:sz w:val="22"/>
          <w:szCs w:val="20"/>
          <w:lang w:eastAsia="en-US"/>
        </w:rPr>
        <w:t xml:space="preserve"> per patient.</w:t>
      </w:r>
      <w:r>
        <w:rPr>
          <w:rFonts w:ascii="Arial" w:hAnsi="Arial" w:cs="Arial"/>
          <w:snapToGrid w:val="0"/>
          <w:sz w:val="22"/>
          <w:szCs w:val="20"/>
          <w:lang w:eastAsia="en-US"/>
        </w:rPr>
        <w:t xml:space="preserve"> </w:t>
      </w:r>
    </w:p>
    <w:p w:rsidR="00A3600F" w:rsidRPr="00882085" w:rsidRDefault="00A3600F" w:rsidP="00882085">
      <w:pPr>
        <w:ind w:left="720" w:hanging="72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6B36E3" w:rsidRDefault="006B36E3" w:rsidP="006B36E3">
      <w:pPr>
        <w:pStyle w:val="ListParagraph"/>
        <w:numPr>
          <w:ilvl w:val="1"/>
          <w:numId w:val="25"/>
        </w:numPr>
        <w:jc w:val="both"/>
        <w:rPr>
          <w:rFonts w:ascii="Arial" w:hAnsi="Arial"/>
          <w:sz w:val="22"/>
          <w:szCs w:val="22"/>
        </w:rPr>
      </w:pPr>
      <w:r w:rsidRPr="006B36E3">
        <w:rPr>
          <w:rFonts w:ascii="Arial" w:hAnsi="Arial"/>
          <w:sz w:val="22"/>
          <w:szCs w:val="22"/>
        </w:rPr>
        <w:t xml:space="preserve">The submission was considered by the Drug Utilisation Sub-Committee (DUSC). The </w:t>
      </w:r>
      <w:r w:rsidR="00795BA3">
        <w:rPr>
          <w:rFonts w:ascii="Arial" w:hAnsi="Arial"/>
          <w:sz w:val="22"/>
          <w:szCs w:val="22"/>
        </w:rPr>
        <w:t>DUSC considered that the estimates presented in the submission to be underestimated. The</w:t>
      </w:r>
      <w:r w:rsidRPr="006B36E3">
        <w:rPr>
          <w:rFonts w:ascii="Arial" w:hAnsi="Arial"/>
          <w:sz w:val="22"/>
          <w:szCs w:val="22"/>
        </w:rPr>
        <w:t xml:space="preserve"> DUSC </w:t>
      </w:r>
      <w:r w:rsidR="00795BA3">
        <w:rPr>
          <w:rFonts w:ascii="Arial" w:hAnsi="Arial"/>
          <w:sz w:val="22"/>
          <w:szCs w:val="22"/>
        </w:rPr>
        <w:t>considered that the main issues were</w:t>
      </w:r>
      <w:r w:rsidRPr="006B36E3">
        <w:rPr>
          <w:rFonts w:ascii="Arial" w:hAnsi="Arial"/>
          <w:sz w:val="22"/>
          <w:szCs w:val="22"/>
        </w:rPr>
        <w:t>:</w:t>
      </w:r>
    </w:p>
    <w:p w:rsidR="004338B1" w:rsidRPr="004338B1" w:rsidRDefault="004338B1" w:rsidP="004338B1">
      <w:pPr>
        <w:pStyle w:val="ListParagraph"/>
        <w:numPr>
          <w:ilvl w:val="0"/>
          <w:numId w:val="46"/>
        </w:numPr>
        <w:jc w:val="both"/>
        <w:rPr>
          <w:rFonts w:ascii="Arial" w:hAnsi="Arial"/>
          <w:sz w:val="22"/>
          <w:szCs w:val="22"/>
        </w:rPr>
      </w:pPr>
      <w:r w:rsidRPr="004338B1">
        <w:rPr>
          <w:rFonts w:ascii="Arial" w:hAnsi="Arial"/>
          <w:sz w:val="22"/>
          <w:szCs w:val="22"/>
        </w:rPr>
        <w:t>Patient numbers are likely to be underestimated, particularly in years 1 and 2, due to inadequate capture of the prevalent population who may be treated.</w:t>
      </w:r>
      <w:r w:rsidR="00F33C2F">
        <w:rPr>
          <w:rFonts w:ascii="Arial" w:hAnsi="Arial"/>
          <w:sz w:val="22"/>
          <w:szCs w:val="22"/>
        </w:rPr>
        <w:t xml:space="preserve"> The PBAC agreed that, should </w:t>
      </w:r>
      <w:proofErr w:type="spellStart"/>
      <w:r w:rsidR="00F33C2F">
        <w:rPr>
          <w:rFonts w:ascii="Arial" w:hAnsi="Arial"/>
          <w:sz w:val="22"/>
          <w:szCs w:val="22"/>
        </w:rPr>
        <w:t>obinutuzumab</w:t>
      </w:r>
      <w:proofErr w:type="spellEnd"/>
      <w:r w:rsidR="00F33C2F">
        <w:rPr>
          <w:rFonts w:ascii="Arial" w:hAnsi="Arial"/>
          <w:sz w:val="22"/>
          <w:szCs w:val="22"/>
        </w:rPr>
        <w:t xml:space="preserve"> be PBS-listed, then there may be some watch and wait patients who may be treated earlier than they are currently.</w:t>
      </w:r>
    </w:p>
    <w:p w:rsidR="006B36E3" w:rsidRPr="006B36E3" w:rsidRDefault="006B36E3" w:rsidP="006B36E3">
      <w:pPr>
        <w:pStyle w:val="ListParagraph"/>
        <w:numPr>
          <w:ilvl w:val="0"/>
          <w:numId w:val="46"/>
        </w:numPr>
        <w:jc w:val="both"/>
        <w:rPr>
          <w:rFonts w:ascii="Arial" w:hAnsi="Arial"/>
          <w:sz w:val="22"/>
          <w:szCs w:val="22"/>
        </w:rPr>
      </w:pPr>
      <w:r w:rsidRPr="006B36E3">
        <w:rPr>
          <w:rFonts w:ascii="Arial" w:hAnsi="Arial"/>
          <w:sz w:val="22"/>
          <w:szCs w:val="22"/>
        </w:rPr>
        <w:t xml:space="preserve">The interpretation of comorbidities in clinical practice may be broader than in the clinical trial and as proposed in the restriction (CIRS score &gt;6 could be interpreted as including CLL rather than in addition to CLL). This may result in a higher than expected number of patients treated. </w:t>
      </w:r>
    </w:p>
    <w:p w:rsidR="00F33C2F" w:rsidRDefault="004338B1" w:rsidP="004338B1">
      <w:pPr>
        <w:pStyle w:val="ListParagraph"/>
        <w:numPr>
          <w:ilvl w:val="0"/>
          <w:numId w:val="46"/>
        </w:numPr>
        <w:rPr>
          <w:rFonts w:ascii="Arial" w:hAnsi="Arial"/>
          <w:sz w:val="22"/>
          <w:szCs w:val="22"/>
        </w:rPr>
      </w:pPr>
      <w:r w:rsidRPr="004338B1">
        <w:rPr>
          <w:rFonts w:ascii="Arial" w:hAnsi="Arial"/>
          <w:sz w:val="22"/>
          <w:szCs w:val="22"/>
        </w:rPr>
        <w:t xml:space="preserve">The submission does not assume any uptake for those patients with CLL who are </w:t>
      </w:r>
      <w:r w:rsidR="00A617CC" w:rsidRPr="004338B1">
        <w:rPr>
          <w:rFonts w:ascii="Arial" w:hAnsi="Arial"/>
          <w:sz w:val="22"/>
          <w:szCs w:val="22"/>
        </w:rPr>
        <w:t xml:space="preserve">treated with low dose </w:t>
      </w:r>
      <w:proofErr w:type="spellStart"/>
      <w:r w:rsidR="00A617CC" w:rsidRPr="004338B1">
        <w:rPr>
          <w:rFonts w:ascii="Arial" w:hAnsi="Arial"/>
          <w:sz w:val="22"/>
          <w:szCs w:val="22"/>
        </w:rPr>
        <w:t>fludarabine</w:t>
      </w:r>
      <w:proofErr w:type="spellEnd"/>
      <w:r w:rsidR="00A617CC" w:rsidRPr="004338B1">
        <w:rPr>
          <w:rFonts w:ascii="Arial" w:hAnsi="Arial"/>
          <w:sz w:val="22"/>
          <w:szCs w:val="22"/>
        </w:rPr>
        <w:t xml:space="preserve"> with cyclophosphamide and rituximab (FCR-</w:t>
      </w:r>
      <w:proofErr w:type="spellStart"/>
      <w:r w:rsidR="00A617CC" w:rsidRPr="004338B1">
        <w:rPr>
          <w:rFonts w:ascii="Arial" w:hAnsi="Arial"/>
          <w:sz w:val="22"/>
          <w:szCs w:val="22"/>
        </w:rPr>
        <w:t>lite</w:t>
      </w:r>
      <w:proofErr w:type="spellEnd"/>
      <w:r w:rsidR="00A617CC" w:rsidRPr="004338B1">
        <w:rPr>
          <w:rFonts w:ascii="Arial" w:hAnsi="Arial"/>
          <w:sz w:val="22"/>
          <w:szCs w:val="22"/>
        </w:rPr>
        <w:t>)</w:t>
      </w:r>
      <w:r w:rsidR="00F33C2F">
        <w:rPr>
          <w:rFonts w:ascii="Arial" w:hAnsi="Arial"/>
          <w:sz w:val="22"/>
          <w:szCs w:val="22"/>
        </w:rPr>
        <w:t>.</w:t>
      </w:r>
    </w:p>
    <w:p w:rsidR="004338B1" w:rsidRPr="004338B1" w:rsidRDefault="00F33C2F" w:rsidP="004338B1">
      <w:pPr>
        <w:pStyle w:val="ListParagraph"/>
        <w:numPr>
          <w:ilvl w:val="0"/>
          <w:numId w:val="46"/>
        </w:numPr>
        <w:rPr>
          <w:rFonts w:ascii="Arial" w:hAnsi="Arial"/>
          <w:sz w:val="22"/>
          <w:szCs w:val="22"/>
        </w:rPr>
      </w:pPr>
      <w:r>
        <w:rPr>
          <w:rFonts w:ascii="Arial" w:hAnsi="Arial"/>
          <w:sz w:val="22"/>
          <w:szCs w:val="22"/>
        </w:rPr>
        <w:t xml:space="preserve">Further, the submission does not </w:t>
      </w:r>
      <w:r w:rsidRPr="004338B1">
        <w:rPr>
          <w:rFonts w:ascii="Arial" w:hAnsi="Arial"/>
          <w:sz w:val="22"/>
          <w:szCs w:val="22"/>
        </w:rPr>
        <w:t>assume any uptake for those</w:t>
      </w:r>
      <w:r>
        <w:rPr>
          <w:rFonts w:ascii="Arial" w:hAnsi="Arial"/>
          <w:sz w:val="22"/>
          <w:szCs w:val="22"/>
        </w:rPr>
        <w:t xml:space="preserve"> </w:t>
      </w:r>
      <w:r w:rsidR="00A617CC">
        <w:rPr>
          <w:rFonts w:ascii="Arial" w:hAnsi="Arial"/>
          <w:sz w:val="22"/>
          <w:szCs w:val="22"/>
        </w:rPr>
        <w:t xml:space="preserve">patients with CLL who are </w:t>
      </w:r>
      <w:r w:rsidR="004338B1" w:rsidRPr="004338B1">
        <w:rPr>
          <w:rFonts w:ascii="Arial" w:hAnsi="Arial"/>
          <w:sz w:val="22"/>
          <w:szCs w:val="22"/>
        </w:rPr>
        <w:t>currently not treated</w:t>
      </w:r>
      <w:r w:rsidR="00A617CC">
        <w:rPr>
          <w:rFonts w:ascii="Arial" w:hAnsi="Arial"/>
          <w:sz w:val="22"/>
          <w:szCs w:val="22"/>
        </w:rPr>
        <w:t>.</w:t>
      </w:r>
      <w:r w:rsidR="004338B1" w:rsidRPr="004338B1">
        <w:rPr>
          <w:rFonts w:ascii="Arial" w:hAnsi="Arial"/>
          <w:sz w:val="22"/>
          <w:szCs w:val="22"/>
        </w:rPr>
        <w:t xml:space="preserve"> This may underestimate the uptake. </w:t>
      </w:r>
      <w:r w:rsidR="0092717F">
        <w:rPr>
          <w:rFonts w:ascii="Arial" w:hAnsi="Arial"/>
          <w:sz w:val="22"/>
          <w:szCs w:val="22"/>
        </w:rPr>
        <w:t>The Pre-PBAC response from the sponsor argued that treatment was inappropriate in the very elderly and ve</w:t>
      </w:r>
      <w:r w:rsidR="00FF01E7">
        <w:rPr>
          <w:rFonts w:ascii="Arial" w:hAnsi="Arial"/>
          <w:sz w:val="22"/>
          <w:szCs w:val="22"/>
        </w:rPr>
        <w:t>ry frail, and so this was not a major</w:t>
      </w:r>
      <w:r w:rsidR="0092717F">
        <w:rPr>
          <w:rFonts w:ascii="Arial" w:hAnsi="Arial"/>
          <w:sz w:val="22"/>
          <w:szCs w:val="22"/>
        </w:rPr>
        <w:t xml:space="preserve"> issue. </w:t>
      </w:r>
    </w:p>
    <w:p w:rsidR="00903130" w:rsidRDefault="006B36E3" w:rsidP="006B36E3">
      <w:pPr>
        <w:pStyle w:val="ListParagraph"/>
        <w:numPr>
          <w:ilvl w:val="0"/>
          <w:numId w:val="46"/>
        </w:numPr>
        <w:jc w:val="both"/>
        <w:rPr>
          <w:rFonts w:ascii="Arial" w:hAnsi="Arial"/>
          <w:sz w:val="22"/>
          <w:szCs w:val="22"/>
        </w:rPr>
      </w:pPr>
      <w:r w:rsidRPr="006B36E3">
        <w:rPr>
          <w:rFonts w:ascii="Arial" w:hAnsi="Arial"/>
          <w:sz w:val="22"/>
          <w:szCs w:val="22"/>
        </w:rPr>
        <w:t xml:space="preserve">The cost offsets may be overestimated because of assumed reductions in the use of rituximab (without </w:t>
      </w:r>
      <w:proofErr w:type="spellStart"/>
      <w:r w:rsidRPr="006B36E3">
        <w:rPr>
          <w:rFonts w:ascii="Arial" w:hAnsi="Arial"/>
          <w:sz w:val="22"/>
          <w:szCs w:val="22"/>
        </w:rPr>
        <w:t>fludarabine</w:t>
      </w:r>
      <w:proofErr w:type="spellEnd"/>
      <w:r w:rsidRPr="006B36E3">
        <w:rPr>
          <w:rFonts w:ascii="Arial" w:hAnsi="Arial"/>
          <w:sz w:val="22"/>
          <w:szCs w:val="22"/>
        </w:rPr>
        <w:t xml:space="preserve"> plus cyclophosphamide)</w:t>
      </w:r>
      <w:r w:rsidR="00FF01E7">
        <w:rPr>
          <w:rFonts w:ascii="Arial" w:hAnsi="Arial"/>
          <w:sz w:val="22"/>
          <w:szCs w:val="22"/>
        </w:rPr>
        <w:t xml:space="preserve"> </w:t>
      </w:r>
      <w:r w:rsidR="00F33C2F">
        <w:rPr>
          <w:rFonts w:ascii="Arial" w:hAnsi="Arial"/>
          <w:sz w:val="22"/>
          <w:szCs w:val="22"/>
        </w:rPr>
        <w:t xml:space="preserve">that </w:t>
      </w:r>
      <w:r w:rsidRPr="006B36E3">
        <w:rPr>
          <w:rFonts w:ascii="Arial" w:hAnsi="Arial"/>
          <w:sz w:val="22"/>
          <w:szCs w:val="22"/>
        </w:rPr>
        <w:t>lie outside the PBS listing for rituximab</w:t>
      </w:r>
      <w:r w:rsidRPr="005C6E6A">
        <w:rPr>
          <w:rFonts w:ascii="Arial" w:hAnsi="Arial"/>
          <w:sz w:val="22"/>
          <w:szCs w:val="22"/>
        </w:rPr>
        <w:t xml:space="preserve">. </w:t>
      </w:r>
      <w:r w:rsidR="0039243F" w:rsidRPr="005C6E6A">
        <w:rPr>
          <w:rFonts w:ascii="Arial" w:hAnsi="Arial"/>
          <w:sz w:val="22"/>
          <w:szCs w:val="22"/>
        </w:rPr>
        <w:t xml:space="preserve">The </w:t>
      </w:r>
      <w:r w:rsidR="00903130" w:rsidRPr="005C6E6A">
        <w:rPr>
          <w:rFonts w:ascii="Arial" w:hAnsi="Arial"/>
          <w:sz w:val="22"/>
          <w:szCs w:val="22"/>
        </w:rPr>
        <w:t>pre-PBAC response provided revised financial estimates which removed these cost</w:t>
      </w:r>
      <w:r w:rsidR="00903130" w:rsidRPr="005C6E6A">
        <w:rPr>
          <w:rFonts w:ascii="Arial" w:hAnsi="Arial"/>
          <w:sz w:val="22"/>
          <w:szCs w:val="22"/>
        </w:rPr>
        <w:noBreakHyphen/>
      </w:r>
      <w:r w:rsidR="0039243F" w:rsidRPr="005C6E6A">
        <w:rPr>
          <w:rFonts w:ascii="Arial" w:hAnsi="Arial"/>
          <w:sz w:val="22"/>
          <w:szCs w:val="22"/>
        </w:rPr>
        <w:t>offsets.</w:t>
      </w:r>
      <w:r w:rsidR="0039243F">
        <w:rPr>
          <w:rFonts w:ascii="Arial" w:hAnsi="Arial"/>
          <w:sz w:val="22"/>
          <w:szCs w:val="22"/>
        </w:rPr>
        <w:t xml:space="preserve">  </w:t>
      </w:r>
    </w:p>
    <w:p w:rsidR="006B36E3" w:rsidRPr="006B36E3" w:rsidRDefault="006B36E3" w:rsidP="006B36E3">
      <w:pPr>
        <w:pStyle w:val="ListParagraph"/>
        <w:numPr>
          <w:ilvl w:val="0"/>
          <w:numId w:val="46"/>
        </w:numPr>
        <w:jc w:val="both"/>
        <w:rPr>
          <w:rFonts w:ascii="Arial" w:hAnsi="Arial"/>
          <w:sz w:val="22"/>
          <w:szCs w:val="22"/>
        </w:rPr>
      </w:pPr>
      <w:r w:rsidRPr="006B36E3">
        <w:rPr>
          <w:rFonts w:ascii="Arial" w:hAnsi="Arial"/>
          <w:sz w:val="22"/>
          <w:szCs w:val="22"/>
        </w:rPr>
        <w:t xml:space="preserve">Cost offsets would also not be realised if the listing resulted in a change in the algorithm leading to sequential therapy with rituximab. </w:t>
      </w:r>
    </w:p>
    <w:p w:rsidR="006B36E3" w:rsidRPr="006B36E3" w:rsidRDefault="006B36E3" w:rsidP="006B36E3">
      <w:pPr>
        <w:pStyle w:val="ListParagraph"/>
        <w:numPr>
          <w:ilvl w:val="0"/>
          <w:numId w:val="46"/>
        </w:numPr>
        <w:jc w:val="both"/>
        <w:rPr>
          <w:rFonts w:ascii="Arial" w:hAnsi="Arial"/>
          <w:sz w:val="22"/>
          <w:szCs w:val="22"/>
        </w:rPr>
      </w:pPr>
      <w:r w:rsidRPr="006B36E3">
        <w:rPr>
          <w:rFonts w:ascii="Arial" w:hAnsi="Arial"/>
          <w:sz w:val="22"/>
          <w:szCs w:val="22"/>
        </w:rPr>
        <w:lastRenderedPageBreak/>
        <w:t xml:space="preserve">DUSC considered that there is potential for retreatment with </w:t>
      </w:r>
      <w:proofErr w:type="spellStart"/>
      <w:r w:rsidRPr="006B36E3">
        <w:rPr>
          <w:rFonts w:ascii="Arial" w:hAnsi="Arial"/>
          <w:sz w:val="22"/>
          <w:szCs w:val="22"/>
        </w:rPr>
        <w:t>obinutuzumab</w:t>
      </w:r>
      <w:proofErr w:type="spellEnd"/>
      <w:r w:rsidRPr="006B36E3">
        <w:rPr>
          <w:rFonts w:ascii="Arial" w:hAnsi="Arial"/>
          <w:sz w:val="22"/>
          <w:szCs w:val="22"/>
        </w:rPr>
        <w:t xml:space="preserve"> and potential for </w:t>
      </w:r>
      <w:proofErr w:type="spellStart"/>
      <w:r w:rsidRPr="006B36E3">
        <w:rPr>
          <w:rFonts w:ascii="Arial" w:hAnsi="Arial"/>
          <w:sz w:val="22"/>
          <w:szCs w:val="22"/>
        </w:rPr>
        <w:t>obinutuzumab</w:t>
      </w:r>
      <w:proofErr w:type="spellEnd"/>
      <w:r w:rsidRPr="006B36E3">
        <w:rPr>
          <w:rFonts w:ascii="Arial" w:hAnsi="Arial"/>
          <w:sz w:val="22"/>
          <w:szCs w:val="22"/>
        </w:rPr>
        <w:t xml:space="preserve"> to be used after relapse or progression on other treatments.  </w:t>
      </w:r>
    </w:p>
    <w:p w:rsidR="006B36E3" w:rsidRPr="006B36E3" w:rsidRDefault="006B36E3" w:rsidP="006B36E3">
      <w:pPr>
        <w:pStyle w:val="ListParagraph"/>
        <w:numPr>
          <w:ilvl w:val="0"/>
          <w:numId w:val="46"/>
        </w:numPr>
        <w:jc w:val="both"/>
        <w:rPr>
          <w:rFonts w:ascii="Arial" w:hAnsi="Arial"/>
          <w:sz w:val="22"/>
          <w:szCs w:val="22"/>
        </w:rPr>
      </w:pPr>
      <w:r w:rsidRPr="006B36E3">
        <w:rPr>
          <w:rFonts w:ascii="Arial" w:hAnsi="Arial"/>
          <w:sz w:val="22"/>
          <w:szCs w:val="22"/>
        </w:rPr>
        <w:t xml:space="preserve">Financial estimates rely almost entirely on clinician opinion and market research. </w:t>
      </w:r>
    </w:p>
    <w:p w:rsidR="006B36E3" w:rsidRPr="006B36E3" w:rsidRDefault="006B36E3" w:rsidP="006B36E3">
      <w:pPr>
        <w:pStyle w:val="ListParagraph"/>
        <w:numPr>
          <w:ilvl w:val="0"/>
          <w:numId w:val="46"/>
        </w:numPr>
        <w:jc w:val="both"/>
        <w:rPr>
          <w:rFonts w:ascii="Arial" w:hAnsi="Arial"/>
          <w:sz w:val="22"/>
          <w:szCs w:val="22"/>
        </w:rPr>
      </w:pPr>
      <w:r w:rsidRPr="006B36E3">
        <w:rPr>
          <w:rFonts w:ascii="Arial" w:hAnsi="Arial"/>
          <w:sz w:val="22"/>
          <w:szCs w:val="22"/>
        </w:rPr>
        <w:t xml:space="preserve">Potential for use of </w:t>
      </w:r>
      <w:proofErr w:type="spellStart"/>
      <w:r w:rsidRPr="006B36E3">
        <w:rPr>
          <w:rFonts w:ascii="Arial" w:hAnsi="Arial"/>
          <w:sz w:val="22"/>
          <w:szCs w:val="22"/>
        </w:rPr>
        <w:t>obinutuzumab</w:t>
      </w:r>
      <w:proofErr w:type="spellEnd"/>
      <w:r w:rsidRPr="006B36E3">
        <w:rPr>
          <w:rFonts w:ascii="Arial" w:hAnsi="Arial"/>
          <w:sz w:val="22"/>
          <w:szCs w:val="22"/>
        </w:rPr>
        <w:t xml:space="preserve"> outside of the requested PBS restriction in healthier patients (total CIRS score of six or less) or patients with disease other than CLL (e.g. non-Hodgkin’s lymphoma). </w:t>
      </w:r>
    </w:p>
    <w:p w:rsidR="006B36E3" w:rsidRDefault="006B36E3" w:rsidP="006B36E3">
      <w:pPr>
        <w:pStyle w:val="ListParagraph"/>
        <w:jc w:val="both"/>
        <w:rPr>
          <w:rFonts w:ascii="Arial" w:hAnsi="Arial"/>
          <w:sz w:val="22"/>
          <w:szCs w:val="22"/>
        </w:rPr>
      </w:pPr>
    </w:p>
    <w:p w:rsidR="00EC36BA" w:rsidRDefault="006B36E3" w:rsidP="006B36E3">
      <w:pPr>
        <w:pStyle w:val="ListParagraph"/>
        <w:numPr>
          <w:ilvl w:val="1"/>
          <w:numId w:val="25"/>
        </w:numPr>
        <w:jc w:val="both"/>
        <w:rPr>
          <w:rFonts w:ascii="Arial" w:hAnsi="Arial"/>
          <w:sz w:val="22"/>
          <w:szCs w:val="22"/>
        </w:rPr>
      </w:pPr>
      <w:r w:rsidRPr="006B36E3">
        <w:rPr>
          <w:rFonts w:ascii="Arial" w:hAnsi="Arial"/>
          <w:sz w:val="22"/>
          <w:szCs w:val="22"/>
        </w:rPr>
        <w:t>The estimated PBS usage and financial implications are presented in the table below.</w:t>
      </w:r>
    </w:p>
    <w:p w:rsidR="00C37832" w:rsidRDefault="00C37832" w:rsidP="00C37832">
      <w:pPr>
        <w:jc w:val="both"/>
        <w:rPr>
          <w:rFonts w:ascii="Arial" w:hAnsi="Arial"/>
          <w:sz w:val="22"/>
          <w:szCs w:val="22"/>
        </w:rPr>
      </w:pPr>
    </w:p>
    <w:p w:rsidR="00C37832" w:rsidRPr="00E55E43" w:rsidRDefault="00C37832" w:rsidP="00074DEF">
      <w:pPr>
        <w:keepNext/>
        <w:keepLines/>
        <w:jc w:val="both"/>
        <w:rPr>
          <w:rFonts w:ascii="Arial" w:hAnsi="Arial" w:cs="Arial"/>
          <w:b/>
          <w:snapToGrid w:val="0"/>
          <w:sz w:val="20"/>
          <w:szCs w:val="20"/>
          <w:lang w:eastAsia="en-US"/>
        </w:rPr>
      </w:pPr>
      <w:r w:rsidRPr="00E55E43">
        <w:rPr>
          <w:rFonts w:ascii="Arial" w:hAnsi="Arial" w:cs="Arial"/>
          <w:b/>
          <w:snapToGrid w:val="0"/>
          <w:sz w:val="20"/>
          <w:szCs w:val="20"/>
          <w:lang w:eastAsia="en-US"/>
        </w:rPr>
        <w:t>Estimated use and financial implications</w:t>
      </w:r>
      <w:r w:rsidR="00903130" w:rsidRPr="00E55E43">
        <w:rPr>
          <w:rFonts w:ascii="Arial" w:hAnsi="Arial" w:cs="Arial"/>
          <w:b/>
          <w:snapToGrid w:val="0"/>
          <w:sz w:val="20"/>
          <w:szCs w:val="20"/>
          <w:lang w:eastAsia="en-US"/>
        </w:rPr>
        <w:t xml:space="preserve"> – per DUSC advice</w:t>
      </w:r>
    </w:p>
    <w:tbl>
      <w:tblPr>
        <w:tblW w:w="4549"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Estimated use and financial implications – per DUSC advice"/>
      </w:tblPr>
      <w:tblGrid>
        <w:gridCol w:w="2120"/>
        <w:gridCol w:w="1263"/>
        <w:gridCol w:w="1239"/>
        <w:gridCol w:w="8"/>
        <w:gridCol w:w="1244"/>
        <w:gridCol w:w="1244"/>
        <w:gridCol w:w="1145"/>
      </w:tblGrid>
      <w:tr w:rsidR="00C37832" w:rsidRPr="004C21E9" w:rsidTr="005E62C9">
        <w:trPr>
          <w:trHeight w:val="238"/>
          <w:tblHeader/>
        </w:trPr>
        <w:tc>
          <w:tcPr>
            <w:tcW w:w="1282" w:type="pct"/>
            <w:shd w:val="clear" w:color="auto" w:fill="auto"/>
            <w:vAlign w:val="center"/>
          </w:tcPr>
          <w:p w:rsidR="00C37832" w:rsidRPr="00E55E43" w:rsidRDefault="00C37832" w:rsidP="00074DEF">
            <w:pPr>
              <w:keepNext/>
              <w:keepLines/>
              <w:tabs>
                <w:tab w:val="left" w:pos="142"/>
              </w:tabs>
              <w:rPr>
                <w:rFonts w:ascii="Arial Narrow" w:hAnsi="Arial Narrow" w:cs="Arial"/>
                <w:b/>
                <w:snapToGrid w:val="0"/>
                <w:sz w:val="20"/>
                <w:szCs w:val="20"/>
                <w:lang w:eastAsia="en-US"/>
              </w:rPr>
            </w:pPr>
          </w:p>
        </w:tc>
        <w:tc>
          <w:tcPr>
            <w:tcW w:w="764" w:type="pct"/>
            <w:shd w:val="clear" w:color="auto" w:fill="auto"/>
            <w:vAlign w:val="center"/>
          </w:tcPr>
          <w:p w:rsidR="00C37832" w:rsidRPr="00E55E43" w:rsidRDefault="00C37832" w:rsidP="00074DEF">
            <w:pPr>
              <w:keepNext/>
              <w:keepLines/>
              <w:jc w:val="center"/>
              <w:rPr>
                <w:rFonts w:ascii="Arial Narrow" w:hAnsi="Arial Narrow" w:cs="Arial"/>
                <w:b/>
                <w:snapToGrid w:val="0"/>
                <w:sz w:val="20"/>
                <w:szCs w:val="20"/>
                <w:lang w:eastAsia="en-US"/>
              </w:rPr>
            </w:pPr>
            <w:r w:rsidRPr="00E55E43">
              <w:rPr>
                <w:rFonts w:ascii="Arial Narrow" w:hAnsi="Arial Narrow" w:cs="Arial"/>
                <w:b/>
                <w:snapToGrid w:val="0"/>
                <w:sz w:val="20"/>
                <w:szCs w:val="20"/>
                <w:lang w:eastAsia="en-US"/>
              </w:rPr>
              <w:t>Year 1</w:t>
            </w:r>
          </w:p>
        </w:tc>
        <w:tc>
          <w:tcPr>
            <w:tcW w:w="750" w:type="pct"/>
            <w:shd w:val="clear" w:color="auto" w:fill="auto"/>
            <w:vAlign w:val="center"/>
          </w:tcPr>
          <w:p w:rsidR="00C37832" w:rsidRPr="00E55E43" w:rsidRDefault="00C37832" w:rsidP="00074DEF">
            <w:pPr>
              <w:keepNext/>
              <w:keepLines/>
              <w:jc w:val="center"/>
              <w:rPr>
                <w:rFonts w:ascii="Arial Narrow" w:hAnsi="Arial Narrow" w:cs="Arial"/>
                <w:b/>
                <w:snapToGrid w:val="0"/>
                <w:sz w:val="20"/>
                <w:szCs w:val="20"/>
                <w:lang w:eastAsia="en-US"/>
              </w:rPr>
            </w:pPr>
            <w:r w:rsidRPr="00E55E43">
              <w:rPr>
                <w:rFonts w:ascii="Arial Narrow" w:hAnsi="Arial Narrow" w:cs="Arial"/>
                <w:b/>
                <w:snapToGrid w:val="0"/>
                <w:sz w:val="20"/>
                <w:szCs w:val="20"/>
                <w:lang w:eastAsia="en-US"/>
              </w:rPr>
              <w:t>Year 2</w:t>
            </w:r>
          </w:p>
        </w:tc>
        <w:tc>
          <w:tcPr>
            <w:tcW w:w="758" w:type="pct"/>
            <w:gridSpan w:val="2"/>
            <w:shd w:val="clear" w:color="auto" w:fill="auto"/>
            <w:vAlign w:val="center"/>
          </w:tcPr>
          <w:p w:rsidR="00C37832" w:rsidRPr="00E55E43" w:rsidRDefault="00C37832" w:rsidP="00074DEF">
            <w:pPr>
              <w:keepNext/>
              <w:keepLines/>
              <w:jc w:val="center"/>
              <w:rPr>
                <w:rFonts w:ascii="Arial Narrow" w:hAnsi="Arial Narrow" w:cs="Arial"/>
                <w:b/>
                <w:snapToGrid w:val="0"/>
                <w:sz w:val="20"/>
                <w:szCs w:val="20"/>
                <w:lang w:eastAsia="en-US"/>
              </w:rPr>
            </w:pPr>
            <w:r w:rsidRPr="00E55E43">
              <w:rPr>
                <w:rFonts w:ascii="Arial Narrow" w:hAnsi="Arial Narrow" w:cs="Arial"/>
                <w:b/>
                <w:snapToGrid w:val="0"/>
                <w:sz w:val="20"/>
                <w:szCs w:val="20"/>
                <w:lang w:eastAsia="en-US"/>
              </w:rPr>
              <w:t>Year 3</w:t>
            </w:r>
          </w:p>
        </w:tc>
        <w:tc>
          <w:tcPr>
            <w:tcW w:w="753" w:type="pct"/>
            <w:shd w:val="clear" w:color="auto" w:fill="auto"/>
            <w:vAlign w:val="center"/>
          </w:tcPr>
          <w:p w:rsidR="00C37832" w:rsidRPr="00E55E43" w:rsidRDefault="00C37832" w:rsidP="00074DEF">
            <w:pPr>
              <w:keepNext/>
              <w:keepLines/>
              <w:jc w:val="center"/>
              <w:rPr>
                <w:rFonts w:ascii="Arial Narrow" w:hAnsi="Arial Narrow" w:cs="Arial"/>
                <w:b/>
                <w:snapToGrid w:val="0"/>
                <w:sz w:val="20"/>
                <w:szCs w:val="20"/>
                <w:lang w:eastAsia="en-US"/>
              </w:rPr>
            </w:pPr>
            <w:r w:rsidRPr="00E55E43">
              <w:rPr>
                <w:rFonts w:ascii="Arial Narrow" w:hAnsi="Arial Narrow" w:cs="Arial"/>
                <w:b/>
                <w:snapToGrid w:val="0"/>
                <w:sz w:val="20"/>
                <w:szCs w:val="20"/>
                <w:lang w:eastAsia="en-US"/>
              </w:rPr>
              <w:t>Year 4</w:t>
            </w:r>
          </w:p>
        </w:tc>
        <w:tc>
          <w:tcPr>
            <w:tcW w:w="694" w:type="pct"/>
            <w:shd w:val="clear" w:color="auto" w:fill="auto"/>
            <w:vAlign w:val="center"/>
          </w:tcPr>
          <w:p w:rsidR="00C37832" w:rsidRPr="00E55E43" w:rsidRDefault="00C37832" w:rsidP="00074DEF">
            <w:pPr>
              <w:keepNext/>
              <w:keepLines/>
              <w:jc w:val="center"/>
              <w:rPr>
                <w:rFonts w:ascii="Arial Narrow" w:hAnsi="Arial Narrow" w:cs="Arial"/>
                <w:b/>
                <w:snapToGrid w:val="0"/>
                <w:sz w:val="20"/>
                <w:szCs w:val="20"/>
                <w:lang w:eastAsia="en-US"/>
              </w:rPr>
            </w:pPr>
            <w:r w:rsidRPr="00E55E43">
              <w:rPr>
                <w:rFonts w:ascii="Arial Narrow" w:hAnsi="Arial Narrow" w:cs="Arial"/>
                <w:b/>
                <w:snapToGrid w:val="0"/>
                <w:sz w:val="20"/>
                <w:szCs w:val="20"/>
                <w:lang w:eastAsia="en-US"/>
              </w:rPr>
              <w:t>Year 5</w:t>
            </w:r>
          </w:p>
        </w:tc>
      </w:tr>
      <w:tr w:rsidR="00C37832" w:rsidRPr="004C21E9" w:rsidTr="005E62C9">
        <w:trPr>
          <w:trHeight w:val="238"/>
        </w:trPr>
        <w:tc>
          <w:tcPr>
            <w:tcW w:w="5000" w:type="pct"/>
            <w:gridSpan w:val="7"/>
            <w:shd w:val="clear" w:color="auto" w:fill="auto"/>
            <w:vAlign w:val="center"/>
          </w:tcPr>
          <w:p w:rsidR="00C37832" w:rsidRPr="00E55E43" w:rsidRDefault="00C37832" w:rsidP="00074DEF">
            <w:pPr>
              <w:keepNext/>
              <w:keepLines/>
              <w:rPr>
                <w:rFonts w:ascii="Arial Narrow" w:hAnsi="Arial Narrow" w:cs="Arial"/>
                <w:b/>
                <w:bCs/>
                <w:snapToGrid w:val="0"/>
                <w:color w:val="000000"/>
                <w:sz w:val="20"/>
                <w:szCs w:val="20"/>
                <w:lang w:eastAsia="en-US"/>
              </w:rPr>
            </w:pPr>
            <w:r w:rsidRPr="00E55E43">
              <w:rPr>
                <w:rFonts w:ascii="Arial Narrow" w:hAnsi="Arial Narrow" w:cs="Arial"/>
                <w:b/>
                <w:bCs/>
                <w:snapToGrid w:val="0"/>
                <w:color w:val="000000"/>
                <w:sz w:val="20"/>
                <w:szCs w:val="20"/>
                <w:lang w:eastAsia="en-US"/>
              </w:rPr>
              <w:t>Estimated extent of use</w:t>
            </w:r>
          </w:p>
        </w:tc>
      </w:tr>
      <w:tr w:rsidR="00C37832" w:rsidRPr="004C21E9" w:rsidTr="005E62C9">
        <w:trPr>
          <w:trHeight w:val="256"/>
        </w:trPr>
        <w:tc>
          <w:tcPr>
            <w:tcW w:w="1282" w:type="pct"/>
            <w:shd w:val="clear" w:color="auto" w:fill="auto"/>
            <w:vAlign w:val="center"/>
          </w:tcPr>
          <w:p w:rsidR="00C37832" w:rsidRPr="00E55E43" w:rsidRDefault="00C37832" w:rsidP="00074DEF">
            <w:pPr>
              <w:keepNext/>
              <w:keepLines/>
              <w:tabs>
                <w:tab w:val="left" w:pos="142"/>
              </w:tabs>
              <w:rPr>
                <w:rFonts w:ascii="Arial Narrow" w:hAnsi="Arial Narrow" w:cs="Arial"/>
                <w:snapToGrid w:val="0"/>
                <w:sz w:val="20"/>
                <w:szCs w:val="20"/>
                <w:lang w:eastAsia="en-US"/>
              </w:rPr>
            </w:pPr>
            <w:r w:rsidRPr="00E55E43">
              <w:rPr>
                <w:rFonts w:ascii="Arial Narrow" w:hAnsi="Arial Narrow" w:cs="Arial"/>
                <w:snapToGrid w:val="0"/>
                <w:sz w:val="20"/>
                <w:szCs w:val="20"/>
                <w:lang w:eastAsia="en-US"/>
              </w:rPr>
              <w:t>Number treated</w:t>
            </w:r>
          </w:p>
        </w:tc>
        <w:tc>
          <w:tcPr>
            <w:tcW w:w="764" w:type="pct"/>
            <w:shd w:val="clear" w:color="auto" w:fill="auto"/>
            <w:vAlign w:val="bottom"/>
          </w:tcPr>
          <w:p w:rsidR="00C37832" w:rsidRPr="00197B45" w:rsidRDefault="00197B45" w:rsidP="00074DEF">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5" w:type="pct"/>
            <w:gridSpan w:val="2"/>
            <w:shd w:val="clear" w:color="auto" w:fill="auto"/>
            <w:vAlign w:val="bottom"/>
          </w:tcPr>
          <w:p w:rsidR="00C37832" w:rsidRPr="00197B45" w:rsidRDefault="00197B45" w:rsidP="00074DEF">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94" w:type="pct"/>
            <w:shd w:val="clear" w:color="auto" w:fill="auto"/>
            <w:vAlign w:val="bottom"/>
          </w:tcPr>
          <w:p w:rsidR="00C37832" w:rsidRPr="00197B45" w:rsidRDefault="00197B45" w:rsidP="00074DEF">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C37832" w:rsidRPr="004C21E9" w:rsidTr="005E62C9">
        <w:trPr>
          <w:trHeight w:val="238"/>
        </w:trPr>
        <w:tc>
          <w:tcPr>
            <w:tcW w:w="1282" w:type="pct"/>
            <w:shd w:val="clear" w:color="auto" w:fill="auto"/>
            <w:vAlign w:val="center"/>
          </w:tcPr>
          <w:p w:rsidR="00C37832" w:rsidRPr="00E55E43" w:rsidRDefault="00C37832" w:rsidP="00074DEF">
            <w:pPr>
              <w:keepNext/>
              <w:keepLines/>
              <w:tabs>
                <w:tab w:val="left" w:pos="142"/>
              </w:tabs>
              <w:rPr>
                <w:rFonts w:ascii="Arial Narrow" w:hAnsi="Arial Narrow" w:cs="Arial"/>
                <w:snapToGrid w:val="0"/>
                <w:sz w:val="20"/>
                <w:szCs w:val="20"/>
                <w:lang w:eastAsia="en-US"/>
              </w:rPr>
            </w:pPr>
            <w:r w:rsidRPr="00E55E43">
              <w:rPr>
                <w:rFonts w:ascii="Arial Narrow" w:hAnsi="Arial Narrow" w:cs="Arial"/>
                <w:snapToGrid w:val="0"/>
                <w:sz w:val="20"/>
                <w:szCs w:val="20"/>
                <w:lang w:eastAsia="en-US"/>
              </w:rPr>
              <w:t xml:space="preserve">Market </w:t>
            </w:r>
            <w:proofErr w:type="spellStart"/>
            <w:r w:rsidRPr="00E55E43">
              <w:rPr>
                <w:rFonts w:ascii="Arial Narrow" w:hAnsi="Arial Narrow" w:cs="Arial"/>
                <w:snapToGrid w:val="0"/>
                <w:sz w:val="20"/>
                <w:szCs w:val="20"/>
                <w:lang w:eastAsia="en-US"/>
              </w:rPr>
              <w:t>share</w:t>
            </w:r>
            <w:r w:rsidRPr="00E55E43">
              <w:rPr>
                <w:rFonts w:ascii="Arial Narrow" w:hAnsi="Arial Narrow" w:cs="Arial"/>
                <w:snapToGrid w:val="0"/>
                <w:sz w:val="20"/>
                <w:szCs w:val="20"/>
                <w:vertAlign w:val="superscript"/>
                <w:lang w:eastAsia="en-US"/>
              </w:rPr>
              <w:t>a</w:t>
            </w:r>
            <w:proofErr w:type="spellEnd"/>
          </w:p>
        </w:tc>
        <w:tc>
          <w:tcPr>
            <w:tcW w:w="764" w:type="pct"/>
            <w:shd w:val="clear" w:color="auto" w:fill="auto"/>
            <w:vAlign w:val="center"/>
          </w:tcPr>
          <w:p w:rsidR="00C37832" w:rsidRPr="00E55E43" w:rsidRDefault="00197B45" w:rsidP="00074DEF">
            <w:pPr>
              <w:keepNext/>
              <w:keepLines/>
              <w:jc w:val="center"/>
              <w:rPr>
                <w:rFonts w:ascii="Arial Narrow" w:hAnsi="Arial Narrow" w:cs="Arial"/>
                <w:bCs/>
                <w:color w:val="000000"/>
                <w:sz w:val="20"/>
                <w:szCs w:val="20"/>
                <w:lang w:eastAsia="en-US"/>
              </w:rPr>
            </w:pPr>
            <w:r>
              <w:rPr>
                <w:rFonts w:ascii="Arial Narrow" w:hAnsi="Arial Narrow" w:cs="Arial"/>
                <w:bCs/>
                <w:noProof/>
                <w:snapToGrid w:val="0"/>
                <w:color w:val="000000"/>
                <w:sz w:val="20"/>
                <w:szCs w:val="20"/>
                <w:highlight w:val="black"/>
                <w:lang w:eastAsia="en-US"/>
              </w:rPr>
              <w:t>'''''</w:t>
            </w:r>
            <w:r w:rsidR="00C37832" w:rsidRPr="00493D26">
              <w:rPr>
                <w:rFonts w:ascii="Arial Narrow" w:hAnsi="Arial Narrow" w:cs="Arial"/>
                <w:bCs/>
                <w:snapToGrid w:val="0"/>
                <w:color w:val="000000"/>
                <w:sz w:val="20"/>
                <w:szCs w:val="20"/>
                <w:lang w:eastAsia="en-US"/>
              </w:rPr>
              <w:t>%</w:t>
            </w:r>
          </w:p>
        </w:tc>
        <w:tc>
          <w:tcPr>
            <w:tcW w:w="755" w:type="pct"/>
            <w:gridSpan w:val="2"/>
            <w:shd w:val="clear" w:color="auto" w:fill="auto"/>
            <w:vAlign w:val="center"/>
          </w:tcPr>
          <w:p w:rsidR="00C37832" w:rsidRPr="00E55E43" w:rsidRDefault="00197B45" w:rsidP="00074DEF">
            <w:pPr>
              <w:keepNext/>
              <w:keepLines/>
              <w:jc w:val="center"/>
              <w:rPr>
                <w:rFonts w:ascii="Arial Narrow" w:hAnsi="Arial Narrow" w:cs="Arial"/>
                <w:sz w:val="20"/>
                <w:szCs w:val="20"/>
                <w:lang w:eastAsia="en-US"/>
              </w:rPr>
            </w:pPr>
            <w:r>
              <w:rPr>
                <w:rFonts w:ascii="Arial Narrow" w:hAnsi="Arial Narrow" w:cs="Arial"/>
                <w:bCs/>
                <w:noProof/>
                <w:snapToGrid w:val="0"/>
                <w:color w:val="000000"/>
                <w:sz w:val="20"/>
                <w:szCs w:val="20"/>
                <w:highlight w:val="black"/>
                <w:lang w:eastAsia="en-US"/>
              </w:rPr>
              <w:t>'''''''</w:t>
            </w:r>
            <w:r w:rsidR="00C37832" w:rsidRPr="00E55E43">
              <w:rPr>
                <w:rFonts w:ascii="Arial Narrow" w:hAnsi="Arial Narrow" w:cs="Arial"/>
                <w:bCs/>
                <w:snapToGrid w:val="0"/>
                <w:color w:val="000000"/>
                <w:sz w:val="20"/>
                <w:szCs w:val="20"/>
                <w:lang w:eastAsia="en-US"/>
              </w:rPr>
              <w:t>%</w:t>
            </w:r>
          </w:p>
        </w:tc>
        <w:tc>
          <w:tcPr>
            <w:tcW w:w="753" w:type="pct"/>
            <w:shd w:val="clear" w:color="auto" w:fill="auto"/>
            <w:vAlign w:val="center"/>
          </w:tcPr>
          <w:p w:rsidR="00C37832" w:rsidRPr="00E55E43" w:rsidRDefault="00197B45" w:rsidP="00074DEF">
            <w:pPr>
              <w:keepNext/>
              <w:keepLines/>
              <w:jc w:val="center"/>
              <w:rPr>
                <w:rFonts w:ascii="Arial Narrow" w:hAnsi="Arial Narrow" w:cs="Arial"/>
                <w:sz w:val="20"/>
                <w:szCs w:val="20"/>
                <w:lang w:eastAsia="en-US"/>
              </w:rPr>
            </w:pPr>
            <w:r>
              <w:rPr>
                <w:rFonts w:ascii="Arial Narrow" w:hAnsi="Arial Narrow" w:cs="Arial"/>
                <w:bCs/>
                <w:noProof/>
                <w:snapToGrid w:val="0"/>
                <w:color w:val="000000"/>
                <w:sz w:val="20"/>
                <w:szCs w:val="20"/>
                <w:highlight w:val="black"/>
                <w:lang w:eastAsia="en-US"/>
              </w:rPr>
              <w:t>'''''</w:t>
            </w:r>
            <w:r w:rsidR="00C37832" w:rsidRPr="00493D26">
              <w:rPr>
                <w:rFonts w:ascii="Arial Narrow" w:hAnsi="Arial Narrow" w:cs="Arial"/>
                <w:bCs/>
                <w:snapToGrid w:val="0"/>
                <w:color w:val="000000"/>
                <w:sz w:val="20"/>
                <w:szCs w:val="20"/>
                <w:lang w:eastAsia="en-US"/>
              </w:rPr>
              <w:t>%</w:t>
            </w:r>
          </w:p>
        </w:tc>
        <w:tc>
          <w:tcPr>
            <w:tcW w:w="753" w:type="pct"/>
            <w:shd w:val="clear" w:color="auto" w:fill="auto"/>
            <w:vAlign w:val="center"/>
          </w:tcPr>
          <w:p w:rsidR="00C37832" w:rsidRPr="00E55E43" w:rsidRDefault="00197B45" w:rsidP="00074DEF">
            <w:pPr>
              <w:keepNext/>
              <w:keepLines/>
              <w:jc w:val="center"/>
              <w:rPr>
                <w:rFonts w:ascii="Arial Narrow" w:hAnsi="Arial Narrow" w:cs="Arial"/>
                <w:sz w:val="20"/>
                <w:szCs w:val="20"/>
                <w:lang w:eastAsia="en-US"/>
              </w:rPr>
            </w:pPr>
            <w:r>
              <w:rPr>
                <w:rFonts w:ascii="Arial Narrow" w:hAnsi="Arial Narrow" w:cs="Arial"/>
                <w:bCs/>
                <w:noProof/>
                <w:snapToGrid w:val="0"/>
                <w:color w:val="000000"/>
                <w:sz w:val="20"/>
                <w:szCs w:val="20"/>
                <w:highlight w:val="black"/>
                <w:lang w:eastAsia="en-US"/>
              </w:rPr>
              <w:t>''''''</w:t>
            </w:r>
            <w:r w:rsidR="00C37832" w:rsidRPr="00493D26">
              <w:rPr>
                <w:rFonts w:ascii="Arial Narrow" w:hAnsi="Arial Narrow" w:cs="Arial"/>
                <w:bCs/>
                <w:snapToGrid w:val="0"/>
                <w:color w:val="000000"/>
                <w:sz w:val="20"/>
                <w:szCs w:val="20"/>
                <w:lang w:eastAsia="en-US"/>
              </w:rPr>
              <w:t>%</w:t>
            </w:r>
          </w:p>
        </w:tc>
        <w:tc>
          <w:tcPr>
            <w:tcW w:w="694" w:type="pct"/>
            <w:shd w:val="clear" w:color="auto" w:fill="auto"/>
            <w:vAlign w:val="center"/>
          </w:tcPr>
          <w:p w:rsidR="00C37832" w:rsidRPr="00E55E43" w:rsidRDefault="00197B45" w:rsidP="00074DEF">
            <w:pPr>
              <w:keepNext/>
              <w:keepLines/>
              <w:jc w:val="center"/>
              <w:rPr>
                <w:rFonts w:ascii="Arial Narrow" w:hAnsi="Arial Narrow" w:cs="Arial"/>
                <w:sz w:val="20"/>
                <w:szCs w:val="20"/>
                <w:lang w:eastAsia="en-US"/>
              </w:rPr>
            </w:pPr>
            <w:r>
              <w:rPr>
                <w:rFonts w:ascii="Arial Narrow" w:hAnsi="Arial Narrow" w:cs="Arial"/>
                <w:bCs/>
                <w:noProof/>
                <w:snapToGrid w:val="0"/>
                <w:color w:val="000000"/>
                <w:sz w:val="20"/>
                <w:szCs w:val="20"/>
                <w:highlight w:val="black"/>
                <w:lang w:eastAsia="en-US"/>
              </w:rPr>
              <w:t>''''''</w:t>
            </w:r>
            <w:r w:rsidR="00C37832" w:rsidRPr="00493D26">
              <w:rPr>
                <w:rFonts w:ascii="Arial Narrow" w:hAnsi="Arial Narrow" w:cs="Arial"/>
                <w:bCs/>
                <w:snapToGrid w:val="0"/>
                <w:color w:val="000000"/>
                <w:sz w:val="20"/>
                <w:szCs w:val="20"/>
                <w:lang w:eastAsia="en-US"/>
              </w:rPr>
              <w:t>%</w:t>
            </w:r>
          </w:p>
        </w:tc>
      </w:tr>
      <w:tr w:rsidR="00C37832" w:rsidRPr="004C21E9" w:rsidTr="005E62C9">
        <w:trPr>
          <w:trHeight w:val="238"/>
        </w:trPr>
        <w:tc>
          <w:tcPr>
            <w:tcW w:w="1282" w:type="pct"/>
            <w:shd w:val="clear" w:color="auto" w:fill="auto"/>
            <w:vAlign w:val="center"/>
          </w:tcPr>
          <w:p w:rsidR="00C37832" w:rsidRPr="00E55E43" w:rsidRDefault="00C37832" w:rsidP="00074DEF">
            <w:pPr>
              <w:keepNext/>
              <w:keepLines/>
              <w:tabs>
                <w:tab w:val="left" w:pos="142"/>
              </w:tabs>
              <w:rPr>
                <w:rFonts w:ascii="Arial Narrow" w:hAnsi="Arial Narrow" w:cs="Arial"/>
                <w:snapToGrid w:val="0"/>
                <w:sz w:val="20"/>
                <w:szCs w:val="20"/>
                <w:lang w:eastAsia="en-US"/>
              </w:rPr>
            </w:pPr>
            <w:proofErr w:type="spellStart"/>
            <w:r w:rsidRPr="00E55E43">
              <w:rPr>
                <w:rFonts w:ascii="Arial Narrow" w:hAnsi="Arial Narrow" w:cs="Arial"/>
                <w:snapToGrid w:val="0"/>
                <w:sz w:val="20"/>
                <w:szCs w:val="20"/>
                <w:lang w:eastAsia="en-US"/>
              </w:rPr>
              <w:t>Scripts</w:t>
            </w:r>
            <w:r w:rsidRPr="00E55E43">
              <w:rPr>
                <w:rFonts w:ascii="Arial Narrow" w:hAnsi="Arial Narrow" w:cs="Arial"/>
                <w:snapToGrid w:val="0"/>
                <w:sz w:val="20"/>
                <w:szCs w:val="20"/>
                <w:vertAlign w:val="superscript"/>
                <w:lang w:eastAsia="en-US"/>
              </w:rPr>
              <w:t>b</w:t>
            </w:r>
            <w:proofErr w:type="spellEnd"/>
          </w:p>
        </w:tc>
        <w:tc>
          <w:tcPr>
            <w:tcW w:w="764" w:type="pct"/>
            <w:shd w:val="clear" w:color="auto" w:fill="auto"/>
            <w:vAlign w:val="bottom"/>
          </w:tcPr>
          <w:p w:rsidR="00C37832" w:rsidRPr="00197B45" w:rsidRDefault="00197B45" w:rsidP="00074DEF">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5" w:type="pct"/>
            <w:gridSpan w:val="2"/>
            <w:shd w:val="clear" w:color="auto" w:fill="auto"/>
            <w:vAlign w:val="bottom"/>
          </w:tcPr>
          <w:p w:rsidR="00C37832" w:rsidRPr="00197B45" w:rsidRDefault="00197B45" w:rsidP="00074DEF">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94" w:type="pct"/>
            <w:shd w:val="clear" w:color="auto" w:fill="auto"/>
            <w:vAlign w:val="bottom"/>
          </w:tcPr>
          <w:p w:rsidR="00C37832" w:rsidRPr="00197B45" w:rsidRDefault="00197B45" w:rsidP="00074DEF">
            <w:pPr>
              <w:keepNext/>
              <w:keepLine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C37832" w:rsidRPr="004C21E9" w:rsidTr="005E62C9">
        <w:trPr>
          <w:trHeight w:val="238"/>
        </w:trPr>
        <w:tc>
          <w:tcPr>
            <w:tcW w:w="5000" w:type="pct"/>
            <w:gridSpan w:val="7"/>
            <w:shd w:val="clear" w:color="auto" w:fill="auto"/>
            <w:vAlign w:val="center"/>
          </w:tcPr>
          <w:p w:rsidR="00C37832" w:rsidRPr="00E55E43" w:rsidRDefault="00C37832" w:rsidP="00074DEF">
            <w:pPr>
              <w:keepNext/>
              <w:keepLines/>
              <w:rPr>
                <w:rFonts w:ascii="Arial Narrow" w:hAnsi="Arial Narrow" w:cs="Arial"/>
                <w:b/>
                <w:bCs/>
                <w:snapToGrid w:val="0"/>
                <w:color w:val="000000"/>
                <w:sz w:val="20"/>
                <w:szCs w:val="20"/>
                <w:lang w:eastAsia="en-US"/>
              </w:rPr>
            </w:pPr>
            <w:r w:rsidRPr="00E55E43">
              <w:rPr>
                <w:rFonts w:ascii="Arial Narrow" w:hAnsi="Arial Narrow" w:cs="Arial"/>
                <w:b/>
                <w:bCs/>
                <w:snapToGrid w:val="0"/>
                <w:color w:val="000000"/>
                <w:sz w:val="20"/>
                <w:szCs w:val="20"/>
                <w:lang w:eastAsia="en-US"/>
              </w:rPr>
              <w:t>Estimated net cost to PBS/RPBS/MBS</w:t>
            </w:r>
          </w:p>
        </w:tc>
      </w:tr>
      <w:tr w:rsidR="00C37832" w:rsidRPr="004C21E9" w:rsidTr="005E62C9">
        <w:trPr>
          <w:trHeight w:val="494"/>
        </w:trPr>
        <w:tc>
          <w:tcPr>
            <w:tcW w:w="1282" w:type="pct"/>
            <w:shd w:val="clear" w:color="auto" w:fill="auto"/>
            <w:vAlign w:val="center"/>
          </w:tcPr>
          <w:p w:rsidR="00C37832" w:rsidRPr="00E55E43" w:rsidRDefault="00C37832" w:rsidP="00074DEF">
            <w:pPr>
              <w:keepNext/>
              <w:keepLines/>
              <w:tabs>
                <w:tab w:val="left" w:pos="142"/>
              </w:tabs>
              <w:rPr>
                <w:rFonts w:ascii="Arial Narrow" w:hAnsi="Arial Narrow" w:cs="Arial"/>
                <w:snapToGrid w:val="0"/>
                <w:sz w:val="20"/>
                <w:szCs w:val="20"/>
                <w:lang w:eastAsia="en-US"/>
              </w:rPr>
            </w:pPr>
            <w:r w:rsidRPr="00E55E43">
              <w:rPr>
                <w:rFonts w:ascii="Arial Narrow" w:hAnsi="Arial Narrow" w:cs="Arial"/>
                <w:snapToGrid w:val="0"/>
                <w:sz w:val="20"/>
                <w:szCs w:val="20"/>
                <w:lang w:eastAsia="en-US"/>
              </w:rPr>
              <w:t xml:space="preserve">Net PBS Cost of </w:t>
            </w:r>
            <w:proofErr w:type="spellStart"/>
            <w:r w:rsidRPr="00E55E43">
              <w:rPr>
                <w:rFonts w:ascii="Arial Narrow" w:hAnsi="Arial Narrow" w:cs="Arial"/>
                <w:snapToGrid w:val="0"/>
                <w:sz w:val="20"/>
                <w:szCs w:val="20"/>
                <w:lang w:eastAsia="en-US"/>
              </w:rPr>
              <w:t>obinutuzumab</w:t>
            </w:r>
            <w:r w:rsidRPr="00E55E43">
              <w:rPr>
                <w:rFonts w:ascii="Arial Narrow" w:hAnsi="Arial Narrow" w:cs="Arial"/>
                <w:snapToGrid w:val="0"/>
                <w:sz w:val="20"/>
                <w:szCs w:val="20"/>
                <w:vertAlign w:val="superscript"/>
                <w:lang w:eastAsia="en-US"/>
              </w:rPr>
              <w:t>c</w:t>
            </w:r>
            <w:proofErr w:type="spellEnd"/>
          </w:p>
        </w:tc>
        <w:tc>
          <w:tcPr>
            <w:tcW w:w="764" w:type="pct"/>
            <w:shd w:val="clear" w:color="auto" w:fill="auto"/>
            <w:vAlign w:val="bottom"/>
          </w:tcPr>
          <w:p w:rsidR="00C37832" w:rsidRPr="00197B45" w:rsidRDefault="00197B45" w:rsidP="00074DEF">
            <w:pPr>
              <w:keepNext/>
              <w:keepLines/>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755" w:type="pct"/>
            <w:gridSpan w:val="2"/>
            <w:shd w:val="clear" w:color="auto" w:fill="auto"/>
            <w:vAlign w:val="bottom"/>
          </w:tcPr>
          <w:p w:rsidR="00C37832" w:rsidRPr="00197B45" w:rsidRDefault="00197B45" w:rsidP="00074DEF">
            <w:pPr>
              <w:keepNext/>
              <w:keepLines/>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694" w:type="pct"/>
            <w:shd w:val="clear" w:color="auto" w:fill="auto"/>
            <w:vAlign w:val="bottom"/>
          </w:tcPr>
          <w:p w:rsidR="00C37832" w:rsidRPr="00197B45" w:rsidRDefault="00197B45" w:rsidP="00074DEF">
            <w:pPr>
              <w:keepNext/>
              <w:keepLines/>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r>
      <w:tr w:rsidR="00C37832" w:rsidRPr="004C21E9" w:rsidTr="005E62C9">
        <w:trPr>
          <w:trHeight w:val="494"/>
        </w:trPr>
        <w:tc>
          <w:tcPr>
            <w:tcW w:w="1282" w:type="pct"/>
            <w:shd w:val="clear" w:color="auto" w:fill="auto"/>
            <w:vAlign w:val="center"/>
          </w:tcPr>
          <w:p w:rsidR="00C37832" w:rsidRPr="00E55E43" w:rsidRDefault="00C37832" w:rsidP="00074DEF">
            <w:pPr>
              <w:keepNext/>
              <w:keepLines/>
              <w:tabs>
                <w:tab w:val="left" w:pos="142"/>
              </w:tabs>
              <w:rPr>
                <w:rFonts w:ascii="Arial Narrow" w:hAnsi="Arial Narrow" w:cs="Arial"/>
                <w:snapToGrid w:val="0"/>
                <w:sz w:val="20"/>
                <w:szCs w:val="20"/>
                <w:lang w:eastAsia="en-US"/>
              </w:rPr>
            </w:pPr>
            <w:r w:rsidRPr="00E55E43">
              <w:rPr>
                <w:rFonts w:ascii="Arial Narrow" w:hAnsi="Arial Narrow" w:cs="Arial"/>
                <w:snapToGrid w:val="0"/>
                <w:sz w:val="20"/>
                <w:szCs w:val="20"/>
                <w:lang w:eastAsia="en-US"/>
              </w:rPr>
              <w:t xml:space="preserve">Net PBS cost of listing new drug less </w:t>
            </w:r>
            <w:r w:rsidR="00197B45">
              <w:rPr>
                <w:rFonts w:ascii="Arial Narrow" w:hAnsi="Arial Narrow" w:cs="Arial"/>
                <w:noProof/>
                <w:snapToGrid w:val="0"/>
                <w:color w:val="000000"/>
                <w:sz w:val="20"/>
                <w:szCs w:val="20"/>
                <w:highlight w:val="black"/>
                <w:lang w:eastAsia="en-US"/>
              </w:rPr>
              <w:t>'''''''''''</w:t>
            </w:r>
            <w:r w:rsidRPr="00E55E43">
              <w:rPr>
                <w:rFonts w:ascii="Arial Narrow" w:hAnsi="Arial Narrow" w:cs="Arial"/>
                <w:snapToGrid w:val="0"/>
                <w:sz w:val="20"/>
                <w:szCs w:val="20"/>
                <w:lang w:eastAsia="en-US"/>
              </w:rPr>
              <w:t>% rebate</w:t>
            </w:r>
          </w:p>
        </w:tc>
        <w:tc>
          <w:tcPr>
            <w:tcW w:w="764" w:type="pct"/>
            <w:shd w:val="clear" w:color="auto" w:fill="auto"/>
            <w:vAlign w:val="bottom"/>
          </w:tcPr>
          <w:p w:rsidR="00C37832" w:rsidRPr="00197B45" w:rsidRDefault="00197B45" w:rsidP="00074DEF">
            <w:pPr>
              <w:keepNext/>
              <w:keepLines/>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755" w:type="pct"/>
            <w:gridSpan w:val="2"/>
            <w:shd w:val="clear" w:color="auto" w:fill="auto"/>
            <w:vAlign w:val="bottom"/>
          </w:tcPr>
          <w:p w:rsidR="00C37832" w:rsidRPr="00197B45" w:rsidRDefault="00197B45" w:rsidP="00074DEF">
            <w:pPr>
              <w:keepNext/>
              <w:keepLines/>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c>
          <w:tcPr>
            <w:tcW w:w="694" w:type="pct"/>
            <w:shd w:val="clear" w:color="auto" w:fill="auto"/>
            <w:vAlign w:val="bottom"/>
          </w:tcPr>
          <w:p w:rsidR="00C37832" w:rsidRPr="00197B45" w:rsidRDefault="00197B45" w:rsidP="00074DEF">
            <w:pPr>
              <w:keepNext/>
              <w:keepLines/>
              <w:jc w:val="right"/>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r>
      <w:tr w:rsidR="00C37832" w:rsidRPr="004C21E9" w:rsidTr="005E62C9">
        <w:trPr>
          <w:trHeight w:val="494"/>
        </w:trPr>
        <w:tc>
          <w:tcPr>
            <w:tcW w:w="1282" w:type="pct"/>
            <w:shd w:val="clear" w:color="auto" w:fill="auto"/>
            <w:vAlign w:val="center"/>
          </w:tcPr>
          <w:p w:rsidR="00C37832" w:rsidRPr="00E55E43" w:rsidRDefault="00C37832" w:rsidP="00074DEF">
            <w:pPr>
              <w:keepNext/>
              <w:keepLines/>
              <w:tabs>
                <w:tab w:val="left" w:pos="142"/>
              </w:tabs>
              <w:rPr>
                <w:rFonts w:ascii="Arial Narrow" w:hAnsi="Arial Narrow" w:cs="Arial"/>
                <w:snapToGrid w:val="0"/>
                <w:sz w:val="20"/>
                <w:szCs w:val="20"/>
                <w:lang w:eastAsia="en-US"/>
              </w:rPr>
            </w:pPr>
            <w:r w:rsidRPr="00E55E43">
              <w:rPr>
                <w:rFonts w:ascii="Arial Narrow" w:hAnsi="Arial Narrow" w:cs="Arial"/>
                <w:snapToGrid w:val="0"/>
                <w:sz w:val="20"/>
                <w:szCs w:val="20"/>
                <w:lang w:eastAsia="en-US"/>
              </w:rPr>
              <w:t xml:space="preserve">Net cost to PBS including </w:t>
            </w:r>
            <w:proofErr w:type="spellStart"/>
            <w:r w:rsidRPr="00E55E43">
              <w:rPr>
                <w:rFonts w:ascii="Arial Narrow" w:hAnsi="Arial Narrow" w:cs="Arial"/>
                <w:snapToGrid w:val="0"/>
                <w:sz w:val="20"/>
                <w:szCs w:val="20"/>
                <w:lang w:eastAsia="en-US"/>
              </w:rPr>
              <w:t>substitution</w:t>
            </w:r>
            <w:r w:rsidRPr="00E55E43">
              <w:rPr>
                <w:rFonts w:ascii="Arial Narrow" w:hAnsi="Arial Narrow" w:cs="Arial"/>
                <w:snapToGrid w:val="0"/>
                <w:sz w:val="20"/>
                <w:szCs w:val="20"/>
                <w:vertAlign w:val="superscript"/>
                <w:lang w:eastAsia="en-US"/>
              </w:rPr>
              <w:t>d</w:t>
            </w:r>
            <w:proofErr w:type="spellEnd"/>
          </w:p>
        </w:tc>
        <w:tc>
          <w:tcPr>
            <w:tcW w:w="764" w:type="pct"/>
            <w:shd w:val="clear" w:color="auto" w:fill="auto"/>
            <w:vAlign w:val="bottom"/>
          </w:tcPr>
          <w:p w:rsidR="00C37832" w:rsidRPr="00197B45" w:rsidRDefault="00197B45" w:rsidP="00074DEF">
            <w:pPr>
              <w:keepNext/>
              <w:keepLines/>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5" w:type="pct"/>
            <w:gridSpan w:val="2"/>
            <w:shd w:val="clear" w:color="auto" w:fill="auto"/>
            <w:vAlign w:val="bottom"/>
          </w:tcPr>
          <w:p w:rsidR="00C37832" w:rsidRPr="00197B45" w:rsidRDefault="00197B45" w:rsidP="00074DEF">
            <w:pPr>
              <w:keepNext/>
              <w:keepLines/>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94" w:type="pct"/>
            <w:shd w:val="clear" w:color="auto" w:fill="auto"/>
            <w:vAlign w:val="bottom"/>
          </w:tcPr>
          <w:p w:rsidR="00C37832" w:rsidRPr="00197B45" w:rsidRDefault="00197B45" w:rsidP="00074DEF">
            <w:pPr>
              <w:keepNext/>
              <w:keepLines/>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C37832" w:rsidRPr="004C21E9" w:rsidTr="005E62C9">
        <w:trPr>
          <w:trHeight w:val="256"/>
        </w:trPr>
        <w:tc>
          <w:tcPr>
            <w:tcW w:w="1282" w:type="pct"/>
            <w:shd w:val="clear" w:color="auto" w:fill="auto"/>
            <w:vAlign w:val="center"/>
          </w:tcPr>
          <w:p w:rsidR="00C37832" w:rsidRPr="00E55E43" w:rsidRDefault="00C37832" w:rsidP="00074DEF">
            <w:pPr>
              <w:keepNext/>
              <w:keepLines/>
              <w:tabs>
                <w:tab w:val="left" w:pos="142"/>
              </w:tabs>
              <w:rPr>
                <w:rFonts w:ascii="Arial Narrow" w:hAnsi="Arial Narrow" w:cs="Arial"/>
                <w:snapToGrid w:val="0"/>
                <w:sz w:val="20"/>
                <w:szCs w:val="20"/>
                <w:lang w:eastAsia="en-US"/>
              </w:rPr>
            </w:pPr>
            <w:r w:rsidRPr="00E55E43">
              <w:rPr>
                <w:rFonts w:ascii="Arial Narrow" w:hAnsi="Arial Narrow" w:cs="Arial"/>
                <w:snapToGrid w:val="0"/>
                <w:sz w:val="20"/>
                <w:szCs w:val="20"/>
                <w:lang w:eastAsia="en-US"/>
              </w:rPr>
              <w:t>Net cost to MBS</w:t>
            </w:r>
          </w:p>
        </w:tc>
        <w:tc>
          <w:tcPr>
            <w:tcW w:w="764" w:type="pct"/>
            <w:shd w:val="clear" w:color="auto" w:fill="auto"/>
            <w:vAlign w:val="bottom"/>
          </w:tcPr>
          <w:p w:rsidR="00C37832" w:rsidRPr="00197B45" w:rsidRDefault="00197B45" w:rsidP="00074DEF">
            <w:pPr>
              <w:keepNext/>
              <w:keepLines/>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5" w:type="pct"/>
            <w:gridSpan w:val="2"/>
            <w:shd w:val="clear" w:color="auto" w:fill="auto"/>
            <w:vAlign w:val="bottom"/>
          </w:tcPr>
          <w:p w:rsidR="00C37832" w:rsidRPr="00197B45" w:rsidRDefault="00197B45" w:rsidP="00074DEF">
            <w:pPr>
              <w:keepNext/>
              <w:keepLines/>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94" w:type="pct"/>
            <w:shd w:val="clear" w:color="auto" w:fill="auto"/>
            <w:vAlign w:val="bottom"/>
          </w:tcPr>
          <w:p w:rsidR="00C37832" w:rsidRPr="00197B45" w:rsidRDefault="00197B45" w:rsidP="00074DEF">
            <w:pPr>
              <w:keepNext/>
              <w:keepLines/>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C37832" w:rsidRPr="004C21E9" w:rsidTr="005E62C9">
        <w:trPr>
          <w:trHeight w:val="494"/>
        </w:trPr>
        <w:tc>
          <w:tcPr>
            <w:tcW w:w="1282" w:type="pct"/>
            <w:shd w:val="clear" w:color="auto" w:fill="auto"/>
            <w:vAlign w:val="center"/>
          </w:tcPr>
          <w:p w:rsidR="00C37832" w:rsidRPr="00E55E43" w:rsidRDefault="00C37832" w:rsidP="00074DEF">
            <w:pPr>
              <w:keepNext/>
              <w:keepLines/>
              <w:tabs>
                <w:tab w:val="left" w:pos="142"/>
              </w:tabs>
              <w:rPr>
                <w:rFonts w:ascii="Arial Narrow" w:hAnsi="Arial Narrow" w:cs="Arial"/>
                <w:snapToGrid w:val="0"/>
                <w:sz w:val="20"/>
                <w:szCs w:val="20"/>
                <w:lang w:eastAsia="en-US"/>
              </w:rPr>
            </w:pPr>
            <w:r w:rsidRPr="00E55E43">
              <w:rPr>
                <w:rFonts w:ascii="Arial Narrow" w:hAnsi="Arial Narrow" w:cs="Arial"/>
                <w:snapToGrid w:val="0"/>
                <w:sz w:val="20"/>
                <w:szCs w:val="20"/>
                <w:lang w:eastAsia="en-US"/>
              </w:rPr>
              <w:t xml:space="preserve">Cost to State and Territory health budget </w:t>
            </w:r>
            <w:proofErr w:type="spellStart"/>
            <w:r w:rsidRPr="00E55E43">
              <w:rPr>
                <w:rFonts w:ascii="Arial Narrow" w:hAnsi="Arial Narrow" w:cs="Arial"/>
                <w:snapToGrid w:val="0"/>
                <w:sz w:val="20"/>
                <w:szCs w:val="20"/>
                <w:lang w:eastAsia="en-US"/>
              </w:rPr>
              <w:t>services</w:t>
            </w:r>
            <w:r w:rsidRPr="00E55E43">
              <w:rPr>
                <w:rFonts w:ascii="Arial Narrow" w:hAnsi="Arial Narrow" w:cs="Arial"/>
                <w:snapToGrid w:val="0"/>
                <w:sz w:val="20"/>
                <w:szCs w:val="20"/>
                <w:vertAlign w:val="superscript"/>
                <w:lang w:eastAsia="en-US"/>
              </w:rPr>
              <w:t>e</w:t>
            </w:r>
            <w:proofErr w:type="spellEnd"/>
          </w:p>
        </w:tc>
        <w:tc>
          <w:tcPr>
            <w:tcW w:w="764" w:type="pct"/>
            <w:shd w:val="clear" w:color="auto" w:fill="auto"/>
            <w:vAlign w:val="center"/>
          </w:tcPr>
          <w:p w:rsidR="00C37832" w:rsidRPr="00197B45" w:rsidRDefault="00197B45" w:rsidP="00074DEF">
            <w:pPr>
              <w:keepNext/>
              <w:keepLines/>
              <w:jc w:val="right"/>
              <w:rPr>
                <w:rFonts w:ascii="Arial Narrow" w:hAnsi="Arial Narrow"/>
                <w:bCs/>
                <w:i/>
                <w:snapToGrid w:val="0"/>
                <w:color w:val="000000"/>
                <w:sz w:val="20"/>
                <w:szCs w:val="20"/>
                <w:highlight w:val="black"/>
                <w:lang w:eastAsia="en-US"/>
              </w:rPr>
            </w:pPr>
            <w:r>
              <w:rPr>
                <w:rFonts w:ascii="Arial Narrow" w:hAnsi="Arial Narrow"/>
                <w:bCs/>
                <w:i/>
                <w:noProof/>
                <w:snapToGrid w:val="0"/>
                <w:color w:val="000000"/>
                <w:sz w:val="20"/>
                <w:szCs w:val="20"/>
                <w:highlight w:val="black"/>
                <w:lang w:eastAsia="en-US"/>
              </w:rPr>
              <w:t>''''''''''''''''''''</w:t>
            </w:r>
          </w:p>
        </w:tc>
        <w:tc>
          <w:tcPr>
            <w:tcW w:w="755" w:type="pct"/>
            <w:gridSpan w:val="2"/>
            <w:shd w:val="clear" w:color="auto" w:fill="auto"/>
            <w:vAlign w:val="center"/>
          </w:tcPr>
          <w:p w:rsidR="00C37832" w:rsidRPr="00197B45" w:rsidRDefault="00197B45" w:rsidP="00074DEF">
            <w:pPr>
              <w:keepNext/>
              <w:keepLines/>
              <w:jc w:val="right"/>
              <w:rPr>
                <w:rFonts w:ascii="Arial Narrow" w:hAnsi="Arial Narrow"/>
                <w:bCs/>
                <w:i/>
                <w:snapToGrid w:val="0"/>
                <w:color w:val="000000"/>
                <w:sz w:val="20"/>
                <w:szCs w:val="20"/>
                <w:highlight w:val="black"/>
                <w:lang w:eastAsia="en-US"/>
              </w:rPr>
            </w:pPr>
            <w:r>
              <w:rPr>
                <w:rFonts w:ascii="Arial Narrow" w:hAnsi="Arial Narrow"/>
                <w:bCs/>
                <w:i/>
                <w:noProof/>
                <w:snapToGrid w:val="0"/>
                <w:color w:val="000000"/>
                <w:sz w:val="20"/>
                <w:szCs w:val="20"/>
                <w:highlight w:val="black"/>
                <w:lang w:eastAsia="en-US"/>
              </w:rPr>
              <w:t>''''''''''''''''''''''</w:t>
            </w:r>
          </w:p>
        </w:tc>
        <w:tc>
          <w:tcPr>
            <w:tcW w:w="753" w:type="pct"/>
            <w:shd w:val="clear" w:color="auto" w:fill="auto"/>
            <w:vAlign w:val="center"/>
          </w:tcPr>
          <w:p w:rsidR="00C37832" w:rsidRPr="00197B45" w:rsidRDefault="00197B45" w:rsidP="00074DEF">
            <w:pPr>
              <w:keepNext/>
              <w:keepLines/>
              <w:jc w:val="right"/>
              <w:rPr>
                <w:rFonts w:ascii="Arial Narrow" w:hAnsi="Arial Narrow"/>
                <w:bCs/>
                <w:i/>
                <w:snapToGrid w:val="0"/>
                <w:color w:val="000000"/>
                <w:sz w:val="20"/>
                <w:szCs w:val="20"/>
                <w:highlight w:val="black"/>
                <w:lang w:eastAsia="en-US"/>
              </w:rPr>
            </w:pPr>
            <w:r>
              <w:rPr>
                <w:rFonts w:ascii="Arial Narrow" w:hAnsi="Arial Narrow"/>
                <w:bCs/>
                <w:i/>
                <w:noProof/>
                <w:snapToGrid w:val="0"/>
                <w:color w:val="000000"/>
                <w:sz w:val="20"/>
                <w:szCs w:val="20"/>
                <w:highlight w:val="black"/>
                <w:lang w:eastAsia="en-US"/>
              </w:rPr>
              <w:t>''''''''''''''''''''''''</w:t>
            </w:r>
          </w:p>
        </w:tc>
        <w:tc>
          <w:tcPr>
            <w:tcW w:w="753" w:type="pct"/>
            <w:shd w:val="clear" w:color="auto" w:fill="auto"/>
            <w:vAlign w:val="center"/>
          </w:tcPr>
          <w:p w:rsidR="00C37832" w:rsidRPr="00197B45" w:rsidRDefault="00197B45" w:rsidP="00074DEF">
            <w:pPr>
              <w:keepNext/>
              <w:keepLines/>
              <w:jc w:val="right"/>
              <w:rPr>
                <w:rFonts w:ascii="Arial Narrow" w:hAnsi="Arial Narrow"/>
                <w:bCs/>
                <w:i/>
                <w:snapToGrid w:val="0"/>
                <w:color w:val="000000"/>
                <w:sz w:val="20"/>
                <w:szCs w:val="20"/>
                <w:highlight w:val="black"/>
                <w:lang w:eastAsia="en-US"/>
              </w:rPr>
            </w:pPr>
            <w:r>
              <w:rPr>
                <w:rFonts w:ascii="Arial Narrow" w:hAnsi="Arial Narrow"/>
                <w:bCs/>
                <w:i/>
                <w:noProof/>
                <w:snapToGrid w:val="0"/>
                <w:color w:val="000000"/>
                <w:sz w:val="20"/>
                <w:szCs w:val="20"/>
                <w:highlight w:val="black"/>
                <w:lang w:eastAsia="en-US"/>
              </w:rPr>
              <w:t>'''''''''''''''''''''''</w:t>
            </w:r>
          </w:p>
        </w:tc>
        <w:tc>
          <w:tcPr>
            <w:tcW w:w="694" w:type="pct"/>
            <w:shd w:val="clear" w:color="auto" w:fill="auto"/>
            <w:vAlign w:val="center"/>
          </w:tcPr>
          <w:p w:rsidR="00C37832" w:rsidRPr="00197B45" w:rsidRDefault="00197B45" w:rsidP="00074DEF">
            <w:pPr>
              <w:keepNext/>
              <w:keepLines/>
              <w:jc w:val="right"/>
              <w:rPr>
                <w:rFonts w:ascii="Arial Narrow" w:hAnsi="Arial Narrow"/>
                <w:bCs/>
                <w:i/>
                <w:snapToGrid w:val="0"/>
                <w:color w:val="000000"/>
                <w:sz w:val="20"/>
                <w:szCs w:val="20"/>
                <w:highlight w:val="black"/>
                <w:lang w:eastAsia="en-US"/>
              </w:rPr>
            </w:pPr>
            <w:r>
              <w:rPr>
                <w:rFonts w:ascii="Arial Narrow" w:hAnsi="Arial Narrow"/>
                <w:bCs/>
                <w:i/>
                <w:noProof/>
                <w:snapToGrid w:val="0"/>
                <w:color w:val="000000"/>
                <w:sz w:val="20"/>
                <w:szCs w:val="20"/>
                <w:highlight w:val="black"/>
                <w:lang w:eastAsia="en-US"/>
              </w:rPr>
              <w:t>'''''''''''''''''''''''</w:t>
            </w:r>
          </w:p>
        </w:tc>
      </w:tr>
      <w:tr w:rsidR="00C37832" w:rsidRPr="004C21E9" w:rsidTr="005E62C9">
        <w:trPr>
          <w:trHeight w:val="256"/>
        </w:trPr>
        <w:tc>
          <w:tcPr>
            <w:tcW w:w="1282" w:type="pct"/>
            <w:shd w:val="clear" w:color="auto" w:fill="auto"/>
            <w:vAlign w:val="center"/>
          </w:tcPr>
          <w:p w:rsidR="00C37832" w:rsidRPr="00E55E43" w:rsidRDefault="00C37832" w:rsidP="00074DEF">
            <w:pPr>
              <w:keepNext/>
              <w:keepLines/>
              <w:tabs>
                <w:tab w:val="left" w:pos="142"/>
              </w:tabs>
              <w:rPr>
                <w:rFonts w:ascii="Arial Narrow" w:hAnsi="Arial Narrow" w:cs="Arial"/>
                <w:snapToGrid w:val="0"/>
                <w:sz w:val="20"/>
                <w:szCs w:val="20"/>
                <w:lang w:eastAsia="en-US"/>
              </w:rPr>
            </w:pPr>
            <w:r w:rsidRPr="00E55E43">
              <w:rPr>
                <w:rFonts w:ascii="Arial Narrow" w:hAnsi="Arial Narrow" w:cs="Arial"/>
                <w:snapToGrid w:val="0"/>
                <w:color w:val="000000"/>
                <w:sz w:val="20"/>
                <w:szCs w:val="20"/>
                <w:lang w:eastAsia="en-US"/>
              </w:rPr>
              <w:t>Estimated total net cost</w:t>
            </w:r>
          </w:p>
        </w:tc>
        <w:tc>
          <w:tcPr>
            <w:tcW w:w="764" w:type="pct"/>
            <w:shd w:val="clear" w:color="auto" w:fill="auto"/>
            <w:vAlign w:val="bottom"/>
          </w:tcPr>
          <w:p w:rsidR="00C37832" w:rsidRPr="00197B45" w:rsidRDefault="00197B45" w:rsidP="00074DEF">
            <w:pPr>
              <w:keepNext/>
              <w:keepLines/>
              <w:jc w:val="right"/>
              <w:rPr>
                <w:rFonts w:ascii="Arial Narrow" w:hAnsi="Arial Narrow"/>
                <w:i/>
                <w:snapToGrid w:val="0"/>
                <w:color w:val="000000"/>
                <w:sz w:val="20"/>
                <w:szCs w:val="20"/>
                <w:highlight w:val="black"/>
                <w:lang w:eastAsia="en-US"/>
              </w:rPr>
            </w:pPr>
            <w:r>
              <w:rPr>
                <w:rFonts w:ascii="Arial Narrow" w:hAnsi="Arial Narrow"/>
                <w:i/>
                <w:noProof/>
                <w:snapToGrid w:val="0"/>
                <w:color w:val="000000"/>
                <w:sz w:val="20"/>
                <w:szCs w:val="20"/>
                <w:highlight w:val="black"/>
                <w:lang w:eastAsia="en-US"/>
              </w:rPr>
              <w:t>'''''''''''''''''''''''''</w:t>
            </w:r>
          </w:p>
        </w:tc>
        <w:tc>
          <w:tcPr>
            <w:tcW w:w="755" w:type="pct"/>
            <w:gridSpan w:val="2"/>
            <w:shd w:val="clear" w:color="auto" w:fill="auto"/>
            <w:vAlign w:val="bottom"/>
          </w:tcPr>
          <w:p w:rsidR="00C37832" w:rsidRPr="00197B45" w:rsidRDefault="00197B45" w:rsidP="00074DEF">
            <w:pPr>
              <w:keepNext/>
              <w:keepLines/>
              <w:jc w:val="right"/>
              <w:rPr>
                <w:rFonts w:ascii="Arial Narrow" w:hAnsi="Arial Narrow"/>
                <w:i/>
                <w:snapToGrid w:val="0"/>
                <w:color w:val="000000"/>
                <w:sz w:val="20"/>
                <w:szCs w:val="20"/>
                <w:highlight w:val="black"/>
                <w:lang w:eastAsia="en-US"/>
              </w:rPr>
            </w:pPr>
            <w:r>
              <w:rPr>
                <w:rFonts w:ascii="Arial Narrow" w:hAnsi="Arial Narrow"/>
                <w:i/>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right"/>
              <w:rPr>
                <w:rFonts w:ascii="Arial Narrow" w:hAnsi="Arial Narrow"/>
                <w:i/>
                <w:snapToGrid w:val="0"/>
                <w:color w:val="000000"/>
                <w:sz w:val="20"/>
                <w:szCs w:val="20"/>
                <w:highlight w:val="black"/>
                <w:lang w:eastAsia="en-US"/>
              </w:rPr>
            </w:pPr>
            <w:r>
              <w:rPr>
                <w:rFonts w:ascii="Arial Narrow" w:hAnsi="Arial Narrow"/>
                <w:i/>
                <w:noProof/>
                <w:snapToGrid w:val="0"/>
                <w:color w:val="000000"/>
                <w:sz w:val="20"/>
                <w:szCs w:val="20"/>
                <w:highlight w:val="black"/>
                <w:lang w:eastAsia="en-US"/>
              </w:rPr>
              <w:t>''''''''''''''''''''''''''''</w:t>
            </w:r>
          </w:p>
        </w:tc>
        <w:tc>
          <w:tcPr>
            <w:tcW w:w="753" w:type="pct"/>
            <w:shd w:val="clear" w:color="auto" w:fill="auto"/>
            <w:vAlign w:val="bottom"/>
          </w:tcPr>
          <w:p w:rsidR="00C37832" w:rsidRPr="00197B45" w:rsidRDefault="00197B45" w:rsidP="00074DEF">
            <w:pPr>
              <w:keepNext/>
              <w:keepLines/>
              <w:jc w:val="right"/>
              <w:rPr>
                <w:rFonts w:ascii="Arial Narrow" w:hAnsi="Arial Narrow"/>
                <w:i/>
                <w:snapToGrid w:val="0"/>
                <w:color w:val="000000"/>
                <w:sz w:val="20"/>
                <w:szCs w:val="20"/>
                <w:highlight w:val="black"/>
                <w:lang w:eastAsia="en-US"/>
              </w:rPr>
            </w:pPr>
            <w:r>
              <w:rPr>
                <w:rFonts w:ascii="Arial Narrow" w:hAnsi="Arial Narrow"/>
                <w:i/>
                <w:noProof/>
                <w:snapToGrid w:val="0"/>
                <w:color w:val="000000"/>
                <w:sz w:val="20"/>
                <w:szCs w:val="20"/>
                <w:highlight w:val="black"/>
                <w:lang w:eastAsia="en-US"/>
              </w:rPr>
              <w:t>''''''''''''''''''''''''''</w:t>
            </w:r>
          </w:p>
        </w:tc>
        <w:tc>
          <w:tcPr>
            <w:tcW w:w="694" w:type="pct"/>
            <w:shd w:val="clear" w:color="auto" w:fill="auto"/>
            <w:vAlign w:val="bottom"/>
          </w:tcPr>
          <w:p w:rsidR="00C37832" w:rsidRPr="00197B45" w:rsidRDefault="00197B45" w:rsidP="00074DEF">
            <w:pPr>
              <w:keepNext/>
              <w:keepLines/>
              <w:jc w:val="right"/>
              <w:rPr>
                <w:rFonts w:ascii="Arial Narrow" w:hAnsi="Arial Narrow"/>
                <w:i/>
                <w:snapToGrid w:val="0"/>
                <w:color w:val="000000"/>
                <w:sz w:val="20"/>
                <w:szCs w:val="20"/>
                <w:highlight w:val="black"/>
                <w:lang w:eastAsia="en-US"/>
              </w:rPr>
            </w:pPr>
            <w:r>
              <w:rPr>
                <w:rFonts w:ascii="Arial Narrow" w:hAnsi="Arial Narrow"/>
                <w:i/>
                <w:noProof/>
                <w:snapToGrid w:val="0"/>
                <w:color w:val="000000"/>
                <w:sz w:val="20"/>
                <w:szCs w:val="20"/>
                <w:highlight w:val="black"/>
                <w:lang w:eastAsia="en-US"/>
              </w:rPr>
              <w:t>''''''''''''''''''''''''''''</w:t>
            </w:r>
          </w:p>
        </w:tc>
      </w:tr>
    </w:tbl>
    <w:p w:rsidR="00C37832" w:rsidRPr="00E55E43" w:rsidRDefault="00C37832" w:rsidP="005E62C9">
      <w:pPr>
        <w:keepNext/>
        <w:keepLines/>
        <w:ind w:firstLine="720"/>
        <w:jc w:val="both"/>
        <w:rPr>
          <w:rFonts w:ascii="Arial Narrow" w:hAnsi="Arial Narrow" w:cs="Arial"/>
          <w:snapToGrid w:val="0"/>
          <w:sz w:val="18"/>
          <w:szCs w:val="20"/>
          <w:lang w:eastAsia="en-US"/>
        </w:rPr>
      </w:pPr>
      <w:proofErr w:type="gramStart"/>
      <w:r w:rsidRPr="00E55E43">
        <w:rPr>
          <w:rFonts w:ascii="Arial Narrow" w:hAnsi="Arial Narrow" w:cs="Arial"/>
          <w:snapToGrid w:val="0"/>
          <w:sz w:val="18"/>
          <w:szCs w:val="20"/>
          <w:vertAlign w:val="superscript"/>
          <w:lang w:eastAsia="en-US"/>
        </w:rPr>
        <w:t>a</w:t>
      </w:r>
      <w:proofErr w:type="gramEnd"/>
      <w:r w:rsidRPr="00E55E43">
        <w:rPr>
          <w:rFonts w:ascii="Arial Narrow" w:hAnsi="Arial Narrow" w:cs="Arial"/>
          <w:snapToGrid w:val="0"/>
          <w:sz w:val="18"/>
          <w:szCs w:val="20"/>
          <w:vertAlign w:val="superscript"/>
          <w:lang w:eastAsia="en-US"/>
        </w:rPr>
        <w:t xml:space="preserve"> </w:t>
      </w:r>
      <w:r w:rsidRPr="00E55E43">
        <w:rPr>
          <w:rFonts w:ascii="Arial Narrow" w:hAnsi="Arial Narrow" w:cs="Arial"/>
          <w:snapToGrid w:val="0"/>
          <w:sz w:val="18"/>
          <w:szCs w:val="20"/>
          <w:lang w:eastAsia="en-US"/>
        </w:rPr>
        <w:t xml:space="preserve">Weighted for different uptake for current treatments: </w:t>
      </w:r>
    </w:p>
    <w:p w:rsidR="00C37832" w:rsidRPr="00E55E43" w:rsidRDefault="00197B45" w:rsidP="00074DEF">
      <w:pPr>
        <w:keepNext/>
        <w:keepLines/>
        <w:widowControl w:val="0"/>
        <w:numPr>
          <w:ilvl w:val="0"/>
          <w:numId w:val="45"/>
        </w:numPr>
        <w:jc w:val="both"/>
        <w:rPr>
          <w:rFonts w:ascii="Arial Narrow" w:hAnsi="Arial Narrow" w:cs="Arial"/>
          <w:snapToGrid w:val="0"/>
          <w:sz w:val="18"/>
          <w:szCs w:val="20"/>
          <w:vertAlign w:val="superscript"/>
          <w:lang w:eastAsia="en-US"/>
        </w:rPr>
      </w:pPr>
      <w:r>
        <w:rPr>
          <w:rFonts w:ascii="Arial Narrow" w:hAnsi="Arial Narrow" w:cs="Arial"/>
          <w:noProof/>
          <w:snapToGrid w:val="0"/>
          <w:color w:val="000000"/>
          <w:sz w:val="18"/>
          <w:szCs w:val="20"/>
          <w:highlight w:val="black"/>
          <w:lang w:eastAsia="en-US"/>
        </w:rPr>
        <w:t>''''''</w:t>
      </w:r>
      <w:r w:rsidR="00C37832" w:rsidRPr="00E55E43">
        <w:rPr>
          <w:rFonts w:ascii="Arial Narrow" w:hAnsi="Arial Narrow" w:cs="Arial"/>
          <w:snapToGrid w:val="0"/>
          <w:sz w:val="18"/>
          <w:szCs w:val="20"/>
          <w:lang w:eastAsia="en-US"/>
        </w:rPr>
        <w:t xml:space="preserve">% for patients currently treated with </w:t>
      </w:r>
      <w:proofErr w:type="spellStart"/>
      <w:r w:rsidR="00C37832" w:rsidRPr="00E55E43">
        <w:rPr>
          <w:rFonts w:ascii="Arial Narrow" w:hAnsi="Arial Narrow" w:cs="Arial"/>
          <w:snapToGrid w:val="0"/>
          <w:sz w:val="18"/>
          <w:szCs w:val="20"/>
          <w:lang w:eastAsia="en-US"/>
        </w:rPr>
        <w:t>chlorambucil</w:t>
      </w:r>
      <w:proofErr w:type="spellEnd"/>
      <w:r w:rsidR="00C37832" w:rsidRPr="00E55E43">
        <w:rPr>
          <w:rFonts w:ascii="Arial Narrow" w:hAnsi="Arial Narrow" w:cs="Arial"/>
          <w:snapToGrid w:val="0"/>
          <w:sz w:val="18"/>
          <w:szCs w:val="20"/>
          <w:lang w:eastAsia="en-US"/>
        </w:rPr>
        <w:t xml:space="preserve">, rituximab plus </w:t>
      </w:r>
      <w:proofErr w:type="spellStart"/>
      <w:r w:rsidR="00C37832" w:rsidRPr="00E55E43">
        <w:rPr>
          <w:rFonts w:ascii="Arial Narrow" w:hAnsi="Arial Narrow" w:cs="Arial"/>
          <w:snapToGrid w:val="0"/>
          <w:sz w:val="18"/>
          <w:szCs w:val="20"/>
          <w:lang w:eastAsia="en-US"/>
        </w:rPr>
        <w:t>chlorambucil</w:t>
      </w:r>
      <w:proofErr w:type="spellEnd"/>
      <w:r w:rsidR="00C37832" w:rsidRPr="00E55E43">
        <w:rPr>
          <w:rFonts w:ascii="Arial Narrow" w:hAnsi="Arial Narrow" w:cs="Arial"/>
          <w:snapToGrid w:val="0"/>
          <w:sz w:val="18"/>
          <w:szCs w:val="20"/>
          <w:lang w:eastAsia="en-US"/>
        </w:rPr>
        <w:t>, rituximab with other treatments)</w:t>
      </w:r>
    </w:p>
    <w:p w:rsidR="00C37832" w:rsidRPr="00E55E43" w:rsidRDefault="00197B45" w:rsidP="00074DEF">
      <w:pPr>
        <w:keepNext/>
        <w:keepLines/>
        <w:widowControl w:val="0"/>
        <w:numPr>
          <w:ilvl w:val="0"/>
          <w:numId w:val="45"/>
        </w:numPr>
        <w:jc w:val="both"/>
        <w:rPr>
          <w:rFonts w:ascii="Arial Narrow" w:hAnsi="Arial Narrow" w:cs="Arial"/>
          <w:snapToGrid w:val="0"/>
          <w:sz w:val="18"/>
          <w:szCs w:val="20"/>
          <w:vertAlign w:val="superscript"/>
          <w:lang w:eastAsia="en-US"/>
        </w:rPr>
      </w:pPr>
      <w:r>
        <w:rPr>
          <w:rFonts w:ascii="Arial Narrow" w:hAnsi="Arial Narrow" w:cs="Arial"/>
          <w:noProof/>
          <w:snapToGrid w:val="0"/>
          <w:color w:val="000000"/>
          <w:sz w:val="18"/>
          <w:szCs w:val="20"/>
          <w:highlight w:val="black"/>
          <w:lang w:eastAsia="en-US"/>
        </w:rPr>
        <w:t>''''</w:t>
      </w:r>
      <w:r w:rsidR="00C37832" w:rsidRPr="00E55E43">
        <w:rPr>
          <w:rFonts w:ascii="Arial Narrow" w:hAnsi="Arial Narrow" w:cs="Arial"/>
          <w:snapToGrid w:val="0"/>
          <w:sz w:val="18"/>
          <w:szCs w:val="20"/>
          <w:lang w:eastAsia="en-US"/>
        </w:rPr>
        <w:t xml:space="preserve">% for patients currently untreated or treated with rituximab plus </w:t>
      </w:r>
      <w:proofErr w:type="spellStart"/>
      <w:r w:rsidR="00C37832" w:rsidRPr="00E55E43">
        <w:rPr>
          <w:rFonts w:ascii="Arial Narrow" w:hAnsi="Arial Narrow" w:cs="Arial"/>
          <w:snapToGrid w:val="0"/>
          <w:sz w:val="18"/>
          <w:szCs w:val="20"/>
          <w:lang w:eastAsia="en-US"/>
        </w:rPr>
        <w:t>fludarabine</w:t>
      </w:r>
      <w:proofErr w:type="spellEnd"/>
      <w:r w:rsidR="00C37832" w:rsidRPr="00E55E43">
        <w:rPr>
          <w:rFonts w:ascii="Arial Narrow" w:hAnsi="Arial Narrow" w:cs="Arial"/>
          <w:snapToGrid w:val="0"/>
          <w:sz w:val="18"/>
          <w:szCs w:val="20"/>
          <w:lang w:eastAsia="en-US"/>
        </w:rPr>
        <w:t xml:space="preserve"> and cyclophosphamide</w:t>
      </w:r>
    </w:p>
    <w:p w:rsidR="00C37832" w:rsidRPr="00E55E43" w:rsidRDefault="00197B45" w:rsidP="00074DEF">
      <w:pPr>
        <w:keepNext/>
        <w:keepLines/>
        <w:widowControl w:val="0"/>
        <w:numPr>
          <w:ilvl w:val="0"/>
          <w:numId w:val="45"/>
        </w:numPr>
        <w:jc w:val="both"/>
        <w:rPr>
          <w:rFonts w:ascii="Arial Narrow" w:hAnsi="Arial Narrow" w:cs="Arial"/>
          <w:snapToGrid w:val="0"/>
          <w:sz w:val="18"/>
          <w:szCs w:val="18"/>
          <w:vertAlign w:val="superscript"/>
          <w:lang w:eastAsia="en-US"/>
        </w:rPr>
      </w:pPr>
      <w:r>
        <w:rPr>
          <w:rFonts w:ascii="Arial Narrow" w:hAnsi="Arial Narrow" w:cs="Arial"/>
          <w:noProof/>
          <w:snapToGrid w:val="0"/>
          <w:color w:val="000000"/>
          <w:sz w:val="18"/>
          <w:szCs w:val="18"/>
          <w:highlight w:val="black"/>
          <w:lang w:eastAsia="en-US"/>
        </w:rPr>
        <w:t>''''''</w:t>
      </w:r>
      <w:r w:rsidR="00C37832" w:rsidRPr="00E55E43">
        <w:rPr>
          <w:rFonts w:ascii="Arial Narrow" w:hAnsi="Arial Narrow" w:cs="Arial"/>
          <w:snapToGrid w:val="0"/>
          <w:sz w:val="18"/>
          <w:szCs w:val="18"/>
          <w:lang w:eastAsia="en-US"/>
        </w:rPr>
        <w:t>% for other chemotherapy regimens</w:t>
      </w:r>
    </w:p>
    <w:p w:rsidR="00C37832" w:rsidRPr="00E55E43" w:rsidRDefault="00C37832" w:rsidP="005E62C9">
      <w:pPr>
        <w:keepNext/>
        <w:keepLines/>
        <w:ind w:firstLine="720"/>
        <w:jc w:val="both"/>
        <w:rPr>
          <w:rFonts w:ascii="Arial Narrow" w:hAnsi="Arial Narrow" w:cs="Arial"/>
          <w:snapToGrid w:val="0"/>
          <w:sz w:val="18"/>
          <w:szCs w:val="18"/>
          <w:lang w:eastAsia="en-US"/>
        </w:rPr>
      </w:pPr>
      <w:proofErr w:type="gramStart"/>
      <w:r w:rsidRPr="00E55E43">
        <w:rPr>
          <w:rFonts w:ascii="Arial Narrow" w:hAnsi="Arial Narrow" w:cs="Arial"/>
          <w:snapToGrid w:val="0"/>
          <w:sz w:val="18"/>
          <w:szCs w:val="18"/>
          <w:vertAlign w:val="superscript"/>
          <w:lang w:eastAsia="en-US"/>
        </w:rPr>
        <w:t>b</w:t>
      </w:r>
      <w:proofErr w:type="gramEnd"/>
      <w:r w:rsidRPr="00E55E43">
        <w:rPr>
          <w:rFonts w:ascii="Arial Narrow" w:hAnsi="Arial Narrow" w:cs="Arial"/>
          <w:snapToGrid w:val="0"/>
          <w:sz w:val="18"/>
          <w:szCs w:val="18"/>
          <w:lang w:eastAsia="en-US"/>
        </w:rPr>
        <w:t xml:space="preserve"> Assuming </w:t>
      </w:r>
      <w:r w:rsidR="00197B45">
        <w:rPr>
          <w:rFonts w:ascii="Arial Narrow" w:hAnsi="Arial Narrow" w:cs="Arial"/>
          <w:noProof/>
          <w:snapToGrid w:val="0"/>
          <w:color w:val="000000"/>
          <w:sz w:val="18"/>
          <w:szCs w:val="18"/>
          <w:highlight w:val="black"/>
          <w:lang w:eastAsia="en-US"/>
        </w:rPr>
        <w:t xml:space="preserve">'''''''''' </w:t>
      </w:r>
      <w:r w:rsidRPr="00E55E43">
        <w:rPr>
          <w:rFonts w:ascii="Arial Narrow" w:hAnsi="Arial Narrow" w:cs="Arial"/>
          <w:snapToGrid w:val="0"/>
          <w:sz w:val="18"/>
          <w:szCs w:val="18"/>
          <w:lang w:eastAsia="en-US"/>
        </w:rPr>
        <w:t>per year as estimated by the submission.</w:t>
      </w:r>
    </w:p>
    <w:p w:rsidR="00C37832" w:rsidRPr="00E55E43" w:rsidRDefault="00C37832" w:rsidP="005E62C9">
      <w:pPr>
        <w:keepNext/>
        <w:keepLines/>
        <w:ind w:firstLine="720"/>
        <w:jc w:val="both"/>
        <w:rPr>
          <w:rFonts w:ascii="Arial Narrow" w:hAnsi="Arial Narrow" w:cs="Arial"/>
          <w:snapToGrid w:val="0"/>
          <w:sz w:val="18"/>
          <w:szCs w:val="18"/>
          <w:lang w:eastAsia="en-US"/>
        </w:rPr>
      </w:pPr>
      <w:proofErr w:type="gramStart"/>
      <w:r w:rsidRPr="00E55E43">
        <w:rPr>
          <w:rFonts w:ascii="Arial Narrow" w:hAnsi="Arial Narrow" w:cs="Arial"/>
          <w:snapToGrid w:val="0"/>
          <w:sz w:val="18"/>
          <w:szCs w:val="18"/>
          <w:vertAlign w:val="superscript"/>
          <w:lang w:eastAsia="en-US"/>
        </w:rPr>
        <w:t>c</w:t>
      </w:r>
      <w:proofErr w:type="gramEnd"/>
      <w:r w:rsidRPr="00E55E43">
        <w:rPr>
          <w:rFonts w:ascii="Arial Narrow" w:hAnsi="Arial Narrow" w:cs="Arial"/>
          <w:snapToGrid w:val="0"/>
          <w:sz w:val="18"/>
          <w:szCs w:val="18"/>
          <w:lang w:eastAsia="en-US"/>
        </w:rPr>
        <w:t xml:space="preserve"> Cost to PBS based on weighted DPMQ (DPMQ weighted for </w:t>
      </w:r>
      <w:proofErr w:type="spellStart"/>
      <w:r w:rsidRPr="00E55E43">
        <w:rPr>
          <w:rFonts w:ascii="Arial Narrow" w:hAnsi="Arial Narrow" w:cs="Arial"/>
          <w:snapToGrid w:val="0"/>
          <w:sz w:val="18"/>
          <w:szCs w:val="18"/>
          <w:lang w:eastAsia="en-US"/>
        </w:rPr>
        <w:t>public:private</w:t>
      </w:r>
      <w:proofErr w:type="spellEnd"/>
      <w:r w:rsidRPr="00E55E43">
        <w:rPr>
          <w:rFonts w:ascii="Arial Narrow" w:hAnsi="Arial Narrow" w:cs="Arial"/>
          <w:snapToGrid w:val="0"/>
          <w:sz w:val="18"/>
          <w:szCs w:val="18"/>
          <w:lang w:eastAsia="en-US"/>
        </w:rPr>
        <w:t xml:space="preserve"> hospital use); net of patient co-payments.</w:t>
      </w:r>
    </w:p>
    <w:p w:rsidR="00C37832" w:rsidRPr="00E55E43" w:rsidRDefault="00C37832" w:rsidP="005E62C9">
      <w:pPr>
        <w:keepNext/>
        <w:keepLines/>
        <w:ind w:firstLine="720"/>
        <w:jc w:val="both"/>
        <w:rPr>
          <w:rFonts w:ascii="Arial Narrow" w:hAnsi="Arial Narrow" w:cs="Arial"/>
          <w:snapToGrid w:val="0"/>
          <w:sz w:val="18"/>
          <w:szCs w:val="18"/>
          <w:lang w:eastAsia="en-US"/>
        </w:rPr>
      </w:pPr>
      <w:proofErr w:type="gramStart"/>
      <w:r w:rsidRPr="00E55E43">
        <w:rPr>
          <w:rFonts w:ascii="Arial Narrow" w:hAnsi="Arial Narrow" w:cs="Arial"/>
          <w:snapToGrid w:val="0"/>
          <w:sz w:val="18"/>
          <w:szCs w:val="18"/>
          <w:vertAlign w:val="superscript"/>
          <w:lang w:eastAsia="en-US"/>
        </w:rPr>
        <w:t>d</w:t>
      </w:r>
      <w:proofErr w:type="gramEnd"/>
      <w:r w:rsidRPr="00E55E43">
        <w:rPr>
          <w:rFonts w:ascii="Arial Narrow" w:hAnsi="Arial Narrow" w:cs="Arial"/>
          <w:snapToGrid w:val="0"/>
          <w:sz w:val="18"/>
          <w:szCs w:val="18"/>
          <w:lang w:eastAsia="en-US"/>
        </w:rPr>
        <w:t xml:space="preserve"> The post-rebate cost minus cost offsets (additional cost for pre-medications and </w:t>
      </w:r>
      <w:proofErr w:type="spellStart"/>
      <w:r w:rsidRPr="00E55E43">
        <w:rPr>
          <w:rFonts w:ascii="Arial Narrow" w:hAnsi="Arial Narrow" w:cs="Arial"/>
          <w:snapToGrid w:val="0"/>
          <w:sz w:val="18"/>
          <w:szCs w:val="18"/>
          <w:lang w:eastAsia="en-US"/>
        </w:rPr>
        <w:t>chlorambucil</w:t>
      </w:r>
      <w:proofErr w:type="spellEnd"/>
      <w:r w:rsidRPr="00E55E43">
        <w:rPr>
          <w:rFonts w:ascii="Arial Narrow" w:hAnsi="Arial Narrow" w:cs="Arial"/>
          <w:snapToGrid w:val="0"/>
          <w:sz w:val="18"/>
          <w:szCs w:val="18"/>
          <w:lang w:eastAsia="en-US"/>
        </w:rPr>
        <w:t>; reduced cost for rituximab).</w:t>
      </w:r>
    </w:p>
    <w:p w:rsidR="00C37832" w:rsidRPr="00E55E43" w:rsidRDefault="00C37832" w:rsidP="005E62C9">
      <w:pPr>
        <w:keepNext/>
        <w:keepLines/>
        <w:ind w:firstLine="720"/>
        <w:jc w:val="both"/>
        <w:rPr>
          <w:rFonts w:ascii="Arial Narrow" w:hAnsi="Arial Narrow" w:cs="Arial"/>
          <w:snapToGrid w:val="0"/>
          <w:sz w:val="18"/>
          <w:szCs w:val="18"/>
          <w:lang w:eastAsia="en-US"/>
        </w:rPr>
      </w:pPr>
      <w:proofErr w:type="gramStart"/>
      <w:r w:rsidRPr="00E55E43">
        <w:rPr>
          <w:rFonts w:ascii="Arial Narrow" w:hAnsi="Arial Narrow" w:cs="Arial"/>
          <w:snapToGrid w:val="0"/>
          <w:sz w:val="18"/>
          <w:szCs w:val="18"/>
          <w:vertAlign w:val="superscript"/>
          <w:lang w:eastAsia="en-US"/>
        </w:rPr>
        <w:t>e</w:t>
      </w:r>
      <w:proofErr w:type="gramEnd"/>
      <w:r w:rsidRPr="00E55E43">
        <w:rPr>
          <w:rFonts w:ascii="Arial Narrow" w:hAnsi="Arial Narrow" w:cs="Arial"/>
          <w:snapToGrid w:val="0"/>
          <w:sz w:val="18"/>
          <w:szCs w:val="18"/>
          <w:lang w:eastAsia="en-US"/>
        </w:rPr>
        <w:t xml:space="preserve"> Revised using inputs from Item 5.10 Financial Cost to PBS_PSCR (IPSOS 2013).xls (corrected); see Appendix A.</w:t>
      </w:r>
    </w:p>
    <w:p w:rsidR="00C37832" w:rsidRPr="00E55E43" w:rsidRDefault="00C37832" w:rsidP="005E62C9">
      <w:pPr>
        <w:keepNext/>
        <w:keepLines/>
        <w:ind w:left="709"/>
        <w:jc w:val="both"/>
        <w:rPr>
          <w:rFonts w:ascii="Arial Narrow" w:hAnsi="Arial Narrow" w:cs="Arial"/>
          <w:snapToGrid w:val="0"/>
          <w:sz w:val="18"/>
          <w:szCs w:val="18"/>
          <w:lang w:eastAsia="en-US"/>
        </w:rPr>
      </w:pPr>
      <w:r w:rsidRPr="00E55E43">
        <w:rPr>
          <w:rFonts w:ascii="Arial Narrow" w:hAnsi="Arial Narrow" w:cs="Arial"/>
          <w:snapToGrid w:val="0"/>
          <w:sz w:val="18"/>
          <w:szCs w:val="18"/>
          <w:lang w:eastAsia="en-US"/>
        </w:rPr>
        <w:t xml:space="preserve">Source: Table 7 p.6 of the commentary, updated from </w:t>
      </w:r>
      <w:r w:rsidRPr="00E55E43">
        <w:rPr>
          <w:rFonts w:ascii="Arial Narrow" w:hAnsi="Arial Narrow"/>
          <w:snapToGrid w:val="0"/>
          <w:sz w:val="18"/>
          <w:szCs w:val="18"/>
          <w:lang w:eastAsia="en-US"/>
        </w:rPr>
        <w:t xml:space="preserve">revised spreadsheet </w:t>
      </w:r>
      <w:r w:rsidRPr="00E55E43">
        <w:rPr>
          <w:rFonts w:ascii="Arial Narrow" w:hAnsi="Arial Narrow" w:cs="Arial"/>
          <w:snapToGrid w:val="0"/>
          <w:sz w:val="18"/>
          <w:szCs w:val="18"/>
          <w:lang w:eastAsia="en-US"/>
        </w:rPr>
        <w:t>Item 5.10 Financial Cost to PBS_PSCR (IPSOS 2013).xls (corrected).</w:t>
      </w:r>
    </w:p>
    <w:p w:rsidR="00C37832" w:rsidRPr="00E55E43" w:rsidRDefault="00C37832" w:rsidP="006B36E3">
      <w:pPr>
        <w:jc w:val="both"/>
        <w:rPr>
          <w:rFonts w:ascii="Arial" w:hAnsi="Arial"/>
          <w:sz w:val="22"/>
          <w:szCs w:val="22"/>
        </w:rPr>
      </w:pPr>
    </w:p>
    <w:p w:rsidR="00C37832" w:rsidRDefault="00C37832" w:rsidP="00C37832">
      <w:pPr>
        <w:pStyle w:val="ListParagraph"/>
        <w:ind w:left="709"/>
        <w:jc w:val="both"/>
        <w:rPr>
          <w:rFonts w:ascii="Arial" w:hAnsi="Arial"/>
          <w:sz w:val="22"/>
          <w:szCs w:val="22"/>
        </w:rPr>
      </w:pPr>
    </w:p>
    <w:p w:rsidR="00AF38A6" w:rsidRPr="00BB7EC3" w:rsidRDefault="00AF38A6" w:rsidP="00AF38A6">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AF38A6" w:rsidRDefault="00AF38A6" w:rsidP="00C37832">
      <w:pPr>
        <w:pStyle w:val="ListParagraph"/>
        <w:ind w:left="709"/>
        <w:jc w:val="both"/>
        <w:rPr>
          <w:rFonts w:ascii="Arial" w:hAnsi="Arial"/>
          <w:sz w:val="22"/>
          <w:szCs w:val="22"/>
        </w:rPr>
      </w:pPr>
    </w:p>
    <w:p w:rsidR="00326E79" w:rsidRPr="00882085" w:rsidRDefault="00A62C1A" w:rsidP="005E62C9">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 xml:space="preserve">PBAC </w:t>
      </w:r>
      <w:r w:rsidR="00930937" w:rsidRPr="00882085">
        <w:rPr>
          <w:rFonts w:ascii="Arial" w:hAnsi="Arial"/>
          <w:b/>
          <w:sz w:val="22"/>
          <w:szCs w:val="22"/>
        </w:rPr>
        <w:t>Outcome</w:t>
      </w:r>
      <w:r w:rsidR="00B43E90" w:rsidRPr="00882085">
        <w:rPr>
          <w:rFonts w:ascii="Arial" w:hAnsi="Arial"/>
          <w:b/>
          <w:sz w:val="22"/>
          <w:szCs w:val="22"/>
        </w:rPr>
        <w:t xml:space="preserve"> </w:t>
      </w:r>
    </w:p>
    <w:p w:rsidR="00BB7EC3" w:rsidRDefault="00BB7EC3" w:rsidP="00710AEC">
      <w:pPr>
        <w:pStyle w:val="ListParagraph"/>
        <w:keepNext/>
        <w:keepLines/>
        <w:ind w:left="709"/>
        <w:jc w:val="both"/>
        <w:rPr>
          <w:rFonts w:ascii="Arial" w:hAnsi="Arial"/>
          <w:sz w:val="22"/>
          <w:szCs w:val="22"/>
        </w:rPr>
      </w:pPr>
    </w:p>
    <w:p w:rsidR="007B64A5" w:rsidRPr="00763189" w:rsidRDefault="007B64A5" w:rsidP="00710AEC">
      <w:pPr>
        <w:pStyle w:val="ListParagraph"/>
        <w:keepNext/>
        <w:keepLines/>
        <w:numPr>
          <w:ilvl w:val="1"/>
          <w:numId w:val="25"/>
        </w:numPr>
        <w:jc w:val="both"/>
        <w:rPr>
          <w:rFonts w:ascii="Arial" w:hAnsi="Arial"/>
          <w:sz w:val="22"/>
          <w:szCs w:val="22"/>
        </w:rPr>
      </w:pPr>
      <w:r w:rsidRPr="007B64A5">
        <w:rPr>
          <w:rFonts w:ascii="Arial" w:hAnsi="Arial"/>
          <w:sz w:val="22"/>
          <w:szCs w:val="22"/>
        </w:rPr>
        <w:t xml:space="preserve">The PBAC rejected the submission to list </w:t>
      </w:r>
      <w:proofErr w:type="spellStart"/>
      <w:r>
        <w:rPr>
          <w:rFonts w:ascii="Arial" w:hAnsi="Arial"/>
          <w:sz w:val="22"/>
          <w:szCs w:val="22"/>
        </w:rPr>
        <w:t>obinutuzumab</w:t>
      </w:r>
      <w:proofErr w:type="spellEnd"/>
      <w:r w:rsidRPr="007B64A5">
        <w:rPr>
          <w:rFonts w:ascii="Arial" w:hAnsi="Arial"/>
          <w:sz w:val="22"/>
          <w:szCs w:val="22"/>
        </w:rPr>
        <w:t xml:space="preserve"> on the PBS for the </w:t>
      </w:r>
      <w:r>
        <w:rPr>
          <w:rFonts w:ascii="Arial" w:hAnsi="Arial"/>
          <w:sz w:val="22"/>
          <w:szCs w:val="22"/>
        </w:rPr>
        <w:t xml:space="preserve">treatment of CLL in patients with comorbidities </w:t>
      </w:r>
      <w:r w:rsidR="00313104">
        <w:rPr>
          <w:rFonts w:ascii="Arial" w:hAnsi="Arial"/>
          <w:sz w:val="22"/>
          <w:szCs w:val="22"/>
        </w:rPr>
        <w:t>as</w:t>
      </w:r>
      <w:r w:rsidR="00A617CC">
        <w:rPr>
          <w:rFonts w:ascii="Arial" w:hAnsi="Arial"/>
          <w:sz w:val="22"/>
          <w:szCs w:val="22"/>
        </w:rPr>
        <w:t xml:space="preserve"> the submission</w:t>
      </w:r>
      <w:r w:rsidR="00313104">
        <w:rPr>
          <w:rFonts w:ascii="Arial" w:hAnsi="Arial"/>
          <w:sz w:val="22"/>
          <w:szCs w:val="22"/>
        </w:rPr>
        <w:t xml:space="preserve"> failed to demonstrate that </w:t>
      </w:r>
      <w:proofErr w:type="spellStart"/>
      <w:r w:rsidR="00313104">
        <w:rPr>
          <w:rFonts w:ascii="Arial" w:hAnsi="Arial"/>
          <w:sz w:val="22"/>
          <w:szCs w:val="22"/>
        </w:rPr>
        <w:t>obinutuzumab</w:t>
      </w:r>
      <w:proofErr w:type="spellEnd"/>
      <w:r w:rsidR="00313104">
        <w:rPr>
          <w:rFonts w:ascii="Arial" w:hAnsi="Arial"/>
          <w:sz w:val="22"/>
          <w:szCs w:val="22"/>
        </w:rPr>
        <w:t xml:space="preserve"> was cost effective. </w:t>
      </w:r>
      <w:r w:rsidR="00C82DFF">
        <w:rPr>
          <w:rFonts w:ascii="Arial" w:hAnsi="Arial"/>
          <w:sz w:val="22"/>
          <w:szCs w:val="22"/>
        </w:rPr>
        <w:t xml:space="preserve">The PBAC agreed with the ESC </w:t>
      </w:r>
      <w:r w:rsidR="00313104">
        <w:rPr>
          <w:rFonts w:ascii="Arial" w:hAnsi="Arial"/>
          <w:sz w:val="22"/>
          <w:szCs w:val="22"/>
        </w:rPr>
        <w:t xml:space="preserve">that the economic model submitted by the sponsor was </w:t>
      </w:r>
      <w:r w:rsidR="00763189" w:rsidRPr="00763189">
        <w:rPr>
          <w:rFonts w:ascii="Arial" w:hAnsi="Arial"/>
          <w:sz w:val="22"/>
          <w:szCs w:val="22"/>
        </w:rPr>
        <w:t>unsuitab</w:t>
      </w:r>
      <w:r w:rsidR="00313104">
        <w:rPr>
          <w:rFonts w:ascii="Arial" w:hAnsi="Arial"/>
          <w:sz w:val="22"/>
          <w:szCs w:val="22"/>
        </w:rPr>
        <w:t>le</w:t>
      </w:r>
      <w:r w:rsidR="00763189" w:rsidRPr="00763189">
        <w:rPr>
          <w:rFonts w:ascii="Arial" w:hAnsi="Arial"/>
          <w:sz w:val="22"/>
          <w:szCs w:val="22"/>
        </w:rPr>
        <w:t xml:space="preserve"> as a basis for determining the cost-effectiveness of </w:t>
      </w:r>
      <w:proofErr w:type="spellStart"/>
      <w:r w:rsidR="00763189">
        <w:rPr>
          <w:rFonts w:ascii="Arial" w:hAnsi="Arial"/>
          <w:sz w:val="22"/>
          <w:szCs w:val="22"/>
        </w:rPr>
        <w:t>obinutuzumab</w:t>
      </w:r>
      <w:proofErr w:type="spellEnd"/>
      <w:r w:rsidR="00763189" w:rsidRPr="00763189">
        <w:rPr>
          <w:rFonts w:ascii="Arial" w:hAnsi="Arial"/>
          <w:sz w:val="22"/>
          <w:szCs w:val="22"/>
        </w:rPr>
        <w:t xml:space="preserve"> in the requested treatment setting</w:t>
      </w:r>
      <w:r w:rsidRPr="00763189">
        <w:rPr>
          <w:rFonts w:ascii="Arial" w:hAnsi="Arial"/>
          <w:sz w:val="22"/>
          <w:szCs w:val="22"/>
        </w:rPr>
        <w:t>.</w:t>
      </w:r>
      <w:r w:rsidR="00FF01E7">
        <w:rPr>
          <w:rFonts w:ascii="Arial" w:hAnsi="Arial"/>
          <w:sz w:val="22"/>
          <w:szCs w:val="22"/>
        </w:rPr>
        <w:t xml:space="preserve"> </w:t>
      </w:r>
      <w:r w:rsidR="003675F9">
        <w:rPr>
          <w:rFonts w:ascii="Arial" w:hAnsi="Arial"/>
          <w:sz w:val="22"/>
          <w:szCs w:val="22"/>
        </w:rPr>
        <w:t>Th</w:t>
      </w:r>
      <w:r w:rsidR="00C82DFF">
        <w:rPr>
          <w:rFonts w:ascii="Arial" w:hAnsi="Arial"/>
          <w:sz w:val="22"/>
          <w:szCs w:val="22"/>
        </w:rPr>
        <w:t>e reasons for this are</w:t>
      </w:r>
      <w:r w:rsidR="003675F9">
        <w:rPr>
          <w:rFonts w:ascii="Arial" w:hAnsi="Arial"/>
          <w:sz w:val="22"/>
          <w:szCs w:val="22"/>
        </w:rPr>
        <w:t xml:space="preserve"> outlined in paragraphs 7.11 to 7.1</w:t>
      </w:r>
      <w:r w:rsidR="00C82DFF">
        <w:rPr>
          <w:rFonts w:ascii="Arial" w:hAnsi="Arial"/>
          <w:sz w:val="22"/>
          <w:szCs w:val="22"/>
        </w:rPr>
        <w:t>7</w:t>
      </w:r>
      <w:r w:rsidR="003675F9">
        <w:rPr>
          <w:rFonts w:ascii="Arial" w:hAnsi="Arial"/>
          <w:sz w:val="22"/>
          <w:szCs w:val="22"/>
        </w:rPr>
        <w:t xml:space="preserve"> below.</w:t>
      </w:r>
    </w:p>
    <w:p w:rsidR="007B64A5" w:rsidRDefault="007B64A5" w:rsidP="007B64A5">
      <w:pPr>
        <w:pStyle w:val="ListParagraph"/>
        <w:jc w:val="both"/>
        <w:rPr>
          <w:rFonts w:ascii="Arial" w:hAnsi="Arial"/>
          <w:sz w:val="22"/>
          <w:szCs w:val="22"/>
        </w:rPr>
      </w:pPr>
    </w:p>
    <w:p w:rsidR="0036201D" w:rsidRPr="00124EE7" w:rsidRDefault="0036201D" w:rsidP="000B0179">
      <w:pPr>
        <w:pStyle w:val="CommentText"/>
        <w:keepNext/>
        <w:keepLines/>
        <w:numPr>
          <w:ilvl w:val="1"/>
          <w:numId w:val="25"/>
        </w:numPr>
        <w:jc w:val="both"/>
        <w:rPr>
          <w:rFonts w:ascii="Arial" w:hAnsi="Arial"/>
          <w:sz w:val="22"/>
          <w:szCs w:val="22"/>
        </w:rPr>
      </w:pPr>
      <w:r w:rsidRPr="00124EE7">
        <w:rPr>
          <w:rFonts w:ascii="Arial" w:hAnsi="Arial"/>
          <w:sz w:val="22"/>
          <w:szCs w:val="22"/>
        </w:rPr>
        <w:lastRenderedPageBreak/>
        <w:t xml:space="preserve">The PBAC reaffirmed its recommendation of January 2011 (out-of-session) to list rituximab for the treatment of CD20 positive </w:t>
      </w:r>
      <w:r w:rsidR="00F453F3" w:rsidRPr="00124EE7">
        <w:rPr>
          <w:rFonts w:ascii="Arial" w:hAnsi="Arial"/>
          <w:sz w:val="22"/>
          <w:szCs w:val="22"/>
        </w:rPr>
        <w:t>CLL</w:t>
      </w:r>
      <w:r w:rsidRPr="00124EE7">
        <w:rPr>
          <w:rFonts w:ascii="Arial" w:hAnsi="Arial"/>
          <w:sz w:val="22"/>
          <w:szCs w:val="22"/>
        </w:rPr>
        <w:t xml:space="preserve"> in combination with chemotherapy.</w:t>
      </w:r>
      <w:r w:rsidR="00F453F3" w:rsidRPr="00124EE7">
        <w:rPr>
          <w:rFonts w:ascii="Arial" w:hAnsi="Arial"/>
          <w:sz w:val="22"/>
          <w:szCs w:val="22"/>
        </w:rPr>
        <w:t xml:space="preserve"> The PBAC </w:t>
      </w:r>
      <w:r w:rsidR="002C4207" w:rsidRPr="00124EE7">
        <w:rPr>
          <w:rFonts w:ascii="Arial" w:hAnsi="Arial"/>
          <w:sz w:val="22"/>
          <w:szCs w:val="22"/>
        </w:rPr>
        <w:t>expressed</w:t>
      </w:r>
      <w:r w:rsidR="00F453F3" w:rsidRPr="00124EE7">
        <w:rPr>
          <w:rFonts w:ascii="Arial" w:hAnsi="Arial"/>
          <w:sz w:val="22"/>
          <w:szCs w:val="22"/>
        </w:rPr>
        <w:t xml:space="preserve"> concern that rituximab remained unlisted in this setting, </w:t>
      </w:r>
      <w:r w:rsidR="00ED150D" w:rsidRPr="00124EE7">
        <w:rPr>
          <w:rFonts w:ascii="Arial" w:hAnsi="Arial"/>
          <w:sz w:val="22"/>
          <w:szCs w:val="22"/>
        </w:rPr>
        <w:t>and</w:t>
      </w:r>
      <w:r w:rsidR="00F453F3" w:rsidRPr="00124EE7">
        <w:rPr>
          <w:rFonts w:ascii="Arial" w:hAnsi="Arial"/>
          <w:sz w:val="22"/>
          <w:szCs w:val="22"/>
        </w:rPr>
        <w:t xml:space="preserve">: </w:t>
      </w:r>
    </w:p>
    <w:p w:rsidR="0036201D" w:rsidRDefault="00E447EE" w:rsidP="000B0179">
      <w:pPr>
        <w:pStyle w:val="ListParagraph"/>
        <w:keepNext/>
        <w:keepLines/>
        <w:numPr>
          <w:ilvl w:val="0"/>
          <w:numId w:val="42"/>
        </w:numPr>
        <w:jc w:val="both"/>
        <w:rPr>
          <w:rFonts w:ascii="Arial" w:hAnsi="Arial"/>
          <w:sz w:val="22"/>
          <w:szCs w:val="22"/>
        </w:rPr>
      </w:pPr>
      <w:proofErr w:type="gramStart"/>
      <w:r w:rsidRPr="00124EE7">
        <w:rPr>
          <w:rFonts w:ascii="Arial" w:hAnsi="Arial"/>
          <w:sz w:val="22"/>
          <w:szCs w:val="22"/>
        </w:rPr>
        <w:t>noted</w:t>
      </w:r>
      <w:proofErr w:type="gramEnd"/>
      <w:r w:rsidRPr="00124EE7">
        <w:rPr>
          <w:rFonts w:ascii="Arial" w:hAnsi="Arial"/>
          <w:sz w:val="22"/>
          <w:szCs w:val="22"/>
        </w:rPr>
        <w:t xml:space="preserve"> that the results of Stage 1b of CLL11, which compared rituximab plus </w:t>
      </w:r>
      <w:proofErr w:type="spellStart"/>
      <w:r w:rsidRPr="00124EE7">
        <w:rPr>
          <w:rFonts w:ascii="Arial" w:hAnsi="Arial"/>
          <w:sz w:val="22"/>
          <w:szCs w:val="22"/>
        </w:rPr>
        <w:t>chlorambucil</w:t>
      </w:r>
      <w:proofErr w:type="spellEnd"/>
      <w:r w:rsidRPr="00124EE7">
        <w:rPr>
          <w:rFonts w:ascii="Arial" w:hAnsi="Arial"/>
          <w:sz w:val="22"/>
          <w:szCs w:val="22"/>
        </w:rPr>
        <w:t xml:space="preserve"> to</w:t>
      </w:r>
      <w:r w:rsidRPr="00261D0C">
        <w:rPr>
          <w:rFonts w:ascii="Arial" w:hAnsi="Arial"/>
          <w:sz w:val="22"/>
          <w:szCs w:val="22"/>
        </w:rPr>
        <w:t xml:space="preserve"> </w:t>
      </w:r>
      <w:proofErr w:type="spellStart"/>
      <w:r w:rsidRPr="00261D0C">
        <w:rPr>
          <w:rFonts w:ascii="Arial" w:hAnsi="Arial"/>
          <w:sz w:val="22"/>
          <w:szCs w:val="22"/>
        </w:rPr>
        <w:t>chlorambucil</w:t>
      </w:r>
      <w:proofErr w:type="spellEnd"/>
      <w:r w:rsidRPr="00261D0C">
        <w:rPr>
          <w:rFonts w:ascii="Arial" w:hAnsi="Arial"/>
          <w:sz w:val="22"/>
          <w:szCs w:val="22"/>
        </w:rPr>
        <w:t xml:space="preserve"> monotherapy, supported the PBAC’s January 2011 recommendation to list rituximab in this setting. </w:t>
      </w:r>
    </w:p>
    <w:p w:rsidR="0036201D" w:rsidRDefault="00E447EE" w:rsidP="000B0179">
      <w:pPr>
        <w:pStyle w:val="ListParagraph"/>
        <w:keepNext/>
        <w:keepLines/>
        <w:numPr>
          <w:ilvl w:val="0"/>
          <w:numId w:val="42"/>
        </w:numPr>
        <w:jc w:val="both"/>
        <w:rPr>
          <w:rFonts w:ascii="Arial" w:hAnsi="Arial"/>
          <w:sz w:val="22"/>
          <w:szCs w:val="22"/>
        </w:rPr>
      </w:pPr>
      <w:proofErr w:type="gramStart"/>
      <w:r w:rsidRPr="00261D0C">
        <w:rPr>
          <w:rFonts w:ascii="Arial" w:hAnsi="Arial"/>
          <w:sz w:val="22"/>
          <w:szCs w:val="22"/>
        </w:rPr>
        <w:t>noted</w:t>
      </w:r>
      <w:proofErr w:type="gramEnd"/>
      <w:r w:rsidRPr="00261D0C">
        <w:rPr>
          <w:rFonts w:ascii="Arial" w:hAnsi="Arial"/>
          <w:sz w:val="22"/>
          <w:szCs w:val="22"/>
        </w:rPr>
        <w:t xml:space="preserve"> that the PSCR had provided market research data indicating extensive use of rituximab in combination with chemotherapies other than FC</w:t>
      </w:r>
      <w:r w:rsidR="00261D0C" w:rsidRPr="00261D0C">
        <w:rPr>
          <w:rFonts w:ascii="Arial" w:hAnsi="Arial"/>
          <w:sz w:val="22"/>
          <w:szCs w:val="22"/>
        </w:rPr>
        <w:t xml:space="preserve"> in patients with CLL</w:t>
      </w:r>
      <w:r w:rsidRPr="00261D0C">
        <w:rPr>
          <w:rFonts w:ascii="Arial" w:hAnsi="Arial"/>
          <w:sz w:val="22"/>
          <w:szCs w:val="22"/>
        </w:rPr>
        <w:t>.</w:t>
      </w:r>
      <w:r w:rsidR="00261D0C" w:rsidRPr="00261D0C">
        <w:rPr>
          <w:rFonts w:ascii="Arial" w:hAnsi="Arial"/>
          <w:sz w:val="22"/>
          <w:szCs w:val="22"/>
        </w:rPr>
        <w:t xml:space="preserve"> </w:t>
      </w:r>
    </w:p>
    <w:p w:rsidR="000A223E" w:rsidRPr="00261D0C" w:rsidRDefault="00B25CBB" w:rsidP="000B0179">
      <w:pPr>
        <w:pStyle w:val="ListParagraph"/>
        <w:keepNext/>
        <w:keepLines/>
        <w:numPr>
          <w:ilvl w:val="0"/>
          <w:numId w:val="42"/>
        </w:numPr>
        <w:jc w:val="both"/>
        <w:rPr>
          <w:rFonts w:ascii="Arial" w:hAnsi="Arial"/>
          <w:sz w:val="22"/>
          <w:szCs w:val="22"/>
        </w:rPr>
      </w:pPr>
      <w:r w:rsidRPr="00261D0C">
        <w:rPr>
          <w:rFonts w:ascii="Arial" w:hAnsi="Arial"/>
          <w:sz w:val="22"/>
          <w:szCs w:val="22"/>
        </w:rPr>
        <w:t>recalled its concerns from March 2010 and November 2010 that restricting subsidised rituximab use to combination with FC only may not be ideal clinically, stating</w:t>
      </w:r>
      <w:r w:rsidR="000A223E" w:rsidRPr="00261D0C">
        <w:rPr>
          <w:rFonts w:ascii="Arial" w:hAnsi="Arial"/>
          <w:sz w:val="22"/>
          <w:szCs w:val="22"/>
        </w:rPr>
        <w:t xml:space="preserve"> that “if the PBS listing of rituximab was restricted to use with FC alone there may be toxicity issues with use of this combination in the elderly.” (paragraph 4.1.33, Ratified Minutes</w:t>
      </w:r>
      <w:r w:rsidRPr="00261D0C">
        <w:rPr>
          <w:rFonts w:ascii="Arial" w:hAnsi="Arial"/>
          <w:sz w:val="22"/>
          <w:szCs w:val="22"/>
        </w:rPr>
        <w:t xml:space="preserve"> November 2010</w:t>
      </w:r>
      <w:r w:rsidR="000A223E" w:rsidRPr="00261D0C">
        <w:rPr>
          <w:rFonts w:ascii="Arial" w:hAnsi="Arial"/>
          <w:sz w:val="22"/>
          <w:szCs w:val="22"/>
        </w:rPr>
        <w:t>)</w:t>
      </w:r>
    </w:p>
    <w:p w:rsidR="004B52BE" w:rsidRDefault="004B52BE" w:rsidP="004B52BE">
      <w:pPr>
        <w:pStyle w:val="ListParagraph"/>
        <w:rPr>
          <w:rFonts w:ascii="Arial" w:hAnsi="Arial"/>
          <w:sz w:val="22"/>
          <w:szCs w:val="22"/>
        </w:rPr>
      </w:pPr>
    </w:p>
    <w:p w:rsidR="00F80688" w:rsidRPr="00F80688" w:rsidRDefault="002C4207" w:rsidP="00F80688">
      <w:pPr>
        <w:pStyle w:val="ListParagraph"/>
        <w:numPr>
          <w:ilvl w:val="1"/>
          <w:numId w:val="25"/>
        </w:numPr>
        <w:jc w:val="both"/>
        <w:rPr>
          <w:rFonts w:ascii="Arial" w:hAnsi="Arial"/>
          <w:sz w:val="22"/>
          <w:szCs w:val="22"/>
        </w:rPr>
      </w:pPr>
      <w:r>
        <w:rPr>
          <w:rFonts w:ascii="Arial" w:hAnsi="Arial"/>
          <w:sz w:val="22"/>
          <w:szCs w:val="22"/>
        </w:rPr>
        <w:t xml:space="preserve">The PBAC considered that there is a clinical need for treatment options for patients with CLL with comorbidities. </w:t>
      </w:r>
      <w:r w:rsidR="00F80688" w:rsidRPr="00F80688">
        <w:rPr>
          <w:rFonts w:ascii="Arial" w:hAnsi="Arial"/>
          <w:sz w:val="22"/>
          <w:szCs w:val="22"/>
        </w:rPr>
        <w:t xml:space="preserve">The PBAC welcomed and noted the input received from individuals, health care professionals and organisations in support of the submission for </w:t>
      </w:r>
      <w:proofErr w:type="spellStart"/>
      <w:r w:rsidR="00F80688" w:rsidRPr="00F80688">
        <w:rPr>
          <w:rFonts w:ascii="Arial" w:hAnsi="Arial"/>
          <w:sz w:val="22"/>
          <w:szCs w:val="22"/>
        </w:rPr>
        <w:t>obinutuzumab</w:t>
      </w:r>
      <w:proofErr w:type="spellEnd"/>
      <w:r w:rsidR="00F80688" w:rsidRPr="00F80688">
        <w:rPr>
          <w:rFonts w:ascii="Arial" w:hAnsi="Arial"/>
          <w:sz w:val="22"/>
          <w:szCs w:val="22"/>
        </w:rPr>
        <w:t xml:space="preserve">. The comments highlighted that </w:t>
      </w:r>
      <w:proofErr w:type="spellStart"/>
      <w:r w:rsidR="00F80688" w:rsidRPr="00F80688">
        <w:rPr>
          <w:rFonts w:ascii="Arial" w:hAnsi="Arial"/>
          <w:sz w:val="22"/>
          <w:szCs w:val="22"/>
        </w:rPr>
        <w:t>obinutuzumab</w:t>
      </w:r>
      <w:proofErr w:type="spellEnd"/>
      <w:r w:rsidR="00F80688" w:rsidRPr="00F80688">
        <w:rPr>
          <w:rFonts w:ascii="Arial" w:hAnsi="Arial"/>
          <w:sz w:val="22"/>
          <w:szCs w:val="22"/>
        </w:rPr>
        <w:t xml:space="preserve"> prolongs remission during which time patients can live ‘a normal life’</w:t>
      </w:r>
      <w:r w:rsidR="00F80688">
        <w:rPr>
          <w:rFonts w:ascii="Arial" w:hAnsi="Arial"/>
          <w:sz w:val="22"/>
          <w:szCs w:val="22"/>
        </w:rPr>
        <w:t xml:space="preserve"> and </w:t>
      </w:r>
      <w:r w:rsidR="00F80688" w:rsidRPr="00F80688">
        <w:rPr>
          <w:rFonts w:ascii="Arial" w:hAnsi="Arial"/>
          <w:sz w:val="22"/>
          <w:szCs w:val="22"/>
        </w:rPr>
        <w:t xml:space="preserve">provides a treatment option for older ‘less fit’ patients with CLL. </w:t>
      </w:r>
    </w:p>
    <w:p w:rsidR="00F80688" w:rsidRPr="00F80688" w:rsidRDefault="00F80688" w:rsidP="00F80688">
      <w:pPr>
        <w:pStyle w:val="ListParagraph"/>
        <w:rPr>
          <w:rFonts w:ascii="Arial" w:hAnsi="Arial"/>
          <w:sz w:val="22"/>
          <w:szCs w:val="22"/>
        </w:rPr>
      </w:pPr>
    </w:p>
    <w:p w:rsidR="001077A7" w:rsidRPr="001077A7" w:rsidRDefault="001077A7" w:rsidP="001077A7">
      <w:pPr>
        <w:pStyle w:val="ListParagraph"/>
        <w:numPr>
          <w:ilvl w:val="1"/>
          <w:numId w:val="25"/>
        </w:numPr>
        <w:jc w:val="both"/>
        <w:rPr>
          <w:rFonts w:ascii="Arial" w:hAnsi="Arial"/>
          <w:sz w:val="22"/>
          <w:szCs w:val="22"/>
        </w:rPr>
      </w:pPr>
      <w:r w:rsidRPr="001077A7">
        <w:rPr>
          <w:rFonts w:ascii="Arial" w:hAnsi="Arial"/>
          <w:sz w:val="22"/>
          <w:szCs w:val="22"/>
        </w:rPr>
        <w:t xml:space="preserve">The PBAC considered that </w:t>
      </w:r>
      <w:r w:rsidR="004B52BE">
        <w:rPr>
          <w:rFonts w:ascii="Arial" w:hAnsi="Arial"/>
          <w:sz w:val="22"/>
          <w:szCs w:val="22"/>
        </w:rPr>
        <w:t xml:space="preserve">the place in therapy </w:t>
      </w:r>
      <w:r w:rsidR="00F80688">
        <w:rPr>
          <w:rFonts w:ascii="Arial" w:hAnsi="Arial"/>
          <w:sz w:val="22"/>
          <w:szCs w:val="22"/>
        </w:rPr>
        <w:t xml:space="preserve">proposed by the submission </w:t>
      </w:r>
      <w:r w:rsidR="00F453F3">
        <w:rPr>
          <w:rFonts w:ascii="Arial" w:hAnsi="Arial"/>
          <w:sz w:val="22"/>
          <w:szCs w:val="22"/>
        </w:rPr>
        <w:t xml:space="preserve">for </w:t>
      </w:r>
      <w:proofErr w:type="spellStart"/>
      <w:r w:rsidR="00F453F3">
        <w:rPr>
          <w:rFonts w:ascii="Arial" w:hAnsi="Arial"/>
          <w:sz w:val="22"/>
          <w:szCs w:val="22"/>
        </w:rPr>
        <w:t>obinutuzumab</w:t>
      </w:r>
      <w:proofErr w:type="spellEnd"/>
      <w:r w:rsidR="00F453F3">
        <w:rPr>
          <w:rFonts w:ascii="Arial" w:hAnsi="Arial"/>
          <w:sz w:val="22"/>
          <w:szCs w:val="22"/>
        </w:rPr>
        <w:t xml:space="preserve"> </w:t>
      </w:r>
      <w:r w:rsidRPr="001077A7">
        <w:rPr>
          <w:rFonts w:ascii="Arial" w:hAnsi="Arial"/>
          <w:sz w:val="22"/>
          <w:szCs w:val="22"/>
        </w:rPr>
        <w:t>was appropriate</w:t>
      </w:r>
      <w:r w:rsidR="00C81323">
        <w:rPr>
          <w:rFonts w:ascii="Arial" w:hAnsi="Arial"/>
          <w:sz w:val="22"/>
          <w:szCs w:val="22"/>
        </w:rPr>
        <w:t xml:space="preserve">, noting that </w:t>
      </w:r>
      <w:r w:rsidRPr="001077A7">
        <w:rPr>
          <w:rFonts w:ascii="Arial" w:hAnsi="Arial"/>
          <w:sz w:val="22"/>
          <w:szCs w:val="22"/>
        </w:rPr>
        <w:t>the submission</w:t>
      </w:r>
      <w:r w:rsidR="00C81323">
        <w:rPr>
          <w:rFonts w:ascii="Arial" w:hAnsi="Arial"/>
          <w:sz w:val="22"/>
          <w:szCs w:val="22"/>
        </w:rPr>
        <w:t xml:space="preserve"> </w:t>
      </w:r>
      <w:r w:rsidRPr="001077A7">
        <w:rPr>
          <w:rFonts w:ascii="Arial" w:hAnsi="Arial"/>
          <w:sz w:val="22"/>
          <w:szCs w:val="22"/>
        </w:rPr>
        <w:t xml:space="preserve">pertained to those patients who require therapy and focused on patients considered to be unfit for </w:t>
      </w:r>
      <w:r w:rsidR="00C81323">
        <w:rPr>
          <w:rFonts w:ascii="Arial" w:hAnsi="Arial"/>
          <w:sz w:val="22"/>
          <w:szCs w:val="22"/>
        </w:rPr>
        <w:t xml:space="preserve">FC. </w:t>
      </w:r>
      <w:r w:rsidR="00AE4921">
        <w:rPr>
          <w:rFonts w:ascii="Arial" w:hAnsi="Arial"/>
          <w:sz w:val="22"/>
          <w:szCs w:val="22"/>
        </w:rPr>
        <w:t xml:space="preserve">The PBAC considered that </w:t>
      </w:r>
      <w:proofErr w:type="spellStart"/>
      <w:r w:rsidR="00AE4921">
        <w:rPr>
          <w:rFonts w:ascii="Arial" w:hAnsi="Arial"/>
          <w:sz w:val="22"/>
          <w:szCs w:val="22"/>
        </w:rPr>
        <w:t>obinutuzumab</w:t>
      </w:r>
      <w:proofErr w:type="spellEnd"/>
      <w:r w:rsidR="00AE4921">
        <w:rPr>
          <w:rFonts w:ascii="Arial" w:hAnsi="Arial"/>
          <w:sz w:val="22"/>
          <w:szCs w:val="22"/>
        </w:rPr>
        <w:t xml:space="preserve"> should be restricted to use in patients who are previously untreated, as proposed in the submission</w:t>
      </w:r>
      <w:r w:rsidR="002F0CF3">
        <w:rPr>
          <w:rFonts w:ascii="Arial" w:hAnsi="Arial"/>
          <w:sz w:val="22"/>
          <w:szCs w:val="22"/>
        </w:rPr>
        <w:t>.</w:t>
      </w:r>
    </w:p>
    <w:p w:rsidR="00BB7EC3" w:rsidRPr="001077A7" w:rsidRDefault="00BB7EC3" w:rsidP="00BB7EC3">
      <w:pPr>
        <w:pStyle w:val="ListParagraph"/>
        <w:rPr>
          <w:rFonts w:ascii="Arial" w:hAnsi="Arial"/>
          <w:sz w:val="22"/>
          <w:szCs w:val="22"/>
        </w:rPr>
      </w:pPr>
    </w:p>
    <w:p w:rsidR="001077A7" w:rsidRPr="001077A7" w:rsidRDefault="001077A7" w:rsidP="001077A7">
      <w:pPr>
        <w:pStyle w:val="ListParagraph"/>
        <w:numPr>
          <w:ilvl w:val="1"/>
          <w:numId w:val="25"/>
        </w:numPr>
        <w:jc w:val="both"/>
        <w:rPr>
          <w:rFonts w:ascii="Arial" w:hAnsi="Arial"/>
          <w:sz w:val="22"/>
          <w:szCs w:val="22"/>
        </w:rPr>
      </w:pPr>
      <w:r w:rsidRPr="001077A7">
        <w:rPr>
          <w:rFonts w:ascii="Arial" w:hAnsi="Arial"/>
          <w:sz w:val="22"/>
          <w:szCs w:val="22"/>
        </w:rPr>
        <w:t xml:space="preserve">The PBAC considered that the </w:t>
      </w:r>
      <w:proofErr w:type="spellStart"/>
      <w:r w:rsidR="006A79C5" w:rsidRPr="004B52BE">
        <w:rPr>
          <w:rFonts w:ascii="Arial" w:hAnsi="Arial"/>
          <w:sz w:val="22"/>
          <w:szCs w:val="22"/>
        </w:rPr>
        <w:t>obinutuzumab</w:t>
      </w:r>
      <w:proofErr w:type="spellEnd"/>
      <w:r w:rsidR="006A79C5" w:rsidRPr="001077A7">
        <w:rPr>
          <w:rFonts w:ascii="Arial" w:hAnsi="Arial"/>
          <w:sz w:val="22"/>
          <w:szCs w:val="22"/>
        </w:rPr>
        <w:t xml:space="preserve"> </w:t>
      </w:r>
      <w:r w:rsidRPr="001077A7">
        <w:rPr>
          <w:rFonts w:ascii="Arial" w:hAnsi="Arial"/>
          <w:sz w:val="22"/>
          <w:szCs w:val="22"/>
        </w:rPr>
        <w:t>restriction should be based around the trial inclusion and exclusion criteria, including requiring patients to have a total CIRS score &gt;6 (excluding CLL-induced illness or organ damage) and/or a creatinine clearance</w:t>
      </w:r>
      <w:r w:rsidR="00F80688">
        <w:rPr>
          <w:rFonts w:ascii="Arial" w:hAnsi="Arial"/>
          <w:sz w:val="22"/>
          <w:szCs w:val="22"/>
        </w:rPr>
        <w:t xml:space="preserve"> &lt;70 </w:t>
      </w:r>
      <w:r w:rsidRPr="001077A7">
        <w:rPr>
          <w:rFonts w:ascii="Arial" w:hAnsi="Arial"/>
          <w:sz w:val="22"/>
          <w:szCs w:val="22"/>
        </w:rPr>
        <w:t xml:space="preserve">mL/min. </w:t>
      </w:r>
    </w:p>
    <w:p w:rsidR="001077A7" w:rsidRPr="001077A7" w:rsidRDefault="001077A7" w:rsidP="00BB7EC3">
      <w:pPr>
        <w:pStyle w:val="ListParagraph"/>
        <w:rPr>
          <w:rFonts w:ascii="Arial" w:hAnsi="Arial"/>
          <w:sz w:val="22"/>
          <w:szCs w:val="22"/>
        </w:rPr>
      </w:pPr>
    </w:p>
    <w:p w:rsidR="001077A7" w:rsidRPr="001077A7" w:rsidRDefault="001077A7" w:rsidP="001077A7">
      <w:pPr>
        <w:pStyle w:val="ListParagraph"/>
        <w:numPr>
          <w:ilvl w:val="1"/>
          <w:numId w:val="25"/>
        </w:numPr>
        <w:jc w:val="both"/>
        <w:rPr>
          <w:rFonts w:ascii="Arial" w:hAnsi="Arial"/>
          <w:sz w:val="22"/>
          <w:szCs w:val="22"/>
        </w:rPr>
      </w:pPr>
      <w:r w:rsidRPr="001077A7">
        <w:rPr>
          <w:rFonts w:ascii="Arial" w:hAnsi="Arial"/>
          <w:sz w:val="22"/>
          <w:szCs w:val="22"/>
        </w:rPr>
        <w:t xml:space="preserve">The PBAC considered that </w:t>
      </w:r>
      <w:proofErr w:type="spellStart"/>
      <w:r w:rsidRPr="001077A7">
        <w:rPr>
          <w:rFonts w:ascii="Arial" w:hAnsi="Arial"/>
          <w:sz w:val="22"/>
          <w:szCs w:val="22"/>
        </w:rPr>
        <w:t>chlorambucil</w:t>
      </w:r>
      <w:proofErr w:type="spellEnd"/>
      <w:r w:rsidRPr="001077A7">
        <w:rPr>
          <w:rFonts w:ascii="Arial" w:hAnsi="Arial"/>
          <w:sz w:val="22"/>
          <w:szCs w:val="22"/>
        </w:rPr>
        <w:t xml:space="preserve"> monotherapy</w:t>
      </w:r>
      <w:r w:rsidR="00C81323">
        <w:rPr>
          <w:rFonts w:ascii="Arial" w:hAnsi="Arial"/>
          <w:sz w:val="22"/>
          <w:szCs w:val="22"/>
        </w:rPr>
        <w:t>,</w:t>
      </w:r>
      <w:r w:rsidRPr="001077A7">
        <w:rPr>
          <w:rFonts w:ascii="Arial" w:hAnsi="Arial"/>
          <w:sz w:val="22"/>
          <w:szCs w:val="22"/>
        </w:rPr>
        <w:t xml:space="preserve"> and rituximab plus </w:t>
      </w:r>
      <w:proofErr w:type="spellStart"/>
      <w:r w:rsidRPr="001077A7">
        <w:rPr>
          <w:rFonts w:ascii="Arial" w:hAnsi="Arial"/>
          <w:sz w:val="22"/>
          <w:szCs w:val="22"/>
        </w:rPr>
        <w:t>chlorambucil</w:t>
      </w:r>
      <w:proofErr w:type="spellEnd"/>
      <w:r w:rsidRPr="001077A7">
        <w:rPr>
          <w:rFonts w:ascii="Arial" w:hAnsi="Arial"/>
          <w:sz w:val="22"/>
          <w:szCs w:val="22"/>
        </w:rPr>
        <w:t xml:space="preserve"> were both appropriate comparators.</w:t>
      </w:r>
    </w:p>
    <w:p w:rsidR="00BB7EC3" w:rsidRDefault="00BB7EC3" w:rsidP="00BB7EC3">
      <w:pPr>
        <w:pStyle w:val="ListParagraph"/>
        <w:rPr>
          <w:rFonts w:ascii="Arial" w:hAnsi="Arial"/>
          <w:sz w:val="22"/>
          <w:szCs w:val="22"/>
        </w:rPr>
      </w:pPr>
    </w:p>
    <w:p w:rsidR="00074DEF" w:rsidRDefault="00074DEF" w:rsidP="00486E5E">
      <w:pPr>
        <w:pStyle w:val="ListParagraph"/>
        <w:numPr>
          <w:ilvl w:val="1"/>
          <w:numId w:val="25"/>
        </w:numPr>
        <w:jc w:val="both"/>
        <w:rPr>
          <w:rFonts w:ascii="Arial" w:hAnsi="Arial"/>
          <w:sz w:val="22"/>
          <w:szCs w:val="22"/>
        </w:rPr>
      </w:pPr>
      <w:r w:rsidRPr="00486E5E">
        <w:rPr>
          <w:rFonts w:ascii="Arial" w:hAnsi="Arial"/>
          <w:sz w:val="22"/>
          <w:szCs w:val="22"/>
        </w:rPr>
        <w:t xml:space="preserve">The PBAC noted the ESC’s concerns regarding the dose of </w:t>
      </w:r>
      <w:proofErr w:type="spellStart"/>
      <w:r w:rsidRPr="00486E5E">
        <w:rPr>
          <w:rFonts w:ascii="Arial" w:hAnsi="Arial"/>
          <w:sz w:val="22"/>
          <w:szCs w:val="22"/>
        </w:rPr>
        <w:t>chlorambucil</w:t>
      </w:r>
      <w:proofErr w:type="spellEnd"/>
      <w:r w:rsidRPr="00486E5E">
        <w:rPr>
          <w:rFonts w:ascii="Arial" w:hAnsi="Arial"/>
          <w:sz w:val="22"/>
          <w:szCs w:val="22"/>
        </w:rPr>
        <w:t xml:space="preserve"> administered in the monotherapy arm of the CLL11 trial, but </w:t>
      </w:r>
      <w:r w:rsidR="00486E5E" w:rsidRPr="00486E5E">
        <w:rPr>
          <w:rFonts w:ascii="Arial" w:hAnsi="Arial"/>
          <w:sz w:val="22"/>
          <w:szCs w:val="22"/>
        </w:rPr>
        <w:t xml:space="preserve">agreed with the sponsor </w:t>
      </w:r>
      <w:r w:rsidRPr="00486E5E">
        <w:rPr>
          <w:rFonts w:ascii="Arial" w:hAnsi="Arial"/>
          <w:sz w:val="22"/>
          <w:szCs w:val="22"/>
        </w:rPr>
        <w:t>that</w:t>
      </w:r>
      <w:r w:rsidR="00486E5E">
        <w:rPr>
          <w:rFonts w:ascii="Arial" w:hAnsi="Arial"/>
          <w:sz w:val="22"/>
          <w:szCs w:val="22"/>
        </w:rPr>
        <w:t xml:space="preserve"> </w:t>
      </w:r>
      <w:r w:rsidRPr="00486E5E">
        <w:rPr>
          <w:rFonts w:ascii="Arial" w:hAnsi="Arial"/>
          <w:sz w:val="22"/>
          <w:szCs w:val="22"/>
        </w:rPr>
        <w:t>the</w:t>
      </w:r>
      <w:r w:rsidR="00486E5E" w:rsidRPr="00486E5E">
        <w:rPr>
          <w:rFonts w:ascii="Arial" w:hAnsi="Arial"/>
          <w:sz w:val="22"/>
          <w:szCs w:val="22"/>
        </w:rPr>
        <w:t xml:space="preserve"> </w:t>
      </w:r>
      <w:proofErr w:type="spellStart"/>
      <w:r w:rsidR="00486E5E" w:rsidRPr="00486E5E">
        <w:rPr>
          <w:rFonts w:ascii="Arial" w:hAnsi="Arial"/>
          <w:sz w:val="22"/>
          <w:szCs w:val="22"/>
        </w:rPr>
        <w:t>chlorambucil</w:t>
      </w:r>
      <w:proofErr w:type="spellEnd"/>
      <w:r w:rsidR="00486E5E" w:rsidRPr="00486E5E">
        <w:rPr>
          <w:rFonts w:ascii="Arial" w:hAnsi="Arial"/>
          <w:sz w:val="22"/>
          <w:szCs w:val="22"/>
        </w:rPr>
        <w:t xml:space="preserve"> dosing used in the trial </w:t>
      </w:r>
      <w:r w:rsidRPr="00486E5E">
        <w:rPr>
          <w:rFonts w:ascii="Arial" w:hAnsi="Arial"/>
          <w:sz w:val="22"/>
          <w:szCs w:val="22"/>
        </w:rPr>
        <w:t xml:space="preserve">was applicable to </w:t>
      </w:r>
      <w:r w:rsidR="00486E5E">
        <w:rPr>
          <w:rFonts w:ascii="Arial" w:hAnsi="Arial"/>
          <w:sz w:val="22"/>
          <w:szCs w:val="22"/>
        </w:rPr>
        <w:t xml:space="preserve">Australian </w:t>
      </w:r>
      <w:r w:rsidRPr="00486E5E">
        <w:rPr>
          <w:rFonts w:ascii="Arial" w:hAnsi="Arial"/>
          <w:sz w:val="22"/>
          <w:szCs w:val="22"/>
        </w:rPr>
        <w:t xml:space="preserve">clinical practice </w:t>
      </w:r>
      <w:r w:rsidR="00486E5E" w:rsidRPr="00486E5E">
        <w:rPr>
          <w:rFonts w:ascii="Arial" w:hAnsi="Arial"/>
          <w:sz w:val="22"/>
          <w:szCs w:val="22"/>
        </w:rPr>
        <w:t>in the relevant group of patients with co-morbidities</w:t>
      </w:r>
      <w:r w:rsidRPr="00486E5E">
        <w:rPr>
          <w:rFonts w:ascii="Arial" w:hAnsi="Arial"/>
          <w:sz w:val="22"/>
          <w:szCs w:val="22"/>
        </w:rPr>
        <w:t xml:space="preserve">. Australian guidelines (such as the </w:t>
      </w:r>
      <w:proofErr w:type="spellStart"/>
      <w:r w:rsidRPr="00486E5E">
        <w:rPr>
          <w:rFonts w:ascii="Arial" w:hAnsi="Arial"/>
          <w:sz w:val="22"/>
          <w:szCs w:val="22"/>
        </w:rPr>
        <w:t>eviQ</w:t>
      </w:r>
      <w:proofErr w:type="spellEnd"/>
      <w:r w:rsidRPr="00486E5E">
        <w:rPr>
          <w:rFonts w:ascii="Arial" w:hAnsi="Arial"/>
          <w:sz w:val="22"/>
          <w:szCs w:val="22"/>
        </w:rPr>
        <w:t xml:space="preserve"> treatment protocol) recommend</w:t>
      </w:r>
      <w:r>
        <w:rPr>
          <w:rFonts w:ascii="Arial" w:hAnsi="Arial"/>
          <w:sz w:val="22"/>
          <w:szCs w:val="22"/>
        </w:rPr>
        <w:t xml:space="preserve"> the use of lower </w:t>
      </w:r>
      <w:proofErr w:type="spellStart"/>
      <w:r>
        <w:rPr>
          <w:rFonts w:ascii="Arial" w:hAnsi="Arial"/>
          <w:sz w:val="22"/>
          <w:szCs w:val="22"/>
        </w:rPr>
        <w:t>chlorambucil</w:t>
      </w:r>
      <w:proofErr w:type="spellEnd"/>
      <w:r>
        <w:rPr>
          <w:rFonts w:ascii="Arial" w:hAnsi="Arial"/>
          <w:sz w:val="22"/>
          <w:szCs w:val="22"/>
        </w:rPr>
        <w:t xml:space="preserve"> doses in elderly patients with co-morbidities.</w:t>
      </w:r>
    </w:p>
    <w:p w:rsidR="001077A7" w:rsidRPr="00BB7EC3" w:rsidRDefault="001077A7" w:rsidP="00BB7EC3">
      <w:pPr>
        <w:pStyle w:val="ListParagraph"/>
        <w:rPr>
          <w:rFonts w:ascii="Arial" w:hAnsi="Arial"/>
          <w:sz w:val="22"/>
          <w:szCs w:val="22"/>
        </w:rPr>
      </w:pPr>
    </w:p>
    <w:p w:rsidR="00074DEF" w:rsidRPr="00ED150D" w:rsidRDefault="00074DEF" w:rsidP="003E272B">
      <w:pPr>
        <w:pStyle w:val="ListParagraph"/>
        <w:numPr>
          <w:ilvl w:val="1"/>
          <w:numId w:val="25"/>
        </w:numPr>
        <w:jc w:val="both"/>
        <w:rPr>
          <w:rFonts w:ascii="Arial" w:hAnsi="Arial"/>
          <w:sz w:val="22"/>
          <w:szCs w:val="22"/>
        </w:rPr>
      </w:pPr>
      <w:r w:rsidRPr="00486E5E">
        <w:rPr>
          <w:rFonts w:ascii="Arial" w:hAnsi="Arial"/>
          <w:sz w:val="22"/>
          <w:szCs w:val="22"/>
        </w:rPr>
        <w:t xml:space="preserve">The PBAC considered that time to next </w:t>
      </w:r>
      <w:r w:rsidR="00486E5E" w:rsidRPr="00486E5E">
        <w:rPr>
          <w:rFonts w:ascii="Arial" w:hAnsi="Arial"/>
          <w:sz w:val="22"/>
          <w:szCs w:val="22"/>
        </w:rPr>
        <w:t>anti-</w:t>
      </w:r>
      <w:proofErr w:type="spellStart"/>
      <w:r w:rsidR="00486E5E" w:rsidRPr="00486E5E">
        <w:rPr>
          <w:rFonts w:ascii="Arial" w:hAnsi="Arial"/>
          <w:sz w:val="22"/>
          <w:szCs w:val="22"/>
        </w:rPr>
        <w:t>leukemia</w:t>
      </w:r>
      <w:proofErr w:type="spellEnd"/>
      <w:r w:rsidR="00486E5E" w:rsidRPr="00486E5E">
        <w:rPr>
          <w:rFonts w:ascii="Arial" w:hAnsi="Arial"/>
          <w:sz w:val="22"/>
          <w:szCs w:val="22"/>
        </w:rPr>
        <w:t xml:space="preserve"> </w:t>
      </w:r>
      <w:r w:rsidRPr="00486E5E">
        <w:rPr>
          <w:rFonts w:ascii="Arial" w:hAnsi="Arial"/>
          <w:sz w:val="22"/>
          <w:szCs w:val="22"/>
        </w:rPr>
        <w:t>therapy</w:t>
      </w:r>
      <w:r w:rsidR="00486E5E">
        <w:rPr>
          <w:rFonts w:ascii="Arial" w:hAnsi="Arial"/>
          <w:sz w:val="22"/>
          <w:szCs w:val="22"/>
        </w:rPr>
        <w:t>, which was a secondary outcome of CLL11,</w:t>
      </w:r>
      <w:r w:rsidRPr="00486E5E">
        <w:rPr>
          <w:rFonts w:ascii="Arial" w:hAnsi="Arial"/>
          <w:sz w:val="22"/>
          <w:szCs w:val="22"/>
        </w:rPr>
        <w:t xml:space="preserve"> was an important, patient relevant outcome. The PBAC noted that</w:t>
      </w:r>
      <w:r w:rsidR="003E272B">
        <w:rPr>
          <w:rFonts w:ascii="Arial" w:hAnsi="Arial"/>
          <w:sz w:val="22"/>
          <w:szCs w:val="22"/>
        </w:rPr>
        <w:t>, on average,</w:t>
      </w:r>
      <w:r w:rsidRPr="00486E5E">
        <w:rPr>
          <w:rFonts w:ascii="Arial" w:hAnsi="Arial"/>
          <w:sz w:val="22"/>
          <w:szCs w:val="22"/>
        </w:rPr>
        <w:t xml:space="preserve"> </w:t>
      </w:r>
      <w:r w:rsidR="003E272B">
        <w:rPr>
          <w:rFonts w:ascii="Arial" w:hAnsi="Arial"/>
          <w:sz w:val="22"/>
          <w:szCs w:val="22"/>
        </w:rPr>
        <w:t xml:space="preserve">there was a </w:t>
      </w:r>
      <w:r w:rsidR="00ED150D">
        <w:rPr>
          <w:rFonts w:ascii="Arial" w:hAnsi="Arial"/>
          <w:sz w:val="22"/>
          <w:szCs w:val="22"/>
        </w:rPr>
        <w:t>considerable</w:t>
      </w:r>
      <w:r w:rsidR="003E272B">
        <w:rPr>
          <w:rFonts w:ascii="Arial" w:hAnsi="Arial"/>
          <w:sz w:val="22"/>
          <w:szCs w:val="22"/>
        </w:rPr>
        <w:t xml:space="preserve"> </w:t>
      </w:r>
      <w:r w:rsidR="003E272B" w:rsidRPr="003E272B">
        <w:rPr>
          <w:rFonts w:ascii="Arial" w:hAnsi="Arial"/>
          <w:sz w:val="22"/>
          <w:szCs w:val="22"/>
        </w:rPr>
        <w:t xml:space="preserve">length of time between </w:t>
      </w:r>
      <w:r w:rsidR="003E272B">
        <w:rPr>
          <w:rFonts w:ascii="Arial" w:hAnsi="Arial"/>
          <w:sz w:val="22"/>
          <w:szCs w:val="22"/>
        </w:rPr>
        <w:t xml:space="preserve">a patient </w:t>
      </w:r>
      <w:r w:rsidR="003E272B" w:rsidRPr="003E272B">
        <w:rPr>
          <w:rFonts w:ascii="Arial" w:hAnsi="Arial"/>
          <w:sz w:val="22"/>
          <w:szCs w:val="22"/>
        </w:rPr>
        <w:t>progressing and requiring their next anti-</w:t>
      </w:r>
      <w:proofErr w:type="spellStart"/>
      <w:r w:rsidR="003E272B" w:rsidRPr="003E272B">
        <w:rPr>
          <w:rFonts w:ascii="Arial" w:hAnsi="Arial"/>
          <w:sz w:val="22"/>
          <w:szCs w:val="22"/>
        </w:rPr>
        <w:t>leukemia</w:t>
      </w:r>
      <w:proofErr w:type="spellEnd"/>
      <w:r w:rsidR="003E272B" w:rsidRPr="003E272B">
        <w:rPr>
          <w:rFonts w:ascii="Arial" w:hAnsi="Arial"/>
          <w:sz w:val="22"/>
          <w:szCs w:val="22"/>
        </w:rPr>
        <w:t xml:space="preserve"> therapy - in the </w:t>
      </w:r>
      <w:proofErr w:type="spellStart"/>
      <w:r w:rsidR="003E272B" w:rsidRPr="003E272B">
        <w:rPr>
          <w:rFonts w:ascii="Arial" w:hAnsi="Arial"/>
          <w:sz w:val="22"/>
          <w:szCs w:val="22"/>
        </w:rPr>
        <w:t>obinutuzumab</w:t>
      </w:r>
      <w:proofErr w:type="spellEnd"/>
      <w:r w:rsidR="003E272B" w:rsidRPr="003E272B">
        <w:rPr>
          <w:rFonts w:ascii="Arial" w:hAnsi="Arial"/>
          <w:sz w:val="22"/>
          <w:szCs w:val="22"/>
        </w:rPr>
        <w:t xml:space="preserve"> plus </w:t>
      </w:r>
      <w:proofErr w:type="spellStart"/>
      <w:r w:rsidR="003E272B" w:rsidRPr="003E272B">
        <w:rPr>
          <w:rFonts w:ascii="Arial" w:hAnsi="Arial"/>
          <w:sz w:val="22"/>
          <w:szCs w:val="22"/>
        </w:rPr>
        <w:t>chlorambucil</w:t>
      </w:r>
      <w:proofErr w:type="spellEnd"/>
      <w:r w:rsidR="003E272B" w:rsidRPr="003E272B">
        <w:rPr>
          <w:rFonts w:ascii="Arial" w:hAnsi="Arial"/>
          <w:sz w:val="22"/>
          <w:szCs w:val="22"/>
        </w:rPr>
        <w:t xml:space="preserve"> arm the difference between median PFS and median time to next therapy was</w:t>
      </w:r>
      <w:r w:rsidR="003E272B" w:rsidRPr="00B04DF2">
        <w:rPr>
          <w:rFonts w:ascii="Arial" w:hAnsi="Arial"/>
          <w:sz w:val="22"/>
          <w:szCs w:val="22"/>
        </w:rPr>
        <w:t xml:space="preserve"> </w:t>
      </w:r>
      <w:r w:rsidR="00197B45">
        <w:rPr>
          <w:rFonts w:ascii="Arial" w:hAnsi="Arial"/>
          <w:noProof/>
          <w:color w:val="000000"/>
          <w:sz w:val="22"/>
          <w:szCs w:val="22"/>
          <w:highlight w:val="black"/>
        </w:rPr>
        <w:t>''''''''''</w:t>
      </w:r>
      <w:r w:rsidR="003E272B" w:rsidRPr="00E55E43">
        <w:rPr>
          <w:rFonts w:ascii="Arial" w:hAnsi="Arial"/>
          <w:sz w:val="22"/>
          <w:szCs w:val="22"/>
        </w:rPr>
        <w:t xml:space="preserve"> months</w:t>
      </w:r>
      <w:r w:rsidR="003E272B" w:rsidRPr="003E272B">
        <w:rPr>
          <w:rFonts w:ascii="Arial" w:hAnsi="Arial"/>
          <w:sz w:val="22"/>
          <w:szCs w:val="22"/>
        </w:rPr>
        <w:t xml:space="preserve">, and in the rituximab plus </w:t>
      </w:r>
      <w:proofErr w:type="spellStart"/>
      <w:r w:rsidR="003E272B" w:rsidRPr="003E272B">
        <w:rPr>
          <w:rFonts w:ascii="Arial" w:hAnsi="Arial"/>
          <w:sz w:val="22"/>
          <w:szCs w:val="22"/>
        </w:rPr>
        <w:t>chlorambucil</w:t>
      </w:r>
      <w:proofErr w:type="spellEnd"/>
      <w:r w:rsidR="003E272B" w:rsidRPr="003E272B">
        <w:rPr>
          <w:rFonts w:ascii="Arial" w:hAnsi="Arial"/>
          <w:sz w:val="22"/>
          <w:szCs w:val="22"/>
        </w:rPr>
        <w:t xml:space="preserve"> </w:t>
      </w:r>
      <w:r w:rsidR="003E272B" w:rsidRPr="00ED150D">
        <w:rPr>
          <w:rFonts w:ascii="Arial" w:hAnsi="Arial"/>
          <w:sz w:val="22"/>
          <w:szCs w:val="22"/>
        </w:rPr>
        <w:t>arm the difference was</w:t>
      </w:r>
      <w:r w:rsidR="003E272B" w:rsidRPr="00B04DF2">
        <w:rPr>
          <w:rFonts w:ascii="Arial" w:hAnsi="Arial"/>
          <w:sz w:val="22"/>
          <w:szCs w:val="22"/>
        </w:rPr>
        <w:t xml:space="preserve"> </w:t>
      </w:r>
      <w:r w:rsidR="00197B45">
        <w:rPr>
          <w:rFonts w:ascii="Arial" w:hAnsi="Arial"/>
          <w:noProof/>
          <w:color w:val="000000"/>
          <w:sz w:val="22"/>
          <w:szCs w:val="22"/>
          <w:highlight w:val="black"/>
        </w:rPr>
        <w:t>'''''''''''</w:t>
      </w:r>
      <w:r w:rsidR="003E272B" w:rsidRPr="00B04DF2">
        <w:rPr>
          <w:rFonts w:ascii="Arial" w:hAnsi="Arial"/>
          <w:sz w:val="22"/>
          <w:szCs w:val="22"/>
        </w:rPr>
        <w:t xml:space="preserve"> </w:t>
      </w:r>
      <w:r w:rsidR="003E272B" w:rsidRPr="00E55E43">
        <w:rPr>
          <w:rFonts w:ascii="Arial" w:hAnsi="Arial"/>
          <w:sz w:val="22"/>
          <w:szCs w:val="22"/>
        </w:rPr>
        <w:t>months</w:t>
      </w:r>
      <w:r w:rsidR="003E272B" w:rsidRPr="00ED150D">
        <w:rPr>
          <w:rFonts w:ascii="Arial" w:hAnsi="Arial"/>
          <w:sz w:val="22"/>
          <w:szCs w:val="22"/>
        </w:rPr>
        <w:t>.</w:t>
      </w:r>
    </w:p>
    <w:p w:rsidR="00BB7EC3" w:rsidRPr="00ED150D" w:rsidRDefault="00BB7EC3" w:rsidP="00BB7EC3">
      <w:pPr>
        <w:pStyle w:val="ListParagraph"/>
        <w:rPr>
          <w:rFonts w:ascii="Arial" w:hAnsi="Arial"/>
          <w:sz w:val="22"/>
          <w:szCs w:val="22"/>
        </w:rPr>
      </w:pPr>
    </w:p>
    <w:p w:rsidR="00E45928" w:rsidRDefault="00074DEF" w:rsidP="00ED150D">
      <w:pPr>
        <w:pStyle w:val="ListParagraph"/>
        <w:numPr>
          <w:ilvl w:val="1"/>
          <w:numId w:val="25"/>
        </w:numPr>
        <w:jc w:val="both"/>
        <w:rPr>
          <w:rFonts w:ascii="Arial" w:hAnsi="Arial"/>
          <w:sz w:val="22"/>
          <w:szCs w:val="22"/>
        </w:rPr>
      </w:pPr>
      <w:r w:rsidRPr="00E45928">
        <w:rPr>
          <w:rFonts w:ascii="Arial" w:hAnsi="Arial"/>
          <w:sz w:val="22"/>
          <w:szCs w:val="22"/>
        </w:rPr>
        <w:t xml:space="preserve">The PBAC accepted the </w:t>
      </w:r>
      <w:proofErr w:type="gramStart"/>
      <w:r w:rsidRPr="00E45928">
        <w:rPr>
          <w:rFonts w:ascii="Arial" w:hAnsi="Arial"/>
          <w:sz w:val="22"/>
          <w:szCs w:val="22"/>
        </w:rPr>
        <w:t>submission’s</w:t>
      </w:r>
      <w:proofErr w:type="gramEnd"/>
      <w:r w:rsidRPr="00E45928">
        <w:rPr>
          <w:rFonts w:ascii="Arial" w:hAnsi="Arial"/>
          <w:sz w:val="22"/>
          <w:szCs w:val="22"/>
        </w:rPr>
        <w:t xml:space="preserve"> claim that </w:t>
      </w:r>
      <w:proofErr w:type="spellStart"/>
      <w:r w:rsidRPr="00E45928">
        <w:rPr>
          <w:rFonts w:ascii="Arial" w:hAnsi="Arial"/>
          <w:sz w:val="22"/>
          <w:szCs w:val="22"/>
        </w:rPr>
        <w:t>obinutuzumab</w:t>
      </w:r>
      <w:proofErr w:type="spellEnd"/>
      <w:r w:rsidRPr="00E45928">
        <w:rPr>
          <w:rFonts w:ascii="Arial" w:hAnsi="Arial"/>
          <w:sz w:val="22"/>
          <w:szCs w:val="22"/>
        </w:rPr>
        <w:t xml:space="preserve"> plus </w:t>
      </w:r>
      <w:proofErr w:type="spellStart"/>
      <w:r w:rsidRPr="00E45928">
        <w:rPr>
          <w:rFonts w:ascii="Arial" w:hAnsi="Arial"/>
          <w:sz w:val="22"/>
          <w:szCs w:val="22"/>
        </w:rPr>
        <w:t>chlorambucil</w:t>
      </w:r>
      <w:proofErr w:type="spellEnd"/>
      <w:r w:rsidRPr="00E45928">
        <w:rPr>
          <w:rFonts w:ascii="Arial" w:hAnsi="Arial"/>
          <w:sz w:val="22"/>
          <w:szCs w:val="22"/>
        </w:rPr>
        <w:t xml:space="preserve"> is superior in terms of comparative effectiveness and inferior in terms of comparative safety over </w:t>
      </w:r>
      <w:proofErr w:type="spellStart"/>
      <w:r w:rsidRPr="00E45928">
        <w:rPr>
          <w:rFonts w:ascii="Arial" w:hAnsi="Arial"/>
          <w:sz w:val="22"/>
          <w:szCs w:val="22"/>
        </w:rPr>
        <w:t>chlorambucil</w:t>
      </w:r>
      <w:proofErr w:type="spellEnd"/>
      <w:r w:rsidRPr="00E45928">
        <w:rPr>
          <w:rFonts w:ascii="Arial" w:hAnsi="Arial"/>
          <w:sz w:val="22"/>
          <w:szCs w:val="22"/>
        </w:rPr>
        <w:t xml:space="preserve"> alone.</w:t>
      </w:r>
    </w:p>
    <w:p w:rsidR="00E45928" w:rsidRPr="00E45928" w:rsidRDefault="00E45928" w:rsidP="00E45928">
      <w:pPr>
        <w:pStyle w:val="ListParagraph"/>
        <w:rPr>
          <w:rFonts w:ascii="Arial" w:hAnsi="Arial"/>
          <w:sz w:val="22"/>
          <w:szCs w:val="22"/>
        </w:rPr>
      </w:pPr>
    </w:p>
    <w:p w:rsidR="00ED150D" w:rsidRPr="00E45928" w:rsidRDefault="00074DEF" w:rsidP="00ED150D">
      <w:pPr>
        <w:pStyle w:val="ListParagraph"/>
        <w:numPr>
          <w:ilvl w:val="1"/>
          <w:numId w:val="25"/>
        </w:numPr>
        <w:jc w:val="both"/>
        <w:rPr>
          <w:rFonts w:ascii="Arial" w:hAnsi="Arial"/>
          <w:sz w:val="22"/>
          <w:szCs w:val="22"/>
        </w:rPr>
      </w:pPr>
      <w:r w:rsidRPr="00E45928">
        <w:rPr>
          <w:rFonts w:ascii="Arial" w:hAnsi="Arial"/>
          <w:sz w:val="22"/>
          <w:szCs w:val="22"/>
        </w:rPr>
        <w:lastRenderedPageBreak/>
        <w:t xml:space="preserve">With regard to the comparison against rituximab plus </w:t>
      </w:r>
      <w:proofErr w:type="spellStart"/>
      <w:r w:rsidRPr="00E45928">
        <w:rPr>
          <w:rFonts w:ascii="Arial" w:hAnsi="Arial"/>
          <w:sz w:val="22"/>
          <w:szCs w:val="22"/>
        </w:rPr>
        <w:t>chlorambucil</w:t>
      </w:r>
      <w:proofErr w:type="spellEnd"/>
      <w:r w:rsidRPr="00E45928">
        <w:rPr>
          <w:rFonts w:ascii="Arial" w:hAnsi="Arial"/>
          <w:sz w:val="22"/>
          <w:szCs w:val="22"/>
        </w:rPr>
        <w:t xml:space="preserve">, the PBAC accepted the submission’s claim that </w:t>
      </w:r>
      <w:proofErr w:type="spellStart"/>
      <w:r w:rsidRPr="00E45928">
        <w:rPr>
          <w:rFonts w:ascii="Arial" w:hAnsi="Arial"/>
          <w:sz w:val="22"/>
          <w:szCs w:val="22"/>
        </w:rPr>
        <w:t>obinutuzumab</w:t>
      </w:r>
      <w:proofErr w:type="spellEnd"/>
      <w:r w:rsidRPr="00E45928">
        <w:rPr>
          <w:rFonts w:ascii="Arial" w:hAnsi="Arial"/>
          <w:sz w:val="22"/>
          <w:szCs w:val="22"/>
        </w:rPr>
        <w:t xml:space="preserve"> plus </w:t>
      </w:r>
      <w:proofErr w:type="spellStart"/>
      <w:r w:rsidRPr="00E45928">
        <w:rPr>
          <w:rFonts w:ascii="Arial" w:hAnsi="Arial"/>
          <w:sz w:val="22"/>
          <w:szCs w:val="22"/>
        </w:rPr>
        <w:t>chlorambucil</w:t>
      </w:r>
      <w:proofErr w:type="spellEnd"/>
      <w:r w:rsidRPr="00E45928">
        <w:rPr>
          <w:rFonts w:ascii="Arial" w:hAnsi="Arial"/>
          <w:sz w:val="22"/>
          <w:szCs w:val="22"/>
        </w:rPr>
        <w:t xml:space="preserve"> is superior in terms of comparative effectiveness in relation to PFS, and inferior in terms of comparative safety.</w:t>
      </w:r>
      <w:r w:rsidR="00ED150D" w:rsidRPr="00E45928">
        <w:rPr>
          <w:rFonts w:ascii="Arial" w:hAnsi="Arial"/>
          <w:sz w:val="22"/>
          <w:szCs w:val="22"/>
        </w:rPr>
        <w:t xml:space="preserve"> The PBAC noted that while the hazard ratio for OS was not </w:t>
      </w:r>
      <w:r w:rsidR="003675F9">
        <w:rPr>
          <w:rFonts w:ascii="Arial" w:hAnsi="Arial"/>
          <w:sz w:val="22"/>
          <w:szCs w:val="22"/>
        </w:rPr>
        <w:t xml:space="preserve">statistically </w:t>
      </w:r>
      <w:r w:rsidR="00ED150D" w:rsidRPr="00E45928">
        <w:rPr>
          <w:rFonts w:ascii="Arial" w:hAnsi="Arial"/>
          <w:sz w:val="22"/>
          <w:szCs w:val="22"/>
        </w:rPr>
        <w:t xml:space="preserve">significant, the trend was in favour of </w:t>
      </w:r>
      <w:proofErr w:type="spellStart"/>
      <w:r w:rsidR="00ED150D" w:rsidRPr="00E45928">
        <w:rPr>
          <w:rFonts w:ascii="Arial" w:hAnsi="Arial"/>
          <w:sz w:val="22"/>
          <w:szCs w:val="22"/>
        </w:rPr>
        <w:t>obinutuzumab</w:t>
      </w:r>
      <w:proofErr w:type="spellEnd"/>
      <w:r w:rsidR="00ED150D" w:rsidRPr="00E45928">
        <w:rPr>
          <w:rFonts w:ascii="Arial" w:hAnsi="Arial"/>
          <w:sz w:val="22"/>
          <w:szCs w:val="22"/>
        </w:rPr>
        <w:t xml:space="preserve"> plus </w:t>
      </w:r>
      <w:proofErr w:type="spellStart"/>
      <w:r w:rsidR="00ED150D" w:rsidRPr="00E45928">
        <w:rPr>
          <w:rFonts w:ascii="Arial" w:hAnsi="Arial"/>
          <w:sz w:val="22"/>
          <w:szCs w:val="22"/>
        </w:rPr>
        <w:t>chlorambucil</w:t>
      </w:r>
      <w:proofErr w:type="spellEnd"/>
      <w:r w:rsidR="00ED150D" w:rsidRPr="00E45928">
        <w:rPr>
          <w:rFonts w:ascii="Arial" w:hAnsi="Arial"/>
          <w:sz w:val="22"/>
          <w:szCs w:val="22"/>
        </w:rPr>
        <w:t xml:space="preserve"> and the more recent data is approaching statistical significance</w:t>
      </w:r>
      <w:r w:rsidR="00ED150D" w:rsidRPr="00E55E43">
        <w:rPr>
          <w:rFonts w:ascii="Arial" w:hAnsi="Arial"/>
          <w:sz w:val="22"/>
          <w:szCs w:val="22"/>
        </w:rPr>
        <w:t xml:space="preserve"> </w:t>
      </w:r>
      <w:r w:rsidR="00197B45">
        <w:rPr>
          <w:rFonts w:ascii="Arial" w:hAnsi="Arial"/>
          <w:noProof/>
          <w:color w:val="000000"/>
          <w:sz w:val="22"/>
          <w:szCs w:val="22"/>
          <w:highlight w:val="black"/>
        </w:rPr>
        <w:t>''''''''''' '''''''''' '''''''''''''''''''''''''''</w:t>
      </w:r>
      <w:r w:rsidR="00ED150D" w:rsidRPr="00E45928">
        <w:rPr>
          <w:rFonts w:ascii="Arial" w:hAnsi="Arial"/>
          <w:sz w:val="22"/>
          <w:szCs w:val="22"/>
        </w:rPr>
        <w:t>.</w:t>
      </w:r>
    </w:p>
    <w:p w:rsidR="00074DEF" w:rsidRPr="00BB7EC3" w:rsidRDefault="00074DEF" w:rsidP="00BB7EC3">
      <w:pPr>
        <w:pStyle w:val="ListParagraph"/>
        <w:rPr>
          <w:rFonts w:ascii="Arial" w:hAnsi="Arial"/>
          <w:sz w:val="22"/>
          <w:szCs w:val="22"/>
        </w:rPr>
      </w:pPr>
    </w:p>
    <w:p w:rsidR="00F453F3" w:rsidRDefault="00F453F3" w:rsidP="00A05365">
      <w:pPr>
        <w:pStyle w:val="ListParagraph"/>
        <w:numPr>
          <w:ilvl w:val="1"/>
          <w:numId w:val="25"/>
        </w:numPr>
        <w:tabs>
          <w:tab w:val="left" w:pos="5529"/>
        </w:tabs>
        <w:jc w:val="both"/>
        <w:rPr>
          <w:rFonts w:ascii="Arial" w:hAnsi="Arial"/>
          <w:sz w:val="22"/>
          <w:szCs w:val="22"/>
        </w:rPr>
      </w:pPr>
      <w:r>
        <w:rPr>
          <w:rFonts w:ascii="Arial" w:hAnsi="Arial"/>
          <w:sz w:val="22"/>
          <w:szCs w:val="22"/>
        </w:rPr>
        <w:t xml:space="preserve">The PBAC noted that there were a number of aspects of the economic model that led to its conclusion that the </w:t>
      </w:r>
      <w:r w:rsidR="00A05365">
        <w:rPr>
          <w:rFonts w:ascii="Arial" w:hAnsi="Arial"/>
          <w:sz w:val="22"/>
          <w:szCs w:val="22"/>
        </w:rPr>
        <w:t>economic model submitted by the</w:t>
      </w:r>
      <w:r w:rsidR="00A05365" w:rsidRPr="00A05365">
        <w:rPr>
          <w:rFonts w:ascii="Arial" w:hAnsi="Arial"/>
          <w:sz w:val="22"/>
          <w:szCs w:val="22"/>
        </w:rPr>
        <w:t xml:space="preserve"> </w:t>
      </w:r>
      <w:r w:rsidR="00A05365">
        <w:rPr>
          <w:rFonts w:ascii="Arial" w:hAnsi="Arial"/>
          <w:sz w:val="22"/>
          <w:szCs w:val="22"/>
        </w:rPr>
        <w:t xml:space="preserve">sponsor </w:t>
      </w:r>
      <w:r w:rsidR="00A05365" w:rsidRPr="00A05365">
        <w:rPr>
          <w:rFonts w:ascii="Arial" w:hAnsi="Arial"/>
          <w:sz w:val="22"/>
          <w:szCs w:val="22"/>
        </w:rPr>
        <w:t xml:space="preserve">was unsuitable as a basis for determining the cost-effectiveness of </w:t>
      </w:r>
      <w:proofErr w:type="spellStart"/>
      <w:r w:rsidR="00A05365" w:rsidRPr="00A05365">
        <w:rPr>
          <w:rFonts w:ascii="Arial" w:hAnsi="Arial"/>
          <w:sz w:val="22"/>
          <w:szCs w:val="22"/>
        </w:rPr>
        <w:t>obinutuzumab</w:t>
      </w:r>
      <w:proofErr w:type="spellEnd"/>
      <w:r w:rsidR="00A05365" w:rsidRPr="00A05365">
        <w:rPr>
          <w:rFonts w:ascii="Arial" w:hAnsi="Arial"/>
          <w:sz w:val="22"/>
          <w:szCs w:val="22"/>
        </w:rPr>
        <w:t xml:space="preserve"> in the requested treatment setting</w:t>
      </w:r>
      <w:r>
        <w:rPr>
          <w:rFonts w:ascii="Arial" w:hAnsi="Arial"/>
          <w:sz w:val="22"/>
          <w:szCs w:val="22"/>
        </w:rPr>
        <w:t>.</w:t>
      </w:r>
    </w:p>
    <w:p w:rsidR="00F453F3" w:rsidRPr="00F453F3" w:rsidRDefault="00F453F3" w:rsidP="00F453F3">
      <w:pPr>
        <w:pStyle w:val="ListParagraph"/>
        <w:rPr>
          <w:rFonts w:ascii="Arial" w:hAnsi="Arial"/>
          <w:sz w:val="22"/>
          <w:szCs w:val="22"/>
        </w:rPr>
      </w:pPr>
    </w:p>
    <w:p w:rsidR="00C37614" w:rsidRPr="00C37614" w:rsidRDefault="00C37614" w:rsidP="00C37614">
      <w:pPr>
        <w:pStyle w:val="ListParagraph"/>
        <w:numPr>
          <w:ilvl w:val="1"/>
          <w:numId w:val="25"/>
        </w:numPr>
        <w:rPr>
          <w:rFonts w:ascii="Arial" w:hAnsi="Arial"/>
          <w:sz w:val="22"/>
          <w:szCs w:val="22"/>
        </w:rPr>
      </w:pPr>
      <w:r>
        <w:rPr>
          <w:rFonts w:ascii="Arial" w:hAnsi="Arial"/>
          <w:sz w:val="22"/>
          <w:szCs w:val="22"/>
        </w:rPr>
        <w:t>Firstly</w:t>
      </w:r>
      <w:r w:rsidRPr="00C37614">
        <w:rPr>
          <w:rFonts w:ascii="Arial" w:hAnsi="Arial"/>
          <w:sz w:val="22"/>
          <w:szCs w:val="22"/>
        </w:rPr>
        <w:t xml:space="preserve">, the PBAC agreed with the ESC that a key issue with the model was the method used to derive the probability of post-progression survival, which used data from the CLL5 trial. In particular, the PBAC noted that for the comparison against rituximab plus </w:t>
      </w:r>
      <w:proofErr w:type="spellStart"/>
      <w:r w:rsidRPr="00C37614">
        <w:rPr>
          <w:rFonts w:ascii="Arial" w:hAnsi="Arial"/>
          <w:sz w:val="22"/>
          <w:szCs w:val="22"/>
        </w:rPr>
        <w:t>chlorambucil</w:t>
      </w:r>
      <w:proofErr w:type="spellEnd"/>
      <w:r w:rsidRPr="00C37614">
        <w:rPr>
          <w:rFonts w:ascii="Arial" w:hAnsi="Arial"/>
          <w:sz w:val="22"/>
          <w:szCs w:val="22"/>
        </w:rPr>
        <w:t xml:space="preserve">, the OS curve generated from the updated </w:t>
      </w:r>
      <w:r w:rsidR="00882DC5">
        <w:rPr>
          <w:rFonts w:ascii="Arial" w:hAnsi="Arial"/>
          <w:sz w:val="22"/>
          <w:szCs w:val="22"/>
        </w:rPr>
        <w:t>M</w:t>
      </w:r>
      <w:r w:rsidR="00882DC5" w:rsidRPr="00C37614">
        <w:rPr>
          <w:rFonts w:ascii="Arial" w:hAnsi="Arial"/>
          <w:sz w:val="22"/>
          <w:szCs w:val="22"/>
        </w:rPr>
        <w:t xml:space="preserve">arkov </w:t>
      </w:r>
      <w:r w:rsidRPr="00C37614">
        <w:rPr>
          <w:rFonts w:ascii="Arial" w:hAnsi="Arial"/>
          <w:sz w:val="22"/>
          <w:szCs w:val="22"/>
        </w:rPr>
        <w:t xml:space="preserve">model (provided in the PSCR) does not match the OS observed in CLL11 when the most recent </w:t>
      </w:r>
      <w:proofErr w:type="spellStart"/>
      <w:r w:rsidRPr="00C37614">
        <w:rPr>
          <w:rFonts w:ascii="Arial" w:hAnsi="Arial"/>
          <w:sz w:val="22"/>
          <w:szCs w:val="22"/>
        </w:rPr>
        <w:t>datacut</w:t>
      </w:r>
      <w:proofErr w:type="spellEnd"/>
      <w:r w:rsidRPr="00C37614">
        <w:rPr>
          <w:rFonts w:ascii="Arial" w:hAnsi="Arial"/>
          <w:sz w:val="22"/>
          <w:szCs w:val="22"/>
        </w:rPr>
        <w:t xml:space="preserve"> is used (Kaplan-Meier curves, CSR for CLL11 3 March 2014 </w:t>
      </w:r>
      <w:proofErr w:type="spellStart"/>
      <w:r w:rsidRPr="00C37614">
        <w:rPr>
          <w:rFonts w:ascii="Arial" w:hAnsi="Arial"/>
          <w:sz w:val="22"/>
          <w:szCs w:val="22"/>
        </w:rPr>
        <w:t>pg</w:t>
      </w:r>
      <w:proofErr w:type="spellEnd"/>
      <w:r w:rsidRPr="00C37614">
        <w:rPr>
          <w:rFonts w:ascii="Arial" w:hAnsi="Arial"/>
          <w:sz w:val="22"/>
          <w:szCs w:val="22"/>
        </w:rPr>
        <w:t xml:space="preserve"> 45). The PBAC concluded that it was not possible to interpret the ICER for the comparison against rituximab plus </w:t>
      </w:r>
      <w:proofErr w:type="spellStart"/>
      <w:r w:rsidRPr="00C37614">
        <w:rPr>
          <w:rFonts w:ascii="Arial" w:hAnsi="Arial"/>
          <w:sz w:val="22"/>
          <w:szCs w:val="22"/>
        </w:rPr>
        <w:t>chlorambucil</w:t>
      </w:r>
      <w:proofErr w:type="spellEnd"/>
      <w:r w:rsidRPr="00C37614">
        <w:rPr>
          <w:rFonts w:ascii="Arial" w:hAnsi="Arial"/>
          <w:sz w:val="22"/>
          <w:szCs w:val="22"/>
        </w:rPr>
        <w:t xml:space="preserve"> because of this inconsistency between the modelled and observed OS.</w:t>
      </w:r>
    </w:p>
    <w:p w:rsidR="00C37614" w:rsidRPr="00C37614" w:rsidRDefault="00C37614" w:rsidP="00C37614">
      <w:pPr>
        <w:pStyle w:val="ListParagraph"/>
        <w:rPr>
          <w:rFonts w:ascii="Arial" w:hAnsi="Arial"/>
          <w:sz w:val="22"/>
          <w:szCs w:val="22"/>
        </w:rPr>
      </w:pPr>
    </w:p>
    <w:p w:rsidR="00047520" w:rsidRPr="00206395" w:rsidRDefault="00C37614" w:rsidP="00047520">
      <w:pPr>
        <w:pStyle w:val="ListParagraph"/>
        <w:numPr>
          <w:ilvl w:val="1"/>
          <w:numId w:val="25"/>
        </w:numPr>
        <w:jc w:val="both"/>
        <w:rPr>
          <w:rFonts w:ascii="Arial" w:hAnsi="Arial"/>
          <w:sz w:val="22"/>
          <w:szCs w:val="22"/>
        </w:rPr>
      </w:pPr>
      <w:r>
        <w:rPr>
          <w:rFonts w:ascii="Arial" w:hAnsi="Arial"/>
          <w:sz w:val="22"/>
          <w:szCs w:val="22"/>
        </w:rPr>
        <w:t>Secondly</w:t>
      </w:r>
      <w:r w:rsidR="00F453F3">
        <w:rPr>
          <w:rFonts w:ascii="Arial" w:hAnsi="Arial"/>
          <w:sz w:val="22"/>
          <w:szCs w:val="22"/>
        </w:rPr>
        <w:t>, t</w:t>
      </w:r>
      <w:r w:rsidR="00206395" w:rsidRPr="00206395">
        <w:rPr>
          <w:rFonts w:ascii="Arial" w:hAnsi="Arial"/>
          <w:sz w:val="22"/>
          <w:szCs w:val="22"/>
        </w:rPr>
        <w:t xml:space="preserve">he PBAC considered that the </w:t>
      </w:r>
      <w:r w:rsidR="00F453F3">
        <w:rPr>
          <w:rFonts w:ascii="Arial" w:hAnsi="Arial"/>
          <w:sz w:val="22"/>
          <w:szCs w:val="22"/>
        </w:rPr>
        <w:t xml:space="preserve">structure of the </w:t>
      </w:r>
      <w:r w:rsidR="00206395" w:rsidRPr="00206395">
        <w:rPr>
          <w:rFonts w:ascii="Arial" w:hAnsi="Arial"/>
          <w:sz w:val="22"/>
          <w:szCs w:val="22"/>
        </w:rPr>
        <w:t xml:space="preserve">economic model did not appropriately reflect </w:t>
      </w:r>
      <w:r w:rsidR="00F453F3">
        <w:rPr>
          <w:rFonts w:ascii="Arial" w:hAnsi="Arial"/>
          <w:sz w:val="22"/>
          <w:szCs w:val="22"/>
        </w:rPr>
        <w:t xml:space="preserve">different levels of </w:t>
      </w:r>
      <w:r w:rsidR="00206395" w:rsidRPr="00206395">
        <w:rPr>
          <w:rFonts w:ascii="Arial" w:hAnsi="Arial"/>
          <w:sz w:val="22"/>
          <w:szCs w:val="22"/>
        </w:rPr>
        <w:t>disease progression.</w:t>
      </w:r>
      <w:r w:rsidR="00F453F3" w:rsidRPr="00F453F3">
        <w:rPr>
          <w:rFonts w:ascii="Arial" w:hAnsi="Arial"/>
          <w:sz w:val="22"/>
          <w:szCs w:val="22"/>
        </w:rPr>
        <w:t xml:space="preserve"> </w:t>
      </w:r>
      <w:r w:rsidR="00F453F3">
        <w:rPr>
          <w:rFonts w:ascii="Arial" w:hAnsi="Arial"/>
          <w:sz w:val="22"/>
          <w:szCs w:val="22"/>
        </w:rPr>
        <w:t xml:space="preserve">In the submission’s model, </w:t>
      </w:r>
      <w:r w:rsidR="00F453F3" w:rsidRPr="00206395">
        <w:rPr>
          <w:rFonts w:ascii="Arial" w:hAnsi="Arial"/>
          <w:sz w:val="22"/>
          <w:szCs w:val="22"/>
        </w:rPr>
        <w:t xml:space="preserve">patients </w:t>
      </w:r>
      <w:r w:rsidR="00F453F3">
        <w:rPr>
          <w:rFonts w:ascii="Arial" w:hAnsi="Arial"/>
          <w:sz w:val="22"/>
          <w:szCs w:val="22"/>
        </w:rPr>
        <w:t>transition</w:t>
      </w:r>
      <w:r w:rsidR="00F453F3" w:rsidRPr="00206395">
        <w:rPr>
          <w:rFonts w:ascii="Arial" w:hAnsi="Arial"/>
          <w:sz w:val="22"/>
          <w:szCs w:val="22"/>
        </w:rPr>
        <w:t xml:space="preserve"> from the “</w:t>
      </w:r>
      <w:r w:rsidR="00F453F3">
        <w:rPr>
          <w:rFonts w:ascii="Arial" w:hAnsi="Arial"/>
          <w:sz w:val="22"/>
          <w:szCs w:val="22"/>
        </w:rPr>
        <w:t>p</w:t>
      </w:r>
      <w:r w:rsidR="00F453F3" w:rsidRPr="00D317EB">
        <w:rPr>
          <w:rFonts w:ascii="Arial" w:hAnsi="Arial"/>
          <w:sz w:val="22"/>
          <w:szCs w:val="22"/>
        </w:rPr>
        <w:t xml:space="preserve">rogression-free without treatment” </w:t>
      </w:r>
      <w:r w:rsidR="00F453F3" w:rsidRPr="00206395">
        <w:rPr>
          <w:rFonts w:ascii="Arial" w:hAnsi="Arial"/>
          <w:sz w:val="22"/>
          <w:szCs w:val="22"/>
        </w:rPr>
        <w:t>health state to “</w:t>
      </w:r>
      <w:r w:rsidR="00F453F3">
        <w:rPr>
          <w:rFonts w:ascii="Arial" w:hAnsi="Arial"/>
          <w:sz w:val="22"/>
          <w:szCs w:val="22"/>
        </w:rPr>
        <w:t>p</w:t>
      </w:r>
      <w:r w:rsidR="00F453F3" w:rsidRPr="00206395">
        <w:rPr>
          <w:rFonts w:ascii="Arial" w:hAnsi="Arial"/>
          <w:sz w:val="22"/>
          <w:szCs w:val="22"/>
        </w:rPr>
        <w:t>rogressi</w:t>
      </w:r>
      <w:r w:rsidR="00F453F3">
        <w:rPr>
          <w:rFonts w:ascii="Arial" w:hAnsi="Arial"/>
          <w:sz w:val="22"/>
          <w:szCs w:val="22"/>
        </w:rPr>
        <w:t>ve disease</w:t>
      </w:r>
      <w:r w:rsidR="00F453F3" w:rsidRPr="00206395">
        <w:rPr>
          <w:rFonts w:ascii="Arial" w:hAnsi="Arial"/>
          <w:sz w:val="22"/>
          <w:szCs w:val="22"/>
        </w:rPr>
        <w:t>”.</w:t>
      </w:r>
      <w:r w:rsidR="009353E7">
        <w:rPr>
          <w:rFonts w:ascii="Arial" w:hAnsi="Arial"/>
          <w:sz w:val="22"/>
          <w:szCs w:val="22"/>
        </w:rPr>
        <w:t xml:space="preserve"> </w:t>
      </w:r>
      <w:r w:rsidR="00F453F3" w:rsidRPr="00206395">
        <w:rPr>
          <w:rFonts w:ascii="Arial" w:hAnsi="Arial"/>
          <w:sz w:val="22"/>
          <w:szCs w:val="22"/>
        </w:rPr>
        <w:t xml:space="preserve">The PBAC considered that </w:t>
      </w:r>
      <w:r w:rsidR="00F453F3">
        <w:rPr>
          <w:rFonts w:ascii="Arial" w:hAnsi="Arial"/>
          <w:sz w:val="22"/>
          <w:szCs w:val="22"/>
        </w:rPr>
        <w:t>the model required an additional</w:t>
      </w:r>
      <w:r w:rsidR="00F453F3" w:rsidRPr="00206395">
        <w:rPr>
          <w:rFonts w:ascii="Arial" w:hAnsi="Arial"/>
          <w:sz w:val="22"/>
          <w:szCs w:val="22"/>
        </w:rPr>
        <w:t xml:space="preserve"> health state </w:t>
      </w:r>
      <w:r w:rsidR="00F453F3">
        <w:rPr>
          <w:rFonts w:ascii="Arial" w:hAnsi="Arial"/>
          <w:sz w:val="22"/>
          <w:szCs w:val="22"/>
        </w:rPr>
        <w:t>to account for</w:t>
      </w:r>
      <w:r w:rsidR="00F453F3" w:rsidRPr="00206395">
        <w:rPr>
          <w:rFonts w:ascii="Arial" w:hAnsi="Arial"/>
          <w:sz w:val="22"/>
          <w:szCs w:val="22"/>
        </w:rPr>
        <w:t xml:space="preserve"> patients </w:t>
      </w:r>
      <w:r w:rsidR="009353E7">
        <w:rPr>
          <w:rFonts w:ascii="Arial" w:hAnsi="Arial"/>
          <w:sz w:val="22"/>
          <w:szCs w:val="22"/>
        </w:rPr>
        <w:t>who are pr</w:t>
      </w:r>
      <w:r w:rsidR="00580983">
        <w:rPr>
          <w:rFonts w:ascii="Arial" w:hAnsi="Arial"/>
          <w:sz w:val="22"/>
          <w:szCs w:val="22"/>
        </w:rPr>
        <w:t>ogressed but well (i.e</w:t>
      </w:r>
      <w:r w:rsidR="00F453F3" w:rsidRPr="00206395">
        <w:rPr>
          <w:rFonts w:ascii="Arial" w:hAnsi="Arial"/>
          <w:sz w:val="22"/>
          <w:szCs w:val="22"/>
        </w:rPr>
        <w:t>. patients who have progressed but do not need therapy for CLL).</w:t>
      </w:r>
      <w:r w:rsidR="00206395" w:rsidRPr="00206395">
        <w:rPr>
          <w:rFonts w:ascii="Arial" w:hAnsi="Arial"/>
          <w:sz w:val="22"/>
          <w:szCs w:val="22"/>
        </w:rPr>
        <w:t xml:space="preserve"> </w:t>
      </w:r>
      <w:r w:rsidR="00F453F3" w:rsidRPr="00206395">
        <w:rPr>
          <w:rFonts w:ascii="Arial" w:hAnsi="Arial"/>
          <w:sz w:val="22"/>
          <w:szCs w:val="22"/>
        </w:rPr>
        <w:t xml:space="preserve">The PBAC considered that such a health state </w:t>
      </w:r>
      <w:r w:rsidR="009353E7">
        <w:rPr>
          <w:rFonts w:ascii="Arial" w:hAnsi="Arial"/>
          <w:sz w:val="22"/>
          <w:szCs w:val="22"/>
        </w:rPr>
        <w:t>was necessary</w:t>
      </w:r>
      <w:r w:rsidR="00F453F3" w:rsidRPr="00206395">
        <w:rPr>
          <w:rFonts w:ascii="Arial" w:hAnsi="Arial"/>
          <w:sz w:val="22"/>
          <w:szCs w:val="22"/>
        </w:rPr>
        <w:t xml:space="preserve"> given the length of time patients in the CLL11 trial spent between progressing and requiring their next anti-</w:t>
      </w:r>
      <w:proofErr w:type="spellStart"/>
      <w:r w:rsidR="00F453F3" w:rsidRPr="00206395">
        <w:rPr>
          <w:rFonts w:ascii="Arial" w:hAnsi="Arial"/>
          <w:sz w:val="22"/>
          <w:szCs w:val="22"/>
        </w:rPr>
        <w:t>leukemia</w:t>
      </w:r>
      <w:proofErr w:type="spellEnd"/>
      <w:r w:rsidR="00F453F3" w:rsidRPr="00206395">
        <w:rPr>
          <w:rFonts w:ascii="Arial" w:hAnsi="Arial"/>
          <w:sz w:val="22"/>
          <w:szCs w:val="22"/>
        </w:rPr>
        <w:t xml:space="preserve"> therapy</w:t>
      </w:r>
      <w:r w:rsidR="009353E7">
        <w:rPr>
          <w:rFonts w:ascii="Arial" w:hAnsi="Arial"/>
          <w:sz w:val="22"/>
          <w:szCs w:val="22"/>
        </w:rPr>
        <w:t xml:space="preserve">, and also given the considerable difference in utility weights between the </w:t>
      </w:r>
      <w:r w:rsidR="009353E7" w:rsidRPr="00206395">
        <w:rPr>
          <w:rFonts w:ascii="Arial" w:hAnsi="Arial"/>
          <w:sz w:val="22"/>
          <w:szCs w:val="22"/>
        </w:rPr>
        <w:t>“</w:t>
      </w:r>
      <w:r w:rsidR="009353E7">
        <w:rPr>
          <w:rFonts w:ascii="Arial" w:hAnsi="Arial"/>
          <w:sz w:val="22"/>
          <w:szCs w:val="22"/>
        </w:rPr>
        <w:t>p</w:t>
      </w:r>
      <w:r w:rsidR="009353E7" w:rsidRPr="00D317EB">
        <w:rPr>
          <w:rFonts w:ascii="Arial" w:hAnsi="Arial"/>
          <w:sz w:val="22"/>
          <w:szCs w:val="22"/>
        </w:rPr>
        <w:t>rogression-free without treatment”</w:t>
      </w:r>
      <w:r w:rsidR="009353E7">
        <w:rPr>
          <w:rFonts w:ascii="Arial" w:hAnsi="Arial"/>
          <w:sz w:val="22"/>
          <w:szCs w:val="22"/>
        </w:rPr>
        <w:t xml:space="preserve"> and</w:t>
      </w:r>
      <w:r w:rsidR="009353E7" w:rsidRPr="00D317EB">
        <w:rPr>
          <w:rFonts w:ascii="Arial" w:hAnsi="Arial"/>
          <w:sz w:val="22"/>
          <w:szCs w:val="22"/>
        </w:rPr>
        <w:t xml:space="preserve"> </w:t>
      </w:r>
      <w:r w:rsidR="009353E7" w:rsidRPr="00206395">
        <w:rPr>
          <w:rFonts w:ascii="Arial" w:hAnsi="Arial"/>
          <w:sz w:val="22"/>
          <w:szCs w:val="22"/>
        </w:rPr>
        <w:t>“</w:t>
      </w:r>
      <w:r w:rsidR="009353E7">
        <w:rPr>
          <w:rFonts w:ascii="Arial" w:hAnsi="Arial"/>
          <w:sz w:val="22"/>
          <w:szCs w:val="22"/>
        </w:rPr>
        <w:t>p</w:t>
      </w:r>
      <w:r w:rsidR="009353E7" w:rsidRPr="00206395">
        <w:rPr>
          <w:rFonts w:ascii="Arial" w:hAnsi="Arial"/>
          <w:sz w:val="22"/>
          <w:szCs w:val="22"/>
        </w:rPr>
        <w:t>rogressi</w:t>
      </w:r>
      <w:r w:rsidR="009353E7">
        <w:rPr>
          <w:rFonts w:ascii="Arial" w:hAnsi="Arial"/>
          <w:sz w:val="22"/>
          <w:szCs w:val="22"/>
        </w:rPr>
        <w:t>ve disease</w:t>
      </w:r>
      <w:r w:rsidR="009353E7" w:rsidRPr="00206395">
        <w:rPr>
          <w:rFonts w:ascii="Arial" w:hAnsi="Arial"/>
          <w:sz w:val="22"/>
          <w:szCs w:val="22"/>
        </w:rPr>
        <w:t>” health state</w:t>
      </w:r>
      <w:r w:rsidR="009353E7">
        <w:rPr>
          <w:rFonts w:ascii="Arial" w:hAnsi="Arial"/>
          <w:sz w:val="22"/>
          <w:szCs w:val="22"/>
        </w:rPr>
        <w:t xml:space="preserve">s, which had utility weights of </w:t>
      </w:r>
      <w:r w:rsidR="009353E7" w:rsidRPr="00206395">
        <w:rPr>
          <w:rFonts w:ascii="Arial" w:hAnsi="Arial"/>
          <w:sz w:val="22"/>
          <w:szCs w:val="22"/>
        </w:rPr>
        <w:t xml:space="preserve">0.82 </w:t>
      </w:r>
      <w:r w:rsidR="009353E7">
        <w:rPr>
          <w:rFonts w:ascii="Arial" w:hAnsi="Arial"/>
          <w:sz w:val="22"/>
          <w:szCs w:val="22"/>
        </w:rPr>
        <w:t>and</w:t>
      </w:r>
      <w:r w:rsidR="009353E7" w:rsidRPr="00206395">
        <w:rPr>
          <w:rFonts w:ascii="Arial" w:hAnsi="Arial"/>
          <w:sz w:val="22"/>
          <w:szCs w:val="22"/>
        </w:rPr>
        <w:t xml:space="preserve"> 0.66</w:t>
      </w:r>
      <w:r w:rsidR="009353E7">
        <w:rPr>
          <w:rFonts w:ascii="Arial" w:hAnsi="Arial"/>
          <w:sz w:val="22"/>
          <w:szCs w:val="22"/>
        </w:rPr>
        <w:t>, respectively</w:t>
      </w:r>
      <w:r w:rsidR="009353E7" w:rsidRPr="00206395">
        <w:rPr>
          <w:rFonts w:ascii="Arial" w:hAnsi="Arial"/>
          <w:sz w:val="22"/>
          <w:szCs w:val="22"/>
        </w:rPr>
        <w:t>.</w:t>
      </w:r>
    </w:p>
    <w:p w:rsidR="00047520" w:rsidRPr="00AB7B79" w:rsidRDefault="00047520" w:rsidP="00047520">
      <w:pPr>
        <w:pStyle w:val="ListParagraph"/>
        <w:rPr>
          <w:rFonts w:ascii="Arial" w:hAnsi="Arial"/>
          <w:sz w:val="22"/>
          <w:szCs w:val="22"/>
        </w:rPr>
      </w:pPr>
    </w:p>
    <w:p w:rsidR="00047520" w:rsidRPr="000E23EC" w:rsidRDefault="00C37614" w:rsidP="00CF3695">
      <w:pPr>
        <w:pStyle w:val="ListParagraph"/>
        <w:numPr>
          <w:ilvl w:val="1"/>
          <w:numId w:val="25"/>
        </w:numPr>
        <w:jc w:val="both"/>
        <w:rPr>
          <w:rFonts w:ascii="Arial" w:hAnsi="Arial"/>
          <w:sz w:val="22"/>
          <w:szCs w:val="22"/>
        </w:rPr>
      </w:pPr>
      <w:r>
        <w:rPr>
          <w:rFonts w:ascii="Arial" w:hAnsi="Arial"/>
          <w:sz w:val="22"/>
          <w:szCs w:val="22"/>
        </w:rPr>
        <w:t>Thirdly</w:t>
      </w:r>
      <w:r w:rsidR="006E21C3">
        <w:rPr>
          <w:rFonts w:ascii="Arial" w:hAnsi="Arial"/>
          <w:sz w:val="22"/>
          <w:szCs w:val="22"/>
        </w:rPr>
        <w:t>,</w:t>
      </w:r>
      <w:r w:rsidR="00206395">
        <w:rPr>
          <w:rFonts w:ascii="Arial" w:hAnsi="Arial"/>
          <w:sz w:val="22"/>
          <w:szCs w:val="22"/>
        </w:rPr>
        <w:t xml:space="preserve"> t</w:t>
      </w:r>
      <w:r w:rsidR="00047520" w:rsidRPr="000E23EC">
        <w:rPr>
          <w:rFonts w:ascii="Arial" w:hAnsi="Arial"/>
          <w:sz w:val="22"/>
          <w:szCs w:val="22"/>
        </w:rPr>
        <w:t xml:space="preserve">he PBAC agreed </w:t>
      </w:r>
      <w:r w:rsidR="00047520" w:rsidRPr="006E21C3">
        <w:rPr>
          <w:rFonts w:ascii="Arial" w:hAnsi="Arial"/>
          <w:sz w:val="22"/>
          <w:szCs w:val="22"/>
        </w:rPr>
        <w:t xml:space="preserve">with the ESC that the model </w:t>
      </w:r>
      <w:r w:rsidR="00CF3695">
        <w:rPr>
          <w:rFonts w:ascii="Arial" w:hAnsi="Arial"/>
          <w:sz w:val="22"/>
          <w:szCs w:val="22"/>
        </w:rPr>
        <w:t>must inc</w:t>
      </w:r>
      <w:r w:rsidR="00047520" w:rsidRPr="006E21C3">
        <w:rPr>
          <w:rFonts w:ascii="Arial" w:hAnsi="Arial"/>
          <w:sz w:val="22"/>
          <w:szCs w:val="22"/>
        </w:rPr>
        <w:t>lude the impact of post</w:t>
      </w:r>
      <w:r w:rsidR="00047520" w:rsidRPr="006E21C3">
        <w:rPr>
          <w:rFonts w:ascii="Arial" w:hAnsi="Arial"/>
          <w:sz w:val="22"/>
          <w:szCs w:val="22"/>
        </w:rPr>
        <w:noBreakHyphen/>
        <w:t>progression therapy</w:t>
      </w:r>
      <w:r w:rsidR="00AA6B57" w:rsidRPr="006E21C3">
        <w:rPr>
          <w:rFonts w:ascii="Arial" w:hAnsi="Arial"/>
          <w:sz w:val="22"/>
          <w:szCs w:val="22"/>
        </w:rPr>
        <w:t xml:space="preserve">, given the likelihood </w:t>
      </w:r>
      <w:r w:rsidR="006E21C3" w:rsidRPr="006E21C3">
        <w:rPr>
          <w:rFonts w:ascii="Arial" w:hAnsi="Arial"/>
          <w:sz w:val="22"/>
          <w:szCs w:val="22"/>
        </w:rPr>
        <w:t>that</w:t>
      </w:r>
      <w:r w:rsidR="00AA6B57" w:rsidRPr="006E21C3">
        <w:rPr>
          <w:rFonts w:ascii="Arial" w:hAnsi="Arial"/>
          <w:sz w:val="22"/>
          <w:szCs w:val="22"/>
        </w:rPr>
        <w:t xml:space="preserve"> patients w</w:t>
      </w:r>
      <w:r w:rsidR="00CF3695">
        <w:rPr>
          <w:rFonts w:ascii="Arial" w:hAnsi="Arial"/>
          <w:sz w:val="22"/>
          <w:szCs w:val="22"/>
        </w:rPr>
        <w:t xml:space="preserve">ith progressive </w:t>
      </w:r>
      <w:r w:rsidR="00AA6B57" w:rsidRPr="006E21C3">
        <w:rPr>
          <w:rFonts w:ascii="Arial" w:hAnsi="Arial"/>
          <w:sz w:val="22"/>
          <w:szCs w:val="22"/>
        </w:rPr>
        <w:t xml:space="preserve">disease </w:t>
      </w:r>
      <w:r w:rsidR="006E21C3" w:rsidRPr="006E21C3">
        <w:rPr>
          <w:rFonts w:ascii="Arial" w:hAnsi="Arial"/>
          <w:sz w:val="22"/>
          <w:szCs w:val="22"/>
        </w:rPr>
        <w:t xml:space="preserve">may </w:t>
      </w:r>
      <w:r w:rsidR="00AA6B57" w:rsidRPr="006E21C3">
        <w:rPr>
          <w:rFonts w:ascii="Arial" w:hAnsi="Arial"/>
          <w:sz w:val="22"/>
          <w:szCs w:val="22"/>
        </w:rPr>
        <w:t>receiv</w:t>
      </w:r>
      <w:r w:rsidR="006E21C3" w:rsidRPr="006E21C3">
        <w:rPr>
          <w:rFonts w:ascii="Arial" w:hAnsi="Arial"/>
          <w:sz w:val="22"/>
          <w:szCs w:val="22"/>
        </w:rPr>
        <w:t>e</w:t>
      </w:r>
      <w:r w:rsidR="00AA6B57" w:rsidRPr="006E21C3">
        <w:rPr>
          <w:rFonts w:ascii="Arial" w:hAnsi="Arial"/>
          <w:sz w:val="22"/>
          <w:szCs w:val="22"/>
        </w:rPr>
        <w:t xml:space="preserve"> second and </w:t>
      </w:r>
      <w:r w:rsidR="00AA6B57" w:rsidRPr="00CF3695">
        <w:rPr>
          <w:rFonts w:ascii="Arial" w:hAnsi="Arial"/>
          <w:sz w:val="22"/>
          <w:szCs w:val="22"/>
        </w:rPr>
        <w:t>subsequent lines of treatment</w:t>
      </w:r>
      <w:r w:rsidR="00D5465B" w:rsidRPr="00CF3695">
        <w:rPr>
          <w:rFonts w:ascii="Arial" w:hAnsi="Arial"/>
          <w:sz w:val="22"/>
          <w:szCs w:val="22"/>
        </w:rPr>
        <w:t xml:space="preserve">. </w:t>
      </w:r>
      <w:r w:rsidR="00CF3695" w:rsidRPr="00CF3695">
        <w:rPr>
          <w:rFonts w:ascii="Arial" w:hAnsi="Arial"/>
          <w:sz w:val="22"/>
          <w:szCs w:val="22"/>
        </w:rPr>
        <w:t xml:space="preserve">The PBAC’s views were supported by both the submission’s Haematology Advisory Board who stated that </w:t>
      </w:r>
      <w:r w:rsidR="00197B45">
        <w:rPr>
          <w:rFonts w:ascii="Arial" w:hAnsi="Arial"/>
          <w:noProof/>
          <w:color w:val="000000"/>
          <w:sz w:val="22"/>
          <w:szCs w:val="22"/>
          <w:highlight w:val="black"/>
        </w:rPr>
        <w:t>'''''''</w:t>
      </w:r>
      <w:r w:rsidR="00CF3695" w:rsidRPr="00E55E43">
        <w:rPr>
          <w:rFonts w:ascii="Arial" w:hAnsi="Arial"/>
          <w:sz w:val="22"/>
          <w:szCs w:val="22"/>
        </w:rPr>
        <w:t>%</w:t>
      </w:r>
      <w:r w:rsidR="00CF3695" w:rsidRPr="00CF3695">
        <w:rPr>
          <w:rFonts w:ascii="Arial" w:hAnsi="Arial"/>
          <w:sz w:val="22"/>
          <w:szCs w:val="22"/>
        </w:rPr>
        <w:t xml:space="preserve"> of unfit CLL patients with co-morbidities would receive 2 or more lines of therapy, and the results of the CLL11 trial which found that a </w:t>
      </w:r>
      <w:r w:rsidR="006E21C3" w:rsidRPr="00CF3695">
        <w:rPr>
          <w:rFonts w:ascii="Arial" w:hAnsi="Arial"/>
          <w:sz w:val="22"/>
          <w:szCs w:val="22"/>
        </w:rPr>
        <w:t>considerable</w:t>
      </w:r>
      <w:r w:rsidR="00047520" w:rsidRPr="00CF3695">
        <w:rPr>
          <w:rFonts w:ascii="Arial" w:hAnsi="Arial"/>
          <w:sz w:val="22"/>
          <w:szCs w:val="22"/>
        </w:rPr>
        <w:t xml:space="preserve"> proportion of patients required re-treatment w</w:t>
      </w:r>
      <w:r w:rsidR="00047520" w:rsidRPr="000E23EC">
        <w:rPr>
          <w:rFonts w:ascii="Arial" w:hAnsi="Arial"/>
          <w:sz w:val="22"/>
          <w:szCs w:val="22"/>
        </w:rPr>
        <w:t>ith anti-</w:t>
      </w:r>
      <w:proofErr w:type="spellStart"/>
      <w:r w:rsidR="00047520" w:rsidRPr="000E23EC">
        <w:rPr>
          <w:rFonts w:ascii="Arial" w:hAnsi="Arial"/>
          <w:sz w:val="22"/>
          <w:szCs w:val="22"/>
        </w:rPr>
        <w:t>leukemia</w:t>
      </w:r>
      <w:proofErr w:type="spellEnd"/>
      <w:r w:rsidR="00047520" w:rsidRPr="000E23EC">
        <w:rPr>
          <w:rFonts w:ascii="Arial" w:hAnsi="Arial"/>
          <w:sz w:val="22"/>
          <w:szCs w:val="22"/>
        </w:rPr>
        <w:t xml:space="preserve"> therapy </w:t>
      </w:r>
      <w:r w:rsidR="00206395">
        <w:rPr>
          <w:rFonts w:ascii="Arial" w:hAnsi="Arial"/>
          <w:sz w:val="22"/>
          <w:szCs w:val="22"/>
        </w:rPr>
        <w:t>(</w:t>
      </w:r>
      <w:r w:rsidR="00197B45">
        <w:rPr>
          <w:rFonts w:ascii="Arial" w:hAnsi="Arial"/>
          <w:noProof/>
          <w:color w:val="000000"/>
          <w:sz w:val="22"/>
          <w:szCs w:val="22"/>
          <w:highlight w:val="black"/>
        </w:rPr>
        <w:t>''''''''''</w:t>
      </w:r>
      <w:r w:rsidR="00047520" w:rsidRPr="00E55E43">
        <w:rPr>
          <w:rFonts w:ascii="Arial" w:hAnsi="Arial"/>
          <w:sz w:val="22"/>
          <w:szCs w:val="22"/>
        </w:rPr>
        <w:t>%</w:t>
      </w:r>
      <w:r w:rsidR="00047520" w:rsidRPr="000E23EC">
        <w:rPr>
          <w:rFonts w:ascii="Arial" w:hAnsi="Arial"/>
          <w:sz w:val="22"/>
          <w:szCs w:val="22"/>
        </w:rPr>
        <w:t xml:space="preserve"> of patients in the </w:t>
      </w:r>
      <w:proofErr w:type="spellStart"/>
      <w:r w:rsidR="00047520" w:rsidRPr="000E23EC">
        <w:rPr>
          <w:rFonts w:ascii="Arial" w:hAnsi="Arial"/>
          <w:sz w:val="22"/>
          <w:szCs w:val="22"/>
        </w:rPr>
        <w:t>obinutuzumab</w:t>
      </w:r>
      <w:proofErr w:type="spellEnd"/>
      <w:r w:rsidR="00047520" w:rsidRPr="000E23EC">
        <w:rPr>
          <w:rFonts w:ascii="Arial" w:hAnsi="Arial"/>
          <w:sz w:val="22"/>
          <w:szCs w:val="22"/>
        </w:rPr>
        <w:t xml:space="preserve"> plus </w:t>
      </w:r>
      <w:proofErr w:type="spellStart"/>
      <w:r w:rsidR="00047520" w:rsidRPr="000E23EC">
        <w:rPr>
          <w:rFonts w:ascii="Arial" w:hAnsi="Arial"/>
          <w:sz w:val="22"/>
          <w:szCs w:val="22"/>
        </w:rPr>
        <w:t>chlorambucil</w:t>
      </w:r>
      <w:proofErr w:type="spellEnd"/>
      <w:r w:rsidR="00047520" w:rsidRPr="000E23EC">
        <w:rPr>
          <w:rFonts w:ascii="Arial" w:hAnsi="Arial"/>
          <w:sz w:val="22"/>
          <w:szCs w:val="22"/>
        </w:rPr>
        <w:t xml:space="preserve"> arm, and </w:t>
      </w:r>
      <w:r w:rsidR="00197B45">
        <w:rPr>
          <w:rFonts w:ascii="Arial" w:hAnsi="Arial"/>
          <w:noProof/>
          <w:color w:val="000000"/>
          <w:sz w:val="22"/>
          <w:szCs w:val="22"/>
          <w:highlight w:val="black"/>
        </w:rPr>
        <w:t>'''''''''''</w:t>
      </w:r>
      <w:r w:rsidR="00047520" w:rsidRPr="00E55E43">
        <w:rPr>
          <w:rFonts w:ascii="Arial" w:hAnsi="Arial"/>
          <w:sz w:val="22"/>
          <w:szCs w:val="22"/>
        </w:rPr>
        <w:t>%</w:t>
      </w:r>
      <w:r w:rsidR="00047520" w:rsidRPr="000E23EC">
        <w:rPr>
          <w:rFonts w:ascii="Arial" w:hAnsi="Arial"/>
          <w:sz w:val="22"/>
          <w:szCs w:val="22"/>
        </w:rPr>
        <w:t xml:space="preserve"> of patients in the rituximab plus </w:t>
      </w:r>
      <w:proofErr w:type="spellStart"/>
      <w:r w:rsidR="00047520" w:rsidRPr="000E23EC">
        <w:rPr>
          <w:rFonts w:ascii="Arial" w:hAnsi="Arial"/>
          <w:sz w:val="22"/>
          <w:szCs w:val="22"/>
        </w:rPr>
        <w:t>chlorambucil</w:t>
      </w:r>
      <w:proofErr w:type="spellEnd"/>
      <w:r w:rsidR="00047520" w:rsidRPr="000E23EC">
        <w:rPr>
          <w:rFonts w:ascii="Arial" w:hAnsi="Arial"/>
          <w:sz w:val="22"/>
          <w:szCs w:val="22"/>
        </w:rPr>
        <w:t xml:space="preserve"> arm</w:t>
      </w:r>
      <w:r w:rsidR="00206395" w:rsidRPr="00206395">
        <w:rPr>
          <w:rFonts w:ascii="Arial" w:hAnsi="Arial"/>
          <w:sz w:val="22"/>
          <w:szCs w:val="22"/>
        </w:rPr>
        <w:t xml:space="preserve"> </w:t>
      </w:r>
      <w:r w:rsidR="00206395" w:rsidRPr="000E23EC">
        <w:rPr>
          <w:rFonts w:ascii="Arial" w:hAnsi="Arial"/>
          <w:sz w:val="22"/>
          <w:szCs w:val="22"/>
        </w:rPr>
        <w:t>at 27.3 months of follow-up</w:t>
      </w:r>
      <w:r w:rsidR="00047520">
        <w:rPr>
          <w:rFonts w:ascii="Arial" w:hAnsi="Arial"/>
          <w:sz w:val="22"/>
          <w:szCs w:val="22"/>
        </w:rPr>
        <w:t>).</w:t>
      </w:r>
      <w:r w:rsidR="00047520" w:rsidRPr="000E23EC">
        <w:rPr>
          <w:rFonts w:ascii="Arial" w:hAnsi="Arial"/>
          <w:sz w:val="22"/>
          <w:szCs w:val="22"/>
        </w:rPr>
        <w:t xml:space="preserve"> The PBAC considered that new health state</w:t>
      </w:r>
      <w:r w:rsidR="00206395">
        <w:rPr>
          <w:rFonts w:ascii="Arial" w:hAnsi="Arial"/>
          <w:sz w:val="22"/>
          <w:szCs w:val="22"/>
        </w:rPr>
        <w:t>/s</w:t>
      </w:r>
      <w:r w:rsidR="00047520" w:rsidRPr="000E23EC">
        <w:rPr>
          <w:rFonts w:ascii="Arial" w:hAnsi="Arial"/>
          <w:sz w:val="22"/>
          <w:szCs w:val="22"/>
        </w:rPr>
        <w:t xml:space="preserve"> </w:t>
      </w:r>
      <w:r w:rsidR="00047520">
        <w:rPr>
          <w:rFonts w:ascii="Arial" w:hAnsi="Arial"/>
          <w:sz w:val="22"/>
          <w:szCs w:val="22"/>
        </w:rPr>
        <w:t>would need to be incorporated into</w:t>
      </w:r>
      <w:r w:rsidR="00047520" w:rsidRPr="000E23EC">
        <w:rPr>
          <w:rFonts w:ascii="Arial" w:hAnsi="Arial"/>
          <w:sz w:val="22"/>
          <w:szCs w:val="22"/>
        </w:rPr>
        <w:t xml:space="preserve"> the mode</w:t>
      </w:r>
      <w:r w:rsidR="00047520">
        <w:rPr>
          <w:rFonts w:ascii="Arial" w:hAnsi="Arial"/>
          <w:sz w:val="22"/>
          <w:szCs w:val="22"/>
        </w:rPr>
        <w:t xml:space="preserve">l </w:t>
      </w:r>
      <w:r w:rsidR="00047520" w:rsidRPr="000E23EC">
        <w:rPr>
          <w:rFonts w:ascii="Arial" w:hAnsi="Arial"/>
          <w:sz w:val="22"/>
          <w:szCs w:val="22"/>
        </w:rPr>
        <w:t>t</w:t>
      </w:r>
      <w:r w:rsidR="00047520">
        <w:rPr>
          <w:rFonts w:ascii="Arial" w:hAnsi="Arial"/>
          <w:sz w:val="22"/>
          <w:szCs w:val="22"/>
        </w:rPr>
        <w:t>o adequately account for this impact</w:t>
      </w:r>
      <w:r w:rsidR="00AA6B57">
        <w:rPr>
          <w:rFonts w:ascii="Arial" w:hAnsi="Arial"/>
          <w:sz w:val="22"/>
          <w:szCs w:val="22"/>
        </w:rPr>
        <w:t xml:space="preserve">. </w:t>
      </w:r>
      <w:r w:rsidR="00B74F3D">
        <w:rPr>
          <w:rFonts w:ascii="Arial" w:hAnsi="Arial"/>
          <w:sz w:val="22"/>
          <w:szCs w:val="22"/>
        </w:rPr>
        <w:t>The PBAC acknowledged the advice in the</w:t>
      </w:r>
      <w:r w:rsidR="00047520" w:rsidRPr="000E23EC">
        <w:rPr>
          <w:rFonts w:ascii="Arial" w:hAnsi="Arial"/>
          <w:sz w:val="22"/>
          <w:szCs w:val="22"/>
        </w:rPr>
        <w:t xml:space="preserve"> pre-PBAC response that </w:t>
      </w:r>
      <w:r w:rsidR="00D5465B">
        <w:rPr>
          <w:rFonts w:ascii="Arial" w:hAnsi="Arial"/>
          <w:sz w:val="22"/>
          <w:szCs w:val="22"/>
        </w:rPr>
        <w:t>additional assumptions would need to be made</w:t>
      </w:r>
      <w:r w:rsidR="00AA6B57">
        <w:rPr>
          <w:rFonts w:ascii="Arial" w:hAnsi="Arial"/>
          <w:sz w:val="22"/>
          <w:szCs w:val="22"/>
        </w:rPr>
        <w:t>,</w:t>
      </w:r>
      <w:r w:rsidR="00047520" w:rsidRPr="000E23EC">
        <w:rPr>
          <w:rFonts w:ascii="Arial" w:hAnsi="Arial"/>
          <w:sz w:val="22"/>
          <w:szCs w:val="22"/>
        </w:rPr>
        <w:t xml:space="preserve"> </w:t>
      </w:r>
      <w:r w:rsidR="00AA6B57">
        <w:rPr>
          <w:rFonts w:ascii="Arial" w:hAnsi="Arial"/>
          <w:sz w:val="22"/>
          <w:szCs w:val="22"/>
        </w:rPr>
        <w:t xml:space="preserve">and </w:t>
      </w:r>
      <w:r w:rsidR="00047520" w:rsidRPr="000E23EC">
        <w:rPr>
          <w:rFonts w:ascii="Arial" w:hAnsi="Arial"/>
          <w:sz w:val="22"/>
          <w:szCs w:val="22"/>
        </w:rPr>
        <w:t xml:space="preserve">that this change </w:t>
      </w:r>
      <w:r w:rsidR="00580983">
        <w:rPr>
          <w:rFonts w:ascii="Arial" w:hAnsi="Arial"/>
          <w:sz w:val="22"/>
          <w:szCs w:val="22"/>
        </w:rPr>
        <w:t>is likely to</w:t>
      </w:r>
      <w:r w:rsidR="00047520" w:rsidRPr="000E23EC">
        <w:rPr>
          <w:rFonts w:ascii="Arial" w:hAnsi="Arial"/>
          <w:sz w:val="22"/>
          <w:szCs w:val="22"/>
        </w:rPr>
        <w:t xml:space="preserve"> </w:t>
      </w:r>
      <w:r w:rsidR="00B74F3D">
        <w:rPr>
          <w:rFonts w:ascii="Arial" w:hAnsi="Arial"/>
          <w:sz w:val="22"/>
          <w:szCs w:val="22"/>
        </w:rPr>
        <w:t>favour</w:t>
      </w:r>
      <w:r w:rsidR="00047520" w:rsidRPr="000E23EC">
        <w:rPr>
          <w:rFonts w:ascii="Arial" w:hAnsi="Arial"/>
          <w:sz w:val="22"/>
          <w:szCs w:val="22"/>
        </w:rPr>
        <w:t xml:space="preserve"> </w:t>
      </w:r>
      <w:proofErr w:type="spellStart"/>
      <w:r w:rsidR="00047520" w:rsidRPr="000E23EC">
        <w:rPr>
          <w:rFonts w:ascii="Arial" w:hAnsi="Arial"/>
          <w:sz w:val="22"/>
          <w:szCs w:val="22"/>
        </w:rPr>
        <w:t>obinutuzumab</w:t>
      </w:r>
      <w:proofErr w:type="spellEnd"/>
      <w:r w:rsidR="00B74F3D">
        <w:rPr>
          <w:rFonts w:ascii="Arial" w:hAnsi="Arial"/>
          <w:sz w:val="22"/>
          <w:szCs w:val="22"/>
        </w:rPr>
        <w:t>. However</w:t>
      </w:r>
      <w:r w:rsidR="00AA6B57">
        <w:rPr>
          <w:rFonts w:ascii="Arial" w:hAnsi="Arial"/>
          <w:sz w:val="22"/>
          <w:szCs w:val="22"/>
        </w:rPr>
        <w:t xml:space="preserve">, the PBAC </w:t>
      </w:r>
      <w:r w:rsidR="00047520" w:rsidRPr="00AA6B57">
        <w:rPr>
          <w:rFonts w:ascii="Arial" w:hAnsi="Arial"/>
          <w:sz w:val="22"/>
          <w:szCs w:val="22"/>
        </w:rPr>
        <w:t xml:space="preserve">considered </w:t>
      </w:r>
      <w:r w:rsidR="00AA6B57" w:rsidRPr="00AA6B57">
        <w:rPr>
          <w:rFonts w:ascii="Arial" w:hAnsi="Arial"/>
          <w:sz w:val="22"/>
          <w:szCs w:val="22"/>
        </w:rPr>
        <w:t xml:space="preserve">that </w:t>
      </w:r>
      <w:r w:rsidR="00B74F3D">
        <w:rPr>
          <w:rFonts w:ascii="Arial" w:hAnsi="Arial"/>
          <w:sz w:val="22"/>
          <w:szCs w:val="22"/>
        </w:rPr>
        <w:t xml:space="preserve">a reliable </w:t>
      </w:r>
      <w:r w:rsidR="00AA6B57" w:rsidRPr="00AA6B57">
        <w:rPr>
          <w:rFonts w:ascii="Arial" w:hAnsi="Arial"/>
          <w:sz w:val="22"/>
          <w:szCs w:val="22"/>
        </w:rPr>
        <w:t xml:space="preserve">model </w:t>
      </w:r>
      <w:r w:rsidR="00B74F3D">
        <w:rPr>
          <w:rFonts w:ascii="Arial" w:hAnsi="Arial"/>
          <w:sz w:val="22"/>
          <w:szCs w:val="22"/>
        </w:rPr>
        <w:t xml:space="preserve">structure would </w:t>
      </w:r>
      <w:r w:rsidR="00AA6B57" w:rsidRPr="00AA6B57">
        <w:rPr>
          <w:rFonts w:ascii="Arial" w:hAnsi="Arial"/>
          <w:sz w:val="22"/>
          <w:szCs w:val="22"/>
        </w:rPr>
        <w:t xml:space="preserve">need to </w:t>
      </w:r>
      <w:r w:rsidR="00D5465B" w:rsidRPr="00AA6B57">
        <w:rPr>
          <w:rFonts w:ascii="Arial" w:hAnsi="Arial"/>
          <w:sz w:val="22"/>
          <w:szCs w:val="22"/>
        </w:rPr>
        <w:t xml:space="preserve">appropriately reflect </w:t>
      </w:r>
      <w:r w:rsidR="00AA6B57" w:rsidRPr="00AA6B57">
        <w:rPr>
          <w:rFonts w:ascii="Arial" w:hAnsi="Arial"/>
          <w:sz w:val="22"/>
          <w:szCs w:val="22"/>
        </w:rPr>
        <w:t>the possibility of additional lines of treatment</w:t>
      </w:r>
      <w:r w:rsidR="00AA6B57">
        <w:rPr>
          <w:rFonts w:ascii="Arial" w:hAnsi="Arial"/>
          <w:sz w:val="22"/>
          <w:szCs w:val="22"/>
        </w:rPr>
        <w:t>, with their costs and health benefits</w:t>
      </w:r>
      <w:r w:rsidR="00AA6B57" w:rsidRPr="00AA6B57">
        <w:rPr>
          <w:rFonts w:ascii="Arial" w:hAnsi="Arial"/>
          <w:sz w:val="22"/>
          <w:szCs w:val="22"/>
        </w:rPr>
        <w:t>.</w:t>
      </w:r>
    </w:p>
    <w:p w:rsidR="00047520" w:rsidRPr="003D63DC" w:rsidRDefault="00047520" w:rsidP="00047520">
      <w:pPr>
        <w:pStyle w:val="ListParagraph"/>
        <w:rPr>
          <w:rFonts w:ascii="Arial" w:hAnsi="Arial"/>
          <w:sz w:val="22"/>
          <w:szCs w:val="22"/>
        </w:rPr>
      </w:pPr>
    </w:p>
    <w:p w:rsidR="00047520" w:rsidRPr="003D63DC" w:rsidRDefault="00FF6343" w:rsidP="00CC231C">
      <w:pPr>
        <w:pStyle w:val="ListParagraph"/>
        <w:numPr>
          <w:ilvl w:val="1"/>
          <w:numId w:val="25"/>
        </w:numPr>
        <w:jc w:val="both"/>
        <w:rPr>
          <w:rFonts w:ascii="Arial" w:hAnsi="Arial"/>
          <w:sz w:val="22"/>
          <w:szCs w:val="22"/>
        </w:rPr>
      </w:pPr>
      <w:r>
        <w:rPr>
          <w:rFonts w:ascii="Arial" w:hAnsi="Arial"/>
          <w:sz w:val="22"/>
          <w:szCs w:val="22"/>
        </w:rPr>
        <w:t>Fourthly, t</w:t>
      </w:r>
      <w:r w:rsidR="00047520">
        <w:rPr>
          <w:rFonts w:ascii="Arial" w:hAnsi="Arial"/>
          <w:sz w:val="22"/>
          <w:szCs w:val="22"/>
        </w:rPr>
        <w:t xml:space="preserve">he </w:t>
      </w:r>
      <w:r w:rsidR="00047520" w:rsidRPr="00002E6C">
        <w:rPr>
          <w:rFonts w:ascii="Arial" w:hAnsi="Arial"/>
          <w:sz w:val="22"/>
          <w:szCs w:val="22"/>
        </w:rPr>
        <w:t xml:space="preserve">PBAC noted that </w:t>
      </w:r>
      <w:r w:rsidR="00923D4B" w:rsidRPr="00002E6C">
        <w:rPr>
          <w:rFonts w:ascii="Arial" w:hAnsi="Arial"/>
          <w:sz w:val="22"/>
          <w:szCs w:val="22"/>
        </w:rPr>
        <w:t xml:space="preserve">the </w:t>
      </w:r>
      <w:r w:rsidR="003F5A0B" w:rsidRPr="00002E6C">
        <w:rPr>
          <w:rFonts w:ascii="Arial" w:hAnsi="Arial"/>
          <w:sz w:val="22"/>
          <w:szCs w:val="22"/>
        </w:rPr>
        <w:t xml:space="preserve">model was highly sensitive to the </w:t>
      </w:r>
      <w:r w:rsidR="00923D4B" w:rsidRPr="00002E6C">
        <w:rPr>
          <w:rFonts w:ascii="Arial" w:hAnsi="Arial"/>
          <w:sz w:val="22"/>
          <w:szCs w:val="22"/>
        </w:rPr>
        <w:t>choice</w:t>
      </w:r>
      <w:r w:rsidR="00824DFE" w:rsidRPr="00002E6C">
        <w:rPr>
          <w:rFonts w:ascii="Arial" w:hAnsi="Arial"/>
          <w:sz w:val="22"/>
          <w:szCs w:val="22"/>
        </w:rPr>
        <w:t xml:space="preserve"> of parametric function</w:t>
      </w:r>
      <w:r w:rsidR="00923D4B" w:rsidRPr="00002E6C">
        <w:rPr>
          <w:rFonts w:ascii="Arial" w:hAnsi="Arial"/>
          <w:sz w:val="22"/>
          <w:szCs w:val="22"/>
        </w:rPr>
        <w:t xml:space="preserve"> used</w:t>
      </w:r>
      <w:r w:rsidR="00824DFE" w:rsidRPr="00002E6C">
        <w:rPr>
          <w:rFonts w:ascii="Arial" w:hAnsi="Arial"/>
          <w:sz w:val="22"/>
          <w:szCs w:val="22"/>
        </w:rPr>
        <w:t xml:space="preserve"> to </w:t>
      </w:r>
      <w:r w:rsidR="00047520" w:rsidRPr="00002E6C">
        <w:rPr>
          <w:rFonts w:ascii="Arial" w:hAnsi="Arial"/>
          <w:sz w:val="22"/>
          <w:szCs w:val="22"/>
        </w:rPr>
        <w:t>extrapolat</w:t>
      </w:r>
      <w:r w:rsidR="00824DFE" w:rsidRPr="00002E6C">
        <w:rPr>
          <w:rFonts w:ascii="Arial" w:hAnsi="Arial"/>
          <w:sz w:val="22"/>
          <w:szCs w:val="22"/>
        </w:rPr>
        <w:t>e PFS</w:t>
      </w:r>
      <w:r w:rsidR="00047520" w:rsidRPr="00002E6C">
        <w:rPr>
          <w:rFonts w:ascii="Arial" w:hAnsi="Arial"/>
          <w:sz w:val="22"/>
          <w:szCs w:val="22"/>
        </w:rPr>
        <w:t xml:space="preserve"> </w:t>
      </w:r>
      <w:r w:rsidR="00923D4B" w:rsidRPr="00002E6C">
        <w:rPr>
          <w:rFonts w:ascii="Arial" w:hAnsi="Arial"/>
          <w:sz w:val="22"/>
          <w:szCs w:val="22"/>
        </w:rPr>
        <w:t>when the more recent data</w:t>
      </w:r>
      <w:r w:rsidR="00CC1B90">
        <w:rPr>
          <w:rFonts w:ascii="Arial" w:hAnsi="Arial"/>
          <w:sz w:val="22"/>
          <w:szCs w:val="22"/>
        </w:rPr>
        <w:t xml:space="preserve"> </w:t>
      </w:r>
      <w:r w:rsidR="00923D4B" w:rsidRPr="00002E6C">
        <w:rPr>
          <w:rFonts w:ascii="Arial" w:hAnsi="Arial"/>
          <w:sz w:val="22"/>
          <w:szCs w:val="22"/>
        </w:rPr>
        <w:t>cut is us</w:t>
      </w:r>
      <w:r w:rsidR="003F5A0B" w:rsidRPr="00002E6C">
        <w:rPr>
          <w:rFonts w:ascii="Arial" w:hAnsi="Arial"/>
          <w:sz w:val="22"/>
          <w:szCs w:val="22"/>
        </w:rPr>
        <w:t xml:space="preserve">ed. For example, </w:t>
      </w:r>
      <w:r w:rsidR="00923D4B" w:rsidRPr="00002E6C">
        <w:rPr>
          <w:rFonts w:ascii="Arial" w:hAnsi="Arial"/>
          <w:sz w:val="22"/>
          <w:szCs w:val="22"/>
        </w:rPr>
        <w:t xml:space="preserve">the ICER/QALY </w:t>
      </w:r>
      <w:r w:rsidR="00C37614">
        <w:rPr>
          <w:rFonts w:ascii="Arial" w:hAnsi="Arial"/>
          <w:sz w:val="22"/>
          <w:szCs w:val="22"/>
        </w:rPr>
        <w:t xml:space="preserve">for the comparison against </w:t>
      </w:r>
      <w:proofErr w:type="spellStart"/>
      <w:r w:rsidR="00C37614">
        <w:rPr>
          <w:rFonts w:ascii="Arial" w:hAnsi="Arial"/>
          <w:sz w:val="22"/>
          <w:szCs w:val="22"/>
        </w:rPr>
        <w:t>chlorambucil</w:t>
      </w:r>
      <w:proofErr w:type="spellEnd"/>
      <w:r w:rsidR="00C37614">
        <w:rPr>
          <w:rFonts w:ascii="Arial" w:hAnsi="Arial"/>
          <w:sz w:val="22"/>
          <w:szCs w:val="22"/>
        </w:rPr>
        <w:t xml:space="preserve"> monotherapy wa</w:t>
      </w:r>
      <w:r w:rsidR="003F5A0B" w:rsidRPr="00002E6C">
        <w:rPr>
          <w:rFonts w:ascii="Arial" w:hAnsi="Arial"/>
          <w:sz w:val="22"/>
          <w:szCs w:val="22"/>
        </w:rPr>
        <w:t>s</w:t>
      </w:r>
      <w:r w:rsidR="00923D4B" w:rsidRPr="00002E6C">
        <w:rPr>
          <w:rFonts w:ascii="Arial" w:hAnsi="Arial"/>
          <w:sz w:val="22"/>
          <w:szCs w:val="22"/>
        </w:rPr>
        <w:t xml:space="preserve"> </w:t>
      </w:r>
      <w:r w:rsidR="00923D4B" w:rsidRPr="00E55E43">
        <w:rPr>
          <w:rFonts w:ascii="Arial" w:hAnsi="Arial"/>
          <w:sz w:val="22"/>
          <w:szCs w:val="22"/>
        </w:rPr>
        <w:t>$</w:t>
      </w:r>
      <w:r w:rsidR="00C047E0">
        <w:rPr>
          <w:rFonts w:ascii="Arial" w:hAnsi="Arial"/>
          <w:sz w:val="22"/>
          <w:szCs w:val="22"/>
        </w:rPr>
        <w:t xml:space="preserve">15,000/QALY – 45,000/QALY </w:t>
      </w:r>
      <w:r w:rsidR="00923D4B" w:rsidRPr="00002E6C">
        <w:rPr>
          <w:rFonts w:ascii="Arial" w:hAnsi="Arial"/>
          <w:sz w:val="22"/>
          <w:szCs w:val="22"/>
        </w:rPr>
        <w:t>w</w:t>
      </w:r>
      <w:r w:rsidR="003F5A0B" w:rsidRPr="00002E6C">
        <w:rPr>
          <w:rFonts w:ascii="Arial" w:hAnsi="Arial"/>
          <w:sz w:val="22"/>
          <w:szCs w:val="22"/>
        </w:rPr>
        <w:t>hen</w:t>
      </w:r>
      <w:r w:rsidR="00923D4B" w:rsidRPr="00002E6C">
        <w:rPr>
          <w:rFonts w:ascii="Arial" w:hAnsi="Arial"/>
          <w:sz w:val="22"/>
          <w:szCs w:val="22"/>
        </w:rPr>
        <w:t xml:space="preserve"> a </w:t>
      </w:r>
      <w:proofErr w:type="spellStart"/>
      <w:r w:rsidR="00F2557A">
        <w:rPr>
          <w:rFonts w:ascii="Arial" w:hAnsi="Arial"/>
          <w:sz w:val="22"/>
          <w:szCs w:val="22"/>
        </w:rPr>
        <w:t>G</w:t>
      </w:r>
      <w:r w:rsidR="00923D4B" w:rsidRPr="00002E6C">
        <w:rPr>
          <w:rFonts w:ascii="Arial" w:hAnsi="Arial"/>
          <w:sz w:val="22"/>
          <w:szCs w:val="22"/>
        </w:rPr>
        <w:t>ompertz</w:t>
      </w:r>
      <w:proofErr w:type="spellEnd"/>
      <w:r w:rsidR="00923D4B">
        <w:rPr>
          <w:rFonts w:ascii="Arial" w:hAnsi="Arial"/>
          <w:sz w:val="22"/>
          <w:szCs w:val="22"/>
        </w:rPr>
        <w:t xml:space="preserve"> tail for </w:t>
      </w:r>
      <w:proofErr w:type="spellStart"/>
      <w:r w:rsidR="00923D4B">
        <w:rPr>
          <w:rFonts w:ascii="Arial" w:hAnsi="Arial"/>
          <w:sz w:val="22"/>
          <w:szCs w:val="22"/>
        </w:rPr>
        <w:t>obinutuzumab</w:t>
      </w:r>
      <w:proofErr w:type="spellEnd"/>
      <w:r w:rsidR="00923D4B">
        <w:rPr>
          <w:rFonts w:ascii="Arial" w:hAnsi="Arial"/>
          <w:sz w:val="22"/>
          <w:szCs w:val="22"/>
        </w:rPr>
        <w:t xml:space="preserve"> plus </w:t>
      </w:r>
      <w:proofErr w:type="spellStart"/>
      <w:r w:rsidR="00923D4B">
        <w:rPr>
          <w:rFonts w:ascii="Arial" w:hAnsi="Arial"/>
          <w:sz w:val="22"/>
          <w:szCs w:val="22"/>
        </w:rPr>
        <w:lastRenderedPageBreak/>
        <w:t>chlorambucil</w:t>
      </w:r>
      <w:proofErr w:type="spellEnd"/>
      <w:r w:rsidR="00923D4B">
        <w:rPr>
          <w:rFonts w:ascii="Arial" w:hAnsi="Arial"/>
          <w:sz w:val="22"/>
          <w:szCs w:val="22"/>
        </w:rPr>
        <w:t xml:space="preserve"> and a gamma tail for </w:t>
      </w:r>
      <w:proofErr w:type="spellStart"/>
      <w:r w:rsidR="00923D4B">
        <w:rPr>
          <w:rFonts w:ascii="Arial" w:hAnsi="Arial"/>
          <w:sz w:val="22"/>
          <w:szCs w:val="22"/>
        </w:rPr>
        <w:t>chlorambucil</w:t>
      </w:r>
      <w:proofErr w:type="spellEnd"/>
      <w:r w:rsidR="00923D4B">
        <w:rPr>
          <w:rFonts w:ascii="Arial" w:hAnsi="Arial"/>
          <w:sz w:val="22"/>
          <w:szCs w:val="22"/>
        </w:rPr>
        <w:t xml:space="preserve"> monotherapy</w:t>
      </w:r>
      <w:r w:rsidR="003F5A0B">
        <w:rPr>
          <w:rFonts w:ascii="Arial" w:hAnsi="Arial"/>
          <w:sz w:val="22"/>
          <w:szCs w:val="22"/>
        </w:rPr>
        <w:t xml:space="preserve"> are used</w:t>
      </w:r>
      <w:r w:rsidR="00923D4B">
        <w:rPr>
          <w:rFonts w:ascii="Arial" w:hAnsi="Arial"/>
          <w:sz w:val="22"/>
          <w:szCs w:val="22"/>
        </w:rPr>
        <w:t xml:space="preserve">, </w:t>
      </w:r>
      <w:r w:rsidR="003F5A0B">
        <w:rPr>
          <w:rFonts w:ascii="Arial" w:hAnsi="Arial"/>
          <w:sz w:val="22"/>
          <w:szCs w:val="22"/>
        </w:rPr>
        <w:t xml:space="preserve">while the </w:t>
      </w:r>
      <w:r w:rsidR="00923D4B">
        <w:rPr>
          <w:rFonts w:ascii="Arial" w:hAnsi="Arial"/>
          <w:sz w:val="22"/>
          <w:szCs w:val="22"/>
        </w:rPr>
        <w:t xml:space="preserve">ICER/QALY </w:t>
      </w:r>
      <w:r w:rsidR="003F5A0B">
        <w:rPr>
          <w:rFonts w:ascii="Arial" w:hAnsi="Arial"/>
          <w:sz w:val="22"/>
          <w:szCs w:val="22"/>
        </w:rPr>
        <w:t>is</w:t>
      </w:r>
      <w:r w:rsidR="00923D4B">
        <w:rPr>
          <w:rFonts w:ascii="Arial" w:hAnsi="Arial"/>
          <w:sz w:val="22"/>
          <w:szCs w:val="22"/>
        </w:rPr>
        <w:t xml:space="preserve"> </w:t>
      </w:r>
      <w:r w:rsidR="00923D4B" w:rsidRPr="00C047E0">
        <w:rPr>
          <w:rFonts w:ascii="Arial" w:hAnsi="Arial"/>
          <w:sz w:val="22"/>
          <w:szCs w:val="22"/>
        </w:rPr>
        <w:t>$</w:t>
      </w:r>
      <w:r w:rsidR="009B1EE8">
        <w:rPr>
          <w:rFonts w:ascii="Arial" w:hAnsi="Arial"/>
          <w:sz w:val="22"/>
          <w:szCs w:val="22"/>
        </w:rPr>
        <w:t>15,000/QALY - $45,000/QALY</w:t>
      </w:r>
      <w:r w:rsidR="00923D4B">
        <w:rPr>
          <w:rFonts w:ascii="Arial" w:hAnsi="Arial"/>
          <w:sz w:val="22"/>
          <w:szCs w:val="22"/>
        </w:rPr>
        <w:t xml:space="preserve"> when the log-logistic tail (which is be</w:t>
      </w:r>
      <w:r w:rsidR="003F5A0B">
        <w:rPr>
          <w:rFonts w:ascii="Arial" w:hAnsi="Arial"/>
          <w:sz w:val="22"/>
          <w:szCs w:val="22"/>
        </w:rPr>
        <w:t>s</w:t>
      </w:r>
      <w:r w:rsidR="00923D4B">
        <w:rPr>
          <w:rFonts w:ascii="Arial" w:hAnsi="Arial"/>
          <w:sz w:val="22"/>
          <w:szCs w:val="22"/>
        </w:rPr>
        <w:t>t-fitting) is used in both arms</w:t>
      </w:r>
      <w:r w:rsidR="00047520">
        <w:rPr>
          <w:rFonts w:ascii="Arial" w:hAnsi="Arial"/>
          <w:sz w:val="22"/>
          <w:szCs w:val="22"/>
        </w:rPr>
        <w:t>.</w:t>
      </w:r>
      <w:r w:rsidR="003F5A0B">
        <w:rPr>
          <w:rFonts w:ascii="Arial" w:hAnsi="Arial"/>
          <w:sz w:val="22"/>
          <w:szCs w:val="22"/>
        </w:rPr>
        <w:t xml:space="preserve"> </w:t>
      </w:r>
      <w:r w:rsidR="00CC231C">
        <w:rPr>
          <w:rFonts w:ascii="Arial" w:hAnsi="Arial"/>
          <w:sz w:val="22"/>
          <w:szCs w:val="22"/>
        </w:rPr>
        <w:t xml:space="preserve">Further, the PBAC </w:t>
      </w:r>
      <w:r w:rsidR="00CC231C" w:rsidRPr="00CC231C">
        <w:rPr>
          <w:rFonts w:ascii="Arial" w:hAnsi="Arial"/>
          <w:sz w:val="22"/>
          <w:szCs w:val="22"/>
        </w:rPr>
        <w:t>noted that use of the more recent data</w:t>
      </w:r>
      <w:r w:rsidR="00CC1B90">
        <w:rPr>
          <w:rFonts w:ascii="Arial" w:hAnsi="Arial"/>
          <w:sz w:val="22"/>
          <w:szCs w:val="22"/>
        </w:rPr>
        <w:t xml:space="preserve"> </w:t>
      </w:r>
      <w:r w:rsidR="00CC231C" w:rsidRPr="00CC231C">
        <w:rPr>
          <w:rFonts w:ascii="Arial" w:hAnsi="Arial"/>
          <w:sz w:val="22"/>
          <w:szCs w:val="22"/>
        </w:rPr>
        <w:t xml:space="preserve">cut significantly reduced the ICER/QALY </w:t>
      </w:r>
      <w:r w:rsidR="00CC231C" w:rsidRPr="00C047E0">
        <w:rPr>
          <w:rFonts w:ascii="Arial" w:hAnsi="Arial"/>
          <w:sz w:val="22"/>
          <w:szCs w:val="22"/>
        </w:rPr>
        <w:t>from $</w:t>
      </w:r>
      <w:r w:rsidR="009B1EE8">
        <w:rPr>
          <w:rFonts w:ascii="Arial" w:hAnsi="Arial"/>
          <w:sz w:val="22"/>
          <w:szCs w:val="22"/>
        </w:rPr>
        <w:t xml:space="preserve">45,000/QALY - $75,000/QALY </w:t>
      </w:r>
      <w:r w:rsidR="00CC231C" w:rsidRPr="00C047E0">
        <w:rPr>
          <w:rFonts w:ascii="Arial" w:hAnsi="Arial"/>
          <w:sz w:val="22"/>
          <w:szCs w:val="22"/>
        </w:rPr>
        <w:t>to $</w:t>
      </w:r>
      <w:r w:rsidR="009B1EE8">
        <w:rPr>
          <w:rFonts w:ascii="Arial" w:hAnsi="Arial"/>
          <w:sz w:val="22"/>
          <w:szCs w:val="22"/>
        </w:rPr>
        <w:t>15,000/QALY – 45,000/QALY</w:t>
      </w:r>
      <w:r w:rsidR="00CC231C" w:rsidRPr="00CC231C">
        <w:rPr>
          <w:rFonts w:ascii="Arial" w:hAnsi="Arial"/>
          <w:sz w:val="22"/>
          <w:szCs w:val="22"/>
        </w:rPr>
        <w:t xml:space="preserve"> (best-fitting tail for PFS) for the comparison against </w:t>
      </w:r>
      <w:proofErr w:type="spellStart"/>
      <w:r w:rsidR="00CC231C" w:rsidRPr="00CC231C">
        <w:rPr>
          <w:rFonts w:ascii="Arial" w:hAnsi="Arial"/>
          <w:sz w:val="22"/>
          <w:szCs w:val="22"/>
        </w:rPr>
        <w:t>chlorambucil</w:t>
      </w:r>
      <w:proofErr w:type="spellEnd"/>
      <w:r w:rsidR="00CC231C" w:rsidRPr="00CC231C">
        <w:rPr>
          <w:rFonts w:ascii="Arial" w:hAnsi="Arial"/>
          <w:sz w:val="22"/>
          <w:szCs w:val="22"/>
        </w:rPr>
        <w:t xml:space="preserve"> monotherapy. </w:t>
      </w:r>
      <w:r w:rsidR="003F5A0B" w:rsidRPr="00ED150D">
        <w:rPr>
          <w:rFonts w:ascii="Arial" w:hAnsi="Arial"/>
          <w:sz w:val="22"/>
          <w:szCs w:val="22"/>
        </w:rPr>
        <w:t>This further re</w:t>
      </w:r>
      <w:r w:rsidR="00002E6C" w:rsidRPr="00ED150D">
        <w:rPr>
          <w:rFonts w:ascii="Arial" w:hAnsi="Arial"/>
          <w:sz w:val="22"/>
          <w:szCs w:val="22"/>
        </w:rPr>
        <w:t>inforced</w:t>
      </w:r>
      <w:r w:rsidR="003F5A0B" w:rsidRPr="00ED150D">
        <w:rPr>
          <w:rFonts w:ascii="Arial" w:hAnsi="Arial"/>
          <w:sz w:val="22"/>
          <w:szCs w:val="22"/>
        </w:rPr>
        <w:t xml:space="preserve"> PBAC’s concerns </w:t>
      </w:r>
      <w:r w:rsidR="00ED150D" w:rsidRPr="00ED150D">
        <w:rPr>
          <w:rFonts w:ascii="Arial" w:hAnsi="Arial"/>
          <w:sz w:val="22"/>
          <w:szCs w:val="22"/>
        </w:rPr>
        <w:t>rega</w:t>
      </w:r>
      <w:r w:rsidR="002C4207">
        <w:rPr>
          <w:rFonts w:ascii="Arial" w:hAnsi="Arial"/>
          <w:sz w:val="22"/>
          <w:szCs w:val="22"/>
        </w:rPr>
        <w:t>r</w:t>
      </w:r>
      <w:r w:rsidR="00ED150D" w:rsidRPr="00ED150D">
        <w:rPr>
          <w:rFonts w:ascii="Arial" w:hAnsi="Arial"/>
          <w:sz w:val="22"/>
          <w:szCs w:val="22"/>
        </w:rPr>
        <w:t>ding the reliability of the model.</w:t>
      </w:r>
    </w:p>
    <w:p w:rsidR="00047520" w:rsidRDefault="00047520" w:rsidP="00047520">
      <w:pPr>
        <w:pStyle w:val="ListParagraph"/>
        <w:rPr>
          <w:rFonts w:ascii="Arial" w:hAnsi="Arial"/>
          <w:sz w:val="22"/>
          <w:szCs w:val="22"/>
        </w:rPr>
      </w:pPr>
    </w:p>
    <w:p w:rsidR="00D317EB" w:rsidRDefault="00D317EB" w:rsidP="00D317EB">
      <w:pPr>
        <w:pStyle w:val="ListParagraph"/>
        <w:numPr>
          <w:ilvl w:val="1"/>
          <w:numId w:val="25"/>
        </w:numPr>
        <w:ind w:left="709" w:hanging="709"/>
        <w:jc w:val="both"/>
        <w:rPr>
          <w:rFonts w:ascii="Arial" w:hAnsi="Arial"/>
          <w:sz w:val="22"/>
          <w:szCs w:val="22"/>
        </w:rPr>
      </w:pPr>
      <w:r>
        <w:rPr>
          <w:rFonts w:ascii="Arial" w:hAnsi="Arial"/>
          <w:sz w:val="22"/>
          <w:szCs w:val="22"/>
        </w:rPr>
        <w:t xml:space="preserve">The PBAC acknowledged that attempts had been made to account for some of these issues in the PSCR and Pre-PBAC responses. However, the PBAC agreed with the ESC that these adjustments were based on </w:t>
      </w:r>
      <w:r w:rsidRPr="007A3878">
        <w:rPr>
          <w:rFonts w:ascii="Arial" w:hAnsi="Arial"/>
          <w:sz w:val="22"/>
          <w:szCs w:val="22"/>
        </w:rPr>
        <w:t xml:space="preserve">arbitrary parameter values </w:t>
      </w:r>
      <w:r>
        <w:rPr>
          <w:rFonts w:ascii="Arial" w:hAnsi="Arial"/>
          <w:sz w:val="22"/>
          <w:szCs w:val="22"/>
        </w:rPr>
        <w:t xml:space="preserve">and did not appropriately account for the issues identified, which would require the incorporation of additional health states </w:t>
      </w:r>
      <w:r w:rsidR="00002E6C">
        <w:rPr>
          <w:rFonts w:ascii="Arial" w:hAnsi="Arial"/>
          <w:sz w:val="22"/>
          <w:szCs w:val="22"/>
        </w:rPr>
        <w:t xml:space="preserve">and data </w:t>
      </w:r>
      <w:r>
        <w:rPr>
          <w:rFonts w:ascii="Arial" w:hAnsi="Arial"/>
          <w:sz w:val="22"/>
          <w:szCs w:val="22"/>
        </w:rPr>
        <w:t xml:space="preserve">into the </w:t>
      </w:r>
      <w:r w:rsidR="004C23FA">
        <w:rPr>
          <w:rFonts w:ascii="Arial" w:hAnsi="Arial"/>
          <w:sz w:val="22"/>
          <w:szCs w:val="22"/>
        </w:rPr>
        <w:t>M</w:t>
      </w:r>
      <w:r>
        <w:rPr>
          <w:rFonts w:ascii="Arial" w:hAnsi="Arial"/>
          <w:sz w:val="22"/>
          <w:szCs w:val="22"/>
        </w:rPr>
        <w:t xml:space="preserve">arkov model. </w:t>
      </w:r>
    </w:p>
    <w:p w:rsidR="00D317EB" w:rsidRDefault="00D317EB" w:rsidP="00D317EB">
      <w:pPr>
        <w:pStyle w:val="ListParagraph"/>
        <w:rPr>
          <w:rFonts w:ascii="Arial" w:hAnsi="Arial"/>
          <w:sz w:val="22"/>
          <w:szCs w:val="22"/>
        </w:rPr>
      </w:pPr>
    </w:p>
    <w:p w:rsidR="00047520" w:rsidRDefault="00047520" w:rsidP="002F5300">
      <w:pPr>
        <w:pStyle w:val="ListParagraph"/>
        <w:keepNext/>
        <w:keepLines/>
        <w:numPr>
          <w:ilvl w:val="1"/>
          <w:numId w:val="25"/>
        </w:numPr>
        <w:ind w:left="709" w:hanging="709"/>
        <w:jc w:val="both"/>
        <w:rPr>
          <w:rFonts w:ascii="Arial" w:hAnsi="Arial"/>
          <w:sz w:val="22"/>
          <w:szCs w:val="22"/>
        </w:rPr>
      </w:pPr>
      <w:r>
        <w:rPr>
          <w:rFonts w:ascii="Arial" w:hAnsi="Arial"/>
          <w:sz w:val="22"/>
          <w:szCs w:val="22"/>
        </w:rPr>
        <w:t>The PBAC considered that an appropriate model would:</w:t>
      </w:r>
    </w:p>
    <w:p w:rsidR="00047520" w:rsidRDefault="00047520" w:rsidP="002F5300">
      <w:pPr>
        <w:pStyle w:val="ListParagraph"/>
        <w:keepNext/>
        <w:keepLines/>
        <w:numPr>
          <w:ilvl w:val="0"/>
          <w:numId w:val="42"/>
        </w:numPr>
        <w:jc w:val="both"/>
        <w:rPr>
          <w:rFonts w:ascii="Arial" w:hAnsi="Arial"/>
          <w:sz w:val="22"/>
          <w:szCs w:val="22"/>
        </w:rPr>
      </w:pPr>
      <w:r>
        <w:rPr>
          <w:rFonts w:ascii="Arial" w:hAnsi="Arial"/>
          <w:sz w:val="22"/>
          <w:szCs w:val="22"/>
        </w:rPr>
        <w:t>Include a progressed but well health state with an appropriate utility value;</w:t>
      </w:r>
    </w:p>
    <w:p w:rsidR="00047520" w:rsidRDefault="00047520" w:rsidP="002F5300">
      <w:pPr>
        <w:pStyle w:val="ListParagraph"/>
        <w:keepNext/>
        <w:keepLines/>
        <w:numPr>
          <w:ilvl w:val="0"/>
          <w:numId w:val="42"/>
        </w:numPr>
        <w:jc w:val="both"/>
        <w:rPr>
          <w:rFonts w:ascii="Arial" w:hAnsi="Arial"/>
          <w:sz w:val="22"/>
          <w:szCs w:val="22"/>
        </w:rPr>
      </w:pPr>
      <w:r>
        <w:rPr>
          <w:rFonts w:ascii="Arial" w:hAnsi="Arial"/>
          <w:sz w:val="22"/>
          <w:szCs w:val="22"/>
        </w:rPr>
        <w:t>Include post-progression therapy in the base case, with this excluded in a sensitivity analysis;</w:t>
      </w:r>
    </w:p>
    <w:p w:rsidR="00047520" w:rsidRDefault="00047520" w:rsidP="002F5300">
      <w:pPr>
        <w:pStyle w:val="ListParagraph"/>
        <w:keepNext/>
        <w:keepLines/>
        <w:numPr>
          <w:ilvl w:val="0"/>
          <w:numId w:val="42"/>
        </w:numPr>
        <w:jc w:val="both"/>
        <w:rPr>
          <w:rFonts w:ascii="Arial" w:hAnsi="Arial"/>
          <w:sz w:val="22"/>
          <w:szCs w:val="22"/>
        </w:rPr>
      </w:pPr>
      <w:r>
        <w:rPr>
          <w:rFonts w:ascii="Arial" w:hAnsi="Arial"/>
          <w:sz w:val="22"/>
          <w:szCs w:val="22"/>
        </w:rPr>
        <w:t>Ensure modelled OS</w:t>
      </w:r>
      <w:r w:rsidR="00E600D3">
        <w:rPr>
          <w:rFonts w:ascii="Arial" w:hAnsi="Arial"/>
          <w:sz w:val="22"/>
          <w:szCs w:val="22"/>
        </w:rPr>
        <w:t xml:space="preserve"> is consistent with</w:t>
      </w:r>
      <w:r>
        <w:rPr>
          <w:rFonts w:ascii="Arial" w:hAnsi="Arial"/>
          <w:sz w:val="22"/>
          <w:szCs w:val="22"/>
        </w:rPr>
        <w:t xml:space="preserve"> the trial-based data;</w:t>
      </w:r>
    </w:p>
    <w:p w:rsidR="00047520" w:rsidRPr="00D317EB" w:rsidRDefault="00047520" w:rsidP="002F5300">
      <w:pPr>
        <w:pStyle w:val="ListParagraph"/>
        <w:keepNext/>
        <w:keepLines/>
        <w:numPr>
          <w:ilvl w:val="0"/>
          <w:numId w:val="42"/>
        </w:numPr>
        <w:jc w:val="both"/>
        <w:rPr>
          <w:rFonts w:ascii="Arial" w:hAnsi="Arial"/>
          <w:sz w:val="22"/>
          <w:szCs w:val="22"/>
        </w:rPr>
      </w:pPr>
      <w:r w:rsidRPr="00D317EB">
        <w:rPr>
          <w:rFonts w:ascii="Arial" w:hAnsi="Arial"/>
          <w:sz w:val="22"/>
          <w:szCs w:val="22"/>
        </w:rPr>
        <w:t>Include the costs of adverse events</w:t>
      </w:r>
      <w:r w:rsidR="00D317EB" w:rsidRPr="00D317EB">
        <w:rPr>
          <w:rFonts w:ascii="Arial" w:hAnsi="Arial"/>
          <w:sz w:val="22"/>
          <w:szCs w:val="22"/>
        </w:rPr>
        <w:t xml:space="preserve"> (noting </w:t>
      </w:r>
      <w:r w:rsidR="003F5A0B" w:rsidRPr="00D317EB">
        <w:rPr>
          <w:rFonts w:ascii="Arial" w:hAnsi="Arial"/>
          <w:sz w:val="22"/>
          <w:szCs w:val="22"/>
        </w:rPr>
        <w:t xml:space="preserve">that the costs of cardiac adverse events and serious </w:t>
      </w:r>
      <w:proofErr w:type="spellStart"/>
      <w:r w:rsidR="003F5A0B" w:rsidRPr="00D317EB">
        <w:rPr>
          <w:rFonts w:ascii="Arial" w:hAnsi="Arial"/>
          <w:sz w:val="22"/>
          <w:szCs w:val="22"/>
        </w:rPr>
        <w:t>leucopenia</w:t>
      </w:r>
      <w:proofErr w:type="spellEnd"/>
      <w:r w:rsidR="003F5A0B" w:rsidRPr="00D317EB">
        <w:rPr>
          <w:rFonts w:ascii="Arial" w:hAnsi="Arial"/>
          <w:sz w:val="22"/>
          <w:szCs w:val="22"/>
        </w:rPr>
        <w:t xml:space="preserve"> had been i</w:t>
      </w:r>
      <w:r w:rsidR="00D317EB" w:rsidRPr="00D317EB">
        <w:rPr>
          <w:rFonts w:ascii="Arial" w:hAnsi="Arial"/>
          <w:sz w:val="22"/>
          <w:szCs w:val="22"/>
        </w:rPr>
        <w:t>ncluded in the PSCR and the pre</w:t>
      </w:r>
      <w:r w:rsidR="00D317EB" w:rsidRPr="00D317EB">
        <w:rPr>
          <w:rFonts w:ascii="Arial" w:hAnsi="Arial"/>
          <w:sz w:val="22"/>
          <w:szCs w:val="22"/>
        </w:rPr>
        <w:noBreakHyphen/>
      </w:r>
      <w:r w:rsidR="003F5A0B" w:rsidRPr="00D317EB">
        <w:rPr>
          <w:rFonts w:ascii="Arial" w:hAnsi="Arial"/>
          <w:sz w:val="22"/>
          <w:szCs w:val="22"/>
        </w:rPr>
        <w:t>PBAC response</w:t>
      </w:r>
      <w:r w:rsidR="00D317EB" w:rsidRPr="00D317EB">
        <w:rPr>
          <w:rFonts w:ascii="Arial" w:hAnsi="Arial"/>
          <w:sz w:val="22"/>
          <w:szCs w:val="22"/>
        </w:rPr>
        <w:t>)</w:t>
      </w:r>
      <w:r w:rsidRPr="00D317EB">
        <w:rPr>
          <w:rFonts w:ascii="Arial" w:hAnsi="Arial"/>
          <w:sz w:val="22"/>
          <w:szCs w:val="22"/>
        </w:rPr>
        <w:t>; and</w:t>
      </w:r>
    </w:p>
    <w:p w:rsidR="00265656" w:rsidRDefault="00047520" w:rsidP="002F5300">
      <w:pPr>
        <w:pStyle w:val="ListParagraph"/>
        <w:keepNext/>
        <w:keepLines/>
        <w:numPr>
          <w:ilvl w:val="0"/>
          <w:numId w:val="42"/>
        </w:numPr>
        <w:jc w:val="both"/>
        <w:rPr>
          <w:rFonts w:ascii="Arial" w:hAnsi="Arial"/>
          <w:color w:val="00B050"/>
          <w:sz w:val="22"/>
          <w:szCs w:val="22"/>
        </w:rPr>
      </w:pPr>
      <w:r w:rsidRPr="00265656">
        <w:rPr>
          <w:rFonts w:ascii="Arial" w:hAnsi="Arial"/>
          <w:sz w:val="22"/>
          <w:szCs w:val="22"/>
        </w:rPr>
        <w:t>Use a 10 year time horizon, per the submission.</w:t>
      </w:r>
      <w:r w:rsidR="00551559" w:rsidRPr="00551559">
        <w:rPr>
          <w:rFonts w:ascii="Arial" w:hAnsi="Arial"/>
          <w:sz w:val="22"/>
          <w:szCs w:val="22"/>
        </w:rPr>
        <w:t xml:space="preserve"> </w:t>
      </w:r>
      <w:r w:rsidR="00551559">
        <w:rPr>
          <w:rFonts w:ascii="Arial" w:hAnsi="Arial"/>
          <w:sz w:val="22"/>
          <w:szCs w:val="22"/>
        </w:rPr>
        <w:t xml:space="preserve">The PBAC considered that this time horizon was </w:t>
      </w:r>
      <w:r w:rsidR="00551559" w:rsidRPr="00E45928">
        <w:rPr>
          <w:rFonts w:ascii="Arial" w:hAnsi="Arial"/>
          <w:sz w:val="22"/>
          <w:szCs w:val="22"/>
        </w:rPr>
        <w:t>appropriate for the relevant population of patients with multiple co-morbidities.</w:t>
      </w:r>
      <w:r w:rsidR="00265656">
        <w:rPr>
          <w:rFonts w:ascii="Arial" w:hAnsi="Arial"/>
          <w:sz w:val="22"/>
          <w:szCs w:val="22"/>
        </w:rPr>
        <w:t xml:space="preserve"> </w:t>
      </w:r>
    </w:p>
    <w:p w:rsidR="00265656" w:rsidRPr="00265656" w:rsidRDefault="00265656" w:rsidP="00265656">
      <w:pPr>
        <w:pStyle w:val="ListParagraph"/>
        <w:ind w:left="1440"/>
        <w:jc w:val="both"/>
        <w:rPr>
          <w:rFonts w:ascii="Arial" w:hAnsi="Arial"/>
          <w:color w:val="00B050"/>
          <w:sz w:val="22"/>
          <w:szCs w:val="22"/>
        </w:rPr>
      </w:pPr>
    </w:p>
    <w:p w:rsidR="00115533" w:rsidRPr="00E45928" w:rsidRDefault="00115533" w:rsidP="00115533">
      <w:pPr>
        <w:pStyle w:val="ListParagraph"/>
        <w:numPr>
          <w:ilvl w:val="1"/>
          <w:numId w:val="25"/>
        </w:numPr>
        <w:jc w:val="both"/>
        <w:rPr>
          <w:rFonts w:ascii="Arial" w:hAnsi="Arial"/>
          <w:sz w:val="22"/>
          <w:szCs w:val="22"/>
        </w:rPr>
      </w:pPr>
      <w:r w:rsidRPr="00E45928">
        <w:rPr>
          <w:rFonts w:ascii="Arial" w:hAnsi="Arial"/>
          <w:sz w:val="22"/>
          <w:szCs w:val="22"/>
        </w:rPr>
        <w:t>The PBAC noted the other concerns about the model that were raised by the ESC.  In this case, the PBAC accepted the use of utilities from the literature rather than the trial</w:t>
      </w:r>
      <w:r w:rsidR="00551559">
        <w:rPr>
          <w:rFonts w:ascii="Arial" w:hAnsi="Arial"/>
          <w:sz w:val="22"/>
          <w:szCs w:val="22"/>
        </w:rPr>
        <w:t>.</w:t>
      </w:r>
      <w:r w:rsidRPr="00E45928">
        <w:rPr>
          <w:rFonts w:ascii="Arial" w:hAnsi="Arial"/>
          <w:sz w:val="22"/>
          <w:szCs w:val="22"/>
        </w:rPr>
        <w:t xml:space="preserve"> </w:t>
      </w:r>
    </w:p>
    <w:p w:rsidR="00115533" w:rsidRPr="00E45928" w:rsidRDefault="00115533" w:rsidP="00BB7EC3">
      <w:pPr>
        <w:pStyle w:val="ListParagraph"/>
        <w:rPr>
          <w:rFonts w:ascii="Arial" w:hAnsi="Arial"/>
          <w:sz w:val="22"/>
          <w:szCs w:val="22"/>
        </w:rPr>
      </w:pPr>
    </w:p>
    <w:p w:rsidR="00E45928" w:rsidRPr="00E45928" w:rsidRDefault="00E45928" w:rsidP="00E45928">
      <w:pPr>
        <w:pStyle w:val="ListParagraph"/>
        <w:numPr>
          <w:ilvl w:val="1"/>
          <w:numId w:val="25"/>
        </w:numPr>
        <w:jc w:val="both"/>
        <w:rPr>
          <w:rFonts w:ascii="Arial" w:hAnsi="Arial"/>
          <w:sz w:val="22"/>
          <w:szCs w:val="22"/>
        </w:rPr>
      </w:pPr>
      <w:r w:rsidRPr="00E45928">
        <w:rPr>
          <w:rFonts w:ascii="Arial" w:hAnsi="Arial"/>
          <w:sz w:val="22"/>
          <w:szCs w:val="22"/>
        </w:rPr>
        <w:t xml:space="preserve">The PBAC agreed with DUSC that it is difficult to reliably estimate the number of patients who are likely to use </w:t>
      </w:r>
      <w:proofErr w:type="spellStart"/>
      <w:r w:rsidRPr="00E45928">
        <w:rPr>
          <w:rFonts w:ascii="Arial" w:hAnsi="Arial"/>
          <w:sz w:val="22"/>
          <w:szCs w:val="22"/>
        </w:rPr>
        <w:t>obinutuzumab</w:t>
      </w:r>
      <w:proofErr w:type="spellEnd"/>
      <w:r w:rsidRPr="00E45928">
        <w:rPr>
          <w:rFonts w:ascii="Arial" w:hAnsi="Arial"/>
          <w:sz w:val="22"/>
          <w:szCs w:val="22"/>
        </w:rPr>
        <w:t xml:space="preserve">. In particular, the PBAC considered that </w:t>
      </w:r>
      <w:r w:rsidR="004C21E9">
        <w:rPr>
          <w:rFonts w:ascii="Arial" w:hAnsi="Arial"/>
          <w:sz w:val="22"/>
          <w:szCs w:val="22"/>
        </w:rPr>
        <w:t>th</w:t>
      </w:r>
      <w:r w:rsidRPr="00E45928">
        <w:rPr>
          <w:rFonts w:ascii="Arial" w:hAnsi="Arial"/>
          <w:sz w:val="22"/>
          <w:szCs w:val="22"/>
        </w:rPr>
        <w:t xml:space="preserve">ere was a risk of use of the drug outside the intended restriction, and agreed with the DUSC that there is potential for retreatment with </w:t>
      </w:r>
      <w:proofErr w:type="spellStart"/>
      <w:r w:rsidRPr="00E45928">
        <w:rPr>
          <w:rFonts w:ascii="Arial" w:hAnsi="Arial"/>
          <w:sz w:val="22"/>
          <w:szCs w:val="22"/>
        </w:rPr>
        <w:t>obinutuzumab</w:t>
      </w:r>
      <w:proofErr w:type="spellEnd"/>
      <w:r w:rsidRPr="00E45928">
        <w:rPr>
          <w:rFonts w:ascii="Arial" w:hAnsi="Arial"/>
          <w:sz w:val="22"/>
          <w:szCs w:val="22"/>
        </w:rPr>
        <w:t xml:space="preserve"> and potential for use after relapse or progression on other treatments.</w:t>
      </w:r>
    </w:p>
    <w:p w:rsidR="00E45928" w:rsidRPr="00E45928" w:rsidRDefault="00E45928" w:rsidP="00E45928">
      <w:pPr>
        <w:pStyle w:val="ListParagraph"/>
        <w:ind w:left="709"/>
        <w:jc w:val="both"/>
        <w:rPr>
          <w:rFonts w:ascii="Arial" w:hAnsi="Arial"/>
          <w:sz w:val="22"/>
          <w:szCs w:val="22"/>
        </w:rPr>
      </w:pPr>
    </w:p>
    <w:p w:rsidR="00E45928" w:rsidRPr="00E45928" w:rsidRDefault="00E45928" w:rsidP="00E45928">
      <w:pPr>
        <w:pStyle w:val="ListParagraph"/>
        <w:numPr>
          <w:ilvl w:val="1"/>
          <w:numId w:val="25"/>
        </w:numPr>
        <w:ind w:left="709" w:hanging="709"/>
        <w:jc w:val="both"/>
        <w:rPr>
          <w:rFonts w:ascii="Arial" w:hAnsi="Arial"/>
          <w:sz w:val="22"/>
          <w:szCs w:val="22"/>
        </w:rPr>
      </w:pPr>
      <w:r w:rsidRPr="00E45928">
        <w:rPr>
          <w:rFonts w:ascii="Arial" w:hAnsi="Arial"/>
          <w:sz w:val="22"/>
          <w:szCs w:val="22"/>
        </w:rPr>
        <w:t xml:space="preserve">The PBAC considered that this risk of use of </w:t>
      </w:r>
      <w:proofErr w:type="spellStart"/>
      <w:r w:rsidRPr="00E45928">
        <w:rPr>
          <w:rFonts w:ascii="Arial" w:hAnsi="Arial"/>
          <w:sz w:val="22"/>
          <w:szCs w:val="22"/>
        </w:rPr>
        <w:t>obinutuzumab</w:t>
      </w:r>
      <w:proofErr w:type="spellEnd"/>
      <w:r w:rsidRPr="00E45928">
        <w:rPr>
          <w:rFonts w:ascii="Arial" w:hAnsi="Arial"/>
          <w:sz w:val="22"/>
          <w:szCs w:val="22"/>
        </w:rPr>
        <w:t xml:space="preserve"> outside the requested restriction would be particularly high in the absence of </w:t>
      </w:r>
      <w:r w:rsidR="00D64C52">
        <w:rPr>
          <w:rFonts w:ascii="Arial" w:hAnsi="Arial"/>
          <w:sz w:val="22"/>
          <w:szCs w:val="22"/>
        </w:rPr>
        <w:t xml:space="preserve">suitable, </w:t>
      </w:r>
      <w:r w:rsidRPr="00E45928">
        <w:rPr>
          <w:rFonts w:ascii="Arial" w:hAnsi="Arial"/>
          <w:sz w:val="22"/>
          <w:szCs w:val="22"/>
        </w:rPr>
        <w:t>alternative PBS</w:t>
      </w:r>
      <w:r w:rsidRPr="00E45928">
        <w:rPr>
          <w:rFonts w:ascii="Arial" w:hAnsi="Arial"/>
          <w:sz w:val="22"/>
          <w:szCs w:val="22"/>
        </w:rPr>
        <w:noBreakHyphen/>
        <w:t xml:space="preserve">listed treatment options for patients with CLL who cannot tolerate a </w:t>
      </w:r>
      <w:proofErr w:type="spellStart"/>
      <w:r w:rsidRPr="00E45928">
        <w:rPr>
          <w:rFonts w:ascii="Arial" w:hAnsi="Arial"/>
          <w:sz w:val="22"/>
          <w:szCs w:val="22"/>
        </w:rPr>
        <w:t>fludarabine</w:t>
      </w:r>
      <w:proofErr w:type="spellEnd"/>
      <w:r w:rsidRPr="00E45928">
        <w:rPr>
          <w:rFonts w:ascii="Arial" w:hAnsi="Arial"/>
          <w:sz w:val="22"/>
          <w:szCs w:val="22"/>
        </w:rPr>
        <w:t xml:space="preserve">-based regimen. Therefore the PBAC considered that, should rituximab remain unlisted for use in combination with chemotherapy, this risk would need to be mitigated though a written </w:t>
      </w:r>
      <w:r w:rsidR="004C23FA">
        <w:rPr>
          <w:rFonts w:ascii="Arial" w:hAnsi="Arial"/>
          <w:sz w:val="22"/>
          <w:szCs w:val="22"/>
        </w:rPr>
        <w:t>A</w:t>
      </w:r>
      <w:r w:rsidRPr="00E45928">
        <w:rPr>
          <w:rFonts w:ascii="Arial" w:hAnsi="Arial"/>
          <w:sz w:val="22"/>
          <w:szCs w:val="22"/>
        </w:rPr>
        <w:t xml:space="preserve">uthority </w:t>
      </w:r>
      <w:proofErr w:type="gramStart"/>
      <w:r w:rsidR="004C23FA">
        <w:rPr>
          <w:rFonts w:ascii="Arial" w:hAnsi="Arial"/>
          <w:sz w:val="22"/>
          <w:szCs w:val="22"/>
        </w:rPr>
        <w:t>R</w:t>
      </w:r>
      <w:r w:rsidRPr="00E45928">
        <w:rPr>
          <w:rFonts w:ascii="Arial" w:hAnsi="Arial"/>
          <w:sz w:val="22"/>
          <w:szCs w:val="22"/>
        </w:rPr>
        <w:t>equired</w:t>
      </w:r>
      <w:proofErr w:type="gramEnd"/>
      <w:r w:rsidRPr="00E45928">
        <w:rPr>
          <w:rFonts w:ascii="Arial" w:hAnsi="Arial"/>
          <w:sz w:val="22"/>
          <w:szCs w:val="22"/>
        </w:rPr>
        <w:t xml:space="preserve"> listing. </w:t>
      </w:r>
    </w:p>
    <w:p w:rsidR="00E45928" w:rsidRPr="00E45928" w:rsidRDefault="00E45928" w:rsidP="00E45928">
      <w:pPr>
        <w:pStyle w:val="ListParagraph"/>
        <w:rPr>
          <w:rFonts w:ascii="Arial" w:hAnsi="Arial"/>
          <w:sz w:val="22"/>
          <w:szCs w:val="22"/>
        </w:rPr>
      </w:pPr>
    </w:p>
    <w:p w:rsidR="00E45928" w:rsidRPr="00E45928" w:rsidRDefault="00E45928" w:rsidP="00E45928">
      <w:pPr>
        <w:pStyle w:val="ListParagraph"/>
        <w:numPr>
          <w:ilvl w:val="1"/>
          <w:numId w:val="25"/>
        </w:numPr>
        <w:jc w:val="both"/>
        <w:rPr>
          <w:rFonts w:ascii="Arial" w:hAnsi="Arial"/>
          <w:sz w:val="22"/>
          <w:szCs w:val="22"/>
        </w:rPr>
      </w:pPr>
      <w:r w:rsidRPr="00E45928">
        <w:rPr>
          <w:rFonts w:ascii="Arial" w:hAnsi="Arial"/>
          <w:sz w:val="22"/>
          <w:szCs w:val="22"/>
        </w:rPr>
        <w:t xml:space="preserve">Further, in light of the uncertain patient numbers and the risk of use of </w:t>
      </w:r>
      <w:proofErr w:type="spellStart"/>
      <w:r w:rsidRPr="00E45928">
        <w:rPr>
          <w:rFonts w:ascii="Arial" w:hAnsi="Arial"/>
          <w:sz w:val="22"/>
          <w:szCs w:val="22"/>
        </w:rPr>
        <w:t>obinutuzumab</w:t>
      </w:r>
      <w:proofErr w:type="spellEnd"/>
      <w:r w:rsidRPr="00E45928">
        <w:rPr>
          <w:rFonts w:ascii="Arial" w:hAnsi="Arial"/>
          <w:sz w:val="22"/>
          <w:szCs w:val="22"/>
        </w:rPr>
        <w:t xml:space="preserve"> outside the requested restriction, the PBAC pre-empted that a risk-sharing arrangement would be required should </w:t>
      </w:r>
      <w:proofErr w:type="spellStart"/>
      <w:r w:rsidRPr="00E45928">
        <w:rPr>
          <w:rFonts w:ascii="Arial" w:hAnsi="Arial"/>
          <w:sz w:val="22"/>
          <w:szCs w:val="22"/>
        </w:rPr>
        <w:t>obinutuzumab</w:t>
      </w:r>
      <w:proofErr w:type="spellEnd"/>
      <w:r w:rsidRPr="00E45928">
        <w:rPr>
          <w:rFonts w:ascii="Arial" w:hAnsi="Arial"/>
          <w:sz w:val="22"/>
          <w:szCs w:val="22"/>
        </w:rPr>
        <w:t xml:space="preserve"> be recommended for listing in the future. The PBAC considered that </w:t>
      </w:r>
      <w:r w:rsidR="00197B45">
        <w:rPr>
          <w:rFonts w:ascii="Arial" w:hAnsi="Arial"/>
          <w:noProof/>
          <w:color w:val="000000"/>
          <w:sz w:val="22"/>
          <w:szCs w:val="22"/>
          <w:highlight w:val="black"/>
        </w:rPr>
        <w:t>'''' '''''''''''' ''''''''' ''''''''''''''' '''''' '''''''''''''''''''' '''''''''' ''''''''' '''''''''''' ''''</w:t>
      </w:r>
      <w:r w:rsidR="00C047E0" w:rsidRPr="00C047E0">
        <w:rPr>
          <w:rStyle w:val="CommentReference"/>
        </w:rPr>
        <w:t xml:space="preserve"> </w:t>
      </w:r>
      <w:r w:rsidR="00197B45">
        <w:rPr>
          <w:rFonts w:ascii="Arial" w:hAnsi="Arial"/>
          <w:noProof/>
          <w:color w:val="000000"/>
          <w:sz w:val="22"/>
          <w:szCs w:val="22"/>
          <w:highlight w:val="black"/>
        </w:rPr>
        <w:t xml:space="preserve"> ''''''''''''''''''''''''''''''''' '''' ''''''''''''' ''''' ''''''' ''''''''''''' ''''' '''''''' '''''''''''''''''' '''''''''''''''''''''''''' '''''''''''''''''''''''''' '''''''''' ''''''''''''''' '''''''''''''''''''''''''''''''' ''''' ''''''''''''''''''''''''''''' '''''''''' ''''''''''''''''''''''' '''' ''''''''''''''''''''''' '''' ''''''''''''' ''''' '''''''' ''''''''''''''''' ''''''''''''''' ''''''' '''''''''' ''''''' '''''''''''''''''''''''''</w:t>
      </w:r>
      <w:r w:rsidRPr="00E45928">
        <w:rPr>
          <w:rFonts w:ascii="Arial" w:hAnsi="Arial"/>
          <w:sz w:val="22"/>
          <w:szCs w:val="22"/>
        </w:rPr>
        <w:t xml:space="preserve"> </w:t>
      </w:r>
    </w:p>
    <w:p w:rsidR="00E45928" w:rsidRPr="00E45928" w:rsidRDefault="00E45928" w:rsidP="00E45928">
      <w:pPr>
        <w:pStyle w:val="ListParagraph"/>
        <w:ind w:left="709"/>
        <w:jc w:val="both"/>
        <w:rPr>
          <w:rFonts w:ascii="Arial" w:hAnsi="Arial"/>
          <w:sz w:val="22"/>
          <w:szCs w:val="22"/>
        </w:rPr>
      </w:pPr>
    </w:p>
    <w:p w:rsidR="00E45928" w:rsidRPr="00E600D3" w:rsidRDefault="00E45928" w:rsidP="00E45928">
      <w:pPr>
        <w:pStyle w:val="ListParagraph"/>
        <w:numPr>
          <w:ilvl w:val="1"/>
          <w:numId w:val="25"/>
        </w:numPr>
        <w:ind w:left="709" w:hanging="709"/>
        <w:jc w:val="both"/>
        <w:rPr>
          <w:rFonts w:ascii="Arial" w:hAnsi="Arial"/>
          <w:sz w:val="22"/>
          <w:szCs w:val="22"/>
        </w:rPr>
      </w:pPr>
      <w:r w:rsidRPr="00E45928">
        <w:rPr>
          <w:rFonts w:ascii="Arial" w:hAnsi="Arial"/>
          <w:sz w:val="22"/>
          <w:szCs w:val="22"/>
        </w:rPr>
        <w:t>The PBAC considered that if rituximab were PBS-listed in this setting, then any relevant cost</w:t>
      </w:r>
      <w:r w:rsidRPr="00E45928">
        <w:rPr>
          <w:rFonts w:ascii="Arial" w:hAnsi="Arial"/>
          <w:sz w:val="22"/>
          <w:szCs w:val="22"/>
        </w:rPr>
        <w:noBreakHyphen/>
        <w:t>offsets for its substitution should</w:t>
      </w:r>
      <w:r w:rsidRPr="00E600D3">
        <w:rPr>
          <w:rFonts w:ascii="Arial" w:hAnsi="Arial"/>
          <w:sz w:val="22"/>
          <w:szCs w:val="22"/>
        </w:rPr>
        <w:t xml:space="preserve"> be included in the financial estimates.</w:t>
      </w:r>
    </w:p>
    <w:p w:rsidR="00FA6055" w:rsidRPr="00D469B2" w:rsidRDefault="00FA6055" w:rsidP="00D469B2">
      <w:pPr>
        <w:jc w:val="both"/>
        <w:rPr>
          <w:rFonts w:ascii="Arial" w:hAnsi="Arial"/>
          <w:sz w:val="22"/>
          <w:szCs w:val="22"/>
        </w:rPr>
      </w:pPr>
    </w:p>
    <w:p w:rsidR="00551559" w:rsidRPr="00074DEF" w:rsidRDefault="00551559" w:rsidP="00551559">
      <w:pPr>
        <w:pStyle w:val="ListParagraph"/>
        <w:numPr>
          <w:ilvl w:val="1"/>
          <w:numId w:val="25"/>
        </w:numPr>
        <w:jc w:val="both"/>
        <w:rPr>
          <w:rFonts w:ascii="Arial" w:hAnsi="Arial"/>
          <w:color w:val="00B050"/>
          <w:sz w:val="22"/>
          <w:szCs w:val="22"/>
        </w:rPr>
      </w:pPr>
      <w:r w:rsidRPr="00074DEF">
        <w:rPr>
          <w:rFonts w:ascii="Arial" w:hAnsi="Arial"/>
          <w:sz w:val="22"/>
          <w:szCs w:val="22"/>
        </w:rPr>
        <w:lastRenderedPageBreak/>
        <w:t xml:space="preserve">Evaluation of a revised </w:t>
      </w:r>
      <w:r>
        <w:rPr>
          <w:rFonts w:ascii="Arial" w:hAnsi="Arial"/>
          <w:sz w:val="22"/>
          <w:szCs w:val="22"/>
        </w:rPr>
        <w:t xml:space="preserve">economic </w:t>
      </w:r>
      <w:r w:rsidRPr="00074DEF">
        <w:rPr>
          <w:rFonts w:ascii="Arial" w:hAnsi="Arial"/>
          <w:sz w:val="22"/>
          <w:szCs w:val="22"/>
        </w:rPr>
        <w:t>model structure with appropriate inputs would require a major re</w:t>
      </w:r>
      <w:r w:rsidRPr="00074DEF">
        <w:rPr>
          <w:rFonts w:ascii="Arial" w:hAnsi="Arial"/>
          <w:sz w:val="22"/>
          <w:szCs w:val="22"/>
        </w:rPr>
        <w:noBreakHyphen/>
        <w:t xml:space="preserve">submission. </w:t>
      </w:r>
    </w:p>
    <w:p w:rsidR="00551559" w:rsidRPr="00551559" w:rsidRDefault="00551559" w:rsidP="00551559">
      <w:pPr>
        <w:pStyle w:val="ListParagraph"/>
        <w:rPr>
          <w:rFonts w:ascii="Arial" w:hAnsi="Arial"/>
          <w:sz w:val="22"/>
          <w:szCs w:val="22"/>
        </w:rPr>
      </w:pPr>
    </w:p>
    <w:p w:rsidR="00DF26A7" w:rsidRDefault="00BB7EC3" w:rsidP="0008642A">
      <w:pPr>
        <w:pStyle w:val="ListParagraph"/>
        <w:numPr>
          <w:ilvl w:val="1"/>
          <w:numId w:val="25"/>
        </w:numPr>
        <w:ind w:left="709" w:hanging="709"/>
        <w:jc w:val="both"/>
        <w:rPr>
          <w:rFonts w:ascii="Arial" w:hAnsi="Arial"/>
          <w:sz w:val="22"/>
          <w:szCs w:val="22"/>
        </w:rPr>
      </w:pPr>
      <w:r>
        <w:rPr>
          <w:rFonts w:ascii="Arial" w:hAnsi="Arial"/>
          <w:sz w:val="22"/>
          <w:szCs w:val="22"/>
        </w:rPr>
        <w:t>The PBA</w:t>
      </w:r>
      <w:r w:rsidR="0008642A">
        <w:rPr>
          <w:rFonts w:ascii="Arial" w:hAnsi="Arial"/>
          <w:sz w:val="22"/>
          <w:szCs w:val="22"/>
        </w:rPr>
        <w:t>C noted that this submission is</w:t>
      </w:r>
      <w:r>
        <w:rPr>
          <w:rFonts w:ascii="Arial" w:hAnsi="Arial"/>
          <w:sz w:val="22"/>
          <w:szCs w:val="22"/>
        </w:rPr>
        <w:t xml:space="preserve"> </w:t>
      </w:r>
      <w:r w:rsidR="00B43E90" w:rsidRPr="00882085">
        <w:rPr>
          <w:rFonts w:ascii="Arial" w:hAnsi="Arial"/>
          <w:sz w:val="22"/>
          <w:szCs w:val="22"/>
        </w:rPr>
        <w:t>eligibl</w:t>
      </w:r>
      <w:r>
        <w:rPr>
          <w:rFonts w:ascii="Arial" w:hAnsi="Arial"/>
          <w:sz w:val="22"/>
          <w:szCs w:val="22"/>
        </w:rPr>
        <w:t>e</w:t>
      </w:r>
      <w:r w:rsidR="00B43E90" w:rsidRPr="00882085">
        <w:rPr>
          <w:rFonts w:ascii="Arial" w:hAnsi="Arial"/>
          <w:sz w:val="22"/>
          <w:szCs w:val="22"/>
        </w:rPr>
        <w:t xml:space="preserve"> for </w:t>
      </w:r>
      <w:r>
        <w:rPr>
          <w:rFonts w:ascii="Arial" w:hAnsi="Arial"/>
          <w:sz w:val="22"/>
          <w:szCs w:val="22"/>
        </w:rPr>
        <w:t xml:space="preserve">an </w:t>
      </w:r>
      <w:r w:rsidR="00B43E90" w:rsidRPr="00882085">
        <w:rPr>
          <w:rFonts w:ascii="Arial" w:hAnsi="Arial"/>
          <w:sz w:val="22"/>
          <w:szCs w:val="22"/>
        </w:rPr>
        <w:t>Independent Review.</w:t>
      </w:r>
      <w:r>
        <w:rPr>
          <w:rFonts w:ascii="Arial" w:hAnsi="Arial"/>
          <w:sz w:val="22"/>
          <w:szCs w:val="22"/>
        </w:rPr>
        <w:t xml:space="preserve"> </w:t>
      </w:r>
    </w:p>
    <w:p w:rsidR="0008642A" w:rsidRPr="0008642A" w:rsidRDefault="0008642A" w:rsidP="0008642A">
      <w:pPr>
        <w:pStyle w:val="ListParagrap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2E237F" w:rsidRDefault="009C703C" w:rsidP="00882085">
      <w:pPr>
        <w:jc w:val="both"/>
        <w:rPr>
          <w:rFonts w:ascii="Arial" w:hAnsi="Arial"/>
          <w:sz w:val="22"/>
          <w:szCs w:val="22"/>
        </w:rPr>
      </w:pPr>
      <w:r w:rsidRPr="00882085">
        <w:rPr>
          <w:rFonts w:ascii="Arial" w:hAnsi="Arial"/>
          <w:sz w:val="22"/>
          <w:szCs w:val="22"/>
        </w:rPr>
        <w:t xml:space="preserve">Rejected </w:t>
      </w:r>
    </w:p>
    <w:p w:rsidR="002E237F" w:rsidRDefault="002E237F" w:rsidP="00882085">
      <w:pPr>
        <w:jc w:val="both"/>
        <w:rPr>
          <w:rFonts w:ascii="Arial" w:hAnsi="Arial"/>
          <w:sz w:val="22"/>
          <w:szCs w:val="22"/>
        </w:rPr>
      </w:pPr>
    </w:p>
    <w:p w:rsidR="005E2630" w:rsidRDefault="005E2630" w:rsidP="005E2630">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5E2630" w:rsidRPr="00D4420F" w:rsidRDefault="005E2630" w:rsidP="005E2630">
      <w:pPr>
        <w:pStyle w:val="ListParagraph"/>
        <w:jc w:val="both"/>
        <w:rPr>
          <w:rFonts w:ascii="Arial" w:hAnsi="Arial" w:cs="Arial"/>
          <w:b/>
          <w:sz w:val="22"/>
        </w:rPr>
      </w:pPr>
    </w:p>
    <w:p w:rsidR="005E2630" w:rsidRPr="00D4420F" w:rsidRDefault="005E2630" w:rsidP="005E2630">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E2630" w:rsidRPr="00D4420F" w:rsidRDefault="005E2630" w:rsidP="005E2630">
      <w:pPr>
        <w:jc w:val="both"/>
        <w:rPr>
          <w:rFonts w:ascii="Arial" w:hAnsi="Arial" w:cs="Arial"/>
          <w:sz w:val="22"/>
        </w:rPr>
      </w:pPr>
    </w:p>
    <w:p w:rsidR="005E2630" w:rsidRDefault="005E2630" w:rsidP="005E2630">
      <w:pPr>
        <w:pStyle w:val="ListParagraph"/>
        <w:numPr>
          <w:ilvl w:val="0"/>
          <w:numId w:val="25"/>
        </w:numPr>
        <w:jc w:val="both"/>
        <w:rPr>
          <w:rFonts w:ascii="Arial" w:hAnsi="Arial" w:cs="Arial"/>
          <w:b/>
          <w:sz w:val="22"/>
        </w:rPr>
      </w:pPr>
      <w:r w:rsidRPr="00D4420F">
        <w:rPr>
          <w:rFonts w:ascii="Arial" w:hAnsi="Arial" w:cs="Arial"/>
          <w:b/>
          <w:sz w:val="22"/>
        </w:rPr>
        <w:t>Sponsor’s Comment</w:t>
      </w:r>
    </w:p>
    <w:p w:rsidR="004878AF" w:rsidRPr="00D4420F" w:rsidRDefault="004878AF" w:rsidP="004878AF">
      <w:pPr>
        <w:pStyle w:val="ListParagraph"/>
        <w:jc w:val="both"/>
        <w:rPr>
          <w:rFonts w:ascii="Arial" w:hAnsi="Arial" w:cs="Arial"/>
          <w:b/>
          <w:sz w:val="22"/>
        </w:rPr>
      </w:pPr>
    </w:p>
    <w:p w:rsidR="004C21E9" w:rsidRDefault="004C21E9" w:rsidP="004C21E9">
      <w:pPr>
        <w:ind w:left="709"/>
        <w:jc w:val="both"/>
        <w:rPr>
          <w:rFonts w:ascii="Arial" w:hAnsi="Arial"/>
          <w:sz w:val="22"/>
          <w:szCs w:val="22"/>
        </w:rPr>
      </w:pPr>
      <w:r>
        <w:rPr>
          <w:rFonts w:ascii="Arial" w:hAnsi="Arial"/>
          <w:sz w:val="22"/>
          <w:szCs w:val="22"/>
        </w:rPr>
        <w:tab/>
        <w:t>Roche</w:t>
      </w:r>
      <w:r w:rsidRPr="00377DEE">
        <w:rPr>
          <w:rFonts w:ascii="Arial" w:hAnsi="Arial"/>
          <w:sz w:val="22"/>
          <w:szCs w:val="22"/>
        </w:rPr>
        <w:t xml:space="preserve"> is disappointed with this outcome for</w:t>
      </w:r>
      <w:r>
        <w:rPr>
          <w:rFonts w:ascii="Arial" w:hAnsi="Arial"/>
          <w:sz w:val="22"/>
          <w:szCs w:val="22"/>
        </w:rPr>
        <w:t xml:space="preserve"> patients with</w:t>
      </w:r>
      <w:r w:rsidRPr="00377DEE">
        <w:rPr>
          <w:rFonts w:ascii="Arial" w:hAnsi="Arial"/>
          <w:sz w:val="22"/>
          <w:szCs w:val="22"/>
        </w:rPr>
        <w:t xml:space="preserve"> </w:t>
      </w:r>
      <w:r>
        <w:rPr>
          <w:rFonts w:ascii="Arial" w:hAnsi="Arial"/>
          <w:sz w:val="22"/>
          <w:szCs w:val="22"/>
        </w:rPr>
        <w:t>CLL</w:t>
      </w:r>
      <w:r w:rsidRPr="00377DEE">
        <w:rPr>
          <w:rFonts w:ascii="Arial" w:hAnsi="Arial"/>
          <w:sz w:val="22"/>
          <w:szCs w:val="22"/>
        </w:rPr>
        <w:t xml:space="preserve"> and considers that there is an important place for</w:t>
      </w:r>
      <w:r>
        <w:rPr>
          <w:rFonts w:ascii="Arial" w:hAnsi="Arial"/>
          <w:sz w:val="22"/>
          <w:szCs w:val="22"/>
        </w:rPr>
        <w:t xml:space="preserve"> </w:t>
      </w:r>
      <w:proofErr w:type="spellStart"/>
      <w:r>
        <w:rPr>
          <w:rFonts w:ascii="Arial" w:hAnsi="Arial"/>
          <w:sz w:val="22"/>
          <w:szCs w:val="22"/>
        </w:rPr>
        <w:t>obinutuzumab</w:t>
      </w:r>
      <w:proofErr w:type="spellEnd"/>
      <w:r>
        <w:rPr>
          <w:rFonts w:ascii="Arial" w:hAnsi="Arial"/>
          <w:sz w:val="22"/>
          <w:szCs w:val="22"/>
        </w:rPr>
        <w:t xml:space="preserve"> in the treatment of this disease</w:t>
      </w:r>
      <w:r w:rsidRPr="00377DEE">
        <w:rPr>
          <w:rFonts w:ascii="Arial" w:hAnsi="Arial"/>
          <w:sz w:val="22"/>
          <w:szCs w:val="22"/>
        </w:rPr>
        <w:t xml:space="preserve">. </w:t>
      </w:r>
      <w:r>
        <w:rPr>
          <w:rFonts w:ascii="Arial" w:hAnsi="Arial"/>
          <w:sz w:val="22"/>
          <w:szCs w:val="22"/>
        </w:rPr>
        <w:t>Roche</w:t>
      </w:r>
      <w:r w:rsidRPr="00377DEE">
        <w:rPr>
          <w:rFonts w:ascii="Arial" w:hAnsi="Arial"/>
          <w:sz w:val="22"/>
          <w:szCs w:val="22"/>
        </w:rPr>
        <w:t xml:space="preserve"> welcomes the Committee’s acceptance</w:t>
      </w:r>
      <w:r>
        <w:rPr>
          <w:rFonts w:ascii="Arial" w:hAnsi="Arial"/>
          <w:sz w:val="22"/>
          <w:szCs w:val="22"/>
        </w:rPr>
        <w:t xml:space="preserve"> of the clinical need, positioning, </w:t>
      </w:r>
      <w:proofErr w:type="gramStart"/>
      <w:r>
        <w:rPr>
          <w:rFonts w:ascii="Arial" w:hAnsi="Arial"/>
          <w:sz w:val="22"/>
          <w:szCs w:val="22"/>
        </w:rPr>
        <w:t>clinical</w:t>
      </w:r>
      <w:proofErr w:type="gramEnd"/>
      <w:r>
        <w:rPr>
          <w:rFonts w:ascii="Arial" w:hAnsi="Arial"/>
          <w:sz w:val="22"/>
          <w:szCs w:val="22"/>
        </w:rPr>
        <w:t xml:space="preserve"> data and</w:t>
      </w:r>
      <w:r w:rsidRPr="00377DEE">
        <w:rPr>
          <w:rFonts w:ascii="Arial" w:hAnsi="Arial"/>
          <w:sz w:val="22"/>
          <w:szCs w:val="22"/>
        </w:rPr>
        <w:t xml:space="preserve"> of </w:t>
      </w:r>
      <w:r>
        <w:rPr>
          <w:rFonts w:ascii="Arial" w:hAnsi="Arial"/>
          <w:sz w:val="22"/>
          <w:szCs w:val="22"/>
        </w:rPr>
        <w:t xml:space="preserve">the </w:t>
      </w:r>
      <w:r w:rsidRPr="00114E5E">
        <w:rPr>
          <w:rFonts w:ascii="Arial" w:hAnsi="Arial"/>
          <w:sz w:val="22"/>
          <w:szCs w:val="22"/>
        </w:rPr>
        <w:t>comparators</w:t>
      </w:r>
      <w:r>
        <w:rPr>
          <w:rFonts w:ascii="Arial" w:hAnsi="Arial"/>
          <w:sz w:val="22"/>
          <w:szCs w:val="22"/>
        </w:rPr>
        <w:t xml:space="preserve"> presented in the submission. Roche </w:t>
      </w:r>
      <w:r w:rsidRPr="00377DEE">
        <w:rPr>
          <w:rFonts w:ascii="Arial" w:hAnsi="Arial"/>
          <w:sz w:val="22"/>
          <w:szCs w:val="22"/>
        </w:rPr>
        <w:t>looks forward to engaging further with the Committee to address their remaining concerns</w:t>
      </w:r>
      <w:r>
        <w:rPr>
          <w:rFonts w:ascii="Arial" w:hAnsi="Arial"/>
          <w:sz w:val="22"/>
          <w:szCs w:val="22"/>
        </w:rPr>
        <w:t xml:space="preserve"> with the economic model</w:t>
      </w:r>
      <w:r w:rsidRPr="00377DEE">
        <w:rPr>
          <w:rFonts w:ascii="Arial" w:hAnsi="Arial"/>
          <w:sz w:val="22"/>
          <w:szCs w:val="22"/>
        </w:rPr>
        <w:t>.</w:t>
      </w:r>
    </w:p>
    <w:p w:rsidR="005E2630" w:rsidRDefault="005E2630" w:rsidP="00882085">
      <w:pPr>
        <w:jc w:val="both"/>
        <w:rPr>
          <w:rFonts w:ascii="Arial" w:hAnsi="Arial"/>
          <w:sz w:val="22"/>
          <w:szCs w:val="22"/>
        </w:rPr>
      </w:pPr>
    </w:p>
    <w:sectPr w:rsidR="005E2630" w:rsidSect="00653D6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45" w:rsidRDefault="00197B45">
      <w:r>
        <w:separator/>
      </w:r>
    </w:p>
  </w:endnote>
  <w:endnote w:type="continuationSeparator" w:id="0">
    <w:p w:rsidR="00197B45" w:rsidRDefault="0019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8292B" w:rsidTr="005A3173">
      <w:trPr>
        <w:trHeight w:val="151"/>
      </w:trPr>
      <w:tc>
        <w:tcPr>
          <w:tcW w:w="2250" w:type="pct"/>
          <w:tcBorders>
            <w:top w:val="nil"/>
            <w:left w:val="nil"/>
            <w:bottom w:val="single" w:sz="4" w:space="0" w:color="4F81BD"/>
            <w:right w:val="nil"/>
          </w:tcBorders>
        </w:tcPr>
        <w:p w:rsidR="00A8292B" w:rsidRPr="005A3173" w:rsidRDefault="00A8292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8292B" w:rsidRPr="005A3173" w:rsidRDefault="00A8292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8292B" w:rsidRPr="005A3173" w:rsidRDefault="00A8292B" w:rsidP="005A3173">
          <w:pPr>
            <w:pStyle w:val="Header"/>
            <w:spacing w:line="276" w:lineRule="auto"/>
            <w:rPr>
              <w:rFonts w:ascii="Calibri" w:eastAsia="MS Gothic" w:hAnsi="Calibri"/>
              <w:b/>
              <w:bCs/>
              <w:color w:val="4F81BD"/>
            </w:rPr>
          </w:pPr>
        </w:p>
      </w:tc>
    </w:tr>
    <w:tr w:rsidR="00A8292B" w:rsidTr="005A3173">
      <w:trPr>
        <w:trHeight w:val="150"/>
      </w:trPr>
      <w:tc>
        <w:tcPr>
          <w:tcW w:w="2250" w:type="pct"/>
          <w:tcBorders>
            <w:top w:val="single" w:sz="4" w:space="0" w:color="4F81BD"/>
            <w:left w:val="nil"/>
            <w:bottom w:val="nil"/>
            <w:right w:val="nil"/>
          </w:tcBorders>
        </w:tcPr>
        <w:p w:rsidR="00A8292B" w:rsidRPr="005A3173" w:rsidRDefault="00A8292B" w:rsidP="005A3173">
          <w:pPr>
            <w:pStyle w:val="Header"/>
            <w:spacing w:line="276" w:lineRule="auto"/>
            <w:rPr>
              <w:rFonts w:ascii="Calibri" w:eastAsia="MS Gothic" w:hAnsi="Calibri"/>
              <w:b/>
              <w:bCs/>
              <w:color w:val="4F81BD"/>
            </w:rPr>
          </w:pPr>
        </w:p>
      </w:tc>
      <w:tc>
        <w:tcPr>
          <w:tcW w:w="0" w:type="auto"/>
          <w:vMerge/>
          <w:vAlign w:val="center"/>
          <w:hideMark/>
        </w:tcPr>
        <w:p w:rsidR="00A8292B" w:rsidRPr="005A3173" w:rsidRDefault="00A8292B" w:rsidP="005A3173">
          <w:pPr>
            <w:rPr>
              <w:rFonts w:ascii="Calibri" w:hAnsi="Calibri"/>
              <w:color w:val="365F91"/>
              <w:sz w:val="22"/>
              <w:szCs w:val="22"/>
            </w:rPr>
          </w:pPr>
        </w:p>
      </w:tc>
      <w:tc>
        <w:tcPr>
          <w:tcW w:w="2250" w:type="pct"/>
          <w:tcBorders>
            <w:top w:val="single" w:sz="4" w:space="0" w:color="4F81BD"/>
            <w:left w:val="nil"/>
            <w:bottom w:val="nil"/>
            <w:right w:val="nil"/>
          </w:tcBorders>
        </w:tcPr>
        <w:p w:rsidR="00A8292B" w:rsidRPr="005A3173" w:rsidRDefault="00A8292B" w:rsidP="005A3173">
          <w:pPr>
            <w:pStyle w:val="Header"/>
            <w:spacing w:line="276" w:lineRule="auto"/>
            <w:rPr>
              <w:rFonts w:ascii="Calibri" w:eastAsia="MS Gothic" w:hAnsi="Calibri"/>
              <w:b/>
              <w:bCs/>
              <w:color w:val="4F81BD"/>
            </w:rPr>
          </w:pPr>
        </w:p>
      </w:tc>
    </w:tr>
  </w:tbl>
  <w:p w:rsidR="00A8292B" w:rsidRDefault="00A8292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292B" w:rsidRDefault="00A829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A8292B" w:rsidRDefault="00A8292B">
        <w:pPr>
          <w:pStyle w:val="Footer"/>
          <w:jc w:val="center"/>
        </w:pPr>
      </w:p>
      <w:p w:rsidR="00A8292B" w:rsidRPr="00651169" w:rsidRDefault="00A8292B">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DF1494">
          <w:rPr>
            <w:rFonts w:ascii="Arial" w:hAnsi="Arial" w:cs="Arial"/>
            <w:noProof/>
            <w:sz w:val="20"/>
            <w:szCs w:val="20"/>
          </w:rPr>
          <w:t>8</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8292B" w:rsidTr="005A3173">
      <w:trPr>
        <w:trHeight w:val="151"/>
      </w:trPr>
      <w:tc>
        <w:tcPr>
          <w:tcW w:w="2250" w:type="pct"/>
          <w:tcBorders>
            <w:top w:val="nil"/>
            <w:left w:val="nil"/>
            <w:bottom w:val="single" w:sz="4" w:space="0" w:color="4F81BD"/>
            <w:right w:val="nil"/>
          </w:tcBorders>
        </w:tcPr>
        <w:p w:rsidR="00A8292B" w:rsidRPr="005A3173" w:rsidRDefault="00A8292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8292B" w:rsidRPr="005A3173" w:rsidRDefault="00A8292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8292B" w:rsidRPr="005A3173" w:rsidRDefault="00A8292B" w:rsidP="005A3173">
          <w:pPr>
            <w:pStyle w:val="Header"/>
            <w:spacing w:line="276" w:lineRule="auto"/>
            <w:rPr>
              <w:rFonts w:ascii="Calibri" w:eastAsia="MS Gothic" w:hAnsi="Calibri"/>
              <w:b/>
              <w:bCs/>
              <w:color w:val="4F81BD"/>
            </w:rPr>
          </w:pPr>
        </w:p>
      </w:tc>
    </w:tr>
    <w:tr w:rsidR="00A8292B" w:rsidTr="005A3173">
      <w:trPr>
        <w:trHeight w:val="150"/>
      </w:trPr>
      <w:tc>
        <w:tcPr>
          <w:tcW w:w="2250" w:type="pct"/>
          <w:tcBorders>
            <w:top w:val="single" w:sz="4" w:space="0" w:color="4F81BD"/>
            <w:left w:val="nil"/>
            <w:bottom w:val="nil"/>
            <w:right w:val="nil"/>
          </w:tcBorders>
        </w:tcPr>
        <w:p w:rsidR="00A8292B" w:rsidRPr="005A3173" w:rsidRDefault="00A8292B" w:rsidP="005A3173">
          <w:pPr>
            <w:pStyle w:val="Header"/>
            <w:spacing w:line="276" w:lineRule="auto"/>
            <w:rPr>
              <w:rFonts w:ascii="Calibri" w:eastAsia="MS Gothic" w:hAnsi="Calibri"/>
              <w:b/>
              <w:bCs/>
              <w:color w:val="4F81BD"/>
            </w:rPr>
          </w:pPr>
        </w:p>
      </w:tc>
      <w:tc>
        <w:tcPr>
          <w:tcW w:w="0" w:type="auto"/>
          <w:vMerge/>
          <w:vAlign w:val="center"/>
          <w:hideMark/>
        </w:tcPr>
        <w:p w:rsidR="00A8292B" w:rsidRPr="005A3173" w:rsidRDefault="00A8292B" w:rsidP="005A3173">
          <w:pPr>
            <w:rPr>
              <w:rFonts w:ascii="Calibri" w:hAnsi="Calibri"/>
              <w:color w:val="365F91"/>
              <w:sz w:val="22"/>
              <w:szCs w:val="22"/>
            </w:rPr>
          </w:pPr>
        </w:p>
      </w:tc>
      <w:tc>
        <w:tcPr>
          <w:tcW w:w="2250" w:type="pct"/>
          <w:tcBorders>
            <w:top w:val="single" w:sz="4" w:space="0" w:color="4F81BD"/>
            <w:left w:val="nil"/>
            <w:bottom w:val="nil"/>
            <w:right w:val="nil"/>
          </w:tcBorders>
        </w:tcPr>
        <w:p w:rsidR="00A8292B" w:rsidRPr="005A3173" w:rsidRDefault="00A8292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8292B" w:rsidTr="005A3173">
      <w:trPr>
        <w:trHeight w:val="151"/>
      </w:trPr>
      <w:tc>
        <w:tcPr>
          <w:tcW w:w="2250" w:type="pct"/>
          <w:tcBorders>
            <w:top w:val="nil"/>
            <w:left w:val="nil"/>
            <w:bottom w:val="single" w:sz="4" w:space="0" w:color="4F81BD"/>
            <w:right w:val="nil"/>
          </w:tcBorders>
        </w:tcPr>
        <w:p w:rsidR="00A8292B" w:rsidRPr="005A3173" w:rsidRDefault="00A8292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8292B" w:rsidRPr="005A3173" w:rsidRDefault="00A8292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8292B" w:rsidRPr="005A3173" w:rsidRDefault="00A8292B" w:rsidP="005A3173">
          <w:pPr>
            <w:pStyle w:val="Header"/>
            <w:spacing w:line="276" w:lineRule="auto"/>
            <w:rPr>
              <w:rFonts w:ascii="Calibri" w:eastAsia="MS Gothic" w:hAnsi="Calibri"/>
              <w:b/>
              <w:bCs/>
              <w:color w:val="4F81BD"/>
            </w:rPr>
          </w:pPr>
        </w:p>
      </w:tc>
    </w:tr>
    <w:tr w:rsidR="00A8292B" w:rsidTr="005A3173">
      <w:trPr>
        <w:trHeight w:val="150"/>
      </w:trPr>
      <w:tc>
        <w:tcPr>
          <w:tcW w:w="2250" w:type="pct"/>
          <w:tcBorders>
            <w:top w:val="single" w:sz="4" w:space="0" w:color="4F81BD"/>
            <w:left w:val="nil"/>
            <w:bottom w:val="nil"/>
            <w:right w:val="nil"/>
          </w:tcBorders>
        </w:tcPr>
        <w:p w:rsidR="00A8292B" w:rsidRPr="005A3173" w:rsidRDefault="00A8292B" w:rsidP="005A3173">
          <w:pPr>
            <w:pStyle w:val="Header"/>
            <w:spacing w:line="276" w:lineRule="auto"/>
            <w:rPr>
              <w:rFonts w:ascii="Calibri" w:eastAsia="MS Gothic" w:hAnsi="Calibri"/>
              <w:b/>
              <w:bCs/>
              <w:color w:val="4F81BD"/>
            </w:rPr>
          </w:pPr>
        </w:p>
      </w:tc>
      <w:tc>
        <w:tcPr>
          <w:tcW w:w="0" w:type="auto"/>
          <w:vMerge/>
          <w:vAlign w:val="center"/>
          <w:hideMark/>
        </w:tcPr>
        <w:p w:rsidR="00A8292B" w:rsidRPr="005A3173" w:rsidRDefault="00A8292B" w:rsidP="005A3173">
          <w:pPr>
            <w:rPr>
              <w:rFonts w:ascii="Calibri" w:hAnsi="Calibri"/>
              <w:color w:val="365F91"/>
              <w:sz w:val="22"/>
              <w:szCs w:val="22"/>
            </w:rPr>
          </w:pPr>
        </w:p>
      </w:tc>
      <w:tc>
        <w:tcPr>
          <w:tcW w:w="2250" w:type="pct"/>
          <w:tcBorders>
            <w:top w:val="single" w:sz="4" w:space="0" w:color="4F81BD"/>
            <w:left w:val="nil"/>
            <w:bottom w:val="nil"/>
            <w:right w:val="nil"/>
          </w:tcBorders>
        </w:tcPr>
        <w:p w:rsidR="00A8292B" w:rsidRPr="005A3173" w:rsidRDefault="00A8292B" w:rsidP="005A3173">
          <w:pPr>
            <w:pStyle w:val="Header"/>
            <w:spacing w:line="276" w:lineRule="auto"/>
            <w:rPr>
              <w:rFonts w:ascii="Calibri" w:eastAsia="MS Gothic" w:hAnsi="Calibri"/>
              <w:b/>
              <w:bCs/>
              <w:color w:val="4F81BD"/>
            </w:rPr>
          </w:pPr>
        </w:p>
      </w:tc>
    </w:tr>
  </w:tbl>
  <w:p w:rsidR="00A8292B" w:rsidRPr="007C0F57" w:rsidRDefault="00A8292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8292B" w:rsidRPr="007C0F57" w:rsidRDefault="00A8292B"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45" w:rsidRDefault="00197B45">
      <w:r>
        <w:separator/>
      </w:r>
    </w:p>
  </w:footnote>
  <w:footnote w:type="continuationSeparator" w:id="0">
    <w:p w:rsidR="00197B45" w:rsidRDefault="00197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8292B" w:rsidRPr="008E0D90" w:rsidTr="00A06225">
      <w:trPr>
        <w:trHeight w:val="151"/>
      </w:trPr>
      <w:tc>
        <w:tcPr>
          <w:tcW w:w="2389" w:type="pct"/>
          <w:tcBorders>
            <w:top w:val="nil"/>
            <w:left w:val="nil"/>
            <w:bottom w:val="single" w:sz="4" w:space="0" w:color="4F81BD"/>
            <w:right w:val="nil"/>
          </w:tcBorders>
        </w:tcPr>
        <w:p w:rsidR="00A8292B" w:rsidRPr="00A06225" w:rsidRDefault="00A8292B">
          <w:pPr>
            <w:pStyle w:val="Header"/>
            <w:spacing w:line="276" w:lineRule="auto"/>
            <w:rPr>
              <w:rFonts w:ascii="Cambria" w:eastAsia="MS Gothic" w:hAnsi="Cambria"/>
              <w:b/>
              <w:bCs/>
              <w:color w:val="4F81BD"/>
            </w:rPr>
          </w:pPr>
        </w:p>
      </w:tc>
      <w:tc>
        <w:tcPr>
          <w:tcW w:w="333" w:type="pct"/>
          <w:vMerge w:val="restart"/>
          <w:noWrap/>
          <w:vAlign w:val="center"/>
          <w:hideMark/>
        </w:tcPr>
        <w:p w:rsidR="00A8292B" w:rsidRPr="00A06225" w:rsidRDefault="00A8292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8292B" w:rsidRPr="00A06225" w:rsidRDefault="00A8292B">
          <w:pPr>
            <w:pStyle w:val="Header"/>
            <w:spacing w:line="276" w:lineRule="auto"/>
            <w:rPr>
              <w:rFonts w:ascii="Cambria" w:eastAsia="MS Gothic" w:hAnsi="Cambria"/>
              <w:b/>
              <w:bCs/>
              <w:color w:val="4F81BD"/>
            </w:rPr>
          </w:pPr>
        </w:p>
      </w:tc>
    </w:tr>
    <w:tr w:rsidR="00A8292B" w:rsidRPr="008E0D90" w:rsidTr="00A06225">
      <w:trPr>
        <w:trHeight w:val="150"/>
      </w:trPr>
      <w:tc>
        <w:tcPr>
          <w:tcW w:w="2389" w:type="pct"/>
          <w:tcBorders>
            <w:top w:val="single" w:sz="4" w:space="0" w:color="4F81BD"/>
            <w:left w:val="nil"/>
            <w:bottom w:val="nil"/>
            <w:right w:val="nil"/>
          </w:tcBorders>
        </w:tcPr>
        <w:p w:rsidR="00A8292B" w:rsidRPr="00A06225" w:rsidRDefault="00A8292B">
          <w:pPr>
            <w:pStyle w:val="Header"/>
            <w:spacing w:line="276" w:lineRule="auto"/>
            <w:rPr>
              <w:rFonts w:ascii="Cambria" w:eastAsia="MS Gothic" w:hAnsi="Cambria"/>
              <w:b/>
              <w:bCs/>
              <w:color w:val="4F81BD"/>
            </w:rPr>
          </w:pPr>
        </w:p>
      </w:tc>
      <w:tc>
        <w:tcPr>
          <w:tcW w:w="0" w:type="auto"/>
          <w:vMerge/>
          <w:vAlign w:val="center"/>
          <w:hideMark/>
        </w:tcPr>
        <w:p w:rsidR="00A8292B" w:rsidRPr="00A06225" w:rsidRDefault="00A8292B">
          <w:pPr>
            <w:rPr>
              <w:rFonts w:ascii="Cambria" w:hAnsi="Cambria"/>
              <w:color w:val="4F81BD"/>
              <w:sz w:val="22"/>
              <w:szCs w:val="22"/>
            </w:rPr>
          </w:pPr>
        </w:p>
      </w:tc>
      <w:tc>
        <w:tcPr>
          <w:tcW w:w="2278" w:type="pct"/>
          <w:tcBorders>
            <w:top w:val="single" w:sz="4" w:space="0" w:color="4F81BD"/>
            <w:left w:val="nil"/>
            <w:bottom w:val="nil"/>
            <w:right w:val="nil"/>
          </w:tcBorders>
        </w:tcPr>
        <w:p w:rsidR="00A8292B" w:rsidRPr="00A06225" w:rsidRDefault="00A8292B">
          <w:pPr>
            <w:pStyle w:val="Header"/>
            <w:spacing w:line="276" w:lineRule="auto"/>
            <w:rPr>
              <w:rFonts w:ascii="Cambria" w:eastAsia="MS Gothic" w:hAnsi="Cambria"/>
              <w:b/>
              <w:bCs/>
              <w:color w:val="4F81BD"/>
            </w:rPr>
          </w:pPr>
        </w:p>
      </w:tc>
    </w:tr>
  </w:tbl>
  <w:p w:rsidR="00A8292B" w:rsidRDefault="00A82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2B" w:rsidRPr="00DF217D" w:rsidRDefault="00A8292B" w:rsidP="005E2630">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A8292B" w:rsidRPr="00DF217D" w:rsidRDefault="00A8292B" w:rsidP="00A06225">
    <w:pPr>
      <w:pStyle w:val="Header"/>
      <w:rPr>
        <w:rFonts w:ascii="Arial" w:hAnsi="Arial" w:cs="Arial"/>
        <w:i/>
        <w:color w:val="808080"/>
        <w:sz w:val="22"/>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45" w:rsidRDefault="00197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6D2587"/>
    <w:multiLevelType w:val="hybridMultilevel"/>
    <w:tmpl w:val="BE9AD03A"/>
    <w:lvl w:ilvl="0" w:tplc="5D4EED54">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6F1D19"/>
    <w:multiLevelType w:val="multilevel"/>
    <w:tmpl w:val="03B6D1A8"/>
    <w:lvl w:ilvl="0">
      <w:start w:val="5"/>
      <w:numFmt w:val="decimal"/>
      <w:lvlText w:val="%1"/>
      <w:lvlJc w:val="left"/>
      <w:pPr>
        <w:tabs>
          <w:tab w:val="num" w:pos="570"/>
        </w:tabs>
        <w:ind w:left="570" w:hanging="570"/>
      </w:pPr>
      <w:rPr>
        <w:rFonts w:hint="default"/>
        <w:b/>
      </w:rPr>
    </w:lvl>
    <w:lvl w:ilvl="1">
      <w:start w:val="5"/>
      <w:numFmt w:val="decimalZero"/>
      <w:lvlText w:val="%1.%2"/>
      <w:lvlJc w:val="left"/>
      <w:pPr>
        <w:tabs>
          <w:tab w:val="num" w:pos="570"/>
        </w:tabs>
        <w:ind w:left="570" w:hanging="570"/>
      </w:pPr>
      <w:rPr>
        <w:rFonts w:hint="default"/>
        <w:b/>
      </w:rPr>
    </w:lvl>
    <w:lvl w:ilvl="2">
      <w:start w:val="1"/>
      <w:numFmt w:val="decimal"/>
      <w:lvlText w:val="%1.%2.%3"/>
      <w:lvlJc w:val="left"/>
      <w:pPr>
        <w:tabs>
          <w:tab w:val="num" w:pos="-1158"/>
        </w:tabs>
        <w:ind w:left="-1158" w:hanging="720"/>
      </w:pPr>
      <w:rPr>
        <w:rFonts w:hint="default"/>
        <w:b/>
      </w:rPr>
    </w:lvl>
    <w:lvl w:ilvl="3">
      <w:start w:val="1"/>
      <w:numFmt w:val="decimal"/>
      <w:lvlText w:val="%1.%2.%3.%4"/>
      <w:lvlJc w:val="left"/>
      <w:pPr>
        <w:tabs>
          <w:tab w:val="num" w:pos="-2097"/>
        </w:tabs>
        <w:ind w:left="-2097" w:hanging="720"/>
      </w:pPr>
      <w:rPr>
        <w:rFonts w:hint="default"/>
        <w:b/>
      </w:rPr>
    </w:lvl>
    <w:lvl w:ilvl="4">
      <w:start w:val="1"/>
      <w:numFmt w:val="decimal"/>
      <w:lvlText w:val="%1.%2.%3.%4.%5"/>
      <w:lvlJc w:val="left"/>
      <w:pPr>
        <w:tabs>
          <w:tab w:val="num" w:pos="-2676"/>
        </w:tabs>
        <w:ind w:left="-2676" w:hanging="1080"/>
      </w:pPr>
      <w:rPr>
        <w:rFonts w:hint="default"/>
        <w:b/>
      </w:rPr>
    </w:lvl>
    <w:lvl w:ilvl="5">
      <w:start w:val="1"/>
      <w:numFmt w:val="decimal"/>
      <w:lvlText w:val="%1.%2.%3.%4.%5.%6"/>
      <w:lvlJc w:val="left"/>
      <w:pPr>
        <w:tabs>
          <w:tab w:val="num" w:pos="-3615"/>
        </w:tabs>
        <w:ind w:left="-3615" w:hanging="1080"/>
      </w:pPr>
      <w:rPr>
        <w:rFonts w:hint="default"/>
        <w:b/>
      </w:rPr>
    </w:lvl>
    <w:lvl w:ilvl="6">
      <w:start w:val="1"/>
      <w:numFmt w:val="decimal"/>
      <w:lvlText w:val="%1.%2.%3.%4.%5.%6.%7"/>
      <w:lvlJc w:val="left"/>
      <w:pPr>
        <w:tabs>
          <w:tab w:val="num" w:pos="-4194"/>
        </w:tabs>
        <w:ind w:left="-4194" w:hanging="1440"/>
      </w:pPr>
      <w:rPr>
        <w:rFonts w:hint="default"/>
        <w:b/>
      </w:rPr>
    </w:lvl>
    <w:lvl w:ilvl="7">
      <w:start w:val="1"/>
      <w:numFmt w:val="decimal"/>
      <w:lvlText w:val="%1.%2.%3.%4.%5.%6.%7.%8"/>
      <w:lvlJc w:val="left"/>
      <w:pPr>
        <w:tabs>
          <w:tab w:val="num" w:pos="-5133"/>
        </w:tabs>
        <w:ind w:left="-5133" w:hanging="1440"/>
      </w:pPr>
      <w:rPr>
        <w:rFonts w:hint="default"/>
        <w:b/>
      </w:rPr>
    </w:lvl>
    <w:lvl w:ilvl="8">
      <w:start w:val="1"/>
      <w:numFmt w:val="decimal"/>
      <w:lvlText w:val="%1.%2.%3.%4.%5.%6.%7.%8.%9"/>
      <w:lvlJc w:val="left"/>
      <w:pPr>
        <w:tabs>
          <w:tab w:val="num" w:pos="-5712"/>
        </w:tabs>
        <w:ind w:left="-5712" w:hanging="1800"/>
      </w:pPr>
      <w:rPr>
        <w:rFonts w:hint="default"/>
        <w:b/>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3637D3C"/>
    <w:multiLevelType w:val="hybridMultilevel"/>
    <w:tmpl w:val="5CD0F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D4B6248"/>
    <w:multiLevelType w:val="hybridMultilevel"/>
    <w:tmpl w:val="0BDA1584"/>
    <w:lvl w:ilvl="0" w:tplc="F96AEC54">
      <w:start w:val="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223167C"/>
    <w:multiLevelType w:val="hybridMultilevel"/>
    <w:tmpl w:val="A650D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8">
    <w:nsid w:val="3A742325"/>
    <w:multiLevelType w:val="hybridMultilevel"/>
    <w:tmpl w:val="254E733C"/>
    <w:lvl w:ilvl="0" w:tplc="F97248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B877B7D"/>
    <w:multiLevelType w:val="hybridMultilevel"/>
    <w:tmpl w:val="F3302B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C082CE2"/>
    <w:multiLevelType w:val="hybridMultilevel"/>
    <w:tmpl w:val="262CB4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3">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0">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6">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8">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72B548D5"/>
    <w:multiLevelType w:val="hybridMultilevel"/>
    <w:tmpl w:val="6B041586"/>
    <w:lvl w:ilvl="0" w:tplc="1F0C7C68">
      <w:start w:val="2001"/>
      <w:numFmt w:val="bullet"/>
      <w:lvlText w:val="-"/>
      <w:lvlJc w:val="left"/>
      <w:pPr>
        <w:ind w:left="1440" w:hanging="360"/>
      </w:pPr>
      <w:rPr>
        <w:rFonts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732A54CE"/>
    <w:multiLevelType w:val="hybridMultilevel"/>
    <w:tmpl w:val="158A8C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3">
    <w:nsid w:val="78175062"/>
    <w:multiLevelType w:val="hybridMultilevel"/>
    <w:tmpl w:val="304AE8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nsid w:val="784D033C"/>
    <w:multiLevelType w:val="multilevel"/>
    <w:tmpl w:val="FD94DD4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7"/>
  </w:num>
  <w:num w:numId="3">
    <w:abstractNumId w:val="24"/>
  </w:num>
  <w:num w:numId="4">
    <w:abstractNumId w:val="0"/>
  </w:num>
  <w:num w:numId="5">
    <w:abstractNumId w:val="6"/>
  </w:num>
  <w:num w:numId="6">
    <w:abstractNumId w:val="22"/>
  </w:num>
  <w:num w:numId="7">
    <w:abstractNumId w:val="17"/>
  </w:num>
  <w:num w:numId="8">
    <w:abstractNumId w:val="5"/>
  </w:num>
  <w:num w:numId="9">
    <w:abstractNumId w:val="9"/>
  </w:num>
  <w:num w:numId="10">
    <w:abstractNumId w:val="35"/>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8"/>
  </w:num>
  <w:num w:numId="15">
    <w:abstractNumId w:val="32"/>
  </w:num>
  <w:num w:numId="16">
    <w:abstractNumId w:val="28"/>
  </w:num>
  <w:num w:numId="17">
    <w:abstractNumId w:val="42"/>
  </w:num>
  <w:num w:numId="18">
    <w:abstractNumId w:val="13"/>
  </w:num>
  <w:num w:numId="19">
    <w:abstractNumId w:val="19"/>
  </w:num>
  <w:num w:numId="20">
    <w:abstractNumId w:val="3"/>
  </w:num>
  <w:num w:numId="21">
    <w:abstractNumId w:val="34"/>
  </w:num>
  <w:num w:numId="22">
    <w:abstractNumId w:val="36"/>
  </w:num>
  <w:num w:numId="23">
    <w:abstractNumId w:val="45"/>
  </w:num>
  <w:num w:numId="24">
    <w:abstractNumId w:val="16"/>
  </w:num>
  <w:num w:numId="25">
    <w:abstractNumId w:val="44"/>
  </w:num>
  <w:num w:numId="26">
    <w:abstractNumId w:val="33"/>
  </w:num>
  <w:num w:numId="27">
    <w:abstractNumId w:val="12"/>
  </w:num>
  <w:num w:numId="28">
    <w:abstractNumId w:val="7"/>
  </w:num>
  <w:num w:numId="29">
    <w:abstractNumId w:val="30"/>
  </w:num>
  <w:num w:numId="30">
    <w:abstractNumId w:val="2"/>
  </w:num>
  <w:num w:numId="31">
    <w:abstractNumId w:val="31"/>
  </w:num>
  <w:num w:numId="32">
    <w:abstractNumId w:val="41"/>
  </w:num>
  <w:num w:numId="33">
    <w:abstractNumId w:val="29"/>
  </w:num>
  <w:num w:numId="34">
    <w:abstractNumId w:val="46"/>
  </w:num>
  <w:num w:numId="35">
    <w:abstractNumId w:val="11"/>
  </w:num>
  <w:num w:numId="36">
    <w:abstractNumId w:val="26"/>
  </w:num>
  <w:num w:numId="37">
    <w:abstractNumId w:val="8"/>
  </w:num>
  <w:num w:numId="38">
    <w:abstractNumId w:val="18"/>
  </w:num>
  <w:num w:numId="39">
    <w:abstractNumId w:val="14"/>
  </w:num>
  <w:num w:numId="40">
    <w:abstractNumId w:val="21"/>
  </w:num>
  <w:num w:numId="41">
    <w:abstractNumId w:val="23"/>
  </w:num>
  <w:num w:numId="42">
    <w:abstractNumId w:val="27"/>
  </w:num>
  <w:num w:numId="43">
    <w:abstractNumId w:val="20"/>
  </w:num>
  <w:num w:numId="44">
    <w:abstractNumId w:val="40"/>
  </w:num>
  <w:num w:numId="45">
    <w:abstractNumId w:val="15"/>
  </w:num>
  <w:num w:numId="46">
    <w:abstractNumId w:val="43"/>
  </w:num>
  <w:num w:numId="47">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5B1"/>
    <w:rsid w:val="00000F41"/>
    <w:rsid w:val="000025AD"/>
    <w:rsid w:val="00002E6C"/>
    <w:rsid w:val="0000304F"/>
    <w:rsid w:val="00024246"/>
    <w:rsid w:val="0002464A"/>
    <w:rsid w:val="0003106B"/>
    <w:rsid w:val="000421A1"/>
    <w:rsid w:val="0004240E"/>
    <w:rsid w:val="00045DAA"/>
    <w:rsid w:val="00045E26"/>
    <w:rsid w:val="00047520"/>
    <w:rsid w:val="000514B5"/>
    <w:rsid w:val="0005649C"/>
    <w:rsid w:val="00060E64"/>
    <w:rsid w:val="0006433C"/>
    <w:rsid w:val="00074DEF"/>
    <w:rsid w:val="00081AFA"/>
    <w:rsid w:val="00084C63"/>
    <w:rsid w:val="0008642A"/>
    <w:rsid w:val="00086512"/>
    <w:rsid w:val="000969AD"/>
    <w:rsid w:val="000A223E"/>
    <w:rsid w:val="000A2E55"/>
    <w:rsid w:val="000B0179"/>
    <w:rsid w:val="000B558D"/>
    <w:rsid w:val="000C6996"/>
    <w:rsid w:val="000D23BA"/>
    <w:rsid w:val="000E23EC"/>
    <w:rsid w:val="000E681E"/>
    <w:rsid w:val="000F4E6A"/>
    <w:rsid w:val="001019CD"/>
    <w:rsid w:val="001077A7"/>
    <w:rsid w:val="001107BF"/>
    <w:rsid w:val="00115533"/>
    <w:rsid w:val="0012119F"/>
    <w:rsid w:val="0012417C"/>
    <w:rsid w:val="00124EE7"/>
    <w:rsid w:val="0013050E"/>
    <w:rsid w:val="001404EF"/>
    <w:rsid w:val="00142395"/>
    <w:rsid w:val="00142714"/>
    <w:rsid w:val="001452ED"/>
    <w:rsid w:val="00146436"/>
    <w:rsid w:val="00156A03"/>
    <w:rsid w:val="00162B66"/>
    <w:rsid w:val="001823DE"/>
    <w:rsid w:val="001830CE"/>
    <w:rsid w:val="00183B53"/>
    <w:rsid w:val="001862BB"/>
    <w:rsid w:val="00196307"/>
    <w:rsid w:val="00197B45"/>
    <w:rsid w:val="001A4D0E"/>
    <w:rsid w:val="001B017F"/>
    <w:rsid w:val="001B3507"/>
    <w:rsid w:val="001B5129"/>
    <w:rsid w:val="001C0B35"/>
    <w:rsid w:val="001C0DB0"/>
    <w:rsid w:val="001C1195"/>
    <w:rsid w:val="001F70A6"/>
    <w:rsid w:val="00206395"/>
    <w:rsid w:val="0022519A"/>
    <w:rsid w:val="0023095E"/>
    <w:rsid w:val="00232C76"/>
    <w:rsid w:val="00252E76"/>
    <w:rsid w:val="00254948"/>
    <w:rsid w:val="00261D0C"/>
    <w:rsid w:val="00265656"/>
    <w:rsid w:val="00271BA1"/>
    <w:rsid w:val="00277505"/>
    <w:rsid w:val="00280731"/>
    <w:rsid w:val="0029458F"/>
    <w:rsid w:val="002A4960"/>
    <w:rsid w:val="002A6CF5"/>
    <w:rsid w:val="002B011F"/>
    <w:rsid w:val="002B1AE6"/>
    <w:rsid w:val="002B30F8"/>
    <w:rsid w:val="002C212F"/>
    <w:rsid w:val="002C4207"/>
    <w:rsid w:val="002E237F"/>
    <w:rsid w:val="002E5297"/>
    <w:rsid w:val="002E75CD"/>
    <w:rsid w:val="002F0CF3"/>
    <w:rsid w:val="002F2300"/>
    <w:rsid w:val="002F5300"/>
    <w:rsid w:val="00300C63"/>
    <w:rsid w:val="00304080"/>
    <w:rsid w:val="00313104"/>
    <w:rsid w:val="0032006D"/>
    <w:rsid w:val="00326E79"/>
    <w:rsid w:val="003359D9"/>
    <w:rsid w:val="003367EF"/>
    <w:rsid w:val="00341AE4"/>
    <w:rsid w:val="0034266D"/>
    <w:rsid w:val="00355D20"/>
    <w:rsid w:val="0036201D"/>
    <w:rsid w:val="003675F9"/>
    <w:rsid w:val="00367CD1"/>
    <w:rsid w:val="0039243F"/>
    <w:rsid w:val="00395F95"/>
    <w:rsid w:val="003A5B4A"/>
    <w:rsid w:val="003B23C5"/>
    <w:rsid w:val="003B2A75"/>
    <w:rsid w:val="003C24E7"/>
    <w:rsid w:val="003D2504"/>
    <w:rsid w:val="003D2D4B"/>
    <w:rsid w:val="003D39C9"/>
    <w:rsid w:val="003D4AC4"/>
    <w:rsid w:val="003D63B7"/>
    <w:rsid w:val="003D63DC"/>
    <w:rsid w:val="003E0A1D"/>
    <w:rsid w:val="003E272B"/>
    <w:rsid w:val="003E468B"/>
    <w:rsid w:val="003F16D9"/>
    <w:rsid w:val="003F5853"/>
    <w:rsid w:val="003F5A0B"/>
    <w:rsid w:val="003F5C8C"/>
    <w:rsid w:val="004053B3"/>
    <w:rsid w:val="004079C1"/>
    <w:rsid w:val="00413131"/>
    <w:rsid w:val="00431894"/>
    <w:rsid w:val="00431E76"/>
    <w:rsid w:val="004334EC"/>
    <w:rsid w:val="004338B1"/>
    <w:rsid w:val="00436F76"/>
    <w:rsid w:val="00442466"/>
    <w:rsid w:val="00445D7F"/>
    <w:rsid w:val="004466E7"/>
    <w:rsid w:val="00446E32"/>
    <w:rsid w:val="00456E24"/>
    <w:rsid w:val="00466ADA"/>
    <w:rsid w:val="004833AD"/>
    <w:rsid w:val="00486E5E"/>
    <w:rsid w:val="004878AF"/>
    <w:rsid w:val="00493D26"/>
    <w:rsid w:val="0049462F"/>
    <w:rsid w:val="00495C53"/>
    <w:rsid w:val="004A1C71"/>
    <w:rsid w:val="004A39FA"/>
    <w:rsid w:val="004B52BE"/>
    <w:rsid w:val="004B5640"/>
    <w:rsid w:val="004C1BD7"/>
    <w:rsid w:val="004C21E9"/>
    <w:rsid w:val="004C23FA"/>
    <w:rsid w:val="004C691D"/>
    <w:rsid w:val="004D3959"/>
    <w:rsid w:val="004E360A"/>
    <w:rsid w:val="004E654A"/>
    <w:rsid w:val="004E692D"/>
    <w:rsid w:val="00503E04"/>
    <w:rsid w:val="00510E78"/>
    <w:rsid w:val="00513700"/>
    <w:rsid w:val="00514CD7"/>
    <w:rsid w:val="00523710"/>
    <w:rsid w:val="00534E2E"/>
    <w:rsid w:val="00544552"/>
    <w:rsid w:val="00544EAF"/>
    <w:rsid w:val="0054664C"/>
    <w:rsid w:val="00547264"/>
    <w:rsid w:val="00551559"/>
    <w:rsid w:val="00554F50"/>
    <w:rsid w:val="00576A43"/>
    <w:rsid w:val="00580983"/>
    <w:rsid w:val="00581932"/>
    <w:rsid w:val="005A3173"/>
    <w:rsid w:val="005A3223"/>
    <w:rsid w:val="005A3DA3"/>
    <w:rsid w:val="005A52C4"/>
    <w:rsid w:val="005A7982"/>
    <w:rsid w:val="005C4082"/>
    <w:rsid w:val="005C6E6A"/>
    <w:rsid w:val="005D03AB"/>
    <w:rsid w:val="005D3C36"/>
    <w:rsid w:val="005D5017"/>
    <w:rsid w:val="005D6CA3"/>
    <w:rsid w:val="005E2630"/>
    <w:rsid w:val="005E62C9"/>
    <w:rsid w:val="005F34F4"/>
    <w:rsid w:val="00601A91"/>
    <w:rsid w:val="00601B1E"/>
    <w:rsid w:val="006025D4"/>
    <w:rsid w:val="00602BA3"/>
    <w:rsid w:val="006039C2"/>
    <w:rsid w:val="00614159"/>
    <w:rsid w:val="00617C00"/>
    <w:rsid w:val="006263BF"/>
    <w:rsid w:val="00630A2C"/>
    <w:rsid w:val="0063594F"/>
    <w:rsid w:val="00651169"/>
    <w:rsid w:val="00653D69"/>
    <w:rsid w:val="006622DE"/>
    <w:rsid w:val="00670A76"/>
    <w:rsid w:val="006711AA"/>
    <w:rsid w:val="00675622"/>
    <w:rsid w:val="0068147D"/>
    <w:rsid w:val="006906DB"/>
    <w:rsid w:val="0069321F"/>
    <w:rsid w:val="00693766"/>
    <w:rsid w:val="006A12A5"/>
    <w:rsid w:val="006A79C5"/>
    <w:rsid w:val="006B0D94"/>
    <w:rsid w:val="006B19B4"/>
    <w:rsid w:val="006B36E3"/>
    <w:rsid w:val="006B485D"/>
    <w:rsid w:val="006D40E1"/>
    <w:rsid w:val="006D6D49"/>
    <w:rsid w:val="006D6EC7"/>
    <w:rsid w:val="006E21C3"/>
    <w:rsid w:val="006E3D8D"/>
    <w:rsid w:val="006E7E6B"/>
    <w:rsid w:val="006F5125"/>
    <w:rsid w:val="007074AE"/>
    <w:rsid w:val="0070779B"/>
    <w:rsid w:val="00710AEC"/>
    <w:rsid w:val="0071661B"/>
    <w:rsid w:val="00716FB6"/>
    <w:rsid w:val="007174BB"/>
    <w:rsid w:val="00724545"/>
    <w:rsid w:val="007351B2"/>
    <w:rsid w:val="007356A1"/>
    <w:rsid w:val="00737921"/>
    <w:rsid w:val="00763189"/>
    <w:rsid w:val="007753C2"/>
    <w:rsid w:val="00781F46"/>
    <w:rsid w:val="007838B8"/>
    <w:rsid w:val="00787ADB"/>
    <w:rsid w:val="00795BA3"/>
    <w:rsid w:val="007A3878"/>
    <w:rsid w:val="007A5969"/>
    <w:rsid w:val="007B64A5"/>
    <w:rsid w:val="007B77B8"/>
    <w:rsid w:val="007C0F57"/>
    <w:rsid w:val="007C40B6"/>
    <w:rsid w:val="007C729F"/>
    <w:rsid w:val="007C72BE"/>
    <w:rsid w:val="007D190E"/>
    <w:rsid w:val="007D7203"/>
    <w:rsid w:val="007E1D28"/>
    <w:rsid w:val="007E63AF"/>
    <w:rsid w:val="007E6994"/>
    <w:rsid w:val="007F2641"/>
    <w:rsid w:val="007F7A7A"/>
    <w:rsid w:val="00802FBD"/>
    <w:rsid w:val="008048AF"/>
    <w:rsid w:val="00806796"/>
    <w:rsid w:val="008111E5"/>
    <w:rsid w:val="00820DB4"/>
    <w:rsid w:val="00824DFE"/>
    <w:rsid w:val="00826CDF"/>
    <w:rsid w:val="0084514C"/>
    <w:rsid w:val="008517F7"/>
    <w:rsid w:val="00861F43"/>
    <w:rsid w:val="0086288A"/>
    <w:rsid w:val="00863E68"/>
    <w:rsid w:val="0086693E"/>
    <w:rsid w:val="0087628E"/>
    <w:rsid w:val="00882085"/>
    <w:rsid w:val="00882DC5"/>
    <w:rsid w:val="00883188"/>
    <w:rsid w:val="00884046"/>
    <w:rsid w:val="00897D58"/>
    <w:rsid w:val="008A4937"/>
    <w:rsid w:val="008D3C82"/>
    <w:rsid w:val="008D4457"/>
    <w:rsid w:val="008D447E"/>
    <w:rsid w:val="008D7A8E"/>
    <w:rsid w:val="008E3680"/>
    <w:rsid w:val="008E5870"/>
    <w:rsid w:val="008F1434"/>
    <w:rsid w:val="008F7355"/>
    <w:rsid w:val="00903130"/>
    <w:rsid w:val="009126B3"/>
    <w:rsid w:val="00923319"/>
    <w:rsid w:val="00923D4B"/>
    <w:rsid w:val="0092717F"/>
    <w:rsid w:val="00930937"/>
    <w:rsid w:val="009332C3"/>
    <w:rsid w:val="009353E7"/>
    <w:rsid w:val="00942160"/>
    <w:rsid w:val="00943818"/>
    <w:rsid w:val="00945AB9"/>
    <w:rsid w:val="0095799C"/>
    <w:rsid w:val="009602C5"/>
    <w:rsid w:val="00967479"/>
    <w:rsid w:val="00973E1D"/>
    <w:rsid w:val="00974B31"/>
    <w:rsid w:val="00974C21"/>
    <w:rsid w:val="00974F72"/>
    <w:rsid w:val="00977EEA"/>
    <w:rsid w:val="009874E2"/>
    <w:rsid w:val="009922C1"/>
    <w:rsid w:val="00994A26"/>
    <w:rsid w:val="00996676"/>
    <w:rsid w:val="009B1EE8"/>
    <w:rsid w:val="009B40B3"/>
    <w:rsid w:val="009C4C5B"/>
    <w:rsid w:val="009C5A1A"/>
    <w:rsid w:val="009C703C"/>
    <w:rsid w:val="009D369F"/>
    <w:rsid w:val="009D38A8"/>
    <w:rsid w:val="009D3CAA"/>
    <w:rsid w:val="009D4568"/>
    <w:rsid w:val="009E0A04"/>
    <w:rsid w:val="009E6382"/>
    <w:rsid w:val="009F01F5"/>
    <w:rsid w:val="009F36F8"/>
    <w:rsid w:val="009F5B65"/>
    <w:rsid w:val="00A05365"/>
    <w:rsid w:val="00A05869"/>
    <w:rsid w:val="00A06225"/>
    <w:rsid w:val="00A12F28"/>
    <w:rsid w:val="00A14611"/>
    <w:rsid w:val="00A1715D"/>
    <w:rsid w:val="00A20DDF"/>
    <w:rsid w:val="00A22FEA"/>
    <w:rsid w:val="00A278E6"/>
    <w:rsid w:val="00A3600F"/>
    <w:rsid w:val="00A37C8D"/>
    <w:rsid w:val="00A5273B"/>
    <w:rsid w:val="00A53A9D"/>
    <w:rsid w:val="00A617CC"/>
    <w:rsid w:val="00A62C1A"/>
    <w:rsid w:val="00A6426D"/>
    <w:rsid w:val="00A70622"/>
    <w:rsid w:val="00A70977"/>
    <w:rsid w:val="00A71ADF"/>
    <w:rsid w:val="00A75956"/>
    <w:rsid w:val="00A8292B"/>
    <w:rsid w:val="00A8390C"/>
    <w:rsid w:val="00A95CA2"/>
    <w:rsid w:val="00A96A09"/>
    <w:rsid w:val="00AA4D1C"/>
    <w:rsid w:val="00AA50B5"/>
    <w:rsid w:val="00AA6B57"/>
    <w:rsid w:val="00AB7B79"/>
    <w:rsid w:val="00AC12BA"/>
    <w:rsid w:val="00AC247A"/>
    <w:rsid w:val="00AC5206"/>
    <w:rsid w:val="00AD37A4"/>
    <w:rsid w:val="00AD5C68"/>
    <w:rsid w:val="00AD64FF"/>
    <w:rsid w:val="00AD676C"/>
    <w:rsid w:val="00AE11A5"/>
    <w:rsid w:val="00AE249D"/>
    <w:rsid w:val="00AE27CF"/>
    <w:rsid w:val="00AE4921"/>
    <w:rsid w:val="00AE57C9"/>
    <w:rsid w:val="00AF38A6"/>
    <w:rsid w:val="00AF68CC"/>
    <w:rsid w:val="00B04DF2"/>
    <w:rsid w:val="00B072DB"/>
    <w:rsid w:val="00B10E21"/>
    <w:rsid w:val="00B15124"/>
    <w:rsid w:val="00B1783A"/>
    <w:rsid w:val="00B205AA"/>
    <w:rsid w:val="00B20789"/>
    <w:rsid w:val="00B23504"/>
    <w:rsid w:val="00B2352B"/>
    <w:rsid w:val="00B25CBB"/>
    <w:rsid w:val="00B25F75"/>
    <w:rsid w:val="00B31462"/>
    <w:rsid w:val="00B315E2"/>
    <w:rsid w:val="00B32230"/>
    <w:rsid w:val="00B33E07"/>
    <w:rsid w:val="00B41655"/>
    <w:rsid w:val="00B43E90"/>
    <w:rsid w:val="00B460DB"/>
    <w:rsid w:val="00B56118"/>
    <w:rsid w:val="00B60A0E"/>
    <w:rsid w:val="00B62F0C"/>
    <w:rsid w:val="00B74F3D"/>
    <w:rsid w:val="00B8622A"/>
    <w:rsid w:val="00B925D9"/>
    <w:rsid w:val="00B92C54"/>
    <w:rsid w:val="00B93C93"/>
    <w:rsid w:val="00BA0605"/>
    <w:rsid w:val="00BA2CF3"/>
    <w:rsid w:val="00BA73BD"/>
    <w:rsid w:val="00BA73DA"/>
    <w:rsid w:val="00BB10AC"/>
    <w:rsid w:val="00BB6338"/>
    <w:rsid w:val="00BB69F5"/>
    <w:rsid w:val="00BB7EC3"/>
    <w:rsid w:val="00BC0F41"/>
    <w:rsid w:val="00BC4B9A"/>
    <w:rsid w:val="00BE6485"/>
    <w:rsid w:val="00BF4CB6"/>
    <w:rsid w:val="00BF6917"/>
    <w:rsid w:val="00C03F9C"/>
    <w:rsid w:val="00C047E0"/>
    <w:rsid w:val="00C12768"/>
    <w:rsid w:val="00C163BF"/>
    <w:rsid w:val="00C35996"/>
    <w:rsid w:val="00C37614"/>
    <w:rsid w:val="00C37832"/>
    <w:rsid w:val="00C448E8"/>
    <w:rsid w:val="00C5342C"/>
    <w:rsid w:val="00C568D7"/>
    <w:rsid w:val="00C6190B"/>
    <w:rsid w:val="00C6256A"/>
    <w:rsid w:val="00C64C5A"/>
    <w:rsid w:val="00C67BCC"/>
    <w:rsid w:val="00C71150"/>
    <w:rsid w:val="00C749CA"/>
    <w:rsid w:val="00C81323"/>
    <w:rsid w:val="00C82DFF"/>
    <w:rsid w:val="00C82E09"/>
    <w:rsid w:val="00C91449"/>
    <w:rsid w:val="00C92D10"/>
    <w:rsid w:val="00CA60CA"/>
    <w:rsid w:val="00CA70D9"/>
    <w:rsid w:val="00CC1B90"/>
    <w:rsid w:val="00CC231C"/>
    <w:rsid w:val="00CE10C4"/>
    <w:rsid w:val="00CE27B5"/>
    <w:rsid w:val="00CF051F"/>
    <w:rsid w:val="00CF3695"/>
    <w:rsid w:val="00D0185F"/>
    <w:rsid w:val="00D0321E"/>
    <w:rsid w:val="00D07166"/>
    <w:rsid w:val="00D237CF"/>
    <w:rsid w:val="00D315ED"/>
    <w:rsid w:val="00D317EB"/>
    <w:rsid w:val="00D31D8B"/>
    <w:rsid w:val="00D3280C"/>
    <w:rsid w:val="00D330A2"/>
    <w:rsid w:val="00D3406A"/>
    <w:rsid w:val="00D343CC"/>
    <w:rsid w:val="00D469B2"/>
    <w:rsid w:val="00D50D52"/>
    <w:rsid w:val="00D5465B"/>
    <w:rsid w:val="00D56FA4"/>
    <w:rsid w:val="00D62DE0"/>
    <w:rsid w:val="00D64C52"/>
    <w:rsid w:val="00D66A9C"/>
    <w:rsid w:val="00D741EB"/>
    <w:rsid w:val="00D80C26"/>
    <w:rsid w:val="00D91271"/>
    <w:rsid w:val="00D9456F"/>
    <w:rsid w:val="00D97AA1"/>
    <w:rsid w:val="00DA0EAB"/>
    <w:rsid w:val="00DA30DD"/>
    <w:rsid w:val="00DA31A5"/>
    <w:rsid w:val="00DA4BAC"/>
    <w:rsid w:val="00DB4235"/>
    <w:rsid w:val="00DC11E4"/>
    <w:rsid w:val="00DE4CC4"/>
    <w:rsid w:val="00DE5F1E"/>
    <w:rsid w:val="00DE6D27"/>
    <w:rsid w:val="00DF1494"/>
    <w:rsid w:val="00DF217D"/>
    <w:rsid w:val="00DF26A7"/>
    <w:rsid w:val="00DF2CBB"/>
    <w:rsid w:val="00DF60A8"/>
    <w:rsid w:val="00E16910"/>
    <w:rsid w:val="00E2026F"/>
    <w:rsid w:val="00E21A2E"/>
    <w:rsid w:val="00E25113"/>
    <w:rsid w:val="00E36F58"/>
    <w:rsid w:val="00E371F3"/>
    <w:rsid w:val="00E40FD9"/>
    <w:rsid w:val="00E41DAB"/>
    <w:rsid w:val="00E42D5D"/>
    <w:rsid w:val="00E447EE"/>
    <w:rsid w:val="00E45928"/>
    <w:rsid w:val="00E52991"/>
    <w:rsid w:val="00E52EA6"/>
    <w:rsid w:val="00E55E43"/>
    <w:rsid w:val="00E600D3"/>
    <w:rsid w:val="00E6276E"/>
    <w:rsid w:val="00E65E54"/>
    <w:rsid w:val="00E730F6"/>
    <w:rsid w:val="00E75395"/>
    <w:rsid w:val="00E80155"/>
    <w:rsid w:val="00E830E1"/>
    <w:rsid w:val="00E848C0"/>
    <w:rsid w:val="00E91B96"/>
    <w:rsid w:val="00E941A1"/>
    <w:rsid w:val="00E95CE3"/>
    <w:rsid w:val="00E96455"/>
    <w:rsid w:val="00EA212F"/>
    <w:rsid w:val="00EA2825"/>
    <w:rsid w:val="00EA631B"/>
    <w:rsid w:val="00EA6F9C"/>
    <w:rsid w:val="00EB5088"/>
    <w:rsid w:val="00EC06AE"/>
    <w:rsid w:val="00EC36BA"/>
    <w:rsid w:val="00ED150D"/>
    <w:rsid w:val="00ED1644"/>
    <w:rsid w:val="00ED1F7B"/>
    <w:rsid w:val="00ED6DE3"/>
    <w:rsid w:val="00EF6BD7"/>
    <w:rsid w:val="00F03235"/>
    <w:rsid w:val="00F03CBA"/>
    <w:rsid w:val="00F050BD"/>
    <w:rsid w:val="00F05657"/>
    <w:rsid w:val="00F14409"/>
    <w:rsid w:val="00F16300"/>
    <w:rsid w:val="00F25578"/>
    <w:rsid w:val="00F2557A"/>
    <w:rsid w:val="00F258E5"/>
    <w:rsid w:val="00F26D50"/>
    <w:rsid w:val="00F300BC"/>
    <w:rsid w:val="00F3334E"/>
    <w:rsid w:val="00F33C2F"/>
    <w:rsid w:val="00F42610"/>
    <w:rsid w:val="00F453F3"/>
    <w:rsid w:val="00F50EC4"/>
    <w:rsid w:val="00F57A6D"/>
    <w:rsid w:val="00F638CC"/>
    <w:rsid w:val="00F66E3C"/>
    <w:rsid w:val="00F67AC9"/>
    <w:rsid w:val="00F80688"/>
    <w:rsid w:val="00F81C3F"/>
    <w:rsid w:val="00F8247A"/>
    <w:rsid w:val="00F93215"/>
    <w:rsid w:val="00F95901"/>
    <w:rsid w:val="00F95986"/>
    <w:rsid w:val="00F95B9F"/>
    <w:rsid w:val="00F96AE5"/>
    <w:rsid w:val="00FA5883"/>
    <w:rsid w:val="00FA6055"/>
    <w:rsid w:val="00FA7AEC"/>
    <w:rsid w:val="00FB322F"/>
    <w:rsid w:val="00FB442F"/>
    <w:rsid w:val="00FB7A21"/>
    <w:rsid w:val="00FC1929"/>
    <w:rsid w:val="00FC29EB"/>
    <w:rsid w:val="00FC5B46"/>
    <w:rsid w:val="00FC7EB0"/>
    <w:rsid w:val="00FF01E7"/>
    <w:rsid w:val="00FF1ED4"/>
    <w:rsid w:val="00FF2F50"/>
    <w:rsid w:val="00FF63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E96455"/>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table" w:customStyle="1" w:styleId="TableGrid1">
    <w:name w:val="Table Grid1"/>
    <w:basedOn w:val="TableNormal"/>
    <w:next w:val="TableGrid"/>
    <w:uiPriority w:val="59"/>
    <w:rsid w:val="0080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46436"/>
  </w:style>
  <w:style w:type="paragraph" w:styleId="Revision">
    <w:name w:val="Revision"/>
    <w:hidden/>
    <w:uiPriority w:val="71"/>
    <w:rsid w:val="00A14611"/>
    <w:rPr>
      <w:sz w:val="24"/>
      <w:szCs w:val="24"/>
    </w:rPr>
  </w:style>
  <w:style w:type="paragraph" w:customStyle="1" w:styleId="Char">
    <w:name w:val="Char"/>
    <w:basedOn w:val="Normal"/>
    <w:rsid w:val="00C71150"/>
    <w:pPr>
      <w:spacing w:after="160" w:line="240" w:lineRule="exact"/>
    </w:pPr>
    <w:rPr>
      <w:rFonts w:ascii="Verdana" w:eastAsia="MS Mincho" w:hAnsi="Verdana" w:cs="Verdana"/>
      <w:sz w:val="20"/>
      <w:szCs w:val="20"/>
      <w:lang w:val="en-US" w:eastAsia="en-US"/>
    </w:rPr>
  </w:style>
  <w:style w:type="paragraph" w:customStyle="1" w:styleId="TableFooter">
    <w:name w:val="Table Footer"/>
    <w:basedOn w:val="Normal"/>
    <w:qFormat/>
    <w:rsid w:val="00E21A2E"/>
    <w:pPr>
      <w:widowControl w:val="0"/>
      <w:jc w:val="both"/>
    </w:pPr>
    <w:rPr>
      <w:rFonts w:ascii="Arial Narrow" w:hAnsi="Arial Narrow" w:cs="Arial"/>
      <w:snapToGrid w:val="0"/>
      <w:sz w:val="1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E96455"/>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table" w:customStyle="1" w:styleId="TableGrid1">
    <w:name w:val="Table Grid1"/>
    <w:basedOn w:val="TableNormal"/>
    <w:next w:val="TableGrid"/>
    <w:uiPriority w:val="59"/>
    <w:rsid w:val="0080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46436"/>
  </w:style>
  <w:style w:type="paragraph" w:styleId="Revision">
    <w:name w:val="Revision"/>
    <w:hidden/>
    <w:uiPriority w:val="71"/>
    <w:rsid w:val="00A14611"/>
    <w:rPr>
      <w:sz w:val="24"/>
      <w:szCs w:val="24"/>
    </w:rPr>
  </w:style>
  <w:style w:type="paragraph" w:customStyle="1" w:styleId="Char">
    <w:name w:val="Char"/>
    <w:basedOn w:val="Normal"/>
    <w:rsid w:val="00C71150"/>
    <w:pPr>
      <w:spacing w:after="160" w:line="240" w:lineRule="exact"/>
    </w:pPr>
    <w:rPr>
      <w:rFonts w:ascii="Verdana" w:eastAsia="MS Mincho" w:hAnsi="Verdana" w:cs="Verdana"/>
      <w:sz w:val="20"/>
      <w:szCs w:val="20"/>
      <w:lang w:val="en-US" w:eastAsia="en-US"/>
    </w:rPr>
  </w:style>
  <w:style w:type="paragraph" w:customStyle="1" w:styleId="TableFooter">
    <w:name w:val="Table Footer"/>
    <w:basedOn w:val="Normal"/>
    <w:qFormat/>
    <w:rsid w:val="00E21A2E"/>
    <w:pPr>
      <w:widowControl w:val="0"/>
      <w:jc w:val="both"/>
    </w:pPr>
    <w:rPr>
      <w:rFonts w:ascii="Arial Narrow" w:hAnsi="Arial Narrow" w:cs="Arial"/>
      <w:snapToGrid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0527439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39234926">
      <w:bodyDiv w:val="1"/>
      <w:marLeft w:val="0"/>
      <w:marRight w:val="0"/>
      <w:marTop w:val="0"/>
      <w:marBottom w:val="0"/>
      <w:divBdr>
        <w:top w:val="none" w:sz="0" w:space="0" w:color="auto"/>
        <w:left w:val="none" w:sz="0" w:space="0" w:color="auto"/>
        <w:bottom w:val="none" w:sz="0" w:space="0" w:color="auto"/>
        <w:right w:val="none" w:sz="0" w:space="0" w:color="auto"/>
      </w:divBdr>
    </w:div>
    <w:div w:id="1193375685">
      <w:bodyDiv w:val="1"/>
      <w:marLeft w:val="0"/>
      <w:marRight w:val="0"/>
      <w:marTop w:val="0"/>
      <w:marBottom w:val="0"/>
      <w:divBdr>
        <w:top w:val="none" w:sz="0" w:space="0" w:color="auto"/>
        <w:left w:val="none" w:sz="0" w:space="0" w:color="auto"/>
        <w:bottom w:val="none" w:sz="0" w:space="0" w:color="auto"/>
        <w:right w:val="none" w:sz="0" w:space="0" w:color="auto"/>
      </w:divBdr>
    </w:div>
    <w:div w:id="160052346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3169-94FD-4E3A-B9C7-543A6559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7095</Words>
  <Characters>42703</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4</cp:revision>
  <cp:lastPrinted>2014-08-11T05:25:00Z</cp:lastPrinted>
  <dcterms:created xsi:type="dcterms:W3CDTF">2014-10-30T02:19:00Z</dcterms:created>
  <dcterms:modified xsi:type="dcterms:W3CDTF">2014-11-10T04:32:00Z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