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6F" w:rsidRDefault="001875EC" w:rsidP="00802EBA">
      <w:pPr>
        <w:pStyle w:val="Heading1"/>
      </w:pPr>
      <w:bookmarkStart w:id="0" w:name="_Toc341702017"/>
      <w:bookmarkStart w:id="1" w:name="_Toc380679747"/>
      <w:bookmarkStart w:id="2" w:name="_Toc380742604"/>
      <w:bookmarkStart w:id="3" w:name="_Toc380746171"/>
      <w:bookmarkStart w:id="4" w:name="_Toc380746294"/>
      <w:bookmarkStart w:id="5" w:name="_Toc380746578"/>
      <w:r w:rsidRPr="001875EC">
        <w:t>6.2</w:t>
      </w:r>
      <w:r w:rsidRPr="001875EC">
        <w:tab/>
      </w:r>
      <w:r w:rsidR="001414E2" w:rsidRPr="001875EC">
        <w:t>SORAFENIB,</w:t>
      </w:r>
      <w:r w:rsidR="00D73C3E">
        <w:t xml:space="preserve"> </w:t>
      </w:r>
      <w:r w:rsidR="001414E2" w:rsidRPr="001875EC">
        <w:t>200mg tablet,</w:t>
      </w:r>
      <w:r w:rsidR="00D73C3E">
        <w:t xml:space="preserve"> </w:t>
      </w:r>
    </w:p>
    <w:p w:rsidR="001414E2" w:rsidRPr="001875EC" w:rsidRDefault="001414E2" w:rsidP="00802EBA">
      <w:pPr>
        <w:pStyle w:val="Heading1"/>
      </w:pPr>
      <w:r w:rsidRPr="001875EC">
        <w:t>Nexavar</w:t>
      </w:r>
      <w:r w:rsidRPr="0099099B">
        <w:rPr>
          <w:vertAlign w:val="superscript"/>
        </w:rPr>
        <w:t>®</w:t>
      </w:r>
      <w:r w:rsidRPr="001875EC">
        <w:t>,</w:t>
      </w:r>
      <w:r w:rsidR="00D73C3E">
        <w:t xml:space="preserve"> </w:t>
      </w:r>
      <w:r w:rsidRPr="001875EC">
        <w:t>Bayer Australia Ltd</w:t>
      </w:r>
    </w:p>
    <w:bookmarkEnd w:id="0"/>
    <w:p w:rsidR="001414E2" w:rsidRPr="001875EC" w:rsidRDefault="001414E2" w:rsidP="00D73C3E">
      <w:pPr>
        <w:rPr>
          <w:szCs w:val="22"/>
        </w:rPr>
      </w:pPr>
    </w:p>
    <w:p w:rsidR="001875EC" w:rsidRPr="001875EC" w:rsidRDefault="001875EC" w:rsidP="005F0204"/>
    <w:p w:rsidR="0001306F" w:rsidRPr="00407F2D" w:rsidRDefault="0001306F" w:rsidP="0001306F">
      <w:pPr>
        <w:pStyle w:val="ListParagraph"/>
        <w:widowControl/>
        <w:numPr>
          <w:ilvl w:val="0"/>
          <w:numId w:val="1"/>
        </w:numPr>
        <w:rPr>
          <w:b/>
          <w:szCs w:val="22"/>
        </w:rPr>
      </w:pPr>
      <w:r w:rsidRPr="00407F2D">
        <w:rPr>
          <w:b/>
          <w:szCs w:val="22"/>
        </w:rPr>
        <w:t>Purpose of Application</w:t>
      </w:r>
    </w:p>
    <w:p w:rsidR="00C0077F" w:rsidRPr="001875EC" w:rsidRDefault="00C0077F" w:rsidP="00C0077F"/>
    <w:p w:rsidR="00C0077F" w:rsidRPr="0001306F" w:rsidRDefault="00634270" w:rsidP="0001306F">
      <w:pPr>
        <w:pStyle w:val="ListParagraph"/>
        <w:widowControl/>
        <w:numPr>
          <w:ilvl w:val="1"/>
          <w:numId w:val="1"/>
        </w:numPr>
        <w:rPr>
          <w:szCs w:val="22"/>
        </w:rPr>
      </w:pPr>
      <w:r>
        <w:t xml:space="preserve">The submission seeks a </w:t>
      </w:r>
      <w:r w:rsidR="00C0077F" w:rsidRPr="001875EC">
        <w:t xml:space="preserve">Section 85, Authority </w:t>
      </w:r>
      <w:proofErr w:type="gramStart"/>
      <w:r w:rsidR="00C0077F" w:rsidRPr="001875EC">
        <w:t>Required</w:t>
      </w:r>
      <w:proofErr w:type="gramEnd"/>
      <w:r w:rsidR="00C0077F" w:rsidRPr="001875EC">
        <w:t xml:space="preserve"> listing for </w:t>
      </w:r>
      <w:proofErr w:type="spellStart"/>
      <w:r w:rsidR="00C0077F" w:rsidRPr="001875EC">
        <w:t>sorafenib</w:t>
      </w:r>
      <w:proofErr w:type="spellEnd"/>
      <w:r w:rsidR="00C0077F" w:rsidRPr="001875EC">
        <w:t xml:space="preserve"> for the treatment of locally advanced or metastatic, differentiated thyroid cancer that is refractory to radioactive iodine.</w:t>
      </w:r>
    </w:p>
    <w:p w:rsidR="00C0077F" w:rsidRPr="001875EC" w:rsidRDefault="00C0077F" w:rsidP="00C0077F"/>
    <w:p w:rsidR="00C0077F" w:rsidRPr="0001306F" w:rsidRDefault="00C0077F" w:rsidP="0001306F">
      <w:pPr>
        <w:pStyle w:val="ListParagraph"/>
        <w:widowControl/>
        <w:numPr>
          <w:ilvl w:val="0"/>
          <w:numId w:val="1"/>
        </w:numPr>
        <w:rPr>
          <w:b/>
          <w:szCs w:val="22"/>
        </w:rPr>
      </w:pPr>
      <w:bookmarkStart w:id="6" w:name="_Toc388368954"/>
      <w:r w:rsidRPr="0001306F">
        <w:rPr>
          <w:b/>
          <w:szCs w:val="22"/>
        </w:rPr>
        <w:t>Requested listing</w:t>
      </w:r>
      <w:bookmarkEnd w:id="6"/>
    </w:p>
    <w:p w:rsidR="00C0077F" w:rsidRPr="001875EC" w:rsidRDefault="00C0077F" w:rsidP="00C0077F"/>
    <w:p w:rsidR="001875EC" w:rsidRPr="001875EC" w:rsidRDefault="001875EC" w:rsidP="0001306F">
      <w:pPr>
        <w:pStyle w:val="ListParagraph"/>
        <w:widowControl/>
        <w:numPr>
          <w:ilvl w:val="1"/>
          <w:numId w:val="1"/>
        </w:numPr>
      </w:pPr>
    </w:p>
    <w:tbl>
      <w:tblPr>
        <w:tblW w:w="456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Requested listing"/>
      </w:tblPr>
      <w:tblGrid>
        <w:gridCol w:w="4313"/>
        <w:gridCol w:w="710"/>
        <w:gridCol w:w="1088"/>
        <w:gridCol w:w="1127"/>
        <w:gridCol w:w="1051"/>
      </w:tblGrid>
      <w:tr w:rsidR="0036547F" w:rsidRPr="001875EC" w:rsidTr="0036547F">
        <w:trPr>
          <w:cantSplit/>
          <w:trHeight w:val="491"/>
        </w:trPr>
        <w:tc>
          <w:tcPr>
            <w:tcW w:w="2602" w:type="pct"/>
          </w:tcPr>
          <w:p w:rsidR="0036547F" w:rsidRPr="00ED4B89" w:rsidRDefault="0036547F" w:rsidP="00C0077F">
            <w:pPr>
              <w:keepNext/>
              <w:rPr>
                <w:b/>
                <w:sz w:val="20"/>
              </w:rPr>
            </w:pPr>
            <w:r w:rsidRPr="00ED4B89">
              <w:rPr>
                <w:b/>
                <w:sz w:val="20"/>
              </w:rPr>
              <w:t>Name, Restriction,</w:t>
            </w:r>
          </w:p>
          <w:p w:rsidR="0036547F" w:rsidRPr="00ED4B89" w:rsidRDefault="0036547F" w:rsidP="00C0077F">
            <w:pPr>
              <w:keepNext/>
              <w:rPr>
                <w:b/>
                <w:sz w:val="20"/>
              </w:rPr>
            </w:pPr>
            <w:r w:rsidRPr="00ED4B89">
              <w:rPr>
                <w:b/>
                <w:sz w:val="20"/>
              </w:rPr>
              <w:t>Manner of administration and form</w:t>
            </w:r>
          </w:p>
        </w:tc>
        <w:tc>
          <w:tcPr>
            <w:tcW w:w="428" w:type="pct"/>
          </w:tcPr>
          <w:p w:rsidR="0036547F" w:rsidRPr="00ED4B89" w:rsidRDefault="0036547F" w:rsidP="00C0077F">
            <w:pPr>
              <w:keepNext/>
              <w:jc w:val="center"/>
              <w:rPr>
                <w:b/>
                <w:sz w:val="20"/>
              </w:rPr>
            </w:pPr>
            <w:r w:rsidRPr="00ED4B89">
              <w:rPr>
                <w:b/>
                <w:sz w:val="20"/>
              </w:rPr>
              <w:t>Max.</w:t>
            </w:r>
          </w:p>
          <w:p w:rsidR="0036547F" w:rsidRPr="00ED4B89" w:rsidRDefault="0036547F" w:rsidP="00C0077F">
            <w:pPr>
              <w:keepNext/>
              <w:jc w:val="center"/>
              <w:rPr>
                <w:b/>
                <w:sz w:val="20"/>
              </w:rPr>
            </w:pPr>
            <w:proofErr w:type="spellStart"/>
            <w:r w:rsidRPr="00ED4B89">
              <w:rPr>
                <w:b/>
                <w:sz w:val="20"/>
              </w:rPr>
              <w:t>Qty</w:t>
            </w:r>
            <w:proofErr w:type="spellEnd"/>
          </w:p>
        </w:tc>
        <w:tc>
          <w:tcPr>
            <w:tcW w:w="656" w:type="pct"/>
          </w:tcPr>
          <w:p w:rsidR="0036547F" w:rsidRPr="00ED4B89" w:rsidRDefault="0036547F" w:rsidP="00C0077F">
            <w:pPr>
              <w:keepNext/>
              <w:jc w:val="center"/>
              <w:rPr>
                <w:b/>
                <w:sz w:val="20"/>
              </w:rPr>
            </w:pPr>
            <w:r w:rsidRPr="00ED4B89">
              <w:rPr>
                <w:b/>
                <w:sz w:val="20"/>
              </w:rPr>
              <w:t>№.of</w:t>
            </w:r>
          </w:p>
          <w:p w:rsidR="0036547F" w:rsidRPr="00ED4B89" w:rsidRDefault="0036547F" w:rsidP="00C0077F">
            <w:pPr>
              <w:keepNext/>
              <w:jc w:val="center"/>
              <w:rPr>
                <w:b/>
                <w:sz w:val="20"/>
              </w:rPr>
            </w:pPr>
            <w:proofErr w:type="spellStart"/>
            <w:r w:rsidRPr="00ED4B89">
              <w:rPr>
                <w:b/>
                <w:sz w:val="20"/>
              </w:rPr>
              <w:t>Rpts</w:t>
            </w:r>
            <w:proofErr w:type="spellEnd"/>
          </w:p>
        </w:tc>
        <w:tc>
          <w:tcPr>
            <w:tcW w:w="1314" w:type="pct"/>
            <w:gridSpan w:val="2"/>
          </w:tcPr>
          <w:p w:rsidR="0036547F" w:rsidRPr="00ED4B89" w:rsidRDefault="0036547F" w:rsidP="00C0077F">
            <w:pPr>
              <w:keepNext/>
              <w:jc w:val="center"/>
              <w:rPr>
                <w:b/>
                <w:sz w:val="20"/>
                <w:lang w:val="fr-FR"/>
              </w:rPr>
            </w:pPr>
            <w:r w:rsidRPr="00ED4B89">
              <w:rPr>
                <w:b/>
                <w:sz w:val="20"/>
              </w:rPr>
              <w:t>Proprietary Name and Manufacturer</w:t>
            </w:r>
          </w:p>
        </w:tc>
      </w:tr>
      <w:tr w:rsidR="0036547F" w:rsidRPr="001875EC" w:rsidTr="0036547F">
        <w:trPr>
          <w:cantSplit/>
          <w:trHeight w:val="602"/>
        </w:trPr>
        <w:tc>
          <w:tcPr>
            <w:tcW w:w="2602" w:type="pct"/>
          </w:tcPr>
          <w:p w:rsidR="0036547F" w:rsidRPr="001875EC" w:rsidRDefault="0036547F" w:rsidP="00C0077F">
            <w:pPr>
              <w:keepNext/>
              <w:rPr>
                <w:sz w:val="20"/>
              </w:rPr>
            </w:pPr>
            <w:r w:rsidRPr="001875EC">
              <w:rPr>
                <w:sz w:val="20"/>
              </w:rPr>
              <w:t>SORAFENIB</w:t>
            </w:r>
          </w:p>
          <w:p w:rsidR="0036547F" w:rsidRPr="001875EC" w:rsidRDefault="0036547F" w:rsidP="00C0077F">
            <w:pPr>
              <w:keepNext/>
              <w:rPr>
                <w:sz w:val="20"/>
              </w:rPr>
            </w:pPr>
            <w:r w:rsidRPr="001875EC">
              <w:rPr>
                <w:sz w:val="20"/>
              </w:rPr>
              <w:t>Tablet, 200mg, 60 tablets</w:t>
            </w:r>
          </w:p>
        </w:tc>
        <w:tc>
          <w:tcPr>
            <w:tcW w:w="428" w:type="pct"/>
          </w:tcPr>
          <w:p w:rsidR="0036547F" w:rsidRPr="001875EC" w:rsidRDefault="0036547F" w:rsidP="00C0077F">
            <w:pPr>
              <w:keepNext/>
              <w:jc w:val="center"/>
              <w:rPr>
                <w:sz w:val="20"/>
              </w:rPr>
            </w:pPr>
          </w:p>
          <w:p w:rsidR="0036547F" w:rsidRPr="001875EC" w:rsidRDefault="0036547F" w:rsidP="00C0077F">
            <w:pPr>
              <w:keepNext/>
              <w:jc w:val="center"/>
              <w:rPr>
                <w:sz w:val="20"/>
              </w:rPr>
            </w:pPr>
            <w:r w:rsidRPr="001875EC">
              <w:rPr>
                <w:sz w:val="20"/>
              </w:rPr>
              <w:t>2</w:t>
            </w:r>
          </w:p>
        </w:tc>
        <w:tc>
          <w:tcPr>
            <w:tcW w:w="656" w:type="pct"/>
          </w:tcPr>
          <w:p w:rsidR="0036547F" w:rsidRPr="001875EC" w:rsidRDefault="0036547F" w:rsidP="00C0077F">
            <w:pPr>
              <w:keepNext/>
              <w:jc w:val="center"/>
              <w:rPr>
                <w:sz w:val="20"/>
              </w:rPr>
            </w:pPr>
          </w:p>
          <w:p w:rsidR="0036547F" w:rsidRPr="001875EC" w:rsidRDefault="0036547F" w:rsidP="00C0077F">
            <w:pPr>
              <w:keepNext/>
              <w:jc w:val="center"/>
              <w:rPr>
                <w:sz w:val="20"/>
              </w:rPr>
            </w:pPr>
            <w:r w:rsidRPr="001875EC">
              <w:rPr>
                <w:sz w:val="20"/>
              </w:rPr>
              <w:t>2</w:t>
            </w:r>
          </w:p>
        </w:tc>
        <w:tc>
          <w:tcPr>
            <w:tcW w:w="680" w:type="pct"/>
          </w:tcPr>
          <w:p w:rsidR="0036547F" w:rsidRDefault="0036547F" w:rsidP="00C0077F">
            <w:pPr>
              <w:keepNext/>
              <w:jc w:val="center"/>
              <w:rPr>
                <w:sz w:val="20"/>
              </w:rPr>
            </w:pPr>
          </w:p>
          <w:p w:rsidR="0036547F" w:rsidRPr="001875EC" w:rsidRDefault="0036547F" w:rsidP="00C0077F">
            <w:pPr>
              <w:keepNext/>
              <w:jc w:val="center"/>
              <w:rPr>
                <w:sz w:val="20"/>
              </w:rPr>
            </w:pPr>
            <w:proofErr w:type="spellStart"/>
            <w:r w:rsidRPr="001875EC">
              <w:rPr>
                <w:sz w:val="20"/>
              </w:rPr>
              <w:t>Nexavar</w:t>
            </w:r>
            <w:proofErr w:type="spellEnd"/>
          </w:p>
        </w:tc>
        <w:tc>
          <w:tcPr>
            <w:tcW w:w="634" w:type="pct"/>
          </w:tcPr>
          <w:p w:rsidR="0036547F" w:rsidRPr="001875EC" w:rsidRDefault="0036547F" w:rsidP="00C0077F">
            <w:pPr>
              <w:keepNext/>
              <w:jc w:val="center"/>
              <w:rPr>
                <w:sz w:val="20"/>
              </w:rPr>
            </w:pPr>
            <w:r w:rsidRPr="001875EC">
              <w:rPr>
                <w:sz w:val="20"/>
              </w:rPr>
              <w:t>Bayer Australia Ltd</w:t>
            </w:r>
          </w:p>
        </w:tc>
      </w:tr>
    </w:tbl>
    <w:p w:rsidR="0036547F" w:rsidRDefault="0036547F" w:rsidP="0036547F">
      <w:pPr>
        <w:rPr>
          <w:b/>
          <w:sz w:val="20"/>
          <w:u w:val="single"/>
        </w:rPr>
      </w:pPr>
    </w:p>
    <w:p w:rsidR="0036547F" w:rsidRPr="001875EC" w:rsidRDefault="0036547F" w:rsidP="0036547F">
      <w:pPr>
        <w:ind w:firstLine="720"/>
        <w:rPr>
          <w:sz w:val="20"/>
        </w:rPr>
      </w:pPr>
      <w:r w:rsidRPr="001875EC">
        <w:rPr>
          <w:b/>
          <w:sz w:val="20"/>
          <w:u w:val="single"/>
        </w:rPr>
        <w:t>Section 85 Authority required</w:t>
      </w:r>
    </w:p>
    <w:p w:rsidR="0036547F" w:rsidRPr="001875EC" w:rsidRDefault="0036547F" w:rsidP="0036547F">
      <w:pPr>
        <w:ind w:left="720"/>
        <w:rPr>
          <w:sz w:val="20"/>
        </w:rPr>
      </w:pPr>
      <w:r w:rsidRPr="001875EC">
        <w:rPr>
          <w:sz w:val="20"/>
        </w:rPr>
        <w:t>Treatment for patients with locally advanced or metastatic, progressive, differentiated thyroid carcinoma (DTC) refractory to radioactive iodine.</w:t>
      </w:r>
    </w:p>
    <w:p w:rsidR="00ED4B89" w:rsidRDefault="00ED4B89" w:rsidP="00ED4B89">
      <w:pPr>
        <w:pStyle w:val="ListParagraph"/>
        <w:widowControl/>
        <w:rPr>
          <w:szCs w:val="22"/>
        </w:rPr>
      </w:pPr>
    </w:p>
    <w:p w:rsidR="00C0077F" w:rsidRPr="001875EC" w:rsidRDefault="00634270" w:rsidP="0001306F">
      <w:pPr>
        <w:pStyle w:val="ListParagraph"/>
        <w:widowControl/>
        <w:numPr>
          <w:ilvl w:val="1"/>
          <w:numId w:val="1"/>
        </w:numPr>
        <w:rPr>
          <w:szCs w:val="22"/>
        </w:rPr>
      </w:pPr>
      <w:r>
        <w:rPr>
          <w:szCs w:val="22"/>
        </w:rPr>
        <w:t xml:space="preserve">Listing is requested on the basis of a </w:t>
      </w:r>
      <w:r w:rsidR="00C0077F" w:rsidRPr="001875EC">
        <w:rPr>
          <w:szCs w:val="22"/>
        </w:rPr>
        <w:t>cost-</w:t>
      </w:r>
      <w:r>
        <w:rPr>
          <w:szCs w:val="22"/>
        </w:rPr>
        <w:t xml:space="preserve">utility analysis versus </w:t>
      </w:r>
      <w:r w:rsidR="00C0077F" w:rsidRPr="001875EC">
        <w:rPr>
          <w:szCs w:val="22"/>
        </w:rPr>
        <w:t xml:space="preserve">best supportive care. </w:t>
      </w:r>
    </w:p>
    <w:p w:rsidR="00C0077F" w:rsidRPr="003C14EE" w:rsidRDefault="00C0077F" w:rsidP="00C0077F">
      <w:pPr>
        <w:widowControl/>
        <w:rPr>
          <w:szCs w:val="22"/>
        </w:rPr>
      </w:pPr>
    </w:p>
    <w:p w:rsidR="00634270" w:rsidRPr="003C14EE" w:rsidRDefault="00634270" w:rsidP="0001306F">
      <w:pPr>
        <w:pStyle w:val="ListParagraph"/>
        <w:widowControl/>
        <w:numPr>
          <w:ilvl w:val="1"/>
          <w:numId w:val="1"/>
        </w:numPr>
        <w:rPr>
          <w:szCs w:val="22"/>
        </w:rPr>
      </w:pPr>
      <w:r w:rsidRPr="003C14EE">
        <w:rPr>
          <w:szCs w:val="22"/>
        </w:rPr>
        <w:t xml:space="preserve">The ESC considered that the proposed restriction for </w:t>
      </w:r>
      <w:proofErr w:type="spellStart"/>
      <w:r w:rsidRPr="003C14EE">
        <w:rPr>
          <w:szCs w:val="22"/>
        </w:rPr>
        <w:t>sorafenib</w:t>
      </w:r>
      <w:proofErr w:type="spellEnd"/>
      <w:r w:rsidRPr="003C14EE">
        <w:rPr>
          <w:szCs w:val="22"/>
        </w:rPr>
        <w:t xml:space="preserve"> should include a definition for ‘refractory to radioactive iodine’ </w:t>
      </w:r>
      <w:r w:rsidR="008D5703" w:rsidRPr="003C14EE">
        <w:t>(RAI-R)</w:t>
      </w:r>
      <w:r w:rsidR="008D5703" w:rsidRPr="003C14EE">
        <w:rPr>
          <w:szCs w:val="22"/>
        </w:rPr>
        <w:t xml:space="preserve"> </w:t>
      </w:r>
      <w:r w:rsidRPr="003C14EE">
        <w:rPr>
          <w:szCs w:val="22"/>
        </w:rPr>
        <w:t xml:space="preserve">that aligns with the definition used in the DECISION trial. </w:t>
      </w:r>
      <w:r w:rsidR="00EC55E6" w:rsidRPr="003C14EE">
        <w:rPr>
          <w:szCs w:val="22"/>
        </w:rPr>
        <w:t xml:space="preserve">The sponsor indicated in the pre-PBAC response that they </w:t>
      </w:r>
      <w:r w:rsidR="00775A3B">
        <w:rPr>
          <w:szCs w:val="22"/>
        </w:rPr>
        <w:t>we</w:t>
      </w:r>
      <w:r w:rsidR="00EC55E6" w:rsidRPr="003C14EE">
        <w:rPr>
          <w:szCs w:val="22"/>
        </w:rPr>
        <w:t xml:space="preserve">re agreeable to the inclusion of the definition in the restriction. </w:t>
      </w:r>
    </w:p>
    <w:p w:rsidR="00634270" w:rsidRPr="003C14EE" w:rsidRDefault="00634270" w:rsidP="00634270">
      <w:pPr>
        <w:pStyle w:val="ListParagraph"/>
        <w:rPr>
          <w:szCs w:val="22"/>
        </w:rPr>
      </w:pPr>
    </w:p>
    <w:p w:rsidR="00044CF6" w:rsidRDefault="00634270" w:rsidP="0001306F">
      <w:pPr>
        <w:pStyle w:val="ListParagraph"/>
        <w:widowControl/>
        <w:numPr>
          <w:ilvl w:val="1"/>
          <w:numId w:val="1"/>
        </w:numPr>
        <w:rPr>
          <w:szCs w:val="22"/>
        </w:rPr>
      </w:pPr>
      <w:r w:rsidRPr="003C14EE">
        <w:rPr>
          <w:szCs w:val="22"/>
        </w:rPr>
        <w:t xml:space="preserve">Further, the ESC considered that the restriction for </w:t>
      </w:r>
      <w:proofErr w:type="spellStart"/>
      <w:r w:rsidRPr="003C14EE">
        <w:rPr>
          <w:szCs w:val="22"/>
        </w:rPr>
        <w:t>sorafenib</w:t>
      </w:r>
      <w:proofErr w:type="spellEnd"/>
      <w:r w:rsidRPr="003C14EE">
        <w:rPr>
          <w:szCs w:val="22"/>
        </w:rPr>
        <w:t xml:space="preserve"> should limit continuing PBS subsidy to patients who have stable or responding disease according to the Response Evaluation Criteria in Solid Tumours (RECIST) criteria. </w:t>
      </w:r>
      <w:r w:rsidR="001C47C8" w:rsidRPr="003C14EE">
        <w:rPr>
          <w:szCs w:val="22"/>
        </w:rPr>
        <w:t xml:space="preserve">While the DECISION trial allowed use of </w:t>
      </w:r>
      <w:proofErr w:type="spellStart"/>
      <w:r w:rsidR="001C47C8" w:rsidRPr="003C14EE">
        <w:rPr>
          <w:szCs w:val="22"/>
        </w:rPr>
        <w:t>sorafenib</w:t>
      </w:r>
      <w:proofErr w:type="spellEnd"/>
      <w:r w:rsidR="001C47C8" w:rsidRPr="003C14EE">
        <w:rPr>
          <w:szCs w:val="22"/>
        </w:rPr>
        <w:t xml:space="preserve"> post-progression during the open-label phase, t</w:t>
      </w:r>
      <w:r w:rsidRPr="003C14EE">
        <w:rPr>
          <w:szCs w:val="22"/>
        </w:rPr>
        <w:t xml:space="preserve">he RECIST criteria were used in the trial to determine if progression had occurred. </w:t>
      </w:r>
    </w:p>
    <w:p w:rsidR="00044CF6" w:rsidRPr="00044CF6" w:rsidRDefault="00044CF6" w:rsidP="00044CF6">
      <w:pPr>
        <w:pStyle w:val="ListParagraph"/>
        <w:rPr>
          <w:rFonts w:cs="Times New Roman"/>
          <w:snapToGrid/>
          <w:szCs w:val="22"/>
          <w:lang w:eastAsia="en-AU"/>
        </w:rPr>
      </w:pPr>
    </w:p>
    <w:p w:rsidR="00044CF6" w:rsidRPr="00044CF6" w:rsidRDefault="00044CF6" w:rsidP="0001306F">
      <w:pPr>
        <w:pStyle w:val="ListParagraph"/>
        <w:widowControl/>
        <w:numPr>
          <w:ilvl w:val="1"/>
          <w:numId w:val="1"/>
        </w:numPr>
        <w:rPr>
          <w:szCs w:val="22"/>
        </w:rPr>
      </w:pPr>
      <w:r w:rsidRPr="00044CF6">
        <w:rPr>
          <w:rFonts w:cs="Times New Roman"/>
          <w:snapToGrid/>
          <w:szCs w:val="22"/>
          <w:lang w:eastAsia="en-AU"/>
        </w:rPr>
        <w:t>The PBAC considered the following with regard to the restriction:</w:t>
      </w:r>
    </w:p>
    <w:p w:rsidR="00044CF6" w:rsidRPr="00FD555D" w:rsidRDefault="00044CF6" w:rsidP="00044CF6">
      <w:pPr>
        <w:pStyle w:val="ListParagraph"/>
        <w:widowControl/>
        <w:numPr>
          <w:ilvl w:val="0"/>
          <w:numId w:val="15"/>
        </w:numPr>
        <w:jc w:val="left"/>
        <w:rPr>
          <w:rFonts w:cs="Times New Roman"/>
          <w:snapToGrid/>
          <w:szCs w:val="22"/>
          <w:lang w:eastAsia="en-AU"/>
        </w:rPr>
      </w:pPr>
      <w:r w:rsidRPr="00FD555D">
        <w:rPr>
          <w:rFonts w:cs="Times New Roman"/>
          <w:snapToGrid/>
          <w:szCs w:val="22"/>
          <w:lang w:eastAsia="en-AU"/>
        </w:rPr>
        <w:t xml:space="preserve">That the patient must have thyroid stage III or IV (since only 3.8% of patients in the </w:t>
      </w:r>
      <w:proofErr w:type="spellStart"/>
      <w:r w:rsidRPr="00FD555D">
        <w:rPr>
          <w:rFonts w:cs="Times New Roman"/>
          <w:snapToGrid/>
          <w:szCs w:val="22"/>
          <w:lang w:eastAsia="en-AU"/>
        </w:rPr>
        <w:t>sorafenib</w:t>
      </w:r>
      <w:proofErr w:type="spellEnd"/>
      <w:r w:rsidRPr="00FD555D">
        <w:rPr>
          <w:rFonts w:cs="Times New Roman"/>
          <w:snapToGrid/>
          <w:szCs w:val="22"/>
          <w:lang w:eastAsia="en-AU"/>
        </w:rPr>
        <w:t xml:space="preserve"> arm of the trial had thyroid stage I or II)</w:t>
      </w:r>
    </w:p>
    <w:p w:rsidR="00044CF6" w:rsidRPr="00FD555D" w:rsidRDefault="00044CF6" w:rsidP="00044CF6">
      <w:pPr>
        <w:pStyle w:val="ListParagraph"/>
        <w:widowControl/>
        <w:numPr>
          <w:ilvl w:val="0"/>
          <w:numId w:val="15"/>
        </w:numPr>
        <w:jc w:val="left"/>
        <w:rPr>
          <w:rFonts w:cs="Times New Roman"/>
          <w:snapToGrid/>
          <w:szCs w:val="22"/>
          <w:lang w:eastAsia="en-AU"/>
        </w:rPr>
      </w:pPr>
      <w:r w:rsidRPr="00FD555D">
        <w:rPr>
          <w:rFonts w:cs="Times New Roman"/>
          <w:snapToGrid/>
          <w:szCs w:val="22"/>
          <w:lang w:eastAsia="en-AU"/>
        </w:rPr>
        <w:t>That “locally advanced” be removed and define the metastases as “distant”</w:t>
      </w:r>
    </w:p>
    <w:p w:rsidR="00044CF6" w:rsidRPr="00FD555D" w:rsidRDefault="00044CF6" w:rsidP="00044CF6">
      <w:pPr>
        <w:pStyle w:val="ListParagraph"/>
        <w:widowControl/>
        <w:numPr>
          <w:ilvl w:val="0"/>
          <w:numId w:val="15"/>
        </w:numPr>
        <w:jc w:val="left"/>
        <w:rPr>
          <w:rFonts w:cs="Times New Roman"/>
          <w:snapToGrid/>
          <w:szCs w:val="22"/>
          <w:lang w:eastAsia="en-AU"/>
        </w:rPr>
      </w:pPr>
      <w:r w:rsidRPr="00FD555D">
        <w:rPr>
          <w:rFonts w:cs="Times New Roman"/>
          <w:snapToGrid/>
          <w:szCs w:val="22"/>
          <w:lang w:eastAsia="en-AU"/>
        </w:rPr>
        <w:t>A definition for RAI-R, i.e.</w:t>
      </w:r>
    </w:p>
    <w:p w:rsidR="00044CF6" w:rsidRPr="00FD555D" w:rsidRDefault="00044CF6" w:rsidP="00044CF6">
      <w:pPr>
        <w:pStyle w:val="ListParagraph"/>
        <w:widowControl/>
        <w:numPr>
          <w:ilvl w:val="0"/>
          <w:numId w:val="7"/>
        </w:numPr>
        <w:ind w:left="2127"/>
        <w:jc w:val="left"/>
        <w:rPr>
          <w:rFonts w:cs="Times New Roman"/>
          <w:snapToGrid/>
          <w:szCs w:val="22"/>
          <w:lang w:eastAsia="en-AU"/>
        </w:rPr>
      </w:pPr>
      <w:r w:rsidRPr="00FD555D">
        <w:rPr>
          <w:rFonts w:cs="Times New Roman"/>
          <w:snapToGrid/>
          <w:szCs w:val="22"/>
          <w:lang w:eastAsia="en-AU"/>
        </w:rPr>
        <w:t>A lesion without iodine uptake on a radioactive iodine (RAI) scan, or</w:t>
      </w:r>
    </w:p>
    <w:p w:rsidR="00044CF6" w:rsidRPr="00FD555D" w:rsidRDefault="00044CF6" w:rsidP="00044CF6">
      <w:pPr>
        <w:pStyle w:val="ListParagraph"/>
        <w:widowControl/>
        <w:numPr>
          <w:ilvl w:val="0"/>
          <w:numId w:val="7"/>
        </w:numPr>
        <w:ind w:left="2127"/>
        <w:jc w:val="left"/>
        <w:rPr>
          <w:rFonts w:cs="Times New Roman"/>
          <w:snapToGrid/>
          <w:szCs w:val="22"/>
          <w:lang w:eastAsia="en-AU"/>
        </w:rPr>
      </w:pPr>
      <w:r w:rsidRPr="00FD555D">
        <w:rPr>
          <w:rFonts w:cs="Times New Roman"/>
          <w:snapToGrid/>
          <w:szCs w:val="22"/>
          <w:lang w:eastAsia="en-AU"/>
        </w:rPr>
        <w:t xml:space="preserve">Receiving cumulative RAI </w:t>
      </w:r>
      <w:r w:rsidRPr="00FD555D">
        <w:rPr>
          <w:snapToGrid/>
          <w:szCs w:val="22"/>
          <w:lang w:eastAsia="en-AU"/>
        </w:rPr>
        <w:t>≥</w:t>
      </w:r>
      <w:r w:rsidRPr="00FD555D">
        <w:rPr>
          <w:rFonts w:cs="Times New Roman"/>
          <w:snapToGrid/>
          <w:szCs w:val="22"/>
          <w:lang w:eastAsia="en-AU"/>
        </w:rPr>
        <w:t xml:space="preserve"> 600 </w:t>
      </w:r>
      <w:proofErr w:type="spellStart"/>
      <w:r w:rsidRPr="00FD555D">
        <w:rPr>
          <w:rFonts w:cs="Times New Roman"/>
          <w:snapToGrid/>
          <w:szCs w:val="22"/>
          <w:lang w:eastAsia="en-AU"/>
        </w:rPr>
        <w:t>mCi</w:t>
      </w:r>
      <w:proofErr w:type="spellEnd"/>
      <w:r w:rsidRPr="00FD555D">
        <w:rPr>
          <w:rFonts w:cs="Times New Roman"/>
          <w:snapToGrid/>
          <w:szCs w:val="22"/>
          <w:lang w:eastAsia="en-AU"/>
        </w:rPr>
        <w:t>, or</w:t>
      </w:r>
    </w:p>
    <w:p w:rsidR="00044CF6" w:rsidRPr="00FD555D" w:rsidRDefault="00044CF6" w:rsidP="00044CF6">
      <w:pPr>
        <w:pStyle w:val="ListParagraph"/>
        <w:widowControl/>
        <w:numPr>
          <w:ilvl w:val="0"/>
          <w:numId w:val="7"/>
        </w:numPr>
        <w:ind w:left="2127"/>
        <w:jc w:val="left"/>
        <w:rPr>
          <w:rFonts w:cs="Times New Roman"/>
          <w:snapToGrid/>
          <w:szCs w:val="22"/>
          <w:lang w:eastAsia="en-AU"/>
        </w:rPr>
      </w:pPr>
      <w:r w:rsidRPr="00FD555D">
        <w:rPr>
          <w:rFonts w:cs="Times New Roman"/>
          <w:snapToGrid/>
          <w:szCs w:val="22"/>
          <w:lang w:eastAsia="en-AU"/>
        </w:rPr>
        <w:t>Experiencing a progression after a RAI treatment within 16 months of enrolment, or</w:t>
      </w:r>
    </w:p>
    <w:p w:rsidR="00044CF6" w:rsidRPr="00FD555D" w:rsidRDefault="00044CF6" w:rsidP="00044CF6">
      <w:pPr>
        <w:pStyle w:val="ListParagraph"/>
        <w:widowControl/>
        <w:numPr>
          <w:ilvl w:val="0"/>
          <w:numId w:val="7"/>
        </w:numPr>
        <w:ind w:left="2127"/>
        <w:jc w:val="left"/>
        <w:rPr>
          <w:rFonts w:cs="Times New Roman"/>
          <w:snapToGrid/>
          <w:szCs w:val="22"/>
          <w:lang w:eastAsia="en-AU"/>
        </w:rPr>
      </w:pPr>
      <w:r w:rsidRPr="00FD555D">
        <w:rPr>
          <w:rFonts w:cs="Times New Roman"/>
          <w:snapToGrid/>
          <w:szCs w:val="22"/>
          <w:lang w:eastAsia="en-AU"/>
        </w:rPr>
        <w:t>After two RAI treatments within 16 months of each other</w:t>
      </w:r>
    </w:p>
    <w:p w:rsidR="00044CF6" w:rsidRPr="00FD555D" w:rsidRDefault="00044CF6" w:rsidP="00044CF6">
      <w:pPr>
        <w:pStyle w:val="ListParagraph"/>
        <w:widowControl/>
        <w:numPr>
          <w:ilvl w:val="1"/>
          <w:numId w:val="25"/>
        </w:numPr>
        <w:jc w:val="left"/>
        <w:rPr>
          <w:rFonts w:cs="Times New Roman"/>
          <w:snapToGrid/>
          <w:szCs w:val="22"/>
          <w:lang w:eastAsia="en-AU"/>
        </w:rPr>
      </w:pPr>
      <w:r w:rsidRPr="00FD555D">
        <w:rPr>
          <w:rFonts w:cs="Times New Roman"/>
          <w:snapToGrid/>
          <w:szCs w:val="22"/>
          <w:lang w:eastAsia="en-AU"/>
        </w:rPr>
        <w:t>That the patient has had thyroid stimulating hormone adequately repressed</w:t>
      </w:r>
    </w:p>
    <w:p w:rsidR="00044CF6" w:rsidRDefault="00044CF6" w:rsidP="00044CF6">
      <w:pPr>
        <w:pStyle w:val="ListParagraph"/>
        <w:widowControl/>
        <w:numPr>
          <w:ilvl w:val="1"/>
          <w:numId w:val="25"/>
        </w:numPr>
        <w:jc w:val="left"/>
        <w:rPr>
          <w:rFonts w:cs="Times New Roman"/>
          <w:snapToGrid/>
          <w:szCs w:val="22"/>
          <w:lang w:eastAsia="en-AU"/>
        </w:rPr>
      </w:pPr>
      <w:r w:rsidRPr="00044CF6">
        <w:rPr>
          <w:rFonts w:cs="Times New Roman"/>
          <w:snapToGrid/>
          <w:szCs w:val="22"/>
          <w:lang w:eastAsia="en-AU"/>
        </w:rPr>
        <w:t>That patients must have symptomatic progressive disease prior to treatment</w:t>
      </w:r>
    </w:p>
    <w:p w:rsidR="00044CF6" w:rsidRPr="00044CF6" w:rsidRDefault="00044CF6" w:rsidP="00044CF6">
      <w:pPr>
        <w:pStyle w:val="ListParagraph"/>
        <w:widowControl/>
        <w:numPr>
          <w:ilvl w:val="1"/>
          <w:numId w:val="25"/>
        </w:numPr>
        <w:jc w:val="left"/>
        <w:rPr>
          <w:rFonts w:cs="Times New Roman"/>
          <w:snapToGrid/>
          <w:szCs w:val="22"/>
          <w:lang w:eastAsia="en-AU"/>
        </w:rPr>
      </w:pPr>
      <w:r w:rsidRPr="00044CF6">
        <w:rPr>
          <w:rFonts w:cs="Times New Roman"/>
          <w:snapToGrid/>
          <w:szCs w:val="22"/>
          <w:lang w:eastAsia="en-AU"/>
        </w:rPr>
        <w:t xml:space="preserve">The PBAC invited comments from the sponsor regarding whether RECIST or thyroglobulin levels would be used to detect disease progression whilst on </w:t>
      </w:r>
      <w:proofErr w:type="spellStart"/>
      <w:r w:rsidRPr="00044CF6">
        <w:rPr>
          <w:rFonts w:cs="Times New Roman"/>
          <w:snapToGrid/>
          <w:szCs w:val="22"/>
          <w:lang w:eastAsia="en-AU"/>
        </w:rPr>
        <w:t>sorafenib</w:t>
      </w:r>
      <w:proofErr w:type="spellEnd"/>
      <w:r w:rsidRPr="00044CF6">
        <w:rPr>
          <w:rFonts w:cs="Times New Roman"/>
          <w:snapToGrid/>
          <w:szCs w:val="22"/>
          <w:lang w:eastAsia="en-AU"/>
        </w:rPr>
        <w:t xml:space="preserve">. In clinical practice, PBAC noted that thyroglobulin levels rather than RECIST are used (except in the presence of anti-thyroglobulin antibodies). </w:t>
      </w:r>
    </w:p>
    <w:p w:rsidR="00634270" w:rsidRPr="001875EC" w:rsidRDefault="00634270" w:rsidP="0001306F">
      <w:pPr>
        <w:pStyle w:val="ListParagraph"/>
        <w:widowControl/>
        <w:rPr>
          <w:szCs w:val="22"/>
        </w:rPr>
      </w:pPr>
    </w:p>
    <w:p w:rsidR="00C0077F" w:rsidRPr="0001306F" w:rsidRDefault="00C0077F" w:rsidP="0001306F">
      <w:pPr>
        <w:pStyle w:val="ListParagraph"/>
        <w:widowControl/>
        <w:numPr>
          <w:ilvl w:val="0"/>
          <w:numId w:val="1"/>
        </w:numPr>
        <w:rPr>
          <w:b/>
          <w:szCs w:val="22"/>
        </w:rPr>
      </w:pPr>
      <w:bookmarkStart w:id="7" w:name="_Toc388368955"/>
      <w:r w:rsidRPr="0001306F">
        <w:rPr>
          <w:b/>
          <w:szCs w:val="22"/>
        </w:rPr>
        <w:lastRenderedPageBreak/>
        <w:t>Background</w:t>
      </w:r>
      <w:bookmarkEnd w:id="7"/>
    </w:p>
    <w:p w:rsidR="00DD44EC" w:rsidRDefault="00DD44EC" w:rsidP="00DD44EC">
      <w:pPr>
        <w:pStyle w:val="ListParagraph"/>
        <w:widowControl/>
        <w:rPr>
          <w:szCs w:val="22"/>
        </w:rPr>
      </w:pPr>
    </w:p>
    <w:p w:rsidR="000308DC" w:rsidRDefault="000308DC" w:rsidP="0001306F">
      <w:pPr>
        <w:pStyle w:val="ListParagraph"/>
        <w:widowControl/>
        <w:numPr>
          <w:ilvl w:val="1"/>
          <w:numId w:val="1"/>
        </w:numPr>
        <w:rPr>
          <w:szCs w:val="22"/>
        </w:rPr>
      </w:pPr>
      <w:r w:rsidRPr="000308DC">
        <w:rPr>
          <w:szCs w:val="22"/>
        </w:rPr>
        <w:t xml:space="preserve">The submission was made under TGA/PBAC Parallel Process. At the time of PBAC consideration, </w:t>
      </w:r>
      <w:proofErr w:type="spellStart"/>
      <w:r w:rsidRPr="000308DC">
        <w:rPr>
          <w:szCs w:val="22"/>
        </w:rPr>
        <w:t>sorafenib</w:t>
      </w:r>
      <w:proofErr w:type="spellEnd"/>
      <w:r w:rsidRPr="000308DC">
        <w:rPr>
          <w:szCs w:val="22"/>
        </w:rPr>
        <w:t xml:space="preserve"> was registered for the indications: </w:t>
      </w:r>
      <w:r w:rsidRPr="000308DC">
        <w:rPr>
          <w:snapToGrid/>
          <w:szCs w:val="22"/>
          <w:lang w:eastAsia="en-AU"/>
        </w:rPr>
        <w:t xml:space="preserve">for the treatment of patients with advanced hepatocellular carcinoma, for the treatment of patients with advanced </w:t>
      </w:r>
      <w:r w:rsidR="00E833DE">
        <w:rPr>
          <w:snapToGrid/>
          <w:szCs w:val="22"/>
          <w:lang w:eastAsia="en-AU"/>
        </w:rPr>
        <w:t>renal cell</w:t>
      </w:r>
      <w:r w:rsidRPr="000308DC">
        <w:rPr>
          <w:snapToGrid/>
          <w:szCs w:val="22"/>
          <w:lang w:eastAsia="en-AU"/>
        </w:rPr>
        <w:t xml:space="preserve"> carcinoma, and </w:t>
      </w:r>
      <w:r w:rsidRPr="000308DC">
        <w:rPr>
          <w:szCs w:val="22"/>
        </w:rPr>
        <w:t>for the treatment of patients with locally advanced or metastatic, progressive, differentiated thyroid carcinoma refractory to radioactive iodine</w:t>
      </w:r>
      <w:r w:rsidRPr="00DD44EC">
        <w:rPr>
          <w:szCs w:val="22"/>
        </w:rPr>
        <w:t>.</w:t>
      </w:r>
      <w:r>
        <w:rPr>
          <w:szCs w:val="22"/>
        </w:rPr>
        <w:t xml:space="preserve"> </w:t>
      </w:r>
    </w:p>
    <w:p w:rsidR="000308DC" w:rsidRPr="000308DC" w:rsidRDefault="000308DC" w:rsidP="000308DC">
      <w:pPr>
        <w:widowControl/>
        <w:rPr>
          <w:szCs w:val="22"/>
        </w:rPr>
      </w:pPr>
    </w:p>
    <w:p w:rsidR="00DD44EC" w:rsidRDefault="00DD44EC" w:rsidP="0001306F">
      <w:pPr>
        <w:pStyle w:val="ListParagraph"/>
        <w:widowControl/>
        <w:numPr>
          <w:ilvl w:val="1"/>
          <w:numId w:val="1"/>
        </w:numPr>
      </w:pPr>
      <w:proofErr w:type="spellStart"/>
      <w:r>
        <w:t>Sorafenib</w:t>
      </w:r>
      <w:proofErr w:type="spellEnd"/>
      <w:r>
        <w:t xml:space="preserve"> </w:t>
      </w:r>
      <w:r w:rsidR="000308DC">
        <w:t xml:space="preserve">is </w:t>
      </w:r>
      <w:r>
        <w:t>not listed on the PBS for t</w:t>
      </w:r>
      <w:r w:rsidR="000308DC">
        <w:t>he</w:t>
      </w:r>
      <w:r>
        <w:t xml:space="preserve"> </w:t>
      </w:r>
      <w:r w:rsidR="000308DC">
        <w:t xml:space="preserve">treatment of </w:t>
      </w:r>
      <w:r w:rsidR="000308DC" w:rsidRPr="001875EC">
        <w:t>advanced renal cell carcinoma</w:t>
      </w:r>
      <w:r w:rsidR="000308DC">
        <w:t xml:space="preserve">. </w:t>
      </w:r>
      <w:r>
        <w:t xml:space="preserve">Submissions were rejected in November 2006 and November 2008 </w:t>
      </w:r>
      <w:r w:rsidRPr="001875EC">
        <w:t>for first</w:t>
      </w:r>
      <w:r>
        <w:t>-</w:t>
      </w:r>
      <w:r w:rsidRPr="001875EC">
        <w:t xml:space="preserve">line treatment of advanced </w:t>
      </w:r>
      <w:r>
        <w:t xml:space="preserve">RCC; and in November 2012 and November 2013 </w:t>
      </w:r>
      <w:r w:rsidRPr="001875EC">
        <w:t>for second</w:t>
      </w:r>
      <w:r>
        <w:t>-</w:t>
      </w:r>
      <w:r w:rsidRPr="001875EC">
        <w:t>line treatment</w:t>
      </w:r>
      <w:r>
        <w:t>.</w:t>
      </w:r>
    </w:p>
    <w:p w:rsidR="00DD44EC" w:rsidRDefault="00DD44EC" w:rsidP="00DD44EC">
      <w:pPr>
        <w:widowControl/>
      </w:pPr>
      <w:r>
        <w:t xml:space="preserve"> </w:t>
      </w:r>
    </w:p>
    <w:p w:rsidR="00DD44EC" w:rsidRDefault="00DD44EC" w:rsidP="0001306F">
      <w:pPr>
        <w:pStyle w:val="ListParagraph"/>
        <w:widowControl/>
        <w:numPr>
          <w:ilvl w:val="1"/>
          <w:numId w:val="1"/>
        </w:numPr>
      </w:pPr>
      <w:proofErr w:type="spellStart"/>
      <w:r w:rsidRPr="001875EC">
        <w:t>Sorafenib</w:t>
      </w:r>
      <w:proofErr w:type="spellEnd"/>
      <w:r w:rsidRPr="001875EC">
        <w:t xml:space="preserve"> </w:t>
      </w:r>
      <w:r>
        <w:t xml:space="preserve">is currently listed on the PBS for the treatment of advanced </w:t>
      </w:r>
      <w:r w:rsidRPr="001875EC">
        <w:t xml:space="preserve">hepatocellular carcinoma </w:t>
      </w:r>
      <w:r>
        <w:t xml:space="preserve">(recommended at the July 2008 PBAC meeting). </w:t>
      </w:r>
    </w:p>
    <w:p w:rsidR="000308DC" w:rsidRDefault="000308DC" w:rsidP="000308DC">
      <w:pPr>
        <w:widowControl/>
      </w:pPr>
    </w:p>
    <w:p w:rsidR="00485F8D" w:rsidRDefault="008536B6" w:rsidP="0001306F">
      <w:pPr>
        <w:pStyle w:val="ListParagraph"/>
        <w:widowControl/>
        <w:numPr>
          <w:ilvl w:val="1"/>
          <w:numId w:val="1"/>
        </w:numPr>
      </w:pPr>
      <w:r w:rsidRPr="001875EC">
        <w:rPr>
          <w:szCs w:val="22"/>
        </w:rPr>
        <w:t>Th</w:t>
      </w:r>
      <w:r>
        <w:rPr>
          <w:szCs w:val="22"/>
        </w:rPr>
        <w:t xml:space="preserve">e PBAC has not previously </w:t>
      </w:r>
      <w:r w:rsidR="00485F8D">
        <w:rPr>
          <w:szCs w:val="22"/>
        </w:rPr>
        <w:t xml:space="preserve">considered </w:t>
      </w:r>
      <w:proofErr w:type="spellStart"/>
      <w:r w:rsidR="00485F8D">
        <w:rPr>
          <w:szCs w:val="22"/>
        </w:rPr>
        <w:t>sorafenib</w:t>
      </w:r>
      <w:proofErr w:type="spellEnd"/>
      <w:r w:rsidR="00485F8D">
        <w:rPr>
          <w:szCs w:val="22"/>
        </w:rPr>
        <w:t xml:space="preserve"> for this indication. </w:t>
      </w:r>
    </w:p>
    <w:p w:rsidR="004D43E8" w:rsidRDefault="004D43E8" w:rsidP="004D43E8">
      <w:pPr>
        <w:pStyle w:val="ListParagraph"/>
      </w:pPr>
      <w:bookmarkStart w:id="8" w:name="_Toc388368956"/>
    </w:p>
    <w:p w:rsidR="00634270" w:rsidRDefault="00C0077F" w:rsidP="0001306F">
      <w:pPr>
        <w:pStyle w:val="ListParagraph"/>
        <w:widowControl/>
        <w:numPr>
          <w:ilvl w:val="0"/>
          <w:numId w:val="1"/>
        </w:numPr>
      </w:pPr>
      <w:r w:rsidRPr="00463DA9">
        <w:rPr>
          <w:b/>
        </w:rPr>
        <w:t>Clinical place for the proposed therapy</w:t>
      </w:r>
      <w:bookmarkEnd w:id="8"/>
    </w:p>
    <w:p w:rsidR="00F5243A" w:rsidRPr="001875EC" w:rsidRDefault="00F5243A" w:rsidP="00634270">
      <w:pPr>
        <w:pStyle w:val="ListParagraph"/>
      </w:pPr>
    </w:p>
    <w:p w:rsidR="00634270" w:rsidRPr="0001306F" w:rsidRDefault="00627544" w:rsidP="0001306F">
      <w:pPr>
        <w:pStyle w:val="ListParagraph"/>
        <w:widowControl/>
        <w:numPr>
          <w:ilvl w:val="1"/>
          <w:numId w:val="1"/>
        </w:numPr>
      </w:pPr>
      <w:r w:rsidRPr="0001306F">
        <w:t>T</w:t>
      </w:r>
      <w:r w:rsidR="00C0077F" w:rsidRPr="0001306F">
        <w:t>hyroid cancer generally has a very good prognosis</w:t>
      </w:r>
      <w:r w:rsidRPr="0001306F">
        <w:t xml:space="preserve"> with treatment</w:t>
      </w:r>
      <w:r w:rsidR="00C0077F" w:rsidRPr="0001306F">
        <w:t xml:space="preserve">. However, </w:t>
      </w:r>
      <w:r w:rsidR="0044367D" w:rsidRPr="0001306F">
        <w:t xml:space="preserve">patients with </w:t>
      </w:r>
      <w:r w:rsidR="00C0077F" w:rsidRPr="0001306F">
        <w:t>locally advanced or distant metastatic differentiated thyroid cancer who fail to respond to radioactive iodine</w:t>
      </w:r>
      <w:r w:rsidR="0010082F" w:rsidRPr="0001306F">
        <w:t>, have</w:t>
      </w:r>
      <w:r w:rsidR="00C0077F" w:rsidRPr="0001306F">
        <w:t xml:space="preserve"> a survival of only 2.5 to 3.5 years. </w:t>
      </w:r>
      <w:r w:rsidRPr="0001306F">
        <w:t>T</w:t>
      </w:r>
      <w:r w:rsidR="00C0077F" w:rsidRPr="0001306F">
        <w:t xml:space="preserve">here is no active treatment </w:t>
      </w:r>
      <w:r w:rsidRPr="0001306F">
        <w:t xml:space="preserve">currently </w:t>
      </w:r>
      <w:r w:rsidR="00C0077F" w:rsidRPr="0001306F">
        <w:t>available for this group of patients.</w:t>
      </w:r>
    </w:p>
    <w:p w:rsidR="00634270" w:rsidRPr="0001306F" w:rsidRDefault="00634270" w:rsidP="00634270"/>
    <w:p w:rsidR="00634270" w:rsidRPr="003C14EE" w:rsidRDefault="006045A1" w:rsidP="0001306F">
      <w:pPr>
        <w:pStyle w:val="ListParagraph"/>
        <w:widowControl/>
        <w:numPr>
          <w:ilvl w:val="1"/>
          <w:numId w:val="1"/>
        </w:numPr>
        <w:rPr>
          <w:szCs w:val="22"/>
        </w:rPr>
      </w:pPr>
      <w:r w:rsidRPr="003C14EE">
        <w:t xml:space="preserve">The </w:t>
      </w:r>
      <w:r w:rsidR="008D5703" w:rsidRPr="003C14EE">
        <w:t xml:space="preserve">estimated </w:t>
      </w:r>
      <w:r w:rsidR="000B505A">
        <w:t>median</w:t>
      </w:r>
      <w:r w:rsidR="000B505A" w:rsidRPr="003C14EE">
        <w:t xml:space="preserve"> </w:t>
      </w:r>
      <w:r w:rsidR="008D5703" w:rsidRPr="003C14EE">
        <w:t xml:space="preserve">survival time of 2.5 to 3.5 years was </w:t>
      </w:r>
      <w:r w:rsidR="009B3340" w:rsidRPr="003C14EE">
        <w:t>quoted from</w:t>
      </w:r>
      <w:r w:rsidR="008D5703" w:rsidRPr="003C14EE">
        <w:t xml:space="preserve"> the submission. The</w:t>
      </w:r>
      <w:r w:rsidR="00372586" w:rsidRPr="003C14EE">
        <w:t xml:space="preserve"> Pre-Sub-Committee Response</w:t>
      </w:r>
      <w:r w:rsidR="008D5703" w:rsidRPr="003C14EE">
        <w:t xml:space="preserve"> </w:t>
      </w:r>
      <w:r w:rsidR="00372586" w:rsidRPr="003C14EE">
        <w:t>(</w:t>
      </w:r>
      <w:r w:rsidRPr="003C14EE">
        <w:t>PSCR</w:t>
      </w:r>
      <w:r w:rsidR="00372586" w:rsidRPr="003C14EE">
        <w:t>)</w:t>
      </w:r>
      <w:r w:rsidRPr="003C14EE">
        <w:t xml:space="preserve"> </w:t>
      </w:r>
      <w:r w:rsidR="0052671F" w:rsidRPr="003C14EE">
        <w:t>stated</w:t>
      </w:r>
      <w:r w:rsidRPr="003C14EE">
        <w:t xml:space="preserve"> that th</w:t>
      </w:r>
      <w:r w:rsidR="008D5703" w:rsidRPr="003C14EE">
        <w:t xml:space="preserve">is </w:t>
      </w:r>
      <w:r w:rsidRPr="003C14EE">
        <w:t xml:space="preserve">was </w:t>
      </w:r>
      <w:r w:rsidR="0052671F" w:rsidRPr="003C14EE">
        <w:t>based on ‘limited available historical epidemiological evidence in patients receiving standard of care’ (</w:t>
      </w:r>
      <w:r w:rsidR="00F6210F" w:rsidRPr="003C14EE">
        <w:t>p</w:t>
      </w:r>
      <w:r w:rsidR="0052671F" w:rsidRPr="003C14EE">
        <w:t>4).</w:t>
      </w:r>
    </w:p>
    <w:p w:rsidR="00634270" w:rsidRPr="0035186F" w:rsidRDefault="00634270" w:rsidP="00634270">
      <w:pPr>
        <w:pStyle w:val="ListParagraph"/>
        <w:widowControl/>
        <w:rPr>
          <w:szCs w:val="22"/>
        </w:rPr>
      </w:pPr>
    </w:p>
    <w:p w:rsidR="005A1132" w:rsidRDefault="00634270" w:rsidP="0001306F">
      <w:pPr>
        <w:pStyle w:val="ListParagraph"/>
        <w:widowControl/>
        <w:numPr>
          <w:ilvl w:val="1"/>
          <w:numId w:val="1"/>
        </w:numPr>
        <w:rPr>
          <w:szCs w:val="22"/>
        </w:rPr>
      </w:pPr>
      <w:r>
        <w:t>T</w:t>
      </w:r>
      <w:r w:rsidR="00C0077F" w:rsidRPr="00634270">
        <w:t xml:space="preserve">he submission proposes </w:t>
      </w:r>
      <w:proofErr w:type="spellStart"/>
      <w:r w:rsidR="00C0077F" w:rsidRPr="00634270">
        <w:t>sorafenib</w:t>
      </w:r>
      <w:proofErr w:type="spellEnd"/>
      <w:r w:rsidR="00C0077F" w:rsidRPr="00634270">
        <w:t xml:space="preserve"> be </w:t>
      </w:r>
      <w:r w:rsidR="00627544" w:rsidRPr="00634270">
        <w:t>used in</w:t>
      </w:r>
      <w:r w:rsidR="00C0077F" w:rsidRPr="00634270">
        <w:t xml:space="preserve"> patients </w:t>
      </w:r>
      <w:r w:rsidR="0044367D" w:rsidRPr="00634270">
        <w:t>who</w:t>
      </w:r>
      <w:r w:rsidR="00627544" w:rsidRPr="00634270">
        <w:t xml:space="preserve">: </w:t>
      </w:r>
      <w:r w:rsidR="00C0077F" w:rsidRPr="00634270">
        <w:t>progress after</w:t>
      </w:r>
      <w:r w:rsidR="00C0077F" w:rsidRPr="001875EC">
        <w:rPr>
          <w:szCs w:val="22"/>
        </w:rPr>
        <w:t xml:space="preserve"> treatment with radioactive iodine within 16 months of treatment</w:t>
      </w:r>
      <w:r w:rsidR="0044367D" w:rsidRPr="001875EC">
        <w:rPr>
          <w:szCs w:val="22"/>
        </w:rPr>
        <w:t>; progress</w:t>
      </w:r>
      <w:r w:rsidR="00C0077F" w:rsidRPr="001875EC">
        <w:rPr>
          <w:szCs w:val="22"/>
        </w:rPr>
        <w:t xml:space="preserve"> following treatment with two or more RAI treatments that were within 16 months of each other</w:t>
      </w:r>
      <w:r w:rsidR="0044367D" w:rsidRPr="001875EC">
        <w:rPr>
          <w:szCs w:val="22"/>
        </w:rPr>
        <w:t xml:space="preserve">; </w:t>
      </w:r>
      <w:r w:rsidR="00C0077F" w:rsidRPr="001875EC">
        <w:rPr>
          <w:szCs w:val="22"/>
        </w:rPr>
        <w:t>progress after a cumulative do</w:t>
      </w:r>
      <w:r w:rsidR="0044367D" w:rsidRPr="001875EC">
        <w:rPr>
          <w:szCs w:val="22"/>
        </w:rPr>
        <w:t>se</w:t>
      </w:r>
      <w:r w:rsidR="00C0077F" w:rsidRPr="001875EC">
        <w:rPr>
          <w:szCs w:val="22"/>
        </w:rPr>
        <w:t xml:space="preserve"> of RAI ≥ 600mCi</w:t>
      </w:r>
      <w:r w:rsidR="0044367D" w:rsidRPr="001875EC">
        <w:rPr>
          <w:szCs w:val="22"/>
        </w:rPr>
        <w:t>;</w:t>
      </w:r>
      <w:r w:rsidR="00C0077F" w:rsidRPr="001875EC">
        <w:rPr>
          <w:szCs w:val="22"/>
        </w:rPr>
        <w:t xml:space="preserve"> or in patients who have no uptake of iodine on a radioactive iodine scan.</w:t>
      </w:r>
    </w:p>
    <w:p w:rsidR="005A1132" w:rsidRDefault="005A1132" w:rsidP="005A1132">
      <w:pPr>
        <w:ind w:left="709" w:hanging="709"/>
        <w:rPr>
          <w:szCs w:val="22"/>
        </w:rPr>
      </w:pPr>
    </w:p>
    <w:p w:rsidR="005A1132" w:rsidRPr="00B12402" w:rsidRDefault="005A1132" w:rsidP="00B12402">
      <w:pPr>
        <w:pStyle w:val="ListParagraph"/>
        <w:ind w:left="709"/>
        <w:rPr>
          <w:i/>
          <w:szCs w:val="22"/>
        </w:rPr>
      </w:pPr>
      <w:r>
        <w:rPr>
          <w:szCs w:val="22"/>
        </w:rPr>
        <w:tab/>
      </w:r>
      <w:r>
        <w:rPr>
          <w:i/>
          <w:szCs w:val="22"/>
        </w:rPr>
        <w:t>For more detail on PBAC’s view, see section 7 “PBAC outcome”</w:t>
      </w:r>
    </w:p>
    <w:p w:rsidR="00C0077F" w:rsidRPr="00BB51CF" w:rsidRDefault="00C0077F" w:rsidP="00634270">
      <w:pPr>
        <w:widowControl/>
        <w:ind w:left="720" w:hanging="720"/>
        <w:rPr>
          <w:i/>
          <w:szCs w:val="22"/>
        </w:rPr>
      </w:pPr>
    </w:p>
    <w:p w:rsidR="00C0077F" w:rsidRPr="0001306F" w:rsidRDefault="00C0077F" w:rsidP="0001306F">
      <w:pPr>
        <w:pStyle w:val="ListParagraph"/>
        <w:widowControl/>
        <w:numPr>
          <w:ilvl w:val="0"/>
          <w:numId w:val="1"/>
        </w:numPr>
        <w:rPr>
          <w:b/>
        </w:rPr>
      </w:pPr>
      <w:bookmarkStart w:id="9" w:name="_Toc388368957"/>
      <w:r w:rsidRPr="0001306F">
        <w:rPr>
          <w:b/>
        </w:rPr>
        <w:t>Comparator</w:t>
      </w:r>
      <w:bookmarkEnd w:id="9"/>
    </w:p>
    <w:p w:rsidR="00C0077F" w:rsidRPr="001875EC" w:rsidRDefault="00C0077F" w:rsidP="00C0077F"/>
    <w:p w:rsidR="00C0077F" w:rsidRPr="001875EC" w:rsidRDefault="00C0077F" w:rsidP="0001306F">
      <w:pPr>
        <w:pStyle w:val="ListParagraph"/>
        <w:widowControl/>
        <w:numPr>
          <w:ilvl w:val="1"/>
          <w:numId w:val="1"/>
        </w:numPr>
        <w:rPr>
          <w:szCs w:val="22"/>
        </w:rPr>
      </w:pPr>
      <w:r w:rsidRPr="001875EC">
        <w:t xml:space="preserve">The </w:t>
      </w:r>
      <w:r w:rsidR="008D5703">
        <w:t xml:space="preserve">submission </w:t>
      </w:r>
      <w:r w:rsidR="00ED139F">
        <w:t>nominate</w:t>
      </w:r>
      <w:r w:rsidR="00775A3B">
        <w:t>d</w:t>
      </w:r>
      <w:r w:rsidR="00ED139F">
        <w:t xml:space="preserve"> </w:t>
      </w:r>
      <w:r w:rsidR="008D5703">
        <w:t>be</w:t>
      </w:r>
      <w:r w:rsidRPr="001875EC">
        <w:t>st supportive care (placebo)</w:t>
      </w:r>
      <w:r w:rsidR="008D5703">
        <w:t xml:space="preserve"> as the comparator</w:t>
      </w:r>
      <w:r w:rsidRPr="001875EC">
        <w:t>. The submission argue</w:t>
      </w:r>
      <w:r w:rsidR="00775A3B">
        <w:t>d</w:t>
      </w:r>
      <w:r w:rsidRPr="001875EC">
        <w:t xml:space="preserve"> that no effective treatment</w:t>
      </w:r>
      <w:r w:rsidR="00ED139F">
        <w:t>s are available</w:t>
      </w:r>
      <w:r w:rsidRPr="001875EC">
        <w:t>, with cytotoxic chemotherapy achieving low response rates that may not be durable</w:t>
      </w:r>
      <w:r w:rsidR="00ED139F">
        <w:t xml:space="preserve"> and </w:t>
      </w:r>
      <w:r w:rsidR="008D5703">
        <w:t xml:space="preserve">being associated with </w:t>
      </w:r>
      <w:r w:rsidRPr="001875EC">
        <w:t>frequent side-effects.</w:t>
      </w:r>
    </w:p>
    <w:p w:rsidR="005F40B0" w:rsidRPr="003C14EE" w:rsidRDefault="005F40B0" w:rsidP="005F40B0">
      <w:pPr>
        <w:pStyle w:val="ListParagraph"/>
        <w:widowControl/>
        <w:rPr>
          <w:szCs w:val="22"/>
        </w:rPr>
      </w:pPr>
    </w:p>
    <w:p w:rsidR="00CF2837" w:rsidRDefault="00CF2837" w:rsidP="0001306F">
      <w:pPr>
        <w:pStyle w:val="ListParagraph"/>
        <w:widowControl/>
        <w:numPr>
          <w:ilvl w:val="1"/>
          <w:numId w:val="1"/>
        </w:numPr>
      </w:pPr>
      <w:r w:rsidRPr="003C14EE">
        <w:t xml:space="preserve">The ESC considered that Best Supportive Care </w:t>
      </w:r>
      <w:r w:rsidR="001C5C7C" w:rsidRPr="003C14EE">
        <w:t xml:space="preserve">(BSC) </w:t>
      </w:r>
      <w:r w:rsidR="00463DA9" w:rsidRPr="003C14EE">
        <w:t>wa</w:t>
      </w:r>
      <w:r w:rsidRPr="003C14EE">
        <w:t>s the appropriate comparator.</w:t>
      </w:r>
    </w:p>
    <w:p w:rsidR="005A1132" w:rsidRDefault="005A1132" w:rsidP="005A1132">
      <w:pPr>
        <w:pStyle w:val="ListParagraph"/>
      </w:pPr>
    </w:p>
    <w:p w:rsidR="005A1132" w:rsidRPr="005A1132" w:rsidRDefault="005A1132" w:rsidP="005A1132">
      <w:pPr>
        <w:pStyle w:val="ListParagraph"/>
        <w:ind w:left="709"/>
        <w:rPr>
          <w:i/>
          <w:szCs w:val="22"/>
        </w:rPr>
      </w:pPr>
      <w:r>
        <w:rPr>
          <w:i/>
          <w:szCs w:val="22"/>
        </w:rPr>
        <w:t>For more detail on PBAC’s view, see section 7 “PBAC outcome”</w:t>
      </w:r>
    </w:p>
    <w:p w:rsidR="00C0077F" w:rsidRPr="001875EC" w:rsidRDefault="00C0077F" w:rsidP="00C0077F">
      <w:pPr>
        <w:rPr>
          <w:szCs w:val="22"/>
        </w:rPr>
      </w:pPr>
    </w:p>
    <w:p w:rsidR="00C0077F" w:rsidRPr="0001306F" w:rsidRDefault="00C0077F" w:rsidP="0001306F">
      <w:pPr>
        <w:pStyle w:val="ListParagraph"/>
        <w:widowControl/>
        <w:numPr>
          <w:ilvl w:val="0"/>
          <w:numId w:val="1"/>
        </w:numPr>
        <w:rPr>
          <w:b/>
        </w:rPr>
      </w:pPr>
      <w:bookmarkStart w:id="10" w:name="_Toc388368958"/>
      <w:r w:rsidRPr="0001306F">
        <w:rPr>
          <w:b/>
        </w:rPr>
        <w:t>Consideration of the evidence</w:t>
      </w:r>
      <w:bookmarkEnd w:id="10"/>
    </w:p>
    <w:p w:rsidR="00C0077F" w:rsidRDefault="00C0077F" w:rsidP="0001306F"/>
    <w:p w:rsidR="003373E9" w:rsidRPr="003373E9" w:rsidRDefault="003373E9" w:rsidP="003373E9">
      <w:pPr>
        <w:widowControl/>
        <w:rPr>
          <w:rFonts w:cs="Times New Roman"/>
          <w:b/>
          <w:i/>
          <w:snapToGrid/>
          <w:szCs w:val="22"/>
          <w:lang w:eastAsia="en-AU"/>
        </w:rPr>
      </w:pPr>
      <w:r w:rsidRPr="003373E9">
        <w:rPr>
          <w:rFonts w:cs="Times New Roman"/>
          <w:b/>
          <w:i/>
          <w:snapToGrid/>
          <w:szCs w:val="22"/>
          <w:lang w:eastAsia="en-AU"/>
        </w:rPr>
        <w:t>Sponsor hearing</w:t>
      </w:r>
    </w:p>
    <w:p w:rsidR="003373E9" w:rsidRPr="003373E9" w:rsidRDefault="003373E9" w:rsidP="003373E9">
      <w:pPr>
        <w:widowControl/>
        <w:ind w:left="709"/>
        <w:rPr>
          <w:rFonts w:cs="Times New Roman"/>
          <w:b/>
          <w:snapToGrid/>
          <w:szCs w:val="22"/>
          <w:lang w:eastAsia="en-AU"/>
        </w:rPr>
      </w:pPr>
    </w:p>
    <w:p w:rsidR="003373E9" w:rsidRPr="003373E9" w:rsidRDefault="003373E9" w:rsidP="0001306F">
      <w:pPr>
        <w:pStyle w:val="ListParagraph"/>
        <w:widowControl/>
        <w:numPr>
          <w:ilvl w:val="1"/>
          <w:numId w:val="1"/>
        </w:numPr>
        <w:rPr>
          <w:rFonts w:cs="Times New Roman"/>
          <w:snapToGrid/>
          <w:szCs w:val="22"/>
          <w:lang w:eastAsia="en-AU"/>
        </w:rPr>
      </w:pPr>
      <w:r w:rsidRPr="003373E9">
        <w:rPr>
          <w:rFonts w:cs="Times New Roman"/>
          <w:snapToGrid/>
          <w:szCs w:val="22"/>
          <w:lang w:eastAsia="en-AU"/>
        </w:rPr>
        <w:lastRenderedPageBreak/>
        <w:t>There was no hearing for this item.</w:t>
      </w:r>
    </w:p>
    <w:p w:rsidR="003373E9" w:rsidRPr="003373E9" w:rsidRDefault="003373E9" w:rsidP="003373E9">
      <w:pPr>
        <w:widowControl/>
        <w:ind w:left="709"/>
        <w:contextualSpacing/>
        <w:rPr>
          <w:rFonts w:cs="Times New Roman"/>
          <w:snapToGrid/>
          <w:szCs w:val="22"/>
          <w:lang w:eastAsia="en-AU"/>
        </w:rPr>
      </w:pPr>
    </w:p>
    <w:p w:rsidR="003373E9" w:rsidRPr="003373E9" w:rsidRDefault="003373E9" w:rsidP="003373E9">
      <w:pPr>
        <w:widowControl/>
        <w:rPr>
          <w:rFonts w:cs="Times New Roman"/>
          <w:b/>
          <w:i/>
          <w:snapToGrid/>
          <w:szCs w:val="22"/>
          <w:lang w:eastAsia="en-AU"/>
        </w:rPr>
      </w:pPr>
      <w:r w:rsidRPr="003373E9">
        <w:rPr>
          <w:rFonts w:cs="Times New Roman"/>
          <w:b/>
          <w:i/>
          <w:snapToGrid/>
          <w:szCs w:val="22"/>
          <w:lang w:eastAsia="en-AU"/>
        </w:rPr>
        <w:t>Consumer comments</w:t>
      </w:r>
    </w:p>
    <w:p w:rsidR="003373E9" w:rsidRPr="003373E9" w:rsidRDefault="003373E9" w:rsidP="003373E9">
      <w:pPr>
        <w:widowControl/>
        <w:ind w:left="709"/>
        <w:contextualSpacing/>
        <w:rPr>
          <w:rFonts w:cs="Times New Roman"/>
          <w:snapToGrid/>
          <w:szCs w:val="22"/>
          <w:lang w:eastAsia="en-AU"/>
        </w:rPr>
      </w:pPr>
    </w:p>
    <w:p w:rsidR="003373E9" w:rsidRPr="003C14EE" w:rsidRDefault="003373E9" w:rsidP="0001306F">
      <w:pPr>
        <w:pStyle w:val="ListParagraph"/>
        <w:widowControl/>
        <w:numPr>
          <w:ilvl w:val="1"/>
          <w:numId w:val="1"/>
        </w:numPr>
        <w:rPr>
          <w:rFonts w:cs="Times New Roman"/>
          <w:snapToGrid/>
          <w:szCs w:val="22"/>
          <w:lang w:eastAsia="en-AU"/>
        </w:rPr>
      </w:pPr>
      <w:r w:rsidRPr="003C14EE">
        <w:rPr>
          <w:rFonts w:cs="Times New Roman"/>
          <w:snapToGrid/>
          <w:szCs w:val="22"/>
          <w:lang w:eastAsia="en-AU"/>
        </w:rPr>
        <w:t>The PBAC noted and welcomed the input from individuals (</w:t>
      </w:r>
      <w:r w:rsidR="00BC4D0A" w:rsidRPr="003C14EE">
        <w:rPr>
          <w:rFonts w:cs="Times New Roman"/>
          <w:snapToGrid/>
          <w:szCs w:val="22"/>
          <w:lang w:eastAsia="en-AU"/>
        </w:rPr>
        <w:t>16), health care professionals (2) and organisations (3</w:t>
      </w:r>
      <w:r w:rsidRPr="003C14EE">
        <w:rPr>
          <w:rFonts w:cs="Times New Roman"/>
          <w:snapToGrid/>
          <w:szCs w:val="22"/>
          <w:lang w:eastAsia="en-AU"/>
        </w:rPr>
        <w:t>) via the Consumer Comments facility on the PBS website.  The comments described a rang</w:t>
      </w:r>
      <w:r w:rsidR="00BC4D0A" w:rsidRPr="003C14EE">
        <w:rPr>
          <w:rFonts w:cs="Times New Roman"/>
          <w:snapToGrid/>
          <w:szCs w:val="22"/>
          <w:lang w:eastAsia="en-AU"/>
        </w:rPr>
        <w:t xml:space="preserve">e of benefits of treatment with </w:t>
      </w:r>
      <w:proofErr w:type="spellStart"/>
      <w:r w:rsidR="00BC4D0A" w:rsidRPr="003C14EE">
        <w:rPr>
          <w:rFonts w:cs="Times New Roman"/>
          <w:snapToGrid/>
          <w:szCs w:val="22"/>
          <w:lang w:eastAsia="en-AU"/>
        </w:rPr>
        <w:t>sorafenib</w:t>
      </w:r>
      <w:proofErr w:type="spellEnd"/>
      <w:r w:rsidR="00BC4D0A" w:rsidRPr="003C14EE">
        <w:rPr>
          <w:rFonts w:cs="Times New Roman"/>
          <w:snapToGrid/>
          <w:szCs w:val="22"/>
          <w:lang w:eastAsia="en-AU"/>
        </w:rPr>
        <w:t xml:space="preserve"> </w:t>
      </w:r>
      <w:r w:rsidRPr="003C14EE">
        <w:rPr>
          <w:rFonts w:cs="Times New Roman"/>
          <w:snapToGrid/>
          <w:szCs w:val="22"/>
          <w:lang w:eastAsia="en-AU"/>
        </w:rPr>
        <w:t xml:space="preserve">including </w:t>
      </w:r>
      <w:r w:rsidR="00B80E7C" w:rsidRPr="003C14EE">
        <w:rPr>
          <w:rFonts w:cs="Times New Roman"/>
          <w:snapToGrid/>
          <w:szCs w:val="22"/>
          <w:lang w:eastAsia="en-AU"/>
        </w:rPr>
        <w:t>slowing down the disease and need for affordable treatment.</w:t>
      </w:r>
    </w:p>
    <w:p w:rsidR="003373E9" w:rsidRPr="003373E9" w:rsidRDefault="003373E9" w:rsidP="003373E9">
      <w:pPr>
        <w:widowControl/>
        <w:rPr>
          <w:rFonts w:cs="Times New Roman"/>
          <w:b/>
          <w:snapToGrid/>
          <w:szCs w:val="22"/>
          <w:lang w:eastAsia="en-AU"/>
        </w:rPr>
      </w:pPr>
    </w:p>
    <w:p w:rsidR="003373E9" w:rsidRPr="003373E9" w:rsidRDefault="003373E9" w:rsidP="003373E9">
      <w:pPr>
        <w:widowControl/>
        <w:ind w:left="709"/>
        <w:contextualSpacing/>
        <w:rPr>
          <w:rFonts w:cs="Times New Roman"/>
          <w:i/>
          <w:snapToGrid/>
          <w:szCs w:val="22"/>
          <w:lang w:eastAsia="en-AU"/>
        </w:rPr>
      </w:pPr>
      <w:r w:rsidRPr="003373E9">
        <w:rPr>
          <w:rFonts w:cs="Times New Roman"/>
          <w:i/>
          <w:snapToGrid/>
          <w:szCs w:val="22"/>
          <w:lang w:eastAsia="en-AU"/>
        </w:rPr>
        <w:t>For more detail on PBAC’s view, see section 7 “PBAC outcome”</w:t>
      </w:r>
    </w:p>
    <w:p w:rsidR="003373E9" w:rsidRPr="001875EC" w:rsidRDefault="003373E9" w:rsidP="0001306F"/>
    <w:p w:rsidR="00C0077F" w:rsidRPr="0001306F" w:rsidRDefault="00C0077F" w:rsidP="0001306F">
      <w:pPr>
        <w:widowControl/>
        <w:rPr>
          <w:rFonts w:cs="Times New Roman"/>
          <w:b/>
          <w:i/>
          <w:snapToGrid/>
          <w:szCs w:val="22"/>
          <w:lang w:eastAsia="en-AU"/>
        </w:rPr>
      </w:pPr>
      <w:bookmarkStart w:id="11" w:name="_Toc388368959"/>
      <w:r w:rsidRPr="0001306F">
        <w:rPr>
          <w:rFonts w:cs="Times New Roman"/>
          <w:b/>
          <w:i/>
          <w:snapToGrid/>
          <w:szCs w:val="22"/>
          <w:lang w:eastAsia="en-AU"/>
        </w:rPr>
        <w:t>Clinical trials</w:t>
      </w:r>
      <w:bookmarkEnd w:id="11"/>
    </w:p>
    <w:p w:rsidR="00C0077F" w:rsidRPr="001875EC" w:rsidRDefault="00C0077F" w:rsidP="0001306F"/>
    <w:p w:rsidR="00C0077F" w:rsidRPr="001875EC" w:rsidRDefault="00C0077F" w:rsidP="0001306F">
      <w:pPr>
        <w:pStyle w:val="ListParagraph"/>
        <w:widowControl/>
        <w:numPr>
          <w:ilvl w:val="1"/>
          <w:numId w:val="1"/>
        </w:numPr>
        <w:rPr>
          <w:szCs w:val="22"/>
        </w:rPr>
      </w:pPr>
      <w:r w:rsidRPr="001875EC">
        <w:t xml:space="preserve">The submission </w:t>
      </w:r>
      <w:r w:rsidR="00CF2837">
        <w:t xml:space="preserve">presented the results of </w:t>
      </w:r>
      <w:r w:rsidRPr="001875EC">
        <w:t>one trial</w:t>
      </w:r>
      <w:r w:rsidR="00CF2837">
        <w:t xml:space="preserve">, DECISION. </w:t>
      </w:r>
      <w:r w:rsidR="00463DA9">
        <w:t>This</w:t>
      </w:r>
      <w:r w:rsidR="00CF2837">
        <w:t xml:space="preserve"> was </w:t>
      </w:r>
      <w:r w:rsidR="007E5E75">
        <w:t xml:space="preserve">a randomised double-blind trial </w:t>
      </w:r>
      <w:r w:rsidR="001C5C7C">
        <w:t xml:space="preserve">of 417 patients </w:t>
      </w:r>
      <w:r w:rsidR="00CF2837">
        <w:t>that</w:t>
      </w:r>
      <w:r w:rsidRPr="001875EC">
        <w:t xml:space="preserve"> compar</w:t>
      </w:r>
      <w:r w:rsidR="007E5E75">
        <w:t>ed</w:t>
      </w:r>
      <w:r w:rsidRPr="001875EC">
        <w:t xml:space="preserve"> </w:t>
      </w:r>
      <w:proofErr w:type="spellStart"/>
      <w:r w:rsidRPr="001875EC">
        <w:t>sorafenib</w:t>
      </w:r>
      <w:proofErr w:type="spellEnd"/>
      <w:r w:rsidRPr="001875EC">
        <w:t xml:space="preserve"> to placebo </w:t>
      </w:r>
      <w:r w:rsidR="00C009C9" w:rsidRPr="001875EC">
        <w:t>plus BSC</w:t>
      </w:r>
      <w:r w:rsidRPr="001875EC">
        <w:t>.</w:t>
      </w:r>
    </w:p>
    <w:p w:rsidR="00C0077F" w:rsidRPr="001875EC" w:rsidRDefault="00C0077F" w:rsidP="0001306F"/>
    <w:p w:rsidR="00C0077F" w:rsidRPr="001875EC" w:rsidRDefault="00C0077F" w:rsidP="0001306F">
      <w:pPr>
        <w:pStyle w:val="ListParagraph"/>
        <w:widowControl/>
        <w:numPr>
          <w:ilvl w:val="1"/>
          <w:numId w:val="1"/>
        </w:numPr>
        <w:rPr>
          <w:szCs w:val="22"/>
        </w:rPr>
      </w:pPr>
      <w:r w:rsidRPr="001875EC">
        <w:rPr>
          <w:szCs w:val="22"/>
        </w:rPr>
        <w:t xml:space="preserve">Details of the </w:t>
      </w:r>
      <w:r w:rsidR="007E5E75">
        <w:rPr>
          <w:szCs w:val="22"/>
        </w:rPr>
        <w:t xml:space="preserve">DECISION </w:t>
      </w:r>
      <w:r w:rsidRPr="001875EC">
        <w:rPr>
          <w:szCs w:val="22"/>
        </w:rPr>
        <w:t>trial are pr</w:t>
      </w:r>
      <w:r w:rsidR="000F7AC2">
        <w:rPr>
          <w:szCs w:val="22"/>
        </w:rPr>
        <w:t xml:space="preserve">esented </w:t>
      </w:r>
      <w:r w:rsidRPr="001875EC">
        <w:rPr>
          <w:szCs w:val="22"/>
        </w:rPr>
        <w:t xml:space="preserve">in </w:t>
      </w:r>
      <w:r w:rsidR="007803BD" w:rsidRPr="001875EC">
        <w:rPr>
          <w:szCs w:val="22"/>
        </w:rPr>
        <w:t>T</w:t>
      </w:r>
      <w:r w:rsidRPr="001875EC">
        <w:rPr>
          <w:szCs w:val="22"/>
        </w:rPr>
        <w:t>able</w:t>
      </w:r>
      <w:r w:rsidR="000F7AC2">
        <w:rPr>
          <w:szCs w:val="22"/>
        </w:rPr>
        <w:t>s</w:t>
      </w:r>
      <w:r w:rsidRPr="001875EC">
        <w:rPr>
          <w:szCs w:val="22"/>
        </w:rPr>
        <w:t xml:space="preserve"> </w:t>
      </w:r>
      <w:r w:rsidR="007803BD" w:rsidRPr="001875EC">
        <w:rPr>
          <w:szCs w:val="22"/>
        </w:rPr>
        <w:t>1</w:t>
      </w:r>
      <w:r w:rsidR="000F7AC2">
        <w:rPr>
          <w:szCs w:val="22"/>
        </w:rPr>
        <w:t xml:space="preserve"> and 2</w:t>
      </w:r>
      <w:r w:rsidRPr="001875EC">
        <w:rPr>
          <w:szCs w:val="22"/>
        </w:rPr>
        <w:t>.</w:t>
      </w:r>
    </w:p>
    <w:p w:rsidR="007803BD" w:rsidRPr="001875EC" w:rsidRDefault="007803BD" w:rsidP="00925433">
      <w:pPr>
        <w:pStyle w:val="ListParagraph"/>
        <w:widowControl/>
        <w:ind w:left="709"/>
        <w:rPr>
          <w:rStyle w:val="CommentReference"/>
          <w:bCs/>
        </w:rPr>
      </w:pPr>
    </w:p>
    <w:p w:rsidR="00FE17B7" w:rsidRPr="001875EC" w:rsidRDefault="00FE17B7" w:rsidP="00F8582E">
      <w:pPr>
        <w:pStyle w:val="Caption"/>
        <w:keepNext/>
        <w:spacing w:after="0"/>
        <w:ind w:left="709"/>
        <w:rPr>
          <w:rStyle w:val="CommentReference"/>
          <w:b/>
          <w:color w:val="auto"/>
        </w:rPr>
      </w:pPr>
      <w:r w:rsidRPr="001875EC">
        <w:rPr>
          <w:rStyle w:val="CommentReference"/>
          <w:b/>
          <w:color w:val="auto"/>
        </w:rPr>
        <w:t>Key trial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Key trial presented in the submission"/>
      </w:tblPr>
      <w:tblGrid>
        <w:gridCol w:w="1418"/>
        <w:gridCol w:w="4535"/>
        <w:gridCol w:w="2411"/>
      </w:tblGrid>
      <w:tr w:rsidR="00C0077F" w:rsidRPr="001875EC" w:rsidTr="00F8582E">
        <w:tc>
          <w:tcPr>
            <w:tcW w:w="848" w:type="pct"/>
          </w:tcPr>
          <w:p w:rsidR="00C0077F" w:rsidRPr="001875EC" w:rsidRDefault="00C0077F" w:rsidP="00C0077F">
            <w:pPr>
              <w:jc w:val="left"/>
              <w:rPr>
                <w:rFonts w:ascii="Arial Narrow" w:hAnsi="Arial Narrow"/>
                <w:b/>
                <w:sz w:val="20"/>
              </w:rPr>
            </w:pPr>
            <w:r w:rsidRPr="001875EC">
              <w:rPr>
                <w:rFonts w:ascii="Arial Narrow" w:hAnsi="Arial Narrow"/>
                <w:b/>
                <w:sz w:val="20"/>
              </w:rPr>
              <w:t>Trial ID</w:t>
            </w:r>
          </w:p>
        </w:tc>
        <w:tc>
          <w:tcPr>
            <w:tcW w:w="2711" w:type="pct"/>
          </w:tcPr>
          <w:p w:rsidR="00C0077F" w:rsidRPr="001875EC" w:rsidRDefault="00C0077F" w:rsidP="00C0077F">
            <w:pPr>
              <w:jc w:val="center"/>
              <w:rPr>
                <w:rFonts w:ascii="Arial Narrow" w:hAnsi="Arial Narrow"/>
                <w:b/>
                <w:sz w:val="20"/>
              </w:rPr>
            </w:pPr>
            <w:r w:rsidRPr="001875EC">
              <w:rPr>
                <w:rFonts w:ascii="Arial Narrow" w:hAnsi="Arial Narrow"/>
                <w:b/>
                <w:sz w:val="20"/>
              </w:rPr>
              <w:t>Protocol title/ Publication title</w:t>
            </w:r>
          </w:p>
        </w:tc>
        <w:tc>
          <w:tcPr>
            <w:tcW w:w="1441" w:type="pct"/>
          </w:tcPr>
          <w:p w:rsidR="00C0077F" w:rsidRPr="001875EC" w:rsidRDefault="00C0077F" w:rsidP="00C0077F">
            <w:pPr>
              <w:jc w:val="center"/>
              <w:rPr>
                <w:rFonts w:ascii="Arial Narrow" w:hAnsi="Arial Narrow"/>
                <w:b/>
                <w:sz w:val="20"/>
              </w:rPr>
            </w:pPr>
            <w:r w:rsidRPr="001875EC">
              <w:rPr>
                <w:rFonts w:ascii="Arial Narrow" w:hAnsi="Arial Narrow"/>
                <w:b/>
                <w:sz w:val="20"/>
              </w:rPr>
              <w:t>Publication citation</w:t>
            </w:r>
          </w:p>
        </w:tc>
      </w:tr>
      <w:tr w:rsidR="00C0077F" w:rsidRPr="001875EC" w:rsidTr="00F8582E">
        <w:tc>
          <w:tcPr>
            <w:tcW w:w="5000" w:type="pct"/>
            <w:gridSpan w:val="3"/>
          </w:tcPr>
          <w:p w:rsidR="00C0077F" w:rsidRPr="001875EC" w:rsidRDefault="00C0077F" w:rsidP="00C0077F">
            <w:pPr>
              <w:jc w:val="left"/>
              <w:rPr>
                <w:rFonts w:ascii="Arial Narrow" w:hAnsi="Arial Narrow"/>
                <w:b/>
                <w:sz w:val="20"/>
              </w:rPr>
            </w:pPr>
            <w:r w:rsidRPr="001875EC">
              <w:rPr>
                <w:rFonts w:ascii="Arial Narrow" w:hAnsi="Arial Narrow"/>
                <w:b/>
                <w:sz w:val="20"/>
              </w:rPr>
              <w:t>Direct randomised trial</w:t>
            </w:r>
          </w:p>
        </w:tc>
      </w:tr>
      <w:tr w:rsidR="00C0077F" w:rsidRPr="001875EC" w:rsidTr="00F8582E">
        <w:tc>
          <w:tcPr>
            <w:tcW w:w="848" w:type="pct"/>
            <w:vMerge w:val="restart"/>
            <w:vAlign w:val="center"/>
          </w:tcPr>
          <w:p w:rsidR="00C0077F" w:rsidRPr="001875EC" w:rsidRDefault="00C0077F" w:rsidP="00C0077F">
            <w:pPr>
              <w:jc w:val="left"/>
              <w:rPr>
                <w:rFonts w:ascii="Arial Narrow" w:hAnsi="Arial Narrow"/>
                <w:sz w:val="20"/>
              </w:rPr>
            </w:pPr>
            <w:r w:rsidRPr="001875EC">
              <w:rPr>
                <w:rFonts w:ascii="Arial Narrow" w:hAnsi="Arial Narrow"/>
                <w:sz w:val="20"/>
              </w:rPr>
              <w:t>DECISION</w:t>
            </w:r>
          </w:p>
        </w:tc>
        <w:tc>
          <w:tcPr>
            <w:tcW w:w="2711" w:type="pct"/>
            <w:vAlign w:val="center"/>
          </w:tcPr>
          <w:p w:rsidR="00C0077F" w:rsidRPr="001875EC" w:rsidRDefault="00C0077F" w:rsidP="00C0077F">
            <w:pPr>
              <w:jc w:val="left"/>
              <w:rPr>
                <w:rFonts w:ascii="Arial Narrow" w:hAnsi="Arial Narrow"/>
                <w:b/>
                <w:sz w:val="20"/>
              </w:rPr>
            </w:pPr>
            <w:r w:rsidRPr="001875EC">
              <w:rPr>
                <w:rFonts w:ascii="Arial Narrow" w:hAnsi="Arial Narrow"/>
                <w:sz w:val="20"/>
              </w:rPr>
              <w:t xml:space="preserve">Clinical Study Report No. A57578.  A double-blind, randomized, </w:t>
            </w:r>
            <w:proofErr w:type="gramStart"/>
            <w:r w:rsidRPr="001875EC">
              <w:rPr>
                <w:rFonts w:ascii="Arial Narrow" w:hAnsi="Arial Narrow"/>
                <w:sz w:val="20"/>
              </w:rPr>
              <w:t>phase</w:t>
            </w:r>
            <w:proofErr w:type="gramEnd"/>
            <w:r w:rsidRPr="001875EC">
              <w:rPr>
                <w:rFonts w:ascii="Arial Narrow" w:hAnsi="Arial Narrow"/>
                <w:sz w:val="20"/>
              </w:rPr>
              <w:t xml:space="preserve"> III trial evaluating the efficacy and safety of </w:t>
            </w:r>
            <w:proofErr w:type="spellStart"/>
            <w:r w:rsidRPr="001875EC">
              <w:rPr>
                <w:rFonts w:ascii="Arial Narrow" w:hAnsi="Arial Narrow"/>
                <w:sz w:val="20"/>
              </w:rPr>
              <w:t>sorafenib</w:t>
            </w:r>
            <w:proofErr w:type="spellEnd"/>
            <w:r w:rsidRPr="001875EC">
              <w:rPr>
                <w:rFonts w:ascii="Arial Narrow" w:hAnsi="Arial Narrow"/>
                <w:sz w:val="20"/>
              </w:rPr>
              <w:t xml:space="preserve"> compared to placebo in patients with locally advanced/ metastatic RAI-refractory, differentiated thyroid cancer. May 2013</w:t>
            </w:r>
          </w:p>
        </w:tc>
        <w:tc>
          <w:tcPr>
            <w:tcW w:w="1441" w:type="pct"/>
            <w:vAlign w:val="center"/>
          </w:tcPr>
          <w:p w:rsidR="00C0077F" w:rsidRPr="001875EC" w:rsidRDefault="00C0077F" w:rsidP="00C0077F">
            <w:pPr>
              <w:jc w:val="left"/>
              <w:rPr>
                <w:rFonts w:ascii="Arial Narrow" w:hAnsi="Arial Narrow"/>
                <w:sz w:val="20"/>
              </w:rPr>
            </w:pPr>
            <w:r w:rsidRPr="001875EC">
              <w:rPr>
                <w:rFonts w:ascii="Arial Narrow" w:hAnsi="Arial Narrow"/>
                <w:sz w:val="20"/>
              </w:rPr>
              <w:t>Year: 2013</w:t>
            </w:r>
          </w:p>
          <w:p w:rsidR="00C0077F" w:rsidRPr="001875EC" w:rsidRDefault="00C0077F" w:rsidP="00C0077F">
            <w:pPr>
              <w:jc w:val="left"/>
              <w:rPr>
                <w:rFonts w:ascii="Arial Narrow" w:hAnsi="Arial Narrow"/>
                <w:sz w:val="20"/>
              </w:rPr>
            </w:pPr>
            <w:r w:rsidRPr="001875EC">
              <w:rPr>
                <w:rFonts w:ascii="Arial Narrow" w:hAnsi="Arial Narrow"/>
                <w:sz w:val="20"/>
              </w:rPr>
              <w:t>14295 Clinical study report</w:t>
            </w:r>
          </w:p>
          <w:p w:rsidR="00C0077F" w:rsidRPr="001875EC" w:rsidRDefault="00C0077F" w:rsidP="00C0077F">
            <w:pPr>
              <w:pStyle w:val="TableText0"/>
            </w:pPr>
            <w:r w:rsidRPr="001875EC">
              <w:t>NCT00984282 in clinicaltrials.gov</w:t>
            </w:r>
          </w:p>
          <w:p w:rsidR="00C0077F" w:rsidRPr="001875EC" w:rsidRDefault="00C0077F" w:rsidP="00C0077F">
            <w:pPr>
              <w:jc w:val="left"/>
              <w:rPr>
                <w:rFonts w:ascii="Arial Narrow" w:hAnsi="Arial Narrow"/>
                <w:b/>
                <w:sz w:val="20"/>
              </w:rPr>
            </w:pPr>
          </w:p>
        </w:tc>
      </w:tr>
      <w:tr w:rsidR="00C0077F" w:rsidRPr="001875EC" w:rsidTr="00F8582E">
        <w:tc>
          <w:tcPr>
            <w:tcW w:w="848" w:type="pct"/>
            <w:vMerge/>
            <w:vAlign w:val="center"/>
          </w:tcPr>
          <w:p w:rsidR="00C0077F" w:rsidRPr="001875EC" w:rsidRDefault="00C0077F" w:rsidP="00C0077F">
            <w:pPr>
              <w:jc w:val="left"/>
              <w:rPr>
                <w:rFonts w:ascii="Arial Narrow" w:hAnsi="Arial Narrow"/>
                <w:sz w:val="20"/>
              </w:rPr>
            </w:pPr>
          </w:p>
        </w:tc>
        <w:tc>
          <w:tcPr>
            <w:tcW w:w="2711" w:type="pct"/>
            <w:vAlign w:val="center"/>
          </w:tcPr>
          <w:p w:rsidR="00C0077F" w:rsidRPr="001875EC" w:rsidRDefault="00C0077F" w:rsidP="00C0077F">
            <w:pPr>
              <w:pStyle w:val="TableText0"/>
            </w:pPr>
            <w:r w:rsidRPr="001875EC">
              <w:t xml:space="preserve">Brose MS, Nutting CM, Sherman SI </w:t>
            </w:r>
            <w:r w:rsidRPr="001875EC">
              <w:rPr>
                <w:rStyle w:val="SmallItalics"/>
                <w:i w:val="0"/>
              </w:rPr>
              <w:t>et al</w:t>
            </w:r>
            <w:r w:rsidRPr="001875EC">
              <w:t xml:space="preserve">  </w:t>
            </w:r>
          </w:p>
          <w:p w:rsidR="00C0077F" w:rsidRPr="001875EC" w:rsidRDefault="00C0077F" w:rsidP="00C0077F">
            <w:pPr>
              <w:pStyle w:val="TableText0"/>
            </w:pPr>
            <w:r w:rsidRPr="001875EC">
              <w:t xml:space="preserve">Rationale and design of decision: a double-blind, randomized, placebo-controlled phase III trial evaluating the efficacy and safety of </w:t>
            </w:r>
            <w:proofErr w:type="spellStart"/>
            <w:r w:rsidRPr="001875EC">
              <w:t>sorafenib</w:t>
            </w:r>
            <w:proofErr w:type="spellEnd"/>
            <w:r w:rsidRPr="001875EC">
              <w:t xml:space="preserve"> in patients with locally advanced or metastatic radioactive iodine (RAI)-refractory, differentiated thyroid cancer. </w:t>
            </w:r>
          </w:p>
          <w:p w:rsidR="00C0077F" w:rsidRDefault="00C0077F" w:rsidP="00010609">
            <w:pPr>
              <w:jc w:val="left"/>
              <w:rPr>
                <w:rFonts w:ascii="Arial Narrow" w:hAnsi="Arial Narrow"/>
                <w:i/>
                <w:sz w:val="20"/>
              </w:rPr>
            </w:pPr>
            <w:r w:rsidRPr="00010609">
              <w:rPr>
                <w:rFonts w:ascii="Arial Narrow" w:hAnsi="Arial Narrow"/>
                <w:sz w:val="20"/>
              </w:rPr>
              <w:t xml:space="preserve">Note: this publication is for the protocol for DECISION.  One abstract of the results presented at ASCO has been identified; however </w:t>
            </w:r>
            <w:r w:rsidR="000F7AC2">
              <w:rPr>
                <w:rFonts w:ascii="Arial Narrow" w:hAnsi="Arial Narrow"/>
                <w:sz w:val="20"/>
              </w:rPr>
              <w:t>a</w:t>
            </w:r>
            <w:r w:rsidRPr="00010609">
              <w:rPr>
                <w:rFonts w:ascii="Arial Narrow" w:hAnsi="Arial Narrow"/>
                <w:sz w:val="20"/>
              </w:rPr>
              <w:t xml:space="preserve"> peer reviewed publication</w:t>
            </w:r>
            <w:r w:rsidR="00010609">
              <w:rPr>
                <w:rFonts w:ascii="Arial Narrow" w:hAnsi="Arial Narrow"/>
                <w:sz w:val="20"/>
              </w:rPr>
              <w:t xml:space="preserve"> </w:t>
            </w:r>
            <w:r w:rsidR="00010609" w:rsidRPr="00010609">
              <w:rPr>
                <w:rFonts w:ascii="Arial Narrow" w:hAnsi="Arial Narrow"/>
                <w:i/>
                <w:sz w:val="20"/>
              </w:rPr>
              <w:t>was</w:t>
            </w:r>
            <w:r w:rsidR="000F7AC2">
              <w:rPr>
                <w:rFonts w:ascii="Arial Narrow" w:hAnsi="Arial Narrow"/>
                <w:i/>
                <w:sz w:val="20"/>
              </w:rPr>
              <w:t xml:space="preserve"> neither</w:t>
            </w:r>
            <w:r w:rsidR="00010609" w:rsidRPr="00010609">
              <w:rPr>
                <w:rFonts w:ascii="Arial Narrow" w:hAnsi="Arial Narrow"/>
                <w:i/>
                <w:sz w:val="20"/>
              </w:rPr>
              <w:t xml:space="preserve"> presented in the submission </w:t>
            </w:r>
            <w:r w:rsidR="000F7AC2">
              <w:rPr>
                <w:rFonts w:ascii="Arial Narrow" w:hAnsi="Arial Narrow"/>
                <w:i/>
                <w:sz w:val="20"/>
              </w:rPr>
              <w:t>n</w:t>
            </w:r>
            <w:r w:rsidR="00010609" w:rsidRPr="00010609">
              <w:rPr>
                <w:rFonts w:ascii="Arial Narrow" w:hAnsi="Arial Narrow"/>
                <w:i/>
                <w:sz w:val="20"/>
              </w:rPr>
              <w:t>or available at the time that the commentary was prepared</w:t>
            </w:r>
            <w:r w:rsidRPr="00010609">
              <w:rPr>
                <w:rFonts w:ascii="Arial Narrow" w:hAnsi="Arial Narrow"/>
                <w:sz w:val="20"/>
              </w:rPr>
              <w:t>.</w:t>
            </w:r>
            <w:r w:rsidR="00010609">
              <w:rPr>
                <w:rFonts w:ascii="Arial Narrow" w:hAnsi="Arial Narrow"/>
                <w:sz w:val="20"/>
              </w:rPr>
              <w:t xml:space="preserve"> </w:t>
            </w:r>
          </w:p>
          <w:p w:rsidR="000F7AC2" w:rsidRDefault="000F7AC2" w:rsidP="00010609">
            <w:pPr>
              <w:jc w:val="left"/>
              <w:rPr>
                <w:rFonts w:ascii="Arial Narrow" w:hAnsi="Arial Narrow"/>
                <w:i/>
                <w:sz w:val="20"/>
              </w:rPr>
            </w:pPr>
          </w:p>
          <w:p w:rsidR="00010609" w:rsidRDefault="000F7AC2" w:rsidP="00010609">
            <w:pPr>
              <w:jc w:val="left"/>
              <w:rPr>
                <w:rFonts w:ascii="Arial Narrow" w:hAnsi="Arial Narrow"/>
                <w:i/>
                <w:sz w:val="20"/>
              </w:rPr>
            </w:pPr>
            <w:r>
              <w:rPr>
                <w:rFonts w:ascii="Arial Narrow" w:hAnsi="Arial Narrow"/>
                <w:i/>
                <w:sz w:val="20"/>
              </w:rPr>
              <w:t>However, a peer reviewed publication of the DECISION trial was</w:t>
            </w:r>
            <w:r w:rsidR="00010609">
              <w:rPr>
                <w:rFonts w:ascii="Arial Narrow" w:hAnsi="Arial Narrow"/>
                <w:i/>
                <w:sz w:val="20"/>
              </w:rPr>
              <w:t xml:space="preserve"> available</w:t>
            </w:r>
            <w:r>
              <w:rPr>
                <w:rFonts w:ascii="Arial Narrow" w:hAnsi="Arial Narrow"/>
                <w:i/>
                <w:sz w:val="20"/>
              </w:rPr>
              <w:t xml:space="preserve"> at the time of the ESC meeting</w:t>
            </w:r>
            <w:r w:rsidR="00010609">
              <w:rPr>
                <w:rFonts w:ascii="Arial Narrow" w:hAnsi="Arial Narrow"/>
                <w:i/>
                <w:sz w:val="20"/>
              </w:rPr>
              <w:t>:</w:t>
            </w:r>
          </w:p>
          <w:p w:rsidR="00010609" w:rsidRPr="00010609" w:rsidRDefault="00010609" w:rsidP="00251BFD">
            <w:pPr>
              <w:jc w:val="left"/>
              <w:rPr>
                <w:rFonts w:ascii="Arial Narrow" w:hAnsi="Arial Narrow"/>
                <w:i/>
                <w:sz w:val="20"/>
              </w:rPr>
            </w:pPr>
            <w:r>
              <w:t xml:space="preserve"> </w:t>
            </w:r>
            <w:r w:rsidRPr="00010609">
              <w:rPr>
                <w:rFonts w:ascii="Arial Narrow" w:hAnsi="Arial Narrow"/>
                <w:i/>
                <w:sz w:val="20"/>
              </w:rPr>
              <w:t xml:space="preserve">Brose M, et al. </w:t>
            </w:r>
            <w:proofErr w:type="spellStart"/>
            <w:r w:rsidRPr="00010609">
              <w:rPr>
                <w:rFonts w:ascii="Arial Narrow" w:hAnsi="Arial Narrow"/>
                <w:i/>
                <w:sz w:val="20"/>
              </w:rPr>
              <w:t>Sorafenib</w:t>
            </w:r>
            <w:proofErr w:type="spellEnd"/>
            <w:r w:rsidRPr="00010609">
              <w:rPr>
                <w:rFonts w:ascii="Arial Narrow" w:hAnsi="Arial Narrow"/>
                <w:i/>
                <w:sz w:val="20"/>
              </w:rPr>
              <w:t xml:space="preserve"> in radioactive iodine-refractory, locally advanced or metastatic differentiated thyroid cancer: a randomised, double-blind, phase 3 trial 2014. </w:t>
            </w:r>
          </w:p>
        </w:tc>
        <w:tc>
          <w:tcPr>
            <w:tcW w:w="1441" w:type="pct"/>
            <w:vAlign w:val="center"/>
          </w:tcPr>
          <w:p w:rsidR="00C0077F" w:rsidRPr="001875EC" w:rsidRDefault="00C0077F" w:rsidP="00C0077F">
            <w:pPr>
              <w:jc w:val="left"/>
              <w:rPr>
                <w:rFonts w:ascii="Arial Narrow" w:hAnsi="Arial Narrow"/>
                <w:sz w:val="20"/>
              </w:rPr>
            </w:pPr>
            <w:r w:rsidRPr="001875EC">
              <w:rPr>
                <w:rFonts w:ascii="Arial Narrow" w:hAnsi="Arial Narrow"/>
                <w:sz w:val="20"/>
              </w:rPr>
              <w:t>Year: 2011</w:t>
            </w:r>
          </w:p>
          <w:p w:rsidR="00C0077F" w:rsidRDefault="00C0077F" w:rsidP="00C0077F">
            <w:pPr>
              <w:jc w:val="left"/>
              <w:rPr>
                <w:rFonts w:ascii="Arial Narrow" w:hAnsi="Arial Narrow"/>
                <w:sz w:val="20"/>
              </w:rPr>
            </w:pPr>
            <w:r w:rsidRPr="001875EC">
              <w:rPr>
                <w:rFonts w:ascii="Arial Narrow" w:hAnsi="Arial Narrow"/>
                <w:sz w:val="20"/>
              </w:rPr>
              <w:t>BMC Cancer. 2011 Aug 11</w:t>
            </w:r>
            <w:proofErr w:type="gramStart"/>
            <w:r w:rsidRPr="001875EC">
              <w:rPr>
                <w:rFonts w:ascii="Arial Narrow" w:hAnsi="Arial Narrow"/>
                <w:sz w:val="20"/>
              </w:rPr>
              <w:t>;11:349</w:t>
            </w:r>
            <w:proofErr w:type="gramEnd"/>
            <w:r w:rsidRPr="001875EC">
              <w:rPr>
                <w:rFonts w:ascii="Arial Narrow" w:hAnsi="Arial Narrow"/>
                <w:sz w:val="20"/>
              </w:rPr>
              <w:t>.</w:t>
            </w:r>
            <w:bookmarkStart w:id="12" w:name="_GoBack"/>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p w:rsidR="00010609" w:rsidRDefault="00010609" w:rsidP="00C0077F">
            <w:pPr>
              <w:jc w:val="left"/>
              <w:rPr>
                <w:rFonts w:ascii="Arial Narrow" w:hAnsi="Arial Narrow"/>
                <w:sz w:val="20"/>
              </w:rPr>
            </w:pPr>
          </w:p>
          <w:bookmarkEnd w:id="12"/>
          <w:p w:rsidR="00010609" w:rsidRPr="00010609" w:rsidRDefault="00010609" w:rsidP="00C0077F">
            <w:pPr>
              <w:jc w:val="left"/>
              <w:rPr>
                <w:rFonts w:ascii="Arial Narrow" w:hAnsi="Arial Narrow"/>
                <w:sz w:val="20"/>
              </w:rPr>
            </w:pPr>
            <w:r w:rsidRPr="00010609">
              <w:rPr>
                <w:rFonts w:ascii="Arial Narrow" w:hAnsi="Arial Narrow"/>
                <w:sz w:val="20"/>
              </w:rPr>
              <w:t>Year: 2014</w:t>
            </w:r>
          </w:p>
          <w:p w:rsidR="00010609" w:rsidRPr="001875EC" w:rsidRDefault="00010609" w:rsidP="00C0077F">
            <w:pPr>
              <w:jc w:val="left"/>
              <w:rPr>
                <w:rFonts w:ascii="Arial Narrow" w:hAnsi="Arial Narrow"/>
                <w:b/>
                <w:sz w:val="20"/>
              </w:rPr>
            </w:pPr>
            <w:r w:rsidRPr="00010609">
              <w:rPr>
                <w:rFonts w:ascii="Arial Narrow" w:hAnsi="Arial Narrow"/>
                <w:sz w:val="20"/>
              </w:rPr>
              <w:t>The Lancet, Early Online Publication, 24 April 2014</w:t>
            </w:r>
          </w:p>
        </w:tc>
      </w:tr>
    </w:tbl>
    <w:p w:rsidR="00C0077F" w:rsidRPr="001875EC" w:rsidRDefault="00C0077F" w:rsidP="00F8582E">
      <w:pPr>
        <w:pStyle w:val="TableFooter"/>
        <w:ind w:left="709"/>
      </w:pPr>
      <w:r w:rsidRPr="001875EC">
        <w:t>Source: Table 14, p41 of the submission</w:t>
      </w:r>
    </w:p>
    <w:p w:rsidR="00C0077F" w:rsidRPr="001875EC" w:rsidRDefault="00C0077F" w:rsidP="00C0077F">
      <w:pPr>
        <w:widowControl/>
        <w:rPr>
          <w:szCs w:val="22"/>
        </w:rPr>
      </w:pPr>
    </w:p>
    <w:p w:rsidR="00FE17B7" w:rsidRPr="001875EC" w:rsidRDefault="00FE17B7" w:rsidP="003C14EE">
      <w:pPr>
        <w:pStyle w:val="Caption"/>
        <w:keepNext/>
        <w:spacing w:after="0"/>
        <w:ind w:left="709"/>
        <w:rPr>
          <w:rStyle w:val="CommentReference"/>
          <w:b/>
          <w:color w:val="auto"/>
        </w:rPr>
      </w:pPr>
      <w:r w:rsidRPr="001875EC">
        <w:rPr>
          <w:rStyle w:val="CommentReference"/>
          <w:b/>
          <w:color w:val="auto"/>
        </w:rPr>
        <w:t>Key features of the included evidence</w:t>
      </w:r>
    </w:p>
    <w:tbl>
      <w:tblPr>
        <w:tblW w:w="456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851"/>
        <w:gridCol w:w="707"/>
        <w:gridCol w:w="1278"/>
        <w:gridCol w:w="1148"/>
        <w:gridCol w:w="1825"/>
        <w:gridCol w:w="1055"/>
        <w:gridCol w:w="1432"/>
      </w:tblGrid>
      <w:tr w:rsidR="00F8582E" w:rsidRPr="001875EC" w:rsidTr="00F8582E">
        <w:tc>
          <w:tcPr>
            <w:tcW w:w="513" w:type="pct"/>
            <w:shd w:val="clear" w:color="auto" w:fill="auto"/>
            <w:vAlign w:val="center"/>
          </w:tcPr>
          <w:p w:rsidR="00C0077F" w:rsidRPr="001875EC" w:rsidRDefault="00C0077F" w:rsidP="00C0077F">
            <w:pPr>
              <w:jc w:val="left"/>
              <w:rPr>
                <w:rFonts w:ascii="Arial Narrow" w:hAnsi="Arial Narrow"/>
                <w:b/>
                <w:sz w:val="20"/>
                <w:lang w:val="en-US"/>
              </w:rPr>
            </w:pPr>
            <w:r w:rsidRPr="001875EC">
              <w:rPr>
                <w:rFonts w:ascii="Arial Narrow" w:hAnsi="Arial Narrow"/>
                <w:b/>
                <w:sz w:val="20"/>
                <w:lang w:val="en-US"/>
              </w:rPr>
              <w:t>Trial</w:t>
            </w:r>
          </w:p>
        </w:tc>
        <w:tc>
          <w:tcPr>
            <w:tcW w:w="426" w:type="pct"/>
            <w:shd w:val="clear" w:color="auto" w:fill="auto"/>
            <w:vAlign w:val="center"/>
          </w:tcPr>
          <w:p w:rsidR="00C0077F" w:rsidRPr="001875EC" w:rsidRDefault="00C0077F" w:rsidP="00C0077F">
            <w:pPr>
              <w:jc w:val="center"/>
              <w:rPr>
                <w:rFonts w:ascii="Arial Narrow" w:hAnsi="Arial Narrow"/>
                <w:b/>
                <w:sz w:val="20"/>
                <w:lang w:val="en-US"/>
              </w:rPr>
            </w:pPr>
            <w:r w:rsidRPr="001875EC">
              <w:rPr>
                <w:rFonts w:ascii="Arial Narrow" w:hAnsi="Arial Narrow"/>
                <w:b/>
                <w:sz w:val="20"/>
                <w:lang w:val="en-US"/>
              </w:rPr>
              <w:t>N</w:t>
            </w:r>
          </w:p>
        </w:tc>
        <w:tc>
          <w:tcPr>
            <w:tcW w:w="770" w:type="pct"/>
            <w:shd w:val="clear" w:color="auto" w:fill="auto"/>
            <w:vAlign w:val="center"/>
          </w:tcPr>
          <w:p w:rsidR="00C0077F" w:rsidRPr="001875EC" w:rsidRDefault="00C0077F" w:rsidP="00C0077F">
            <w:pPr>
              <w:jc w:val="center"/>
              <w:rPr>
                <w:rFonts w:ascii="Arial Narrow" w:hAnsi="Arial Narrow"/>
                <w:b/>
                <w:sz w:val="20"/>
                <w:lang w:val="en-US"/>
              </w:rPr>
            </w:pPr>
            <w:r w:rsidRPr="001875EC">
              <w:rPr>
                <w:rFonts w:ascii="Arial Narrow" w:hAnsi="Arial Narrow"/>
                <w:b/>
                <w:sz w:val="20"/>
                <w:lang w:val="en-US"/>
              </w:rPr>
              <w:t xml:space="preserve">Design/ </w:t>
            </w:r>
            <w:proofErr w:type="spellStart"/>
            <w:r w:rsidRPr="001875EC">
              <w:rPr>
                <w:rFonts w:ascii="Arial Narrow" w:hAnsi="Arial Narrow"/>
                <w:b/>
                <w:sz w:val="20"/>
                <w:lang w:val="en-US"/>
              </w:rPr>
              <w:t>duration</w:t>
            </w:r>
            <w:r w:rsidRPr="001875EC">
              <w:rPr>
                <w:rFonts w:ascii="Arial Narrow" w:hAnsi="Arial Narrow"/>
                <w:b/>
                <w:sz w:val="20"/>
                <w:vertAlign w:val="superscript"/>
                <w:lang w:val="en-US"/>
              </w:rPr>
              <w:t>a</w:t>
            </w:r>
            <w:proofErr w:type="spellEnd"/>
          </w:p>
        </w:tc>
        <w:tc>
          <w:tcPr>
            <w:tcW w:w="692" w:type="pct"/>
            <w:shd w:val="clear" w:color="auto" w:fill="auto"/>
            <w:vAlign w:val="center"/>
          </w:tcPr>
          <w:p w:rsidR="00C0077F" w:rsidRPr="001875EC" w:rsidRDefault="00C0077F" w:rsidP="00C0077F">
            <w:pPr>
              <w:jc w:val="center"/>
              <w:rPr>
                <w:rFonts w:ascii="Arial Narrow" w:hAnsi="Arial Narrow"/>
                <w:b/>
                <w:sz w:val="20"/>
                <w:lang w:val="en-US"/>
              </w:rPr>
            </w:pPr>
            <w:r w:rsidRPr="001875EC">
              <w:rPr>
                <w:rFonts w:ascii="Arial Narrow" w:hAnsi="Arial Narrow"/>
                <w:b/>
                <w:sz w:val="20"/>
                <w:lang w:val="en-US"/>
              </w:rPr>
              <w:t>Risk of bias</w:t>
            </w:r>
          </w:p>
        </w:tc>
        <w:tc>
          <w:tcPr>
            <w:tcW w:w="1100" w:type="pct"/>
            <w:shd w:val="clear" w:color="auto" w:fill="auto"/>
            <w:vAlign w:val="center"/>
          </w:tcPr>
          <w:p w:rsidR="00C0077F" w:rsidRPr="001875EC" w:rsidRDefault="00C0077F" w:rsidP="00C0077F">
            <w:pPr>
              <w:jc w:val="center"/>
              <w:rPr>
                <w:rFonts w:ascii="Arial Narrow" w:hAnsi="Arial Narrow"/>
                <w:b/>
                <w:sz w:val="20"/>
                <w:lang w:val="en-US"/>
              </w:rPr>
            </w:pPr>
            <w:r w:rsidRPr="001875EC">
              <w:rPr>
                <w:rFonts w:ascii="Arial Narrow" w:hAnsi="Arial Narrow"/>
                <w:b/>
                <w:sz w:val="20"/>
                <w:lang w:val="en-US"/>
              </w:rPr>
              <w:t>Patient population</w:t>
            </w:r>
          </w:p>
        </w:tc>
        <w:tc>
          <w:tcPr>
            <w:tcW w:w="636" w:type="pct"/>
            <w:shd w:val="clear" w:color="auto" w:fill="auto"/>
            <w:vAlign w:val="center"/>
          </w:tcPr>
          <w:p w:rsidR="00C0077F" w:rsidRPr="001875EC" w:rsidRDefault="00C0077F" w:rsidP="00C0077F">
            <w:pPr>
              <w:jc w:val="center"/>
              <w:rPr>
                <w:rFonts w:ascii="Arial Narrow" w:hAnsi="Arial Narrow"/>
                <w:b/>
                <w:sz w:val="20"/>
                <w:lang w:val="en-US"/>
              </w:rPr>
            </w:pPr>
            <w:r w:rsidRPr="001875EC">
              <w:rPr>
                <w:rFonts w:ascii="Arial Narrow" w:hAnsi="Arial Narrow"/>
                <w:b/>
                <w:sz w:val="20"/>
                <w:lang w:val="en-US"/>
              </w:rPr>
              <w:t>Outcomes</w:t>
            </w:r>
          </w:p>
        </w:tc>
        <w:tc>
          <w:tcPr>
            <w:tcW w:w="864" w:type="pct"/>
            <w:shd w:val="clear" w:color="auto" w:fill="auto"/>
            <w:vAlign w:val="center"/>
          </w:tcPr>
          <w:p w:rsidR="00C0077F" w:rsidRPr="001875EC" w:rsidRDefault="00C0077F" w:rsidP="00C0077F">
            <w:pPr>
              <w:jc w:val="center"/>
              <w:rPr>
                <w:rFonts w:ascii="Arial Narrow" w:hAnsi="Arial Narrow"/>
                <w:b/>
                <w:sz w:val="20"/>
                <w:lang w:val="en-US"/>
              </w:rPr>
            </w:pPr>
            <w:r w:rsidRPr="001875EC">
              <w:rPr>
                <w:rFonts w:ascii="Arial Narrow" w:hAnsi="Arial Narrow"/>
                <w:b/>
                <w:sz w:val="20"/>
                <w:lang w:val="en-US"/>
              </w:rPr>
              <w:t>Use in modelled evaluation</w:t>
            </w:r>
          </w:p>
        </w:tc>
      </w:tr>
      <w:tr w:rsidR="00C0077F" w:rsidRPr="001875EC" w:rsidTr="00F8582E">
        <w:tc>
          <w:tcPr>
            <w:tcW w:w="5000" w:type="pct"/>
            <w:gridSpan w:val="7"/>
            <w:shd w:val="clear" w:color="auto" w:fill="auto"/>
            <w:vAlign w:val="center"/>
          </w:tcPr>
          <w:p w:rsidR="00C0077F" w:rsidRPr="001875EC" w:rsidRDefault="00C0077F" w:rsidP="00C0077F">
            <w:pPr>
              <w:jc w:val="left"/>
              <w:rPr>
                <w:rFonts w:ascii="Arial Narrow" w:hAnsi="Arial Narrow"/>
                <w:b/>
                <w:sz w:val="20"/>
                <w:lang w:val="en-US"/>
              </w:rPr>
            </w:pPr>
            <w:proofErr w:type="spellStart"/>
            <w:r w:rsidRPr="001875EC">
              <w:rPr>
                <w:rFonts w:ascii="Arial Narrow" w:hAnsi="Arial Narrow"/>
                <w:b/>
                <w:sz w:val="20"/>
                <w:lang w:val="en-US"/>
              </w:rPr>
              <w:t>Sorafenib</w:t>
            </w:r>
            <w:proofErr w:type="spellEnd"/>
            <w:r w:rsidRPr="001875EC">
              <w:rPr>
                <w:rFonts w:ascii="Arial Narrow" w:hAnsi="Arial Narrow"/>
                <w:b/>
                <w:sz w:val="20"/>
                <w:lang w:val="en-US"/>
              </w:rPr>
              <w:t xml:space="preserve"> versus Placebo</w:t>
            </w:r>
          </w:p>
        </w:tc>
      </w:tr>
      <w:tr w:rsidR="00F8582E" w:rsidRPr="001875EC" w:rsidTr="00F8582E">
        <w:tc>
          <w:tcPr>
            <w:tcW w:w="513" w:type="pct"/>
            <w:shd w:val="clear" w:color="auto" w:fill="auto"/>
            <w:vAlign w:val="center"/>
          </w:tcPr>
          <w:p w:rsidR="00C0077F" w:rsidRPr="001875EC" w:rsidRDefault="00C0077F" w:rsidP="00C0077F">
            <w:pPr>
              <w:jc w:val="left"/>
              <w:rPr>
                <w:rFonts w:ascii="Arial Narrow" w:hAnsi="Arial Narrow"/>
                <w:sz w:val="20"/>
                <w:lang w:val="en-US"/>
              </w:rPr>
            </w:pPr>
            <w:r w:rsidRPr="001875EC">
              <w:rPr>
                <w:rFonts w:ascii="Arial Narrow" w:hAnsi="Arial Narrow"/>
                <w:sz w:val="20"/>
                <w:lang w:val="en-US"/>
              </w:rPr>
              <w:t>DECISION</w:t>
            </w:r>
          </w:p>
        </w:tc>
        <w:tc>
          <w:tcPr>
            <w:tcW w:w="426" w:type="pct"/>
            <w:shd w:val="clear" w:color="auto" w:fill="auto"/>
            <w:vAlign w:val="center"/>
          </w:tcPr>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417</w:t>
            </w:r>
          </w:p>
        </w:tc>
        <w:tc>
          <w:tcPr>
            <w:tcW w:w="770" w:type="pct"/>
            <w:shd w:val="clear" w:color="auto" w:fill="auto"/>
            <w:vAlign w:val="center"/>
          </w:tcPr>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R, DB, MC</w:t>
            </w:r>
          </w:p>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 xml:space="preserve">46.1 </w:t>
            </w:r>
            <w:proofErr w:type="spellStart"/>
            <w:r w:rsidRPr="001875EC">
              <w:rPr>
                <w:rFonts w:ascii="Arial Narrow" w:hAnsi="Arial Narrow"/>
                <w:sz w:val="20"/>
                <w:lang w:val="en-US"/>
              </w:rPr>
              <w:t>weeks</w:t>
            </w:r>
            <w:r w:rsidR="00856546">
              <w:rPr>
                <w:rFonts w:ascii="Arial Narrow" w:hAnsi="Arial Narrow"/>
                <w:sz w:val="20"/>
                <w:vertAlign w:val="superscript"/>
                <w:lang w:val="en-US"/>
              </w:rPr>
              <w:t>a</w:t>
            </w:r>
            <w:proofErr w:type="spellEnd"/>
            <w:r w:rsidRPr="001875EC">
              <w:rPr>
                <w:rFonts w:ascii="Arial Narrow" w:hAnsi="Arial Narrow"/>
                <w:sz w:val="20"/>
                <w:lang w:val="en-US"/>
              </w:rPr>
              <w:t xml:space="preserve"> (</w:t>
            </w:r>
            <w:proofErr w:type="spellStart"/>
            <w:r w:rsidRPr="001875EC">
              <w:rPr>
                <w:rFonts w:ascii="Arial Narrow" w:hAnsi="Arial Narrow"/>
                <w:sz w:val="20"/>
                <w:lang w:val="en-US"/>
              </w:rPr>
              <w:t>sorafenib</w:t>
            </w:r>
            <w:proofErr w:type="spellEnd"/>
            <w:r w:rsidRPr="001875EC">
              <w:rPr>
                <w:rFonts w:ascii="Arial Narrow" w:hAnsi="Arial Narrow"/>
                <w:sz w:val="20"/>
                <w:lang w:val="en-US"/>
              </w:rPr>
              <w:t>)</w:t>
            </w:r>
          </w:p>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28.3 weeks (placebo)</w:t>
            </w:r>
          </w:p>
        </w:tc>
        <w:tc>
          <w:tcPr>
            <w:tcW w:w="692" w:type="pct"/>
            <w:shd w:val="clear" w:color="auto" w:fill="auto"/>
            <w:vAlign w:val="center"/>
          </w:tcPr>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Low</w:t>
            </w:r>
            <w:r w:rsidR="005437A1">
              <w:rPr>
                <w:rFonts w:ascii="Arial Narrow" w:hAnsi="Arial Narrow"/>
                <w:sz w:val="20"/>
                <w:lang w:val="en-US"/>
              </w:rPr>
              <w:t xml:space="preserve"> (PFS)</w:t>
            </w:r>
            <w:r w:rsidRPr="001875EC">
              <w:rPr>
                <w:rFonts w:ascii="Arial Narrow" w:hAnsi="Arial Narrow"/>
                <w:sz w:val="20"/>
                <w:vertAlign w:val="superscript"/>
                <w:lang w:val="en-US"/>
              </w:rPr>
              <w:t>b</w:t>
            </w:r>
          </w:p>
        </w:tc>
        <w:tc>
          <w:tcPr>
            <w:tcW w:w="1100" w:type="pct"/>
            <w:shd w:val="clear" w:color="auto" w:fill="auto"/>
            <w:vAlign w:val="center"/>
          </w:tcPr>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Progressed, radioactive iodine refractory</w:t>
            </w:r>
          </w:p>
        </w:tc>
        <w:tc>
          <w:tcPr>
            <w:tcW w:w="636" w:type="pct"/>
            <w:shd w:val="clear" w:color="auto" w:fill="auto"/>
            <w:vAlign w:val="center"/>
          </w:tcPr>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PFS, OS</w:t>
            </w:r>
          </w:p>
        </w:tc>
        <w:tc>
          <w:tcPr>
            <w:tcW w:w="864" w:type="pct"/>
            <w:shd w:val="clear" w:color="auto" w:fill="auto"/>
            <w:vAlign w:val="center"/>
          </w:tcPr>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PFS</w:t>
            </w:r>
          </w:p>
          <w:p w:rsidR="00C0077F" w:rsidRPr="001875EC" w:rsidRDefault="00C0077F" w:rsidP="00C0077F">
            <w:pPr>
              <w:jc w:val="center"/>
              <w:rPr>
                <w:rFonts w:ascii="Arial Narrow" w:hAnsi="Arial Narrow"/>
                <w:sz w:val="20"/>
                <w:lang w:val="en-US"/>
              </w:rPr>
            </w:pPr>
            <w:r w:rsidRPr="001875EC">
              <w:rPr>
                <w:rFonts w:ascii="Arial Narrow" w:hAnsi="Arial Narrow"/>
                <w:sz w:val="20"/>
                <w:lang w:val="en-US"/>
              </w:rPr>
              <w:t>OS – adjusted for crossover</w:t>
            </w:r>
          </w:p>
        </w:tc>
      </w:tr>
    </w:tbl>
    <w:p w:rsidR="00C0077F" w:rsidRPr="001875EC" w:rsidRDefault="00C0077F" w:rsidP="00F8582E">
      <w:pPr>
        <w:pStyle w:val="TableFooter"/>
        <w:ind w:left="709"/>
      </w:pPr>
      <w:r w:rsidRPr="001875EC">
        <w:t>DB=double blind; MC=multi-centre; OS=overall survival; PFS=progress</w:t>
      </w:r>
      <w:r w:rsidR="00C009C9" w:rsidRPr="001875EC">
        <w:t>ion-free survival; R=randomised; BSC = best supportive care.</w:t>
      </w:r>
    </w:p>
    <w:p w:rsidR="00C0077F" w:rsidRPr="001875EC" w:rsidRDefault="00C0077F" w:rsidP="00F8582E">
      <w:pPr>
        <w:pStyle w:val="TableFooter"/>
        <w:ind w:left="709"/>
      </w:pPr>
      <w:r w:rsidRPr="001875EC">
        <w:t>Source: compiled during the evaluation</w:t>
      </w:r>
    </w:p>
    <w:p w:rsidR="00463DA9" w:rsidRDefault="00C0077F" w:rsidP="00F8582E">
      <w:pPr>
        <w:pStyle w:val="TableFooter"/>
        <w:ind w:left="709"/>
      </w:pPr>
      <w:proofErr w:type="spellStart"/>
      <w:proofErr w:type="gramStart"/>
      <w:r w:rsidRPr="001875EC">
        <w:rPr>
          <w:vertAlign w:val="superscript"/>
        </w:rPr>
        <w:lastRenderedPageBreak/>
        <w:t>a</w:t>
      </w:r>
      <w:r w:rsidRPr="001875EC">
        <w:t>Median</w:t>
      </w:r>
      <w:proofErr w:type="spellEnd"/>
      <w:proofErr w:type="gramEnd"/>
      <w:r w:rsidRPr="001875EC">
        <w:t xml:space="preserve"> duration of treatment in the double-blind period (data cut-off 31 August 2012).  Treatment with </w:t>
      </w:r>
      <w:proofErr w:type="spellStart"/>
      <w:r w:rsidRPr="001875EC">
        <w:t>sorafenib</w:t>
      </w:r>
      <w:proofErr w:type="spellEnd"/>
      <w:r w:rsidRPr="001875EC">
        <w:t xml:space="preserve"> continued into open label study for 55 patients in the </w:t>
      </w:r>
      <w:proofErr w:type="spellStart"/>
      <w:r w:rsidRPr="001875EC">
        <w:t>sorafenib</w:t>
      </w:r>
      <w:proofErr w:type="spellEnd"/>
      <w:r w:rsidRPr="001875EC">
        <w:t xml:space="preserve"> arm and overall median duration of treatment at data cut-off 31 August 2012 was 56.9 weeks.  </w:t>
      </w:r>
    </w:p>
    <w:p w:rsidR="00C0077F" w:rsidRPr="001875EC" w:rsidRDefault="00C0077F" w:rsidP="00F8582E">
      <w:pPr>
        <w:pStyle w:val="TableFooter"/>
        <w:ind w:left="709"/>
      </w:pPr>
      <w:proofErr w:type="spellStart"/>
      <w:proofErr w:type="gramStart"/>
      <w:r w:rsidRPr="00463DA9">
        <w:rPr>
          <w:vertAlign w:val="superscript"/>
        </w:rPr>
        <w:t>b</w:t>
      </w:r>
      <w:r w:rsidRPr="00463DA9">
        <w:t>See</w:t>
      </w:r>
      <w:proofErr w:type="spellEnd"/>
      <w:proofErr w:type="gramEnd"/>
      <w:r w:rsidRPr="00463DA9">
        <w:t xml:space="preserve"> discussion of risk of bias below.</w:t>
      </w:r>
    </w:p>
    <w:p w:rsidR="00C0077F" w:rsidRDefault="00C0077F" w:rsidP="00C0077F"/>
    <w:p w:rsidR="00463DA9" w:rsidRPr="00925433" w:rsidRDefault="00463DA9" w:rsidP="0001306F">
      <w:pPr>
        <w:pStyle w:val="ListParagraph"/>
        <w:widowControl/>
        <w:numPr>
          <w:ilvl w:val="1"/>
          <w:numId w:val="1"/>
        </w:numPr>
        <w:rPr>
          <w:szCs w:val="22"/>
        </w:rPr>
      </w:pPr>
      <w:r w:rsidRPr="00925433">
        <w:rPr>
          <w:szCs w:val="22"/>
        </w:rPr>
        <w:t xml:space="preserve">The extent of attrition bias during the double-blind period </w:t>
      </w:r>
      <w:r w:rsidR="002C7A41" w:rsidRPr="00925433">
        <w:rPr>
          <w:szCs w:val="22"/>
        </w:rPr>
        <w:t xml:space="preserve">of the DECISION trial </w:t>
      </w:r>
      <w:r w:rsidRPr="00925433">
        <w:rPr>
          <w:szCs w:val="22"/>
        </w:rPr>
        <w:t xml:space="preserve">for Progression Free Survival (PFS) is </w:t>
      </w:r>
      <w:r w:rsidRPr="008E7A0F">
        <w:rPr>
          <w:szCs w:val="22"/>
        </w:rPr>
        <w:t xml:space="preserve">unclear. As shown in the patient flow diagram </w:t>
      </w:r>
      <w:r w:rsidR="008E7A0F" w:rsidRPr="008E7A0F">
        <w:rPr>
          <w:szCs w:val="22"/>
        </w:rPr>
        <w:t>below</w:t>
      </w:r>
      <w:r w:rsidRPr="008E7A0F">
        <w:rPr>
          <w:szCs w:val="22"/>
        </w:rPr>
        <w:t>,</w:t>
      </w:r>
      <w:r w:rsidRPr="00925433">
        <w:rPr>
          <w:i/>
          <w:szCs w:val="22"/>
        </w:rPr>
        <w:t xml:space="preserve"> </w:t>
      </w:r>
      <w:r w:rsidRPr="00925433">
        <w:rPr>
          <w:szCs w:val="22"/>
        </w:rPr>
        <w:t xml:space="preserve">75 patients discontinued </w:t>
      </w:r>
      <w:proofErr w:type="spellStart"/>
      <w:r w:rsidRPr="00925433">
        <w:rPr>
          <w:szCs w:val="22"/>
        </w:rPr>
        <w:t>sorafenib</w:t>
      </w:r>
      <w:proofErr w:type="spellEnd"/>
      <w:r w:rsidRPr="00925433">
        <w:rPr>
          <w:szCs w:val="22"/>
        </w:rPr>
        <w:t xml:space="preserve"> while 22 discontinued placebo. Discontinuations that occurred prior to progression were regarded as censored events.  This is inappropriate because patients who discontinue from active therapy have a much higher risk of progression than those who remain on active therapy. Therefore PFS in the </w:t>
      </w:r>
      <w:proofErr w:type="spellStart"/>
      <w:r w:rsidRPr="00925433">
        <w:rPr>
          <w:szCs w:val="22"/>
        </w:rPr>
        <w:t>sorafenib</w:t>
      </w:r>
      <w:proofErr w:type="spellEnd"/>
      <w:r w:rsidRPr="00925433">
        <w:rPr>
          <w:szCs w:val="22"/>
        </w:rPr>
        <w:t xml:space="preserve"> arm may be over-estimated. If a high number of discontinuations occurred prior to progression (this could not be verified), the risk of bias relating to PFS could be revised to high.</w:t>
      </w:r>
    </w:p>
    <w:p w:rsidR="00463DA9" w:rsidRDefault="00463DA9" w:rsidP="00463DA9"/>
    <w:p w:rsidR="00986E63" w:rsidRDefault="00463DA9" w:rsidP="0001306F">
      <w:pPr>
        <w:pStyle w:val="ListParagraph"/>
        <w:widowControl/>
        <w:numPr>
          <w:ilvl w:val="1"/>
          <w:numId w:val="1"/>
        </w:numPr>
        <w:rPr>
          <w:szCs w:val="22"/>
        </w:rPr>
      </w:pPr>
      <w:r w:rsidRPr="005437A1">
        <w:rPr>
          <w:szCs w:val="22"/>
        </w:rPr>
        <w:t>Patients in the placebo arm of the DECISION trial could cross-over to op</w:t>
      </w:r>
      <w:r w:rsidR="00717CC7">
        <w:rPr>
          <w:szCs w:val="22"/>
        </w:rPr>
        <w:t xml:space="preserve">en-label </w:t>
      </w:r>
      <w:proofErr w:type="spellStart"/>
      <w:r w:rsidR="00717CC7">
        <w:rPr>
          <w:szCs w:val="22"/>
        </w:rPr>
        <w:t>sorafenib</w:t>
      </w:r>
      <w:proofErr w:type="spellEnd"/>
      <w:r w:rsidR="00717CC7">
        <w:rPr>
          <w:szCs w:val="22"/>
        </w:rPr>
        <w:t xml:space="preserve"> upon disease </w:t>
      </w:r>
      <w:r w:rsidRPr="005437A1">
        <w:rPr>
          <w:szCs w:val="22"/>
        </w:rPr>
        <w:t xml:space="preserve">progression </w:t>
      </w:r>
      <w:r w:rsidRPr="00F045DE">
        <w:rPr>
          <w:szCs w:val="22"/>
        </w:rPr>
        <w:t>or at the end of the double-blind period</w:t>
      </w:r>
      <w:r w:rsidR="00717CC7">
        <w:rPr>
          <w:szCs w:val="22"/>
        </w:rPr>
        <w:t>. Substantial cross</w:t>
      </w:r>
      <w:r w:rsidRPr="005437A1">
        <w:rPr>
          <w:szCs w:val="22"/>
        </w:rPr>
        <w:t xml:space="preserve">over </w:t>
      </w:r>
      <w:r w:rsidRPr="00F363CC">
        <w:rPr>
          <w:szCs w:val="22"/>
        </w:rPr>
        <w:t xml:space="preserve">occurred </w:t>
      </w:r>
      <w:r w:rsidR="00F045DE" w:rsidRPr="00F363CC">
        <w:rPr>
          <w:szCs w:val="22"/>
        </w:rPr>
        <w:t xml:space="preserve">with </w:t>
      </w:r>
      <w:r w:rsidRPr="00F363CC">
        <w:rPr>
          <w:szCs w:val="22"/>
        </w:rPr>
        <w:t xml:space="preserve">150 patients in the placebo arm </w:t>
      </w:r>
      <w:r w:rsidR="002C7A41" w:rsidRPr="00F363CC">
        <w:rPr>
          <w:szCs w:val="22"/>
        </w:rPr>
        <w:t>receiv</w:t>
      </w:r>
      <w:r w:rsidR="00F045DE" w:rsidRPr="00F363CC">
        <w:rPr>
          <w:szCs w:val="22"/>
        </w:rPr>
        <w:t>ing</w:t>
      </w:r>
      <w:r w:rsidRPr="00F363CC">
        <w:rPr>
          <w:szCs w:val="22"/>
        </w:rPr>
        <w:t xml:space="preserve"> </w:t>
      </w:r>
      <w:proofErr w:type="spellStart"/>
      <w:r w:rsidRPr="00F363CC">
        <w:rPr>
          <w:szCs w:val="22"/>
        </w:rPr>
        <w:t>sorafenib</w:t>
      </w:r>
      <w:proofErr w:type="spellEnd"/>
      <w:r w:rsidRPr="00F363CC">
        <w:rPr>
          <w:szCs w:val="22"/>
        </w:rPr>
        <w:t xml:space="preserve"> following progression</w:t>
      </w:r>
      <w:r w:rsidR="00F045DE" w:rsidRPr="00F363CC">
        <w:rPr>
          <w:szCs w:val="22"/>
        </w:rPr>
        <w:t>. T</w:t>
      </w:r>
      <w:r w:rsidRPr="00F363CC">
        <w:rPr>
          <w:szCs w:val="22"/>
        </w:rPr>
        <w:t xml:space="preserve">hus the overall survival </w:t>
      </w:r>
      <w:r w:rsidR="00F045DE" w:rsidRPr="00F363CC">
        <w:rPr>
          <w:szCs w:val="22"/>
        </w:rPr>
        <w:t xml:space="preserve">(OS) </w:t>
      </w:r>
      <w:r w:rsidRPr="00F363CC">
        <w:rPr>
          <w:szCs w:val="22"/>
        </w:rPr>
        <w:t>estimates are confounded</w:t>
      </w:r>
      <w:r w:rsidR="002C7A41" w:rsidRPr="00F363CC">
        <w:rPr>
          <w:szCs w:val="22"/>
        </w:rPr>
        <w:t>.</w:t>
      </w:r>
      <w:r w:rsidRPr="00F363CC">
        <w:rPr>
          <w:szCs w:val="22"/>
        </w:rPr>
        <w:t xml:space="preserve">  The decision to use </w:t>
      </w:r>
      <w:proofErr w:type="spellStart"/>
      <w:r w:rsidRPr="00F363CC">
        <w:rPr>
          <w:szCs w:val="22"/>
        </w:rPr>
        <w:t>sorafenib</w:t>
      </w:r>
      <w:proofErr w:type="spellEnd"/>
      <w:r w:rsidRPr="001875EC">
        <w:rPr>
          <w:szCs w:val="22"/>
        </w:rPr>
        <w:t xml:space="preserve"> in the placebo arm following progression was at the investigators’ discretion, </w:t>
      </w:r>
      <w:r>
        <w:rPr>
          <w:szCs w:val="22"/>
        </w:rPr>
        <w:t xml:space="preserve">leading to potential </w:t>
      </w:r>
      <w:r w:rsidRPr="001875EC">
        <w:rPr>
          <w:szCs w:val="22"/>
        </w:rPr>
        <w:t xml:space="preserve">selection bias. </w:t>
      </w:r>
    </w:p>
    <w:p w:rsidR="005D3B67" w:rsidRDefault="008D5703" w:rsidP="00F8582E">
      <w:pPr>
        <w:tabs>
          <w:tab w:val="left" w:pos="709"/>
        </w:tabs>
        <w:ind w:left="709"/>
      </w:pPr>
      <w:r>
        <w:rPr>
          <w:noProof/>
          <w:snapToGrid/>
          <w:lang w:eastAsia="en-AU"/>
        </w:rPr>
        <w:lastRenderedPageBreak/>
        <w:drawing>
          <wp:inline distT="0" distB="0" distL="0" distR="0" wp14:anchorId="2ACEF026" wp14:editId="5FDFA46A">
            <wp:extent cx="4339087" cy="7331617"/>
            <wp:effectExtent l="0" t="0" r="4445" b="3175"/>
            <wp:docPr id="1" name="Picture 1" descr="Patient flow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42073" cy="7336662"/>
                    </a:xfrm>
                    <a:prstGeom prst="rect">
                      <a:avLst/>
                    </a:prstGeom>
                  </pic:spPr>
                </pic:pic>
              </a:graphicData>
            </a:graphic>
          </wp:inline>
        </w:drawing>
      </w:r>
    </w:p>
    <w:p w:rsidR="005D3B67" w:rsidRPr="005437A1" w:rsidRDefault="005D3B67" w:rsidP="00F8582E">
      <w:pPr>
        <w:ind w:left="709"/>
        <w:rPr>
          <w:rFonts w:ascii="Arial Narrow" w:hAnsi="Arial Narrow"/>
          <w:b/>
          <w:i/>
          <w:sz w:val="18"/>
          <w:szCs w:val="18"/>
        </w:rPr>
      </w:pPr>
      <w:r w:rsidRPr="005437A1">
        <w:rPr>
          <w:rFonts w:ascii="Arial Narrow" w:hAnsi="Arial Narrow"/>
          <w:b/>
          <w:i/>
          <w:sz w:val="18"/>
          <w:szCs w:val="18"/>
        </w:rPr>
        <w:t xml:space="preserve">Patient flow diagram </w:t>
      </w:r>
    </w:p>
    <w:p w:rsidR="005D3B67" w:rsidRPr="005437A1" w:rsidRDefault="005D3B67" w:rsidP="00F8582E">
      <w:pPr>
        <w:ind w:left="709"/>
        <w:rPr>
          <w:rFonts w:ascii="Arial Narrow" w:hAnsi="Arial Narrow"/>
          <w:b/>
          <w:sz w:val="18"/>
          <w:szCs w:val="18"/>
        </w:rPr>
      </w:pPr>
      <w:r w:rsidRPr="005437A1">
        <w:rPr>
          <w:rFonts w:ascii="Arial Narrow" w:hAnsi="Arial Narrow"/>
          <w:sz w:val="18"/>
          <w:szCs w:val="18"/>
        </w:rPr>
        <w:t xml:space="preserve">Source: Brose M, </w:t>
      </w:r>
      <w:r w:rsidR="00703D6D" w:rsidRPr="005437A1">
        <w:rPr>
          <w:rFonts w:ascii="Arial Narrow" w:hAnsi="Arial Narrow"/>
          <w:sz w:val="18"/>
          <w:szCs w:val="18"/>
        </w:rPr>
        <w:t xml:space="preserve">et al. </w:t>
      </w:r>
      <w:proofErr w:type="spellStart"/>
      <w:r w:rsidRPr="005437A1">
        <w:rPr>
          <w:rFonts w:ascii="Arial Narrow" w:hAnsi="Arial Narrow"/>
          <w:i/>
          <w:sz w:val="18"/>
          <w:szCs w:val="18"/>
        </w:rPr>
        <w:t>Sorafenib</w:t>
      </w:r>
      <w:proofErr w:type="spellEnd"/>
      <w:r w:rsidRPr="005437A1">
        <w:rPr>
          <w:rFonts w:ascii="Arial Narrow" w:hAnsi="Arial Narrow"/>
          <w:i/>
          <w:sz w:val="18"/>
          <w:szCs w:val="18"/>
        </w:rPr>
        <w:t xml:space="preserve"> in radioactive iodine-refractory, loca</w:t>
      </w:r>
      <w:r w:rsidR="00F6210F">
        <w:rPr>
          <w:rFonts w:ascii="Arial Narrow" w:hAnsi="Arial Narrow"/>
          <w:i/>
          <w:sz w:val="18"/>
          <w:szCs w:val="18"/>
        </w:rPr>
        <w:t>lly advanced or metastatic diff</w:t>
      </w:r>
      <w:r w:rsidRPr="005437A1">
        <w:rPr>
          <w:rFonts w:ascii="Arial Narrow" w:hAnsi="Arial Narrow"/>
          <w:i/>
          <w:sz w:val="18"/>
          <w:szCs w:val="18"/>
        </w:rPr>
        <w:t>erentiated thyroid cancer: a randomised, double-blind, phase 3 trial</w:t>
      </w:r>
      <w:r w:rsidRPr="005437A1">
        <w:rPr>
          <w:rFonts w:ascii="Arial Narrow" w:hAnsi="Arial Narrow"/>
          <w:sz w:val="18"/>
          <w:szCs w:val="18"/>
        </w:rPr>
        <w:t xml:space="preserve"> 2014. The Lancet, Early Online Publication, 24 April 2014)</w:t>
      </w:r>
    </w:p>
    <w:p w:rsidR="00C0077F" w:rsidRDefault="00C0077F" w:rsidP="00C0077F">
      <w:pPr>
        <w:rPr>
          <w:szCs w:val="22"/>
        </w:rPr>
      </w:pPr>
    </w:p>
    <w:p w:rsidR="005A1132" w:rsidRDefault="005A1132" w:rsidP="005A1132">
      <w:pPr>
        <w:pStyle w:val="ListParagraph"/>
        <w:ind w:left="709"/>
        <w:rPr>
          <w:i/>
          <w:szCs w:val="22"/>
        </w:rPr>
      </w:pPr>
      <w:r>
        <w:rPr>
          <w:szCs w:val="22"/>
        </w:rPr>
        <w:tab/>
      </w:r>
      <w:r>
        <w:rPr>
          <w:i/>
          <w:szCs w:val="22"/>
        </w:rPr>
        <w:t>For more detail on PBAC’s view, see section 7 “PBAC outcome”</w:t>
      </w:r>
    </w:p>
    <w:p w:rsidR="005A1132" w:rsidRPr="001875EC" w:rsidRDefault="005A1132" w:rsidP="00C0077F">
      <w:pPr>
        <w:rPr>
          <w:szCs w:val="22"/>
        </w:rPr>
      </w:pPr>
    </w:p>
    <w:p w:rsidR="00C0077F" w:rsidRPr="0001306F" w:rsidRDefault="00C0077F" w:rsidP="0001306F">
      <w:pPr>
        <w:widowControl/>
        <w:rPr>
          <w:rFonts w:cs="Times New Roman"/>
          <w:b/>
          <w:i/>
          <w:snapToGrid/>
          <w:szCs w:val="22"/>
          <w:lang w:eastAsia="en-AU"/>
        </w:rPr>
      </w:pPr>
      <w:bookmarkStart w:id="13" w:name="_Toc388368960"/>
      <w:r w:rsidRPr="0001306F">
        <w:rPr>
          <w:rFonts w:cs="Times New Roman"/>
          <w:b/>
          <w:i/>
          <w:snapToGrid/>
          <w:szCs w:val="22"/>
          <w:lang w:eastAsia="en-AU"/>
        </w:rPr>
        <w:t>Comparative effectiveness</w:t>
      </w:r>
      <w:bookmarkEnd w:id="13"/>
    </w:p>
    <w:p w:rsidR="00C0077F" w:rsidRPr="001875EC" w:rsidRDefault="00C0077F" w:rsidP="00C0077F">
      <w:pPr>
        <w:rPr>
          <w:szCs w:val="22"/>
        </w:rPr>
      </w:pPr>
    </w:p>
    <w:p w:rsidR="00C0077F" w:rsidRDefault="00C0077F" w:rsidP="0001306F">
      <w:pPr>
        <w:pStyle w:val="ListParagraph"/>
        <w:widowControl/>
        <w:numPr>
          <w:ilvl w:val="1"/>
          <w:numId w:val="1"/>
        </w:numPr>
        <w:rPr>
          <w:szCs w:val="22"/>
        </w:rPr>
      </w:pPr>
      <w:r w:rsidRPr="001875EC">
        <w:rPr>
          <w:szCs w:val="22"/>
        </w:rPr>
        <w:lastRenderedPageBreak/>
        <w:t xml:space="preserve">At time of data cut-off (31 August 2012), median </w:t>
      </w:r>
      <w:r w:rsidR="00F045DE">
        <w:rPr>
          <w:szCs w:val="22"/>
        </w:rPr>
        <w:t>OS</w:t>
      </w:r>
      <w:r w:rsidRPr="001875EC">
        <w:rPr>
          <w:szCs w:val="22"/>
        </w:rPr>
        <w:t xml:space="preserve"> had not yet been reached (23.7% of patients had </w:t>
      </w:r>
      <w:r w:rsidR="00961860">
        <w:rPr>
          <w:szCs w:val="22"/>
        </w:rPr>
        <w:t>died</w:t>
      </w:r>
      <w:r w:rsidRPr="001875EC">
        <w:rPr>
          <w:szCs w:val="22"/>
        </w:rPr>
        <w:t xml:space="preserve">).  Approximately one quarter of patients were still receiving </w:t>
      </w:r>
      <w:proofErr w:type="spellStart"/>
      <w:r w:rsidRPr="001875EC">
        <w:rPr>
          <w:szCs w:val="22"/>
        </w:rPr>
        <w:t>sorafenib</w:t>
      </w:r>
      <w:proofErr w:type="spellEnd"/>
      <w:r w:rsidRPr="001875EC">
        <w:rPr>
          <w:szCs w:val="22"/>
        </w:rPr>
        <w:t xml:space="preserve"> at </w:t>
      </w:r>
      <w:r w:rsidR="00961860" w:rsidRPr="001875EC">
        <w:rPr>
          <w:szCs w:val="22"/>
        </w:rPr>
        <w:t>the</w:t>
      </w:r>
      <w:r w:rsidR="00961860">
        <w:rPr>
          <w:szCs w:val="22"/>
        </w:rPr>
        <w:t xml:space="preserve"> time of </w:t>
      </w:r>
      <w:r w:rsidRPr="001875EC">
        <w:rPr>
          <w:szCs w:val="22"/>
        </w:rPr>
        <w:t>data cut-off.</w:t>
      </w:r>
    </w:p>
    <w:p w:rsidR="001B63BF" w:rsidRPr="00F363CC" w:rsidRDefault="001B63BF" w:rsidP="001B63BF">
      <w:pPr>
        <w:pStyle w:val="ListParagraph"/>
        <w:widowControl/>
        <w:ind w:left="709"/>
        <w:rPr>
          <w:szCs w:val="22"/>
        </w:rPr>
      </w:pPr>
    </w:p>
    <w:p w:rsidR="001B63BF" w:rsidRPr="00F363CC" w:rsidRDefault="008E7A0F" w:rsidP="0001306F">
      <w:pPr>
        <w:pStyle w:val="ListParagraph"/>
        <w:widowControl/>
        <w:numPr>
          <w:ilvl w:val="1"/>
          <w:numId w:val="1"/>
        </w:numPr>
        <w:rPr>
          <w:szCs w:val="22"/>
        </w:rPr>
      </w:pPr>
      <w:r>
        <w:rPr>
          <w:szCs w:val="22"/>
        </w:rPr>
        <w:t>The f</w:t>
      </w:r>
      <w:r w:rsidR="001B63BF" w:rsidRPr="00F363CC">
        <w:rPr>
          <w:szCs w:val="22"/>
        </w:rPr>
        <w:t xml:space="preserve">igures </w:t>
      </w:r>
      <w:r>
        <w:rPr>
          <w:szCs w:val="22"/>
        </w:rPr>
        <w:t>below</w:t>
      </w:r>
      <w:r w:rsidR="001B63BF" w:rsidRPr="00F363CC">
        <w:rPr>
          <w:szCs w:val="22"/>
        </w:rPr>
        <w:t xml:space="preserve"> show the Kaplan-Meier curves from the DECISION trial for PFS and OS respectively. </w:t>
      </w:r>
      <w:r>
        <w:rPr>
          <w:szCs w:val="22"/>
        </w:rPr>
        <w:t>A summary of the trial results are in the table below</w:t>
      </w:r>
      <w:r w:rsidR="001B63BF" w:rsidRPr="00F363CC">
        <w:rPr>
          <w:szCs w:val="22"/>
        </w:rPr>
        <w:t>.</w:t>
      </w:r>
    </w:p>
    <w:p w:rsidR="001B63BF" w:rsidRDefault="001B63BF" w:rsidP="001B63BF">
      <w:pPr>
        <w:pStyle w:val="ListParagraph"/>
        <w:widowControl/>
        <w:ind w:left="709"/>
        <w:rPr>
          <w:szCs w:val="22"/>
        </w:rPr>
      </w:pPr>
    </w:p>
    <w:p w:rsidR="001B63BF" w:rsidRPr="00340929" w:rsidRDefault="001B63BF" w:rsidP="00F8582E">
      <w:pPr>
        <w:tabs>
          <w:tab w:val="left" w:pos="709"/>
        </w:tabs>
        <w:ind w:left="709"/>
        <w:rPr>
          <w:i/>
          <w:szCs w:val="22"/>
        </w:rPr>
      </w:pPr>
      <w:r>
        <w:rPr>
          <w:i/>
          <w:noProof/>
          <w:snapToGrid/>
          <w:szCs w:val="22"/>
          <w:lang w:eastAsia="en-AU"/>
        </w:rPr>
        <w:drawing>
          <wp:inline distT="0" distB="0" distL="0" distR="0" wp14:anchorId="21B362B5" wp14:editId="79DE7851">
            <wp:extent cx="3844561" cy="2638425"/>
            <wp:effectExtent l="0" t="0" r="3810" b="0"/>
            <wp:docPr id="4" name="Picture 2" descr="A summary of the trial results showing Kaplan-Meier curves from the DECISION trial for Progression-free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47207" cy="2640241"/>
                    </a:xfrm>
                    <a:prstGeom prst="rect">
                      <a:avLst/>
                    </a:prstGeom>
                  </pic:spPr>
                </pic:pic>
              </a:graphicData>
            </a:graphic>
          </wp:inline>
        </w:drawing>
      </w:r>
    </w:p>
    <w:p w:rsidR="001B63BF" w:rsidRPr="000F6963" w:rsidRDefault="001B63BF" w:rsidP="00F8582E">
      <w:pPr>
        <w:ind w:left="709"/>
        <w:rPr>
          <w:rFonts w:ascii="Arial Narrow" w:hAnsi="Arial Narrow"/>
          <w:b/>
          <w:i/>
          <w:sz w:val="18"/>
          <w:szCs w:val="18"/>
        </w:rPr>
      </w:pPr>
      <w:proofErr w:type="gramStart"/>
      <w:r w:rsidRPr="00340929">
        <w:rPr>
          <w:rFonts w:ascii="Arial Narrow" w:hAnsi="Arial Narrow"/>
          <w:b/>
          <w:i/>
          <w:sz w:val="18"/>
          <w:szCs w:val="22"/>
        </w:rPr>
        <w:t>Progression-free survival by centr</w:t>
      </w:r>
      <w:r w:rsidRPr="000F6963">
        <w:rPr>
          <w:rFonts w:ascii="Arial Narrow" w:hAnsi="Arial Narrow"/>
          <w:b/>
          <w:i/>
          <w:sz w:val="18"/>
          <w:szCs w:val="18"/>
        </w:rPr>
        <w:t>al review (intention-to-treat population).</w:t>
      </w:r>
      <w:proofErr w:type="gramEnd"/>
    </w:p>
    <w:p w:rsidR="001B63BF" w:rsidRPr="000F6963" w:rsidRDefault="001B63BF" w:rsidP="00F8582E">
      <w:pPr>
        <w:ind w:left="709"/>
        <w:rPr>
          <w:rFonts w:ascii="Arial Narrow" w:hAnsi="Arial Narrow"/>
          <w:i/>
          <w:sz w:val="18"/>
          <w:szCs w:val="18"/>
        </w:rPr>
      </w:pPr>
      <w:r w:rsidRPr="000F6963">
        <w:rPr>
          <w:rFonts w:ascii="Arial Narrow" w:hAnsi="Arial Narrow"/>
          <w:i/>
          <w:sz w:val="18"/>
          <w:szCs w:val="18"/>
        </w:rPr>
        <w:t>Source: Brose M et al, The Lancet, Early Online Publication, 24 April 2014)</w:t>
      </w:r>
    </w:p>
    <w:p w:rsidR="001B63BF" w:rsidRDefault="001B63BF" w:rsidP="001B63BF">
      <w:pPr>
        <w:rPr>
          <w:szCs w:val="22"/>
        </w:rPr>
      </w:pPr>
    </w:p>
    <w:p w:rsidR="001B63BF" w:rsidRPr="001875EC" w:rsidRDefault="001B63BF" w:rsidP="00F8582E">
      <w:pPr>
        <w:ind w:left="709"/>
        <w:rPr>
          <w:szCs w:val="22"/>
        </w:rPr>
      </w:pPr>
      <w:r>
        <w:rPr>
          <w:noProof/>
          <w:snapToGrid/>
          <w:lang w:eastAsia="en-AU"/>
        </w:rPr>
        <w:drawing>
          <wp:inline distT="0" distB="0" distL="0" distR="0" wp14:anchorId="66BAAEF7" wp14:editId="57633CDE">
            <wp:extent cx="3847381" cy="2638425"/>
            <wp:effectExtent l="0" t="0" r="1270" b="0"/>
            <wp:docPr id="5" name="Picture 3" descr="A summary of the trial results showing Kaplan-Meier curves from the DECISION trial for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47381" cy="2638425"/>
                    </a:xfrm>
                    <a:prstGeom prst="rect">
                      <a:avLst/>
                    </a:prstGeom>
                  </pic:spPr>
                </pic:pic>
              </a:graphicData>
            </a:graphic>
          </wp:inline>
        </w:drawing>
      </w:r>
    </w:p>
    <w:p w:rsidR="001B63BF" w:rsidRPr="000F6963" w:rsidRDefault="001B63BF" w:rsidP="00F8582E">
      <w:pPr>
        <w:ind w:left="709"/>
        <w:rPr>
          <w:rFonts w:ascii="Arial Narrow" w:hAnsi="Arial Narrow"/>
          <w:b/>
          <w:i/>
          <w:sz w:val="18"/>
          <w:szCs w:val="18"/>
        </w:rPr>
      </w:pPr>
      <w:r w:rsidRPr="000F6963">
        <w:rPr>
          <w:rFonts w:ascii="Arial Narrow" w:hAnsi="Arial Narrow"/>
          <w:b/>
          <w:i/>
          <w:sz w:val="18"/>
          <w:szCs w:val="18"/>
        </w:rPr>
        <w:t>Kaplan-Meier curve of overall survival</w:t>
      </w:r>
    </w:p>
    <w:p w:rsidR="001B63BF" w:rsidRPr="000F6963" w:rsidRDefault="001B63BF" w:rsidP="00F8582E">
      <w:pPr>
        <w:ind w:left="709"/>
        <w:rPr>
          <w:rFonts w:ascii="Arial Narrow" w:hAnsi="Arial Narrow"/>
          <w:i/>
          <w:sz w:val="18"/>
          <w:szCs w:val="18"/>
        </w:rPr>
      </w:pPr>
      <w:r w:rsidRPr="000F6963">
        <w:rPr>
          <w:rFonts w:ascii="Arial Narrow" w:hAnsi="Arial Narrow"/>
          <w:i/>
          <w:sz w:val="18"/>
          <w:szCs w:val="18"/>
        </w:rPr>
        <w:t>Source: Brose M et al, The Lancet, Early Online Publication, 24 April 2014)</w:t>
      </w:r>
    </w:p>
    <w:p w:rsidR="00C0077F" w:rsidRPr="001875EC" w:rsidRDefault="00C0077F" w:rsidP="00C0077F">
      <w:pPr>
        <w:widowControl/>
        <w:rPr>
          <w:szCs w:val="22"/>
        </w:rPr>
      </w:pPr>
    </w:p>
    <w:p w:rsidR="00FE17B7" w:rsidRPr="001875EC" w:rsidRDefault="00FE17B7" w:rsidP="00F8582E">
      <w:pPr>
        <w:pStyle w:val="Caption"/>
        <w:keepNext/>
        <w:spacing w:after="0"/>
        <w:ind w:left="709"/>
        <w:rPr>
          <w:rStyle w:val="CommentReference"/>
          <w:b/>
          <w:color w:val="auto"/>
        </w:rPr>
      </w:pPr>
      <w:r w:rsidRPr="001875EC">
        <w:rPr>
          <w:rStyle w:val="CommentReference"/>
          <w:b/>
          <w:color w:val="auto"/>
        </w:rPr>
        <w:tab/>
        <w:t>Results for the DECISION trial (data cut-off 31 August 2012)</w:t>
      </w:r>
    </w:p>
    <w:tbl>
      <w:tblPr>
        <w:tblW w:w="462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sults for the DECISION trial (data cut-off 31 August 2012)"/>
      </w:tblPr>
      <w:tblGrid>
        <w:gridCol w:w="1703"/>
        <w:gridCol w:w="1821"/>
        <w:gridCol w:w="1722"/>
        <w:gridCol w:w="1597"/>
        <w:gridCol w:w="1555"/>
      </w:tblGrid>
      <w:tr w:rsidR="00C0077F" w:rsidRPr="001875EC" w:rsidTr="003C14EE">
        <w:tc>
          <w:tcPr>
            <w:tcW w:w="1014" w:type="pct"/>
            <w:shd w:val="clear" w:color="auto" w:fill="auto"/>
            <w:vAlign w:val="center"/>
          </w:tcPr>
          <w:p w:rsidR="00C0077F" w:rsidRPr="001875EC" w:rsidRDefault="00C0077F" w:rsidP="00C0077F">
            <w:pPr>
              <w:keepNext/>
              <w:jc w:val="left"/>
              <w:rPr>
                <w:rFonts w:ascii="Arial Narrow" w:hAnsi="Arial Narrow"/>
                <w:b/>
                <w:sz w:val="20"/>
                <w:lang w:val="en-US"/>
              </w:rPr>
            </w:pPr>
            <w:r w:rsidRPr="001875EC">
              <w:rPr>
                <w:rFonts w:ascii="Arial Narrow" w:hAnsi="Arial Narrow"/>
                <w:b/>
                <w:sz w:val="20"/>
                <w:lang w:val="en-US"/>
              </w:rPr>
              <w:t>Trial ID</w:t>
            </w:r>
          </w:p>
        </w:tc>
        <w:tc>
          <w:tcPr>
            <w:tcW w:w="1084" w:type="pct"/>
            <w:shd w:val="clear" w:color="auto" w:fill="auto"/>
            <w:vAlign w:val="center"/>
          </w:tcPr>
          <w:p w:rsidR="00C0077F" w:rsidRPr="001875EC" w:rsidRDefault="00C009C9" w:rsidP="00C0077F">
            <w:pPr>
              <w:keepNext/>
              <w:jc w:val="center"/>
              <w:rPr>
                <w:rFonts w:ascii="Arial Narrow" w:hAnsi="Arial Narrow"/>
                <w:b/>
                <w:sz w:val="20"/>
                <w:lang w:val="en-US"/>
              </w:rPr>
            </w:pPr>
            <w:proofErr w:type="spellStart"/>
            <w:r w:rsidRPr="001875EC">
              <w:rPr>
                <w:rFonts w:ascii="Arial Narrow" w:hAnsi="Arial Narrow"/>
                <w:b/>
                <w:sz w:val="20"/>
                <w:lang w:val="en-US"/>
              </w:rPr>
              <w:t>Sorafenib</w:t>
            </w:r>
            <w:proofErr w:type="spellEnd"/>
          </w:p>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Median survival ± SD</w:t>
            </w:r>
          </w:p>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(months)</w:t>
            </w:r>
          </w:p>
        </w:tc>
        <w:tc>
          <w:tcPr>
            <w:tcW w:w="1025" w:type="pct"/>
            <w:shd w:val="clear" w:color="auto" w:fill="auto"/>
            <w:vAlign w:val="center"/>
          </w:tcPr>
          <w:p w:rsidR="00C0077F" w:rsidRPr="001875EC" w:rsidRDefault="00C009C9" w:rsidP="00C0077F">
            <w:pPr>
              <w:keepNext/>
              <w:jc w:val="center"/>
              <w:rPr>
                <w:rFonts w:ascii="Arial Narrow" w:hAnsi="Arial Narrow"/>
                <w:b/>
                <w:sz w:val="20"/>
                <w:lang w:val="en-US"/>
              </w:rPr>
            </w:pPr>
            <w:proofErr w:type="spellStart"/>
            <w:r w:rsidRPr="001875EC">
              <w:rPr>
                <w:rFonts w:ascii="Arial Narrow" w:hAnsi="Arial Narrow"/>
                <w:b/>
                <w:sz w:val="20"/>
                <w:lang w:val="en-US"/>
              </w:rPr>
              <w:t>Placebo+BSC</w:t>
            </w:r>
            <w:proofErr w:type="spellEnd"/>
          </w:p>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Median survival ± SD</w:t>
            </w:r>
          </w:p>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(months)</w:t>
            </w:r>
          </w:p>
        </w:tc>
        <w:tc>
          <w:tcPr>
            <w:tcW w:w="951" w:type="pct"/>
            <w:shd w:val="clear" w:color="auto" w:fill="auto"/>
            <w:vAlign w:val="center"/>
          </w:tcPr>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Absolute difference</w:t>
            </w:r>
          </w:p>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(months)</w:t>
            </w:r>
          </w:p>
        </w:tc>
        <w:tc>
          <w:tcPr>
            <w:tcW w:w="926" w:type="pct"/>
            <w:shd w:val="clear" w:color="auto" w:fill="auto"/>
            <w:vAlign w:val="center"/>
          </w:tcPr>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Relative difference</w:t>
            </w:r>
          </w:p>
          <w:p w:rsidR="00C0077F" w:rsidRPr="001875EC" w:rsidRDefault="00C0077F" w:rsidP="00C0077F">
            <w:pPr>
              <w:keepNext/>
              <w:jc w:val="center"/>
              <w:rPr>
                <w:rFonts w:ascii="Arial Narrow" w:hAnsi="Arial Narrow"/>
                <w:b/>
                <w:sz w:val="20"/>
                <w:lang w:val="en-US"/>
              </w:rPr>
            </w:pPr>
            <w:r w:rsidRPr="001875EC">
              <w:rPr>
                <w:rFonts w:ascii="Arial Narrow" w:hAnsi="Arial Narrow"/>
                <w:b/>
                <w:sz w:val="20"/>
                <w:lang w:val="en-US"/>
              </w:rPr>
              <w:t>HR (95% CI)</w:t>
            </w:r>
          </w:p>
        </w:tc>
      </w:tr>
      <w:tr w:rsidR="00C0077F" w:rsidRPr="001875EC" w:rsidTr="003C14EE">
        <w:tc>
          <w:tcPr>
            <w:tcW w:w="1014" w:type="pct"/>
            <w:shd w:val="clear" w:color="auto" w:fill="auto"/>
            <w:vAlign w:val="center"/>
          </w:tcPr>
          <w:p w:rsidR="00C0077F" w:rsidRPr="001875EC" w:rsidRDefault="00C0077F" w:rsidP="00C0077F">
            <w:pPr>
              <w:keepNext/>
              <w:jc w:val="left"/>
              <w:rPr>
                <w:rFonts w:ascii="Arial Narrow" w:hAnsi="Arial Narrow"/>
                <w:sz w:val="20"/>
                <w:lang w:val="en-US"/>
              </w:rPr>
            </w:pPr>
            <w:r w:rsidRPr="001875EC">
              <w:rPr>
                <w:rFonts w:ascii="Arial Narrow" w:hAnsi="Arial Narrow"/>
                <w:sz w:val="20"/>
                <w:lang w:val="en-US"/>
              </w:rPr>
              <w:t>PFS – central review</w:t>
            </w:r>
          </w:p>
        </w:tc>
        <w:tc>
          <w:tcPr>
            <w:tcW w:w="1084" w:type="pct"/>
            <w:shd w:val="clear" w:color="auto" w:fill="auto"/>
            <w:vAlign w:val="center"/>
          </w:tcPr>
          <w:p w:rsidR="00C0077F" w:rsidRPr="001875EC" w:rsidRDefault="00C0077F" w:rsidP="00C0077F">
            <w:pPr>
              <w:keepNext/>
              <w:jc w:val="center"/>
              <w:rPr>
                <w:rFonts w:ascii="Arial Narrow" w:hAnsi="Arial Narrow"/>
                <w:sz w:val="20"/>
                <w:lang w:val="en-US"/>
              </w:rPr>
            </w:pPr>
            <w:r w:rsidRPr="001875EC">
              <w:rPr>
                <w:rFonts w:ascii="Arial Narrow" w:hAnsi="Arial Narrow"/>
                <w:sz w:val="20"/>
                <w:lang w:val="en-US"/>
              </w:rPr>
              <w:t>10.8 (9.1, 12.9)</w:t>
            </w:r>
          </w:p>
        </w:tc>
        <w:tc>
          <w:tcPr>
            <w:tcW w:w="1025" w:type="pct"/>
            <w:shd w:val="clear" w:color="auto" w:fill="auto"/>
            <w:vAlign w:val="center"/>
          </w:tcPr>
          <w:p w:rsidR="00C0077F" w:rsidRPr="001875EC" w:rsidRDefault="00C0077F" w:rsidP="00C0077F">
            <w:pPr>
              <w:keepNext/>
              <w:jc w:val="center"/>
              <w:rPr>
                <w:rFonts w:ascii="Arial Narrow" w:hAnsi="Arial Narrow"/>
                <w:sz w:val="20"/>
                <w:lang w:val="en-US"/>
              </w:rPr>
            </w:pPr>
            <w:r w:rsidRPr="001875EC">
              <w:rPr>
                <w:rFonts w:ascii="Arial Narrow" w:hAnsi="Arial Narrow"/>
                <w:sz w:val="20"/>
                <w:lang w:val="en-US"/>
              </w:rPr>
              <w:t>5.8 (5.3, 7.8)</w:t>
            </w:r>
          </w:p>
        </w:tc>
        <w:tc>
          <w:tcPr>
            <w:tcW w:w="951" w:type="pct"/>
            <w:shd w:val="clear" w:color="auto" w:fill="auto"/>
            <w:vAlign w:val="center"/>
          </w:tcPr>
          <w:p w:rsidR="00C0077F" w:rsidRPr="001875EC" w:rsidRDefault="00C0077F" w:rsidP="00C0077F">
            <w:pPr>
              <w:keepNext/>
              <w:jc w:val="center"/>
              <w:rPr>
                <w:rFonts w:ascii="Arial Narrow" w:hAnsi="Arial Narrow"/>
                <w:sz w:val="20"/>
                <w:lang w:val="en-US"/>
              </w:rPr>
            </w:pPr>
            <w:r w:rsidRPr="001875EC">
              <w:rPr>
                <w:rFonts w:ascii="Arial Narrow" w:hAnsi="Arial Narrow"/>
                <w:sz w:val="20"/>
                <w:lang w:val="en-US"/>
              </w:rPr>
              <w:t>5.0</w:t>
            </w:r>
          </w:p>
        </w:tc>
        <w:tc>
          <w:tcPr>
            <w:tcW w:w="926" w:type="pct"/>
            <w:shd w:val="clear" w:color="auto" w:fill="auto"/>
            <w:vAlign w:val="center"/>
          </w:tcPr>
          <w:p w:rsidR="00C0077F" w:rsidRPr="001875EC" w:rsidRDefault="00C0077F" w:rsidP="00C0077F">
            <w:pPr>
              <w:keepNext/>
              <w:jc w:val="center"/>
              <w:rPr>
                <w:rFonts w:ascii="Arial Narrow" w:hAnsi="Arial Narrow"/>
                <w:sz w:val="20"/>
                <w:lang w:val="en-US"/>
              </w:rPr>
            </w:pPr>
            <w:r w:rsidRPr="001875EC">
              <w:rPr>
                <w:rFonts w:ascii="Arial Narrow" w:hAnsi="Arial Narrow"/>
                <w:sz w:val="20"/>
                <w:lang w:val="en-US"/>
              </w:rPr>
              <w:t>0.587 (0.454, 0.758)</w:t>
            </w:r>
          </w:p>
        </w:tc>
      </w:tr>
      <w:tr w:rsidR="00C0077F" w:rsidRPr="001875EC" w:rsidTr="003C14EE">
        <w:tc>
          <w:tcPr>
            <w:tcW w:w="1014" w:type="pct"/>
            <w:shd w:val="clear" w:color="auto" w:fill="auto"/>
            <w:vAlign w:val="center"/>
          </w:tcPr>
          <w:p w:rsidR="00C0077F" w:rsidRPr="00251BFD" w:rsidRDefault="00C0077F" w:rsidP="00C0077F">
            <w:pPr>
              <w:keepNext/>
              <w:jc w:val="left"/>
              <w:rPr>
                <w:rFonts w:ascii="Arial Narrow" w:hAnsi="Arial Narrow"/>
                <w:sz w:val="20"/>
                <w:vertAlign w:val="superscript"/>
                <w:lang w:val="en-US"/>
              </w:rPr>
            </w:pPr>
            <w:proofErr w:type="spellStart"/>
            <w:r w:rsidRPr="001875EC">
              <w:rPr>
                <w:rFonts w:ascii="Arial Narrow" w:hAnsi="Arial Narrow"/>
                <w:sz w:val="20"/>
                <w:lang w:val="en-US"/>
              </w:rPr>
              <w:t>OS</w:t>
            </w:r>
            <w:r w:rsidR="00251BFD">
              <w:rPr>
                <w:rFonts w:ascii="Arial Narrow" w:hAnsi="Arial Narrow"/>
                <w:sz w:val="20"/>
                <w:vertAlign w:val="superscript"/>
                <w:lang w:val="en-US"/>
              </w:rPr>
              <w:t>a</w:t>
            </w:r>
            <w:proofErr w:type="spellEnd"/>
          </w:p>
        </w:tc>
        <w:tc>
          <w:tcPr>
            <w:tcW w:w="2109" w:type="pct"/>
            <w:gridSpan w:val="2"/>
            <w:shd w:val="clear" w:color="auto" w:fill="auto"/>
            <w:vAlign w:val="center"/>
          </w:tcPr>
          <w:p w:rsidR="00C0077F" w:rsidRPr="001875EC" w:rsidRDefault="00C009C9" w:rsidP="00C009C9">
            <w:pPr>
              <w:keepNext/>
              <w:jc w:val="center"/>
              <w:rPr>
                <w:rFonts w:ascii="Arial Narrow" w:hAnsi="Arial Narrow"/>
                <w:sz w:val="20"/>
                <w:lang w:val="en-US"/>
              </w:rPr>
            </w:pPr>
            <w:r w:rsidRPr="001875EC">
              <w:rPr>
                <w:rFonts w:ascii="Arial Narrow" w:hAnsi="Arial Narrow"/>
                <w:sz w:val="20"/>
                <w:lang w:val="en-US"/>
              </w:rPr>
              <w:t>Median n</w:t>
            </w:r>
            <w:r w:rsidR="00C0077F" w:rsidRPr="001875EC">
              <w:rPr>
                <w:rFonts w:ascii="Arial Narrow" w:hAnsi="Arial Narrow"/>
                <w:sz w:val="20"/>
                <w:lang w:val="en-US"/>
              </w:rPr>
              <w:t>ot yet reached</w:t>
            </w:r>
          </w:p>
        </w:tc>
        <w:tc>
          <w:tcPr>
            <w:tcW w:w="951" w:type="pct"/>
            <w:shd w:val="clear" w:color="auto" w:fill="auto"/>
            <w:vAlign w:val="center"/>
          </w:tcPr>
          <w:p w:rsidR="00C0077F" w:rsidRPr="001875EC" w:rsidRDefault="00C0077F" w:rsidP="00C0077F">
            <w:pPr>
              <w:keepNext/>
              <w:jc w:val="center"/>
              <w:rPr>
                <w:rFonts w:ascii="Arial Narrow" w:hAnsi="Arial Narrow"/>
                <w:sz w:val="20"/>
                <w:lang w:val="en-US"/>
              </w:rPr>
            </w:pPr>
            <w:r w:rsidRPr="001875EC">
              <w:rPr>
                <w:rFonts w:ascii="Arial Narrow" w:hAnsi="Arial Narrow"/>
                <w:sz w:val="20"/>
                <w:lang w:val="en-US"/>
              </w:rPr>
              <w:t>Not calculable</w:t>
            </w:r>
          </w:p>
        </w:tc>
        <w:tc>
          <w:tcPr>
            <w:tcW w:w="926" w:type="pct"/>
            <w:shd w:val="clear" w:color="auto" w:fill="auto"/>
            <w:vAlign w:val="center"/>
          </w:tcPr>
          <w:p w:rsidR="00C0077F" w:rsidRPr="001875EC" w:rsidRDefault="00C0077F" w:rsidP="00C0077F">
            <w:pPr>
              <w:keepNext/>
              <w:jc w:val="center"/>
              <w:rPr>
                <w:rFonts w:ascii="Arial Narrow" w:hAnsi="Arial Narrow"/>
                <w:sz w:val="20"/>
                <w:lang w:val="en-US"/>
              </w:rPr>
            </w:pPr>
            <w:r w:rsidRPr="001875EC">
              <w:rPr>
                <w:rFonts w:ascii="Arial Narrow" w:hAnsi="Arial Narrow"/>
                <w:sz w:val="20"/>
                <w:lang w:val="en-US"/>
              </w:rPr>
              <w:t>0.802 (0.539, 1.194)</w:t>
            </w:r>
          </w:p>
        </w:tc>
      </w:tr>
    </w:tbl>
    <w:p w:rsidR="00C009C9" w:rsidRPr="001875EC" w:rsidRDefault="00C009C9" w:rsidP="00F8582E">
      <w:pPr>
        <w:pStyle w:val="TableFooter"/>
        <w:ind w:left="709"/>
      </w:pPr>
      <w:r w:rsidRPr="001875EC">
        <w:t>BSC = best supportive care.</w:t>
      </w:r>
    </w:p>
    <w:p w:rsidR="00C0077F" w:rsidRPr="00251BFD" w:rsidRDefault="00C0077F" w:rsidP="00F8582E">
      <w:pPr>
        <w:pStyle w:val="TableFooter"/>
        <w:ind w:left="709"/>
        <w:rPr>
          <w:szCs w:val="18"/>
        </w:rPr>
      </w:pPr>
      <w:r w:rsidRPr="00251BFD">
        <w:rPr>
          <w:szCs w:val="18"/>
        </w:rPr>
        <w:t>Source: Table 34, p75 and Table 38, p81 of the submission</w:t>
      </w:r>
    </w:p>
    <w:p w:rsidR="00C0077F" w:rsidRDefault="00251BFD" w:rsidP="00F8582E">
      <w:pPr>
        <w:ind w:left="709"/>
        <w:rPr>
          <w:rFonts w:ascii="Arial Narrow" w:hAnsi="Arial Narrow"/>
          <w:i/>
          <w:sz w:val="18"/>
          <w:szCs w:val="18"/>
        </w:rPr>
      </w:pPr>
      <w:proofErr w:type="gramStart"/>
      <w:r w:rsidRPr="00251BFD">
        <w:rPr>
          <w:rFonts w:ascii="Arial Narrow" w:hAnsi="Arial Narrow"/>
          <w:sz w:val="18"/>
          <w:szCs w:val="18"/>
          <w:vertAlign w:val="superscript"/>
        </w:rPr>
        <w:t>a</w:t>
      </w:r>
      <w:proofErr w:type="gramEnd"/>
      <w:r w:rsidRPr="00251BFD">
        <w:rPr>
          <w:rFonts w:ascii="Arial Narrow" w:hAnsi="Arial Narrow"/>
          <w:sz w:val="18"/>
          <w:szCs w:val="18"/>
        </w:rPr>
        <w:t xml:space="preserve"> </w:t>
      </w:r>
      <w:r w:rsidRPr="00251BFD">
        <w:rPr>
          <w:rFonts w:ascii="Arial Narrow" w:hAnsi="Arial Narrow"/>
          <w:i/>
          <w:sz w:val="18"/>
          <w:szCs w:val="18"/>
        </w:rPr>
        <w:t>ITT results, not adjusted for cross-over.</w:t>
      </w:r>
      <w:r w:rsidR="005B6164">
        <w:rPr>
          <w:rFonts w:ascii="Arial Narrow" w:hAnsi="Arial Narrow"/>
          <w:i/>
          <w:sz w:val="18"/>
          <w:szCs w:val="18"/>
        </w:rPr>
        <w:t xml:space="preserve"> </w:t>
      </w:r>
    </w:p>
    <w:p w:rsidR="000F6963" w:rsidRDefault="000F6963" w:rsidP="000F6963">
      <w:pPr>
        <w:pStyle w:val="ListParagraph"/>
        <w:widowControl/>
        <w:ind w:left="709"/>
        <w:rPr>
          <w:i/>
          <w:szCs w:val="22"/>
        </w:rPr>
      </w:pPr>
    </w:p>
    <w:p w:rsidR="001250AC" w:rsidRPr="00DC2B75" w:rsidRDefault="002C7929" w:rsidP="0001306F">
      <w:pPr>
        <w:pStyle w:val="ListParagraph"/>
        <w:widowControl/>
        <w:numPr>
          <w:ilvl w:val="1"/>
          <w:numId w:val="1"/>
        </w:numPr>
        <w:rPr>
          <w:szCs w:val="22"/>
        </w:rPr>
      </w:pPr>
      <w:r w:rsidRPr="00DC2B75">
        <w:rPr>
          <w:szCs w:val="22"/>
        </w:rPr>
        <w:lastRenderedPageBreak/>
        <w:t xml:space="preserve">The submission attempted to adjust for </w:t>
      </w:r>
      <w:r w:rsidR="00F045DE" w:rsidRPr="00DC2B75">
        <w:rPr>
          <w:szCs w:val="22"/>
        </w:rPr>
        <w:t xml:space="preserve">the substantial </w:t>
      </w:r>
      <w:r w:rsidRPr="00DC2B75">
        <w:rPr>
          <w:szCs w:val="22"/>
        </w:rPr>
        <w:t xml:space="preserve">cross-over using two statistical methods: the Rank Preserving Structural Failure Time (RPSFT) and the Iterative Parameter Estimation (IPE) method. </w:t>
      </w:r>
      <w:r w:rsidR="001250AC" w:rsidRPr="00DC2B75">
        <w:rPr>
          <w:szCs w:val="22"/>
        </w:rPr>
        <w:t>The ESC considered that RPSFT would provide a more reliable estimate of OS than IPE in this particular data</w:t>
      </w:r>
      <w:r w:rsidR="00F045DE" w:rsidRPr="00DC2B75">
        <w:rPr>
          <w:szCs w:val="22"/>
        </w:rPr>
        <w:noBreakHyphen/>
      </w:r>
      <w:r w:rsidR="001250AC" w:rsidRPr="00DC2B75">
        <w:rPr>
          <w:szCs w:val="22"/>
        </w:rPr>
        <w:t>set. The RPSFT</w:t>
      </w:r>
      <w:r w:rsidR="00223375" w:rsidRPr="00DC2B75">
        <w:rPr>
          <w:szCs w:val="22"/>
        </w:rPr>
        <w:noBreakHyphen/>
      </w:r>
      <w:r w:rsidR="001250AC" w:rsidRPr="00DC2B75">
        <w:rPr>
          <w:szCs w:val="22"/>
        </w:rPr>
        <w:t xml:space="preserve">adjusted hazard ratio for OS is </w:t>
      </w:r>
      <w:r w:rsidR="002E19FB">
        <w:rPr>
          <w:noProof/>
          <w:color w:val="000000"/>
          <w:szCs w:val="22"/>
          <w:highlight w:val="black"/>
        </w:rPr>
        <w:t>''''''''''''' '''''''''''''''' ''''''''''''''''</w:t>
      </w:r>
      <w:r w:rsidR="001250AC" w:rsidRPr="00DC2B75">
        <w:rPr>
          <w:szCs w:val="22"/>
        </w:rPr>
        <w:t xml:space="preserve">. However, the difference in OS </w:t>
      </w:r>
      <w:r w:rsidR="00616029">
        <w:rPr>
          <w:szCs w:val="22"/>
        </w:rPr>
        <w:t xml:space="preserve">attributed to </w:t>
      </w:r>
      <w:proofErr w:type="spellStart"/>
      <w:r w:rsidR="001250AC" w:rsidRPr="00DC2B75">
        <w:rPr>
          <w:szCs w:val="22"/>
        </w:rPr>
        <w:t>sorafenib</w:t>
      </w:r>
      <w:proofErr w:type="spellEnd"/>
      <w:r w:rsidR="001250AC" w:rsidRPr="00DC2B75">
        <w:rPr>
          <w:szCs w:val="22"/>
        </w:rPr>
        <w:t xml:space="preserve"> was </w:t>
      </w:r>
      <w:r w:rsidR="00616029">
        <w:rPr>
          <w:szCs w:val="22"/>
        </w:rPr>
        <w:t>ultimately</w:t>
      </w:r>
      <w:r w:rsidR="00616029" w:rsidRPr="00DC2B75">
        <w:rPr>
          <w:szCs w:val="22"/>
        </w:rPr>
        <w:t xml:space="preserve"> </w:t>
      </w:r>
      <w:proofErr w:type="gramStart"/>
      <w:r w:rsidR="001250AC" w:rsidRPr="00DC2B75">
        <w:rPr>
          <w:szCs w:val="22"/>
        </w:rPr>
        <w:t xml:space="preserve">still </w:t>
      </w:r>
      <w:r w:rsidR="00616029">
        <w:rPr>
          <w:szCs w:val="22"/>
        </w:rPr>
        <w:t xml:space="preserve"> an</w:t>
      </w:r>
      <w:proofErr w:type="gramEnd"/>
      <w:r w:rsidR="00616029">
        <w:rPr>
          <w:szCs w:val="22"/>
        </w:rPr>
        <w:t xml:space="preserve"> estimation. Unlike </w:t>
      </w:r>
      <w:r w:rsidR="0070284E">
        <w:rPr>
          <w:szCs w:val="22"/>
        </w:rPr>
        <w:t xml:space="preserve">other </w:t>
      </w:r>
      <w:r w:rsidR="00616029">
        <w:rPr>
          <w:szCs w:val="22"/>
        </w:rPr>
        <w:t>cancer</w:t>
      </w:r>
      <w:r w:rsidR="0070284E">
        <w:rPr>
          <w:szCs w:val="22"/>
        </w:rPr>
        <w:t>s</w:t>
      </w:r>
      <w:r w:rsidR="00616029">
        <w:rPr>
          <w:szCs w:val="22"/>
        </w:rPr>
        <w:t xml:space="preserve">, there are no published </w:t>
      </w:r>
      <w:r w:rsidR="0070284E">
        <w:rPr>
          <w:szCs w:val="22"/>
        </w:rPr>
        <w:t xml:space="preserve">drug </w:t>
      </w:r>
      <w:r w:rsidR="00616029">
        <w:rPr>
          <w:szCs w:val="22"/>
        </w:rPr>
        <w:t xml:space="preserve">trials </w:t>
      </w:r>
      <w:r w:rsidR="0070284E">
        <w:rPr>
          <w:szCs w:val="22"/>
        </w:rPr>
        <w:t>for metastatic thyroid cancer</w:t>
      </w:r>
      <w:r w:rsidR="00616029">
        <w:rPr>
          <w:szCs w:val="22"/>
        </w:rPr>
        <w:t xml:space="preserve"> </w:t>
      </w:r>
      <w:r w:rsidR="0070284E">
        <w:rPr>
          <w:szCs w:val="22"/>
        </w:rPr>
        <w:t>show that a</w:t>
      </w:r>
      <w:r w:rsidR="00616029">
        <w:rPr>
          <w:szCs w:val="22"/>
        </w:rPr>
        <w:t xml:space="preserve"> given change in PFS would reliably translate into a survival gain.</w:t>
      </w:r>
    </w:p>
    <w:p w:rsidR="00F045DE" w:rsidRPr="00DC2B75" w:rsidRDefault="00F045DE" w:rsidP="00114481">
      <w:pPr>
        <w:pStyle w:val="ListParagraph"/>
        <w:widowControl/>
        <w:ind w:left="709"/>
        <w:rPr>
          <w:szCs w:val="22"/>
        </w:rPr>
      </w:pPr>
    </w:p>
    <w:p w:rsidR="00114481" w:rsidRPr="00DC2B75" w:rsidRDefault="00114481" w:rsidP="0001306F">
      <w:pPr>
        <w:pStyle w:val="ListParagraph"/>
        <w:widowControl/>
        <w:numPr>
          <w:ilvl w:val="1"/>
          <w:numId w:val="1"/>
        </w:numPr>
      </w:pPr>
      <w:r w:rsidRPr="00DC2B75">
        <w:t xml:space="preserve">The DECISION trial allowed continued use of </w:t>
      </w:r>
      <w:proofErr w:type="spellStart"/>
      <w:r w:rsidRPr="00DC2B75">
        <w:t>sorafenib</w:t>
      </w:r>
      <w:proofErr w:type="spellEnd"/>
      <w:r w:rsidRPr="00DC2B75">
        <w:t xml:space="preserve"> post-progression. Therefore OS with </w:t>
      </w:r>
      <w:proofErr w:type="spellStart"/>
      <w:r w:rsidRPr="00DC2B75">
        <w:t>sorafenib</w:t>
      </w:r>
      <w:proofErr w:type="spellEnd"/>
      <w:r w:rsidRPr="00DC2B75">
        <w:t xml:space="preserve"> may be lower in clinical practice if the PBS restriction does not allow post-progression use of </w:t>
      </w:r>
      <w:proofErr w:type="spellStart"/>
      <w:r w:rsidRPr="00DC2B75">
        <w:t>sorafenib</w:t>
      </w:r>
      <w:proofErr w:type="spellEnd"/>
      <w:r w:rsidRPr="00DC2B75">
        <w:t xml:space="preserve">. </w:t>
      </w:r>
    </w:p>
    <w:p w:rsidR="00114481" w:rsidRPr="00DC2B75" w:rsidRDefault="00114481" w:rsidP="00114481">
      <w:pPr>
        <w:pStyle w:val="ListParagraph"/>
        <w:rPr>
          <w:szCs w:val="22"/>
        </w:rPr>
      </w:pPr>
    </w:p>
    <w:p w:rsidR="00F045DE" w:rsidRDefault="00F045DE" w:rsidP="0001306F">
      <w:pPr>
        <w:pStyle w:val="ListParagraph"/>
        <w:widowControl/>
        <w:numPr>
          <w:ilvl w:val="1"/>
          <w:numId w:val="1"/>
        </w:numPr>
        <w:rPr>
          <w:szCs w:val="22"/>
        </w:rPr>
      </w:pPr>
      <w:r w:rsidRPr="00DC2B75">
        <w:rPr>
          <w:szCs w:val="22"/>
        </w:rPr>
        <w:t>Thus the ESC considered that, based on the trial results</w:t>
      </w:r>
      <w:r w:rsidR="009B3340" w:rsidRPr="00DC2B75">
        <w:rPr>
          <w:szCs w:val="22"/>
        </w:rPr>
        <w:t xml:space="preserve"> and given the high degree of cross-over</w:t>
      </w:r>
      <w:r w:rsidRPr="00DC2B75">
        <w:rPr>
          <w:szCs w:val="22"/>
        </w:rPr>
        <w:t>, it is difficult to tell whether the observed increase in PFS will</w:t>
      </w:r>
      <w:r w:rsidR="009B3340" w:rsidRPr="00DC2B75">
        <w:rPr>
          <w:szCs w:val="22"/>
        </w:rPr>
        <w:t xml:space="preserve"> translate to an increase in OS</w:t>
      </w:r>
      <w:r w:rsidRPr="00DC2B75">
        <w:rPr>
          <w:szCs w:val="22"/>
        </w:rPr>
        <w:t>.</w:t>
      </w:r>
    </w:p>
    <w:p w:rsidR="005A1132" w:rsidRPr="005A1132" w:rsidRDefault="005A1132" w:rsidP="005A1132">
      <w:pPr>
        <w:pStyle w:val="ListParagraph"/>
        <w:rPr>
          <w:szCs w:val="22"/>
        </w:rPr>
      </w:pPr>
    </w:p>
    <w:p w:rsidR="005A1132" w:rsidRPr="005A1132" w:rsidRDefault="005A1132" w:rsidP="005A1132">
      <w:pPr>
        <w:pStyle w:val="ListParagraph"/>
        <w:ind w:left="709"/>
        <w:rPr>
          <w:i/>
          <w:szCs w:val="22"/>
        </w:rPr>
      </w:pPr>
      <w:r>
        <w:rPr>
          <w:i/>
          <w:szCs w:val="22"/>
        </w:rPr>
        <w:t>For more detail on PBAC’s view, see section 7 “PBAC outcome”</w:t>
      </w:r>
    </w:p>
    <w:p w:rsidR="00703D6D" w:rsidRDefault="00703D6D" w:rsidP="0001306F">
      <w:bookmarkStart w:id="14" w:name="_Toc388368961"/>
    </w:p>
    <w:p w:rsidR="00C0077F" w:rsidRPr="0001306F" w:rsidRDefault="00C0077F" w:rsidP="0001306F">
      <w:pPr>
        <w:widowControl/>
        <w:rPr>
          <w:rFonts w:cs="Times New Roman"/>
          <w:b/>
          <w:i/>
          <w:snapToGrid/>
          <w:szCs w:val="22"/>
          <w:lang w:eastAsia="en-AU"/>
        </w:rPr>
      </w:pPr>
      <w:r w:rsidRPr="0001306F">
        <w:rPr>
          <w:rFonts w:cs="Times New Roman"/>
          <w:b/>
          <w:i/>
          <w:snapToGrid/>
          <w:szCs w:val="22"/>
          <w:lang w:eastAsia="en-AU"/>
        </w:rPr>
        <w:t>Comparative harms</w:t>
      </w:r>
      <w:bookmarkEnd w:id="14"/>
    </w:p>
    <w:p w:rsidR="00C0077F" w:rsidRPr="001875EC" w:rsidRDefault="00C0077F" w:rsidP="00C0077F">
      <w:pPr>
        <w:ind w:left="720" w:hanging="720"/>
        <w:rPr>
          <w:szCs w:val="22"/>
        </w:rPr>
      </w:pPr>
    </w:p>
    <w:p w:rsidR="00C0077F" w:rsidRPr="001875EC" w:rsidRDefault="00C0077F" w:rsidP="0001306F">
      <w:pPr>
        <w:pStyle w:val="ListParagraph"/>
        <w:widowControl/>
        <w:numPr>
          <w:ilvl w:val="1"/>
          <w:numId w:val="1"/>
        </w:numPr>
        <w:rPr>
          <w:szCs w:val="22"/>
        </w:rPr>
      </w:pPr>
      <w:r w:rsidRPr="001875EC">
        <w:t xml:space="preserve">Dose modifications were common among patients </w:t>
      </w:r>
      <w:r w:rsidR="00B22375">
        <w:t>who received</w:t>
      </w:r>
      <w:r w:rsidRPr="001875EC">
        <w:t xml:space="preserve"> </w:t>
      </w:r>
      <w:proofErr w:type="spellStart"/>
      <w:r w:rsidRPr="001875EC">
        <w:t>sorafenib</w:t>
      </w:r>
      <w:proofErr w:type="spellEnd"/>
      <w:r w:rsidRPr="001875EC">
        <w:t xml:space="preserve"> (86.0%)</w:t>
      </w:r>
      <w:r w:rsidR="00B22375">
        <w:t xml:space="preserve">, and </w:t>
      </w:r>
      <w:r w:rsidRPr="001875EC">
        <w:t>60% of patients requir</w:t>
      </w:r>
      <w:r w:rsidR="00B22375">
        <w:t>ed</w:t>
      </w:r>
      <w:r w:rsidRPr="001875EC">
        <w:t xml:space="preserve"> two or more interruptions to study medication.</w:t>
      </w:r>
    </w:p>
    <w:p w:rsidR="00C0077F" w:rsidRPr="001875EC" w:rsidRDefault="00C0077F" w:rsidP="00C0077F">
      <w:pPr>
        <w:widowControl/>
        <w:rPr>
          <w:szCs w:val="22"/>
        </w:rPr>
      </w:pPr>
    </w:p>
    <w:p w:rsidR="00C0077F" w:rsidRPr="001875EC" w:rsidRDefault="00C0077F" w:rsidP="0001306F">
      <w:pPr>
        <w:pStyle w:val="ListParagraph"/>
        <w:widowControl/>
        <w:numPr>
          <w:ilvl w:val="1"/>
          <w:numId w:val="1"/>
        </w:numPr>
        <w:rPr>
          <w:szCs w:val="22"/>
        </w:rPr>
      </w:pPr>
      <w:r w:rsidRPr="001875EC">
        <w:t xml:space="preserve">More than 70% of patients </w:t>
      </w:r>
      <w:r w:rsidR="00B22375">
        <w:t xml:space="preserve">who </w:t>
      </w:r>
      <w:r w:rsidRPr="001875EC">
        <w:t>receiv</w:t>
      </w:r>
      <w:r w:rsidR="00B22375">
        <w:t>ed</w:t>
      </w:r>
      <w:r w:rsidRPr="001875EC">
        <w:t xml:space="preserve"> </w:t>
      </w:r>
      <w:proofErr w:type="spellStart"/>
      <w:r w:rsidRPr="001875EC">
        <w:t>sorafenib</w:t>
      </w:r>
      <w:proofErr w:type="spellEnd"/>
      <w:r w:rsidRPr="001875EC">
        <w:t xml:space="preserve"> experienced at least one Grade 3 reaction or higher compared with 33% of patients </w:t>
      </w:r>
      <w:r w:rsidR="00B22375">
        <w:t xml:space="preserve">who </w:t>
      </w:r>
      <w:r w:rsidRPr="001875EC">
        <w:t>receiv</w:t>
      </w:r>
      <w:r w:rsidR="00B22375">
        <w:t>ed</w:t>
      </w:r>
      <w:r w:rsidRPr="001875EC">
        <w:t xml:space="preserve"> </w:t>
      </w:r>
      <w:proofErr w:type="spellStart"/>
      <w:r w:rsidRPr="001875EC">
        <w:t>placebo</w:t>
      </w:r>
      <w:r w:rsidR="00C009C9" w:rsidRPr="001875EC">
        <w:t>+BSC</w:t>
      </w:r>
      <w:proofErr w:type="spellEnd"/>
      <w:r w:rsidRPr="001875EC">
        <w:t>.</w:t>
      </w:r>
    </w:p>
    <w:p w:rsidR="00C0077F" w:rsidRPr="001875EC" w:rsidRDefault="00C0077F" w:rsidP="00C0077F">
      <w:pPr>
        <w:pStyle w:val="ListParagraph"/>
        <w:rPr>
          <w:szCs w:val="22"/>
        </w:rPr>
      </w:pPr>
    </w:p>
    <w:p w:rsidR="00C0077F" w:rsidRPr="006740D0" w:rsidRDefault="00C0077F" w:rsidP="0001306F">
      <w:pPr>
        <w:pStyle w:val="ListParagraph"/>
        <w:widowControl/>
        <w:numPr>
          <w:ilvl w:val="1"/>
          <w:numId w:val="1"/>
        </w:numPr>
        <w:rPr>
          <w:szCs w:val="22"/>
        </w:rPr>
      </w:pPr>
      <w:r w:rsidRPr="001875EC">
        <w:t xml:space="preserve">The most common treatment emergent adverse events associated with </w:t>
      </w:r>
      <w:proofErr w:type="spellStart"/>
      <w:r w:rsidRPr="001875EC">
        <w:t>sorafenib</w:t>
      </w:r>
      <w:proofErr w:type="spellEnd"/>
      <w:r w:rsidRPr="001875EC">
        <w:t xml:space="preserve"> were hypertension (40.6%), </w:t>
      </w:r>
      <w:r w:rsidR="00B22375">
        <w:t>f</w:t>
      </w:r>
      <w:r w:rsidRPr="001875EC">
        <w:t xml:space="preserve">atigue (49.8%), </w:t>
      </w:r>
      <w:r w:rsidR="00B22375">
        <w:t>we</w:t>
      </w:r>
      <w:r w:rsidRPr="001875EC">
        <w:t xml:space="preserve">ight loss (46.9%), hand-foot skin reaction (76.3%) and diarrhoea (68.6%).  These were all considerably more common in the </w:t>
      </w:r>
      <w:proofErr w:type="spellStart"/>
      <w:r w:rsidRPr="001875EC">
        <w:t>sorafenib</w:t>
      </w:r>
      <w:proofErr w:type="spellEnd"/>
      <w:r w:rsidRPr="001875EC">
        <w:t xml:space="preserve"> arm compared with </w:t>
      </w:r>
      <w:proofErr w:type="spellStart"/>
      <w:r w:rsidRPr="001875EC">
        <w:t>placebo</w:t>
      </w:r>
      <w:r w:rsidR="00C009C9" w:rsidRPr="001875EC">
        <w:t>+BSC</w:t>
      </w:r>
      <w:proofErr w:type="spellEnd"/>
      <w:r w:rsidR="006740D0">
        <w:t>.</w:t>
      </w:r>
    </w:p>
    <w:p w:rsidR="006740D0" w:rsidRPr="00F363CC" w:rsidRDefault="006740D0" w:rsidP="006740D0">
      <w:pPr>
        <w:pStyle w:val="ListParagraph"/>
        <w:rPr>
          <w:szCs w:val="22"/>
        </w:rPr>
      </w:pPr>
    </w:p>
    <w:p w:rsidR="002A0EF2" w:rsidRPr="00F363CC" w:rsidRDefault="006740D0" w:rsidP="0001306F">
      <w:pPr>
        <w:pStyle w:val="ListParagraph"/>
        <w:widowControl/>
        <w:numPr>
          <w:ilvl w:val="1"/>
          <w:numId w:val="1"/>
        </w:numPr>
        <w:rPr>
          <w:szCs w:val="22"/>
        </w:rPr>
      </w:pPr>
      <w:r w:rsidRPr="00F363CC">
        <w:rPr>
          <w:szCs w:val="22"/>
        </w:rPr>
        <w:t>The ESC noted the significant adverse event</w:t>
      </w:r>
      <w:r w:rsidR="008536B6" w:rsidRPr="00F363CC">
        <w:rPr>
          <w:szCs w:val="22"/>
        </w:rPr>
        <w:t xml:space="preserve"> profile of</w:t>
      </w:r>
      <w:r w:rsidRPr="00F363CC">
        <w:rPr>
          <w:szCs w:val="22"/>
        </w:rPr>
        <w:t xml:space="preserve"> </w:t>
      </w:r>
      <w:proofErr w:type="spellStart"/>
      <w:r w:rsidRPr="00F363CC">
        <w:rPr>
          <w:szCs w:val="22"/>
        </w:rPr>
        <w:t>sorafenib</w:t>
      </w:r>
      <w:proofErr w:type="spellEnd"/>
      <w:r w:rsidR="002A0EF2" w:rsidRPr="00F363CC">
        <w:rPr>
          <w:szCs w:val="22"/>
        </w:rPr>
        <w:t>:</w:t>
      </w:r>
      <w:r w:rsidRPr="00F363CC">
        <w:rPr>
          <w:szCs w:val="22"/>
        </w:rPr>
        <w:t xml:space="preserve"> </w:t>
      </w:r>
    </w:p>
    <w:p w:rsidR="002A0EF2" w:rsidRPr="00F363CC" w:rsidRDefault="006740D0" w:rsidP="00F82597">
      <w:pPr>
        <w:pStyle w:val="ListParagraph"/>
        <w:widowControl/>
        <w:numPr>
          <w:ilvl w:val="0"/>
          <w:numId w:val="8"/>
        </w:numPr>
        <w:rPr>
          <w:szCs w:val="22"/>
        </w:rPr>
      </w:pPr>
      <w:r w:rsidRPr="00F363CC">
        <w:rPr>
          <w:szCs w:val="22"/>
        </w:rPr>
        <w:t>66.2% of patients ha</w:t>
      </w:r>
      <w:r w:rsidR="001B63BF" w:rsidRPr="00F363CC">
        <w:rPr>
          <w:szCs w:val="22"/>
        </w:rPr>
        <w:t>d</w:t>
      </w:r>
      <w:r w:rsidRPr="00F363CC">
        <w:rPr>
          <w:szCs w:val="22"/>
        </w:rPr>
        <w:t xml:space="preserve"> an interruption to therapy in the </w:t>
      </w:r>
      <w:proofErr w:type="spellStart"/>
      <w:r w:rsidRPr="00F363CC">
        <w:rPr>
          <w:szCs w:val="22"/>
        </w:rPr>
        <w:t>sorafenib</w:t>
      </w:r>
      <w:proofErr w:type="spellEnd"/>
      <w:r w:rsidRPr="00F363CC">
        <w:rPr>
          <w:szCs w:val="22"/>
        </w:rPr>
        <w:t xml:space="preserve"> arm, compared </w:t>
      </w:r>
      <w:r w:rsidR="001B63BF" w:rsidRPr="00F363CC">
        <w:rPr>
          <w:szCs w:val="22"/>
        </w:rPr>
        <w:t>with</w:t>
      </w:r>
      <w:r w:rsidRPr="00F363CC">
        <w:rPr>
          <w:szCs w:val="22"/>
        </w:rPr>
        <w:t xml:space="preserve"> </w:t>
      </w:r>
      <w:r w:rsidR="00FD103B" w:rsidRPr="00F363CC">
        <w:rPr>
          <w:szCs w:val="22"/>
        </w:rPr>
        <w:t xml:space="preserve">25.8% in the placebo arm; and </w:t>
      </w:r>
    </w:p>
    <w:p w:rsidR="006740D0" w:rsidRPr="00F363CC" w:rsidRDefault="00FD103B" w:rsidP="00F82597">
      <w:pPr>
        <w:pStyle w:val="ListParagraph"/>
        <w:widowControl/>
        <w:numPr>
          <w:ilvl w:val="0"/>
          <w:numId w:val="8"/>
        </w:numPr>
        <w:rPr>
          <w:szCs w:val="22"/>
        </w:rPr>
      </w:pPr>
      <w:r w:rsidRPr="00F363CC">
        <w:rPr>
          <w:szCs w:val="22"/>
        </w:rPr>
        <w:t xml:space="preserve">18.8% of patients in the </w:t>
      </w:r>
      <w:proofErr w:type="spellStart"/>
      <w:r w:rsidRPr="00F363CC">
        <w:rPr>
          <w:szCs w:val="22"/>
        </w:rPr>
        <w:t>sorafenib</w:t>
      </w:r>
      <w:proofErr w:type="spellEnd"/>
      <w:r w:rsidRPr="00F363CC">
        <w:rPr>
          <w:szCs w:val="22"/>
        </w:rPr>
        <w:t xml:space="preserve"> arm withdrew </w:t>
      </w:r>
      <w:r w:rsidR="008536B6" w:rsidRPr="00F363CC">
        <w:rPr>
          <w:szCs w:val="22"/>
        </w:rPr>
        <w:t xml:space="preserve">due to adverse events </w:t>
      </w:r>
      <w:r w:rsidRPr="00F363CC">
        <w:rPr>
          <w:szCs w:val="22"/>
        </w:rPr>
        <w:t xml:space="preserve">compared </w:t>
      </w:r>
      <w:r w:rsidR="008536B6" w:rsidRPr="00F363CC">
        <w:rPr>
          <w:szCs w:val="22"/>
        </w:rPr>
        <w:t>with</w:t>
      </w:r>
      <w:r w:rsidRPr="00F363CC">
        <w:rPr>
          <w:szCs w:val="22"/>
        </w:rPr>
        <w:t xml:space="preserve"> 3.8% in the placebo arm</w:t>
      </w:r>
      <w:r w:rsidR="006740D0" w:rsidRPr="00F363CC">
        <w:rPr>
          <w:szCs w:val="22"/>
        </w:rPr>
        <w:t>.</w:t>
      </w:r>
    </w:p>
    <w:p w:rsidR="00C0077F" w:rsidRPr="001875EC" w:rsidRDefault="00C0077F" w:rsidP="00C0077F">
      <w:pPr>
        <w:pStyle w:val="ListParagraph"/>
        <w:ind w:left="0"/>
        <w:rPr>
          <w:szCs w:val="22"/>
        </w:rPr>
      </w:pPr>
    </w:p>
    <w:p w:rsidR="00C0077F" w:rsidRPr="0001306F" w:rsidRDefault="00C0077F" w:rsidP="0001306F">
      <w:pPr>
        <w:widowControl/>
        <w:rPr>
          <w:rFonts w:cs="Times New Roman"/>
          <w:b/>
          <w:i/>
          <w:snapToGrid/>
          <w:szCs w:val="22"/>
          <w:lang w:eastAsia="en-AU"/>
        </w:rPr>
      </w:pPr>
      <w:bookmarkStart w:id="15" w:name="_Toc388368962"/>
      <w:r w:rsidRPr="0001306F">
        <w:rPr>
          <w:rFonts w:cs="Times New Roman"/>
          <w:b/>
          <w:i/>
          <w:snapToGrid/>
          <w:szCs w:val="22"/>
          <w:lang w:eastAsia="en-AU"/>
        </w:rPr>
        <w:t>Benefits/harms</w:t>
      </w:r>
      <w:bookmarkEnd w:id="15"/>
    </w:p>
    <w:p w:rsidR="00C0077F" w:rsidRPr="001875EC" w:rsidRDefault="00C0077F" w:rsidP="00C0077F">
      <w:pPr>
        <w:pStyle w:val="ListParagraph"/>
        <w:ind w:left="0"/>
        <w:rPr>
          <w:szCs w:val="22"/>
        </w:rPr>
      </w:pPr>
    </w:p>
    <w:p w:rsidR="00C0077F" w:rsidRPr="001875EC" w:rsidRDefault="00C0077F" w:rsidP="0001306F">
      <w:pPr>
        <w:pStyle w:val="ListParagraph"/>
        <w:widowControl/>
        <w:numPr>
          <w:ilvl w:val="1"/>
          <w:numId w:val="1"/>
        </w:numPr>
        <w:rPr>
          <w:szCs w:val="22"/>
        </w:rPr>
      </w:pPr>
      <w:r w:rsidRPr="001875EC">
        <w:rPr>
          <w:szCs w:val="22"/>
        </w:rPr>
        <w:t xml:space="preserve">A summary of the comparative benefits and harms for </w:t>
      </w:r>
      <w:proofErr w:type="spellStart"/>
      <w:r w:rsidR="00C009C9" w:rsidRPr="001875EC">
        <w:rPr>
          <w:szCs w:val="22"/>
        </w:rPr>
        <w:t>sorafenib</w:t>
      </w:r>
      <w:proofErr w:type="spellEnd"/>
      <w:r w:rsidRPr="001875EC">
        <w:rPr>
          <w:szCs w:val="22"/>
        </w:rPr>
        <w:t xml:space="preserve"> versus </w:t>
      </w:r>
      <w:proofErr w:type="spellStart"/>
      <w:r w:rsidR="00C009C9" w:rsidRPr="001875EC">
        <w:rPr>
          <w:szCs w:val="22"/>
        </w:rPr>
        <w:t>placebo+BSC</w:t>
      </w:r>
      <w:proofErr w:type="spellEnd"/>
      <w:r w:rsidRPr="001875EC">
        <w:rPr>
          <w:szCs w:val="22"/>
        </w:rPr>
        <w:t xml:space="preserve"> is presented </w:t>
      </w:r>
      <w:r w:rsidR="00717CC7">
        <w:rPr>
          <w:szCs w:val="22"/>
        </w:rPr>
        <w:t>below</w:t>
      </w:r>
      <w:r w:rsidRPr="001875EC">
        <w:rPr>
          <w:szCs w:val="22"/>
        </w:rPr>
        <w:t>.</w:t>
      </w:r>
    </w:p>
    <w:p w:rsidR="007803BD" w:rsidRPr="001875EC" w:rsidRDefault="007803BD">
      <w:pPr>
        <w:widowControl/>
        <w:jc w:val="left"/>
        <w:rPr>
          <w:rStyle w:val="CommentReference"/>
          <w:bCs/>
        </w:rPr>
      </w:pPr>
    </w:p>
    <w:p w:rsidR="00FE17B7" w:rsidRPr="001875EC" w:rsidRDefault="00FE17B7" w:rsidP="00F8582E">
      <w:pPr>
        <w:pStyle w:val="Caption"/>
        <w:keepNext/>
        <w:keepLines/>
        <w:spacing w:after="0"/>
        <w:ind w:firstLine="709"/>
        <w:rPr>
          <w:rStyle w:val="CommentReference"/>
          <w:b/>
          <w:color w:val="auto"/>
        </w:rPr>
      </w:pPr>
      <w:r w:rsidRPr="001875EC">
        <w:rPr>
          <w:rStyle w:val="CommentReference"/>
          <w:b/>
          <w:color w:val="auto"/>
        </w:rPr>
        <w:lastRenderedPageBreak/>
        <w:t xml:space="preserve">Summary of comparative benefits and harms for </w:t>
      </w:r>
      <w:proofErr w:type="spellStart"/>
      <w:r w:rsidRPr="001875EC">
        <w:rPr>
          <w:rStyle w:val="CommentReference"/>
          <w:b/>
          <w:color w:val="auto"/>
        </w:rPr>
        <w:t>sorafenib</w:t>
      </w:r>
      <w:proofErr w:type="spellEnd"/>
      <w:r w:rsidRPr="001875EC">
        <w:rPr>
          <w:rStyle w:val="CommentReference"/>
          <w:b/>
          <w:color w:val="auto"/>
        </w:rPr>
        <w:t xml:space="preserve"> and </w:t>
      </w:r>
      <w:proofErr w:type="spellStart"/>
      <w:r w:rsidRPr="001875EC">
        <w:rPr>
          <w:rStyle w:val="CommentReference"/>
          <w:b/>
          <w:color w:val="auto"/>
        </w:rPr>
        <w:t>placebo</w:t>
      </w:r>
      <w:r w:rsidR="00C009C9" w:rsidRPr="001875EC">
        <w:rPr>
          <w:rStyle w:val="CommentReference"/>
          <w:b/>
          <w:color w:val="auto"/>
        </w:rPr>
        <w:t>+BSC</w:t>
      </w:r>
      <w:proofErr w:type="spellEnd"/>
    </w:p>
    <w:tbl>
      <w:tblPr>
        <w:tblStyle w:val="TableGrid"/>
        <w:tblW w:w="4644" w:type="pct"/>
        <w:tblInd w:w="737" w:type="dxa"/>
        <w:tblCellMar>
          <w:left w:w="28" w:type="dxa"/>
          <w:right w:w="28" w:type="dxa"/>
        </w:tblCellMar>
        <w:tblLook w:val="04A0" w:firstRow="1" w:lastRow="0" w:firstColumn="1" w:lastColumn="0" w:noHBand="0" w:noVBand="1"/>
        <w:tblDescription w:val="Summary of comparative benefits and harms for sorafenib and placebo+BSC"/>
      </w:tblPr>
      <w:tblGrid>
        <w:gridCol w:w="850"/>
        <w:gridCol w:w="1135"/>
        <w:gridCol w:w="1274"/>
        <w:gridCol w:w="1164"/>
        <w:gridCol w:w="591"/>
        <w:gridCol w:w="825"/>
        <w:gridCol w:w="849"/>
        <w:gridCol w:w="538"/>
        <w:gridCol w:w="1210"/>
      </w:tblGrid>
      <w:tr w:rsidR="00C0077F" w:rsidRPr="001875EC" w:rsidTr="006044B6">
        <w:trPr>
          <w:tblHeader/>
        </w:trPr>
        <w:tc>
          <w:tcPr>
            <w:tcW w:w="5000" w:type="pct"/>
            <w:gridSpan w:val="9"/>
            <w:shd w:val="clear" w:color="auto" w:fill="D9D9D9" w:themeFill="background1" w:themeFillShade="D9"/>
            <w:vAlign w:val="center"/>
          </w:tcPr>
          <w:p w:rsidR="00C0077F" w:rsidRPr="001875EC" w:rsidRDefault="00C0077F" w:rsidP="00B22375">
            <w:pPr>
              <w:keepNext/>
              <w:keepLines/>
              <w:rPr>
                <w:rFonts w:ascii="Arial Narrow" w:hAnsi="Arial Narrow"/>
                <w:b/>
                <w:color w:val="000000"/>
                <w:sz w:val="20"/>
                <w:szCs w:val="18"/>
              </w:rPr>
            </w:pPr>
            <w:r w:rsidRPr="001875EC">
              <w:rPr>
                <w:rFonts w:ascii="Arial Narrow" w:hAnsi="Arial Narrow"/>
                <w:b/>
                <w:color w:val="000000"/>
                <w:sz w:val="20"/>
                <w:szCs w:val="18"/>
              </w:rPr>
              <w:t>Benefits</w:t>
            </w:r>
          </w:p>
        </w:tc>
      </w:tr>
      <w:tr w:rsidR="00C0077F" w:rsidRPr="001875EC" w:rsidTr="00F8582E">
        <w:tc>
          <w:tcPr>
            <w:tcW w:w="5000" w:type="pct"/>
            <w:gridSpan w:val="9"/>
            <w:shd w:val="clear" w:color="auto" w:fill="auto"/>
            <w:vAlign w:val="center"/>
          </w:tcPr>
          <w:p w:rsidR="00C0077F" w:rsidRPr="001875EC" w:rsidRDefault="00C0077F" w:rsidP="00B22375">
            <w:pPr>
              <w:keepNext/>
              <w:keepLines/>
              <w:rPr>
                <w:rFonts w:ascii="Arial Narrow" w:hAnsi="Arial Narrow"/>
                <w:b/>
                <w:color w:val="000000"/>
                <w:sz w:val="20"/>
                <w:szCs w:val="18"/>
              </w:rPr>
            </w:pPr>
            <w:r w:rsidRPr="001875EC">
              <w:rPr>
                <w:rFonts w:ascii="Arial Narrow" w:hAnsi="Arial Narrow"/>
                <w:b/>
                <w:color w:val="000000"/>
                <w:sz w:val="20"/>
                <w:szCs w:val="18"/>
              </w:rPr>
              <w:t xml:space="preserve">Progression-free survival / Overall </w:t>
            </w:r>
            <w:proofErr w:type="spellStart"/>
            <w:r w:rsidRPr="001875EC">
              <w:rPr>
                <w:rFonts w:ascii="Arial Narrow" w:hAnsi="Arial Narrow"/>
                <w:b/>
                <w:color w:val="000000"/>
                <w:sz w:val="20"/>
                <w:szCs w:val="18"/>
              </w:rPr>
              <w:t>survival</w:t>
            </w:r>
            <w:r w:rsidRPr="001875EC">
              <w:rPr>
                <w:rFonts w:ascii="Arial Narrow" w:hAnsi="Arial Narrow"/>
                <w:b/>
                <w:color w:val="000000"/>
                <w:sz w:val="20"/>
                <w:szCs w:val="18"/>
                <w:vertAlign w:val="superscript"/>
              </w:rPr>
              <w:t>a</w:t>
            </w:r>
            <w:proofErr w:type="spellEnd"/>
          </w:p>
        </w:tc>
      </w:tr>
      <w:tr w:rsidR="00C0077F" w:rsidRPr="001875EC" w:rsidTr="00F8582E">
        <w:tc>
          <w:tcPr>
            <w:tcW w:w="1177" w:type="pct"/>
            <w:gridSpan w:val="2"/>
            <w:shd w:val="clear" w:color="auto" w:fill="auto"/>
            <w:vAlign w:val="center"/>
          </w:tcPr>
          <w:p w:rsidR="00C0077F" w:rsidRPr="001875EC" w:rsidRDefault="00C0077F" w:rsidP="00B22375">
            <w:pPr>
              <w:keepNext/>
              <w:keepLines/>
              <w:jc w:val="center"/>
              <w:rPr>
                <w:rFonts w:ascii="Arial Narrow" w:hAnsi="Arial Narrow"/>
                <w:color w:val="000000"/>
                <w:sz w:val="20"/>
                <w:szCs w:val="18"/>
              </w:rPr>
            </w:pPr>
          </w:p>
        </w:tc>
        <w:tc>
          <w:tcPr>
            <w:tcW w:w="755" w:type="pct"/>
            <w:vAlign w:val="center"/>
          </w:tcPr>
          <w:p w:rsidR="00C0077F" w:rsidRPr="001875EC" w:rsidRDefault="004944E7" w:rsidP="00B22375">
            <w:pPr>
              <w:keepNext/>
              <w:keepLines/>
              <w:jc w:val="center"/>
              <w:rPr>
                <w:rFonts w:ascii="Arial Narrow" w:hAnsi="Arial Narrow"/>
                <w:b/>
                <w:color w:val="000000"/>
                <w:sz w:val="20"/>
                <w:szCs w:val="18"/>
              </w:rPr>
            </w:pPr>
            <w:proofErr w:type="spellStart"/>
            <w:r w:rsidRPr="001875EC">
              <w:rPr>
                <w:rFonts w:ascii="Arial Narrow" w:hAnsi="Arial Narrow"/>
                <w:b/>
                <w:color w:val="000000"/>
                <w:sz w:val="20"/>
                <w:szCs w:val="18"/>
              </w:rPr>
              <w:t>Sorafenib</w:t>
            </w:r>
            <w:proofErr w:type="spellEnd"/>
          </w:p>
        </w:tc>
        <w:tc>
          <w:tcPr>
            <w:tcW w:w="1040" w:type="pct"/>
            <w:gridSpan w:val="2"/>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r w:rsidR="00C009C9" w:rsidRPr="001875EC">
              <w:rPr>
                <w:rFonts w:ascii="Arial Narrow" w:hAnsi="Arial Narrow"/>
                <w:b/>
                <w:color w:val="000000"/>
                <w:sz w:val="20"/>
                <w:szCs w:val="18"/>
              </w:rPr>
              <w:t>+BSC</w:t>
            </w:r>
          </w:p>
        </w:tc>
        <w:tc>
          <w:tcPr>
            <w:tcW w:w="992" w:type="pct"/>
            <w:gridSpan w:val="2"/>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Absolute Difference</w:t>
            </w:r>
          </w:p>
        </w:tc>
        <w:tc>
          <w:tcPr>
            <w:tcW w:w="1036" w:type="pct"/>
            <w:gridSpan w:val="2"/>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HR (95% CI)</w:t>
            </w:r>
          </w:p>
        </w:tc>
      </w:tr>
      <w:tr w:rsidR="00C0077F" w:rsidRPr="001875EC" w:rsidTr="00F8582E">
        <w:tc>
          <w:tcPr>
            <w:tcW w:w="1177" w:type="pct"/>
            <w:gridSpan w:val="2"/>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PFS</w:t>
            </w:r>
          </w:p>
        </w:tc>
        <w:tc>
          <w:tcPr>
            <w:tcW w:w="755" w:type="pct"/>
          </w:tcPr>
          <w:p w:rsidR="00C0077F" w:rsidRPr="001875EC" w:rsidRDefault="00C0077F" w:rsidP="00B22375">
            <w:pPr>
              <w:keepNext/>
              <w:keepLines/>
              <w:jc w:val="center"/>
              <w:rPr>
                <w:rFonts w:ascii="Arial Narrow" w:hAnsi="Arial Narrow"/>
                <w:sz w:val="20"/>
              </w:rPr>
            </w:pPr>
            <w:r w:rsidRPr="001875EC">
              <w:rPr>
                <w:rFonts w:ascii="Arial Narrow" w:hAnsi="Arial Narrow"/>
                <w:sz w:val="20"/>
              </w:rPr>
              <w:t>113/207</w:t>
            </w:r>
          </w:p>
        </w:tc>
        <w:tc>
          <w:tcPr>
            <w:tcW w:w="1040" w:type="pct"/>
            <w:gridSpan w:val="2"/>
          </w:tcPr>
          <w:p w:rsidR="00C0077F" w:rsidRPr="001875EC" w:rsidRDefault="00C0077F" w:rsidP="00B22375">
            <w:pPr>
              <w:keepNext/>
              <w:keepLines/>
              <w:jc w:val="center"/>
              <w:rPr>
                <w:rFonts w:ascii="Arial Narrow" w:hAnsi="Arial Narrow"/>
                <w:sz w:val="20"/>
              </w:rPr>
            </w:pPr>
            <w:r w:rsidRPr="001875EC">
              <w:rPr>
                <w:rFonts w:ascii="Arial Narrow" w:hAnsi="Arial Narrow"/>
                <w:sz w:val="20"/>
              </w:rPr>
              <w:t xml:space="preserve">137/210 </w:t>
            </w:r>
          </w:p>
        </w:tc>
        <w:tc>
          <w:tcPr>
            <w:tcW w:w="99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w:t>
            </w:r>
          </w:p>
        </w:tc>
        <w:tc>
          <w:tcPr>
            <w:tcW w:w="1036"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0.587 (0.454, 0.758)</w:t>
            </w:r>
          </w:p>
        </w:tc>
      </w:tr>
      <w:tr w:rsidR="00C0077F" w:rsidRPr="001875EC" w:rsidTr="00F8582E">
        <w:tc>
          <w:tcPr>
            <w:tcW w:w="1177" w:type="pct"/>
            <w:gridSpan w:val="2"/>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Median (</w:t>
            </w:r>
            <w:proofErr w:type="spellStart"/>
            <w:r w:rsidRPr="001875EC">
              <w:rPr>
                <w:rFonts w:ascii="Arial Narrow" w:hAnsi="Arial Narrow"/>
                <w:color w:val="000000"/>
                <w:sz w:val="20"/>
                <w:szCs w:val="18"/>
              </w:rPr>
              <w:t>mths</w:t>
            </w:r>
            <w:proofErr w:type="spellEnd"/>
            <w:r w:rsidRPr="001875EC">
              <w:rPr>
                <w:rFonts w:ascii="Arial Narrow" w:hAnsi="Arial Narrow"/>
                <w:color w:val="000000"/>
                <w:sz w:val="20"/>
                <w:szCs w:val="18"/>
              </w:rPr>
              <w:t>)</w:t>
            </w:r>
          </w:p>
        </w:tc>
        <w:tc>
          <w:tcPr>
            <w:tcW w:w="755" w:type="pct"/>
            <w:vAlign w:val="center"/>
          </w:tcPr>
          <w:p w:rsidR="00C0077F" w:rsidRPr="001875EC" w:rsidRDefault="00C0077F" w:rsidP="00B22375">
            <w:pPr>
              <w:keepNext/>
              <w:keepLines/>
              <w:jc w:val="center"/>
              <w:rPr>
                <w:rFonts w:ascii="Arial Narrow" w:hAnsi="Arial Narrow"/>
                <w:sz w:val="20"/>
              </w:rPr>
            </w:pPr>
            <w:r w:rsidRPr="001875EC">
              <w:rPr>
                <w:rFonts w:ascii="Arial Narrow" w:hAnsi="Arial Narrow"/>
                <w:sz w:val="20"/>
                <w:lang w:val="en-US"/>
              </w:rPr>
              <w:t>10.8 (9.1, 12.9)</w:t>
            </w:r>
          </w:p>
        </w:tc>
        <w:tc>
          <w:tcPr>
            <w:tcW w:w="1040" w:type="pct"/>
            <w:gridSpan w:val="2"/>
            <w:vAlign w:val="center"/>
          </w:tcPr>
          <w:p w:rsidR="00C0077F" w:rsidRPr="001875EC" w:rsidRDefault="00C0077F" w:rsidP="00B22375">
            <w:pPr>
              <w:keepNext/>
              <w:keepLines/>
              <w:jc w:val="center"/>
              <w:rPr>
                <w:rFonts w:ascii="Arial Narrow" w:hAnsi="Arial Narrow"/>
                <w:sz w:val="20"/>
              </w:rPr>
            </w:pPr>
            <w:r w:rsidRPr="001875EC">
              <w:rPr>
                <w:rFonts w:ascii="Arial Narrow" w:hAnsi="Arial Narrow"/>
                <w:sz w:val="20"/>
                <w:lang w:val="en-US"/>
              </w:rPr>
              <w:t>5.8 (5.3, 7.8)</w:t>
            </w:r>
          </w:p>
        </w:tc>
        <w:tc>
          <w:tcPr>
            <w:tcW w:w="99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sz w:val="20"/>
                <w:lang w:val="en-US"/>
              </w:rPr>
              <w:t>5.0</w:t>
            </w:r>
          </w:p>
        </w:tc>
        <w:tc>
          <w:tcPr>
            <w:tcW w:w="1036"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w:t>
            </w:r>
          </w:p>
        </w:tc>
      </w:tr>
      <w:tr w:rsidR="00C0077F" w:rsidRPr="001875EC" w:rsidTr="00F8582E">
        <w:tc>
          <w:tcPr>
            <w:tcW w:w="1177" w:type="pct"/>
            <w:gridSpan w:val="2"/>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OS</w:t>
            </w:r>
          </w:p>
        </w:tc>
        <w:tc>
          <w:tcPr>
            <w:tcW w:w="755" w:type="pct"/>
          </w:tcPr>
          <w:p w:rsidR="00C0077F" w:rsidRPr="001875EC" w:rsidRDefault="00C0077F" w:rsidP="00B22375">
            <w:pPr>
              <w:keepNext/>
              <w:keepLines/>
              <w:jc w:val="center"/>
              <w:rPr>
                <w:rFonts w:ascii="Arial Narrow" w:hAnsi="Arial Narrow"/>
                <w:sz w:val="20"/>
              </w:rPr>
            </w:pPr>
            <w:r w:rsidRPr="001875EC">
              <w:rPr>
                <w:rFonts w:ascii="Arial Narrow" w:hAnsi="Arial Narrow"/>
                <w:sz w:val="20"/>
              </w:rPr>
              <w:t>45/207</w:t>
            </w:r>
          </w:p>
        </w:tc>
        <w:tc>
          <w:tcPr>
            <w:tcW w:w="1040" w:type="pct"/>
            <w:gridSpan w:val="2"/>
          </w:tcPr>
          <w:p w:rsidR="00C0077F" w:rsidRPr="001875EC" w:rsidRDefault="00C0077F" w:rsidP="00B22375">
            <w:pPr>
              <w:keepNext/>
              <w:keepLines/>
              <w:jc w:val="center"/>
              <w:rPr>
                <w:rFonts w:ascii="Arial Narrow" w:hAnsi="Arial Narrow"/>
                <w:sz w:val="20"/>
              </w:rPr>
            </w:pPr>
            <w:r w:rsidRPr="001875EC">
              <w:rPr>
                <w:rFonts w:ascii="Arial Narrow" w:hAnsi="Arial Narrow"/>
                <w:sz w:val="20"/>
              </w:rPr>
              <w:t>54/210</w:t>
            </w:r>
          </w:p>
        </w:tc>
        <w:tc>
          <w:tcPr>
            <w:tcW w:w="99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w:t>
            </w:r>
          </w:p>
        </w:tc>
        <w:tc>
          <w:tcPr>
            <w:tcW w:w="1036"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0.802 (0.539, 1.194)</w:t>
            </w:r>
          </w:p>
        </w:tc>
      </w:tr>
      <w:tr w:rsidR="00C0077F" w:rsidRPr="001875EC" w:rsidTr="00F8582E">
        <w:tc>
          <w:tcPr>
            <w:tcW w:w="1177" w:type="pct"/>
            <w:gridSpan w:val="2"/>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Median (</w:t>
            </w:r>
            <w:proofErr w:type="spellStart"/>
            <w:r w:rsidRPr="001875EC">
              <w:rPr>
                <w:rFonts w:ascii="Arial Narrow" w:hAnsi="Arial Narrow"/>
                <w:color w:val="000000"/>
                <w:sz w:val="20"/>
                <w:szCs w:val="18"/>
              </w:rPr>
              <w:t>mths</w:t>
            </w:r>
            <w:proofErr w:type="spellEnd"/>
            <w:r w:rsidRPr="001875EC">
              <w:rPr>
                <w:rFonts w:ascii="Arial Narrow" w:hAnsi="Arial Narrow"/>
                <w:color w:val="000000"/>
                <w:sz w:val="20"/>
                <w:szCs w:val="18"/>
              </w:rPr>
              <w:t>)</w:t>
            </w:r>
          </w:p>
        </w:tc>
        <w:tc>
          <w:tcPr>
            <w:tcW w:w="1795" w:type="pct"/>
            <w:gridSpan w:val="3"/>
          </w:tcPr>
          <w:p w:rsidR="00C0077F" w:rsidRPr="001875EC" w:rsidRDefault="00C009C9" w:rsidP="00B22375">
            <w:pPr>
              <w:keepNext/>
              <w:keepLines/>
              <w:jc w:val="center"/>
              <w:rPr>
                <w:rFonts w:ascii="Arial Narrow" w:hAnsi="Arial Narrow"/>
                <w:sz w:val="20"/>
              </w:rPr>
            </w:pPr>
            <w:r w:rsidRPr="001875EC">
              <w:rPr>
                <w:rFonts w:ascii="Arial Narrow" w:hAnsi="Arial Narrow"/>
                <w:sz w:val="20"/>
              </w:rPr>
              <w:t>Median n</w:t>
            </w:r>
            <w:r w:rsidR="00C0077F" w:rsidRPr="001875EC">
              <w:rPr>
                <w:rFonts w:ascii="Arial Narrow" w:hAnsi="Arial Narrow"/>
                <w:sz w:val="20"/>
              </w:rPr>
              <w:t>ot yet reached</w:t>
            </w:r>
          </w:p>
        </w:tc>
        <w:tc>
          <w:tcPr>
            <w:tcW w:w="99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Not evaluable</w:t>
            </w:r>
          </w:p>
        </w:tc>
        <w:tc>
          <w:tcPr>
            <w:tcW w:w="1036" w:type="pct"/>
            <w:gridSpan w:val="2"/>
            <w:vAlign w:val="center"/>
          </w:tcPr>
          <w:p w:rsidR="00C0077F" w:rsidRPr="001875EC" w:rsidRDefault="00C0077F" w:rsidP="00B22375">
            <w:pPr>
              <w:keepNext/>
              <w:keepLines/>
              <w:jc w:val="center"/>
              <w:rPr>
                <w:rFonts w:ascii="Arial Narrow" w:hAnsi="Arial Narrow"/>
                <w:color w:val="000000"/>
                <w:sz w:val="20"/>
                <w:szCs w:val="18"/>
              </w:rPr>
            </w:pPr>
          </w:p>
        </w:tc>
      </w:tr>
      <w:tr w:rsidR="00C0077F" w:rsidRPr="001875EC" w:rsidTr="00F8582E">
        <w:trPr>
          <w:trHeight w:val="150"/>
        </w:trPr>
        <w:tc>
          <w:tcPr>
            <w:tcW w:w="504" w:type="pct"/>
            <w:vMerge w:val="restart"/>
            <w:shd w:val="clear" w:color="auto" w:fill="auto"/>
            <w:vAlign w:val="center"/>
          </w:tcPr>
          <w:p w:rsidR="00C0077F" w:rsidRPr="001875EC" w:rsidRDefault="00C0077F" w:rsidP="00B22375">
            <w:pPr>
              <w:keepNext/>
              <w:keepLines/>
              <w:rPr>
                <w:rFonts w:ascii="Arial Narrow" w:hAnsi="Arial Narrow"/>
                <w:b/>
                <w:color w:val="000000"/>
                <w:sz w:val="20"/>
                <w:szCs w:val="18"/>
              </w:rPr>
            </w:pPr>
            <w:r w:rsidRPr="001875EC">
              <w:rPr>
                <w:rFonts w:ascii="Arial Narrow" w:hAnsi="Arial Narrow"/>
                <w:b/>
                <w:color w:val="000000"/>
                <w:sz w:val="20"/>
                <w:szCs w:val="18"/>
              </w:rPr>
              <w:t>Trial</w:t>
            </w:r>
          </w:p>
        </w:tc>
        <w:tc>
          <w:tcPr>
            <w:tcW w:w="673" w:type="pct"/>
            <w:vMerge w:val="restart"/>
            <w:vAlign w:val="center"/>
          </w:tcPr>
          <w:p w:rsidR="00C0077F" w:rsidRPr="001875EC" w:rsidRDefault="00C0077F" w:rsidP="00B22375">
            <w:pPr>
              <w:keepNext/>
              <w:keepLines/>
              <w:jc w:val="center"/>
              <w:rPr>
                <w:rFonts w:ascii="Arial Narrow" w:hAnsi="Arial Narrow"/>
                <w:b/>
                <w:color w:val="000000"/>
                <w:sz w:val="20"/>
                <w:szCs w:val="18"/>
              </w:rPr>
            </w:pPr>
            <w:proofErr w:type="spellStart"/>
            <w:r w:rsidRPr="001875EC">
              <w:rPr>
                <w:rFonts w:ascii="Arial Narrow" w:hAnsi="Arial Narrow"/>
                <w:b/>
                <w:color w:val="000000"/>
                <w:sz w:val="20"/>
                <w:szCs w:val="18"/>
              </w:rPr>
              <w:t>Sorafenib</w:t>
            </w:r>
            <w:proofErr w:type="spellEnd"/>
          </w:p>
        </w:tc>
        <w:tc>
          <w:tcPr>
            <w:tcW w:w="755" w:type="pct"/>
            <w:vMerge w:val="restart"/>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r w:rsidR="00C009C9" w:rsidRPr="001875EC">
              <w:rPr>
                <w:rFonts w:ascii="Arial Narrow" w:hAnsi="Arial Narrow"/>
                <w:b/>
                <w:color w:val="000000"/>
                <w:sz w:val="20"/>
                <w:szCs w:val="18"/>
              </w:rPr>
              <w:t>+BSC</w:t>
            </w:r>
          </w:p>
        </w:tc>
        <w:tc>
          <w:tcPr>
            <w:tcW w:w="690" w:type="pct"/>
            <w:vMerge w:val="restart"/>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RR</w:t>
            </w:r>
          </w:p>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(95% CI)</w:t>
            </w:r>
          </w:p>
        </w:tc>
        <w:tc>
          <w:tcPr>
            <w:tcW w:w="1661" w:type="pct"/>
            <w:gridSpan w:val="4"/>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Event rate/100 patients</w:t>
            </w:r>
          </w:p>
        </w:tc>
        <w:tc>
          <w:tcPr>
            <w:tcW w:w="717" w:type="pct"/>
            <w:vMerge w:val="restart"/>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RD</w:t>
            </w:r>
          </w:p>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(95% CI)</w:t>
            </w:r>
          </w:p>
        </w:tc>
      </w:tr>
      <w:tr w:rsidR="00F8582E" w:rsidRPr="001875EC" w:rsidTr="00F8582E">
        <w:trPr>
          <w:trHeight w:val="315"/>
        </w:trPr>
        <w:tc>
          <w:tcPr>
            <w:tcW w:w="504" w:type="pct"/>
            <w:vMerge/>
            <w:shd w:val="clear" w:color="auto" w:fill="auto"/>
            <w:vAlign w:val="center"/>
          </w:tcPr>
          <w:p w:rsidR="00C0077F" w:rsidRPr="001875EC" w:rsidRDefault="00C0077F" w:rsidP="00B22375">
            <w:pPr>
              <w:keepNext/>
              <w:keepLines/>
              <w:rPr>
                <w:rFonts w:ascii="Arial Narrow" w:hAnsi="Arial Narrow"/>
                <w:b/>
                <w:color w:val="000000"/>
                <w:sz w:val="20"/>
                <w:szCs w:val="18"/>
              </w:rPr>
            </w:pPr>
          </w:p>
        </w:tc>
        <w:tc>
          <w:tcPr>
            <w:tcW w:w="673" w:type="pct"/>
            <w:vMerge/>
            <w:vAlign w:val="center"/>
          </w:tcPr>
          <w:p w:rsidR="00C0077F" w:rsidRPr="001875EC" w:rsidRDefault="00C0077F" w:rsidP="00B22375">
            <w:pPr>
              <w:keepNext/>
              <w:keepLines/>
              <w:jc w:val="center"/>
              <w:rPr>
                <w:rFonts w:ascii="Arial Narrow" w:hAnsi="Arial Narrow"/>
                <w:b/>
                <w:color w:val="000000"/>
                <w:sz w:val="20"/>
                <w:szCs w:val="18"/>
              </w:rPr>
            </w:pPr>
          </w:p>
        </w:tc>
        <w:tc>
          <w:tcPr>
            <w:tcW w:w="755" w:type="pct"/>
            <w:vMerge/>
            <w:vAlign w:val="center"/>
          </w:tcPr>
          <w:p w:rsidR="00C0077F" w:rsidRPr="001875EC" w:rsidRDefault="00C0077F" w:rsidP="00B22375">
            <w:pPr>
              <w:keepNext/>
              <w:keepLines/>
              <w:jc w:val="center"/>
              <w:rPr>
                <w:rFonts w:ascii="Arial Narrow" w:hAnsi="Arial Narrow"/>
                <w:b/>
                <w:color w:val="000000"/>
                <w:sz w:val="20"/>
                <w:szCs w:val="18"/>
              </w:rPr>
            </w:pPr>
          </w:p>
        </w:tc>
        <w:tc>
          <w:tcPr>
            <w:tcW w:w="690" w:type="pct"/>
            <w:vMerge/>
            <w:vAlign w:val="center"/>
          </w:tcPr>
          <w:p w:rsidR="00C0077F" w:rsidRPr="001875EC" w:rsidRDefault="00C0077F" w:rsidP="00B22375">
            <w:pPr>
              <w:keepNext/>
              <w:keepLines/>
              <w:jc w:val="center"/>
              <w:rPr>
                <w:rFonts w:ascii="Arial Narrow" w:hAnsi="Arial Narrow"/>
                <w:b/>
                <w:color w:val="000000"/>
                <w:sz w:val="20"/>
                <w:szCs w:val="18"/>
              </w:rPr>
            </w:pPr>
          </w:p>
        </w:tc>
        <w:tc>
          <w:tcPr>
            <w:tcW w:w="839" w:type="pct"/>
            <w:gridSpan w:val="2"/>
            <w:vAlign w:val="center"/>
          </w:tcPr>
          <w:p w:rsidR="00C0077F" w:rsidRPr="001875EC" w:rsidRDefault="00C0077F" w:rsidP="00B22375">
            <w:pPr>
              <w:keepNext/>
              <w:keepLines/>
              <w:jc w:val="center"/>
              <w:rPr>
                <w:rFonts w:ascii="Arial Narrow" w:hAnsi="Arial Narrow"/>
                <w:b/>
                <w:color w:val="000000"/>
                <w:sz w:val="20"/>
                <w:szCs w:val="18"/>
              </w:rPr>
            </w:pPr>
            <w:proofErr w:type="spellStart"/>
            <w:r w:rsidRPr="001875EC">
              <w:rPr>
                <w:rFonts w:ascii="Arial Narrow" w:hAnsi="Arial Narrow"/>
                <w:b/>
                <w:color w:val="000000"/>
                <w:sz w:val="20"/>
                <w:szCs w:val="18"/>
              </w:rPr>
              <w:t>Sorafenib</w:t>
            </w:r>
            <w:proofErr w:type="spellEnd"/>
          </w:p>
        </w:tc>
        <w:tc>
          <w:tcPr>
            <w:tcW w:w="822" w:type="pct"/>
            <w:gridSpan w:val="2"/>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p>
        </w:tc>
        <w:tc>
          <w:tcPr>
            <w:tcW w:w="717" w:type="pct"/>
            <w:vMerge/>
            <w:vAlign w:val="center"/>
          </w:tcPr>
          <w:p w:rsidR="00C0077F" w:rsidRPr="001875EC" w:rsidRDefault="00C0077F" w:rsidP="00B22375">
            <w:pPr>
              <w:keepNext/>
              <w:keepLines/>
              <w:jc w:val="center"/>
              <w:rPr>
                <w:rFonts w:ascii="Arial Narrow" w:hAnsi="Arial Narrow"/>
                <w:b/>
                <w:color w:val="000000"/>
                <w:sz w:val="20"/>
                <w:szCs w:val="18"/>
              </w:rPr>
            </w:pPr>
          </w:p>
        </w:tc>
      </w:tr>
      <w:tr w:rsidR="00C0077F" w:rsidRPr="001875EC" w:rsidTr="00F8582E">
        <w:tc>
          <w:tcPr>
            <w:tcW w:w="5000" w:type="pct"/>
            <w:gridSpan w:val="9"/>
            <w:shd w:val="clear" w:color="auto" w:fill="auto"/>
            <w:vAlign w:val="center"/>
          </w:tcPr>
          <w:p w:rsidR="00C0077F" w:rsidRPr="001875EC" w:rsidRDefault="00C0077F" w:rsidP="00B22375">
            <w:pPr>
              <w:keepNext/>
              <w:keepLines/>
              <w:rPr>
                <w:rFonts w:ascii="Arial Narrow" w:hAnsi="Arial Narrow"/>
                <w:b/>
                <w:color w:val="000000"/>
                <w:sz w:val="20"/>
                <w:szCs w:val="18"/>
              </w:rPr>
            </w:pPr>
            <w:r w:rsidRPr="001875EC">
              <w:rPr>
                <w:rFonts w:ascii="Arial Narrow" w:hAnsi="Arial Narrow"/>
                <w:b/>
                <w:color w:val="000000"/>
                <w:sz w:val="20"/>
                <w:szCs w:val="18"/>
              </w:rPr>
              <w:t>Disease control rate (CR + PR + SD) – per protocol analysis set</w:t>
            </w:r>
          </w:p>
        </w:tc>
      </w:tr>
      <w:tr w:rsidR="00F8582E" w:rsidRPr="001875EC" w:rsidTr="00F8582E">
        <w:tc>
          <w:tcPr>
            <w:tcW w:w="504" w:type="pct"/>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DECISION</w:t>
            </w:r>
          </w:p>
        </w:tc>
        <w:tc>
          <w:tcPr>
            <w:tcW w:w="673"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169/196</w:t>
            </w:r>
          </w:p>
        </w:tc>
        <w:tc>
          <w:tcPr>
            <w:tcW w:w="755"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150/201</w:t>
            </w:r>
          </w:p>
        </w:tc>
        <w:tc>
          <w:tcPr>
            <w:tcW w:w="690"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1.16</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(1.05, 1.27)</w:t>
            </w:r>
          </w:p>
        </w:tc>
        <w:tc>
          <w:tcPr>
            <w:tcW w:w="839"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86.2</w:t>
            </w:r>
          </w:p>
        </w:tc>
        <w:tc>
          <w:tcPr>
            <w:tcW w:w="82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74.6</w:t>
            </w:r>
          </w:p>
        </w:tc>
        <w:tc>
          <w:tcPr>
            <w:tcW w:w="717"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0.12</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(0.04, 0.19)</w:t>
            </w:r>
          </w:p>
        </w:tc>
      </w:tr>
      <w:tr w:rsidR="00C0077F" w:rsidRPr="001875EC" w:rsidTr="00F8582E">
        <w:tc>
          <w:tcPr>
            <w:tcW w:w="5000" w:type="pct"/>
            <w:gridSpan w:val="9"/>
            <w:tcBorders>
              <w:top w:val="double" w:sz="4" w:space="0" w:color="auto"/>
            </w:tcBorders>
            <w:shd w:val="clear" w:color="auto" w:fill="D9D9D9" w:themeFill="background1" w:themeFillShade="D9"/>
            <w:vAlign w:val="center"/>
          </w:tcPr>
          <w:p w:rsidR="00C0077F" w:rsidRPr="001875EC" w:rsidRDefault="00C0077F" w:rsidP="00B22375">
            <w:pPr>
              <w:keepNext/>
              <w:keepLines/>
              <w:rPr>
                <w:rFonts w:ascii="Arial Narrow" w:hAnsi="Arial Narrow"/>
                <w:b/>
                <w:color w:val="000000"/>
                <w:sz w:val="20"/>
                <w:szCs w:val="18"/>
              </w:rPr>
            </w:pPr>
            <w:proofErr w:type="spellStart"/>
            <w:r w:rsidRPr="001875EC">
              <w:rPr>
                <w:rFonts w:ascii="Arial Narrow" w:hAnsi="Arial Narrow"/>
                <w:b/>
                <w:color w:val="000000"/>
                <w:sz w:val="20"/>
                <w:szCs w:val="18"/>
              </w:rPr>
              <w:t>Harms</w:t>
            </w:r>
            <w:r w:rsidRPr="001875EC">
              <w:rPr>
                <w:rFonts w:ascii="Arial Narrow" w:hAnsi="Arial Narrow"/>
                <w:b/>
                <w:color w:val="000000"/>
                <w:sz w:val="20"/>
                <w:szCs w:val="18"/>
                <w:vertAlign w:val="superscript"/>
              </w:rPr>
              <w:t>a</w:t>
            </w:r>
            <w:proofErr w:type="spellEnd"/>
          </w:p>
        </w:tc>
      </w:tr>
      <w:tr w:rsidR="00C0077F" w:rsidRPr="001875EC" w:rsidTr="00F8582E">
        <w:trPr>
          <w:trHeight w:val="70"/>
        </w:trPr>
        <w:tc>
          <w:tcPr>
            <w:tcW w:w="504" w:type="pct"/>
            <w:vMerge w:val="restart"/>
            <w:shd w:val="clear" w:color="auto" w:fill="auto"/>
            <w:vAlign w:val="center"/>
          </w:tcPr>
          <w:p w:rsidR="00C0077F" w:rsidRPr="001875EC" w:rsidRDefault="00C0077F" w:rsidP="00B22375">
            <w:pPr>
              <w:keepNext/>
              <w:keepLines/>
              <w:rPr>
                <w:rFonts w:ascii="Arial Narrow" w:hAnsi="Arial Narrow"/>
                <w:b/>
                <w:color w:val="000000"/>
                <w:sz w:val="20"/>
                <w:szCs w:val="18"/>
              </w:rPr>
            </w:pPr>
          </w:p>
        </w:tc>
        <w:tc>
          <w:tcPr>
            <w:tcW w:w="673" w:type="pct"/>
            <w:vMerge w:val="restart"/>
            <w:vAlign w:val="center"/>
          </w:tcPr>
          <w:p w:rsidR="00C0077F" w:rsidRPr="001875EC" w:rsidRDefault="00C0077F" w:rsidP="00B22375">
            <w:pPr>
              <w:keepNext/>
              <w:keepLines/>
              <w:jc w:val="center"/>
              <w:rPr>
                <w:rFonts w:ascii="Arial Narrow" w:hAnsi="Arial Narrow"/>
                <w:b/>
                <w:color w:val="000000"/>
                <w:sz w:val="20"/>
                <w:szCs w:val="18"/>
              </w:rPr>
            </w:pPr>
            <w:proofErr w:type="spellStart"/>
            <w:r w:rsidRPr="001875EC">
              <w:rPr>
                <w:rFonts w:ascii="Arial Narrow" w:hAnsi="Arial Narrow"/>
                <w:b/>
                <w:color w:val="000000"/>
                <w:sz w:val="20"/>
                <w:szCs w:val="18"/>
              </w:rPr>
              <w:t>Sorafenib</w:t>
            </w:r>
            <w:proofErr w:type="spellEnd"/>
          </w:p>
        </w:tc>
        <w:tc>
          <w:tcPr>
            <w:tcW w:w="755" w:type="pct"/>
            <w:vMerge w:val="restart"/>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r w:rsidR="00C009C9" w:rsidRPr="001875EC">
              <w:rPr>
                <w:rFonts w:ascii="Arial Narrow" w:hAnsi="Arial Narrow"/>
                <w:b/>
                <w:color w:val="000000"/>
                <w:sz w:val="20"/>
                <w:szCs w:val="18"/>
              </w:rPr>
              <w:t>+BSC</w:t>
            </w:r>
          </w:p>
        </w:tc>
        <w:tc>
          <w:tcPr>
            <w:tcW w:w="690" w:type="pct"/>
            <w:vMerge w:val="restart"/>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RR</w:t>
            </w:r>
          </w:p>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(95% CI)</w:t>
            </w:r>
          </w:p>
        </w:tc>
        <w:tc>
          <w:tcPr>
            <w:tcW w:w="1661" w:type="pct"/>
            <w:gridSpan w:val="4"/>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 xml:space="preserve">Event </w:t>
            </w:r>
            <w:proofErr w:type="spellStart"/>
            <w:r w:rsidRPr="001875EC">
              <w:rPr>
                <w:rFonts w:ascii="Arial Narrow" w:hAnsi="Arial Narrow"/>
                <w:b/>
                <w:color w:val="000000"/>
                <w:sz w:val="20"/>
                <w:szCs w:val="18"/>
              </w:rPr>
              <w:t>rate</w:t>
            </w:r>
            <w:r w:rsidR="0052151C" w:rsidRPr="001875EC">
              <w:rPr>
                <w:rFonts w:ascii="Arial Narrow" w:hAnsi="Arial Narrow"/>
                <w:b/>
                <w:color w:val="000000"/>
                <w:sz w:val="20"/>
                <w:szCs w:val="18"/>
                <w:vertAlign w:val="superscript"/>
              </w:rPr>
              <w:t>b</w:t>
            </w:r>
            <w:proofErr w:type="spellEnd"/>
            <w:r w:rsidRPr="001875EC">
              <w:rPr>
                <w:rFonts w:ascii="Arial Narrow" w:hAnsi="Arial Narrow"/>
                <w:b/>
                <w:color w:val="000000"/>
                <w:sz w:val="20"/>
                <w:szCs w:val="18"/>
              </w:rPr>
              <w:t>/100 patients</w:t>
            </w:r>
          </w:p>
        </w:tc>
        <w:tc>
          <w:tcPr>
            <w:tcW w:w="717" w:type="pct"/>
            <w:vMerge w:val="restart"/>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RD</w:t>
            </w:r>
          </w:p>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(95% CI)</w:t>
            </w:r>
          </w:p>
        </w:tc>
      </w:tr>
      <w:tr w:rsidR="00F8582E" w:rsidRPr="001875EC" w:rsidTr="00F8582E">
        <w:trPr>
          <w:trHeight w:val="390"/>
        </w:trPr>
        <w:tc>
          <w:tcPr>
            <w:tcW w:w="504" w:type="pct"/>
            <w:vMerge/>
            <w:shd w:val="clear" w:color="auto" w:fill="auto"/>
            <w:vAlign w:val="center"/>
          </w:tcPr>
          <w:p w:rsidR="00C0077F" w:rsidRPr="001875EC" w:rsidRDefault="00C0077F" w:rsidP="00B22375">
            <w:pPr>
              <w:keepNext/>
              <w:keepLines/>
              <w:rPr>
                <w:rFonts w:ascii="Arial Narrow" w:hAnsi="Arial Narrow"/>
                <w:b/>
                <w:color w:val="000000"/>
                <w:sz w:val="20"/>
                <w:szCs w:val="18"/>
              </w:rPr>
            </w:pPr>
          </w:p>
        </w:tc>
        <w:tc>
          <w:tcPr>
            <w:tcW w:w="673" w:type="pct"/>
            <w:vMerge/>
            <w:vAlign w:val="center"/>
          </w:tcPr>
          <w:p w:rsidR="00C0077F" w:rsidRPr="001875EC" w:rsidRDefault="00C0077F" w:rsidP="00B22375">
            <w:pPr>
              <w:keepNext/>
              <w:keepLines/>
              <w:jc w:val="center"/>
              <w:rPr>
                <w:rFonts w:ascii="Arial Narrow" w:hAnsi="Arial Narrow"/>
                <w:b/>
                <w:color w:val="000000"/>
                <w:sz w:val="20"/>
                <w:szCs w:val="18"/>
              </w:rPr>
            </w:pPr>
          </w:p>
        </w:tc>
        <w:tc>
          <w:tcPr>
            <w:tcW w:w="755" w:type="pct"/>
            <w:vMerge/>
            <w:vAlign w:val="center"/>
          </w:tcPr>
          <w:p w:rsidR="00C0077F" w:rsidRPr="001875EC" w:rsidRDefault="00C0077F" w:rsidP="00B22375">
            <w:pPr>
              <w:keepNext/>
              <w:keepLines/>
              <w:jc w:val="center"/>
              <w:rPr>
                <w:rFonts w:ascii="Arial Narrow" w:hAnsi="Arial Narrow"/>
                <w:b/>
                <w:color w:val="000000"/>
                <w:sz w:val="20"/>
                <w:szCs w:val="18"/>
              </w:rPr>
            </w:pPr>
          </w:p>
        </w:tc>
        <w:tc>
          <w:tcPr>
            <w:tcW w:w="690" w:type="pct"/>
            <w:vMerge/>
            <w:vAlign w:val="center"/>
          </w:tcPr>
          <w:p w:rsidR="00C0077F" w:rsidRPr="001875EC" w:rsidRDefault="00C0077F" w:rsidP="00B22375">
            <w:pPr>
              <w:keepNext/>
              <w:keepLines/>
              <w:jc w:val="center"/>
              <w:rPr>
                <w:rFonts w:ascii="Arial Narrow" w:hAnsi="Arial Narrow"/>
                <w:b/>
                <w:color w:val="000000"/>
                <w:sz w:val="20"/>
                <w:szCs w:val="18"/>
              </w:rPr>
            </w:pPr>
          </w:p>
        </w:tc>
        <w:tc>
          <w:tcPr>
            <w:tcW w:w="839" w:type="pct"/>
            <w:gridSpan w:val="2"/>
            <w:vAlign w:val="center"/>
          </w:tcPr>
          <w:p w:rsidR="00C0077F" w:rsidRPr="001875EC" w:rsidRDefault="00C0077F" w:rsidP="00B22375">
            <w:pPr>
              <w:keepNext/>
              <w:keepLines/>
              <w:jc w:val="center"/>
              <w:rPr>
                <w:rFonts w:ascii="Arial Narrow" w:hAnsi="Arial Narrow"/>
                <w:b/>
                <w:color w:val="000000"/>
                <w:sz w:val="20"/>
                <w:szCs w:val="18"/>
              </w:rPr>
            </w:pPr>
            <w:proofErr w:type="spellStart"/>
            <w:r w:rsidRPr="001875EC">
              <w:rPr>
                <w:rFonts w:ascii="Arial Narrow" w:hAnsi="Arial Narrow"/>
                <w:b/>
                <w:color w:val="000000"/>
                <w:sz w:val="20"/>
                <w:szCs w:val="18"/>
              </w:rPr>
              <w:t>Sorafenib</w:t>
            </w:r>
            <w:proofErr w:type="spellEnd"/>
          </w:p>
        </w:tc>
        <w:tc>
          <w:tcPr>
            <w:tcW w:w="822" w:type="pct"/>
            <w:gridSpan w:val="2"/>
            <w:vAlign w:val="center"/>
          </w:tcPr>
          <w:p w:rsidR="00C0077F" w:rsidRPr="001875EC" w:rsidRDefault="00C0077F" w:rsidP="00B22375">
            <w:pPr>
              <w:keepNext/>
              <w:keepLines/>
              <w:jc w:val="center"/>
              <w:rPr>
                <w:rFonts w:ascii="Arial Narrow" w:hAnsi="Arial Narrow"/>
                <w:b/>
                <w:color w:val="000000"/>
                <w:sz w:val="20"/>
                <w:szCs w:val="18"/>
              </w:rPr>
            </w:pPr>
            <w:r w:rsidRPr="001875EC">
              <w:rPr>
                <w:rFonts w:ascii="Arial Narrow" w:hAnsi="Arial Narrow"/>
                <w:b/>
                <w:color w:val="000000"/>
                <w:sz w:val="20"/>
                <w:szCs w:val="18"/>
              </w:rPr>
              <w:t>PBO</w:t>
            </w:r>
          </w:p>
        </w:tc>
        <w:tc>
          <w:tcPr>
            <w:tcW w:w="717" w:type="pct"/>
            <w:vMerge/>
            <w:vAlign w:val="center"/>
          </w:tcPr>
          <w:p w:rsidR="00C0077F" w:rsidRPr="001875EC" w:rsidRDefault="00C0077F" w:rsidP="00B22375">
            <w:pPr>
              <w:keepNext/>
              <w:keepLines/>
              <w:jc w:val="center"/>
              <w:rPr>
                <w:rFonts w:ascii="Arial Narrow" w:hAnsi="Arial Narrow"/>
                <w:b/>
                <w:color w:val="000000"/>
                <w:sz w:val="20"/>
                <w:szCs w:val="18"/>
              </w:rPr>
            </w:pPr>
          </w:p>
        </w:tc>
      </w:tr>
      <w:tr w:rsidR="00C0077F" w:rsidRPr="001875EC" w:rsidTr="00F8582E">
        <w:tc>
          <w:tcPr>
            <w:tcW w:w="5000" w:type="pct"/>
            <w:gridSpan w:val="9"/>
            <w:shd w:val="clear" w:color="auto" w:fill="auto"/>
            <w:vAlign w:val="center"/>
          </w:tcPr>
          <w:p w:rsidR="00C0077F" w:rsidRPr="001875EC" w:rsidRDefault="00C0077F" w:rsidP="00B22375">
            <w:pPr>
              <w:keepNext/>
              <w:keepLines/>
              <w:rPr>
                <w:rFonts w:ascii="Arial Narrow" w:hAnsi="Arial Narrow"/>
                <w:b/>
                <w:color w:val="000000"/>
                <w:sz w:val="20"/>
                <w:szCs w:val="18"/>
              </w:rPr>
            </w:pPr>
            <w:r w:rsidRPr="001875EC">
              <w:rPr>
                <w:rFonts w:ascii="Arial Narrow" w:hAnsi="Arial Narrow"/>
                <w:b/>
                <w:color w:val="000000"/>
                <w:sz w:val="20"/>
                <w:szCs w:val="18"/>
              </w:rPr>
              <w:t>Treatment-emergent AE, Grade 3 or higher</w:t>
            </w:r>
          </w:p>
        </w:tc>
      </w:tr>
      <w:tr w:rsidR="00F8582E" w:rsidRPr="001875EC" w:rsidTr="00F8582E">
        <w:tc>
          <w:tcPr>
            <w:tcW w:w="504" w:type="pct"/>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DECISION</w:t>
            </w:r>
          </w:p>
        </w:tc>
        <w:tc>
          <w:tcPr>
            <w:tcW w:w="673"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147/207</w:t>
            </w:r>
          </w:p>
        </w:tc>
        <w:tc>
          <w:tcPr>
            <w:tcW w:w="755"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69/209</w:t>
            </w:r>
          </w:p>
        </w:tc>
        <w:tc>
          <w:tcPr>
            <w:tcW w:w="690"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2.15</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(1.74, 2.66)</w:t>
            </w:r>
          </w:p>
        </w:tc>
        <w:tc>
          <w:tcPr>
            <w:tcW w:w="839"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71.0</w:t>
            </w:r>
          </w:p>
        </w:tc>
        <w:tc>
          <w:tcPr>
            <w:tcW w:w="82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33.0</w:t>
            </w:r>
          </w:p>
        </w:tc>
        <w:tc>
          <w:tcPr>
            <w:tcW w:w="717"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0.38</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(0.29, 0.47)</w:t>
            </w:r>
          </w:p>
        </w:tc>
      </w:tr>
      <w:tr w:rsidR="00C0077F" w:rsidRPr="001875EC" w:rsidTr="00F8582E">
        <w:tc>
          <w:tcPr>
            <w:tcW w:w="5000" w:type="pct"/>
            <w:gridSpan w:val="9"/>
            <w:shd w:val="clear" w:color="auto" w:fill="auto"/>
            <w:vAlign w:val="center"/>
          </w:tcPr>
          <w:p w:rsidR="00C0077F" w:rsidRPr="001875EC" w:rsidRDefault="00C0077F" w:rsidP="00B22375">
            <w:pPr>
              <w:keepNext/>
              <w:keepLines/>
              <w:rPr>
                <w:rFonts w:ascii="Arial Narrow" w:hAnsi="Arial Narrow"/>
                <w:b/>
                <w:color w:val="000000"/>
                <w:sz w:val="20"/>
                <w:szCs w:val="18"/>
              </w:rPr>
            </w:pPr>
            <w:r w:rsidRPr="001875EC">
              <w:rPr>
                <w:rFonts w:ascii="Arial Narrow" w:hAnsi="Arial Narrow"/>
                <w:b/>
                <w:color w:val="000000"/>
                <w:sz w:val="20"/>
                <w:szCs w:val="18"/>
              </w:rPr>
              <w:t>Hand-foot skin reaction, Grade 3 or higher</w:t>
            </w:r>
          </w:p>
        </w:tc>
      </w:tr>
      <w:tr w:rsidR="00F8582E" w:rsidRPr="001875EC" w:rsidTr="00F8582E">
        <w:tc>
          <w:tcPr>
            <w:tcW w:w="504" w:type="pct"/>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DECISION</w:t>
            </w:r>
          </w:p>
        </w:tc>
        <w:tc>
          <w:tcPr>
            <w:tcW w:w="673"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42/207</w:t>
            </w:r>
          </w:p>
        </w:tc>
        <w:tc>
          <w:tcPr>
            <w:tcW w:w="755"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0/209</w:t>
            </w:r>
          </w:p>
        </w:tc>
        <w:tc>
          <w:tcPr>
            <w:tcW w:w="690"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Not calculable</w:t>
            </w:r>
          </w:p>
        </w:tc>
        <w:tc>
          <w:tcPr>
            <w:tcW w:w="839"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20.3</w:t>
            </w:r>
          </w:p>
        </w:tc>
        <w:tc>
          <w:tcPr>
            <w:tcW w:w="82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w:t>
            </w:r>
          </w:p>
        </w:tc>
        <w:tc>
          <w:tcPr>
            <w:tcW w:w="717"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0.20</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(0.14, 0.26)</w:t>
            </w:r>
          </w:p>
        </w:tc>
      </w:tr>
      <w:tr w:rsidR="00C0077F" w:rsidRPr="001875EC" w:rsidTr="00F8582E">
        <w:tc>
          <w:tcPr>
            <w:tcW w:w="5000" w:type="pct"/>
            <w:gridSpan w:val="9"/>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b/>
                <w:color w:val="000000"/>
                <w:sz w:val="20"/>
                <w:szCs w:val="18"/>
              </w:rPr>
              <w:t>Hypertension, Grade 3 or higher</w:t>
            </w:r>
          </w:p>
        </w:tc>
      </w:tr>
      <w:tr w:rsidR="00F8582E" w:rsidRPr="001875EC" w:rsidTr="00F8582E">
        <w:tc>
          <w:tcPr>
            <w:tcW w:w="504" w:type="pct"/>
            <w:shd w:val="clear" w:color="auto" w:fill="auto"/>
            <w:vAlign w:val="center"/>
          </w:tcPr>
          <w:p w:rsidR="00C0077F" w:rsidRPr="001875EC" w:rsidRDefault="00C0077F" w:rsidP="00B22375">
            <w:pPr>
              <w:keepNext/>
              <w:keepLines/>
              <w:rPr>
                <w:rFonts w:ascii="Arial Narrow" w:hAnsi="Arial Narrow"/>
                <w:color w:val="000000"/>
                <w:sz w:val="20"/>
                <w:szCs w:val="18"/>
              </w:rPr>
            </w:pPr>
            <w:r w:rsidRPr="001875EC">
              <w:rPr>
                <w:rFonts w:ascii="Arial Narrow" w:hAnsi="Arial Narrow"/>
                <w:color w:val="000000"/>
                <w:sz w:val="20"/>
                <w:szCs w:val="18"/>
              </w:rPr>
              <w:t>DECISION</w:t>
            </w:r>
          </w:p>
        </w:tc>
        <w:tc>
          <w:tcPr>
            <w:tcW w:w="673"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rPr>
              <w:t>20/207</w:t>
            </w:r>
          </w:p>
        </w:tc>
        <w:tc>
          <w:tcPr>
            <w:tcW w:w="755" w:type="pct"/>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rPr>
              <w:t>5/209</w:t>
            </w:r>
          </w:p>
        </w:tc>
        <w:tc>
          <w:tcPr>
            <w:tcW w:w="690" w:type="pct"/>
            <w:vAlign w:val="center"/>
          </w:tcPr>
          <w:p w:rsidR="00C0077F" w:rsidRPr="001875EC" w:rsidRDefault="00C0077F" w:rsidP="00B22375">
            <w:pPr>
              <w:keepNext/>
              <w:keepLines/>
              <w:jc w:val="center"/>
              <w:rPr>
                <w:rFonts w:ascii="Arial Narrow" w:hAnsi="Arial Narrow"/>
                <w:color w:val="000000"/>
                <w:sz w:val="20"/>
              </w:rPr>
            </w:pPr>
            <w:r w:rsidRPr="001875EC">
              <w:rPr>
                <w:rFonts w:ascii="Arial Narrow" w:hAnsi="Arial Narrow"/>
                <w:color w:val="000000"/>
                <w:sz w:val="20"/>
              </w:rPr>
              <w:t>4.04</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rPr>
              <w:t>(1.54, 10.56)</w:t>
            </w:r>
          </w:p>
        </w:tc>
        <w:tc>
          <w:tcPr>
            <w:tcW w:w="839"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9.7</w:t>
            </w:r>
          </w:p>
        </w:tc>
        <w:tc>
          <w:tcPr>
            <w:tcW w:w="822" w:type="pct"/>
            <w:gridSpan w:val="2"/>
            <w:vAlign w:val="center"/>
          </w:tcPr>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szCs w:val="18"/>
              </w:rPr>
              <w:t>2.4</w:t>
            </w:r>
          </w:p>
        </w:tc>
        <w:tc>
          <w:tcPr>
            <w:tcW w:w="717" w:type="pct"/>
            <w:vAlign w:val="center"/>
          </w:tcPr>
          <w:p w:rsidR="00C0077F" w:rsidRPr="001875EC" w:rsidRDefault="00C0077F" w:rsidP="00B22375">
            <w:pPr>
              <w:keepNext/>
              <w:keepLines/>
              <w:jc w:val="center"/>
              <w:rPr>
                <w:rFonts w:ascii="Arial Narrow" w:hAnsi="Arial Narrow"/>
                <w:color w:val="000000"/>
                <w:sz w:val="20"/>
              </w:rPr>
            </w:pPr>
            <w:r w:rsidRPr="001875EC">
              <w:rPr>
                <w:rFonts w:ascii="Arial Narrow" w:hAnsi="Arial Narrow"/>
                <w:color w:val="000000"/>
                <w:sz w:val="20"/>
              </w:rPr>
              <w:t>0.07</w:t>
            </w:r>
          </w:p>
          <w:p w:rsidR="00C0077F" w:rsidRPr="001875EC" w:rsidRDefault="00C0077F" w:rsidP="00B22375">
            <w:pPr>
              <w:keepNext/>
              <w:keepLines/>
              <w:jc w:val="center"/>
              <w:rPr>
                <w:rFonts w:ascii="Arial Narrow" w:hAnsi="Arial Narrow"/>
                <w:color w:val="000000"/>
                <w:sz w:val="20"/>
                <w:szCs w:val="18"/>
              </w:rPr>
            </w:pPr>
            <w:r w:rsidRPr="001875EC">
              <w:rPr>
                <w:rFonts w:ascii="Arial Narrow" w:hAnsi="Arial Narrow"/>
                <w:color w:val="000000"/>
                <w:sz w:val="20"/>
              </w:rPr>
              <w:t>(0.03, 0.12)</w:t>
            </w:r>
          </w:p>
        </w:tc>
      </w:tr>
    </w:tbl>
    <w:p w:rsidR="00C0077F" w:rsidRPr="001875EC" w:rsidRDefault="00C0077F" w:rsidP="00F8582E">
      <w:pPr>
        <w:pStyle w:val="TableFooter"/>
        <w:keepNext/>
        <w:keepLines/>
        <w:ind w:left="709"/>
      </w:pPr>
      <w:proofErr w:type="spellStart"/>
      <w:proofErr w:type="gramStart"/>
      <w:r w:rsidRPr="001875EC">
        <w:rPr>
          <w:vertAlign w:val="superscript"/>
        </w:rPr>
        <w:t>a</w:t>
      </w:r>
      <w:r w:rsidRPr="001875EC">
        <w:t>PFS</w:t>
      </w:r>
      <w:proofErr w:type="spellEnd"/>
      <w:proofErr w:type="gramEnd"/>
      <w:r w:rsidRPr="001875EC">
        <w:t xml:space="preserve"> and OS are measured to data cut-off of 31 August 2012, at which time median exposure to the drug in the </w:t>
      </w:r>
      <w:proofErr w:type="spellStart"/>
      <w:r w:rsidRPr="001875EC">
        <w:t>sorafenib</w:t>
      </w:r>
      <w:proofErr w:type="spellEnd"/>
      <w:r w:rsidRPr="001875EC">
        <w:t xml:space="preserve"> arm is 46.1 weeks under double-blind conditions and 56.9 weeks including the open label use of </w:t>
      </w:r>
      <w:proofErr w:type="spellStart"/>
      <w:r w:rsidRPr="001875EC">
        <w:t>sorafenib</w:t>
      </w:r>
      <w:proofErr w:type="spellEnd"/>
      <w:r w:rsidRPr="001875EC">
        <w:t>.  Median exposure to placebo is 28.3 weeks under double-blind conditions.</w:t>
      </w:r>
    </w:p>
    <w:p w:rsidR="0052151C" w:rsidRPr="001875EC" w:rsidRDefault="00716DAB" w:rsidP="00F8582E">
      <w:pPr>
        <w:pStyle w:val="TableFooter"/>
        <w:keepNext/>
        <w:keepLines/>
        <w:ind w:left="709"/>
      </w:pPr>
      <w:proofErr w:type="gramStart"/>
      <w:r w:rsidRPr="001875EC">
        <w:rPr>
          <w:vertAlign w:val="superscript"/>
        </w:rPr>
        <w:t>b</w:t>
      </w:r>
      <w:proofErr w:type="gramEnd"/>
      <w:r w:rsidRPr="001875EC">
        <w:t xml:space="preserve"> the proportion of patients who experience at least one adverse event.</w:t>
      </w:r>
    </w:p>
    <w:p w:rsidR="00C0077F" w:rsidRPr="001875EC" w:rsidRDefault="00C0077F" w:rsidP="00F8582E">
      <w:pPr>
        <w:pStyle w:val="TableFooter"/>
        <w:keepNext/>
        <w:keepLines/>
        <w:ind w:left="709"/>
      </w:pPr>
      <w:r w:rsidRPr="001875EC">
        <w:t xml:space="preserve">Abbreviations: PBO = placebo; RD = risk difference; </w:t>
      </w:r>
      <w:r w:rsidR="00C009C9" w:rsidRPr="001875EC">
        <w:t xml:space="preserve">BSC = best supportive care; </w:t>
      </w:r>
      <w:r w:rsidRPr="001875EC">
        <w:t>RR = risk ratio; AE = adverse event; CR = complete response; PR = partial response; SD = stable disease; PFS = progression free survival; OS = overall survival.</w:t>
      </w:r>
    </w:p>
    <w:p w:rsidR="00C0077F" w:rsidRPr="001875EC" w:rsidRDefault="00C0077F" w:rsidP="00F8582E">
      <w:pPr>
        <w:pStyle w:val="TableFooter"/>
        <w:keepNext/>
        <w:keepLines/>
        <w:ind w:left="709"/>
      </w:pPr>
      <w:r w:rsidRPr="001875EC">
        <w:t xml:space="preserve">Source: Compiled during the evaluation from Table 34, p75, Table 38, p81, Table 40, p85, Table 51, p96, Table 53, pp99-100. </w:t>
      </w:r>
    </w:p>
    <w:p w:rsidR="00C74DF6" w:rsidRPr="00F363CC" w:rsidRDefault="00C74DF6" w:rsidP="00676CBF">
      <w:pPr>
        <w:pStyle w:val="ListParagraph"/>
        <w:widowControl/>
        <w:ind w:left="360"/>
        <w:rPr>
          <w:szCs w:val="22"/>
        </w:rPr>
      </w:pPr>
    </w:p>
    <w:p w:rsidR="00DE2B19" w:rsidRPr="00F363CC" w:rsidRDefault="00B22375" w:rsidP="0001306F">
      <w:pPr>
        <w:pStyle w:val="ListParagraph"/>
        <w:widowControl/>
        <w:numPr>
          <w:ilvl w:val="1"/>
          <w:numId w:val="1"/>
        </w:numPr>
        <w:rPr>
          <w:szCs w:val="22"/>
          <w:u w:val="single"/>
        </w:rPr>
      </w:pPr>
      <w:r w:rsidRPr="00F363CC">
        <w:rPr>
          <w:szCs w:val="22"/>
          <w:u w:val="single"/>
        </w:rPr>
        <w:t>Benefits</w:t>
      </w:r>
    </w:p>
    <w:p w:rsidR="00676CBF" w:rsidRPr="00F363CC" w:rsidRDefault="0083434F" w:rsidP="00DE2B19">
      <w:pPr>
        <w:pStyle w:val="ListParagraph"/>
        <w:widowControl/>
        <w:ind w:left="709"/>
        <w:rPr>
          <w:szCs w:val="22"/>
        </w:rPr>
      </w:pPr>
      <w:r w:rsidRPr="00F363CC">
        <w:rPr>
          <w:szCs w:val="22"/>
        </w:rPr>
        <w:t xml:space="preserve">On the basis of the direct evidence presented by the submission, the comparison of </w:t>
      </w:r>
      <w:proofErr w:type="spellStart"/>
      <w:r w:rsidR="00DE2B19" w:rsidRPr="00F363CC">
        <w:rPr>
          <w:szCs w:val="22"/>
        </w:rPr>
        <w:t>sorafenib</w:t>
      </w:r>
      <w:proofErr w:type="spellEnd"/>
      <w:r w:rsidR="00DE2B19" w:rsidRPr="00F363CC">
        <w:rPr>
          <w:szCs w:val="22"/>
        </w:rPr>
        <w:t xml:space="preserve"> </w:t>
      </w:r>
      <w:r w:rsidRPr="00F363CC">
        <w:rPr>
          <w:szCs w:val="22"/>
        </w:rPr>
        <w:t>with placebo resulted in</w:t>
      </w:r>
      <w:r w:rsidR="00DE2B19" w:rsidRPr="00F363CC">
        <w:rPr>
          <w:szCs w:val="22"/>
        </w:rPr>
        <w:t>:</w:t>
      </w:r>
    </w:p>
    <w:p w:rsidR="00DE2B19" w:rsidRPr="00F363CC" w:rsidRDefault="00C74DF6" w:rsidP="00F82597">
      <w:pPr>
        <w:pStyle w:val="ListParagraph"/>
        <w:widowControl/>
        <w:numPr>
          <w:ilvl w:val="0"/>
          <w:numId w:val="8"/>
        </w:numPr>
        <w:rPr>
          <w:szCs w:val="22"/>
        </w:rPr>
      </w:pPr>
      <w:proofErr w:type="gramStart"/>
      <w:r w:rsidRPr="00F363CC">
        <w:rPr>
          <w:szCs w:val="22"/>
        </w:rPr>
        <w:t>a</w:t>
      </w:r>
      <w:proofErr w:type="gramEnd"/>
      <w:r w:rsidRPr="00F363CC">
        <w:rPr>
          <w:szCs w:val="22"/>
        </w:rPr>
        <w:t xml:space="preserve"> significant increase in median </w:t>
      </w:r>
      <w:r w:rsidR="00B22375" w:rsidRPr="00F363CC">
        <w:rPr>
          <w:szCs w:val="22"/>
        </w:rPr>
        <w:t>PFS</w:t>
      </w:r>
      <w:r w:rsidRPr="00F363CC">
        <w:rPr>
          <w:szCs w:val="22"/>
        </w:rPr>
        <w:t xml:space="preserve"> </w:t>
      </w:r>
      <w:r w:rsidR="00DE2B19" w:rsidRPr="00F363CC">
        <w:rPr>
          <w:szCs w:val="22"/>
        </w:rPr>
        <w:t xml:space="preserve">compared </w:t>
      </w:r>
      <w:r w:rsidR="00AD4106">
        <w:rPr>
          <w:szCs w:val="22"/>
        </w:rPr>
        <w:t>with</w:t>
      </w:r>
      <w:r w:rsidR="00AD4106" w:rsidRPr="00F363CC">
        <w:rPr>
          <w:szCs w:val="22"/>
        </w:rPr>
        <w:t xml:space="preserve"> </w:t>
      </w:r>
      <w:r w:rsidR="00DE2B19" w:rsidRPr="00F363CC">
        <w:rPr>
          <w:szCs w:val="22"/>
        </w:rPr>
        <w:t xml:space="preserve">placebo </w:t>
      </w:r>
      <w:r w:rsidRPr="00F363CC">
        <w:rPr>
          <w:szCs w:val="22"/>
        </w:rPr>
        <w:t xml:space="preserve">from 5.8 months </w:t>
      </w:r>
      <w:r w:rsidR="00DE2B19" w:rsidRPr="00F363CC">
        <w:rPr>
          <w:szCs w:val="22"/>
        </w:rPr>
        <w:t xml:space="preserve">(placebo) </w:t>
      </w:r>
      <w:r w:rsidRPr="00F363CC">
        <w:rPr>
          <w:szCs w:val="22"/>
        </w:rPr>
        <w:t>to 10.8 months</w:t>
      </w:r>
      <w:r w:rsidR="00DE2B19" w:rsidRPr="00F363CC">
        <w:rPr>
          <w:szCs w:val="22"/>
        </w:rPr>
        <w:t xml:space="preserve"> (</w:t>
      </w:r>
      <w:proofErr w:type="spellStart"/>
      <w:r w:rsidR="00DE2B19" w:rsidRPr="00F363CC">
        <w:rPr>
          <w:szCs w:val="22"/>
        </w:rPr>
        <w:t>sorafenib</w:t>
      </w:r>
      <w:proofErr w:type="spellEnd"/>
      <w:r w:rsidR="00DE2B19" w:rsidRPr="00F363CC">
        <w:rPr>
          <w:szCs w:val="22"/>
        </w:rPr>
        <w:t>)</w:t>
      </w:r>
      <w:r w:rsidRPr="00F363CC">
        <w:rPr>
          <w:szCs w:val="22"/>
        </w:rPr>
        <w:t xml:space="preserve">: HR 0.587 (0.454 - 0.758). Censoring of patients who </w:t>
      </w:r>
      <w:r w:rsidR="00DE2B19" w:rsidRPr="00F363CC">
        <w:rPr>
          <w:szCs w:val="22"/>
        </w:rPr>
        <w:t>ceased</w:t>
      </w:r>
      <w:r w:rsidRPr="00F363CC">
        <w:rPr>
          <w:szCs w:val="22"/>
        </w:rPr>
        <w:t xml:space="preserve"> </w:t>
      </w:r>
      <w:proofErr w:type="spellStart"/>
      <w:r w:rsidR="00DE2B19" w:rsidRPr="00F363CC">
        <w:rPr>
          <w:szCs w:val="22"/>
        </w:rPr>
        <w:t>s</w:t>
      </w:r>
      <w:r w:rsidRPr="00F363CC">
        <w:rPr>
          <w:szCs w:val="22"/>
        </w:rPr>
        <w:t>orafenib</w:t>
      </w:r>
      <w:proofErr w:type="spellEnd"/>
      <w:r w:rsidRPr="00F363CC">
        <w:rPr>
          <w:szCs w:val="22"/>
        </w:rPr>
        <w:t xml:space="preserve"> early due to side effects without progression may bias this result towards </w:t>
      </w:r>
      <w:proofErr w:type="spellStart"/>
      <w:r w:rsidR="00DE2B19" w:rsidRPr="00F363CC">
        <w:rPr>
          <w:szCs w:val="22"/>
        </w:rPr>
        <w:t>s</w:t>
      </w:r>
      <w:r w:rsidR="00F6210F" w:rsidRPr="00F363CC">
        <w:rPr>
          <w:szCs w:val="22"/>
        </w:rPr>
        <w:t>orafenib</w:t>
      </w:r>
      <w:proofErr w:type="spellEnd"/>
      <w:r w:rsidR="00F6210F" w:rsidRPr="00F363CC">
        <w:rPr>
          <w:szCs w:val="22"/>
        </w:rPr>
        <w:t>;</w:t>
      </w:r>
      <w:r w:rsidRPr="00F363CC">
        <w:rPr>
          <w:szCs w:val="22"/>
        </w:rPr>
        <w:t xml:space="preserve"> </w:t>
      </w:r>
    </w:p>
    <w:p w:rsidR="00C74DF6" w:rsidRPr="00F363CC" w:rsidRDefault="00C74DF6" w:rsidP="00F82597">
      <w:pPr>
        <w:pStyle w:val="ListParagraph"/>
        <w:widowControl/>
        <w:numPr>
          <w:ilvl w:val="0"/>
          <w:numId w:val="8"/>
        </w:numPr>
        <w:rPr>
          <w:szCs w:val="22"/>
        </w:rPr>
      </w:pPr>
      <w:proofErr w:type="gramStart"/>
      <w:r w:rsidRPr="00F363CC">
        <w:rPr>
          <w:szCs w:val="22"/>
        </w:rPr>
        <w:t>a</w:t>
      </w:r>
      <w:proofErr w:type="gramEnd"/>
      <w:r w:rsidRPr="00F363CC">
        <w:rPr>
          <w:szCs w:val="22"/>
        </w:rPr>
        <w:t xml:space="preserve"> significant increase in ‘Disease Control’</w:t>
      </w:r>
      <w:r w:rsidR="00DE2B19" w:rsidRPr="00F363CC">
        <w:rPr>
          <w:szCs w:val="22"/>
        </w:rPr>
        <w:t>, which comprises</w:t>
      </w:r>
      <w:r w:rsidRPr="00F363CC">
        <w:rPr>
          <w:szCs w:val="22"/>
        </w:rPr>
        <w:t xml:space="preserve"> complete response</w:t>
      </w:r>
      <w:r w:rsidR="00DE2B19" w:rsidRPr="00F363CC">
        <w:rPr>
          <w:szCs w:val="22"/>
        </w:rPr>
        <w:t>,</w:t>
      </w:r>
      <w:r w:rsidRPr="00F363CC">
        <w:rPr>
          <w:szCs w:val="22"/>
        </w:rPr>
        <w:t xml:space="preserve"> partial response </w:t>
      </w:r>
      <w:r w:rsidR="00DE2B19" w:rsidRPr="00F363CC">
        <w:rPr>
          <w:szCs w:val="22"/>
        </w:rPr>
        <w:t>and</w:t>
      </w:r>
      <w:r w:rsidRPr="00F363CC">
        <w:rPr>
          <w:szCs w:val="22"/>
        </w:rPr>
        <w:t xml:space="preserve"> stable disease</w:t>
      </w:r>
      <w:r w:rsidR="00DE2B19" w:rsidRPr="00F363CC">
        <w:rPr>
          <w:szCs w:val="22"/>
        </w:rPr>
        <w:t xml:space="preserve">. </w:t>
      </w:r>
      <w:r w:rsidR="00214F38" w:rsidRPr="00F363CC">
        <w:rPr>
          <w:szCs w:val="22"/>
        </w:rPr>
        <w:t xml:space="preserve">The disease control rate </w:t>
      </w:r>
      <w:r w:rsidR="00DE2B19" w:rsidRPr="00F363CC">
        <w:rPr>
          <w:szCs w:val="22"/>
        </w:rPr>
        <w:t>was</w:t>
      </w:r>
      <w:r w:rsidRPr="00F363CC">
        <w:rPr>
          <w:szCs w:val="22"/>
        </w:rPr>
        <w:t xml:space="preserve"> 74.6% </w:t>
      </w:r>
      <w:r w:rsidR="00DE2B19" w:rsidRPr="00F363CC">
        <w:rPr>
          <w:szCs w:val="22"/>
        </w:rPr>
        <w:t xml:space="preserve">in the placebo arm compared </w:t>
      </w:r>
      <w:r w:rsidR="00AD4106">
        <w:rPr>
          <w:szCs w:val="22"/>
        </w:rPr>
        <w:t>with</w:t>
      </w:r>
      <w:r w:rsidR="00AD4106" w:rsidRPr="00F363CC">
        <w:rPr>
          <w:szCs w:val="22"/>
        </w:rPr>
        <w:t xml:space="preserve"> </w:t>
      </w:r>
      <w:r w:rsidRPr="00F363CC">
        <w:rPr>
          <w:szCs w:val="22"/>
        </w:rPr>
        <w:t>86.2%</w:t>
      </w:r>
      <w:r w:rsidR="00DE2B19" w:rsidRPr="00F363CC">
        <w:rPr>
          <w:szCs w:val="22"/>
        </w:rPr>
        <w:t xml:space="preserve"> in the </w:t>
      </w:r>
      <w:proofErr w:type="spellStart"/>
      <w:r w:rsidR="00DE2B19" w:rsidRPr="00F363CC">
        <w:rPr>
          <w:szCs w:val="22"/>
        </w:rPr>
        <w:t>sorafenib</w:t>
      </w:r>
      <w:proofErr w:type="spellEnd"/>
      <w:r w:rsidR="00DE2B19" w:rsidRPr="00F363CC">
        <w:rPr>
          <w:szCs w:val="22"/>
        </w:rPr>
        <w:t xml:space="preserve"> arm</w:t>
      </w:r>
      <w:r w:rsidRPr="00F363CC">
        <w:rPr>
          <w:szCs w:val="22"/>
        </w:rPr>
        <w:t>: RD 0.12 (0.04-0.19)</w:t>
      </w:r>
      <w:r w:rsidR="00F6210F" w:rsidRPr="00F363CC">
        <w:rPr>
          <w:szCs w:val="22"/>
        </w:rPr>
        <w:t>;</w:t>
      </w:r>
    </w:p>
    <w:p w:rsidR="00DE2B19" w:rsidRPr="00F363CC" w:rsidRDefault="00DE2B19" w:rsidP="00DE2B19">
      <w:pPr>
        <w:widowControl/>
        <w:ind w:left="709"/>
        <w:rPr>
          <w:szCs w:val="22"/>
        </w:rPr>
      </w:pPr>
    </w:p>
    <w:p w:rsidR="00305D32" w:rsidRPr="00305D32" w:rsidRDefault="00305D32" w:rsidP="0001306F">
      <w:pPr>
        <w:pStyle w:val="ListParagraph"/>
        <w:widowControl/>
        <w:numPr>
          <w:ilvl w:val="1"/>
          <w:numId w:val="1"/>
        </w:numPr>
        <w:rPr>
          <w:szCs w:val="22"/>
          <w:u w:val="single"/>
        </w:rPr>
      </w:pPr>
      <w:r w:rsidRPr="00305D32">
        <w:rPr>
          <w:szCs w:val="22"/>
        </w:rPr>
        <w:t xml:space="preserve">On the basis of the direct evidence presented by the submission, the comparison of </w:t>
      </w:r>
      <w:proofErr w:type="spellStart"/>
      <w:r w:rsidRPr="00305D32">
        <w:rPr>
          <w:szCs w:val="22"/>
        </w:rPr>
        <w:t>sorafenib</w:t>
      </w:r>
      <w:proofErr w:type="spellEnd"/>
      <w:r w:rsidRPr="00305D32">
        <w:rPr>
          <w:szCs w:val="22"/>
        </w:rPr>
        <w:t xml:space="preserve"> with placebo did not result in a statistically significant difference in OS for the intention to treat population. The unadjusted HR for OS was 0.80 (0.54 – 1.19). This result may have been affected by the significant crossover (from placebo to open-label </w:t>
      </w:r>
      <w:proofErr w:type="spellStart"/>
      <w:r w:rsidRPr="00305D32">
        <w:rPr>
          <w:szCs w:val="22"/>
        </w:rPr>
        <w:t>sorafenib</w:t>
      </w:r>
      <w:proofErr w:type="spellEnd"/>
      <w:r w:rsidRPr="00305D32">
        <w:rPr>
          <w:szCs w:val="22"/>
        </w:rPr>
        <w:t xml:space="preserve"> after disease progression) that occurred in the trial. </w:t>
      </w:r>
    </w:p>
    <w:p w:rsidR="00305D32" w:rsidRPr="00305D32" w:rsidRDefault="00305D32" w:rsidP="00305D32">
      <w:pPr>
        <w:pStyle w:val="ListParagraph"/>
        <w:rPr>
          <w:szCs w:val="22"/>
        </w:rPr>
      </w:pPr>
    </w:p>
    <w:p w:rsidR="00305D32" w:rsidRPr="00305D32" w:rsidRDefault="00305D32" w:rsidP="0001306F">
      <w:pPr>
        <w:pStyle w:val="ListParagraph"/>
        <w:widowControl/>
        <w:numPr>
          <w:ilvl w:val="1"/>
          <w:numId w:val="1"/>
        </w:numPr>
        <w:rPr>
          <w:szCs w:val="22"/>
          <w:u w:val="single"/>
        </w:rPr>
      </w:pPr>
      <w:r w:rsidRPr="00305D32">
        <w:rPr>
          <w:szCs w:val="22"/>
        </w:rPr>
        <w:t>Health-related quality of life data from patients in the trial favoured placebo (</w:t>
      </w:r>
      <w:r w:rsidR="002E19FB">
        <w:rPr>
          <w:noProof/>
          <w:color w:val="000000"/>
          <w:szCs w:val="22"/>
          <w:highlight w:val="black"/>
        </w:rPr>
        <w:t>''''''''''''''' ''''''''''' '''' ''''''''''</w:t>
      </w:r>
      <w:r w:rsidRPr="00305D32">
        <w:rPr>
          <w:szCs w:val="22"/>
        </w:rPr>
        <w:t xml:space="preserve">) compared </w:t>
      </w:r>
      <w:r w:rsidR="00AD4106">
        <w:rPr>
          <w:szCs w:val="22"/>
        </w:rPr>
        <w:t>with</w:t>
      </w:r>
      <w:r w:rsidR="00AD4106" w:rsidRPr="00305D32">
        <w:rPr>
          <w:szCs w:val="22"/>
        </w:rPr>
        <w:t xml:space="preserve"> </w:t>
      </w:r>
      <w:proofErr w:type="spellStart"/>
      <w:r w:rsidRPr="00305D32">
        <w:rPr>
          <w:szCs w:val="22"/>
        </w:rPr>
        <w:t>sorafenib</w:t>
      </w:r>
      <w:proofErr w:type="spellEnd"/>
      <w:r w:rsidRPr="00305D32">
        <w:rPr>
          <w:szCs w:val="22"/>
        </w:rPr>
        <w:t xml:space="preserve"> </w:t>
      </w:r>
      <w:r w:rsidR="002E19FB">
        <w:rPr>
          <w:noProof/>
          <w:color w:val="000000"/>
          <w:szCs w:val="22"/>
          <w:highlight w:val="black"/>
        </w:rPr>
        <w:t>'''''''''''''''' ''''''''''''' ''''' ''''''''''''</w:t>
      </w:r>
      <w:r w:rsidRPr="00305D32">
        <w:rPr>
          <w:szCs w:val="22"/>
        </w:rPr>
        <w:t>.</w:t>
      </w:r>
    </w:p>
    <w:p w:rsidR="00E37DD9" w:rsidRPr="00F363CC" w:rsidRDefault="00E37DD9" w:rsidP="00E37DD9">
      <w:pPr>
        <w:widowControl/>
        <w:rPr>
          <w:szCs w:val="22"/>
        </w:rPr>
      </w:pPr>
    </w:p>
    <w:p w:rsidR="00305D32" w:rsidRDefault="00C74DF6" w:rsidP="0001306F">
      <w:pPr>
        <w:pStyle w:val="ListParagraph"/>
        <w:widowControl/>
        <w:numPr>
          <w:ilvl w:val="1"/>
          <w:numId w:val="1"/>
        </w:numPr>
        <w:rPr>
          <w:szCs w:val="22"/>
          <w:u w:val="single"/>
        </w:rPr>
      </w:pPr>
      <w:r w:rsidRPr="00F363CC">
        <w:rPr>
          <w:szCs w:val="22"/>
          <w:u w:val="single"/>
        </w:rPr>
        <w:t>H</w:t>
      </w:r>
      <w:r w:rsidR="00B26EDC" w:rsidRPr="00F363CC">
        <w:rPr>
          <w:szCs w:val="22"/>
          <w:u w:val="single"/>
        </w:rPr>
        <w:t>arms</w:t>
      </w:r>
    </w:p>
    <w:p w:rsidR="00C74DF6" w:rsidRPr="00F363CC" w:rsidRDefault="0083434F" w:rsidP="00B26EDC">
      <w:pPr>
        <w:pStyle w:val="ListParagraph"/>
        <w:widowControl/>
        <w:ind w:left="709"/>
        <w:rPr>
          <w:szCs w:val="22"/>
        </w:rPr>
      </w:pPr>
      <w:r w:rsidRPr="00F363CC">
        <w:rPr>
          <w:szCs w:val="22"/>
        </w:rPr>
        <w:t xml:space="preserve">On the basis of the direct evidence presented in the submission, for every 100 patients treated with </w:t>
      </w:r>
      <w:proofErr w:type="spellStart"/>
      <w:r w:rsidRPr="00F363CC">
        <w:rPr>
          <w:szCs w:val="22"/>
        </w:rPr>
        <w:t>sorafenib</w:t>
      </w:r>
      <w:proofErr w:type="spellEnd"/>
      <w:r w:rsidRPr="00F363CC">
        <w:rPr>
          <w:szCs w:val="22"/>
        </w:rPr>
        <w:t xml:space="preserve"> in comparison with p</w:t>
      </w:r>
      <w:r w:rsidR="00C74DF6" w:rsidRPr="00F363CC">
        <w:rPr>
          <w:szCs w:val="22"/>
        </w:rPr>
        <w:t xml:space="preserve">lacebo, </w:t>
      </w:r>
      <w:r w:rsidRPr="00F363CC">
        <w:rPr>
          <w:szCs w:val="22"/>
        </w:rPr>
        <w:t>approximately</w:t>
      </w:r>
      <w:r w:rsidR="00C74DF6" w:rsidRPr="00F363CC">
        <w:rPr>
          <w:szCs w:val="22"/>
        </w:rPr>
        <w:t>:</w:t>
      </w:r>
    </w:p>
    <w:p w:rsidR="00C74DF6" w:rsidRPr="00F363CC" w:rsidRDefault="00C74DF6" w:rsidP="00F82597">
      <w:pPr>
        <w:pStyle w:val="ListParagraph"/>
        <w:widowControl/>
        <w:numPr>
          <w:ilvl w:val="0"/>
          <w:numId w:val="7"/>
        </w:numPr>
        <w:rPr>
          <w:szCs w:val="22"/>
        </w:rPr>
      </w:pPr>
      <w:r w:rsidRPr="00F363CC">
        <w:rPr>
          <w:szCs w:val="22"/>
        </w:rPr>
        <w:lastRenderedPageBreak/>
        <w:t xml:space="preserve">38 </w:t>
      </w:r>
      <w:r w:rsidR="0083434F" w:rsidRPr="00F363CC">
        <w:rPr>
          <w:szCs w:val="22"/>
        </w:rPr>
        <w:t xml:space="preserve">additional patients </w:t>
      </w:r>
      <w:r w:rsidRPr="00F363CC">
        <w:rPr>
          <w:szCs w:val="22"/>
        </w:rPr>
        <w:t>will have</w:t>
      </w:r>
      <w:r w:rsidR="007C3344" w:rsidRPr="00F363CC">
        <w:rPr>
          <w:szCs w:val="22"/>
        </w:rPr>
        <w:t xml:space="preserve"> at least one</w:t>
      </w:r>
      <w:r w:rsidRPr="00F363CC">
        <w:rPr>
          <w:szCs w:val="22"/>
        </w:rPr>
        <w:t xml:space="preserve"> Grade 3 or higher Adverse Event (AE)</w:t>
      </w:r>
      <w:r w:rsidR="0083434F" w:rsidRPr="00F363CC">
        <w:rPr>
          <w:szCs w:val="22"/>
        </w:rPr>
        <w:t>.</w:t>
      </w:r>
    </w:p>
    <w:p w:rsidR="00C74DF6" w:rsidRPr="00F363CC" w:rsidRDefault="00C74DF6" w:rsidP="00F82597">
      <w:pPr>
        <w:pStyle w:val="ListParagraph"/>
        <w:widowControl/>
        <w:numPr>
          <w:ilvl w:val="0"/>
          <w:numId w:val="7"/>
        </w:numPr>
        <w:rPr>
          <w:szCs w:val="22"/>
        </w:rPr>
      </w:pPr>
      <w:r w:rsidRPr="00F363CC">
        <w:rPr>
          <w:szCs w:val="22"/>
        </w:rPr>
        <w:t xml:space="preserve">20 </w:t>
      </w:r>
      <w:r w:rsidR="0083434F" w:rsidRPr="00F363CC">
        <w:rPr>
          <w:szCs w:val="22"/>
        </w:rPr>
        <w:t xml:space="preserve">additional patients </w:t>
      </w:r>
      <w:r w:rsidRPr="00F363CC">
        <w:rPr>
          <w:szCs w:val="22"/>
        </w:rPr>
        <w:t>will have Grade 3 or higher Hand-Foot skin reaction</w:t>
      </w:r>
      <w:r w:rsidR="0083434F" w:rsidRPr="00F363CC">
        <w:rPr>
          <w:szCs w:val="22"/>
        </w:rPr>
        <w:t>.</w:t>
      </w:r>
    </w:p>
    <w:p w:rsidR="00C74DF6" w:rsidRPr="00F363CC" w:rsidRDefault="00C74DF6" w:rsidP="00F82597">
      <w:pPr>
        <w:pStyle w:val="ListParagraph"/>
        <w:widowControl/>
        <w:numPr>
          <w:ilvl w:val="0"/>
          <w:numId w:val="7"/>
        </w:numPr>
        <w:rPr>
          <w:szCs w:val="22"/>
        </w:rPr>
      </w:pPr>
      <w:r w:rsidRPr="00F363CC">
        <w:rPr>
          <w:szCs w:val="22"/>
        </w:rPr>
        <w:t xml:space="preserve">7 </w:t>
      </w:r>
      <w:r w:rsidR="0083434F" w:rsidRPr="00F363CC">
        <w:rPr>
          <w:szCs w:val="22"/>
        </w:rPr>
        <w:t xml:space="preserve">additional patients </w:t>
      </w:r>
      <w:r w:rsidRPr="00F363CC">
        <w:rPr>
          <w:szCs w:val="22"/>
        </w:rPr>
        <w:t>will have Grade 3 or higher hypertension</w:t>
      </w:r>
      <w:r w:rsidR="0083434F" w:rsidRPr="00F363CC">
        <w:rPr>
          <w:szCs w:val="22"/>
        </w:rPr>
        <w:t>.</w:t>
      </w:r>
    </w:p>
    <w:p w:rsidR="00C74DF6" w:rsidRPr="00F363CC" w:rsidRDefault="00C74DF6" w:rsidP="00F82597">
      <w:pPr>
        <w:pStyle w:val="ListParagraph"/>
        <w:widowControl/>
        <w:numPr>
          <w:ilvl w:val="0"/>
          <w:numId w:val="7"/>
        </w:numPr>
        <w:rPr>
          <w:szCs w:val="22"/>
        </w:rPr>
      </w:pPr>
      <w:r w:rsidRPr="00F363CC">
        <w:rPr>
          <w:szCs w:val="22"/>
        </w:rPr>
        <w:t xml:space="preserve">40 </w:t>
      </w:r>
      <w:r w:rsidR="0083434F" w:rsidRPr="00F363CC">
        <w:rPr>
          <w:szCs w:val="22"/>
        </w:rPr>
        <w:t xml:space="preserve">additional patients </w:t>
      </w:r>
      <w:r w:rsidRPr="00F363CC">
        <w:rPr>
          <w:szCs w:val="22"/>
        </w:rPr>
        <w:t xml:space="preserve">will have </w:t>
      </w:r>
      <w:proofErr w:type="spellStart"/>
      <w:r w:rsidR="00F6210F" w:rsidRPr="00F363CC">
        <w:rPr>
          <w:szCs w:val="22"/>
        </w:rPr>
        <w:t>s</w:t>
      </w:r>
      <w:r w:rsidRPr="00F363CC">
        <w:rPr>
          <w:szCs w:val="22"/>
        </w:rPr>
        <w:t>orafenib</w:t>
      </w:r>
      <w:proofErr w:type="spellEnd"/>
      <w:r w:rsidRPr="00F363CC">
        <w:rPr>
          <w:szCs w:val="22"/>
        </w:rPr>
        <w:t xml:space="preserve"> treatment interrupted due to AE</w:t>
      </w:r>
      <w:r w:rsidR="0083434F" w:rsidRPr="00F363CC">
        <w:rPr>
          <w:szCs w:val="22"/>
        </w:rPr>
        <w:t>.</w:t>
      </w:r>
    </w:p>
    <w:p w:rsidR="00C74DF6" w:rsidRPr="00F363CC" w:rsidRDefault="00C74DF6" w:rsidP="00F82597">
      <w:pPr>
        <w:pStyle w:val="ListParagraph"/>
        <w:widowControl/>
        <w:numPr>
          <w:ilvl w:val="0"/>
          <w:numId w:val="7"/>
        </w:numPr>
        <w:rPr>
          <w:szCs w:val="22"/>
        </w:rPr>
      </w:pPr>
      <w:r w:rsidRPr="00F363CC">
        <w:rPr>
          <w:szCs w:val="22"/>
        </w:rPr>
        <w:t>55</w:t>
      </w:r>
      <w:r w:rsidR="0083434F" w:rsidRPr="00F363CC">
        <w:rPr>
          <w:szCs w:val="22"/>
        </w:rPr>
        <w:t xml:space="preserve"> additional patients</w:t>
      </w:r>
      <w:r w:rsidR="00F6210F" w:rsidRPr="00F363CC">
        <w:rPr>
          <w:szCs w:val="22"/>
        </w:rPr>
        <w:t xml:space="preserve"> will have </w:t>
      </w:r>
      <w:proofErr w:type="spellStart"/>
      <w:r w:rsidR="00F6210F" w:rsidRPr="00F363CC">
        <w:rPr>
          <w:szCs w:val="22"/>
        </w:rPr>
        <w:t>s</w:t>
      </w:r>
      <w:r w:rsidRPr="00F363CC">
        <w:rPr>
          <w:szCs w:val="22"/>
        </w:rPr>
        <w:t>orafenib</w:t>
      </w:r>
      <w:proofErr w:type="spellEnd"/>
      <w:r w:rsidRPr="00F363CC">
        <w:rPr>
          <w:szCs w:val="22"/>
        </w:rPr>
        <w:t xml:space="preserve"> treatment reduced due to AE</w:t>
      </w:r>
      <w:r w:rsidR="0083434F" w:rsidRPr="00F363CC">
        <w:rPr>
          <w:szCs w:val="22"/>
        </w:rPr>
        <w:t>.</w:t>
      </w:r>
    </w:p>
    <w:p w:rsidR="00C74DF6" w:rsidRPr="00F363CC" w:rsidRDefault="00C74DF6" w:rsidP="00F82597">
      <w:pPr>
        <w:pStyle w:val="ListParagraph"/>
        <w:widowControl/>
        <w:numPr>
          <w:ilvl w:val="0"/>
          <w:numId w:val="7"/>
        </w:numPr>
        <w:rPr>
          <w:szCs w:val="22"/>
        </w:rPr>
      </w:pPr>
      <w:r w:rsidRPr="00F363CC">
        <w:rPr>
          <w:szCs w:val="22"/>
        </w:rPr>
        <w:t xml:space="preserve">15 </w:t>
      </w:r>
      <w:r w:rsidR="0083434F" w:rsidRPr="00F363CC">
        <w:rPr>
          <w:szCs w:val="22"/>
        </w:rPr>
        <w:t>additional patients</w:t>
      </w:r>
      <w:r w:rsidR="00F6210F" w:rsidRPr="00F363CC">
        <w:rPr>
          <w:szCs w:val="22"/>
        </w:rPr>
        <w:t xml:space="preserve"> will have </w:t>
      </w:r>
      <w:proofErr w:type="spellStart"/>
      <w:r w:rsidR="00F6210F" w:rsidRPr="00F363CC">
        <w:rPr>
          <w:szCs w:val="22"/>
        </w:rPr>
        <w:t>s</w:t>
      </w:r>
      <w:r w:rsidRPr="00F363CC">
        <w:rPr>
          <w:szCs w:val="22"/>
        </w:rPr>
        <w:t>orafenib</w:t>
      </w:r>
      <w:proofErr w:type="spellEnd"/>
      <w:r w:rsidRPr="00F363CC">
        <w:rPr>
          <w:szCs w:val="22"/>
        </w:rPr>
        <w:t xml:space="preserve"> treatment stopped due to AE</w:t>
      </w:r>
      <w:r w:rsidR="0083434F" w:rsidRPr="00F363CC">
        <w:rPr>
          <w:szCs w:val="22"/>
        </w:rPr>
        <w:t>.</w:t>
      </w:r>
    </w:p>
    <w:p w:rsidR="00CB0D81" w:rsidRPr="00717CC7" w:rsidRDefault="00CB0D81" w:rsidP="00717CC7">
      <w:pPr>
        <w:pStyle w:val="ListParagraph"/>
        <w:widowControl/>
        <w:rPr>
          <w:szCs w:val="22"/>
        </w:rPr>
      </w:pPr>
      <w:r w:rsidRPr="00F363CC">
        <w:rPr>
          <w:szCs w:val="22"/>
        </w:rPr>
        <w:t xml:space="preserve">This is based on </w:t>
      </w:r>
      <w:r w:rsidRPr="00F363CC">
        <w:t xml:space="preserve">a period of 10 – 12 months of treatment with </w:t>
      </w:r>
      <w:proofErr w:type="spellStart"/>
      <w:r w:rsidRPr="00F363CC">
        <w:t>sorafenib</w:t>
      </w:r>
      <w:proofErr w:type="spellEnd"/>
      <w:r w:rsidRPr="00F363CC">
        <w:t xml:space="preserve"> (compared </w:t>
      </w:r>
      <w:r w:rsidR="00AD4106">
        <w:t>with</w:t>
      </w:r>
      <w:r w:rsidR="00AD4106" w:rsidRPr="00F363CC">
        <w:t xml:space="preserve"> </w:t>
      </w:r>
      <w:r w:rsidRPr="00F363CC">
        <w:t xml:space="preserve">8 – 9 months of observation in the </w:t>
      </w:r>
      <w:proofErr w:type="spellStart"/>
      <w:r w:rsidRPr="00F363CC">
        <w:t>placebo+BSC</w:t>
      </w:r>
      <w:proofErr w:type="spellEnd"/>
      <w:r w:rsidRPr="00F363CC">
        <w:t xml:space="preserve"> arm).</w:t>
      </w:r>
    </w:p>
    <w:p w:rsidR="005F3FDE" w:rsidRPr="00F363CC" w:rsidRDefault="005F3FDE" w:rsidP="005F3FDE">
      <w:pPr>
        <w:widowControl/>
      </w:pPr>
    </w:p>
    <w:p w:rsidR="005F3FDE" w:rsidRPr="00F363CC" w:rsidRDefault="005F3FDE" w:rsidP="0001306F">
      <w:pPr>
        <w:pStyle w:val="ListParagraph"/>
        <w:widowControl/>
        <w:numPr>
          <w:ilvl w:val="1"/>
          <w:numId w:val="1"/>
        </w:numPr>
      </w:pPr>
      <w:r w:rsidRPr="00F363CC">
        <w:t xml:space="preserve">The ESC considered that the overall risk-benefit profile of </w:t>
      </w:r>
      <w:proofErr w:type="spellStart"/>
      <w:r w:rsidRPr="00F363CC">
        <w:t>sorafenib</w:t>
      </w:r>
      <w:proofErr w:type="spellEnd"/>
      <w:r w:rsidRPr="00F363CC">
        <w:t xml:space="preserve"> was difficult to ascertain given that the trial included</w:t>
      </w:r>
      <w:r w:rsidR="00305D32">
        <w:t xml:space="preserve"> extensive cross</w:t>
      </w:r>
      <w:r w:rsidRPr="00F363CC">
        <w:t xml:space="preserve">over; allowed post-progression use of </w:t>
      </w:r>
      <w:proofErr w:type="spellStart"/>
      <w:r w:rsidRPr="00F363CC">
        <w:t>sorafenib</w:t>
      </w:r>
      <w:proofErr w:type="spellEnd"/>
      <w:r w:rsidRPr="00F363CC">
        <w:t xml:space="preserve">, may have inappropriately censored patients who withdrew from treatment; and showed high rates of severe adverse events with </w:t>
      </w:r>
      <w:proofErr w:type="spellStart"/>
      <w:r w:rsidRPr="00F363CC">
        <w:t>sorafenib</w:t>
      </w:r>
      <w:proofErr w:type="spellEnd"/>
      <w:r w:rsidRPr="00F363CC">
        <w:t>.</w:t>
      </w:r>
    </w:p>
    <w:p w:rsidR="00F045DE" w:rsidRDefault="00F045DE" w:rsidP="00717CC7">
      <w:pPr>
        <w:pStyle w:val="ListParagraph"/>
        <w:widowControl/>
        <w:ind w:left="709"/>
        <w:rPr>
          <w:i/>
          <w:szCs w:val="22"/>
        </w:rPr>
      </w:pPr>
    </w:p>
    <w:p w:rsidR="005A1132" w:rsidRPr="00223375" w:rsidRDefault="005A1132" w:rsidP="005A1132">
      <w:pPr>
        <w:pStyle w:val="ListParagraph"/>
        <w:widowControl/>
        <w:ind w:left="709"/>
        <w:rPr>
          <w:i/>
          <w:szCs w:val="22"/>
        </w:rPr>
      </w:pPr>
      <w:r w:rsidRPr="005A1132">
        <w:rPr>
          <w:i/>
          <w:szCs w:val="22"/>
        </w:rPr>
        <w:t>For more detail on PBAC’s view, see section 7 “PBAC outcome”</w:t>
      </w:r>
    </w:p>
    <w:p w:rsidR="007803BD" w:rsidRPr="001875EC" w:rsidRDefault="007803BD">
      <w:pPr>
        <w:widowControl/>
        <w:jc w:val="left"/>
        <w:rPr>
          <w:b/>
        </w:rPr>
      </w:pPr>
    </w:p>
    <w:p w:rsidR="00C0077F" w:rsidRPr="0072703C" w:rsidRDefault="00C0077F" w:rsidP="0072703C">
      <w:pPr>
        <w:widowControl/>
        <w:rPr>
          <w:rFonts w:cs="Times New Roman"/>
          <w:b/>
          <w:i/>
          <w:snapToGrid/>
          <w:szCs w:val="22"/>
          <w:lang w:eastAsia="en-AU"/>
        </w:rPr>
      </w:pPr>
      <w:bookmarkStart w:id="16" w:name="_Toc388368963"/>
      <w:r w:rsidRPr="0072703C">
        <w:rPr>
          <w:rFonts w:cs="Times New Roman"/>
          <w:b/>
          <w:i/>
          <w:snapToGrid/>
          <w:szCs w:val="22"/>
          <w:lang w:eastAsia="en-AU"/>
        </w:rPr>
        <w:t>Clinical claim</w:t>
      </w:r>
      <w:bookmarkEnd w:id="16"/>
    </w:p>
    <w:p w:rsidR="00C0077F" w:rsidRPr="001875EC" w:rsidRDefault="00C0077F" w:rsidP="00C0077F">
      <w:pPr>
        <w:ind w:left="720" w:hanging="720"/>
        <w:rPr>
          <w:szCs w:val="22"/>
        </w:rPr>
      </w:pPr>
    </w:p>
    <w:p w:rsidR="00905A60" w:rsidRDefault="00C0077F" w:rsidP="0001306F">
      <w:pPr>
        <w:pStyle w:val="ListParagraph"/>
        <w:widowControl/>
        <w:numPr>
          <w:ilvl w:val="1"/>
          <w:numId w:val="1"/>
        </w:numPr>
      </w:pPr>
      <w:r w:rsidRPr="001875EC">
        <w:t xml:space="preserve">The submission describes </w:t>
      </w:r>
      <w:proofErr w:type="spellStart"/>
      <w:r w:rsidRPr="001875EC">
        <w:t>sorafenib</w:t>
      </w:r>
      <w:proofErr w:type="spellEnd"/>
      <w:r w:rsidRPr="001875EC">
        <w:t xml:space="preserve"> as superior in terms of comparative effectiveness and inferior in terms of comparative safety over placebo.</w:t>
      </w:r>
    </w:p>
    <w:p w:rsidR="005F3FDE" w:rsidRDefault="005F3FDE" w:rsidP="005F3FDE">
      <w:pPr>
        <w:pStyle w:val="ListParagraph"/>
        <w:widowControl/>
        <w:ind w:left="709"/>
      </w:pPr>
    </w:p>
    <w:p w:rsidR="00AA5030" w:rsidRPr="005F3FDE" w:rsidRDefault="00AA5030" w:rsidP="0001306F">
      <w:pPr>
        <w:pStyle w:val="ListParagraph"/>
        <w:widowControl/>
        <w:numPr>
          <w:ilvl w:val="1"/>
          <w:numId w:val="1"/>
        </w:numPr>
        <w:rPr>
          <w:szCs w:val="22"/>
        </w:rPr>
      </w:pPr>
      <w:r w:rsidRPr="005F3FDE">
        <w:rPr>
          <w:szCs w:val="22"/>
        </w:rPr>
        <w:t>The PBAC considered that the claim of superior comparative effectiveness was reasonable</w:t>
      </w:r>
      <w:r>
        <w:rPr>
          <w:szCs w:val="22"/>
        </w:rPr>
        <w:t xml:space="preserve"> </w:t>
      </w:r>
      <w:r w:rsidR="0070284E">
        <w:rPr>
          <w:szCs w:val="22"/>
        </w:rPr>
        <w:t>provided</w:t>
      </w:r>
      <w:r>
        <w:rPr>
          <w:szCs w:val="22"/>
        </w:rPr>
        <w:t xml:space="preserve"> PFS</w:t>
      </w:r>
      <w:r w:rsidR="0070284E">
        <w:rPr>
          <w:szCs w:val="22"/>
        </w:rPr>
        <w:t xml:space="preserve"> was considered the only endpoint. The clinical benefit of </w:t>
      </w:r>
      <w:proofErr w:type="spellStart"/>
      <w:r w:rsidR="0070284E">
        <w:rPr>
          <w:szCs w:val="22"/>
        </w:rPr>
        <w:t>sor</w:t>
      </w:r>
      <w:r w:rsidR="007568EB">
        <w:rPr>
          <w:szCs w:val="22"/>
        </w:rPr>
        <w:t>a</w:t>
      </w:r>
      <w:r w:rsidR="0070284E">
        <w:rPr>
          <w:szCs w:val="22"/>
        </w:rPr>
        <w:t>fenib</w:t>
      </w:r>
      <w:proofErr w:type="spellEnd"/>
      <w:r w:rsidR="0070284E">
        <w:rPr>
          <w:szCs w:val="22"/>
        </w:rPr>
        <w:t xml:space="preserve"> remains uncertain because there was </w:t>
      </w:r>
      <w:proofErr w:type="gramStart"/>
      <w:r w:rsidR="0070284E">
        <w:rPr>
          <w:szCs w:val="22"/>
        </w:rPr>
        <w:t>no significant difference in overall survival and the impact of delays in tumour progression on quality of life were not clearly demonstrated</w:t>
      </w:r>
      <w:proofErr w:type="gramEnd"/>
      <w:r w:rsidRPr="005F3FDE">
        <w:rPr>
          <w:szCs w:val="22"/>
        </w:rPr>
        <w:t>.</w:t>
      </w:r>
    </w:p>
    <w:p w:rsidR="005F3FDE" w:rsidRPr="005F3FDE" w:rsidRDefault="005F3FDE" w:rsidP="005F3FDE">
      <w:pPr>
        <w:pStyle w:val="ListParagraph"/>
        <w:rPr>
          <w:szCs w:val="22"/>
        </w:rPr>
      </w:pPr>
    </w:p>
    <w:p w:rsidR="005F3FDE" w:rsidRPr="005F3FDE" w:rsidRDefault="005F3FDE" w:rsidP="0001306F">
      <w:pPr>
        <w:pStyle w:val="ListParagraph"/>
        <w:widowControl/>
        <w:numPr>
          <w:ilvl w:val="1"/>
          <w:numId w:val="1"/>
        </w:numPr>
        <w:rPr>
          <w:szCs w:val="22"/>
        </w:rPr>
      </w:pPr>
      <w:r w:rsidRPr="005F3FDE">
        <w:rPr>
          <w:szCs w:val="22"/>
        </w:rPr>
        <w:t>The PBAC considered that the claim of inferior comparative safety was reasonable.</w:t>
      </w:r>
    </w:p>
    <w:bookmarkEnd w:id="1"/>
    <w:bookmarkEnd w:id="2"/>
    <w:bookmarkEnd w:id="3"/>
    <w:bookmarkEnd w:id="4"/>
    <w:bookmarkEnd w:id="5"/>
    <w:p w:rsidR="00B60939" w:rsidRPr="001875EC" w:rsidRDefault="00B60939" w:rsidP="00B60939">
      <w:pPr>
        <w:ind w:left="720" w:hanging="720"/>
        <w:rPr>
          <w:szCs w:val="22"/>
        </w:rPr>
      </w:pPr>
    </w:p>
    <w:p w:rsidR="00B60939" w:rsidRPr="0072703C" w:rsidRDefault="00B60939" w:rsidP="0072703C">
      <w:pPr>
        <w:widowControl/>
        <w:rPr>
          <w:rFonts w:cs="Times New Roman"/>
          <w:b/>
          <w:i/>
          <w:snapToGrid/>
          <w:szCs w:val="22"/>
          <w:lang w:eastAsia="en-AU"/>
        </w:rPr>
      </w:pPr>
      <w:bookmarkStart w:id="17" w:name="_Toc388368964"/>
      <w:r w:rsidRPr="0072703C">
        <w:rPr>
          <w:rFonts w:cs="Times New Roman"/>
          <w:b/>
          <w:i/>
          <w:snapToGrid/>
          <w:szCs w:val="22"/>
          <w:lang w:eastAsia="en-AU"/>
        </w:rPr>
        <w:t>Economic analysis</w:t>
      </w:r>
      <w:bookmarkEnd w:id="17"/>
      <w:r w:rsidR="00491B3A" w:rsidRPr="0072703C">
        <w:rPr>
          <w:rFonts w:cs="Times New Roman"/>
          <w:b/>
          <w:i/>
          <w:snapToGrid/>
          <w:szCs w:val="22"/>
          <w:lang w:eastAsia="en-AU"/>
        </w:rPr>
        <w:t xml:space="preserve"> </w:t>
      </w:r>
    </w:p>
    <w:p w:rsidR="00B60939" w:rsidRPr="001875EC" w:rsidRDefault="00B60939" w:rsidP="00B60939">
      <w:pPr>
        <w:ind w:left="720" w:hanging="720"/>
        <w:rPr>
          <w:szCs w:val="22"/>
        </w:rPr>
      </w:pPr>
    </w:p>
    <w:p w:rsidR="00B26EDC" w:rsidRDefault="00B26EDC" w:rsidP="0001306F">
      <w:pPr>
        <w:pStyle w:val="ListParagraph"/>
        <w:widowControl/>
        <w:numPr>
          <w:ilvl w:val="1"/>
          <w:numId w:val="1"/>
        </w:numPr>
        <w:rPr>
          <w:szCs w:val="22"/>
        </w:rPr>
      </w:pPr>
      <w:r w:rsidRPr="00B26EDC">
        <w:rPr>
          <w:szCs w:val="22"/>
        </w:rPr>
        <w:t xml:space="preserve">A modelled economic evaluation (cost-utility analysis) was presented in the submission, based on the clinical claim of superior efficacy and inferior safety of </w:t>
      </w:r>
      <w:proofErr w:type="spellStart"/>
      <w:r w:rsidRPr="00B26EDC">
        <w:rPr>
          <w:szCs w:val="22"/>
        </w:rPr>
        <w:t>sorafenib</w:t>
      </w:r>
      <w:proofErr w:type="spellEnd"/>
      <w:r w:rsidRPr="00B26EDC">
        <w:rPr>
          <w:szCs w:val="22"/>
        </w:rPr>
        <w:t xml:space="preserve"> compared with best supportive care. </w:t>
      </w:r>
    </w:p>
    <w:p w:rsidR="00B26EDC" w:rsidRPr="00B26EDC" w:rsidRDefault="00B26EDC" w:rsidP="00B26EDC">
      <w:pPr>
        <w:pStyle w:val="ListParagraph"/>
        <w:widowControl/>
        <w:ind w:left="709"/>
        <w:rPr>
          <w:szCs w:val="22"/>
        </w:rPr>
      </w:pPr>
    </w:p>
    <w:p w:rsidR="00B60939" w:rsidRPr="001875EC" w:rsidRDefault="009A0269" w:rsidP="0001306F">
      <w:pPr>
        <w:pStyle w:val="ListParagraph"/>
        <w:widowControl/>
        <w:numPr>
          <w:ilvl w:val="1"/>
          <w:numId w:val="1"/>
        </w:numPr>
        <w:rPr>
          <w:szCs w:val="22"/>
        </w:rPr>
      </w:pPr>
      <w:r>
        <w:t>There were three health states in the model – progression-free, progression and death.</w:t>
      </w:r>
      <w:r w:rsidRPr="001875EC" w:rsidDel="00B26EDC">
        <w:t xml:space="preserve"> </w:t>
      </w:r>
      <w:r w:rsidR="007B6A31" w:rsidRPr="001875EC">
        <w:t xml:space="preserve">The model structure is summarised </w:t>
      </w:r>
      <w:r w:rsidR="007B6A31" w:rsidRPr="00905A60">
        <w:t>below.</w:t>
      </w:r>
    </w:p>
    <w:p w:rsidR="00275C5A" w:rsidRPr="001875EC" w:rsidRDefault="00275C5A" w:rsidP="00015702">
      <w:pPr>
        <w:rPr>
          <w:rStyle w:val="CommentReference"/>
        </w:rPr>
      </w:pPr>
    </w:p>
    <w:p w:rsidR="00FE17B7" w:rsidRPr="001875EC" w:rsidRDefault="00FE17B7" w:rsidP="00F8582E">
      <w:pPr>
        <w:pStyle w:val="Caption"/>
        <w:keepNext/>
        <w:keepLines/>
        <w:spacing w:after="0"/>
        <w:ind w:left="709"/>
        <w:rPr>
          <w:rStyle w:val="CommentReference"/>
          <w:b/>
          <w:color w:val="auto"/>
        </w:rPr>
      </w:pPr>
      <w:r w:rsidRPr="001875EC">
        <w:rPr>
          <w:rStyle w:val="CommentReference"/>
          <w:b/>
          <w:color w:val="auto"/>
        </w:rPr>
        <w:tab/>
        <w:t>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2124"/>
        <w:gridCol w:w="6240"/>
      </w:tblGrid>
      <w:tr w:rsidR="00275C5A" w:rsidRPr="001875EC" w:rsidTr="00F8582E">
        <w:trPr>
          <w:tblHeader/>
        </w:trPr>
        <w:tc>
          <w:tcPr>
            <w:tcW w:w="1270" w:type="pct"/>
            <w:shd w:val="clear" w:color="auto" w:fill="auto"/>
            <w:vAlign w:val="center"/>
          </w:tcPr>
          <w:p w:rsidR="00275C5A" w:rsidRPr="001875EC" w:rsidRDefault="00275C5A" w:rsidP="006F5868">
            <w:pPr>
              <w:keepNext/>
              <w:keepLines/>
              <w:jc w:val="left"/>
              <w:rPr>
                <w:rFonts w:ascii="Arial Narrow" w:hAnsi="Arial Narrow"/>
                <w:b/>
                <w:sz w:val="20"/>
              </w:rPr>
            </w:pPr>
            <w:r w:rsidRPr="001875EC">
              <w:rPr>
                <w:rFonts w:ascii="Arial Narrow" w:hAnsi="Arial Narrow"/>
                <w:b/>
                <w:sz w:val="20"/>
              </w:rPr>
              <w:t>Component</w:t>
            </w:r>
          </w:p>
        </w:tc>
        <w:tc>
          <w:tcPr>
            <w:tcW w:w="3730" w:type="pct"/>
            <w:shd w:val="clear" w:color="auto" w:fill="auto"/>
            <w:vAlign w:val="center"/>
          </w:tcPr>
          <w:p w:rsidR="00275C5A" w:rsidRPr="001875EC" w:rsidRDefault="00275C5A" w:rsidP="006F5868">
            <w:pPr>
              <w:keepNext/>
              <w:keepLines/>
              <w:jc w:val="center"/>
              <w:rPr>
                <w:rFonts w:ascii="Arial Narrow" w:hAnsi="Arial Narrow"/>
                <w:b/>
                <w:sz w:val="20"/>
              </w:rPr>
            </w:pPr>
            <w:r w:rsidRPr="001875EC">
              <w:rPr>
                <w:rFonts w:ascii="Arial Narrow" w:hAnsi="Arial Narrow"/>
                <w:b/>
                <w:sz w:val="20"/>
              </w:rPr>
              <w:t>Summary</w:t>
            </w:r>
          </w:p>
        </w:tc>
      </w:tr>
      <w:tr w:rsidR="00275C5A" w:rsidRPr="001875EC" w:rsidTr="00F8582E">
        <w:tc>
          <w:tcPr>
            <w:tcW w:w="1270" w:type="pct"/>
            <w:shd w:val="clear" w:color="auto" w:fill="auto"/>
            <w:vAlign w:val="center"/>
          </w:tcPr>
          <w:p w:rsidR="00275C5A" w:rsidRPr="001875EC" w:rsidRDefault="00275C5A" w:rsidP="006F5868">
            <w:pPr>
              <w:keepNext/>
              <w:keepLines/>
              <w:jc w:val="left"/>
              <w:rPr>
                <w:rFonts w:ascii="Arial Narrow" w:hAnsi="Arial Narrow"/>
                <w:sz w:val="20"/>
              </w:rPr>
            </w:pPr>
            <w:r w:rsidRPr="001875EC">
              <w:rPr>
                <w:rFonts w:ascii="Arial Narrow" w:hAnsi="Arial Narrow"/>
                <w:sz w:val="20"/>
              </w:rPr>
              <w:t>Time horizon</w:t>
            </w:r>
          </w:p>
        </w:tc>
        <w:tc>
          <w:tcPr>
            <w:tcW w:w="3730" w:type="pct"/>
            <w:shd w:val="clear" w:color="auto" w:fill="auto"/>
            <w:vAlign w:val="center"/>
          </w:tcPr>
          <w:p w:rsidR="00275C5A" w:rsidRPr="001875EC" w:rsidRDefault="007B6A31" w:rsidP="006F5868">
            <w:pPr>
              <w:keepNext/>
              <w:keepLines/>
              <w:jc w:val="left"/>
              <w:rPr>
                <w:rFonts w:ascii="Arial Narrow" w:hAnsi="Arial Narrow"/>
                <w:sz w:val="20"/>
              </w:rPr>
            </w:pPr>
            <w:r w:rsidRPr="001875EC">
              <w:rPr>
                <w:rFonts w:ascii="Arial Narrow" w:hAnsi="Arial Narrow"/>
                <w:sz w:val="20"/>
              </w:rPr>
              <w:t xml:space="preserve">10 years (130 cycles) in the model base case versus 2 years in </w:t>
            </w:r>
            <w:r w:rsidR="00493F63" w:rsidRPr="001875EC">
              <w:rPr>
                <w:rFonts w:ascii="Arial Narrow" w:hAnsi="Arial Narrow"/>
                <w:sz w:val="20"/>
              </w:rPr>
              <w:t xml:space="preserve">the </w:t>
            </w:r>
            <w:r w:rsidRPr="001875EC">
              <w:rPr>
                <w:rFonts w:ascii="Arial Narrow" w:hAnsi="Arial Narrow"/>
                <w:sz w:val="20"/>
              </w:rPr>
              <w:t>trial</w:t>
            </w:r>
          </w:p>
        </w:tc>
      </w:tr>
      <w:tr w:rsidR="00275C5A" w:rsidRPr="001875EC" w:rsidTr="00F8582E">
        <w:tc>
          <w:tcPr>
            <w:tcW w:w="1270" w:type="pct"/>
            <w:shd w:val="clear" w:color="auto" w:fill="auto"/>
            <w:vAlign w:val="center"/>
          </w:tcPr>
          <w:p w:rsidR="00275C5A" w:rsidRPr="001875EC" w:rsidRDefault="00275C5A" w:rsidP="006F5868">
            <w:pPr>
              <w:keepNext/>
              <w:keepLines/>
              <w:jc w:val="left"/>
              <w:rPr>
                <w:rFonts w:ascii="Arial Narrow" w:hAnsi="Arial Narrow"/>
                <w:sz w:val="20"/>
              </w:rPr>
            </w:pPr>
            <w:r w:rsidRPr="001875EC">
              <w:rPr>
                <w:rFonts w:ascii="Arial Narrow" w:hAnsi="Arial Narrow"/>
                <w:sz w:val="20"/>
              </w:rPr>
              <w:t>Outcomes</w:t>
            </w:r>
          </w:p>
        </w:tc>
        <w:tc>
          <w:tcPr>
            <w:tcW w:w="3730" w:type="pct"/>
            <w:shd w:val="clear" w:color="auto" w:fill="auto"/>
            <w:vAlign w:val="center"/>
          </w:tcPr>
          <w:p w:rsidR="00275C5A" w:rsidRPr="001875EC" w:rsidRDefault="007B6A31" w:rsidP="006F5868">
            <w:pPr>
              <w:keepNext/>
              <w:keepLines/>
              <w:jc w:val="left"/>
              <w:rPr>
                <w:rFonts w:ascii="Arial Narrow" w:hAnsi="Arial Narrow"/>
                <w:sz w:val="20"/>
              </w:rPr>
            </w:pPr>
            <w:r w:rsidRPr="001875EC">
              <w:rPr>
                <w:rFonts w:ascii="Arial Narrow" w:hAnsi="Arial Narrow"/>
                <w:sz w:val="20"/>
              </w:rPr>
              <w:t>LYG and QALYs</w:t>
            </w:r>
          </w:p>
        </w:tc>
      </w:tr>
      <w:tr w:rsidR="00275C5A" w:rsidRPr="001875EC" w:rsidTr="00F8582E">
        <w:tc>
          <w:tcPr>
            <w:tcW w:w="1270" w:type="pct"/>
            <w:shd w:val="clear" w:color="auto" w:fill="auto"/>
            <w:vAlign w:val="center"/>
          </w:tcPr>
          <w:p w:rsidR="00275C5A" w:rsidRPr="001875EC" w:rsidRDefault="00275C5A" w:rsidP="006F5868">
            <w:pPr>
              <w:keepNext/>
              <w:keepLines/>
              <w:jc w:val="left"/>
              <w:rPr>
                <w:rFonts w:ascii="Arial Narrow" w:hAnsi="Arial Narrow"/>
                <w:sz w:val="20"/>
              </w:rPr>
            </w:pPr>
            <w:r w:rsidRPr="001875EC">
              <w:rPr>
                <w:rFonts w:ascii="Arial Narrow" w:hAnsi="Arial Narrow"/>
                <w:sz w:val="20"/>
              </w:rPr>
              <w:t>Methods used to generate results</w:t>
            </w:r>
          </w:p>
        </w:tc>
        <w:tc>
          <w:tcPr>
            <w:tcW w:w="3730" w:type="pct"/>
            <w:shd w:val="clear" w:color="auto" w:fill="auto"/>
            <w:vAlign w:val="center"/>
          </w:tcPr>
          <w:p w:rsidR="00275C5A" w:rsidRPr="001875EC" w:rsidRDefault="007B6A31" w:rsidP="006F5868">
            <w:pPr>
              <w:keepNext/>
              <w:keepLines/>
              <w:jc w:val="left"/>
              <w:rPr>
                <w:rFonts w:ascii="Arial Narrow" w:hAnsi="Arial Narrow"/>
                <w:sz w:val="20"/>
              </w:rPr>
            </w:pPr>
            <w:r w:rsidRPr="001875EC">
              <w:rPr>
                <w:rFonts w:ascii="Arial Narrow" w:hAnsi="Arial Narrow"/>
                <w:sz w:val="20"/>
              </w:rPr>
              <w:t>Cohort expected value analysis</w:t>
            </w:r>
          </w:p>
        </w:tc>
      </w:tr>
      <w:tr w:rsidR="00275C5A" w:rsidRPr="001875EC" w:rsidTr="00F8582E">
        <w:tc>
          <w:tcPr>
            <w:tcW w:w="1270" w:type="pct"/>
            <w:shd w:val="clear" w:color="auto" w:fill="auto"/>
            <w:vAlign w:val="center"/>
          </w:tcPr>
          <w:p w:rsidR="00275C5A" w:rsidRPr="001875EC" w:rsidRDefault="00275C5A" w:rsidP="006F5868">
            <w:pPr>
              <w:keepNext/>
              <w:keepLines/>
              <w:jc w:val="left"/>
              <w:rPr>
                <w:rFonts w:ascii="Arial Narrow" w:hAnsi="Arial Narrow"/>
                <w:sz w:val="20"/>
              </w:rPr>
            </w:pPr>
            <w:r w:rsidRPr="001875EC">
              <w:rPr>
                <w:rFonts w:ascii="Arial Narrow" w:hAnsi="Arial Narrow"/>
                <w:sz w:val="20"/>
              </w:rPr>
              <w:t>Health states</w:t>
            </w:r>
          </w:p>
        </w:tc>
        <w:tc>
          <w:tcPr>
            <w:tcW w:w="3730" w:type="pct"/>
            <w:shd w:val="clear" w:color="auto" w:fill="auto"/>
            <w:vAlign w:val="center"/>
          </w:tcPr>
          <w:p w:rsidR="00275C5A" w:rsidRPr="001875EC" w:rsidRDefault="007B6A31" w:rsidP="006F5868">
            <w:pPr>
              <w:keepNext/>
              <w:keepLines/>
              <w:jc w:val="left"/>
              <w:rPr>
                <w:rFonts w:ascii="Arial Narrow" w:hAnsi="Arial Narrow"/>
                <w:sz w:val="20"/>
              </w:rPr>
            </w:pPr>
            <w:r w:rsidRPr="001875EC">
              <w:rPr>
                <w:rFonts w:ascii="Arial Narrow" w:hAnsi="Arial Narrow"/>
                <w:sz w:val="20"/>
              </w:rPr>
              <w:t>Progression-fee, progressed and death</w:t>
            </w:r>
          </w:p>
        </w:tc>
      </w:tr>
      <w:tr w:rsidR="00275C5A" w:rsidRPr="001875EC" w:rsidTr="00F8582E">
        <w:tc>
          <w:tcPr>
            <w:tcW w:w="1270" w:type="pct"/>
            <w:shd w:val="clear" w:color="auto" w:fill="auto"/>
            <w:vAlign w:val="center"/>
          </w:tcPr>
          <w:p w:rsidR="00275C5A" w:rsidRPr="001875EC" w:rsidRDefault="00275C5A" w:rsidP="006F5868">
            <w:pPr>
              <w:keepNext/>
              <w:keepLines/>
              <w:jc w:val="left"/>
              <w:rPr>
                <w:rFonts w:ascii="Arial Narrow" w:hAnsi="Arial Narrow"/>
                <w:sz w:val="20"/>
              </w:rPr>
            </w:pPr>
            <w:r w:rsidRPr="001875EC">
              <w:rPr>
                <w:rFonts w:ascii="Arial Narrow" w:hAnsi="Arial Narrow"/>
                <w:sz w:val="20"/>
              </w:rPr>
              <w:t>Cycle length</w:t>
            </w:r>
          </w:p>
        </w:tc>
        <w:tc>
          <w:tcPr>
            <w:tcW w:w="3730" w:type="pct"/>
            <w:shd w:val="clear" w:color="auto" w:fill="auto"/>
            <w:vAlign w:val="center"/>
          </w:tcPr>
          <w:p w:rsidR="00275C5A" w:rsidRPr="001875EC" w:rsidRDefault="007B6A31" w:rsidP="006F5868">
            <w:pPr>
              <w:keepNext/>
              <w:keepLines/>
              <w:jc w:val="left"/>
              <w:rPr>
                <w:rFonts w:ascii="Arial Narrow" w:hAnsi="Arial Narrow"/>
                <w:sz w:val="20"/>
              </w:rPr>
            </w:pPr>
            <w:r w:rsidRPr="001875EC">
              <w:rPr>
                <w:rFonts w:ascii="Arial Narrow" w:hAnsi="Arial Narrow"/>
                <w:sz w:val="20"/>
              </w:rPr>
              <w:t>28 days</w:t>
            </w:r>
          </w:p>
        </w:tc>
      </w:tr>
      <w:tr w:rsidR="00275C5A" w:rsidRPr="001875EC" w:rsidTr="00F8582E">
        <w:tc>
          <w:tcPr>
            <w:tcW w:w="1270" w:type="pct"/>
            <w:shd w:val="clear" w:color="auto" w:fill="auto"/>
            <w:vAlign w:val="center"/>
          </w:tcPr>
          <w:p w:rsidR="00275C5A" w:rsidRPr="001875EC" w:rsidRDefault="00275C5A" w:rsidP="006F5868">
            <w:pPr>
              <w:keepNext/>
              <w:keepLines/>
              <w:jc w:val="left"/>
              <w:rPr>
                <w:rFonts w:ascii="Arial Narrow" w:hAnsi="Arial Narrow"/>
                <w:sz w:val="20"/>
              </w:rPr>
            </w:pPr>
            <w:r w:rsidRPr="001875EC">
              <w:rPr>
                <w:rFonts w:ascii="Arial Narrow" w:hAnsi="Arial Narrow"/>
                <w:sz w:val="20"/>
              </w:rPr>
              <w:t>Transition probabilities</w:t>
            </w:r>
          </w:p>
        </w:tc>
        <w:tc>
          <w:tcPr>
            <w:tcW w:w="3730" w:type="pct"/>
            <w:shd w:val="clear" w:color="auto" w:fill="auto"/>
            <w:vAlign w:val="center"/>
          </w:tcPr>
          <w:p w:rsidR="00275C5A" w:rsidRPr="001875EC" w:rsidRDefault="007B6A31" w:rsidP="006F5868">
            <w:pPr>
              <w:keepNext/>
              <w:keepLines/>
              <w:jc w:val="left"/>
              <w:rPr>
                <w:rFonts w:ascii="Arial Narrow" w:hAnsi="Arial Narrow"/>
                <w:sz w:val="20"/>
              </w:rPr>
            </w:pPr>
            <w:r w:rsidRPr="001875EC">
              <w:rPr>
                <w:rFonts w:ascii="Arial Narrow" w:hAnsi="Arial Narrow"/>
                <w:sz w:val="20"/>
              </w:rPr>
              <w:t>The proportion of patients in each health state is based on the modelled PFS and OS curves</w:t>
            </w:r>
          </w:p>
        </w:tc>
      </w:tr>
    </w:tbl>
    <w:p w:rsidR="007B6A31" w:rsidRPr="001875EC" w:rsidRDefault="007B6A31" w:rsidP="00F8582E">
      <w:pPr>
        <w:pStyle w:val="TableFooter"/>
        <w:keepNext/>
        <w:keepLines/>
        <w:ind w:left="709"/>
      </w:pPr>
      <w:r w:rsidRPr="001875EC">
        <w:t>LYG = life years gained; QALY = quality-adjusted life-year; PFS = progression free survival; OS = overall survival.</w:t>
      </w:r>
    </w:p>
    <w:p w:rsidR="00275C5A" w:rsidRPr="001875EC" w:rsidRDefault="00275C5A" w:rsidP="00F8582E">
      <w:pPr>
        <w:pStyle w:val="TableFooter"/>
        <w:keepNext/>
        <w:keepLines/>
        <w:ind w:left="709"/>
      </w:pPr>
      <w:r w:rsidRPr="001875EC">
        <w:t>Source: compiled during the evaluation</w:t>
      </w:r>
    </w:p>
    <w:p w:rsidR="007803BD" w:rsidRPr="001875EC" w:rsidRDefault="007803BD">
      <w:pPr>
        <w:widowControl/>
        <w:jc w:val="left"/>
      </w:pPr>
    </w:p>
    <w:p w:rsidR="00275C5A" w:rsidRPr="001875EC" w:rsidRDefault="008D053D" w:rsidP="0001306F">
      <w:pPr>
        <w:pStyle w:val="ListParagraph"/>
        <w:widowControl/>
        <w:numPr>
          <w:ilvl w:val="1"/>
          <w:numId w:val="1"/>
        </w:numPr>
        <w:rPr>
          <w:szCs w:val="22"/>
        </w:rPr>
      </w:pPr>
      <w:r w:rsidRPr="001875EC">
        <w:t>The key drive</w:t>
      </w:r>
      <w:r w:rsidR="00BC05CA">
        <w:t>r</w:t>
      </w:r>
      <w:r w:rsidRPr="001875EC">
        <w:t xml:space="preserve">s of the model are </w:t>
      </w:r>
      <w:r w:rsidRPr="00593098">
        <w:t>summarised below</w:t>
      </w:r>
      <w:r w:rsidRPr="001875EC">
        <w:t>.</w:t>
      </w:r>
    </w:p>
    <w:p w:rsidR="00275C5A" w:rsidRPr="001875EC" w:rsidRDefault="00275C5A" w:rsidP="00275C5A">
      <w:pPr>
        <w:widowControl/>
        <w:rPr>
          <w:szCs w:val="22"/>
        </w:rPr>
      </w:pPr>
    </w:p>
    <w:p w:rsidR="00FE17B7" w:rsidRPr="001875EC" w:rsidRDefault="00FE17B7" w:rsidP="00F8582E">
      <w:pPr>
        <w:pStyle w:val="Caption"/>
        <w:keepNext/>
        <w:keepLines/>
        <w:spacing w:after="0"/>
        <w:ind w:left="709"/>
        <w:rPr>
          <w:rStyle w:val="CommentReference"/>
          <w:b/>
          <w:color w:val="auto"/>
        </w:rPr>
      </w:pPr>
      <w:r w:rsidRPr="001875EC">
        <w:rPr>
          <w:rStyle w:val="CommentReference"/>
          <w:b/>
          <w:color w:val="auto"/>
        </w:rPr>
        <w:lastRenderedPageBreak/>
        <w:tab/>
        <w:t>Key drivers of the model</w:t>
      </w:r>
    </w:p>
    <w:tbl>
      <w:tblPr>
        <w:tblW w:w="460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 Key drivers of the model"/>
      </w:tblPr>
      <w:tblGrid>
        <w:gridCol w:w="1985"/>
        <w:gridCol w:w="3970"/>
        <w:gridCol w:w="2418"/>
      </w:tblGrid>
      <w:tr w:rsidR="00D110BD" w:rsidRPr="001875EC" w:rsidTr="00F8582E">
        <w:trPr>
          <w:tblHeader/>
        </w:trPr>
        <w:tc>
          <w:tcPr>
            <w:tcW w:w="1185" w:type="pct"/>
            <w:shd w:val="clear" w:color="auto" w:fill="auto"/>
            <w:vAlign w:val="center"/>
          </w:tcPr>
          <w:p w:rsidR="00D110BD" w:rsidRPr="001875EC" w:rsidRDefault="00D110BD" w:rsidP="004F561B">
            <w:pPr>
              <w:keepNext/>
              <w:keepLines/>
              <w:jc w:val="left"/>
              <w:rPr>
                <w:rFonts w:ascii="Arial Narrow" w:hAnsi="Arial Narrow"/>
                <w:b/>
                <w:sz w:val="20"/>
                <w:lang w:val="en-US"/>
              </w:rPr>
            </w:pPr>
            <w:r w:rsidRPr="001875EC">
              <w:rPr>
                <w:rFonts w:ascii="Arial Narrow" w:hAnsi="Arial Narrow"/>
                <w:b/>
                <w:sz w:val="20"/>
                <w:lang w:val="en-US"/>
              </w:rPr>
              <w:t>Description</w:t>
            </w:r>
          </w:p>
        </w:tc>
        <w:tc>
          <w:tcPr>
            <w:tcW w:w="2371" w:type="pct"/>
            <w:shd w:val="clear" w:color="auto" w:fill="auto"/>
            <w:vAlign w:val="center"/>
          </w:tcPr>
          <w:p w:rsidR="00D110BD" w:rsidRPr="001875EC" w:rsidRDefault="00D110BD" w:rsidP="004F561B">
            <w:pPr>
              <w:keepNext/>
              <w:keepLines/>
              <w:jc w:val="center"/>
              <w:rPr>
                <w:rFonts w:ascii="Arial Narrow" w:hAnsi="Arial Narrow"/>
                <w:b/>
                <w:sz w:val="20"/>
                <w:lang w:val="en-US"/>
              </w:rPr>
            </w:pPr>
            <w:r w:rsidRPr="001875EC">
              <w:rPr>
                <w:rFonts w:ascii="Arial Narrow" w:hAnsi="Arial Narrow"/>
                <w:b/>
                <w:sz w:val="20"/>
                <w:lang w:val="en-US"/>
              </w:rPr>
              <w:t>Method/Value</w:t>
            </w:r>
          </w:p>
        </w:tc>
        <w:tc>
          <w:tcPr>
            <w:tcW w:w="1444" w:type="pct"/>
            <w:shd w:val="clear" w:color="auto" w:fill="auto"/>
            <w:vAlign w:val="center"/>
          </w:tcPr>
          <w:p w:rsidR="00D110BD" w:rsidRPr="001875EC" w:rsidRDefault="00D110BD" w:rsidP="004F561B">
            <w:pPr>
              <w:keepNext/>
              <w:keepLines/>
              <w:jc w:val="center"/>
              <w:rPr>
                <w:rFonts w:ascii="Arial Narrow" w:hAnsi="Arial Narrow"/>
                <w:b/>
                <w:sz w:val="20"/>
                <w:lang w:val="en-US"/>
              </w:rPr>
            </w:pPr>
            <w:r w:rsidRPr="001875EC">
              <w:rPr>
                <w:rFonts w:ascii="Arial Narrow" w:hAnsi="Arial Narrow"/>
                <w:b/>
                <w:sz w:val="20"/>
                <w:lang w:val="en-US"/>
              </w:rPr>
              <w:t>Impact</w:t>
            </w:r>
          </w:p>
        </w:tc>
      </w:tr>
      <w:tr w:rsidR="008D053D" w:rsidRPr="001875EC" w:rsidTr="00F8582E">
        <w:trPr>
          <w:trHeight w:val="171"/>
        </w:trPr>
        <w:tc>
          <w:tcPr>
            <w:tcW w:w="1185" w:type="pct"/>
            <w:vMerge w:val="restart"/>
            <w:shd w:val="clear" w:color="auto" w:fill="auto"/>
            <w:vAlign w:val="center"/>
          </w:tcPr>
          <w:p w:rsidR="008D053D" w:rsidRPr="001875EC" w:rsidRDefault="008D053D" w:rsidP="004F561B">
            <w:pPr>
              <w:keepNext/>
              <w:keepLines/>
              <w:jc w:val="left"/>
              <w:rPr>
                <w:rFonts w:ascii="Arial Narrow" w:hAnsi="Arial Narrow"/>
                <w:sz w:val="20"/>
                <w:lang w:val="en-US"/>
              </w:rPr>
            </w:pPr>
            <w:r w:rsidRPr="001875EC">
              <w:rPr>
                <w:rFonts w:ascii="Arial Narrow" w:hAnsi="Arial Narrow"/>
                <w:sz w:val="20"/>
                <w:lang w:val="en-US"/>
              </w:rPr>
              <w:t xml:space="preserve">OS benefit of </w:t>
            </w:r>
            <w:proofErr w:type="spellStart"/>
            <w:r w:rsidRPr="001875EC">
              <w:rPr>
                <w:rFonts w:ascii="Arial Narrow" w:hAnsi="Arial Narrow"/>
                <w:sz w:val="20"/>
                <w:lang w:val="en-US"/>
              </w:rPr>
              <w:t>sorafenib</w:t>
            </w:r>
            <w:proofErr w:type="spellEnd"/>
            <w:r w:rsidRPr="001875EC">
              <w:rPr>
                <w:rFonts w:ascii="Arial Narrow" w:hAnsi="Arial Narrow"/>
                <w:sz w:val="20"/>
                <w:lang w:val="en-US"/>
              </w:rPr>
              <w:t xml:space="preserve"> over BSC</w:t>
            </w:r>
          </w:p>
        </w:tc>
        <w:tc>
          <w:tcPr>
            <w:tcW w:w="2371" w:type="pct"/>
            <w:shd w:val="clear" w:color="auto" w:fill="auto"/>
            <w:vAlign w:val="center"/>
          </w:tcPr>
          <w:p w:rsidR="008D053D" w:rsidRPr="001875EC" w:rsidRDefault="008D053D" w:rsidP="004F561B">
            <w:pPr>
              <w:keepNext/>
              <w:keepLines/>
              <w:jc w:val="left"/>
              <w:rPr>
                <w:rFonts w:ascii="Arial Narrow" w:hAnsi="Arial Narrow"/>
                <w:sz w:val="20"/>
                <w:lang w:val="en-US"/>
              </w:rPr>
            </w:pPr>
            <w:r w:rsidRPr="001875EC">
              <w:rPr>
                <w:rFonts w:ascii="Arial Narrow" w:hAnsi="Arial Narrow"/>
                <w:sz w:val="20"/>
                <w:lang w:val="en-US"/>
              </w:rPr>
              <w:t xml:space="preserve">Assuming continued OS benefits </w:t>
            </w:r>
            <w:r w:rsidR="003315D2" w:rsidRPr="001875EC">
              <w:rPr>
                <w:rFonts w:ascii="Arial Narrow" w:hAnsi="Arial Narrow"/>
                <w:sz w:val="20"/>
                <w:lang w:val="en-US"/>
              </w:rPr>
              <w:t>throughout modelled time horizon</w:t>
            </w:r>
          </w:p>
        </w:tc>
        <w:tc>
          <w:tcPr>
            <w:tcW w:w="1444" w:type="pct"/>
            <w:vMerge w:val="restart"/>
            <w:shd w:val="clear" w:color="auto" w:fill="auto"/>
            <w:vAlign w:val="center"/>
          </w:tcPr>
          <w:p w:rsidR="008D053D" w:rsidRPr="001875EC" w:rsidRDefault="003315D2" w:rsidP="004F561B">
            <w:pPr>
              <w:keepNext/>
              <w:keepLines/>
              <w:jc w:val="left"/>
              <w:rPr>
                <w:rFonts w:ascii="Arial Narrow" w:hAnsi="Arial Narrow"/>
                <w:sz w:val="20"/>
                <w:lang w:val="en-US"/>
              </w:rPr>
            </w:pPr>
            <w:r w:rsidRPr="001875EC">
              <w:rPr>
                <w:rFonts w:ascii="Arial Narrow" w:hAnsi="Arial Narrow"/>
                <w:sz w:val="20"/>
                <w:lang w:val="en-US"/>
              </w:rPr>
              <w:t xml:space="preserve">High, </w:t>
            </w:r>
            <w:proofErr w:type="spellStart"/>
            <w:r w:rsidRPr="001875EC">
              <w:rPr>
                <w:rFonts w:ascii="Arial Narrow" w:hAnsi="Arial Narrow"/>
                <w:sz w:val="20"/>
                <w:lang w:val="en-US"/>
              </w:rPr>
              <w:t>favours</w:t>
            </w:r>
            <w:proofErr w:type="spellEnd"/>
            <w:r w:rsidRPr="001875EC">
              <w:rPr>
                <w:rFonts w:ascii="Arial Narrow" w:hAnsi="Arial Narrow"/>
                <w:sz w:val="20"/>
                <w:lang w:val="en-US"/>
              </w:rPr>
              <w:t xml:space="preserve"> </w:t>
            </w:r>
            <w:proofErr w:type="spellStart"/>
            <w:r w:rsidRPr="001875EC">
              <w:rPr>
                <w:rFonts w:ascii="Arial Narrow" w:hAnsi="Arial Narrow"/>
                <w:sz w:val="20"/>
                <w:lang w:val="en-US"/>
              </w:rPr>
              <w:t>sorafenib</w:t>
            </w:r>
            <w:proofErr w:type="spellEnd"/>
          </w:p>
        </w:tc>
      </w:tr>
      <w:tr w:rsidR="008D053D" w:rsidRPr="001875EC" w:rsidTr="00F8582E">
        <w:trPr>
          <w:trHeight w:val="170"/>
        </w:trPr>
        <w:tc>
          <w:tcPr>
            <w:tcW w:w="1185" w:type="pct"/>
            <w:vMerge/>
            <w:shd w:val="clear" w:color="auto" w:fill="auto"/>
            <w:vAlign w:val="center"/>
          </w:tcPr>
          <w:p w:rsidR="008D053D" w:rsidRPr="001875EC" w:rsidRDefault="008D053D" w:rsidP="004F561B">
            <w:pPr>
              <w:keepNext/>
              <w:keepLines/>
              <w:jc w:val="left"/>
              <w:rPr>
                <w:rFonts w:ascii="Arial Narrow" w:hAnsi="Arial Narrow"/>
                <w:sz w:val="20"/>
                <w:lang w:val="en-US"/>
              </w:rPr>
            </w:pPr>
          </w:p>
        </w:tc>
        <w:tc>
          <w:tcPr>
            <w:tcW w:w="2371" w:type="pct"/>
            <w:shd w:val="clear" w:color="auto" w:fill="auto"/>
            <w:vAlign w:val="center"/>
          </w:tcPr>
          <w:p w:rsidR="008D053D" w:rsidRPr="001875EC" w:rsidRDefault="003315D2" w:rsidP="004F561B">
            <w:pPr>
              <w:keepNext/>
              <w:keepLines/>
              <w:jc w:val="left"/>
              <w:rPr>
                <w:rFonts w:ascii="Arial Narrow" w:hAnsi="Arial Narrow"/>
                <w:sz w:val="20"/>
                <w:lang w:val="en-US"/>
              </w:rPr>
            </w:pPr>
            <w:r w:rsidRPr="001875EC">
              <w:rPr>
                <w:rFonts w:ascii="Arial Narrow" w:hAnsi="Arial Narrow"/>
                <w:sz w:val="20"/>
                <w:lang w:val="en-US"/>
              </w:rPr>
              <w:t xml:space="preserve">Adjustment of OS in the BSC arm due to cross-over to </w:t>
            </w:r>
            <w:proofErr w:type="spellStart"/>
            <w:r w:rsidRPr="001875EC">
              <w:rPr>
                <w:rFonts w:ascii="Arial Narrow" w:hAnsi="Arial Narrow"/>
                <w:sz w:val="20"/>
                <w:lang w:val="en-US"/>
              </w:rPr>
              <w:t>sorafenib</w:t>
            </w:r>
            <w:proofErr w:type="spellEnd"/>
            <w:r w:rsidRPr="001875EC">
              <w:rPr>
                <w:rFonts w:ascii="Arial Narrow" w:hAnsi="Arial Narrow"/>
                <w:sz w:val="20"/>
                <w:lang w:val="en-US"/>
              </w:rPr>
              <w:t xml:space="preserve"> post-progression (methods of adjustment and the 95% CI of hazard ratio in the same adjustment analysis)</w:t>
            </w:r>
          </w:p>
        </w:tc>
        <w:tc>
          <w:tcPr>
            <w:tcW w:w="1444" w:type="pct"/>
            <w:vMerge/>
            <w:shd w:val="clear" w:color="auto" w:fill="auto"/>
            <w:vAlign w:val="center"/>
          </w:tcPr>
          <w:p w:rsidR="008D053D" w:rsidRPr="001875EC" w:rsidRDefault="008D053D" w:rsidP="004F561B">
            <w:pPr>
              <w:keepNext/>
              <w:keepLines/>
              <w:jc w:val="center"/>
              <w:rPr>
                <w:rFonts w:ascii="Arial Narrow" w:hAnsi="Arial Narrow"/>
                <w:sz w:val="20"/>
                <w:lang w:val="en-US"/>
              </w:rPr>
            </w:pPr>
          </w:p>
        </w:tc>
      </w:tr>
      <w:tr w:rsidR="00493F63" w:rsidRPr="001875EC" w:rsidTr="00F8582E">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rsidR="00493F63" w:rsidRPr="001875EC" w:rsidRDefault="00493F63" w:rsidP="004F561B">
            <w:pPr>
              <w:keepNext/>
              <w:keepLines/>
              <w:jc w:val="left"/>
              <w:rPr>
                <w:rFonts w:ascii="Arial Narrow" w:hAnsi="Arial Narrow"/>
                <w:sz w:val="20"/>
                <w:lang w:val="en-US"/>
              </w:rPr>
            </w:pPr>
            <w:r w:rsidRPr="001875EC">
              <w:rPr>
                <w:rFonts w:ascii="Arial Narrow" w:hAnsi="Arial Narrow"/>
                <w:sz w:val="20"/>
                <w:lang w:val="en-US"/>
              </w:rPr>
              <w:t>Time horizon</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rsidR="00493F63" w:rsidRPr="001875EC" w:rsidRDefault="00493F63" w:rsidP="004F561B">
            <w:pPr>
              <w:keepNext/>
              <w:keepLines/>
              <w:jc w:val="left"/>
              <w:rPr>
                <w:rFonts w:ascii="Arial Narrow" w:hAnsi="Arial Narrow"/>
                <w:sz w:val="20"/>
                <w:lang w:val="en-US"/>
              </w:rPr>
            </w:pPr>
            <w:r w:rsidRPr="001875EC">
              <w:rPr>
                <w:rFonts w:ascii="Arial Narrow" w:hAnsi="Arial Narrow"/>
                <w:sz w:val="20"/>
                <w:lang w:val="en-US"/>
              </w:rPr>
              <w:t>10 years; assumed from 2 years trial duration</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tcPr>
          <w:p w:rsidR="00493F63" w:rsidRPr="00856546" w:rsidRDefault="00493F63" w:rsidP="004F561B">
            <w:pPr>
              <w:keepNext/>
              <w:keepLines/>
              <w:jc w:val="left"/>
              <w:rPr>
                <w:rFonts w:ascii="Arial Narrow" w:hAnsi="Arial Narrow"/>
                <w:sz w:val="20"/>
                <w:lang w:val="en-US"/>
              </w:rPr>
            </w:pPr>
            <w:r w:rsidRPr="00856546">
              <w:rPr>
                <w:rFonts w:ascii="Arial Narrow" w:hAnsi="Arial Narrow"/>
                <w:sz w:val="20"/>
                <w:lang w:val="en-US"/>
              </w:rPr>
              <w:t xml:space="preserve">High, </w:t>
            </w:r>
            <w:proofErr w:type="spellStart"/>
            <w:r w:rsidRPr="00856546">
              <w:rPr>
                <w:rFonts w:ascii="Arial Narrow" w:hAnsi="Arial Narrow"/>
                <w:sz w:val="20"/>
                <w:lang w:val="en-US"/>
              </w:rPr>
              <w:t>favours</w:t>
            </w:r>
            <w:proofErr w:type="spellEnd"/>
            <w:r w:rsidRPr="00856546">
              <w:rPr>
                <w:rFonts w:ascii="Arial Narrow" w:hAnsi="Arial Narrow"/>
                <w:sz w:val="20"/>
                <w:lang w:val="en-US"/>
              </w:rPr>
              <w:t xml:space="preserve"> </w:t>
            </w:r>
            <w:proofErr w:type="spellStart"/>
            <w:r w:rsidRPr="00856546">
              <w:rPr>
                <w:rFonts w:ascii="Arial Narrow" w:hAnsi="Arial Narrow"/>
                <w:sz w:val="20"/>
                <w:lang w:val="en-US"/>
              </w:rPr>
              <w:t>sorafenib</w:t>
            </w:r>
            <w:proofErr w:type="spellEnd"/>
          </w:p>
        </w:tc>
      </w:tr>
      <w:tr w:rsidR="00D110BD" w:rsidRPr="001875EC" w:rsidTr="00F8582E">
        <w:tc>
          <w:tcPr>
            <w:tcW w:w="1185" w:type="pct"/>
            <w:shd w:val="clear" w:color="auto" w:fill="auto"/>
            <w:vAlign w:val="center"/>
          </w:tcPr>
          <w:p w:rsidR="00D110BD" w:rsidRPr="0041441C" w:rsidRDefault="003315D2" w:rsidP="004F561B">
            <w:pPr>
              <w:keepNext/>
              <w:keepLines/>
              <w:jc w:val="left"/>
              <w:rPr>
                <w:rFonts w:ascii="Arial Narrow" w:hAnsi="Arial Narrow"/>
                <w:i/>
                <w:sz w:val="20"/>
                <w:lang w:val="en-US"/>
              </w:rPr>
            </w:pPr>
            <w:r w:rsidRPr="0041441C">
              <w:rPr>
                <w:rFonts w:ascii="Arial Narrow" w:hAnsi="Arial Narrow"/>
                <w:i/>
                <w:sz w:val="20"/>
                <w:lang w:val="en-US"/>
              </w:rPr>
              <w:t xml:space="preserve">Duration of </w:t>
            </w:r>
            <w:proofErr w:type="spellStart"/>
            <w:r w:rsidRPr="0041441C">
              <w:rPr>
                <w:rFonts w:ascii="Arial Narrow" w:hAnsi="Arial Narrow"/>
                <w:i/>
                <w:sz w:val="20"/>
                <w:lang w:val="en-US"/>
              </w:rPr>
              <w:t>sorafenib</w:t>
            </w:r>
            <w:proofErr w:type="spellEnd"/>
            <w:r w:rsidRPr="0041441C">
              <w:rPr>
                <w:rFonts w:ascii="Arial Narrow" w:hAnsi="Arial Narrow"/>
                <w:i/>
                <w:sz w:val="20"/>
                <w:lang w:val="en-US"/>
              </w:rPr>
              <w:t xml:space="preserve"> treatment</w:t>
            </w:r>
          </w:p>
        </w:tc>
        <w:tc>
          <w:tcPr>
            <w:tcW w:w="2371" w:type="pct"/>
            <w:shd w:val="clear" w:color="auto" w:fill="auto"/>
            <w:vAlign w:val="center"/>
          </w:tcPr>
          <w:p w:rsidR="000A2C21" w:rsidRPr="0041441C" w:rsidRDefault="003315D2" w:rsidP="0041441C">
            <w:pPr>
              <w:keepNext/>
              <w:keepLines/>
              <w:jc w:val="left"/>
              <w:rPr>
                <w:rFonts w:ascii="Arial Narrow" w:hAnsi="Arial Narrow"/>
                <w:i/>
                <w:sz w:val="20"/>
                <w:lang w:val="en-US"/>
              </w:rPr>
            </w:pPr>
            <w:r w:rsidRPr="0041441C">
              <w:rPr>
                <w:rFonts w:ascii="Arial Narrow" w:hAnsi="Arial Narrow"/>
                <w:i/>
                <w:sz w:val="20"/>
                <w:lang w:val="en-US"/>
              </w:rPr>
              <w:t xml:space="preserve">Average number of cycles of treatment </w:t>
            </w:r>
            <w:r w:rsidR="000A2C21" w:rsidRPr="0041441C">
              <w:rPr>
                <w:rFonts w:ascii="Arial Narrow" w:hAnsi="Arial Narrow"/>
                <w:i/>
                <w:sz w:val="20"/>
                <w:lang w:val="en-US"/>
              </w:rPr>
              <w:t>until progression in the DECISION trial</w:t>
            </w:r>
            <w:r w:rsidR="001250AC">
              <w:rPr>
                <w:rFonts w:ascii="Arial Narrow" w:hAnsi="Arial Narrow"/>
                <w:i/>
                <w:sz w:val="20"/>
                <w:lang w:val="en-US"/>
              </w:rPr>
              <w:t xml:space="preserve"> (revised base case)</w:t>
            </w:r>
            <w:r w:rsidR="000A2C21" w:rsidRPr="0041441C">
              <w:rPr>
                <w:rFonts w:ascii="Arial Narrow" w:hAnsi="Arial Narrow"/>
                <w:i/>
                <w:sz w:val="20"/>
                <w:lang w:val="en-US"/>
              </w:rPr>
              <w:t>.</w:t>
            </w:r>
          </w:p>
        </w:tc>
        <w:tc>
          <w:tcPr>
            <w:tcW w:w="1444" w:type="pct"/>
            <w:shd w:val="clear" w:color="auto" w:fill="auto"/>
            <w:vAlign w:val="center"/>
          </w:tcPr>
          <w:p w:rsidR="000A2C21" w:rsidRPr="00FE2D4C" w:rsidRDefault="001250AC" w:rsidP="00FE2D4C">
            <w:pPr>
              <w:keepNext/>
              <w:keepLines/>
              <w:jc w:val="left"/>
              <w:rPr>
                <w:rFonts w:ascii="Arial Narrow" w:hAnsi="Arial Narrow"/>
                <w:i/>
                <w:sz w:val="20"/>
                <w:lang w:val="en-US"/>
              </w:rPr>
            </w:pPr>
            <w:r w:rsidRPr="00FE2D4C">
              <w:rPr>
                <w:rFonts w:ascii="Arial Narrow" w:hAnsi="Arial Narrow"/>
                <w:i/>
                <w:sz w:val="20"/>
                <w:lang w:val="en-US"/>
              </w:rPr>
              <w:t xml:space="preserve">Moderate, </w:t>
            </w:r>
            <w:proofErr w:type="spellStart"/>
            <w:r w:rsidRPr="00FE2D4C">
              <w:rPr>
                <w:rFonts w:ascii="Arial Narrow" w:hAnsi="Arial Narrow"/>
                <w:i/>
                <w:sz w:val="20"/>
                <w:lang w:val="en-US"/>
              </w:rPr>
              <w:t>favours</w:t>
            </w:r>
            <w:proofErr w:type="spellEnd"/>
            <w:r w:rsidRPr="00FE2D4C">
              <w:rPr>
                <w:rFonts w:ascii="Arial Narrow" w:hAnsi="Arial Narrow"/>
                <w:i/>
                <w:sz w:val="20"/>
                <w:lang w:val="en-US"/>
              </w:rPr>
              <w:t xml:space="preserve"> </w:t>
            </w:r>
            <w:proofErr w:type="spellStart"/>
            <w:r w:rsidRPr="00FE2D4C">
              <w:rPr>
                <w:rFonts w:ascii="Arial Narrow" w:hAnsi="Arial Narrow"/>
                <w:i/>
                <w:sz w:val="20"/>
                <w:lang w:val="en-US"/>
              </w:rPr>
              <w:t>sorafenib</w:t>
            </w:r>
            <w:proofErr w:type="spellEnd"/>
            <w:r w:rsidRPr="00FE2D4C">
              <w:rPr>
                <w:rFonts w:ascii="Arial Narrow" w:hAnsi="Arial Narrow"/>
                <w:i/>
                <w:sz w:val="20"/>
                <w:lang w:val="en-US"/>
              </w:rPr>
              <w:t xml:space="preserve"> because </w:t>
            </w:r>
            <w:proofErr w:type="spellStart"/>
            <w:r w:rsidRPr="00FE2D4C">
              <w:rPr>
                <w:rFonts w:ascii="Arial Narrow" w:hAnsi="Arial Narrow"/>
                <w:i/>
                <w:sz w:val="20"/>
                <w:lang w:val="en-US"/>
              </w:rPr>
              <w:t>sorafenib</w:t>
            </w:r>
            <w:proofErr w:type="spellEnd"/>
            <w:r w:rsidRPr="00FE2D4C">
              <w:rPr>
                <w:rFonts w:ascii="Arial Narrow" w:hAnsi="Arial Narrow"/>
                <w:i/>
                <w:sz w:val="20"/>
                <w:lang w:val="en-US"/>
              </w:rPr>
              <w:t xml:space="preserve"> use was also permitted post-progression</w:t>
            </w:r>
            <w:r w:rsidR="00FE2D4C" w:rsidRPr="00FE2D4C">
              <w:rPr>
                <w:rFonts w:ascii="Arial Narrow" w:hAnsi="Arial Narrow"/>
                <w:i/>
                <w:sz w:val="20"/>
                <w:lang w:val="en-US"/>
              </w:rPr>
              <w:t>.</w:t>
            </w:r>
          </w:p>
        </w:tc>
      </w:tr>
      <w:tr w:rsidR="00D110BD" w:rsidRPr="001875EC" w:rsidTr="00F8582E">
        <w:tc>
          <w:tcPr>
            <w:tcW w:w="1185" w:type="pct"/>
            <w:shd w:val="clear" w:color="auto" w:fill="auto"/>
            <w:vAlign w:val="center"/>
          </w:tcPr>
          <w:p w:rsidR="00D110BD" w:rsidRPr="001875EC" w:rsidRDefault="003315D2" w:rsidP="004F561B">
            <w:pPr>
              <w:keepNext/>
              <w:keepLines/>
              <w:jc w:val="left"/>
              <w:rPr>
                <w:rFonts w:ascii="Arial Narrow" w:hAnsi="Arial Narrow"/>
                <w:sz w:val="20"/>
                <w:lang w:val="en-US"/>
              </w:rPr>
            </w:pPr>
            <w:r w:rsidRPr="001875EC">
              <w:rPr>
                <w:rFonts w:ascii="Arial Narrow" w:hAnsi="Arial Narrow"/>
                <w:sz w:val="20"/>
                <w:lang w:val="en-US"/>
              </w:rPr>
              <w:t xml:space="preserve">Dose intensity of </w:t>
            </w:r>
            <w:proofErr w:type="spellStart"/>
            <w:r w:rsidRPr="001875EC">
              <w:rPr>
                <w:rFonts w:ascii="Arial Narrow" w:hAnsi="Arial Narrow"/>
                <w:sz w:val="20"/>
                <w:lang w:val="en-US"/>
              </w:rPr>
              <w:t>sorafenib</w:t>
            </w:r>
            <w:proofErr w:type="spellEnd"/>
            <w:r w:rsidRPr="001875EC">
              <w:rPr>
                <w:rFonts w:ascii="Arial Narrow" w:hAnsi="Arial Narrow"/>
                <w:sz w:val="20"/>
                <w:lang w:val="en-US"/>
              </w:rPr>
              <w:t xml:space="preserve"> treatment</w:t>
            </w:r>
          </w:p>
        </w:tc>
        <w:tc>
          <w:tcPr>
            <w:tcW w:w="2371" w:type="pct"/>
            <w:shd w:val="clear" w:color="auto" w:fill="auto"/>
            <w:vAlign w:val="center"/>
          </w:tcPr>
          <w:p w:rsidR="00D110BD" w:rsidRPr="001875EC" w:rsidRDefault="003315D2" w:rsidP="004F561B">
            <w:pPr>
              <w:keepNext/>
              <w:keepLines/>
              <w:jc w:val="left"/>
              <w:rPr>
                <w:rFonts w:ascii="Arial Narrow" w:hAnsi="Arial Narrow"/>
                <w:sz w:val="20"/>
                <w:lang w:val="en-US"/>
              </w:rPr>
            </w:pPr>
            <w:r w:rsidRPr="001875EC">
              <w:rPr>
                <w:rFonts w:ascii="Arial Narrow" w:hAnsi="Arial Narrow"/>
                <w:sz w:val="20"/>
                <w:lang w:val="en-US"/>
              </w:rPr>
              <w:t>Dose intensity observed in the DECISION trial</w:t>
            </w:r>
            <w:r w:rsidR="00387D54" w:rsidRPr="001875EC">
              <w:rPr>
                <w:rFonts w:ascii="Arial Narrow" w:hAnsi="Arial Narrow"/>
                <w:sz w:val="20"/>
                <w:lang w:val="en-US"/>
              </w:rPr>
              <w:t>, assuming no wastage</w:t>
            </w:r>
          </w:p>
        </w:tc>
        <w:tc>
          <w:tcPr>
            <w:tcW w:w="1444" w:type="pct"/>
            <w:shd w:val="clear" w:color="auto" w:fill="auto"/>
            <w:vAlign w:val="center"/>
          </w:tcPr>
          <w:p w:rsidR="00D110BD" w:rsidRPr="001875EC" w:rsidRDefault="003315D2" w:rsidP="004F561B">
            <w:pPr>
              <w:keepNext/>
              <w:keepLines/>
              <w:jc w:val="left"/>
              <w:rPr>
                <w:rFonts w:ascii="Arial Narrow" w:hAnsi="Arial Narrow"/>
                <w:sz w:val="20"/>
                <w:lang w:val="en-US"/>
              </w:rPr>
            </w:pPr>
            <w:r w:rsidRPr="001875EC">
              <w:rPr>
                <w:rFonts w:ascii="Arial Narrow" w:hAnsi="Arial Narrow"/>
                <w:sz w:val="20"/>
                <w:lang w:val="en-US"/>
              </w:rPr>
              <w:t xml:space="preserve">Moderate, </w:t>
            </w:r>
            <w:proofErr w:type="spellStart"/>
            <w:r w:rsidRPr="001875EC">
              <w:rPr>
                <w:rFonts w:ascii="Arial Narrow" w:hAnsi="Arial Narrow"/>
                <w:sz w:val="20"/>
                <w:lang w:val="en-US"/>
              </w:rPr>
              <w:t>favours</w:t>
            </w:r>
            <w:proofErr w:type="spellEnd"/>
            <w:r w:rsidRPr="001875EC">
              <w:rPr>
                <w:rFonts w:ascii="Arial Narrow" w:hAnsi="Arial Narrow"/>
                <w:sz w:val="20"/>
                <w:lang w:val="en-US"/>
              </w:rPr>
              <w:t xml:space="preserve"> </w:t>
            </w:r>
            <w:proofErr w:type="spellStart"/>
            <w:r w:rsidRPr="001875EC">
              <w:rPr>
                <w:rFonts w:ascii="Arial Narrow" w:hAnsi="Arial Narrow"/>
                <w:sz w:val="20"/>
                <w:lang w:val="en-US"/>
              </w:rPr>
              <w:t>sorafenib</w:t>
            </w:r>
            <w:proofErr w:type="spellEnd"/>
          </w:p>
        </w:tc>
      </w:tr>
      <w:tr w:rsidR="00F116B9" w:rsidRPr="001875EC" w:rsidTr="00F8582E">
        <w:tc>
          <w:tcPr>
            <w:tcW w:w="1185" w:type="pct"/>
            <w:shd w:val="clear" w:color="auto" w:fill="auto"/>
            <w:vAlign w:val="center"/>
          </w:tcPr>
          <w:p w:rsidR="00F116B9" w:rsidRPr="001875EC" w:rsidRDefault="00F116B9" w:rsidP="004F561B">
            <w:pPr>
              <w:keepNext/>
              <w:keepLines/>
              <w:jc w:val="left"/>
              <w:rPr>
                <w:rFonts w:ascii="Arial Narrow" w:hAnsi="Arial Narrow"/>
                <w:sz w:val="20"/>
                <w:lang w:val="en-US"/>
              </w:rPr>
            </w:pPr>
            <w:r w:rsidRPr="001875EC">
              <w:rPr>
                <w:rFonts w:ascii="Arial Narrow" w:hAnsi="Arial Narrow"/>
                <w:sz w:val="20"/>
                <w:lang w:val="en-US"/>
              </w:rPr>
              <w:t>Utilities of health states</w:t>
            </w:r>
          </w:p>
        </w:tc>
        <w:tc>
          <w:tcPr>
            <w:tcW w:w="2371" w:type="pct"/>
            <w:shd w:val="clear" w:color="auto" w:fill="auto"/>
            <w:vAlign w:val="center"/>
          </w:tcPr>
          <w:p w:rsidR="00F116B9" w:rsidRPr="001875EC" w:rsidRDefault="00F116B9" w:rsidP="004F561B">
            <w:pPr>
              <w:keepNext/>
              <w:keepLines/>
              <w:jc w:val="left"/>
              <w:rPr>
                <w:rFonts w:ascii="Arial Narrow" w:hAnsi="Arial Narrow"/>
                <w:sz w:val="20"/>
                <w:lang w:val="en-US"/>
              </w:rPr>
            </w:pPr>
            <w:r w:rsidRPr="001875EC">
              <w:rPr>
                <w:rFonts w:ascii="Arial Narrow" w:hAnsi="Arial Narrow"/>
                <w:sz w:val="20"/>
                <w:lang w:val="en-US"/>
              </w:rPr>
              <w:t>Trial-based utility values</w:t>
            </w:r>
            <w:r w:rsidR="001C570F" w:rsidRPr="001875EC">
              <w:rPr>
                <w:rFonts w:ascii="Arial Narrow" w:hAnsi="Arial Narrow"/>
                <w:sz w:val="20"/>
                <w:lang w:val="en-US"/>
              </w:rPr>
              <w:t xml:space="preserve"> without disutility associated with continued </w:t>
            </w:r>
            <w:proofErr w:type="spellStart"/>
            <w:r w:rsidR="001C570F" w:rsidRPr="001875EC">
              <w:rPr>
                <w:rFonts w:ascii="Arial Narrow" w:hAnsi="Arial Narrow"/>
                <w:sz w:val="20"/>
                <w:lang w:val="en-US"/>
              </w:rPr>
              <w:t>sorafenib</w:t>
            </w:r>
            <w:proofErr w:type="spellEnd"/>
            <w:r w:rsidR="001C570F" w:rsidRPr="001875EC">
              <w:rPr>
                <w:rFonts w:ascii="Arial Narrow" w:hAnsi="Arial Narrow"/>
                <w:sz w:val="20"/>
                <w:lang w:val="en-US"/>
              </w:rPr>
              <w:t xml:space="preserve"> treatment post-progression</w:t>
            </w:r>
          </w:p>
        </w:tc>
        <w:tc>
          <w:tcPr>
            <w:tcW w:w="1444" w:type="pct"/>
            <w:shd w:val="clear" w:color="auto" w:fill="auto"/>
            <w:vAlign w:val="center"/>
          </w:tcPr>
          <w:p w:rsidR="00F116B9" w:rsidRPr="001875EC" w:rsidRDefault="001C570F" w:rsidP="004F561B">
            <w:pPr>
              <w:keepNext/>
              <w:keepLines/>
              <w:jc w:val="left"/>
              <w:rPr>
                <w:rFonts w:ascii="Arial Narrow" w:hAnsi="Arial Narrow"/>
                <w:sz w:val="20"/>
                <w:lang w:val="en-US"/>
              </w:rPr>
            </w:pPr>
            <w:r w:rsidRPr="001875EC">
              <w:rPr>
                <w:rFonts w:ascii="Arial Narrow" w:hAnsi="Arial Narrow"/>
                <w:sz w:val="20"/>
                <w:lang w:val="en-US"/>
              </w:rPr>
              <w:t>Likely to be low, depending on the duration of continued treatment</w:t>
            </w:r>
            <w:r w:rsidR="00EB3852" w:rsidRPr="001875EC">
              <w:rPr>
                <w:rFonts w:ascii="Arial Narrow" w:hAnsi="Arial Narrow"/>
                <w:sz w:val="20"/>
                <w:lang w:val="en-US"/>
              </w:rPr>
              <w:t xml:space="preserve"> post-progression</w:t>
            </w:r>
            <w:r w:rsidR="00F116B9" w:rsidRPr="001875EC">
              <w:rPr>
                <w:rFonts w:ascii="Arial Narrow" w:hAnsi="Arial Narrow"/>
                <w:sz w:val="20"/>
                <w:lang w:val="en-US"/>
              </w:rPr>
              <w:t xml:space="preserve">, </w:t>
            </w:r>
            <w:proofErr w:type="spellStart"/>
            <w:r w:rsidR="00F116B9" w:rsidRPr="001875EC">
              <w:rPr>
                <w:rFonts w:ascii="Arial Narrow" w:hAnsi="Arial Narrow"/>
                <w:sz w:val="20"/>
                <w:lang w:val="en-US"/>
              </w:rPr>
              <w:t>favours</w:t>
            </w:r>
            <w:proofErr w:type="spellEnd"/>
            <w:r w:rsidR="00F116B9" w:rsidRPr="001875EC">
              <w:rPr>
                <w:rFonts w:ascii="Arial Narrow" w:hAnsi="Arial Narrow"/>
                <w:sz w:val="20"/>
                <w:lang w:val="en-US"/>
              </w:rPr>
              <w:t xml:space="preserve"> </w:t>
            </w:r>
            <w:proofErr w:type="spellStart"/>
            <w:r w:rsidR="00F116B9" w:rsidRPr="001875EC">
              <w:rPr>
                <w:rFonts w:ascii="Arial Narrow" w:hAnsi="Arial Narrow"/>
                <w:sz w:val="20"/>
                <w:lang w:val="en-US"/>
              </w:rPr>
              <w:t>sorafenib</w:t>
            </w:r>
            <w:proofErr w:type="spellEnd"/>
          </w:p>
        </w:tc>
      </w:tr>
    </w:tbl>
    <w:p w:rsidR="00207339" w:rsidRPr="001875EC" w:rsidRDefault="00207339" w:rsidP="00F8582E">
      <w:pPr>
        <w:pStyle w:val="TableFooter"/>
        <w:ind w:left="709"/>
      </w:pPr>
      <w:r w:rsidRPr="001875EC">
        <w:t>OS = overall survival; BSC = best supportive care.</w:t>
      </w:r>
    </w:p>
    <w:p w:rsidR="00D110BD" w:rsidRPr="001875EC" w:rsidRDefault="00D110BD" w:rsidP="00F8582E">
      <w:pPr>
        <w:pStyle w:val="TableFooter"/>
        <w:ind w:left="709"/>
      </w:pPr>
      <w:r w:rsidRPr="001875EC">
        <w:t>Source: compiled during the evaluation</w:t>
      </w:r>
    </w:p>
    <w:p w:rsidR="00D110BD" w:rsidRPr="001875EC" w:rsidRDefault="00D110BD" w:rsidP="00275C5A">
      <w:pPr>
        <w:widowControl/>
        <w:rPr>
          <w:szCs w:val="22"/>
        </w:rPr>
      </w:pPr>
    </w:p>
    <w:p w:rsidR="001250AC" w:rsidRPr="003C14EE" w:rsidRDefault="002C7929" w:rsidP="0001306F">
      <w:pPr>
        <w:pStyle w:val="ListParagraph"/>
        <w:widowControl/>
        <w:numPr>
          <w:ilvl w:val="1"/>
          <w:numId w:val="1"/>
        </w:numPr>
        <w:rPr>
          <w:szCs w:val="22"/>
        </w:rPr>
      </w:pPr>
      <w:r w:rsidRPr="003C14EE">
        <w:t xml:space="preserve">The model provided in the submission </w:t>
      </w:r>
      <w:r w:rsidR="00856546" w:rsidRPr="003C14EE">
        <w:t>under</w:t>
      </w:r>
      <w:r w:rsidRPr="003C14EE">
        <w:t xml:space="preserve">estimated </w:t>
      </w:r>
      <w:r w:rsidR="00EA1200" w:rsidRPr="003C14EE">
        <w:t xml:space="preserve">the cost of </w:t>
      </w:r>
      <w:proofErr w:type="spellStart"/>
      <w:r w:rsidRPr="003C14EE">
        <w:t>sorafenib</w:t>
      </w:r>
      <w:proofErr w:type="spellEnd"/>
      <w:r w:rsidRPr="003C14EE">
        <w:t xml:space="preserve"> </w:t>
      </w:r>
      <w:r w:rsidR="00856546" w:rsidRPr="003C14EE">
        <w:t xml:space="preserve">because it based costs on the </w:t>
      </w:r>
      <w:r w:rsidR="00FE2D4C" w:rsidRPr="003C14EE">
        <w:t>average</w:t>
      </w:r>
      <w:r w:rsidR="00856546" w:rsidRPr="003C14EE">
        <w:t xml:space="preserve"> </w:t>
      </w:r>
      <w:r w:rsidRPr="003C14EE">
        <w:t xml:space="preserve">number of cycles of </w:t>
      </w:r>
      <w:proofErr w:type="spellStart"/>
      <w:r w:rsidRPr="003C14EE">
        <w:t>sorafenib</w:t>
      </w:r>
      <w:proofErr w:type="spellEnd"/>
      <w:r w:rsidRPr="003C14EE">
        <w:t xml:space="preserve"> </w:t>
      </w:r>
      <w:r w:rsidR="001250AC" w:rsidRPr="003C14EE">
        <w:t>during</w:t>
      </w:r>
      <w:r w:rsidRPr="003C14EE">
        <w:t xml:space="preserve"> the double-blind period of the DECISION trial. However, </w:t>
      </w:r>
      <w:r w:rsidR="001250AC" w:rsidRPr="003C14EE">
        <w:t>some patients had not progressed by the end of the double-blind period</w:t>
      </w:r>
      <w:r w:rsidR="00EA1200" w:rsidRPr="003C14EE">
        <w:t>.</w:t>
      </w:r>
      <w:r w:rsidR="001250AC" w:rsidRPr="003C14EE">
        <w:t xml:space="preserve"> </w:t>
      </w:r>
      <w:r w:rsidR="00EA1200" w:rsidRPr="003C14EE">
        <w:t>T</w:t>
      </w:r>
      <w:r w:rsidR="001250AC" w:rsidRPr="003C14EE">
        <w:t>he commentary</w:t>
      </w:r>
      <w:r w:rsidR="005543E2" w:rsidRPr="003C14EE">
        <w:t>, PSCR</w:t>
      </w:r>
      <w:r w:rsidR="00F6210F" w:rsidRPr="003C14EE">
        <w:t xml:space="preserve"> (p</w:t>
      </w:r>
      <w:r w:rsidR="005543E2" w:rsidRPr="003C14EE">
        <w:t xml:space="preserve">5) and ESC agreed that </w:t>
      </w:r>
      <w:r w:rsidR="00EA1200" w:rsidRPr="003C14EE">
        <w:t xml:space="preserve">it would be more appropriate to estimate the </w:t>
      </w:r>
      <w:r w:rsidR="001250AC" w:rsidRPr="003C14EE">
        <w:t>cost of</w:t>
      </w:r>
      <w:r w:rsidR="00F5437E" w:rsidRPr="003C14EE">
        <w:t xml:space="preserve"> </w:t>
      </w:r>
      <w:proofErr w:type="spellStart"/>
      <w:r w:rsidR="00F5437E" w:rsidRPr="003C14EE">
        <w:t>sorafenib</w:t>
      </w:r>
      <w:proofErr w:type="spellEnd"/>
      <w:r w:rsidR="001250AC" w:rsidRPr="003C14EE">
        <w:t xml:space="preserve"> </w:t>
      </w:r>
      <w:r w:rsidR="00FE2D4C" w:rsidRPr="003C14EE">
        <w:t>assuming treatment</w:t>
      </w:r>
      <w:r w:rsidR="00EA1200" w:rsidRPr="003C14EE">
        <w:t xml:space="preserve"> </w:t>
      </w:r>
      <w:r w:rsidR="001250AC" w:rsidRPr="003C14EE">
        <w:rPr>
          <w:u w:val="single"/>
        </w:rPr>
        <w:t>until disease progression</w:t>
      </w:r>
      <w:r w:rsidR="001250AC" w:rsidRPr="003C14EE">
        <w:t xml:space="preserve">. The </w:t>
      </w:r>
      <w:r w:rsidR="005543E2" w:rsidRPr="003C14EE">
        <w:t xml:space="preserve">base case </w:t>
      </w:r>
      <w:r w:rsidR="00775A3B">
        <w:t>was</w:t>
      </w:r>
      <w:r w:rsidR="005543E2" w:rsidRPr="003C14EE">
        <w:t xml:space="preserve"> revised to reflect this.</w:t>
      </w:r>
      <w:r w:rsidR="001250AC" w:rsidRPr="003C14EE">
        <w:t xml:space="preserve"> </w:t>
      </w:r>
    </w:p>
    <w:p w:rsidR="001250AC" w:rsidRPr="001250AC" w:rsidRDefault="001250AC" w:rsidP="001250AC">
      <w:pPr>
        <w:pStyle w:val="ListParagraph"/>
        <w:widowControl/>
        <w:ind w:left="709"/>
        <w:rPr>
          <w:szCs w:val="22"/>
        </w:rPr>
      </w:pPr>
    </w:p>
    <w:p w:rsidR="00275C5A" w:rsidRPr="0062517B" w:rsidRDefault="00D96388" w:rsidP="0001306F">
      <w:pPr>
        <w:pStyle w:val="ListParagraph"/>
        <w:widowControl/>
        <w:numPr>
          <w:ilvl w:val="1"/>
          <w:numId w:val="1"/>
        </w:numPr>
        <w:rPr>
          <w:szCs w:val="22"/>
        </w:rPr>
      </w:pPr>
      <w:r w:rsidRPr="001875EC">
        <w:t xml:space="preserve">The results of </w:t>
      </w:r>
      <w:r w:rsidRPr="003C14EE">
        <w:t xml:space="preserve">the </w:t>
      </w:r>
      <w:r w:rsidR="001250AC" w:rsidRPr="003C14EE">
        <w:t>revised</w:t>
      </w:r>
      <w:r w:rsidR="001250AC">
        <w:rPr>
          <w:i/>
        </w:rPr>
        <w:t xml:space="preserve"> </w:t>
      </w:r>
      <w:r w:rsidRPr="001875EC">
        <w:t xml:space="preserve">economic evaluation </w:t>
      </w:r>
      <w:r w:rsidR="00B14E94" w:rsidRPr="001875EC">
        <w:t xml:space="preserve">are summarised </w:t>
      </w:r>
      <w:r w:rsidR="00EA57FB">
        <w:t xml:space="preserve">in the table </w:t>
      </w:r>
      <w:r w:rsidR="00B14E94" w:rsidRPr="009A0269">
        <w:t>below.</w:t>
      </w:r>
    </w:p>
    <w:p w:rsidR="0062517B" w:rsidRPr="009A0269" w:rsidRDefault="0062517B" w:rsidP="0062517B">
      <w:pPr>
        <w:pStyle w:val="ListParagraph"/>
        <w:widowControl/>
        <w:ind w:left="742"/>
        <w:rPr>
          <w:rFonts w:ascii="Arial Narrow" w:hAnsi="Arial Narrow"/>
          <w:b/>
          <w:sz w:val="20"/>
          <w:szCs w:val="16"/>
        </w:rPr>
      </w:pPr>
    </w:p>
    <w:p w:rsidR="0062517B" w:rsidRPr="0036547F" w:rsidRDefault="0062517B" w:rsidP="00F8582E">
      <w:pPr>
        <w:pStyle w:val="Caption"/>
        <w:keepNext/>
        <w:keepLines/>
        <w:spacing w:after="0"/>
        <w:ind w:left="709"/>
        <w:rPr>
          <w:rStyle w:val="CommentReference"/>
          <w:b/>
          <w:color w:val="auto"/>
        </w:rPr>
      </w:pPr>
      <w:r w:rsidRPr="0036547F">
        <w:rPr>
          <w:rStyle w:val="CommentReference"/>
          <w:b/>
          <w:color w:val="auto"/>
        </w:rPr>
        <w:t>Revised base case</w:t>
      </w:r>
      <w:r w:rsidR="00F5437E" w:rsidRPr="0036547F">
        <w:rPr>
          <w:rStyle w:val="CommentReference"/>
          <w:b/>
          <w:color w:val="auto"/>
        </w:rPr>
        <w:t xml:space="preserve"> (</w:t>
      </w:r>
      <w:r w:rsidRPr="0036547F">
        <w:rPr>
          <w:rStyle w:val="CommentReference"/>
          <w:b/>
          <w:color w:val="auto"/>
        </w:rPr>
        <w:t>per PSCR</w:t>
      </w:r>
      <w:r w:rsidR="00F5437E" w:rsidRPr="0036547F">
        <w:rPr>
          <w:rStyle w:val="CommentReference"/>
          <w:b/>
          <w:color w:val="auto"/>
        </w:rPr>
        <w:t xml:space="preserve">) – use of </w:t>
      </w:r>
      <w:proofErr w:type="spellStart"/>
      <w:r w:rsidR="00F5437E" w:rsidRPr="0036547F">
        <w:rPr>
          <w:rStyle w:val="CommentReference"/>
          <w:b/>
          <w:color w:val="auto"/>
        </w:rPr>
        <w:t>sorafenib</w:t>
      </w:r>
      <w:proofErr w:type="spellEnd"/>
      <w:r w:rsidR="00F5437E" w:rsidRPr="0036547F">
        <w:rPr>
          <w:rStyle w:val="CommentReference"/>
          <w:b/>
          <w:color w:val="auto"/>
        </w:rPr>
        <w:t xml:space="preserve"> until progression</w:t>
      </w:r>
      <w:r w:rsidRPr="0036547F">
        <w:rPr>
          <w:rStyle w:val="CommentReference"/>
          <w:b/>
          <w:color w:val="auto"/>
        </w:rPr>
        <w:tab/>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vised base case (per PSCR) – use of sorafenib until progression"/>
      </w:tblPr>
      <w:tblGrid>
        <w:gridCol w:w="1843"/>
        <w:gridCol w:w="2551"/>
        <w:gridCol w:w="2411"/>
        <w:gridCol w:w="1559"/>
      </w:tblGrid>
      <w:tr w:rsidR="0062517B" w:rsidRPr="007568EB" w:rsidTr="00F8582E">
        <w:tc>
          <w:tcPr>
            <w:tcW w:w="1102" w:type="pct"/>
          </w:tcPr>
          <w:p w:rsidR="0062517B" w:rsidRPr="002E19FB" w:rsidRDefault="0062517B" w:rsidP="008D5703">
            <w:pPr>
              <w:keepNext/>
              <w:keepLines/>
              <w:rPr>
                <w:rFonts w:ascii="Arial Narrow" w:hAnsi="Arial Narrow"/>
                <w:b/>
                <w:sz w:val="20"/>
              </w:rPr>
            </w:pPr>
            <w:r w:rsidRPr="0036547F">
              <w:rPr>
                <w:rFonts w:ascii="Arial Narrow" w:hAnsi="Arial Narrow"/>
                <w:b/>
                <w:sz w:val="20"/>
              </w:rPr>
              <w:t>Component</w:t>
            </w:r>
          </w:p>
        </w:tc>
        <w:tc>
          <w:tcPr>
            <w:tcW w:w="1525" w:type="pct"/>
          </w:tcPr>
          <w:p w:rsidR="0062517B" w:rsidRPr="002E19FB" w:rsidRDefault="0062517B" w:rsidP="008D5703">
            <w:pPr>
              <w:keepNext/>
              <w:keepLines/>
              <w:jc w:val="center"/>
              <w:rPr>
                <w:rFonts w:ascii="Arial Narrow" w:hAnsi="Arial Narrow"/>
                <w:b/>
                <w:sz w:val="20"/>
              </w:rPr>
            </w:pPr>
            <w:proofErr w:type="spellStart"/>
            <w:r w:rsidRPr="0036547F">
              <w:rPr>
                <w:rFonts w:ascii="Arial Narrow" w:hAnsi="Arial Narrow"/>
                <w:b/>
                <w:sz w:val="20"/>
              </w:rPr>
              <w:t>Sorafenib</w:t>
            </w:r>
            <w:proofErr w:type="spellEnd"/>
          </w:p>
        </w:tc>
        <w:tc>
          <w:tcPr>
            <w:tcW w:w="1441" w:type="pct"/>
          </w:tcPr>
          <w:p w:rsidR="0062517B" w:rsidRPr="002E19FB" w:rsidRDefault="0062517B" w:rsidP="008D5703">
            <w:pPr>
              <w:keepNext/>
              <w:keepLines/>
              <w:jc w:val="center"/>
              <w:rPr>
                <w:rFonts w:ascii="Arial Narrow" w:hAnsi="Arial Narrow"/>
                <w:b/>
                <w:sz w:val="20"/>
              </w:rPr>
            </w:pPr>
            <w:r w:rsidRPr="0036547F">
              <w:rPr>
                <w:rFonts w:ascii="Arial Narrow" w:hAnsi="Arial Narrow"/>
                <w:b/>
                <w:sz w:val="20"/>
              </w:rPr>
              <w:t>BSC</w:t>
            </w:r>
          </w:p>
        </w:tc>
        <w:tc>
          <w:tcPr>
            <w:tcW w:w="933" w:type="pct"/>
          </w:tcPr>
          <w:p w:rsidR="0062517B" w:rsidRPr="002E19FB" w:rsidRDefault="0062517B" w:rsidP="008D5703">
            <w:pPr>
              <w:keepNext/>
              <w:keepLines/>
              <w:jc w:val="center"/>
              <w:rPr>
                <w:rFonts w:ascii="Arial Narrow" w:hAnsi="Arial Narrow"/>
                <w:b/>
                <w:sz w:val="20"/>
              </w:rPr>
            </w:pPr>
            <w:r w:rsidRPr="0036547F">
              <w:rPr>
                <w:rFonts w:ascii="Arial Narrow" w:hAnsi="Arial Narrow"/>
                <w:b/>
                <w:sz w:val="20"/>
              </w:rPr>
              <w:t>Increment</w:t>
            </w:r>
          </w:p>
        </w:tc>
      </w:tr>
      <w:tr w:rsidR="0062517B" w:rsidRPr="007568EB" w:rsidTr="00F8582E">
        <w:tc>
          <w:tcPr>
            <w:tcW w:w="1102" w:type="pct"/>
          </w:tcPr>
          <w:p w:rsidR="0062517B" w:rsidRPr="002E19FB" w:rsidRDefault="0062517B" w:rsidP="008D5703">
            <w:pPr>
              <w:keepNext/>
              <w:keepLines/>
              <w:rPr>
                <w:rFonts w:ascii="Arial Narrow" w:hAnsi="Arial Narrow"/>
                <w:sz w:val="20"/>
              </w:rPr>
            </w:pPr>
            <w:r w:rsidRPr="0036547F">
              <w:rPr>
                <w:rFonts w:ascii="Arial Narrow" w:hAnsi="Arial Narrow"/>
                <w:sz w:val="20"/>
              </w:rPr>
              <w:t>Costs</w:t>
            </w:r>
          </w:p>
        </w:tc>
        <w:tc>
          <w:tcPr>
            <w:tcW w:w="1525"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441"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3"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62517B" w:rsidRPr="007568EB" w:rsidTr="00F8582E">
        <w:tc>
          <w:tcPr>
            <w:tcW w:w="1102" w:type="pct"/>
          </w:tcPr>
          <w:p w:rsidR="0062517B" w:rsidRPr="002E19FB" w:rsidRDefault="0062517B" w:rsidP="008D5703">
            <w:pPr>
              <w:keepNext/>
              <w:keepLines/>
              <w:rPr>
                <w:rFonts w:ascii="Arial Narrow" w:hAnsi="Arial Narrow"/>
                <w:sz w:val="20"/>
              </w:rPr>
            </w:pPr>
            <w:r w:rsidRPr="0036547F">
              <w:rPr>
                <w:rFonts w:ascii="Arial Narrow" w:hAnsi="Arial Narrow"/>
                <w:sz w:val="20"/>
              </w:rPr>
              <w:t>Lys</w:t>
            </w:r>
          </w:p>
        </w:tc>
        <w:tc>
          <w:tcPr>
            <w:tcW w:w="1525"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441"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3"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62517B" w:rsidRPr="007568EB" w:rsidTr="00F8582E">
        <w:tc>
          <w:tcPr>
            <w:tcW w:w="1102" w:type="pct"/>
          </w:tcPr>
          <w:p w:rsidR="0062517B" w:rsidRPr="002E19FB" w:rsidRDefault="0062517B" w:rsidP="008D5703">
            <w:pPr>
              <w:keepNext/>
              <w:keepLines/>
              <w:rPr>
                <w:rFonts w:ascii="Arial Narrow" w:hAnsi="Arial Narrow"/>
                <w:sz w:val="20"/>
              </w:rPr>
            </w:pPr>
            <w:r w:rsidRPr="0036547F">
              <w:rPr>
                <w:rFonts w:ascii="Arial Narrow" w:hAnsi="Arial Narrow"/>
                <w:sz w:val="20"/>
              </w:rPr>
              <w:t>QALYs</w:t>
            </w:r>
          </w:p>
        </w:tc>
        <w:tc>
          <w:tcPr>
            <w:tcW w:w="1525"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1441"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3" w:type="pct"/>
          </w:tcPr>
          <w:p w:rsidR="0062517B" w:rsidRPr="002E19FB" w:rsidRDefault="002E19FB" w:rsidP="008D570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62517B" w:rsidRPr="007568EB" w:rsidTr="00F8582E">
        <w:tc>
          <w:tcPr>
            <w:tcW w:w="4067" w:type="pct"/>
            <w:gridSpan w:val="3"/>
          </w:tcPr>
          <w:p w:rsidR="0062517B" w:rsidRPr="002E19FB" w:rsidRDefault="0062517B" w:rsidP="008D5703">
            <w:pPr>
              <w:keepNext/>
              <w:keepLines/>
              <w:rPr>
                <w:rFonts w:ascii="Arial Narrow" w:hAnsi="Arial Narrow"/>
                <w:b/>
                <w:sz w:val="20"/>
              </w:rPr>
            </w:pPr>
            <w:r w:rsidRPr="0036547F">
              <w:rPr>
                <w:rFonts w:ascii="Arial Narrow" w:hAnsi="Arial Narrow"/>
                <w:b/>
                <w:sz w:val="20"/>
              </w:rPr>
              <w:t>Incremental cost/LY gained</w:t>
            </w:r>
          </w:p>
        </w:tc>
        <w:tc>
          <w:tcPr>
            <w:tcW w:w="933" w:type="pct"/>
          </w:tcPr>
          <w:p w:rsidR="0062517B" w:rsidRPr="002E19FB" w:rsidRDefault="0062517B" w:rsidP="008D5703">
            <w:pPr>
              <w:keepNext/>
              <w:keepLines/>
              <w:jc w:val="center"/>
              <w:rPr>
                <w:rFonts w:ascii="Arial Narrow" w:hAnsi="Arial Narrow"/>
                <w:b/>
                <w:sz w:val="20"/>
              </w:rPr>
            </w:pPr>
            <w:r w:rsidRPr="0036547F">
              <w:rPr>
                <w:rFonts w:ascii="Arial Narrow" w:hAnsi="Arial Narrow"/>
                <w:b/>
                <w:sz w:val="20"/>
              </w:rPr>
              <w:t>$</w:t>
            </w:r>
            <w:r w:rsidR="002E19FB">
              <w:rPr>
                <w:rFonts w:ascii="Arial Narrow" w:hAnsi="Arial Narrow"/>
                <w:b/>
                <w:noProof/>
                <w:color w:val="000000"/>
                <w:sz w:val="20"/>
                <w:highlight w:val="black"/>
              </w:rPr>
              <w:t>''''''''''''</w:t>
            </w:r>
          </w:p>
        </w:tc>
      </w:tr>
      <w:tr w:rsidR="0062517B" w:rsidRPr="007568EB" w:rsidTr="00F8582E">
        <w:tc>
          <w:tcPr>
            <w:tcW w:w="4067" w:type="pct"/>
            <w:gridSpan w:val="3"/>
          </w:tcPr>
          <w:p w:rsidR="0062517B" w:rsidRPr="002E19FB" w:rsidRDefault="0062517B" w:rsidP="008D5703">
            <w:pPr>
              <w:keepNext/>
              <w:keepLines/>
              <w:rPr>
                <w:rFonts w:ascii="Arial Narrow" w:hAnsi="Arial Narrow"/>
                <w:b/>
                <w:sz w:val="20"/>
              </w:rPr>
            </w:pPr>
            <w:r w:rsidRPr="0036547F">
              <w:rPr>
                <w:rFonts w:ascii="Arial Narrow" w:hAnsi="Arial Narrow"/>
                <w:b/>
                <w:sz w:val="20"/>
              </w:rPr>
              <w:t>Incremental cost/QALY gained</w:t>
            </w:r>
          </w:p>
        </w:tc>
        <w:tc>
          <w:tcPr>
            <w:tcW w:w="933" w:type="pct"/>
          </w:tcPr>
          <w:p w:rsidR="0062517B" w:rsidRPr="002E19FB" w:rsidRDefault="0036547F" w:rsidP="0036547F">
            <w:pPr>
              <w:keepNext/>
              <w:keepLines/>
              <w:tabs>
                <w:tab w:val="left" w:pos="420"/>
                <w:tab w:val="center" w:pos="751"/>
              </w:tabs>
              <w:jc w:val="left"/>
              <w:rPr>
                <w:rFonts w:ascii="Arial Narrow" w:hAnsi="Arial Narrow"/>
                <w:b/>
                <w:sz w:val="20"/>
              </w:rPr>
            </w:pPr>
            <w:r w:rsidRPr="0036547F">
              <w:rPr>
                <w:rFonts w:ascii="Arial Narrow" w:hAnsi="Arial Narrow"/>
                <w:b/>
                <w:sz w:val="20"/>
              </w:rPr>
              <w:tab/>
            </w:r>
            <w:r w:rsidRPr="0036547F">
              <w:rPr>
                <w:rFonts w:ascii="Arial Narrow" w:hAnsi="Arial Narrow"/>
                <w:b/>
                <w:sz w:val="20"/>
              </w:rPr>
              <w:tab/>
            </w:r>
            <w:r w:rsidR="0062517B" w:rsidRPr="0036547F">
              <w:rPr>
                <w:rFonts w:ascii="Arial Narrow" w:hAnsi="Arial Narrow"/>
                <w:b/>
                <w:sz w:val="20"/>
              </w:rPr>
              <w:t>$</w:t>
            </w:r>
            <w:r w:rsidR="002E19FB">
              <w:rPr>
                <w:rFonts w:ascii="Arial Narrow" w:hAnsi="Arial Narrow"/>
                <w:b/>
                <w:noProof/>
                <w:color w:val="000000"/>
                <w:sz w:val="20"/>
                <w:highlight w:val="black"/>
              </w:rPr>
              <w:t>'''''''''''''</w:t>
            </w:r>
          </w:p>
        </w:tc>
      </w:tr>
    </w:tbl>
    <w:p w:rsidR="0062517B" w:rsidRPr="002E19FB" w:rsidRDefault="002E19FB" w:rsidP="00F8582E">
      <w:pPr>
        <w:pStyle w:val="TableFooter"/>
        <w:keepNext/>
        <w:keepLines/>
        <w:ind w:left="709"/>
        <w:rPr>
          <w:highlight w:val="black"/>
        </w:rPr>
      </w:pPr>
      <w:r>
        <w:rPr>
          <w:noProof/>
          <w:color w:val="000000"/>
          <w:highlight w:val="black"/>
        </w:rPr>
        <w:t>''''''''''''''''' '''''''''''''''''''''' ''''''''''''''''''''''' '''' ''''''''' '''''''''''''''''''''' '''''''''''''''</w:t>
      </w:r>
    </w:p>
    <w:p w:rsidR="00D110BD" w:rsidRPr="001875EC" w:rsidRDefault="00D110BD" w:rsidP="00D110BD">
      <w:pPr>
        <w:widowControl/>
        <w:rPr>
          <w:szCs w:val="22"/>
        </w:rPr>
      </w:pPr>
    </w:p>
    <w:p w:rsidR="009A0269" w:rsidRPr="00F363CC" w:rsidRDefault="005868F8" w:rsidP="0001306F">
      <w:pPr>
        <w:pStyle w:val="ListParagraph"/>
        <w:widowControl/>
        <w:numPr>
          <w:ilvl w:val="1"/>
          <w:numId w:val="1"/>
        </w:numPr>
        <w:rPr>
          <w:szCs w:val="22"/>
        </w:rPr>
      </w:pPr>
      <w:r w:rsidRPr="00F363CC">
        <w:t>The updated s</w:t>
      </w:r>
      <w:r w:rsidR="006A0A31" w:rsidRPr="00F363CC">
        <w:t>ensitivity analyses</w:t>
      </w:r>
      <w:r w:rsidRPr="00F363CC">
        <w:t xml:space="preserve">, shown </w:t>
      </w:r>
      <w:r w:rsidR="004A23C8">
        <w:t>below at 6.41</w:t>
      </w:r>
      <w:r w:rsidRPr="00F363CC">
        <w:t>,</w:t>
      </w:r>
      <w:r w:rsidR="006A0A31" w:rsidRPr="00F363CC">
        <w:t xml:space="preserve"> indicate that the model is most sensitive to the OS estimates</w:t>
      </w:r>
      <w:r w:rsidR="00C009C9" w:rsidRPr="00F363CC">
        <w:t xml:space="preserve"> - </w:t>
      </w:r>
      <w:r w:rsidR="006A0A31" w:rsidRPr="00F363CC">
        <w:t xml:space="preserve">including whether the OS has been adjusted for cross-over, the methods used to adjust </w:t>
      </w:r>
      <w:r w:rsidR="00C009C9" w:rsidRPr="00F363CC">
        <w:t xml:space="preserve">patient </w:t>
      </w:r>
      <w:r w:rsidR="006A0A31" w:rsidRPr="00F363CC">
        <w:t xml:space="preserve">cross-over and the 95% confidence intervals of the </w:t>
      </w:r>
      <w:r w:rsidR="00650FCF" w:rsidRPr="00F363CC">
        <w:t xml:space="preserve">adjusted </w:t>
      </w:r>
      <w:r w:rsidR="006A0A31" w:rsidRPr="00F363CC">
        <w:t>hazard ratio</w:t>
      </w:r>
      <w:r w:rsidR="00650FCF" w:rsidRPr="00F363CC">
        <w:t>s</w:t>
      </w:r>
      <w:r w:rsidR="00C009C9" w:rsidRPr="00F363CC">
        <w:t xml:space="preserve">. </w:t>
      </w:r>
    </w:p>
    <w:p w:rsidR="008E194C" w:rsidRPr="009A0269" w:rsidRDefault="008E194C" w:rsidP="008E194C">
      <w:pPr>
        <w:pStyle w:val="ListParagraph"/>
        <w:widowControl/>
        <w:ind w:left="742"/>
        <w:rPr>
          <w:szCs w:val="22"/>
        </w:rPr>
      </w:pPr>
    </w:p>
    <w:p w:rsidR="008C1597" w:rsidRPr="00BA4840" w:rsidRDefault="00FD0EFA" w:rsidP="0001306F">
      <w:pPr>
        <w:pStyle w:val="ListParagraph"/>
        <w:widowControl/>
        <w:numPr>
          <w:ilvl w:val="1"/>
          <w:numId w:val="1"/>
        </w:numPr>
        <w:rPr>
          <w:szCs w:val="22"/>
        </w:rPr>
      </w:pPr>
      <w:r w:rsidRPr="001875EC">
        <w:t xml:space="preserve">OS in the BSC arm </w:t>
      </w:r>
      <w:r w:rsidR="00FE2D4C">
        <w:t xml:space="preserve">of the model </w:t>
      </w:r>
      <w:r w:rsidR="00EA69D8">
        <w:t>has been</w:t>
      </w:r>
      <w:r w:rsidR="00FE2D4C">
        <w:t xml:space="preserve"> adjusted </w:t>
      </w:r>
      <w:r w:rsidRPr="001875EC">
        <w:t>for cross</w:t>
      </w:r>
      <w:r>
        <w:t>-</w:t>
      </w:r>
      <w:r w:rsidRPr="001875EC">
        <w:t>over</w:t>
      </w:r>
      <w:r w:rsidRPr="00650FCF">
        <w:t xml:space="preserve"> </w:t>
      </w:r>
      <w:r w:rsidR="00DF6D77">
        <w:t>us</w:t>
      </w:r>
      <w:r>
        <w:t>ing</w:t>
      </w:r>
      <w:r w:rsidR="006A0A31" w:rsidRPr="001875EC">
        <w:t xml:space="preserve"> </w:t>
      </w:r>
      <w:r w:rsidR="008C1597" w:rsidRPr="001875EC">
        <w:t xml:space="preserve">the </w:t>
      </w:r>
      <w:r w:rsidR="006A0A31" w:rsidRPr="001875EC">
        <w:t>RPSFT method</w:t>
      </w:r>
      <w:r>
        <w:t xml:space="preserve">, which </w:t>
      </w:r>
      <w:r w:rsidR="00650FCF">
        <w:t>provides a more favourable estimate than</w:t>
      </w:r>
      <w:r w:rsidR="00650FCF" w:rsidRPr="001875EC">
        <w:t xml:space="preserve"> </w:t>
      </w:r>
      <w:r w:rsidR="00650FCF">
        <w:t>the</w:t>
      </w:r>
      <w:r w:rsidR="00650FCF" w:rsidRPr="001875EC">
        <w:t xml:space="preserve"> IPE method or no adjustment</w:t>
      </w:r>
      <w:r w:rsidR="00EA57FB">
        <w:t xml:space="preserve">. </w:t>
      </w:r>
      <w:r>
        <w:t xml:space="preserve">The </w:t>
      </w:r>
      <w:r w:rsidRPr="00BA4840">
        <w:t>submission did not provide j</w:t>
      </w:r>
      <w:r w:rsidR="006A0A31" w:rsidRPr="00BA4840">
        <w:t xml:space="preserve">ustification </w:t>
      </w:r>
      <w:r w:rsidR="008C1597" w:rsidRPr="00BA4840">
        <w:t xml:space="preserve">for </w:t>
      </w:r>
      <w:r w:rsidRPr="00BA4840">
        <w:t xml:space="preserve">selecting the RPSFT method. </w:t>
      </w:r>
      <w:r w:rsidR="008C1597" w:rsidRPr="00BA4840">
        <w:t>T</w:t>
      </w:r>
      <w:r w:rsidR="006A0A31" w:rsidRPr="00BA4840">
        <w:t xml:space="preserve">he constant treatment effect assumption </w:t>
      </w:r>
      <w:r w:rsidR="00BA4840">
        <w:t>ha</w:t>
      </w:r>
      <w:r w:rsidR="006A0A31" w:rsidRPr="00BA4840">
        <w:t xml:space="preserve">s not been supported. </w:t>
      </w:r>
    </w:p>
    <w:p w:rsidR="00331F15" w:rsidRPr="00F363CC" w:rsidRDefault="00331F15" w:rsidP="00331F15">
      <w:pPr>
        <w:pStyle w:val="ListParagraph"/>
        <w:widowControl/>
        <w:ind w:left="742"/>
        <w:rPr>
          <w:szCs w:val="22"/>
        </w:rPr>
      </w:pPr>
    </w:p>
    <w:p w:rsidR="00331F15" w:rsidRPr="00F363CC" w:rsidRDefault="00331F15" w:rsidP="0001306F">
      <w:pPr>
        <w:pStyle w:val="ListParagraph"/>
        <w:widowControl/>
        <w:numPr>
          <w:ilvl w:val="1"/>
          <w:numId w:val="1"/>
        </w:numPr>
        <w:rPr>
          <w:szCs w:val="22"/>
        </w:rPr>
      </w:pPr>
      <w:r w:rsidRPr="00F363CC">
        <w:rPr>
          <w:szCs w:val="22"/>
        </w:rPr>
        <w:t xml:space="preserve">The ESC considered that the RPSFT method would provide a more reliable estimate of OS than the IPE method in this particular data-set. However, the difference in OS with </w:t>
      </w:r>
      <w:proofErr w:type="spellStart"/>
      <w:r w:rsidRPr="00F363CC">
        <w:rPr>
          <w:szCs w:val="22"/>
        </w:rPr>
        <w:t>sorafenib</w:t>
      </w:r>
      <w:proofErr w:type="spellEnd"/>
      <w:r w:rsidRPr="00F363CC">
        <w:rPr>
          <w:szCs w:val="22"/>
        </w:rPr>
        <w:t xml:space="preserve"> </w:t>
      </w:r>
      <w:r w:rsidR="00FE2D4C" w:rsidRPr="00F363CC">
        <w:rPr>
          <w:szCs w:val="22"/>
        </w:rPr>
        <w:t xml:space="preserve">compared </w:t>
      </w:r>
      <w:r w:rsidR="00AD4106">
        <w:rPr>
          <w:szCs w:val="22"/>
        </w:rPr>
        <w:t>with</w:t>
      </w:r>
      <w:r w:rsidR="00AD4106" w:rsidRPr="00F363CC">
        <w:rPr>
          <w:szCs w:val="22"/>
        </w:rPr>
        <w:t xml:space="preserve"> </w:t>
      </w:r>
      <w:r w:rsidR="00FE2D4C" w:rsidRPr="00F363CC">
        <w:rPr>
          <w:szCs w:val="22"/>
        </w:rPr>
        <w:t xml:space="preserve">BSC </w:t>
      </w:r>
      <w:r w:rsidRPr="00F363CC">
        <w:rPr>
          <w:szCs w:val="22"/>
        </w:rPr>
        <w:t xml:space="preserve">was still difficult to estimate reliably. </w:t>
      </w:r>
    </w:p>
    <w:p w:rsidR="000A2C21" w:rsidRPr="000A2C21" w:rsidRDefault="000A2C21" w:rsidP="000A2C21">
      <w:pPr>
        <w:pStyle w:val="ListParagraph"/>
        <w:widowControl/>
        <w:rPr>
          <w:i/>
          <w:szCs w:val="22"/>
        </w:rPr>
      </w:pPr>
    </w:p>
    <w:p w:rsidR="00331F15" w:rsidRPr="00331F15" w:rsidRDefault="006A0A31" w:rsidP="0001306F">
      <w:pPr>
        <w:pStyle w:val="ListParagraph"/>
        <w:widowControl/>
        <w:numPr>
          <w:ilvl w:val="1"/>
          <w:numId w:val="1"/>
        </w:numPr>
        <w:rPr>
          <w:szCs w:val="22"/>
        </w:rPr>
      </w:pPr>
      <w:r w:rsidRPr="001875EC">
        <w:t xml:space="preserve">The model is also sensitive to the time horizon, duration and the dose intensity of </w:t>
      </w:r>
      <w:proofErr w:type="spellStart"/>
      <w:r w:rsidRPr="001875EC">
        <w:t>sorafenib</w:t>
      </w:r>
      <w:proofErr w:type="spellEnd"/>
      <w:r w:rsidRPr="001875EC">
        <w:t xml:space="preserve"> treatment. </w:t>
      </w:r>
    </w:p>
    <w:p w:rsidR="00331F15" w:rsidRDefault="00331F15" w:rsidP="00331F15">
      <w:pPr>
        <w:pStyle w:val="ListParagraph"/>
        <w:widowControl/>
        <w:ind w:left="742"/>
        <w:rPr>
          <w:szCs w:val="22"/>
        </w:rPr>
      </w:pPr>
    </w:p>
    <w:p w:rsidR="006A0A31" w:rsidRPr="001875EC" w:rsidRDefault="00FD0EFA" w:rsidP="0001306F">
      <w:pPr>
        <w:pStyle w:val="ListParagraph"/>
        <w:widowControl/>
        <w:numPr>
          <w:ilvl w:val="1"/>
          <w:numId w:val="1"/>
        </w:numPr>
        <w:rPr>
          <w:szCs w:val="22"/>
        </w:rPr>
      </w:pPr>
      <w:r>
        <w:lastRenderedPageBreak/>
        <w:t>T</w:t>
      </w:r>
      <w:r w:rsidRPr="001875EC">
        <w:t xml:space="preserve">he </w:t>
      </w:r>
      <w:r>
        <w:t xml:space="preserve">submission’s </w:t>
      </w:r>
      <w:r w:rsidRPr="001875EC">
        <w:t xml:space="preserve">base case </w:t>
      </w:r>
      <w:r>
        <w:t>assumes</w:t>
      </w:r>
      <w:r w:rsidRPr="001875EC">
        <w:t xml:space="preserve"> a continued OS benefit of </w:t>
      </w:r>
      <w:proofErr w:type="spellStart"/>
      <w:r w:rsidRPr="001875EC">
        <w:t>sorafenib</w:t>
      </w:r>
      <w:proofErr w:type="spellEnd"/>
      <w:r w:rsidRPr="001875EC">
        <w:t xml:space="preserve"> over BSC </w:t>
      </w:r>
      <w:r w:rsidR="00F43E6D">
        <w:t>over</w:t>
      </w:r>
      <w:r w:rsidRPr="001875EC">
        <w:t xml:space="preserve"> a 10-year time horizon.  </w:t>
      </w:r>
      <w:r w:rsidR="00305D32">
        <w:t>The ESC considered that this was</w:t>
      </w:r>
      <w:r w:rsidRPr="001875EC">
        <w:t xml:space="preserve"> not reasonable. </w:t>
      </w:r>
      <w:r w:rsidR="008E727D">
        <w:t>T</w:t>
      </w:r>
      <w:r w:rsidR="008E194C" w:rsidRPr="00F43E6D">
        <w:t xml:space="preserve">he </w:t>
      </w:r>
      <w:r w:rsidR="006A0A31" w:rsidRPr="00F43E6D">
        <w:t>model assume</w:t>
      </w:r>
      <w:r w:rsidR="001B4D44" w:rsidRPr="00F43E6D">
        <w:t>s</w:t>
      </w:r>
      <w:r w:rsidR="006A0A31" w:rsidRPr="00F43E6D">
        <w:t xml:space="preserve"> that the hazard ratio for OS (</w:t>
      </w:r>
      <w:proofErr w:type="spellStart"/>
      <w:r w:rsidR="006A0A31" w:rsidRPr="00F43E6D">
        <w:t>sorafenib</w:t>
      </w:r>
      <w:proofErr w:type="spellEnd"/>
      <w:r w:rsidR="006A0A31" w:rsidRPr="00F43E6D">
        <w:t xml:space="preserve"> versus BSC) will be maintained beyond the duration of therapy and throughout the modelled time horizon</w:t>
      </w:r>
      <w:r w:rsidR="008E194C" w:rsidRPr="00F43E6D">
        <w:t xml:space="preserve">. </w:t>
      </w:r>
      <w:r w:rsidR="00331F15" w:rsidRPr="00F43E6D">
        <w:t>The two extrapolated OS curves do not converge until 15 years.</w:t>
      </w:r>
      <w:r w:rsidR="00331F15">
        <w:t xml:space="preserve"> </w:t>
      </w:r>
      <w:r w:rsidR="008E194C">
        <w:t>Therefore</w:t>
      </w:r>
      <w:r w:rsidR="006A0A31" w:rsidRPr="001875EC">
        <w:t xml:space="preserve">, the longer the time horizon (until the two OS curves converge), the more favourable the ICER </w:t>
      </w:r>
      <w:r w:rsidR="001B4D44">
        <w:t xml:space="preserve">is </w:t>
      </w:r>
      <w:r w:rsidR="006A0A31" w:rsidRPr="001875EC">
        <w:t xml:space="preserve">to </w:t>
      </w:r>
      <w:proofErr w:type="spellStart"/>
      <w:r w:rsidR="008E194C">
        <w:t>s</w:t>
      </w:r>
      <w:r w:rsidR="006A0A31" w:rsidRPr="001875EC">
        <w:t>orafenib</w:t>
      </w:r>
      <w:proofErr w:type="spellEnd"/>
      <w:r w:rsidR="006A0A31" w:rsidRPr="001875EC">
        <w:t xml:space="preserve">.  </w:t>
      </w:r>
      <w:r w:rsidR="008E727D">
        <w:t>Further, t</w:t>
      </w:r>
      <w:r w:rsidR="008E727D" w:rsidRPr="001875EC">
        <w:t xml:space="preserve">he </w:t>
      </w:r>
      <w:r w:rsidR="008E727D">
        <w:t>submission</w:t>
      </w:r>
      <w:r w:rsidR="008E727D" w:rsidRPr="001875EC">
        <w:t xml:space="preserve"> has</w:t>
      </w:r>
      <w:r w:rsidR="008E727D">
        <w:t xml:space="preserve"> not</w:t>
      </w:r>
      <w:r w:rsidR="008E727D" w:rsidRPr="001875EC">
        <w:t xml:space="preserve"> </w:t>
      </w:r>
      <w:r w:rsidR="008E727D">
        <w:t xml:space="preserve">justified its use of </w:t>
      </w:r>
      <w:r w:rsidR="008E727D" w:rsidRPr="001875EC">
        <w:t xml:space="preserve">a 10-year </w:t>
      </w:r>
      <w:r w:rsidR="008E727D" w:rsidRPr="00F43E6D">
        <w:t>time horizon.</w:t>
      </w:r>
    </w:p>
    <w:p w:rsidR="00FE17B7" w:rsidRPr="001875EC" w:rsidRDefault="00FE17B7" w:rsidP="00015702">
      <w:pPr>
        <w:rPr>
          <w:rStyle w:val="CommentReference"/>
          <w:b w:val="0"/>
        </w:rPr>
      </w:pPr>
    </w:p>
    <w:p w:rsidR="00752591" w:rsidRPr="007908FB" w:rsidRDefault="00752591" w:rsidP="0001306F">
      <w:pPr>
        <w:pStyle w:val="ListParagraph"/>
        <w:widowControl/>
        <w:numPr>
          <w:ilvl w:val="1"/>
          <w:numId w:val="1"/>
        </w:numPr>
      </w:pPr>
      <w:r w:rsidRPr="007908FB">
        <w:t xml:space="preserve">The PSCR argues that the 10-year horizon is appropriate because median survival was not reached in either arm of the DECISION trial at 3 years, and the model predicts that approximately 5% of </w:t>
      </w:r>
      <w:proofErr w:type="spellStart"/>
      <w:r w:rsidRPr="007908FB">
        <w:t>sorafenib</w:t>
      </w:r>
      <w:proofErr w:type="spellEnd"/>
      <w:r w:rsidRPr="007908FB">
        <w:t xml:space="preserve"> patients are still alive at ten years.</w:t>
      </w:r>
    </w:p>
    <w:p w:rsidR="00752591" w:rsidRPr="007908FB" w:rsidRDefault="00752591" w:rsidP="00752591">
      <w:pPr>
        <w:pStyle w:val="ListParagraph"/>
        <w:widowControl/>
        <w:ind w:left="742"/>
      </w:pPr>
    </w:p>
    <w:p w:rsidR="00F5437E" w:rsidRPr="007908FB" w:rsidRDefault="00752591" w:rsidP="0001306F">
      <w:pPr>
        <w:pStyle w:val="ListParagraph"/>
        <w:widowControl/>
        <w:numPr>
          <w:ilvl w:val="1"/>
          <w:numId w:val="1"/>
        </w:numPr>
        <w:rPr>
          <w:szCs w:val="22"/>
        </w:rPr>
      </w:pPr>
      <w:r w:rsidRPr="007908FB">
        <w:t xml:space="preserve">The ESC </w:t>
      </w:r>
      <w:r w:rsidR="00CA6469" w:rsidRPr="007908FB">
        <w:t xml:space="preserve">agreed with the commentary and </w:t>
      </w:r>
      <w:r w:rsidRPr="007908FB">
        <w:t xml:space="preserve">considered that the assumption that 5% of </w:t>
      </w:r>
      <w:proofErr w:type="spellStart"/>
      <w:r w:rsidRPr="007908FB">
        <w:t>sorafenib</w:t>
      </w:r>
      <w:proofErr w:type="spellEnd"/>
      <w:r w:rsidRPr="007908FB">
        <w:t xml:space="preserve"> patients are still alive at ten years</w:t>
      </w:r>
      <w:r w:rsidRPr="007908FB" w:rsidDel="00EA57FB">
        <w:t xml:space="preserve"> </w:t>
      </w:r>
      <w:r w:rsidRPr="007908FB">
        <w:t xml:space="preserve">was based on </w:t>
      </w:r>
      <w:r w:rsidR="007B5B0C" w:rsidRPr="007908FB">
        <w:t xml:space="preserve">highly favourable assumptions regarding the treatment effect of </w:t>
      </w:r>
      <w:proofErr w:type="spellStart"/>
      <w:r w:rsidR="007B5B0C" w:rsidRPr="007908FB">
        <w:t>sorafenib</w:t>
      </w:r>
      <w:proofErr w:type="spellEnd"/>
      <w:r w:rsidR="007B5B0C" w:rsidRPr="007908FB">
        <w:t xml:space="preserve">. </w:t>
      </w:r>
      <w:r w:rsidR="00331F15" w:rsidRPr="007908FB">
        <w:t xml:space="preserve">Further, the ESC noted that </w:t>
      </w:r>
      <w:r w:rsidR="004966F2" w:rsidRPr="007908FB">
        <w:rPr>
          <w:szCs w:val="22"/>
        </w:rPr>
        <w:t>the extrapolation of OS was b</w:t>
      </w:r>
      <w:r w:rsidR="001B4D44" w:rsidRPr="007908FB">
        <w:rPr>
          <w:szCs w:val="22"/>
        </w:rPr>
        <w:t xml:space="preserve">ased on small </w:t>
      </w:r>
      <w:r w:rsidR="00FE2D4C" w:rsidRPr="007908FB">
        <w:rPr>
          <w:szCs w:val="22"/>
        </w:rPr>
        <w:t xml:space="preserve">numbers of </w:t>
      </w:r>
      <w:r w:rsidR="001B4D44" w:rsidRPr="007908FB">
        <w:rPr>
          <w:szCs w:val="22"/>
        </w:rPr>
        <w:t>patients</w:t>
      </w:r>
      <w:r w:rsidR="004966F2" w:rsidRPr="007908FB">
        <w:rPr>
          <w:szCs w:val="22"/>
        </w:rPr>
        <w:t xml:space="preserve">. </w:t>
      </w:r>
    </w:p>
    <w:p w:rsidR="00F5437E" w:rsidRPr="007908FB" w:rsidRDefault="00F5437E" w:rsidP="00F5437E">
      <w:pPr>
        <w:pStyle w:val="ListParagraph"/>
        <w:ind w:left="709"/>
        <w:rPr>
          <w:szCs w:val="22"/>
        </w:rPr>
      </w:pPr>
    </w:p>
    <w:p w:rsidR="00752591" w:rsidRPr="007908FB" w:rsidRDefault="00F5437E" w:rsidP="0001306F">
      <w:pPr>
        <w:pStyle w:val="ListParagraph"/>
        <w:widowControl/>
        <w:numPr>
          <w:ilvl w:val="1"/>
          <w:numId w:val="1"/>
        </w:numPr>
        <w:rPr>
          <w:szCs w:val="22"/>
        </w:rPr>
      </w:pPr>
      <w:r w:rsidRPr="007908FB">
        <w:rPr>
          <w:szCs w:val="22"/>
        </w:rPr>
        <w:t xml:space="preserve">The ESC agreed with the commentary that </w:t>
      </w:r>
      <w:r w:rsidR="008E727D" w:rsidRPr="007908FB">
        <w:t>the assumption of a continued treatment effect beyond the duration of therapy seemed implausible. The ESC noted that the model structure does not allow testing of alternative assumptions regarding the convergence of the OS curves. Further,</w:t>
      </w:r>
      <w:r w:rsidR="008E727D" w:rsidRPr="007908FB">
        <w:rPr>
          <w:szCs w:val="22"/>
        </w:rPr>
        <w:t xml:space="preserve"> </w:t>
      </w:r>
      <w:r w:rsidRPr="007908FB">
        <w:rPr>
          <w:szCs w:val="22"/>
        </w:rPr>
        <w:t xml:space="preserve">the </w:t>
      </w:r>
      <w:r w:rsidR="008E727D" w:rsidRPr="007908FB">
        <w:rPr>
          <w:szCs w:val="22"/>
        </w:rPr>
        <w:t xml:space="preserve">ESC agreed with the commentary that the </w:t>
      </w:r>
      <w:r w:rsidRPr="007908FB">
        <w:rPr>
          <w:szCs w:val="22"/>
        </w:rPr>
        <w:t>10</w:t>
      </w:r>
      <w:r w:rsidR="008E727D" w:rsidRPr="007908FB">
        <w:rPr>
          <w:szCs w:val="22"/>
        </w:rPr>
        <w:noBreakHyphen/>
      </w:r>
      <w:r w:rsidRPr="007908FB">
        <w:rPr>
          <w:szCs w:val="22"/>
        </w:rPr>
        <w:t xml:space="preserve">year time horizon used in the model </w:t>
      </w:r>
      <w:r w:rsidR="008E727D" w:rsidRPr="007908FB">
        <w:rPr>
          <w:szCs w:val="22"/>
        </w:rPr>
        <w:t>seems</w:t>
      </w:r>
      <w:r w:rsidRPr="007908FB">
        <w:rPr>
          <w:szCs w:val="22"/>
        </w:rPr>
        <w:t xml:space="preserve"> </w:t>
      </w:r>
      <w:r w:rsidR="00752591" w:rsidRPr="007908FB">
        <w:rPr>
          <w:szCs w:val="22"/>
        </w:rPr>
        <w:t>implausible</w:t>
      </w:r>
      <w:r w:rsidR="00F43E6D" w:rsidRPr="007908FB">
        <w:rPr>
          <w:szCs w:val="22"/>
        </w:rPr>
        <w:t xml:space="preserve">, and that </w:t>
      </w:r>
      <w:r w:rsidR="004966F2" w:rsidRPr="007908FB">
        <w:rPr>
          <w:szCs w:val="22"/>
        </w:rPr>
        <w:t>a 5-year time h</w:t>
      </w:r>
      <w:r w:rsidRPr="007908FB">
        <w:rPr>
          <w:szCs w:val="22"/>
        </w:rPr>
        <w:t>orizon would be more rea</w:t>
      </w:r>
      <w:r w:rsidR="008E727D" w:rsidRPr="007908FB">
        <w:rPr>
          <w:szCs w:val="22"/>
        </w:rPr>
        <w:t>listic</w:t>
      </w:r>
      <w:r w:rsidR="004966F2" w:rsidRPr="007908FB">
        <w:rPr>
          <w:szCs w:val="22"/>
        </w:rPr>
        <w:t xml:space="preserve">. </w:t>
      </w:r>
      <w:r w:rsidR="00F43E6D" w:rsidRPr="007908FB">
        <w:rPr>
          <w:szCs w:val="22"/>
        </w:rPr>
        <w:t>The ESC noted that</w:t>
      </w:r>
      <w:r w:rsidR="00FD5B21" w:rsidRPr="007908FB">
        <w:rPr>
          <w:szCs w:val="22"/>
        </w:rPr>
        <w:t xml:space="preserve"> a 5-year time horizon</w:t>
      </w:r>
      <w:r w:rsidR="00F43E6D" w:rsidRPr="007908FB">
        <w:rPr>
          <w:szCs w:val="22"/>
        </w:rPr>
        <w:t xml:space="preserve"> i</w:t>
      </w:r>
      <w:r w:rsidR="007568EB">
        <w:t xml:space="preserve">ncreases the ICER to </w:t>
      </w:r>
      <w:r w:rsidR="00F43E6D" w:rsidRPr="007908FB">
        <w:t>$</w:t>
      </w:r>
      <w:r w:rsidR="007568EB">
        <w:t>105,000/QALY - $200,000/QALY</w:t>
      </w:r>
      <w:r w:rsidR="00F43E6D" w:rsidRPr="007908FB">
        <w:t>.</w:t>
      </w:r>
      <w:r w:rsidR="00752591" w:rsidRPr="007908FB">
        <w:t xml:space="preserve"> </w:t>
      </w:r>
    </w:p>
    <w:p w:rsidR="00AA5030" w:rsidRDefault="00AA5030" w:rsidP="00AA5030">
      <w:pPr>
        <w:pStyle w:val="ListParagraph"/>
        <w:widowControl/>
        <w:ind w:left="742"/>
        <w:rPr>
          <w:i/>
          <w:szCs w:val="22"/>
        </w:rPr>
      </w:pPr>
    </w:p>
    <w:p w:rsidR="00AA5030" w:rsidRPr="007908FB" w:rsidRDefault="00AA5030" w:rsidP="00F30717">
      <w:pPr>
        <w:pStyle w:val="ListParagraph"/>
        <w:widowControl/>
        <w:numPr>
          <w:ilvl w:val="1"/>
          <w:numId w:val="1"/>
        </w:numPr>
        <w:rPr>
          <w:szCs w:val="22"/>
        </w:rPr>
      </w:pPr>
      <w:r w:rsidRPr="007908FB">
        <w:rPr>
          <w:szCs w:val="22"/>
        </w:rPr>
        <w:t xml:space="preserve">The DECISION trial allowed continued use of </w:t>
      </w:r>
      <w:proofErr w:type="spellStart"/>
      <w:r w:rsidRPr="007908FB">
        <w:rPr>
          <w:szCs w:val="22"/>
        </w:rPr>
        <w:t>sorafenib</w:t>
      </w:r>
      <w:proofErr w:type="spellEnd"/>
      <w:r w:rsidRPr="007908FB">
        <w:rPr>
          <w:szCs w:val="22"/>
        </w:rPr>
        <w:t xml:space="preserve"> </w:t>
      </w:r>
      <w:r w:rsidRPr="007908FB">
        <w:rPr>
          <w:szCs w:val="22"/>
          <w:u w:val="single"/>
        </w:rPr>
        <w:t>post-progression</w:t>
      </w:r>
      <w:r w:rsidRPr="007908FB">
        <w:rPr>
          <w:szCs w:val="22"/>
        </w:rPr>
        <w:t xml:space="preserve"> in patients in the </w:t>
      </w:r>
      <w:proofErr w:type="spellStart"/>
      <w:r w:rsidRPr="007908FB">
        <w:rPr>
          <w:szCs w:val="22"/>
        </w:rPr>
        <w:t>sorafenib</w:t>
      </w:r>
      <w:proofErr w:type="spellEnd"/>
      <w:r w:rsidRPr="007908FB">
        <w:rPr>
          <w:szCs w:val="22"/>
        </w:rPr>
        <w:t xml:space="preserve"> arm, and the trial’s estimate of OS reflects this use. However, the costs of </w:t>
      </w:r>
      <w:proofErr w:type="spellStart"/>
      <w:r w:rsidRPr="007908FB">
        <w:rPr>
          <w:szCs w:val="22"/>
        </w:rPr>
        <w:t>sorafenib</w:t>
      </w:r>
      <w:proofErr w:type="spellEnd"/>
      <w:r w:rsidRPr="007908FB">
        <w:rPr>
          <w:szCs w:val="22"/>
        </w:rPr>
        <w:t xml:space="preserve"> use post-progression have not been included in the model. Therefore the revised base case is still inconsistent with the trial and/or clinical practice: </w:t>
      </w:r>
    </w:p>
    <w:p w:rsidR="00AA5030" w:rsidRPr="007908FB" w:rsidRDefault="00AA5030" w:rsidP="00AA5030">
      <w:pPr>
        <w:pStyle w:val="ListParagraph"/>
        <w:widowControl/>
        <w:numPr>
          <w:ilvl w:val="0"/>
          <w:numId w:val="7"/>
        </w:numPr>
        <w:rPr>
          <w:szCs w:val="22"/>
        </w:rPr>
      </w:pPr>
      <w:r w:rsidRPr="007908FB">
        <w:t xml:space="preserve">the OS with </w:t>
      </w:r>
      <w:proofErr w:type="spellStart"/>
      <w:r w:rsidRPr="007908FB">
        <w:t>sorafenib</w:t>
      </w:r>
      <w:proofErr w:type="spellEnd"/>
      <w:r w:rsidRPr="007908FB">
        <w:t xml:space="preserve"> may be lower in clinical practice if </w:t>
      </w:r>
      <w:r w:rsidR="00044CF6">
        <w:rPr>
          <w:szCs w:val="22"/>
        </w:rPr>
        <w:t>listing was based on</w:t>
      </w:r>
      <w:r w:rsidRPr="007908FB">
        <w:rPr>
          <w:szCs w:val="22"/>
        </w:rPr>
        <w:t xml:space="preserve"> use of </w:t>
      </w:r>
      <w:proofErr w:type="spellStart"/>
      <w:r w:rsidRPr="007908FB">
        <w:rPr>
          <w:szCs w:val="22"/>
        </w:rPr>
        <w:t>sorafenib</w:t>
      </w:r>
      <w:proofErr w:type="spellEnd"/>
      <w:r w:rsidRPr="007908FB">
        <w:rPr>
          <w:szCs w:val="22"/>
        </w:rPr>
        <w:t xml:space="preserve"> until disease progression only; alternatively </w:t>
      </w:r>
    </w:p>
    <w:p w:rsidR="00AA5030" w:rsidRPr="007908FB" w:rsidRDefault="00044CF6" w:rsidP="00AA5030">
      <w:pPr>
        <w:pStyle w:val="ListParagraph"/>
        <w:widowControl/>
        <w:numPr>
          <w:ilvl w:val="0"/>
          <w:numId w:val="7"/>
        </w:numPr>
        <w:rPr>
          <w:szCs w:val="22"/>
        </w:rPr>
      </w:pPr>
      <w:proofErr w:type="gramStart"/>
      <w:r>
        <w:rPr>
          <w:szCs w:val="22"/>
        </w:rPr>
        <w:t>if</w:t>
      </w:r>
      <w:proofErr w:type="gramEnd"/>
      <w:r>
        <w:rPr>
          <w:szCs w:val="22"/>
        </w:rPr>
        <w:t xml:space="preserve"> listing</w:t>
      </w:r>
      <w:r w:rsidR="00AA5030" w:rsidRPr="007908FB">
        <w:rPr>
          <w:szCs w:val="22"/>
        </w:rPr>
        <w:t xml:space="preserve"> allow</w:t>
      </w:r>
      <w:r>
        <w:rPr>
          <w:szCs w:val="22"/>
        </w:rPr>
        <w:t>ed</w:t>
      </w:r>
      <w:r w:rsidR="00AA5030" w:rsidRPr="007908FB">
        <w:rPr>
          <w:szCs w:val="22"/>
        </w:rPr>
        <w:t xml:space="preserve"> use of </w:t>
      </w:r>
      <w:proofErr w:type="spellStart"/>
      <w:r w:rsidR="00AA5030" w:rsidRPr="007908FB">
        <w:rPr>
          <w:szCs w:val="22"/>
        </w:rPr>
        <w:t>sorafenib</w:t>
      </w:r>
      <w:proofErr w:type="spellEnd"/>
      <w:r w:rsidR="00AA5030" w:rsidRPr="007908FB">
        <w:rPr>
          <w:szCs w:val="22"/>
        </w:rPr>
        <w:t xml:space="preserve"> post-progression, the costs of </w:t>
      </w:r>
      <w:proofErr w:type="spellStart"/>
      <w:r w:rsidR="00AA5030" w:rsidRPr="007908FB">
        <w:rPr>
          <w:szCs w:val="22"/>
        </w:rPr>
        <w:t>sorafenib</w:t>
      </w:r>
      <w:proofErr w:type="spellEnd"/>
      <w:r w:rsidR="00AA5030" w:rsidRPr="007908FB">
        <w:rPr>
          <w:szCs w:val="22"/>
        </w:rPr>
        <w:t xml:space="preserve"> use post-progression should be included in the model. </w:t>
      </w:r>
    </w:p>
    <w:p w:rsidR="00AA5030" w:rsidRPr="007908FB" w:rsidRDefault="00AA5030" w:rsidP="00AA5030">
      <w:pPr>
        <w:pStyle w:val="ListParagraph"/>
        <w:widowControl/>
        <w:ind w:left="1069"/>
        <w:rPr>
          <w:szCs w:val="22"/>
        </w:rPr>
      </w:pPr>
    </w:p>
    <w:p w:rsidR="00AA5030" w:rsidRPr="007908FB" w:rsidRDefault="00AA5030" w:rsidP="00F30717">
      <w:pPr>
        <w:pStyle w:val="ListParagraph"/>
        <w:widowControl/>
        <w:numPr>
          <w:ilvl w:val="1"/>
          <w:numId w:val="1"/>
        </w:numPr>
        <w:rPr>
          <w:szCs w:val="22"/>
        </w:rPr>
      </w:pPr>
      <w:r w:rsidRPr="007908FB">
        <w:rPr>
          <w:szCs w:val="22"/>
        </w:rPr>
        <w:t xml:space="preserve">The ESC noted that: </w:t>
      </w:r>
    </w:p>
    <w:p w:rsidR="00AA5030" w:rsidRPr="007908FB" w:rsidRDefault="00AA5030" w:rsidP="00AA5030">
      <w:pPr>
        <w:pStyle w:val="ListParagraph"/>
        <w:widowControl/>
        <w:numPr>
          <w:ilvl w:val="0"/>
          <w:numId w:val="7"/>
        </w:numPr>
        <w:rPr>
          <w:szCs w:val="22"/>
        </w:rPr>
      </w:pPr>
      <w:r w:rsidRPr="007908FB">
        <w:rPr>
          <w:szCs w:val="22"/>
        </w:rPr>
        <w:t xml:space="preserve">the estimation of treatment emergent adverse event rates were not able to be validated during evaluation, and the methodology used was unclear in the submission; and </w:t>
      </w:r>
    </w:p>
    <w:p w:rsidR="00AA5030" w:rsidRPr="007908FB" w:rsidRDefault="00AA5030" w:rsidP="00AA5030">
      <w:pPr>
        <w:pStyle w:val="ListParagraph"/>
        <w:widowControl/>
        <w:numPr>
          <w:ilvl w:val="0"/>
          <w:numId w:val="7"/>
        </w:numPr>
        <w:rPr>
          <w:szCs w:val="22"/>
        </w:rPr>
      </w:pPr>
      <w:proofErr w:type="gramStart"/>
      <w:r w:rsidRPr="007908FB">
        <w:rPr>
          <w:szCs w:val="22"/>
        </w:rPr>
        <w:t>the</w:t>
      </w:r>
      <w:proofErr w:type="gramEnd"/>
      <w:r w:rsidRPr="007908FB">
        <w:rPr>
          <w:szCs w:val="22"/>
        </w:rPr>
        <w:t xml:space="preserve"> estimates of resource use for managing treatment-emergent adverse events may have been underestimated in the submission because Grade 3 or 4 adverse events are likely to require at least one specialist visit and some may need to be managed in an inpatient setting. </w:t>
      </w:r>
    </w:p>
    <w:p w:rsidR="00AA5030" w:rsidRPr="007908FB" w:rsidRDefault="00AA5030" w:rsidP="00AA5030">
      <w:pPr>
        <w:widowControl/>
        <w:ind w:left="709"/>
        <w:rPr>
          <w:szCs w:val="22"/>
        </w:rPr>
      </w:pPr>
      <w:r w:rsidRPr="007908FB">
        <w:rPr>
          <w:szCs w:val="22"/>
        </w:rPr>
        <w:t xml:space="preserve">However, the ESC considered that this would not have a significant impact on the ICER given the adverse event probabilities that were used in the model. </w:t>
      </w:r>
    </w:p>
    <w:p w:rsidR="004966F2" w:rsidRPr="00AA5030" w:rsidRDefault="004966F2" w:rsidP="00AA5030">
      <w:pPr>
        <w:rPr>
          <w:szCs w:val="22"/>
        </w:rPr>
      </w:pPr>
    </w:p>
    <w:p w:rsidR="004966F2" w:rsidRPr="007908FB" w:rsidRDefault="004966F2" w:rsidP="00F30717">
      <w:pPr>
        <w:pStyle w:val="ListParagraph"/>
        <w:widowControl/>
        <w:numPr>
          <w:ilvl w:val="1"/>
          <w:numId w:val="1"/>
        </w:numPr>
        <w:rPr>
          <w:szCs w:val="22"/>
        </w:rPr>
      </w:pPr>
      <w:r w:rsidRPr="007908FB">
        <w:rPr>
          <w:szCs w:val="22"/>
        </w:rPr>
        <w:t xml:space="preserve">The </w:t>
      </w:r>
      <w:r w:rsidR="00FD5B21" w:rsidRPr="007908FB">
        <w:rPr>
          <w:szCs w:val="22"/>
        </w:rPr>
        <w:t>utility value used in the model for the ‘</w:t>
      </w:r>
      <w:r w:rsidRPr="007908FB">
        <w:rPr>
          <w:szCs w:val="22"/>
        </w:rPr>
        <w:t>post-progression</w:t>
      </w:r>
      <w:r w:rsidR="00FD5B21" w:rsidRPr="007908FB">
        <w:rPr>
          <w:szCs w:val="22"/>
        </w:rPr>
        <w:t xml:space="preserve">’ health state </w:t>
      </w:r>
      <w:r w:rsidRPr="007908FB">
        <w:rPr>
          <w:szCs w:val="22"/>
        </w:rPr>
        <w:t xml:space="preserve">may bias results against BSC. The utility value used for this health state </w:t>
      </w:r>
      <w:r w:rsidR="002E19FB">
        <w:rPr>
          <w:noProof/>
          <w:color w:val="000000"/>
          <w:szCs w:val="22"/>
          <w:highlight w:val="black"/>
        </w:rPr>
        <w:t>''''''''''''''</w:t>
      </w:r>
      <w:r w:rsidR="00F8181F" w:rsidRPr="007908FB">
        <w:rPr>
          <w:szCs w:val="22"/>
        </w:rPr>
        <w:t xml:space="preserve"> </w:t>
      </w:r>
      <w:r w:rsidRPr="007908FB">
        <w:rPr>
          <w:szCs w:val="22"/>
        </w:rPr>
        <w:t>was based on a weighted average end</w:t>
      </w:r>
      <w:r w:rsidRPr="007908FB">
        <w:rPr>
          <w:szCs w:val="22"/>
        </w:rPr>
        <w:noBreakHyphen/>
        <w:t>of</w:t>
      </w:r>
      <w:r w:rsidRPr="007908FB">
        <w:rPr>
          <w:szCs w:val="22"/>
        </w:rPr>
        <w:noBreakHyphen/>
        <w:t>treatment index score.</w:t>
      </w:r>
      <w:r w:rsidR="00F43E6D" w:rsidRPr="007908FB">
        <w:rPr>
          <w:szCs w:val="22"/>
        </w:rPr>
        <w:t xml:space="preserve"> This may not have been appropriate because:</w:t>
      </w:r>
    </w:p>
    <w:p w:rsidR="004966F2" w:rsidRPr="007908FB" w:rsidRDefault="00F43E6D" w:rsidP="00F82597">
      <w:pPr>
        <w:pStyle w:val="ListParagraph"/>
        <w:widowControl/>
        <w:numPr>
          <w:ilvl w:val="0"/>
          <w:numId w:val="7"/>
        </w:numPr>
        <w:rPr>
          <w:szCs w:val="22"/>
        </w:rPr>
      </w:pPr>
      <w:r w:rsidRPr="007908FB">
        <w:rPr>
          <w:szCs w:val="22"/>
        </w:rPr>
        <w:t>it</w:t>
      </w:r>
      <w:r w:rsidR="004966F2" w:rsidRPr="007908FB">
        <w:rPr>
          <w:szCs w:val="22"/>
        </w:rPr>
        <w:t xml:space="preserve"> was based on </w:t>
      </w:r>
      <w:r w:rsidRPr="007908FB">
        <w:rPr>
          <w:szCs w:val="22"/>
        </w:rPr>
        <w:t xml:space="preserve">the </w:t>
      </w:r>
      <w:r w:rsidR="004966F2" w:rsidRPr="007908FB">
        <w:rPr>
          <w:szCs w:val="22"/>
        </w:rPr>
        <w:t xml:space="preserve">small </w:t>
      </w:r>
      <w:r w:rsidRPr="007908FB">
        <w:rPr>
          <w:szCs w:val="22"/>
        </w:rPr>
        <w:t xml:space="preserve">number of </w:t>
      </w:r>
      <w:r w:rsidR="004966F2" w:rsidRPr="007908FB">
        <w:rPr>
          <w:szCs w:val="22"/>
        </w:rPr>
        <w:t>patient</w:t>
      </w:r>
      <w:r w:rsidRPr="007908FB">
        <w:rPr>
          <w:szCs w:val="22"/>
        </w:rPr>
        <w:t>s who</w:t>
      </w:r>
      <w:r w:rsidR="004966F2" w:rsidRPr="007908FB">
        <w:rPr>
          <w:szCs w:val="22"/>
        </w:rPr>
        <w:t xml:space="preserve"> remain</w:t>
      </w:r>
      <w:r w:rsidRPr="007908FB">
        <w:rPr>
          <w:szCs w:val="22"/>
        </w:rPr>
        <w:t>ed</w:t>
      </w:r>
      <w:r w:rsidR="004966F2" w:rsidRPr="007908FB">
        <w:rPr>
          <w:szCs w:val="22"/>
        </w:rPr>
        <w:t xml:space="preserve"> in the EQ-5D study, particularly in the placebo arm (</w:t>
      </w:r>
      <w:r w:rsidR="002E19FB">
        <w:rPr>
          <w:noProof/>
          <w:color w:val="000000"/>
          <w:szCs w:val="22"/>
          <w:highlight w:val="black"/>
        </w:rPr>
        <w:t>'''</w:t>
      </w:r>
      <w:r w:rsidR="004966F2" w:rsidRPr="007908FB">
        <w:rPr>
          <w:szCs w:val="22"/>
        </w:rPr>
        <w:t xml:space="preserve"> patients, compared </w:t>
      </w:r>
      <w:r w:rsidR="00AD4106">
        <w:rPr>
          <w:szCs w:val="22"/>
        </w:rPr>
        <w:t>with</w:t>
      </w:r>
      <w:r w:rsidR="00AD4106" w:rsidRPr="007908FB">
        <w:rPr>
          <w:szCs w:val="22"/>
        </w:rPr>
        <w:t xml:space="preserve"> </w:t>
      </w:r>
      <w:r w:rsidR="002E19FB">
        <w:rPr>
          <w:noProof/>
          <w:color w:val="000000"/>
          <w:szCs w:val="22"/>
          <w:highlight w:val="black"/>
        </w:rPr>
        <w:t>''''''</w:t>
      </w:r>
      <w:r w:rsidR="004966F2" w:rsidRPr="007908FB">
        <w:rPr>
          <w:szCs w:val="22"/>
        </w:rPr>
        <w:t xml:space="preserve"> patients </w:t>
      </w:r>
      <w:r w:rsidRPr="007908FB">
        <w:rPr>
          <w:szCs w:val="22"/>
        </w:rPr>
        <w:t xml:space="preserve">remaining </w:t>
      </w:r>
      <w:r w:rsidR="004966F2" w:rsidRPr="007908FB">
        <w:rPr>
          <w:szCs w:val="22"/>
        </w:rPr>
        <w:t xml:space="preserve">in the </w:t>
      </w:r>
      <w:proofErr w:type="spellStart"/>
      <w:r w:rsidR="004966F2" w:rsidRPr="007908FB">
        <w:rPr>
          <w:szCs w:val="22"/>
        </w:rPr>
        <w:t>sorafenib</w:t>
      </w:r>
      <w:proofErr w:type="spellEnd"/>
      <w:r w:rsidR="004966F2" w:rsidRPr="007908FB">
        <w:rPr>
          <w:szCs w:val="22"/>
        </w:rPr>
        <w:t xml:space="preserve"> arm);  </w:t>
      </w:r>
    </w:p>
    <w:p w:rsidR="00F43E6D" w:rsidRPr="007908FB" w:rsidRDefault="004966F2" w:rsidP="00F82597">
      <w:pPr>
        <w:pStyle w:val="ListParagraph"/>
        <w:widowControl/>
        <w:numPr>
          <w:ilvl w:val="0"/>
          <w:numId w:val="7"/>
        </w:numPr>
        <w:rPr>
          <w:szCs w:val="22"/>
        </w:rPr>
      </w:pPr>
      <w:r w:rsidRPr="007908FB">
        <w:rPr>
          <w:szCs w:val="22"/>
        </w:rPr>
        <w:lastRenderedPageBreak/>
        <w:t xml:space="preserve">the end-of-treatment utility value was markedly lower in the </w:t>
      </w:r>
      <w:proofErr w:type="spellStart"/>
      <w:r w:rsidRPr="007908FB">
        <w:rPr>
          <w:szCs w:val="22"/>
        </w:rPr>
        <w:t>sorafenib</w:t>
      </w:r>
      <w:proofErr w:type="spellEnd"/>
      <w:r w:rsidRPr="007908FB">
        <w:rPr>
          <w:szCs w:val="22"/>
        </w:rPr>
        <w:t xml:space="preserve"> arm (</w:t>
      </w:r>
      <w:r w:rsidR="002E19FB">
        <w:rPr>
          <w:noProof/>
          <w:color w:val="000000"/>
          <w:szCs w:val="22"/>
          <w:highlight w:val="black"/>
        </w:rPr>
        <w:t>''''''''''</w:t>
      </w:r>
      <w:r w:rsidRPr="007908FB">
        <w:rPr>
          <w:szCs w:val="22"/>
        </w:rPr>
        <w:t xml:space="preserve">, compared </w:t>
      </w:r>
      <w:r w:rsidR="00AD4106">
        <w:rPr>
          <w:szCs w:val="22"/>
        </w:rPr>
        <w:t>with</w:t>
      </w:r>
      <w:r w:rsidR="00AD4106" w:rsidRPr="007908FB">
        <w:rPr>
          <w:szCs w:val="22"/>
        </w:rPr>
        <w:t xml:space="preserve"> </w:t>
      </w:r>
      <w:r w:rsidR="002E19FB">
        <w:rPr>
          <w:noProof/>
          <w:color w:val="000000"/>
          <w:szCs w:val="22"/>
          <w:highlight w:val="black"/>
        </w:rPr>
        <w:t>''''''''''</w:t>
      </w:r>
      <w:r w:rsidRPr="007908FB">
        <w:rPr>
          <w:szCs w:val="22"/>
        </w:rPr>
        <w:t xml:space="preserve"> in BSC arm); and</w:t>
      </w:r>
    </w:p>
    <w:p w:rsidR="004966F2" w:rsidRPr="007908FB" w:rsidRDefault="004966F2" w:rsidP="00F82597">
      <w:pPr>
        <w:pStyle w:val="ListParagraph"/>
        <w:widowControl/>
        <w:numPr>
          <w:ilvl w:val="0"/>
          <w:numId w:val="7"/>
        </w:numPr>
        <w:rPr>
          <w:szCs w:val="22"/>
        </w:rPr>
      </w:pPr>
      <w:proofErr w:type="gramStart"/>
      <w:r w:rsidRPr="007908FB">
        <w:rPr>
          <w:szCs w:val="22"/>
        </w:rPr>
        <w:t>the</w:t>
      </w:r>
      <w:proofErr w:type="gramEnd"/>
      <w:r w:rsidRPr="007908FB">
        <w:rPr>
          <w:szCs w:val="22"/>
        </w:rPr>
        <w:t xml:space="preserve"> trial allowed post-progression use of </w:t>
      </w:r>
      <w:proofErr w:type="spellStart"/>
      <w:r w:rsidRPr="007908FB">
        <w:rPr>
          <w:szCs w:val="22"/>
        </w:rPr>
        <w:t>sorafenib</w:t>
      </w:r>
      <w:proofErr w:type="spellEnd"/>
      <w:r w:rsidRPr="007908FB">
        <w:rPr>
          <w:szCs w:val="22"/>
        </w:rPr>
        <w:t xml:space="preserve">. The post-progression utility </w:t>
      </w:r>
      <w:r w:rsidR="00F8181F" w:rsidRPr="007908FB">
        <w:rPr>
          <w:szCs w:val="22"/>
        </w:rPr>
        <w:t>value may</w:t>
      </w:r>
      <w:r w:rsidRPr="007908FB">
        <w:rPr>
          <w:szCs w:val="22"/>
        </w:rPr>
        <w:t xml:space="preserve"> not account for the disutility of </w:t>
      </w:r>
      <w:r w:rsidR="00F8181F" w:rsidRPr="007908FB">
        <w:rPr>
          <w:szCs w:val="22"/>
        </w:rPr>
        <w:t xml:space="preserve">continuing </w:t>
      </w:r>
      <w:proofErr w:type="spellStart"/>
      <w:r w:rsidRPr="007908FB">
        <w:rPr>
          <w:szCs w:val="22"/>
        </w:rPr>
        <w:t>sorafenib</w:t>
      </w:r>
      <w:proofErr w:type="spellEnd"/>
      <w:r w:rsidRPr="007908FB">
        <w:rPr>
          <w:szCs w:val="22"/>
        </w:rPr>
        <w:t xml:space="preserve"> use, further contributing to the </w:t>
      </w:r>
      <w:r w:rsidR="00FD5B21" w:rsidRPr="007908FB">
        <w:rPr>
          <w:szCs w:val="22"/>
        </w:rPr>
        <w:t xml:space="preserve">inconsistencies </w:t>
      </w:r>
      <w:r w:rsidRPr="007908FB">
        <w:rPr>
          <w:szCs w:val="22"/>
        </w:rPr>
        <w:t xml:space="preserve">between the </w:t>
      </w:r>
      <w:r w:rsidR="00F43E6D" w:rsidRPr="007908FB">
        <w:rPr>
          <w:szCs w:val="22"/>
        </w:rPr>
        <w:t xml:space="preserve">model presented and the </w:t>
      </w:r>
      <w:r w:rsidRPr="007908FB">
        <w:rPr>
          <w:szCs w:val="22"/>
        </w:rPr>
        <w:t>trial.</w:t>
      </w:r>
    </w:p>
    <w:p w:rsidR="004966F2" w:rsidRPr="007908FB" w:rsidRDefault="004966F2" w:rsidP="004966F2">
      <w:pPr>
        <w:pStyle w:val="ListParagraph"/>
        <w:rPr>
          <w:szCs w:val="22"/>
        </w:rPr>
      </w:pPr>
    </w:p>
    <w:p w:rsidR="004966F2" w:rsidRPr="007908FB" w:rsidRDefault="004966F2" w:rsidP="00F30717">
      <w:pPr>
        <w:pStyle w:val="ListParagraph"/>
        <w:widowControl/>
        <w:numPr>
          <w:ilvl w:val="1"/>
          <w:numId w:val="1"/>
        </w:numPr>
        <w:rPr>
          <w:szCs w:val="22"/>
        </w:rPr>
      </w:pPr>
      <w:r w:rsidRPr="007908FB">
        <w:rPr>
          <w:szCs w:val="22"/>
        </w:rPr>
        <w:t xml:space="preserve">The ESC considered that the revised base case was still highly favourable towards </w:t>
      </w:r>
      <w:proofErr w:type="spellStart"/>
      <w:r w:rsidRPr="007908FB">
        <w:rPr>
          <w:szCs w:val="22"/>
        </w:rPr>
        <w:t>sorafenib</w:t>
      </w:r>
      <w:proofErr w:type="spellEnd"/>
      <w:r w:rsidRPr="007908FB">
        <w:rPr>
          <w:szCs w:val="22"/>
        </w:rPr>
        <w:t>.</w:t>
      </w:r>
    </w:p>
    <w:p w:rsidR="004966F2" w:rsidRDefault="004966F2" w:rsidP="00A86E8B">
      <w:pPr>
        <w:widowControl/>
        <w:rPr>
          <w:szCs w:val="22"/>
        </w:rPr>
      </w:pPr>
    </w:p>
    <w:p w:rsidR="005868F8" w:rsidRPr="0036547F" w:rsidRDefault="005868F8" w:rsidP="00F8582E">
      <w:pPr>
        <w:keepNext/>
        <w:keepLines/>
        <w:snapToGrid w:val="0"/>
        <w:ind w:left="709"/>
        <w:rPr>
          <w:rFonts w:ascii="Arial Narrow" w:eastAsiaTheme="minorEastAsia" w:hAnsi="Arial Narrow"/>
          <w:b/>
          <w:snapToGrid/>
          <w:sz w:val="20"/>
          <w:szCs w:val="16"/>
        </w:rPr>
      </w:pPr>
      <w:r w:rsidRPr="009C4FA1">
        <w:rPr>
          <w:rFonts w:ascii="Arial Narrow" w:eastAsiaTheme="minorEastAsia" w:hAnsi="Arial Narrow"/>
          <w:b/>
          <w:bCs/>
          <w:snapToGrid/>
          <w:sz w:val="20"/>
          <w:szCs w:val="16"/>
        </w:rPr>
        <w:tab/>
      </w:r>
      <w:r w:rsidRPr="0036547F">
        <w:rPr>
          <w:rFonts w:ascii="Arial Narrow" w:eastAsiaTheme="minorEastAsia" w:hAnsi="Arial Narrow"/>
          <w:b/>
          <w:bCs/>
          <w:snapToGrid/>
          <w:sz w:val="20"/>
          <w:szCs w:val="16"/>
        </w:rPr>
        <w:t>Results of sensitivity analyses – updated to reflect the revised base case</w:t>
      </w:r>
    </w:p>
    <w:tbl>
      <w:tblPr>
        <w:tblW w:w="460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sensitivity analyses – updated to reflect the revised base case"/>
      </w:tblPr>
      <w:tblGrid>
        <w:gridCol w:w="3543"/>
        <w:gridCol w:w="1417"/>
        <w:gridCol w:w="1461"/>
        <w:gridCol w:w="1944"/>
      </w:tblGrid>
      <w:tr w:rsidR="005868F8" w:rsidRPr="008F3F43" w:rsidTr="00F8582E">
        <w:trPr>
          <w:tblHeader/>
        </w:trPr>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b/>
                <w:snapToGrid/>
                <w:sz w:val="20"/>
              </w:rPr>
              <w:t>Analyses</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center"/>
              <w:rPr>
                <w:rFonts w:ascii="Arial Narrow" w:hAnsi="Arial Narrow"/>
                <w:snapToGrid/>
                <w:sz w:val="20"/>
              </w:rPr>
            </w:pPr>
            <w:r w:rsidRPr="0036547F">
              <w:rPr>
                <w:rFonts w:ascii="Arial Narrow" w:hAnsi="Arial Narrow"/>
                <w:b/>
                <w:snapToGrid/>
                <w:sz w:val="20"/>
              </w:rPr>
              <w:t>Incremental costs</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center"/>
              <w:rPr>
                <w:rFonts w:ascii="Arial Narrow" w:hAnsi="Arial Narrow"/>
                <w:snapToGrid/>
                <w:sz w:val="20"/>
              </w:rPr>
            </w:pPr>
            <w:r w:rsidRPr="0036547F">
              <w:rPr>
                <w:rFonts w:ascii="Arial Narrow" w:hAnsi="Arial Narrow"/>
                <w:b/>
                <w:snapToGrid/>
                <w:sz w:val="20"/>
              </w:rPr>
              <w:t>Incremental QALYs</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center"/>
              <w:rPr>
                <w:rFonts w:ascii="Arial Narrow" w:hAnsi="Arial Narrow"/>
                <w:snapToGrid/>
                <w:sz w:val="20"/>
              </w:rPr>
            </w:pPr>
            <w:r w:rsidRPr="0036547F">
              <w:rPr>
                <w:rFonts w:ascii="Arial Narrow" w:hAnsi="Arial Narrow"/>
                <w:b/>
                <w:snapToGrid/>
                <w:sz w:val="20"/>
              </w:rPr>
              <w:t>Incremental cost/QALY</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 xml:space="preserve">Base case (treatment until disease progression) </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OS ITT HR (unadjusted for cross-over)</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 xml:space="preserve">OS HR adjusted using RPSFT (lower limit of 95% CI – </w:t>
            </w:r>
            <w:r w:rsidR="002E19FB">
              <w:rPr>
                <w:rFonts w:ascii="Arial Narrow" w:hAnsi="Arial Narrow"/>
                <w:noProof/>
                <w:snapToGrid/>
                <w:color w:val="000000"/>
                <w:sz w:val="20"/>
                <w:highlight w:val="black"/>
              </w:rPr>
              <w:t>'''''''''''''</w:t>
            </w:r>
            <w:r w:rsidRPr="0036547F">
              <w:rPr>
                <w:rFonts w:ascii="Arial Narrow" w:hAnsi="Arial Narrow"/>
                <w:snapToGrid/>
                <w:sz w:val="20"/>
              </w:rPr>
              <w:t xml:space="preserve">)- base case HR </w:t>
            </w:r>
            <w:r w:rsidR="002E19FB">
              <w:rPr>
                <w:rFonts w:ascii="Arial Narrow" w:hAnsi="Arial Narrow"/>
                <w:noProof/>
                <w:snapToGrid/>
                <w:color w:val="000000"/>
                <w:sz w:val="20"/>
                <w:highlight w:val="black"/>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OS HR adjusted using RPSFT (upper limit of 95% CI-</w:t>
            </w:r>
            <w:r w:rsidR="002E19FB">
              <w:rPr>
                <w:rFonts w:ascii="Arial Narrow" w:hAnsi="Arial Narrow"/>
                <w:noProof/>
                <w:snapToGrid/>
                <w:color w:val="000000"/>
                <w:sz w:val="20"/>
                <w:highlight w:val="black"/>
              </w:rPr>
              <w:t>'''''''''''''''</w:t>
            </w:r>
            <w:r w:rsidRPr="0036547F">
              <w:rPr>
                <w:rFonts w:ascii="Arial Narrow" w:hAnsi="Arial Narrow"/>
                <w:snapToGrid/>
                <w:sz w:val="20"/>
              </w:rPr>
              <w:t xml:space="preserve">) – base case HR </w:t>
            </w:r>
            <w:r w:rsidR="002E19FB">
              <w:rPr>
                <w:rFonts w:ascii="Arial Narrow" w:hAnsi="Arial Narrow"/>
                <w:noProof/>
                <w:snapToGrid/>
                <w:color w:val="000000"/>
                <w:sz w:val="20"/>
                <w:highlight w:val="black"/>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 xml:space="preserve">OS HR adjusted using IPE – HR </w:t>
            </w:r>
            <w:r w:rsidR="002E19FB">
              <w:rPr>
                <w:rFonts w:ascii="Arial Narrow" w:hAnsi="Arial Narrow"/>
                <w:noProof/>
                <w:snapToGrid/>
                <w:color w:val="000000"/>
                <w:sz w:val="20"/>
                <w:highlight w:val="black"/>
              </w:rPr>
              <w:t>''''''''''''''</w:t>
            </w:r>
            <w:r w:rsidRPr="0036547F">
              <w:rPr>
                <w:rFonts w:ascii="Arial Narrow" w:hAnsi="Arial Narrow"/>
                <w:snapToGrid/>
                <w:sz w:val="20"/>
              </w:rPr>
              <w:t xml:space="preserve"> </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 xml:space="preserve">OS HR adjusted using IPE – HR </w:t>
            </w:r>
            <w:r w:rsidR="002E19FB">
              <w:rPr>
                <w:rFonts w:ascii="Arial Narrow" w:hAnsi="Arial Narrow"/>
                <w:noProof/>
                <w:snapToGrid/>
                <w:color w:val="000000"/>
                <w:sz w:val="20"/>
                <w:highlight w:val="black"/>
              </w:rPr>
              <w:t>'''''''''''''</w:t>
            </w:r>
            <w:r w:rsidRPr="0036547F">
              <w:rPr>
                <w:rFonts w:ascii="Arial Narrow" w:hAnsi="Arial Narrow"/>
                <w:snapToGrid/>
                <w:sz w:val="20"/>
              </w:rPr>
              <w:t xml:space="preserve"> (lower limit of 95% CI)</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rPr>
            </w:pPr>
            <w:r w:rsidRPr="0036547F">
              <w:rPr>
                <w:rFonts w:ascii="Arial Narrow" w:hAnsi="Arial Narrow"/>
                <w:snapToGrid/>
                <w:sz w:val="20"/>
              </w:rPr>
              <w:t xml:space="preserve">OS HR adjusted using IPE – HR </w:t>
            </w:r>
            <w:r w:rsidR="002E19FB">
              <w:rPr>
                <w:rFonts w:ascii="Arial Narrow" w:hAnsi="Arial Narrow"/>
                <w:noProof/>
                <w:snapToGrid/>
                <w:color w:val="000000"/>
                <w:sz w:val="20"/>
                <w:highlight w:val="black"/>
              </w:rPr>
              <w:t>''''''''''''</w:t>
            </w:r>
            <w:r w:rsidRPr="0036547F">
              <w:rPr>
                <w:rFonts w:ascii="Arial Narrow" w:hAnsi="Arial Narrow"/>
                <w:snapToGrid/>
                <w:sz w:val="20"/>
              </w:rPr>
              <w:t xml:space="preserve"> (upper limit of 95% CI)</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 '''' ''''''''''''''''''''</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5868F8" w:rsidP="005868F8">
            <w:pPr>
              <w:keepNext/>
              <w:keepLines/>
              <w:snapToGrid w:val="0"/>
              <w:jc w:val="left"/>
              <w:rPr>
                <w:rFonts w:ascii="Arial Narrow" w:hAnsi="Arial Narrow"/>
                <w:snapToGrid/>
                <w:sz w:val="20"/>
                <w:highlight w:val="yellow"/>
              </w:rPr>
            </w:pPr>
            <w:r w:rsidRPr="0036547F">
              <w:rPr>
                <w:rFonts w:ascii="Arial Narrow" w:hAnsi="Arial Narrow"/>
                <w:snapToGrid/>
                <w:sz w:val="20"/>
              </w:rPr>
              <w:t>Time horizon at 5 years</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r w:rsidR="005868F8" w:rsidRPr="008F3F43" w:rsidTr="00F8582E">
        <w:tc>
          <w:tcPr>
            <w:tcW w:w="2118"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left"/>
              <w:rPr>
                <w:rFonts w:ascii="Arial Narrow" w:hAnsi="Arial Narrow"/>
                <w:snapToGrid/>
                <w:sz w:val="20"/>
                <w:highlight w:val="black"/>
              </w:rPr>
            </w:pPr>
            <w:r>
              <w:rPr>
                <w:rFonts w:ascii="Arial Narrow" w:hAnsi="Arial Narrow"/>
                <w:noProof/>
                <w:snapToGrid/>
                <w:color w:val="000000"/>
                <w:sz w:val="20"/>
                <w:highlight w:val="black"/>
              </w:rPr>
              <w:t>''''''''''''' ''''''''''''' '''''''''''''''''' '' ''''''''''''''''''''</w:t>
            </w:r>
          </w:p>
        </w:tc>
        <w:tc>
          <w:tcPr>
            <w:tcW w:w="847"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873"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1162" w:type="pct"/>
            <w:tcBorders>
              <w:top w:val="single" w:sz="4" w:space="0" w:color="auto"/>
              <w:left w:val="single" w:sz="4" w:space="0" w:color="auto"/>
              <w:bottom w:val="single" w:sz="4" w:space="0" w:color="auto"/>
              <w:right w:val="single" w:sz="4" w:space="0" w:color="auto"/>
            </w:tcBorders>
            <w:vAlign w:val="center"/>
            <w:hideMark/>
          </w:tcPr>
          <w:p w:rsidR="005868F8" w:rsidRPr="002E19FB" w:rsidRDefault="002E19FB" w:rsidP="005868F8">
            <w:pPr>
              <w:keepNext/>
              <w:keepLines/>
              <w:snapToGrid w:val="0"/>
              <w:jc w:val="center"/>
              <w:rPr>
                <w:rFonts w:ascii="Arial Narrow" w:hAnsi="Arial Narrow"/>
                <w:b/>
                <w:snapToGrid/>
                <w:sz w:val="20"/>
                <w:highlight w:val="black"/>
              </w:rPr>
            </w:pPr>
            <w:r>
              <w:rPr>
                <w:rFonts w:ascii="Arial Narrow" w:hAnsi="Arial Narrow"/>
                <w:b/>
                <w:noProof/>
                <w:snapToGrid/>
                <w:color w:val="000000"/>
                <w:sz w:val="20"/>
                <w:highlight w:val="black"/>
              </w:rPr>
              <w:t>'''''''''''''''</w:t>
            </w:r>
          </w:p>
        </w:tc>
      </w:tr>
    </w:tbl>
    <w:p w:rsidR="005868F8" w:rsidRPr="002E19FB" w:rsidRDefault="002E19FB" w:rsidP="00F8582E">
      <w:pPr>
        <w:keepNext/>
        <w:keepLines/>
        <w:snapToGrid w:val="0"/>
        <w:ind w:left="709"/>
        <w:rPr>
          <w:rFonts w:ascii="Arial Narrow" w:hAnsi="Arial Narrow"/>
          <w:snapToGrid/>
          <w:sz w:val="18"/>
          <w:highlight w:val="black"/>
        </w:rPr>
      </w:pPr>
      <w:r>
        <w:rPr>
          <w:rFonts w:ascii="Arial Narrow" w:hAnsi="Arial Narrow"/>
          <w:noProof/>
          <w:snapToGrid/>
          <w:color w:val="000000"/>
          <w:sz w:val="18"/>
          <w:highlight w:val="black"/>
        </w:rPr>
        <w:t>''''''' '''' ''''''''''''''' ''''''''''''''''''' ''''''''' ''' '''''''''''''''''' ''''' ''''''''''''' '''''''' '''' '''''''''''''''''' ''''''''''' '''''' ''' '''''''''''''''''''''''' ''''''''''''''''' '''''''''''''''''' ''' '''''''''' '''''''''''''''''''''''' ''''''''''''''''''''''' ''''''''''''''' '''''''''''' ''''''''' ''' ''''''''''''''''' ''''''''''''''''''''''''' ''''''''''''''''''''''''</w:t>
      </w:r>
    </w:p>
    <w:p w:rsidR="005868F8" w:rsidRPr="002E19FB" w:rsidRDefault="002E19FB" w:rsidP="00F8582E">
      <w:pPr>
        <w:keepNext/>
        <w:keepLines/>
        <w:snapToGrid w:val="0"/>
        <w:ind w:left="709"/>
        <w:rPr>
          <w:rFonts w:ascii="Arial Narrow" w:hAnsi="Arial Narrow"/>
          <w:snapToGrid/>
          <w:sz w:val="18"/>
          <w:highlight w:val="black"/>
        </w:rPr>
      </w:pPr>
      <w:r>
        <w:rPr>
          <w:rFonts w:ascii="Arial Narrow" w:hAnsi="Arial Narrow"/>
          <w:noProof/>
          <w:snapToGrid/>
          <w:color w:val="000000"/>
          <w:sz w:val="18"/>
          <w:highlight w:val="black"/>
        </w:rPr>
        <w:t>'''''''''''''''''''' '''''''''''' '''''''' ''''''''''' ''''' ''''''' '''''''''''''''''''''''' ''''''''' ''''''''''''''''''''' '''''''''''''''''''' ''''''''''''''''''''''''' ''''''''''''''' '''''''' '''''''''''''''''''''''''</w:t>
      </w:r>
    </w:p>
    <w:p w:rsidR="006A460E" w:rsidRPr="00F62109" w:rsidRDefault="006A460E" w:rsidP="00CF786D"/>
    <w:p w:rsidR="006A460E" w:rsidRPr="00F62109" w:rsidRDefault="006A460E" w:rsidP="00F30717">
      <w:pPr>
        <w:pStyle w:val="ListParagraph"/>
        <w:widowControl/>
        <w:numPr>
          <w:ilvl w:val="1"/>
          <w:numId w:val="1"/>
        </w:numPr>
        <w:rPr>
          <w:szCs w:val="22"/>
        </w:rPr>
      </w:pPr>
      <w:r w:rsidRPr="00F62109">
        <w:rPr>
          <w:szCs w:val="22"/>
        </w:rPr>
        <w:t>The ESC respecified base</w:t>
      </w:r>
      <w:r w:rsidR="00CF786D" w:rsidRPr="00F62109">
        <w:rPr>
          <w:szCs w:val="22"/>
        </w:rPr>
        <w:t>,</w:t>
      </w:r>
      <w:r w:rsidRPr="00F62109">
        <w:rPr>
          <w:szCs w:val="22"/>
        </w:rPr>
        <w:t xml:space="preserve"> using the sensitivity analysis in which treatment is assumed to continue until disease progression</w:t>
      </w:r>
      <w:r w:rsidR="005F387A" w:rsidRPr="00F62109">
        <w:rPr>
          <w:szCs w:val="22"/>
        </w:rPr>
        <w:t xml:space="preserve"> and using a median treatment duration as proposed in the Pre-PBAC response of </w:t>
      </w:r>
      <w:r w:rsidR="002E19FB">
        <w:rPr>
          <w:noProof/>
          <w:color w:val="000000"/>
          <w:szCs w:val="22"/>
          <w:highlight w:val="black"/>
        </w:rPr>
        <w:t>''''''''''''' '''''''''''''''''''</w:t>
      </w:r>
      <w:r w:rsidRPr="00F62109">
        <w:rPr>
          <w:szCs w:val="22"/>
        </w:rPr>
        <w:t xml:space="preserve">, resulted in an ICER of over </w:t>
      </w:r>
      <w:r w:rsidR="008F3F43">
        <w:rPr>
          <w:szCs w:val="22"/>
        </w:rPr>
        <w:t>$75,000/QALY - $105,000/QALY</w:t>
      </w:r>
      <w:r w:rsidRPr="00F62109">
        <w:rPr>
          <w:szCs w:val="22"/>
        </w:rPr>
        <w:t>.</w:t>
      </w:r>
      <w:r w:rsidRPr="00F62109" w:rsidDel="006A460E">
        <w:rPr>
          <w:szCs w:val="22"/>
        </w:rPr>
        <w:t xml:space="preserve"> </w:t>
      </w:r>
      <w:r w:rsidR="00BC747F">
        <w:rPr>
          <w:szCs w:val="22"/>
        </w:rPr>
        <w:t xml:space="preserve">However the PBAC considered that this was uncertain given the </w:t>
      </w:r>
      <w:r w:rsidR="00CC5E05">
        <w:rPr>
          <w:szCs w:val="22"/>
        </w:rPr>
        <w:t>sub-optimally</w:t>
      </w:r>
      <w:r w:rsidR="00D30A72">
        <w:rPr>
          <w:szCs w:val="22"/>
        </w:rPr>
        <w:t xml:space="preserve"> defined </w:t>
      </w:r>
      <w:r w:rsidR="00BC747F">
        <w:rPr>
          <w:szCs w:val="22"/>
        </w:rPr>
        <w:t>patient population.</w:t>
      </w:r>
    </w:p>
    <w:p w:rsidR="006A460E" w:rsidRDefault="006A460E" w:rsidP="006A460E">
      <w:pPr>
        <w:pStyle w:val="ListParagraph"/>
        <w:widowControl/>
        <w:ind w:left="709"/>
        <w:rPr>
          <w:szCs w:val="22"/>
        </w:rPr>
      </w:pPr>
    </w:p>
    <w:p w:rsidR="005A1132" w:rsidRPr="005A1132" w:rsidRDefault="005A1132" w:rsidP="005A1132">
      <w:pPr>
        <w:pStyle w:val="ListParagraph"/>
        <w:ind w:left="709"/>
        <w:rPr>
          <w:i/>
          <w:szCs w:val="22"/>
        </w:rPr>
      </w:pPr>
      <w:r>
        <w:rPr>
          <w:szCs w:val="22"/>
        </w:rPr>
        <w:tab/>
      </w:r>
      <w:r>
        <w:rPr>
          <w:i/>
          <w:szCs w:val="22"/>
        </w:rPr>
        <w:t>For more detail on PBAC’s view, see section 7 “PBAC outcome”</w:t>
      </w:r>
    </w:p>
    <w:p w:rsidR="005A1132" w:rsidRDefault="005A1132" w:rsidP="00A86E8B">
      <w:pPr>
        <w:widowControl/>
        <w:rPr>
          <w:szCs w:val="22"/>
        </w:rPr>
      </w:pPr>
    </w:p>
    <w:p w:rsidR="00C25D9C" w:rsidRPr="0072703C" w:rsidRDefault="00633F24" w:rsidP="0072703C">
      <w:pPr>
        <w:widowControl/>
        <w:rPr>
          <w:rFonts w:cs="Times New Roman"/>
          <w:b/>
          <w:i/>
          <w:snapToGrid/>
          <w:szCs w:val="22"/>
          <w:lang w:eastAsia="en-AU"/>
        </w:rPr>
      </w:pPr>
      <w:bookmarkStart w:id="18" w:name="_Toc388368965"/>
      <w:r w:rsidRPr="0072703C">
        <w:rPr>
          <w:rFonts w:cs="Times New Roman"/>
          <w:b/>
          <w:i/>
          <w:snapToGrid/>
          <w:szCs w:val="22"/>
          <w:lang w:eastAsia="en-AU"/>
        </w:rPr>
        <w:t>Drug cost/patient/course</w:t>
      </w:r>
      <w:r w:rsidR="00C25D9C" w:rsidRPr="0072703C">
        <w:rPr>
          <w:rFonts w:cs="Times New Roman"/>
          <w:b/>
          <w:i/>
          <w:snapToGrid/>
          <w:szCs w:val="22"/>
          <w:lang w:eastAsia="en-AU"/>
        </w:rPr>
        <w:t xml:space="preserve">: </w:t>
      </w:r>
      <w:r w:rsidR="00F509FC" w:rsidRPr="0036547F">
        <w:rPr>
          <w:rFonts w:cs="Times New Roman"/>
          <w:b/>
          <w:i/>
          <w:snapToGrid/>
          <w:szCs w:val="22"/>
          <w:lang w:eastAsia="en-AU"/>
        </w:rPr>
        <w:t>$</w:t>
      </w:r>
      <w:bookmarkEnd w:id="18"/>
      <w:r w:rsidR="002E19FB">
        <w:rPr>
          <w:rFonts w:cs="Times New Roman"/>
          <w:b/>
          <w:i/>
          <w:noProof/>
          <w:snapToGrid/>
          <w:color w:val="000000"/>
          <w:szCs w:val="22"/>
          <w:highlight w:val="black"/>
          <w:lang w:eastAsia="en-AU"/>
        </w:rPr>
        <w:t>'''''''''''''</w:t>
      </w:r>
    </w:p>
    <w:p w:rsidR="006A0A31" w:rsidRPr="001875EC" w:rsidRDefault="006A0A31" w:rsidP="006A0A31">
      <w:pPr>
        <w:widowControl/>
        <w:rPr>
          <w:szCs w:val="22"/>
        </w:rPr>
      </w:pPr>
    </w:p>
    <w:p w:rsidR="006A0A31" w:rsidRPr="001875EC" w:rsidRDefault="006A0A31" w:rsidP="00F30717">
      <w:pPr>
        <w:pStyle w:val="ListParagraph"/>
        <w:widowControl/>
        <w:numPr>
          <w:ilvl w:val="1"/>
          <w:numId w:val="1"/>
        </w:numPr>
        <w:rPr>
          <w:szCs w:val="22"/>
        </w:rPr>
      </w:pPr>
      <w:r w:rsidRPr="001875EC">
        <w:rPr>
          <w:szCs w:val="22"/>
        </w:rPr>
        <w:t xml:space="preserve">The submission estimates the costs of </w:t>
      </w:r>
      <w:proofErr w:type="spellStart"/>
      <w:r w:rsidRPr="001875EC">
        <w:rPr>
          <w:szCs w:val="22"/>
        </w:rPr>
        <w:t>sorafenib</w:t>
      </w:r>
      <w:proofErr w:type="spellEnd"/>
      <w:r w:rsidRPr="001875EC">
        <w:rPr>
          <w:szCs w:val="22"/>
        </w:rPr>
        <w:t xml:space="preserve"> based on the effective DPMQ of </w:t>
      </w:r>
      <w:r w:rsidRPr="0036547F">
        <w:rPr>
          <w:szCs w:val="22"/>
        </w:rPr>
        <w:t>$</w:t>
      </w:r>
      <w:r w:rsidR="002E19FB">
        <w:rPr>
          <w:noProof/>
          <w:color w:val="000000"/>
          <w:szCs w:val="22"/>
          <w:highlight w:val="black"/>
        </w:rPr>
        <w:t>''''''''''''''</w:t>
      </w:r>
      <w:r w:rsidRPr="001875EC">
        <w:rPr>
          <w:szCs w:val="22"/>
        </w:rPr>
        <w:t xml:space="preserve">, which is a price for </w:t>
      </w:r>
      <w:r w:rsidR="00A312FF">
        <w:rPr>
          <w:szCs w:val="22"/>
        </w:rPr>
        <w:t xml:space="preserve">30 days of </w:t>
      </w:r>
      <w:r w:rsidR="00A312FF" w:rsidRPr="007908FB">
        <w:rPr>
          <w:szCs w:val="22"/>
        </w:rPr>
        <w:t>treatment</w:t>
      </w:r>
      <w:r w:rsidRPr="007908FB">
        <w:rPr>
          <w:szCs w:val="22"/>
        </w:rPr>
        <w:t>. The estimated total drug cost</w:t>
      </w:r>
      <w:r w:rsidR="00A312FF" w:rsidRPr="007908FB">
        <w:rPr>
          <w:szCs w:val="22"/>
        </w:rPr>
        <w:t xml:space="preserve"> per patient per course</w:t>
      </w:r>
      <w:r w:rsidRPr="007908FB">
        <w:rPr>
          <w:szCs w:val="22"/>
        </w:rPr>
        <w:t xml:space="preserve"> is </w:t>
      </w:r>
      <w:r w:rsidRPr="0036547F">
        <w:rPr>
          <w:szCs w:val="22"/>
        </w:rPr>
        <w:t>$</w:t>
      </w:r>
      <w:r w:rsidR="002E19FB">
        <w:rPr>
          <w:noProof/>
          <w:color w:val="000000"/>
          <w:szCs w:val="22"/>
          <w:highlight w:val="black"/>
        </w:rPr>
        <w:t>''''''''''''''''''</w:t>
      </w:r>
      <w:r w:rsidR="00B54D52" w:rsidRPr="007908FB">
        <w:rPr>
          <w:szCs w:val="22"/>
        </w:rPr>
        <w:t xml:space="preserve"> (undiscounted)</w:t>
      </w:r>
      <w:r w:rsidRPr="007908FB">
        <w:rPr>
          <w:szCs w:val="22"/>
        </w:rPr>
        <w:t xml:space="preserve"> per patient based on the extrapolated progression-free survival in the model</w:t>
      </w:r>
      <w:r w:rsidR="001826B0" w:rsidRPr="007908FB">
        <w:rPr>
          <w:szCs w:val="22"/>
        </w:rPr>
        <w:t xml:space="preserve">. This is based on </w:t>
      </w:r>
      <w:r w:rsidR="002E19FB">
        <w:rPr>
          <w:noProof/>
          <w:color w:val="000000"/>
          <w:szCs w:val="22"/>
          <w:highlight w:val="black"/>
        </w:rPr>
        <w:t>'''''''''' ''''''''''''''''</w:t>
      </w:r>
      <w:r w:rsidR="001826B0" w:rsidRPr="007908FB">
        <w:rPr>
          <w:szCs w:val="22"/>
        </w:rPr>
        <w:t xml:space="preserve"> of treatment (the mean duration of treatment</w:t>
      </w:r>
      <w:r w:rsidR="00641342" w:rsidRPr="007908FB">
        <w:rPr>
          <w:szCs w:val="22"/>
        </w:rPr>
        <w:t xml:space="preserve"> until progression)</w:t>
      </w:r>
      <w:r w:rsidR="007F1842" w:rsidRPr="007908FB">
        <w:rPr>
          <w:szCs w:val="22"/>
        </w:rPr>
        <w:t xml:space="preserve"> at a dose intensity of </w:t>
      </w:r>
      <w:r w:rsidR="002E19FB">
        <w:rPr>
          <w:noProof/>
          <w:color w:val="000000"/>
          <w:szCs w:val="22"/>
          <w:highlight w:val="black"/>
        </w:rPr>
        <w:t>'''''''''''</w:t>
      </w:r>
      <w:r w:rsidR="007F1842" w:rsidRPr="0036547F">
        <w:rPr>
          <w:szCs w:val="22"/>
        </w:rPr>
        <w:t>%.</w:t>
      </w:r>
      <w:r w:rsidR="001826B0">
        <w:rPr>
          <w:i/>
          <w:szCs w:val="22"/>
        </w:rPr>
        <w:t xml:space="preserve"> </w:t>
      </w:r>
    </w:p>
    <w:p w:rsidR="00B60939" w:rsidRPr="001875EC" w:rsidRDefault="00B60939" w:rsidP="001456B0">
      <w:pPr>
        <w:rPr>
          <w:szCs w:val="22"/>
        </w:rPr>
      </w:pPr>
    </w:p>
    <w:p w:rsidR="00B60939" w:rsidRPr="0072703C" w:rsidRDefault="00B60939" w:rsidP="0072703C">
      <w:pPr>
        <w:widowControl/>
        <w:rPr>
          <w:rFonts w:cs="Times New Roman"/>
          <w:b/>
          <w:i/>
          <w:snapToGrid/>
          <w:szCs w:val="22"/>
          <w:lang w:eastAsia="en-AU"/>
        </w:rPr>
      </w:pPr>
      <w:bookmarkStart w:id="19" w:name="_Toc388368966"/>
      <w:r w:rsidRPr="0072703C">
        <w:rPr>
          <w:rFonts w:cs="Times New Roman"/>
          <w:b/>
          <w:i/>
          <w:snapToGrid/>
          <w:szCs w:val="22"/>
          <w:lang w:eastAsia="en-AU"/>
        </w:rPr>
        <w:t>Estimated PBS usage &amp; financial implications</w:t>
      </w:r>
      <w:bookmarkEnd w:id="19"/>
    </w:p>
    <w:p w:rsidR="00B60939" w:rsidRPr="001875EC" w:rsidRDefault="00B60939" w:rsidP="0072703C"/>
    <w:p w:rsidR="00576972" w:rsidRDefault="006C0BC2" w:rsidP="00F30717">
      <w:pPr>
        <w:pStyle w:val="ListParagraph"/>
        <w:widowControl/>
        <w:numPr>
          <w:ilvl w:val="1"/>
          <w:numId w:val="1"/>
        </w:numPr>
        <w:rPr>
          <w:szCs w:val="22"/>
        </w:rPr>
      </w:pPr>
      <w:r w:rsidRPr="006C0BC2">
        <w:rPr>
          <w:szCs w:val="22"/>
        </w:rPr>
        <w:t xml:space="preserve">The submission was considered by the Drug Utilisation Sub-Committee (DUSC). The main issues considered by </w:t>
      </w:r>
      <w:r w:rsidR="00775A3B">
        <w:rPr>
          <w:szCs w:val="22"/>
        </w:rPr>
        <w:t xml:space="preserve">the </w:t>
      </w:r>
      <w:r w:rsidRPr="006C0BC2">
        <w:rPr>
          <w:szCs w:val="22"/>
        </w:rPr>
        <w:t>DUSC include the following:</w:t>
      </w:r>
    </w:p>
    <w:p w:rsidR="006C0BC2" w:rsidRPr="006C0BC2" w:rsidRDefault="006C0BC2" w:rsidP="00F82597">
      <w:pPr>
        <w:pStyle w:val="ListParagraph"/>
        <w:keepNext/>
        <w:keepLines/>
        <w:widowControl/>
        <w:numPr>
          <w:ilvl w:val="0"/>
          <w:numId w:val="10"/>
        </w:numPr>
        <w:rPr>
          <w:szCs w:val="22"/>
        </w:rPr>
      </w:pPr>
      <w:proofErr w:type="gramStart"/>
      <w:r w:rsidRPr="006C0BC2">
        <w:rPr>
          <w:szCs w:val="22"/>
        </w:rPr>
        <w:lastRenderedPageBreak/>
        <w:t>the</w:t>
      </w:r>
      <w:proofErr w:type="gramEnd"/>
      <w:r w:rsidRPr="006C0BC2">
        <w:rPr>
          <w:szCs w:val="22"/>
        </w:rPr>
        <w:t xml:space="preserve"> eligible population of metastatic or locally advanced thyroid cancer </w:t>
      </w:r>
      <w:r w:rsidR="00775A3B">
        <w:rPr>
          <w:szCs w:val="22"/>
        </w:rPr>
        <w:t xml:space="preserve">was considered </w:t>
      </w:r>
      <w:r w:rsidRPr="006C0BC2">
        <w:rPr>
          <w:szCs w:val="22"/>
        </w:rPr>
        <w:t>to be substantially overestimated (by at least 2 to 3 fold). The submission uses 5-year and 25-year prevalence figures to estimate the eligible population.  This overestimates the eligible population because prevalence data would count a large number of patients who no longer have active cancer. Localised thyroid cancer has an excellent prognosis with 5-year relative survival of 98.1%. (</w:t>
      </w:r>
      <w:proofErr w:type="spellStart"/>
      <w:r w:rsidRPr="006C0BC2">
        <w:rPr>
          <w:szCs w:val="22"/>
        </w:rPr>
        <w:t>Stavrou</w:t>
      </w:r>
      <w:proofErr w:type="spellEnd"/>
      <w:r w:rsidRPr="006C0BC2">
        <w:rPr>
          <w:szCs w:val="22"/>
        </w:rPr>
        <w:t xml:space="preserve"> et al, 2008)</w:t>
      </w:r>
    </w:p>
    <w:p w:rsidR="006C0BC2" w:rsidRPr="006C0BC2" w:rsidRDefault="006C0BC2" w:rsidP="00F82597">
      <w:pPr>
        <w:pStyle w:val="ListParagraph"/>
        <w:keepNext/>
        <w:keepLines/>
        <w:widowControl/>
        <w:numPr>
          <w:ilvl w:val="0"/>
          <w:numId w:val="10"/>
        </w:numPr>
        <w:rPr>
          <w:szCs w:val="22"/>
        </w:rPr>
      </w:pPr>
      <w:proofErr w:type="gramStart"/>
      <w:r w:rsidRPr="006C0BC2">
        <w:rPr>
          <w:szCs w:val="22"/>
        </w:rPr>
        <w:t>a</w:t>
      </w:r>
      <w:proofErr w:type="gramEnd"/>
      <w:r w:rsidRPr="006C0BC2">
        <w:rPr>
          <w:szCs w:val="22"/>
        </w:rPr>
        <w:t xml:space="preserve"> mortality approach may be more suitable for this patient population. Age-standardised thyroid cancer mortality has been relatively stable since 1982 (AIHW 2012). The annual number of thyroid cancer deaths from 2000 to 2011 range from 88 to 129 (AIHW 2014).  </w:t>
      </w:r>
    </w:p>
    <w:p w:rsidR="006C0BC2" w:rsidRDefault="006C0BC2" w:rsidP="00F82597">
      <w:pPr>
        <w:pStyle w:val="ListParagraph"/>
        <w:keepNext/>
        <w:keepLines/>
        <w:widowControl/>
        <w:numPr>
          <w:ilvl w:val="0"/>
          <w:numId w:val="10"/>
        </w:numPr>
        <w:rPr>
          <w:szCs w:val="22"/>
        </w:rPr>
      </w:pPr>
      <w:r w:rsidRPr="006C0BC2">
        <w:rPr>
          <w:szCs w:val="22"/>
        </w:rPr>
        <w:t xml:space="preserve">The likely duration of treatment is unclear. The financial estimates assume patients will be treated for one year. </w:t>
      </w:r>
      <w:r w:rsidR="00775A3B">
        <w:rPr>
          <w:szCs w:val="22"/>
        </w:rPr>
        <w:t>T</w:t>
      </w:r>
      <w:r w:rsidRPr="006C0BC2">
        <w:rPr>
          <w:szCs w:val="22"/>
        </w:rPr>
        <w:t xml:space="preserve">he treatment duration should be consistent with that in the economic model.  The sponsor’s Pre-Sub-Committee Response (p5) accepted a treatment duration of </w:t>
      </w:r>
      <w:r w:rsidR="002E19FB">
        <w:rPr>
          <w:noProof/>
          <w:color w:val="000000"/>
          <w:szCs w:val="22"/>
          <w:highlight w:val="black"/>
        </w:rPr>
        <w:t>''''''''''''</w:t>
      </w:r>
      <w:r w:rsidRPr="006C0BC2">
        <w:rPr>
          <w:szCs w:val="22"/>
        </w:rPr>
        <w:t xml:space="preserve"> years in the economic model. In practice, </w:t>
      </w:r>
      <w:proofErr w:type="spellStart"/>
      <w:r w:rsidRPr="006C0BC2">
        <w:rPr>
          <w:szCs w:val="22"/>
        </w:rPr>
        <w:t>sorafenib</w:t>
      </w:r>
      <w:proofErr w:type="spellEnd"/>
      <w:r w:rsidRPr="006C0BC2">
        <w:rPr>
          <w:szCs w:val="22"/>
        </w:rPr>
        <w:t xml:space="preserve"> may be used beyond disease progression.</w:t>
      </w:r>
      <w:r w:rsidR="005B4BFE">
        <w:rPr>
          <w:szCs w:val="22"/>
        </w:rPr>
        <w:t xml:space="preserve"> </w:t>
      </w:r>
    </w:p>
    <w:p w:rsidR="005B4BFE" w:rsidRDefault="005B4BFE" w:rsidP="00015702"/>
    <w:p w:rsidR="005B4BFE" w:rsidRDefault="005B4BFE" w:rsidP="00F30717">
      <w:pPr>
        <w:pStyle w:val="ListParagraph"/>
        <w:widowControl/>
        <w:numPr>
          <w:ilvl w:val="1"/>
          <w:numId w:val="1"/>
        </w:numPr>
        <w:rPr>
          <w:szCs w:val="22"/>
        </w:rPr>
      </w:pPr>
      <w:r w:rsidRPr="005B4BFE">
        <w:rPr>
          <w:szCs w:val="22"/>
        </w:rPr>
        <w:t>The estimated PBS usage and financial implications are presented in the table below.</w:t>
      </w:r>
    </w:p>
    <w:p w:rsidR="005B4BFE" w:rsidRDefault="005B4BFE" w:rsidP="00015702"/>
    <w:p w:rsidR="005B4BFE" w:rsidRPr="0036547F" w:rsidRDefault="005B4BFE" w:rsidP="00F8582E">
      <w:pPr>
        <w:keepNext/>
        <w:snapToGrid w:val="0"/>
        <w:ind w:left="709"/>
        <w:rPr>
          <w:b/>
          <w:bCs/>
          <w:snapToGrid/>
          <w:sz w:val="20"/>
          <w:szCs w:val="16"/>
        </w:rPr>
      </w:pPr>
      <w:r w:rsidRPr="0036547F">
        <w:rPr>
          <w:b/>
          <w:bCs/>
          <w:snapToGrid/>
          <w:sz w:val="20"/>
          <w:szCs w:val="16"/>
        </w:rPr>
        <w:t>Estimated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stimated use and financial implications"/>
      </w:tblPr>
      <w:tblGrid>
        <w:gridCol w:w="2127"/>
        <w:gridCol w:w="1271"/>
        <w:gridCol w:w="1271"/>
        <w:gridCol w:w="1179"/>
        <w:gridCol w:w="1280"/>
        <w:gridCol w:w="1236"/>
      </w:tblGrid>
      <w:tr w:rsidR="005B4BFE" w:rsidRPr="008F3F43" w:rsidTr="00F447E5">
        <w:trPr>
          <w:tblHeader/>
        </w:trPr>
        <w:tc>
          <w:tcPr>
            <w:tcW w:w="1271" w:type="pct"/>
            <w:tcBorders>
              <w:top w:val="single" w:sz="4" w:space="0" w:color="auto"/>
              <w:left w:val="single" w:sz="4" w:space="0" w:color="auto"/>
              <w:bottom w:val="single" w:sz="4" w:space="0" w:color="auto"/>
              <w:right w:val="single" w:sz="4" w:space="0" w:color="auto"/>
            </w:tcBorders>
            <w:vAlign w:val="center"/>
          </w:tcPr>
          <w:p w:rsidR="005B4BFE" w:rsidRPr="002E19FB" w:rsidRDefault="005B4BFE" w:rsidP="005B4BFE">
            <w:pPr>
              <w:tabs>
                <w:tab w:val="left" w:pos="142"/>
              </w:tabs>
              <w:snapToGrid w:val="0"/>
              <w:jc w:val="left"/>
              <w:rPr>
                <w:rFonts w:ascii="Arial Narrow" w:hAnsi="Arial Narrow"/>
                <w:b/>
                <w:snapToGrid/>
                <w:sz w:val="20"/>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center"/>
              <w:rPr>
                <w:rFonts w:ascii="Arial Narrow" w:hAnsi="Arial Narrow"/>
                <w:b/>
                <w:snapToGrid/>
                <w:sz w:val="20"/>
              </w:rPr>
            </w:pPr>
            <w:r w:rsidRPr="0036547F">
              <w:rPr>
                <w:rFonts w:ascii="Arial Narrow" w:hAnsi="Arial Narrow"/>
                <w:b/>
                <w:snapToGrid/>
                <w:sz w:val="20"/>
              </w:rPr>
              <w:t>Year 1</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center"/>
              <w:rPr>
                <w:rFonts w:ascii="Arial Narrow" w:hAnsi="Arial Narrow"/>
                <w:b/>
                <w:snapToGrid/>
                <w:sz w:val="20"/>
              </w:rPr>
            </w:pPr>
            <w:r w:rsidRPr="0036547F">
              <w:rPr>
                <w:rFonts w:ascii="Arial Narrow" w:hAnsi="Arial Narrow"/>
                <w:b/>
                <w:snapToGrid/>
                <w:sz w:val="20"/>
              </w:rPr>
              <w:t>Year 2</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center"/>
              <w:rPr>
                <w:rFonts w:ascii="Arial Narrow" w:hAnsi="Arial Narrow"/>
                <w:b/>
                <w:snapToGrid/>
                <w:sz w:val="20"/>
              </w:rPr>
            </w:pPr>
            <w:r w:rsidRPr="0036547F">
              <w:rPr>
                <w:rFonts w:ascii="Arial Narrow" w:hAnsi="Arial Narrow"/>
                <w:b/>
                <w:snapToGrid/>
                <w:sz w:val="20"/>
              </w:rPr>
              <w:t>Year 3</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center"/>
              <w:rPr>
                <w:rFonts w:ascii="Arial Narrow" w:hAnsi="Arial Narrow"/>
                <w:b/>
                <w:snapToGrid/>
                <w:sz w:val="20"/>
              </w:rPr>
            </w:pPr>
            <w:r w:rsidRPr="0036547F">
              <w:rPr>
                <w:rFonts w:ascii="Arial Narrow" w:hAnsi="Arial Narrow"/>
                <w:b/>
                <w:snapToGrid/>
                <w:sz w:val="20"/>
              </w:rPr>
              <w:t>Year 4</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center"/>
              <w:rPr>
                <w:rFonts w:ascii="Arial Narrow" w:hAnsi="Arial Narrow"/>
                <w:b/>
                <w:snapToGrid/>
                <w:sz w:val="20"/>
              </w:rPr>
            </w:pPr>
            <w:r w:rsidRPr="0036547F">
              <w:rPr>
                <w:rFonts w:ascii="Arial Narrow" w:hAnsi="Arial Narrow"/>
                <w:b/>
                <w:snapToGrid/>
                <w:sz w:val="20"/>
              </w:rPr>
              <w:t>Year 5</w:t>
            </w:r>
          </w:p>
        </w:tc>
      </w:tr>
      <w:tr w:rsidR="005B4BFE" w:rsidRPr="008F3F43" w:rsidTr="00F447E5">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b/>
                <w:bCs/>
                <w:snapToGrid/>
                <w:color w:val="000000"/>
                <w:sz w:val="20"/>
              </w:rPr>
            </w:pPr>
            <w:r w:rsidRPr="0036547F">
              <w:rPr>
                <w:rFonts w:ascii="Arial Narrow" w:hAnsi="Arial Narrow"/>
                <w:b/>
                <w:bCs/>
                <w:snapToGrid/>
                <w:color w:val="000000"/>
                <w:sz w:val="20"/>
              </w:rPr>
              <w:t>Estimated extent of use</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tabs>
                <w:tab w:val="left" w:pos="142"/>
              </w:tabs>
              <w:snapToGrid w:val="0"/>
              <w:jc w:val="left"/>
              <w:rPr>
                <w:rFonts w:ascii="Arial Narrow" w:hAnsi="Arial Narrow"/>
                <w:snapToGrid/>
                <w:sz w:val="20"/>
              </w:rPr>
            </w:pPr>
            <w:r w:rsidRPr="0036547F">
              <w:rPr>
                <w:rFonts w:ascii="Arial Narrow" w:hAnsi="Arial Narrow"/>
                <w:snapToGrid/>
                <w:sz w:val="20"/>
              </w:rPr>
              <w:t>Treatment eligible patients</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rPr>
            </w:pPr>
            <w:r>
              <w:rPr>
                <w:rFonts w:ascii="Arial Narrow" w:hAnsi="Arial Narrow"/>
                <w:noProof/>
                <w:snapToGrid/>
                <w:color w:val="000000"/>
                <w:sz w:val="20"/>
                <w:highlight w:val="black"/>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iCs/>
                <w:snapToGrid/>
                <w:sz w:val="20"/>
                <w:highlight w:val="black"/>
              </w:rPr>
            </w:pPr>
            <w:r>
              <w:rPr>
                <w:rFonts w:ascii="Arial Narrow" w:hAnsi="Arial Narrow"/>
                <w:iCs/>
                <w:noProof/>
                <w:snapToGrid/>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iCs/>
                <w:snapToGrid/>
                <w:sz w:val="20"/>
                <w:highlight w:val="black"/>
              </w:rPr>
            </w:pPr>
            <w:r>
              <w:rPr>
                <w:rFonts w:ascii="Arial Narrow" w:hAnsi="Arial Narrow"/>
                <w:iCs/>
                <w:noProof/>
                <w:snapToGrid/>
                <w:color w:val="000000"/>
                <w:sz w:val="20"/>
                <w:highlight w:val="black"/>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iCs/>
                <w:snapToGrid/>
                <w:sz w:val="20"/>
                <w:highlight w:val="black"/>
              </w:rPr>
            </w:pPr>
            <w:r>
              <w:rPr>
                <w:rFonts w:ascii="Arial Narrow" w:hAnsi="Arial Narrow"/>
                <w:iCs/>
                <w:noProof/>
                <w:snapToGrid/>
                <w:color w:val="000000"/>
                <w:sz w:val="20"/>
                <w:highlight w:val="black"/>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iCs/>
                <w:snapToGrid/>
                <w:sz w:val="20"/>
                <w:highlight w:val="black"/>
              </w:rPr>
            </w:pPr>
            <w:r>
              <w:rPr>
                <w:rFonts w:ascii="Arial Narrow" w:hAnsi="Arial Narrow"/>
                <w:iCs/>
                <w:noProof/>
                <w:snapToGrid/>
                <w:color w:val="000000"/>
                <w:sz w:val="20"/>
                <w:highlight w:val="black"/>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snapToGrid/>
                <w:sz w:val="20"/>
                <w:lang w:val="en-GB"/>
              </w:rPr>
            </w:pPr>
            <w:r w:rsidRPr="0036547F">
              <w:rPr>
                <w:rFonts w:ascii="Arial Narrow" w:hAnsi="Arial Narrow"/>
                <w:snapToGrid/>
                <w:sz w:val="20"/>
                <w:lang w:val="en-GB"/>
              </w:rPr>
              <w:t>Uptake among eligible population</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snapToGrid/>
                <w:sz w:val="20"/>
                <w:lang w:val="en-GB"/>
              </w:rPr>
            </w:pPr>
            <w:r w:rsidRPr="0036547F">
              <w:rPr>
                <w:rFonts w:ascii="Arial Narrow" w:hAnsi="Arial Narrow"/>
                <w:snapToGrid/>
                <w:sz w:val="20"/>
                <w:lang w:val="en-GB"/>
              </w:rPr>
              <w:t>Eligible patients receiving treatment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snapToGrid/>
                <w:sz w:val="20"/>
                <w:lang w:val="en-GB"/>
              </w:rPr>
            </w:pPr>
            <w:r w:rsidRPr="0036547F">
              <w:rPr>
                <w:rFonts w:ascii="Arial Narrow" w:hAnsi="Arial Narrow"/>
                <w:snapToGrid/>
                <w:sz w:val="20"/>
                <w:lang w:val="en-GB"/>
              </w:rPr>
              <w:t>Average prescription per patient/year</w:t>
            </w:r>
          </w:p>
        </w:tc>
        <w:tc>
          <w:tcPr>
            <w:tcW w:w="3729" w:type="pct"/>
            <w:gridSpan w:val="5"/>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snapToGrid/>
                <w:sz w:val="20"/>
                <w:highlight w:val="black"/>
                <w:lang w:val="en-GB"/>
              </w:rPr>
            </w:pPr>
            <w:r>
              <w:rPr>
                <w:rFonts w:ascii="Arial Narrow" w:hAnsi="Arial Narrow"/>
                <w:noProof/>
                <w:snapToGrid/>
                <w:color w:val="000000"/>
                <w:sz w:val="20"/>
                <w:highlight w:val="black"/>
                <w:lang w:val="en-GB"/>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hideMark/>
          </w:tcPr>
          <w:p w:rsidR="005B4BFE" w:rsidRPr="002E19FB" w:rsidRDefault="005B4BFE" w:rsidP="005B4BFE">
            <w:pPr>
              <w:tabs>
                <w:tab w:val="left" w:pos="142"/>
              </w:tabs>
              <w:snapToGrid w:val="0"/>
              <w:jc w:val="left"/>
              <w:rPr>
                <w:rFonts w:ascii="Arial Narrow" w:hAnsi="Arial Narrow"/>
                <w:snapToGrid/>
                <w:sz w:val="20"/>
                <w:vertAlign w:val="superscript"/>
              </w:rPr>
            </w:pPr>
            <w:r w:rsidRPr="0036547F">
              <w:rPr>
                <w:rFonts w:ascii="Arial Narrow" w:hAnsi="Arial Narrow"/>
                <w:snapToGrid/>
                <w:sz w:val="20"/>
                <w:lang w:val="en-GB"/>
              </w:rPr>
              <w:t xml:space="preserve">Total utilisation </w:t>
            </w:r>
            <w:r w:rsidR="002E19FB">
              <w:rPr>
                <w:rFonts w:ascii="Arial Narrow" w:hAnsi="Arial Narrow"/>
                <w:noProof/>
                <w:snapToGrid/>
                <w:color w:val="000000"/>
                <w:sz w:val="20"/>
                <w:highlight w:val="black"/>
                <w:lang w:val="en-GB"/>
              </w:rPr>
              <w:t>''''''''''' '''' ''''''''''</w:t>
            </w:r>
            <w:r w:rsidRPr="0036547F">
              <w:rPr>
                <w:rFonts w:ascii="Arial Narrow" w:hAnsi="Arial Narrow"/>
                <w:snapToGrid/>
                <w:sz w:val="20"/>
                <w:lang w:val="en-GB"/>
              </w:rPr>
              <w:t xml:space="preserve"> mg packs)</w:t>
            </w:r>
            <w:r w:rsidRPr="0036547F">
              <w:rPr>
                <w:rFonts w:ascii="Arial Narrow" w:hAnsi="Arial Narrow"/>
                <w:snapToGrid/>
                <w:sz w:val="20"/>
                <w:vertAlign w:val="superscript"/>
                <w:lang w:val="en-GB"/>
              </w:rPr>
              <w:t>a</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center"/>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r>
      <w:tr w:rsidR="005B4BFE" w:rsidRPr="008F3F43" w:rsidTr="00F447E5">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b/>
                <w:bCs/>
                <w:snapToGrid/>
                <w:color w:val="000000"/>
                <w:sz w:val="20"/>
              </w:rPr>
            </w:pPr>
            <w:r w:rsidRPr="0036547F">
              <w:rPr>
                <w:rFonts w:ascii="Arial Narrow" w:hAnsi="Arial Narrow"/>
                <w:b/>
                <w:bCs/>
                <w:snapToGrid/>
                <w:color w:val="000000"/>
                <w:sz w:val="20"/>
              </w:rPr>
              <w:t>Estimated net cost to PBS/RPBS</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tabs>
                <w:tab w:val="left" w:pos="142"/>
              </w:tabs>
              <w:snapToGrid w:val="0"/>
              <w:jc w:val="left"/>
              <w:rPr>
                <w:rFonts w:ascii="Arial Narrow" w:hAnsi="Arial Narrow"/>
                <w:snapToGrid/>
                <w:sz w:val="20"/>
              </w:rPr>
            </w:pPr>
            <w:r w:rsidRPr="0036547F">
              <w:rPr>
                <w:rFonts w:ascii="Arial Narrow" w:hAnsi="Arial Narrow"/>
                <w:snapToGrid/>
                <w:sz w:val="20"/>
              </w:rPr>
              <w:t>Net cost to PBS</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tabs>
                <w:tab w:val="left" w:pos="142"/>
              </w:tabs>
              <w:snapToGrid w:val="0"/>
              <w:jc w:val="left"/>
              <w:rPr>
                <w:rFonts w:ascii="Arial Narrow" w:hAnsi="Arial Narrow"/>
                <w:snapToGrid/>
                <w:sz w:val="20"/>
              </w:rPr>
            </w:pPr>
            <w:r w:rsidRPr="0036547F">
              <w:rPr>
                <w:rFonts w:ascii="Arial Narrow" w:hAnsi="Arial Narrow"/>
                <w:snapToGrid/>
                <w:sz w:val="20"/>
              </w:rPr>
              <w:t>Net cost to RPBS</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bCs/>
                <w:snapToGrid/>
                <w:color w:val="000000"/>
                <w:sz w:val="20"/>
                <w:highlight w:val="black"/>
              </w:rPr>
            </w:pPr>
            <w:r>
              <w:rPr>
                <w:rFonts w:ascii="Arial Narrow" w:hAnsi="Arial Narrow"/>
                <w:noProof/>
                <w:snapToGrid/>
                <w:color w:val="000000"/>
                <w:sz w:val="20"/>
                <w:highlight w:val="black"/>
                <w:lang w:val="en-GB"/>
              </w:rPr>
              <w:t>'''''''''''''''''''''''''''</w:t>
            </w:r>
          </w:p>
        </w:tc>
      </w:tr>
      <w:tr w:rsidR="005B4BFE" w:rsidRPr="008F3F43" w:rsidTr="00F447E5">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b/>
                <w:snapToGrid/>
                <w:color w:val="000000"/>
                <w:sz w:val="20"/>
              </w:rPr>
            </w:pPr>
            <w:r w:rsidRPr="0036547F">
              <w:rPr>
                <w:rFonts w:ascii="Arial Narrow" w:hAnsi="Arial Narrow"/>
                <w:b/>
                <w:snapToGrid/>
                <w:color w:val="000000"/>
                <w:sz w:val="20"/>
              </w:rPr>
              <w:t xml:space="preserve">Estimated total net cost </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tabs>
                <w:tab w:val="left" w:pos="142"/>
              </w:tabs>
              <w:snapToGrid w:val="0"/>
              <w:jc w:val="left"/>
              <w:rPr>
                <w:rFonts w:ascii="Arial Narrow" w:hAnsi="Arial Narrow"/>
                <w:b/>
                <w:snapToGrid/>
                <w:sz w:val="20"/>
              </w:rPr>
            </w:pPr>
            <w:r w:rsidRPr="0036547F">
              <w:rPr>
                <w:rFonts w:ascii="Arial Narrow" w:hAnsi="Arial Narrow"/>
                <w:b/>
                <w:bCs/>
                <w:snapToGrid/>
                <w:color w:val="000000"/>
                <w:sz w:val="20"/>
              </w:rPr>
              <w:t>Net cost to PBS/RPBS</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lang w:val="en-GB"/>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lang w:val="en-GB"/>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lang w:val="en-GB"/>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lang w:val="en-GB"/>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lang w:val="en-GB"/>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hideMark/>
          </w:tcPr>
          <w:p w:rsidR="005B4BFE" w:rsidRPr="002E19FB" w:rsidRDefault="005B4BFE" w:rsidP="005B4BFE">
            <w:pPr>
              <w:tabs>
                <w:tab w:val="left" w:pos="142"/>
              </w:tabs>
              <w:snapToGrid w:val="0"/>
              <w:jc w:val="left"/>
              <w:rPr>
                <w:rFonts w:ascii="Arial Narrow" w:hAnsi="Arial Narrow"/>
                <w:b/>
                <w:bCs/>
                <w:snapToGrid/>
                <w:color w:val="000000"/>
                <w:sz w:val="20"/>
              </w:rPr>
            </w:pPr>
            <w:r w:rsidRPr="0036547F">
              <w:rPr>
                <w:rFonts w:ascii="Arial Narrow" w:hAnsi="Arial Narrow"/>
                <w:snapToGrid/>
                <w:sz w:val="20"/>
              </w:rPr>
              <w:t>Average cost of managing TEAEs</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hideMark/>
          </w:tcPr>
          <w:p w:rsidR="005B4BFE" w:rsidRPr="002E19FB" w:rsidRDefault="005B4BFE" w:rsidP="005B4BFE">
            <w:pPr>
              <w:tabs>
                <w:tab w:val="left" w:pos="142"/>
              </w:tabs>
              <w:snapToGrid w:val="0"/>
              <w:jc w:val="left"/>
              <w:rPr>
                <w:rFonts w:ascii="Arial Narrow" w:hAnsi="Arial Narrow"/>
                <w:b/>
                <w:bCs/>
                <w:snapToGrid/>
                <w:color w:val="000000"/>
                <w:sz w:val="20"/>
              </w:rPr>
            </w:pPr>
            <w:r w:rsidRPr="0036547F">
              <w:rPr>
                <w:rFonts w:ascii="Arial Narrow" w:hAnsi="Arial Narrow"/>
                <w:snapToGrid/>
                <w:sz w:val="20"/>
              </w:rPr>
              <w:t>Estimated total cost to Government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sz w:val="20"/>
                <w:highlight w:val="black"/>
                <w:lang w:val="en-GB"/>
              </w:rPr>
            </w:pPr>
            <w:r>
              <w:rPr>
                <w:rFonts w:ascii="Arial Narrow" w:hAnsi="Arial Narrow"/>
                <w:noProof/>
                <w:snapToGrid/>
                <w:color w:val="000000"/>
                <w:sz w:val="20"/>
                <w:highlight w:val="black"/>
              </w:rPr>
              <w:t>''''''''''''''''''''''''''''''''</w:t>
            </w:r>
          </w:p>
        </w:tc>
      </w:tr>
      <w:tr w:rsidR="005B4BFE" w:rsidRPr="008F3F43" w:rsidTr="00F447E5">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b/>
                <w:snapToGrid/>
                <w:sz w:val="20"/>
              </w:rPr>
            </w:pPr>
            <w:r w:rsidRPr="0036547F">
              <w:rPr>
                <w:rFonts w:ascii="Arial Narrow" w:hAnsi="Arial Narrow"/>
                <w:b/>
                <w:snapToGrid/>
                <w:sz w:val="20"/>
              </w:rPr>
              <w:t xml:space="preserve">Sensitivity analyses (Net cost to Australian Government) </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hideMark/>
          </w:tcPr>
          <w:p w:rsidR="005B4BFE" w:rsidRPr="002E19FB" w:rsidRDefault="005B4BFE" w:rsidP="005B4BFE">
            <w:pPr>
              <w:snapToGrid w:val="0"/>
              <w:jc w:val="left"/>
              <w:rPr>
                <w:rFonts w:ascii="Arial Narrow" w:hAnsi="Arial Narrow"/>
                <w:snapToGrid/>
                <w:sz w:val="20"/>
              </w:rPr>
            </w:pPr>
            <w:r w:rsidRPr="0036547F">
              <w:rPr>
                <w:rFonts w:ascii="Arial Narrow" w:hAnsi="Arial Narrow"/>
                <w:snapToGrid/>
                <w:sz w:val="20"/>
              </w:rPr>
              <w:t>Prevalence inflation factor =1</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r>
      <w:tr w:rsidR="005B4BFE" w:rsidRPr="008F3F43" w:rsidTr="00F447E5">
        <w:tc>
          <w:tcPr>
            <w:tcW w:w="1271"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5B4BFE" w:rsidP="005B4BFE">
            <w:pPr>
              <w:snapToGrid w:val="0"/>
              <w:jc w:val="left"/>
              <w:rPr>
                <w:rFonts w:ascii="Arial Narrow" w:hAnsi="Arial Narrow"/>
                <w:snapToGrid/>
                <w:sz w:val="20"/>
              </w:rPr>
            </w:pPr>
            <w:r w:rsidRPr="0036547F">
              <w:rPr>
                <w:rFonts w:ascii="Arial Narrow" w:hAnsi="Arial Narrow"/>
                <w:snapToGrid/>
                <w:sz w:val="20"/>
              </w:rPr>
              <w:t>Cost of adverse events = $</w:t>
            </w:r>
            <w:r w:rsidR="002E19FB">
              <w:rPr>
                <w:rFonts w:ascii="Arial Narrow" w:hAnsi="Arial Narrow"/>
                <w:noProof/>
                <w:snapToGrid/>
                <w:color w:val="000000"/>
                <w:sz w:val="20"/>
                <w:highlight w:val="black"/>
              </w:rPr>
              <w:t>''''''</w:t>
            </w:r>
            <w:r w:rsidRPr="0036547F">
              <w:rPr>
                <w:rFonts w:ascii="Arial Narrow" w:hAnsi="Arial Narrow"/>
                <w:snapToGrid/>
                <w:sz w:val="20"/>
              </w:rPr>
              <w:t xml:space="preserve"> per patient</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60"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0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65"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c>
          <w:tcPr>
            <w:tcW w:w="738" w:type="pct"/>
            <w:tcBorders>
              <w:top w:val="single" w:sz="4" w:space="0" w:color="auto"/>
              <w:left w:val="single" w:sz="4" w:space="0" w:color="auto"/>
              <w:bottom w:val="single" w:sz="4" w:space="0" w:color="auto"/>
              <w:right w:val="single" w:sz="4" w:space="0" w:color="auto"/>
            </w:tcBorders>
            <w:vAlign w:val="center"/>
            <w:hideMark/>
          </w:tcPr>
          <w:p w:rsidR="005B4BFE" w:rsidRPr="002E19FB" w:rsidRDefault="002E19FB" w:rsidP="005B4BFE">
            <w:pPr>
              <w:snapToGrid w:val="0"/>
              <w:jc w:val="right"/>
              <w:rPr>
                <w:rFonts w:ascii="Arial Narrow" w:hAnsi="Arial Narrow"/>
                <w:snapToGrid/>
                <w:color w:val="000000"/>
                <w:sz w:val="20"/>
                <w:highlight w:val="black"/>
              </w:rPr>
            </w:pPr>
            <w:r>
              <w:rPr>
                <w:rFonts w:ascii="Arial Narrow" w:hAnsi="Arial Narrow"/>
                <w:noProof/>
                <w:snapToGrid/>
                <w:color w:val="000000"/>
                <w:sz w:val="20"/>
                <w:highlight w:val="black"/>
              </w:rPr>
              <w:t xml:space="preserve">''''''''''''''''''''''''''''''''' </w:t>
            </w:r>
          </w:p>
        </w:tc>
      </w:tr>
    </w:tbl>
    <w:p w:rsidR="005B4BFE" w:rsidRPr="0036547F" w:rsidRDefault="005B4BFE" w:rsidP="00F447E5">
      <w:pPr>
        <w:snapToGrid w:val="0"/>
        <w:ind w:left="709"/>
        <w:rPr>
          <w:snapToGrid/>
          <w:sz w:val="18"/>
          <w:szCs w:val="18"/>
        </w:rPr>
      </w:pPr>
      <w:r w:rsidRPr="0036547F">
        <w:rPr>
          <w:snapToGrid/>
          <w:sz w:val="18"/>
          <w:szCs w:val="18"/>
        </w:rPr>
        <w:t>Figures were re-calculated during the evaluation, correcting for the error in calculating prevalence of locally advanced or metastatic differentiated thyroid carcinoma cases refractory to radioactive iodine</w:t>
      </w:r>
    </w:p>
    <w:p w:rsidR="005B4BFE" w:rsidRPr="0036547F" w:rsidRDefault="005B4BFE" w:rsidP="00F447E5">
      <w:pPr>
        <w:snapToGrid w:val="0"/>
        <w:ind w:left="709"/>
        <w:rPr>
          <w:snapToGrid/>
          <w:sz w:val="18"/>
          <w:szCs w:val="18"/>
        </w:rPr>
      </w:pPr>
      <w:proofErr w:type="spellStart"/>
      <w:proofErr w:type="gramStart"/>
      <w:r w:rsidRPr="0036547F">
        <w:rPr>
          <w:snapToGrid/>
          <w:sz w:val="18"/>
          <w:szCs w:val="18"/>
          <w:vertAlign w:val="superscript"/>
        </w:rPr>
        <w:t>a</w:t>
      </w:r>
      <w:proofErr w:type="spellEnd"/>
      <w:proofErr w:type="gramEnd"/>
      <w:r w:rsidRPr="0036547F">
        <w:rPr>
          <w:snapToGrid/>
          <w:sz w:val="18"/>
          <w:szCs w:val="18"/>
        </w:rPr>
        <w:t xml:space="preserve"> Assuming </w:t>
      </w:r>
      <w:r w:rsidR="002E19FB">
        <w:rPr>
          <w:noProof/>
          <w:snapToGrid/>
          <w:color w:val="000000"/>
          <w:sz w:val="18"/>
          <w:szCs w:val="18"/>
          <w:highlight w:val="black"/>
        </w:rPr>
        <w:t>''''''''''</w:t>
      </w:r>
      <w:r w:rsidRPr="0036547F">
        <w:rPr>
          <w:snapToGrid/>
          <w:sz w:val="18"/>
          <w:szCs w:val="18"/>
        </w:rPr>
        <w:t xml:space="preserve"> packs per patient per year as estimated by the submission.</w:t>
      </w:r>
    </w:p>
    <w:p w:rsidR="005B4BFE" w:rsidRPr="0036547F" w:rsidRDefault="005B4BFE" w:rsidP="00F447E5">
      <w:pPr>
        <w:snapToGrid w:val="0"/>
        <w:ind w:left="709"/>
        <w:rPr>
          <w:snapToGrid/>
          <w:sz w:val="18"/>
          <w:szCs w:val="18"/>
        </w:rPr>
      </w:pPr>
      <w:r w:rsidRPr="0036547F">
        <w:rPr>
          <w:snapToGrid/>
          <w:sz w:val="18"/>
          <w:szCs w:val="18"/>
        </w:rPr>
        <w:t>PBS = Pharmaceutical Benefits Schedule; RPBS = Repatriation Pharmaceutical Benefits Scheme; TEAE = treatment emergent adverse events</w:t>
      </w:r>
    </w:p>
    <w:p w:rsidR="00FD5E86" w:rsidRPr="0036547F" w:rsidRDefault="005B4BFE" w:rsidP="00E80970">
      <w:pPr>
        <w:snapToGrid w:val="0"/>
        <w:ind w:left="709"/>
        <w:rPr>
          <w:snapToGrid/>
          <w:sz w:val="18"/>
          <w:szCs w:val="18"/>
        </w:rPr>
      </w:pPr>
      <w:r w:rsidRPr="0036547F">
        <w:rPr>
          <w:snapToGrid/>
          <w:sz w:val="18"/>
          <w:szCs w:val="18"/>
        </w:rPr>
        <w:t>Source: Table 87, p159 of the submission and “Attachment 3 - Section E Workbook 10032014.xslx”, worksheet E1-background and assumptions</w:t>
      </w:r>
    </w:p>
    <w:p w:rsidR="00A46A35" w:rsidRDefault="00A46A35" w:rsidP="00017097">
      <w:pPr>
        <w:widowControl/>
        <w:jc w:val="left"/>
        <w:rPr>
          <w:b/>
          <w:snapToGrid/>
          <w:szCs w:val="22"/>
          <w:lang w:eastAsia="en-AU"/>
        </w:rPr>
      </w:pPr>
    </w:p>
    <w:p w:rsidR="005A1132" w:rsidRPr="005A1132" w:rsidRDefault="005A1132" w:rsidP="005A1132">
      <w:pPr>
        <w:pStyle w:val="ListParagraph"/>
        <w:ind w:left="709"/>
        <w:rPr>
          <w:i/>
          <w:szCs w:val="22"/>
        </w:rPr>
      </w:pPr>
      <w:r>
        <w:rPr>
          <w:i/>
          <w:szCs w:val="22"/>
        </w:rPr>
        <w:t>For more detail on PBAC’s view, see section 7 “PBAC outcome”</w:t>
      </w:r>
    </w:p>
    <w:p w:rsidR="00F82597" w:rsidRPr="00F82597" w:rsidRDefault="00F82597" w:rsidP="00F82597">
      <w:pPr>
        <w:widowControl/>
        <w:rPr>
          <w:rFonts w:cs="Times New Roman"/>
          <w:b/>
          <w:snapToGrid/>
          <w:szCs w:val="22"/>
          <w:lang w:eastAsia="en-AU"/>
        </w:rPr>
      </w:pPr>
    </w:p>
    <w:p w:rsidR="00F82597" w:rsidRPr="0001306F" w:rsidRDefault="00F82597" w:rsidP="00F30717">
      <w:pPr>
        <w:pStyle w:val="ListParagraph"/>
        <w:widowControl/>
        <w:numPr>
          <w:ilvl w:val="0"/>
          <w:numId w:val="1"/>
        </w:numPr>
        <w:rPr>
          <w:b/>
        </w:rPr>
      </w:pPr>
      <w:r w:rsidRPr="0001306F">
        <w:rPr>
          <w:b/>
        </w:rPr>
        <w:lastRenderedPageBreak/>
        <w:t xml:space="preserve">PBAC Outcome </w:t>
      </w:r>
    </w:p>
    <w:p w:rsidR="00D12D36" w:rsidRPr="00F41F29" w:rsidRDefault="00D12D36" w:rsidP="00154A16">
      <w:pPr>
        <w:widowControl/>
        <w:contextualSpacing/>
        <w:jc w:val="left"/>
        <w:rPr>
          <w:rFonts w:cs="Times New Roman"/>
          <w:snapToGrid/>
          <w:szCs w:val="22"/>
          <w:lang w:eastAsia="en-AU"/>
        </w:rPr>
      </w:pPr>
    </w:p>
    <w:p w:rsidR="00154A16" w:rsidRPr="00572242" w:rsidRDefault="00154A16" w:rsidP="00F30717">
      <w:pPr>
        <w:pStyle w:val="ListParagraph"/>
        <w:widowControl/>
        <w:numPr>
          <w:ilvl w:val="1"/>
          <w:numId w:val="1"/>
        </w:numPr>
        <w:rPr>
          <w:rFonts w:cs="Times New Roman"/>
          <w:snapToGrid/>
          <w:szCs w:val="22"/>
          <w:lang w:eastAsia="en-AU"/>
        </w:rPr>
      </w:pPr>
      <w:r w:rsidRPr="00572242">
        <w:rPr>
          <w:rFonts w:cs="Times New Roman"/>
          <w:snapToGrid/>
          <w:szCs w:val="22"/>
          <w:lang w:eastAsia="en-AU"/>
        </w:rPr>
        <w:t xml:space="preserve">The PBAC rejected the submission for PBS listing of </w:t>
      </w:r>
      <w:proofErr w:type="spellStart"/>
      <w:r w:rsidRPr="00572242">
        <w:rPr>
          <w:rFonts w:cs="Times New Roman"/>
          <w:snapToGrid/>
          <w:szCs w:val="22"/>
          <w:lang w:eastAsia="en-AU"/>
        </w:rPr>
        <w:t>sorafenib</w:t>
      </w:r>
      <w:proofErr w:type="spellEnd"/>
      <w:r w:rsidRPr="00572242">
        <w:rPr>
          <w:rFonts w:cs="Times New Roman"/>
          <w:snapToGrid/>
          <w:szCs w:val="22"/>
          <w:lang w:eastAsia="en-AU"/>
        </w:rPr>
        <w:t xml:space="preserve"> for differentiated thyroid carcinoma refractory to radioactive iodine on the basis of high and uncertain cost effectiveness, a sub</w:t>
      </w:r>
      <w:r w:rsidR="00CC5E05">
        <w:rPr>
          <w:rFonts w:cs="Times New Roman"/>
          <w:snapToGrid/>
          <w:szCs w:val="22"/>
          <w:lang w:eastAsia="en-AU"/>
        </w:rPr>
        <w:t>-</w:t>
      </w:r>
      <w:r w:rsidRPr="00572242">
        <w:rPr>
          <w:rFonts w:cs="Times New Roman"/>
          <w:snapToGrid/>
          <w:szCs w:val="22"/>
          <w:lang w:eastAsia="en-AU"/>
        </w:rPr>
        <w:t>optimally defined patient population and uncertain clinical benefit.</w:t>
      </w:r>
      <w:r w:rsidR="00572242" w:rsidRPr="00572242">
        <w:rPr>
          <w:rFonts w:cs="Times New Roman"/>
          <w:snapToGrid/>
          <w:szCs w:val="22"/>
          <w:lang w:eastAsia="en-AU"/>
        </w:rPr>
        <w:t xml:space="preserve"> The PBAC considered that there may be a small population for which this drug may be of benefit - in patients with rapid disease and symptomatic progression where the prognosis is poorer. However the submission did not provide sufficient data to define this group of patients and how they would be identified in clinical practice. The PBAC considered that it was uncertain whether a gain in PFS was clinically meaningful in this type of cancer, in the absence of evidence of a benefit in OS, noting that before progression, health related quality of life data from the trial favoured placebo compared with </w:t>
      </w:r>
      <w:proofErr w:type="spellStart"/>
      <w:r w:rsidR="00572242" w:rsidRPr="00572242">
        <w:rPr>
          <w:rFonts w:cs="Times New Roman"/>
          <w:snapToGrid/>
          <w:szCs w:val="22"/>
          <w:lang w:eastAsia="en-AU"/>
        </w:rPr>
        <w:t>sorafenib</w:t>
      </w:r>
      <w:proofErr w:type="spellEnd"/>
      <w:r w:rsidR="00572242" w:rsidRPr="00572242">
        <w:rPr>
          <w:rFonts w:cs="Times New Roman"/>
          <w:snapToGrid/>
          <w:szCs w:val="22"/>
          <w:lang w:eastAsia="en-AU"/>
        </w:rPr>
        <w:t xml:space="preserve">. The PBAC considered that due to the </w:t>
      </w:r>
      <w:r w:rsidR="00CC5E05">
        <w:rPr>
          <w:rFonts w:cs="Times New Roman"/>
          <w:snapToGrid/>
          <w:szCs w:val="22"/>
          <w:lang w:eastAsia="en-AU"/>
        </w:rPr>
        <w:t>sub-optimally</w:t>
      </w:r>
      <w:r w:rsidR="0070284E">
        <w:rPr>
          <w:rFonts w:cs="Times New Roman"/>
          <w:snapToGrid/>
          <w:szCs w:val="22"/>
          <w:lang w:eastAsia="en-AU"/>
        </w:rPr>
        <w:t xml:space="preserve"> defined</w:t>
      </w:r>
      <w:r w:rsidR="00572242" w:rsidRPr="00572242">
        <w:rPr>
          <w:rFonts w:cs="Times New Roman"/>
          <w:snapToGrid/>
          <w:szCs w:val="22"/>
          <w:lang w:eastAsia="en-AU"/>
        </w:rPr>
        <w:t xml:space="preserve"> nature of the treatment population, and insufficient evidence to support a meaningful clinical benefit, the resulting ICER is high and uncertain. </w:t>
      </w:r>
    </w:p>
    <w:p w:rsidR="00154A16" w:rsidRDefault="00154A16" w:rsidP="00154A16">
      <w:pPr>
        <w:widowControl/>
        <w:ind w:left="709"/>
        <w:contextualSpacing/>
        <w:jc w:val="left"/>
        <w:rPr>
          <w:rFonts w:cs="Times New Roman"/>
          <w:snapToGrid/>
          <w:szCs w:val="22"/>
          <w:lang w:eastAsia="en-AU"/>
        </w:rPr>
      </w:pPr>
    </w:p>
    <w:p w:rsidR="00D12D36" w:rsidRPr="00DA0A62" w:rsidRDefault="00D12D36" w:rsidP="00F30717">
      <w:pPr>
        <w:pStyle w:val="ListParagraph"/>
        <w:widowControl/>
        <w:numPr>
          <w:ilvl w:val="1"/>
          <w:numId w:val="1"/>
        </w:numPr>
        <w:rPr>
          <w:rFonts w:cs="Times New Roman"/>
          <w:snapToGrid/>
          <w:szCs w:val="22"/>
          <w:lang w:eastAsia="en-AU"/>
        </w:rPr>
      </w:pPr>
      <w:r>
        <w:rPr>
          <w:rFonts w:cs="Times New Roman"/>
          <w:snapToGrid/>
          <w:szCs w:val="22"/>
          <w:lang w:eastAsia="en-AU"/>
        </w:rPr>
        <w:t xml:space="preserve">The PBAC noted that in the past 40 years, the rate of mortality of thyroid cancer has remained </w:t>
      </w:r>
      <w:proofErr w:type="gramStart"/>
      <w:r>
        <w:rPr>
          <w:rFonts w:cs="Times New Roman"/>
          <w:snapToGrid/>
          <w:szCs w:val="22"/>
          <w:lang w:eastAsia="en-AU"/>
        </w:rPr>
        <w:t>cons</w:t>
      </w:r>
      <w:r w:rsidR="00EA557C">
        <w:rPr>
          <w:rFonts w:cs="Times New Roman"/>
          <w:snapToGrid/>
          <w:szCs w:val="22"/>
          <w:lang w:eastAsia="en-AU"/>
        </w:rPr>
        <w:t>tant</w:t>
      </w:r>
      <w:r>
        <w:rPr>
          <w:rFonts w:cs="Times New Roman"/>
          <w:snapToGrid/>
          <w:szCs w:val="22"/>
          <w:lang w:eastAsia="en-AU"/>
        </w:rPr>
        <w:t>,</w:t>
      </w:r>
      <w:proofErr w:type="gramEnd"/>
      <w:r>
        <w:rPr>
          <w:rFonts w:cs="Times New Roman"/>
          <w:snapToGrid/>
          <w:szCs w:val="22"/>
          <w:lang w:eastAsia="en-AU"/>
        </w:rPr>
        <w:t xml:space="preserve"> however the incidence has dramatically increased. The PBAC </w:t>
      </w:r>
      <w:r w:rsidR="002D20A4">
        <w:rPr>
          <w:rFonts w:cs="Times New Roman"/>
          <w:snapToGrid/>
          <w:szCs w:val="22"/>
          <w:lang w:eastAsia="en-AU"/>
        </w:rPr>
        <w:t xml:space="preserve">noted </w:t>
      </w:r>
      <w:r>
        <w:rPr>
          <w:rFonts w:cs="Times New Roman"/>
          <w:snapToGrid/>
          <w:szCs w:val="22"/>
          <w:lang w:eastAsia="en-AU"/>
        </w:rPr>
        <w:t xml:space="preserve">that this </w:t>
      </w:r>
      <w:r w:rsidR="002D20A4">
        <w:rPr>
          <w:rFonts w:cs="Times New Roman"/>
          <w:snapToGrid/>
          <w:szCs w:val="22"/>
          <w:lang w:eastAsia="en-AU"/>
        </w:rPr>
        <w:t>rise was attributed to over-detection of papillary thyroid cancer.</w:t>
      </w:r>
    </w:p>
    <w:p w:rsidR="00F82597" w:rsidRPr="00F747DA" w:rsidRDefault="00F82597" w:rsidP="00F82597">
      <w:pPr>
        <w:widowControl/>
        <w:ind w:left="720"/>
        <w:contextualSpacing/>
        <w:jc w:val="left"/>
        <w:rPr>
          <w:rFonts w:cs="Times New Roman"/>
          <w:snapToGrid/>
          <w:szCs w:val="22"/>
          <w:lang w:eastAsia="en-AU"/>
        </w:rPr>
      </w:pPr>
    </w:p>
    <w:p w:rsidR="00F82597" w:rsidRPr="00F747DA" w:rsidRDefault="007156E3" w:rsidP="00F30717">
      <w:pPr>
        <w:pStyle w:val="ListParagraph"/>
        <w:widowControl/>
        <w:numPr>
          <w:ilvl w:val="1"/>
          <w:numId w:val="1"/>
        </w:numPr>
        <w:rPr>
          <w:rFonts w:cs="Times New Roman"/>
          <w:snapToGrid/>
          <w:szCs w:val="22"/>
          <w:lang w:eastAsia="en-AU"/>
        </w:rPr>
      </w:pPr>
      <w:r w:rsidRPr="00F747DA">
        <w:rPr>
          <w:rFonts w:cs="Times New Roman"/>
          <w:snapToGrid/>
          <w:szCs w:val="22"/>
          <w:lang w:eastAsia="en-AU"/>
        </w:rPr>
        <w:t xml:space="preserve">The PBAC noted that there are no drugs listed on the </w:t>
      </w:r>
      <w:r w:rsidR="00B064F3" w:rsidRPr="00F747DA">
        <w:rPr>
          <w:rFonts w:cs="Times New Roman"/>
          <w:snapToGrid/>
          <w:szCs w:val="22"/>
          <w:lang w:eastAsia="en-AU"/>
        </w:rPr>
        <w:t>PBS for the requested indication</w:t>
      </w:r>
      <w:r w:rsidR="00FD6127">
        <w:rPr>
          <w:rFonts w:cs="Times New Roman"/>
          <w:snapToGrid/>
          <w:szCs w:val="22"/>
          <w:lang w:eastAsia="en-AU"/>
        </w:rPr>
        <w:t xml:space="preserve"> and that there was need for new treatment options for patients with RAI refractory disease in the subgroup of individuals whose disease was recently progressive</w:t>
      </w:r>
      <w:r w:rsidR="00963E0D" w:rsidRPr="00F747DA">
        <w:rPr>
          <w:rFonts w:cs="Times New Roman"/>
          <w:snapToGrid/>
          <w:szCs w:val="22"/>
          <w:lang w:eastAsia="en-AU"/>
        </w:rPr>
        <w:t>.</w:t>
      </w:r>
      <w:r w:rsidRPr="00F747DA">
        <w:rPr>
          <w:rFonts w:cs="Times New Roman"/>
          <w:snapToGrid/>
          <w:szCs w:val="22"/>
          <w:lang w:eastAsia="en-AU"/>
        </w:rPr>
        <w:t xml:space="preserve"> </w:t>
      </w:r>
      <w:r w:rsidR="006E57E4" w:rsidRPr="00F747DA">
        <w:rPr>
          <w:rFonts w:cs="Times New Roman"/>
          <w:snapToGrid/>
          <w:szCs w:val="22"/>
          <w:lang w:eastAsia="en-AU"/>
        </w:rPr>
        <w:t>The PBAC noted that</w:t>
      </w:r>
      <w:r w:rsidR="00764061" w:rsidRPr="00F747DA">
        <w:rPr>
          <w:rFonts w:cs="Times New Roman"/>
          <w:snapToGrid/>
          <w:szCs w:val="22"/>
          <w:lang w:eastAsia="en-AU"/>
        </w:rPr>
        <w:t xml:space="preserve"> </w:t>
      </w:r>
      <w:r w:rsidRPr="00F747DA">
        <w:rPr>
          <w:rFonts w:cs="Times New Roman"/>
          <w:snapToGrid/>
          <w:szCs w:val="22"/>
          <w:lang w:eastAsia="en-AU"/>
        </w:rPr>
        <w:t xml:space="preserve">treatment is not necessarily required </w:t>
      </w:r>
      <w:r w:rsidR="00EA73AA" w:rsidRPr="00F747DA">
        <w:rPr>
          <w:rFonts w:cs="Times New Roman"/>
          <w:snapToGrid/>
          <w:szCs w:val="22"/>
          <w:lang w:eastAsia="en-AU"/>
        </w:rPr>
        <w:t xml:space="preserve">for all patients with RAI-R </w:t>
      </w:r>
      <w:r w:rsidRPr="00F747DA">
        <w:rPr>
          <w:rFonts w:cs="Times New Roman"/>
          <w:snapToGrid/>
          <w:szCs w:val="22"/>
          <w:lang w:eastAsia="en-AU"/>
        </w:rPr>
        <w:t>thyroid cancer</w:t>
      </w:r>
      <w:r w:rsidR="00503541" w:rsidRPr="00F747DA">
        <w:rPr>
          <w:rFonts w:cs="Times New Roman"/>
          <w:snapToGrid/>
          <w:szCs w:val="22"/>
          <w:lang w:eastAsia="en-AU"/>
        </w:rPr>
        <w:t xml:space="preserve"> as</w:t>
      </w:r>
      <w:r w:rsidR="00764061" w:rsidRPr="00F747DA">
        <w:rPr>
          <w:rFonts w:cs="Times New Roman"/>
          <w:snapToGrid/>
          <w:szCs w:val="22"/>
          <w:lang w:eastAsia="en-AU"/>
        </w:rPr>
        <w:t xml:space="preserve"> </w:t>
      </w:r>
      <w:r w:rsidR="00503541" w:rsidRPr="00F747DA">
        <w:rPr>
          <w:rFonts w:cs="Times New Roman"/>
          <w:snapToGrid/>
          <w:szCs w:val="22"/>
          <w:lang w:eastAsia="en-AU"/>
        </w:rPr>
        <w:t>t</w:t>
      </w:r>
      <w:r w:rsidR="00764061" w:rsidRPr="00F747DA">
        <w:rPr>
          <w:rFonts w:cs="Times New Roman"/>
          <w:snapToGrid/>
          <w:szCs w:val="22"/>
          <w:lang w:eastAsia="en-AU"/>
        </w:rPr>
        <w:t>he disease can be asymptomatic,</w:t>
      </w:r>
      <w:r w:rsidR="00503541" w:rsidRPr="00F747DA">
        <w:rPr>
          <w:rFonts w:cs="Times New Roman"/>
          <w:snapToGrid/>
          <w:szCs w:val="22"/>
          <w:lang w:eastAsia="en-AU"/>
        </w:rPr>
        <w:t xml:space="preserve"> indolent and progress slowly</w:t>
      </w:r>
      <w:r w:rsidR="00764061" w:rsidRPr="00F747DA">
        <w:rPr>
          <w:rFonts w:cs="Times New Roman"/>
          <w:snapToGrid/>
          <w:szCs w:val="22"/>
          <w:lang w:eastAsia="en-AU"/>
        </w:rPr>
        <w:t>.</w:t>
      </w:r>
      <w:r w:rsidR="00963E0D" w:rsidRPr="00F747DA">
        <w:rPr>
          <w:rFonts w:cs="Times New Roman"/>
          <w:snapToGrid/>
          <w:szCs w:val="22"/>
          <w:lang w:eastAsia="en-AU"/>
        </w:rPr>
        <w:t xml:space="preserve"> </w:t>
      </w:r>
      <w:r w:rsidR="00F41F29">
        <w:rPr>
          <w:rFonts w:cs="Times New Roman"/>
          <w:snapToGrid/>
          <w:szCs w:val="22"/>
          <w:lang w:eastAsia="en-AU"/>
        </w:rPr>
        <w:t xml:space="preserve">In this regard, the PBAC noted that the clinical trial had very carefully selected patients for inclusion on the key study to ensure only patients in whom treatment was clinically indicated were recruited to the study. </w:t>
      </w:r>
      <w:r w:rsidR="00963E0D" w:rsidRPr="00F747DA">
        <w:rPr>
          <w:rFonts w:cs="Times New Roman"/>
          <w:snapToGrid/>
          <w:szCs w:val="22"/>
          <w:lang w:eastAsia="en-AU"/>
        </w:rPr>
        <w:t xml:space="preserve">The estimated median survival in this group of patients is 2.5 to 3.5 years. </w:t>
      </w:r>
      <w:r w:rsidR="00B064F3" w:rsidRPr="00F747DA">
        <w:rPr>
          <w:rFonts w:cs="Times New Roman"/>
          <w:snapToGrid/>
          <w:szCs w:val="22"/>
          <w:lang w:eastAsia="en-AU"/>
        </w:rPr>
        <w:t xml:space="preserve">The PBAC considered that </w:t>
      </w:r>
      <w:r w:rsidR="0086081D">
        <w:rPr>
          <w:rFonts w:cs="Times New Roman"/>
          <w:snapToGrid/>
          <w:szCs w:val="22"/>
          <w:lang w:eastAsia="en-AU"/>
        </w:rPr>
        <w:t>it</w:t>
      </w:r>
      <w:r w:rsidR="00F41F29">
        <w:rPr>
          <w:rFonts w:cs="Times New Roman"/>
          <w:snapToGrid/>
          <w:szCs w:val="22"/>
          <w:lang w:eastAsia="en-AU"/>
        </w:rPr>
        <w:t xml:space="preserve"> is important to define the</w:t>
      </w:r>
      <w:r w:rsidR="00B064F3" w:rsidRPr="00F747DA">
        <w:rPr>
          <w:rFonts w:cs="Times New Roman"/>
          <w:snapToGrid/>
          <w:szCs w:val="22"/>
          <w:lang w:eastAsia="en-AU"/>
        </w:rPr>
        <w:t xml:space="preserve"> small population </w:t>
      </w:r>
      <w:r w:rsidR="00F41F29">
        <w:rPr>
          <w:rFonts w:cs="Times New Roman"/>
          <w:snapToGrid/>
          <w:szCs w:val="22"/>
          <w:lang w:eastAsia="en-AU"/>
        </w:rPr>
        <w:t xml:space="preserve">of individuals </w:t>
      </w:r>
      <w:r w:rsidR="00B064F3" w:rsidRPr="00F747DA">
        <w:rPr>
          <w:rFonts w:cs="Times New Roman"/>
          <w:snapToGrid/>
          <w:szCs w:val="22"/>
          <w:lang w:eastAsia="en-AU"/>
        </w:rPr>
        <w:t xml:space="preserve">for </w:t>
      </w:r>
      <w:r w:rsidR="00F41F29">
        <w:rPr>
          <w:rFonts w:cs="Times New Roman"/>
          <w:snapToGrid/>
          <w:szCs w:val="22"/>
          <w:lang w:eastAsia="en-AU"/>
        </w:rPr>
        <w:t>whom this</w:t>
      </w:r>
      <w:r w:rsidR="00B064F3" w:rsidRPr="00F747DA">
        <w:rPr>
          <w:rFonts w:cs="Times New Roman"/>
          <w:snapToGrid/>
          <w:szCs w:val="22"/>
          <w:lang w:eastAsia="en-AU"/>
        </w:rPr>
        <w:t xml:space="preserve"> drug may be of benefit</w:t>
      </w:r>
      <w:r w:rsidR="00F41F29">
        <w:rPr>
          <w:rFonts w:cs="Times New Roman"/>
          <w:snapToGrid/>
          <w:szCs w:val="22"/>
          <w:lang w:eastAsia="en-AU"/>
        </w:rPr>
        <w:t>. This was likely to be the</w:t>
      </w:r>
      <w:r w:rsidR="00764061" w:rsidRPr="00F747DA">
        <w:rPr>
          <w:rFonts w:cs="Times New Roman"/>
          <w:snapToGrid/>
          <w:szCs w:val="22"/>
          <w:lang w:eastAsia="en-AU"/>
        </w:rPr>
        <w:t xml:space="preserve"> patients with rapid dise</w:t>
      </w:r>
      <w:r w:rsidR="00B064F3" w:rsidRPr="00F747DA">
        <w:rPr>
          <w:rFonts w:cs="Times New Roman"/>
          <w:snapToGrid/>
          <w:szCs w:val="22"/>
          <w:lang w:eastAsia="en-AU"/>
        </w:rPr>
        <w:t>ase and symptomatic progression where</w:t>
      </w:r>
      <w:r w:rsidR="00764061" w:rsidRPr="00F747DA">
        <w:rPr>
          <w:rFonts w:cs="Times New Roman"/>
          <w:snapToGrid/>
          <w:szCs w:val="22"/>
          <w:lang w:eastAsia="en-AU"/>
        </w:rPr>
        <w:t xml:space="preserve"> the </w:t>
      </w:r>
      <w:r w:rsidR="00B064F3" w:rsidRPr="00F747DA">
        <w:rPr>
          <w:rFonts w:cs="Times New Roman"/>
          <w:snapToGrid/>
          <w:szCs w:val="22"/>
          <w:lang w:eastAsia="en-AU"/>
        </w:rPr>
        <w:t xml:space="preserve">prognosis is poorer. </w:t>
      </w:r>
      <w:r w:rsidR="001B4318" w:rsidRPr="00F747DA">
        <w:rPr>
          <w:rFonts w:cs="Times New Roman"/>
          <w:snapToGrid/>
          <w:szCs w:val="22"/>
          <w:lang w:eastAsia="en-AU"/>
        </w:rPr>
        <w:t>However the submission did not provide sufficient data to define this group of patients</w:t>
      </w:r>
      <w:r w:rsidR="00EA73AA" w:rsidRPr="00F747DA">
        <w:rPr>
          <w:rFonts w:cs="Times New Roman"/>
          <w:snapToGrid/>
          <w:szCs w:val="22"/>
          <w:lang w:eastAsia="en-AU"/>
        </w:rPr>
        <w:t xml:space="preserve"> and how they would be identified in clinical practice.</w:t>
      </w:r>
    </w:p>
    <w:p w:rsidR="00F82597" w:rsidRPr="00DA0A62" w:rsidRDefault="00F82597" w:rsidP="00EA73AA">
      <w:pPr>
        <w:widowControl/>
        <w:contextualSpacing/>
        <w:jc w:val="left"/>
        <w:rPr>
          <w:rFonts w:cs="Times New Roman"/>
          <w:snapToGrid/>
          <w:szCs w:val="22"/>
          <w:lang w:eastAsia="en-AU"/>
        </w:rPr>
      </w:pPr>
    </w:p>
    <w:p w:rsidR="00F82597" w:rsidRPr="00DA0A62" w:rsidRDefault="00B809E6"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 xml:space="preserve">The PBAC accepted BSC (placebo) as the appropriate comparator. </w:t>
      </w:r>
    </w:p>
    <w:p w:rsidR="00F82597" w:rsidRPr="00DA0A62" w:rsidRDefault="00F82597" w:rsidP="00F82597">
      <w:pPr>
        <w:widowControl/>
        <w:ind w:left="720"/>
        <w:contextualSpacing/>
        <w:jc w:val="left"/>
        <w:rPr>
          <w:rFonts w:cs="Times New Roman"/>
          <w:snapToGrid/>
          <w:szCs w:val="22"/>
          <w:lang w:eastAsia="en-AU"/>
        </w:rPr>
      </w:pPr>
    </w:p>
    <w:p w:rsidR="00F112CF" w:rsidRPr="00DA0A62" w:rsidRDefault="00D13DC4"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The PBAC considered that the</w:t>
      </w:r>
      <w:r w:rsidR="00244C76">
        <w:rPr>
          <w:rFonts w:cs="Times New Roman"/>
          <w:snapToGrid/>
          <w:szCs w:val="22"/>
          <w:lang w:eastAsia="en-AU"/>
        </w:rPr>
        <w:t xml:space="preserve"> result for OS from the key</w:t>
      </w:r>
      <w:r w:rsidRPr="00DA0A62">
        <w:rPr>
          <w:rFonts w:cs="Times New Roman"/>
          <w:snapToGrid/>
          <w:szCs w:val="22"/>
          <w:lang w:eastAsia="en-AU"/>
        </w:rPr>
        <w:t xml:space="preserve"> trial</w:t>
      </w:r>
      <w:r w:rsidR="00244C76">
        <w:rPr>
          <w:rFonts w:cs="Times New Roman"/>
          <w:snapToGrid/>
          <w:szCs w:val="22"/>
          <w:lang w:eastAsia="en-AU"/>
        </w:rPr>
        <w:t xml:space="preserve"> in the submission, the DECISION trial,</w:t>
      </w:r>
      <w:r w:rsidR="00C10D62" w:rsidRPr="00DA0A62">
        <w:rPr>
          <w:rFonts w:cs="Times New Roman"/>
          <w:snapToGrid/>
          <w:szCs w:val="22"/>
          <w:lang w:eastAsia="en-AU"/>
        </w:rPr>
        <w:t xml:space="preserve"> </w:t>
      </w:r>
      <w:r w:rsidRPr="00DA0A62">
        <w:rPr>
          <w:rFonts w:cs="Times New Roman"/>
          <w:snapToGrid/>
          <w:szCs w:val="22"/>
          <w:lang w:eastAsia="en-AU"/>
        </w:rPr>
        <w:t>w</w:t>
      </w:r>
      <w:r w:rsidR="00AE7F1C">
        <w:rPr>
          <w:rFonts w:cs="Times New Roman"/>
          <w:snapToGrid/>
          <w:szCs w:val="22"/>
          <w:lang w:eastAsia="en-AU"/>
        </w:rPr>
        <w:t>as</w:t>
      </w:r>
      <w:r w:rsidRPr="00DA0A62">
        <w:rPr>
          <w:rFonts w:cs="Times New Roman"/>
          <w:snapToGrid/>
          <w:szCs w:val="22"/>
          <w:lang w:eastAsia="en-AU"/>
        </w:rPr>
        <w:t xml:space="preserve"> confounded </w:t>
      </w:r>
      <w:r w:rsidR="00224118" w:rsidRPr="00DA0A62">
        <w:rPr>
          <w:rFonts w:cs="Times New Roman"/>
          <w:snapToGrid/>
          <w:szCs w:val="22"/>
          <w:lang w:eastAsia="en-AU"/>
        </w:rPr>
        <w:t>due to</w:t>
      </w:r>
      <w:r w:rsidR="00C10D62" w:rsidRPr="00DA0A62">
        <w:rPr>
          <w:rFonts w:cs="Times New Roman"/>
          <w:snapToGrid/>
          <w:szCs w:val="22"/>
          <w:lang w:eastAsia="en-AU"/>
        </w:rPr>
        <w:t xml:space="preserve"> high degree of</w:t>
      </w:r>
      <w:r w:rsidR="00224118" w:rsidRPr="00DA0A62">
        <w:rPr>
          <w:rFonts w:cs="Times New Roman"/>
          <w:snapToGrid/>
          <w:szCs w:val="22"/>
          <w:lang w:eastAsia="en-AU"/>
        </w:rPr>
        <w:t xml:space="preserve"> cross-ove</w:t>
      </w:r>
      <w:r w:rsidR="00244C76">
        <w:rPr>
          <w:rFonts w:cs="Times New Roman"/>
          <w:snapToGrid/>
          <w:szCs w:val="22"/>
          <w:lang w:eastAsia="en-AU"/>
        </w:rPr>
        <w:t>r.</w:t>
      </w:r>
      <w:r w:rsidR="00224118" w:rsidRPr="00DA0A62">
        <w:rPr>
          <w:rFonts w:cs="Times New Roman"/>
          <w:snapToGrid/>
          <w:szCs w:val="22"/>
          <w:lang w:eastAsia="en-AU"/>
        </w:rPr>
        <w:t xml:space="preserve"> </w:t>
      </w:r>
      <w:r w:rsidR="00244C76">
        <w:rPr>
          <w:rFonts w:cs="Times New Roman"/>
          <w:snapToGrid/>
          <w:szCs w:val="22"/>
          <w:lang w:eastAsia="en-AU"/>
        </w:rPr>
        <w:t>P</w:t>
      </w:r>
      <w:r w:rsidR="00C10D62" w:rsidRPr="00DA0A62">
        <w:rPr>
          <w:rFonts w:cs="Times New Roman"/>
          <w:snapToGrid/>
          <w:szCs w:val="22"/>
          <w:lang w:eastAsia="en-AU"/>
        </w:rPr>
        <w:t xml:space="preserve">atients could cross-over to treatment with </w:t>
      </w:r>
      <w:proofErr w:type="spellStart"/>
      <w:r w:rsidR="00C10D62" w:rsidRPr="00DA0A62">
        <w:rPr>
          <w:rFonts w:cs="Times New Roman"/>
          <w:snapToGrid/>
          <w:szCs w:val="22"/>
          <w:lang w:eastAsia="en-AU"/>
        </w:rPr>
        <w:t>sorafenib</w:t>
      </w:r>
      <w:proofErr w:type="spellEnd"/>
      <w:r w:rsidR="00C10D62" w:rsidRPr="00DA0A62">
        <w:rPr>
          <w:rFonts w:cs="Times New Roman"/>
          <w:snapToGrid/>
          <w:szCs w:val="22"/>
          <w:lang w:eastAsia="en-AU"/>
        </w:rPr>
        <w:t xml:space="preserve"> on progression or at the</w:t>
      </w:r>
      <w:r w:rsidR="00CC5E05">
        <w:rPr>
          <w:rFonts w:cs="Times New Roman"/>
          <w:snapToGrid/>
          <w:szCs w:val="22"/>
          <w:lang w:eastAsia="en-AU"/>
        </w:rPr>
        <w:t xml:space="preserve"> end of the double-blind period;</w:t>
      </w:r>
      <w:r w:rsidR="00C10D62" w:rsidRPr="00DA0A62">
        <w:rPr>
          <w:rFonts w:cs="Times New Roman"/>
          <w:snapToGrid/>
          <w:szCs w:val="22"/>
          <w:lang w:eastAsia="en-AU"/>
        </w:rPr>
        <w:t xml:space="preserve"> </w:t>
      </w:r>
      <w:r w:rsidR="00D05D31">
        <w:rPr>
          <w:rFonts w:cs="Times New Roman"/>
          <w:snapToGrid/>
          <w:szCs w:val="22"/>
          <w:lang w:eastAsia="en-AU"/>
        </w:rPr>
        <w:t xml:space="preserve">71.4% of patients from the placebo arm of the trial </w:t>
      </w:r>
      <w:r w:rsidR="000A384E">
        <w:rPr>
          <w:rFonts w:cs="Times New Roman"/>
          <w:snapToGrid/>
          <w:szCs w:val="22"/>
          <w:lang w:eastAsia="en-AU"/>
        </w:rPr>
        <w:t>crossed over to</w:t>
      </w:r>
      <w:r w:rsidR="00D05D31">
        <w:rPr>
          <w:rFonts w:cs="Times New Roman"/>
          <w:snapToGrid/>
          <w:szCs w:val="22"/>
          <w:lang w:eastAsia="en-AU"/>
        </w:rPr>
        <w:t xml:space="preserve"> open-label treatment with </w:t>
      </w:r>
      <w:proofErr w:type="spellStart"/>
      <w:r w:rsidR="00D05D31">
        <w:rPr>
          <w:rFonts w:cs="Times New Roman"/>
          <w:snapToGrid/>
          <w:szCs w:val="22"/>
          <w:lang w:eastAsia="en-AU"/>
        </w:rPr>
        <w:t>sorafenib</w:t>
      </w:r>
      <w:proofErr w:type="spellEnd"/>
      <w:r w:rsidR="00D05D31">
        <w:rPr>
          <w:rFonts w:cs="Times New Roman"/>
          <w:snapToGrid/>
          <w:szCs w:val="22"/>
          <w:lang w:eastAsia="en-AU"/>
        </w:rPr>
        <w:t>.</w:t>
      </w:r>
    </w:p>
    <w:p w:rsidR="00F112CF" w:rsidRPr="00F112CF" w:rsidRDefault="00F112CF" w:rsidP="00F112CF">
      <w:pPr>
        <w:pStyle w:val="ListParagraph"/>
        <w:rPr>
          <w:rFonts w:cs="Times New Roman"/>
          <w:snapToGrid/>
          <w:color w:val="7030A0"/>
          <w:szCs w:val="22"/>
          <w:lang w:eastAsia="en-AU"/>
        </w:rPr>
      </w:pPr>
    </w:p>
    <w:p w:rsidR="00D05D31" w:rsidRDefault="00D05D31"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 xml:space="preserve">The PBAC noted that the outcomes from the DECISION trial showed a gain in PFS of 5 months. Due to the </w:t>
      </w:r>
      <w:r>
        <w:rPr>
          <w:rFonts w:cs="Times New Roman"/>
          <w:snapToGrid/>
          <w:szCs w:val="22"/>
          <w:lang w:eastAsia="en-AU"/>
        </w:rPr>
        <w:t>design</w:t>
      </w:r>
      <w:r w:rsidRPr="00DA0A62">
        <w:rPr>
          <w:rFonts w:cs="Times New Roman"/>
          <w:snapToGrid/>
          <w:szCs w:val="22"/>
          <w:lang w:eastAsia="en-AU"/>
        </w:rPr>
        <w:t xml:space="preserve"> of the trial, any gain in OS was uncertain. The PBAC noted that most progression was assessed using radiological evaluation, which may have resulted in an overestimation of PFS due to the interval between assessments. The PBAC considered </w:t>
      </w:r>
      <w:r>
        <w:rPr>
          <w:rFonts w:cs="Times New Roman"/>
          <w:snapToGrid/>
          <w:szCs w:val="22"/>
          <w:lang w:eastAsia="en-AU"/>
        </w:rPr>
        <w:t xml:space="preserve">that it was uncertain </w:t>
      </w:r>
      <w:r w:rsidRPr="00DA0A62">
        <w:rPr>
          <w:rFonts w:cs="Times New Roman"/>
          <w:snapToGrid/>
          <w:szCs w:val="22"/>
          <w:lang w:eastAsia="en-AU"/>
        </w:rPr>
        <w:t xml:space="preserve">whether a gain in PFS was clinically meaningful in this type of cancer, in the absence of evidence of a benefit in OS, noting that before progression, health related quality of life data from the trial favoured placebo compared </w:t>
      </w:r>
      <w:r>
        <w:rPr>
          <w:rFonts w:cs="Times New Roman"/>
          <w:snapToGrid/>
          <w:szCs w:val="22"/>
          <w:lang w:eastAsia="en-AU"/>
        </w:rPr>
        <w:t>with</w:t>
      </w:r>
      <w:r w:rsidRPr="00DA0A62">
        <w:rPr>
          <w:rFonts w:cs="Times New Roman"/>
          <w:snapToGrid/>
          <w:szCs w:val="22"/>
          <w:lang w:eastAsia="en-AU"/>
        </w:rPr>
        <w:t xml:space="preserve"> </w:t>
      </w:r>
      <w:proofErr w:type="spellStart"/>
      <w:r w:rsidRPr="00DA0A62">
        <w:rPr>
          <w:rFonts w:cs="Times New Roman"/>
          <w:snapToGrid/>
          <w:szCs w:val="22"/>
          <w:lang w:eastAsia="en-AU"/>
        </w:rPr>
        <w:t>sorafenib</w:t>
      </w:r>
      <w:proofErr w:type="spellEnd"/>
      <w:r w:rsidRPr="00DA0A62">
        <w:rPr>
          <w:rFonts w:cs="Times New Roman"/>
          <w:snapToGrid/>
          <w:szCs w:val="22"/>
          <w:lang w:eastAsia="en-AU"/>
        </w:rPr>
        <w:t xml:space="preserve">. </w:t>
      </w:r>
    </w:p>
    <w:p w:rsidR="00D05D31" w:rsidRPr="00DA0A62" w:rsidRDefault="00D05D31" w:rsidP="00D05D31">
      <w:pPr>
        <w:widowControl/>
        <w:contextualSpacing/>
        <w:jc w:val="left"/>
        <w:rPr>
          <w:rFonts w:cs="Times New Roman"/>
          <w:snapToGrid/>
          <w:szCs w:val="22"/>
          <w:lang w:eastAsia="en-AU"/>
        </w:rPr>
      </w:pPr>
    </w:p>
    <w:p w:rsidR="00F82597" w:rsidRPr="00DA0A62" w:rsidRDefault="00F112CF"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 xml:space="preserve">The PBAC noted that </w:t>
      </w:r>
      <w:r w:rsidR="00F41F29">
        <w:rPr>
          <w:rFonts w:cs="Times New Roman"/>
          <w:snapToGrid/>
          <w:szCs w:val="22"/>
          <w:lang w:eastAsia="en-AU"/>
        </w:rPr>
        <w:t xml:space="preserve">only a small number of patients were potentially eligible for treatment and in that respect the disease was labelled an “orphan disease”. For this reason, only a small number of expert </w:t>
      </w:r>
      <w:r w:rsidRPr="00DA0A62">
        <w:rPr>
          <w:rFonts w:cs="Times New Roman"/>
          <w:snapToGrid/>
          <w:szCs w:val="22"/>
          <w:lang w:eastAsia="en-AU"/>
        </w:rPr>
        <w:t>p</w:t>
      </w:r>
      <w:r w:rsidR="00390E5C">
        <w:rPr>
          <w:rFonts w:cs="Times New Roman"/>
          <w:snapToGrid/>
          <w:szCs w:val="22"/>
          <w:lang w:eastAsia="en-AU"/>
        </w:rPr>
        <w:t xml:space="preserve">rescribers </w:t>
      </w:r>
      <w:r w:rsidR="00F41F29">
        <w:rPr>
          <w:rFonts w:cs="Times New Roman"/>
          <w:snapToGrid/>
          <w:szCs w:val="22"/>
          <w:lang w:eastAsia="en-AU"/>
        </w:rPr>
        <w:t>may be available in the</w:t>
      </w:r>
      <w:r w:rsidRPr="00DA0A62">
        <w:rPr>
          <w:rFonts w:cs="Times New Roman"/>
          <w:snapToGrid/>
          <w:szCs w:val="22"/>
          <w:lang w:eastAsia="en-AU"/>
        </w:rPr>
        <w:t xml:space="preserve"> Australian </w:t>
      </w:r>
      <w:r w:rsidRPr="00DA0A62">
        <w:rPr>
          <w:rFonts w:cs="Times New Roman"/>
          <w:snapToGrid/>
          <w:szCs w:val="22"/>
          <w:lang w:eastAsia="en-AU"/>
        </w:rPr>
        <w:lastRenderedPageBreak/>
        <w:t>setting.  The PBAC considered that there would need to be a risk sharing agreement in place to manage</w:t>
      </w:r>
      <w:r w:rsidR="009D4322" w:rsidRPr="00DA0A62">
        <w:rPr>
          <w:rFonts w:cs="Times New Roman"/>
          <w:snapToGrid/>
          <w:szCs w:val="22"/>
          <w:lang w:eastAsia="en-AU"/>
        </w:rPr>
        <w:t xml:space="preserve"> </w:t>
      </w:r>
      <w:r w:rsidR="00DA0A62" w:rsidRPr="00DA0A62">
        <w:rPr>
          <w:rFonts w:cs="Times New Roman"/>
          <w:snapToGrid/>
          <w:szCs w:val="22"/>
          <w:lang w:eastAsia="en-AU"/>
        </w:rPr>
        <w:t xml:space="preserve">potential </w:t>
      </w:r>
      <w:r w:rsidR="00F41F29">
        <w:rPr>
          <w:rFonts w:cs="Times New Roman"/>
          <w:snapToGrid/>
          <w:szCs w:val="22"/>
          <w:lang w:eastAsia="en-AU"/>
        </w:rPr>
        <w:t>use of this medicine beyond the restriction and target patient population</w:t>
      </w:r>
      <w:r w:rsidR="009D4322" w:rsidRPr="00DA0A62">
        <w:rPr>
          <w:rFonts w:cs="Times New Roman"/>
          <w:snapToGrid/>
          <w:szCs w:val="22"/>
          <w:lang w:eastAsia="en-AU"/>
        </w:rPr>
        <w:t>.</w:t>
      </w:r>
      <w:r w:rsidRPr="00DA0A62">
        <w:rPr>
          <w:rFonts w:cs="Times New Roman"/>
          <w:snapToGrid/>
          <w:szCs w:val="22"/>
          <w:lang w:eastAsia="en-AU"/>
        </w:rPr>
        <w:t xml:space="preserve"> </w:t>
      </w:r>
    </w:p>
    <w:p w:rsidR="00F82597" w:rsidRPr="00F82597" w:rsidRDefault="00F82597" w:rsidP="00D05D31">
      <w:pPr>
        <w:widowControl/>
        <w:contextualSpacing/>
        <w:jc w:val="left"/>
        <w:rPr>
          <w:rFonts w:cs="Times New Roman"/>
          <w:snapToGrid/>
          <w:szCs w:val="22"/>
          <w:lang w:eastAsia="en-AU"/>
        </w:rPr>
      </w:pPr>
    </w:p>
    <w:p w:rsidR="00F82597" w:rsidRPr="00DA0A62" w:rsidRDefault="006E130A"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 xml:space="preserve">The PBAC accepted that </w:t>
      </w:r>
      <w:proofErr w:type="spellStart"/>
      <w:r w:rsidRPr="00DA0A62">
        <w:rPr>
          <w:rFonts w:cs="Times New Roman"/>
          <w:snapToGrid/>
          <w:szCs w:val="22"/>
          <w:lang w:eastAsia="en-AU"/>
        </w:rPr>
        <w:t>so</w:t>
      </w:r>
      <w:r w:rsidR="00067DB1">
        <w:rPr>
          <w:rFonts w:cs="Times New Roman"/>
          <w:snapToGrid/>
          <w:szCs w:val="22"/>
          <w:lang w:eastAsia="en-AU"/>
        </w:rPr>
        <w:t>rafenib</w:t>
      </w:r>
      <w:proofErr w:type="spellEnd"/>
      <w:r w:rsidR="00067DB1">
        <w:rPr>
          <w:rFonts w:cs="Times New Roman"/>
          <w:snapToGrid/>
          <w:szCs w:val="22"/>
          <w:lang w:eastAsia="en-AU"/>
        </w:rPr>
        <w:t xml:space="preserve"> has inferior</w:t>
      </w:r>
      <w:r w:rsidRPr="00DA0A62">
        <w:rPr>
          <w:rFonts w:cs="Times New Roman"/>
          <w:snapToGrid/>
          <w:szCs w:val="22"/>
          <w:lang w:eastAsia="en-AU"/>
        </w:rPr>
        <w:t xml:space="preserve"> </w:t>
      </w:r>
      <w:r w:rsidR="00067DB1">
        <w:rPr>
          <w:rFonts w:cs="Times New Roman"/>
          <w:snapToGrid/>
          <w:szCs w:val="22"/>
          <w:lang w:eastAsia="en-AU"/>
        </w:rPr>
        <w:t>safety</w:t>
      </w:r>
      <w:r w:rsidRPr="00DA0A62">
        <w:rPr>
          <w:rFonts w:cs="Times New Roman"/>
          <w:snapToGrid/>
          <w:szCs w:val="22"/>
          <w:lang w:eastAsia="en-AU"/>
        </w:rPr>
        <w:t xml:space="preserve"> </w:t>
      </w:r>
      <w:r w:rsidR="00067DB1">
        <w:rPr>
          <w:rFonts w:cs="Times New Roman"/>
          <w:snapToGrid/>
          <w:szCs w:val="22"/>
          <w:lang w:eastAsia="en-AU"/>
        </w:rPr>
        <w:t>compared with</w:t>
      </w:r>
      <w:r w:rsidRPr="00DA0A62">
        <w:rPr>
          <w:rFonts w:cs="Times New Roman"/>
          <w:snapToGrid/>
          <w:szCs w:val="22"/>
          <w:lang w:eastAsia="en-AU"/>
        </w:rPr>
        <w:t xml:space="preserve"> BSC (placebo). </w:t>
      </w:r>
      <w:r w:rsidR="007874E6">
        <w:rPr>
          <w:rFonts w:cs="Times New Roman"/>
          <w:snapToGrid/>
          <w:szCs w:val="22"/>
          <w:lang w:eastAsia="en-AU"/>
        </w:rPr>
        <w:t>Noting that in the trial m</w:t>
      </w:r>
      <w:r w:rsidR="007874E6" w:rsidRPr="001875EC">
        <w:t xml:space="preserve">ore than 70% of patients </w:t>
      </w:r>
      <w:r w:rsidR="007874E6">
        <w:t xml:space="preserve">who </w:t>
      </w:r>
      <w:r w:rsidR="007874E6" w:rsidRPr="001875EC">
        <w:t>receiv</w:t>
      </w:r>
      <w:r w:rsidR="007874E6">
        <w:t>ed</w:t>
      </w:r>
      <w:r w:rsidR="007874E6" w:rsidRPr="001875EC">
        <w:t xml:space="preserve"> </w:t>
      </w:r>
      <w:proofErr w:type="spellStart"/>
      <w:r w:rsidR="007874E6" w:rsidRPr="001875EC">
        <w:t>sorafenib</w:t>
      </w:r>
      <w:proofErr w:type="spellEnd"/>
      <w:r w:rsidR="007874E6" w:rsidRPr="001875EC">
        <w:t xml:space="preserve"> experienced at least one Grade 3 reaction or higher compared with 33% of patients </w:t>
      </w:r>
      <w:r w:rsidR="007874E6">
        <w:t xml:space="preserve">who </w:t>
      </w:r>
      <w:r w:rsidR="007874E6" w:rsidRPr="001875EC">
        <w:t>receiv</w:t>
      </w:r>
      <w:r w:rsidR="007874E6">
        <w:t xml:space="preserve">ed </w:t>
      </w:r>
      <w:r w:rsidR="007874E6" w:rsidRPr="001875EC">
        <w:t>BSC</w:t>
      </w:r>
      <w:r w:rsidR="007874E6">
        <w:t xml:space="preserve"> (placebo), and that health related quality of life data </w:t>
      </w:r>
      <w:r w:rsidR="007874E6" w:rsidRPr="00305D32">
        <w:rPr>
          <w:szCs w:val="22"/>
        </w:rPr>
        <w:t>from patients in the trial favoured placebo</w:t>
      </w:r>
      <w:r w:rsidR="007874E6">
        <w:rPr>
          <w:szCs w:val="22"/>
        </w:rPr>
        <w:t xml:space="preserve"> compared with </w:t>
      </w:r>
      <w:proofErr w:type="spellStart"/>
      <w:r w:rsidR="007874E6">
        <w:rPr>
          <w:szCs w:val="22"/>
        </w:rPr>
        <w:t>sorafenib</w:t>
      </w:r>
      <w:proofErr w:type="spellEnd"/>
      <w:r w:rsidR="007874E6">
        <w:rPr>
          <w:szCs w:val="22"/>
        </w:rPr>
        <w:t xml:space="preserve">, </w:t>
      </w:r>
      <w:r w:rsidR="007874E6">
        <w:t xml:space="preserve">the PBAC was concerned about the </w:t>
      </w:r>
      <w:r w:rsidR="00B80C5C">
        <w:t>treatment induced reduction in</w:t>
      </w:r>
      <w:r w:rsidR="007874E6">
        <w:t xml:space="preserve"> quality of life, when the clinical </w:t>
      </w:r>
      <w:r w:rsidR="00D05D31">
        <w:t>significance</w:t>
      </w:r>
      <w:r w:rsidR="007874E6">
        <w:t xml:space="preserve"> of a gain in PFS is uncertain.</w:t>
      </w:r>
    </w:p>
    <w:p w:rsidR="00F82597" w:rsidRPr="00F82597" w:rsidRDefault="00F82597" w:rsidP="00F82597">
      <w:pPr>
        <w:widowControl/>
        <w:ind w:left="720"/>
        <w:contextualSpacing/>
        <w:jc w:val="left"/>
        <w:rPr>
          <w:rFonts w:cs="Times New Roman"/>
          <w:snapToGrid/>
          <w:szCs w:val="22"/>
          <w:lang w:eastAsia="en-AU"/>
        </w:rPr>
      </w:pPr>
    </w:p>
    <w:p w:rsidR="00E30AE4" w:rsidRPr="00DA0A62" w:rsidRDefault="00807864"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 xml:space="preserve">The PBAC considered that the following model inputs were reasonable: </w:t>
      </w:r>
    </w:p>
    <w:p w:rsidR="00985718" w:rsidRPr="00DA0A62" w:rsidRDefault="00985718" w:rsidP="00E30AE4">
      <w:pPr>
        <w:pStyle w:val="ListParagraph"/>
        <w:widowControl/>
        <w:numPr>
          <w:ilvl w:val="0"/>
          <w:numId w:val="21"/>
        </w:numPr>
        <w:jc w:val="left"/>
        <w:rPr>
          <w:rFonts w:cs="Times New Roman"/>
          <w:snapToGrid/>
          <w:szCs w:val="22"/>
          <w:lang w:eastAsia="en-AU"/>
        </w:rPr>
      </w:pPr>
      <w:r w:rsidRPr="00DA0A62">
        <w:rPr>
          <w:rFonts w:cs="Times New Roman"/>
          <w:snapToGrid/>
          <w:szCs w:val="22"/>
          <w:lang w:eastAsia="en-AU"/>
        </w:rPr>
        <w:t>time horizon of 10 years</w:t>
      </w:r>
    </w:p>
    <w:p w:rsidR="00F112CF" w:rsidRPr="00DA0A62" w:rsidRDefault="00F112CF" w:rsidP="00E30AE4">
      <w:pPr>
        <w:pStyle w:val="ListParagraph"/>
        <w:widowControl/>
        <w:numPr>
          <w:ilvl w:val="0"/>
          <w:numId w:val="21"/>
        </w:numPr>
        <w:jc w:val="left"/>
        <w:rPr>
          <w:rFonts w:cs="Times New Roman"/>
          <w:snapToGrid/>
          <w:szCs w:val="22"/>
          <w:lang w:eastAsia="en-AU"/>
        </w:rPr>
      </w:pPr>
      <w:r w:rsidRPr="00DA0A62">
        <w:rPr>
          <w:rFonts w:cs="Times New Roman"/>
          <w:snapToGrid/>
          <w:szCs w:val="22"/>
          <w:lang w:eastAsia="en-AU"/>
        </w:rPr>
        <w:t>costs of the comparator</w:t>
      </w:r>
      <w:r w:rsidR="00031500" w:rsidRPr="00DA0A62">
        <w:rPr>
          <w:rFonts w:cs="Times New Roman"/>
          <w:snapToGrid/>
          <w:szCs w:val="22"/>
          <w:lang w:eastAsia="en-AU"/>
        </w:rPr>
        <w:t xml:space="preserve"> (close to nil)</w:t>
      </w:r>
    </w:p>
    <w:p w:rsidR="00E6282F" w:rsidRPr="00DA0A62" w:rsidRDefault="00E6282F" w:rsidP="00E6282F">
      <w:pPr>
        <w:pStyle w:val="ListParagraph"/>
        <w:widowControl/>
        <w:numPr>
          <w:ilvl w:val="0"/>
          <w:numId w:val="21"/>
        </w:numPr>
        <w:jc w:val="left"/>
        <w:rPr>
          <w:rFonts w:cs="Times New Roman"/>
          <w:snapToGrid/>
          <w:szCs w:val="22"/>
          <w:lang w:eastAsia="en-AU"/>
        </w:rPr>
      </w:pPr>
      <w:r w:rsidRPr="00DA0A62">
        <w:rPr>
          <w:rFonts w:cs="Times New Roman"/>
          <w:snapToGrid/>
          <w:szCs w:val="22"/>
          <w:lang w:eastAsia="en-AU"/>
        </w:rPr>
        <w:t xml:space="preserve">the assumed mean duration of therapy proposed in the Pre-PBAC response of </w:t>
      </w:r>
      <w:r w:rsidR="002E19FB">
        <w:rPr>
          <w:rFonts w:cs="Times New Roman"/>
          <w:noProof/>
          <w:snapToGrid/>
          <w:color w:val="000000"/>
          <w:szCs w:val="22"/>
          <w:highlight w:val="black"/>
          <w:lang w:eastAsia="en-AU"/>
        </w:rPr>
        <w:t>''''''''''''''' ''''''''''''''''</w:t>
      </w:r>
    </w:p>
    <w:p w:rsidR="004A516D" w:rsidRPr="00DA0A62" w:rsidRDefault="00C57AA1" w:rsidP="004A516D">
      <w:pPr>
        <w:pStyle w:val="ListParagraph"/>
        <w:widowControl/>
        <w:numPr>
          <w:ilvl w:val="0"/>
          <w:numId w:val="21"/>
        </w:numPr>
        <w:jc w:val="left"/>
        <w:rPr>
          <w:rFonts w:cs="Times New Roman"/>
          <w:snapToGrid/>
          <w:szCs w:val="22"/>
          <w:lang w:eastAsia="en-AU"/>
        </w:rPr>
      </w:pPr>
      <w:r w:rsidRPr="00DA0A62">
        <w:rPr>
          <w:rFonts w:cs="Times New Roman"/>
          <w:snapToGrid/>
          <w:szCs w:val="22"/>
          <w:lang w:eastAsia="en-AU"/>
        </w:rPr>
        <w:t>0.35 QALYs gained over 5 years and 0.590 QALYs gained over ten years per patient.</w:t>
      </w:r>
    </w:p>
    <w:p w:rsidR="004A516D" w:rsidRPr="00FC1B93" w:rsidRDefault="004A516D" w:rsidP="004A516D">
      <w:pPr>
        <w:widowControl/>
        <w:jc w:val="left"/>
        <w:rPr>
          <w:rFonts w:cs="Times New Roman"/>
          <w:snapToGrid/>
          <w:szCs w:val="22"/>
          <w:lang w:eastAsia="en-AU"/>
        </w:rPr>
      </w:pPr>
    </w:p>
    <w:p w:rsidR="004A516D" w:rsidRDefault="004A516D" w:rsidP="00F30717">
      <w:pPr>
        <w:pStyle w:val="ListParagraph"/>
        <w:widowControl/>
        <w:numPr>
          <w:ilvl w:val="1"/>
          <w:numId w:val="1"/>
        </w:numPr>
        <w:rPr>
          <w:rFonts w:cs="Times New Roman"/>
          <w:snapToGrid/>
          <w:szCs w:val="22"/>
          <w:lang w:eastAsia="en-AU"/>
        </w:rPr>
      </w:pPr>
      <w:r w:rsidRPr="00FC1B93">
        <w:rPr>
          <w:rFonts w:cs="Times New Roman"/>
          <w:snapToGrid/>
          <w:szCs w:val="22"/>
          <w:lang w:eastAsia="en-AU"/>
        </w:rPr>
        <w:t xml:space="preserve">The PBAC </w:t>
      </w:r>
      <w:r w:rsidR="00A14474" w:rsidRPr="00FC1B93">
        <w:rPr>
          <w:rFonts w:cs="Times New Roman"/>
          <w:snapToGrid/>
          <w:szCs w:val="22"/>
          <w:lang w:eastAsia="en-AU"/>
        </w:rPr>
        <w:t>agreed with the</w:t>
      </w:r>
      <w:r w:rsidR="009C4FA1" w:rsidRPr="00FC1B93">
        <w:rPr>
          <w:rFonts w:cs="Times New Roman"/>
          <w:snapToGrid/>
          <w:szCs w:val="22"/>
          <w:lang w:eastAsia="en-AU"/>
        </w:rPr>
        <w:t xml:space="preserve"> ESC </w:t>
      </w:r>
      <w:r w:rsidR="00A14474" w:rsidRPr="00FC1B93">
        <w:rPr>
          <w:rFonts w:cs="Times New Roman"/>
          <w:snapToGrid/>
          <w:szCs w:val="22"/>
          <w:lang w:eastAsia="en-AU"/>
        </w:rPr>
        <w:t>that</w:t>
      </w:r>
      <w:r w:rsidRPr="00FC1B93">
        <w:rPr>
          <w:rFonts w:cs="Times New Roman"/>
          <w:snapToGrid/>
          <w:szCs w:val="22"/>
          <w:lang w:eastAsia="en-AU"/>
        </w:rPr>
        <w:t xml:space="preserve"> it was </w:t>
      </w:r>
      <w:r w:rsidR="00A14474" w:rsidRPr="00FC1B93">
        <w:rPr>
          <w:rFonts w:cs="Times New Roman"/>
          <w:snapToGrid/>
          <w:szCs w:val="22"/>
          <w:lang w:eastAsia="en-AU"/>
        </w:rPr>
        <w:t xml:space="preserve">not </w:t>
      </w:r>
      <w:r w:rsidRPr="00FC1B93">
        <w:rPr>
          <w:rFonts w:cs="Times New Roman"/>
          <w:snapToGrid/>
          <w:szCs w:val="22"/>
          <w:lang w:eastAsia="en-AU"/>
        </w:rPr>
        <w:t xml:space="preserve">reasonable to attach utilities to </w:t>
      </w:r>
      <w:r w:rsidR="009C4FA1" w:rsidRPr="00FC1B93">
        <w:rPr>
          <w:rFonts w:cs="Times New Roman"/>
          <w:snapToGrid/>
          <w:szCs w:val="22"/>
          <w:lang w:eastAsia="en-AU"/>
        </w:rPr>
        <w:t xml:space="preserve">the </w:t>
      </w:r>
      <w:r w:rsidRPr="00FC1B93">
        <w:rPr>
          <w:rFonts w:cs="Times New Roman"/>
          <w:snapToGrid/>
          <w:szCs w:val="22"/>
          <w:lang w:eastAsia="en-AU"/>
        </w:rPr>
        <w:t>post-progression</w:t>
      </w:r>
      <w:r w:rsidR="009C4FA1" w:rsidRPr="00FC1B93">
        <w:rPr>
          <w:rFonts w:cs="Times New Roman"/>
          <w:snapToGrid/>
          <w:szCs w:val="22"/>
          <w:lang w:eastAsia="en-AU"/>
        </w:rPr>
        <w:t xml:space="preserve"> health state</w:t>
      </w:r>
      <w:r w:rsidR="007908FB" w:rsidRPr="00FC1B93">
        <w:rPr>
          <w:rFonts w:cs="Times New Roman"/>
          <w:snapToGrid/>
          <w:szCs w:val="22"/>
          <w:lang w:eastAsia="en-AU"/>
        </w:rPr>
        <w:t xml:space="preserve"> </w:t>
      </w:r>
      <w:r w:rsidR="00532259">
        <w:rPr>
          <w:rFonts w:cs="Times New Roman"/>
          <w:snapToGrid/>
          <w:szCs w:val="22"/>
          <w:lang w:eastAsia="en-AU"/>
        </w:rPr>
        <w:t xml:space="preserve">as it may result in bias against BSC </w:t>
      </w:r>
      <w:r w:rsidR="00532259" w:rsidRPr="00FC1B93">
        <w:rPr>
          <w:rFonts w:cs="Times New Roman"/>
          <w:snapToGrid/>
          <w:szCs w:val="22"/>
          <w:lang w:eastAsia="en-AU"/>
        </w:rPr>
        <w:t>(see 6.</w:t>
      </w:r>
      <w:r w:rsidR="00D5119D">
        <w:rPr>
          <w:rFonts w:cs="Times New Roman"/>
          <w:snapToGrid/>
          <w:szCs w:val="22"/>
          <w:lang w:eastAsia="en-AU"/>
        </w:rPr>
        <w:t>40</w:t>
      </w:r>
      <w:r w:rsidR="00532259" w:rsidRPr="00FC1B93">
        <w:rPr>
          <w:rFonts w:cs="Times New Roman"/>
          <w:snapToGrid/>
          <w:szCs w:val="22"/>
          <w:lang w:eastAsia="en-AU"/>
        </w:rPr>
        <w:t>)</w:t>
      </w:r>
      <w:r w:rsidR="007908FB" w:rsidRPr="00FC1B93">
        <w:rPr>
          <w:rFonts w:cs="Times New Roman"/>
          <w:snapToGrid/>
          <w:szCs w:val="22"/>
          <w:lang w:eastAsia="en-AU"/>
        </w:rPr>
        <w:t>.</w:t>
      </w:r>
    </w:p>
    <w:p w:rsidR="00E63696" w:rsidRDefault="00E63696" w:rsidP="00E63696">
      <w:pPr>
        <w:pStyle w:val="ListParagraph"/>
        <w:widowControl/>
        <w:ind w:left="709"/>
        <w:jc w:val="left"/>
        <w:rPr>
          <w:rFonts w:cs="Times New Roman"/>
          <w:snapToGrid/>
          <w:szCs w:val="22"/>
          <w:lang w:eastAsia="en-AU"/>
        </w:rPr>
      </w:pPr>
    </w:p>
    <w:p w:rsidR="00E63696" w:rsidRPr="00FC1B93" w:rsidRDefault="00E63696" w:rsidP="00F30717">
      <w:pPr>
        <w:pStyle w:val="ListParagraph"/>
        <w:widowControl/>
        <w:numPr>
          <w:ilvl w:val="1"/>
          <w:numId w:val="1"/>
        </w:numPr>
        <w:rPr>
          <w:rFonts w:cs="Times New Roman"/>
          <w:snapToGrid/>
          <w:szCs w:val="22"/>
          <w:lang w:eastAsia="en-AU"/>
        </w:rPr>
      </w:pPr>
      <w:r>
        <w:rPr>
          <w:rFonts w:cs="Times New Roman"/>
          <w:snapToGrid/>
          <w:szCs w:val="22"/>
          <w:lang w:eastAsia="en-AU"/>
        </w:rPr>
        <w:t xml:space="preserve">The PBAC considered that due to the </w:t>
      </w:r>
      <w:r w:rsidR="00CC5E05">
        <w:rPr>
          <w:rFonts w:cs="Times New Roman"/>
          <w:snapToGrid/>
          <w:szCs w:val="22"/>
          <w:lang w:eastAsia="en-AU"/>
        </w:rPr>
        <w:t xml:space="preserve">sub-optimally </w:t>
      </w:r>
      <w:r>
        <w:rPr>
          <w:rFonts w:cs="Times New Roman"/>
          <w:snapToGrid/>
          <w:szCs w:val="22"/>
          <w:lang w:eastAsia="en-AU"/>
        </w:rPr>
        <w:t>defined nature of the treatment population, and insufficient evidence to support a meaningful clinical benefit, the resulting ICER is high and uncertain.</w:t>
      </w:r>
    </w:p>
    <w:p w:rsidR="00F82597" w:rsidRPr="00F82597" w:rsidRDefault="00F82597" w:rsidP="00F82597">
      <w:pPr>
        <w:widowControl/>
        <w:ind w:left="720"/>
        <w:contextualSpacing/>
        <w:jc w:val="left"/>
        <w:rPr>
          <w:rFonts w:cs="Times New Roman"/>
          <w:snapToGrid/>
          <w:szCs w:val="22"/>
          <w:lang w:eastAsia="en-AU"/>
        </w:rPr>
      </w:pPr>
    </w:p>
    <w:p w:rsidR="00F82597" w:rsidRPr="00044CF6" w:rsidRDefault="008A07E6" w:rsidP="00F30717">
      <w:pPr>
        <w:pStyle w:val="ListParagraph"/>
        <w:widowControl/>
        <w:numPr>
          <w:ilvl w:val="1"/>
          <w:numId w:val="1"/>
        </w:numPr>
        <w:rPr>
          <w:rFonts w:cs="Times New Roman"/>
          <w:snapToGrid/>
          <w:szCs w:val="22"/>
          <w:lang w:eastAsia="en-AU"/>
        </w:rPr>
      </w:pPr>
      <w:r w:rsidRPr="00DA0A62">
        <w:rPr>
          <w:rFonts w:cs="Times New Roman"/>
          <w:snapToGrid/>
          <w:szCs w:val="22"/>
          <w:lang w:eastAsia="en-AU"/>
        </w:rPr>
        <w:t xml:space="preserve">The PBAC </w:t>
      </w:r>
      <w:r w:rsidR="001C1D53">
        <w:rPr>
          <w:rFonts w:cs="Times New Roman"/>
          <w:snapToGrid/>
          <w:szCs w:val="22"/>
          <w:lang w:eastAsia="en-AU"/>
        </w:rPr>
        <w:t>agreed with</w:t>
      </w:r>
      <w:r w:rsidR="0035673C" w:rsidRPr="00DA0A62">
        <w:rPr>
          <w:rFonts w:cs="Times New Roman"/>
          <w:snapToGrid/>
          <w:szCs w:val="22"/>
          <w:lang w:eastAsia="en-AU"/>
        </w:rPr>
        <w:t xml:space="preserve"> the DUSC </w:t>
      </w:r>
      <w:r w:rsidRPr="00DA0A62">
        <w:rPr>
          <w:rFonts w:cs="Times New Roman"/>
          <w:snapToGrid/>
          <w:szCs w:val="22"/>
          <w:lang w:eastAsia="en-AU"/>
        </w:rPr>
        <w:t>that the financial estimates were highly uncertain</w:t>
      </w:r>
      <w:r w:rsidR="00501BB3" w:rsidRPr="00DA0A62">
        <w:rPr>
          <w:rFonts w:cs="Times New Roman"/>
          <w:snapToGrid/>
          <w:szCs w:val="22"/>
          <w:lang w:eastAsia="en-AU"/>
        </w:rPr>
        <w:t>.</w:t>
      </w:r>
      <w:r w:rsidR="000265E4" w:rsidRPr="00DA0A62">
        <w:rPr>
          <w:rFonts w:cs="Times New Roman"/>
          <w:snapToGrid/>
          <w:szCs w:val="22"/>
          <w:lang w:eastAsia="en-AU"/>
        </w:rPr>
        <w:t xml:space="preserve"> </w:t>
      </w:r>
      <w:r w:rsidR="00501BB3" w:rsidRPr="00DA0A62">
        <w:rPr>
          <w:rFonts w:cs="Times New Roman"/>
          <w:snapToGrid/>
          <w:szCs w:val="22"/>
          <w:lang w:eastAsia="en-AU"/>
        </w:rPr>
        <w:t>T</w:t>
      </w:r>
      <w:r w:rsidR="000265E4" w:rsidRPr="00DA0A62">
        <w:rPr>
          <w:rFonts w:cs="Times New Roman"/>
          <w:snapToGrid/>
          <w:szCs w:val="22"/>
          <w:lang w:eastAsia="en-AU"/>
        </w:rPr>
        <w:t>he submission use</w:t>
      </w:r>
      <w:r w:rsidR="001C1D53">
        <w:rPr>
          <w:rFonts w:cs="Times New Roman"/>
          <w:snapToGrid/>
          <w:szCs w:val="22"/>
          <w:lang w:eastAsia="en-AU"/>
        </w:rPr>
        <w:t>d</w:t>
      </w:r>
      <w:r w:rsidR="000265E4" w:rsidRPr="00DA0A62">
        <w:rPr>
          <w:rFonts w:cs="Times New Roman"/>
          <w:snapToGrid/>
          <w:szCs w:val="22"/>
          <w:lang w:eastAsia="en-AU"/>
        </w:rPr>
        <w:t xml:space="preserve"> </w:t>
      </w:r>
      <w:r w:rsidR="000265E4" w:rsidRPr="00DA0A62">
        <w:rPr>
          <w:szCs w:val="22"/>
        </w:rPr>
        <w:t>5-year and 25-year prevalence figures to estimate the eligible population</w:t>
      </w:r>
      <w:r w:rsidR="0035673C" w:rsidRPr="00DA0A62">
        <w:rPr>
          <w:szCs w:val="22"/>
        </w:rPr>
        <w:t xml:space="preserve"> which</w:t>
      </w:r>
      <w:r w:rsidR="000265E4" w:rsidRPr="00DA0A62">
        <w:rPr>
          <w:szCs w:val="22"/>
        </w:rPr>
        <w:t xml:space="preserve"> </w:t>
      </w:r>
      <w:r w:rsidR="00501BB3" w:rsidRPr="00DA0A62">
        <w:rPr>
          <w:szCs w:val="22"/>
        </w:rPr>
        <w:t>overestimat</w:t>
      </w:r>
      <w:r w:rsidR="0035673C" w:rsidRPr="00DA0A62">
        <w:rPr>
          <w:szCs w:val="22"/>
        </w:rPr>
        <w:t>es</w:t>
      </w:r>
      <w:r w:rsidR="000265E4" w:rsidRPr="00DA0A62">
        <w:rPr>
          <w:szCs w:val="22"/>
        </w:rPr>
        <w:t xml:space="preserve"> the eligible </w:t>
      </w:r>
      <w:r w:rsidR="0035673C" w:rsidRPr="00DA0A62">
        <w:rPr>
          <w:szCs w:val="22"/>
        </w:rPr>
        <w:t xml:space="preserve">treatment </w:t>
      </w:r>
      <w:r w:rsidR="000265E4" w:rsidRPr="00DA0A62">
        <w:rPr>
          <w:szCs w:val="22"/>
        </w:rPr>
        <w:t>population because prevalence data would count a large number of patients who no longer have active cancer</w:t>
      </w:r>
      <w:r w:rsidR="0035673C" w:rsidRPr="00DA0A62">
        <w:rPr>
          <w:szCs w:val="22"/>
        </w:rPr>
        <w:t xml:space="preserve"> or have an indolent form</w:t>
      </w:r>
      <w:r w:rsidR="00F41F29">
        <w:rPr>
          <w:szCs w:val="22"/>
        </w:rPr>
        <w:t xml:space="preserve"> of the disease</w:t>
      </w:r>
      <w:r w:rsidR="000265E4" w:rsidRPr="00DA0A62">
        <w:rPr>
          <w:szCs w:val="22"/>
        </w:rPr>
        <w:t>.</w:t>
      </w:r>
      <w:r w:rsidR="000265E4" w:rsidRPr="00DA0A62">
        <w:rPr>
          <w:rFonts w:cs="Times New Roman"/>
          <w:snapToGrid/>
          <w:szCs w:val="22"/>
          <w:lang w:eastAsia="en-AU"/>
        </w:rPr>
        <w:t xml:space="preserve"> </w:t>
      </w:r>
      <w:r w:rsidR="00B1277B" w:rsidRPr="00DA0A62">
        <w:rPr>
          <w:rFonts w:cs="Times New Roman"/>
          <w:snapToGrid/>
          <w:szCs w:val="22"/>
          <w:lang w:eastAsia="en-AU"/>
        </w:rPr>
        <w:t xml:space="preserve">The PBAC </w:t>
      </w:r>
      <w:r w:rsidR="0035673C" w:rsidRPr="00DA0A62">
        <w:rPr>
          <w:rFonts w:cs="Times New Roman"/>
          <w:snapToGrid/>
          <w:szCs w:val="22"/>
          <w:lang w:eastAsia="en-AU"/>
        </w:rPr>
        <w:t>did not accept</w:t>
      </w:r>
      <w:r w:rsidR="00B1277B" w:rsidRPr="00DA0A62">
        <w:rPr>
          <w:rFonts w:cs="Times New Roman"/>
          <w:snapToGrid/>
          <w:szCs w:val="22"/>
          <w:lang w:eastAsia="en-AU"/>
        </w:rPr>
        <w:t xml:space="preserve"> that all prevalent cases would </w:t>
      </w:r>
      <w:r w:rsidR="0035673C" w:rsidRPr="00DA0A62">
        <w:rPr>
          <w:rFonts w:cs="Times New Roman"/>
          <w:snapToGrid/>
          <w:szCs w:val="22"/>
          <w:lang w:eastAsia="en-AU"/>
        </w:rPr>
        <w:t>merit</w:t>
      </w:r>
      <w:r w:rsidR="00B1277B" w:rsidRPr="00DA0A62">
        <w:rPr>
          <w:rFonts w:cs="Times New Roman"/>
          <w:snapToGrid/>
          <w:szCs w:val="22"/>
          <w:lang w:eastAsia="en-AU"/>
        </w:rPr>
        <w:t xml:space="preserve"> treatment</w:t>
      </w:r>
      <w:r w:rsidR="0035673C" w:rsidRPr="00DA0A62">
        <w:rPr>
          <w:rFonts w:cs="Times New Roman"/>
          <w:snapToGrid/>
          <w:szCs w:val="22"/>
          <w:lang w:eastAsia="en-AU"/>
        </w:rPr>
        <w:t>.</w:t>
      </w:r>
    </w:p>
    <w:p w:rsidR="00F82597" w:rsidRPr="00FD555D" w:rsidRDefault="00F82597" w:rsidP="00FD555D">
      <w:pPr>
        <w:rPr>
          <w:snapToGrid/>
          <w:lang w:eastAsia="en-AU"/>
        </w:rPr>
      </w:pPr>
    </w:p>
    <w:p w:rsidR="00F82597" w:rsidRPr="00FC1B93" w:rsidRDefault="001F054A" w:rsidP="00F30717">
      <w:pPr>
        <w:pStyle w:val="ListParagraph"/>
        <w:widowControl/>
        <w:numPr>
          <w:ilvl w:val="1"/>
          <w:numId w:val="1"/>
        </w:numPr>
        <w:rPr>
          <w:rFonts w:cs="Times New Roman"/>
          <w:snapToGrid/>
          <w:szCs w:val="22"/>
          <w:lang w:eastAsia="en-AU"/>
        </w:rPr>
      </w:pPr>
      <w:r w:rsidRPr="00FC1B93">
        <w:rPr>
          <w:rFonts w:cs="Times New Roman"/>
          <w:snapToGrid/>
          <w:szCs w:val="22"/>
          <w:lang w:eastAsia="en-AU"/>
        </w:rPr>
        <w:t>The PBAC considered that a major resubmission would be required to address the Committee’s concerns</w:t>
      </w:r>
      <w:r w:rsidR="00FC1B93">
        <w:rPr>
          <w:rFonts w:cs="Times New Roman"/>
          <w:snapToGrid/>
          <w:szCs w:val="22"/>
          <w:lang w:eastAsia="en-AU"/>
        </w:rPr>
        <w:t>,</w:t>
      </w:r>
      <w:r w:rsidR="00FC1B93" w:rsidRPr="00FC1B93">
        <w:rPr>
          <w:rFonts w:cs="Times New Roman"/>
          <w:snapToGrid/>
          <w:szCs w:val="22"/>
          <w:lang w:eastAsia="en-AU"/>
        </w:rPr>
        <w:t xml:space="preserve"> with particular regard to defining the eligible treatment population and providing evidence of a meaningful clinical benefit with </w:t>
      </w:r>
      <w:proofErr w:type="spellStart"/>
      <w:r w:rsidR="00FC1B93" w:rsidRPr="00FC1B93">
        <w:rPr>
          <w:rFonts w:cs="Times New Roman"/>
          <w:snapToGrid/>
          <w:szCs w:val="22"/>
          <w:lang w:eastAsia="en-AU"/>
        </w:rPr>
        <w:t>sorafenib</w:t>
      </w:r>
      <w:proofErr w:type="spellEnd"/>
      <w:r w:rsidR="00FC1B93" w:rsidRPr="00FC1B93">
        <w:rPr>
          <w:rFonts w:cs="Times New Roman"/>
          <w:snapToGrid/>
          <w:szCs w:val="22"/>
          <w:lang w:eastAsia="en-AU"/>
        </w:rPr>
        <w:t xml:space="preserve"> in the treatment of RAI-R DTC.</w:t>
      </w:r>
    </w:p>
    <w:p w:rsidR="00F82597" w:rsidRPr="00DA0A62" w:rsidRDefault="00F82597" w:rsidP="004625FE">
      <w:pPr>
        <w:widowControl/>
        <w:contextualSpacing/>
        <w:jc w:val="left"/>
        <w:rPr>
          <w:rFonts w:cs="Times New Roman"/>
          <w:snapToGrid/>
          <w:szCs w:val="22"/>
          <w:lang w:eastAsia="en-AU"/>
        </w:rPr>
      </w:pPr>
    </w:p>
    <w:p w:rsidR="00F82597" w:rsidRPr="00DA0A62" w:rsidRDefault="00F82597" w:rsidP="00F30717">
      <w:pPr>
        <w:pStyle w:val="ListParagraph"/>
        <w:widowControl/>
        <w:numPr>
          <w:ilvl w:val="1"/>
          <w:numId w:val="1"/>
        </w:numPr>
        <w:rPr>
          <w:rFonts w:cs="Times New Roman"/>
          <w:bCs/>
          <w:snapToGrid/>
          <w:szCs w:val="22"/>
          <w:lang w:eastAsia="en-AU"/>
        </w:rPr>
      </w:pPr>
      <w:r w:rsidRPr="00DA0A62">
        <w:rPr>
          <w:rFonts w:cs="Times New Roman"/>
          <w:snapToGrid/>
          <w:szCs w:val="22"/>
          <w:lang w:eastAsia="en-AU"/>
        </w:rPr>
        <w:t>The PBAC noted that this submission is eligible for an Independent Review.</w:t>
      </w:r>
    </w:p>
    <w:p w:rsidR="00F82597" w:rsidRDefault="00F82597" w:rsidP="00F82597">
      <w:pPr>
        <w:widowControl/>
        <w:rPr>
          <w:rFonts w:cs="Times New Roman"/>
          <w:snapToGrid/>
          <w:szCs w:val="22"/>
          <w:lang w:eastAsia="en-AU"/>
        </w:rPr>
      </w:pPr>
    </w:p>
    <w:p w:rsidR="00D300D8" w:rsidRPr="00F82597" w:rsidRDefault="00D300D8" w:rsidP="00F82597">
      <w:pPr>
        <w:widowControl/>
        <w:rPr>
          <w:rFonts w:cs="Times New Roman"/>
          <w:snapToGrid/>
          <w:szCs w:val="22"/>
          <w:lang w:eastAsia="en-AU"/>
        </w:rPr>
      </w:pPr>
    </w:p>
    <w:p w:rsidR="00F82597" w:rsidRPr="00F82597" w:rsidRDefault="00F82597" w:rsidP="00F82597">
      <w:pPr>
        <w:widowControl/>
        <w:rPr>
          <w:rFonts w:cs="Times New Roman"/>
          <w:b/>
          <w:snapToGrid/>
          <w:szCs w:val="22"/>
          <w:lang w:eastAsia="en-AU"/>
        </w:rPr>
      </w:pPr>
      <w:r w:rsidRPr="00F82597">
        <w:rPr>
          <w:rFonts w:cs="Times New Roman"/>
          <w:b/>
          <w:snapToGrid/>
          <w:szCs w:val="22"/>
          <w:lang w:eastAsia="en-AU"/>
        </w:rPr>
        <w:t>Outcome:</w:t>
      </w:r>
    </w:p>
    <w:p w:rsidR="00F82597" w:rsidRPr="00F82597" w:rsidRDefault="00ED4B89" w:rsidP="00F82597">
      <w:pPr>
        <w:widowControl/>
        <w:rPr>
          <w:rFonts w:cs="Times New Roman"/>
          <w:snapToGrid/>
          <w:szCs w:val="22"/>
          <w:lang w:eastAsia="en-AU"/>
        </w:rPr>
      </w:pPr>
      <w:proofErr w:type="gramStart"/>
      <w:r>
        <w:rPr>
          <w:rFonts w:cs="Times New Roman"/>
          <w:snapToGrid/>
          <w:szCs w:val="22"/>
          <w:lang w:eastAsia="en-AU"/>
        </w:rPr>
        <w:t>Rejected</w:t>
      </w:r>
      <w:r w:rsidR="00F82597" w:rsidRPr="00F82597">
        <w:rPr>
          <w:rFonts w:cs="Times New Roman"/>
          <w:snapToGrid/>
          <w:szCs w:val="22"/>
          <w:lang w:eastAsia="en-AU"/>
        </w:rPr>
        <w:t>.</w:t>
      </w:r>
      <w:proofErr w:type="gramEnd"/>
    </w:p>
    <w:p w:rsidR="00F82597" w:rsidRPr="004F7F13" w:rsidRDefault="00F82597" w:rsidP="00F82597">
      <w:pPr>
        <w:widowControl/>
        <w:rPr>
          <w:rFonts w:cs="Times New Roman"/>
          <w:snapToGrid/>
          <w:szCs w:val="22"/>
          <w:lang w:eastAsia="en-AU"/>
        </w:rPr>
      </w:pPr>
    </w:p>
    <w:p w:rsidR="008904A4" w:rsidRDefault="008904A4" w:rsidP="008904A4">
      <w:pPr>
        <w:pStyle w:val="ListParagraph"/>
        <w:widowControl/>
        <w:numPr>
          <w:ilvl w:val="0"/>
          <w:numId w:val="1"/>
        </w:numPr>
        <w:rPr>
          <w:b/>
        </w:rPr>
      </w:pPr>
      <w:r w:rsidRPr="00D4420F">
        <w:rPr>
          <w:b/>
        </w:rPr>
        <w:t>Context for Decision</w:t>
      </w:r>
    </w:p>
    <w:p w:rsidR="008904A4" w:rsidRPr="00D4420F" w:rsidRDefault="008904A4" w:rsidP="008904A4">
      <w:pPr>
        <w:pStyle w:val="ListParagraph"/>
        <w:widowControl/>
        <w:rPr>
          <w:b/>
        </w:rPr>
      </w:pPr>
    </w:p>
    <w:p w:rsidR="008904A4" w:rsidRPr="00D4420F" w:rsidRDefault="008904A4" w:rsidP="008904A4">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904A4" w:rsidRPr="00D4420F" w:rsidRDefault="008904A4" w:rsidP="008904A4"/>
    <w:p w:rsidR="008904A4" w:rsidRDefault="008904A4" w:rsidP="008904A4">
      <w:pPr>
        <w:pStyle w:val="ListParagraph"/>
        <w:widowControl/>
        <w:numPr>
          <w:ilvl w:val="0"/>
          <w:numId w:val="1"/>
        </w:numPr>
        <w:rPr>
          <w:b/>
        </w:rPr>
      </w:pPr>
      <w:r w:rsidRPr="00D4420F">
        <w:rPr>
          <w:b/>
        </w:rPr>
        <w:t>Sponsor’s Comment</w:t>
      </w:r>
    </w:p>
    <w:p w:rsidR="0036547F" w:rsidRPr="0036547F" w:rsidRDefault="0036547F" w:rsidP="0036547F">
      <w:pPr>
        <w:pStyle w:val="ListParagraph"/>
        <w:widowControl/>
      </w:pPr>
      <w:r w:rsidRPr="0036547F">
        <w:lastRenderedPageBreak/>
        <w:t>The sponsor had no comment.</w:t>
      </w:r>
    </w:p>
    <w:p w:rsidR="00F82597" w:rsidRPr="00F82597" w:rsidRDefault="00F82597" w:rsidP="00F82597">
      <w:pPr>
        <w:widowControl/>
        <w:jc w:val="left"/>
        <w:rPr>
          <w:rFonts w:cs="Times New Roman"/>
          <w:snapToGrid/>
          <w:sz w:val="24"/>
          <w:szCs w:val="24"/>
          <w:lang w:eastAsia="en-AU"/>
        </w:rPr>
      </w:pPr>
    </w:p>
    <w:p w:rsidR="00FD5E86" w:rsidRPr="008E647E" w:rsidRDefault="00FD5E86" w:rsidP="00730927">
      <w:pPr>
        <w:widowControl/>
        <w:spacing w:after="200" w:line="276" w:lineRule="auto"/>
        <w:jc w:val="left"/>
      </w:pPr>
    </w:p>
    <w:sectPr w:rsidR="00FD5E86" w:rsidRPr="008E647E" w:rsidSect="0001306F">
      <w:headerReference w:type="default" r:id="rId11"/>
      <w:footerReference w:type="default" r:id="rId12"/>
      <w:pgSz w:w="11907" w:h="16840" w:code="9"/>
      <w:pgMar w:top="1440" w:right="1440" w:bottom="1440" w:left="1440" w:header="709" w:footer="73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F42B1" w15:done="0"/>
  <w15:commentEx w15:paraId="2E0CE05C" w15:done="0"/>
  <w15:commentEx w15:paraId="5CFE70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BA" w:rsidRDefault="00802EBA" w:rsidP="00124A51">
      <w:r>
        <w:separator/>
      </w:r>
    </w:p>
  </w:endnote>
  <w:endnote w:type="continuationSeparator" w:id="0">
    <w:p w:rsidR="00802EBA" w:rsidRDefault="00802EB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802EBA" w:rsidRDefault="00802EBA" w:rsidP="0001306F">
        <w:pPr>
          <w:pStyle w:val="Footer"/>
          <w:jc w:val="center"/>
        </w:pPr>
      </w:p>
      <w:p w:rsidR="00802EBA" w:rsidRPr="00651169" w:rsidRDefault="00802EBA" w:rsidP="0001306F">
        <w:pPr>
          <w:pStyle w:val="Footer"/>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6044B6">
          <w:rPr>
            <w:noProof/>
            <w:sz w:val="20"/>
          </w:rPr>
          <w:t>4</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BA" w:rsidRDefault="00802EBA" w:rsidP="00124A51">
      <w:r>
        <w:separator/>
      </w:r>
    </w:p>
  </w:footnote>
  <w:footnote w:type="continuationSeparator" w:id="0">
    <w:p w:rsidR="00802EBA" w:rsidRDefault="00802EB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BA" w:rsidRPr="00DF217D" w:rsidRDefault="00802EBA" w:rsidP="008904A4">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802EBA" w:rsidRPr="00EE07D3" w:rsidRDefault="00802EBA">
    <w:pPr>
      <w:pStyle w:val="Header"/>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FA"/>
    <w:multiLevelType w:val="hybridMultilevel"/>
    <w:tmpl w:val="AD227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F1CD3"/>
    <w:multiLevelType w:val="hybridMultilevel"/>
    <w:tmpl w:val="26FAB51A"/>
    <w:lvl w:ilvl="0" w:tplc="C06213B2">
      <w:start w:val="6"/>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5352B"/>
    <w:multiLevelType w:val="multilevel"/>
    <w:tmpl w:val="BBE0371C"/>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C23A84"/>
    <w:multiLevelType w:val="hybridMultilevel"/>
    <w:tmpl w:val="190085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0D7044A9"/>
    <w:multiLevelType w:val="multilevel"/>
    <w:tmpl w:val="137CC17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F15378"/>
    <w:multiLevelType w:val="hybridMultilevel"/>
    <w:tmpl w:val="DF7E68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093536A"/>
    <w:multiLevelType w:val="multilevel"/>
    <w:tmpl w:val="CF74410E"/>
    <w:lvl w:ilvl="0">
      <w:start w:val="1"/>
      <w:numFmt w:val="decimal"/>
      <w:lvlText w:val="%1"/>
      <w:lvlJc w:val="left"/>
      <w:pPr>
        <w:ind w:left="720" w:hanging="720"/>
      </w:pPr>
      <w:rPr>
        <w:rFonts w:hint="default"/>
        <w:b/>
      </w:rPr>
    </w:lvl>
    <w:lvl w:ilvl="1">
      <w:start w:val="6"/>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B22DCE"/>
    <w:multiLevelType w:val="hybridMultilevel"/>
    <w:tmpl w:val="D4A43BC4"/>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9">
    <w:nsid w:val="255B59A2"/>
    <w:multiLevelType w:val="hybridMultilevel"/>
    <w:tmpl w:val="A476D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DC64AA"/>
    <w:multiLevelType w:val="hybridMultilevel"/>
    <w:tmpl w:val="4BEAB902"/>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8D170E3"/>
    <w:multiLevelType w:val="hybridMultilevel"/>
    <w:tmpl w:val="59962C3C"/>
    <w:lvl w:ilvl="0" w:tplc="6CF689DE">
      <w:start w:val="1"/>
      <w:numFmt w:val="decimal"/>
      <w:lvlText w:val="5.%1"/>
      <w:lvlJc w:val="left"/>
      <w:pPr>
        <w:ind w:left="720" w:hanging="360"/>
      </w:pPr>
      <w:rPr>
        <w:rFonts w:hint="default"/>
        <w:b w:val="0"/>
        <w:i w:val="0"/>
      </w:rPr>
    </w:lvl>
    <w:lvl w:ilvl="1" w:tplc="1B12FC70">
      <w:start w:val="1"/>
      <w:numFmt w:val="decimal"/>
      <w:lvlText w:val="%2."/>
      <w:lvlJc w:val="left"/>
      <w:pPr>
        <w:ind w:left="1800" w:hanging="720"/>
      </w:pPr>
      <w:rPr>
        <w:rFonts w:hint="default"/>
      </w:rPr>
    </w:lvl>
    <w:lvl w:ilvl="2" w:tplc="5E9E68C6">
      <w:start w:val="1"/>
      <w:numFmt w:val="bullet"/>
      <w:lvlText w:val="•"/>
      <w:lvlJc w:val="left"/>
      <w:pPr>
        <w:ind w:left="2700" w:hanging="72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3C5961CC"/>
    <w:multiLevelType w:val="hybridMultilevel"/>
    <w:tmpl w:val="10B07B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44B4770C"/>
    <w:multiLevelType w:val="hybridMultilevel"/>
    <w:tmpl w:val="CA5C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24412C"/>
    <w:multiLevelType w:val="hybridMultilevel"/>
    <w:tmpl w:val="04FEF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E343DF"/>
    <w:multiLevelType w:val="hybridMultilevel"/>
    <w:tmpl w:val="86CE0F1E"/>
    <w:lvl w:ilvl="0" w:tplc="178CDF0C">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BC5196"/>
    <w:multiLevelType w:val="multilevel"/>
    <w:tmpl w:val="AC247276"/>
    <w:lvl w:ilvl="0">
      <w:start w:val="6"/>
      <w:numFmt w:val="decimal"/>
      <w:lvlText w:val="%1"/>
      <w:lvlJc w:val="left"/>
      <w:pPr>
        <w:ind w:left="360" w:hanging="360"/>
      </w:pPr>
      <w:rPr>
        <w:rFonts w:hint="default"/>
        <w:i w:val="0"/>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9DB4F5D"/>
    <w:multiLevelType w:val="hybridMultilevel"/>
    <w:tmpl w:val="CB7E31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nsid w:val="6DD12A32"/>
    <w:multiLevelType w:val="hybridMultilevel"/>
    <w:tmpl w:val="94445E9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767C3EA9"/>
    <w:multiLevelType w:val="hybridMultilevel"/>
    <w:tmpl w:val="3E34B69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5"/>
  </w:num>
  <w:num w:numId="2">
    <w:abstractNumId w:val="19"/>
  </w:num>
  <w:num w:numId="3">
    <w:abstractNumId w:val="11"/>
  </w:num>
  <w:num w:numId="4">
    <w:abstractNumId w:val="4"/>
  </w:num>
  <w:num w:numId="5">
    <w:abstractNumId w:val="2"/>
  </w:num>
  <w:num w:numId="6">
    <w:abstractNumId w:val="12"/>
  </w:num>
  <w:num w:numId="7">
    <w:abstractNumId w:val="13"/>
  </w:num>
  <w:num w:numId="8">
    <w:abstractNumId w:val="21"/>
  </w:num>
  <w:num w:numId="9">
    <w:abstractNumId w:val="7"/>
  </w:num>
  <w:num w:numId="10">
    <w:abstractNumId w:val="14"/>
  </w:num>
  <w:num w:numId="11">
    <w:abstractNumId w:val="18"/>
  </w:num>
  <w:num w:numId="12">
    <w:abstractNumId w:val="23"/>
  </w:num>
  <w:num w:numId="13">
    <w:abstractNumId w:val="26"/>
  </w:num>
  <w:num w:numId="14">
    <w:abstractNumId w:val="6"/>
  </w:num>
  <w:num w:numId="15">
    <w:abstractNumId w:val="24"/>
  </w:num>
  <w:num w:numId="16">
    <w:abstractNumId w:val="9"/>
  </w:num>
  <w:num w:numId="17">
    <w:abstractNumId w:val="1"/>
  </w:num>
  <w:num w:numId="18">
    <w:abstractNumId w:val="10"/>
  </w:num>
  <w:num w:numId="19">
    <w:abstractNumId w:val="22"/>
  </w:num>
  <w:num w:numId="20">
    <w:abstractNumId w:val="8"/>
  </w:num>
  <w:num w:numId="21">
    <w:abstractNumId w:val="3"/>
  </w:num>
  <w:num w:numId="22">
    <w:abstractNumId w:val="15"/>
  </w:num>
  <w:num w:numId="23">
    <w:abstractNumId w:val="5"/>
  </w:num>
  <w:num w:numId="24">
    <w:abstractNumId w:val="16"/>
  </w:num>
  <w:num w:numId="25">
    <w:abstractNumId w:val="20"/>
  </w:num>
  <w:num w:numId="26">
    <w:abstractNumId w:val="19"/>
  </w:num>
  <w:num w:numId="27">
    <w:abstractNumId w:val="0"/>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 dav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tfs2td0kwa9zueptv5vt0dh9vppdvrptwwv&quot;&gt;Sorafenib 2014&lt;record-ids&gt;&lt;item&gt;1&lt;/item&gt;&lt;item&gt;2&lt;/item&gt;&lt;item&gt;7&lt;/item&gt;&lt;item&gt;159&lt;/item&gt;&lt;item&gt;161&lt;/item&gt;&lt;item&gt;162&lt;/item&gt;&lt;item&gt;164&lt;/item&gt;&lt;item&gt;167&lt;/item&gt;&lt;/record-ids&gt;&lt;/item&gt;&lt;/Libraries&gt;"/>
  </w:docVars>
  <w:rsids>
    <w:rsidRoot w:val="00E65E79"/>
    <w:rsid w:val="00000790"/>
    <w:rsid w:val="000007D9"/>
    <w:rsid w:val="0000110B"/>
    <w:rsid w:val="00003499"/>
    <w:rsid w:val="00010609"/>
    <w:rsid w:val="0001306F"/>
    <w:rsid w:val="00013247"/>
    <w:rsid w:val="00015702"/>
    <w:rsid w:val="00015886"/>
    <w:rsid w:val="000162EF"/>
    <w:rsid w:val="00017097"/>
    <w:rsid w:val="0002225F"/>
    <w:rsid w:val="00023763"/>
    <w:rsid w:val="000265E4"/>
    <w:rsid w:val="000308DC"/>
    <w:rsid w:val="00031500"/>
    <w:rsid w:val="000327E0"/>
    <w:rsid w:val="00040895"/>
    <w:rsid w:val="00043C37"/>
    <w:rsid w:val="00044CF6"/>
    <w:rsid w:val="000462CA"/>
    <w:rsid w:val="00047B75"/>
    <w:rsid w:val="00052818"/>
    <w:rsid w:val="000545B5"/>
    <w:rsid w:val="000546D7"/>
    <w:rsid w:val="000548C4"/>
    <w:rsid w:val="00063E75"/>
    <w:rsid w:val="00066613"/>
    <w:rsid w:val="00067DB1"/>
    <w:rsid w:val="00071248"/>
    <w:rsid w:val="000720B9"/>
    <w:rsid w:val="000812CA"/>
    <w:rsid w:val="000830DE"/>
    <w:rsid w:val="00083430"/>
    <w:rsid w:val="00084330"/>
    <w:rsid w:val="000847A8"/>
    <w:rsid w:val="00084AF2"/>
    <w:rsid w:val="00086811"/>
    <w:rsid w:val="00090C7E"/>
    <w:rsid w:val="00097485"/>
    <w:rsid w:val="000A0455"/>
    <w:rsid w:val="000A2C21"/>
    <w:rsid w:val="000A384E"/>
    <w:rsid w:val="000B4E09"/>
    <w:rsid w:val="000B505A"/>
    <w:rsid w:val="000B73F6"/>
    <w:rsid w:val="000C69DF"/>
    <w:rsid w:val="000D1BFC"/>
    <w:rsid w:val="000D2705"/>
    <w:rsid w:val="000D3714"/>
    <w:rsid w:val="000D4101"/>
    <w:rsid w:val="000E77C9"/>
    <w:rsid w:val="000F3894"/>
    <w:rsid w:val="000F4BB8"/>
    <w:rsid w:val="000F6963"/>
    <w:rsid w:val="000F7127"/>
    <w:rsid w:val="000F7AC2"/>
    <w:rsid w:val="0010082F"/>
    <w:rsid w:val="00100F8A"/>
    <w:rsid w:val="0011032E"/>
    <w:rsid w:val="00112E24"/>
    <w:rsid w:val="0011348B"/>
    <w:rsid w:val="0011364F"/>
    <w:rsid w:val="00114481"/>
    <w:rsid w:val="00121799"/>
    <w:rsid w:val="001222FC"/>
    <w:rsid w:val="00124A51"/>
    <w:rsid w:val="001250AC"/>
    <w:rsid w:val="00126621"/>
    <w:rsid w:val="001301E9"/>
    <w:rsid w:val="00137645"/>
    <w:rsid w:val="0014015A"/>
    <w:rsid w:val="00140E99"/>
    <w:rsid w:val="001414E2"/>
    <w:rsid w:val="00144136"/>
    <w:rsid w:val="00145540"/>
    <w:rsid w:val="001456B0"/>
    <w:rsid w:val="0015005E"/>
    <w:rsid w:val="00150DFA"/>
    <w:rsid w:val="00152EB3"/>
    <w:rsid w:val="00154A16"/>
    <w:rsid w:val="001551DB"/>
    <w:rsid w:val="00155778"/>
    <w:rsid w:val="00157130"/>
    <w:rsid w:val="00160EDC"/>
    <w:rsid w:val="00162913"/>
    <w:rsid w:val="001634E4"/>
    <w:rsid w:val="00163EFF"/>
    <w:rsid w:val="001648AF"/>
    <w:rsid w:val="00165D0E"/>
    <w:rsid w:val="001661FB"/>
    <w:rsid w:val="001709BC"/>
    <w:rsid w:val="00173B08"/>
    <w:rsid w:val="001826B0"/>
    <w:rsid w:val="00182E3B"/>
    <w:rsid w:val="0018752F"/>
    <w:rsid w:val="001875EC"/>
    <w:rsid w:val="00195222"/>
    <w:rsid w:val="001975D8"/>
    <w:rsid w:val="001977FB"/>
    <w:rsid w:val="001B3443"/>
    <w:rsid w:val="001B3599"/>
    <w:rsid w:val="001B4318"/>
    <w:rsid w:val="001B4D44"/>
    <w:rsid w:val="001B63BF"/>
    <w:rsid w:val="001C1897"/>
    <w:rsid w:val="001C1D53"/>
    <w:rsid w:val="001C47C8"/>
    <w:rsid w:val="001C4882"/>
    <w:rsid w:val="001C570F"/>
    <w:rsid w:val="001C5C7C"/>
    <w:rsid w:val="001C6E66"/>
    <w:rsid w:val="001D47DE"/>
    <w:rsid w:val="001E238E"/>
    <w:rsid w:val="001E2B1E"/>
    <w:rsid w:val="001E52EB"/>
    <w:rsid w:val="001E5958"/>
    <w:rsid w:val="001E740C"/>
    <w:rsid w:val="001F054A"/>
    <w:rsid w:val="001F1235"/>
    <w:rsid w:val="001F1CB3"/>
    <w:rsid w:val="001F7361"/>
    <w:rsid w:val="001F76D8"/>
    <w:rsid w:val="002001D6"/>
    <w:rsid w:val="0020385F"/>
    <w:rsid w:val="002040E6"/>
    <w:rsid w:val="00204C37"/>
    <w:rsid w:val="00207339"/>
    <w:rsid w:val="00207D00"/>
    <w:rsid w:val="002105C1"/>
    <w:rsid w:val="00214F38"/>
    <w:rsid w:val="0021576D"/>
    <w:rsid w:val="00223375"/>
    <w:rsid w:val="00223B49"/>
    <w:rsid w:val="00224118"/>
    <w:rsid w:val="00224DD4"/>
    <w:rsid w:val="00230745"/>
    <w:rsid w:val="002309CC"/>
    <w:rsid w:val="00231029"/>
    <w:rsid w:val="0023596E"/>
    <w:rsid w:val="00242BA1"/>
    <w:rsid w:val="002439CB"/>
    <w:rsid w:val="002447B2"/>
    <w:rsid w:val="00244B1B"/>
    <w:rsid w:val="00244C76"/>
    <w:rsid w:val="00246BC2"/>
    <w:rsid w:val="00246D66"/>
    <w:rsid w:val="0024750D"/>
    <w:rsid w:val="00251BFD"/>
    <w:rsid w:val="00254DCF"/>
    <w:rsid w:val="0025534B"/>
    <w:rsid w:val="00255BB7"/>
    <w:rsid w:val="00262A87"/>
    <w:rsid w:val="00263C86"/>
    <w:rsid w:val="00271C53"/>
    <w:rsid w:val="0027419B"/>
    <w:rsid w:val="002744E7"/>
    <w:rsid w:val="00275C5A"/>
    <w:rsid w:val="002922F5"/>
    <w:rsid w:val="002A0EF2"/>
    <w:rsid w:val="002A14AB"/>
    <w:rsid w:val="002A4557"/>
    <w:rsid w:val="002B1C1F"/>
    <w:rsid w:val="002B432F"/>
    <w:rsid w:val="002B6CCE"/>
    <w:rsid w:val="002B7167"/>
    <w:rsid w:val="002C2775"/>
    <w:rsid w:val="002C27C1"/>
    <w:rsid w:val="002C5B0A"/>
    <w:rsid w:val="002C7929"/>
    <w:rsid w:val="002C7A41"/>
    <w:rsid w:val="002D20A4"/>
    <w:rsid w:val="002D4D54"/>
    <w:rsid w:val="002E19FB"/>
    <w:rsid w:val="002E48A6"/>
    <w:rsid w:val="002E4EE8"/>
    <w:rsid w:val="002E544B"/>
    <w:rsid w:val="00301017"/>
    <w:rsid w:val="00305D32"/>
    <w:rsid w:val="00306CD4"/>
    <w:rsid w:val="00307402"/>
    <w:rsid w:val="0030786C"/>
    <w:rsid w:val="0031031A"/>
    <w:rsid w:val="00310981"/>
    <w:rsid w:val="003128D0"/>
    <w:rsid w:val="00315498"/>
    <w:rsid w:val="00322B8C"/>
    <w:rsid w:val="00324676"/>
    <w:rsid w:val="00325637"/>
    <w:rsid w:val="00325C96"/>
    <w:rsid w:val="003315D2"/>
    <w:rsid w:val="00331F15"/>
    <w:rsid w:val="003366C9"/>
    <w:rsid w:val="003371B0"/>
    <w:rsid w:val="003373E9"/>
    <w:rsid w:val="00340929"/>
    <w:rsid w:val="003418E2"/>
    <w:rsid w:val="0034342B"/>
    <w:rsid w:val="0035186F"/>
    <w:rsid w:val="0035259F"/>
    <w:rsid w:val="0035620E"/>
    <w:rsid w:val="0035673C"/>
    <w:rsid w:val="00360652"/>
    <w:rsid w:val="00363417"/>
    <w:rsid w:val="0036443B"/>
    <w:rsid w:val="0036547F"/>
    <w:rsid w:val="003702FE"/>
    <w:rsid w:val="00372586"/>
    <w:rsid w:val="00376A2C"/>
    <w:rsid w:val="00382563"/>
    <w:rsid w:val="0038365C"/>
    <w:rsid w:val="00384CC6"/>
    <w:rsid w:val="00387D54"/>
    <w:rsid w:val="00390E5C"/>
    <w:rsid w:val="00396FD0"/>
    <w:rsid w:val="003A1A7A"/>
    <w:rsid w:val="003B4FD8"/>
    <w:rsid w:val="003C14EE"/>
    <w:rsid w:val="003C274B"/>
    <w:rsid w:val="003D0164"/>
    <w:rsid w:val="003D0A2F"/>
    <w:rsid w:val="003D1198"/>
    <w:rsid w:val="003D1828"/>
    <w:rsid w:val="003D2422"/>
    <w:rsid w:val="003D4EB3"/>
    <w:rsid w:val="003D51CE"/>
    <w:rsid w:val="003E64A1"/>
    <w:rsid w:val="003F1850"/>
    <w:rsid w:val="003F191F"/>
    <w:rsid w:val="003F4156"/>
    <w:rsid w:val="003F45F0"/>
    <w:rsid w:val="00405197"/>
    <w:rsid w:val="00410EC7"/>
    <w:rsid w:val="00414354"/>
    <w:rsid w:val="004143F7"/>
    <w:rsid w:val="0041441C"/>
    <w:rsid w:val="00414476"/>
    <w:rsid w:val="00417285"/>
    <w:rsid w:val="00417AC6"/>
    <w:rsid w:val="00420B9F"/>
    <w:rsid w:val="00423E74"/>
    <w:rsid w:val="004274C3"/>
    <w:rsid w:val="004276AD"/>
    <w:rsid w:val="00430979"/>
    <w:rsid w:val="004319F8"/>
    <w:rsid w:val="004336C6"/>
    <w:rsid w:val="0044367D"/>
    <w:rsid w:val="004443A7"/>
    <w:rsid w:val="004464EB"/>
    <w:rsid w:val="0045037A"/>
    <w:rsid w:val="00455D45"/>
    <w:rsid w:val="00455F1A"/>
    <w:rsid w:val="00460FD8"/>
    <w:rsid w:val="004625FE"/>
    <w:rsid w:val="00463DA9"/>
    <w:rsid w:val="00464595"/>
    <w:rsid w:val="00472560"/>
    <w:rsid w:val="00483FC1"/>
    <w:rsid w:val="00485F8D"/>
    <w:rsid w:val="004867E2"/>
    <w:rsid w:val="00491B3A"/>
    <w:rsid w:val="004926F2"/>
    <w:rsid w:val="00492CFD"/>
    <w:rsid w:val="00493F63"/>
    <w:rsid w:val="004944E7"/>
    <w:rsid w:val="004966F2"/>
    <w:rsid w:val="00497826"/>
    <w:rsid w:val="004A0DA1"/>
    <w:rsid w:val="004A225C"/>
    <w:rsid w:val="004A23C8"/>
    <w:rsid w:val="004A3AB3"/>
    <w:rsid w:val="004A4E9A"/>
    <w:rsid w:val="004A516D"/>
    <w:rsid w:val="004A6597"/>
    <w:rsid w:val="004B1CB4"/>
    <w:rsid w:val="004B2F18"/>
    <w:rsid w:val="004B3DDB"/>
    <w:rsid w:val="004B44FD"/>
    <w:rsid w:val="004B5CFC"/>
    <w:rsid w:val="004B65CD"/>
    <w:rsid w:val="004C4AED"/>
    <w:rsid w:val="004D43E8"/>
    <w:rsid w:val="004D4B25"/>
    <w:rsid w:val="004E0EB8"/>
    <w:rsid w:val="004E2ADC"/>
    <w:rsid w:val="004E43B2"/>
    <w:rsid w:val="004E4506"/>
    <w:rsid w:val="004E608F"/>
    <w:rsid w:val="004F0911"/>
    <w:rsid w:val="004F1D02"/>
    <w:rsid w:val="004F2679"/>
    <w:rsid w:val="004F561B"/>
    <w:rsid w:val="004F7865"/>
    <w:rsid w:val="004F7F13"/>
    <w:rsid w:val="00501BB3"/>
    <w:rsid w:val="00503541"/>
    <w:rsid w:val="00506928"/>
    <w:rsid w:val="005152B5"/>
    <w:rsid w:val="005164D3"/>
    <w:rsid w:val="00520E11"/>
    <w:rsid w:val="00521319"/>
    <w:rsid w:val="0052151C"/>
    <w:rsid w:val="00523C28"/>
    <w:rsid w:val="0052671F"/>
    <w:rsid w:val="00527B23"/>
    <w:rsid w:val="00532259"/>
    <w:rsid w:val="00533946"/>
    <w:rsid w:val="00540597"/>
    <w:rsid w:val="005437A1"/>
    <w:rsid w:val="00550340"/>
    <w:rsid w:val="005543E2"/>
    <w:rsid w:val="00555109"/>
    <w:rsid w:val="005564A1"/>
    <w:rsid w:val="0056696F"/>
    <w:rsid w:val="00572242"/>
    <w:rsid w:val="00575D8D"/>
    <w:rsid w:val="00576972"/>
    <w:rsid w:val="00583699"/>
    <w:rsid w:val="005868F8"/>
    <w:rsid w:val="00593098"/>
    <w:rsid w:val="005A1132"/>
    <w:rsid w:val="005A5ABB"/>
    <w:rsid w:val="005B389A"/>
    <w:rsid w:val="005B463A"/>
    <w:rsid w:val="005B4BFE"/>
    <w:rsid w:val="005B5857"/>
    <w:rsid w:val="005B6164"/>
    <w:rsid w:val="005C17F8"/>
    <w:rsid w:val="005C1B83"/>
    <w:rsid w:val="005C346B"/>
    <w:rsid w:val="005C6FFC"/>
    <w:rsid w:val="005D18AD"/>
    <w:rsid w:val="005D2C8F"/>
    <w:rsid w:val="005D3B67"/>
    <w:rsid w:val="005D464B"/>
    <w:rsid w:val="005D6082"/>
    <w:rsid w:val="005E3AED"/>
    <w:rsid w:val="005E73C0"/>
    <w:rsid w:val="005F0204"/>
    <w:rsid w:val="005F15F5"/>
    <w:rsid w:val="005F2706"/>
    <w:rsid w:val="005F387A"/>
    <w:rsid w:val="005F3FDE"/>
    <w:rsid w:val="005F40B0"/>
    <w:rsid w:val="005F6A8F"/>
    <w:rsid w:val="005F7F7F"/>
    <w:rsid w:val="006044B6"/>
    <w:rsid w:val="006045A1"/>
    <w:rsid w:val="006054ED"/>
    <w:rsid w:val="00607669"/>
    <w:rsid w:val="00612F97"/>
    <w:rsid w:val="00613B37"/>
    <w:rsid w:val="00616029"/>
    <w:rsid w:val="00616802"/>
    <w:rsid w:val="00617E12"/>
    <w:rsid w:val="0062004C"/>
    <w:rsid w:val="00621477"/>
    <w:rsid w:val="0062517B"/>
    <w:rsid w:val="00627544"/>
    <w:rsid w:val="00631D6B"/>
    <w:rsid w:val="00633F24"/>
    <w:rsid w:val="00634270"/>
    <w:rsid w:val="0063479F"/>
    <w:rsid w:val="006364A1"/>
    <w:rsid w:val="00637BFD"/>
    <w:rsid w:val="00641342"/>
    <w:rsid w:val="006471CC"/>
    <w:rsid w:val="0065079F"/>
    <w:rsid w:val="00650FCF"/>
    <w:rsid w:val="0066250B"/>
    <w:rsid w:val="00672399"/>
    <w:rsid w:val="006740D0"/>
    <w:rsid w:val="00674E42"/>
    <w:rsid w:val="00675E51"/>
    <w:rsid w:val="00676CBF"/>
    <w:rsid w:val="00682112"/>
    <w:rsid w:val="00686C34"/>
    <w:rsid w:val="00687E95"/>
    <w:rsid w:val="00694F44"/>
    <w:rsid w:val="006A0A31"/>
    <w:rsid w:val="006A1A61"/>
    <w:rsid w:val="006A3D1B"/>
    <w:rsid w:val="006A460E"/>
    <w:rsid w:val="006C0BC2"/>
    <w:rsid w:val="006C182C"/>
    <w:rsid w:val="006C2A8E"/>
    <w:rsid w:val="006C6CB1"/>
    <w:rsid w:val="006D27BB"/>
    <w:rsid w:val="006D3C7D"/>
    <w:rsid w:val="006E130A"/>
    <w:rsid w:val="006E1C31"/>
    <w:rsid w:val="006E57E4"/>
    <w:rsid w:val="006F5868"/>
    <w:rsid w:val="006F63A5"/>
    <w:rsid w:val="0070123D"/>
    <w:rsid w:val="0070276E"/>
    <w:rsid w:val="0070284E"/>
    <w:rsid w:val="00702F8F"/>
    <w:rsid w:val="00703D6D"/>
    <w:rsid w:val="007072A3"/>
    <w:rsid w:val="00711563"/>
    <w:rsid w:val="00711A36"/>
    <w:rsid w:val="007156E3"/>
    <w:rsid w:val="00716DAB"/>
    <w:rsid w:val="00716E2A"/>
    <w:rsid w:val="007172AD"/>
    <w:rsid w:val="007177D6"/>
    <w:rsid w:val="00717CC7"/>
    <w:rsid w:val="007212C9"/>
    <w:rsid w:val="0072172A"/>
    <w:rsid w:val="00721FA0"/>
    <w:rsid w:val="0072416F"/>
    <w:rsid w:val="0072703C"/>
    <w:rsid w:val="00730927"/>
    <w:rsid w:val="00731B63"/>
    <w:rsid w:val="0073468E"/>
    <w:rsid w:val="00735328"/>
    <w:rsid w:val="0073685B"/>
    <w:rsid w:val="00744E7D"/>
    <w:rsid w:val="00752591"/>
    <w:rsid w:val="00753F4D"/>
    <w:rsid w:val="007568EB"/>
    <w:rsid w:val="00757D76"/>
    <w:rsid w:val="00764061"/>
    <w:rsid w:val="00764E07"/>
    <w:rsid w:val="00765639"/>
    <w:rsid w:val="00765E79"/>
    <w:rsid w:val="00773D3E"/>
    <w:rsid w:val="0077518A"/>
    <w:rsid w:val="00775A3B"/>
    <w:rsid w:val="00776BA8"/>
    <w:rsid w:val="007803BD"/>
    <w:rsid w:val="0078349A"/>
    <w:rsid w:val="007837C5"/>
    <w:rsid w:val="0078526F"/>
    <w:rsid w:val="007874E6"/>
    <w:rsid w:val="0079009E"/>
    <w:rsid w:val="007908FB"/>
    <w:rsid w:val="00790924"/>
    <w:rsid w:val="00792289"/>
    <w:rsid w:val="007A0A12"/>
    <w:rsid w:val="007A3327"/>
    <w:rsid w:val="007B251D"/>
    <w:rsid w:val="007B5B0C"/>
    <w:rsid w:val="007B6A31"/>
    <w:rsid w:val="007B77D1"/>
    <w:rsid w:val="007C3344"/>
    <w:rsid w:val="007C361D"/>
    <w:rsid w:val="007C4C26"/>
    <w:rsid w:val="007C6152"/>
    <w:rsid w:val="007D06FF"/>
    <w:rsid w:val="007D0B38"/>
    <w:rsid w:val="007D5143"/>
    <w:rsid w:val="007E11E7"/>
    <w:rsid w:val="007E5324"/>
    <w:rsid w:val="007E57EE"/>
    <w:rsid w:val="007E5E75"/>
    <w:rsid w:val="007E679F"/>
    <w:rsid w:val="007F0652"/>
    <w:rsid w:val="007F0716"/>
    <w:rsid w:val="007F1017"/>
    <w:rsid w:val="007F1842"/>
    <w:rsid w:val="007F4A3F"/>
    <w:rsid w:val="007F6A15"/>
    <w:rsid w:val="008000E7"/>
    <w:rsid w:val="00802EBA"/>
    <w:rsid w:val="008047D3"/>
    <w:rsid w:val="00805142"/>
    <w:rsid w:val="00807864"/>
    <w:rsid w:val="00807A3D"/>
    <w:rsid w:val="00807A8B"/>
    <w:rsid w:val="00812149"/>
    <w:rsid w:val="008166EF"/>
    <w:rsid w:val="008264EB"/>
    <w:rsid w:val="00833B05"/>
    <w:rsid w:val="0083434F"/>
    <w:rsid w:val="00837F42"/>
    <w:rsid w:val="00840CA2"/>
    <w:rsid w:val="008519AC"/>
    <w:rsid w:val="008536B6"/>
    <w:rsid w:val="008544FF"/>
    <w:rsid w:val="00856546"/>
    <w:rsid w:val="00856E9A"/>
    <w:rsid w:val="00857EDA"/>
    <w:rsid w:val="0086081D"/>
    <w:rsid w:val="008623BB"/>
    <w:rsid w:val="00862502"/>
    <w:rsid w:val="00865CE9"/>
    <w:rsid w:val="00873EC3"/>
    <w:rsid w:val="008778E6"/>
    <w:rsid w:val="008805FD"/>
    <w:rsid w:val="00882874"/>
    <w:rsid w:val="00883787"/>
    <w:rsid w:val="00884211"/>
    <w:rsid w:val="008904A4"/>
    <w:rsid w:val="0089200A"/>
    <w:rsid w:val="00892F9B"/>
    <w:rsid w:val="00894489"/>
    <w:rsid w:val="008963A5"/>
    <w:rsid w:val="008A07E6"/>
    <w:rsid w:val="008A3C3E"/>
    <w:rsid w:val="008A79DE"/>
    <w:rsid w:val="008B7D7E"/>
    <w:rsid w:val="008C0D2F"/>
    <w:rsid w:val="008C1597"/>
    <w:rsid w:val="008C6315"/>
    <w:rsid w:val="008C7ECB"/>
    <w:rsid w:val="008D053D"/>
    <w:rsid w:val="008D5703"/>
    <w:rsid w:val="008E194C"/>
    <w:rsid w:val="008E1B9E"/>
    <w:rsid w:val="008E647E"/>
    <w:rsid w:val="008E7087"/>
    <w:rsid w:val="008E727D"/>
    <w:rsid w:val="008E7309"/>
    <w:rsid w:val="008E7A0F"/>
    <w:rsid w:val="008F120A"/>
    <w:rsid w:val="008F39D1"/>
    <w:rsid w:val="008F3F43"/>
    <w:rsid w:val="008F48EB"/>
    <w:rsid w:val="008F4F0B"/>
    <w:rsid w:val="008F6699"/>
    <w:rsid w:val="008F6D3C"/>
    <w:rsid w:val="00905A60"/>
    <w:rsid w:val="009062A5"/>
    <w:rsid w:val="00911272"/>
    <w:rsid w:val="00913A08"/>
    <w:rsid w:val="00913E50"/>
    <w:rsid w:val="00924334"/>
    <w:rsid w:val="00925433"/>
    <w:rsid w:val="00925A1E"/>
    <w:rsid w:val="00933CF2"/>
    <w:rsid w:val="00941C40"/>
    <w:rsid w:val="0094307C"/>
    <w:rsid w:val="0094681A"/>
    <w:rsid w:val="009515FD"/>
    <w:rsid w:val="00954060"/>
    <w:rsid w:val="00961860"/>
    <w:rsid w:val="00962CB9"/>
    <w:rsid w:val="00963E0D"/>
    <w:rsid w:val="00964312"/>
    <w:rsid w:val="00971650"/>
    <w:rsid w:val="00975141"/>
    <w:rsid w:val="00983E57"/>
    <w:rsid w:val="00985718"/>
    <w:rsid w:val="0098633B"/>
    <w:rsid w:val="00986E63"/>
    <w:rsid w:val="0099001E"/>
    <w:rsid w:val="0099099B"/>
    <w:rsid w:val="00990EC1"/>
    <w:rsid w:val="00996726"/>
    <w:rsid w:val="00996B1A"/>
    <w:rsid w:val="009A0269"/>
    <w:rsid w:val="009A0EB3"/>
    <w:rsid w:val="009A1431"/>
    <w:rsid w:val="009A42C2"/>
    <w:rsid w:val="009B3340"/>
    <w:rsid w:val="009B3E26"/>
    <w:rsid w:val="009B4746"/>
    <w:rsid w:val="009C4FA1"/>
    <w:rsid w:val="009D3C43"/>
    <w:rsid w:val="009D4322"/>
    <w:rsid w:val="009D5B91"/>
    <w:rsid w:val="009D6CAF"/>
    <w:rsid w:val="009E0338"/>
    <w:rsid w:val="009E17C5"/>
    <w:rsid w:val="009E401A"/>
    <w:rsid w:val="009E4C07"/>
    <w:rsid w:val="009E6512"/>
    <w:rsid w:val="009E704C"/>
    <w:rsid w:val="009F4613"/>
    <w:rsid w:val="00A00E1B"/>
    <w:rsid w:val="00A03D43"/>
    <w:rsid w:val="00A04380"/>
    <w:rsid w:val="00A11A63"/>
    <w:rsid w:val="00A124E4"/>
    <w:rsid w:val="00A13948"/>
    <w:rsid w:val="00A14474"/>
    <w:rsid w:val="00A2302A"/>
    <w:rsid w:val="00A25C92"/>
    <w:rsid w:val="00A2786D"/>
    <w:rsid w:val="00A27AEC"/>
    <w:rsid w:val="00A312FF"/>
    <w:rsid w:val="00A33E07"/>
    <w:rsid w:val="00A34EFF"/>
    <w:rsid w:val="00A35D16"/>
    <w:rsid w:val="00A3688A"/>
    <w:rsid w:val="00A40CD9"/>
    <w:rsid w:val="00A43C59"/>
    <w:rsid w:val="00A46591"/>
    <w:rsid w:val="00A46A35"/>
    <w:rsid w:val="00A50ECD"/>
    <w:rsid w:val="00A51159"/>
    <w:rsid w:val="00A52667"/>
    <w:rsid w:val="00A52729"/>
    <w:rsid w:val="00A53675"/>
    <w:rsid w:val="00A56B6A"/>
    <w:rsid w:val="00A578DC"/>
    <w:rsid w:val="00A61FAA"/>
    <w:rsid w:val="00A63C6A"/>
    <w:rsid w:val="00A65990"/>
    <w:rsid w:val="00A6725B"/>
    <w:rsid w:val="00A84315"/>
    <w:rsid w:val="00A86E8B"/>
    <w:rsid w:val="00A93072"/>
    <w:rsid w:val="00A93DD5"/>
    <w:rsid w:val="00A959D8"/>
    <w:rsid w:val="00AA43BE"/>
    <w:rsid w:val="00AA4B4D"/>
    <w:rsid w:val="00AA5022"/>
    <w:rsid w:val="00AA5030"/>
    <w:rsid w:val="00AB042A"/>
    <w:rsid w:val="00AB19B3"/>
    <w:rsid w:val="00AB2D34"/>
    <w:rsid w:val="00AB3430"/>
    <w:rsid w:val="00AB7A98"/>
    <w:rsid w:val="00AB7CFA"/>
    <w:rsid w:val="00AC75C4"/>
    <w:rsid w:val="00AD2B57"/>
    <w:rsid w:val="00AD4106"/>
    <w:rsid w:val="00AE2071"/>
    <w:rsid w:val="00AE7F1C"/>
    <w:rsid w:val="00AF1106"/>
    <w:rsid w:val="00AF26FC"/>
    <w:rsid w:val="00AF5223"/>
    <w:rsid w:val="00AF566F"/>
    <w:rsid w:val="00B00FC0"/>
    <w:rsid w:val="00B064F3"/>
    <w:rsid w:val="00B12402"/>
    <w:rsid w:val="00B1277B"/>
    <w:rsid w:val="00B14E94"/>
    <w:rsid w:val="00B16915"/>
    <w:rsid w:val="00B22375"/>
    <w:rsid w:val="00B26EDC"/>
    <w:rsid w:val="00B274C6"/>
    <w:rsid w:val="00B31DC0"/>
    <w:rsid w:val="00B348D0"/>
    <w:rsid w:val="00B42851"/>
    <w:rsid w:val="00B42C9C"/>
    <w:rsid w:val="00B433D1"/>
    <w:rsid w:val="00B51528"/>
    <w:rsid w:val="00B53905"/>
    <w:rsid w:val="00B549DA"/>
    <w:rsid w:val="00B54B5B"/>
    <w:rsid w:val="00B54D52"/>
    <w:rsid w:val="00B5562E"/>
    <w:rsid w:val="00B57000"/>
    <w:rsid w:val="00B576A3"/>
    <w:rsid w:val="00B57E2A"/>
    <w:rsid w:val="00B60939"/>
    <w:rsid w:val="00B60AFD"/>
    <w:rsid w:val="00B60D91"/>
    <w:rsid w:val="00B61EEF"/>
    <w:rsid w:val="00B62715"/>
    <w:rsid w:val="00B67326"/>
    <w:rsid w:val="00B67459"/>
    <w:rsid w:val="00B70C18"/>
    <w:rsid w:val="00B7329C"/>
    <w:rsid w:val="00B73BEA"/>
    <w:rsid w:val="00B809E6"/>
    <w:rsid w:val="00B80C5C"/>
    <w:rsid w:val="00B80E5C"/>
    <w:rsid w:val="00B80E7C"/>
    <w:rsid w:val="00B818A4"/>
    <w:rsid w:val="00B8649C"/>
    <w:rsid w:val="00B92D0B"/>
    <w:rsid w:val="00B93D6C"/>
    <w:rsid w:val="00B94945"/>
    <w:rsid w:val="00BA0428"/>
    <w:rsid w:val="00BA4840"/>
    <w:rsid w:val="00BA608C"/>
    <w:rsid w:val="00BB0D74"/>
    <w:rsid w:val="00BB17D7"/>
    <w:rsid w:val="00BB2422"/>
    <w:rsid w:val="00BB3898"/>
    <w:rsid w:val="00BB51CF"/>
    <w:rsid w:val="00BB5E80"/>
    <w:rsid w:val="00BB7405"/>
    <w:rsid w:val="00BC05CA"/>
    <w:rsid w:val="00BC4D0A"/>
    <w:rsid w:val="00BC747F"/>
    <w:rsid w:val="00BD1417"/>
    <w:rsid w:val="00BD3229"/>
    <w:rsid w:val="00BD5493"/>
    <w:rsid w:val="00BE2180"/>
    <w:rsid w:val="00BE4275"/>
    <w:rsid w:val="00BF2433"/>
    <w:rsid w:val="00BF3DDE"/>
    <w:rsid w:val="00BF414C"/>
    <w:rsid w:val="00BF61C9"/>
    <w:rsid w:val="00BF6498"/>
    <w:rsid w:val="00C0077F"/>
    <w:rsid w:val="00C009C9"/>
    <w:rsid w:val="00C0346E"/>
    <w:rsid w:val="00C07246"/>
    <w:rsid w:val="00C10D62"/>
    <w:rsid w:val="00C12D63"/>
    <w:rsid w:val="00C12ED1"/>
    <w:rsid w:val="00C13830"/>
    <w:rsid w:val="00C14F31"/>
    <w:rsid w:val="00C17598"/>
    <w:rsid w:val="00C21333"/>
    <w:rsid w:val="00C25418"/>
    <w:rsid w:val="00C25D9C"/>
    <w:rsid w:val="00C27AD8"/>
    <w:rsid w:val="00C31649"/>
    <w:rsid w:val="00C34E50"/>
    <w:rsid w:val="00C35774"/>
    <w:rsid w:val="00C40385"/>
    <w:rsid w:val="00C43779"/>
    <w:rsid w:val="00C57AA1"/>
    <w:rsid w:val="00C65576"/>
    <w:rsid w:val="00C66165"/>
    <w:rsid w:val="00C67C83"/>
    <w:rsid w:val="00C74DF6"/>
    <w:rsid w:val="00C800E4"/>
    <w:rsid w:val="00C8213F"/>
    <w:rsid w:val="00C86F92"/>
    <w:rsid w:val="00C8797A"/>
    <w:rsid w:val="00C938CF"/>
    <w:rsid w:val="00C975A1"/>
    <w:rsid w:val="00CA5245"/>
    <w:rsid w:val="00CA564F"/>
    <w:rsid w:val="00CA5B87"/>
    <w:rsid w:val="00CA6469"/>
    <w:rsid w:val="00CA7B09"/>
    <w:rsid w:val="00CB0D81"/>
    <w:rsid w:val="00CB4E71"/>
    <w:rsid w:val="00CB5B1A"/>
    <w:rsid w:val="00CB622F"/>
    <w:rsid w:val="00CC3D63"/>
    <w:rsid w:val="00CC5E05"/>
    <w:rsid w:val="00CD1C7D"/>
    <w:rsid w:val="00CD2865"/>
    <w:rsid w:val="00CD3CB3"/>
    <w:rsid w:val="00CD6ADC"/>
    <w:rsid w:val="00CE044A"/>
    <w:rsid w:val="00CE6274"/>
    <w:rsid w:val="00CE7A35"/>
    <w:rsid w:val="00CF2837"/>
    <w:rsid w:val="00CF456B"/>
    <w:rsid w:val="00CF5A22"/>
    <w:rsid w:val="00CF786D"/>
    <w:rsid w:val="00D00753"/>
    <w:rsid w:val="00D01631"/>
    <w:rsid w:val="00D0262E"/>
    <w:rsid w:val="00D04853"/>
    <w:rsid w:val="00D05D31"/>
    <w:rsid w:val="00D110BD"/>
    <w:rsid w:val="00D12D36"/>
    <w:rsid w:val="00D13DC4"/>
    <w:rsid w:val="00D14F26"/>
    <w:rsid w:val="00D17D6C"/>
    <w:rsid w:val="00D27606"/>
    <w:rsid w:val="00D300D8"/>
    <w:rsid w:val="00D30A72"/>
    <w:rsid w:val="00D357FF"/>
    <w:rsid w:val="00D3648B"/>
    <w:rsid w:val="00D36553"/>
    <w:rsid w:val="00D41411"/>
    <w:rsid w:val="00D41D37"/>
    <w:rsid w:val="00D474A6"/>
    <w:rsid w:val="00D5119D"/>
    <w:rsid w:val="00D6112C"/>
    <w:rsid w:val="00D6148D"/>
    <w:rsid w:val="00D73C3E"/>
    <w:rsid w:val="00D74B03"/>
    <w:rsid w:val="00D7663E"/>
    <w:rsid w:val="00D76A44"/>
    <w:rsid w:val="00D77A25"/>
    <w:rsid w:val="00D80BA9"/>
    <w:rsid w:val="00D93753"/>
    <w:rsid w:val="00D96388"/>
    <w:rsid w:val="00DA0A62"/>
    <w:rsid w:val="00DA42B5"/>
    <w:rsid w:val="00DA492A"/>
    <w:rsid w:val="00DA77A5"/>
    <w:rsid w:val="00DB6637"/>
    <w:rsid w:val="00DC2B75"/>
    <w:rsid w:val="00DC458A"/>
    <w:rsid w:val="00DC5501"/>
    <w:rsid w:val="00DD22A4"/>
    <w:rsid w:val="00DD3F28"/>
    <w:rsid w:val="00DD420E"/>
    <w:rsid w:val="00DD44EC"/>
    <w:rsid w:val="00DD4537"/>
    <w:rsid w:val="00DD4E15"/>
    <w:rsid w:val="00DE2B19"/>
    <w:rsid w:val="00DE4138"/>
    <w:rsid w:val="00DE4FCB"/>
    <w:rsid w:val="00DE7C08"/>
    <w:rsid w:val="00DF16A4"/>
    <w:rsid w:val="00DF5D2B"/>
    <w:rsid w:val="00DF6D77"/>
    <w:rsid w:val="00E01BA9"/>
    <w:rsid w:val="00E020F7"/>
    <w:rsid w:val="00E04561"/>
    <w:rsid w:val="00E10149"/>
    <w:rsid w:val="00E12DA0"/>
    <w:rsid w:val="00E16372"/>
    <w:rsid w:val="00E17056"/>
    <w:rsid w:val="00E17B87"/>
    <w:rsid w:val="00E20ED6"/>
    <w:rsid w:val="00E21358"/>
    <w:rsid w:val="00E2249B"/>
    <w:rsid w:val="00E25788"/>
    <w:rsid w:val="00E262B3"/>
    <w:rsid w:val="00E2771E"/>
    <w:rsid w:val="00E30AE4"/>
    <w:rsid w:val="00E34E4E"/>
    <w:rsid w:val="00E34E86"/>
    <w:rsid w:val="00E37569"/>
    <w:rsid w:val="00E37DD9"/>
    <w:rsid w:val="00E41E30"/>
    <w:rsid w:val="00E43D70"/>
    <w:rsid w:val="00E442C1"/>
    <w:rsid w:val="00E45D29"/>
    <w:rsid w:val="00E47B2C"/>
    <w:rsid w:val="00E51560"/>
    <w:rsid w:val="00E55424"/>
    <w:rsid w:val="00E55BB5"/>
    <w:rsid w:val="00E6282F"/>
    <w:rsid w:val="00E62B95"/>
    <w:rsid w:val="00E63696"/>
    <w:rsid w:val="00E6580A"/>
    <w:rsid w:val="00E65E79"/>
    <w:rsid w:val="00E66B06"/>
    <w:rsid w:val="00E67416"/>
    <w:rsid w:val="00E70CE0"/>
    <w:rsid w:val="00E71740"/>
    <w:rsid w:val="00E718B6"/>
    <w:rsid w:val="00E73581"/>
    <w:rsid w:val="00E73C8C"/>
    <w:rsid w:val="00E75862"/>
    <w:rsid w:val="00E80970"/>
    <w:rsid w:val="00E833DE"/>
    <w:rsid w:val="00E83BDF"/>
    <w:rsid w:val="00E91823"/>
    <w:rsid w:val="00E92042"/>
    <w:rsid w:val="00E946A9"/>
    <w:rsid w:val="00EA1200"/>
    <w:rsid w:val="00EA1E14"/>
    <w:rsid w:val="00EA3864"/>
    <w:rsid w:val="00EA557C"/>
    <w:rsid w:val="00EA57FB"/>
    <w:rsid w:val="00EA69D8"/>
    <w:rsid w:val="00EA73AA"/>
    <w:rsid w:val="00EB15B6"/>
    <w:rsid w:val="00EB3852"/>
    <w:rsid w:val="00EB4916"/>
    <w:rsid w:val="00EC00C9"/>
    <w:rsid w:val="00EC3B01"/>
    <w:rsid w:val="00EC55E6"/>
    <w:rsid w:val="00ED139F"/>
    <w:rsid w:val="00ED4B89"/>
    <w:rsid w:val="00EE07D3"/>
    <w:rsid w:val="00EF595E"/>
    <w:rsid w:val="00F03FA0"/>
    <w:rsid w:val="00F045DE"/>
    <w:rsid w:val="00F0487E"/>
    <w:rsid w:val="00F06379"/>
    <w:rsid w:val="00F067A2"/>
    <w:rsid w:val="00F07505"/>
    <w:rsid w:val="00F112CF"/>
    <w:rsid w:val="00F116B9"/>
    <w:rsid w:val="00F24837"/>
    <w:rsid w:val="00F2575F"/>
    <w:rsid w:val="00F30717"/>
    <w:rsid w:val="00F33DE9"/>
    <w:rsid w:val="00F3536C"/>
    <w:rsid w:val="00F3619A"/>
    <w:rsid w:val="00F363CC"/>
    <w:rsid w:val="00F41F29"/>
    <w:rsid w:val="00F42D8B"/>
    <w:rsid w:val="00F43D9B"/>
    <w:rsid w:val="00F43E6D"/>
    <w:rsid w:val="00F447E5"/>
    <w:rsid w:val="00F46CB6"/>
    <w:rsid w:val="00F509FC"/>
    <w:rsid w:val="00F5135D"/>
    <w:rsid w:val="00F5243A"/>
    <w:rsid w:val="00F5437E"/>
    <w:rsid w:val="00F55E73"/>
    <w:rsid w:val="00F60092"/>
    <w:rsid w:val="00F62109"/>
    <w:rsid w:val="00F6210F"/>
    <w:rsid w:val="00F63D96"/>
    <w:rsid w:val="00F747DA"/>
    <w:rsid w:val="00F749BE"/>
    <w:rsid w:val="00F80B02"/>
    <w:rsid w:val="00F80E5D"/>
    <w:rsid w:val="00F8181F"/>
    <w:rsid w:val="00F82597"/>
    <w:rsid w:val="00F851CE"/>
    <w:rsid w:val="00F8582E"/>
    <w:rsid w:val="00F903FE"/>
    <w:rsid w:val="00F932E1"/>
    <w:rsid w:val="00F97A78"/>
    <w:rsid w:val="00FA24E7"/>
    <w:rsid w:val="00FA3D95"/>
    <w:rsid w:val="00FB00D2"/>
    <w:rsid w:val="00FB2FCB"/>
    <w:rsid w:val="00FC1074"/>
    <w:rsid w:val="00FC1884"/>
    <w:rsid w:val="00FC1B93"/>
    <w:rsid w:val="00FC69BA"/>
    <w:rsid w:val="00FD0EFA"/>
    <w:rsid w:val="00FD103B"/>
    <w:rsid w:val="00FD2100"/>
    <w:rsid w:val="00FD3105"/>
    <w:rsid w:val="00FD40B8"/>
    <w:rsid w:val="00FD446D"/>
    <w:rsid w:val="00FD555D"/>
    <w:rsid w:val="00FD558A"/>
    <w:rsid w:val="00FD5B21"/>
    <w:rsid w:val="00FD5E86"/>
    <w:rsid w:val="00FD6127"/>
    <w:rsid w:val="00FE17B7"/>
    <w:rsid w:val="00FE2D4C"/>
    <w:rsid w:val="00FE57B6"/>
    <w:rsid w:val="00FF3DCF"/>
    <w:rsid w:val="00FF4006"/>
    <w:rsid w:val="00FF4C19"/>
    <w:rsid w:val="00FF5A2A"/>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25C96"/>
    <w:pPr>
      <w:widowControl w:val="0"/>
      <w:jc w:val="both"/>
    </w:pPr>
    <w:rPr>
      <w:rFonts w:ascii="Arial" w:hAnsi="Arial" w:cs="Arial"/>
      <w:snapToGrid w:val="0"/>
      <w:sz w:val="22"/>
      <w:lang w:eastAsia="en-US"/>
    </w:rPr>
  </w:style>
  <w:style w:type="paragraph" w:styleId="Heading1">
    <w:name w:val="heading 1"/>
    <w:basedOn w:val="Normal"/>
    <w:next w:val="Normal"/>
    <w:qFormat/>
    <w:rsid w:val="00802EBA"/>
    <w:pPr>
      <w:ind w:left="720" w:hanging="720"/>
      <w:outlineLvl w:val="0"/>
    </w:pPr>
    <w:rPr>
      <w:rFonts w:ascii="Arial Bold" w:hAnsi="Arial Bold"/>
      <w:b/>
      <w:caps/>
      <w:sz w:val="28"/>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mallItalics">
    <w:name w:val="Small Italics"/>
    <w:uiPriority w:val="4"/>
    <w:qFormat/>
    <w:rsid w:val="00C0077F"/>
    <w:rPr>
      <w:rFonts w:ascii="Arial Narrow" w:hAnsi="Arial Narrow"/>
      <w:i/>
      <w:sz w:val="20"/>
    </w:rPr>
  </w:style>
  <w:style w:type="paragraph" w:customStyle="1" w:styleId="CaptionFootnotes">
    <w:name w:val="Caption Footnotes"/>
    <w:basedOn w:val="Normal"/>
    <w:link w:val="CaptionFootnotesChar"/>
    <w:qFormat/>
    <w:rsid w:val="00C0077F"/>
    <w:pPr>
      <w:widowControl/>
      <w:jc w:val="left"/>
    </w:pPr>
    <w:rPr>
      <w:rFonts w:ascii="Candara" w:hAnsi="Candara" w:cs="Times New Roman"/>
      <w:snapToGrid/>
      <w:sz w:val="16"/>
      <w:szCs w:val="22"/>
      <w:lang w:val="x-none" w:bidi="en-US"/>
    </w:rPr>
  </w:style>
  <w:style w:type="character" w:customStyle="1" w:styleId="CaptionFootnotesChar">
    <w:name w:val="Caption Footnotes Char"/>
    <w:link w:val="CaptionFootnotes"/>
    <w:rsid w:val="00C0077F"/>
    <w:rPr>
      <w:rFonts w:ascii="Candara" w:hAnsi="Candara"/>
      <w:sz w:val="16"/>
      <w:szCs w:val="22"/>
      <w:lang w:val="x-none" w:eastAsia="en-US" w:bidi="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F0204"/>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017097"/>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25C96"/>
    <w:pPr>
      <w:widowControl w:val="0"/>
      <w:jc w:val="both"/>
    </w:pPr>
    <w:rPr>
      <w:rFonts w:ascii="Arial" w:hAnsi="Arial" w:cs="Arial"/>
      <w:snapToGrid w:val="0"/>
      <w:sz w:val="22"/>
      <w:lang w:eastAsia="en-US"/>
    </w:rPr>
  </w:style>
  <w:style w:type="paragraph" w:styleId="Heading1">
    <w:name w:val="heading 1"/>
    <w:basedOn w:val="Normal"/>
    <w:next w:val="Normal"/>
    <w:qFormat/>
    <w:rsid w:val="00802EBA"/>
    <w:pPr>
      <w:ind w:left="720" w:hanging="720"/>
      <w:outlineLvl w:val="0"/>
    </w:pPr>
    <w:rPr>
      <w:rFonts w:ascii="Arial Bold" w:hAnsi="Arial Bold"/>
      <w:b/>
      <w:caps/>
      <w:sz w:val="28"/>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mallItalics">
    <w:name w:val="Small Italics"/>
    <w:uiPriority w:val="4"/>
    <w:qFormat/>
    <w:rsid w:val="00C0077F"/>
    <w:rPr>
      <w:rFonts w:ascii="Arial Narrow" w:hAnsi="Arial Narrow"/>
      <w:i/>
      <w:sz w:val="20"/>
    </w:rPr>
  </w:style>
  <w:style w:type="paragraph" w:customStyle="1" w:styleId="CaptionFootnotes">
    <w:name w:val="Caption Footnotes"/>
    <w:basedOn w:val="Normal"/>
    <w:link w:val="CaptionFootnotesChar"/>
    <w:qFormat/>
    <w:rsid w:val="00C0077F"/>
    <w:pPr>
      <w:widowControl/>
      <w:jc w:val="left"/>
    </w:pPr>
    <w:rPr>
      <w:rFonts w:ascii="Candara" w:hAnsi="Candara" w:cs="Times New Roman"/>
      <w:snapToGrid/>
      <w:sz w:val="16"/>
      <w:szCs w:val="22"/>
      <w:lang w:val="x-none" w:bidi="en-US"/>
    </w:rPr>
  </w:style>
  <w:style w:type="character" w:customStyle="1" w:styleId="CaptionFootnotesChar">
    <w:name w:val="Caption Footnotes Char"/>
    <w:link w:val="CaptionFootnotes"/>
    <w:rsid w:val="00C0077F"/>
    <w:rPr>
      <w:rFonts w:ascii="Candara" w:hAnsi="Candara"/>
      <w:sz w:val="16"/>
      <w:szCs w:val="22"/>
      <w:lang w:val="x-none" w:eastAsia="en-US" w:bidi="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F0204"/>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017097"/>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964">
      <w:bodyDiv w:val="1"/>
      <w:marLeft w:val="0"/>
      <w:marRight w:val="0"/>
      <w:marTop w:val="0"/>
      <w:marBottom w:val="0"/>
      <w:divBdr>
        <w:top w:val="none" w:sz="0" w:space="0" w:color="auto"/>
        <w:left w:val="none" w:sz="0" w:space="0" w:color="auto"/>
        <w:bottom w:val="none" w:sz="0" w:space="0" w:color="auto"/>
        <w:right w:val="none" w:sz="0" w:space="0" w:color="auto"/>
      </w:divBdr>
    </w:div>
    <w:div w:id="108277346">
      <w:bodyDiv w:val="1"/>
      <w:marLeft w:val="0"/>
      <w:marRight w:val="0"/>
      <w:marTop w:val="0"/>
      <w:marBottom w:val="0"/>
      <w:divBdr>
        <w:top w:val="none" w:sz="0" w:space="0" w:color="auto"/>
        <w:left w:val="none" w:sz="0" w:space="0" w:color="auto"/>
        <w:bottom w:val="none" w:sz="0" w:space="0" w:color="auto"/>
        <w:right w:val="none" w:sz="0" w:space="0" w:color="auto"/>
      </w:divBdr>
    </w:div>
    <w:div w:id="143670979">
      <w:bodyDiv w:val="1"/>
      <w:marLeft w:val="0"/>
      <w:marRight w:val="0"/>
      <w:marTop w:val="0"/>
      <w:marBottom w:val="0"/>
      <w:divBdr>
        <w:top w:val="none" w:sz="0" w:space="0" w:color="auto"/>
        <w:left w:val="none" w:sz="0" w:space="0" w:color="auto"/>
        <w:bottom w:val="none" w:sz="0" w:space="0" w:color="auto"/>
        <w:right w:val="none" w:sz="0" w:space="0" w:color="auto"/>
      </w:divBdr>
    </w:div>
    <w:div w:id="239560341">
      <w:bodyDiv w:val="1"/>
      <w:marLeft w:val="0"/>
      <w:marRight w:val="0"/>
      <w:marTop w:val="0"/>
      <w:marBottom w:val="0"/>
      <w:divBdr>
        <w:top w:val="none" w:sz="0" w:space="0" w:color="auto"/>
        <w:left w:val="none" w:sz="0" w:space="0" w:color="auto"/>
        <w:bottom w:val="none" w:sz="0" w:space="0" w:color="auto"/>
        <w:right w:val="none" w:sz="0" w:space="0" w:color="auto"/>
      </w:divBdr>
    </w:div>
    <w:div w:id="270624553">
      <w:bodyDiv w:val="1"/>
      <w:marLeft w:val="0"/>
      <w:marRight w:val="0"/>
      <w:marTop w:val="0"/>
      <w:marBottom w:val="0"/>
      <w:divBdr>
        <w:top w:val="none" w:sz="0" w:space="0" w:color="auto"/>
        <w:left w:val="none" w:sz="0" w:space="0" w:color="auto"/>
        <w:bottom w:val="none" w:sz="0" w:space="0" w:color="auto"/>
        <w:right w:val="none" w:sz="0" w:space="0" w:color="auto"/>
      </w:divBdr>
    </w:div>
    <w:div w:id="338696428">
      <w:bodyDiv w:val="1"/>
      <w:marLeft w:val="0"/>
      <w:marRight w:val="0"/>
      <w:marTop w:val="0"/>
      <w:marBottom w:val="0"/>
      <w:divBdr>
        <w:top w:val="none" w:sz="0" w:space="0" w:color="auto"/>
        <w:left w:val="none" w:sz="0" w:space="0" w:color="auto"/>
        <w:bottom w:val="none" w:sz="0" w:space="0" w:color="auto"/>
        <w:right w:val="none" w:sz="0" w:space="0" w:color="auto"/>
      </w:divBdr>
    </w:div>
    <w:div w:id="405617847">
      <w:bodyDiv w:val="1"/>
      <w:marLeft w:val="0"/>
      <w:marRight w:val="0"/>
      <w:marTop w:val="0"/>
      <w:marBottom w:val="0"/>
      <w:divBdr>
        <w:top w:val="none" w:sz="0" w:space="0" w:color="auto"/>
        <w:left w:val="none" w:sz="0" w:space="0" w:color="auto"/>
        <w:bottom w:val="none" w:sz="0" w:space="0" w:color="auto"/>
        <w:right w:val="none" w:sz="0" w:space="0" w:color="auto"/>
      </w:divBdr>
      <w:divsChild>
        <w:div w:id="257324831">
          <w:marLeft w:val="0"/>
          <w:marRight w:val="0"/>
          <w:marTop w:val="0"/>
          <w:marBottom w:val="0"/>
          <w:divBdr>
            <w:top w:val="none" w:sz="0" w:space="0" w:color="auto"/>
            <w:left w:val="none" w:sz="0" w:space="0" w:color="auto"/>
            <w:bottom w:val="none" w:sz="0" w:space="0" w:color="auto"/>
            <w:right w:val="none" w:sz="0" w:space="0" w:color="auto"/>
          </w:divBdr>
          <w:divsChild>
            <w:div w:id="255292404">
              <w:marLeft w:val="0"/>
              <w:marRight w:val="0"/>
              <w:marTop w:val="0"/>
              <w:marBottom w:val="0"/>
              <w:divBdr>
                <w:top w:val="none" w:sz="0" w:space="0" w:color="auto"/>
                <w:left w:val="none" w:sz="0" w:space="0" w:color="auto"/>
                <w:bottom w:val="none" w:sz="0" w:space="0" w:color="auto"/>
                <w:right w:val="none" w:sz="0" w:space="0" w:color="auto"/>
              </w:divBdr>
              <w:divsChild>
                <w:div w:id="129137323">
                  <w:marLeft w:val="0"/>
                  <w:marRight w:val="0"/>
                  <w:marTop w:val="0"/>
                  <w:marBottom w:val="0"/>
                  <w:divBdr>
                    <w:top w:val="none" w:sz="0" w:space="0" w:color="auto"/>
                    <w:left w:val="none" w:sz="0" w:space="0" w:color="auto"/>
                    <w:bottom w:val="none" w:sz="0" w:space="0" w:color="auto"/>
                    <w:right w:val="none" w:sz="0" w:space="0" w:color="auto"/>
                  </w:divBdr>
                  <w:divsChild>
                    <w:div w:id="7007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68880">
      <w:bodyDiv w:val="1"/>
      <w:marLeft w:val="0"/>
      <w:marRight w:val="0"/>
      <w:marTop w:val="0"/>
      <w:marBottom w:val="0"/>
      <w:divBdr>
        <w:top w:val="none" w:sz="0" w:space="0" w:color="auto"/>
        <w:left w:val="none" w:sz="0" w:space="0" w:color="auto"/>
        <w:bottom w:val="none" w:sz="0" w:space="0" w:color="auto"/>
        <w:right w:val="none" w:sz="0" w:space="0" w:color="auto"/>
      </w:divBdr>
    </w:div>
    <w:div w:id="647126499">
      <w:bodyDiv w:val="1"/>
      <w:marLeft w:val="0"/>
      <w:marRight w:val="0"/>
      <w:marTop w:val="0"/>
      <w:marBottom w:val="0"/>
      <w:divBdr>
        <w:top w:val="none" w:sz="0" w:space="0" w:color="auto"/>
        <w:left w:val="none" w:sz="0" w:space="0" w:color="auto"/>
        <w:bottom w:val="none" w:sz="0" w:space="0" w:color="auto"/>
        <w:right w:val="none" w:sz="0" w:space="0" w:color="auto"/>
      </w:divBdr>
      <w:divsChild>
        <w:div w:id="257370481">
          <w:marLeft w:val="547"/>
          <w:marRight w:val="0"/>
          <w:marTop w:val="96"/>
          <w:marBottom w:val="0"/>
          <w:divBdr>
            <w:top w:val="none" w:sz="0" w:space="0" w:color="auto"/>
            <w:left w:val="none" w:sz="0" w:space="0" w:color="auto"/>
            <w:bottom w:val="none" w:sz="0" w:space="0" w:color="auto"/>
            <w:right w:val="none" w:sz="0" w:space="0" w:color="auto"/>
          </w:divBdr>
        </w:div>
        <w:div w:id="417409557">
          <w:marLeft w:val="1166"/>
          <w:marRight w:val="0"/>
          <w:marTop w:val="86"/>
          <w:marBottom w:val="0"/>
          <w:divBdr>
            <w:top w:val="none" w:sz="0" w:space="0" w:color="auto"/>
            <w:left w:val="none" w:sz="0" w:space="0" w:color="auto"/>
            <w:bottom w:val="none" w:sz="0" w:space="0" w:color="auto"/>
            <w:right w:val="none" w:sz="0" w:space="0" w:color="auto"/>
          </w:divBdr>
        </w:div>
        <w:div w:id="724723501">
          <w:marLeft w:val="1166"/>
          <w:marRight w:val="0"/>
          <w:marTop w:val="86"/>
          <w:marBottom w:val="0"/>
          <w:divBdr>
            <w:top w:val="none" w:sz="0" w:space="0" w:color="auto"/>
            <w:left w:val="none" w:sz="0" w:space="0" w:color="auto"/>
            <w:bottom w:val="none" w:sz="0" w:space="0" w:color="auto"/>
            <w:right w:val="none" w:sz="0" w:space="0" w:color="auto"/>
          </w:divBdr>
        </w:div>
        <w:div w:id="744883808">
          <w:marLeft w:val="1166"/>
          <w:marRight w:val="0"/>
          <w:marTop w:val="86"/>
          <w:marBottom w:val="0"/>
          <w:divBdr>
            <w:top w:val="none" w:sz="0" w:space="0" w:color="auto"/>
            <w:left w:val="none" w:sz="0" w:space="0" w:color="auto"/>
            <w:bottom w:val="none" w:sz="0" w:space="0" w:color="auto"/>
            <w:right w:val="none" w:sz="0" w:space="0" w:color="auto"/>
          </w:divBdr>
        </w:div>
        <w:div w:id="903957066">
          <w:marLeft w:val="1166"/>
          <w:marRight w:val="0"/>
          <w:marTop w:val="86"/>
          <w:marBottom w:val="0"/>
          <w:divBdr>
            <w:top w:val="none" w:sz="0" w:space="0" w:color="auto"/>
            <w:left w:val="none" w:sz="0" w:space="0" w:color="auto"/>
            <w:bottom w:val="none" w:sz="0" w:space="0" w:color="auto"/>
            <w:right w:val="none" w:sz="0" w:space="0" w:color="auto"/>
          </w:divBdr>
        </w:div>
        <w:div w:id="1470709412">
          <w:marLeft w:val="1166"/>
          <w:marRight w:val="0"/>
          <w:marTop w:val="86"/>
          <w:marBottom w:val="0"/>
          <w:divBdr>
            <w:top w:val="none" w:sz="0" w:space="0" w:color="auto"/>
            <w:left w:val="none" w:sz="0" w:space="0" w:color="auto"/>
            <w:bottom w:val="none" w:sz="0" w:space="0" w:color="auto"/>
            <w:right w:val="none" w:sz="0" w:space="0" w:color="auto"/>
          </w:divBdr>
        </w:div>
        <w:div w:id="2057391366">
          <w:marLeft w:val="1166"/>
          <w:marRight w:val="0"/>
          <w:marTop w:val="86"/>
          <w:marBottom w:val="0"/>
          <w:divBdr>
            <w:top w:val="none" w:sz="0" w:space="0" w:color="auto"/>
            <w:left w:val="none" w:sz="0" w:space="0" w:color="auto"/>
            <w:bottom w:val="none" w:sz="0" w:space="0" w:color="auto"/>
            <w:right w:val="none" w:sz="0" w:space="0" w:color="auto"/>
          </w:divBdr>
        </w:div>
      </w:divsChild>
    </w:div>
    <w:div w:id="668605528">
      <w:bodyDiv w:val="1"/>
      <w:marLeft w:val="0"/>
      <w:marRight w:val="0"/>
      <w:marTop w:val="0"/>
      <w:marBottom w:val="0"/>
      <w:divBdr>
        <w:top w:val="none" w:sz="0" w:space="0" w:color="auto"/>
        <w:left w:val="none" w:sz="0" w:space="0" w:color="auto"/>
        <w:bottom w:val="none" w:sz="0" w:space="0" w:color="auto"/>
        <w:right w:val="none" w:sz="0" w:space="0" w:color="auto"/>
      </w:divBdr>
    </w:div>
    <w:div w:id="703679251">
      <w:bodyDiv w:val="1"/>
      <w:marLeft w:val="0"/>
      <w:marRight w:val="0"/>
      <w:marTop w:val="0"/>
      <w:marBottom w:val="0"/>
      <w:divBdr>
        <w:top w:val="none" w:sz="0" w:space="0" w:color="auto"/>
        <w:left w:val="none" w:sz="0" w:space="0" w:color="auto"/>
        <w:bottom w:val="none" w:sz="0" w:space="0" w:color="auto"/>
        <w:right w:val="none" w:sz="0" w:space="0" w:color="auto"/>
      </w:divBdr>
    </w:div>
    <w:div w:id="1133598660">
      <w:bodyDiv w:val="1"/>
      <w:marLeft w:val="0"/>
      <w:marRight w:val="0"/>
      <w:marTop w:val="0"/>
      <w:marBottom w:val="0"/>
      <w:divBdr>
        <w:top w:val="none" w:sz="0" w:space="0" w:color="auto"/>
        <w:left w:val="none" w:sz="0" w:space="0" w:color="auto"/>
        <w:bottom w:val="none" w:sz="0" w:space="0" w:color="auto"/>
        <w:right w:val="none" w:sz="0" w:space="0" w:color="auto"/>
      </w:divBdr>
    </w:div>
    <w:div w:id="1293747920">
      <w:bodyDiv w:val="1"/>
      <w:marLeft w:val="0"/>
      <w:marRight w:val="0"/>
      <w:marTop w:val="0"/>
      <w:marBottom w:val="0"/>
      <w:divBdr>
        <w:top w:val="none" w:sz="0" w:space="0" w:color="auto"/>
        <w:left w:val="none" w:sz="0" w:space="0" w:color="auto"/>
        <w:bottom w:val="none" w:sz="0" w:space="0" w:color="auto"/>
        <w:right w:val="none" w:sz="0" w:space="0" w:color="auto"/>
      </w:divBdr>
    </w:div>
    <w:div w:id="1653413074">
      <w:bodyDiv w:val="1"/>
      <w:marLeft w:val="0"/>
      <w:marRight w:val="0"/>
      <w:marTop w:val="0"/>
      <w:marBottom w:val="0"/>
      <w:divBdr>
        <w:top w:val="none" w:sz="0" w:space="0" w:color="auto"/>
        <w:left w:val="none" w:sz="0" w:space="0" w:color="auto"/>
        <w:bottom w:val="none" w:sz="0" w:space="0" w:color="auto"/>
        <w:right w:val="none" w:sz="0" w:space="0" w:color="auto"/>
      </w:divBdr>
    </w:div>
    <w:div w:id="1685521707">
      <w:bodyDiv w:val="1"/>
      <w:marLeft w:val="0"/>
      <w:marRight w:val="0"/>
      <w:marTop w:val="0"/>
      <w:marBottom w:val="0"/>
      <w:divBdr>
        <w:top w:val="none" w:sz="0" w:space="0" w:color="auto"/>
        <w:left w:val="none" w:sz="0" w:space="0" w:color="auto"/>
        <w:bottom w:val="none" w:sz="0" w:space="0" w:color="auto"/>
        <w:right w:val="none" w:sz="0" w:space="0" w:color="auto"/>
      </w:divBdr>
    </w:div>
    <w:div w:id="1842626302">
      <w:bodyDiv w:val="1"/>
      <w:marLeft w:val="0"/>
      <w:marRight w:val="0"/>
      <w:marTop w:val="0"/>
      <w:marBottom w:val="0"/>
      <w:divBdr>
        <w:top w:val="none" w:sz="0" w:space="0" w:color="auto"/>
        <w:left w:val="none" w:sz="0" w:space="0" w:color="auto"/>
        <w:bottom w:val="none" w:sz="0" w:space="0" w:color="auto"/>
        <w:right w:val="none" w:sz="0" w:space="0" w:color="auto"/>
      </w:divBdr>
    </w:div>
    <w:div w:id="1859542847">
      <w:bodyDiv w:val="1"/>
      <w:marLeft w:val="0"/>
      <w:marRight w:val="0"/>
      <w:marTop w:val="0"/>
      <w:marBottom w:val="0"/>
      <w:divBdr>
        <w:top w:val="none" w:sz="0" w:space="0" w:color="auto"/>
        <w:left w:val="none" w:sz="0" w:space="0" w:color="auto"/>
        <w:bottom w:val="none" w:sz="0" w:space="0" w:color="auto"/>
        <w:right w:val="none" w:sz="0" w:space="0" w:color="auto"/>
      </w:divBdr>
    </w:div>
    <w:div w:id="1970940518">
      <w:bodyDiv w:val="1"/>
      <w:marLeft w:val="0"/>
      <w:marRight w:val="0"/>
      <w:marTop w:val="0"/>
      <w:marBottom w:val="0"/>
      <w:divBdr>
        <w:top w:val="none" w:sz="0" w:space="0" w:color="auto"/>
        <w:left w:val="none" w:sz="0" w:space="0" w:color="auto"/>
        <w:bottom w:val="none" w:sz="0" w:space="0" w:color="auto"/>
        <w:right w:val="none" w:sz="0" w:space="0" w:color="auto"/>
      </w:divBdr>
    </w:div>
    <w:div w:id="2139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5677</Words>
  <Characters>32748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2014-10-27T22:42:00Z</dcterms:created>
  <dcterms:modified xsi:type="dcterms:W3CDTF">2014-11-10T04:42:00Z</dcterms:modified>
</cp:coreProperties>
</file>