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C22" w:rsidRDefault="00EA0C22" w:rsidP="002D53AD">
      <w:pPr>
        <w:rPr>
          <w:rFonts w:ascii="Arial" w:hAnsi="Arial" w:cs="Arial"/>
          <w:b/>
          <w:u w:val="single"/>
        </w:rPr>
      </w:pPr>
    </w:p>
    <w:p w:rsidR="00D3280C" w:rsidRPr="00A07842" w:rsidRDefault="00EA0C22" w:rsidP="00EA0C22">
      <w:pPr>
        <w:ind w:left="720" w:hanging="720"/>
        <w:rPr>
          <w:rFonts w:ascii="Arial" w:hAnsi="Arial" w:cs="Arial"/>
          <w:b/>
          <w:sz w:val="28"/>
          <w:szCs w:val="28"/>
        </w:rPr>
      </w:pPr>
      <w:r w:rsidRPr="00A07842">
        <w:rPr>
          <w:rFonts w:ascii="Arial" w:hAnsi="Arial"/>
          <w:b/>
          <w:sz w:val="28"/>
          <w:szCs w:val="28"/>
        </w:rPr>
        <w:t>4</w:t>
      </w:r>
      <w:r w:rsidR="0004240E" w:rsidRPr="00A07842">
        <w:rPr>
          <w:rFonts w:ascii="Arial" w:hAnsi="Arial"/>
          <w:b/>
          <w:sz w:val="28"/>
          <w:szCs w:val="28"/>
        </w:rPr>
        <w:t>.</w:t>
      </w:r>
      <w:r w:rsidR="00305A54" w:rsidRPr="00A07842">
        <w:rPr>
          <w:rFonts w:ascii="Arial" w:hAnsi="Arial"/>
          <w:b/>
          <w:sz w:val="28"/>
          <w:szCs w:val="28"/>
        </w:rPr>
        <w:t>1</w:t>
      </w:r>
      <w:r w:rsidR="007C0F57" w:rsidRPr="00A07842">
        <w:rPr>
          <w:rFonts w:ascii="Arial" w:hAnsi="Arial"/>
          <w:b/>
          <w:sz w:val="28"/>
          <w:szCs w:val="28"/>
        </w:rPr>
        <w:tab/>
      </w:r>
      <w:r w:rsidR="00305A54" w:rsidRPr="00A07842">
        <w:rPr>
          <w:rFonts w:ascii="Arial" w:hAnsi="Arial" w:cs="Arial"/>
          <w:b/>
          <w:sz w:val="28"/>
          <w:szCs w:val="28"/>
        </w:rPr>
        <w:t>REVIEW OF PROPOSED AMENDMENTS TO PBS RESTRICTIONS FOR TESTOSTERONE PRODUCTS</w:t>
      </w:r>
    </w:p>
    <w:p w:rsidR="00CE10C4" w:rsidRDefault="00CE10C4" w:rsidP="00A5273B">
      <w:pPr>
        <w:rPr>
          <w:rFonts w:ascii="Arial" w:hAnsi="Arial"/>
          <w:b/>
        </w:rPr>
      </w:pPr>
    </w:p>
    <w:p w:rsidR="00CE10C4" w:rsidRPr="00882085" w:rsidRDefault="00CE10C4" w:rsidP="008545BD">
      <w:pPr>
        <w:pStyle w:val="ListParagraph"/>
        <w:numPr>
          <w:ilvl w:val="0"/>
          <w:numId w:val="1"/>
        </w:numPr>
        <w:jc w:val="both"/>
        <w:rPr>
          <w:rFonts w:ascii="Arial" w:hAnsi="Arial"/>
          <w:b/>
          <w:sz w:val="22"/>
          <w:szCs w:val="22"/>
        </w:rPr>
      </w:pPr>
      <w:r w:rsidRPr="00882085">
        <w:rPr>
          <w:rFonts w:ascii="Arial" w:hAnsi="Arial"/>
          <w:b/>
          <w:sz w:val="22"/>
          <w:szCs w:val="22"/>
        </w:rPr>
        <w:t xml:space="preserve">Purpose of </w:t>
      </w:r>
      <w:r w:rsidR="00EA0C22">
        <w:rPr>
          <w:rFonts w:ascii="Arial" w:hAnsi="Arial"/>
          <w:b/>
          <w:sz w:val="22"/>
          <w:szCs w:val="22"/>
        </w:rPr>
        <w:t>a</w:t>
      </w:r>
      <w:r w:rsidR="0004240E" w:rsidRPr="00882085">
        <w:rPr>
          <w:rFonts w:ascii="Arial" w:hAnsi="Arial"/>
          <w:b/>
          <w:sz w:val="22"/>
          <w:szCs w:val="22"/>
        </w:rPr>
        <w:t>pplication</w:t>
      </w:r>
    </w:p>
    <w:p w:rsidR="006A12A5" w:rsidRPr="00882085" w:rsidRDefault="006A12A5" w:rsidP="00882085">
      <w:pPr>
        <w:jc w:val="both"/>
        <w:rPr>
          <w:rFonts w:ascii="Arial" w:hAnsi="Arial"/>
          <w:sz w:val="22"/>
          <w:szCs w:val="22"/>
        </w:rPr>
      </w:pPr>
    </w:p>
    <w:p w:rsidR="00305A54" w:rsidRPr="00305A54" w:rsidRDefault="00305A54" w:rsidP="008545BD">
      <w:pPr>
        <w:pStyle w:val="ListParagraph"/>
        <w:numPr>
          <w:ilvl w:val="1"/>
          <w:numId w:val="1"/>
        </w:numPr>
        <w:rPr>
          <w:rFonts w:ascii="Arial" w:hAnsi="Arial"/>
          <w:sz w:val="22"/>
          <w:szCs w:val="22"/>
        </w:rPr>
      </w:pPr>
      <w:r w:rsidRPr="00305A54">
        <w:rPr>
          <w:rFonts w:ascii="Arial" w:hAnsi="Arial"/>
          <w:sz w:val="22"/>
          <w:szCs w:val="22"/>
        </w:rPr>
        <w:t>To advise the PBAC of responses from sponsors and stakeholders in relation to recommended amendments to the PBS restrictions for testosterone products from the August 2013 Special PBAC meeting.</w:t>
      </w:r>
    </w:p>
    <w:p w:rsidR="00305A54" w:rsidRPr="00305A54" w:rsidRDefault="00305A54" w:rsidP="00305A54">
      <w:pPr>
        <w:pStyle w:val="ListParagraph"/>
        <w:rPr>
          <w:rFonts w:ascii="Arial" w:hAnsi="Arial"/>
          <w:sz w:val="22"/>
          <w:szCs w:val="22"/>
        </w:rPr>
      </w:pPr>
    </w:p>
    <w:p w:rsidR="00305A54" w:rsidRPr="00305A54" w:rsidRDefault="00305A54" w:rsidP="008545BD">
      <w:pPr>
        <w:pStyle w:val="ListParagraph"/>
        <w:numPr>
          <w:ilvl w:val="1"/>
          <w:numId w:val="1"/>
        </w:numPr>
        <w:rPr>
          <w:rFonts w:ascii="Arial" w:hAnsi="Arial"/>
          <w:sz w:val="22"/>
          <w:szCs w:val="22"/>
        </w:rPr>
      </w:pPr>
      <w:r w:rsidRPr="00305A54">
        <w:rPr>
          <w:rFonts w:ascii="Arial" w:hAnsi="Arial"/>
          <w:sz w:val="22"/>
          <w:szCs w:val="22"/>
        </w:rPr>
        <w:t>To propose revised amended PBS restrictions for testosterone products that better clarify the intent of the Committee.</w:t>
      </w:r>
    </w:p>
    <w:p w:rsidR="006A12A5" w:rsidRPr="00305A54" w:rsidRDefault="006A12A5" w:rsidP="00305A54">
      <w:pPr>
        <w:pStyle w:val="ListParagraph"/>
        <w:jc w:val="both"/>
        <w:rPr>
          <w:rFonts w:ascii="Arial" w:hAnsi="Arial"/>
          <w:b/>
          <w:sz w:val="22"/>
          <w:szCs w:val="22"/>
        </w:rPr>
      </w:pPr>
    </w:p>
    <w:p w:rsidR="00614159" w:rsidRPr="00882085" w:rsidRDefault="006A12A5" w:rsidP="008545BD">
      <w:pPr>
        <w:pStyle w:val="ListParagraph"/>
        <w:numPr>
          <w:ilvl w:val="0"/>
          <w:numId w:val="1"/>
        </w:numPr>
        <w:jc w:val="both"/>
        <w:rPr>
          <w:rFonts w:ascii="Arial" w:hAnsi="Arial"/>
          <w:b/>
          <w:sz w:val="22"/>
          <w:szCs w:val="22"/>
        </w:rPr>
      </w:pPr>
      <w:r w:rsidRPr="00882085">
        <w:rPr>
          <w:rFonts w:ascii="Arial" w:hAnsi="Arial"/>
          <w:b/>
          <w:sz w:val="22"/>
          <w:szCs w:val="22"/>
        </w:rPr>
        <w:t>Requested listing</w:t>
      </w:r>
    </w:p>
    <w:p w:rsidR="006A12A5" w:rsidRPr="00882085" w:rsidRDefault="006A12A5" w:rsidP="00882085">
      <w:pPr>
        <w:jc w:val="both"/>
        <w:rPr>
          <w:rFonts w:ascii="Arial" w:hAnsi="Arial"/>
          <w:b/>
          <w:sz w:val="22"/>
          <w:szCs w:val="22"/>
        </w:rPr>
      </w:pPr>
    </w:p>
    <w:p w:rsidR="00305A54" w:rsidRPr="00305A54" w:rsidRDefault="00305A54" w:rsidP="008545BD">
      <w:pPr>
        <w:pStyle w:val="ListParagraph"/>
        <w:numPr>
          <w:ilvl w:val="1"/>
          <w:numId w:val="1"/>
        </w:numPr>
        <w:jc w:val="both"/>
        <w:rPr>
          <w:rFonts w:ascii="Arial" w:hAnsi="Arial"/>
          <w:sz w:val="22"/>
          <w:szCs w:val="22"/>
        </w:rPr>
      </w:pPr>
      <w:r w:rsidRPr="00305A54">
        <w:rPr>
          <w:rFonts w:ascii="Arial" w:hAnsi="Arial"/>
          <w:sz w:val="22"/>
          <w:szCs w:val="22"/>
        </w:rPr>
        <w:t>The PBAC noted that there are currently three separate PBS restrictions for testosterone products:</w:t>
      </w:r>
    </w:p>
    <w:p w:rsidR="00305A54" w:rsidRPr="00305A54" w:rsidRDefault="00305A54" w:rsidP="00305A54">
      <w:pPr>
        <w:jc w:val="both"/>
        <w:rPr>
          <w:rFonts w:ascii="Arial" w:hAnsi="Arial"/>
          <w:sz w:val="22"/>
          <w:szCs w:val="22"/>
        </w:rPr>
      </w:pPr>
    </w:p>
    <w:p w:rsidR="00305A54" w:rsidRPr="002D53AD" w:rsidRDefault="00305A54" w:rsidP="002D53AD">
      <w:pPr>
        <w:ind w:firstLine="720"/>
        <w:jc w:val="both"/>
        <w:rPr>
          <w:rFonts w:ascii="Arial" w:hAnsi="Arial"/>
          <w:b/>
          <w:i/>
          <w:sz w:val="22"/>
          <w:szCs w:val="22"/>
        </w:rPr>
      </w:pPr>
      <w:r w:rsidRPr="002D53AD">
        <w:rPr>
          <w:rFonts w:ascii="Arial" w:hAnsi="Arial"/>
          <w:b/>
          <w:i/>
          <w:sz w:val="22"/>
          <w:szCs w:val="22"/>
        </w:rPr>
        <w:t>Restriction 1:</w:t>
      </w:r>
    </w:p>
    <w:p w:rsidR="00305A54" w:rsidRPr="00305A54" w:rsidRDefault="00305A54" w:rsidP="00305A54">
      <w:pPr>
        <w:jc w:val="both"/>
        <w:rPr>
          <w:rFonts w:ascii="Arial" w:hAnsi="Arial"/>
          <w:sz w:val="22"/>
          <w:szCs w:val="22"/>
        </w:rPr>
      </w:pPr>
    </w:p>
    <w:p w:rsidR="00305A54" w:rsidRPr="002D53AD" w:rsidRDefault="00305A54" w:rsidP="002D53AD">
      <w:pPr>
        <w:ind w:firstLine="720"/>
        <w:jc w:val="both"/>
        <w:rPr>
          <w:rFonts w:ascii="Arial" w:hAnsi="Arial"/>
          <w:sz w:val="22"/>
          <w:szCs w:val="22"/>
          <w:u w:val="single"/>
        </w:rPr>
      </w:pPr>
      <w:r w:rsidRPr="002D53AD">
        <w:rPr>
          <w:rFonts w:ascii="Arial" w:hAnsi="Arial"/>
          <w:sz w:val="22"/>
          <w:szCs w:val="22"/>
          <w:u w:val="single"/>
        </w:rPr>
        <w:t>Authority required</w:t>
      </w:r>
    </w:p>
    <w:p w:rsidR="00305A54" w:rsidRPr="00305A54" w:rsidRDefault="00305A54" w:rsidP="002D53AD">
      <w:pPr>
        <w:ind w:firstLine="720"/>
        <w:jc w:val="both"/>
        <w:rPr>
          <w:rFonts w:ascii="Arial" w:hAnsi="Arial"/>
          <w:sz w:val="22"/>
          <w:szCs w:val="22"/>
        </w:rPr>
      </w:pPr>
      <w:r w:rsidRPr="00305A54">
        <w:rPr>
          <w:rFonts w:ascii="Arial" w:hAnsi="Arial"/>
          <w:sz w:val="22"/>
          <w:szCs w:val="22"/>
        </w:rPr>
        <w:t>Androgen deficiency in males with established pituitary or testicular disorders.</w:t>
      </w:r>
    </w:p>
    <w:p w:rsidR="00305A54" w:rsidRPr="00305A54" w:rsidRDefault="00305A54" w:rsidP="00305A54">
      <w:pPr>
        <w:jc w:val="both"/>
        <w:rPr>
          <w:rFonts w:ascii="Arial" w:hAnsi="Arial"/>
          <w:sz w:val="22"/>
          <w:szCs w:val="22"/>
        </w:rPr>
      </w:pPr>
    </w:p>
    <w:p w:rsidR="00305A54" w:rsidRPr="002D53AD" w:rsidRDefault="00305A54" w:rsidP="002D53AD">
      <w:pPr>
        <w:ind w:firstLine="720"/>
        <w:jc w:val="both"/>
        <w:rPr>
          <w:rFonts w:ascii="Arial" w:hAnsi="Arial"/>
          <w:b/>
          <w:i/>
          <w:sz w:val="22"/>
          <w:szCs w:val="22"/>
        </w:rPr>
      </w:pPr>
      <w:r w:rsidRPr="002D53AD">
        <w:rPr>
          <w:rFonts w:ascii="Arial" w:hAnsi="Arial"/>
          <w:b/>
          <w:i/>
          <w:sz w:val="22"/>
          <w:szCs w:val="22"/>
        </w:rPr>
        <w:t>Restriction 2:</w:t>
      </w:r>
    </w:p>
    <w:p w:rsidR="00305A54" w:rsidRPr="00305A54" w:rsidRDefault="00305A54" w:rsidP="00305A54">
      <w:pPr>
        <w:jc w:val="both"/>
        <w:rPr>
          <w:rFonts w:ascii="Arial" w:hAnsi="Arial"/>
          <w:sz w:val="22"/>
          <w:szCs w:val="22"/>
        </w:rPr>
      </w:pPr>
    </w:p>
    <w:p w:rsidR="00305A54" w:rsidRPr="002D53AD" w:rsidRDefault="00305A54" w:rsidP="002D53AD">
      <w:pPr>
        <w:ind w:firstLine="720"/>
        <w:jc w:val="both"/>
        <w:rPr>
          <w:rFonts w:ascii="Arial" w:hAnsi="Arial"/>
          <w:sz w:val="22"/>
          <w:szCs w:val="22"/>
          <w:u w:val="single"/>
        </w:rPr>
      </w:pPr>
      <w:r w:rsidRPr="002D53AD">
        <w:rPr>
          <w:rFonts w:ascii="Arial" w:hAnsi="Arial"/>
          <w:sz w:val="22"/>
          <w:szCs w:val="22"/>
          <w:u w:val="single"/>
        </w:rPr>
        <w:t>Authority required</w:t>
      </w:r>
    </w:p>
    <w:p w:rsidR="00305A54" w:rsidRPr="00305A54" w:rsidRDefault="00305A54" w:rsidP="002D53AD">
      <w:pPr>
        <w:ind w:left="720"/>
        <w:jc w:val="both"/>
        <w:rPr>
          <w:rFonts w:ascii="Arial" w:hAnsi="Arial"/>
          <w:sz w:val="22"/>
          <w:szCs w:val="22"/>
        </w:rPr>
      </w:pPr>
      <w:r w:rsidRPr="00305A54">
        <w:rPr>
          <w:rFonts w:ascii="Arial" w:hAnsi="Arial"/>
          <w:sz w:val="22"/>
          <w:szCs w:val="22"/>
        </w:rPr>
        <w:t>Androgen deficiency in males 40 years and older who do not have established pituitary or testicular disorders other than aging, confirmed by at least 2 morning blood samples taken on different mornings.  Androgen deficiency is confirmed by testosterone less than 8 nmol per L, or 8-15 nmol per L with high LH (greater than 1.5 times the upper limit of the eugonadal reference range for young men).</w:t>
      </w:r>
    </w:p>
    <w:p w:rsidR="00305A54" w:rsidRPr="00305A54" w:rsidRDefault="00305A54" w:rsidP="00305A54">
      <w:pPr>
        <w:jc w:val="both"/>
        <w:rPr>
          <w:rFonts w:ascii="Arial" w:hAnsi="Arial"/>
          <w:sz w:val="22"/>
          <w:szCs w:val="22"/>
        </w:rPr>
      </w:pPr>
    </w:p>
    <w:p w:rsidR="00305A54" w:rsidRPr="002D53AD" w:rsidRDefault="00305A54" w:rsidP="002D53AD">
      <w:pPr>
        <w:ind w:firstLine="720"/>
        <w:jc w:val="both"/>
        <w:rPr>
          <w:rFonts w:ascii="Arial" w:hAnsi="Arial"/>
          <w:b/>
          <w:i/>
          <w:sz w:val="22"/>
          <w:szCs w:val="22"/>
        </w:rPr>
      </w:pPr>
      <w:bookmarkStart w:id="0" w:name="_GoBack"/>
      <w:bookmarkEnd w:id="0"/>
      <w:r w:rsidRPr="002D53AD">
        <w:rPr>
          <w:rFonts w:ascii="Arial" w:hAnsi="Arial"/>
          <w:b/>
          <w:i/>
          <w:sz w:val="22"/>
          <w:szCs w:val="22"/>
        </w:rPr>
        <w:t>Restriction 3:</w:t>
      </w:r>
    </w:p>
    <w:p w:rsidR="00305A54" w:rsidRPr="00305A54" w:rsidRDefault="00305A54" w:rsidP="00305A54">
      <w:pPr>
        <w:jc w:val="both"/>
        <w:rPr>
          <w:rFonts w:ascii="Arial" w:hAnsi="Arial"/>
          <w:sz w:val="22"/>
          <w:szCs w:val="22"/>
        </w:rPr>
      </w:pPr>
    </w:p>
    <w:p w:rsidR="00305A54" w:rsidRPr="002D53AD" w:rsidRDefault="00305A54" w:rsidP="002D53AD">
      <w:pPr>
        <w:ind w:firstLine="720"/>
        <w:jc w:val="both"/>
        <w:rPr>
          <w:rFonts w:ascii="Arial" w:hAnsi="Arial"/>
          <w:sz w:val="22"/>
          <w:szCs w:val="22"/>
          <w:u w:val="single"/>
        </w:rPr>
      </w:pPr>
      <w:r w:rsidRPr="002D53AD">
        <w:rPr>
          <w:rFonts w:ascii="Arial" w:hAnsi="Arial"/>
          <w:sz w:val="22"/>
          <w:szCs w:val="22"/>
          <w:u w:val="single"/>
        </w:rPr>
        <w:t>Authority required</w:t>
      </w:r>
    </w:p>
    <w:p w:rsidR="002B1AE6" w:rsidRPr="00305A54" w:rsidRDefault="00305A54" w:rsidP="002D53AD">
      <w:pPr>
        <w:ind w:left="709"/>
        <w:jc w:val="both"/>
        <w:rPr>
          <w:rFonts w:ascii="Arial" w:hAnsi="Arial"/>
          <w:sz w:val="22"/>
          <w:szCs w:val="22"/>
        </w:rPr>
      </w:pPr>
      <w:proofErr w:type="gramStart"/>
      <w:r w:rsidRPr="00305A54">
        <w:rPr>
          <w:rFonts w:ascii="Arial" w:hAnsi="Arial"/>
          <w:sz w:val="22"/>
          <w:szCs w:val="22"/>
        </w:rPr>
        <w:t>Micropenis, pubertal induction, or constitutional delay of growth or puberty, in males under 18 years of age</w:t>
      </w:r>
      <w:r w:rsidR="002D53AD">
        <w:rPr>
          <w:rFonts w:ascii="Arial" w:hAnsi="Arial"/>
          <w:sz w:val="22"/>
          <w:szCs w:val="22"/>
        </w:rPr>
        <w:t>.</w:t>
      </w:r>
      <w:proofErr w:type="gramEnd"/>
    </w:p>
    <w:p w:rsidR="004465BD" w:rsidRDefault="004465BD" w:rsidP="00305A54">
      <w:pPr>
        <w:pStyle w:val="ListParagraph"/>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 xml:space="preserve">For more detail on PBAC’s view, see section </w:t>
      </w:r>
      <w:r w:rsidR="005648D0">
        <w:rPr>
          <w:rFonts w:ascii="Arial" w:hAnsi="Arial"/>
          <w:i/>
          <w:sz w:val="22"/>
          <w:szCs w:val="22"/>
        </w:rPr>
        <w:t>5</w:t>
      </w:r>
      <w:r>
        <w:rPr>
          <w:rFonts w:ascii="Arial" w:hAnsi="Arial"/>
          <w:i/>
          <w:sz w:val="22"/>
          <w:szCs w:val="22"/>
        </w:rPr>
        <w:t xml:space="preserve"> “PBAC outcome”</w:t>
      </w:r>
    </w:p>
    <w:p w:rsidR="00BB7EC3" w:rsidRPr="00882085" w:rsidRDefault="00BB7EC3" w:rsidP="00882085">
      <w:pPr>
        <w:jc w:val="both"/>
        <w:rPr>
          <w:rFonts w:ascii="Arial" w:hAnsi="Arial"/>
          <w:b/>
          <w:sz w:val="22"/>
          <w:szCs w:val="22"/>
        </w:rPr>
      </w:pPr>
    </w:p>
    <w:p w:rsidR="00CE10C4" w:rsidRPr="00882085" w:rsidRDefault="00CE10C4" w:rsidP="008545BD">
      <w:pPr>
        <w:pStyle w:val="ListParagraph"/>
        <w:numPr>
          <w:ilvl w:val="0"/>
          <w:numId w:val="1"/>
        </w:numPr>
        <w:jc w:val="both"/>
        <w:rPr>
          <w:rFonts w:ascii="Arial" w:hAnsi="Arial"/>
          <w:sz w:val="22"/>
          <w:szCs w:val="22"/>
        </w:rPr>
      </w:pPr>
      <w:r w:rsidRPr="00882085">
        <w:rPr>
          <w:rFonts w:ascii="Arial" w:hAnsi="Arial"/>
          <w:b/>
          <w:sz w:val="22"/>
          <w:szCs w:val="22"/>
        </w:rPr>
        <w:t>Background</w:t>
      </w:r>
    </w:p>
    <w:p w:rsidR="006A12A5" w:rsidRPr="00882085" w:rsidRDefault="006A12A5" w:rsidP="00882085">
      <w:pPr>
        <w:jc w:val="both"/>
        <w:rPr>
          <w:rFonts w:ascii="Arial" w:hAnsi="Arial"/>
          <w:sz w:val="22"/>
          <w:szCs w:val="22"/>
        </w:rPr>
      </w:pPr>
    </w:p>
    <w:p w:rsidR="00305A54" w:rsidRPr="00305A54" w:rsidRDefault="00305A54" w:rsidP="008F7B36">
      <w:pPr>
        <w:ind w:left="709"/>
        <w:jc w:val="both"/>
        <w:rPr>
          <w:rFonts w:ascii="Arial" w:hAnsi="Arial" w:cs="Arial"/>
          <w:sz w:val="22"/>
          <w:szCs w:val="22"/>
        </w:rPr>
      </w:pPr>
      <w:r w:rsidRPr="00305A54">
        <w:rPr>
          <w:rFonts w:ascii="Arial" w:hAnsi="Arial" w:cs="Arial"/>
          <w:sz w:val="22"/>
          <w:szCs w:val="22"/>
        </w:rPr>
        <w:t>At its October 2012 meeting, DUSC reviewed the utilisation of PBS listed testosterone.  The utilisation analysis highlighted the following key points:</w:t>
      </w:r>
    </w:p>
    <w:p w:rsidR="00305A54" w:rsidRPr="00305A54" w:rsidRDefault="00305A54" w:rsidP="008545BD">
      <w:pPr>
        <w:numPr>
          <w:ilvl w:val="0"/>
          <w:numId w:val="3"/>
        </w:numPr>
        <w:ind w:left="1134" w:hanging="425"/>
        <w:contextualSpacing/>
        <w:jc w:val="both"/>
        <w:rPr>
          <w:rFonts w:ascii="Arial" w:hAnsi="Arial" w:cs="Arial"/>
          <w:sz w:val="22"/>
          <w:szCs w:val="22"/>
        </w:rPr>
      </w:pPr>
      <w:r w:rsidRPr="00305A54">
        <w:rPr>
          <w:rFonts w:ascii="Arial" w:hAnsi="Arial" w:cs="Arial"/>
          <w:sz w:val="22"/>
          <w:szCs w:val="22"/>
        </w:rPr>
        <w:t xml:space="preserve">Utilisation of testosterone has doubled over the past 5 years. </w:t>
      </w:r>
    </w:p>
    <w:p w:rsidR="00305A54" w:rsidRPr="00305A54" w:rsidRDefault="00305A54" w:rsidP="008545BD">
      <w:pPr>
        <w:numPr>
          <w:ilvl w:val="0"/>
          <w:numId w:val="3"/>
        </w:numPr>
        <w:ind w:left="1134" w:hanging="425"/>
        <w:contextualSpacing/>
        <w:jc w:val="both"/>
        <w:rPr>
          <w:rFonts w:ascii="Arial" w:hAnsi="Arial" w:cs="Arial"/>
          <w:sz w:val="22"/>
          <w:szCs w:val="22"/>
        </w:rPr>
      </w:pPr>
      <w:r w:rsidRPr="00305A54">
        <w:rPr>
          <w:rFonts w:ascii="Arial" w:hAnsi="Arial" w:cs="Arial"/>
          <w:sz w:val="22"/>
          <w:szCs w:val="22"/>
        </w:rPr>
        <w:t xml:space="preserve">Expenditure has increased more than the growth in utilisation. This suggests that therapeutic relativities may require review. </w:t>
      </w:r>
    </w:p>
    <w:p w:rsidR="00305A54" w:rsidRPr="00305A54" w:rsidRDefault="00305A54" w:rsidP="008545BD">
      <w:pPr>
        <w:numPr>
          <w:ilvl w:val="0"/>
          <w:numId w:val="3"/>
        </w:numPr>
        <w:ind w:left="1134" w:hanging="425"/>
        <w:contextualSpacing/>
        <w:rPr>
          <w:rFonts w:ascii="Arial" w:hAnsi="Arial" w:cs="Arial"/>
          <w:sz w:val="22"/>
          <w:szCs w:val="22"/>
        </w:rPr>
      </w:pPr>
      <w:r w:rsidRPr="00305A54">
        <w:rPr>
          <w:rFonts w:ascii="Arial" w:hAnsi="Arial" w:cs="Arial"/>
          <w:sz w:val="22"/>
          <w:szCs w:val="22"/>
        </w:rPr>
        <w:t>The listing of two products, testosterone gel and intramuscular injection 1000mg, have driven the growth in the market.</w:t>
      </w:r>
    </w:p>
    <w:p w:rsidR="00305A54" w:rsidRPr="00305A54" w:rsidRDefault="00305A54" w:rsidP="008545BD">
      <w:pPr>
        <w:numPr>
          <w:ilvl w:val="0"/>
          <w:numId w:val="3"/>
        </w:numPr>
        <w:ind w:left="1134" w:hanging="425"/>
        <w:contextualSpacing/>
        <w:jc w:val="both"/>
        <w:rPr>
          <w:rFonts w:ascii="Arial" w:hAnsi="Arial" w:cs="Arial"/>
          <w:sz w:val="22"/>
          <w:szCs w:val="22"/>
        </w:rPr>
      </w:pPr>
      <w:r w:rsidRPr="00305A54">
        <w:rPr>
          <w:rFonts w:ascii="Arial" w:hAnsi="Arial" w:cs="Arial"/>
          <w:sz w:val="22"/>
          <w:szCs w:val="22"/>
        </w:rPr>
        <w:t xml:space="preserve">There is a trend towards more GPs initiating therapy. </w:t>
      </w:r>
    </w:p>
    <w:p w:rsidR="00305A54" w:rsidRPr="00305A54" w:rsidRDefault="00305A54" w:rsidP="008545BD">
      <w:pPr>
        <w:numPr>
          <w:ilvl w:val="0"/>
          <w:numId w:val="3"/>
        </w:numPr>
        <w:ind w:left="1134" w:hanging="425"/>
        <w:contextualSpacing/>
        <w:jc w:val="both"/>
        <w:rPr>
          <w:rFonts w:ascii="Arial" w:hAnsi="Arial" w:cs="Arial"/>
          <w:sz w:val="22"/>
          <w:szCs w:val="22"/>
        </w:rPr>
      </w:pPr>
      <w:r w:rsidRPr="00305A54">
        <w:rPr>
          <w:rFonts w:ascii="Arial" w:hAnsi="Arial" w:cs="Arial"/>
          <w:sz w:val="22"/>
          <w:szCs w:val="22"/>
        </w:rPr>
        <w:t>There may be some use of testosterone that is not within the PBS restriction.</w:t>
      </w:r>
    </w:p>
    <w:p w:rsidR="00305A54" w:rsidRPr="00305A54" w:rsidRDefault="00305A54" w:rsidP="008545BD">
      <w:pPr>
        <w:numPr>
          <w:ilvl w:val="0"/>
          <w:numId w:val="3"/>
        </w:numPr>
        <w:ind w:left="1134" w:hanging="425"/>
        <w:contextualSpacing/>
        <w:jc w:val="both"/>
        <w:rPr>
          <w:rFonts w:ascii="Arial" w:hAnsi="Arial" w:cs="Arial"/>
          <w:sz w:val="22"/>
          <w:szCs w:val="22"/>
        </w:rPr>
      </w:pPr>
      <w:r w:rsidRPr="00305A54">
        <w:rPr>
          <w:rFonts w:ascii="Arial" w:hAnsi="Arial" w:cs="Arial"/>
          <w:sz w:val="22"/>
          <w:szCs w:val="22"/>
        </w:rPr>
        <w:t>There are some safety concerns with testosterone including possible increased cardiovascular risk in older men.</w:t>
      </w:r>
    </w:p>
    <w:p w:rsidR="00305A54" w:rsidRPr="00305A54" w:rsidRDefault="00305A54" w:rsidP="00305A54">
      <w:pPr>
        <w:jc w:val="both"/>
        <w:rPr>
          <w:rFonts w:ascii="Arial" w:hAnsi="Arial" w:cs="Arial"/>
          <w:sz w:val="22"/>
          <w:szCs w:val="22"/>
        </w:rPr>
      </w:pPr>
    </w:p>
    <w:p w:rsidR="00305A54" w:rsidRPr="00305A54" w:rsidRDefault="00305A54" w:rsidP="002D53AD">
      <w:pPr>
        <w:ind w:left="709"/>
        <w:jc w:val="both"/>
        <w:rPr>
          <w:rFonts w:ascii="Arial" w:hAnsi="Arial" w:cs="Arial"/>
          <w:sz w:val="22"/>
          <w:szCs w:val="22"/>
        </w:rPr>
      </w:pPr>
      <w:r w:rsidRPr="00305A54">
        <w:rPr>
          <w:rFonts w:ascii="Arial" w:hAnsi="Arial" w:cs="Arial"/>
          <w:sz w:val="22"/>
          <w:szCs w:val="22"/>
        </w:rPr>
        <w:lastRenderedPageBreak/>
        <w:t>In its August 2013 consideration of the DUSC analysis report, the PBAC noted the following recent utilisation and expenditure trends regarding testosterone products:</w:t>
      </w:r>
    </w:p>
    <w:p w:rsidR="00305A54" w:rsidRPr="00766251" w:rsidRDefault="00305A54" w:rsidP="008545BD">
      <w:pPr>
        <w:pStyle w:val="ListParagraph"/>
        <w:numPr>
          <w:ilvl w:val="0"/>
          <w:numId w:val="4"/>
        </w:numPr>
        <w:ind w:left="1134" w:hanging="425"/>
        <w:jc w:val="both"/>
        <w:rPr>
          <w:rFonts w:ascii="Arial" w:hAnsi="Arial" w:cs="Arial"/>
          <w:sz w:val="22"/>
          <w:szCs w:val="22"/>
        </w:rPr>
      </w:pPr>
      <w:r w:rsidRPr="00766251">
        <w:rPr>
          <w:rFonts w:ascii="Arial" w:hAnsi="Arial" w:cs="Arial"/>
          <w:sz w:val="22"/>
          <w:szCs w:val="22"/>
        </w:rPr>
        <w:t xml:space="preserve">Increased expenditure in the last five years coincided with the PBS-listing of the transdermal gel and the long-acting intramuscular injection 1000mg. </w:t>
      </w:r>
    </w:p>
    <w:p w:rsidR="00305A54" w:rsidRPr="00766251" w:rsidRDefault="00305A54" w:rsidP="008545BD">
      <w:pPr>
        <w:pStyle w:val="ListParagraph"/>
        <w:numPr>
          <w:ilvl w:val="0"/>
          <w:numId w:val="4"/>
        </w:numPr>
        <w:ind w:left="1134" w:hanging="425"/>
        <w:jc w:val="both"/>
        <w:rPr>
          <w:rFonts w:ascii="Arial" w:hAnsi="Arial" w:cs="Arial"/>
          <w:sz w:val="22"/>
          <w:szCs w:val="22"/>
        </w:rPr>
      </w:pPr>
      <w:r w:rsidRPr="00766251">
        <w:rPr>
          <w:rFonts w:ascii="Arial" w:hAnsi="Arial" w:cs="Arial"/>
          <w:sz w:val="22"/>
          <w:szCs w:val="22"/>
        </w:rPr>
        <w:t xml:space="preserve">The number of PBS/RPBS-prescriptions increased, while non-PBS prescriptions remained stable and low. </w:t>
      </w:r>
    </w:p>
    <w:p w:rsidR="00305A54" w:rsidRPr="00766251" w:rsidRDefault="00305A54" w:rsidP="008545BD">
      <w:pPr>
        <w:pStyle w:val="ListParagraph"/>
        <w:numPr>
          <w:ilvl w:val="0"/>
          <w:numId w:val="4"/>
        </w:numPr>
        <w:ind w:left="1134" w:hanging="425"/>
        <w:jc w:val="both"/>
        <w:rPr>
          <w:rFonts w:ascii="Arial" w:hAnsi="Arial" w:cs="Arial"/>
          <w:sz w:val="22"/>
          <w:szCs w:val="22"/>
        </w:rPr>
      </w:pPr>
      <w:r w:rsidRPr="00766251">
        <w:rPr>
          <w:rFonts w:ascii="Arial" w:hAnsi="Arial" w:cs="Arial"/>
          <w:sz w:val="22"/>
          <w:szCs w:val="22"/>
        </w:rPr>
        <w:t>Though the proportion of GPs writing the first testosterone prescription for a patient has increased only slightly (62</w:t>
      </w:r>
      <w:r w:rsidR="00277259">
        <w:rPr>
          <w:rFonts w:ascii="Arial" w:hAnsi="Arial" w:cs="Arial"/>
          <w:sz w:val="22"/>
          <w:szCs w:val="22"/>
        </w:rPr>
        <w:t xml:space="preserve"> </w:t>
      </w:r>
      <w:r w:rsidRPr="00766251">
        <w:rPr>
          <w:rFonts w:ascii="Arial" w:hAnsi="Arial" w:cs="Arial"/>
          <w:sz w:val="22"/>
          <w:szCs w:val="22"/>
        </w:rPr>
        <w:t>% in 2005 to 68</w:t>
      </w:r>
      <w:r w:rsidR="00277259">
        <w:rPr>
          <w:rFonts w:ascii="Arial" w:hAnsi="Arial" w:cs="Arial"/>
          <w:sz w:val="22"/>
          <w:szCs w:val="22"/>
        </w:rPr>
        <w:t xml:space="preserve"> </w:t>
      </w:r>
      <w:r w:rsidRPr="00766251">
        <w:rPr>
          <w:rFonts w:ascii="Arial" w:hAnsi="Arial" w:cs="Arial"/>
          <w:sz w:val="22"/>
          <w:szCs w:val="22"/>
        </w:rPr>
        <w:t>% in 2011), almost all of the growth in new patients treated in the most recent year of analysis (2011) was due to initiations by GPs (84</w:t>
      </w:r>
      <w:r w:rsidR="00277259">
        <w:rPr>
          <w:rFonts w:ascii="Arial" w:hAnsi="Arial" w:cs="Arial"/>
          <w:sz w:val="22"/>
          <w:szCs w:val="22"/>
        </w:rPr>
        <w:t xml:space="preserve"> </w:t>
      </w:r>
      <w:r w:rsidRPr="00766251">
        <w:rPr>
          <w:rFonts w:ascii="Arial" w:hAnsi="Arial" w:cs="Arial"/>
          <w:sz w:val="22"/>
          <w:szCs w:val="22"/>
        </w:rPr>
        <w:t xml:space="preserve">%), rather than by specialists. </w:t>
      </w:r>
    </w:p>
    <w:p w:rsidR="00305A54" w:rsidRPr="00766251" w:rsidRDefault="00305A54" w:rsidP="008545BD">
      <w:pPr>
        <w:pStyle w:val="ListParagraph"/>
        <w:numPr>
          <w:ilvl w:val="0"/>
          <w:numId w:val="4"/>
        </w:numPr>
        <w:ind w:left="1134" w:hanging="425"/>
        <w:jc w:val="both"/>
        <w:rPr>
          <w:rFonts w:ascii="Arial" w:hAnsi="Arial" w:cs="Arial"/>
          <w:sz w:val="22"/>
          <w:szCs w:val="22"/>
        </w:rPr>
      </w:pPr>
      <w:r w:rsidRPr="00766251">
        <w:rPr>
          <w:rFonts w:ascii="Arial" w:hAnsi="Arial" w:cs="Arial"/>
          <w:sz w:val="22"/>
          <w:szCs w:val="22"/>
        </w:rPr>
        <w:t>Utilisation in the younger age groups remained constant, while initiations for patients aged 40-79 years had increased over time. The PBAC considered that the growth in initiations for patients in the 40-79 aged cohorts may be due to the increase in diagnosis and treatment of PBS listed indications, however may also include inappropriate use outside the PBS restrictions, such as patients without a pathologically-based androgen deficiency.</w:t>
      </w:r>
    </w:p>
    <w:p w:rsidR="00305A54" w:rsidRPr="00305A54" w:rsidRDefault="00305A54" w:rsidP="00305A54">
      <w:pPr>
        <w:jc w:val="both"/>
        <w:rPr>
          <w:rFonts w:ascii="Arial" w:hAnsi="Arial" w:cs="Arial"/>
          <w:sz w:val="22"/>
          <w:szCs w:val="22"/>
        </w:rPr>
      </w:pPr>
    </w:p>
    <w:p w:rsidR="00305A54" w:rsidRPr="00305A54" w:rsidRDefault="00305A54" w:rsidP="002D53AD">
      <w:pPr>
        <w:ind w:left="709"/>
        <w:jc w:val="both"/>
        <w:rPr>
          <w:rFonts w:ascii="Arial" w:hAnsi="Arial" w:cs="Arial"/>
          <w:sz w:val="22"/>
          <w:szCs w:val="22"/>
        </w:rPr>
      </w:pPr>
      <w:r w:rsidRPr="00305A54">
        <w:rPr>
          <w:rFonts w:ascii="Arial" w:hAnsi="Arial" w:cs="Arial"/>
          <w:sz w:val="22"/>
          <w:szCs w:val="22"/>
        </w:rPr>
        <w:t>The PBAC made the following recommendations regarding the PBS restrictions for testosterone products:</w:t>
      </w:r>
    </w:p>
    <w:p w:rsidR="00305A54" w:rsidRPr="00CE4153" w:rsidRDefault="00305A54" w:rsidP="008545BD">
      <w:pPr>
        <w:pStyle w:val="ListParagraph"/>
        <w:numPr>
          <w:ilvl w:val="0"/>
          <w:numId w:val="5"/>
        </w:numPr>
        <w:ind w:left="1134" w:hanging="425"/>
        <w:jc w:val="both"/>
        <w:rPr>
          <w:rFonts w:ascii="Arial" w:hAnsi="Arial" w:cs="Arial"/>
          <w:sz w:val="22"/>
          <w:szCs w:val="22"/>
        </w:rPr>
      </w:pPr>
      <w:r w:rsidRPr="00CE4153">
        <w:rPr>
          <w:rFonts w:ascii="Arial" w:hAnsi="Arial" w:cs="Arial"/>
          <w:sz w:val="22"/>
          <w:szCs w:val="22"/>
        </w:rPr>
        <w:t xml:space="preserve">Amending the serum testosterone threshold for men aged 40 years or older who do not have established pituitary disorders to 6-15nmol/L in combination with a high LH (greater than 1.5 times the upper limit of the eugonadal reference range for young men, or greater than 14 IU/L, whichever is higher). Confirmation of androgen deficiency should include measurement of serum testosterone, LH and FSH to allow for the appropriate diagnosis of primary androgen deficiency. </w:t>
      </w:r>
    </w:p>
    <w:p w:rsidR="00305A54" w:rsidRPr="00CE4153" w:rsidRDefault="00305A54" w:rsidP="008545BD">
      <w:pPr>
        <w:pStyle w:val="ListParagraph"/>
        <w:numPr>
          <w:ilvl w:val="0"/>
          <w:numId w:val="5"/>
        </w:numPr>
        <w:ind w:left="1134" w:hanging="425"/>
        <w:jc w:val="both"/>
        <w:rPr>
          <w:rFonts w:ascii="Arial" w:hAnsi="Arial" w:cs="Arial"/>
          <w:sz w:val="22"/>
          <w:szCs w:val="22"/>
        </w:rPr>
      </w:pPr>
      <w:r w:rsidRPr="00CE4153">
        <w:rPr>
          <w:rFonts w:ascii="Arial" w:hAnsi="Arial" w:cs="Arial"/>
          <w:sz w:val="22"/>
          <w:szCs w:val="22"/>
        </w:rPr>
        <w:t xml:space="preserve">Patients prescribed testosterone must be treated by a specialist paediatric endocrinologist, specialist paediatrician, specialist general paediatrician specialist endocrinologist, specialist urologist, or a general practitioner in consultation with one of the above specialists listed or to have an appointment to be assessed by one of these specialists.   </w:t>
      </w:r>
    </w:p>
    <w:p w:rsidR="00305A54" w:rsidRPr="00921983" w:rsidRDefault="00305A54" w:rsidP="008545BD">
      <w:pPr>
        <w:pStyle w:val="ListParagraph"/>
        <w:numPr>
          <w:ilvl w:val="0"/>
          <w:numId w:val="6"/>
        </w:numPr>
        <w:ind w:left="1134" w:hanging="425"/>
        <w:jc w:val="both"/>
        <w:rPr>
          <w:rFonts w:ascii="Arial" w:hAnsi="Arial" w:cs="Arial"/>
          <w:sz w:val="22"/>
          <w:szCs w:val="22"/>
        </w:rPr>
      </w:pPr>
      <w:r w:rsidRPr="00921983">
        <w:rPr>
          <w:rFonts w:ascii="Arial" w:hAnsi="Arial" w:cs="Arial"/>
          <w:sz w:val="22"/>
          <w:szCs w:val="22"/>
        </w:rPr>
        <w:t>Excluding treatment for low serum testosterone due primarily to age, obesity, cardiovascular diseases, infertility or drugs. These indications have not been assessed for efficacy and cost-effectiveness by the PBAC.</w:t>
      </w:r>
    </w:p>
    <w:p w:rsidR="00305A54" w:rsidRPr="00305A54" w:rsidRDefault="00305A54" w:rsidP="00305A54">
      <w:pPr>
        <w:jc w:val="both"/>
        <w:rPr>
          <w:rFonts w:ascii="Arial" w:hAnsi="Arial" w:cs="Arial"/>
          <w:sz w:val="22"/>
          <w:szCs w:val="22"/>
        </w:rPr>
      </w:pPr>
    </w:p>
    <w:p w:rsidR="00305A54" w:rsidRPr="00305A54" w:rsidRDefault="00305A54" w:rsidP="002D53AD">
      <w:pPr>
        <w:ind w:left="709"/>
        <w:jc w:val="both"/>
        <w:rPr>
          <w:rFonts w:ascii="Arial" w:hAnsi="Arial" w:cs="Arial"/>
          <w:sz w:val="22"/>
          <w:szCs w:val="22"/>
        </w:rPr>
      </w:pPr>
      <w:r w:rsidRPr="00305A54">
        <w:rPr>
          <w:rFonts w:ascii="Arial" w:hAnsi="Arial" w:cs="Arial"/>
          <w:sz w:val="22"/>
          <w:szCs w:val="22"/>
        </w:rPr>
        <w:t>Some of the issues raised in responses to stakeholder consultation on the recommended changes include:</w:t>
      </w:r>
    </w:p>
    <w:p w:rsidR="00305A54" w:rsidRPr="00E713EA" w:rsidRDefault="00305A54" w:rsidP="008545BD">
      <w:pPr>
        <w:pStyle w:val="ListParagraph"/>
        <w:numPr>
          <w:ilvl w:val="0"/>
          <w:numId w:val="7"/>
        </w:numPr>
        <w:ind w:left="1134" w:hanging="425"/>
        <w:jc w:val="both"/>
        <w:rPr>
          <w:rFonts w:ascii="Arial" w:hAnsi="Arial" w:cs="Arial"/>
          <w:sz w:val="22"/>
          <w:szCs w:val="22"/>
        </w:rPr>
      </w:pPr>
      <w:r w:rsidRPr="00E713EA">
        <w:rPr>
          <w:rFonts w:ascii="Arial" w:hAnsi="Arial" w:cs="Arial"/>
          <w:sz w:val="22"/>
          <w:szCs w:val="22"/>
        </w:rPr>
        <w:t>Concern that the proposal to lower the defined testosterone threshold level is not consistent with international and Australian consensus guidelines, which define androgen deficiency according to the thresholds in the current restriction (</w:t>
      </w:r>
      <w:r w:rsidR="00AF05A8">
        <w:rPr>
          <w:rFonts w:ascii="Arial" w:hAnsi="Arial" w:cs="Arial"/>
          <w:sz w:val="22"/>
          <w:szCs w:val="22"/>
        </w:rPr>
        <w:t xml:space="preserve">less than </w:t>
      </w:r>
      <w:r w:rsidRPr="00E713EA">
        <w:rPr>
          <w:rFonts w:ascii="Arial" w:hAnsi="Arial" w:cs="Arial"/>
          <w:sz w:val="22"/>
          <w:szCs w:val="22"/>
        </w:rPr>
        <w:t>8 nmol/L or 8-15 nmol/L with high LH);</w:t>
      </w:r>
    </w:p>
    <w:p w:rsidR="00305A54" w:rsidRPr="00E713EA" w:rsidRDefault="00305A54" w:rsidP="008545BD">
      <w:pPr>
        <w:pStyle w:val="ListParagraph"/>
        <w:numPr>
          <w:ilvl w:val="0"/>
          <w:numId w:val="7"/>
        </w:numPr>
        <w:ind w:left="1134" w:hanging="425"/>
        <w:jc w:val="both"/>
        <w:rPr>
          <w:rFonts w:ascii="Arial" w:hAnsi="Arial" w:cs="Arial"/>
          <w:sz w:val="22"/>
          <w:szCs w:val="22"/>
        </w:rPr>
      </w:pPr>
      <w:r w:rsidRPr="00E713EA">
        <w:rPr>
          <w:rFonts w:ascii="Arial" w:hAnsi="Arial" w:cs="Arial"/>
          <w:sz w:val="22"/>
          <w:szCs w:val="22"/>
        </w:rPr>
        <w:t>Concern that the proposal to lower the defined testosterone threshold level is based upon a single cohort study of  men aged 70-89 years and may not be applicable to the wider PBS population;</w:t>
      </w:r>
    </w:p>
    <w:p w:rsidR="00305A54" w:rsidRPr="00E713EA" w:rsidRDefault="00305A54" w:rsidP="008545BD">
      <w:pPr>
        <w:pStyle w:val="ListParagraph"/>
        <w:numPr>
          <w:ilvl w:val="0"/>
          <w:numId w:val="7"/>
        </w:numPr>
        <w:ind w:left="1134" w:hanging="425"/>
        <w:jc w:val="both"/>
        <w:rPr>
          <w:rFonts w:ascii="Arial" w:hAnsi="Arial" w:cs="Arial"/>
          <w:sz w:val="22"/>
          <w:szCs w:val="22"/>
        </w:rPr>
      </w:pPr>
      <w:r w:rsidRPr="00E713EA">
        <w:rPr>
          <w:rFonts w:ascii="Arial" w:hAnsi="Arial" w:cs="Arial"/>
          <w:sz w:val="22"/>
          <w:szCs w:val="22"/>
        </w:rPr>
        <w:t>Inappropriate application of testosterone threshold levels to the indication for patients with established pituitary or testicular disorders;</w:t>
      </w:r>
    </w:p>
    <w:p w:rsidR="00305A54" w:rsidRPr="00E713EA" w:rsidRDefault="00305A54" w:rsidP="008545BD">
      <w:pPr>
        <w:pStyle w:val="ListParagraph"/>
        <w:numPr>
          <w:ilvl w:val="0"/>
          <w:numId w:val="7"/>
        </w:numPr>
        <w:ind w:left="1134" w:hanging="425"/>
        <w:jc w:val="both"/>
        <w:rPr>
          <w:rFonts w:ascii="Arial" w:hAnsi="Arial" w:cs="Arial"/>
          <w:sz w:val="22"/>
          <w:szCs w:val="22"/>
        </w:rPr>
      </w:pPr>
      <w:r w:rsidRPr="00E713EA">
        <w:rPr>
          <w:rFonts w:ascii="Arial" w:hAnsi="Arial" w:cs="Arial"/>
          <w:sz w:val="22"/>
          <w:szCs w:val="22"/>
        </w:rPr>
        <w:t>Concern for the requirement for testosterone to be prescribed by or in consultation with specialists;</w:t>
      </w:r>
    </w:p>
    <w:p w:rsidR="00305A54" w:rsidRPr="00E713EA" w:rsidRDefault="00305A54" w:rsidP="008545BD">
      <w:pPr>
        <w:pStyle w:val="ListParagraph"/>
        <w:numPr>
          <w:ilvl w:val="0"/>
          <w:numId w:val="7"/>
        </w:numPr>
        <w:ind w:left="1134" w:hanging="425"/>
        <w:jc w:val="both"/>
        <w:rPr>
          <w:rFonts w:ascii="Arial" w:hAnsi="Arial" w:cs="Arial"/>
          <w:sz w:val="22"/>
          <w:szCs w:val="22"/>
        </w:rPr>
      </w:pPr>
      <w:r w:rsidRPr="00E713EA">
        <w:rPr>
          <w:rFonts w:ascii="Arial" w:hAnsi="Arial" w:cs="Arial"/>
          <w:sz w:val="22"/>
          <w:szCs w:val="22"/>
        </w:rPr>
        <w:t>Confusion regarding the requirement for the condition not to be due to age, obesity, cardiovascular diseases, infertility or drugs;</w:t>
      </w:r>
    </w:p>
    <w:p w:rsidR="00305A54" w:rsidRPr="00E713EA" w:rsidRDefault="00305A54" w:rsidP="008545BD">
      <w:pPr>
        <w:pStyle w:val="ListParagraph"/>
        <w:numPr>
          <w:ilvl w:val="0"/>
          <w:numId w:val="7"/>
        </w:numPr>
        <w:ind w:left="1134" w:hanging="425"/>
        <w:jc w:val="both"/>
        <w:rPr>
          <w:rFonts w:ascii="Arial" w:hAnsi="Arial" w:cs="Arial"/>
          <w:sz w:val="22"/>
          <w:szCs w:val="22"/>
        </w:rPr>
      </w:pPr>
      <w:r w:rsidRPr="00E713EA">
        <w:rPr>
          <w:rFonts w:ascii="Arial" w:hAnsi="Arial" w:cs="Arial"/>
          <w:sz w:val="22"/>
          <w:szCs w:val="22"/>
        </w:rPr>
        <w:t>Suitability for sexual health physicians to be included among those specialists by or in consultation with whom testosterone may be prescribed.</w:t>
      </w:r>
    </w:p>
    <w:p w:rsidR="00BB7EC3" w:rsidRPr="00882085" w:rsidRDefault="00BB7EC3" w:rsidP="00882085">
      <w:pPr>
        <w:jc w:val="both"/>
        <w:rPr>
          <w:rFonts w:ascii="Arial" w:hAnsi="Arial"/>
          <w:b/>
          <w:sz w:val="22"/>
          <w:szCs w:val="22"/>
        </w:rPr>
      </w:pPr>
    </w:p>
    <w:p w:rsidR="00CE10C4" w:rsidRPr="00882085" w:rsidRDefault="00305A54" w:rsidP="008545BD">
      <w:pPr>
        <w:pStyle w:val="ListParagraph"/>
        <w:numPr>
          <w:ilvl w:val="0"/>
          <w:numId w:val="1"/>
        </w:numPr>
        <w:jc w:val="both"/>
        <w:rPr>
          <w:rFonts w:ascii="Arial" w:hAnsi="Arial"/>
          <w:b/>
          <w:sz w:val="22"/>
          <w:szCs w:val="22"/>
        </w:rPr>
      </w:pPr>
      <w:r>
        <w:rPr>
          <w:rFonts w:ascii="Arial" w:hAnsi="Arial"/>
          <w:b/>
          <w:sz w:val="22"/>
          <w:szCs w:val="22"/>
        </w:rPr>
        <w:t>Consideration of the evidence</w:t>
      </w:r>
    </w:p>
    <w:p w:rsidR="00CE10C4" w:rsidRPr="00882085" w:rsidRDefault="008E3680" w:rsidP="00882085">
      <w:pPr>
        <w:jc w:val="both"/>
        <w:rPr>
          <w:rFonts w:ascii="Arial" w:hAnsi="Arial"/>
          <w:sz w:val="22"/>
          <w:szCs w:val="22"/>
        </w:rPr>
      </w:pPr>
      <w:r w:rsidRPr="00882085">
        <w:rPr>
          <w:rFonts w:ascii="Arial" w:hAnsi="Arial"/>
          <w:sz w:val="22"/>
          <w:szCs w:val="22"/>
        </w:rPr>
        <w:t xml:space="preserve"> </w:t>
      </w:r>
    </w:p>
    <w:p w:rsidR="00305A54" w:rsidRPr="00305A54" w:rsidRDefault="00305A54" w:rsidP="008545BD">
      <w:pPr>
        <w:pStyle w:val="ListParagraph"/>
        <w:numPr>
          <w:ilvl w:val="1"/>
          <w:numId w:val="1"/>
        </w:numPr>
        <w:jc w:val="both"/>
        <w:rPr>
          <w:rFonts w:ascii="Arial" w:hAnsi="Arial"/>
          <w:sz w:val="22"/>
          <w:szCs w:val="22"/>
        </w:rPr>
      </w:pPr>
      <w:r w:rsidRPr="00305A54">
        <w:rPr>
          <w:rFonts w:ascii="Arial" w:hAnsi="Arial" w:cs="Arial"/>
          <w:sz w:val="22"/>
          <w:szCs w:val="22"/>
        </w:rPr>
        <w:lastRenderedPageBreak/>
        <w:t>Following stakeholder consultation, the Secretariat undertook a further review of the proposed amendments to the restrictions and considered that they did not accurately reflect the intent of the PBAC.  The Secretariat noted the following in its review:</w:t>
      </w:r>
    </w:p>
    <w:p w:rsidR="00305A54" w:rsidRPr="00305A54" w:rsidRDefault="00305A54" w:rsidP="00305A54">
      <w:pPr>
        <w:jc w:val="both"/>
        <w:rPr>
          <w:rFonts w:ascii="Arial" w:hAnsi="Arial" w:cs="Arial"/>
          <w:sz w:val="22"/>
          <w:szCs w:val="22"/>
        </w:rPr>
      </w:pPr>
    </w:p>
    <w:p w:rsidR="00305A54" w:rsidRPr="00EA0C22" w:rsidRDefault="00305A54" w:rsidP="008545BD">
      <w:pPr>
        <w:pStyle w:val="ListParagraph"/>
        <w:numPr>
          <w:ilvl w:val="0"/>
          <w:numId w:val="8"/>
        </w:numPr>
        <w:ind w:left="1134" w:hanging="425"/>
        <w:jc w:val="both"/>
        <w:rPr>
          <w:rFonts w:ascii="Arial" w:hAnsi="Arial" w:cs="Arial"/>
          <w:sz w:val="22"/>
          <w:szCs w:val="22"/>
        </w:rPr>
      </w:pPr>
      <w:r w:rsidRPr="00EA0C22">
        <w:rPr>
          <w:rFonts w:ascii="Arial" w:hAnsi="Arial" w:cs="Arial"/>
          <w:sz w:val="22"/>
          <w:szCs w:val="22"/>
        </w:rPr>
        <w:t>it is unnecessary to have separate initial and continuing treatment restrictions for treatment of patients with established pituitary or testicular disorders (Restriction 1) if there is no measure of response in order to qualify for continuing treatment;</w:t>
      </w:r>
    </w:p>
    <w:p w:rsidR="00305A54" w:rsidRPr="00EA0C22" w:rsidRDefault="00305A54" w:rsidP="008545BD">
      <w:pPr>
        <w:pStyle w:val="ListParagraph"/>
        <w:numPr>
          <w:ilvl w:val="0"/>
          <w:numId w:val="8"/>
        </w:numPr>
        <w:ind w:left="1134" w:hanging="425"/>
        <w:jc w:val="both"/>
        <w:rPr>
          <w:rFonts w:ascii="Arial" w:hAnsi="Arial" w:cs="Arial"/>
          <w:sz w:val="22"/>
          <w:szCs w:val="22"/>
        </w:rPr>
      </w:pPr>
      <w:r w:rsidRPr="00EA0C22">
        <w:rPr>
          <w:rFonts w:ascii="Arial" w:hAnsi="Arial" w:cs="Arial"/>
          <w:sz w:val="22"/>
          <w:szCs w:val="22"/>
        </w:rPr>
        <w:t xml:space="preserve">reference to serum testosterone and LH thresholds should only be included in the restriction for men aged 40 years or older who do not have established </w:t>
      </w:r>
      <w:proofErr w:type="spellStart"/>
      <w:r w:rsidRPr="00EA0C22">
        <w:rPr>
          <w:rFonts w:ascii="Arial" w:hAnsi="Arial" w:cs="Arial"/>
          <w:sz w:val="22"/>
          <w:szCs w:val="22"/>
        </w:rPr>
        <w:t>pitutitary</w:t>
      </w:r>
      <w:proofErr w:type="spellEnd"/>
      <w:r w:rsidRPr="00EA0C22">
        <w:rPr>
          <w:rFonts w:ascii="Arial" w:hAnsi="Arial" w:cs="Arial"/>
          <w:sz w:val="22"/>
          <w:szCs w:val="22"/>
        </w:rPr>
        <w:t xml:space="preserve"> or testicular disorders (Restriction 2);</w:t>
      </w:r>
    </w:p>
    <w:p w:rsidR="00305A54" w:rsidRPr="00EA0C22" w:rsidRDefault="00305A54" w:rsidP="008545BD">
      <w:pPr>
        <w:pStyle w:val="ListParagraph"/>
        <w:numPr>
          <w:ilvl w:val="0"/>
          <w:numId w:val="8"/>
        </w:numPr>
        <w:ind w:left="1134" w:hanging="425"/>
        <w:jc w:val="both"/>
        <w:rPr>
          <w:rFonts w:ascii="Arial" w:hAnsi="Arial" w:cs="Arial"/>
          <w:sz w:val="22"/>
          <w:szCs w:val="22"/>
        </w:rPr>
      </w:pPr>
      <w:r w:rsidRPr="00EA0C22">
        <w:rPr>
          <w:rFonts w:ascii="Arial" w:hAnsi="Arial" w:cs="Arial"/>
          <w:sz w:val="22"/>
          <w:szCs w:val="22"/>
        </w:rPr>
        <w:t xml:space="preserve">the thresholds intended by the PBAC were serum testosterone of less than 6 nmol per L or serum testosterone 6-15 </w:t>
      </w:r>
      <w:proofErr w:type="spellStart"/>
      <w:r w:rsidRPr="00EA0C22">
        <w:rPr>
          <w:rFonts w:ascii="Arial" w:hAnsi="Arial" w:cs="Arial"/>
          <w:sz w:val="22"/>
          <w:szCs w:val="22"/>
        </w:rPr>
        <w:t>nmoL</w:t>
      </w:r>
      <w:proofErr w:type="spellEnd"/>
      <w:r w:rsidRPr="00EA0C22">
        <w:rPr>
          <w:rFonts w:ascii="Arial" w:hAnsi="Arial" w:cs="Arial"/>
          <w:sz w:val="22"/>
          <w:szCs w:val="22"/>
        </w:rPr>
        <w:t xml:space="preserve"> per L with high LH, where high LH is defined as greater than 1.5 times the upper limit of the eugonadal reference range for young men, or greater than 14 IU/L, whichever is higher;</w:t>
      </w:r>
    </w:p>
    <w:p w:rsidR="00305A54" w:rsidRPr="00EA0C22" w:rsidRDefault="00305A54" w:rsidP="008545BD">
      <w:pPr>
        <w:pStyle w:val="ListParagraph"/>
        <w:numPr>
          <w:ilvl w:val="0"/>
          <w:numId w:val="8"/>
        </w:numPr>
        <w:ind w:left="1134" w:hanging="425"/>
        <w:jc w:val="both"/>
        <w:rPr>
          <w:rFonts w:ascii="Arial" w:hAnsi="Arial" w:cs="Arial"/>
        </w:rPr>
      </w:pPr>
      <w:proofErr w:type="gramStart"/>
      <w:r w:rsidRPr="00EA0C22">
        <w:rPr>
          <w:rFonts w:ascii="Arial" w:hAnsi="Arial" w:cs="Arial"/>
          <w:sz w:val="22"/>
          <w:szCs w:val="22"/>
        </w:rPr>
        <w:t>the</w:t>
      </w:r>
      <w:proofErr w:type="gramEnd"/>
      <w:r w:rsidRPr="00EA0C22">
        <w:rPr>
          <w:rFonts w:ascii="Arial" w:hAnsi="Arial" w:cs="Arial"/>
          <w:sz w:val="22"/>
          <w:szCs w:val="22"/>
        </w:rPr>
        <w:t xml:space="preserve"> requirement for prescribing by or in consultation with nominated specialists should be restriction-specific:  e.g. it would not be appropriate for patients aged 40 years and over to be treated by paediatric specialists</w:t>
      </w:r>
      <w:r w:rsidRPr="00EA0C22">
        <w:rPr>
          <w:rFonts w:ascii="Arial" w:hAnsi="Arial" w:cs="Arial"/>
        </w:rPr>
        <w:t xml:space="preserve">.  </w:t>
      </w:r>
    </w:p>
    <w:p w:rsidR="006A12A5" w:rsidRDefault="006A12A5" w:rsidP="00882085">
      <w:pPr>
        <w:pStyle w:val="Header"/>
        <w:tabs>
          <w:tab w:val="clear" w:pos="4153"/>
          <w:tab w:val="clear" w:pos="8306"/>
        </w:tabs>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 xml:space="preserve">For more detail on PBAC’s view, see section </w:t>
      </w:r>
      <w:r w:rsidR="005648D0">
        <w:rPr>
          <w:rFonts w:ascii="Arial" w:hAnsi="Arial"/>
          <w:i/>
          <w:sz w:val="22"/>
          <w:szCs w:val="22"/>
        </w:rPr>
        <w:t>5</w:t>
      </w:r>
      <w:r>
        <w:rPr>
          <w:rFonts w:ascii="Arial" w:hAnsi="Arial"/>
          <w:i/>
          <w:sz w:val="22"/>
          <w:szCs w:val="22"/>
        </w:rPr>
        <w:t xml:space="preserve"> “PBAC outcome”</w:t>
      </w:r>
    </w:p>
    <w:p w:rsidR="00BB7EC3" w:rsidRPr="00882085" w:rsidRDefault="00BB7EC3" w:rsidP="00882085">
      <w:pPr>
        <w:pStyle w:val="Header"/>
        <w:tabs>
          <w:tab w:val="clear" w:pos="4153"/>
          <w:tab w:val="clear" w:pos="8306"/>
        </w:tabs>
        <w:jc w:val="both"/>
        <w:rPr>
          <w:rFonts w:ascii="Arial" w:hAnsi="Arial"/>
          <w:sz w:val="22"/>
          <w:szCs w:val="22"/>
        </w:rPr>
      </w:pPr>
    </w:p>
    <w:p w:rsidR="00326E79" w:rsidRPr="003707B5" w:rsidRDefault="00A62C1A" w:rsidP="008545BD">
      <w:pPr>
        <w:pStyle w:val="ListParagraph"/>
        <w:numPr>
          <w:ilvl w:val="0"/>
          <w:numId w:val="1"/>
        </w:numPr>
        <w:jc w:val="both"/>
        <w:rPr>
          <w:rFonts w:ascii="Arial" w:hAnsi="Arial"/>
          <w:b/>
          <w:sz w:val="22"/>
          <w:szCs w:val="22"/>
        </w:rPr>
      </w:pPr>
      <w:r w:rsidRPr="003707B5">
        <w:rPr>
          <w:rFonts w:ascii="Arial" w:hAnsi="Arial"/>
          <w:b/>
          <w:sz w:val="22"/>
          <w:szCs w:val="22"/>
        </w:rPr>
        <w:t xml:space="preserve">PBAC </w:t>
      </w:r>
      <w:r w:rsidR="00930937" w:rsidRPr="003707B5">
        <w:rPr>
          <w:rFonts w:ascii="Arial" w:hAnsi="Arial"/>
          <w:b/>
          <w:sz w:val="22"/>
          <w:szCs w:val="22"/>
        </w:rPr>
        <w:t>Outcome</w:t>
      </w:r>
      <w:r w:rsidR="00B43E90" w:rsidRPr="003707B5">
        <w:rPr>
          <w:rFonts w:ascii="Arial" w:hAnsi="Arial"/>
          <w:b/>
          <w:sz w:val="22"/>
          <w:szCs w:val="22"/>
        </w:rPr>
        <w:t xml:space="preserve"> </w:t>
      </w:r>
    </w:p>
    <w:p w:rsidR="009067B7" w:rsidRPr="00882085" w:rsidRDefault="009067B7" w:rsidP="00882085">
      <w:pPr>
        <w:jc w:val="both"/>
        <w:rPr>
          <w:rFonts w:ascii="Arial" w:hAnsi="Arial"/>
          <w:b/>
          <w:sz w:val="22"/>
          <w:szCs w:val="22"/>
        </w:rPr>
      </w:pPr>
    </w:p>
    <w:p w:rsidR="00305A54" w:rsidRPr="00EA0C22" w:rsidRDefault="00305A54" w:rsidP="008545BD">
      <w:pPr>
        <w:pStyle w:val="ListParagraph"/>
        <w:numPr>
          <w:ilvl w:val="1"/>
          <w:numId w:val="1"/>
        </w:numPr>
        <w:jc w:val="both"/>
        <w:rPr>
          <w:rFonts w:ascii="Arial" w:hAnsi="Arial" w:cs="Arial"/>
          <w:sz w:val="22"/>
          <w:szCs w:val="22"/>
        </w:rPr>
      </w:pPr>
      <w:r w:rsidRPr="00EA0C22">
        <w:rPr>
          <w:rFonts w:ascii="Arial" w:hAnsi="Arial" w:cs="Arial"/>
          <w:sz w:val="22"/>
          <w:szCs w:val="22"/>
        </w:rPr>
        <w:t>The PBAC noted that the existing Restrictions 1 and 2 state that the condition (androgen deficiency) must not be due to age, obesity, cardiovascular diseases, infertility or drugs.  The PBAC agreed with the Secretariat that this criterion is redundant for Restriction 1, where the condition for PBS eligibility is identified as being due to established pituitary or testicular disorders.  The PBAC recommended the removal of this criterion from Restriction 1.</w:t>
      </w:r>
    </w:p>
    <w:p w:rsidR="00305A54" w:rsidRPr="00305A54" w:rsidRDefault="00305A54" w:rsidP="00305A54">
      <w:pPr>
        <w:pStyle w:val="ListParagraph"/>
        <w:ind w:left="709"/>
        <w:rPr>
          <w:rFonts w:ascii="Arial" w:hAnsi="Arial"/>
          <w:sz w:val="22"/>
          <w:szCs w:val="22"/>
        </w:rPr>
      </w:pPr>
    </w:p>
    <w:p w:rsidR="00305A54" w:rsidRPr="00305A54" w:rsidRDefault="00305A54" w:rsidP="008545BD">
      <w:pPr>
        <w:pStyle w:val="ListParagraph"/>
        <w:numPr>
          <w:ilvl w:val="1"/>
          <w:numId w:val="1"/>
        </w:numPr>
        <w:jc w:val="both"/>
        <w:rPr>
          <w:rFonts w:ascii="Arial" w:hAnsi="Arial"/>
          <w:sz w:val="22"/>
          <w:szCs w:val="22"/>
        </w:rPr>
      </w:pPr>
      <w:r w:rsidRPr="00305A54">
        <w:rPr>
          <w:rFonts w:ascii="Arial" w:hAnsi="Arial"/>
          <w:sz w:val="22"/>
          <w:szCs w:val="22"/>
        </w:rPr>
        <w:t>With regard to Restriction 1, the PBAC noted the Secretariat’s request for advice on whether it is necessary to identify specific pituitary and testicular disorders for patients to be eligible for PBS-subsidy under this restriction.  The PBAC considered that it was not necessary for specific disorders to be referred to in the restriction.</w:t>
      </w:r>
    </w:p>
    <w:p w:rsidR="00305A54" w:rsidRPr="00305A54" w:rsidRDefault="00305A54" w:rsidP="00305A54">
      <w:pPr>
        <w:pStyle w:val="ListParagraph"/>
        <w:ind w:left="709"/>
        <w:rPr>
          <w:rFonts w:ascii="Arial" w:hAnsi="Arial"/>
          <w:sz w:val="22"/>
          <w:szCs w:val="22"/>
        </w:rPr>
      </w:pPr>
    </w:p>
    <w:p w:rsidR="00BB7EC3" w:rsidRPr="00305A54" w:rsidRDefault="00305A54" w:rsidP="008545BD">
      <w:pPr>
        <w:pStyle w:val="ListParagraph"/>
        <w:numPr>
          <w:ilvl w:val="1"/>
          <w:numId w:val="1"/>
        </w:numPr>
        <w:jc w:val="both"/>
        <w:rPr>
          <w:rFonts w:ascii="Arial" w:hAnsi="Arial"/>
          <w:sz w:val="22"/>
          <w:szCs w:val="22"/>
        </w:rPr>
      </w:pPr>
      <w:r w:rsidRPr="00305A54">
        <w:rPr>
          <w:rFonts w:ascii="Arial" w:hAnsi="Arial"/>
          <w:sz w:val="22"/>
          <w:szCs w:val="22"/>
        </w:rPr>
        <w:t>The PBAC noted the request from stakeholders to include specialist sexual health physicians among those specialists able to prescribe or be consulted on prescribing of PBS-listed testosterone products.  The PBAC considered that a more appropriate definition would be “a registered member of the Australasian Chapter of Sexual Health Medicine”.  The PBAC recommended that this definition be included in all PBS restrictions for testosterone products.</w:t>
      </w:r>
    </w:p>
    <w:p w:rsidR="00BB7EC3" w:rsidRPr="00BB7EC3" w:rsidRDefault="00BB7EC3" w:rsidP="00BB7EC3">
      <w:pPr>
        <w:pStyle w:val="ListParagraph"/>
        <w:rPr>
          <w:rFonts w:ascii="Arial" w:hAnsi="Arial"/>
          <w:sz w:val="22"/>
          <w:szCs w:val="22"/>
        </w:rPr>
      </w:pPr>
    </w:p>
    <w:p w:rsidR="00DF26A7" w:rsidRPr="00882085" w:rsidRDefault="00DF26A7" w:rsidP="00882085">
      <w:pPr>
        <w:jc w:val="both"/>
        <w:rPr>
          <w:rFonts w:ascii="Arial" w:hAnsi="Arial"/>
          <w:sz w:val="22"/>
          <w:szCs w:val="22"/>
        </w:rPr>
      </w:pPr>
    </w:p>
    <w:p w:rsidR="009C703C" w:rsidRPr="00882085" w:rsidRDefault="009C703C" w:rsidP="00882085">
      <w:pPr>
        <w:jc w:val="both"/>
        <w:rPr>
          <w:rFonts w:ascii="Arial" w:hAnsi="Arial"/>
          <w:b/>
          <w:sz w:val="22"/>
          <w:szCs w:val="22"/>
        </w:rPr>
      </w:pPr>
      <w:r w:rsidRPr="00882085">
        <w:rPr>
          <w:rFonts w:ascii="Arial" w:hAnsi="Arial"/>
          <w:b/>
          <w:sz w:val="22"/>
          <w:szCs w:val="22"/>
        </w:rPr>
        <w:t>Outcome:</w:t>
      </w:r>
    </w:p>
    <w:p w:rsidR="009C703C" w:rsidRDefault="009C703C" w:rsidP="00882085">
      <w:pPr>
        <w:jc w:val="both"/>
        <w:rPr>
          <w:rFonts w:ascii="Arial" w:hAnsi="Arial"/>
          <w:sz w:val="22"/>
          <w:szCs w:val="22"/>
        </w:rPr>
      </w:pPr>
      <w:r w:rsidRPr="00882085">
        <w:rPr>
          <w:rFonts w:ascii="Arial" w:hAnsi="Arial"/>
          <w:sz w:val="22"/>
          <w:szCs w:val="22"/>
        </w:rPr>
        <w:t xml:space="preserve">Recommended </w:t>
      </w:r>
    </w:p>
    <w:p w:rsidR="00BB7EC3" w:rsidRDefault="00BB7EC3" w:rsidP="00882085">
      <w:pPr>
        <w:jc w:val="both"/>
        <w:rPr>
          <w:rFonts w:ascii="Arial" w:hAnsi="Arial"/>
          <w:sz w:val="22"/>
          <w:szCs w:val="22"/>
        </w:rPr>
      </w:pPr>
    </w:p>
    <w:p w:rsidR="003707B5" w:rsidRDefault="003707B5" w:rsidP="003707B5">
      <w:pPr>
        <w:jc w:val="both"/>
        <w:rPr>
          <w:rFonts w:ascii="Arial" w:hAnsi="Arial"/>
          <w:sz w:val="22"/>
          <w:szCs w:val="22"/>
        </w:rPr>
      </w:pPr>
      <w:r>
        <w:rPr>
          <w:rFonts w:ascii="Arial" w:hAnsi="Arial"/>
          <w:sz w:val="22"/>
          <w:szCs w:val="22"/>
        </w:rPr>
        <w:t>Following consideration of input from stakeholders and the Department, the PBAC recommended amending the restrictions for testosterone products to:</w:t>
      </w:r>
    </w:p>
    <w:p w:rsidR="003707B5" w:rsidRDefault="003707B5" w:rsidP="008545BD">
      <w:pPr>
        <w:pStyle w:val="ListParagraph"/>
        <w:numPr>
          <w:ilvl w:val="0"/>
          <w:numId w:val="2"/>
        </w:numPr>
        <w:jc w:val="both"/>
        <w:rPr>
          <w:rFonts w:ascii="Arial" w:hAnsi="Arial"/>
          <w:sz w:val="22"/>
          <w:szCs w:val="22"/>
        </w:rPr>
      </w:pPr>
      <w:r>
        <w:rPr>
          <w:rFonts w:ascii="Arial" w:hAnsi="Arial"/>
          <w:sz w:val="22"/>
          <w:szCs w:val="22"/>
        </w:rPr>
        <w:t xml:space="preserve">For restrictions for androgen deficiency, remove redundant reference to the condition not being due to </w:t>
      </w:r>
      <w:r w:rsidRPr="003707B5">
        <w:rPr>
          <w:rFonts w:ascii="Arial" w:hAnsi="Arial"/>
          <w:sz w:val="22"/>
          <w:szCs w:val="22"/>
        </w:rPr>
        <w:t>age, obesity, cardiovascular diseases, infertility or drugs</w:t>
      </w:r>
      <w:r>
        <w:rPr>
          <w:rFonts w:ascii="Arial" w:hAnsi="Arial"/>
          <w:sz w:val="22"/>
          <w:szCs w:val="22"/>
        </w:rPr>
        <w:t>;</w:t>
      </w:r>
    </w:p>
    <w:p w:rsidR="00BB7EC3" w:rsidRPr="003707B5" w:rsidRDefault="003707B5" w:rsidP="008545BD">
      <w:pPr>
        <w:pStyle w:val="ListParagraph"/>
        <w:numPr>
          <w:ilvl w:val="0"/>
          <w:numId w:val="2"/>
        </w:numPr>
        <w:jc w:val="both"/>
        <w:rPr>
          <w:rFonts w:ascii="Arial" w:hAnsi="Arial"/>
          <w:sz w:val="22"/>
          <w:szCs w:val="22"/>
        </w:rPr>
      </w:pPr>
      <w:r>
        <w:rPr>
          <w:rFonts w:ascii="Arial" w:hAnsi="Arial"/>
          <w:sz w:val="22"/>
          <w:szCs w:val="22"/>
        </w:rPr>
        <w:t xml:space="preserve">Include registered members of the Australasian Chapter of Sexual Health Medicine as prescribers that are able to prescribe testosterone products on the PBS.  </w:t>
      </w:r>
    </w:p>
    <w:p w:rsidR="00E16910" w:rsidRDefault="00E16910" w:rsidP="00882085">
      <w:pPr>
        <w:jc w:val="both"/>
        <w:rPr>
          <w:rFonts w:ascii="Arial" w:hAnsi="Arial"/>
          <w:sz w:val="22"/>
          <w:szCs w:val="22"/>
        </w:rPr>
      </w:pPr>
    </w:p>
    <w:p w:rsidR="00EA0C22" w:rsidRPr="00882085" w:rsidRDefault="00EA0C22" w:rsidP="00882085">
      <w:pPr>
        <w:jc w:val="both"/>
        <w:rPr>
          <w:rFonts w:ascii="Arial" w:hAnsi="Arial"/>
          <w:sz w:val="22"/>
          <w:szCs w:val="22"/>
        </w:rPr>
      </w:pPr>
    </w:p>
    <w:p w:rsidR="00E91B96" w:rsidRPr="00EA0C22" w:rsidRDefault="007C0F57" w:rsidP="008545BD">
      <w:pPr>
        <w:pStyle w:val="ListParagraph"/>
        <w:numPr>
          <w:ilvl w:val="0"/>
          <w:numId w:val="1"/>
        </w:numPr>
        <w:jc w:val="both"/>
        <w:rPr>
          <w:rFonts w:ascii="Arial" w:hAnsi="Arial"/>
          <w:b/>
          <w:sz w:val="22"/>
          <w:szCs w:val="22"/>
        </w:rPr>
      </w:pPr>
      <w:r w:rsidRPr="00EA0C22">
        <w:rPr>
          <w:rFonts w:ascii="Arial" w:hAnsi="Arial"/>
          <w:b/>
          <w:sz w:val="22"/>
          <w:szCs w:val="22"/>
        </w:rPr>
        <w:t>Recommend</w:t>
      </w:r>
      <w:r w:rsidR="00B43E90" w:rsidRPr="00EA0C22">
        <w:rPr>
          <w:rFonts w:ascii="Arial" w:hAnsi="Arial"/>
          <w:b/>
          <w:sz w:val="22"/>
          <w:szCs w:val="22"/>
        </w:rPr>
        <w:t>ed listing</w:t>
      </w:r>
    </w:p>
    <w:p w:rsidR="006906DB" w:rsidRPr="00882085" w:rsidRDefault="006906DB" w:rsidP="00882085">
      <w:pPr>
        <w:jc w:val="both"/>
        <w:rPr>
          <w:rFonts w:ascii="Arial" w:hAnsi="Arial"/>
          <w:sz w:val="22"/>
          <w:szCs w:val="22"/>
        </w:rPr>
      </w:pPr>
    </w:p>
    <w:p w:rsidR="00D0321E" w:rsidRPr="003707B5" w:rsidRDefault="00D0321E" w:rsidP="008545BD">
      <w:pPr>
        <w:pStyle w:val="ListParagraph"/>
        <w:numPr>
          <w:ilvl w:val="1"/>
          <w:numId w:val="1"/>
        </w:numPr>
        <w:jc w:val="both"/>
        <w:rPr>
          <w:rFonts w:ascii="Arial" w:hAnsi="Arial"/>
          <w:sz w:val="22"/>
          <w:szCs w:val="22"/>
        </w:rPr>
      </w:pPr>
      <w:r w:rsidRPr="003707B5">
        <w:rPr>
          <w:rFonts w:ascii="Arial" w:hAnsi="Arial"/>
          <w:sz w:val="22"/>
          <w:szCs w:val="22"/>
        </w:rPr>
        <w:t>Amend existing</w:t>
      </w:r>
      <w:r w:rsidR="003707B5">
        <w:rPr>
          <w:rFonts w:ascii="Arial" w:hAnsi="Arial"/>
          <w:sz w:val="22"/>
          <w:szCs w:val="22"/>
        </w:rPr>
        <w:t xml:space="preserve"> </w:t>
      </w:r>
      <w:r w:rsidRPr="003707B5">
        <w:rPr>
          <w:rFonts w:ascii="Arial" w:hAnsi="Arial"/>
          <w:sz w:val="22"/>
          <w:szCs w:val="22"/>
        </w:rPr>
        <w:t>listing as follows:</w:t>
      </w:r>
    </w:p>
    <w:p w:rsidR="008D447E" w:rsidRDefault="008D447E" w:rsidP="009D3CAA">
      <w:pPr>
        <w:rPr>
          <w:rFonts w:ascii="Arial" w:hAnsi="Arial"/>
        </w:rPr>
      </w:pPr>
    </w:p>
    <w:p w:rsidR="003707B5" w:rsidRDefault="003707B5" w:rsidP="003707B5">
      <w:pPr>
        <w:jc w:val="both"/>
        <w:rPr>
          <w:rFonts w:ascii="Arial" w:hAnsi="Arial" w:cs="Arial"/>
        </w:rPr>
      </w:pPr>
    </w:p>
    <w:tbl>
      <w:tblPr>
        <w:tblW w:w="8363" w:type="dxa"/>
        <w:tblInd w:w="817" w:type="dxa"/>
        <w:tblLayout w:type="fixed"/>
        <w:tblLook w:val="0000" w:firstRow="0" w:lastRow="0" w:firstColumn="0" w:lastColumn="0" w:noHBand="0" w:noVBand="0"/>
      </w:tblPr>
      <w:tblGrid>
        <w:gridCol w:w="1985"/>
        <w:gridCol w:w="2126"/>
        <w:gridCol w:w="850"/>
        <w:gridCol w:w="709"/>
        <w:gridCol w:w="1985"/>
        <w:gridCol w:w="708"/>
      </w:tblGrid>
      <w:tr w:rsidR="003707B5" w:rsidRPr="00CA3AC7" w:rsidTr="00B4438D">
        <w:trPr>
          <w:cantSplit/>
          <w:trHeight w:val="471"/>
        </w:trPr>
        <w:tc>
          <w:tcPr>
            <w:tcW w:w="4111" w:type="dxa"/>
            <w:gridSpan w:val="2"/>
            <w:tcBorders>
              <w:bottom w:val="single" w:sz="4" w:space="0" w:color="auto"/>
            </w:tcBorders>
          </w:tcPr>
          <w:p w:rsidR="003707B5" w:rsidRPr="008C1CC1" w:rsidRDefault="003707B5" w:rsidP="00D03BD1">
            <w:pPr>
              <w:keepNext/>
              <w:ind w:left="-108"/>
              <w:jc w:val="both"/>
              <w:rPr>
                <w:rFonts w:ascii="Arial" w:hAnsi="Arial"/>
                <w:sz w:val="20"/>
              </w:rPr>
            </w:pPr>
            <w:r w:rsidRPr="008C1CC1">
              <w:rPr>
                <w:rFonts w:ascii="Arial" w:hAnsi="Arial"/>
                <w:sz w:val="20"/>
              </w:rPr>
              <w:t>Name, Restriction,</w:t>
            </w:r>
          </w:p>
          <w:p w:rsidR="003707B5" w:rsidRPr="008C1CC1" w:rsidRDefault="003707B5" w:rsidP="00D03BD1">
            <w:pPr>
              <w:keepNext/>
              <w:ind w:left="-108"/>
              <w:jc w:val="both"/>
              <w:rPr>
                <w:rFonts w:ascii="Arial" w:hAnsi="Arial"/>
                <w:sz w:val="20"/>
              </w:rPr>
            </w:pPr>
            <w:r w:rsidRPr="008C1CC1">
              <w:rPr>
                <w:rFonts w:ascii="Arial" w:hAnsi="Arial"/>
                <w:sz w:val="20"/>
              </w:rPr>
              <w:t>Manner of administration and form</w:t>
            </w:r>
          </w:p>
        </w:tc>
        <w:tc>
          <w:tcPr>
            <w:tcW w:w="850" w:type="dxa"/>
            <w:tcBorders>
              <w:bottom w:val="single" w:sz="4" w:space="0" w:color="auto"/>
            </w:tcBorders>
          </w:tcPr>
          <w:p w:rsidR="003707B5" w:rsidRPr="008C1CC1" w:rsidRDefault="003707B5" w:rsidP="00D03BD1">
            <w:pPr>
              <w:keepNext/>
              <w:ind w:left="-108"/>
              <w:jc w:val="both"/>
              <w:rPr>
                <w:rFonts w:ascii="Arial" w:hAnsi="Arial"/>
                <w:sz w:val="20"/>
              </w:rPr>
            </w:pPr>
            <w:r w:rsidRPr="008C1CC1">
              <w:rPr>
                <w:rFonts w:ascii="Arial" w:hAnsi="Arial"/>
                <w:sz w:val="20"/>
              </w:rPr>
              <w:t>Max.</w:t>
            </w:r>
          </w:p>
          <w:p w:rsidR="003707B5" w:rsidRPr="008C1CC1" w:rsidRDefault="003707B5" w:rsidP="00D03BD1">
            <w:pPr>
              <w:keepNext/>
              <w:ind w:left="-108"/>
              <w:jc w:val="both"/>
              <w:rPr>
                <w:rFonts w:ascii="Arial" w:hAnsi="Arial"/>
                <w:sz w:val="20"/>
              </w:rPr>
            </w:pPr>
            <w:proofErr w:type="spellStart"/>
            <w:r w:rsidRPr="008C1CC1">
              <w:rPr>
                <w:rFonts w:ascii="Arial" w:hAnsi="Arial"/>
                <w:sz w:val="20"/>
              </w:rPr>
              <w:t>Qty</w:t>
            </w:r>
            <w:proofErr w:type="spellEnd"/>
          </w:p>
        </w:tc>
        <w:tc>
          <w:tcPr>
            <w:tcW w:w="709" w:type="dxa"/>
            <w:tcBorders>
              <w:bottom w:val="single" w:sz="4" w:space="0" w:color="auto"/>
            </w:tcBorders>
          </w:tcPr>
          <w:p w:rsidR="003707B5" w:rsidRPr="008C1CC1" w:rsidRDefault="003707B5" w:rsidP="00D03BD1">
            <w:pPr>
              <w:keepNext/>
              <w:ind w:left="-108"/>
              <w:jc w:val="both"/>
              <w:rPr>
                <w:rFonts w:ascii="Arial" w:hAnsi="Arial"/>
                <w:sz w:val="20"/>
              </w:rPr>
            </w:pPr>
            <w:r w:rsidRPr="008C1CC1">
              <w:rPr>
                <w:rFonts w:ascii="Arial" w:hAnsi="Arial"/>
                <w:sz w:val="20"/>
              </w:rPr>
              <w:t>№.of</w:t>
            </w:r>
          </w:p>
          <w:p w:rsidR="003707B5" w:rsidRPr="008C1CC1" w:rsidRDefault="003707B5" w:rsidP="00D03BD1">
            <w:pPr>
              <w:keepNext/>
              <w:ind w:left="-108"/>
              <w:jc w:val="both"/>
              <w:rPr>
                <w:rFonts w:ascii="Arial" w:hAnsi="Arial"/>
                <w:sz w:val="20"/>
              </w:rPr>
            </w:pPr>
            <w:proofErr w:type="spellStart"/>
            <w:r w:rsidRPr="008C1CC1">
              <w:rPr>
                <w:rFonts w:ascii="Arial" w:hAnsi="Arial"/>
                <w:sz w:val="20"/>
              </w:rPr>
              <w:t>Rpts</w:t>
            </w:r>
            <w:proofErr w:type="spellEnd"/>
          </w:p>
        </w:tc>
        <w:tc>
          <w:tcPr>
            <w:tcW w:w="2693" w:type="dxa"/>
            <w:gridSpan w:val="2"/>
            <w:tcBorders>
              <w:bottom w:val="single" w:sz="4" w:space="0" w:color="auto"/>
            </w:tcBorders>
          </w:tcPr>
          <w:p w:rsidR="003707B5" w:rsidRPr="008C1CC1" w:rsidRDefault="003707B5" w:rsidP="00D03BD1">
            <w:pPr>
              <w:keepNext/>
              <w:jc w:val="both"/>
              <w:rPr>
                <w:rFonts w:ascii="Arial" w:hAnsi="Arial"/>
                <w:sz w:val="20"/>
              </w:rPr>
            </w:pPr>
            <w:r w:rsidRPr="008C1CC1">
              <w:rPr>
                <w:rFonts w:ascii="Arial" w:hAnsi="Arial"/>
                <w:sz w:val="20"/>
              </w:rPr>
              <w:t>Proprietary Name and Manufacturer</w:t>
            </w:r>
          </w:p>
        </w:tc>
      </w:tr>
      <w:tr w:rsidR="003707B5" w:rsidTr="00B4438D">
        <w:trPr>
          <w:cantSplit/>
          <w:trHeight w:val="577"/>
        </w:trPr>
        <w:tc>
          <w:tcPr>
            <w:tcW w:w="4111" w:type="dxa"/>
            <w:gridSpan w:val="2"/>
          </w:tcPr>
          <w:p w:rsidR="003707B5" w:rsidRPr="000B6940" w:rsidRDefault="003707B5" w:rsidP="00D03BD1">
            <w:pPr>
              <w:keepNext/>
              <w:ind w:left="-108"/>
              <w:jc w:val="both"/>
              <w:rPr>
                <w:rFonts w:ascii="Arial" w:hAnsi="Arial"/>
                <w:sz w:val="20"/>
                <w:szCs w:val="20"/>
              </w:rPr>
            </w:pPr>
            <w:r>
              <w:rPr>
                <w:rFonts w:ascii="Arial" w:hAnsi="Arial"/>
                <w:smallCaps/>
                <w:sz w:val="20"/>
                <w:szCs w:val="20"/>
              </w:rPr>
              <w:t>TESTOSTERONE</w:t>
            </w:r>
          </w:p>
          <w:p w:rsidR="003707B5" w:rsidRDefault="003707B5" w:rsidP="00D03BD1">
            <w:pPr>
              <w:keepNext/>
              <w:ind w:left="-108"/>
              <w:jc w:val="both"/>
              <w:rPr>
                <w:rFonts w:ascii="Arial" w:hAnsi="Arial"/>
                <w:sz w:val="20"/>
              </w:rPr>
            </w:pPr>
            <w:r w:rsidRPr="003C39C8">
              <w:rPr>
                <w:rFonts w:ascii="Arial" w:hAnsi="Arial"/>
                <w:sz w:val="20"/>
              </w:rPr>
              <w:t>testosterone 2% (30 mg/1.5 mL actuation) transdermal solution, 60 actuations</w:t>
            </w:r>
          </w:p>
          <w:p w:rsidR="003707B5" w:rsidRDefault="003707B5" w:rsidP="00D03BD1">
            <w:pPr>
              <w:keepNext/>
              <w:ind w:left="-108"/>
              <w:jc w:val="both"/>
              <w:rPr>
                <w:rFonts w:ascii="Arial" w:hAnsi="Arial"/>
                <w:sz w:val="20"/>
              </w:rPr>
            </w:pPr>
          </w:p>
          <w:p w:rsidR="003707B5" w:rsidRDefault="003707B5" w:rsidP="00D03BD1">
            <w:pPr>
              <w:keepNext/>
              <w:ind w:left="-108"/>
              <w:jc w:val="both"/>
              <w:rPr>
                <w:rFonts w:ascii="Arial" w:hAnsi="Arial"/>
                <w:sz w:val="20"/>
              </w:rPr>
            </w:pPr>
            <w:r w:rsidRPr="003C39C8">
              <w:rPr>
                <w:rFonts w:ascii="Arial" w:hAnsi="Arial"/>
                <w:sz w:val="20"/>
              </w:rPr>
              <w:t xml:space="preserve">testosterone 2.5 mg/24 hours patch, 60 </w:t>
            </w:r>
          </w:p>
          <w:p w:rsidR="003707B5" w:rsidRDefault="003707B5" w:rsidP="00D03BD1">
            <w:pPr>
              <w:keepNext/>
              <w:ind w:left="-108"/>
              <w:jc w:val="both"/>
              <w:rPr>
                <w:rFonts w:ascii="Arial" w:hAnsi="Arial"/>
                <w:sz w:val="20"/>
              </w:rPr>
            </w:pPr>
          </w:p>
          <w:p w:rsidR="003707B5" w:rsidRDefault="003707B5" w:rsidP="00D03BD1">
            <w:pPr>
              <w:keepNext/>
              <w:ind w:left="-108"/>
              <w:jc w:val="both"/>
              <w:rPr>
                <w:rFonts w:ascii="Arial" w:hAnsi="Arial"/>
                <w:sz w:val="20"/>
              </w:rPr>
            </w:pPr>
            <w:r w:rsidRPr="003C39C8">
              <w:rPr>
                <w:rFonts w:ascii="Arial" w:hAnsi="Arial"/>
                <w:sz w:val="20"/>
              </w:rPr>
              <w:t>testosterone 5 mg/24 hours patch, 30</w:t>
            </w:r>
          </w:p>
          <w:p w:rsidR="003707B5" w:rsidRDefault="003707B5" w:rsidP="00D03BD1">
            <w:pPr>
              <w:keepNext/>
              <w:ind w:left="-108"/>
              <w:jc w:val="both"/>
              <w:rPr>
                <w:rFonts w:ascii="Arial" w:hAnsi="Arial"/>
                <w:sz w:val="20"/>
              </w:rPr>
            </w:pPr>
          </w:p>
          <w:p w:rsidR="003707B5" w:rsidRDefault="003707B5" w:rsidP="00D03BD1">
            <w:pPr>
              <w:keepNext/>
              <w:ind w:left="-108"/>
              <w:jc w:val="both"/>
              <w:rPr>
                <w:rFonts w:ascii="Arial" w:hAnsi="Arial"/>
                <w:sz w:val="20"/>
              </w:rPr>
            </w:pPr>
            <w:r w:rsidRPr="003C39C8">
              <w:rPr>
                <w:rFonts w:ascii="Arial" w:hAnsi="Arial"/>
                <w:sz w:val="20"/>
              </w:rPr>
              <w:t>testosterone 1% (50 mg/5 g) gel, 30 x 5 g sachets</w:t>
            </w:r>
          </w:p>
          <w:p w:rsidR="003707B5" w:rsidRDefault="003707B5" w:rsidP="00D03BD1">
            <w:pPr>
              <w:keepNext/>
              <w:ind w:left="-108"/>
              <w:jc w:val="both"/>
              <w:rPr>
                <w:rFonts w:ascii="Arial" w:hAnsi="Arial"/>
                <w:sz w:val="20"/>
              </w:rPr>
            </w:pPr>
          </w:p>
        </w:tc>
        <w:tc>
          <w:tcPr>
            <w:tcW w:w="850" w:type="dxa"/>
          </w:tcPr>
          <w:p w:rsidR="003707B5" w:rsidRDefault="003707B5" w:rsidP="00D03BD1">
            <w:pPr>
              <w:keepNext/>
              <w:ind w:left="-108"/>
              <w:jc w:val="both"/>
              <w:rPr>
                <w:rFonts w:ascii="Arial" w:hAnsi="Arial"/>
                <w:sz w:val="20"/>
              </w:rPr>
            </w:pPr>
          </w:p>
          <w:p w:rsidR="003707B5" w:rsidRDefault="003707B5" w:rsidP="00D03BD1">
            <w:pPr>
              <w:keepNext/>
              <w:ind w:left="-108"/>
              <w:jc w:val="both"/>
              <w:rPr>
                <w:rFonts w:ascii="Arial" w:hAnsi="Arial"/>
                <w:sz w:val="20"/>
              </w:rPr>
            </w:pPr>
            <w:r>
              <w:rPr>
                <w:rFonts w:ascii="Arial" w:hAnsi="Arial"/>
                <w:sz w:val="20"/>
              </w:rPr>
              <w:t>1</w:t>
            </w:r>
          </w:p>
          <w:p w:rsidR="003707B5" w:rsidRDefault="003707B5" w:rsidP="00D03BD1">
            <w:pPr>
              <w:keepNext/>
              <w:ind w:left="-108"/>
              <w:jc w:val="both"/>
              <w:rPr>
                <w:rFonts w:ascii="Arial" w:hAnsi="Arial"/>
                <w:sz w:val="20"/>
              </w:rPr>
            </w:pPr>
          </w:p>
          <w:p w:rsidR="003707B5" w:rsidRDefault="003707B5" w:rsidP="00D03BD1">
            <w:pPr>
              <w:keepNext/>
              <w:ind w:left="-108"/>
              <w:jc w:val="both"/>
              <w:rPr>
                <w:rFonts w:ascii="Arial" w:hAnsi="Arial"/>
                <w:sz w:val="20"/>
              </w:rPr>
            </w:pPr>
          </w:p>
          <w:p w:rsidR="003707B5" w:rsidRDefault="003707B5" w:rsidP="00D03BD1">
            <w:pPr>
              <w:keepNext/>
              <w:ind w:left="-108"/>
              <w:jc w:val="both"/>
              <w:rPr>
                <w:rFonts w:ascii="Arial" w:hAnsi="Arial"/>
                <w:sz w:val="20"/>
              </w:rPr>
            </w:pPr>
            <w:r>
              <w:rPr>
                <w:rFonts w:ascii="Arial" w:hAnsi="Arial"/>
                <w:sz w:val="20"/>
              </w:rPr>
              <w:t>1</w:t>
            </w:r>
          </w:p>
          <w:p w:rsidR="003707B5" w:rsidRDefault="003707B5" w:rsidP="00D03BD1">
            <w:pPr>
              <w:keepNext/>
              <w:ind w:left="-108"/>
              <w:jc w:val="both"/>
              <w:rPr>
                <w:rFonts w:ascii="Arial" w:hAnsi="Arial"/>
                <w:sz w:val="20"/>
              </w:rPr>
            </w:pPr>
          </w:p>
          <w:p w:rsidR="003707B5" w:rsidRDefault="003707B5" w:rsidP="00D03BD1">
            <w:pPr>
              <w:keepNext/>
              <w:ind w:left="-108"/>
              <w:jc w:val="both"/>
              <w:rPr>
                <w:rFonts w:ascii="Arial" w:hAnsi="Arial"/>
                <w:sz w:val="20"/>
              </w:rPr>
            </w:pPr>
            <w:r>
              <w:rPr>
                <w:rFonts w:ascii="Arial" w:hAnsi="Arial"/>
                <w:sz w:val="20"/>
              </w:rPr>
              <w:t>1</w:t>
            </w:r>
          </w:p>
          <w:p w:rsidR="003707B5" w:rsidRDefault="003707B5" w:rsidP="00D03BD1">
            <w:pPr>
              <w:keepNext/>
              <w:ind w:left="-108"/>
              <w:jc w:val="both"/>
              <w:rPr>
                <w:rFonts w:ascii="Arial" w:hAnsi="Arial"/>
                <w:sz w:val="20"/>
              </w:rPr>
            </w:pPr>
          </w:p>
          <w:p w:rsidR="003707B5" w:rsidRDefault="003707B5" w:rsidP="00D03BD1">
            <w:pPr>
              <w:keepNext/>
              <w:ind w:left="-108"/>
              <w:jc w:val="both"/>
              <w:rPr>
                <w:rFonts w:ascii="Arial" w:hAnsi="Arial"/>
                <w:sz w:val="20"/>
              </w:rPr>
            </w:pPr>
            <w:r>
              <w:rPr>
                <w:rFonts w:ascii="Arial" w:hAnsi="Arial"/>
                <w:sz w:val="20"/>
              </w:rPr>
              <w:t>1</w:t>
            </w:r>
          </w:p>
        </w:tc>
        <w:tc>
          <w:tcPr>
            <w:tcW w:w="709" w:type="dxa"/>
          </w:tcPr>
          <w:p w:rsidR="003707B5" w:rsidRDefault="003707B5" w:rsidP="00D03BD1">
            <w:pPr>
              <w:keepNext/>
              <w:ind w:left="-108"/>
              <w:jc w:val="both"/>
              <w:rPr>
                <w:rFonts w:ascii="Arial" w:hAnsi="Arial"/>
                <w:sz w:val="20"/>
              </w:rPr>
            </w:pPr>
          </w:p>
          <w:p w:rsidR="003707B5" w:rsidRDefault="003707B5" w:rsidP="00D03BD1">
            <w:pPr>
              <w:keepNext/>
              <w:ind w:left="-108"/>
              <w:jc w:val="both"/>
              <w:rPr>
                <w:rFonts w:ascii="Arial" w:hAnsi="Arial"/>
                <w:sz w:val="20"/>
              </w:rPr>
            </w:pPr>
            <w:r>
              <w:rPr>
                <w:rFonts w:ascii="Arial" w:hAnsi="Arial"/>
                <w:sz w:val="20"/>
              </w:rPr>
              <w:t>5</w:t>
            </w:r>
          </w:p>
          <w:p w:rsidR="003707B5" w:rsidRDefault="003707B5" w:rsidP="00D03BD1">
            <w:pPr>
              <w:keepNext/>
              <w:ind w:left="-108"/>
              <w:jc w:val="both"/>
              <w:rPr>
                <w:rFonts w:ascii="Arial" w:hAnsi="Arial"/>
                <w:sz w:val="20"/>
              </w:rPr>
            </w:pPr>
          </w:p>
          <w:p w:rsidR="003707B5" w:rsidRDefault="003707B5" w:rsidP="00D03BD1">
            <w:pPr>
              <w:keepNext/>
              <w:ind w:left="-108"/>
              <w:jc w:val="both"/>
              <w:rPr>
                <w:rFonts w:ascii="Arial" w:hAnsi="Arial"/>
                <w:sz w:val="20"/>
              </w:rPr>
            </w:pPr>
          </w:p>
          <w:p w:rsidR="003707B5" w:rsidRDefault="003707B5" w:rsidP="00D03BD1">
            <w:pPr>
              <w:keepNext/>
              <w:ind w:left="-108"/>
              <w:jc w:val="both"/>
              <w:rPr>
                <w:rFonts w:ascii="Arial" w:hAnsi="Arial"/>
                <w:sz w:val="20"/>
              </w:rPr>
            </w:pPr>
            <w:r>
              <w:rPr>
                <w:rFonts w:ascii="Arial" w:hAnsi="Arial"/>
                <w:sz w:val="20"/>
              </w:rPr>
              <w:t>5</w:t>
            </w:r>
          </w:p>
          <w:p w:rsidR="003707B5" w:rsidRDefault="003707B5" w:rsidP="00D03BD1">
            <w:pPr>
              <w:keepNext/>
              <w:ind w:left="-108"/>
              <w:jc w:val="both"/>
              <w:rPr>
                <w:rFonts w:ascii="Arial" w:hAnsi="Arial"/>
                <w:sz w:val="20"/>
              </w:rPr>
            </w:pPr>
          </w:p>
          <w:p w:rsidR="003707B5" w:rsidRDefault="003707B5" w:rsidP="00D03BD1">
            <w:pPr>
              <w:keepNext/>
              <w:ind w:left="-108"/>
              <w:jc w:val="both"/>
              <w:rPr>
                <w:rFonts w:ascii="Arial" w:hAnsi="Arial"/>
                <w:sz w:val="20"/>
              </w:rPr>
            </w:pPr>
            <w:r>
              <w:rPr>
                <w:rFonts w:ascii="Arial" w:hAnsi="Arial"/>
                <w:sz w:val="20"/>
              </w:rPr>
              <w:t>5</w:t>
            </w:r>
          </w:p>
          <w:p w:rsidR="003707B5" w:rsidRDefault="003707B5" w:rsidP="00D03BD1">
            <w:pPr>
              <w:keepNext/>
              <w:ind w:left="-108"/>
              <w:jc w:val="both"/>
              <w:rPr>
                <w:rFonts w:ascii="Arial" w:hAnsi="Arial"/>
                <w:sz w:val="20"/>
              </w:rPr>
            </w:pPr>
          </w:p>
          <w:p w:rsidR="003707B5" w:rsidRDefault="003707B5" w:rsidP="00D03BD1">
            <w:pPr>
              <w:keepNext/>
              <w:ind w:left="-108"/>
              <w:jc w:val="both"/>
              <w:rPr>
                <w:rFonts w:ascii="Arial" w:hAnsi="Arial"/>
                <w:sz w:val="20"/>
              </w:rPr>
            </w:pPr>
            <w:r>
              <w:rPr>
                <w:rFonts w:ascii="Arial" w:hAnsi="Arial"/>
                <w:sz w:val="20"/>
              </w:rPr>
              <w:t>5</w:t>
            </w:r>
          </w:p>
        </w:tc>
        <w:tc>
          <w:tcPr>
            <w:tcW w:w="1985" w:type="dxa"/>
          </w:tcPr>
          <w:p w:rsidR="003707B5" w:rsidRDefault="003707B5" w:rsidP="00D03BD1">
            <w:pPr>
              <w:keepNext/>
              <w:jc w:val="both"/>
              <w:rPr>
                <w:rFonts w:ascii="Arial" w:hAnsi="Arial"/>
                <w:sz w:val="20"/>
              </w:rPr>
            </w:pPr>
          </w:p>
          <w:p w:rsidR="003707B5" w:rsidRDefault="003707B5" w:rsidP="00D03BD1">
            <w:pPr>
              <w:keepNext/>
              <w:jc w:val="both"/>
              <w:rPr>
                <w:rFonts w:ascii="Arial" w:hAnsi="Arial"/>
                <w:sz w:val="20"/>
              </w:rPr>
            </w:pPr>
            <w:r>
              <w:rPr>
                <w:rFonts w:ascii="Arial" w:hAnsi="Arial"/>
                <w:sz w:val="20"/>
              </w:rPr>
              <w:t xml:space="preserve">Axiron </w:t>
            </w:r>
          </w:p>
          <w:p w:rsidR="003707B5" w:rsidRDefault="003707B5" w:rsidP="00D03BD1">
            <w:pPr>
              <w:keepNext/>
              <w:jc w:val="both"/>
              <w:rPr>
                <w:rFonts w:ascii="Arial" w:hAnsi="Arial"/>
                <w:sz w:val="20"/>
              </w:rPr>
            </w:pPr>
          </w:p>
          <w:p w:rsidR="003707B5" w:rsidRDefault="003707B5" w:rsidP="00D03BD1">
            <w:pPr>
              <w:keepNext/>
              <w:jc w:val="both"/>
              <w:rPr>
                <w:rFonts w:ascii="Arial" w:hAnsi="Arial"/>
                <w:sz w:val="20"/>
              </w:rPr>
            </w:pPr>
          </w:p>
          <w:p w:rsidR="003707B5" w:rsidRDefault="003707B5" w:rsidP="00D03BD1">
            <w:pPr>
              <w:keepNext/>
              <w:jc w:val="both"/>
              <w:rPr>
                <w:rFonts w:ascii="Arial" w:hAnsi="Arial"/>
                <w:sz w:val="20"/>
              </w:rPr>
            </w:pPr>
            <w:r>
              <w:rPr>
                <w:rFonts w:ascii="Arial" w:hAnsi="Arial"/>
                <w:sz w:val="20"/>
              </w:rPr>
              <w:t>Androderm</w:t>
            </w:r>
          </w:p>
          <w:p w:rsidR="003707B5" w:rsidRDefault="003707B5" w:rsidP="00D03BD1">
            <w:pPr>
              <w:keepNext/>
              <w:jc w:val="both"/>
              <w:rPr>
                <w:rFonts w:ascii="Arial" w:hAnsi="Arial"/>
                <w:sz w:val="20"/>
              </w:rPr>
            </w:pPr>
          </w:p>
          <w:p w:rsidR="003707B5" w:rsidRDefault="003707B5" w:rsidP="00D03BD1">
            <w:pPr>
              <w:keepNext/>
              <w:jc w:val="both"/>
              <w:rPr>
                <w:rFonts w:ascii="Arial" w:hAnsi="Arial"/>
                <w:sz w:val="20"/>
              </w:rPr>
            </w:pPr>
            <w:r>
              <w:rPr>
                <w:rFonts w:ascii="Arial" w:hAnsi="Arial"/>
                <w:sz w:val="20"/>
              </w:rPr>
              <w:t>Androderm</w:t>
            </w:r>
          </w:p>
          <w:p w:rsidR="003707B5" w:rsidRDefault="003707B5" w:rsidP="00D03BD1">
            <w:pPr>
              <w:keepNext/>
              <w:jc w:val="both"/>
              <w:rPr>
                <w:rFonts w:ascii="Arial" w:hAnsi="Arial"/>
                <w:sz w:val="20"/>
              </w:rPr>
            </w:pPr>
          </w:p>
          <w:p w:rsidR="003707B5" w:rsidRDefault="003707B5" w:rsidP="00D03BD1">
            <w:pPr>
              <w:keepNext/>
              <w:jc w:val="both"/>
              <w:rPr>
                <w:rFonts w:ascii="Arial" w:hAnsi="Arial"/>
                <w:sz w:val="20"/>
              </w:rPr>
            </w:pPr>
            <w:r>
              <w:rPr>
                <w:rFonts w:ascii="Arial" w:hAnsi="Arial"/>
                <w:sz w:val="20"/>
              </w:rPr>
              <w:t>Testogel</w:t>
            </w:r>
          </w:p>
        </w:tc>
        <w:tc>
          <w:tcPr>
            <w:tcW w:w="708" w:type="dxa"/>
          </w:tcPr>
          <w:p w:rsidR="003707B5" w:rsidRDefault="003707B5" w:rsidP="00D03BD1">
            <w:pPr>
              <w:keepNext/>
              <w:jc w:val="both"/>
              <w:rPr>
                <w:rFonts w:ascii="Arial" w:hAnsi="Arial"/>
                <w:sz w:val="20"/>
              </w:rPr>
            </w:pPr>
          </w:p>
          <w:p w:rsidR="003707B5" w:rsidRDefault="003707B5" w:rsidP="00D03BD1">
            <w:pPr>
              <w:keepNext/>
              <w:jc w:val="both"/>
              <w:rPr>
                <w:rFonts w:ascii="Arial" w:hAnsi="Arial"/>
                <w:sz w:val="20"/>
              </w:rPr>
            </w:pPr>
            <w:r>
              <w:rPr>
                <w:rFonts w:ascii="Arial" w:hAnsi="Arial"/>
                <w:sz w:val="20"/>
              </w:rPr>
              <w:t>EL</w:t>
            </w:r>
          </w:p>
          <w:p w:rsidR="003707B5" w:rsidRDefault="003707B5" w:rsidP="00D03BD1">
            <w:pPr>
              <w:keepNext/>
              <w:jc w:val="both"/>
              <w:rPr>
                <w:rFonts w:ascii="Arial" w:hAnsi="Arial"/>
                <w:sz w:val="20"/>
              </w:rPr>
            </w:pPr>
          </w:p>
          <w:p w:rsidR="003707B5" w:rsidRDefault="003707B5" w:rsidP="00D03BD1">
            <w:pPr>
              <w:keepNext/>
              <w:jc w:val="both"/>
              <w:rPr>
                <w:rFonts w:ascii="Arial" w:hAnsi="Arial"/>
                <w:sz w:val="20"/>
              </w:rPr>
            </w:pPr>
          </w:p>
          <w:p w:rsidR="003707B5" w:rsidRDefault="003707B5" w:rsidP="00D03BD1">
            <w:pPr>
              <w:keepNext/>
              <w:jc w:val="both"/>
              <w:rPr>
                <w:rFonts w:ascii="Arial" w:hAnsi="Arial"/>
                <w:sz w:val="20"/>
              </w:rPr>
            </w:pPr>
            <w:r>
              <w:rPr>
                <w:rFonts w:ascii="Arial" w:hAnsi="Arial"/>
                <w:sz w:val="20"/>
              </w:rPr>
              <w:t>GN</w:t>
            </w:r>
          </w:p>
          <w:p w:rsidR="003707B5" w:rsidRDefault="003707B5" w:rsidP="00D03BD1">
            <w:pPr>
              <w:keepNext/>
              <w:jc w:val="both"/>
              <w:rPr>
                <w:rFonts w:ascii="Arial" w:hAnsi="Arial"/>
                <w:sz w:val="20"/>
              </w:rPr>
            </w:pPr>
          </w:p>
          <w:p w:rsidR="003707B5" w:rsidRDefault="003707B5" w:rsidP="00D03BD1">
            <w:pPr>
              <w:keepNext/>
              <w:jc w:val="both"/>
              <w:rPr>
                <w:rFonts w:ascii="Arial" w:hAnsi="Arial"/>
                <w:sz w:val="20"/>
              </w:rPr>
            </w:pPr>
            <w:r>
              <w:rPr>
                <w:rFonts w:ascii="Arial" w:hAnsi="Arial"/>
                <w:sz w:val="20"/>
              </w:rPr>
              <w:t>GN</w:t>
            </w:r>
          </w:p>
          <w:p w:rsidR="003707B5" w:rsidRDefault="003707B5" w:rsidP="00D03BD1">
            <w:pPr>
              <w:keepNext/>
              <w:jc w:val="both"/>
              <w:rPr>
                <w:rFonts w:ascii="Arial" w:hAnsi="Arial"/>
                <w:sz w:val="20"/>
              </w:rPr>
            </w:pPr>
          </w:p>
          <w:p w:rsidR="003707B5" w:rsidRDefault="003707B5" w:rsidP="00D03BD1">
            <w:pPr>
              <w:keepNext/>
              <w:jc w:val="both"/>
              <w:rPr>
                <w:rFonts w:ascii="Arial" w:hAnsi="Arial"/>
                <w:sz w:val="20"/>
              </w:rPr>
            </w:pPr>
            <w:r>
              <w:rPr>
                <w:rFonts w:ascii="Arial" w:hAnsi="Arial"/>
                <w:sz w:val="20"/>
              </w:rPr>
              <w:t>BN</w:t>
            </w:r>
          </w:p>
        </w:tc>
      </w:tr>
      <w:tr w:rsidR="003707B5" w:rsidTr="00B4438D">
        <w:trPr>
          <w:cantSplit/>
          <w:trHeight w:val="577"/>
        </w:trPr>
        <w:tc>
          <w:tcPr>
            <w:tcW w:w="4111" w:type="dxa"/>
            <w:gridSpan w:val="2"/>
          </w:tcPr>
          <w:p w:rsidR="003707B5" w:rsidRDefault="003707B5" w:rsidP="00D03BD1">
            <w:pPr>
              <w:keepNext/>
              <w:ind w:left="-108"/>
              <w:jc w:val="both"/>
              <w:rPr>
                <w:rFonts w:ascii="Arial" w:hAnsi="Arial"/>
                <w:smallCaps/>
                <w:sz w:val="20"/>
                <w:szCs w:val="20"/>
              </w:rPr>
            </w:pPr>
            <w:r>
              <w:rPr>
                <w:rFonts w:ascii="Arial" w:hAnsi="Arial"/>
                <w:smallCaps/>
                <w:sz w:val="20"/>
                <w:szCs w:val="20"/>
              </w:rPr>
              <w:t>TESTOSTERONE ENANTHATE</w:t>
            </w:r>
          </w:p>
          <w:p w:rsidR="003707B5" w:rsidRDefault="003707B5" w:rsidP="00D03BD1">
            <w:pPr>
              <w:keepNext/>
              <w:ind w:left="-108"/>
              <w:jc w:val="both"/>
              <w:rPr>
                <w:rFonts w:ascii="Arial" w:hAnsi="Arial"/>
                <w:sz w:val="20"/>
              </w:rPr>
            </w:pPr>
            <w:r w:rsidRPr="003C39C8">
              <w:rPr>
                <w:rFonts w:ascii="Arial" w:hAnsi="Arial"/>
                <w:sz w:val="20"/>
              </w:rPr>
              <w:t xml:space="preserve">testosterone enanthate 250 mg/mL injection, </w:t>
            </w:r>
          </w:p>
          <w:p w:rsidR="003707B5" w:rsidRDefault="003707B5" w:rsidP="00D03BD1">
            <w:pPr>
              <w:keepNext/>
              <w:ind w:left="-108"/>
              <w:jc w:val="both"/>
              <w:rPr>
                <w:rFonts w:ascii="Arial" w:hAnsi="Arial"/>
                <w:sz w:val="20"/>
              </w:rPr>
            </w:pPr>
            <w:r w:rsidRPr="003C39C8">
              <w:rPr>
                <w:rFonts w:ascii="Arial" w:hAnsi="Arial"/>
                <w:sz w:val="20"/>
              </w:rPr>
              <w:t>3 x 1 mL syringes</w:t>
            </w:r>
          </w:p>
          <w:p w:rsidR="003707B5" w:rsidRPr="000B6940" w:rsidRDefault="003707B5" w:rsidP="00D03BD1">
            <w:pPr>
              <w:keepNext/>
              <w:ind w:left="-108"/>
              <w:jc w:val="both"/>
              <w:rPr>
                <w:rFonts w:ascii="Arial" w:hAnsi="Arial"/>
                <w:smallCaps/>
                <w:sz w:val="20"/>
                <w:szCs w:val="20"/>
              </w:rPr>
            </w:pPr>
          </w:p>
        </w:tc>
        <w:tc>
          <w:tcPr>
            <w:tcW w:w="850" w:type="dxa"/>
          </w:tcPr>
          <w:p w:rsidR="003707B5" w:rsidRDefault="003707B5" w:rsidP="00D03BD1">
            <w:pPr>
              <w:keepNext/>
              <w:ind w:left="-108"/>
              <w:jc w:val="both"/>
              <w:rPr>
                <w:rFonts w:ascii="Arial" w:hAnsi="Arial"/>
                <w:sz w:val="20"/>
              </w:rPr>
            </w:pPr>
          </w:p>
          <w:p w:rsidR="003707B5" w:rsidRDefault="003707B5" w:rsidP="00D03BD1">
            <w:pPr>
              <w:keepNext/>
              <w:ind w:left="-108"/>
              <w:jc w:val="both"/>
              <w:rPr>
                <w:rFonts w:ascii="Arial" w:hAnsi="Arial"/>
                <w:sz w:val="20"/>
              </w:rPr>
            </w:pPr>
            <w:r>
              <w:rPr>
                <w:rFonts w:ascii="Arial" w:hAnsi="Arial"/>
                <w:sz w:val="20"/>
              </w:rPr>
              <w:t>1</w:t>
            </w:r>
          </w:p>
        </w:tc>
        <w:tc>
          <w:tcPr>
            <w:tcW w:w="709" w:type="dxa"/>
          </w:tcPr>
          <w:p w:rsidR="003707B5" w:rsidRDefault="003707B5" w:rsidP="00D03BD1">
            <w:pPr>
              <w:keepNext/>
              <w:ind w:left="-108"/>
              <w:jc w:val="both"/>
              <w:rPr>
                <w:rFonts w:ascii="Arial" w:hAnsi="Arial"/>
                <w:sz w:val="20"/>
              </w:rPr>
            </w:pPr>
          </w:p>
          <w:p w:rsidR="003707B5" w:rsidRDefault="003707B5" w:rsidP="00D03BD1">
            <w:pPr>
              <w:keepNext/>
              <w:ind w:left="-108"/>
              <w:jc w:val="both"/>
              <w:rPr>
                <w:rFonts w:ascii="Arial" w:hAnsi="Arial"/>
                <w:sz w:val="20"/>
              </w:rPr>
            </w:pPr>
            <w:r>
              <w:rPr>
                <w:rFonts w:ascii="Arial" w:hAnsi="Arial"/>
                <w:sz w:val="20"/>
              </w:rPr>
              <w:t>3</w:t>
            </w:r>
          </w:p>
        </w:tc>
        <w:tc>
          <w:tcPr>
            <w:tcW w:w="1985" w:type="dxa"/>
          </w:tcPr>
          <w:p w:rsidR="003707B5" w:rsidRDefault="003707B5" w:rsidP="00D03BD1">
            <w:pPr>
              <w:keepNext/>
              <w:jc w:val="both"/>
              <w:rPr>
                <w:rFonts w:ascii="Arial" w:hAnsi="Arial"/>
                <w:sz w:val="20"/>
              </w:rPr>
            </w:pPr>
          </w:p>
          <w:p w:rsidR="003707B5" w:rsidRDefault="003707B5" w:rsidP="00D03BD1">
            <w:pPr>
              <w:keepNext/>
              <w:jc w:val="both"/>
              <w:rPr>
                <w:rFonts w:ascii="Arial" w:hAnsi="Arial"/>
                <w:sz w:val="20"/>
              </w:rPr>
            </w:pPr>
            <w:r>
              <w:rPr>
                <w:rFonts w:ascii="Arial" w:hAnsi="Arial"/>
                <w:sz w:val="20"/>
              </w:rPr>
              <w:t>Primoteston Depot</w:t>
            </w:r>
          </w:p>
        </w:tc>
        <w:tc>
          <w:tcPr>
            <w:tcW w:w="708" w:type="dxa"/>
          </w:tcPr>
          <w:p w:rsidR="003707B5" w:rsidRDefault="003707B5" w:rsidP="00D03BD1">
            <w:pPr>
              <w:keepNext/>
              <w:jc w:val="both"/>
              <w:rPr>
                <w:rFonts w:ascii="Arial" w:hAnsi="Arial"/>
                <w:sz w:val="20"/>
              </w:rPr>
            </w:pPr>
          </w:p>
          <w:p w:rsidR="003707B5" w:rsidRDefault="003707B5" w:rsidP="00D03BD1">
            <w:pPr>
              <w:keepNext/>
              <w:jc w:val="both"/>
              <w:rPr>
                <w:rFonts w:ascii="Arial" w:hAnsi="Arial"/>
                <w:sz w:val="20"/>
              </w:rPr>
            </w:pPr>
            <w:r>
              <w:rPr>
                <w:rFonts w:ascii="Arial" w:hAnsi="Arial"/>
                <w:sz w:val="20"/>
              </w:rPr>
              <w:t>BN</w:t>
            </w:r>
          </w:p>
        </w:tc>
      </w:tr>
      <w:tr w:rsidR="003707B5" w:rsidTr="00B4438D">
        <w:trPr>
          <w:cantSplit/>
          <w:trHeight w:val="577"/>
        </w:trPr>
        <w:tc>
          <w:tcPr>
            <w:tcW w:w="4111" w:type="dxa"/>
            <w:gridSpan w:val="2"/>
          </w:tcPr>
          <w:p w:rsidR="003707B5" w:rsidRDefault="003707B5" w:rsidP="00D03BD1">
            <w:pPr>
              <w:keepNext/>
              <w:ind w:left="-108"/>
              <w:jc w:val="both"/>
              <w:rPr>
                <w:rFonts w:ascii="Arial" w:hAnsi="Arial"/>
                <w:smallCaps/>
                <w:sz w:val="20"/>
                <w:szCs w:val="20"/>
              </w:rPr>
            </w:pPr>
            <w:r>
              <w:rPr>
                <w:rFonts w:ascii="Arial" w:hAnsi="Arial"/>
                <w:smallCaps/>
                <w:sz w:val="20"/>
                <w:szCs w:val="20"/>
              </w:rPr>
              <w:t>TESTOSTERONE UNDECANOATE</w:t>
            </w:r>
          </w:p>
          <w:p w:rsidR="003707B5" w:rsidRDefault="003707B5" w:rsidP="00D03BD1">
            <w:pPr>
              <w:keepNext/>
              <w:ind w:left="-108"/>
              <w:jc w:val="both"/>
              <w:rPr>
                <w:rFonts w:ascii="Arial" w:hAnsi="Arial"/>
                <w:sz w:val="20"/>
              </w:rPr>
            </w:pPr>
            <w:r w:rsidRPr="003C39C8">
              <w:rPr>
                <w:rFonts w:ascii="Arial" w:hAnsi="Arial"/>
                <w:sz w:val="20"/>
              </w:rPr>
              <w:t>testosterone</w:t>
            </w:r>
            <w:r w:rsidRPr="00BE1B29">
              <w:rPr>
                <w:rFonts w:ascii="Arial" w:hAnsi="Arial"/>
                <w:sz w:val="20"/>
              </w:rPr>
              <w:t xml:space="preserve"> undecanoate 40 mg capsule, 60</w:t>
            </w:r>
          </w:p>
          <w:p w:rsidR="003707B5" w:rsidRDefault="003707B5" w:rsidP="00D03BD1">
            <w:pPr>
              <w:keepNext/>
              <w:ind w:left="-108"/>
              <w:jc w:val="both"/>
              <w:rPr>
                <w:rFonts w:ascii="Arial" w:hAnsi="Arial"/>
                <w:sz w:val="20"/>
              </w:rPr>
            </w:pPr>
          </w:p>
          <w:p w:rsidR="003707B5" w:rsidRDefault="003707B5" w:rsidP="00D03BD1">
            <w:pPr>
              <w:keepNext/>
              <w:ind w:left="-108"/>
              <w:jc w:val="both"/>
              <w:rPr>
                <w:rFonts w:ascii="Arial" w:hAnsi="Arial"/>
                <w:sz w:val="20"/>
              </w:rPr>
            </w:pPr>
            <w:r w:rsidRPr="00BE1B29">
              <w:rPr>
                <w:rFonts w:ascii="Arial" w:hAnsi="Arial"/>
                <w:sz w:val="20"/>
              </w:rPr>
              <w:t xml:space="preserve">testosterone undecanoate 1 g/4 mL injection, </w:t>
            </w:r>
          </w:p>
          <w:p w:rsidR="003707B5" w:rsidRDefault="003707B5" w:rsidP="00D03BD1">
            <w:pPr>
              <w:keepNext/>
              <w:ind w:left="-108"/>
              <w:jc w:val="both"/>
              <w:rPr>
                <w:rFonts w:ascii="Arial" w:hAnsi="Arial"/>
                <w:sz w:val="20"/>
              </w:rPr>
            </w:pPr>
            <w:r w:rsidRPr="00BE1B29">
              <w:rPr>
                <w:rFonts w:ascii="Arial" w:hAnsi="Arial"/>
                <w:sz w:val="20"/>
              </w:rPr>
              <w:t>1 x 4</w:t>
            </w:r>
            <w:r>
              <w:rPr>
                <w:rFonts w:ascii="Arial" w:hAnsi="Arial"/>
                <w:sz w:val="20"/>
              </w:rPr>
              <w:t> </w:t>
            </w:r>
            <w:r w:rsidRPr="00BE1B29">
              <w:rPr>
                <w:rFonts w:ascii="Arial" w:hAnsi="Arial"/>
                <w:sz w:val="20"/>
              </w:rPr>
              <w:t>mL ampoule</w:t>
            </w:r>
          </w:p>
          <w:p w:rsidR="003707B5" w:rsidRPr="000B6940" w:rsidRDefault="003707B5" w:rsidP="00D03BD1">
            <w:pPr>
              <w:keepNext/>
              <w:jc w:val="both"/>
              <w:rPr>
                <w:rFonts w:ascii="Arial" w:hAnsi="Arial"/>
                <w:smallCaps/>
                <w:sz w:val="20"/>
                <w:szCs w:val="20"/>
              </w:rPr>
            </w:pPr>
          </w:p>
        </w:tc>
        <w:tc>
          <w:tcPr>
            <w:tcW w:w="850" w:type="dxa"/>
          </w:tcPr>
          <w:p w:rsidR="003707B5" w:rsidRDefault="003707B5" w:rsidP="00D03BD1">
            <w:pPr>
              <w:keepNext/>
              <w:ind w:left="-108"/>
              <w:jc w:val="both"/>
              <w:rPr>
                <w:rFonts w:ascii="Arial" w:hAnsi="Arial"/>
                <w:sz w:val="20"/>
              </w:rPr>
            </w:pPr>
          </w:p>
          <w:p w:rsidR="003707B5" w:rsidRDefault="003707B5" w:rsidP="00D03BD1">
            <w:pPr>
              <w:keepNext/>
              <w:ind w:left="-108"/>
              <w:jc w:val="both"/>
              <w:rPr>
                <w:rFonts w:ascii="Arial" w:hAnsi="Arial"/>
                <w:sz w:val="20"/>
              </w:rPr>
            </w:pPr>
            <w:r>
              <w:rPr>
                <w:rFonts w:ascii="Arial" w:hAnsi="Arial"/>
                <w:sz w:val="20"/>
              </w:rPr>
              <w:t>1</w:t>
            </w:r>
          </w:p>
          <w:p w:rsidR="003707B5" w:rsidRDefault="003707B5" w:rsidP="00D03BD1">
            <w:pPr>
              <w:keepNext/>
              <w:ind w:left="-108"/>
              <w:jc w:val="both"/>
              <w:rPr>
                <w:rFonts w:ascii="Arial" w:hAnsi="Arial"/>
                <w:sz w:val="20"/>
              </w:rPr>
            </w:pPr>
          </w:p>
          <w:p w:rsidR="003707B5" w:rsidRDefault="003707B5" w:rsidP="00D03BD1">
            <w:pPr>
              <w:keepNext/>
              <w:ind w:left="-108"/>
              <w:jc w:val="both"/>
              <w:rPr>
                <w:rFonts w:ascii="Arial" w:hAnsi="Arial"/>
                <w:sz w:val="20"/>
              </w:rPr>
            </w:pPr>
            <w:r>
              <w:rPr>
                <w:rFonts w:ascii="Arial" w:hAnsi="Arial"/>
                <w:sz w:val="20"/>
              </w:rPr>
              <w:t>1</w:t>
            </w:r>
          </w:p>
        </w:tc>
        <w:tc>
          <w:tcPr>
            <w:tcW w:w="709" w:type="dxa"/>
          </w:tcPr>
          <w:p w:rsidR="003707B5" w:rsidRDefault="003707B5" w:rsidP="00D03BD1">
            <w:pPr>
              <w:keepNext/>
              <w:ind w:left="-108"/>
              <w:jc w:val="both"/>
              <w:rPr>
                <w:rFonts w:ascii="Arial" w:hAnsi="Arial"/>
                <w:sz w:val="20"/>
              </w:rPr>
            </w:pPr>
          </w:p>
          <w:p w:rsidR="003707B5" w:rsidRDefault="003707B5" w:rsidP="00D03BD1">
            <w:pPr>
              <w:keepNext/>
              <w:ind w:left="-108"/>
              <w:jc w:val="both"/>
              <w:rPr>
                <w:rFonts w:ascii="Arial" w:hAnsi="Arial"/>
                <w:sz w:val="20"/>
              </w:rPr>
            </w:pPr>
            <w:r>
              <w:rPr>
                <w:rFonts w:ascii="Arial" w:hAnsi="Arial"/>
                <w:sz w:val="20"/>
              </w:rPr>
              <w:t>5</w:t>
            </w:r>
          </w:p>
          <w:p w:rsidR="003707B5" w:rsidRDefault="003707B5" w:rsidP="00D03BD1">
            <w:pPr>
              <w:keepNext/>
              <w:ind w:left="-108"/>
              <w:jc w:val="both"/>
              <w:rPr>
                <w:rFonts w:ascii="Arial" w:hAnsi="Arial"/>
                <w:sz w:val="20"/>
              </w:rPr>
            </w:pPr>
          </w:p>
          <w:p w:rsidR="003707B5" w:rsidRDefault="003707B5" w:rsidP="00D03BD1">
            <w:pPr>
              <w:keepNext/>
              <w:ind w:left="-108"/>
              <w:jc w:val="both"/>
              <w:rPr>
                <w:rFonts w:ascii="Arial" w:hAnsi="Arial"/>
                <w:sz w:val="20"/>
              </w:rPr>
            </w:pPr>
            <w:r>
              <w:rPr>
                <w:rFonts w:ascii="Arial" w:hAnsi="Arial"/>
                <w:sz w:val="20"/>
              </w:rPr>
              <w:t>1</w:t>
            </w:r>
          </w:p>
        </w:tc>
        <w:tc>
          <w:tcPr>
            <w:tcW w:w="1985" w:type="dxa"/>
          </w:tcPr>
          <w:p w:rsidR="003707B5" w:rsidRDefault="003707B5" w:rsidP="00D03BD1">
            <w:pPr>
              <w:keepNext/>
              <w:jc w:val="both"/>
              <w:rPr>
                <w:rFonts w:ascii="Arial" w:hAnsi="Arial"/>
                <w:sz w:val="20"/>
              </w:rPr>
            </w:pPr>
          </w:p>
          <w:p w:rsidR="003707B5" w:rsidRDefault="003707B5" w:rsidP="00D03BD1">
            <w:pPr>
              <w:keepNext/>
              <w:jc w:val="both"/>
              <w:rPr>
                <w:rFonts w:ascii="Arial" w:hAnsi="Arial"/>
                <w:sz w:val="20"/>
              </w:rPr>
            </w:pPr>
            <w:r>
              <w:rPr>
                <w:rFonts w:ascii="Arial" w:hAnsi="Arial"/>
                <w:sz w:val="20"/>
              </w:rPr>
              <w:t>Andriol Testocaps</w:t>
            </w:r>
          </w:p>
          <w:p w:rsidR="003707B5" w:rsidRDefault="003707B5" w:rsidP="00D03BD1">
            <w:pPr>
              <w:keepNext/>
              <w:jc w:val="both"/>
              <w:rPr>
                <w:rFonts w:ascii="Arial" w:hAnsi="Arial"/>
                <w:sz w:val="20"/>
              </w:rPr>
            </w:pPr>
          </w:p>
          <w:p w:rsidR="003707B5" w:rsidRDefault="003707B5" w:rsidP="00D03BD1">
            <w:pPr>
              <w:keepNext/>
              <w:jc w:val="both"/>
              <w:rPr>
                <w:rFonts w:ascii="Arial" w:hAnsi="Arial"/>
                <w:sz w:val="20"/>
              </w:rPr>
            </w:pPr>
            <w:r>
              <w:rPr>
                <w:rFonts w:ascii="Arial" w:hAnsi="Arial"/>
                <w:sz w:val="20"/>
              </w:rPr>
              <w:t>Reandron</w:t>
            </w:r>
          </w:p>
        </w:tc>
        <w:tc>
          <w:tcPr>
            <w:tcW w:w="708" w:type="dxa"/>
          </w:tcPr>
          <w:p w:rsidR="003707B5" w:rsidRDefault="003707B5" w:rsidP="00D03BD1">
            <w:pPr>
              <w:keepNext/>
              <w:jc w:val="both"/>
              <w:rPr>
                <w:rFonts w:ascii="Arial" w:hAnsi="Arial"/>
                <w:sz w:val="20"/>
              </w:rPr>
            </w:pPr>
          </w:p>
          <w:p w:rsidR="003707B5" w:rsidRDefault="003707B5" w:rsidP="00D03BD1">
            <w:pPr>
              <w:keepNext/>
              <w:jc w:val="both"/>
              <w:rPr>
                <w:rFonts w:ascii="Arial" w:hAnsi="Arial"/>
                <w:sz w:val="20"/>
              </w:rPr>
            </w:pPr>
            <w:r>
              <w:rPr>
                <w:rFonts w:ascii="Arial" w:hAnsi="Arial"/>
                <w:sz w:val="20"/>
              </w:rPr>
              <w:t>MK</w:t>
            </w:r>
          </w:p>
          <w:p w:rsidR="003707B5" w:rsidRDefault="003707B5" w:rsidP="00D03BD1">
            <w:pPr>
              <w:keepNext/>
              <w:jc w:val="both"/>
              <w:rPr>
                <w:rFonts w:ascii="Arial" w:hAnsi="Arial"/>
                <w:sz w:val="20"/>
              </w:rPr>
            </w:pPr>
          </w:p>
          <w:p w:rsidR="003707B5" w:rsidRDefault="003707B5" w:rsidP="00D03BD1">
            <w:pPr>
              <w:keepNext/>
              <w:jc w:val="both"/>
              <w:rPr>
                <w:rFonts w:ascii="Arial" w:hAnsi="Arial"/>
                <w:sz w:val="20"/>
              </w:rPr>
            </w:pPr>
            <w:r>
              <w:rPr>
                <w:rFonts w:ascii="Arial" w:hAnsi="Arial"/>
                <w:sz w:val="20"/>
              </w:rPr>
              <w:t>BN</w:t>
            </w:r>
          </w:p>
        </w:tc>
      </w:tr>
      <w:tr w:rsidR="003707B5" w:rsidTr="00B4438D">
        <w:trPr>
          <w:cantSplit/>
          <w:trHeight w:val="360"/>
        </w:trPr>
        <w:tc>
          <w:tcPr>
            <w:tcW w:w="8363" w:type="dxa"/>
            <w:gridSpan w:val="6"/>
            <w:tcBorders>
              <w:top w:val="single" w:sz="4" w:space="0" w:color="auto"/>
              <w:left w:val="single" w:sz="4" w:space="0" w:color="auto"/>
              <w:bottom w:val="single" w:sz="4" w:space="0" w:color="auto"/>
              <w:right w:val="single" w:sz="4" w:space="0" w:color="auto"/>
            </w:tcBorders>
          </w:tcPr>
          <w:p w:rsidR="003707B5" w:rsidRDefault="003707B5" w:rsidP="00D03BD1">
            <w:pPr>
              <w:rPr>
                <w:rFonts w:ascii="Arial" w:hAnsi="Arial"/>
                <w:b/>
                <w:i/>
              </w:rPr>
            </w:pPr>
            <w:r w:rsidRPr="00BE1B29">
              <w:rPr>
                <w:rFonts w:ascii="Arial" w:hAnsi="Arial"/>
                <w:b/>
                <w:i/>
              </w:rPr>
              <w:t>RESTRICTION 1</w:t>
            </w:r>
            <w:r>
              <w:rPr>
                <w:rFonts w:ascii="Arial" w:hAnsi="Arial"/>
                <w:b/>
                <w:i/>
              </w:rPr>
              <w:t xml:space="preserve"> </w:t>
            </w:r>
          </w:p>
          <w:p w:rsidR="003707B5" w:rsidRPr="00BE1B29" w:rsidRDefault="003707B5" w:rsidP="00D03BD1">
            <w:pPr>
              <w:rPr>
                <w:rFonts w:ascii="Arial" w:hAnsi="Arial"/>
                <w:b/>
                <w:i/>
                <w:sz w:val="20"/>
              </w:rPr>
            </w:pPr>
          </w:p>
        </w:tc>
      </w:tr>
      <w:tr w:rsidR="003707B5" w:rsidTr="00B4438D">
        <w:trPr>
          <w:cantSplit/>
          <w:trHeight w:val="360"/>
        </w:trPr>
        <w:tc>
          <w:tcPr>
            <w:tcW w:w="1985" w:type="dxa"/>
            <w:tcBorders>
              <w:top w:val="single" w:sz="4" w:space="0" w:color="auto"/>
              <w:left w:val="single" w:sz="4" w:space="0" w:color="auto"/>
              <w:bottom w:val="single" w:sz="4" w:space="0" w:color="auto"/>
              <w:right w:val="single" w:sz="4" w:space="0" w:color="auto"/>
            </w:tcBorders>
          </w:tcPr>
          <w:p w:rsidR="003707B5" w:rsidRPr="00D53380" w:rsidRDefault="003707B5" w:rsidP="00D03BD1">
            <w:pPr>
              <w:jc w:val="both"/>
              <w:rPr>
                <w:rFonts w:ascii="Arial" w:hAnsi="Arial" w:cs="Arial"/>
                <w:b/>
                <w:sz w:val="20"/>
                <w:szCs w:val="20"/>
              </w:rPr>
            </w:pPr>
            <w:r>
              <w:rPr>
                <w:rFonts w:ascii="Arial" w:hAnsi="Arial" w:cs="Arial"/>
                <w:b/>
                <w:sz w:val="20"/>
                <w:szCs w:val="20"/>
              </w:rPr>
              <w:t>Condition</w:t>
            </w:r>
            <w:r w:rsidRPr="00D53380">
              <w:rPr>
                <w:rFonts w:ascii="Arial" w:hAnsi="Arial" w:cs="Arial"/>
                <w:b/>
                <w:sz w:val="20"/>
                <w:szCs w:val="20"/>
              </w:rPr>
              <w:t>:</w:t>
            </w:r>
          </w:p>
        </w:tc>
        <w:tc>
          <w:tcPr>
            <w:tcW w:w="6378" w:type="dxa"/>
            <w:gridSpan w:val="5"/>
            <w:tcBorders>
              <w:top w:val="single" w:sz="4" w:space="0" w:color="auto"/>
              <w:left w:val="single" w:sz="4" w:space="0" w:color="auto"/>
              <w:bottom w:val="single" w:sz="4" w:space="0" w:color="auto"/>
              <w:right w:val="single" w:sz="4" w:space="0" w:color="auto"/>
            </w:tcBorders>
          </w:tcPr>
          <w:p w:rsidR="003707B5" w:rsidRDefault="003707B5" w:rsidP="00D03BD1">
            <w:pPr>
              <w:rPr>
                <w:rFonts w:ascii="Arial" w:hAnsi="Arial"/>
                <w:sz w:val="20"/>
              </w:rPr>
            </w:pPr>
            <w:r>
              <w:rPr>
                <w:rFonts w:ascii="Arial" w:hAnsi="Arial"/>
                <w:sz w:val="20"/>
              </w:rPr>
              <w:t>Androgen deficiency</w:t>
            </w:r>
          </w:p>
        </w:tc>
      </w:tr>
      <w:tr w:rsidR="003707B5" w:rsidTr="00B4438D">
        <w:trPr>
          <w:cantSplit/>
          <w:trHeight w:val="360"/>
        </w:trPr>
        <w:tc>
          <w:tcPr>
            <w:tcW w:w="1985" w:type="dxa"/>
            <w:tcBorders>
              <w:top w:val="single" w:sz="4" w:space="0" w:color="auto"/>
              <w:left w:val="single" w:sz="4" w:space="0" w:color="auto"/>
              <w:bottom w:val="single" w:sz="4" w:space="0" w:color="auto"/>
              <w:right w:val="single" w:sz="4" w:space="0" w:color="auto"/>
            </w:tcBorders>
          </w:tcPr>
          <w:p w:rsidR="003707B5" w:rsidRDefault="003707B5" w:rsidP="00D03BD1">
            <w:pPr>
              <w:jc w:val="both"/>
              <w:rPr>
                <w:rFonts w:ascii="Arial" w:hAnsi="Arial" w:cs="Arial"/>
                <w:b/>
                <w:sz w:val="20"/>
                <w:szCs w:val="20"/>
              </w:rPr>
            </w:pPr>
            <w:r>
              <w:rPr>
                <w:rFonts w:ascii="Arial" w:hAnsi="Arial" w:cs="Arial"/>
                <w:b/>
                <w:sz w:val="20"/>
                <w:szCs w:val="20"/>
              </w:rPr>
              <w:t>Restriction:</w:t>
            </w:r>
          </w:p>
          <w:p w:rsidR="003707B5" w:rsidRPr="00D53380" w:rsidRDefault="003707B5" w:rsidP="00D03BD1">
            <w:pPr>
              <w:rPr>
                <w:rFonts w:ascii="Arial" w:hAnsi="Arial"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3707B5" w:rsidRDefault="003707B5" w:rsidP="00D03BD1">
            <w:pPr>
              <w:rPr>
                <w:rFonts w:ascii="Arial" w:hAnsi="Arial"/>
                <w:sz w:val="20"/>
              </w:rPr>
            </w:pPr>
            <w:r>
              <w:rPr>
                <w:rFonts w:ascii="Arial" w:hAnsi="Arial"/>
                <w:sz w:val="20"/>
              </w:rPr>
              <w:t>Authority required</w:t>
            </w:r>
          </w:p>
        </w:tc>
      </w:tr>
      <w:tr w:rsidR="003707B5" w:rsidTr="00B4438D">
        <w:trPr>
          <w:cantSplit/>
          <w:trHeight w:val="360"/>
        </w:trPr>
        <w:tc>
          <w:tcPr>
            <w:tcW w:w="1985" w:type="dxa"/>
            <w:tcBorders>
              <w:top w:val="single" w:sz="4" w:space="0" w:color="auto"/>
              <w:left w:val="single" w:sz="4" w:space="0" w:color="auto"/>
              <w:bottom w:val="single" w:sz="4" w:space="0" w:color="auto"/>
              <w:right w:val="single" w:sz="4" w:space="0" w:color="auto"/>
            </w:tcBorders>
          </w:tcPr>
          <w:p w:rsidR="003707B5" w:rsidRPr="00C31A26" w:rsidRDefault="003707B5" w:rsidP="00D03BD1">
            <w:pPr>
              <w:rPr>
                <w:rFonts w:ascii="Arial" w:hAnsi="Arial" w:cs="Arial"/>
                <w:b/>
                <w:sz w:val="20"/>
                <w:szCs w:val="20"/>
              </w:rPr>
            </w:pPr>
            <w:r w:rsidRPr="00C31A26">
              <w:rPr>
                <w:rFonts w:ascii="Arial" w:hAnsi="Arial" w:cs="Arial"/>
                <w:b/>
                <w:sz w:val="20"/>
                <w:szCs w:val="20"/>
              </w:rPr>
              <w:t>Treatment criteria:</w:t>
            </w:r>
          </w:p>
          <w:p w:rsidR="003707B5" w:rsidRPr="00C31A26" w:rsidRDefault="003707B5" w:rsidP="00D03BD1">
            <w:pPr>
              <w:rPr>
                <w:rFonts w:ascii="Arial" w:hAnsi="Arial"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3707B5" w:rsidRDefault="003707B5" w:rsidP="00D03BD1">
            <w:pPr>
              <w:rPr>
                <w:rFonts w:ascii="Arial" w:hAnsi="Arial" w:cs="Arial"/>
                <w:sz w:val="20"/>
                <w:szCs w:val="20"/>
              </w:rPr>
            </w:pPr>
            <w:r>
              <w:rPr>
                <w:rFonts w:ascii="Arial" w:hAnsi="Arial" w:cs="Arial"/>
                <w:sz w:val="20"/>
                <w:szCs w:val="20"/>
              </w:rPr>
              <w:t>Must be treated by or in consultation with a specialist paediatric endocrinologist, specialist urologist, specialist endocrinologist or a registered member of the Australasian Chapter of Sexual Health Medicine or have an appointment to be assessed by one of these specialists.</w:t>
            </w:r>
          </w:p>
          <w:p w:rsidR="003707B5" w:rsidRPr="00C31A26" w:rsidRDefault="003707B5" w:rsidP="00D03BD1">
            <w:pPr>
              <w:rPr>
                <w:rFonts w:ascii="Arial" w:hAnsi="Arial" w:cs="Arial"/>
                <w:sz w:val="20"/>
                <w:szCs w:val="20"/>
              </w:rPr>
            </w:pPr>
          </w:p>
        </w:tc>
      </w:tr>
      <w:tr w:rsidR="003707B5" w:rsidTr="00B4438D">
        <w:trPr>
          <w:cantSplit/>
          <w:trHeight w:val="360"/>
        </w:trPr>
        <w:tc>
          <w:tcPr>
            <w:tcW w:w="1985" w:type="dxa"/>
            <w:tcBorders>
              <w:top w:val="single" w:sz="4" w:space="0" w:color="auto"/>
              <w:left w:val="single" w:sz="4" w:space="0" w:color="auto"/>
              <w:bottom w:val="single" w:sz="4" w:space="0" w:color="auto"/>
              <w:right w:val="single" w:sz="4" w:space="0" w:color="auto"/>
            </w:tcBorders>
          </w:tcPr>
          <w:p w:rsidR="003707B5" w:rsidRPr="00C31A26" w:rsidRDefault="003707B5" w:rsidP="00D03BD1">
            <w:pPr>
              <w:jc w:val="both"/>
              <w:rPr>
                <w:rFonts w:ascii="Arial" w:hAnsi="Arial" w:cs="Arial"/>
                <w:b/>
                <w:sz w:val="20"/>
                <w:szCs w:val="20"/>
              </w:rPr>
            </w:pPr>
            <w:r w:rsidRPr="00C31A26">
              <w:rPr>
                <w:rFonts w:ascii="Arial" w:hAnsi="Arial" w:cs="Arial"/>
                <w:b/>
                <w:sz w:val="20"/>
                <w:szCs w:val="20"/>
              </w:rPr>
              <w:t>Clinical criteria:</w:t>
            </w:r>
          </w:p>
          <w:p w:rsidR="003707B5" w:rsidRDefault="003707B5" w:rsidP="00D03BD1">
            <w:pPr>
              <w:jc w:val="both"/>
              <w:rPr>
                <w:rFonts w:ascii="Arial" w:hAnsi="Arial"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3707B5" w:rsidRDefault="003707B5" w:rsidP="00D03BD1">
            <w:pPr>
              <w:rPr>
                <w:rFonts w:ascii="Arial" w:hAnsi="Arial"/>
                <w:sz w:val="20"/>
              </w:rPr>
            </w:pPr>
            <w:r>
              <w:rPr>
                <w:rFonts w:ascii="Arial" w:hAnsi="Arial"/>
                <w:sz w:val="20"/>
              </w:rPr>
              <w:t>Patient must have an established pituitary or testicular disorder</w:t>
            </w:r>
          </w:p>
          <w:p w:rsidR="003707B5" w:rsidRDefault="003707B5" w:rsidP="00D03BD1">
            <w:pPr>
              <w:jc w:val="both"/>
              <w:rPr>
                <w:rFonts w:ascii="Arial" w:hAnsi="Arial" w:cs="Arial"/>
                <w:sz w:val="20"/>
                <w:szCs w:val="20"/>
              </w:rPr>
            </w:pPr>
          </w:p>
        </w:tc>
      </w:tr>
      <w:tr w:rsidR="003707B5" w:rsidTr="00B4438D">
        <w:trPr>
          <w:cantSplit/>
          <w:trHeight w:val="360"/>
        </w:trPr>
        <w:tc>
          <w:tcPr>
            <w:tcW w:w="1985" w:type="dxa"/>
            <w:tcBorders>
              <w:top w:val="single" w:sz="4" w:space="0" w:color="auto"/>
              <w:left w:val="single" w:sz="4" w:space="0" w:color="auto"/>
              <w:bottom w:val="single" w:sz="4" w:space="0" w:color="auto"/>
              <w:right w:val="single" w:sz="4" w:space="0" w:color="auto"/>
            </w:tcBorders>
          </w:tcPr>
          <w:p w:rsidR="003707B5" w:rsidRPr="00C31A26" w:rsidRDefault="003707B5" w:rsidP="00D03BD1">
            <w:pPr>
              <w:jc w:val="both"/>
              <w:rPr>
                <w:rFonts w:ascii="Arial" w:hAnsi="Arial" w:cs="Arial"/>
                <w:b/>
                <w:sz w:val="20"/>
                <w:szCs w:val="20"/>
              </w:rPr>
            </w:pPr>
            <w:r w:rsidRPr="00C31A26">
              <w:rPr>
                <w:rFonts w:ascii="Arial" w:hAnsi="Arial" w:cs="Arial"/>
                <w:b/>
                <w:sz w:val="20"/>
                <w:szCs w:val="20"/>
              </w:rPr>
              <w:t>Population criteria:</w:t>
            </w:r>
          </w:p>
          <w:p w:rsidR="003707B5" w:rsidRDefault="003707B5" w:rsidP="00D03BD1">
            <w:pPr>
              <w:rPr>
                <w:rFonts w:ascii="Arial" w:hAnsi="Arial"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3707B5" w:rsidRDefault="003707B5" w:rsidP="00D03BD1">
            <w:pPr>
              <w:rPr>
                <w:rFonts w:ascii="Arial" w:hAnsi="Arial" w:cs="Arial"/>
                <w:sz w:val="20"/>
                <w:szCs w:val="20"/>
              </w:rPr>
            </w:pPr>
            <w:r>
              <w:rPr>
                <w:rFonts w:ascii="Arial" w:hAnsi="Arial" w:cs="Arial"/>
                <w:sz w:val="20"/>
                <w:szCs w:val="20"/>
              </w:rPr>
              <w:t>Patient must be male</w:t>
            </w:r>
          </w:p>
          <w:p w:rsidR="003707B5" w:rsidRDefault="003707B5" w:rsidP="00D03BD1">
            <w:pPr>
              <w:jc w:val="both"/>
              <w:rPr>
                <w:rFonts w:ascii="Arial" w:hAnsi="Arial" w:cs="Arial"/>
                <w:sz w:val="20"/>
                <w:szCs w:val="20"/>
              </w:rPr>
            </w:pPr>
          </w:p>
        </w:tc>
      </w:tr>
      <w:tr w:rsidR="003707B5" w:rsidTr="00B4438D">
        <w:trPr>
          <w:cantSplit/>
          <w:trHeight w:val="360"/>
        </w:trPr>
        <w:tc>
          <w:tcPr>
            <w:tcW w:w="1985" w:type="dxa"/>
            <w:tcBorders>
              <w:top w:val="single" w:sz="4" w:space="0" w:color="auto"/>
              <w:left w:val="single" w:sz="4" w:space="0" w:color="auto"/>
              <w:bottom w:val="single" w:sz="4" w:space="0" w:color="auto"/>
              <w:right w:val="single" w:sz="4" w:space="0" w:color="auto"/>
            </w:tcBorders>
          </w:tcPr>
          <w:p w:rsidR="003707B5" w:rsidRPr="003169A6" w:rsidRDefault="003707B5" w:rsidP="00D03BD1">
            <w:pPr>
              <w:jc w:val="both"/>
              <w:rPr>
                <w:rFonts w:ascii="Arial" w:hAnsi="Arial" w:cs="Arial"/>
                <w:b/>
                <w:sz w:val="20"/>
                <w:szCs w:val="20"/>
              </w:rPr>
            </w:pPr>
            <w:r w:rsidRPr="003169A6">
              <w:rPr>
                <w:rFonts w:ascii="Arial" w:hAnsi="Arial" w:cs="Arial"/>
                <w:b/>
                <w:sz w:val="20"/>
                <w:szCs w:val="20"/>
              </w:rPr>
              <w:t>Administrative Advice</w:t>
            </w:r>
          </w:p>
          <w:p w:rsidR="003707B5" w:rsidRPr="00C31A26" w:rsidRDefault="003707B5" w:rsidP="00D03BD1">
            <w:pPr>
              <w:jc w:val="both"/>
              <w:rPr>
                <w:rFonts w:ascii="Arial" w:hAnsi="Arial" w:cs="Arial"/>
                <w:i/>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3707B5" w:rsidRDefault="003707B5" w:rsidP="00D03BD1">
            <w:pPr>
              <w:rPr>
                <w:rFonts w:ascii="Arial" w:hAnsi="Arial" w:cs="Arial"/>
                <w:sz w:val="20"/>
                <w:szCs w:val="20"/>
              </w:rPr>
            </w:pPr>
            <w:r>
              <w:rPr>
                <w:rFonts w:ascii="Arial" w:hAnsi="Arial" w:cs="Arial"/>
                <w:sz w:val="20"/>
                <w:szCs w:val="20"/>
              </w:rPr>
              <w:t>The name of the specialist must be included in the authority application</w:t>
            </w:r>
          </w:p>
        </w:tc>
      </w:tr>
    </w:tbl>
    <w:p w:rsidR="003707B5" w:rsidRDefault="003707B5" w:rsidP="003707B5">
      <w:pPr>
        <w:jc w:val="both"/>
        <w:rPr>
          <w:rFonts w:ascii="Arial" w:hAnsi="Arial" w:cs="Arial"/>
          <w:b/>
        </w:rPr>
      </w:pPr>
    </w:p>
    <w:p w:rsidR="00B4438D" w:rsidRDefault="00B4438D" w:rsidP="003707B5">
      <w:pPr>
        <w:jc w:val="both"/>
        <w:rPr>
          <w:rFonts w:ascii="Arial" w:hAnsi="Arial" w:cs="Arial"/>
          <w:b/>
        </w:rPr>
      </w:pPr>
    </w:p>
    <w:tbl>
      <w:tblPr>
        <w:tblW w:w="8363" w:type="dxa"/>
        <w:tblInd w:w="817" w:type="dxa"/>
        <w:tblLayout w:type="fixed"/>
        <w:tblLook w:val="0000" w:firstRow="0" w:lastRow="0" w:firstColumn="0" w:lastColumn="0" w:noHBand="0" w:noVBand="0"/>
      </w:tblPr>
      <w:tblGrid>
        <w:gridCol w:w="1985"/>
        <w:gridCol w:w="6378"/>
      </w:tblGrid>
      <w:tr w:rsidR="003707B5" w:rsidTr="00B4438D">
        <w:trPr>
          <w:cantSplit/>
          <w:trHeight w:val="360"/>
        </w:trPr>
        <w:tc>
          <w:tcPr>
            <w:tcW w:w="8363" w:type="dxa"/>
            <w:gridSpan w:val="2"/>
            <w:tcBorders>
              <w:top w:val="single" w:sz="4" w:space="0" w:color="auto"/>
              <w:left w:val="single" w:sz="4" w:space="0" w:color="auto"/>
              <w:bottom w:val="single" w:sz="4" w:space="0" w:color="auto"/>
              <w:right w:val="single" w:sz="4" w:space="0" w:color="auto"/>
            </w:tcBorders>
          </w:tcPr>
          <w:p w:rsidR="003707B5" w:rsidRDefault="003707B5" w:rsidP="00D03BD1">
            <w:pPr>
              <w:rPr>
                <w:rFonts w:ascii="Arial" w:hAnsi="Arial"/>
                <w:b/>
                <w:i/>
              </w:rPr>
            </w:pPr>
            <w:r>
              <w:rPr>
                <w:rFonts w:ascii="Arial" w:hAnsi="Arial"/>
                <w:b/>
                <w:i/>
              </w:rPr>
              <w:t>RESTRICTION 2</w:t>
            </w:r>
          </w:p>
          <w:p w:rsidR="003707B5" w:rsidRPr="00BE1B29" w:rsidRDefault="003707B5" w:rsidP="00D03BD1">
            <w:pPr>
              <w:rPr>
                <w:rFonts w:ascii="Arial" w:hAnsi="Arial"/>
                <w:b/>
                <w:i/>
                <w:sz w:val="20"/>
              </w:rPr>
            </w:pPr>
          </w:p>
        </w:tc>
      </w:tr>
      <w:tr w:rsidR="003707B5" w:rsidTr="00B4438D">
        <w:trPr>
          <w:cantSplit/>
          <w:trHeight w:val="360"/>
        </w:trPr>
        <w:tc>
          <w:tcPr>
            <w:tcW w:w="1985" w:type="dxa"/>
            <w:tcBorders>
              <w:top w:val="single" w:sz="4" w:space="0" w:color="auto"/>
              <w:left w:val="single" w:sz="4" w:space="0" w:color="auto"/>
              <w:bottom w:val="single" w:sz="4" w:space="0" w:color="auto"/>
              <w:right w:val="single" w:sz="4" w:space="0" w:color="auto"/>
            </w:tcBorders>
          </w:tcPr>
          <w:p w:rsidR="003707B5" w:rsidRPr="00D53380" w:rsidRDefault="003707B5" w:rsidP="00D03BD1">
            <w:pPr>
              <w:jc w:val="both"/>
              <w:rPr>
                <w:rFonts w:ascii="Arial" w:hAnsi="Arial" w:cs="Arial"/>
                <w:b/>
                <w:sz w:val="20"/>
                <w:szCs w:val="20"/>
              </w:rPr>
            </w:pPr>
            <w:r>
              <w:rPr>
                <w:rFonts w:ascii="Arial" w:hAnsi="Arial" w:cs="Arial"/>
                <w:b/>
                <w:sz w:val="20"/>
                <w:szCs w:val="20"/>
              </w:rPr>
              <w:t>Condition</w:t>
            </w:r>
            <w:r w:rsidRPr="00D53380">
              <w:rPr>
                <w:rFonts w:ascii="Arial" w:hAnsi="Arial" w:cs="Arial"/>
                <w:b/>
                <w:sz w:val="20"/>
                <w:szCs w:val="20"/>
              </w:rPr>
              <w:t>:</w:t>
            </w:r>
          </w:p>
        </w:tc>
        <w:tc>
          <w:tcPr>
            <w:tcW w:w="6378" w:type="dxa"/>
            <w:tcBorders>
              <w:top w:val="single" w:sz="4" w:space="0" w:color="auto"/>
              <w:left w:val="single" w:sz="4" w:space="0" w:color="auto"/>
              <w:bottom w:val="single" w:sz="4" w:space="0" w:color="auto"/>
              <w:right w:val="single" w:sz="4" w:space="0" w:color="auto"/>
            </w:tcBorders>
          </w:tcPr>
          <w:p w:rsidR="003707B5" w:rsidRDefault="003707B5" w:rsidP="00D03BD1">
            <w:pPr>
              <w:rPr>
                <w:rFonts w:ascii="Arial" w:hAnsi="Arial"/>
                <w:sz w:val="20"/>
              </w:rPr>
            </w:pPr>
            <w:r>
              <w:rPr>
                <w:rFonts w:ascii="Arial" w:hAnsi="Arial"/>
                <w:sz w:val="20"/>
              </w:rPr>
              <w:t>Androgen deficiency</w:t>
            </w:r>
          </w:p>
        </w:tc>
      </w:tr>
      <w:tr w:rsidR="003707B5" w:rsidTr="00B4438D">
        <w:trPr>
          <w:cantSplit/>
          <w:trHeight w:val="360"/>
        </w:trPr>
        <w:tc>
          <w:tcPr>
            <w:tcW w:w="1985" w:type="dxa"/>
            <w:tcBorders>
              <w:top w:val="single" w:sz="4" w:space="0" w:color="auto"/>
              <w:left w:val="single" w:sz="4" w:space="0" w:color="auto"/>
              <w:bottom w:val="single" w:sz="4" w:space="0" w:color="auto"/>
              <w:right w:val="single" w:sz="4" w:space="0" w:color="auto"/>
            </w:tcBorders>
          </w:tcPr>
          <w:p w:rsidR="003707B5" w:rsidRDefault="003707B5" w:rsidP="00D03BD1">
            <w:pPr>
              <w:jc w:val="both"/>
              <w:rPr>
                <w:rFonts w:ascii="Arial" w:hAnsi="Arial" w:cs="Arial"/>
                <w:b/>
                <w:sz w:val="20"/>
                <w:szCs w:val="20"/>
              </w:rPr>
            </w:pPr>
            <w:r>
              <w:rPr>
                <w:rFonts w:ascii="Arial" w:hAnsi="Arial" w:cs="Arial"/>
                <w:b/>
                <w:sz w:val="20"/>
                <w:szCs w:val="20"/>
              </w:rPr>
              <w:t>Restriction:</w:t>
            </w:r>
          </w:p>
          <w:p w:rsidR="003707B5" w:rsidRPr="00D53380" w:rsidRDefault="003707B5" w:rsidP="00D03BD1">
            <w:pPr>
              <w:rPr>
                <w:rFonts w:ascii="Arial" w:hAnsi="Arial" w:cs="Arial"/>
                <w:sz w:val="20"/>
                <w:szCs w:val="20"/>
              </w:rPr>
            </w:pPr>
          </w:p>
        </w:tc>
        <w:tc>
          <w:tcPr>
            <w:tcW w:w="6378" w:type="dxa"/>
            <w:tcBorders>
              <w:top w:val="single" w:sz="4" w:space="0" w:color="auto"/>
              <w:left w:val="single" w:sz="4" w:space="0" w:color="auto"/>
              <w:bottom w:val="single" w:sz="4" w:space="0" w:color="auto"/>
              <w:right w:val="single" w:sz="4" w:space="0" w:color="auto"/>
            </w:tcBorders>
          </w:tcPr>
          <w:p w:rsidR="003707B5" w:rsidRDefault="003707B5" w:rsidP="00D03BD1">
            <w:pPr>
              <w:rPr>
                <w:rFonts w:ascii="Arial" w:hAnsi="Arial"/>
                <w:sz w:val="20"/>
              </w:rPr>
            </w:pPr>
            <w:r>
              <w:rPr>
                <w:rFonts w:ascii="Arial" w:hAnsi="Arial"/>
                <w:sz w:val="20"/>
              </w:rPr>
              <w:t>Authority required</w:t>
            </w:r>
          </w:p>
        </w:tc>
      </w:tr>
      <w:tr w:rsidR="003707B5" w:rsidTr="00B4438D">
        <w:trPr>
          <w:cantSplit/>
          <w:trHeight w:val="360"/>
        </w:trPr>
        <w:tc>
          <w:tcPr>
            <w:tcW w:w="1985" w:type="dxa"/>
            <w:tcBorders>
              <w:top w:val="single" w:sz="4" w:space="0" w:color="auto"/>
              <w:left w:val="single" w:sz="4" w:space="0" w:color="auto"/>
              <w:bottom w:val="single" w:sz="4" w:space="0" w:color="auto"/>
              <w:right w:val="single" w:sz="4" w:space="0" w:color="auto"/>
            </w:tcBorders>
          </w:tcPr>
          <w:p w:rsidR="003707B5" w:rsidRPr="00C31A26" w:rsidRDefault="003707B5" w:rsidP="00D03BD1">
            <w:pPr>
              <w:rPr>
                <w:rFonts w:ascii="Arial" w:hAnsi="Arial" w:cs="Arial"/>
                <w:b/>
                <w:sz w:val="20"/>
                <w:szCs w:val="20"/>
              </w:rPr>
            </w:pPr>
            <w:r w:rsidRPr="00C31A26">
              <w:rPr>
                <w:rFonts w:ascii="Arial" w:hAnsi="Arial" w:cs="Arial"/>
                <w:b/>
                <w:sz w:val="20"/>
                <w:szCs w:val="20"/>
              </w:rPr>
              <w:lastRenderedPageBreak/>
              <w:t>Treatment criteria:</w:t>
            </w:r>
          </w:p>
          <w:p w:rsidR="003707B5" w:rsidRPr="00C31A26" w:rsidRDefault="003707B5" w:rsidP="00D03BD1">
            <w:pPr>
              <w:rPr>
                <w:rFonts w:ascii="Arial" w:hAnsi="Arial" w:cs="Arial"/>
                <w:sz w:val="20"/>
                <w:szCs w:val="20"/>
              </w:rPr>
            </w:pPr>
          </w:p>
        </w:tc>
        <w:tc>
          <w:tcPr>
            <w:tcW w:w="6378" w:type="dxa"/>
            <w:tcBorders>
              <w:top w:val="single" w:sz="4" w:space="0" w:color="auto"/>
              <w:left w:val="single" w:sz="4" w:space="0" w:color="auto"/>
              <w:bottom w:val="single" w:sz="4" w:space="0" w:color="auto"/>
              <w:right w:val="single" w:sz="4" w:space="0" w:color="auto"/>
            </w:tcBorders>
          </w:tcPr>
          <w:p w:rsidR="003707B5" w:rsidRDefault="003707B5" w:rsidP="00D03BD1">
            <w:pPr>
              <w:rPr>
                <w:rFonts w:ascii="Arial" w:hAnsi="Arial" w:cs="Arial"/>
                <w:sz w:val="20"/>
                <w:szCs w:val="20"/>
              </w:rPr>
            </w:pPr>
            <w:r>
              <w:rPr>
                <w:rFonts w:ascii="Arial" w:hAnsi="Arial" w:cs="Arial"/>
                <w:sz w:val="20"/>
                <w:szCs w:val="20"/>
              </w:rPr>
              <w:t>Must be treated by or in consultation with a specialist urologist, specialist endocrinologist or a registered member of the Australasian Chapter of Sexual Health Medicine or have an appointment to be assessed by one of these specialists.</w:t>
            </w:r>
          </w:p>
          <w:p w:rsidR="003707B5" w:rsidRPr="00C31A26" w:rsidRDefault="003707B5" w:rsidP="00D03BD1">
            <w:pPr>
              <w:rPr>
                <w:rFonts w:ascii="Arial" w:hAnsi="Arial" w:cs="Arial"/>
                <w:sz w:val="20"/>
                <w:szCs w:val="20"/>
              </w:rPr>
            </w:pPr>
          </w:p>
        </w:tc>
      </w:tr>
      <w:tr w:rsidR="003707B5" w:rsidTr="00B4438D">
        <w:trPr>
          <w:cantSplit/>
          <w:trHeight w:val="360"/>
        </w:trPr>
        <w:tc>
          <w:tcPr>
            <w:tcW w:w="1985" w:type="dxa"/>
            <w:tcBorders>
              <w:top w:val="single" w:sz="4" w:space="0" w:color="auto"/>
              <w:left w:val="single" w:sz="4" w:space="0" w:color="auto"/>
              <w:bottom w:val="single" w:sz="4" w:space="0" w:color="auto"/>
              <w:right w:val="single" w:sz="4" w:space="0" w:color="auto"/>
            </w:tcBorders>
          </w:tcPr>
          <w:p w:rsidR="003707B5" w:rsidRPr="00C31A26" w:rsidRDefault="003707B5" w:rsidP="00D03BD1">
            <w:pPr>
              <w:jc w:val="both"/>
              <w:rPr>
                <w:rFonts w:ascii="Arial" w:hAnsi="Arial" w:cs="Arial"/>
                <w:b/>
                <w:sz w:val="20"/>
                <w:szCs w:val="20"/>
              </w:rPr>
            </w:pPr>
            <w:r w:rsidRPr="00C31A26">
              <w:rPr>
                <w:rFonts w:ascii="Arial" w:hAnsi="Arial" w:cs="Arial"/>
                <w:b/>
                <w:sz w:val="20"/>
                <w:szCs w:val="20"/>
              </w:rPr>
              <w:t>Clinical criteria:</w:t>
            </w:r>
          </w:p>
          <w:p w:rsidR="003707B5" w:rsidRDefault="003707B5" w:rsidP="00D03BD1">
            <w:pPr>
              <w:jc w:val="both"/>
              <w:rPr>
                <w:rFonts w:ascii="Arial" w:hAnsi="Arial" w:cs="Arial"/>
                <w:sz w:val="20"/>
                <w:szCs w:val="20"/>
              </w:rPr>
            </w:pPr>
          </w:p>
        </w:tc>
        <w:tc>
          <w:tcPr>
            <w:tcW w:w="6378" w:type="dxa"/>
            <w:tcBorders>
              <w:top w:val="single" w:sz="4" w:space="0" w:color="auto"/>
              <w:left w:val="single" w:sz="4" w:space="0" w:color="auto"/>
              <w:bottom w:val="single" w:sz="4" w:space="0" w:color="auto"/>
              <w:right w:val="single" w:sz="4" w:space="0" w:color="auto"/>
            </w:tcBorders>
          </w:tcPr>
          <w:p w:rsidR="003707B5" w:rsidRDefault="003707B5" w:rsidP="00D03BD1">
            <w:pPr>
              <w:rPr>
                <w:rFonts w:ascii="Arial" w:hAnsi="Arial"/>
                <w:sz w:val="20"/>
              </w:rPr>
            </w:pPr>
            <w:r>
              <w:rPr>
                <w:rFonts w:ascii="Arial" w:hAnsi="Arial"/>
                <w:sz w:val="20"/>
              </w:rPr>
              <w:t>Patient must not have an established pituitary or testicular disorder</w:t>
            </w:r>
          </w:p>
          <w:p w:rsidR="003707B5" w:rsidRDefault="003707B5" w:rsidP="00D03BD1">
            <w:pPr>
              <w:rPr>
                <w:rFonts w:ascii="Arial" w:hAnsi="Arial"/>
                <w:sz w:val="20"/>
              </w:rPr>
            </w:pPr>
          </w:p>
          <w:p w:rsidR="003707B5" w:rsidRDefault="003707B5" w:rsidP="00D03BD1">
            <w:pPr>
              <w:rPr>
                <w:rFonts w:ascii="Arial" w:hAnsi="Arial"/>
                <w:sz w:val="20"/>
              </w:rPr>
            </w:pPr>
            <w:r>
              <w:rPr>
                <w:rFonts w:ascii="Arial" w:hAnsi="Arial"/>
                <w:sz w:val="20"/>
              </w:rPr>
              <w:t>AND</w:t>
            </w:r>
          </w:p>
          <w:p w:rsidR="003707B5" w:rsidRDefault="003707B5" w:rsidP="00D03BD1">
            <w:pPr>
              <w:rPr>
                <w:rFonts w:ascii="Arial" w:hAnsi="Arial"/>
                <w:sz w:val="20"/>
              </w:rPr>
            </w:pPr>
          </w:p>
          <w:p w:rsidR="003707B5" w:rsidRDefault="003707B5" w:rsidP="00D03BD1">
            <w:pPr>
              <w:rPr>
                <w:rFonts w:ascii="Arial" w:hAnsi="Arial"/>
                <w:sz w:val="20"/>
              </w:rPr>
            </w:pPr>
            <w:r>
              <w:rPr>
                <w:rFonts w:ascii="Arial" w:hAnsi="Arial"/>
                <w:sz w:val="20"/>
              </w:rPr>
              <w:t>The condition must not be due to age, obesity, cardiovascular diseases, infertility or drugs</w:t>
            </w:r>
          </w:p>
          <w:p w:rsidR="003707B5" w:rsidRDefault="003707B5" w:rsidP="00D03BD1">
            <w:pPr>
              <w:jc w:val="both"/>
              <w:rPr>
                <w:rFonts w:ascii="Arial" w:hAnsi="Arial" w:cs="Arial"/>
                <w:sz w:val="20"/>
                <w:szCs w:val="20"/>
              </w:rPr>
            </w:pPr>
          </w:p>
        </w:tc>
      </w:tr>
      <w:tr w:rsidR="003707B5" w:rsidTr="00B4438D">
        <w:trPr>
          <w:cantSplit/>
          <w:trHeight w:val="360"/>
        </w:trPr>
        <w:tc>
          <w:tcPr>
            <w:tcW w:w="1985" w:type="dxa"/>
            <w:tcBorders>
              <w:top w:val="single" w:sz="4" w:space="0" w:color="auto"/>
              <w:left w:val="single" w:sz="4" w:space="0" w:color="auto"/>
              <w:bottom w:val="single" w:sz="4" w:space="0" w:color="auto"/>
              <w:right w:val="single" w:sz="4" w:space="0" w:color="auto"/>
            </w:tcBorders>
          </w:tcPr>
          <w:p w:rsidR="003707B5" w:rsidRPr="00C31A26" w:rsidRDefault="003707B5" w:rsidP="00D03BD1">
            <w:pPr>
              <w:jc w:val="both"/>
              <w:rPr>
                <w:rFonts w:ascii="Arial" w:hAnsi="Arial" w:cs="Arial"/>
                <w:b/>
                <w:sz w:val="20"/>
                <w:szCs w:val="20"/>
              </w:rPr>
            </w:pPr>
            <w:r w:rsidRPr="00C31A26">
              <w:rPr>
                <w:rFonts w:ascii="Arial" w:hAnsi="Arial" w:cs="Arial"/>
                <w:b/>
                <w:sz w:val="20"/>
                <w:szCs w:val="20"/>
              </w:rPr>
              <w:t>Population criteria:</w:t>
            </w:r>
          </w:p>
          <w:p w:rsidR="003707B5" w:rsidRDefault="003707B5" w:rsidP="00D03BD1">
            <w:pPr>
              <w:rPr>
                <w:rFonts w:ascii="Arial" w:hAnsi="Arial" w:cs="Arial"/>
                <w:sz w:val="20"/>
                <w:szCs w:val="20"/>
              </w:rPr>
            </w:pPr>
          </w:p>
        </w:tc>
        <w:tc>
          <w:tcPr>
            <w:tcW w:w="6378" w:type="dxa"/>
            <w:tcBorders>
              <w:top w:val="single" w:sz="4" w:space="0" w:color="auto"/>
              <w:left w:val="single" w:sz="4" w:space="0" w:color="auto"/>
              <w:bottom w:val="single" w:sz="4" w:space="0" w:color="auto"/>
              <w:right w:val="single" w:sz="4" w:space="0" w:color="auto"/>
            </w:tcBorders>
          </w:tcPr>
          <w:p w:rsidR="003707B5" w:rsidRDefault="003707B5" w:rsidP="00D03BD1">
            <w:pPr>
              <w:rPr>
                <w:rFonts w:ascii="Arial" w:hAnsi="Arial" w:cs="Arial"/>
                <w:sz w:val="20"/>
                <w:szCs w:val="20"/>
              </w:rPr>
            </w:pPr>
            <w:r>
              <w:rPr>
                <w:rFonts w:ascii="Arial" w:hAnsi="Arial" w:cs="Arial"/>
                <w:sz w:val="20"/>
                <w:szCs w:val="20"/>
              </w:rPr>
              <w:t>Patient must be male</w:t>
            </w:r>
          </w:p>
          <w:p w:rsidR="003707B5" w:rsidRDefault="003707B5" w:rsidP="00D03BD1">
            <w:pPr>
              <w:rPr>
                <w:rFonts w:ascii="Arial" w:hAnsi="Arial" w:cs="Arial"/>
                <w:sz w:val="20"/>
                <w:szCs w:val="20"/>
              </w:rPr>
            </w:pPr>
          </w:p>
          <w:p w:rsidR="003707B5" w:rsidRDefault="003707B5" w:rsidP="00D03BD1">
            <w:pPr>
              <w:rPr>
                <w:rFonts w:ascii="Arial" w:hAnsi="Arial" w:cs="Arial"/>
                <w:sz w:val="20"/>
                <w:szCs w:val="20"/>
              </w:rPr>
            </w:pPr>
            <w:r>
              <w:rPr>
                <w:rFonts w:ascii="Arial" w:hAnsi="Arial" w:cs="Arial"/>
                <w:sz w:val="20"/>
                <w:szCs w:val="20"/>
              </w:rPr>
              <w:t>AND</w:t>
            </w:r>
          </w:p>
          <w:p w:rsidR="003707B5" w:rsidRDefault="003707B5" w:rsidP="00D03BD1">
            <w:pPr>
              <w:rPr>
                <w:rFonts w:ascii="Arial" w:hAnsi="Arial" w:cs="Arial"/>
                <w:sz w:val="20"/>
                <w:szCs w:val="20"/>
              </w:rPr>
            </w:pPr>
          </w:p>
          <w:p w:rsidR="003707B5" w:rsidRDefault="003707B5" w:rsidP="00D03BD1">
            <w:pPr>
              <w:rPr>
                <w:rFonts w:ascii="Arial" w:hAnsi="Arial" w:cs="Arial"/>
                <w:sz w:val="20"/>
                <w:szCs w:val="20"/>
              </w:rPr>
            </w:pPr>
            <w:r>
              <w:rPr>
                <w:rFonts w:ascii="Arial" w:hAnsi="Arial" w:cs="Arial"/>
                <w:sz w:val="20"/>
                <w:szCs w:val="20"/>
              </w:rPr>
              <w:t>Patient must be aged 40 years or older</w:t>
            </w:r>
          </w:p>
          <w:p w:rsidR="003707B5" w:rsidRDefault="003707B5" w:rsidP="00D03BD1">
            <w:pPr>
              <w:jc w:val="both"/>
              <w:rPr>
                <w:rFonts w:ascii="Arial" w:hAnsi="Arial" w:cs="Arial"/>
                <w:sz w:val="20"/>
                <w:szCs w:val="20"/>
              </w:rPr>
            </w:pPr>
          </w:p>
        </w:tc>
      </w:tr>
      <w:tr w:rsidR="003707B5" w:rsidTr="00B4438D">
        <w:trPr>
          <w:cantSplit/>
          <w:trHeight w:val="360"/>
        </w:trPr>
        <w:tc>
          <w:tcPr>
            <w:tcW w:w="1985" w:type="dxa"/>
            <w:tcBorders>
              <w:top w:val="single" w:sz="4" w:space="0" w:color="auto"/>
              <w:left w:val="single" w:sz="4" w:space="0" w:color="auto"/>
              <w:bottom w:val="single" w:sz="4" w:space="0" w:color="auto"/>
              <w:right w:val="single" w:sz="4" w:space="0" w:color="auto"/>
            </w:tcBorders>
          </w:tcPr>
          <w:p w:rsidR="003707B5" w:rsidRPr="003169A6" w:rsidRDefault="003707B5" w:rsidP="00D03BD1">
            <w:pPr>
              <w:jc w:val="both"/>
              <w:rPr>
                <w:rFonts w:ascii="Arial" w:hAnsi="Arial" w:cs="Arial"/>
                <w:b/>
                <w:sz w:val="20"/>
                <w:szCs w:val="20"/>
              </w:rPr>
            </w:pPr>
            <w:r>
              <w:rPr>
                <w:rFonts w:ascii="Arial" w:hAnsi="Arial" w:cs="Arial"/>
                <w:b/>
                <w:sz w:val="20"/>
                <w:szCs w:val="20"/>
              </w:rPr>
              <w:t>Prescriber instructions</w:t>
            </w:r>
          </w:p>
        </w:tc>
        <w:tc>
          <w:tcPr>
            <w:tcW w:w="6378" w:type="dxa"/>
            <w:tcBorders>
              <w:top w:val="single" w:sz="4" w:space="0" w:color="auto"/>
              <w:left w:val="single" w:sz="4" w:space="0" w:color="auto"/>
              <w:bottom w:val="single" w:sz="4" w:space="0" w:color="auto"/>
              <w:right w:val="single" w:sz="4" w:space="0" w:color="auto"/>
            </w:tcBorders>
          </w:tcPr>
          <w:p w:rsidR="003707B5" w:rsidRDefault="003707B5" w:rsidP="00D03BD1">
            <w:pPr>
              <w:rPr>
                <w:rFonts w:ascii="Arial" w:hAnsi="Arial" w:cs="Arial"/>
                <w:sz w:val="20"/>
                <w:szCs w:val="20"/>
              </w:rPr>
            </w:pPr>
            <w:r>
              <w:rPr>
                <w:rFonts w:ascii="Arial" w:hAnsi="Arial" w:cs="Arial"/>
                <w:sz w:val="20"/>
                <w:szCs w:val="20"/>
              </w:rPr>
              <w:t>Androgen deficiency is defined as:</w:t>
            </w:r>
          </w:p>
          <w:p w:rsidR="003707B5" w:rsidRDefault="003707B5" w:rsidP="00D03BD1">
            <w:pPr>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testosterone level of less than 6 nmol per litre; OR</w:t>
            </w:r>
          </w:p>
          <w:p w:rsidR="003707B5" w:rsidRDefault="003707B5" w:rsidP="00D03BD1">
            <w:pPr>
              <w:rPr>
                <w:rFonts w:ascii="Arial" w:hAnsi="Arial" w:cs="Arial"/>
                <w:sz w:val="20"/>
                <w:szCs w:val="20"/>
              </w:rPr>
            </w:pPr>
            <w:r>
              <w:rPr>
                <w:rFonts w:ascii="Arial" w:hAnsi="Arial" w:cs="Arial"/>
                <w:sz w:val="20"/>
                <w:szCs w:val="20"/>
              </w:rPr>
              <w:t xml:space="preserve">(ii)  </w:t>
            </w:r>
            <w:proofErr w:type="gramStart"/>
            <w:r>
              <w:rPr>
                <w:rFonts w:ascii="Arial" w:hAnsi="Arial" w:cs="Arial"/>
                <w:sz w:val="20"/>
                <w:szCs w:val="20"/>
              </w:rPr>
              <w:t>testosterone</w:t>
            </w:r>
            <w:proofErr w:type="gramEnd"/>
            <w:r>
              <w:rPr>
                <w:rFonts w:ascii="Arial" w:hAnsi="Arial" w:cs="Arial"/>
                <w:sz w:val="20"/>
                <w:szCs w:val="20"/>
              </w:rPr>
              <w:t xml:space="preserve"> level between 6 and 15 nmol per litre with high luteinising hormone (LH) (greater than 1.5 times the upper limit of the </w:t>
            </w:r>
            <w:proofErr w:type="spellStart"/>
            <w:r>
              <w:rPr>
                <w:rFonts w:ascii="Arial" w:hAnsi="Arial" w:cs="Arial"/>
                <w:sz w:val="20"/>
                <w:szCs w:val="20"/>
              </w:rPr>
              <w:t>eugonodal</w:t>
            </w:r>
            <w:proofErr w:type="spellEnd"/>
            <w:r>
              <w:rPr>
                <w:rFonts w:ascii="Arial" w:hAnsi="Arial" w:cs="Arial"/>
                <w:sz w:val="20"/>
                <w:szCs w:val="20"/>
              </w:rPr>
              <w:t xml:space="preserve"> reference range for young men, or greater than 14 IU per litre, whichever is higher).</w:t>
            </w:r>
          </w:p>
          <w:p w:rsidR="003707B5" w:rsidRDefault="003707B5" w:rsidP="00D03BD1">
            <w:pPr>
              <w:rPr>
                <w:rFonts w:ascii="Arial" w:hAnsi="Arial" w:cs="Arial"/>
                <w:sz w:val="20"/>
                <w:szCs w:val="20"/>
              </w:rPr>
            </w:pPr>
          </w:p>
          <w:p w:rsidR="003707B5" w:rsidRDefault="003707B5" w:rsidP="00D03BD1">
            <w:pPr>
              <w:rPr>
                <w:rFonts w:ascii="Arial" w:hAnsi="Arial" w:cs="Arial"/>
                <w:sz w:val="20"/>
                <w:szCs w:val="20"/>
              </w:rPr>
            </w:pPr>
            <w:r>
              <w:rPr>
                <w:rFonts w:ascii="Arial" w:hAnsi="Arial" w:cs="Arial"/>
                <w:sz w:val="20"/>
                <w:szCs w:val="20"/>
              </w:rPr>
              <w:t>Androgen deficiency must be confirmed by at least two morning blood samples taken on different mornings.</w:t>
            </w:r>
          </w:p>
          <w:p w:rsidR="003707B5" w:rsidRDefault="003707B5" w:rsidP="00D03BD1">
            <w:pPr>
              <w:rPr>
                <w:rFonts w:ascii="Arial" w:hAnsi="Arial" w:cs="Arial"/>
                <w:sz w:val="20"/>
                <w:szCs w:val="20"/>
              </w:rPr>
            </w:pPr>
          </w:p>
        </w:tc>
      </w:tr>
      <w:tr w:rsidR="003707B5" w:rsidTr="00B4438D">
        <w:trPr>
          <w:cantSplit/>
          <w:trHeight w:val="360"/>
        </w:trPr>
        <w:tc>
          <w:tcPr>
            <w:tcW w:w="1985" w:type="dxa"/>
            <w:tcBorders>
              <w:top w:val="single" w:sz="4" w:space="0" w:color="auto"/>
              <w:left w:val="single" w:sz="4" w:space="0" w:color="auto"/>
              <w:bottom w:val="single" w:sz="4" w:space="0" w:color="auto"/>
              <w:right w:val="single" w:sz="4" w:space="0" w:color="auto"/>
            </w:tcBorders>
          </w:tcPr>
          <w:p w:rsidR="003707B5" w:rsidRDefault="003707B5" w:rsidP="00D03BD1">
            <w:pPr>
              <w:jc w:val="both"/>
              <w:rPr>
                <w:rFonts w:ascii="Arial" w:hAnsi="Arial" w:cs="Arial"/>
                <w:b/>
                <w:sz w:val="20"/>
                <w:szCs w:val="20"/>
              </w:rPr>
            </w:pPr>
            <w:r>
              <w:rPr>
                <w:rFonts w:ascii="Arial" w:hAnsi="Arial" w:cs="Arial"/>
                <w:b/>
                <w:sz w:val="20"/>
                <w:szCs w:val="20"/>
              </w:rPr>
              <w:t>Prescriber instructions</w:t>
            </w:r>
          </w:p>
        </w:tc>
        <w:tc>
          <w:tcPr>
            <w:tcW w:w="6378" w:type="dxa"/>
            <w:tcBorders>
              <w:top w:val="single" w:sz="4" w:space="0" w:color="auto"/>
              <w:left w:val="single" w:sz="4" w:space="0" w:color="auto"/>
              <w:bottom w:val="single" w:sz="4" w:space="0" w:color="auto"/>
              <w:right w:val="single" w:sz="4" w:space="0" w:color="auto"/>
            </w:tcBorders>
          </w:tcPr>
          <w:p w:rsidR="003707B5" w:rsidRDefault="003707B5" w:rsidP="00D03BD1">
            <w:pPr>
              <w:rPr>
                <w:rFonts w:ascii="Arial" w:hAnsi="Arial" w:cs="Arial"/>
                <w:sz w:val="20"/>
                <w:szCs w:val="20"/>
              </w:rPr>
            </w:pPr>
            <w:r>
              <w:rPr>
                <w:rFonts w:ascii="Arial" w:hAnsi="Arial" w:cs="Arial"/>
                <w:sz w:val="20"/>
                <w:szCs w:val="20"/>
              </w:rPr>
              <w:t>The dates and levels of the qualifying testosterone and LH measurements must be, or must have been provided in the authority application when treatment with this drug is or was initiated</w:t>
            </w:r>
          </w:p>
          <w:p w:rsidR="003707B5" w:rsidRDefault="003707B5" w:rsidP="00D03BD1">
            <w:pPr>
              <w:rPr>
                <w:rFonts w:ascii="Arial" w:hAnsi="Arial" w:cs="Arial"/>
                <w:sz w:val="20"/>
                <w:szCs w:val="20"/>
              </w:rPr>
            </w:pPr>
          </w:p>
        </w:tc>
      </w:tr>
      <w:tr w:rsidR="003707B5" w:rsidTr="00B4438D">
        <w:trPr>
          <w:cantSplit/>
          <w:trHeight w:val="360"/>
        </w:trPr>
        <w:tc>
          <w:tcPr>
            <w:tcW w:w="1985" w:type="dxa"/>
            <w:tcBorders>
              <w:top w:val="single" w:sz="4" w:space="0" w:color="auto"/>
              <w:left w:val="single" w:sz="4" w:space="0" w:color="auto"/>
              <w:bottom w:val="single" w:sz="4" w:space="0" w:color="auto"/>
              <w:right w:val="single" w:sz="4" w:space="0" w:color="auto"/>
            </w:tcBorders>
          </w:tcPr>
          <w:p w:rsidR="003707B5" w:rsidRPr="003169A6" w:rsidRDefault="003707B5" w:rsidP="00D03BD1">
            <w:pPr>
              <w:jc w:val="both"/>
              <w:rPr>
                <w:rFonts w:ascii="Arial" w:hAnsi="Arial" w:cs="Arial"/>
                <w:b/>
                <w:sz w:val="20"/>
                <w:szCs w:val="20"/>
              </w:rPr>
            </w:pPr>
            <w:r w:rsidRPr="003169A6">
              <w:rPr>
                <w:rFonts w:ascii="Arial" w:hAnsi="Arial" w:cs="Arial"/>
                <w:b/>
                <w:sz w:val="20"/>
                <w:szCs w:val="20"/>
              </w:rPr>
              <w:t>Administrative Advice</w:t>
            </w:r>
          </w:p>
          <w:p w:rsidR="003707B5" w:rsidRPr="00C31A26" w:rsidRDefault="003707B5" w:rsidP="00D03BD1">
            <w:pPr>
              <w:jc w:val="both"/>
              <w:rPr>
                <w:rFonts w:ascii="Arial" w:hAnsi="Arial" w:cs="Arial"/>
                <w:i/>
                <w:sz w:val="20"/>
                <w:szCs w:val="20"/>
              </w:rPr>
            </w:pPr>
          </w:p>
        </w:tc>
        <w:tc>
          <w:tcPr>
            <w:tcW w:w="6378" w:type="dxa"/>
            <w:tcBorders>
              <w:top w:val="single" w:sz="4" w:space="0" w:color="auto"/>
              <w:left w:val="single" w:sz="4" w:space="0" w:color="auto"/>
              <w:bottom w:val="single" w:sz="4" w:space="0" w:color="auto"/>
              <w:right w:val="single" w:sz="4" w:space="0" w:color="auto"/>
            </w:tcBorders>
          </w:tcPr>
          <w:p w:rsidR="003707B5" w:rsidRDefault="003707B5" w:rsidP="00D03BD1">
            <w:pPr>
              <w:rPr>
                <w:rFonts w:ascii="Arial" w:hAnsi="Arial" w:cs="Arial"/>
                <w:sz w:val="20"/>
                <w:szCs w:val="20"/>
              </w:rPr>
            </w:pPr>
            <w:r>
              <w:rPr>
                <w:rFonts w:ascii="Arial" w:hAnsi="Arial" w:cs="Arial"/>
                <w:sz w:val="20"/>
                <w:szCs w:val="20"/>
              </w:rPr>
              <w:t>The name of the specialist must be included in the authority application</w:t>
            </w:r>
          </w:p>
        </w:tc>
      </w:tr>
    </w:tbl>
    <w:p w:rsidR="00D50D59" w:rsidRDefault="00D50D59" w:rsidP="003707B5">
      <w:pPr>
        <w:jc w:val="both"/>
        <w:rPr>
          <w:rFonts w:ascii="Arial" w:hAnsi="Arial" w:cs="Arial"/>
          <w:b/>
        </w:rPr>
      </w:pPr>
    </w:p>
    <w:tbl>
      <w:tblPr>
        <w:tblW w:w="8363" w:type="dxa"/>
        <w:tblInd w:w="817" w:type="dxa"/>
        <w:tblLayout w:type="fixed"/>
        <w:tblLook w:val="0000" w:firstRow="0" w:lastRow="0" w:firstColumn="0" w:lastColumn="0" w:noHBand="0" w:noVBand="0"/>
      </w:tblPr>
      <w:tblGrid>
        <w:gridCol w:w="1985"/>
        <w:gridCol w:w="6378"/>
      </w:tblGrid>
      <w:tr w:rsidR="003707B5" w:rsidTr="00B4438D">
        <w:trPr>
          <w:cantSplit/>
          <w:trHeight w:val="360"/>
        </w:trPr>
        <w:tc>
          <w:tcPr>
            <w:tcW w:w="8363" w:type="dxa"/>
            <w:gridSpan w:val="2"/>
            <w:tcBorders>
              <w:top w:val="single" w:sz="4" w:space="0" w:color="auto"/>
              <w:left w:val="single" w:sz="4" w:space="0" w:color="auto"/>
              <w:bottom w:val="single" w:sz="4" w:space="0" w:color="auto"/>
              <w:right w:val="single" w:sz="4" w:space="0" w:color="auto"/>
            </w:tcBorders>
          </w:tcPr>
          <w:p w:rsidR="003707B5" w:rsidRDefault="003707B5" w:rsidP="00D03BD1">
            <w:pPr>
              <w:rPr>
                <w:rFonts w:ascii="Arial" w:hAnsi="Arial"/>
                <w:b/>
                <w:i/>
              </w:rPr>
            </w:pPr>
            <w:r>
              <w:rPr>
                <w:rFonts w:ascii="Arial" w:hAnsi="Arial"/>
                <w:b/>
                <w:i/>
              </w:rPr>
              <w:t>RESTRICTION 3(a)</w:t>
            </w:r>
          </w:p>
          <w:p w:rsidR="003707B5" w:rsidRPr="00BE1B29" w:rsidRDefault="003707B5" w:rsidP="00D03BD1">
            <w:pPr>
              <w:rPr>
                <w:rFonts w:ascii="Arial" w:hAnsi="Arial"/>
                <w:b/>
                <w:i/>
                <w:sz w:val="20"/>
              </w:rPr>
            </w:pPr>
          </w:p>
        </w:tc>
      </w:tr>
      <w:tr w:rsidR="003707B5" w:rsidTr="00B4438D">
        <w:trPr>
          <w:cantSplit/>
          <w:trHeight w:val="360"/>
        </w:trPr>
        <w:tc>
          <w:tcPr>
            <w:tcW w:w="1985" w:type="dxa"/>
            <w:tcBorders>
              <w:top w:val="single" w:sz="4" w:space="0" w:color="auto"/>
              <w:left w:val="single" w:sz="4" w:space="0" w:color="auto"/>
              <w:bottom w:val="single" w:sz="4" w:space="0" w:color="auto"/>
              <w:right w:val="single" w:sz="4" w:space="0" w:color="auto"/>
            </w:tcBorders>
          </w:tcPr>
          <w:p w:rsidR="003707B5" w:rsidRPr="00D53380" w:rsidRDefault="003707B5" w:rsidP="00D03BD1">
            <w:pPr>
              <w:jc w:val="both"/>
              <w:rPr>
                <w:rFonts w:ascii="Arial" w:hAnsi="Arial" w:cs="Arial"/>
                <w:b/>
                <w:sz w:val="20"/>
                <w:szCs w:val="20"/>
              </w:rPr>
            </w:pPr>
            <w:r>
              <w:rPr>
                <w:rFonts w:ascii="Arial" w:hAnsi="Arial" w:cs="Arial"/>
                <w:b/>
                <w:sz w:val="20"/>
                <w:szCs w:val="20"/>
              </w:rPr>
              <w:t>Condition</w:t>
            </w:r>
            <w:r w:rsidRPr="00D53380">
              <w:rPr>
                <w:rFonts w:ascii="Arial" w:hAnsi="Arial" w:cs="Arial"/>
                <w:b/>
                <w:sz w:val="20"/>
                <w:szCs w:val="20"/>
              </w:rPr>
              <w:t>:</w:t>
            </w:r>
          </w:p>
        </w:tc>
        <w:tc>
          <w:tcPr>
            <w:tcW w:w="6378" w:type="dxa"/>
            <w:tcBorders>
              <w:top w:val="single" w:sz="4" w:space="0" w:color="auto"/>
              <w:left w:val="single" w:sz="4" w:space="0" w:color="auto"/>
              <w:bottom w:val="single" w:sz="4" w:space="0" w:color="auto"/>
              <w:right w:val="single" w:sz="4" w:space="0" w:color="auto"/>
            </w:tcBorders>
          </w:tcPr>
          <w:p w:rsidR="003707B5" w:rsidRDefault="003707B5" w:rsidP="00D03BD1">
            <w:pPr>
              <w:rPr>
                <w:rFonts w:ascii="Arial" w:hAnsi="Arial"/>
                <w:sz w:val="20"/>
              </w:rPr>
            </w:pPr>
            <w:r>
              <w:rPr>
                <w:rFonts w:ascii="Arial" w:hAnsi="Arial"/>
                <w:sz w:val="20"/>
              </w:rPr>
              <w:t>Micropenis</w:t>
            </w:r>
          </w:p>
        </w:tc>
      </w:tr>
      <w:tr w:rsidR="003707B5" w:rsidTr="00B4438D">
        <w:trPr>
          <w:cantSplit/>
          <w:trHeight w:val="360"/>
        </w:trPr>
        <w:tc>
          <w:tcPr>
            <w:tcW w:w="1985" w:type="dxa"/>
            <w:tcBorders>
              <w:top w:val="single" w:sz="4" w:space="0" w:color="auto"/>
              <w:left w:val="single" w:sz="4" w:space="0" w:color="auto"/>
              <w:bottom w:val="single" w:sz="4" w:space="0" w:color="auto"/>
              <w:right w:val="single" w:sz="4" w:space="0" w:color="auto"/>
            </w:tcBorders>
          </w:tcPr>
          <w:p w:rsidR="003707B5" w:rsidRDefault="003707B5" w:rsidP="00D03BD1">
            <w:pPr>
              <w:jc w:val="both"/>
              <w:rPr>
                <w:rFonts w:ascii="Arial" w:hAnsi="Arial" w:cs="Arial"/>
                <w:b/>
                <w:sz w:val="20"/>
                <w:szCs w:val="20"/>
              </w:rPr>
            </w:pPr>
            <w:r>
              <w:rPr>
                <w:rFonts w:ascii="Arial" w:hAnsi="Arial" w:cs="Arial"/>
                <w:b/>
                <w:sz w:val="20"/>
                <w:szCs w:val="20"/>
              </w:rPr>
              <w:t>Restriction:</w:t>
            </w:r>
          </w:p>
          <w:p w:rsidR="003707B5" w:rsidRPr="00D53380" w:rsidRDefault="003707B5" w:rsidP="00D03BD1">
            <w:pPr>
              <w:rPr>
                <w:rFonts w:ascii="Arial" w:hAnsi="Arial" w:cs="Arial"/>
                <w:sz w:val="20"/>
                <w:szCs w:val="20"/>
              </w:rPr>
            </w:pPr>
          </w:p>
        </w:tc>
        <w:tc>
          <w:tcPr>
            <w:tcW w:w="6378" w:type="dxa"/>
            <w:tcBorders>
              <w:top w:val="single" w:sz="4" w:space="0" w:color="auto"/>
              <w:left w:val="single" w:sz="4" w:space="0" w:color="auto"/>
              <w:bottom w:val="single" w:sz="4" w:space="0" w:color="auto"/>
              <w:right w:val="single" w:sz="4" w:space="0" w:color="auto"/>
            </w:tcBorders>
          </w:tcPr>
          <w:p w:rsidR="003707B5" w:rsidRDefault="003707B5" w:rsidP="00D03BD1">
            <w:pPr>
              <w:rPr>
                <w:rFonts w:ascii="Arial" w:hAnsi="Arial"/>
                <w:sz w:val="20"/>
              </w:rPr>
            </w:pPr>
            <w:r>
              <w:rPr>
                <w:rFonts w:ascii="Arial" w:hAnsi="Arial"/>
                <w:sz w:val="20"/>
              </w:rPr>
              <w:t>Authority required</w:t>
            </w:r>
          </w:p>
        </w:tc>
      </w:tr>
      <w:tr w:rsidR="003707B5" w:rsidTr="00B4438D">
        <w:trPr>
          <w:cantSplit/>
          <w:trHeight w:val="360"/>
        </w:trPr>
        <w:tc>
          <w:tcPr>
            <w:tcW w:w="1985" w:type="dxa"/>
            <w:tcBorders>
              <w:top w:val="single" w:sz="4" w:space="0" w:color="auto"/>
              <w:left w:val="single" w:sz="4" w:space="0" w:color="auto"/>
              <w:bottom w:val="single" w:sz="4" w:space="0" w:color="auto"/>
              <w:right w:val="single" w:sz="4" w:space="0" w:color="auto"/>
            </w:tcBorders>
          </w:tcPr>
          <w:p w:rsidR="003707B5" w:rsidRPr="00C31A26" w:rsidRDefault="003707B5" w:rsidP="00D03BD1">
            <w:pPr>
              <w:rPr>
                <w:rFonts w:ascii="Arial" w:hAnsi="Arial" w:cs="Arial"/>
                <w:b/>
                <w:sz w:val="20"/>
                <w:szCs w:val="20"/>
              </w:rPr>
            </w:pPr>
            <w:r w:rsidRPr="00C31A26">
              <w:rPr>
                <w:rFonts w:ascii="Arial" w:hAnsi="Arial" w:cs="Arial"/>
                <w:b/>
                <w:sz w:val="20"/>
                <w:szCs w:val="20"/>
              </w:rPr>
              <w:t>Treatment criteria:</w:t>
            </w:r>
          </w:p>
          <w:p w:rsidR="003707B5" w:rsidRPr="00C31A26" w:rsidRDefault="003707B5" w:rsidP="00D03BD1">
            <w:pPr>
              <w:rPr>
                <w:rFonts w:ascii="Arial" w:hAnsi="Arial" w:cs="Arial"/>
                <w:sz w:val="20"/>
                <w:szCs w:val="20"/>
              </w:rPr>
            </w:pPr>
          </w:p>
        </w:tc>
        <w:tc>
          <w:tcPr>
            <w:tcW w:w="6378" w:type="dxa"/>
            <w:tcBorders>
              <w:top w:val="single" w:sz="4" w:space="0" w:color="auto"/>
              <w:left w:val="single" w:sz="4" w:space="0" w:color="auto"/>
              <w:bottom w:val="single" w:sz="4" w:space="0" w:color="auto"/>
              <w:right w:val="single" w:sz="4" w:space="0" w:color="auto"/>
            </w:tcBorders>
          </w:tcPr>
          <w:p w:rsidR="003707B5" w:rsidRDefault="003707B5" w:rsidP="00D03BD1">
            <w:pPr>
              <w:rPr>
                <w:rFonts w:ascii="Arial" w:hAnsi="Arial" w:cs="Arial"/>
                <w:sz w:val="20"/>
                <w:szCs w:val="20"/>
              </w:rPr>
            </w:pPr>
            <w:r>
              <w:rPr>
                <w:rFonts w:ascii="Arial" w:hAnsi="Arial" w:cs="Arial"/>
                <w:sz w:val="20"/>
                <w:szCs w:val="20"/>
              </w:rPr>
              <w:t>Must be treated by or in consultation with a specialist paediatric endocrinologist, specialist urologist, specialist endocrinologist or a registered member of the Australasian Chapter of Sexual Health Medicine or have an appointment to be assessed by one of these specialists.</w:t>
            </w:r>
          </w:p>
          <w:p w:rsidR="003707B5" w:rsidRPr="00C31A26" w:rsidRDefault="003707B5" w:rsidP="00D03BD1">
            <w:pPr>
              <w:rPr>
                <w:rFonts w:ascii="Arial" w:hAnsi="Arial" w:cs="Arial"/>
                <w:sz w:val="20"/>
                <w:szCs w:val="20"/>
              </w:rPr>
            </w:pPr>
          </w:p>
        </w:tc>
      </w:tr>
      <w:tr w:rsidR="003707B5" w:rsidTr="00B4438D">
        <w:trPr>
          <w:cantSplit/>
          <w:trHeight w:val="360"/>
        </w:trPr>
        <w:tc>
          <w:tcPr>
            <w:tcW w:w="1985" w:type="dxa"/>
            <w:tcBorders>
              <w:top w:val="single" w:sz="4" w:space="0" w:color="auto"/>
              <w:left w:val="single" w:sz="4" w:space="0" w:color="auto"/>
              <w:bottom w:val="single" w:sz="4" w:space="0" w:color="auto"/>
              <w:right w:val="single" w:sz="4" w:space="0" w:color="auto"/>
            </w:tcBorders>
          </w:tcPr>
          <w:p w:rsidR="003707B5" w:rsidRPr="00C31A26" w:rsidRDefault="003707B5" w:rsidP="00D03BD1">
            <w:pPr>
              <w:jc w:val="both"/>
              <w:rPr>
                <w:rFonts w:ascii="Arial" w:hAnsi="Arial" w:cs="Arial"/>
                <w:b/>
                <w:sz w:val="20"/>
                <w:szCs w:val="20"/>
              </w:rPr>
            </w:pPr>
            <w:r w:rsidRPr="00C31A26">
              <w:rPr>
                <w:rFonts w:ascii="Arial" w:hAnsi="Arial" w:cs="Arial"/>
                <w:b/>
                <w:sz w:val="20"/>
                <w:szCs w:val="20"/>
              </w:rPr>
              <w:t>Population criteria:</w:t>
            </w:r>
          </w:p>
          <w:p w:rsidR="003707B5" w:rsidRDefault="003707B5" w:rsidP="00D03BD1">
            <w:pPr>
              <w:rPr>
                <w:rFonts w:ascii="Arial" w:hAnsi="Arial" w:cs="Arial"/>
                <w:sz w:val="20"/>
                <w:szCs w:val="20"/>
              </w:rPr>
            </w:pPr>
          </w:p>
        </w:tc>
        <w:tc>
          <w:tcPr>
            <w:tcW w:w="6378" w:type="dxa"/>
            <w:tcBorders>
              <w:top w:val="single" w:sz="4" w:space="0" w:color="auto"/>
              <w:left w:val="single" w:sz="4" w:space="0" w:color="auto"/>
              <w:bottom w:val="single" w:sz="4" w:space="0" w:color="auto"/>
              <w:right w:val="single" w:sz="4" w:space="0" w:color="auto"/>
            </w:tcBorders>
          </w:tcPr>
          <w:p w:rsidR="003707B5" w:rsidRDefault="003707B5" w:rsidP="00D03BD1">
            <w:pPr>
              <w:rPr>
                <w:rFonts w:ascii="Arial" w:hAnsi="Arial" w:cs="Arial"/>
                <w:sz w:val="20"/>
                <w:szCs w:val="20"/>
              </w:rPr>
            </w:pPr>
            <w:r>
              <w:rPr>
                <w:rFonts w:ascii="Arial" w:hAnsi="Arial" w:cs="Arial"/>
                <w:sz w:val="20"/>
                <w:szCs w:val="20"/>
              </w:rPr>
              <w:t>Patient must be male</w:t>
            </w:r>
          </w:p>
          <w:p w:rsidR="003707B5" w:rsidRDefault="003707B5" w:rsidP="00D03BD1">
            <w:pPr>
              <w:rPr>
                <w:rFonts w:ascii="Arial" w:hAnsi="Arial" w:cs="Arial"/>
                <w:sz w:val="20"/>
                <w:szCs w:val="20"/>
              </w:rPr>
            </w:pPr>
          </w:p>
          <w:p w:rsidR="003707B5" w:rsidRDefault="003707B5" w:rsidP="00D03BD1">
            <w:pPr>
              <w:rPr>
                <w:rFonts w:ascii="Arial" w:hAnsi="Arial" w:cs="Arial"/>
                <w:sz w:val="20"/>
                <w:szCs w:val="20"/>
              </w:rPr>
            </w:pPr>
            <w:r>
              <w:rPr>
                <w:rFonts w:ascii="Arial" w:hAnsi="Arial" w:cs="Arial"/>
                <w:sz w:val="20"/>
                <w:szCs w:val="20"/>
              </w:rPr>
              <w:t>AND</w:t>
            </w:r>
          </w:p>
          <w:p w:rsidR="003707B5" w:rsidRDefault="003707B5" w:rsidP="00D03BD1">
            <w:pPr>
              <w:rPr>
                <w:rFonts w:ascii="Arial" w:hAnsi="Arial" w:cs="Arial"/>
                <w:sz w:val="20"/>
                <w:szCs w:val="20"/>
              </w:rPr>
            </w:pPr>
          </w:p>
          <w:p w:rsidR="003707B5" w:rsidRDefault="003707B5" w:rsidP="00D03BD1">
            <w:pPr>
              <w:rPr>
                <w:rFonts w:ascii="Arial" w:hAnsi="Arial" w:cs="Arial"/>
                <w:sz w:val="20"/>
                <w:szCs w:val="20"/>
              </w:rPr>
            </w:pPr>
            <w:r w:rsidRPr="00C36A98">
              <w:rPr>
                <w:rFonts w:ascii="Arial" w:hAnsi="Arial" w:cs="Arial"/>
                <w:sz w:val="20"/>
                <w:szCs w:val="20"/>
              </w:rPr>
              <w:t>Patient must be under 18 years of age.</w:t>
            </w:r>
          </w:p>
          <w:p w:rsidR="003707B5" w:rsidRDefault="003707B5" w:rsidP="00D03BD1">
            <w:pPr>
              <w:jc w:val="both"/>
              <w:rPr>
                <w:rFonts w:ascii="Arial" w:hAnsi="Arial" w:cs="Arial"/>
                <w:sz w:val="20"/>
                <w:szCs w:val="20"/>
              </w:rPr>
            </w:pPr>
          </w:p>
        </w:tc>
      </w:tr>
      <w:tr w:rsidR="003707B5" w:rsidTr="00B4438D">
        <w:trPr>
          <w:cantSplit/>
          <w:trHeight w:val="360"/>
        </w:trPr>
        <w:tc>
          <w:tcPr>
            <w:tcW w:w="1985" w:type="dxa"/>
            <w:tcBorders>
              <w:top w:val="single" w:sz="4" w:space="0" w:color="auto"/>
              <w:left w:val="single" w:sz="4" w:space="0" w:color="auto"/>
              <w:bottom w:val="single" w:sz="4" w:space="0" w:color="auto"/>
              <w:right w:val="single" w:sz="4" w:space="0" w:color="auto"/>
            </w:tcBorders>
          </w:tcPr>
          <w:p w:rsidR="003707B5" w:rsidRPr="003169A6" w:rsidRDefault="003707B5" w:rsidP="00D03BD1">
            <w:pPr>
              <w:jc w:val="both"/>
              <w:rPr>
                <w:rFonts w:ascii="Arial" w:hAnsi="Arial" w:cs="Arial"/>
                <w:b/>
                <w:sz w:val="20"/>
                <w:szCs w:val="20"/>
              </w:rPr>
            </w:pPr>
            <w:r w:rsidRPr="003169A6">
              <w:rPr>
                <w:rFonts w:ascii="Arial" w:hAnsi="Arial" w:cs="Arial"/>
                <w:b/>
                <w:sz w:val="20"/>
                <w:szCs w:val="20"/>
              </w:rPr>
              <w:t>Administrative Advice</w:t>
            </w:r>
          </w:p>
          <w:p w:rsidR="003707B5" w:rsidRPr="00C31A26" w:rsidRDefault="003707B5" w:rsidP="00D03BD1">
            <w:pPr>
              <w:jc w:val="both"/>
              <w:rPr>
                <w:rFonts w:ascii="Arial" w:hAnsi="Arial" w:cs="Arial"/>
                <w:i/>
                <w:sz w:val="20"/>
                <w:szCs w:val="20"/>
              </w:rPr>
            </w:pPr>
          </w:p>
        </w:tc>
        <w:tc>
          <w:tcPr>
            <w:tcW w:w="6378" w:type="dxa"/>
            <w:tcBorders>
              <w:top w:val="single" w:sz="4" w:space="0" w:color="auto"/>
              <w:left w:val="single" w:sz="4" w:space="0" w:color="auto"/>
              <w:bottom w:val="single" w:sz="4" w:space="0" w:color="auto"/>
              <w:right w:val="single" w:sz="4" w:space="0" w:color="auto"/>
            </w:tcBorders>
          </w:tcPr>
          <w:p w:rsidR="003707B5" w:rsidRDefault="003707B5" w:rsidP="00D03BD1">
            <w:pPr>
              <w:rPr>
                <w:rFonts w:ascii="Arial" w:hAnsi="Arial" w:cs="Arial"/>
                <w:sz w:val="20"/>
                <w:szCs w:val="20"/>
              </w:rPr>
            </w:pPr>
            <w:r>
              <w:rPr>
                <w:rFonts w:ascii="Arial" w:hAnsi="Arial" w:cs="Arial"/>
                <w:sz w:val="20"/>
                <w:szCs w:val="20"/>
              </w:rPr>
              <w:t>The name of the specialist must be included in the authority application</w:t>
            </w:r>
          </w:p>
        </w:tc>
      </w:tr>
    </w:tbl>
    <w:p w:rsidR="003707B5" w:rsidRDefault="003707B5" w:rsidP="003707B5">
      <w:pPr>
        <w:jc w:val="both"/>
        <w:rPr>
          <w:rFonts w:ascii="Arial" w:hAnsi="Arial" w:cs="Arial"/>
          <w:b/>
        </w:rPr>
      </w:pPr>
    </w:p>
    <w:tbl>
      <w:tblPr>
        <w:tblW w:w="8363" w:type="dxa"/>
        <w:tblInd w:w="817" w:type="dxa"/>
        <w:tblLayout w:type="fixed"/>
        <w:tblLook w:val="0000" w:firstRow="0" w:lastRow="0" w:firstColumn="0" w:lastColumn="0" w:noHBand="0" w:noVBand="0"/>
      </w:tblPr>
      <w:tblGrid>
        <w:gridCol w:w="1985"/>
        <w:gridCol w:w="6378"/>
      </w:tblGrid>
      <w:tr w:rsidR="003707B5" w:rsidTr="00B4438D">
        <w:trPr>
          <w:cantSplit/>
          <w:trHeight w:val="360"/>
        </w:trPr>
        <w:tc>
          <w:tcPr>
            <w:tcW w:w="8363" w:type="dxa"/>
            <w:gridSpan w:val="2"/>
            <w:tcBorders>
              <w:top w:val="single" w:sz="4" w:space="0" w:color="auto"/>
              <w:left w:val="single" w:sz="4" w:space="0" w:color="auto"/>
              <w:bottom w:val="single" w:sz="4" w:space="0" w:color="auto"/>
              <w:right w:val="single" w:sz="4" w:space="0" w:color="auto"/>
            </w:tcBorders>
          </w:tcPr>
          <w:p w:rsidR="003707B5" w:rsidRDefault="003707B5" w:rsidP="00D03BD1">
            <w:pPr>
              <w:rPr>
                <w:rFonts w:ascii="Arial" w:hAnsi="Arial"/>
                <w:b/>
                <w:i/>
              </w:rPr>
            </w:pPr>
            <w:r>
              <w:rPr>
                <w:rFonts w:ascii="Arial" w:hAnsi="Arial"/>
                <w:b/>
                <w:i/>
              </w:rPr>
              <w:lastRenderedPageBreak/>
              <w:t>RESTRICTION 3(b)</w:t>
            </w:r>
          </w:p>
          <w:p w:rsidR="003707B5" w:rsidRPr="00BE1B29" w:rsidRDefault="003707B5" w:rsidP="00D03BD1">
            <w:pPr>
              <w:rPr>
                <w:rFonts w:ascii="Arial" w:hAnsi="Arial"/>
                <w:b/>
                <w:i/>
                <w:sz w:val="20"/>
              </w:rPr>
            </w:pPr>
          </w:p>
        </w:tc>
      </w:tr>
      <w:tr w:rsidR="003707B5" w:rsidTr="00B4438D">
        <w:trPr>
          <w:cantSplit/>
          <w:trHeight w:val="360"/>
        </w:trPr>
        <w:tc>
          <w:tcPr>
            <w:tcW w:w="1985" w:type="dxa"/>
            <w:tcBorders>
              <w:top w:val="single" w:sz="4" w:space="0" w:color="auto"/>
              <w:left w:val="single" w:sz="4" w:space="0" w:color="auto"/>
              <w:bottom w:val="single" w:sz="4" w:space="0" w:color="auto"/>
              <w:right w:val="single" w:sz="4" w:space="0" w:color="auto"/>
            </w:tcBorders>
          </w:tcPr>
          <w:p w:rsidR="003707B5" w:rsidRPr="00D53380" w:rsidRDefault="003707B5" w:rsidP="00D03BD1">
            <w:pPr>
              <w:jc w:val="both"/>
              <w:rPr>
                <w:rFonts w:ascii="Arial" w:hAnsi="Arial" w:cs="Arial"/>
                <w:b/>
                <w:sz w:val="20"/>
                <w:szCs w:val="20"/>
              </w:rPr>
            </w:pPr>
            <w:r>
              <w:rPr>
                <w:rFonts w:ascii="Arial" w:hAnsi="Arial" w:cs="Arial"/>
                <w:b/>
                <w:sz w:val="20"/>
                <w:szCs w:val="20"/>
              </w:rPr>
              <w:t>Condition</w:t>
            </w:r>
            <w:r w:rsidRPr="00D53380">
              <w:rPr>
                <w:rFonts w:ascii="Arial" w:hAnsi="Arial" w:cs="Arial"/>
                <w:b/>
                <w:sz w:val="20"/>
                <w:szCs w:val="20"/>
              </w:rPr>
              <w:t>:</w:t>
            </w:r>
          </w:p>
        </w:tc>
        <w:tc>
          <w:tcPr>
            <w:tcW w:w="6378" w:type="dxa"/>
            <w:tcBorders>
              <w:top w:val="single" w:sz="4" w:space="0" w:color="auto"/>
              <w:left w:val="single" w:sz="4" w:space="0" w:color="auto"/>
              <w:bottom w:val="single" w:sz="4" w:space="0" w:color="auto"/>
              <w:right w:val="single" w:sz="4" w:space="0" w:color="auto"/>
            </w:tcBorders>
          </w:tcPr>
          <w:p w:rsidR="003707B5" w:rsidRDefault="003707B5" w:rsidP="00D03BD1">
            <w:pPr>
              <w:rPr>
                <w:rFonts w:ascii="Arial" w:hAnsi="Arial"/>
                <w:sz w:val="20"/>
              </w:rPr>
            </w:pPr>
            <w:r>
              <w:rPr>
                <w:rFonts w:ascii="Arial" w:hAnsi="Arial"/>
                <w:sz w:val="20"/>
              </w:rPr>
              <w:t>Pubertal induction</w:t>
            </w:r>
          </w:p>
        </w:tc>
      </w:tr>
      <w:tr w:rsidR="003707B5" w:rsidTr="00B4438D">
        <w:trPr>
          <w:cantSplit/>
          <w:trHeight w:val="360"/>
        </w:trPr>
        <w:tc>
          <w:tcPr>
            <w:tcW w:w="1985" w:type="dxa"/>
            <w:tcBorders>
              <w:top w:val="single" w:sz="4" w:space="0" w:color="auto"/>
              <w:left w:val="single" w:sz="4" w:space="0" w:color="auto"/>
              <w:bottom w:val="single" w:sz="4" w:space="0" w:color="auto"/>
              <w:right w:val="single" w:sz="4" w:space="0" w:color="auto"/>
            </w:tcBorders>
          </w:tcPr>
          <w:p w:rsidR="003707B5" w:rsidRDefault="003707B5" w:rsidP="00D03BD1">
            <w:pPr>
              <w:jc w:val="both"/>
              <w:rPr>
                <w:rFonts w:ascii="Arial" w:hAnsi="Arial" w:cs="Arial"/>
                <w:b/>
                <w:sz w:val="20"/>
                <w:szCs w:val="20"/>
              </w:rPr>
            </w:pPr>
            <w:r>
              <w:rPr>
                <w:rFonts w:ascii="Arial" w:hAnsi="Arial" w:cs="Arial"/>
                <w:b/>
                <w:sz w:val="20"/>
                <w:szCs w:val="20"/>
              </w:rPr>
              <w:t>Restriction:</w:t>
            </w:r>
          </w:p>
          <w:p w:rsidR="003707B5" w:rsidRPr="00D53380" w:rsidRDefault="003707B5" w:rsidP="00D03BD1">
            <w:pPr>
              <w:rPr>
                <w:rFonts w:ascii="Arial" w:hAnsi="Arial" w:cs="Arial"/>
                <w:sz w:val="20"/>
                <w:szCs w:val="20"/>
              </w:rPr>
            </w:pPr>
          </w:p>
        </w:tc>
        <w:tc>
          <w:tcPr>
            <w:tcW w:w="6378" w:type="dxa"/>
            <w:tcBorders>
              <w:top w:val="single" w:sz="4" w:space="0" w:color="auto"/>
              <w:left w:val="single" w:sz="4" w:space="0" w:color="auto"/>
              <w:bottom w:val="single" w:sz="4" w:space="0" w:color="auto"/>
              <w:right w:val="single" w:sz="4" w:space="0" w:color="auto"/>
            </w:tcBorders>
          </w:tcPr>
          <w:p w:rsidR="003707B5" w:rsidRDefault="003707B5" w:rsidP="00D03BD1">
            <w:pPr>
              <w:rPr>
                <w:rFonts w:ascii="Arial" w:hAnsi="Arial"/>
                <w:sz w:val="20"/>
              </w:rPr>
            </w:pPr>
            <w:r>
              <w:rPr>
                <w:rFonts w:ascii="Arial" w:hAnsi="Arial"/>
                <w:sz w:val="20"/>
              </w:rPr>
              <w:t>Authority required</w:t>
            </w:r>
          </w:p>
        </w:tc>
      </w:tr>
      <w:tr w:rsidR="003707B5" w:rsidTr="00B4438D">
        <w:trPr>
          <w:cantSplit/>
          <w:trHeight w:val="360"/>
        </w:trPr>
        <w:tc>
          <w:tcPr>
            <w:tcW w:w="1985" w:type="dxa"/>
            <w:tcBorders>
              <w:top w:val="single" w:sz="4" w:space="0" w:color="auto"/>
              <w:left w:val="single" w:sz="4" w:space="0" w:color="auto"/>
              <w:bottom w:val="single" w:sz="4" w:space="0" w:color="auto"/>
              <w:right w:val="single" w:sz="4" w:space="0" w:color="auto"/>
            </w:tcBorders>
          </w:tcPr>
          <w:p w:rsidR="003707B5" w:rsidRPr="00C31A26" w:rsidRDefault="003707B5" w:rsidP="00D03BD1">
            <w:pPr>
              <w:rPr>
                <w:rFonts w:ascii="Arial" w:hAnsi="Arial" w:cs="Arial"/>
                <w:b/>
                <w:sz w:val="20"/>
                <w:szCs w:val="20"/>
              </w:rPr>
            </w:pPr>
            <w:r w:rsidRPr="00C31A26">
              <w:rPr>
                <w:rFonts w:ascii="Arial" w:hAnsi="Arial" w:cs="Arial"/>
                <w:b/>
                <w:sz w:val="20"/>
                <w:szCs w:val="20"/>
              </w:rPr>
              <w:t>Treatment criteria:</w:t>
            </w:r>
          </w:p>
          <w:p w:rsidR="003707B5" w:rsidRPr="00C31A26" w:rsidRDefault="003707B5" w:rsidP="00D03BD1">
            <w:pPr>
              <w:rPr>
                <w:rFonts w:ascii="Arial" w:hAnsi="Arial" w:cs="Arial"/>
                <w:sz w:val="20"/>
                <w:szCs w:val="20"/>
              </w:rPr>
            </w:pPr>
          </w:p>
        </w:tc>
        <w:tc>
          <w:tcPr>
            <w:tcW w:w="6378" w:type="dxa"/>
            <w:tcBorders>
              <w:top w:val="single" w:sz="4" w:space="0" w:color="auto"/>
              <w:left w:val="single" w:sz="4" w:space="0" w:color="auto"/>
              <w:bottom w:val="single" w:sz="4" w:space="0" w:color="auto"/>
              <w:right w:val="single" w:sz="4" w:space="0" w:color="auto"/>
            </w:tcBorders>
          </w:tcPr>
          <w:p w:rsidR="003707B5" w:rsidRDefault="003707B5" w:rsidP="00D03BD1">
            <w:pPr>
              <w:rPr>
                <w:rFonts w:ascii="Arial" w:hAnsi="Arial" w:cs="Arial"/>
                <w:sz w:val="20"/>
                <w:szCs w:val="20"/>
              </w:rPr>
            </w:pPr>
            <w:r>
              <w:rPr>
                <w:rFonts w:ascii="Arial" w:hAnsi="Arial" w:cs="Arial"/>
                <w:sz w:val="20"/>
                <w:szCs w:val="20"/>
              </w:rPr>
              <w:t>Must be treated by or in consultation with a specialist paediatric endocrinologist, specialist urologist, specialist endocrinologist or a registered member of the Australasian Chapter of Sexual Health Medicine or have an appointment to be assessed by one of these specialists.</w:t>
            </w:r>
          </w:p>
          <w:p w:rsidR="003707B5" w:rsidRPr="00C31A26" w:rsidRDefault="003707B5" w:rsidP="00D03BD1">
            <w:pPr>
              <w:rPr>
                <w:rFonts w:ascii="Arial" w:hAnsi="Arial" w:cs="Arial"/>
                <w:sz w:val="20"/>
                <w:szCs w:val="20"/>
              </w:rPr>
            </w:pPr>
          </w:p>
        </w:tc>
      </w:tr>
      <w:tr w:rsidR="003707B5" w:rsidTr="00B4438D">
        <w:trPr>
          <w:cantSplit/>
          <w:trHeight w:val="360"/>
        </w:trPr>
        <w:tc>
          <w:tcPr>
            <w:tcW w:w="1985" w:type="dxa"/>
            <w:tcBorders>
              <w:top w:val="single" w:sz="4" w:space="0" w:color="auto"/>
              <w:left w:val="single" w:sz="4" w:space="0" w:color="auto"/>
              <w:bottom w:val="single" w:sz="4" w:space="0" w:color="auto"/>
              <w:right w:val="single" w:sz="4" w:space="0" w:color="auto"/>
            </w:tcBorders>
          </w:tcPr>
          <w:p w:rsidR="003707B5" w:rsidRPr="00C31A26" w:rsidRDefault="003707B5" w:rsidP="00D03BD1">
            <w:pPr>
              <w:jc w:val="both"/>
              <w:rPr>
                <w:rFonts w:ascii="Arial" w:hAnsi="Arial" w:cs="Arial"/>
                <w:b/>
                <w:sz w:val="20"/>
                <w:szCs w:val="20"/>
              </w:rPr>
            </w:pPr>
            <w:r w:rsidRPr="00C31A26">
              <w:rPr>
                <w:rFonts w:ascii="Arial" w:hAnsi="Arial" w:cs="Arial"/>
                <w:b/>
                <w:sz w:val="20"/>
                <w:szCs w:val="20"/>
              </w:rPr>
              <w:t>Population criteria:</w:t>
            </w:r>
          </w:p>
          <w:p w:rsidR="003707B5" w:rsidRDefault="003707B5" w:rsidP="00D03BD1">
            <w:pPr>
              <w:rPr>
                <w:rFonts w:ascii="Arial" w:hAnsi="Arial" w:cs="Arial"/>
                <w:sz w:val="20"/>
                <w:szCs w:val="20"/>
              </w:rPr>
            </w:pPr>
          </w:p>
        </w:tc>
        <w:tc>
          <w:tcPr>
            <w:tcW w:w="6378" w:type="dxa"/>
            <w:tcBorders>
              <w:top w:val="single" w:sz="4" w:space="0" w:color="auto"/>
              <w:left w:val="single" w:sz="4" w:space="0" w:color="auto"/>
              <w:bottom w:val="single" w:sz="4" w:space="0" w:color="auto"/>
              <w:right w:val="single" w:sz="4" w:space="0" w:color="auto"/>
            </w:tcBorders>
          </w:tcPr>
          <w:p w:rsidR="003707B5" w:rsidRDefault="003707B5" w:rsidP="00D03BD1">
            <w:pPr>
              <w:rPr>
                <w:rFonts w:ascii="Arial" w:hAnsi="Arial" w:cs="Arial"/>
                <w:sz w:val="20"/>
                <w:szCs w:val="20"/>
              </w:rPr>
            </w:pPr>
            <w:r>
              <w:rPr>
                <w:rFonts w:ascii="Arial" w:hAnsi="Arial" w:cs="Arial"/>
                <w:sz w:val="20"/>
                <w:szCs w:val="20"/>
              </w:rPr>
              <w:t>Patient must be male</w:t>
            </w:r>
          </w:p>
          <w:p w:rsidR="003707B5" w:rsidRDefault="003707B5" w:rsidP="00D03BD1">
            <w:pPr>
              <w:rPr>
                <w:rFonts w:ascii="Arial" w:hAnsi="Arial" w:cs="Arial"/>
                <w:sz w:val="20"/>
                <w:szCs w:val="20"/>
              </w:rPr>
            </w:pPr>
          </w:p>
          <w:p w:rsidR="003707B5" w:rsidRDefault="003707B5" w:rsidP="00D03BD1">
            <w:pPr>
              <w:rPr>
                <w:rFonts w:ascii="Arial" w:hAnsi="Arial" w:cs="Arial"/>
                <w:sz w:val="20"/>
                <w:szCs w:val="20"/>
              </w:rPr>
            </w:pPr>
            <w:r>
              <w:rPr>
                <w:rFonts w:ascii="Arial" w:hAnsi="Arial" w:cs="Arial"/>
                <w:sz w:val="20"/>
                <w:szCs w:val="20"/>
              </w:rPr>
              <w:t>AND</w:t>
            </w:r>
          </w:p>
          <w:p w:rsidR="003707B5" w:rsidRDefault="003707B5" w:rsidP="00D03BD1">
            <w:pPr>
              <w:rPr>
                <w:rFonts w:ascii="Arial" w:hAnsi="Arial" w:cs="Arial"/>
                <w:sz w:val="20"/>
                <w:szCs w:val="20"/>
              </w:rPr>
            </w:pPr>
          </w:p>
          <w:p w:rsidR="003707B5" w:rsidRDefault="003707B5" w:rsidP="00D03BD1">
            <w:pPr>
              <w:rPr>
                <w:rFonts w:ascii="Arial" w:hAnsi="Arial" w:cs="Arial"/>
                <w:sz w:val="20"/>
                <w:szCs w:val="20"/>
              </w:rPr>
            </w:pPr>
            <w:r w:rsidRPr="00C36A98">
              <w:rPr>
                <w:rFonts w:ascii="Arial" w:hAnsi="Arial" w:cs="Arial"/>
                <w:sz w:val="20"/>
                <w:szCs w:val="20"/>
              </w:rPr>
              <w:t>Patient must be under 18 years of age.</w:t>
            </w:r>
          </w:p>
          <w:p w:rsidR="003707B5" w:rsidRDefault="003707B5" w:rsidP="00D03BD1">
            <w:pPr>
              <w:jc w:val="both"/>
              <w:rPr>
                <w:rFonts w:ascii="Arial" w:hAnsi="Arial" w:cs="Arial"/>
                <w:sz w:val="20"/>
                <w:szCs w:val="20"/>
              </w:rPr>
            </w:pPr>
          </w:p>
        </w:tc>
      </w:tr>
      <w:tr w:rsidR="003707B5" w:rsidTr="00B4438D">
        <w:trPr>
          <w:cantSplit/>
          <w:trHeight w:val="360"/>
        </w:trPr>
        <w:tc>
          <w:tcPr>
            <w:tcW w:w="1985" w:type="dxa"/>
            <w:tcBorders>
              <w:top w:val="single" w:sz="4" w:space="0" w:color="auto"/>
              <w:left w:val="single" w:sz="4" w:space="0" w:color="auto"/>
              <w:bottom w:val="single" w:sz="4" w:space="0" w:color="auto"/>
              <w:right w:val="single" w:sz="4" w:space="0" w:color="auto"/>
            </w:tcBorders>
          </w:tcPr>
          <w:p w:rsidR="003707B5" w:rsidRPr="003169A6" w:rsidRDefault="003707B5" w:rsidP="00D03BD1">
            <w:pPr>
              <w:jc w:val="both"/>
              <w:rPr>
                <w:rFonts w:ascii="Arial" w:hAnsi="Arial" w:cs="Arial"/>
                <w:b/>
                <w:sz w:val="20"/>
                <w:szCs w:val="20"/>
              </w:rPr>
            </w:pPr>
            <w:r w:rsidRPr="003169A6">
              <w:rPr>
                <w:rFonts w:ascii="Arial" w:hAnsi="Arial" w:cs="Arial"/>
                <w:b/>
                <w:sz w:val="20"/>
                <w:szCs w:val="20"/>
              </w:rPr>
              <w:t>Administrative Advice</w:t>
            </w:r>
          </w:p>
          <w:p w:rsidR="003707B5" w:rsidRPr="00C31A26" w:rsidRDefault="003707B5" w:rsidP="00D03BD1">
            <w:pPr>
              <w:jc w:val="both"/>
              <w:rPr>
                <w:rFonts w:ascii="Arial" w:hAnsi="Arial" w:cs="Arial"/>
                <w:i/>
                <w:sz w:val="20"/>
                <w:szCs w:val="20"/>
              </w:rPr>
            </w:pPr>
          </w:p>
        </w:tc>
        <w:tc>
          <w:tcPr>
            <w:tcW w:w="6378" w:type="dxa"/>
            <w:tcBorders>
              <w:top w:val="single" w:sz="4" w:space="0" w:color="auto"/>
              <w:left w:val="single" w:sz="4" w:space="0" w:color="auto"/>
              <w:bottom w:val="single" w:sz="4" w:space="0" w:color="auto"/>
              <w:right w:val="single" w:sz="4" w:space="0" w:color="auto"/>
            </w:tcBorders>
          </w:tcPr>
          <w:p w:rsidR="003707B5" w:rsidRDefault="003707B5" w:rsidP="00D03BD1">
            <w:pPr>
              <w:rPr>
                <w:rFonts w:ascii="Arial" w:hAnsi="Arial" w:cs="Arial"/>
                <w:sz w:val="20"/>
                <w:szCs w:val="20"/>
              </w:rPr>
            </w:pPr>
            <w:r>
              <w:rPr>
                <w:rFonts w:ascii="Arial" w:hAnsi="Arial" w:cs="Arial"/>
                <w:sz w:val="20"/>
                <w:szCs w:val="20"/>
              </w:rPr>
              <w:t>The name of the specialist must be included in the authority application</w:t>
            </w:r>
          </w:p>
        </w:tc>
      </w:tr>
    </w:tbl>
    <w:p w:rsidR="003707B5" w:rsidRDefault="003707B5" w:rsidP="003707B5">
      <w:pPr>
        <w:jc w:val="both"/>
        <w:rPr>
          <w:rFonts w:ascii="Arial" w:hAnsi="Arial" w:cs="Arial"/>
          <w:b/>
        </w:rPr>
      </w:pPr>
    </w:p>
    <w:tbl>
      <w:tblPr>
        <w:tblW w:w="8363" w:type="dxa"/>
        <w:tblInd w:w="817" w:type="dxa"/>
        <w:tblLayout w:type="fixed"/>
        <w:tblLook w:val="0000" w:firstRow="0" w:lastRow="0" w:firstColumn="0" w:lastColumn="0" w:noHBand="0" w:noVBand="0"/>
      </w:tblPr>
      <w:tblGrid>
        <w:gridCol w:w="1985"/>
        <w:gridCol w:w="6378"/>
      </w:tblGrid>
      <w:tr w:rsidR="003707B5" w:rsidTr="00B4438D">
        <w:trPr>
          <w:cantSplit/>
          <w:trHeight w:val="360"/>
        </w:trPr>
        <w:tc>
          <w:tcPr>
            <w:tcW w:w="8363" w:type="dxa"/>
            <w:gridSpan w:val="2"/>
            <w:tcBorders>
              <w:top w:val="single" w:sz="4" w:space="0" w:color="auto"/>
              <w:left w:val="single" w:sz="4" w:space="0" w:color="auto"/>
              <w:bottom w:val="single" w:sz="4" w:space="0" w:color="auto"/>
              <w:right w:val="single" w:sz="4" w:space="0" w:color="auto"/>
            </w:tcBorders>
          </w:tcPr>
          <w:p w:rsidR="003707B5" w:rsidRDefault="003707B5" w:rsidP="00D03BD1">
            <w:pPr>
              <w:rPr>
                <w:rFonts w:ascii="Arial" w:hAnsi="Arial"/>
                <w:b/>
                <w:i/>
              </w:rPr>
            </w:pPr>
            <w:r>
              <w:rPr>
                <w:rFonts w:ascii="Arial" w:hAnsi="Arial"/>
                <w:b/>
                <w:i/>
              </w:rPr>
              <w:t>RESTRICTION 3(c)</w:t>
            </w:r>
          </w:p>
          <w:p w:rsidR="003707B5" w:rsidRPr="00BE1B29" w:rsidRDefault="003707B5" w:rsidP="00D03BD1">
            <w:pPr>
              <w:rPr>
                <w:rFonts w:ascii="Arial" w:hAnsi="Arial"/>
                <w:b/>
                <w:i/>
                <w:sz w:val="20"/>
              </w:rPr>
            </w:pPr>
          </w:p>
        </w:tc>
      </w:tr>
      <w:tr w:rsidR="003707B5" w:rsidTr="00B4438D">
        <w:trPr>
          <w:cantSplit/>
          <w:trHeight w:val="360"/>
        </w:trPr>
        <w:tc>
          <w:tcPr>
            <w:tcW w:w="1985" w:type="dxa"/>
            <w:tcBorders>
              <w:top w:val="single" w:sz="4" w:space="0" w:color="auto"/>
              <w:left w:val="single" w:sz="4" w:space="0" w:color="auto"/>
              <w:bottom w:val="single" w:sz="4" w:space="0" w:color="auto"/>
              <w:right w:val="single" w:sz="4" w:space="0" w:color="auto"/>
            </w:tcBorders>
          </w:tcPr>
          <w:p w:rsidR="003707B5" w:rsidRPr="00D53380" w:rsidRDefault="003707B5" w:rsidP="00D03BD1">
            <w:pPr>
              <w:jc w:val="both"/>
              <w:rPr>
                <w:rFonts w:ascii="Arial" w:hAnsi="Arial" w:cs="Arial"/>
                <w:b/>
                <w:sz w:val="20"/>
                <w:szCs w:val="20"/>
              </w:rPr>
            </w:pPr>
            <w:r>
              <w:rPr>
                <w:rFonts w:ascii="Arial" w:hAnsi="Arial" w:cs="Arial"/>
                <w:b/>
                <w:sz w:val="20"/>
                <w:szCs w:val="20"/>
              </w:rPr>
              <w:t>Condition</w:t>
            </w:r>
            <w:r w:rsidRPr="00D53380">
              <w:rPr>
                <w:rFonts w:ascii="Arial" w:hAnsi="Arial" w:cs="Arial"/>
                <w:b/>
                <w:sz w:val="20"/>
                <w:szCs w:val="20"/>
              </w:rPr>
              <w:t>:</w:t>
            </w:r>
          </w:p>
        </w:tc>
        <w:tc>
          <w:tcPr>
            <w:tcW w:w="6378" w:type="dxa"/>
            <w:tcBorders>
              <w:top w:val="single" w:sz="4" w:space="0" w:color="auto"/>
              <w:left w:val="single" w:sz="4" w:space="0" w:color="auto"/>
              <w:bottom w:val="single" w:sz="4" w:space="0" w:color="auto"/>
              <w:right w:val="single" w:sz="4" w:space="0" w:color="auto"/>
            </w:tcBorders>
          </w:tcPr>
          <w:p w:rsidR="003707B5" w:rsidRDefault="003707B5" w:rsidP="00D03BD1">
            <w:pPr>
              <w:rPr>
                <w:rFonts w:ascii="Arial" w:hAnsi="Arial"/>
                <w:sz w:val="20"/>
              </w:rPr>
            </w:pPr>
            <w:r>
              <w:rPr>
                <w:rFonts w:ascii="Arial" w:hAnsi="Arial"/>
                <w:sz w:val="20"/>
              </w:rPr>
              <w:t>Constitutional delay of growth or puberty</w:t>
            </w:r>
          </w:p>
        </w:tc>
      </w:tr>
      <w:tr w:rsidR="003707B5" w:rsidTr="00B4438D">
        <w:trPr>
          <w:cantSplit/>
          <w:trHeight w:val="360"/>
        </w:trPr>
        <w:tc>
          <w:tcPr>
            <w:tcW w:w="1985" w:type="dxa"/>
            <w:tcBorders>
              <w:top w:val="single" w:sz="4" w:space="0" w:color="auto"/>
              <w:left w:val="single" w:sz="4" w:space="0" w:color="auto"/>
              <w:bottom w:val="single" w:sz="4" w:space="0" w:color="auto"/>
              <w:right w:val="single" w:sz="4" w:space="0" w:color="auto"/>
            </w:tcBorders>
          </w:tcPr>
          <w:p w:rsidR="003707B5" w:rsidRDefault="003707B5" w:rsidP="00D03BD1">
            <w:pPr>
              <w:jc w:val="both"/>
              <w:rPr>
                <w:rFonts w:ascii="Arial" w:hAnsi="Arial" w:cs="Arial"/>
                <w:b/>
                <w:sz w:val="20"/>
                <w:szCs w:val="20"/>
              </w:rPr>
            </w:pPr>
            <w:r>
              <w:rPr>
                <w:rFonts w:ascii="Arial" w:hAnsi="Arial" w:cs="Arial"/>
                <w:b/>
                <w:sz w:val="20"/>
                <w:szCs w:val="20"/>
              </w:rPr>
              <w:t>Restriction:</w:t>
            </w:r>
          </w:p>
          <w:p w:rsidR="003707B5" w:rsidRPr="00D53380" w:rsidRDefault="003707B5" w:rsidP="00D03BD1">
            <w:pPr>
              <w:rPr>
                <w:rFonts w:ascii="Arial" w:hAnsi="Arial" w:cs="Arial"/>
                <w:sz w:val="20"/>
                <w:szCs w:val="20"/>
              </w:rPr>
            </w:pPr>
          </w:p>
        </w:tc>
        <w:tc>
          <w:tcPr>
            <w:tcW w:w="6378" w:type="dxa"/>
            <w:tcBorders>
              <w:top w:val="single" w:sz="4" w:space="0" w:color="auto"/>
              <w:left w:val="single" w:sz="4" w:space="0" w:color="auto"/>
              <w:bottom w:val="single" w:sz="4" w:space="0" w:color="auto"/>
              <w:right w:val="single" w:sz="4" w:space="0" w:color="auto"/>
            </w:tcBorders>
          </w:tcPr>
          <w:p w:rsidR="003707B5" w:rsidRDefault="003707B5" w:rsidP="00D03BD1">
            <w:pPr>
              <w:rPr>
                <w:rFonts w:ascii="Arial" w:hAnsi="Arial"/>
                <w:sz w:val="20"/>
              </w:rPr>
            </w:pPr>
            <w:r>
              <w:rPr>
                <w:rFonts w:ascii="Arial" w:hAnsi="Arial"/>
                <w:sz w:val="20"/>
              </w:rPr>
              <w:t>Authority required</w:t>
            </w:r>
          </w:p>
        </w:tc>
      </w:tr>
      <w:tr w:rsidR="003707B5" w:rsidTr="00B4438D">
        <w:trPr>
          <w:cantSplit/>
          <w:trHeight w:val="360"/>
        </w:trPr>
        <w:tc>
          <w:tcPr>
            <w:tcW w:w="1985" w:type="dxa"/>
            <w:tcBorders>
              <w:top w:val="single" w:sz="4" w:space="0" w:color="auto"/>
              <w:left w:val="single" w:sz="4" w:space="0" w:color="auto"/>
              <w:bottom w:val="single" w:sz="4" w:space="0" w:color="auto"/>
              <w:right w:val="single" w:sz="4" w:space="0" w:color="auto"/>
            </w:tcBorders>
          </w:tcPr>
          <w:p w:rsidR="003707B5" w:rsidRPr="00C31A26" w:rsidRDefault="003707B5" w:rsidP="00D03BD1">
            <w:pPr>
              <w:rPr>
                <w:rFonts w:ascii="Arial" w:hAnsi="Arial" w:cs="Arial"/>
                <w:b/>
                <w:sz w:val="20"/>
                <w:szCs w:val="20"/>
              </w:rPr>
            </w:pPr>
            <w:r w:rsidRPr="00C31A26">
              <w:rPr>
                <w:rFonts w:ascii="Arial" w:hAnsi="Arial" w:cs="Arial"/>
                <w:b/>
                <w:sz w:val="20"/>
                <w:szCs w:val="20"/>
              </w:rPr>
              <w:t>Treatment criteria:</w:t>
            </w:r>
          </w:p>
          <w:p w:rsidR="003707B5" w:rsidRPr="00C31A26" w:rsidRDefault="003707B5" w:rsidP="00D03BD1">
            <w:pPr>
              <w:rPr>
                <w:rFonts w:ascii="Arial" w:hAnsi="Arial" w:cs="Arial"/>
                <w:sz w:val="20"/>
                <w:szCs w:val="20"/>
              </w:rPr>
            </w:pPr>
          </w:p>
        </w:tc>
        <w:tc>
          <w:tcPr>
            <w:tcW w:w="6378" w:type="dxa"/>
            <w:tcBorders>
              <w:top w:val="single" w:sz="4" w:space="0" w:color="auto"/>
              <w:left w:val="single" w:sz="4" w:space="0" w:color="auto"/>
              <w:bottom w:val="single" w:sz="4" w:space="0" w:color="auto"/>
              <w:right w:val="single" w:sz="4" w:space="0" w:color="auto"/>
            </w:tcBorders>
          </w:tcPr>
          <w:p w:rsidR="003707B5" w:rsidRDefault="003707B5" w:rsidP="00D03BD1">
            <w:pPr>
              <w:rPr>
                <w:rFonts w:ascii="Arial" w:hAnsi="Arial" w:cs="Arial"/>
                <w:sz w:val="20"/>
                <w:szCs w:val="20"/>
              </w:rPr>
            </w:pPr>
            <w:r>
              <w:rPr>
                <w:rFonts w:ascii="Arial" w:hAnsi="Arial" w:cs="Arial"/>
                <w:sz w:val="20"/>
                <w:szCs w:val="20"/>
              </w:rPr>
              <w:t>Must be treated by or in consultation with a specialist paediatric endocrinologist, specialist urologist, specialist endocrinologist or a registered member of the Australasian Chapter of Sexual Health Medicine or have an appointment to be assessed by one of these specialists.</w:t>
            </w:r>
          </w:p>
          <w:p w:rsidR="003707B5" w:rsidRPr="00C31A26" w:rsidRDefault="003707B5" w:rsidP="00D03BD1">
            <w:pPr>
              <w:rPr>
                <w:rFonts w:ascii="Arial" w:hAnsi="Arial" w:cs="Arial"/>
                <w:sz w:val="20"/>
                <w:szCs w:val="20"/>
              </w:rPr>
            </w:pPr>
          </w:p>
        </w:tc>
      </w:tr>
      <w:tr w:rsidR="003707B5" w:rsidTr="00B4438D">
        <w:trPr>
          <w:cantSplit/>
          <w:trHeight w:val="360"/>
        </w:trPr>
        <w:tc>
          <w:tcPr>
            <w:tcW w:w="1985" w:type="dxa"/>
            <w:tcBorders>
              <w:top w:val="single" w:sz="4" w:space="0" w:color="auto"/>
              <w:left w:val="single" w:sz="4" w:space="0" w:color="auto"/>
              <w:bottom w:val="single" w:sz="4" w:space="0" w:color="auto"/>
              <w:right w:val="single" w:sz="4" w:space="0" w:color="auto"/>
            </w:tcBorders>
          </w:tcPr>
          <w:p w:rsidR="003707B5" w:rsidRPr="00C31A26" w:rsidRDefault="003707B5" w:rsidP="00D03BD1">
            <w:pPr>
              <w:jc w:val="both"/>
              <w:rPr>
                <w:rFonts w:ascii="Arial" w:hAnsi="Arial" w:cs="Arial"/>
                <w:b/>
                <w:sz w:val="20"/>
                <w:szCs w:val="20"/>
              </w:rPr>
            </w:pPr>
            <w:r w:rsidRPr="00C31A26">
              <w:rPr>
                <w:rFonts w:ascii="Arial" w:hAnsi="Arial" w:cs="Arial"/>
                <w:b/>
                <w:sz w:val="20"/>
                <w:szCs w:val="20"/>
              </w:rPr>
              <w:t>Population criteria:</w:t>
            </w:r>
          </w:p>
          <w:p w:rsidR="003707B5" w:rsidRDefault="003707B5" w:rsidP="00D03BD1">
            <w:pPr>
              <w:rPr>
                <w:rFonts w:ascii="Arial" w:hAnsi="Arial" w:cs="Arial"/>
                <w:sz w:val="20"/>
                <w:szCs w:val="20"/>
              </w:rPr>
            </w:pPr>
          </w:p>
        </w:tc>
        <w:tc>
          <w:tcPr>
            <w:tcW w:w="6378" w:type="dxa"/>
            <w:tcBorders>
              <w:top w:val="single" w:sz="4" w:space="0" w:color="auto"/>
              <w:left w:val="single" w:sz="4" w:space="0" w:color="auto"/>
              <w:bottom w:val="single" w:sz="4" w:space="0" w:color="auto"/>
              <w:right w:val="single" w:sz="4" w:space="0" w:color="auto"/>
            </w:tcBorders>
          </w:tcPr>
          <w:p w:rsidR="003707B5" w:rsidRDefault="003707B5" w:rsidP="00D03BD1">
            <w:pPr>
              <w:rPr>
                <w:rFonts w:ascii="Arial" w:hAnsi="Arial" w:cs="Arial"/>
                <w:sz w:val="20"/>
                <w:szCs w:val="20"/>
              </w:rPr>
            </w:pPr>
            <w:r>
              <w:rPr>
                <w:rFonts w:ascii="Arial" w:hAnsi="Arial" w:cs="Arial"/>
                <w:sz w:val="20"/>
                <w:szCs w:val="20"/>
              </w:rPr>
              <w:t>Patient must be male</w:t>
            </w:r>
          </w:p>
          <w:p w:rsidR="003707B5" w:rsidRDefault="003707B5" w:rsidP="00D03BD1">
            <w:pPr>
              <w:rPr>
                <w:rFonts w:ascii="Arial" w:hAnsi="Arial" w:cs="Arial"/>
                <w:sz w:val="20"/>
                <w:szCs w:val="20"/>
              </w:rPr>
            </w:pPr>
          </w:p>
          <w:p w:rsidR="003707B5" w:rsidRDefault="003707B5" w:rsidP="00D03BD1">
            <w:pPr>
              <w:rPr>
                <w:rFonts w:ascii="Arial" w:hAnsi="Arial" w:cs="Arial"/>
                <w:sz w:val="20"/>
                <w:szCs w:val="20"/>
              </w:rPr>
            </w:pPr>
            <w:r>
              <w:rPr>
                <w:rFonts w:ascii="Arial" w:hAnsi="Arial" w:cs="Arial"/>
                <w:sz w:val="20"/>
                <w:szCs w:val="20"/>
              </w:rPr>
              <w:t>AND</w:t>
            </w:r>
          </w:p>
          <w:p w:rsidR="003707B5" w:rsidRDefault="003707B5" w:rsidP="00D03BD1">
            <w:pPr>
              <w:rPr>
                <w:rFonts w:ascii="Arial" w:hAnsi="Arial" w:cs="Arial"/>
                <w:sz w:val="20"/>
                <w:szCs w:val="20"/>
              </w:rPr>
            </w:pPr>
          </w:p>
          <w:p w:rsidR="003707B5" w:rsidRDefault="003707B5" w:rsidP="00D03BD1">
            <w:pPr>
              <w:rPr>
                <w:rFonts w:ascii="Arial" w:hAnsi="Arial" w:cs="Arial"/>
                <w:sz w:val="20"/>
                <w:szCs w:val="20"/>
              </w:rPr>
            </w:pPr>
            <w:r w:rsidRPr="00C36A98">
              <w:rPr>
                <w:rFonts w:ascii="Arial" w:hAnsi="Arial" w:cs="Arial"/>
                <w:sz w:val="20"/>
                <w:szCs w:val="20"/>
              </w:rPr>
              <w:t>Patient must be under 18 years of age.</w:t>
            </w:r>
          </w:p>
          <w:p w:rsidR="003707B5" w:rsidRDefault="003707B5" w:rsidP="00D03BD1">
            <w:pPr>
              <w:jc w:val="both"/>
              <w:rPr>
                <w:rFonts w:ascii="Arial" w:hAnsi="Arial" w:cs="Arial"/>
                <w:sz w:val="20"/>
                <w:szCs w:val="20"/>
              </w:rPr>
            </w:pPr>
          </w:p>
        </w:tc>
      </w:tr>
      <w:tr w:rsidR="003707B5" w:rsidTr="00B4438D">
        <w:trPr>
          <w:cantSplit/>
          <w:trHeight w:val="360"/>
        </w:trPr>
        <w:tc>
          <w:tcPr>
            <w:tcW w:w="1985" w:type="dxa"/>
            <w:tcBorders>
              <w:top w:val="single" w:sz="4" w:space="0" w:color="auto"/>
              <w:left w:val="single" w:sz="4" w:space="0" w:color="auto"/>
              <w:bottom w:val="single" w:sz="4" w:space="0" w:color="auto"/>
              <w:right w:val="single" w:sz="4" w:space="0" w:color="auto"/>
            </w:tcBorders>
          </w:tcPr>
          <w:p w:rsidR="003707B5" w:rsidRPr="003169A6" w:rsidRDefault="003707B5" w:rsidP="00D03BD1">
            <w:pPr>
              <w:jc w:val="both"/>
              <w:rPr>
                <w:rFonts w:ascii="Arial" w:hAnsi="Arial" w:cs="Arial"/>
                <w:b/>
                <w:sz w:val="20"/>
                <w:szCs w:val="20"/>
              </w:rPr>
            </w:pPr>
            <w:r w:rsidRPr="003169A6">
              <w:rPr>
                <w:rFonts w:ascii="Arial" w:hAnsi="Arial" w:cs="Arial"/>
                <w:b/>
                <w:sz w:val="20"/>
                <w:szCs w:val="20"/>
              </w:rPr>
              <w:t>Administrative Advice</w:t>
            </w:r>
          </w:p>
          <w:p w:rsidR="003707B5" w:rsidRPr="00C31A26" w:rsidRDefault="003707B5" w:rsidP="00D03BD1">
            <w:pPr>
              <w:jc w:val="both"/>
              <w:rPr>
                <w:rFonts w:ascii="Arial" w:hAnsi="Arial" w:cs="Arial"/>
                <w:i/>
                <w:sz w:val="20"/>
                <w:szCs w:val="20"/>
              </w:rPr>
            </w:pPr>
          </w:p>
        </w:tc>
        <w:tc>
          <w:tcPr>
            <w:tcW w:w="6378" w:type="dxa"/>
            <w:tcBorders>
              <w:top w:val="single" w:sz="4" w:space="0" w:color="auto"/>
              <w:left w:val="single" w:sz="4" w:space="0" w:color="auto"/>
              <w:bottom w:val="single" w:sz="4" w:space="0" w:color="auto"/>
              <w:right w:val="single" w:sz="4" w:space="0" w:color="auto"/>
            </w:tcBorders>
          </w:tcPr>
          <w:p w:rsidR="003707B5" w:rsidRDefault="003707B5" w:rsidP="00D03BD1">
            <w:pPr>
              <w:rPr>
                <w:rFonts w:ascii="Arial" w:hAnsi="Arial" w:cs="Arial"/>
                <w:sz w:val="20"/>
                <w:szCs w:val="20"/>
              </w:rPr>
            </w:pPr>
            <w:r>
              <w:rPr>
                <w:rFonts w:ascii="Arial" w:hAnsi="Arial" w:cs="Arial"/>
                <w:sz w:val="20"/>
                <w:szCs w:val="20"/>
              </w:rPr>
              <w:t>The name of the specialist must be included in the authority application</w:t>
            </w:r>
          </w:p>
        </w:tc>
      </w:tr>
    </w:tbl>
    <w:p w:rsidR="00E52969" w:rsidRDefault="00E52969" w:rsidP="00E52969">
      <w:pPr>
        <w:jc w:val="both"/>
        <w:rPr>
          <w:rFonts w:ascii="Arial" w:hAnsi="Arial" w:cs="Arial"/>
        </w:rPr>
      </w:pPr>
    </w:p>
    <w:p w:rsidR="00E52969" w:rsidRPr="002B08E5" w:rsidRDefault="00E52969" w:rsidP="00E52969">
      <w:pPr>
        <w:jc w:val="both"/>
        <w:rPr>
          <w:rFonts w:ascii="Arial" w:hAnsi="Arial" w:cs="Arial"/>
          <w:b/>
          <w:sz w:val="22"/>
          <w:szCs w:val="22"/>
        </w:rPr>
      </w:pPr>
      <w:r w:rsidRPr="002B08E5">
        <w:rPr>
          <w:rFonts w:ascii="Arial" w:hAnsi="Arial" w:cs="Arial"/>
          <w:b/>
          <w:sz w:val="22"/>
          <w:szCs w:val="22"/>
        </w:rPr>
        <w:t>7</w:t>
      </w:r>
      <w:r w:rsidRPr="002B08E5">
        <w:rPr>
          <w:rFonts w:ascii="Arial" w:hAnsi="Arial" w:cs="Arial"/>
          <w:b/>
          <w:sz w:val="22"/>
          <w:szCs w:val="22"/>
        </w:rPr>
        <w:tab/>
        <w:t>Context for Decision</w:t>
      </w:r>
    </w:p>
    <w:p w:rsidR="00E52969" w:rsidRPr="00E52969" w:rsidRDefault="00E52969" w:rsidP="00E52969">
      <w:pPr>
        <w:jc w:val="both"/>
        <w:rPr>
          <w:rFonts w:ascii="Arial" w:hAnsi="Arial" w:cs="Arial"/>
          <w:sz w:val="22"/>
          <w:szCs w:val="22"/>
        </w:rPr>
      </w:pPr>
    </w:p>
    <w:p w:rsidR="00E52969" w:rsidRPr="00E52969" w:rsidRDefault="00E52969" w:rsidP="00E52969">
      <w:pPr>
        <w:jc w:val="both"/>
        <w:rPr>
          <w:rFonts w:ascii="Arial" w:hAnsi="Arial" w:cs="Arial"/>
          <w:sz w:val="22"/>
          <w:szCs w:val="22"/>
        </w:rPr>
      </w:pPr>
      <w:r w:rsidRPr="00E52969">
        <w:rPr>
          <w:rFonts w:ascii="Arial" w:hAnsi="Arial" w:cs="Arial"/>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E52969" w:rsidRPr="00E52969" w:rsidRDefault="00E52969" w:rsidP="00E52969">
      <w:pPr>
        <w:jc w:val="both"/>
        <w:rPr>
          <w:rFonts w:ascii="Arial" w:hAnsi="Arial" w:cs="Arial"/>
          <w:sz w:val="22"/>
          <w:szCs w:val="22"/>
        </w:rPr>
      </w:pPr>
    </w:p>
    <w:p w:rsidR="00E52969" w:rsidRPr="002B08E5" w:rsidRDefault="00E52969" w:rsidP="00E52969">
      <w:pPr>
        <w:jc w:val="both"/>
        <w:rPr>
          <w:rFonts w:ascii="Arial" w:hAnsi="Arial" w:cs="Arial"/>
          <w:b/>
        </w:rPr>
      </w:pPr>
      <w:r w:rsidRPr="002B08E5">
        <w:rPr>
          <w:rFonts w:ascii="Arial" w:hAnsi="Arial" w:cs="Arial"/>
          <w:b/>
          <w:sz w:val="22"/>
          <w:szCs w:val="22"/>
        </w:rPr>
        <w:t>8</w:t>
      </w:r>
      <w:r w:rsidRPr="002B08E5">
        <w:rPr>
          <w:rFonts w:ascii="Arial" w:hAnsi="Arial" w:cs="Arial"/>
          <w:b/>
          <w:sz w:val="22"/>
          <w:szCs w:val="22"/>
        </w:rPr>
        <w:tab/>
        <w:t>Sponsors’ Comments</w:t>
      </w:r>
    </w:p>
    <w:p w:rsidR="003707B5" w:rsidRPr="00EA0577" w:rsidRDefault="003707B5" w:rsidP="003707B5">
      <w:pPr>
        <w:jc w:val="both"/>
        <w:rPr>
          <w:rFonts w:ascii="Arial" w:hAnsi="Arial" w:cs="Arial"/>
          <w:sz w:val="22"/>
        </w:rPr>
      </w:pPr>
    </w:p>
    <w:p w:rsidR="00EA0577" w:rsidRPr="00EA0577" w:rsidRDefault="00EA0577" w:rsidP="00EA0577">
      <w:pPr>
        <w:jc w:val="both"/>
        <w:rPr>
          <w:rFonts w:ascii="Arial" w:hAnsi="Arial" w:cs="Arial"/>
          <w:sz w:val="22"/>
        </w:rPr>
      </w:pPr>
      <w:r w:rsidRPr="00EA0577">
        <w:rPr>
          <w:rFonts w:ascii="Arial" w:hAnsi="Arial" w:cs="Arial"/>
          <w:sz w:val="22"/>
        </w:rPr>
        <w:t>Actavis Pty Ltd:  The sponsor has no comment.</w:t>
      </w:r>
    </w:p>
    <w:p w:rsidR="00EA0577" w:rsidRPr="00EA0577" w:rsidRDefault="00EA0577" w:rsidP="00EA0577">
      <w:pPr>
        <w:jc w:val="both"/>
        <w:rPr>
          <w:rFonts w:ascii="Arial" w:hAnsi="Arial" w:cs="Arial"/>
          <w:sz w:val="22"/>
        </w:rPr>
      </w:pPr>
      <w:r w:rsidRPr="00EA0577">
        <w:rPr>
          <w:rFonts w:ascii="Arial" w:hAnsi="Arial" w:cs="Arial"/>
          <w:sz w:val="22"/>
        </w:rPr>
        <w:t>Bayer Australia Limited*:  The sponsor has no comment.</w:t>
      </w:r>
    </w:p>
    <w:p w:rsidR="00EA0577" w:rsidRPr="00EA0577" w:rsidRDefault="00EA0577" w:rsidP="00491DA3">
      <w:pPr>
        <w:rPr>
          <w:rFonts w:ascii="Arial" w:hAnsi="Arial" w:cs="Arial"/>
          <w:sz w:val="22"/>
        </w:rPr>
      </w:pPr>
      <w:proofErr w:type="spellStart"/>
      <w:r w:rsidRPr="00EA0577">
        <w:rPr>
          <w:rFonts w:ascii="Arial" w:hAnsi="Arial" w:cs="Arial"/>
          <w:sz w:val="22"/>
        </w:rPr>
        <w:t>Besins</w:t>
      </w:r>
      <w:proofErr w:type="spellEnd"/>
      <w:r w:rsidRPr="00EA0577">
        <w:rPr>
          <w:rFonts w:ascii="Arial" w:hAnsi="Arial" w:cs="Arial"/>
          <w:sz w:val="22"/>
        </w:rPr>
        <w:t xml:space="preserve"> Healthcare Australia Pty Ltd:  </w:t>
      </w:r>
      <w:r w:rsidR="00491DA3" w:rsidRPr="00491DA3">
        <w:rPr>
          <w:rFonts w:ascii="Arial" w:hAnsi="Arial" w:cs="Arial"/>
          <w:sz w:val="22"/>
        </w:rPr>
        <w:t xml:space="preserve">The sponsor notes the DUSC review and the subsequent considerations by the PBAC were instigated to ensure appropriate prescribing of </w:t>
      </w:r>
      <w:r w:rsidR="00491DA3" w:rsidRPr="00491DA3">
        <w:rPr>
          <w:rFonts w:ascii="Arial" w:hAnsi="Arial" w:cs="Arial"/>
          <w:sz w:val="22"/>
        </w:rPr>
        <w:lastRenderedPageBreak/>
        <w:t>testosterone replacement th</w:t>
      </w:r>
      <w:r w:rsidR="00A9428B">
        <w:rPr>
          <w:rFonts w:ascii="Arial" w:hAnsi="Arial" w:cs="Arial"/>
          <w:sz w:val="22"/>
        </w:rPr>
        <w:t xml:space="preserve">erapies by GPs and specialists.  </w:t>
      </w:r>
      <w:r w:rsidR="00491DA3" w:rsidRPr="00491DA3">
        <w:rPr>
          <w:rFonts w:ascii="Arial" w:hAnsi="Arial" w:cs="Arial"/>
          <w:sz w:val="22"/>
        </w:rPr>
        <w:t>The sponsor considers that the requirement that treatment must be by or in consultation with a specialist may add an additional cost and time burden for GPs and patients.</w:t>
      </w:r>
    </w:p>
    <w:p w:rsidR="00EA0577" w:rsidRPr="00EA0577" w:rsidRDefault="00EA0577" w:rsidP="00EA0577">
      <w:pPr>
        <w:jc w:val="both"/>
        <w:rPr>
          <w:rFonts w:ascii="Arial" w:hAnsi="Arial" w:cs="Arial"/>
          <w:sz w:val="22"/>
        </w:rPr>
      </w:pPr>
      <w:r w:rsidRPr="00EA0577">
        <w:rPr>
          <w:rFonts w:ascii="Arial" w:hAnsi="Arial" w:cs="Arial"/>
          <w:sz w:val="22"/>
        </w:rPr>
        <w:t>Eli Lilly Australia Pty Limited**:  Eli Lilly welcomes the removal of unnecessary initial and continuing treatment restrictions, and reference to serum and testosterone and LH thresholds for patients with established pituitary or testicular disorders.</w:t>
      </w:r>
    </w:p>
    <w:p w:rsidR="00EA0577" w:rsidRPr="00EA0577" w:rsidRDefault="00EA0577" w:rsidP="00EA0577">
      <w:pPr>
        <w:jc w:val="both"/>
        <w:rPr>
          <w:rFonts w:ascii="Arial" w:hAnsi="Arial" w:cs="Arial"/>
          <w:sz w:val="22"/>
        </w:rPr>
      </w:pPr>
      <w:r w:rsidRPr="00EA0577">
        <w:rPr>
          <w:rFonts w:ascii="Arial" w:hAnsi="Arial" w:cs="Arial"/>
          <w:sz w:val="22"/>
        </w:rPr>
        <w:t>We are concerned that patients accessing treatment could incur delays by linking</w:t>
      </w:r>
      <w:r w:rsidR="008D435F">
        <w:rPr>
          <w:rFonts w:ascii="Arial" w:hAnsi="Arial" w:cs="Arial"/>
          <w:sz w:val="22"/>
        </w:rPr>
        <w:t xml:space="preserve"> </w:t>
      </w:r>
      <w:r w:rsidRPr="00EA0577">
        <w:rPr>
          <w:rFonts w:ascii="Arial" w:hAnsi="Arial" w:cs="Arial"/>
          <w:sz w:val="22"/>
        </w:rPr>
        <w:t>prescribing to confirmation of a speciality consultation, it is therefore important that in</w:t>
      </w:r>
      <w:r w:rsidR="008D435F">
        <w:rPr>
          <w:rFonts w:ascii="Arial" w:hAnsi="Arial" w:cs="Arial"/>
          <w:sz w:val="22"/>
        </w:rPr>
        <w:t xml:space="preserve"> </w:t>
      </w:r>
      <w:r w:rsidRPr="00EA0577">
        <w:rPr>
          <w:rFonts w:ascii="Arial" w:hAnsi="Arial" w:cs="Arial"/>
          <w:sz w:val="22"/>
        </w:rPr>
        <w:t>implementing these new restrictions the guidance is clear to prescribers.</w:t>
      </w:r>
    </w:p>
    <w:p w:rsidR="00EA0577" w:rsidRPr="00EA0577" w:rsidRDefault="00EA0577" w:rsidP="00EA0577">
      <w:pPr>
        <w:jc w:val="both"/>
        <w:rPr>
          <w:rFonts w:ascii="Arial" w:hAnsi="Arial" w:cs="Arial"/>
          <w:sz w:val="22"/>
        </w:rPr>
      </w:pPr>
      <w:r w:rsidRPr="00EA0577">
        <w:rPr>
          <w:rFonts w:ascii="Arial" w:hAnsi="Arial" w:cs="Arial"/>
          <w:sz w:val="22"/>
        </w:rPr>
        <w:t>Hospira Pty Ltd***:  The sponsor has no comment.</w:t>
      </w:r>
    </w:p>
    <w:p w:rsidR="00EA0577" w:rsidRPr="00EA0577" w:rsidRDefault="00EA0577" w:rsidP="00EA0577">
      <w:pPr>
        <w:jc w:val="both"/>
        <w:rPr>
          <w:rFonts w:ascii="Arial" w:hAnsi="Arial" w:cs="Arial"/>
          <w:sz w:val="22"/>
        </w:rPr>
      </w:pPr>
      <w:r w:rsidRPr="00EA0577">
        <w:rPr>
          <w:rFonts w:ascii="Arial" w:hAnsi="Arial" w:cs="Arial"/>
          <w:sz w:val="22"/>
        </w:rPr>
        <w:t>Merck Sharp &amp; Dohme (Australia) Pty Ltd:  The sponsor has no comment.</w:t>
      </w:r>
    </w:p>
    <w:p w:rsidR="00EA0577" w:rsidRPr="00EA0577" w:rsidRDefault="00EA0577" w:rsidP="00EA0577">
      <w:pPr>
        <w:jc w:val="both"/>
        <w:rPr>
          <w:rFonts w:ascii="Arial" w:hAnsi="Arial" w:cs="Arial"/>
          <w:sz w:val="22"/>
        </w:rPr>
      </w:pPr>
    </w:p>
    <w:p w:rsidR="00EA0577" w:rsidRPr="00EA0577" w:rsidRDefault="00EA0577" w:rsidP="00EA0577">
      <w:pPr>
        <w:jc w:val="both"/>
        <w:rPr>
          <w:rFonts w:ascii="Arial" w:hAnsi="Arial" w:cs="Arial"/>
          <w:sz w:val="22"/>
        </w:rPr>
      </w:pPr>
      <w:r w:rsidRPr="00EA0577">
        <w:rPr>
          <w:rFonts w:ascii="Arial" w:hAnsi="Arial" w:cs="Arial"/>
          <w:sz w:val="22"/>
        </w:rPr>
        <w:t xml:space="preserve">* Bayer Australia Pty Ltd was the sponsor of </w:t>
      </w:r>
      <w:proofErr w:type="spellStart"/>
      <w:r w:rsidRPr="00EA0577">
        <w:rPr>
          <w:rFonts w:ascii="Arial" w:hAnsi="Arial" w:cs="Arial"/>
          <w:sz w:val="22"/>
        </w:rPr>
        <w:t>Testogel</w:t>
      </w:r>
      <w:proofErr w:type="spellEnd"/>
      <w:r w:rsidRPr="00EA0577">
        <w:rPr>
          <w:rFonts w:ascii="Arial" w:hAnsi="Arial" w:cs="Arial"/>
          <w:sz w:val="22"/>
        </w:rPr>
        <w:t xml:space="preserve">® at the time the utilisation analysis was considered by the DUSC in October 2012.  </w:t>
      </w:r>
      <w:proofErr w:type="spellStart"/>
      <w:r w:rsidRPr="00EA0577">
        <w:rPr>
          <w:rFonts w:ascii="Arial" w:hAnsi="Arial" w:cs="Arial"/>
          <w:sz w:val="22"/>
        </w:rPr>
        <w:t>Besins</w:t>
      </w:r>
      <w:proofErr w:type="spellEnd"/>
      <w:r w:rsidRPr="00EA0577">
        <w:rPr>
          <w:rFonts w:ascii="Arial" w:hAnsi="Arial" w:cs="Arial"/>
          <w:sz w:val="22"/>
        </w:rPr>
        <w:t xml:space="preserve"> Healthcare Australia Pty Ltd took over as sponsor of this product on 1 October 2014.</w:t>
      </w:r>
    </w:p>
    <w:p w:rsidR="00EA0577" w:rsidRPr="00EA0577" w:rsidRDefault="00EA0577" w:rsidP="00EA0577">
      <w:pPr>
        <w:jc w:val="both"/>
        <w:rPr>
          <w:rFonts w:ascii="Arial" w:hAnsi="Arial" w:cs="Arial"/>
          <w:sz w:val="22"/>
        </w:rPr>
      </w:pPr>
      <w:r w:rsidRPr="00EA0577">
        <w:rPr>
          <w:rFonts w:ascii="Arial" w:hAnsi="Arial" w:cs="Arial"/>
          <w:sz w:val="22"/>
        </w:rPr>
        <w:t xml:space="preserve">** Eli Lilly Australia Pty Ltd did not have a testosterone product listed on the PBS at the time the utilisation analysis was considered by the DUSC in October </w:t>
      </w:r>
      <w:proofErr w:type="gramStart"/>
      <w:r w:rsidRPr="00EA0577">
        <w:rPr>
          <w:rFonts w:ascii="Arial" w:hAnsi="Arial" w:cs="Arial"/>
          <w:sz w:val="22"/>
        </w:rPr>
        <w:t>2012,</w:t>
      </w:r>
      <w:proofErr w:type="gramEnd"/>
      <w:r w:rsidRPr="00EA0577">
        <w:rPr>
          <w:rFonts w:ascii="Arial" w:hAnsi="Arial" w:cs="Arial"/>
          <w:sz w:val="22"/>
        </w:rPr>
        <w:t xml:space="preserve"> however </w:t>
      </w:r>
      <w:proofErr w:type="spellStart"/>
      <w:r w:rsidRPr="00EA0577">
        <w:rPr>
          <w:rFonts w:ascii="Arial" w:hAnsi="Arial" w:cs="Arial"/>
          <w:sz w:val="22"/>
        </w:rPr>
        <w:t>Axiron</w:t>
      </w:r>
      <w:proofErr w:type="spellEnd"/>
      <w:r w:rsidRPr="00EA0577">
        <w:rPr>
          <w:rFonts w:ascii="Arial" w:hAnsi="Arial" w:cs="Arial"/>
          <w:sz w:val="22"/>
        </w:rPr>
        <w:t>® had received a positive recommendation from the PBAC in March 2012 and was listed in March 2013.</w:t>
      </w:r>
    </w:p>
    <w:p w:rsidR="00EA0577" w:rsidRPr="00EA0577" w:rsidRDefault="00EA0577" w:rsidP="00EA0577">
      <w:pPr>
        <w:jc w:val="both"/>
        <w:rPr>
          <w:rFonts w:ascii="Arial" w:hAnsi="Arial" w:cs="Arial"/>
          <w:sz w:val="22"/>
        </w:rPr>
      </w:pPr>
      <w:r w:rsidRPr="00EA0577">
        <w:rPr>
          <w:rFonts w:ascii="Arial" w:hAnsi="Arial" w:cs="Arial"/>
          <w:sz w:val="22"/>
        </w:rPr>
        <w:t xml:space="preserve">*** Hospira Pty Ltd was the sponsor of </w:t>
      </w:r>
      <w:proofErr w:type="spellStart"/>
      <w:r w:rsidRPr="00EA0577">
        <w:rPr>
          <w:rFonts w:ascii="Arial" w:hAnsi="Arial" w:cs="Arial"/>
          <w:sz w:val="22"/>
        </w:rPr>
        <w:t>Androderm</w:t>
      </w:r>
      <w:proofErr w:type="spellEnd"/>
      <w:r w:rsidRPr="00EA0577">
        <w:rPr>
          <w:rFonts w:ascii="Arial" w:hAnsi="Arial" w:cs="Arial"/>
          <w:sz w:val="22"/>
        </w:rPr>
        <w:t>® products at the time the utilisation analysis was considered by the DUSC in October 2012.  Ascent Pharma Pty Ltd took over as sponsor of these products on 1 February 2013, and then Actavis Pty Ltd on 1 October 2013.</w:t>
      </w:r>
    </w:p>
    <w:sectPr w:rsidR="00EA0577" w:rsidRPr="00EA0577" w:rsidSect="00653D69">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08E" w:rsidRDefault="006C708E">
      <w:r>
        <w:separator/>
      </w:r>
    </w:p>
  </w:endnote>
  <w:endnote w:type="continuationSeparator" w:id="0">
    <w:p w:rsidR="006C708E" w:rsidRDefault="006C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D6EC7" w:rsidTr="005A3173">
      <w:trPr>
        <w:trHeight w:val="151"/>
      </w:trPr>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D6EC7" w:rsidRPr="005A3173" w:rsidRDefault="006D6EC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r>
    <w:tr w:rsidR="006D6EC7" w:rsidTr="005A3173">
      <w:trPr>
        <w:trHeight w:val="150"/>
      </w:trPr>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0" w:type="auto"/>
          <w:vMerge/>
          <w:vAlign w:val="center"/>
          <w:hideMark/>
        </w:tcPr>
        <w:p w:rsidR="006D6EC7" w:rsidRPr="005A3173" w:rsidRDefault="006D6EC7" w:rsidP="005A3173">
          <w:pPr>
            <w:rPr>
              <w:rFonts w:ascii="Calibri" w:hAnsi="Calibri"/>
              <w:color w:val="365F91"/>
              <w:sz w:val="22"/>
              <w:szCs w:val="22"/>
            </w:rPr>
          </w:pPr>
        </w:p>
      </w:tc>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r>
  </w:tbl>
  <w:p w:rsidR="006D6EC7" w:rsidRDefault="006D6EC7"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D6EC7" w:rsidRDefault="006D6E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6915"/>
      <w:docPartObj>
        <w:docPartGallery w:val="Page Numbers (Bottom of Page)"/>
        <w:docPartUnique/>
      </w:docPartObj>
    </w:sdtPr>
    <w:sdtEndPr>
      <w:rPr>
        <w:rFonts w:ascii="Arial" w:hAnsi="Arial" w:cs="Arial"/>
        <w:noProof/>
        <w:sz w:val="20"/>
        <w:szCs w:val="20"/>
      </w:rPr>
    </w:sdtEndPr>
    <w:sdtContent>
      <w:p w:rsidR="002D53AD" w:rsidRDefault="002D53AD">
        <w:pPr>
          <w:pStyle w:val="Footer"/>
          <w:jc w:val="center"/>
        </w:pPr>
      </w:p>
      <w:p w:rsidR="00651169" w:rsidRPr="00651169" w:rsidRDefault="00651169">
        <w:pPr>
          <w:pStyle w:val="Footer"/>
          <w:jc w:val="center"/>
          <w:rPr>
            <w:rFonts w:ascii="Arial" w:hAnsi="Arial" w:cs="Arial"/>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E216A7">
          <w:rPr>
            <w:rFonts w:ascii="Arial" w:hAnsi="Arial" w:cs="Arial"/>
            <w:noProof/>
            <w:sz w:val="20"/>
            <w:szCs w:val="20"/>
          </w:rPr>
          <w:t>4</w:t>
        </w:r>
        <w:r w:rsidRPr="00651169">
          <w:rPr>
            <w:rFonts w:ascii="Arial" w:hAnsi="Arial" w:cs="Arial"/>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6D6EC7" w:rsidTr="005A3173">
      <w:trPr>
        <w:trHeight w:val="151"/>
      </w:trPr>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D6EC7" w:rsidRPr="005A3173" w:rsidRDefault="006D6EC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r>
    <w:tr w:rsidR="006D6EC7" w:rsidTr="005A3173">
      <w:trPr>
        <w:trHeight w:val="150"/>
      </w:trPr>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0" w:type="auto"/>
          <w:vMerge/>
          <w:vAlign w:val="center"/>
          <w:hideMark/>
        </w:tcPr>
        <w:p w:rsidR="006D6EC7" w:rsidRPr="005A3173" w:rsidRDefault="006D6EC7" w:rsidP="005A3173">
          <w:pPr>
            <w:rPr>
              <w:rFonts w:ascii="Calibri" w:hAnsi="Calibri"/>
              <w:color w:val="365F91"/>
              <w:sz w:val="22"/>
              <w:szCs w:val="22"/>
            </w:rPr>
          </w:pPr>
        </w:p>
      </w:tc>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D6EC7" w:rsidTr="005A3173">
      <w:trPr>
        <w:trHeight w:val="151"/>
      </w:trPr>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D6EC7" w:rsidRPr="005A3173" w:rsidRDefault="006D6EC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r>
    <w:tr w:rsidR="006D6EC7" w:rsidTr="005A3173">
      <w:trPr>
        <w:trHeight w:val="150"/>
      </w:trPr>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0" w:type="auto"/>
          <w:vMerge/>
          <w:vAlign w:val="center"/>
          <w:hideMark/>
        </w:tcPr>
        <w:p w:rsidR="006D6EC7" w:rsidRPr="005A3173" w:rsidRDefault="006D6EC7" w:rsidP="005A3173">
          <w:pPr>
            <w:rPr>
              <w:rFonts w:ascii="Calibri" w:hAnsi="Calibri"/>
              <w:color w:val="365F91"/>
              <w:sz w:val="22"/>
              <w:szCs w:val="22"/>
            </w:rPr>
          </w:pPr>
        </w:p>
      </w:tc>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r>
  </w:tbl>
  <w:p w:rsidR="006D6EC7" w:rsidRPr="007C0F57" w:rsidRDefault="006D6EC7"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6D6EC7" w:rsidRPr="007C0F57" w:rsidRDefault="006D6EC7"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08E" w:rsidRDefault="006C708E">
      <w:r>
        <w:separator/>
      </w:r>
    </w:p>
  </w:footnote>
  <w:footnote w:type="continuationSeparator" w:id="0">
    <w:p w:rsidR="006C708E" w:rsidRDefault="006C70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6D6EC7" w:rsidRPr="008E0D90" w:rsidTr="00A06225">
      <w:trPr>
        <w:trHeight w:val="151"/>
      </w:trPr>
      <w:tc>
        <w:tcPr>
          <w:tcW w:w="2389" w:type="pct"/>
          <w:tcBorders>
            <w:top w:val="nil"/>
            <w:left w:val="nil"/>
            <w:bottom w:val="single" w:sz="4" w:space="0" w:color="4F81BD"/>
            <w:right w:val="nil"/>
          </w:tcBorders>
        </w:tcPr>
        <w:p w:rsidR="006D6EC7" w:rsidRPr="00A06225" w:rsidRDefault="006D6EC7">
          <w:pPr>
            <w:pStyle w:val="Header"/>
            <w:spacing w:line="276" w:lineRule="auto"/>
            <w:rPr>
              <w:rFonts w:ascii="Cambria" w:eastAsia="MS Gothic" w:hAnsi="Cambria"/>
              <w:b/>
              <w:bCs/>
              <w:color w:val="4F81BD"/>
            </w:rPr>
          </w:pPr>
        </w:p>
      </w:tc>
      <w:tc>
        <w:tcPr>
          <w:tcW w:w="333" w:type="pct"/>
          <w:vMerge w:val="restart"/>
          <w:noWrap/>
          <w:vAlign w:val="center"/>
          <w:hideMark/>
        </w:tcPr>
        <w:p w:rsidR="006D6EC7" w:rsidRPr="00A06225" w:rsidRDefault="006D6EC7"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6D6EC7" w:rsidRPr="00A06225" w:rsidRDefault="006D6EC7">
          <w:pPr>
            <w:pStyle w:val="Header"/>
            <w:spacing w:line="276" w:lineRule="auto"/>
            <w:rPr>
              <w:rFonts w:ascii="Cambria" w:eastAsia="MS Gothic" w:hAnsi="Cambria"/>
              <w:b/>
              <w:bCs/>
              <w:color w:val="4F81BD"/>
            </w:rPr>
          </w:pPr>
        </w:p>
      </w:tc>
    </w:tr>
    <w:tr w:rsidR="006D6EC7" w:rsidRPr="008E0D90" w:rsidTr="00A06225">
      <w:trPr>
        <w:trHeight w:val="150"/>
      </w:trPr>
      <w:tc>
        <w:tcPr>
          <w:tcW w:w="2389" w:type="pct"/>
          <w:tcBorders>
            <w:top w:val="single" w:sz="4" w:space="0" w:color="4F81BD"/>
            <w:left w:val="nil"/>
            <w:bottom w:val="nil"/>
            <w:right w:val="nil"/>
          </w:tcBorders>
        </w:tcPr>
        <w:p w:rsidR="006D6EC7" w:rsidRPr="00A06225" w:rsidRDefault="006D6EC7">
          <w:pPr>
            <w:pStyle w:val="Header"/>
            <w:spacing w:line="276" w:lineRule="auto"/>
            <w:rPr>
              <w:rFonts w:ascii="Cambria" w:eastAsia="MS Gothic" w:hAnsi="Cambria"/>
              <w:b/>
              <w:bCs/>
              <w:color w:val="4F81BD"/>
            </w:rPr>
          </w:pPr>
        </w:p>
      </w:tc>
      <w:tc>
        <w:tcPr>
          <w:tcW w:w="0" w:type="auto"/>
          <w:vMerge/>
          <w:vAlign w:val="center"/>
          <w:hideMark/>
        </w:tcPr>
        <w:p w:rsidR="006D6EC7" w:rsidRPr="00A06225" w:rsidRDefault="006D6EC7">
          <w:pPr>
            <w:rPr>
              <w:rFonts w:ascii="Cambria" w:hAnsi="Cambria"/>
              <w:color w:val="4F81BD"/>
              <w:sz w:val="22"/>
              <w:szCs w:val="22"/>
            </w:rPr>
          </w:pPr>
        </w:p>
      </w:tc>
      <w:tc>
        <w:tcPr>
          <w:tcW w:w="2278" w:type="pct"/>
          <w:tcBorders>
            <w:top w:val="single" w:sz="4" w:space="0" w:color="4F81BD"/>
            <w:left w:val="nil"/>
            <w:bottom w:val="nil"/>
            <w:right w:val="nil"/>
          </w:tcBorders>
        </w:tcPr>
        <w:p w:rsidR="006D6EC7" w:rsidRPr="00A06225" w:rsidRDefault="006D6EC7">
          <w:pPr>
            <w:pStyle w:val="Header"/>
            <w:spacing w:line="276" w:lineRule="auto"/>
            <w:rPr>
              <w:rFonts w:ascii="Cambria" w:eastAsia="MS Gothic" w:hAnsi="Cambria"/>
              <w:b/>
              <w:bCs/>
              <w:color w:val="4F81BD"/>
            </w:rPr>
          </w:pPr>
        </w:p>
      </w:tc>
    </w:tr>
  </w:tbl>
  <w:p w:rsidR="006D6EC7" w:rsidRDefault="006D6E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3E2" w:rsidRPr="00015C04" w:rsidRDefault="007D73E2" w:rsidP="007D73E2">
    <w:pPr>
      <w:pStyle w:val="Header"/>
      <w:jc w:val="center"/>
      <w:rPr>
        <w:rFonts w:ascii="Arial" w:hAnsi="Arial" w:cs="Arial"/>
        <w:i/>
        <w:sz w:val="22"/>
        <w:szCs w:val="22"/>
      </w:rPr>
    </w:pPr>
    <w:r w:rsidRPr="00015C04">
      <w:rPr>
        <w:rFonts w:ascii="Arial" w:hAnsi="Arial" w:cs="Arial"/>
        <w:i/>
        <w:sz w:val="22"/>
        <w:szCs w:val="22"/>
      </w:rPr>
      <w:t>Public Summary Document</w:t>
    </w:r>
    <w:r>
      <w:rPr>
        <w:rFonts w:ascii="Arial" w:hAnsi="Arial" w:cs="Arial"/>
        <w:i/>
        <w:sz w:val="22"/>
        <w:szCs w:val="22"/>
      </w:rPr>
      <w:t xml:space="preserve"> – July 2014 PBAC </w:t>
    </w:r>
    <w:r w:rsidRPr="00015C04">
      <w:rPr>
        <w:rFonts w:ascii="Arial" w:hAnsi="Arial" w:cs="Arial"/>
        <w:i/>
        <w:sz w:val="22"/>
        <w:szCs w:val="22"/>
      </w:rPr>
      <w:t>Meeting</w:t>
    </w:r>
  </w:p>
  <w:p w:rsidR="003A1DF5" w:rsidRDefault="003A1D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1EE" w:rsidRDefault="001601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179D7"/>
    <w:multiLevelType w:val="hybridMultilevel"/>
    <w:tmpl w:val="16482FA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
    <w:nsid w:val="149C66F2"/>
    <w:multiLevelType w:val="hybridMultilevel"/>
    <w:tmpl w:val="1B6C67C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
    <w:nsid w:val="4E6534DB"/>
    <w:multiLevelType w:val="hybridMultilevel"/>
    <w:tmpl w:val="04D840E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
    <w:nsid w:val="5C254034"/>
    <w:multiLevelType w:val="hybridMultilevel"/>
    <w:tmpl w:val="A7666064"/>
    <w:lvl w:ilvl="0" w:tplc="0C090001">
      <w:start w:val="1"/>
      <w:numFmt w:val="bullet"/>
      <w:lvlText w:val=""/>
      <w:lvlJc w:val="left"/>
      <w:pPr>
        <w:ind w:left="1921" w:hanging="360"/>
      </w:pPr>
      <w:rPr>
        <w:rFonts w:ascii="Symbol" w:hAnsi="Symbol" w:hint="default"/>
      </w:rPr>
    </w:lvl>
    <w:lvl w:ilvl="1" w:tplc="0C090003" w:tentative="1">
      <w:start w:val="1"/>
      <w:numFmt w:val="bullet"/>
      <w:lvlText w:val="o"/>
      <w:lvlJc w:val="left"/>
      <w:pPr>
        <w:ind w:left="4004" w:hanging="360"/>
      </w:pPr>
      <w:rPr>
        <w:rFonts w:ascii="Courier New" w:hAnsi="Courier New" w:cs="Courier New" w:hint="default"/>
      </w:rPr>
    </w:lvl>
    <w:lvl w:ilvl="2" w:tplc="0C090005" w:tentative="1">
      <w:start w:val="1"/>
      <w:numFmt w:val="bullet"/>
      <w:lvlText w:val=""/>
      <w:lvlJc w:val="left"/>
      <w:pPr>
        <w:ind w:left="4724" w:hanging="360"/>
      </w:pPr>
      <w:rPr>
        <w:rFonts w:ascii="Wingdings" w:hAnsi="Wingdings" w:hint="default"/>
      </w:rPr>
    </w:lvl>
    <w:lvl w:ilvl="3" w:tplc="0C090001" w:tentative="1">
      <w:start w:val="1"/>
      <w:numFmt w:val="bullet"/>
      <w:lvlText w:val=""/>
      <w:lvlJc w:val="left"/>
      <w:pPr>
        <w:ind w:left="5444" w:hanging="360"/>
      </w:pPr>
      <w:rPr>
        <w:rFonts w:ascii="Symbol" w:hAnsi="Symbol" w:hint="default"/>
      </w:rPr>
    </w:lvl>
    <w:lvl w:ilvl="4" w:tplc="0C090003" w:tentative="1">
      <w:start w:val="1"/>
      <w:numFmt w:val="bullet"/>
      <w:lvlText w:val="o"/>
      <w:lvlJc w:val="left"/>
      <w:pPr>
        <w:ind w:left="6164" w:hanging="360"/>
      </w:pPr>
      <w:rPr>
        <w:rFonts w:ascii="Courier New" w:hAnsi="Courier New" w:cs="Courier New" w:hint="default"/>
      </w:rPr>
    </w:lvl>
    <w:lvl w:ilvl="5" w:tplc="0C090005" w:tentative="1">
      <w:start w:val="1"/>
      <w:numFmt w:val="bullet"/>
      <w:lvlText w:val=""/>
      <w:lvlJc w:val="left"/>
      <w:pPr>
        <w:ind w:left="6884" w:hanging="360"/>
      </w:pPr>
      <w:rPr>
        <w:rFonts w:ascii="Wingdings" w:hAnsi="Wingdings" w:hint="default"/>
      </w:rPr>
    </w:lvl>
    <w:lvl w:ilvl="6" w:tplc="0C090001" w:tentative="1">
      <w:start w:val="1"/>
      <w:numFmt w:val="bullet"/>
      <w:lvlText w:val=""/>
      <w:lvlJc w:val="left"/>
      <w:pPr>
        <w:ind w:left="7604" w:hanging="360"/>
      </w:pPr>
      <w:rPr>
        <w:rFonts w:ascii="Symbol" w:hAnsi="Symbol" w:hint="default"/>
      </w:rPr>
    </w:lvl>
    <w:lvl w:ilvl="7" w:tplc="0C090003" w:tentative="1">
      <w:start w:val="1"/>
      <w:numFmt w:val="bullet"/>
      <w:lvlText w:val="o"/>
      <w:lvlJc w:val="left"/>
      <w:pPr>
        <w:ind w:left="8324" w:hanging="360"/>
      </w:pPr>
      <w:rPr>
        <w:rFonts w:ascii="Courier New" w:hAnsi="Courier New" w:cs="Courier New" w:hint="default"/>
      </w:rPr>
    </w:lvl>
    <w:lvl w:ilvl="8" w:tplc="0C090005" w:tentative="1">
      <w:start w:val="1"/>
      <w:numFmt w:val="bullet"/>
      <w:lvlText w:val=""/>
      <w:lvlJc w:val="left"/>
      <w:pPr>
        <w:ind w:left="9044" w:hanging="360"/>
      </w:pPr>
      <w:rPr>
        <w:rFonts w:ascii="Wingdings" w:hAnsi="Wingdings" w:hint="default"/>
      </w:rPr>
    </w:lvl>
  </w:abstractNum>
  <w:abstractNum w:abstractNumId="4">
    <w:nsid w:val="621E7215"/>
    <w:multiLevelType w:val="hybridMultilevel"/>
    <w:tmpl w:val="D8A6CFD4"/>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5">
    <w:nsid w:val="762C44A3"/>
    <w:multiLevelType w:val="hybridMultilevel"/>
    <w:tmpl w:val="DFA0818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
    <w:nsid w:val="784D033C"/>
    <w:multiLevelType w:val="multilevel"/>
    <w:tmpl w:val="96BC1D1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7B733F3E"/>
    <w:multiLevelType w:val="hybridMultilevel"/>
    <w:tmpl w:val="CF741A7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2"/>
  </w:num>
  <w:num w:numId="6">
    <w:abstractNumId w:val="7"/>
  </w:num>
  <w:num w:numId="7">
    <w:abstractNumId w:val="0"/>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10FC4"/>
    <w:rsid w:val="0002464A"/>
    <w:rsid w:val="0003106B"/>
    <w:rsid w:val="000421A1"/>
    <w:rsid w:val="0004240E"/>
    <w:rsid w:val="00045E26"/>
    <w:rsid w:val="000514B5"/>
    <w:rsid w:val="00060E64"/>
    <w:rsid w:val="00066755"/>
    <w:rsid w:val="000969AD"/>
    <w:rsid w:val="000972BB"/>
    <w:rsid w:val="000A3B85"/>
    <w:rsid w:val="000B558D"/>
    <w:rsid w:val="000C6996"/>
    <w:rsid w:val="000D23BA"/>
    <w:rsid w:val="000E681E"/>
    <w:rsid w:val="000F4E6A"/>
    <w:rsid w:val="001107BF"/>
    <w:rsid w:val="0012417C"/>
    <w:rsid w:val="00142395"/>
    <w:rsid w:val="00142714"/>
    <w:rsid w:val="001452ED"/>
    <w:rsid w:val="001601EE"/>
    <w:rsid w:val="001830CE"/>
    <w:rsid w:val="00196307"/>
    <w:rsid w:val="001B017F"/>
    <w:rsid w:val="001B3531"/>
    <w:rsid w:val="001B5129"/>
    <w:rsid w:val="001C1195"/>
    <w:rsid w:val="00213CFB"/>
    <w:rsid w:val="00271BA1"/>
    <w:rsid w:val="00277259"/>
    <w:rsid w:val="00277505"/>
    <w:rsid w:val="0029458F"/>
    <w:rsid w:val="002A104C"/>
    <w:rsid w:val="002A4960"/>
    <w:rsid w:val="002B08E5"/>
    <w:rsid w:val="002B1AE6"/>
    <w:rsid w:val="002B30F8"/>
    <w:rsid w:val="002C212F"/>
    <w:rsid w:val="002D53AD"/>
    <w:rsid w:val="002E72CA"/>
    <w:rsid w:val="00305A54"/>
    <w:rsid w:val="00326E79"/>
    <w:rsid w:val="003367EF"/>
    <w:rsid w:val="00341AE4"/>
    <w:rsid w:val="003707B5"/>
    <w:rsid w:val="003A1DF5"/>
    <w:rsid w:val="003A5B4A"/>
    <w:rsid w:val="003B23C5"/>
    <w:rsid w:val="003B2A75"/>
    <w:rsid w:val="003D4AC4"/>
    <w:rsid w:val="003D63B7"/>
    <w:rsid w:val="003E468B"/>
    <w:rsid w:val="003F5C8C"/>
    <w:rsid w:val="004465BD"/>
    <w:rsid w:val="00466ADA"/>
    <w:rsid w:val="00485940"/>
    <w:rsid w:val="00491DA3"/>
    <w:rsid w:val="004B5640"/>
    <w:rsid w:val="004C1BD7"/>
    <w:rsid w:val="004C691D"/>
    <w:rsid w:val="004E692D"/>
    <w:rsid w:val="00514CD7"/>
    <w:rsid w:val="00534E2E"/>
    <w:rsid w:val="00544552"/>
    <w:rsid w:val="0055532F"/>
    <w:rsid w:val="005648D0"/>
    <w:rsid w:val="00581932"/>
    <w:rsid w:val="005963BB"/>
    <w:rsid w:val="005A3173"/>
    <w:rsid w:val="005A3223"/>
    <w:rsid w:val="005A3DA3"/>
    <w:rsid w:val="005A52C4"/>
    <w:rsid w:val="005D03AB"/>
    <w:rsid w:val="005D5017"/>
    <w:rsid w:val="00601A91"/>
    <w:rsid w:val="00602BA3"/>
    <w:rsid w:val="00614159"/>
    <w:rsid w:val="00617C00"/>
    <w:rsid w:val="006263BF"/>
    <w:rsid w:val="00630A2C"/>
    <w:rsid w:val="00651169"/>
    <w:rsid w:val="00653D69"/>
    <w:rsid w:val="00670A76"/>
    <w:rsid w:val="006711AA"/>
    <w:rsid w:val="00675622"/>
    <w:rsid w:val="006906DB"/>
    <w:rsid w:val="006A12A5"/>
    <w:rsid w:val="006B0D94"/>
    <w:rsid w:val="006B485D"/>
    <w:rsid w:val="006C708E"/>
    <w:rsid w:val="006D6EC7"/>
    <w:rsid w:val="006F5125"/>
    <w:rsid w:val="007174BB"/>
    <w:rsid w:val="00766251"/>
    <w:rsid w:val="007753C2"/>
    <w:rsid w:val="007838B8"/>
    <w:rsid w:val="007C0F57"/>
    <w:rsid w:val="007C40B6"/>
    <w:rsid w:val="007C729F"/>
    <w:rsid w:val="007D73E2"/>
    <w:rsid w:val="007E1D28"/>
    <w:rsid w:val="007F2641"/>
    <w:rsid w:val="007F7C36"/>
    <w:rsid w:val="00806796"/>
    <w:rsid w:val="008545BD"/>
    <w:rsid w:val="00856DDD"/>
    <w:rsid w:val="00863E68"/>
    <w:rsid w:val="00882085"/>
    <w:rsid w:val="00883188"/>
    <w:rsid w:val="00897D58"/>
    <w:rsid w:val="008A4937"/>
    <w:rsid w:val="008C3FC8"/>
    <w:rsid w:val="008D3C82"/>
    <w:rsid w:val="008D435F"/>
    <w:rsid w:val="008D447E"/>
    <w:rsid w:val="008E3680"/>
    <w:rsid w:val="008E5870"/>
    <w:rsid w:val="008F00A0"/>
    <w:rsid w:val="008F1434"/>
    <w:rsid w:val="008F7355"/>
    <w:rsid w:val="008F7B36"/>
    <w:rsid w:val="009067B7"/>
    <w:rsid w:val="00921983"/>
    <w:rsid w:val="00930937"/>
    <w:rsid w:val="00933E6C"/>
    <w:rsid w:val="00942160"/>
    <w:rsid w:val="009602C5"/>
    <w:rsid w:val="00974C21"/>
    <w:rsid w:val="009C703C"/>
    <w:rsid w:val="009D3CAA"/>
    <w:rsid w:val="009F5B65"/>
    <w:rsid w:val="009F5F2E"/>
    <w:rsid w:val="00A06225"/>
    <w:rsid w:val="00A07842"/>
    <w:rsid w:val="00A37C8D"/>
    <w:rsid w:val="00A5273B"/>
    <w:rsid w:val="00A53A9D"/>
    <w:rsid w:val="00A62C1A"/>
    <w:rsid w:val="00A6426D"/>
    <w:rsid w:val="00A70622"/>
    <w:rsid w:val="00A70977"/>
    <w:rsid w:val="00A8390C"/>
    <w:rsid w:val="00A9428B"/>
    <w:rsid w:val="00AA4D1C"/>
    <w:rsid w:val="00AC5206"/>
    <w:rsid w:val="00AE11A5"/>
    <w:rsid w:val="00AF05A8"/>
    <w:rsid w:val="00AF68CC"/>
    <w:rsid w:val="00B205AA"/>
    <w:rsid w:val="00B25F75"/>
    <w:rsid w:val="00B43E90"/>
    <w:rsid w:val="00B4438D"/>
    <w:rsid w:val="00B56118"/>
    <w:rsid w:val="00B6773F"/>
    <w:rsid w:val="00BB69F5"/>
    <w:rsid w:val="00BB7EC3"/>
    <w:rsid w:val="00BC4B9A"/>
    <w:rsid w:val="00BD784C"/>
    <w:rsid w:val="00BF4CB6"/>
    <w:rsid w:val="00C12768"/>
    <w:rsid w:val="00C231F4"/>
    <w:rsid w:val="00C35996"/>
    <w:rsid w:val="00C5342C"/>
    <w:rsid w:val="00C6256A"/>
    <w:rsid w:val="00C91449"/>
    <w:rsid w:val="00C92D10"/>
    <w:rsid w:val="00CE10C4"/>
    <w:rsid w:val="00CE27B5"/>
    <w:rsid w:val="00CE4153"/>
    <w:rsid w:val="00D0321E"/>
    <w:rsid w:val="00D3280C"/>
    <w:rsid w:val="00D3406A"/>
    <w:rsid w:val="00D469B2"/>
    <w:rsid w:val="00D50D59"/>
    <w:rsid w:val="00D741EB"/>
    <w:rsid w:val="00D91271"/>
    <w:rsid w:val="00DA4BAC"/>
    <w:rsid w:val="00DE6D27"/>
    <w:rsid w:val="00DF217D"/>
    <w:rsid w:val="00DF26A7"/>
    <w:rsid w:val="00E164B3"/>
    <w:rsid w:val="00E16910"/>
    <w:rsid w:val="00E216A7"/>
    <w:rsid w:val="00E52969"/>
    <w:rsid w:val="00E65E54"/>
    <w:rsid w:val="00E713EA"/>
    <w:rsid w:val="00E80155"/>
    <w:rsid w:val="00E848C0"/>
    <w:rsid w:val="00E91B96"/>
    <w:rsid w:val="00E941A1"/>
    <w:rsid w:val="00E95CE3"/>
    <w:rsid w:val="00EA0577"/>
    <w:rsid w:val="00EA0C22"/>
    <w:rsid w:val="00EA2825"/>
    <w:rsid w:val="00EB5088"/>
    <w:rsid w:val="00EC2BCD"/>
    <w:rsid w:val="00ED1644"/>
    <w:rsid w:val="00F050BD"/>
    <w:rsid w:val="00F05657"/>
    <w:rsid w:val="00F25578"/>
    <w:rsid w:val="00F258E5"/>
    <w:rsid w:val="00F300BC"/>
    <w:rsid w:val="00F3334E"/>
    <w:rsid w:val="00F339D3"/>
    <w:rsid w:val="00F50EC4"/>
    <w:rsid w:val="00F57A6D"/>
    <w:rsid w:val="00F638CC"/>
    <w:rsid w:val="00F71484"/>
    <w:rsid w:val="00F8247A"/>
    <w:rsid w:val="00FA5883"/>
    <w:rsid w:val="00FA6055"/>
    <w:rsid w:val="00FB322F"/>
    <w:rsid w:val="00FB442F"/>
    <w:rsid w:val="00FC1929"/>
    <w:rsid w:val="00FC5B46"/>
    <w:rsid w:val="00FF1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292A0-7CA8-4CAD-B013-71522AD3B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2297</Words>
  <Characters>13068</Characters>
  <Application>Microsoft Office Word</Application>
  <DocSecurity>2</DocSecurity>
  <Lines>108</Lines>
  <Paragraphs>30</Paragraphs>
  <ScaleCrop>false</ScaleCrop>
  <Company/>
  <LinksUpToDate>false</LinksUpToDate>
  <CharactersWithSpaces>15335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2015-05-22T06:53:00Z</dcterms:created>
  <dcterms:modified xsi:type="dcterms:W3CDTF">2015-06-03T00:34:00Z</dcterms:modified>
</cp:coreProperties>
</file>