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F6" w:rsidRPr="004F1E87" w:rsidRDefault="00BA5204" w:rsidP="00DD45C1">
      <w:pPr>
        <w:ind w:left="720" w:hanging="720"/>
        <w:rPr>
          <w:rFonts w:ascii="Arial" w:hAnsi="Arial" w:cs="Arial"/>
          <w:b/>
          <w:snapToGrid w:val="0"/>
          <w:lang w:eastAsia="en-US"/>
        </w:rPr>
      </w:pPr>
      <w:r w:rsidRPr="00DD45C1">
        <w:rPr>
          <w:rFonts w:ascii="Arial" w:hAnsi="Arial" w:cs="Arial"/>
          <w:b/>
        </w:rPr>
        <w:t>14.2</w:t>
      </w:r>
      <w:r w:rsidR="0099496F" w:rsidRPr="00DD45C1">
        <w:rPr>
          <w:rFonts w:ascii="Arial" w:hAnsi="Arial" w:cs="Arial"/>
          <w:b/>
        </w:rPr>
        <w:tab/>
      </w:r>
      <w:r w:rsidR="00006F9B" w:rsidRPr="004F1E87">
        <w:rPr>
          <w:rFonts w:ascii="Arial" w:hAnsi="Arial" w:cs="Arial"/>
          <w:b/>
          <w:snapToGrid w:val="0"/>
          <w:lang w:eastAsia="en-US"/>
        </w:rPr>
        <w:t xml:space="preserve">TRIGLYCERIDES MEDIUM CHAIN FORMULA, </w:t>
      </w:r>
    </w:p>
    <w:p w:rsidR="00CA65F6" w:rsidRPr="004F1E87" w:rsidRDefault="00006F9B" w:rsidP="0099496F">
      <w:pPr>
        <w:widowControl w:val="0"/>
        <w:ind w:firstLine="720"/>
        <w:rPr>
          <w:rFonts w:ascii="Arial" w:hAnsi="Arial" w:cs="Arial"/>
          <w:b/>
          <w:snapToGrid w:val="0"/>
          <w:lang w:eastAsia="en-US"/>
        </w:rPr>
      </w:pPr>
      <w:proofErr w:type="gramStart"/>
      <w:r w:rsidRPr="004F1E87">
        <w:rPr>
          <w:rFonts w:ascii="Arial" w:hAnsi="Arial" w:cs="Arial"/>
          <w:b/>
          <w:snapToGrid w:val="0"/>
          <w:lang w:eastAsia="en-US"/>
        </w:rPr>
        <w:t>triglycerides</w:t>
      </w:r>
      <w:proofErr w:type="gramEnd"/>
      <w:r w:rsidRPr="004F1E87">
        <w:rPr>
          <w:rFonts w:ascii="Arial" w:hAnsi="Arial" w:cs="Arial"/>
          <w:b/>
          <w:snapToGrid w:val="0"/>
          <w:lang w:eastAsia="en-US"/>
        </w:rPr>
        <w:t xml:space="preserve"> medium chain formula oral liquid, powder for, 400 g, </w:t>
      </w:r>
    </w:p>
    <w:p w:rsidR="00006F9B" w:rsidRPr="004F1E87" w:rsidRDefault="00C87087" w:rsidP="0099496F">
      <w:pPr>
        <w:widowControl w:val="0"/>
        <w:ind w:firstLine="720"/>
        <w:rPr>
          <w:rFonts w:ascii="Arial" w:hAnsi="Arial" w:cs="Arial"/>
          <w:b/>
          <w:snapToGrid w:val="0"/>
          <w:lang w:eastAsia="en-US"/>
        </w:rPr>
      </w:pPr>
      <w:proofErr w:type="spellStart"/>
      <w:r>
        <w:rPr>
          <w:rFonts w:ascii="Arial" w:hAnsi="Arial" w:cs="Arial"/>
          <w:b/>
          <w:snapToGrid w:val="0"/>
          <w:lang w:eastAsia="en-US"/>
        </w:rPr>
        <w:t>Peptamen</w:t>
      </w:r>
      <w:proofErr w:type="spellEnd"/>
      <w:r w:rsidR="00006F9B" w:rsidRPr="004F1E87">
        <w:rPr>
          <w:rFonts w:ascii="Arial" w:hAnsi="Arial" w:cs="Arial"/>
          <w:b/>
          <w:snapToGrid w:val="0"/>
          <w:lang w:eastAsia="en-US"/>
        </w:rPr>
        <w:t>®</w:t>
      </w:r>
      <w:r w:rsidRPr="00C87087">
        <w:rPr>
          <w:rFonts w:ascii="Arial" w:hAnsi="Arial" w:cs="Arial"/>
          <w:b/>
          <w:snapToGrid w:val="0"/>
          <w:lang w:eastAsia="en-US"/>
        </w:rPr>
        <w:t xml:space="preserve"> </w:t>
      </w:r>
      <w:r w:rsidRPr="004F1E87">
        <w:rPr>
          <w:rFonts w:ascii="Arial" w:hAnsi="Arial" w:cs="Arial"/>
          <w:b/>
          <w:snapToGrid w:val="0"/>
          <w:lang w:eastAsia="en-US"/>
        </w:rPr>
        <w:t>Junior</w:t>
      </w:r>
      <w:r w:rsidR="00006F9B" w:rsidRPr="004F1E87">
        <w:rPr>
          <w:rFonts w:ascii="Arial" w:hAnsi="Arial" w:cs="Arial"/>
          <w:b/>
          <w:snapToGrid w:val="0"/>
          <w:lang w:eastAsia="en-US"/>
        </w:rPr>
        <w:t>, Nestle Health Science (Nestle Australia Ltd)</w:t>
      </w:r>
    </w:p>
    <w:p w:rsidR="00006F9B" w:rsidRPr="004F1E87" w:rsidRDefault="00006F9B" w:rsidP="00006F9B">
      <w:pPr>
        <w:widowControl w:val="0"/>
        <w:rPr>
          <w:rFonts w:ascii="Arial" w:hAnsi="Arial" w:cs="Arial"/>
          <w:snapToGrid w:val="0"/>
          <w:lang w:eastAsia="en-US"/>
        </w:rPr>
      </w:pPr>
    </w:p>
    <w:p w:rsidR="0099496F" w:rsidRPr="004F1E87" w:rsidRDefault="0099496F" w:rsidP="0099496F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4F1E87">
        <w:rPr>
          <w:rFonts w:ascii="Arial" w:hAnsi="Arial"/>
          <w:b/>
          <w:sz w:val="22"/>
          <w:szCs w:val="22"/>
        </w:rPr>
        <w:t>Purpose of application</w:t>
      </w:r>
    </w:p>
    <w:p w:rsidR="0099496F" w:rsidRPr="004F1E87" w:rsidRDefault="0099496F" w:rsidP="0099496F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006F9B" w:rsidRPr="004F1E87" w:rsidRDefault="00006F9B" w:rsidP="0099496F">
      <w:pPr>
        <w:pStyle w:val="ListParagraph"/>
        <w:numPr>
          <w:ilvl w:val="1"/>
          <w:numId w:val="3"/>
        </w:numPr>
        <w:rPr>
          <w:rFonts w:ascii="Arial" w:hAnsi="Arial" w:cs="Arial"/>
          <w:snapToGrid w:val="0"/>
          <w:sz w:val="22"/>
          <w:lang w:eastAsia="en-US"/>
        </w:rPr>
      </w:pPr>
      <w:r w:rsidRPr="004F1E87">
        <w:rPr>
          <w:rFonts w:ascii="Arial" w:hAnsi="Arial" w:cs="Arial"/>
          <w:snapToGrid w:val="0"/>
          <w:sz w:val="22"/>
          <w:lang w:eastAsia="en-US"/>
        </w:rPr>
        <w:t>To request a Restricted Benefit listing for fat malabsorption due to liver disease, short gut syndrome, cystic fibrosis and gastrointestinal disorders.</w:t>
      </w:r>
    </w:p>
    <w:p w:rsidR="00006F9B" w:rsidRPr="004F1E87" w:rsidRDefault="00006F9B" w:rsidP="00006F9B">
      <w:pPr>
        <w:rPr>
          <w:rFonts w:ascii="Arial" w:hAnsi="Arial" w:cs="Arial"/>
          <w:b/>
          <w:sz w:val="22"/>
        </w:rPr>
      </w:pPr>
    </w:p>
    <w:p w:rsidR="0099496F" w:rsidRDefault="0099496F" w:rsidP="0099496F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4F1E87">
        <w:rPr>
          <w:rFonts w:ascii="Arial" w:hAnsi="Arial"/>
          <w:b/>
          <w:sz w:val="22"/>
          <w:szCs w:val="22"/>
        </w:rPr>
        <w:t>Requested listing</w:t>
      </w:r>
    </w:p>
    <w:p w:rsidR="004F1E87" w:rsidRPr="004F1E87" w:rsidRDefault="004F1E87" w:rsidP="004F1E8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tbl>
      <w:tblPr>
        <w:tblW w:w="8222" w:type="dxa"/>
        <w:tblInd w:w="817" w:type="dxa"/>
        <w:tblLayout w:type="fixed"/>
        <w:tblLook w:val="0000" w:firstRow="0" w:lastRow="0" w:firstColumn="0" w:lastColumn="0" w:noHBand="0" w:noVBand="0"/>
        <w:tblDescription w:val="condition / indication - triglycerides"/>
      </w:tblPr>
      <w:tblGrid>
        <w:gridCol w:w="2268"/>
        <w:gridCol w:w="2268"/>
        <w:gridCol w:w="567"/>
        <w:gridCol w:w="567"/>
        <w:gridCol w:w="284"/>
        <w:gridCol w:w="1559"/>
        <w:gridCol w:w="709"/>
      </w:tblGrid>
      <w:tr w:rsidR="00006F9B" w:rsidRPr="004F1E87" w:rsidTr="0099496F">
        <w:trPr>
          <w:cantSplit/>
          <w:trHeight w:val="471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Name, Restriction,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Manner of administration 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and form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Max.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F1E87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№.of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4F1E87">
              <w:rPr>
                <w:rFonts w:ascii="Arial" w:hAnsi="Arial" w:cs="Arial"/>
                <w:sz w:val="20"/>
              </w:rPr>
              <w:t>Rpts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4F1E87">
              <w:rPr>
                <w:rFonts w:ascii="Arial" w:hAnsi="Arial" w:cs="Arial"/>
                <w:sz w:val="20"/>
              </w:rPr>
              <w:t>Proprietary Name and Manufacturer</w:t>
            </w:r>
          </w:p>
        </w:tc>
      </w:tr>
      <w:tr w:rsidR="00006F9B" w:rsidRPr="004F1E87" w:rsidTr="0099496F">
        <w:trPr>
          <w:cantSplit/>
          <w:trHeight w:val="809"/>
        </w:trPr>
        <w:tc>
          <w:tcPr>
            <w:tcW w:w="4536" w:type="dxa"/>
            <w:gridSpan w:val="2"/>
          </w:tcPr>
          <w:p w:rsidR="00006F9B" w:rsidRPr="004F1E87" w:rsidRDefault="00006F9B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TRIGLYCERIDES MEDIUM CHAIN FORMULA</w:t>
            </w:r>
          </w:p>
          <w:p w:rsidR="00006F9B" w:rsidRPr="004F1E87" w:rsidRDefault="00006F9B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Triglycerides medium  chain oral liquid, powder for 8 x 400g</w:t>
            </w:r>
          </w:p>
          <w:p w:rsidR="00006F9B" w:rsidRPr="004F1E87" w:rsidRDefault="00006F9B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8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</w:t>
            </w: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4" w:type="dxa"/>
          </w:tcPr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C87087">
            <w:pPr>
              <w:keepNext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4F1E87">
              <w:rPr>
                <w:rFonts w:ascii="Arial" w:hAnsi="Arial" w:cs="Arial"/>
                <w:sz w:val="20"/>
              </w:rPr>
              <w:t>Peptamen</w:t>
            </w:r>
            <w:proofErr w:type="spellEnd"/>
            <w:r w:rsidR="00C87087" w:rsidRPr="004F1E87">
              <w:rPr>
                <w:rFonts w:ascii="Arial" w:hAnsi="Arial" w:cs="Arial"/>
                <w:sz w:val="20"/>
              </w:rPr>
              <w:t>®</w:t>
            </w:r>
            <w:r w:rsidRPr="004F1E87">
              <w:rPr>
                <w:rFonts w:ascii="Arial" w:hAnsi="Arial" w:cs="Arial"/>
                <w:sz w:val="20"/>
              </w:rPr>
              <w:t xml:space="preserve"> Junior</w:t>
            </w:r>
          </w:p>
        </w:tc>
        <w:tc>
          <w:tcPr>
            <w:tcW w:w="709" w:type="dxa"/>
          </w:tcPr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NT</w:t>
            </w:r>
          </w:p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6F9B" w:rsidRPr="004F1E87" w:rsidTr="0099496F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Condition/Indication: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Dietary management of conditions requiring a source of medium chain triglycerides</w:t>
            </w: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</w:p>
        </w:tc>
      </w:tr>
      <w:tr w:rsidR="00006F9B" w:rsidRPr="004F1E87" w:rsidTr="0099496F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Restriction: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Restricted benefit</w:t>
            </w:r>
          </w:p>
        </w:tc>
      </w:tr>
      <w:tr w:rsidR="00006F9B" w:rsidRPr="004F1E87" w:rsidTr="0099496F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Clinical criteria:</w:t>
            </w:r>
          </w:p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liver disease; OR</w:t>
            </w: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short gut syndrome; OR</w:t>
            </w: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cystic fibrosis; OR</w:t>
            </w: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gastrointestinal disorders</w:t>
            </w: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</w:p>
        </w:tc>
      </w:tr>
    </w:tbl>
    <w:p w:rsidR="00006F9B" w:rsidRPr="004F1E87" w:rsidRDefault="00006F9B" w:rsidP="00006F9B">
      <w:pPr>
        <w:rPr>
          <w:rFonts w:ascii="Arial" w:hAnsi="Arial" w:cs="Arial"/>
          <w:b/>
        </w:rPr>
      </w:pPr>
    </w:p>
    <w:p w:rsidR="0099496F" w:rsidRPr="004F1E87" w:rsidRDefault="0099496F" w:rsidP="0099496F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4F1E87">
        <w:rPr>
          <w:rFonts w:ascii="Arial" w:hAnsi="Arial"/>
          <w:b/>
          <w:sz w:val="22"/>
          <w:szCs w:val="22"/>
        </w:rPr>
        <w:t>PBAC Outcome</w:t>
      </w:r>
    </w:p>
    <w:p w:rsidR="0099496F" w:rsidRPr="004F1E87" w:rsidRDefault="0099496F" w:rsidP="0099496F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006F9B" w:rsidRPr="004F1E87" w:rsidRDefault="00006F9B" w:rsidP="0099496F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4F1E87">
        <w:rPr>
          <w:rFonts w:ascii="Arial" w:hAnsi="Arial" w:cs="Arial"/>
          <w:sz w:val="22"/>
        </w:rPr>
        <w:t xml:space="preserve">The PBAC </w:t>
      </w:r>
      <w:r w:rsidR="00794D6F" w:rsidRPr="004F1E87">
        <w:rPr>
          <w:rFonts w:ascii="Arial" w:hAnsi="Arial" w:cs="Arial"/>
          <w:sz w:val="22"/>
        </w:rPr>
        <w:t xml:space="preserve">recalled that it </w:t>
      </w:r>
      <w:r w:rsidRPr="004F1E87">
        <w:rPr>
          <w:rFonts w:ascii="Arial" w:hAnsi="Arial" w:cs="Arial"/>
          <w:sz w:val="22"/>
        </w:rPr>
        <w:t xml:space="preserve">recommended listing </w:t>
      </w:r>
      <w:proofErr w:type="spellStart"/>
      <w:r w:rsidRPr="004F1E87">
        <w:rPr>
          <w:rFonts w:ascii="Arial" w:hAnsi="Arial" w:cs="Arial"/>
          <w:sz w:val="22"/>
        </w:rPr>
        <w:t>Lipistart</w:t>
      </w:r>
      <w:proofErr w:type="spellEnd"/>
      <w:r w:rsidRPr="004F1E87">
        <w:rPr>
          <w:rFonts w:ascii="Arial" w:hAnsi="Arial" w:cs="Arial"/>
          <w:sz w:val="22"/>
        </w:rPr>
        <w:t xml:space="preserve">® in March 2012, on a cost-minimisation basis to </w:t>
      </w:r>
      <w:proofErr w:type="spellStart"/>
      <w:r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®. </w:t>
      </w:r>
      <w:proofErr w:type="spellStart"/>
      <w:r w:rsidRPr="004F1E87">
        <w:rPr>
          <w:rFonts w:ascii="Arial" w:hAnsi="Arial" w:cs="Arial"/>
          <w:sz w:val="22"/>
        </w:rPr>
        <w:t>Lipistart</w:t>
      </w:r>
      <w:proofErr w:type="spellEnd"/>
      <w:r w:rsidRPr="004F1E87">
        <w:rPr>
          <w:rFonts w:ascii="Arial" w:hAnsi="Arial" w:cs="Arial"/>
          <w:sz w:val="22"/>
        </w:rPr>
        <w:t xml:space="preserve">® and </w:t>
      </w:r>
      <w:proofErr w:type="spellStart"/>
      <w:r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® were considered to be therapeutically equivalent and are presented as 400g X 8 tins. </w:t>
      </w:r>
    </w:p>
    <w:p w:rsidR="00006F9B" w:rsidRPr="004F1E87" w:rsidRDefault="00006F9B" w:rsidP="00006F9B">
      <w:pPr>
        <w:rPr>
          <w:rFonts w:ascii="Arial" w:hAnsi="Arial" w:cs="Arial"/>
          <w:sz w:val="22"/>
        </w:rPr>
      </w:pPr>
    </w:p>
    <w:p w:rsidR="00006F9B" w:rsidRPr="004F1E87" w:rsidRDefault="00C87087" w:rsidP="0099496F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Peptamen</w:t>
      </w:r>
      <w:proofErr w:type="spellEnd"/>
      <w:r w:rsidR="00006F9B" w:rsidRPr="004F1E87">
        <w:rPr>
          <w:rFonts w:ascii="Arial" w:hAnsi="Arial" w:cs="Arial"/>
          <w:sz w:val="22"/>
        </w:rPr>
        <w:t xml:space="preserve"> </w:t>
      </w:r>
      <w:r w:rsidRPr="004F1E87">
        <w:rPr>
          <w:rFonts w:ascii="Arial" w:hAnsi="Arial" w:cs="Arial"/>
          <w:sz w:val="22"/>
        </w:rPr>
        <w:t xml:space="preserve">Junior </w:t>
      </w:r>
      <w:r w:rsidR="00006F9B" w:rsidRPr="004F1E87">
        <w:rPr>
          <w:rFonts w:ascii="Arial" w:hAnsi="Arial" w:cs="Arial"/>
          <w:sz w:val="22"/>
        </w:rPr>
        <w:t xml:space="preserve">is nutritionally comparable to </w:t>
      </w:r>
      <w:proofErr w:type="spellStart"/>
      <w:r w:rsidR="00006F9B" w:rsidRPr="004F1E87">
        <w:rPr>
          <w:rFonts w:ascii="Arial" w:hAnsi="Arial" w:cs="Arial"/>
          <w:sz w:val="22"/>
        </w:rPr>
        <w:t>Monogen</w:t>
      </w:r>
      <w:proofErr w:type="spellEnd"/>
      <w:r w:rsidR="00006F9B" w:rsidRPr="004F1E87">
        <w:rPr>
          <w:rFonts w:ascii="Arial" w:hAnsi="Arial" w:cs="Arial"/>
          <w:sz w:val="22"/>
        </w:rPr>
        <w:t xml:space="preserve"> but contains a lower amount of total fat. This enables </w:t>
      </w:r>
      <w:proofErr w:type="spellStart"/>
      <w:r w:rsidR="00006F9B" w:rsidRPr="004F1E87">
        <w:rPr>
          <w:rFonts w:ascii="Arial" w:hAnsi="Arial" w:cs="Arial"/>
          <w:sz w:val="22"/>
        </w:rPr>
        <w:t>Peptamen</w:t>
      </w:r>
      <w:proofErr w:type="spellEnd"/>
      <w:r w:rsidR="00006F9B" w:rsidRPr="004F1E87">
        <w:rPr>
          <w:rFonts w:ascii="Arial" w:hAnsi="Arial" w:cs="Arial"/>
          <w:sz w:val="22"/>
        </w:rPr>
        <w:t xml:space="preserve"> Junior to meet the nutritional management of children with conditions leading to fat malabsorption. Additionally the submission claims other advantages</w:t>
      </w:r>
      <w:r w:rsidR="0093134D" w:rsidRPr="004F1E87">
        <w:rPr>
          <w:rFonts w:ascii="Arial" w:hAnsi="Arial" w:cs="Arial"/>
          <w:sz w:val="22"/>
        </w:rPr>
        <w:t xml:space="preserve"> over its comparator, </w:t>
      </w:r>
      <w:proofErr w:type="spellStart"/>
      <w:r w:rsidR="0093134D" w:rsidRPr="004F1E87">
        <w:rPr>
          <w:rFonts w:ascii="Arial" w:hAnsi="Arial" w:cs="Arial"/>
          <w:sz w:val="22"/>
        </w:rPr>
        <w:t>Monogen</w:t>
      </w:r>
      <w:proofErr w:type="spellEnd"/>
      <w:r w:rsidR="0093134D" w:rsidRPr="004F1E87">
        <w:rPr>
          <w:rFonts w:ascii="Arial" w:hAnsi="Arial" w:cs="Arial"/>
          <w:sz w:val="22"/>
        </w:rPr>
        <w:t xml:space="preserve">: </w:t>
      </w:r>
      <w:r w:rsidR="00006F9B" w:rsidRPr="004F1E87">
        <w:rPr>
          <w:rFonts w:ascii="Arial" w:hAnsi="Arial" w:cs="Arial"/>
          <w:sz w:val="22"/>
        </w:rPr>
        <w:t xml:space="preserve">the potential for  the formulation to be used as a sole source of nutrition in children since it contains the daily requirements for the essential fatty acids, linoleic acid and alpha linoleic acid and the use of 100% hydrolysed whey protein compared to </w:t>
      </w:r>
      <w:proofErr w:type="spellStart"/>
      <w:r w:rsidR="00006F9B" w:rsidRPr="004F1E87">
        <w:rPr>
          <w:rFonts w:ascii="Arial" w:hAnsi="Arial" w:cs="Arial"/>
          <w:sz w:val="22"/>
        </w:rPr>
        <w:t>Monogen’s</w:t>
      </w:r>
      <w:proofErr w:type="spellEnd"/>
      <w:r w:rsidR="00006F9B" w:rsidRPr="004F1E87">
        <w:rPr>
          <w:rFonts w:ascii="Arial" w:hAnsi="Arial" w:cs="Arial"/>
          <w:sz w:val="22"/>
        </w:rPr>
        <w:t xml:space="preserve"> whole whey protein source.  </w:t>
      </w:r>
    </w:p>
    <w:p w:rsidR="00006F9B" w:rsidRPr="004F1E87" w:rsidRDefault="00006F9B" w:rsidP="00006F9B">
      <w:pPr>
        <w:rPr>
          <w:rFonts w:ascii="Arial" w:hAnsi="Arial" w:cs="Arial"/>
          <w:sz w:val="22"/>
        </w:rPr>
      </w:pPr>
    </w:p>
    <w:p w:rsidR="00006F9B" w:rsidRPr="004F1E87" w:rsidRDefault="00006F9B" w:rsidP="0099496F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4F1E87">
        <w:rPr>
          <w:rFonts w:ascii="Arial" w:hAnsi="Arial" w:cs="Arial"/>
          <w:sz w:val="22"/>
        </w:rPr>
        <w:t>The submission claim</w:t>
      </w:r>
      <w:r w:rsidR="00794D6F" w:rsidRPr="004F1E87">
        <w:rPr>
          <w:rFonts w:ascii="Arial" w:hAnsi="Arial" w:cs="Arial"/>
          <w:sz w:val="22"/>
        </w:rPr>
        <w:t>ed</w:t>
      </w:r>
      <w:r w:rsidRPr="004F1E87">
        <w:rPr>
          <w:rFonts w:ascii="Arial" w:hAnsi="Arial" w:cs="Arial"/>
          <w:sz w:val="22"/>
        </w:rPr>
        <w:t xml:space="preserve"> a cost saving to the PBS if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were to be listed on the PBS as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will substitute for the comparator </w:t>
      </w:r>
      <w:proofErr w:type="spellStart"/>
      <w:r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, the most commonly prescribed medium chain triglyceride formula (MCT).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</w:t>
      </w:r>
      <w:r w:rsidR="00794D6F" w:rsidRPr="004F1E87">
        <w:rPr>
          <w:rFonts w:ascii="Arial" w:hAnsi="Arial" w:cs="Arial"/>
          <w:sz w:val="22"/>
        </w:rPr>
        <w:t>was</w:t>
      </w:r>
      <w:r w:rsidRPr="004F1E87">
        <w:rPr>
          <w:rFonts w:ascii="Arial" w:hAnsi="Arial" w:cs="Arial"/>
          <w:sz w:val="22"/>
        </w:rPr>
        <w:t xml:space="preserve"> proposed</w:t>
      </w:r>
      <w:r w:rsidR="004E3B4E" w:rsidRPr="004F1E87">
        <w:rPr>
          <w:rFonts w:ascii="Arial" w:hAnsi="Arial" w:cs="Arial"/>
          <w:sz w:val="22"/>
        </w:rPr>
        <w:t xml:space="preserve"> at a lower price than </w:t>
      </w:r>
      <w:proofErr w:type="spellStart"/>
      <w:r w:rsidR="004E3B4E"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. </w:t>
      </w:r>
    </w:p>
    <w:p w:rsidR="00006F9B" w:rsidRPr="004F1E87" w:rsidRDefault="00006F9B" w:rsidP="00006F9B">
      <w:pPr>
        <w:rPr>
          <w:rFonts w:ascii="Arial" w:hAnsi="Arial" w:cs="Arial"/>
          <w:sz w:val="22"/>
        </w:rPr>
      </w:pPr>
    </w:p>
    <w:p w:rsidR="00006F9B" w:rsidRPr="004F1E87" w:rsidRDefault="00006F9B" w:rsidP="0099496F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proofErr w:type="spellStart"/>
      <w:r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 and </w:t>
      </w:r>
      <w:proofErr w:type="spellStart"/>
      <w:r w:rsidRPr="004F1E87">
        <w:rPr>
          <w:rFonts w:ascii="Arial" w:hAnsi="Arial" w:cs="Arial"/>
          <w:sz w:val="22"/>
        </w:rPr>
        <w:t>Lipistart</w:t>
      </w:r>
      <w:proofErr w:type="spellEnd"/>
      <w:r w:rsidRPr="004F1E87">
        <w:rPr>
          <w:rFonts w:ascii="Arial" w:hAnsi="Arial" w:cs="Arial"/>
          <w:sz w:val="22"/>
        </w:rPr>
        <w:t xml:space="preserve"> are also PBS-listed for the f</w:t>
      </w:r>
      <w:r w:rsidR="004E3B4E" w:rsidRPr="004F1E87">
        <w:rPr>
          <w:rFonts w:ascii="Arial" w:hAnsi="Arial" w:cs="Arial"/>
          <w:sz w:val="22"/>
        </w:rPr>
        <w:t>ollowing additional indications:</w:t>
      </w:r>
      <w:r w:rsidRPr="004F1E87">
        <w:rPr>
          <w:rFonts w:ascii="Arial" w:hAnsi="Arial" w:cs="Arial"/>
          <w:sz w:val="22"/>
        </w:rPr>
        <w:t xml:space="preserve"> </w:t>
      </w:r>
      <w:proofErr w:type="spellStart"/>
      <w:r w:rsidRPr="004F1E87">
        <w:rPr>
          <w:rFonts w:ascii="Arial" w:hAnsi="Arial" w:cs="Arial"/>
          <w:sz w:val="22"/>
        </w:rPr>
        <w:t>hyperlipoproteinaemia</w:t>
      </w:r>
      <w:proofErr w:type="spellEnd"/>
      <w:r w:rsidRPr="004F1E87">
        <w:rPr>
          <w:rFonts w:ascii="Arial" w:hAnsi="Arial" w:cs="Arial"/>
          <w:sz w:val="22"/>
        </w:rPr>
        <w:t xml:space="preserve"> type 1, long chain fatty acid oxidation disorders, </w:t>
      </w:r>
      <w:proofErr w:type="spellStart"/>
      <w:r w:rsidRPr="004F1E87">
        <w:rPr>
          <w:rFonts w:ascii="Arial" w:hAnsi="Arial" w:cs="Arial"/>
          <w:sz w:val="22"/>
        </w:rPr>
        <w:t>chlylous</w:t>
      </w:r>
      <w:proofErr w:type="spellEnd"/>
      <w:r w:rsidRPr="004F1E87">
        <w:rPr>
          <w:rFonts w:ascii="Arial" w:hAnsi="Arial" w:cs="Arial"/>
          <w:sz w:val="22"/>
        </w:rPr>
        <w:t xml:space="preserve"> </w:t>
      </w:r>
      <w:r w:rsidRPr="004F1E87">
        <w:rPr>
          <w:rFonts w:ascii="Arial" w:hAnsi="Arial" w:cs="Arial"/>
          <w:sz w:val="22"/>
        </w:rPr>
        <w:lastRenderedPageBreak/>
        <w:t xml:space="preserve">ascites and </w:t>
      </w:r>
      <w:proofErr w:type="spellStart"/>
      <w:r w:rsidRPr="004F1E87">
        <w:rPr>
          <w:rFonts w:ascii="Arial" w:hAnsi="Arial" w:cs="Arial"/>
          <w:sz w:val="22"/>
        </w:rPr>
        <w:t>chylothorax</w:t>
      </w:r>
      <w:proofErr w:type="spellEnd"/>
      <w:r w:rsidRPr="004F1E87">
        <w:rPr>
          <w:rFonts w:ascii="Arial" w:hAnsi="Arial" w:cs="Arial"/>
          <w:sz w:val="22"/>
        </w:rPr>
        <w:t xml:space="preserve">. The submission </w:t>
      </w:r>
      <w:r w:rsidR="00794D6F" w:rsidRPr="004F1E87">
        <w:rPr>
          <w:rFonts w:ascii="Arial" w:hAnsi="Arial" w:cs="Arial"/>
          <w:sz w:val="22"/>
        </w:rPr>
        <w:t>did</w:t>
      </w:r>
      <w:r w:rsidRPr="004F1E87">
        <w:rPr>
          <w:rFonts w:ascii="Arial" w:hAnsi="Arial" w:cs="Arial"/>
          <w:sz w:val="22"/>
        </w:rPr>
        <w:t xml:space="preserve"> not request listing for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for these indications. </w:t>
      </w:r>
    </w:p>
    <w:p w:rsidR="00006F9B" w:rsidRPr="004F1E87" w:rsidRDefault="00006F9B" w:rsidP="00006F9B">
      <w:pPr>
        <w:rPr>
          <w:rFonts w:ascii="Arial" w:hAnsi="Arial" w:cs="Arial"/>
          <w:sz w:val="22"/>
        </w:rPr>
      </w:pPr>
    </w:p>
    <w:p w:rsidR="00006F9B" w:rsidRPr="004F1E87" w:rsidRDefault="00006F9B" w:rsidP="0099496F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4F1E87">
        <w:rPr>
          <w:rFonts w:ascii="Arial" w:hAnsi="Arial" w:cs="Arial"/>
          <w:sz w:val="22"/>
        </w:rPr>
        <w:t xml:space="preserve">The </w:t>
      </w:r>
      <w:r w:rsidR="00794D6F" w:rsidRPr="004F1E87">
        <w:rPr>
          <w:rFonts w:ascii="Arial" w:hAnsi="Arial" w:cs="Arial"/>
          <w:sz w:val="22"/>
        </w:rPr>
        <w:t>Nutritional Products Working Party (</w:t>
      </w:r>
      <w:r w:rsidRPr="004F1E87">
        <w:rPr>
          <w:rFonts w:ascii="Arial" w:hAnsi="Arial" w:cs="Arial"/>
          <w:sz w:val="22"/>
        </w:rPr>
        <w:t>NPWP</w:t>
      </w:r>
      <w:r w:rsidR="00794D6F" w:rsidRPr="004F1E87">
        <w:rPr>
          <w:rFonts w:ascii="Arial" w:hAnsi="Arial" w:cs="Arial"/>
          <w:sz w:val="22"/>
        </w:rPr>
        <w:t>)</w:t>
      </w:r>
      <w:r w:rsidRPr="004F1E87">
        <w:rPr>
          <w:rFonts w:ascii="Arial" w:hAnsi="Arial" w:cs="Arial"/>
          <w:sz w:val="22"/>
        </w:rPr>
        <w:t xml:space="preserve"> noted that the product name “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Junior” was very similar to another product “</w:t>
      </w:r>
      <w:proofErr w:type="spellStart"/>
      <w:r w:rsidRPr="004F1E87">
        <w:rPr>
          <w:rFonts w:ascii="Arial" w:hAnsi="Arial" w:cs="Arial"/>
          <w:sz w:val="22"/>
        </w:rPr>
        <w:t>Pepti</w:t>
      </w:r>
      <w:proofErr w:type="spellEnd"/>
      <w:r w:rsidRPr="004F1E87">
        <w:rPr>
          <w:rFonts w:ascii="Arial" w:hAnsi="Arial" w:cs="Arial"/>
          <w:sz w:val="22"/>
        </w:rPr>
        <w:t xml:space="preserve"> Junior” (</w:t>
      </w:r>
      <w:proofErr w:type="spellStart"/>
      <w:r w:rsidRPr="004F1E87">
        <w:rPr>
          <w:rFonts w:ascii="Arial" w:hAnsi="Arial" w:cs="Arial"/>
          <w:sz w:val="22"/>
        </w:rPr>
        <w:t>Karicare</w:t>
      </w:r>
      <w:proofErr w:type="spellEnd"/>
      <w:r w:rsidRPr="004F1E87">
        <w:rPr>
          <w:rFonts w:ascii="Arial" w:hAnsi="Arial" w:cs="Arial"/>
          <w:sz w:val="22"/>
        </w:rPr>
        <w:t xml:space="preserve"> </w:t>
      </w:r>
      <w:proofErr w:type="spellStart"/>
      <w:r w:rsidRPr="004F1E87">
        <w:rPr>
          <w:rFonts w:ascii="Arial" w:hAnsi="Arial" w:cs="Arial"/>
          <w:sz w:val="22"/>
        </w:rPr>
        <w:t>Aptamil</w:t>
      </w:r>
      <w:proofErr w:type="spellEnd"/>
      <w:r w:rsidRPr="004F1E87">
        <w:rPr>
          <w:rFonts w:ascii="Arial" w:hAnsi="Arial" w:cs="Arial"/>
          <w:sz w:val="22"/>
        </w:rPr>
        <w:t xml:space="preserve"> </w:t>
      </w:r>
      <w:proofErr w:type="spellStart"/>
      <w:r w:rsidRPr="004F1E87">
        <w:rPr>
          <w:rFonts w:ascii="Arial" w:hAnsi="Arial" w:cs="Arial"/>
          <w:sz w:val="22"/>
        </w:rPr>
        <w:t>Pepti</w:t>
      </w:r>
      <w:proofErr w:type="spellEnd"/>
      <w:r w:rsidRPr="004F1E87">
        <w:rPr>
          <w:rFonts w:ascii="Arial" w:hAnsi="Arial" w:cs="Arial"/>
          <w:sz w:val="22"/>
        </w:rPr>
        <w:t xml:space="preserve"> Junior Gold), a protein</w:t>
      </w:r>
      <w:r w:rsidR="00794D6F" w:rsidRPr="004F1E87">
        <w:rPr>
          <w:rFonts w:ascii="Arial" w:hAnsi="Arial" w:cs="Arial"/>
          <w:sz w:val="22"/>
        </w:rPr>
        <w:t xml:space="preserve"> </w:t>
      </w:r>
      <w:proofErr w:type="spellStart"/>
      <w:r w:rsidR="00794D6F" w:rsidRPr="004F1E87">
        <w:rPr>
          <w:rFonts w:ascii="Arial" w:hAnsi="Arial" w:cs="Arial"/>
          <w:sz w:val="22"/>
        </w:rPr>
        <w:t>hydrolysate</w:t>
      </w:r>
      <w:proofErr w:type="spellEnd"/>
      <w:r w:rsidR="00794D6F" w:rsidRPr="004F1E87">
        <w:rPr>
          <w:rFonts w:ascii="Arial" w:hAnsi="Arial" w:cs="Arial"/>
          <w:sz w:val="22"/>
        </w:rPr>
        <w:t xml:space="preserve"> formula with MCT, </w:t>
      </w:r>
      <w:r w:rsidRPr="004F1E87">
        <w:rPr>
          <w:rFonts w:ascii="Arial" w:hAnsi="Arial" w:cs="Arial"/>
          <w:sz w:val="22"/>
        </w:rPr>
        <w:t xml:space="preserve">which has PBS-listing for a number of different indications including cows’ milk protein </w:t>
      </w:r>
      <w:proofErr w:type="spellStart"/>
      <w:r w:rsidRPr="004F1E87">
        <w:rPr>
          <w:rFonts w:ascii="Arial" w:hAnsi="Arial" w:cs="Arial"/>
          <w:sz w:val="22"/>
        </w:rPr>
        <w:t>enteropathy</w:t>
      </w:r>
      <w:proofErr w:type="spellEnd"/>
      <w:r w:rsidRPr="004F1E87">
        <w:rPr>
          <w:rFonts w:ascii="Arial" w:hAnsi="Arial" w:cs="Arial"/>
          <w:sz w:val="22"/>
        </w:rPr>
        <w:t xml:space="preserve"> and intolerance to soy protein, </w:t>
      </w:r>
      <w:proofErr w:type="spellStart"/>
      <w:r w:rsidRPr="004F1E87">
        <w:rPr>
          <w:rFonts w:ascii="Arial" w:hAnsi="Arial" w:cs="Arial"/>
          <w:sz w:val="22"/>
        </w:rPr>
        <w:t>IgE</w:t>
      </w:r>
      <w:proofErr w:type="spellEnd"/>
      <w:r w:rsidRPr="004F1E87">
        <w:rPr>
          <w:rFonts w:ascii="Arial" w:hAnsi="Arial" w:cs="Arial"/>
          <w:sz w:val="22"/>
        </w:rPr>
        <w:t xml:space="preserve"> mediated allergy to cows’ milk protein and soy protein, and other fat malabsorption indications.  The NPWP were concerned that there was potential for confusion with these two similarly named products.</w:t>
      </w:r>
    </w:p>
    <w:p w:rsidR="00006F9B" w:rsidRPr="004F1E87" w:rsidRDefault="00006F9B" w:rsidP="00006F9B">
      <w:pPr>
        <w:rPr>
          <w:rFonts w:ascii="Arial" w:hAnsi="Arial" w:cs="Arial"/>
          <w:sz w:val="22"/>
        </w:rPr>
      </w:pPr>
    </w:p>
    <w:p w:rsidR="00006F9B" w:rsidRPr="004F1E87" w:rsidRDefault="00006F9B" w:rsidP="0099496F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4F1E87">
        <w:rPr>
          <w:rFonts w:ascii="Arial" w:hAnsi="Arial" w:cs="Arial"/>
          <w:sz w:val="22"/>
        </w:rPr>
        <w:t xml:space="preserve">The PBAC </w:t>
      </w:r>
      <w:r w:rsidR="00794D6F" w:rsidRPr="004F1E87">
        <w:rPr>
          <w:rFonts w:ascii="Arial" w:hAnsi="Arial" w:cs="Arial"/>
          <w:sz w:val="22"/>
        </w:rPr>
        <w:t>noted</w:t>
      </w:r>
      <w:r w:rsidRPr="004F1E87">
        <w:rPr>
          <w:rFonts w:ascii="Arial" w:hAnsi="Arial" w:cs="Arial"/>
          <w:sz w:val="22"/>
        </w:rPr>
        <w:t xml:space="preserve"> that the </w:t>
      </w:r>
      <w:r w:rsidR="00794D6F" w:rsidRPr="004F1E87">
        <w:rPr>
          <w:rFonts w:ascii="Arial" w:hAnsi="Arial" w:cs="Arial"/>
          <w:sz w:val="22"/>
        </w:rPr>
        <w:t xml:space="preserve">NPWP </w:t>
      </w:r>
      <w:r w:rsidRPr="004F1E87">
        <w:rPr>
          <w:rFonts w:ascii="Arial" w:hAnsi="Arial" w:cs="Arial"/>
          <w:sz w:val="22"/>
        </w:rPr>
        <w:t>supported</w:t>
      </w:r>
      <w:r w:rsidRPr="004F1E87">
        <w:rPr>
          <w:rFonts w:ascii="Arial" w:hAnsi="Arial" w:cs="Arial"/>
          <w:i/>
          <w:sz w:val="22"/>
        </w:rPr>
        <w:t xml:space="preserve"> </w:t>
      </w:r>
      <w:r w:rsidRPr="004F1E87">
        <w:rPr>
          <w:rFonts w:ascii="Arial" w:hAnsi="Arial" w:cs="Arial"/>
          <w:sz w:val="22"/>
        </w:rPr>
        <w:t xml:space="preserve">the listing of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with the same restriction wording as that of the comparator, </w:t>
      </w:r>
      <w:proofErr w:type="spellStart"/>
      <w:r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. The PBAC recommend the listing of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as </w:t>
      </w:r>
      <w:r w:rsidR="00794D6F" w:rsidRPr="004F1E87">
        <w:rPr>
          <w:rFonts w:ascii="Arial" w:hAnsi="Arial" w:cs="Arial"/>
          <w:sz w:val="22"/>
        </w:rPr>
        <w:t>advised</w:t>
      </w:r>
      <w:r w:rsidRPr="004F1E87">
        <w:rPr>
          <w:rFonts w:ascii="Arial" w:hAnsi="Arial" w:cs="Arial"/>
          <w:sz w:val="22"/>
        </w:rPr>
        <w:t>.</w:t>
      </w:r>
      <w:r w:rsidR="00794D6F" w:rsidRPr="004F1E87">
        <w:rPr>
          <w:rFonts w:ascii="Arial" w:hAnsi="Arial" w:cs="Arial"/>
          <w:sz w:val="22"/>
        </w:rPr>
        <w:t xml:space="preserve"> </w:t>
      </w:r>
      <w:r w:rsidRPr="004F1E87">
        <w:rPr>
          <w:rFonts w:ascii="Arial" w:hAnsi="Arial" w:cs="Arial"/>
          <w:sz w:val="22"/>
        </w:rPr>
        <w:t xml:space="preserve">The </w:t>
      </w:r>
      <w:r w:rsidR="00794D6F" w:rsidRPr="004F1E87">
        <w:rPr>
          <w:rFonts w:ascii="Arial" w:hAnsi="Arial" w:cs="Arial"/>
          <w:sz w:val="22"/>
        </w:rPr>
        <w:t>PBAC also recommended</w:t>
      </w:r>
      <w:r w:rsidRPr="004F1E87">
        <w:rPr>
          <w:rFonts w:ascii="Arial" w:hAnsi="Arial" w:cs="Arial"/>
          <w:sz w:val="22"/>
        </w:rPr>
        <w:t xml:space="preserve"> that the restriction for </w:t>
      </w:r>
      <w:proofErr w:type="spellStart"/>
      <w:r w:rsidRPr="004F1E87">
        <w:rPr>
          <w:rFonts w:ascii="Arial" w:hAnsi="Arial" w:cs="Arial"/>
          <w:sz w:val="22"/>
        </w:rPr>
        <w:t>Peptamen</w:t>
      </w:r>
      <w:proofErr w:type="spellEnd"/>
      <w:r w:rsidRPr="004F1E87">
        <w:rPr>
          <w:rFonts w:ascii="Arial" w:hAnsi="Arial" w:cs="Arial"/>
          <w:sz w:val="22"/>
        </w:rPr>
        <w:t xml:space="preserve"> Junior </w:t>
      </w:r>
      <w:r w:rsidR="004E3B4E" w:rsidRPr="004F1E87">
        <w:rPr>
          <w:rFonts w:ascii="Arial" w:hAnsi="Arial" w:cs="Arial"/>
          <w:sz w:val="22"/>
        </w:rPr>
        <w:t xml:space="preserve">should </w:t>
      </w:r>
      <w:r w:rsidRPr="004F1E87">
        <w:rPr>
          <w:rFonts w:ascii="Arial" w:hAnsi="Arial" w:cs="Arial"/>
          <w:sz w:val="22"/>
        </w:rPr>
        <w:t xml:space="preserve">include the same administrative notes as currently apply to the listings of </w:t>
      </w:r>
      <w:proofErr w:type="spellStart"/>
      <w:r w:rsidRPr="004F1E87">
        <w:rPr>
          <w:rFonts w:ascii="Arial" w:hAnsi="Arial" w:cs="Arial"/>
          <w:sz w:val="22"/>
        </w:rPr>
        <w:t>Monogen</w:t>
      </w:r>
      <w:proofErr w:type="spellEnd"/>
      <w:r w:rsidRPr="004F1E87">
        <w:rPr>
          <w:rFonts w:ascii="Arial" w:hAnsi="Arial" w:cs="Arial"/>
          <w:sz w:val="22"/>
        </w:rPr>
        <w:t xml:space="preserve"> and </w:t>
      </w:r>
      <w:proofErr w:type="spellStart"/>
      <w:r w:rsidRPr="004F1E87">
        <w:rPr>
          <w:rFonts w:ascii="Arial" w:hAnsi="Arial" w:cs="Arial"/>
          <w:sz w:val="22"/>
        </w:rPr>
        <w:t>Lipistart</w:t>
      </w:r>
      <w:proofErr w:type="spellEnd"/>
      <w:r w:rsidRPr="004F1E87">
        <w:rPr>
          <w:rFonts w:ascii="Arial" w:hAnsi="Arial" w:cs="Arial"/>
          <w:sz w:val="22"/>
        </w:rPr>
        <w:t>.</w:t>
      </w:r>
    </w:p>
    <w:p w:rsidR="00006F9B" w:rsidRPr="004F1E87" w:rsidRDefault="00006F9B" w:rsidP="00006F9B">
      <w:pPr>
        <w:rPr>
          <w:rFonts w:ascii="Arial" w:hAnsi="Arial" w:cs="Arial"/>
          <w:b/>
        </w:rPr>
      </w:pPr>
    </w:p>
    <w:p w:rsidR="00006F9B" w:rsidRPr="004F1E87" w:rsidRDefault="00006F9B" w:rsidP="00006F9B">
      <w:pPr>
        <w:rPr>
          <w:rFonts w:ascii="Arial" w:hAnsi="Arial" w:cs="Arial"/>
        </w:rPr>
      </w:pPr>
    </w:p>
    <w:tbl>
      <w:tblPr>
        <w:tblW w:w="8458" w:type="dxa"/>
        <w:tblInd w:w="817" w:type="dxa"/>
        <w:tblLayout w:type="fixed"/>
        <w:tblLook w:val="0000" w:firstRow="0" w:lastRow="0" w:firstColumn="0" w:lastColumn="0" w:noHBand="0" w:noVBand="0"/>
        <w:tblDescription w:val="Restriction - triglycerides"/>
      </w:tblPr>
      <w:tblGrid>
        <w:gridCol w:w="2552"/>
        <w:gridCol w:w="850"/>
        <w:gridCol w:w="709"/>
        <w:gridCol w:w="709"/>
        <w:gridCol w:w="1417"/>
        <w:gridCol w:w="1985"/>
        <w:gridCol w:w="236"/>
      </w:tblGrid>
      <w:tr w:rsidR="00CA65F6" w:rsidRPr="004F1E87" w:rsidTr="0099496F">
        <w:trPr>
          <w:gridAfter w:val="1"/>
          <w:wAfter w:w="236" w:type="dxa"/>
          <w:cantSplit/>
          <w:trHeight w:val="47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Name, Restriction,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Manner of administration 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and form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Max.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F1E87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№.of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4F1E87">
              <w:rPr>
                <w:rFonts w:ascii="Arial" w:hAnsi="Arial" w:cs="Arial"/>
                <w:sz w:val="20"/>
              </w:rPr>
              <w:t>Rpts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4F1E87">
              <w:rPr>
                <w:rFonts w:ascii="Arial" w:hAnsi="Arial" w:cs="Arial"/>
                <w:sz w:val="20"/>
              </w:rPr>
              <w:t>Proprietary Name and Manufacturer</w:t>
            </w:r>
          </w:p>
        </w:tc>
      </w:tr>
      <w:tr w:rsidR="00CA65F6" w:rsidRPr="004F1E87" w:rsidTr="00C87087">
        <w:trPr>
          <w:cantSplit/>
          <w:trHeight w:val="809"/>
        </w:trPr>
        <w:tc>
          <w:tcPr>
            <w:tcW w:w="3402" w:type="dxa"/>
            <w:gridSpan w:val="2"/>
          </w:tcPr>
          <w:p w:rsidR="00CA65F6" w:rsidRPr="004F1E87" w:rsidRDefault="00CA65F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TRIGLYCERIDES MEDIUM CHAIN FORMULA</w:t>
            </w:r>
          </w:p>
          <w:p w:rsidR="00CA65F6" w:rsidRPr="004F1E87" w:rsidRDefault="00CA65F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Triglycerides medium  chain oral liquid, powder for 8 x 400g</w:t>
            </w:r>
          </w:p>
          <w:p w:rsidR="00CA65F6" w:rsidRPr="004F1E87" w:rsidRDefault="00CA65F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AC2E6A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 xml:space="preserve">  </w:t>
            </w: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7" w:type="dxa"/>
          </w:tcPr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C87087">
            <w:pPr>
              <w:keepNext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4F1E87">
              <w:rPr>
                <w:rFonts w:ascii="Arial" w:hAnsi="Arial" w:cs="Arial"/>
                <w:sz w:val="20"/>
              </w:rPr>
              <w:t>Peptamen</w:t>
            </w:r>
            <w:proofErr w:type="spellEnd"/>
            <w:r w:rsidR="00C87087" w:rsidRPr="004F1E87">
              <w:rPr>
                <w:rFonts w:ascii="Arial" w:hAnsi="Arial" w:cs="Arial"/>
                <w:sz w:val="20"/>
              </w:rPr>
              <w:t>®</w:t>
            </w:r>
            <w:r w:rsidRPr="004F1E87">
              <w:rPr>
                <w:rFonts w:ascii="Arial" w:hAnsi="Arial" w:cs="Arial"/>
                <w:sz w:val="20"/>
              </w:rPr>
              <w:t xml:space="preserve"> Junior</w:t>
            </w:r>
          </w:p>
        </w:tc>
        <w:tc>
          <w:tcPr>
            <w:tcW w:w="2221" w:type="dxa"/>
            <w:gridSpan w:val="2"/>
          </w:tcPr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NT</w:t>
            </w:r>
          </w:p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A65F6" w:rsidRPr="004F1E87" w:rsidRDefault="00CA65F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6F9B" w:rsidRPr="004F1E87" w:rsidTr="0099496F">
        <w:trPr>
          <w:gridAfter w:val="1"/>
          <w:wAfter w:w="236" w:type="dxa"/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Condition/Indication: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Dietary management of conditions requiring a source of medium chain triglycerides</w:t>
            </w:r>
          </w:p>
        </w:tc>
      </w:tr>
      <w:tr w:rsidR="00006F9B" w:rsidRPr="004F1E87" w:rsidTr="0099496F">
        <w:trPr>
          <w:gridAfter w:val="1"/>
          <w:wAfter w:w="236" w:type="dxa"/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Restriction: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sz w:val="20"/>
              </w:rPr>
              <w:t>Restricted benefit</w:t>
            </w:r>
          </w:p>
        </w:tc>
      </w:tr>
      <w:tr w:rsidR="00006F9B" w:rsidRPr="004F1E87" w:rsidTr="0099496F">
        <w:trPr>
          <w:gridAfter w:val="1"/>
          <w:wAfter w:w="236" w:type="dxa"/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Clinical criteria:</w:t>
            </w:r>
          </w:p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</w:p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liver disease; OR</w:t>
            </w: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short gut syndrome; OR</w:t>
            </w: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cystic fibrosis; OR</w:t>
            </w:r>
          </w:p>
          <w:p w:rsidR="00006F9B" w:rsidRPr="004F1E87" w:rsidRDefault="00006F9B" w:rsidP="00DD0F5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  <w:r w:rsidRPr="004F1E87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Patient must have fat malabsorption due to gastrointestinal disorders</w:t>
            </w:r>
          </w:p>
          <w:p w:rsidR="00006F9B" w:rsidRPr="004F1E87" w:rsidRDefault="00006F9B" w:rsidP="00DD0F5F">
            <w:pPr>
              <w:rPr>
                <w:rFonts w:ascii="Arial" w:hAnsi="Arial" w:cs="Arial"/>
                <w:sz w:val="20"/>
              </w:rPr>
            </w:pPr>
          </w:p>
        </w:tc>
      </w:tr>
      <w:tr w:rsidR="00006F9B" w:rsidRPr="002E0E0A" w:rsidTr="0099496F">
        <w:trPr>
          <w:gridAfter w:val="1"/>
          <w:wAfter w:w="236" w:type="dxa"/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1E87">
              <w:rPr>
                <w:rFonts w:ascii="Arial" w:hAnsi="Arial" w:cs="Arial"/>
                <w:b/>
                <w:sz w:val="20"/>
              </w:rPr>
              <w:t>Administrative advice:</w:t>
            </w:r>
          </w:p>
          <w:p w:rsidR="00006F9B" w:rsidRPr="004F1E87" w:rsidRDefault="00006F9B" w:rsidP="00DD0F5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B" w:rsidRPr="004F1E87" w:rsidRDefault="00006F9B" w:rsidP="00DD0F5F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4F1E87">
              <w:rPr>
                <w:rFonts w:ascii="Arial" w:hAnsi="Arial" w:cs="Arial"/>
                <w:i/>
                <w:sz w:val="20"/>
                <w:u w:val="single"/>
              </w:rPr>
              <w:t>Note:</w:t>
            </w:r>
          </w:p>
          <w:p w:rsidR="00006F9B" w:rsidRPr="004F1E87" w:rsidRDefault="00006F9B" w:rsidP="00DD0F5F">
            <w:pPr>
              <w:rPr>
                <w:rFonts w:ascii="Arial" w:hAnsi="Arial" w:cs="Arial"/>
                <w:i/>
                <w:sz w:val="20"/>
              </w:rPr>
            </w:pPr>
            <w:r w:rsidRPr="004F1E87">
              <w:rPr>
                <w:rFonts w:ascii="Arial" w:hAnsi="Arial" w:cs="Arial"/>
                <w:i/>
                <w:sz w:val="20"/>
              </w:rPr>
              <w:t>No increase in the maximum quantity of number of units may be authorised</w:t>
            </w:r>
          </w:p>
          <w:p w:rsidR="00006F9B" w:rsidRPr="004F1E87" w:rsidRDefault="00006F9B" w:rsidP="00DD0F5F">
            <w:pPr>
              <w:rPr>
                <w:rFonts w:ascii="Arial" w:hAnsi="Arial" w:cs="Arial"/>
                <w:i/>
                <w:sz w:val="20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4F1E87">
              <w:rPr>
                <w:rFonts w:ascii="Arial" w:hAnsi="Arial" w:cs="Arial"/>
                <w:i/>
                <w:sz w:val="20"/>
                <w:u w:val="single"/>
              </w:rPr>
              <w:t>Note</w:t>
            </w:r>
          </w:p>
          <w:p w:rsidR="00006F9B" w:rsidRPr="004F1E87" w:rsidRDefault="00006F9B" w:rsidP="00DD0F5F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4F1E87">
              <w:rPr>
                <w:rFonts w:ascii="Arial" w:hAnsi="Arial" w:cs="Arial"/>
                <w:i/>
                <w:sz w:val="20"/>
              </w:rPr>
              <w:t>No increase in the maximum number of repeats may be authorised</w:t>
            </w:r>
          </w:p>
          <w:p w:rsidR="00006F9B" w:rsidRPr="004F1E87" w:rsidRDefault="00006F9B" w:rsidP="00DD0F5F">
            <w:pPr>
              <w:rPr>
                <w:rFonts w:ascii="Arial" w:hAnsi="Arial" w:cs="Arial"/>
                <w:i/>
                <w:sz w:val="20"/>
              </w:rPr>
            </w:pPr>
          </w:p>
          <w:p w:rsidR="00006F9B" w:rsidRPr="004F1E87" w:rsidRDefault="00006F9B" w:rsidP="00DD0F5F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4F1E87">
              <w:rPr>
                <w:rFonts w:ascii="Arial" w:hAnsi="Arial" w:cs="Arial"/>
                <w:i/>
                <w:sz w:val="20"/>
                <w:u w:val="single"/>
              </w:rPr>
              <w:t>Note:</w:t>
            </w:r>
          </w:p>
          <w:p w:rsidR="00006F9B" w:rsidRPr="003A3211" w:rsidRDefault="00006F9B" w:rsidP="00DD0F5F">
            <w:pPr>
              <w:rPr>
                <w:rFonts w:ascii="Arial" w:hAnsi="Arial" w:cs="Arial"/>
                <w:i/>
                <w:sz w:val="20"/>
              </w:rPr>
            </w:pPr>
            <w:r w:rsidRPr="004F1E87">
              <w:rPr>
                <w:rFonts w:ascii="Arial" w:hAnsi="Arial" w:cs="Arial"/>
                <w:i/>
                <w:sz w:val="20"/>
              </w:rPr>
              <w:t xml:space="preserve">Not indicated for the treatment of intractable childhood epilepsy or cerebrospinal; fluid glucose transporter defect requiring a </w:t>
            </w:r>
            <w:proofErr w:type="spellStart"/>
            <w:r w:rsidRPr="004F1E87">
              <w:rPr>
                <w:rFonts w:ascii="Arial" w:hAnsi="Arial" w:cs="Arial"/>
                <w:i/>
                <w:sz w:val="20"/>
              </w:rPr>
              <w:t>ketogenic</w:t>
            </w:r>
            <w:proofErr w:type="spellEnd"/>
            <w:r w:rsidRPr="004F1E87">
              <w:rPr>
                <w:rFonts w:ascii="Arial" w:hAnsi="Arial" w:cs="Arial"/>
                <w:i/>
                <w:sz w:val="20"/>
              </w:rPr>
              <w:t xml:space="preserve"> diet.</w:t>
            </w:r>
            <w:r w:rsidRPr="003A321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006F9B" w:rsidRPr="002E0E0A" w:rsidRDefault="00006F9B" w:rsidP="00DD0F5F">
            <w:pPr>
              <w:rPr>
                <w:rFonts w:ascii="Arial" w:hAnsi="Arial" w:cs="Arial"/>
                <w:sz w:val="20"/>
              </w:rPr>
            </w:pPr>
          </w:p>
        </w:tc>
      </w:tr>
    </w:tbl>
    <w:p w:rsidR="007F4E20" w:rsidRDefault="007F4E20" w:rsidP="00006F9B">
      <w:pPr>
        <w:pStyle w:val="Header"/>
        <w:widowControl w:val="0"/>
        <w:tabs>
          <w:tab w:val="clear" w:pos="4153"/>
          <w:tab w:val="clear" w:pos="8306"/>
        </w:tabs>
      </w:pPr>
    </w:p>
    <w:p w:rsidR="00DD45C1" w:rsidRPr="00A875B4" w:rsidRDefault="00DD45C1" w:rsidP="00DD45C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Context for Decision</w:t>
      </w:r>
    </w:p>
    <w:p w:rsidR="00DD45C1" w:rsidRPr="00A875B4" w:rsidRDefault="00DD45C1" w:rsidP="00DD45C1">
      <w:pPr>
        <w:pStyle w:val="ListParagraph"/>
        <w:rPr>
          <w:rFonts w:ascii="Arial" w:hAnsi="Arial" w:cs="Arial"/>
          <w:b/>
          <w:sz w:val="22"/>
        </w:rPr>
      </w:pPr>
    </w:p>
    <w:p w:rsidR="00DD45C1" w:rsidRPr="00A875B4" w:rsidRDefault="00DD45C1" w:rsidP="00DD45C1">
      <w:pPr>
        <w:ind w:left="720"/>
        <w:rPr>
          <w:rFonts w:ascii="Arial" w:hAnsi="Arial" w:cs="Arial"/>
          <w:sz w:val="22"/>
        </w:rPr>
      </w:pPr>
      <w:r w:rsidRPr="00A875B4">
        <w:rPr>
          <w:rFonts w:ascii="Arial" w:hAnsi="Arial" w:cs="Arial"/>
          <w:sz w:val="22"/>
        </w:rPr>
        <w:lastRenderedPageBreak/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DD45C1" w:rsidRPr="00A875B4" w:rsidRDefault="00DD45C1" w:rsidP="00DD45C1">
      <w:pPr>
        <w:rPr>
          <w:rFonts w:ascii="Arial" w:hAnsi="Arial" w:cs="Arial"/>
          <w:sz w:val="22"/>
        </w:rPr>
      </w:pPr>
    </w:p>
    <w:p w:rsidR="00DD45C1" w:rsidRDefault="00DD45C1" w:rsidP="00DD45C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Sponsor’s Comment</w:t>
      </w:r>
    </w:p>
    <w:p w:rsidR="00C87087" w:rsidRDefault="00C87087" w:rsidP="00C87087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C87087" w:rsidRPr="00C87087" w:rsidRDefault="00C87087" w:rsidP="00C87087">
      <w:pPr>
        <w:pStyle w:val="ListParagraph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sponsor had no comment.</w:t>
      </w:r>
    </w:p>
    <w:p w:rsidR="00DD45C1" w:rsidRDefault="00DD45C1" w:rsidP="00006F9B">
      <w:pPr>
        <w:pStyle w:val="Header"/>
        <w:widowControl w:val="0"/>
        <w:tabs>
          <w:tab w:val="clear" w:pos="4153"/>
          <w:tab w:val="clear" w:pos="8306"/>
        </w:tabs>
      </w:pPr>
    </w:p>
    <w:sectPr w:rsidR="00DD45C1" w:rsidSect="005D1D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04" w:rsidRDefault="00BA5204" w:rsidP="00BA5204">
      <w:r>
        <w:separator/>
      </w:r>
    </w:p>
  </w:endnote>
  <w:endnote w:type="continuationSeparator" w:id="0">
    <w:p w:rsidR="00BA5204" w:rsidRDefault="00BA5204" w:rsidP="00BA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169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BA5204" w:rsidRDefault="00BA5204" w:rsidP="00BA5204">
        <w:pPr>
          <w:pStyle w:val="Footer"/>
          <w:jc w:val="center"/>
        </w:pPr>
      </w:p>
      <w:p w:rsidR="00BA5204" w:rsidRPr="00651169" w:rsidRDefault="00BA5204" w:rsidP="00BA520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51169">
          <w:rPr>
            <w:rFonts w:ascii="Arial" w:hAnsi="Arial" w:cs="Arial"/>
            <w:sz w:val="20"/>
            <w:szCs w:val="20"/>
          </w:rPr>
          <w:fldChar w:fldCharType="begin"/>
        </w:r>
        <w:r w:rsidRPr="0065116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51169">
          <w:rPr>
            <w:rFonts w:ascii="Arial" w:hAnsi="Arial" w:cs="Arial"/>
            <w:sz w:val="20"/>
            <w:szCs w:val="20"/>
          </w:rPr>
          <w:fldChar w:fldCharType="separate"/>
        </w:r>
        <w:r w:rsidR="00B86700">
          <w:rPr>
            <w:rFonts w:ascii="Arial" w:hAnsi="Arial" w:cs="Arial"/>
            <w:noProof/>
            <w:sz w:val="20"/>
            <w:szCs w:val="20"/>
          </w:rPr>
          <w:t>3</w:t>
        </w:r>
        <w:r w:rsidRPr="0065116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04" w:rsidRDefault="00BA5204" w:rsidP="00BA5204">
      <w:r>
        <w:separator/>
      </w:r>
    </w:p>
  </w:footnote>
  <w:footnote w:type="continuationSeparator" w:id="0">
    <w:p w:rsidR="00BA5204" w:rsidRDefault="00BA5204" w:rsidP="00BA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1" w:rsidRPr="00DF217D" w:rsidRDefault="00DD45C1" w:rsidP="00DD45C1">
    <w:pPr>
      <w:pStyle w:val="Header"/>
      <w:jc w:val="center"/>
      <w:rPr>
        <w:i/>
        <w:color w:val="808080"/>
      </w:rPr>
    </w:pPr>
    <w:r>
      <w:rPr>
        <w:i/>
        <w:color w:val="808080"/>
      </w:rPr>
      <w:t>Public Summary Document</w:t>
    </w:r>
    <w:r w:rsidRPr="00DF217D">
      <w:rPr>
        <w:i/>
        <w:color w:val="808080"/>
      </w:rPr>
      <w:t xml:space="preserve">– </w:t>
    </w:r>
    <w:r>
      <w:rPr>
        <w:i/>
        <w:color w:val="808080"/>
      </w:rPr>
      <w:t xml:space="preserve">July 2014 </w:t>
    </w:r>
    <w:r w:rsidRPr="00DF217D">
      <w:rPr>
        <w:i/>
        <w:color w:val="808080"/>
      </w:rPr>
      <w:t>PBAC</w:t>
    </w:r>
    <w:r>
      <w:rPr>
        <w:i/>
        <w:color w:val="808080"/>
      </w:rPr>
      <w:t xml:space="preserve"> </w:t>
    </w:r>
    <w:r w:rsidRPr="00DF217D">
      <w:rPr>
        <w:i/>
        <w:color w:val="808080"/>
      </w:rPr>
      <w:t>Meeting</w:t>
    </w:r>
  </w:p>
  <w:p w:rsidR="00BA5204" w:rsidRDefault="00BA5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E97"/>
    <w:multiLevelType w:val="hybridMultilevel"/>
    <w:tmpl w:val="1828F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401D0"/>
    <w:multiLevelType w:val="hybridMultilevel"/>
    <w:tmpl w:val="8D8E25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1E"/>
    <w:rsid w:val="00006F9B"/>
    <w:rsid w:val="000E3BD3"/>
    <w:rsid w:val="004E3B4E"/>
    <w:rsid w:val="004F1E87"/>
    <w:rsid w:val="005219C1"/>
    <w:rsid w:val="005D1D8F"/>
    <w:rsid w:val="00794D6F"/>
    <w:rsid w:val="007F4E20"/>
    <w:rsid w:val="0093134D"/>
    <w:rsid w:val="009871A8"/>
    <w:rsid w:val="0099496F"/>
    <w:rsid w:val="00AC2E6A"/>
    <w:rsid w:val="00B106FE"/>
    <w:rsid w:val="00B86700"/>
    <w:rsid w:val="00BA5204"/>
    <w:rsid w:val="00C87087"/>
    <w:rsid w:val="00CA65F6"/>
    <w:rsid w:val="00CC5D06"/>
    <w:rsid w:val="00DD45C1"/>
    <w:rsid w:val="00E8201E"/>
    <w:rsid w:val="00E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character" w:styleId="Hyperlink">
    <w:name w:val="Hyperlink"/>
    <w:rsid w:val="00006F9B"/>
    <w:rPr>
      <w:color w:val="0000FF"/>
      <w:u w:val="single"/>
    </w:rPr>
  </w:style>
  <w:style w:type="paragraph" w:customStyle="1" w:styleId="Table">
    <w:name w:val="Table"/>
    <w:basedOn w:val="Normal"/>
    <w:link w:val="TableChar"/>
    <w:qFormat/>
    <w:rsid w:val="00006F9B"/>
    <w:rPr>
      <w:rFonts w:ascii="Candara" w:hAnsi="Candara"/>
      <w:sz w:val="20"/>
      <w:lang w:val="en-US" w:eastAsia="en-US" w:bidi="en-US"/>
    </w:rPr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006F9B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paragraph" w:customStyle="1" w:styleId="CaptionFootnotes">
    <w:name w:val="Caption Footnotes"/>
    <w:basedOn w:val="Normal"/>
    <w:link w:val="CaptionFootnotesChar"/>
    <w:uiPriority w:val="6"/>
    <w:qFormat/>
    <w:rsid w:val="00006F9B"/>
    <w:pPr>
      <w:spacing w:after="40" w:line="276" w:lineRule="auto"/>
      <w:jc w:val="both"/>
    </w:pPr>
    <w:rPr>
      <w:rFonts w:ascii="Candara" w:hAnsi="Candara"/>
      <w:sz w:val="16"/>
      <w:lang w:val="en-US" w:eastAsia="en-US" w:bidi="en-US"/>
    </w:rPr>
  </w:style>
  <w:style w:type="character" w:customStyle="1" w:styleId="CaptionFootnotesChar">
    <w:name w:val="Caption Footnotes Char"/>
    <w:link w:val="CaptionFootnotes"/>
    <w:uiPriority w:val="6"/>
    <w:rsid w:val="00006F9B"/>
    <w:rPr>
      <w:rFonts w:ascii="Candara" w:eastAsia="Times New Roman" w:hAnsi="Candara" w:cs="Times New Roman"/>
      <w:sz w:val="16"/>
      <w:szCs w:val="24"/>
      <w:lang w:val="en-US" w:bidi="en-US"/>
    </w:rPr>
  </w:style>
  <w:style w:type="character" w:customStyle="1" w:styleId="SmallBold">
    <w:name w:val="Small Bold"/>
    <w:uiPriority w:val="4"/>
    <w:qFormat/>
    <w:rsid w:val="00006F9B"/>
    <w:rPr>
      <w:rFonts w:ascii="Candara" w:hAnsi="Candara"/>
      <w:b/>
      <w:sz w:val="20"/>
      <w:lang w:val="en-AU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006F9B"/>
    <w:rPr>
      <w:rFonts w:ascii="Candara" w:eastAsia="Times New Roman" w:hAnsi="Candara" w:cs="Times New Roman"/>
      <w:b/>
      <w:bCs/>
      <w:szCs w:val="18"/>
      <w:lang w:val="en-US" w:bidi="en-US"/>
    </w:rPr>
  </w:style>
  <w:style w:type="character" w:customStyle="1" w:styleId="TableChar">
    <w:name w:val="Table Char"/>
    <w:link w:val="Table"/>
    <w:locked/>
    <w:rsid w:val="00006F9B"/>
    <w:rPr>
      <w:rFonts w:ascii="Candara" w:eastAsia="Times New Roman" w:hAnsi="Candara" w:cs="Times New Roman"/>
      <w:sz w:val="20"/>
      <w:szCs w:val="24"/>
      <w:lang w:val="en-US" w:bidi="en-US"/>
    </w:rPr>
  </w:style>
  <w:style w:type="paragraph" w:customStyle="1" w:styleId="TableCentre">
    <w:name w:val="Table Centre"/>
    <w:basedOn w:val="Table"/>
    <w:qFormat/>
    <w:rsid w:val="00006F9B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BA5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204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9949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DD45C1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character" w:styleId="Hyperlink">
    <w:name w:val="Hyperlink"/>
    <w:rsid w:val="00006F9B"/>
    <w:rPr>
      <w:color w:val="0000FF"/>
      <w:u w:val="single"/>
    </w:rPr>
  </w:style>
  <w:style w:type="paragraph" w:customStyle="1" w:styleId="Table">
    <w:name w:val="Table"/>
    <w:basedOn w:val="Normal"/>
    <w:link w:val="TableChar"/>
    <w:qFormat/>
    <w:rsid w:val="00006F9B"/>
    <w:rPr>
      <w:rFonts w:ascii="Candara" w:hAnsi="Candara"/>
      <w:sz w:val="20"/>
      <w:lang w:val="en-US" w:eastAsia="en-US" w:bidi="en-US"/>
    </w:rPr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006F9B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paragraph" w:customStyle="1" w:styleId="CaptionFootnotes">
    <w:name w:val="Caption Footnotes"/>
    <w:basedOn w:val="Normal"/>
    <w:link w:val="CaptionFootnotesChar"/>
    <w:uiPriority w:val="6"/>
    <w:qFormat/>
    <w:rsid w:val="00006F9B"/>
    <w:pPr>
      <w:spacing w:after="40" w:line="276" w:lineRule="auto"/>
      <w:jc w:val="both"/>
    </w:pPr>
    <w:rPr>
      <w:rFonts w:ascii="Candara" w:hAnsi="Candara"/>
      <w:sz w:val="16"/>
      <w:lang w:val="en-US" w:eastAsia="en-US" w:bidi="en-US"/>
    </w:rPr>
  </w:style>
  <w:style w:type="character" w:customStyle="1" w:styleId="CaptionFootnotesChar">
    <w:name w:val="Caption Footnotes Char"/>
    <w:link w:val="CaptionFootnotes"/>
    <w:uiPriority w:val="6"/>
    <w:rsid w:val="00006F9B"/>
    <w:rPr>
      <w:rFonts w:ascii="Candara" w:eastAsia="Times New Roman" w:hAnsi="Candara" w:cs="Times New Roman"/>
      <w:sz w:val="16"/>
      <w:szCs w:val="24"/>
      <w:lang w:val="en-US" w:bidi="en-US"/>
    </w:rPr>
  </w:style>
  <w:style w:type="character" w:customStyle="1" w:styleId="SmallBold">
    <w:name w:val="Small Bold"/>
    <w:uiPriority w:val="4"/>
    <w:qFormat/>
    <w:rsid w:val="00006F9B"/>
    <w:rPr>
      <w:rFonts w:ascii="Candara" w:hAnsi="Candara"/>
      <w:b/>
      <w:sz w:val="20"/>
      <w:lang w:val="en-AU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006F9B"/>
    <w:rPr>
      <w:rFonts w:ascii="Candara" w:eastAsia="Times New Roman" w:hAnsi="Candara" w:cs="Times New Roman"/>
      <w:b/>
      <w:bCs/>
      <w:szCs w:val="18"/>
      <w:lang w:val="en-US" w:bidi="en-US"/>
    </w:rPr>
  </w:style>
  <w:style w:type="character" w:customStyle="1" w:styleId="TableChar">
    <w:name w:val="Table Char"/>
    <w:link w:val="Table"/>
    <w:locked/>
    <w:rsid w:val="00006F9B"/>
    <w:rPr>
      <w:rFonts w:ascii="Candara" w:eastAsia="Times New Roman" w:hAnsi="Candara" w:cs="Times New Roman"/>
      <w:sz w:val="20"/>
      <w:szCs w:val="24"/>
      <w:lang w:val="en-US" w:bidi="en-US"/>
    </w:rPr>
  </w:style>
  <w:style w:type="paragraph" w:customStyle="1" w:styleId="TableCentre">
    <w:name w:val="Table Centre"/>
    <w:basedOn w:val="Table"/>
    <w:qFormat/>
    <w:rsid w:val="00006F9B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BA5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204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9949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DD45C1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Cappello</dc:creator>
  <cp:lastModifiedBy>Thomas Gareth</cp:lastModifiedBy>
  <cp:revision>3</cp:revision>
  <dcterms:created xsi:type="dcterms:W3CDTF">2014-10-24T03:34:00Z</dcterms:created>
  <dcterms:modified xsi:type="dcterms:W3CDTF">2014-11-03T00:00:00Z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