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F01104" w:rsidRDefault="0074247D" w:rsidP="009625BC">
      <w:pPr>
        <w:pStyle w:val="Heading1"/>
        <w:ind w:left="720" w:hanging="720"/>
      </w:pPr>
      <w:r w:rsidRPr="00F01104">
        <w:rPr>
          <w:rFonts w:cs="Arial"/>
        </w:rPr>
        <w:t>14.3</w:t>
      </w:r>
      <w:r w:rsidRPr="00F01104">
        <w:rPr>
          <w:rFonts w:cs="Arial"/>
        </w:rPr>
        <w:tab/>
      </w:r>
      <w:r w:rsidR="000F7003" w:rsidRPr="00F01104">
        <w:rPr>
          <w:rFonts w:cs="Arial"/>
        </w:rPr>
        <w:t>TRIVALENT INFLUENZA VACCINE</w:t>
      </w:r>
      <w:r w:rsidR="00E221D4" w:rsidRPr="00F01104">
        <w:rPr>
          <w:rFonts w:cs="Arial"/>
        </w:rPr>
        <w:t xml:space="preserve">, </w:t>
      </w:r>
      <w:r w:rsidR="00E221D4" w:rsidRPr="00F01104">
        <w:t>Office</w:t>
      </w:r>
      <w:r w:rsidR="000F7003" w:rsidRPr="00F01104">
        <w:t xml:space="preserve"> of Health Protection, </w:t>
      </w:r>
      <w:bookmarkStart w:id="0" w:name="_GoBack"/>
      <w:bookmarkEnd w:id="0"/>
      <w:r w:rsidR="000F7003" w:rsidRPr="00F01104">
        <w:t>Department of Health</w:t>
      </w:r>
    </w:p>
    <w:p w:rsidR="00070B65" w:rsidRDefault="00070B65" w:rsidP="00070B65">
      <w:pPr>
        <w:rPr>
          <w:rFonts w:ascii="Arial" w:hAnsi="Arial"/>
          <w:b/>
        </w:rPr>
      </w:pPr>
    </w:p>
    <w:p w:rsidR="00070B65" w:rsidRPr="00653D69" w:rsidRDefault="00070B65" w:rsidP="00070B65">
      <w:pPr>
        <w:rPr>
          <w:rFonts w:ascii="Arial" w:hAnsi="Arial"/>
          <w:b/>
        </w:rPr>
      </w:pPr>
    </w:p>
    <w:p w:rsidR="006A12A5" w:rsidRPr="00F01104" w:rsidRDefault="00CE10C4" w:rsidP="00FE230D">
      <w:pPr>
        <w:pStyle w:val="ListParagraph"/>
        <w:numPr>
          <w:ilvl w:val="0"/>
          <w:numId w:val="26"/>
        </w:numPr>
        <w:jc w:val="both"/>
        <w:rPr>
          <w:rFonts w:ascii="Arial" w:hAnsi="Arial" w:cs="Arial"/>
          <w:b/>
          <w:sz w:val="22"/>
          <w:szCs w:val="22"/>
        </w:rPr>
      </w:pPr>
      <w:r w:rsidRPr="00F01104">
        <w:rPr>
          <w:rFonts w:ascii="Arial" w:hAnsi="Arial" w:cs="Arial"/>
          <w:b/>
          <w:sz w:val="22"/>
          <w:szCs w:val="22"/>
        </w:rPr>
        <w:t xml:space="preserve">Purpose of </w:t>
      </w:r>
      <w:r w:rsidR="0004240E" w:rsidRPr="00F01104">
        <w:rPr>
          <w:rFonts w:ascii="Arial" w:hAnsi="Arial" w:cs="Arial"/>
          <w:b/>
          <w:sz w:val="22"/>
          <w:szCs w:val="22"/>
        </w:rPr>
        <w:t>Application</w:t>
      </w:r>
    </w:p>
    <w:p w:rsidR="003B0D10" w:rsidRPr="00F01104" w:rsidRDefault="003B0D10" w:rsidP="003B0D10">
      <w:pPr>
        <w:pStyle w:val="ListParagraph"/>
        <w:jc w:val="both"/>
        <w:rPr>
          <w:rFonts w:ascii="Arial" w:hAnsi="Arial" w:cs="Arial"/>
          <w:b/>
          <w:sz w:val="22"/>
          <w:szCs w:val="22"/>
        </w:rPr>
      </w:pPr>
    </w:p>
    <w:p w:rsidR="000F7003" w:rsidRPr="00F01104" w:rsidRDefault="004C70FD" w:rsidP="000F7003">
      <w:pPr>
        <w:ind w:left="720" w:hanging="720"/>
        <w:rPr>
          <w:rFonts w:ascii="Arial" w:hAnsi="Arial" w:cs="Arial"/>
          <w:sz w:val="22"/>
          <w:szCs w:val="22"/>
        </w:rPr>
      </w:pPr>
      <w:r w:rsidRPr="00F01104">
        <w:rPr>
          <w:rFonts w:ascii="Arial" w:hAnsi="Arial" w:cs="Arial"/>
          <w:sz w:val="22"/>
          <w:szCs w:val="22"/>
        </w:rPr>
        <w:t>1.1</w:t>
      </w:r>
      <w:r w:rsidRPr="00F01104">
        <w:rPr>
          <w:rFonts w:ascii="Arial" w:hAnsi="Arial" w:cs="Arial"/>
          <w:sz w:val="22"/>
          <w:szCs w:val="22"/>
        </w:rPr>
        <w:tab/>
      </w:r>
      <w:r w:rsidR="006157C4" w:rsidRPr="00F01104">
        <w:rPr>
          <w:rFonts w:ascii="Arial" w:hAnsi="Arial" w:cs="Arial"/>
          <w:sz w:val="22"/>
          <w:szCs w:val="22"/>
        </w:rPr>
        <w:t>The submission requested</w:t>
      </w:r>
      <w:r w:rsidR="006157C4" w:rsidRPr="00F01104">
        <w:rPr>
          <w:rFonts w:ascii="Arial" w:hAnsi="Arial" w:cs="Arial"/>
          <w:b/>
          <w:sz w:val="22"/>
          <w:szCs w:val="22"/>
        </w:rPr>
        <w:t xml:space="preserve"> </w:t>
      </w:r>
      <w:r w:rsidR="000F7003" w:rsidRPr="00F01104">
        <w:rPr>
          <w:rFonts w:ascii="Arial" w:hAnsi="Arial" w:cs="Arial"/>
          <w:sz w:val="22"/>
          <w:szCs w:val="22"/>
        </w:rPr>
        <w:t>an extension of the National Immunisation Program (NIP) schedule to include trivalent influenza vaccine (TIV) for Aboriginal and Torres Strait Islander children aged between 6 months and 5 years</w:t>
      </w:r>
      <w:r w:rsidR="00397A60" w:rsidRPr="00F01104">
        <w:rPr>
          <w:rFonts w:ascii="Arial" w:hAnsi="Arial" w:cs="Arial"/>
          <w:sz w:val="22"/>
          <w:szCs w:val="22"/>
        </w:rPr>
        <w:t>.</w:t>
      </w:r>
    </w:p>
    <w:p w:rsidR="006430A7" w:rsidRPr="00F01104" w:rsidRDefault="006430A7" w:rsidP="00FE230D">
      <w:pPr>
        <w:jc w:val="both"/>
        <w:rPr>
          <w:rFonts w:ascii="Arial" w:hAnsi="Arial" w:cs="Arial"/>
          <w:b/>
          <w:sz w:val="22"/>
          <w:szCs w:val="22"/>
        </w:rPr>
      </w:pPr>
    </w:p>
    <w:p w:rsidR="00816493" w:rsidRPr="00F01104" w:rsidRDefault="00816493" w:rsidP="00FE230D">
      <w:pPr>
        <w:jc w:val="both"/>
        <w:rPr>
          <w:rFonts w:ascii="Arial" w:hAnsi="Arial" w:cs="Arial"/>
          <w:b/>
          <w:sz w:val="22"/>
          <w:szCs w:val="22"/>
        </w:rPr>
      </w:pPr>
    </w:p>
    <w:p w:rsidR="006A12A5" w:rsidRPr="00F01104" w:rsidRDefault="006A12A5" w:rsidP="00FE230D">
      <w:pPr>
        <w:pStyle w:val="ListParagraph"/>
        <w:numPr>
          <w:ilvl w:val="0"/>
          <w:numId w:val="26"/>
        </w:numPr>
        <w:jc w:val="both"/>
        <w:rPr>
          <w:rFonts w:ascii="Arial" w:hAnsi="Arial" w:cs="Arial"/>
          <w:b/>
          <w:sz w:val="22"/>
          <w:szCs w:val="22"/>
        </w:rPr>
      </w:pPr>
      <w:r w:rsidRPr="00F01104">
        <w:rPr>
          <w:rFonts w:ascii="Arial" w:hAnsi="Arial" w:cs="Arial"/>
          <w:b/>
          <w:sz w:val="22"/>
          <w:szCs w:val="22"/>
        </w:rPr>
        <w:t>Requested listing</w:t>
      </w:r>
    </w:p>
    <w:p w:rsidR="003B0D10" w:rsidRPr="00F01104" w:rsidRDefault="003B0D10" w:rsidP="003B0D10">
      <w:pPr>
        <w:pStyle w:val="ListParagraph"/>
        <w:jc w:val="both"/>
        <w:rPr>
          <w:rFonts w:ascii="Arial" w:hAnsi="Arial" w:cs="Arial"/>
          <w:b/>
          <w:sz w:val="22"/>
          <w:szCs w:val="22"/>
        </w:rPr>
      </w:pPr>
    </w:p>
    <w:p w:rsidR="00547170" w:rsidRPr="00F01104" w:rsidRDefault="00397A60" w:rsidP="00070B65">
      <w:pPr>
        <w:keepNext/>
        <w:ind w:left="720" w:hanging="720"/>
        <w:rPr>
          <w:rFonts w:ascii="Arial" w:hAnsi="Arial" w:cs="Arial"/>
          <w:sz w:val="22"/>
          <w:szCs w:val="22"/>
        </w:rPr>
      </w:pPr>
      <w:r w:rsidRPr="00F01104">
        <w:rPr>
          <w:rFonts w:ascii="Arial" w:hAnsi="Arial" w:cs="Arial"/>
          <w:sz w:val="22"/>
          <w:szCs w:val="22"/>
        </w:rPr>
        <w:t>2.1</w:t>
      </w:r>
      <w:r w:rsidRPr="00F01104">
        <w:rPr>
          <w:rFonts w:ascii="Arial" w:hAnsi="Arial" w:cs="Arial"/>
          <w:sz w:val="22"/>
          <w:szCs w:val="22"/>
        </w:rPr>
        <w:tab/>
      </w:r>
      <w:r w:rsidR="00547170" w:rsidRPr="00F01104">
        <w:rPr>
          <w:rFonts w:ascii="Arial" w:hAnsi="Arial" w:cs="Arial"/>
          <w:sz w:val="22"/>
          <w:szCs w:val="22"/>
        </w:rPr>
        <w:t>Advice from the Australian Technical Advisory Group on Immunisation (ATAGI) recommended two proposals for PBAC consideration:</w:t>
      </w:r>
    </w:p>
    <w:p w:rsidR="00547170" w:rsidRPr="00F01104" w:rsidRDefault="00547170" w:rsidP="00547170">
      <w:pPr>
        <w:keepNext/>
        <w:ind w:left="720"/>
        <w:rPr>
          <w:rFonts w:ascii="Arial" w:hAnsi="Arial" w:cs="Arial"/>
          <w:sz w:val="22"/>
          <w:szCs w:val="22"/>
        </w:rPr>
      </w:pPr>
    </w:p>
    <w:p w:rsidR="00547170" w:rsidRPr="00F01104" w:rsidRDefault="00547170" w:rsidP="00547170">
      <w:pPr>
        <w:keepNext/>
        <w:ind w:left="720"/>
        <w:rPr>
          <w:rFonts w:ascii="Arial" w:hAnsi="Arial" w:cs="Arial"/>
          <w:sz w:val="22"/>
          <w:szCs w:val="22"/>
        </w:rPr>
      </w:pPr>
      <w:r w:rsidRPr="00F01104">
        <w:rPr>
          <w:rFonts w:ascii="Arial" w:hAnsi="Arial" w:cs="Arial"/>
          <w:sz w:val="22"/>
          <w:szCs w:val="22"/>
        </w:rPr>
        <w:t>(</w:t>
      </w:r>
      <w:proofErr w:type="spellStart"/>
      <w:r w:rsidRPr="00F01104">
        <w:rPr>
          <w:rFonts w:ascii="Arial" w:hAnsi="Arial" w:cs="Arial"/>
          <w:sz w:val="22"/>
          <w:szCs w:val="22"/>
        </w:rPr>
        <w:t>i</w:t>
      </w:r>
      <w:proofErr w:type="spellEnd"/>
      <w:r w:rsidRPr="00F01104">
        <w:rPr>
          <w:rFonts w:ascii="Arial" w:hAnsi="Arial" w:cs="Arial"/>
          <w:sz w:val="22"/>
          <w:szCs w:val="22"/>
        </w:rPr>
        <w:t xml:space="preserve">)  </w:t>
      </w:r>
      <w:proofErr w:type="gramStart"/>
      <w:r w:rsidRPr="00F01104">
        <w:rPr>
          <w:rFonts w:ascii="Arial" w:hAnsi="Arial" w:cs="Arial"/>
          <w:sz w:val="22"/>
          <w:szCs w:val="22"/>
        </w:rPr>
        <w:t>influenza</w:t>
      </w:r>
      <w:proofErr w:type="gramEnd"/>
      <w:r w:rsidRPr="00F01104">
        <w:rPr>
          <w:rFonts w:ascii="Arial" w:hAnsi="Arial" w:cs="Arial"/>
          <w:sz w:val="22"/>
          <w:szCs w:val="22"/>
        </w:rPr>
        <w:t xml:space="preserve"> vaccine be provided on the NIP to all Indigenous children aged from 6 months </w:t>
      </w:r>
      <w:r w:rsidR="00F91FF2" w:rsidRPr="00F01104">
        <w:rPr>
          <w:rFonts w:ascii="Arial" w:hAnsi="Arial" w:cs="Arial"/>
          <w:sz w:val="22"/>
          <w:szCs w:val="22"/>
        </w:rPr>
        <w:t xml:space="preserve">to </w:t>
      </w:r>
      <w:r w:rsidRPr="00F01104">
        <w:rPr>
          <w:rFonts w:ascii="Arial" w:hAnsi="Arial" w:cs="Arial"/>
          <w:sz w:val="22"/>
          <w:szCs w:val="22"/>
        </w:rPr>
        <w:t>5 years;</w:t>
      </w:r>
    </w:p>
    <w:p w:rsidR="00547170" w:rsidRPr="00F01104" w:rsidRDefault="00547170" w:rsidP="00547170">
      <w:pPr>
        <w:keepNext/>
        <w:ind w:left="720"/>
        <w:rPr>
          <w:rFonts w:ascii="Arial" w:hAnsi="Arial" w:cs="Arial"/>
          <w:sz w:val="22"/>
          <w:szCs w:val="22"/>
        </w:rPr>
      </w:pPr>
      <w:r w:rsidRPr="00F01104">
        <w:rPr>
          <w:rFonts w:ascii="Arial" w:hAnsi="Arial" w:cs="Arial"/>
          <w:sz w:val="22"/>
          <w:szCs w:val="22"/>
        </w:rPr>
        <w:t xml:space="preserve">(ii)  </w:t>
      </w:r>
      <w:proofErr w:type="gramStart"/>
      <w:r w:rsidRPr="00F01104">
        <w:rPr>
          <w:rFonts w:ascii="Arial" w:hAnsi="Arial" w:cs="Arial"/>
          <w:sz w:val="22"/>
          <w:szCs w:val="22"/>
        </w:rPr>
        <w:t>influenza</w:t>
      </w:r>
      <w:proofErr w:type="gramEnd"/>
      <w:r w:rsidRPr="00F01104">
        <w:rPr>
          <w:rFonts w:ascii="Arial" w:hAnsi="Arial" w:cs="Arial"/>
          <w:sz w:val="22"/>
          <w:szCs w:val="22"/>
        </w:rPr>
        <w:t xml:space="preserve"> vaccine be provided on the NIP to all Indigenous children aged from 6 months to 15 years.</w:t>
      </w:r>
    </w:p>
    <w:p w:rsidR="00547170" w:rsidRPr="00F01104" w:rsidRDefault="00547170" w:rsidP="00FE230D">
      <w:pPr>
        <w:jc w:val="both"/>
        <w:rPr>
          <w:rFonts w:ascii="Arial" w:hAnsi="Arial" w:cs="Arial"/>
          <w:b/>
          <w:sz w:val="22"/>
          <w:szCs w:val="22"/>
        </w:rPr>
      </w:pPr>
    </w:p>
    <w:p w:rsidR="00056F25" w:rsidRPr="00F01104" w:rsidRDefault="00056F25" w:rsidP="00056F25">
      <w:pPr>
        <w:pStyle w:val="ListParagraph"/>
        <w:numPr>
          <w:ilvl w:val="1"/>
          <w:numId w:val="26"/>
        </w:numPr>
        <w:ind w:left="709" w:hanging="709"/>
        <w:jc w:val="both"/>
        <w:rPr>
          <w:rFonts w:ascii="Arial" w:hAnsi="Arial" w:cs="Arial"/>
          <w:sz w:val="22"/>
          <w:szCs w:val="22"/>
        </w:rPr>
      </w:pPr>
      <w:r w:rsidRPr="00F01104">
        <w:rPr>
          <w:rFonts w:ascii="Arial" w:hAnsi="Arial" w:cs="Arial"/>
          <w:sz w:val="22"/>
          <w:szCs w:val="22"/>
        </w:rPr>
        <w:t>The PBAC noted that both ATAGI recommendations are consistent with Government approaches to closing the gap in health outcomes between Indigenous and non-Indigenous Australians.</w:t>
      </w:r>
    </w:p>
    <w:p w:rsidR="00056F25" w:rsidRPr="00F01104" w:rsidRDefault="00056F25" w:rsidP="00FE230D">
      <w:pPr>
        <w:jc w:val="both"/>
        <w:rPr>
          <w:rFonts w:ascii="Arial" w:hAnsi="Arial" w:cs="Arial"/>
          <w:b/>
          <w:sz w:val="22"/>
          <w:szCs w:val="22"/>
        </w:rPr>
      </w:pPr>
    </w:p>
    <w:p w:rsidR="00056F25" w:rsidRPr="00F01104" w:rsidRDefault="00056F25" w:rsidP="00FE230D">
      <w:pPr>
        <w:jc w:val="both"/>
        <w:rPr>
          <w:rFonts w:ascii="Arial" w:hAnsi="Arial" w:cs="Arial"/>
          <w:b/>
          <w:sz w:val="22"/>
          <w:szCs w:val="22"/>
        </w:rPr>
      </w:pPr>
    </w:p>
    <w:p w:rsidR="00CE10C4" w:rsidRPr="00F01104" w:rsidRDefault="00CE10C4" w:rsidP="00FE230D">
      <w:pPr>
        <w:pStyle w:val="ListParagraph"/>
        <w:numPr>
          <w:ilvl w:val="0"/>
          <w:numId w:val="26"/>
        </w:numPr>
        <w:jc w:val="both"/>
        <w:rPr>
          <w:rFonts w:ascii="Arial" w:hAnsi="Arial" w:cs="Arial"/>
          <w:b/>
          <w:sz w:val="22"/>
          <w:szCs w:val="22"/>
        </w:rPr>
      </w:pPr>
      <w:r w:rsidRPr="00F01104">
        <w:rPr>
          <w:rFonts w:ascii="Arial" w:hAnsi="Arial" w:cs="Arial"/>
          <w:b/>
          <w:sz w:val="22"/>
          <w:szCs w:val="22"/>
        </w:rPr>
        <w:t>Background</w:t>
      </w:r>
    </w:p>
    <w:p w:rsidR="006A12A5" w:rsidRPr="00F01104" w:rsidRDefault="006A12A5" w:rsidP="00FE230D">
      <w:pPr>
        <w:jc w:val="both"/>
        <w:rPr>
          <w:rFonts w:ascii="Arial" w:hAnsi="Arial" w:cs="Arial"/>
          <w:sz w:val="22"/>
          <w:szCs w:val="22"/>
        </w:rPr>
      </w:pPr>
    </w:p>
    <w:p w:rsidR="00056F25" w:rsidRPr="009625BC" w:rsidRDefault="00547170" w:rsidP="009625BC">
      <w:pPr>
        <w:pStyle w:val="ListParagraph"/>
        <w:numPr>
          <w:ilvl w:val="1"/>
          <w:numId w:val="26"/>
        </w:numPr>
        <w:ind w:left="709" w:hanging="709"/>
        <w:jc w:val="both"/>
        <w:rPr>
          <w:rFonts w:ascii="Arial" w:hAnsi="Arial" w:cs="Arial"/>
          <w:sz w:val="22"/>
          <w:szCs w:val="22"/>
        </w:rPr>
      </w:pPr>
      <w:r w:rsidRPr="00F01104">
        <w:rPr>
          <w:rFonts w:ascii="Arial" w:hAnsi="Arial" w:cs="Arial"/>
          <w:sz w:val="22"/>
          <w:szCs w:val="22"/>
        </w:rPr>
        <w:t xml:space="preserve">The submission was developed in response to advice from the ATAGI and was supported by Professor Chris </w:t>
      </w:r>
      <w:proofErr w:type="spellStart"/>
      <w:r w:rsidRPr="00F01104">
        <w:rPr>
          <w:rFonts w:ascii="Arial" w:hAnsi="Arial" w:cs="Arial"/>
          <w:sz w:val="22"/>
          <w:szCs w:val="22"/>
        </w:rPr>
        <w:t>Baggoley</w:t>
      </w:r>
      <w:proofErr w:type="spellEnd"/>
      <w:r w:rsidRPr="00F01104">
        <w:rPr>
          <w:rFonts w:ascii="Arial" w:hAnsi="Arial" w:cs="Arial"/>
          <w:sz w:val="22"/>
          <w:szCs w:val="22"/>
        </w:rPr>
        <w:t>, Chief Medical Officer of the Department of Health</w:t>
      </w:r>
      <w:r w:rsidR="00DB6308" w:rsidRPr="00F01104">
        <w:rPr>
          <w:rFonts w:ascii="Arial" w:hAnsi="Arial" w:cs="Arial"/>
          <w:sz w:val="22"/>
          <w:szCs w:val="22"/>
        </w:rPr>
        <w:t>.</w:t>
      </w:r>
    </w:p>
    <w:p w:rsidR="001E294C" w:rsidRPr="00F01104" w:rsidRDefault="001E294C" w:rsidP="001E294C">
      <w:pPr>
        <w:ind w:left="720" w:hanging="720"/>
        <w:rPr>
          <w:rFonts w:ascii="Arial" w:hAnsi="Arial" w:cs="Arial"/>
          <w:sz w:val="22"/>
          <w:szCs w:val="22"/>
        </w:rPr>
      </w:pPr>
    </w:p>
    <w:p w:rsidR="000B558D" w:rsidRPr="00F01104" w:rsidRDefault="000B558D" w:rsidP="00FE230D">
      <w:pPr>
        <w:pStyle w:val="ListParagraph"/>
        <w:numPr>
          <w:ilvl w:val="0"/>
          <w:numId w:val="26"/>
        </w:numPr>
        <w:jc w:val="both"/>
        <w:rPr>
          <w:rFonts w:ascii="Arial" w:hAnsi="Arial" w:cs="Arial"/>
          <w:b/>
          <w:sz w:val="22"/>
          <w:szCs w:val="22"/>
        </w:rPr>
      </w:pPr>
      <w:r w:rsidRPr="00F01104">
        <w:rPr>
          <w:rFonts w:ascii="Arial" w:hAnsi="Arial" w:cs="Arial"/>
          <w:b/>
          <w:sz w:val="22"/>
          <w:szCs w:val="22"/>
        </w:rPr>
        <w:t>PBAC consideration of the evidence</w:t>
      </w:r>
    </w:p>
    <w:p w:rsidR="0021526A" w:rsidRPr="00F01104" w:rsidRDefault="0021526A" w:rsidP="00FE230D">
      <w:pPr>
        <w:jc w:val="both"/>
        <w:rPr>
          <w:rFonts w:ascii="Arial" w:hAnsi="Arial" w:cs="Arial"/>
          <w:b/>
          <w:i/>
          <w:sz w:val="22"/>
          <w:szCs w:val="22"/>
          <w:lang w:eastAsia="zh-CN"/>
        </w:rPr>
      </w:pPr>
    </w:p>
    <w:p w:rsidR="002D6584" w:rsidRDefault="002D6584" w:rsidP="009625BC">
      <w:pPr>
        <w:pStyle w:val="ListParagraph"/>
        <w:numPr>
          <w:ilvl w:val="1"/>
          <w:numId w:val="26"/>
        </w:numPr>
        <w:ind w:left="709" w:hanging="709"/>
        <w:jc w:val="both"/>
        <w:rPr>
          <w:rFonts w:ascii="Arial" w:hAnsi="Arial" w:cs="Arial"/>
          <w:sz w:val="22"/>
          <w:szCs w:val="22"/>
          <w:lang w:eastAsia="zh-CN"/>
        </w:rPr>
      </w:pPr>
      <w:r w:rsidRPr="00F01104">
        <w:rPr>
          <w:rFonts w:ascii="Arial" w:hAnsi="Arial" w:cs="Arial"/>
          <w:sz w:val="22"/>
          <w:szCs w:val="22"/>
        </w:rPr>
        <w:t>The PBAC considered the advice from the ATAGI which provided evidence of the magnitude of increased risk and severity of influenza in Aboriginal and Torres Strait Islander children compared with that in children with certain medical conditions who are eligible for NIP-funded influenza vaccination due to their increased risk of influenza complications.</w:t>
      </w:r>
    </w:p>
    <w:p w:rsidR="009625BC" w:rsidRPr="009625BC" w:rsidRDefault="009625BC" w:rsidP="009625BC">
      <w:pPr>
        <w:pStyle w:val="ListParagraph"/>
        <w:ind w:left="709"/>
        <w:jc w:val="both"/>
        <w:rPr>
          <w:rFonts w:ascii="Arial" w:hAnsi="Arial" w:cs="Arial"/>
          <w:sz w:val="22"/>
          <w:szCs w:val="22"/>
          <w:lang w:eastAsia="zh-CN"/>
        </w:rPr>
      </w:pPr>
    </w:p>
    <w:p w:rsidR="002D6584" w:rsidRPr="00F01104" w:rsidRDefault="002D6584" w:rsidP="002D6584">
      <w:pPr>
        <w:pStyle w:val="ListParagraph"/>
        <w:numPr>
          <w:ilvl w:val="1"/>
          <w:numId w:val="26"/>
        </w:numPr>
        <w:ind w:left="709" w:hanging="709"/>
        <w:jc w:val="both"/>
        <w:rPr>
          <w:rFonts w:ascii="Arial" w:hAnsi="Arial" w:cs="Arial"/>
          <w:sz w:val="22"/>
          <w:szCs w:val="22"/>
          <w:lang w:eastAsia="zh-CN"/>
        </w:rPr>
      </w:pPr>
      <w:r w:rsidRPr="00F01104">
        <w:rPr>
          <w:rFonts w:ascii="Arial" w:hAnsi="Arial" w:cs="Arial"/>
          <w:sz w:val="22"/>
          <w:szCs w:val="22"/>
          <w:lang w:eastAsia="zh-CN"/>
        </w:rPr>
        <w:t>The PBAC noted the conclusion of the ATAGI, that based on the limited data available, the magnitude of increased risk of severe influenza among Indigenous children aged less than 5 years compared with non-Indigenous children is general similar, by various severity measures, to that in children with underlying medical conditions for whom annual influenza vaccination is currently funded under the NIP.</w:t>
      </w:r>
    </w:p>
    <w:p w:rsidR="002D6584" w:rsidRPr="00F01104" w:rsidRDefault="002D6584" w:rsidP="002D6584">
      <w:pPr>
        <w:pStyle w:val="ListParagraph"/>
        <w:ind w:left="709"/>
        <w:jc w:val="both"/>
        <w:rPr>
          <w:rFonts w:ascii="Arial" w:hAnsi="Arial" w:cs="Arial"/>
          <w:sz w:val="22"/>
          <w:szCs w:val="22"/>
          <w:lang w:eastAsia="zh-CN"/>
        </w:rPr>
      </w:pPr>
    </w:p>
    <w:p w:rsidR="002D6584" w:rsidRPr="00F01104" w:rsidRDefault="002D6584" w:rsidP="00FE230D">
      <w:pPr>
        <w:jc w:val="both"/>
        <w:rPr>
          <w:rFonts w:ascii="Arial" w:hAnsi="Arial" w:cs="Arial"/>
          <w:b/>
          <w:i/>
          <w:sz w:val="22"/>
          <w:szCs w:val="22"/>
          <w:lang w:eastAsia="zh-CN"/>
        </w:rPr>
      </w:pPr>
    </w:p>
    <w:p w:rsidR="005A3173" w:rsidRPr="00F01104" w:rsidRDefault="005A3173" w:rsidP="00FE230D">
      <w:pPr>
        <w:ind w:left="720" w:hanging="720"/>
        <w:jc w:val="both"/>
        <w:rPr>
          <w:rFonts w:ascii="Arial" w:hAnsi="Arial" w:cs="Arial"/>
          <w:b/>
          <w:i/>
          <w:sz w:val="22"/>
          <w:szCs w:val="22"/>
        </w:rPr>
      </w:pPr>
      <w:r w:rsidRPr="00F01104">
        <w:rPr>
          <w:rFonts w:ascii="Arial" w:hAnsi="Arial" w:cs="Arial"/>
          <w:b/>
          <w:i/>
          <w:sz w:val="22"/>
          <w:szCs w:val="22"/>
        </w:rPr>
        <w:t>Economic analysis</w:t>
      </w:r>
    </w:p>
    <w:p w:rsidR="005A3173" w:rsidRPr="00F01104" w:rsidRDefault="005A3173" w:rsidP="00FE230D">
      <w:pPr>
        <w:ind w:left="720" w:hanging="720"/>
        <w:jc w:val="both"/>
        <w:rPr>
          <w:rFonts w:ascii="Arial" w:hAnsi="Arial" w:cs="Arial"/>
          <w:sz w:val="22"/>
          <w:szCs w:val="22"/>
        </w:rPr>
      </w:pPr>
    </w:p>
    <w:p w:rsidR="002D6584" w:rsidRPr="00F01104" w:rsidRDefault="002D6584" w:rsidP="00FE230D">
      <w:pPr>
        <w:pStyle w:val="ListParagraph"/>
        <w:numPr>
          <w:ilvl w:val="1"/>
          <w:numId w:val="26"/>
        </w:numPr>
        <w:ind w:left="709" w:hanging="709"/>
        <w:jc w:val="both"/>
        <w:rPr>
          <w:rFonts w:ascii="Arial" w:hAnsi="Arial" w:cs="Arial"/>
          <w:sz w:val="22"/>
          <w:szCs w:val="22"/>
          <w:lang w:eastAsia="zh-CN"/>
        </w:rPr>
      </w:pPr>
      <w:r w:rsidRPr="00F01104">
        <w:rPr>
          <w:rFonts w:ascii="Arial" w:hAnsi="Arial" w:cs="Arial"/>
          <w:sz w:val="22"/>
          <w:szCs w:val="22"/>
        </w:rPr>
        <w:t>A formal economic analysis was not provided</w:t>
      </w:r>
      <w:r w:rsidR="00056F25" w:rsidRPr="00F01104">
        <w:rPr>
          <w:rFonts w:ascii="Arial" w:hAnsi="Arial" w:cs="Arial"/>
          <w:sz w:val="22"/>
          <w:szCs w:val="22"/>
        </w:rPr>
        <w:t xml:space="preserve"> in the submission</w:t>
      </w:r>
      <w:r w:rsidR="003C7814" w:rsidRPr="00F01104">
        <w:rPr>
          <w:rFonts w:ascii="Arial" w:hAnsi="Arial" w:cs="Arial"/>
          <w:sz w:val="22"/>
          <w:szCs w:val="22"/>
        </w:rPr>
        <w:t>.</w:t>
      </w:r>
    </w:p>
    <w:p w:rsidR="002D6584" w:rsidRPr="00F01104" w:rsidRDefault="002D6584" w:rsidP="002D6584">
      <w:pPr>
        <w:pStyle w:val="ListParagraph"/>
        <w:ind w:left="709"/>
        <w:jc w:val="both"/>
        <w:rPr>
          <w:rFonts w:ascii="Arial" w:hAnsi="Arial" w:cs="Arial"/>
          <w:sz w:val="22"/>
          <w:szCs w:val="22"/>
          <w:lang w:eastAsia="zh-CN"/>
        </w:rPr>
      </w:pPr>
    </w:p>
    <w:p w:rsidR="00F57A6D" w:rsidRPr="00F01104" w:rsidRDefault="002D6584" w:rsidP="00FE230D">
      <w:pPr>
        <w:pStyle w:val="ListParagraph"/>
        <w:numPr>
          <w:ilvl w:val="1"/>
          <w:numId w:val="26"/>
        </w:numPr>
        <w:ind w:left="709" w:hanging="709"/>
        <w:jc w:val="both"/>
        <w:rPr>
          <w:rFonts w:ascii="Arial" w:hAnsi="Arial" w:cs="Arial"/>
          <w:sz w:val="22"/>
          <w:szCs w:val="22"/>
          <w:lang w:eastAsia="zh-CN"/>
        </w:rPr>
      </w:pPr>
      <w:r w:rsidRPr="00F01104">
        <w:rPr>
          <w:rFonts w:ascii="Arial" w:hAnsi="Arial" w:cs="Arial"/>
          <w:sz w:val="22"/>
          <w:szCs w:val="22"/>
        </w:rPr>
        <w:t>Based on evidence that Indigenous children</w:t>
      </w:r>
      <w:r w:rsidR="003C7814" w:rsidRPr="00F01104">
        <w:rPr>
          <w:rFonts w:ascii="Arial" w:hAnsi="Arial" w:cs="Arial"/>
          <w:sz w:val="22"/>
          <w:szCs w:val="22"/>
        </w:rPr>
        <w:t xml:space="preserve"> </w:t>
      </w:r>
      <w:r w:rsidRPr="00F01104">
        <w:rPr>
          <w:rFonts w:ascii="Arial" w:hAnsi="Arial" w:cs="Arial"/>
          <w:sz w:val="22"/>
          <w:szCs w:val="22"/>
        </w:rPr>
        <w:t xml:space="preserve">aged 6 months to 5 years have higher disease burden than the funded “medically at risk cohort” and comparable vaccine </w:t>
      </w:r>
      <w:r w:rsidRPr="00F01104">
        <w:rPr>
          <w:rFonts w:ascii="Arial" w:hAnsi="Arial" w:cs="Arial"/>
          <w:sz w:val="22"/>
          <w:szCs w:val="22"/>
        </w:rPr>
        <w:lastRenderedPageBreak/>
        <w:t>effectiveness, the submission proposed that the like cost-effectiveness of these programs would be similar.</w:t>
      </w:r>
    </w:p>
    <w:p w:rsidR="00F57A6D" w:rsidRPr="00F01104" w:rsidRDefault="00F57A6D" w:rsidP="00FE230D">
      <w:pPr>
        <w:ind w:left="720" w:hanging="720"/>
        <w:jc w:val="both"/>
        <w:rPr>
          <w:rFonts w:ascii="Arial" w:hAnsi="Arial" w:cs="Arial"/>
          <w:sz w:val="22"/>
          <w:szCs w:val="22"/>
        </w:rPr>
      </w:pPr>
    </w:p>
    <w:p w:rsidR="005A3173" w:rsidRPr="00F01104" w:rsidRDefault="001E294C" w:rsidP="001E294C">
      <w:pPr>
        <w:ind w:left="720" w:hanging="720"/>
        <w:jc w:val="both"/>
        <w:rPr>
          <w:rFonts w:ascii="Arial" w:hAnsi="Arial" w:cs="Arial"/>
          <w:b/>
          <w:i/>
          <w:sz w:val="22"/>
          <w:szCs w:val="22"/>
        </w:rPr>
      </w:pPr>
      <w:r w:rsidRPr="00F01104">
        <w:rPr>
          <w:rFonts w:ascii="Arial" w:hAnsi="Arial" w:cs="Arial"/>
          <w:b/>
          <w:i/>
          <w:sz w:val="22"/>
          <w:szCs w:val="22"/>
        </w:rPr>
        <w:t>Estimated usage &amp; financi</w:t>
      </w:r>
      <w:r w:rsidR="005A3173" w:rsidRPr="00F01104">
        <w:rPr>
          <w:rFonts w:ascii="Arial" w:hAnsi="Arial" w:cs="Arial"/>
          <w:b/>
          <w:i/>
          <w:sz w:val="22"/>
          <w:szCs w:val="22"/>
        </w:rPr>
        <w:t>al implications</w:t>
      </w:r>
    </w:p>
    <w:p w:rsidR="003B0D10" w:rsidRPr="00F01104" w:rsidRDefault="003B0D10" w:rsidP="001E294C">
      <w:pPr>
        <w:ind w:left="720" w:hanging="720"/>
        <w:jc w:val="both"/>
        <w:rPr>
          <w:rFonts w:ascii="Arial" w:hAnsi="Arial" w:cs="Arial"/>
          <w:b/>
          <w:i/>
          <w:sz w:val="22"/>
          <w:szCs w:val="22"/>
        </w:rPr>
      </w:pPr>
    </w:p>
    <w:p w:rsidR="00CE10C4" w:rsidRPr="00F01104" w:rsidRDefault="002D6584" w:rsidP="00FE230D">
      <w:pPr>
        <w:pStyle w:val="ListParagraph"/>
        <w:numPr>
          <w:ilvl w:val="1"/>
          <w:numId w:val="26"/>
        </w:numPr>
        <w:ind w:left="709" w:hanging="709"/>
        <w:jc w:val="both"/>
        <w:rPr>
          <w:rFonts w:ascii="Arial" w:hAnsi="Arial" w:cs="Arial"/>
          <w:sz w:val="22"/>
          <w:szCs w:val="22"/>
          <w:lang w:eastAsia="zh-CN"/>
        </w:rPr>
      </w:pPr>
      <w:r w:rsidRPr="00F01104">
        <w:rPr>
          <w:rFonts w:ascii="Arial" w:hAnsi="Arial" w:cs="Arial"/>
          <w:sz w:val="22"/>
          <w:szCs w:val="22"/>
        </w:rPr>
        <w:t>Based on a cohort of 68,000 children aged 6 months to 5 years; taking into account children at risk already co</w:t>
      </w:r>
      <w:r w:rsidR="00056F25" w:rsidRPr="00F01104">
        <w:rPr>
          <w:rFonts w:ascii="Arial" w:hAnsi="Arial" w:cs="Arial"/>
          <w:sz w:val="22"/>
          <w:szCs w:val="22"/>
        </w:rPr>
        <w:t>v</w:t>
      </w:r>
      <w:r w:rsidRPr="00F01104">
        <w:rPr>
          <w:rFonts w:ascii="Arial" w:hAnsi="Arial" w:cs="Arial"/>
          <w:sz w:val="22"/>
          <w:szCs w:val="22"/>
        </w:rPr>
        <w:t>ered under the existing programme; and based on 90% covera</w:t>
      </w:r>
      <w:r w:rsidR="00056F25" w:rsidRPr="00F01104">
        <w:rPr>
          <w:rFonts w:ascii="Arial" w:hAnsi="Arial" w:cs="Arial"/>
          <w:sz w:val="22"/>
          <w:szCs w:val="22"/>
        </w:rPr>
        <w:t>g</w:t>
      </w:r>
      <w:r w:rsidRPr="00F01104">
        <w:rPr>
          <w:rFonts w:ascii="Arial" w:hAnsi="Arial" w:cs="Arial"/>
          <w:sz w:val="22"/>
          <w:szCs w:val="22"/>
        </w:rPr>
        <w:t>e plus 4% incentive funding, the cost of the program in the first year was estimated in the submission to be approximately $1.04 million (where two doses are required).  For subsequent years, the cost would be approximately $0</w:t>
      </w:r>
      <w:r w:rsidR="00056F25" w:rsidRPr="00F01104">
        <w:rPr>
          <w:rFonts w:ascii="Arial" w:hAnsi="Arial" w:cs="Arial"/>
          <w:sz w:val="22"/>
          <w:szCs w:val="22"/>
        </w:rPr>
        <w:t>.</w:t>
      </w:r>
      <w:r w:rsidRPr="00F01104">
        <w:rPr>
          <w:rFonts w:ascii="Arial" w:hAnsi="Arial" w:cs="Arial"/>
          <w:sz w:val="22"/>
          <w:szCs w:val="22"/>
        </w:rPr>
        <w:t>63 million per annum</w:t>
      </w:r>
      <w:r w:rsidR="00C9330E" w:rsidRPr="00F01104">
        <w:rPr>
          <w:rFonts w:ascii="Arial" w:hAnsi="Arial" w:cs="Arial"/>
          <w:sz w:val="22"/>
          <w:szCs w:val="22"/>
          <w:lang w:eastAsia="zh-CN"/>
        </w:rPr>
        <w:t>.</w:t>
      </w:r>
    </w:p>
    <w:p w:rsidR="001B2965" w:rsidRPr="00F01104" w:rsidRDefault="001B2965" w:rsidP="001B2965">
      <w:pPr>
        <w:jc w:val="both"/>
        <w:rPr>
          <w:rFonts w:ascii="Arial" w:hAnsi="Arial" w:cs="Arial"/>
          <w:sz w:val="22"/>
          <w:szCs w:val="22"/>
          <w:lang w:eastAsia="zh-CN"/>
        </w:rPr>
      </w:pPr>
    </w:p>
    <w:p w:rsidR="00B43E90" w:rsidRPr="00F01104" w:rsidRDefault="00A62C1A" w:rsidP="00FE230D">
      <w:pPr>
        <w:pStyle w:val="ListParagraph"/>
        <w:numPr>
          <w:ilvl w:val="0"/>
          <w:numId w:val="26"/>
        </w:numPr>
        <w:jc w:val="both"/>
        <w:rPr>
          <w:rFonts w:ascii="Arial" w:hAnsi="Arial" w:cs="Arial"/>
          <w:b/>
          <w:sz w:val="22"/>
          <w:szCs w:val="22"/>
        </w:rPr>
      </w:pPr>
      <w:r w:rsidRPr="00F01104">
        <w:rPr>
          <w:rFonts w:ascii="Arial" w:hAnsi="Arial" w:cs="Arial"/>
          <w:b/>
          <w:sz w:val="22"/>
          <w:szCs w:val="22"/>
        </w:rPr>
        <w:t xml:space="preserve">PBAC </w:t>
      </w:r>
      <w:r w:rsidR="00C9330E" w:rsidRPr="00F01104">
        <w:rPr>
          <w:rFonts w:ascii="Arial" w:hAnsi="Arial" w:cs="Arial"/>
          <w:b/>
          <w:sz w:val="22"/>
          <w:szCs w:val="22"/>
        </w:rPr>
        <w:t>Outcome</w:t>
      </w:r>
    </w:p>
    <w:p w:rsidR="003B0D10" w:rsidRPr="00F01104" w:rsidRDefault="003B0D10" w:rsidP="003B0D10">
      <w:pPr>
        <w:pStyle w:val="ListParagraph"/>
        <w:jc w:val="both"/>
        <w:rPr>
          <w:rFonts w:ascii="Arial" w:hAnsi="Arial" w:cs="Arial"/>
          <w:b/>
          <w:sz w:val="22"/>
          <w:szCs w:val="22"/>
        </w:rPr>
      </w:pPr>
    </w:p>
    <w:p w:rsidR="00056F25" w:rsidRPr="00F01104" w:rsidRDefault="000D48C7" w:rsidP="00FE230D">
      <w:pPr>
        <w:pStyle w:val="ListParagraph"/>
        <w:numPr>
          <w:ilvl w:val="1"/>
          <w:numId w:val="26"/>
        </w:numPr>
        <w:ind w:left="709" w:hanging="709"/>
        <w:jc w:val="both"/>
        <w:rPr>
          <w:rFonts w:ascii="Arial" w:hAnsi="Arial" w:cs="Arial"/>
          <w:sz w:val="22"/>
          <w:szCs w:val="22"/>
        </w:rPr>
      </w:pPr>
      <w:r w:rsidRPr="00F01104">
        <w:rPr>
          <w:rFonts w:ascii="Arial" w:hAnsi="Arial" w:cs="Arial"/>
          <w:sz w:val="22"/>
          <w:szCs w:val="22"/>
        </w:rPr>
        <w:t xml:space="preserve">Out of session between the March 2014 and July 2014 PBAC meetings, the Committee recommended </w:t>
      </w:r>
      <w:r w:rsidR="00056F25" w:rsidRPr="00F01104">
        <w:rPr>
          <w:rFonts w:ascii="Arial" w:hAnsi="Arial" w:cs="Arial"/>
          <w:sz w:val="22"/>
          <w:szCs w:val="22"/>
        </w:rPr>
        <w:t>extending the availability of trivalent influenza vaccine under the National Immunisation Program to include annual vaccination for all Aboriginal and Torres Strait Islander children aged 6 months to 5 years.</w:t>
      </w:r>
    </w:p>
    <w:p w:rsidR="00056F25" w:rsidRPr="00F01104" w:rsidRDefault="00056F25" w:rsidP="00056F25">
      <w:pPr>
        <w:pStyle w:val="ListParagraph"/>
        <w:ind w:left="709"/>
        <w:jc w:val="both"/>
        <w:rPr>
          <w:rFonts w:ascii="Arial" w:hAnsi="Arial" w:cs="Arial"/>
          <w:sz w:val="22"/>
          <w:szCs w:val="22"/>
        </w:rPr>
      </w:pPr>
    </w:p>
    <w:p w:rsidR="00C9330E" w:rsidRPr="00F01104" w:rsidRDefault="00056F25" w:rsidP="00FE230D">
      <w:pPr>
        <w:pStyle w:val="ListParagraph"/>
        <w:numPr>
          <w:ilvl w:val="1"/>
          <w:numId w:val="26"/>
        </w:numPr>
        <w:ind w:left="709" w:hanging="709"/>
        <w:jc w:val="both"/>
        <w:rPr>
          <w:rFonts w:ascii="Arial" w:hAnsi="Arial" w:cs="Arial"/>
          <w:sz w:val="22"/>
          <w:szCs w:val="22"/>
        </w:rPr>
      </w:pPr>
      <w:r w:rsidRPr="00F01104">
        <w:rPr>
          <w:rFonts w:ascii="Arial" w:hAnsi="Arial" w:cs="Arial"/>
          <w:sz w:val="22"/>
          <w:szCs w:val="22"/>
        </w:rPr>
        <w:t>The PBAC agreed that the cost-effectiveness of vaccination in this population was likely to be similar to the cost-effectiveness of vaccination in the already funded “medically at risk cohort”.</w:t>
      </w:r>
    </w:p>
    <w:p w:rsidR="00E91B96" w:rsidRPr="00F01104" w:rsidRDefault="00E91B96" w:rsidP="00FE230D">
      <w:pPr>
        <w:jc w:val="both"/>
        <w:rPr>
          <w:rFonts w:ascii="Arial" w:hAnsi="Arial" w:cs="Arial"/>
          <w:sz w:val="22"/>
          <w:szCs w:val="22"/>
        </w:rPr>
      </w:pPr>
    </w:p>
    <w:p w:rsidR="004A4C8A" w:rsidRPr="00F01104" w:rsidRDefault="00056F25" w:rsidP="00FE230D">
      <w:pPr>
        <w:pStyle w:val="ListParagraph"/>
        <w:numPr>
          <w:ilvl w:val="1"/>
          <w:numId w:val="26"/>
        </w:numPr>
        <w:ind w:left="709" w:hanging="709"/>
        <w:jc w:val="both"/>
        <w:rPr>
          <w:rFonts w:ascii="Arial" w:hAnsi="Arial" w:cs="Arial"/>
          <w:sz w:val="22"/>
          <w:szCs w:val="22"/>
        </w:rPr>
      </w:pPr>
      <w:r w:rsidRPr="00F01104">
        <w:rPr>
          <w:rFonts w:ascii="Arial" w:hAnsi="Arial" w:cs="Arial"/>
          <w:sz w:val="22"/>
          <w:szCs w:val="22"/>
        </w:rPr>
        <w:t>The PBAC encouraged the Office of Health Protection to engage with sponsor(s) of trivalent influenza vaccine to consider making a submission for further expansion of the NIP to include influenza vaccination for the wider age group of children up to 15 years</w:t>
      </w:r>
      <w:r w:rsidR="00C9330E" w:rsidRPr="00F01104">
        <w:rPr>
          <w:rFonts w:ascii="Arial" w:hAnsi="Arial" w:cs="Arial"/>
          <w:sz w:val="22"/>
          <w:szCs w:val="22"/>
        </w:rPr>
        <w:t>.</w:t>
      </w:r>
    </w:p>
    <w:p w:rsidR="00056F25" w:rsidRPr="00F01104" w:rsidRDefault="00056F25" w:rsidP="00056F25">
      <w:pPr>
        <w:pStyle w:val="ListParagraph"/>
        <w:ind w:left="709"/>
        <w:jc w:val="both"/>
        <w:rPr>
          <w:rFonts w:ascii="Arial" w:hAnsi="Arial" w:cs="Arial"/>
          <w:sz w:val="22"/>
          <w:szCs w:val="22"/>
        </w:rPr>
      </w:pPr>
    </w:p>
    <w:p w:rsidR="00326E79" w:rsidRPr="00F01104" w:rsidRDefault="00326E79" w:rsidP="006430A7">
      <w:pPr>
        <w:ind w:left="720" w:hanging="720"/>
        <w:jc w:val="both"/>
        <w:rPr>
          <w:rFonts w:ascii="Arial" w:hAnsi="Arial" w:cs="Arial"/>
          <w:sz w:val="22"/>
          <w:szCs w:val="22"/>
        </w:rPr>
      </w:pPr>
    </w:p>
    <w:p w:rsidR="00277D09" w:rsidRPr="00F01104" w:rsidRDefault="00277D09" w:rsidP="006430A7">
      <w:pPr>
        <w:ind w:left="720" w:hanging="720"/>
        <w:jc w:val="both"/>
        <w:rPr>
          <w:rFonts w:ascii="Arial" w:hAnsi="Arial" w:cs="Arial"/>
          <w:b/>
          <w:sz w:val="22"/>
          <w:szCs w:val="22"/>
        </w:rPr>
      </w:pPr>
      <w:r w:rsidRPr="00F01104">
        <w:rPr>
          <w:rFonts w:ascii="Arial" w:hAnsi="Arial" w:cs="Arial"/>
          <w:b/>
          <w:sz w:val="22"/>
          <w:szCs w:val="22"/>
        </w:rPr>
        <w:t>Outcome:</w:t>
      </w:r>
    </w:p>
    <w:p w:rsidR="00277D09" w:rsidRPr="00F01104" w:rsidRDefault="00277D09" w:rsidP="00277D09">
      <w:pPr>
        <w:ind w:left="720" w:hanging="720"/>
        <w:rPr>
          <w:rFonts w:ascii="Arial" w:hAnsi="Arial" w:cs="Arial"/>
          <w:sz w:val="22"/>
          <w:szCs w:val="22"/>
        </w:rPr>
      </w:pPr>
      <w:r w:rsidRPr="00F01104">
        <w:rPr>
          <w:rFonts w:ascii="Arial" w:hAnsi="Arial" w:cs="Arial"/>
          <w:sz w:val="22"/>
          <w:szCs w:val="22"/>
        </w:rPr>
        <w:t>Recommended</w:t>
      </w:r>
    </w:p>
    <w:p w:rsidR="00816493" w:rsidRPr="00F01104" w:rsidRDefault="00816493">
      <w:pPr>
        <w:rPr>
          <w:rFonts w:ascii="Arial" w:hAnsi="Arial" w:cs="Arial"/>
          <w:sz w:val="22"/>
          <w:szCs w:val="22"/>
        </w:rPr>
      </w:pPr>
    </w:p>
    <w:p w:rsidR="00F01104" w:rsidRPr="00F01104" w:rsidRDefault="00F01104" w:rsidP="00F01104">
      <w:pPr>
        <w:numPr>
          <w:ilvl w:val="0"/>
          <w:numId w:val="29"/>
        </w:numPr>
        <w:contextualSpacing/>
        <w:jc w:val="both"/>
        <w:rPr>
          <w:rFonts w:ascii="Arial" w:eastAsia="Times New Roman" w:hAnsi="Arial" w:cs="Arial"/>
          <w:b/>
          <w:sz w:val="22"/>
          <w:szCs w:val="22"/>
        </w:rPr>
      </w:pPr>
      <w:r w:rsidRPr="00F01104">
        <w:rPr>
          <w:rFonts w:ascii="Arial" w:eastAsia="Times New Roman" w:hAnsi="Arial" w:cs="Arial"/>
          <w:b/>
          <w:sz w:val="22"/>
          <w:szCs w:val="22"/>
        </w:rPr>
        <w:t>Context for Decision</w:t>
      </w:r>
    </w:p>
    <w:p w:rsidR="00F01104" w:rsidRPr="00F01104" w:rsidRDefault="00F01104" w:rsidP="00F01104">
      <w:pPr>
        <w:ind w:left="720"/>
        <w:contextualSpacing/>
        <w:jc w:val="both"/>
        <w:rPr>
          <w:rFonts w:ascii="Arial" w:eastAsia="Times New Roman" w:hAnsi="Arial" w:cs="Arial"/>
          <w:b/>
          <w:sz w:val="22"/>
          <w:szCs w:val="22"/>
        </w:rPr>
      </w:pPr>
    </w:p>
    <w:p w:rsidR="00F01104" w:rsidRPr="00F01104" w:rsidRDefault="00F01104" w:rsidP="00F01104">
      <w:pPr>
        <w:ind w:left="720"/>
        <w:jc w:val="both"/>
        <w:rPr>
          <w:rFonts w:ascii="Arial" w:eastAsia="Times New Roman" w:hAnsi="Arial" w:cs="Arial"/>
          <w:sz w:val="22"/>
          <w:szCs w:val="22"/>
        </w:rPr>
      </w:pPr>
      <w:r w:rsidRPr="00F01104">
        <w:rPr>
          <w:rFonts w:ascii="Arial" w:eastAsia="Times New Roman"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01104" w:rsidRPr="00F01104" w:rsidRDefault="00F01104" w:rsidP="00F01104">
      <w:pPr>
        <w:jc w:val="both"/>
        <w:rPr>
          <w:rFonts w:ascii="Arial" w:eastAsia="Times New Roman" w:hAnsi="Arial" w:cs="Arial"/>
          <w:sz w:val="22"/>
          <w:szCs w:val="22"/>
        </w:rPr>
      </w:pPr>
    </w:p>
    <w:p w:rsidR="00F01104" w:rsidRPr="00F01104" w:rsidRDefault="00F01104" w:rsidP="00F01104">
      <w:pPr>
        <w:numPr>
          <w:ilvl w:val="0"/>
          <w:numId w:val="29"/>
        </w:numPr>
        <w:contextualSpacing/>
        <w:jc w:val="both"/>
        <w:rPr>
          <w:rFonts w:ascii="Arial" w:eastAsia="Times New Roman" w:hAnsi="Arial" w:cs="Arial"/>
          <w:b/>
          <w:sz w:val="22"/>
          <w:szCs w:val="22"/>
        </w:rPr>
      </w:pPr>
      <w:r w:rsidRPr="00F01104">
        <w:rPr>
          <w:rFonts w:ascii="Arial" w:eastAsia="Times New Roman" w:hAnsi="Arial" w:cs="Arial"/>
          <w:b/>
          <w:sz w:val="22"/>
          <w:szCs w:val="22"/>
        </w:rPr>
        <w:t>Sponsor’s Comment</w:t>
      </w:r>
    </w:p>
    <w:p w:rsidR="00F01104" w:rsidRPr="00F01104" w:rsidRDefault="00F01104" w:rsidP="00F01104">
      <w:pPr>
        <w:ind w:left="720"/>
        <w:contextualSpacing/>
        <w:jc w:val="both"/>
        <w:rPr>
          <w:rFonts w:ascii="Arial" w:eastAsia="Times New Roman" w:hAnsi="Arial" w:cs="Arial"/>
          <w:b/>
          <w:sz w:val="22"/>
          <w:szCs w:val="22"/>
        </w:rPr>
      </w:pPr>
    </w:p>
    <w:p w:rsidR="00F01104" w:rsidRPr="00F01104" w:rsidRDefault="00F01104" w:rsidP="00F01104">
      <w:pPr>
        <w:rPr>
          <w:rFonts w:ascii="Arial" w:eastAsia="Times New Roman" w:hAnsi="Arial"/>
          <w:sz w:val="22"/>
          <w:szCs w:val="22"/>
        </w:rPr>
      </w:pPr>
      <w:r w:rsidRPr="00F01104">
        <w:rPr>
          <w:rFonts w:ascii="Arial" w:eastAsia="Times New Roman" w:hAnsi="Arial"/>
        </w:rPr>
        <w:tab/>
      </w:r>
      <w:r w:rsidRPr="00F01104">
        <w:rPr>
          <w:rFonts w:ascii="Arial" w:eastAsia="Times New Roman" w:hAnsi="Arial"/>
          <w:sz w:val="22"/>
          <w:szCs w:val="22"/>
        </w:rPr>
        <w:t>The sponsor had no comment</w:t>
      </w:r>
      <w:r w:rsidR="00374A24">
        <w:rPr>
          <w:rFonts w:ascii="Arial" w:eastAsia="Times New Roman" w:hAnsi="Arial"/>
          <w:sz w:val="22"/>
          <w:szCs w:val="22"/>
        </w:rPr>
        <w:t>.</w:t>
      </w:r>
    </w:p>
    <w:p w:rsidR="00222BCC" w:rsidRDefault="00222BCC">
      <w:pPr>
        <w:rPr>
          <w:rFonts w:ascii="Arial" w:hAnsi="Arial"/>
        </w:rPr>
      </w:pPr>
    </w:p>
    <w:sectPr w:rsidR="00222BCC" w:rsidSect="00653D69">
      <w:headerReference w:type="even" r:id="rId9"/>
      <w:headerReference w:type="default" r:id="rId10"/>
      <w:footerReference w:type="even" r:id="rId11"/>
      <w:footerReference w:type="first" r:id="rId12"/>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10" w:rsidRDefault="003B0D10">
      <w:r>
        <w:separator/>
      </w:r>
    </w:p>
  </w:endnote>
  <w:endnote w:type="continuationSeparator" w:id="0">
    <w:p w:rsidR="003B0D10" w:rsidRDefault="003B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B0D10" w:rsidTr="005A3173">
      <w:trPr>
        <w:trHeight w:val="151"/>
      </w:trPr>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0D10" w:rsidRPr="005A3173" w:rsidRDefault="003B0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r>
    <w:tr w:rsidR="003B0D10" w:rsidTr="005A3173">
      <w:trPr>
        <w:trHeight w:val="150"/>
      </w:trPr>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0" w:type="auto"/>
          <w:vMerge/>
          <w:vAlign w:val="center"/>
          <w:hideMark/>
        </w:tcPr>
        <w:p w:rsidR="003B0D10" w:rsidRPr="005A3173" w:rsidRDefault="003B0D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r>
  </w:tbl>
  <w:p w:rsidR="003B0D10" w:rsidRDefault="003B0D1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D10" w:rsidRDefault="003B0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B0D10" w:rsidTr="005A3173">
      <w:trPr>
        <w:trHeight w:val="151"/>
      </w:trPr>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0D10" w:rsidRPr="005A3173" w:rsidRDefault="003B0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r>
    <w:tr w:rsidR="003B0D10" w:rsidTr="005A3173">
      <w:trPr>
        <w:trHeight w:val="150"/>
      </w:trPr>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0" w:type="auto"/>
          <w:vMerge/>
          <w:vAlign w:val="center"/>
          <w:hideMark/>
        </w:tcPr>
        <w:p w:rsidR="003B0D10" w:rsidRPr="005A3173" w:rsidRDefault="003B0D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B0D10" w:rsidTr="005A3173">
      <w:trPr>
        <w:trHeight w:val="151"/>
      </w:trPr>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0D10" w:rsidRPr="005A3173" w:rsidRDefault="003B0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r>
    <w:tr w:rsidR="003B0D10" w:rsidTr="005A3173">
      <w:trPr>
        <w:trHeight w:val="150"/>
      </w:trPr>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0" w:type="auto"/>
          <w:vMerge/>
          <w:vAlign w:val="center"/>
          <w:hideMark/>
        </w:tcPr>
        <w:p w:rsidR="003B0D10" w:rsidRPr="005A3173" w:rsidRDefault="003B0D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r>
  </w:tbl>
  <w:p w:rsidR="003B0D10" w:rsidRPr="007C0F57" w:rsidRDefault="003B0D1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B0D10" w:rsidRPr="007C0F57" w:rsidRDefault="003B0D10"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10" w:rsidRDefault="003B0D10">
      <w:r>
        <w:separator/>
      </w:r>
    </w:p>
  </w:footnote>
  <w:footnote w:type="continuationSeparator" w:id="0">
    <w:p w:rsidR="003B0D10" w:rsidRDefault="003B0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B0D10" w:rsidRPr="008E0D90" w:rsidTr="00A06225">
      <w:trPr>
        <w:trHeight w:val="151"/>
      </w:trPr>
      <w:tc>
        <w:tcPr>
          <w:tcW w:w="2389" w:type="pct"/>
          <w:tcBorders>
            <w:top w:val="nil"/>
            <w:left w:val="nil"/>
            <w:bottom w:val="single" w:sz="4" w:space="0" w:color="4F81BD"/>
            <w:right w:val="nil"/>
          </w:tcBorders>
        </w:tcPr>
        <w:p w:rsidR="003B0D10" w:rsidRPr="00A06225" w:rsidRDefault="003B0D10">
          <w:pPr>
            <w:pStyle w:val="Header"/>
            <w:spacing w:line="276" w:lineRule="auto"/>
            <w:rPr>
              <w:rFonts w:ascii="Cambria" w:eastAsia="MS Gothic" w:hAnsi="Cambria"/>
              <w:b/>
              <w:bCs/>
              <w:color w:val="4F81BD"/>
            </w:rPr>
          </w:pPr>
        </w:p>
      </w:tc>
      <w:tc>
        <w:tcPr>
          <w:tcW w:w="333" w:type="pct"/>
          <w:vMerge w:val="restart"/>
          <w:noWrap/>
          <w:vAlign w:val="center"/>
          <w:hideMark/>
        </w:tcPr>
        <w:p w:rsidR="003B0D10" w:rsidRPr="00A06225" w:rsidRDefault="003B0D1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B0D10" w:rsidRPr="00A06225" w:rsidRDefault="003B0D10">
          <w:pPr>
            <w:pStyle w:val="Header"/>
            <w:spacing w:line="276" w:lineRule="auto"/>
            <w:rPr>
              <w:rFonts w:ascii="Cambria" w:eastAsia="MS Gothic" w:hAnsi="Cambria"/>
              <w:b/>
              <w:bCs/>
              <w:color w:val="4F81BD"/>
            </w:rPr>
          </w:pPr>
        </w:p>
      </w:tc>
    </w:tr>
    <w:tr w:rsidR="003B0D10" w:rsidRPr="008E0D90" w:rsidTr="00A06225">
      <w:trPr>
        <w:trHeight w:val="150"/>
      </w:trPr>
      <w:tc>
        <w:tcPr>
          <w:tcW w:w="2389" w:type="pct"/>
          <w:tcBorders>
            <w:top w:val="single" w:sz="4" w:space="0" w:color="4F81BD"/>
            <w:left w:val="nil"/>
            <w:bottom w:val="nil"/>
            <w:right w:val="nil"/>
          </w:tcBorders>
        </w:tcPr>
        <w:p w:rsidR="003B0D10" w:rsidRPr="00A06225" w:rsidRDefault="003B0D10">
          <w:pPr>
            <w:pStyle w:val="Header"/>
            <w:spacing w:line="276" w:lineRule="auto"/>
            <w:rPr>
              <w:rFonts w:ascii="Cambria" w:eastAsia="MS Gothic" w:hAnsi="Cambria"/>
              <w:b/>
              <w:bCs/>
              <w:color w:val="4F81BD"/>
            </w:rPr>
          </w:pPr>
        </w:p>
      </w:tc>
      <w:tc>
        <w:tcPr>
          <w:tcW w:w="0" w:type="auto"/>
          <w:vMerge/>
          <w:vAlign w:val="center"/>
          <w:hideMark/>
        </w:tcPr>
        <w:p w:rsidR="003B0D10" w:rsidRPr="00A06225" w:rsidRDefault="003B0D10">
          <w:pPr>
            <w:rPr>
              <w:rFonts w:ascii="Cambria" w:hAnsi="Cambria"/>
              <w:color w:val="4F81BD"/>
              <w:sz w:val="22"/>
              <w:szCs w:val="22"/>
            </w:rPr>
          </w:pPr>
        </w:p>
      </w:tc>
      <w:tc>
        <w:tcPr>
          <w:tcW w:w="2278" w:type="pct"/>
          <w:tcBorders>
            <w:top w:val="single" w:sz="4" w:space="0" w:color="4F81BD"/>
            <w:left w:val="nil"/>
            <w:bottom w:val="nil"/>
            <w:right w:val="nil"/>
          </w:tcBorders>
        </w:tcPr>
        <w:p w:rsidR="003B0D10" w:rsidRPr="00A06225" w:rsidRDefault="003B0D10">
          <w:pPr>
            <w:pStyle w:val="Header"/>
            <w:spacing w:line="276" w:lineRule="auto"/>
            <w:rPr>
              <w:rFonts w:ascii="Cambria" w:eastAsia="MS Gothic" w:hAnsi="Cambria"/>
              <w:b/>
              <w:bCs/>
              <w:color w:val="4F81BD"/>
            </w:rPr>
          </w:pPr>
        </w:p>
      </w:tc>
    </w:tr>
  </w:tbl>
  <w:p w:rsidR="003B0D10" w:rsidRDefault="003B0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7D" w:rsidRPr="00DF217D" w:rsidRDefault="0074247D" w:rsidP="0074247D">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3B0D10" w:rsidRPr="00DF217D" w:rsidRDefault="003B0D10"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3">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4">
    <w:nsid w:val="16B424D5"/>
    <w:multiLevelType w:val="multilevel"/>
    <w:tmpl w:val="6B18F62E"/>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8">
    <w:nsid w:val="2EB03FC8"/>
    <w:multiLevelType w:val="hybridMultilevel"/>
    <w:tmpl w:val="51B4E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50AB63E0"/>
    <w:multiLevelType w:val="multilevel"/>
    <w:tmpl w:val="90FCA1C6"/>
    <w:lvl w:ilvl="0">
      <w:start w:val="6"/>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0">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22">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nsid w:val="771651C1"/>
    <w:multiLevelType w:val="hybridMultilevel"/>
    <w:tmpl w:val="ED740AB4"/>
    <w:lvl w:ilvl="0" w:tplc="EAA8BFE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5">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2F2059"/>
    <w:multiLevelType w:val="multilevel"/>
    <w:tmpl w:val="6B18F62E"/>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21"/>
  </w:num>
  <w:num w:numId="3">
    <w:abstractNumId w:val="13"/>
  </w:num>
  <w:num w:numId="4">
    <w:abstractNumId w:val="0"/>
  </w:num>
  <w:num w:numId="5">
    <w:abstractNumId w:val="3"/>
  </w:num>
  <w:num w:numId="6">
    <w:abstractNumId w:val="12"/>
  </w:num>
  <w:num w:numId="7">
    <w:abstractNumId w:val="10"/>
  </w:num>
  <w:num w:numId="8">
    <w:abstractNumId w:val="2"/>
  </w:num>
  <w:num w:numId="9">
    <w:abstractNumId w:val="5"/>
  </w:num>
  <w:num w:numId="10">
    <w:abstractNumId w:val="19"/>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17"/>
  </w:num>
  <w:num w:numId="16">
    <w:abstractNumId w:val="15"/>
  </w:num>
  <w:num w:numId="17">
    <w:abstractNumId w:val="24"/>
  </w:num>
  <w:num w:numId="18">
    <w:abstractNumId w:val="7"/>
  </w:num>
  <w:num w:numId="19">
    <w:abstractNumId w:val="11"/>
  </w:num>
  <w:num w:numId="20">
    <w:abstractNumId w:val="1"/>
  </w:num>
  <w:num w:numId="21">
    <w:abstractNumId w:val="18"/>
  </w:num>
  <w:num w:numId="22">
    <w:abstractNumId w:val="20"/>
  </w:num>
  <w:num w:numId="23">
    <w:abstractNumId w:val="25"/>
  </w:num>
  <w:num w:numId="24">
    <w:abstractNumId w:val="9"/>
  </w:num>
  <w:num w:numId="25">
    <w:abstractNumId w:val="8"/>
  </w:num>
  <w:num w:numId="26">
    <w:abstractNumId w:val="4"/>
  </w:num>
  <w:num w:numId="27">
    <w:abstractNumId w:val="26"/>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3106B"/>
    <w:rsid w:val="000421A1"/>
    <w:rsid w:val="0004240E"/>
    <w:rsid w:val="00045E26"/>
    <w:rsid w:val="000514B5"/>
    <w:rsid w:val="00056F25"/>
    <w:rsid w:val="00060E64"/>
    <w:rsid w:val="00070B65"/>
    <w:rsid w:val="00081E61"/>
    <w:rsid w:val="000969AD"/>
    <w:rsid w:val="000A18E7"/>
    <w:rsid w:val="000B558D"/>
    <w:rsid w:val="000C6996"/>
    <w:rsid w:val="000D23BA"/>
    <w:rsid w:val="000D47E7"/>
    <w:rsid w:val="000D48C7"/>
    <w:rsid w:val="000E681E"/>
    <w:rsid w:val="000F4E6A"/>
    <w:rsid w:val="000F7003"/>
    <w:rsid w:val="001107BF"/>
    <w:rsid w:val="0012417C"/>
    <w:rsid w:val="00142395"/>
    <w:rsid w:val="00142714"/>
    <w:rsid w:val="001452ED"/>
    <w:rsid w:val="00146E54"/>
    <w:rsid w:val="00167283"/>
    <w:rsid w:val="00176A91"/>
    <w:rsid w:val="001830CE"/>
    <w:rsid w:val="00197BAE"/>
    <w:rsid w:val="001B017F"/>
    <w:rsid w:val="001B2965"/>
    <w:rsid w:val="001B5129"/>
    <w:rsid w:val="001C1195"/>
    <w:rsid w:val="001E294C"/>
    <w:rsid w:val="002121FE"/>
    <w:rsid w:val="0021526A"/>
    <w:rsid w:val="00222BCC"/>
    <w:rsid w:val="00271BA1"/>
    <w:rsid w:val="00277505"/>
    <w:rsid w:val="00277D09"/>
    <w:rsid w:val="0029458F"/>
    <w:rsid w:val="002A4960"/>
    <w:rsid w:val="002B30F8"/>
    <w:rsid w:val="002C212F"/>
    <w:rsid w:val="002D6584"/>
    <w:rsid w:val="00326E79"/>
    <w:rsid w:val="003367EF"/>
    <w:rsid w:val="00341AE4"/>
    <w:rsid w:val="00374A24"/>
    <w:rsid w:val="00397A60"/>
    <w:rsid w:val="003A3F9D"/>
    <w:rsid w:val="003A5B4A"/>
    <w:rsid w:val="003B0D10"/>
    <w:rsid w:val="003B23C5"/>
    <w:rsid w:val="003B2A75"/>
    <w:rsid w:val="003C7814"/>
    <w:rsid w:val="003D4AC4"/>
    <w:rsid w:val="003E34B5"/>
    <w:rsid w:val="003E468B"/>
    <w:rsid w:val="00466ADA"/>
    <w:rsid w:val="004A4C8A"/>
    <w:rsid w:val="004B5640"/>
    <w:rsid w:val="004C1BD7"/>
    <w:rsid w:val="004C34DB"/>
    <w:rsid w:val="004C691D"/>
    <w:rsid w:val="004C70FD"/>
    <w:rsid w:val="004E692D"/>
    <w:rsid w:val="00514CD7"/>
    <w:rsid w:val="00534E2E"/>
    <w:rsid w:val="00544552"/>
    <w:rsid w:val="00547170"/>
    <w:rsid w:val="00581932"/>
    <w:rsid w:val="005A3173"/>
    <w:rsid w:val="005D03AB"/>
    <w:rsid w:val="005D5017"/>
    <w:rsid w:val="00601A91"/>
    <w:rsid w:val="00602BA3"/>
    <w:rsid w:val="00614159"/>
    <w:rsid w:val="006157C4"/>
    <w:rsid w:val="00621BA1"/>
    <w:rsid w:val="006263BF"/>
    <w:rsid w:val="00630A2C"/>
    <w:rsid w:val="006430A7"/>
    <w:rsid w:val="00653D69"/>
    <w:rsid w:val="00670A76"/>
    <w:rsid w:val="006711AA"/>
    <w:rsid w:val="00675622"/>
    <w:rsid w:val="006906DB"/>
    <w:rsid w:val="006A12A5"/>
    <w:rsid w:val="006B485D"/>
    <w:rsid w:val="006F5125"/>
    <w:rsid w:val="007174BB"/>
    <w:rsid w:val="0074247D"/>
    <w:rsid w:val="007753C2"/>
    <w:rsid w:val="007C0F57"/>
    <w:rsid w:val="007C40B6"/>
    <w:rsid w:val="007C729F"/>
    <w:rsid w:val="007F2641"/>
    <w:rsid w:val="008038CE"/>
    <w:rsid w:val="00806796"/>
    <w:rsid w:val="00816493"/>
    <w:rsid w:val="00863E68"/>
    <w:rsid w:val="00883188"/>
    <w:rsid w:val="008A4937"/>
    <w:rsid w:val="008E2C82"/>
    <w:rsid w:val="008E3680"/>
    <w:rsid w:val="008F7355"/>
    <w:rsid w:val="009625BC"/>
    <w:rsid w:val="00974C21"/>
    <w:rsid w:val="00981A07"/>
    <w:rsid w:val="009F5B65"/>
    <w:rsid w:val="00A06225"/>
    <w:rsid w:val="00A37C8D"/>
    <w:rsid w:val="00A42132"/>
    <w:rsid w:val="00A5273B"/>
    <w:rsid w:val="00A62C1A"/>
    <w:rsid w:val="00A6426D"/>
    <w:rsid w:val="00A70622"/>
    <w:rsid w:val="00A70977"/>
    <w:rsid w:val="00A8390C"/>
    <w:rsid w:val="00AA4D1C"/>
    <w:rsid w:val="00AC2023"/>
    <w:rsid w:val="00AC5206"/>
    <w:rsid w:val="00AE11A5"/>
    <w:rsid w:val="00B25F75"/>
    <w:rsid w:val="00B43E90"/>
    <w:rsid w:val="00B56118"/>
    <w:rsid w:val="00BB69F5"/>
    <w:rsid w:val="00BC4B9A"/>
    <w:rsid w:val="00BD42A0"/>
    <w:rsid w:val="00BF4CB6"/>
    <w:rsid w:val="00C12768"/>
    <w:rsid w:val="00C5342C"/>
    <w:rsid w:val="00C6256A"/>
    <w:rsid w:val="00C91449"/>
    <w:rsid w:val="00C92D10"/>
    <w:rsid w:val="00C9330E"/>
    <w:rsid w:val="00CE10C4"/>
    <w:rsid w:val="00CE27B5"/>
    <w:rsid w:val="00D3280C"/>
    <w:rsid w:val="00D3406A"/>
    <w:rsid w:val="00D741EB"/>
    <w:rsid w:val="00D91271"/>
    <w:rsid w:val="00DA4BAC"/>
    <w:rsid w:val="00DB6308"/>
    <w:rsid w:val="00DE6D27"/>
    <w:rsid w:val="00DF217D"/>
    <w:rsid w:val="00DF26A7"/>
    <w:rsid w:val="00E02EAD"/>
    <w:rsid w:val="00E221D4"/>
    <w:rsid w:val="00E848C0"/>
    <w:rsid w:val="00E91B96"/>
    <w:rsid w:val="00E941A1"/>
    <w:rsid w:val="00E95CE3"/>
    <w:rsid w:val="00EA2825"/>
    <w:rsid w:val="00EB5088"/>
    <w:rsid w:val="00ED1644"/>
    <w:rsid w:val="00F01104"/>
    <w:rsid w:val="00F050BD"/>
    <w:rsid w:val="00F25578"/>
    <w:rsid w:val="00F258E5"/>
    <w:rsid w:val="00F3334E"/>
    <w:rsid w:val="00F50EC4"/>
    <w:rsid w:val="00F57A6D"/>
    <w:rsid w:val="00F638CC"/>
    <w:rsid w:val="00F8247A"/>
    <w:rsid w:val="00F91FF2"/>
    <w:rsid w:val="00F92307"/>
    <w:rsid w:val="00FA5883"/>
    <w:rsid w:val="00FB322F"/>
    <w:rsid w:val="00FB442F"/>
    <w:rsid w:val="00FC1929"/>
    <w:rsid w:val="00FC5B46"/>
    <w:rsid w:val="00FE230D"/>
    <w:rsid w:val="00FF1E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0A18E7"/>
    <w:pPr>
      <w:ind w:left="720"/>
      <w:contextualSpacing/>
    </w:pPr>
  </w:style>
  <w:style w:type="character" w:customStyle="1" w:styleId="FooterChar">
    <w:name w:val="Footer Char"/>
    <w:basedOn w:val="DefaultParagraphFont"/>
    <w:link w:val="Footer"/>
    <w:uiPriority w:val="99"/>
    <w:rsid w:val="001E29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0A18E7"/>
    <w:pPr>
      <w:ind w:left="720"/>
      <w:contextualSpacing/>
    </w:pPr>
  </w:style>
  <w:style w:type="character" w:customStyle="1" w:styleId="FooterChar">
    <w:name w:val="Footer Char"/>
    <w:basedOn w:val="DefaultParagraphFont"/>
    <w:link w:val="Footer"/>
    <w:uiPriority w:val="99"/>
    <w:rsid w:val="001E2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11A7-AE16-40F0-B921-21E0F676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3291</Characters>
  <Application>Microsoft Office Word</Application>
  <DocSecurity>6</DocSecurity>
  <Lines>27</Lines>
  <Paragraphs>7</Paragraphs>
  <ScaleCrop>false</ScaleCrop>
  <HeadingPairs>
    <vt:vector size="2" baseType="variant">
      <vt:variant>
        <vt:lpstr>Title</vt:lpstr>
      </vt:variant>
      <vt:variant>
        <vt:i4>1</vt:i4>
      </vt:variant>
    </vt:vector>
  </HeadingPairs>
  <TitlesOfParts>
    <vt:vector size="1" baseType="lpstr">
      <vt:lpstr>UPDATED 2 September 2004</vt:lpstr>
    </vt:vector>
  </TitlesOfParts>
  <Company>18 Kinleyside Crescent Weetangera ACT 2614</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2 September 2004</dc:title>
  <dc:creator>Andrew Veilands</dc:creator>
  <cp:lastModifiedBy>Thomas Gareth</cp:lastModifiedBy>
  <cp:revision>2</cp:revision>
  <cp:lastPrinted>2013-02-09T16:16:00Z</cp:lastPrinted>
  <dcterms:created xsi:type="dcterms:W3CDTF">2014-11-02T21:58:00Z</dcterms:created>
  <dcterms:modified xsi:type="dcterms:W3CDTF">2014-11-02T21:58:00Z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