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A4" w:rsidRPr="00142710" w:rsidRDefault="008066C1" w:rsidP="00142710">
      <w:pPr>
        <w:pStyle w:val="Heading1"/>
        <w:rPr>
          <w:sz w:val="28"/>
          <w:szCs w:val="28"/>
        </w:rPr>
      </w:pPr>
      <w:r>
        <w:rPr>
          <w:sz w:val="28"/>
          <w:szCs w:val="28"/>
        </w:rPr>
        <w:t>7.14</w:t>
      </w:r>
      <w:r w:rsidR="006D66A4">
        <w:rPr>
          <w:sz w:val="28"/>
          <w:szCs w:val="28"/>
        </w:rPr>
        <w:tab/>
      </w:r>
      <w:r w:rsidR="006D66A4" w:rsidRPr="00142710">
        <w:rPr>
          <w:sz w:val="28"/>
          <w:szCs w:val="28"/>
        </w:rPr>
        <w:t>UMECLIDINIUM+</w:t>
      </w:r>
      <w:r w:rsidRPr="00142710">
        <w:rPr>
          <w:sz w:val="28"/>
          <w:szCs w:val="28"/>
        </w:rPr>
        <w:t xml:space="preserve">VILANTEROL, </w:t>
      </w:r>
      <w:proofErr w:type="spellStart"/>
      <w:r w:rsidRPr="00142710">
        <w:rPr>
          <w:sz w:val="28"/>
          <w:szCs w:val="28"/>
        </w:rPr>
        <w:t>umeclidinium</w:t>
      </w:r>
      <w:proofErr w:type="spellEnd"/>
      <w:r w:rsidRPr="00142710">
        <w:rPr>
          <w:sz w:val="28"/>
          <w:szCs w:val="28"/>
        </w:rPr>
        <w:t xml:space="preserve"> </w:t>
      </w:r>
    </w:p>
    <w:p w:rsidR="006D66A4" w:rsidRPr="00142710" w:rsidRDefault="008066C1" w:rsidP="00142710">
      <w:pPr>
        <w:pStyle w:val="Heading1"/>
        <w:rPr>
          <w:sz w:val="28"/>
          <w:szCs w:val="28"/>
        </w:rPr>
      </w:pPr>
      <w:r w:rsidRPr="00142710">
        <w:rPr>
          <w:sz w:val="28"/>
          <w:szCs w:val="28"/>
        </w:rPr>
        <w:t>(</w:t>
      </w:r>
      <w:proofErr w:type="gramStart"/>
      <w:r w:rsidRPr="00142710">
        <w:rPr>
          <w:sz w:val="28"/>
          <w:szCs w:val="28"/>
        </w:rPr>
        <w:t>as</w:t>
      </w:r>
      <w:proofErr w:type="gramEnd"/>
      <w:r w:rsidRPr="00142710">
        <w:rPr>
          <w:sz w:val="28"/>
          <w:szCs w:val="28"/>
        </w:rPr>
        <w:t xml:space="preserve"> bromide) 62.5 microgram/actuation + </w:t>
      </w:r>
      <w:proofErr w:type="spellStart"/>
      <w:r w:rsidRPr="00142710">
        <w:rPr>
          <w:sz w:val="28"/>
          <w:szCs w:val="28"/>
        </w:rPr>
        <w:t>vilanterol</w:t>
      </w:r>
      <w:proofErr w:type="spellEnd"/>
      <w:r w:rsidRPr="00142710">
        <w:rPr>
          <w:sz w:val="28"/>
          <w:szCs w:val="28"/>
        </w:rPr>
        <w:t xml:space="preserve"> </w:t>
      </w:r>
    </w:p>
    <w:p w:rsidR="006D66A4" w:rsidRPr="00142710" w:rsidRDefault="008066C1" w:rsidP="00142710">
      <w:pPr>
        <w:pStyle w:val="Heading1"/>
        <w:rPr>
          <w:sz w:val="28"/>
          <w:szCs w:val="28"/>
        </w:rPr>
      </w:pPr>
      <w:r w:rsidRPr="00142710">
        <w:rPr>
          <w:sz w:val="28"/>
          <w:szCs w:val="28"/>
        </w:rPr>
        <w:t>(</w:t>
      </w:r>
      <w:proofErr w:type="gramStart"/>
      <w:r w:rsidRPr="00142710">
        <w:rPr>
          <w:sz w:val="28"/>
          <w:szCs w:val="28"/>
        </w:rPr>
        <w:t>as</w:t>
      </w:r>
      <w:proofErr w:type="gramEnd"/>
      <w:r w:rsidRPr="00142710">
        <w:rPr>
          <w:sz w:val="28"/>
          <w:szCs w:val="28"/>
        </w:rPr>
        <w:t xml:space="preserve"> </w:t>
      </w:r>
      <w:proofErr w:type="spellStart"/>
      <w:r w:rsidRPr="00142710">
        <w:rPr>
          <w:sz w:val="28"/>
          <w:szCs w:val="28"/>
        </w:rPr>
        <w:t>trifenatate</w:t>
      </w:r>
      <w:proofErr w:type="spellEnd"/>
      <w:r w:rsidRPr="00142710">
        <w:rPr>
          <w:sz w:val="28"/>
          <w:szCs w:val="28"/>
        </w:rPr>
        <w:t xml:space="preserve">) 25 microgram/actuation inhalation: powder for, 30 actuations, </w:t>
      </w:r>
    </w:p>
    <w:p w:rsidR="008066C1" w:rsidRPr="00142710" w:rsidRDefault="008066C1" w:rsidP="00142710">
      <w:pPr>
        <w:pStyle w:val="Heading1"/>
        <w:rPr>
          <w:rFonts w:eastAsia="MS Gothic"/>
          <w:sz w:val="28"/>
          <w:szCs w:val="28"/>
          <w:lang w:val="en-US"/>
        </w:rPr>
      </w:pPr>
      <w:proofErr w:type="spellStart"/>
      <w:r w:rsidRPr="00142710">
        <w:rPr>
          <w:sz w:val="28"/>
          <w:szCs w:val="28"/>
        </w:rPr>
        <w:t>Anoro</w:t>
      </w:r>
      <w:proofErr w:type="spellEnd"/>
      <w:r w:rsidR="0065199C" w:rsidRPr="00142710">
        <w:rPr>
          <w:sz w:val="28"/>
          <w:szCs w:val="28"/>
          <w:vertAlign w:val="superscript"/>
        </w:rPr>
        <w:t>®</w:t>
      </w:r>
      <w:r w:rsidRPr="00142710">
        <w:rPr>
          <w:sz w:val="28"/>
          <w:szCs w:val="28"/>
        </w:rPr>
        <w:t xml:space="preserve"> </w:t>
      </w:r>
      <w:proofErr w:type="spellStart"/>
      <w:r w:rsidRPr="00142710">
        <w:rPr>
          <w:sz w:val="28"/>
          <w:szCs w:val="28"/>
        </w:rPr>
        <w:t>Ellipta</w:t>
      </w:r>
      <w:proofErr w:type="spellEnd"/>
      <w:r w:rsidRPr="00142710">
        <w:rPr>
          <w:sz w:val="28"/>
          <w:szCs w:val="28"/>
          <w:vertAlign w:val="superscript"/>
        </w:rPr>
        <w:t>®</w:t>
      </w:r>
      <w:r w:rsidRPr="00142710">
        <w:rPr>
          <w:sz w:val="28"/>
          <w:szCs w:val="28"/>
        </w:rPr>
        <w:t>,</w:t>
      </w:r>
      <w:r w:rsidRPr="00142710">
        <w:rPr>
          <w:sz w:val="28"/>
          <w:szCs w:val="28"/>
          <w:vertAlign w:val="superscript"/>
        </w:rPr>
        <w:t xml:space="preserve"> </w:t>
      </w:r>
      <w:r w:rsidRPr="00142710">
        <w:rPr>
          <w:sz w:val="28"/>
          <w:szCs w:val="28"/>
        </w:rPr>
        <w:t>GlaxoSmithKline Australia Pty Ltd</w:t>
      </w:r>
    </w:p>
    <w:p w:rsidR="00CE10C4" w:rsidRDefault="00CE10C4" w:rsidP="00A5273B">
      <w:pPr>
        <w:rPr>
          <w:rFonts w:ascii="Arial" w:hAnsi="Arial"/>
          <w:b/>
        </w:rPr>
      </w:pPr>
    </w:p>
    <w:p w:rsidR="006D66A4" w:rsidRDefault="006D66A4" w:rsidP="00A5273B">
      <w:pPr>
        <w:rPr>
          <w:rFonts w:ascii="Arial" w:hAnsi="Arial"/>
          <w:b/>
        </w:rPr>
      </w:pPr>
    </w:p>
    <w:p w:rsidR="006D66A4" w:rsidRPr="00407F2D" w:rsidRDefault="006D66A4" w:rsidP="006D66A4">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8066C1" w:rsidRPr="008066C1" w:rsidRDefault="008066C1" w:rsidP="008066C1">
      <w:pPr>
        <w:pStyle w:val="ListParagraph"/>
        <w:numPr>
          <w:ilvl w:val="1"/>
          <w:numId w:val="25"/>
        </w:numPr>
        <w:jc w:val="both"/>
        <w:rPr>
          <w:rFonts w:ascii="Arial" w:hAnsi="Arial"/>
          <w:sz w:val="22"/>
          <w:szCs w:val="22"/>
        </w:rPr>
      </w:pPr>
      <w:r w:rsidRPr="008066C1">
        <w:rPr>
          <w:rFonts w:ascii="Arial" w:hAnsi="Arial" w:cs="Arial"/>
          <w:snapToGrid w:val="0"/>
          <w:sz w:val="22"/>
          <w:szCs w:val="22"/>
          <w:lang w:eastAsia="en-US"/>
        </w:rPr>
        <w:t xml:space="preserve">To request a Authority Required (Streamlined) listing for the treatment of adult patients with chronic obstructive pulmonary disease (COPD) where symptoms persist despite regular bronchodilator treatment with a long acting muscarinic </w:t>
      </w:r>
      <w:r w:rsidR="00AB662E">
        <w:rPr>
          <w:rFonts w:ascii="Arial" w:hAnsi="Arial" w:cs="Arial"/>
          <w:snapToGrid w:val="0"/>
          <w:sz w:val="22"/>
          <w:szCs w:val="22"/>
          <w:lang w:eastAsia="en-US"/>
        </w:rPr>
        <w:t>antagonist</w:t>
      </w:r>
      <w:r w:rsidR="00AB662E" w:rsidRPr="008066C1">
        <w:rPr>
          <w:rFonts w:ascii="Arial" w:hAnsi="Arial" w:cs="Arial"/>
          <w:snapToGrid w:val="0"/>
          <w:sz w:val="22"/>
          <w:szCs w:val="22"/>
          <w:lang w:eastAsia="en-US"/>
        </w:rPr>
        <w:t xml:space="preserve"> </w:t>
      </w:r>
      <w:r w:rsidRPr="008066C1">
        <w:rPr>
          <w:rFonts w:ascii="Arial" w:hAnsi="Arial" w:cs="Arial"/>
          <w:snapToGrid w:val="0"/>
          <w:sz w:val="22"/>
          <w:szCs w:val="22"/>
          <w:lang w:eastAsia="en-US"/>
        </w:rPr>
        <w:t>(LAMA) and/or long acting beta</w:t>
      </w:r>
      <w:r w:rsidRPr="008636C6">
        <w:rPr>
          <w:rFonts w:ascii="Arial" w:hAnsi="Arial" w:cs="Arial"/>
          <w:snapToGrid w:val="0"/>
          <w:sz w:val="22"/>
          <w:szCs w:val="22"/>
          <w:vertAlign w:val="subscript"/>
          <w:lang w:eastAsia="en-US"/>
        </w:rPr>
        <w:t>2</w:t>
      </w:r>
      <w:r w:rsidRPr="008066C1">
        <w:rPr>
          <w:rFonts w:ascii="Arial" w:hAnsi="Arial" w:cs="Arial"/>
          <w:snapToGrid w:val="0"/>
          <w:sz w:val="22"/>
          <w:szCs w:val="22"/>
          <w:lang w:eastAsia="en-US"/>
        </w:rPr>
        <w:t>-agonist (LABA); or for the treatment of adult patients who have been stabilised on a combination of a LAMA and a LABA in separate devices.</w:t>
      </w:r>
    </w:p>
    <w:p w:rsidR="006A12A5" w:rsidRDefault="006A12A5" w:rsidP="00882085">
      <w:pPr>
        <w:jc w:val="both"/>
        <w:rPr>
          <w:rFonts w:ascii="Arial" w:hAnsi="Arial"/>
          <w:b/>
          <w:sz w:val="22"/>
          <w:szCs w:val="22"/>
        </w:rPr>
      </w:pPr>
    </w:p>
    <w:p w:rsidR="006D66A4" w:rsidRPr="00882085" w:rsidRDefault="006D66A4" w:rsidP="00882085">
      <w:pPr>
        <w:jc w:val="both"/>
        <w:rPr>
          <w:rFonts w:ascii="Arial" w:hAnsi="Arial"/>
          <w:b/>
          <w:sz w:val="22"/>
          <w:szCs w:val="22"/>
        </w:rPr>
      </w:pPr>
    </w:p>
    <w:p w:rsidR="006D66A4" w:rsidRPr="00407F2D" w:rsidRDefault="006D66A4" w:rsidP="006D66A4">
      <w:pPr>
        <w:pStyle w:val="ListParagraph"/>
        <w:numPr>
          <w:ilvl w:val="0"/>
          <w:numId w:val="25"/>
        </w:numPr>
        <w:jc w:val="both"/>
        <w:rPr>
          <w:rFonts w:ascii="Arial" w:hAnsi="Arial"/>
          <w:b/>
          <w:sz w:val="22"/>
          <w:szCs w:val="22"/>
        </w:rPr>
      </w:pPr>
      <w:r w:rsidRPr="00407F2D">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Default="00636D26" w:rsidP="00882085">
      <w:pPr>
        <w:pStyle w:val="ListParagraph"/>
        <w:numPr>
          <w:ilvl w:val="1"/>
          <w:numId w:val="25"/>
        </w:numPr>
        <w:jc w:val="both"/>
        <w:rPr>
          <w:rFonts w:ascii="Arial" w:hAnsi="Arial"/>
          <w:sz w:val="22"/>
          <w:szCs w:val="22"/>
        </w:rPr>
      </w:pPr>
      <w:r>
        <w:rPr>
          <w:rFonts w:ascii="Arial" w:hAnsi="Arial"/>
          <w:sz w:val="22"/>
          <w:szCs w:val="22"/>
        </w:rPr>
        <w:t>The submission</w:t>
      </w:r>
      <w:r w:rsidR="00326E79" w:rsidRPr="00882085">
        <w:rPr>
          <w:rFonts w:ascii="Arial" w:hAnsi="Arial"/>
          <w:sz w:val="22"/>
          <w:szCs w:val="22"/>
        </w:rPr>
        <w:t xml:space="preserve"> requested</w:t>
      </w:r>
      <w:r w:rsidR="002B1AE6" w:rsidRPr="00882085">
        <w:rPr>
          <w:rFonts w:ascii="Arial" w:hAnsi="Arial"/>
          <w:sz w:val="22"/>
          <w:szCs w:val="22"/>
        </w:rPr>
        <w:t xml:space="preserve"> </w:t>
      </w:r>
      <w:r>
        <w:rPr>
          <w:rFonts w:ascii="Arial" w:hAnsi="Arial"/>
          <w:sz w:val="22"/>
          <w:szCs w:val="22"/>
        </w:rPr>
        <w:t>the following restriction:</w:t>
      </w:r>
      <w:r w:rsidR="00E16910" w:rsidRPr="00882085">
        <w:rPr>
          <w:rFonts w:ascii="Arial" w:hAnsi="Arial"/>
          <w:sz w:val="22"/>
          <w:szCs w:val="22"/>
        </w:rPr>
        <w:t xml:space="preserve"> </w:t>
      </w:r>
    </w:p>
    <w:p w:rsidR="004465BD" w:rsidRDefault="004465BD" w:rsidP="004465BD">
      <w:pPr>
        <w:pStyle w:val="ListParagraph"/>
        <w:jc w:val="both"/>
        <w:rPr>
          <w:rFonts w:ascii="Arial" w:hAnsi="Arial"/>
          <w:sz w:val="22"/>
          <w:szCs w:val="22"/>
        </w:rPr>
      </w:pPr>
    </w:p>
    <w:tbl>
      <w:tblPr>
        <w:tblW w:w="8363" w:type="dxa"/>
        <w:tblInd w:w="817" w:type="dxa"/>
        <w:tblLayout w:type="fixed"/>
        <w:tblLook w:val="04A0" w:firstRow="1" w:lastRow="0" w:firstColumn="1" w:lastColumn="0" w:noHBand="0" w:noVBand="1"/>
        <w:tblDescription w:val="listing umeclidinium &amp; vilanterol"/>
      </w:tblPr>
      <w:tblGrid>
        <w:gridCol w:w="4126"/>
        <w:gridCol w:w="996"/>
        <w:gridCol w:w="854"/>
        <w:gridCol w:w="1280"/>
        <w:gridCol w:w="1107"/>
      </w:tblGrid>
      <w:tr w:rsidR="001D52B3" w:rsidRPr="006D66A4" w:rsidTr="00C33605">
        <w:trPr>
          <w:cantSplit/>
          <w:trHeight w:val="440"/>
        </w:trPr>
        <w:tc>
          <w:tcPr>
            <w:tcW w:w="4126" w:type="dxa"/>
            <w:tcBorders>
              <w:top w:val="single" w:sz="4" w:space="0" w:color="auto"/>
              <w:left w:val="single" w:sz="4" w:space="0" w:color="auto"/>
              <w:bottom w:val="single" w:sz="4" w:space="0" w:color="auto"/>
              <w:right w:val="single" w:sz="4" w:space="0" w:color="auto"/>
            </w:tcBorders>
            <w:hideMark/>
          </w:tcPr>
          <w:p w:rsidR="001D52B3" w:rsidRPr="006D66A4" w:rsidRDefault="001D52B3">
            <w:pPr>
              <w:keepNext/>
              <w:ind w:left="-108"/>
              <w:jc w:val="both"/>
              <w:rPr>
                <w:rFonts w:ascii="Arial" w:hAnsi="Arial" w:cs="Arial"/>
                <w:b/>
                <w:sz w:val="20"/>
              </w:rPr>
            </w:pPr>
            <w:r w:rsidRPr="006D66A4">
              <w:rPr>
                <w:rFonts w:ascii="Arial" w:hAnsi="Arial" w:cs="Arial"/>
                <w:b/>
                <w:sz w:val="20"/>
              </w:rPr>
              <w:t>Name, Restriction,</w:t>
            </w:r>
          </w:p>
          <w:p w:rsidR="001D52B3" w:rsidRPr="006D66A4" w:rsidRDefault="001D52B3">
            <w:pPr>
              <w:keepNext/>
              <w:ind w:left="-108"/>
              <w:jc w:val="both"/>
              <w:rPr>
                <w:rFonts w:ascii="Arial" w:hAnsi="Arial" w:cs="Arial"/>
                <w:b/>
                <w:sz w:val="20"/>
              </w:rPr>
            </w:pPr>
            <w:r w:rsidRPr="006D66A4">
              <w:rPr>
                <w:rFonts w:ascii="Arial" w:hAnsi="Arial" w:cs="Arial"/>
                <w:b/>
                <w:sz w:val="20"/>
              </w:rPr>
              <w:t>Manner of administration and form</w:t>
            </w:r>
          </w:p>
        </w:tc>
        <w:tc>
          <w:tcPr>
            <w:tcW w:w="996" w:type="dxa"/>
            <w:tcBorders>
              <w:top w:val="single" w:sz="4" w:space="0" w:color="auto"/>
              <w:left w:val="single" w:sz="4" w:space="0" w:color="auto"/>
              <w:bottom w:val="single" w:sz="4" w:space="0" w:color="auto"/>
              <w:right w:val="single" w:sz="4" w:space="0" w:color="auto"/>
            </w:tcBorders>
            <w:hideMark/>
          </w:tcPr>
          <w:p w:rsidR="001D52B3" w:rsidRPr="006D66A4" w:rsidRDefault="001D52B3" w:rsidP="006D66A4">
            <w:pPr>
              <w:keepNext/>
              <w:ind w:left="-108"/>
              <w:jc w:val="center"/>
              <w:rPr>
                <w:rFonts w:ascii="Arial" w:hAnsi="Arial" w:cs="Arial"/>
                <w:b/>
                <w:sz w:val="20"/>
              </w:rPr>
            </w:pPr>
            <w:r w:rsidRPr="006D66A4">
              <w:rPr>
                <w:rFonts w:ascii="Arial" w:hAnsi="Arial" w:cs="Arial"/>
                <w:b/>
                <w:sz w:val="20"/>
              </w:rPr>
              <w:t>Max.</w:t>
            </w:r>
          </w:p>
          <w:p w:rsidR="001D52B3" w:rsidRPr="006D66A4" w:rsidRDefault="001D52B3" w:rsidP="006D66A4">
            <w:pPr>
              <w:keepNext/>
              <w:ind w:left="-108"/>
              <w:jc w:val="center"/>
              <w:rPr>
                <w:rFonts w:ascii="Arial" w:hAnsi="Arial" w:cs="Arial"/>
                <w:b/>
                <w:sz w:val="20"/>
              </w:rPr>
            </w:pPr>
            <w:proofErr w:type="spellStart"/>
            <w:r w:rsidRPr="006D66A4">
              <w:rPr>
                <w:rFonts w:ascii="Arial" w:hAnsi="Arial" w:cs="Arial"/>
                <w:b/>
                <w:sz w:val="20"/>
              </w:rPr>
              <w:t>Qty</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1D52B3" w:rsidRPr="006D66A4" w:rsidRDefault="001D52B3" w:rsidP="006D66A4">
            <w:pPr>
              <w:keepNext/>
              <w:ind w:left="-108"/>
              <w:jc w:val="center"/>
              <w:rPr>
                <w:rFonts w:ascii="Arial" w:hAnsi="Arial" w:cs="Arial"/>
                <w:b/>
                <w:sz w:val="20"/>
              </w:rPr>
            </w:pPr>
            <w:r w:rsidRPr="006D66A4">
              <w:rPr>
                <w:rFonts w:ascii="Arial" w:hAnsi="Arial" w:cs="Arial"/>
                <w:b/>
                <w:sz w:val="20"/>
              </w:rPr>
              <w:t>№.of</w:t>
            </w:r>
          </w:p>
          <w:p w:rsidR="001D52B3" w:rsidRPr="006D66A4" w:rsidRDefault="001D52B3" w:rsidP="006D66A4">
            <w:pPr>
              <w:keepNext/>
              <w:ind w:left="-108"/>
              <w:jc w:val="center"/>
              <w:rPr>
                <w:rFonts w:ascii="Arial" w:hAnsi="Arial" w:cs="Arial"/>
                <w:b/>
                <w:sz w:val="20"/>
              </w:rPr>
            </w:pPr>
            <w:proofErr w:type="spellStart"/>
            <w:r w:rsidRPr="006D66A4">
              <w:rPr>
                <w:rFonts w:ascii="Arial" w:hAnsi="Arial" w:cs="Arial"/>
                <w:b/>
                <w:sz w:val="20"/>
              </w:rPr>
              <w:t>Rpts</w:t>
            </w:r>
            <w:proofErr w:type="spellEnd"/>
          </w:p>
        </w:tc>
        <w:tc>
          <w:tcPr>
            <w:tcW w:w="2387" w:type="dxa"/>
            <w:gridSpan w:val="2"/>
            <w:tcBorders>
              <w:top w:val="single" w:sz="4" w:space="0" w:color="auto"/>
              <w:left w:val="single" w:sz="4" w:space="0" w:color="auto"/>
              <w:bottom w:val="single" w:sz="4" w:space="0" w:color="auto"/>
              <w:right w:val="single" w:sz="4" w:space="0" w:color="auto"/>
            </w:tcBorders>
            <w:hideMark/>
          </w:tcPr>
          <w:p w:rsidR="001D52B3" w:rsidRPr="006D66A4" w:rsidRDefault="001D52B3">
            <w:pPr>
              <w:keepNext/>
              <w:jc w:val="both"/>
              <w:rPr>
                <w:rFonts w:ascii="Arial" w:hAnsi="Arial" w:cs="Arial"/>
                <w:b/>
                <w:sz w:val="20"/>
                <w:lang w:val="fr-FR"/>
              </w:rPr>
            </w:pPr>
            <w:r w:rsidRPr="006D66A4">
              <w:rPr>
                <w:rFonts w:ascii="Arial" w:hAnsi="Arial" w:cs="Arial"/>
                <w:b/>
                <w:sz w:val="20"/>
              </w:rPr>
              <w:t>Proprietary Name and Manufacturer</w:t>
            </w:r>
          </w:p>
        </w:tc>
      </w:tr>
      <w:tr w:rsidR="001D52B3" w:rsidTr="00C33605">
        <w:trPr>
          <w:cantSplit/>
          <w:trHeight w:val="539"/>
        </w:trPr>
        <w:tc>
          <w:tcPr>
            <w:tcW w:w="4126" w:type="dxa"/>
            <w:tcBorders>
              <w:top w:val="single" w:sz="4" w:space="0" w:color="auto"/>
              <w:left w:val="single" w:sz="4" w:space="0" w:color="auto"/>
              <w:bottom w:val="single" w:sz="4" w:space="0" w:color="auto"/>
              <w:right w:val="single" w:sz="4" w:space="0" w:color="auto"/>
            </w:tcBorders>
            <w:hideMark/>
          </w:tcPr>
          <w:p w:rsidR="001D52B3" w:rsidRDefault="001D52B3">
            <w:pPr>
              <w:keepNext/>
              <w:ind w:left="-108"/>
              <w:jc w:val="both"/>
              <w:rPr>
                <w:rFonts w:ascii="Arial" w:hAnsi="Arial" w:cs="Arial"/>
                <w:sz w:val="20"/>
                <w:szCs w:val="20"/>
              </w:rPr>
            </w:pPr>
            <w:proofErr w:type="spellStart"/>
            <w:r>
              <w:rPr>
                <w:rFonts w:ascii="Arial" w:hAnsi="Arial" w:cs="Arial"/>
                <w:smallCaps/>
                <w:sz w:val="20"/>
                <w:szCs w:val="20"/>
              </w:rPr>
              <w:t>umeclidinium</w:t>
            </w:r>
            <w:proofErr w:type="spellEnd"/>
            <w:r>
              <w:rPr>
                <w:rFonts w:ascii="Arial" w:hAnsi="Arial" w:cs="Arial"/>
                <w:smallCaps/>
                <w:sz w:val="20"/>
                <w:szCs w:val="20"/>
              </w:rPr>
              <w:t xml:space="preserve"> + </w:t>
            </w:r>
            <w:proofErr w:type="spellStart"/>
            <w:r>
              <w:rPr>
                <w:rFonts w:ascii="Arial" w:hAnsi="Arial" w:cs="Arial"/>
                <w:smallCaps/>
                <w:sz w:val="20"/>
                <w:szCs w:val="20"/>
              </w:rPr>
              <w:t>vilanterol</w:t>
            </w:r>
            <w:proofErr w:type="spellEnd"/>
          </w:p>
          <w:p w:rsidR="001D52B3" w:rsidRDefault="001D52B3">
            <w:pPr>
              <w:keepNext/>
              <w:ind w:left="-108"/>
              <w:jc w:val="both"/>
              <w:rPr>
                <w:rFonts w:ascii="Arial" w:hAnsi="Arial" w:cs="Arial"/>
                <w:sz w:val="20"/>
              </w:rPr>
            </w:pPr>
            <w:r>
              <w:rPr>
                <w:rFonts w:ascii="Arial" w:hAnsi="Arial" w:cs="Arial"/>
                <w:sz w:val="20"/>
              </w:rPr>
              <w:t xml:space="preserve">Inhalation: powder for, </w:t>
            </w:r>
          </w:p>
          <w:p w:rsidR="001D52B3" w:rsidRDefault="001D52B3">
            <w:pPr>
              <w:keepNext/>
              <w:ind w:left="-108"/>
              <w:jc w:val="both"/>
              <w:rPr>
                <w:rFonts w:ascii="Arial" w:hAnsi="Arial" w:cs="Arial"/>
                <w:sz w:val="20"/>
              </w:rPr>
            </w:pPr>
            <w:proofErr w:type="spellStart"/>
            <w:r>
              <w:rPr>
                <w:rFonts w:ascii="Arial" w:hAnsi="Arial" w:cs="Arial"/>
                <w:sz w:val="20"/>
              </w:rPr>
              <w:t>Umeclidinium</w:t>
            </w:r>
            <w:proofErr w:type="spellEnd"/>
            <w:r>
              <w:rPr>
                <w:rFonts w:ascii="Arial" w:hAnsi="Arial" w:cs="Arial"/>
                <w:sz w:val="20"/>
              </w:rPr>
              <w:t xml:space="preserve"> (as bromide) 62.5 microgram + </w:t>
            </w:r>
            <w:proofErr w:type="spellStart"/>
            <w:r>
              <w:rPr>
                <w:rFonts w:ascii="Arial" w:hAnsi="Arial" w:cs="Arial"/>
                <w:sz w:val="20"/>
              </w:rPr>
              <w:t>vilanterol</w:t>
            </w:r>
            <w:proofErr w:type="spellEnd"/>
            <w:r>
              <w:rPr>
                <w:rFonts w:ascii="Arial" w:hAnsi="Arial" w:cs="Arial"/>
                <w:sz w:val="20"/>
              </w:rPr>
              <w:t xml:space="preserve"> (as </w:t>
            </w:r>
            <w:proofErr w:type="spellStart"/>
            <w:r>
              <w:rPr>
                <w:rFonts w:ascii="Arial" w:hAnsi="Arial" w:cs="Arial"/>
                <w:sz w:val="20"/>
              </w:rPr>
              <w:t>trifenatate</w:t>
            </w:r>
            <w:proofErr w:type="spellEnd"/>
            <w:r>
              <w:rPr>
                <w:rFonts w:ascii="Arial" w:hAnsi="Arial" w:cs="Arial"/>
                <w:sz w:val="20"/>
              </w:rPr>
              <w:t>) 25 microgram</w:t>
            </w:r>
            <w:r w:rsidR="0078648D">
              <w:rPr>
                <w:rFonts w:ascii="Arial" w:hAnsi="Arial" w:cs="Arial"/>
                <w:sz w:val="20"/>
              </w:rPr>
              <w:t>, 30</w:t>
            </w:r>
          </w:p>
        </w:tc>
        <w:tc>
          <w:tcPr>
            <w:tcW w:w="996" w:type="dxa"/>
            <w:tcBorders>
              <w:top w:val="single" w:sz="4" w:space="0" w:color="auto"/>
              <w:left w:val="single" w:sz="4" w:space="0" w:color="auto"/>
              <w:bottom w:val="single" w:sz="4" w:space="0" w:color="auto"/>
              <w:right w:val="single" w:sz="4" w:space="0" w:color="auto"/>
            </w:tcBorders>
          </w:tcPr>
          <w:p w:rsidR="001D52B3" w:rsidRDefault="001D52B3" w:rsidP="006D66A4">
            <w:pPr>
              <w:keepNext/>
              <w:ind w:left="-108"/>
              <w:jc w:val="center"/>
              <w:rPr>
                <w:rFonts w:ascii="Arial" w:hAnsi="Arial" w:cs="Arial"/>
                <w:sz w:val="20"/>
              </w:rPr>
            </w:pPr>
          </w:p>
          <w:p w:rsidR="001D52B3" w:rsidRDefault="001D52B3" w:rsidP="006D66A4">
            <w:pPr>
              <w:keepNext/>
              <w:ind w:left="-108"/>
              <w:jc w:val="center"/>
              <w:rPr>
                <w:rFonts w:ascii="Arial" w:hAnsi="Arial" w:cs="Arial"/>
                <w:sz w:val="20"/>
              </w:rPr>
            </w:pPr>
            <w:r>
              <w:rPr>
                <w:rFonts w:ascii="Arial" w:hAnsi="Arial" w:cs="Arial"/>
                <w:sz w:val="20"/>
              </w:rPr>
              <w:t>1</w:t>
            </w:r>
          </w:p>
        </w:tc>
        <w:tc>
          <w:tcPr>
            <w:tcW w:w="854" w:type="dxa"/>
            <w:tcBorders>
              <w:top w:val="single" w:sz="4" w:space="0" w:color="auto"/>
              <w:left w:val="single" w:sz="4" w:space="0" w:color="auto"/>
              <w:bottom w:val="single" w:sz="4" w:space="0" w:color="auto"/>
              <w:right w:val="single" w:sz="4" w:space="0" w:color="auto"/>
            </w:tcBorders>
            <w:hideMark/>
          </w:tcPr>
          <w:p w:rsidR="001D52B3" w:rsidRDefault="001D52B3" w:rsidP="006D66A4">
            <w:pPr>
              <w:keepNext/>
              <w:ind w:left="-108"/>
              <w:jc w:val="center"/>
              <w:rPr>
                <w:rFonts w:ascii="Arial" w:hAnsi="Arial" w:cs="Arial"/>
                <w:sz w:val="20"/>
              </w:rPr>
            </w:pPr>
          </w:p>
          <w:p w:rsidR="001D52B3" w:rsidRDefault="001D52B3" w:rsidP="006D66A4">
            <w:pPr>
              <w:keepNext/>
              <w:ind w:left="-108"/>
              <w:jc w:val="center"/>
              <w:rPr>
                <w:rFonts w:ascii="Arial" w:hAnsi="Arial" w:cs="Arial"/>
                <w:sz w:val="20"/>
              </w:rPr>
            </w:pPr>
            <w:r>
              <w:rPr>
                <w:rFonts w:ascii="Arial" w:hAnsi="Arial" w:cs="Arial"/>
                <w:sz w:val="20"/>
              </w:rPr>
              <w:t>5</w:t>
            </w:r>
          </w:p>
        </w:tc>
        <w:tc>
          <w:tcPr>
            <w:tcW w:w="1280" w:type="dxa"/>
            <w:tcBorders>
              <w:top w:val="single" w:sz="4" w:space="0" w:color="auto"/>
              <w:left w:val="single" w:sz="4" w:space="0" w:color="auto"/>
              <w:bottom w:val="single" w:sz="4" w:space="0" w:color="auto"/>
              <w:right w:val="single" w:sz="4" w:space="0" w:color="auto"/>
            </w:tcBorders>
          </w:tcPr>
          <w:p w:rsidR="001D52B3" w:rsidRDefault="001D52B3">
            <w:pPr>
              <w:keepNext/>
              <w:jc w:val="both"/>
              <w:rPr>
                <w:rFonts w:ascii="Arial" w:hAnsi="Arial" w:cs="Arial"/>
                <w:sz w:val="20"/>
              </w:rPr>
            </w:pPr>
          </w:p>
          <w:p w:rsidR="001D52B3" w:rsidRDefault="001D52B3">
            <w:pPr>
              <w:keepNext/>
              <w:jc w:val="both"/>
              <w:rPr>
                <w:rFonts w:ascii="Arial" w:hAnsi="Arial" w:cs="Arial"/>
                <w:sz w:val="20"/>
              </w:rPr>
            </w:pPr>
            <w:proofErr w:type="spellStart"/>
            <w:r>
              <w:rPr>
                <w:rFonts w:ascii="Arial" w:hAnsi="Arial" w:cs="Arial"/>
                <w:sz w:val="20"/>
              </w:rPr>
              <w:t>Anoro</w:t>
            </w:r>
            <w:proofErr w:type="spellEnd"/>
            <w:r>
              <w:rPr>
                <w:rFonts w:ascii="Arial" w:hAnsi="Arial" w:cs="Arial"/>
                <w:sz w:val="20"/>
                <w:vertAlign w:val="superscript"/>
              </w:rPr>
              <w:t>®</w:t>
            </w:r>
          </w:p>
        </w:tc>
        <w:tc>
          <w:tcPr>
            <w:tcW w:w="1107" w:type="dxa"/>
            <w:tcBorders>
              <w:top w:val="single" w:sz="4" w:space="0" w:color="auto"/>
              <w:left w:val="single" w:sz="4" w:space="0" w:color="auto"/>
              <w:bottom w:val="single" w:sz="4" w:space="0" w:color="auto"/>
              <w:right w:val="single" w:sz="4" w:space="0" w:color="auto"/>
            </w:tcBorders>
          </w:tcPr>
          <w:p w:rsidR="001D52B3" w:rsidRDefault="001D52B3">
            <w:pPr>
              <w:keepNext/>
              <w:jc w:val="both"/>
              <w:rPr>
                <w:rFonts w:ascii="Arial" w:hAnsi="Arial" w:cs="Arial"/>
                <w:sz w:val="20"/>
              </w:rPr>
            </w:pPr>
          </w:p>
          <w:p w:rsidR="001D52B3" w:rsidRDefault="001D52B3">
            <w:pPr>
              <w:keepNext/>
              <w:jc w:val="both"/>
              <w:rPr>
                <w:rFonts w:ascii="Arial" w:hAnsi="Arial" w:cs="Arial"/>
                <w:sz w:val="20"/>
              </w:rPr>
            </w:pPr>
            <w:r>
              <w:rPr>
                <w:rFonts w:ascii="Arial" w:hAnsi="Arial" w:cs="Arial"/>
                <w:sz w:val="20"/>
              </w:rPr>
              <w:t>GSK</w:t>
            </w:r>
          </w:p>
        </w:tc>
      </w:tr>
    </w:tbl>
    <w:p w:rsidR="00C33605" w:rsidRDefault="00C33605" w:rsidP="00C33605">
      <w:pPr>
        <w:jc w:val="both"/>
        <w:rPr>
          <w:rFonts w:ascii="Arial" w:hAnsi="Arial" w:cs="Arial"/>
          <w:b/>
          <w:sz w:val="20"/>
          <w:u w:val="single"/>
        </w:rPr>
      </w:pPr>
    </w:p>
    <w:tbl>
      <w:tblPr>
        <w:tblStyle w:val="TableGrid"/>
        <w:tblW w:w="8363" w:type="dxa"/>
        <w:tblInd w:w="817" w:type="dxa"/>
        <w:tblLook w:val="04A0" w:firstRow="1" w:lastRow="0" w:firstColumn="1" w:lastColumn="0" w:noHBand="0" w:noVBand="1"/>
        <w:tblDescription w:val="listing umeclidinium &amp; vilanterol"/>
      </w:tblPr>
      <w:tblGrid>
        <w:gridCol w:w="8363"/>
      </w:tblGrid>
      <w:tr w:rsidR="00C33605" w:rsidTr="00C33605">
        <w:tc>
          <w:tcPr>
            <w:tcW w:w="8363" w:type="dxa"/>
          </w:tcPr>
          <w:p w:rsidR="00C33605" w:rsidRPr="00C33605" w:rsidRDefault="00C33605" w:rsidP="00C33605">
            <w:pPr>
              <w:jc w:val="both"/>
              <w:rPr>
                <w:rFonts w:ascii="Arial" w:hAnsi="Arial" w:cs="Arial"/>
                <w:b/>
                <w:sz w:val="20"/>
                <w:u w:val="single"/>
              </w:rPr>
            </w:pPr>
            <w:r w:rsidRPr="00C33605">
              <w:rPr>
                <w:rFonts w:ascii="Arial" w:hAnsi="Arial" w:cs="Arial"/>
                <w:b/>
                <w:sz w:val="20"/>
                <w:u w:val="single"/>
              </w:rPr>
              <w:t>Authority required (STREAMLINED)</w:t>
            </w:r>
          </w:p>
          <w:p w:rsidR="00C33605" w:rsidRPr="00C33605" w:rsidRDefault="00C33605" w:rsidP="00C33605">
            <w:pPr>
              <w:jc w:val="both"/>
              <w:rPr>
                <w:rFonts w:ascii="Arial" w:hAnsi="Arial" w:cs="Arial"/>
                <w:sz w:val="20"/>
              </w:rPr>
            </w:pPr>
            <w:r w:rsidRPr="00C33605">
              <w:rPr>
                <w:rFonts w:ascii="Arial" w:hAnsi="Arial" w:cs="Arial"/>
                <w:sz w:val="20"/>
              </w:rPr>
              <w:t>Chronic obstructive pulmonary disease</w:t>
            </w:r>
          </w:p>
          <w:p w:rsidR="00C33605" w:rsidRPr="00C33605" w:rsidRDefault="00C33605" w:rsidP="00C33605">
            <w:pPr>
              <w:jc w:val="both"/>
              <w:rPr>
                <w:rFonts w:ascii="Arial" w:hAnsi="Arial" w:cs="Arial"/>
                <w:sz w:val="20"/>
              </w:rPr>
            </w:pPr>
          </w:p>
          <w:p w:rsidR="00C33605" w:rsidRPr="00C33605" w:rsidRDefault="00C33605" w:rsidP="00C33605">
            <w:pPr>
              <w:jc w:val="both"/>
              <w:rPr>
                <w:rFonts w:ascii="Arial" w:hAnsi="Arial" w:cs="Arial"/>
                <w:sz w:val="20"/>
              </w:rPr>
            </w:pPr>
            <w:r w:rsidRPr="00C33605">
              <w:rPr>
                <w:rFonts w:ascii="Arial" w:hAnsi="Arial" w:cs="Arial"/>
                <w:sz w:val="20"/>
              </w:rPr>
              <w:t xml:space="preserve">Patient must have symptoms that persist despite regular bronchodilator treatment with a long acting muscarinic antagonist and/or long acting beta2 agonist; </w:t>
            </w:r>
          </w:p>
          <w:p w:rsidR="00C33605" w:rsidRPr="00C33605" w:rsidRDefault="00C33605" w:rsidP="00C33605">
            <w:pPr>
              <w:jc w:val="both"/>
              <w:rPr>
                <w:rFonts w:ascii="Arial" w:hAnsi="Arial" w:cs="Arial"/>
                <w:sz w:val="20"/>
              </w:rPr>
            </w:pPr>
            <w:r w:rsidRPr="00C33605">
              <w:rPr>
                <w:rFonts w:ascii="Arial" w:hAnsi="Arial" w:cs="Arial"/>
                <w:sz w:val="20"/>
              </w:rPr>
              <w:t>Or</w:t>
            </w:r>
          </w:p>
          <w:p w:rsidR="00C33605" w:rsidRDefault="00C33605" w:rsidP="00C33605">
            <w:pPr>
              <w:jc w:val="both"/>
              <w:rPr>
                <w:rFonts w:ascii="Arial" w:hAnsi="Arial" w:cs="Arial"/>
                <w:b/>
                <w:sz w:val="20"/>
                <w:u w:val="single"/>
              </w:rPr>
            </w:pPr>
            <w:r w:rsidRPr="00C33605">
              <w:rPr>
                <w:rFonts w:ascii="Arial" w:hAnsi="Arial" w:cs="Arial"/>
                <w:sz w:val="20"/>
              </w:rPr>
              <w:t>Patients must have been stabilised on a combination of long-acting muscarinic antagonist and long acting beta2 agonist.</w:t>
            </w:r>
          </w:p>
        </w:tc>
      </w:tr>
    </w:tbl>
    <w:p w:rsidR="00C33605" w:rsidRPr="00882085" w:rsidRDefault="00C33605" w:rsidP="00C33605">
      <w:pPr>
        <w:jc w:val="both"/>
        <w:rPr>
          <w:rFonts w:ascii="Arial" w:hAnsi="Arial"/>
          <w:b/>
          <w:sz w:val="22"/>
          <w:szCs w:val="22"/>
        </w:rPr>
      </w:pPr>
    </w:p>
    <w:p w:rsidR="00196307" w:rsidRPr="00882085" w:rsidRDefault="008066C1" w:rsidP="00882085">
      <w:pPr>
        <w:pStyle w:val="ListParagraph"/>
        <w:numPr>
          <w:ilvl w:val="1"/>
          <w:numId w:val="25"/>
        </w:numPr>
        <w:jc w:val="both"/>
        <w:rPr>
          <w:rFonts w:ascii="Arial" w:hAnsi="Arial"/>
          <w:sz w:val="22"/>
          <w:szCs w:val="22"/>
        </w:rPr>
      </w:pPr>
      <w:r>
        <w:rPr>
          <w:rFonts w:ascii="Arial" w:hAnsi="Arial"/>
          <w:sz w:val="22"/>
          <w:szCs w:val="22"/>
        </w:rPr>
        <w:t xml:space="preserve">Listing was sought on a cost-minimisation basis with </w:t>
      </w:r>
      <w:proofErr w:type="spellStart"/>
      <w:r>
        <w:rPr>
          <w:rFonts w:ascii="Arial" w:hAnsi="Arial"/>
          <w:sz w:val="22"/>
          <w:szCs w:val="22"/>
        </w:rPr>
        <w:t>umeclidinium</w:t>
      </w:r>
      <w:proofErr w:type="spellEnd"/>
      <w:r w:rsidR="00AB662E">
        <w:rPr>
          <w:rFonts w:ascii="Arial" w:hAnsi="Arial"/>
          <w:sz w:val="22"/>
          <w:szCs w:val="22"/>
        </w:rPr>
        <w:t>/</w:t>
      </w:r>
      <w:proofErr w:type="spellStart"/>
      <w:r>
        <w:rPr>
          <w:rFonts w:ascii="Arial" w:hAnsi="Arial"/>
          <w:sz w:val="22"/>
          <w:szCs w:val="22"/>
        </w:rPr>
        <w:t>vilanterol</w:t>
      </w:r>
      <w:proofErr w:type="spellEnd"/>
      <w:r>
        <w:rPr>
          <w:rFonts w:ascii="Arial" w:hAnsi="Arial"/>
          <w:sz w:val="22"/>
          <w:szCs w:val="22"/>
        </w:rPr>
        <w:t xml:space="preserve"> compared to </w:t>
      </w:r>
      <w:proofErr w:type="spellStart"/>
      <w:r>
        <w:rPr>
          <w:rFonts w:ascii="Arial" w:hAnsi="Arial"/>
          <w:sz w:val="22"/>
          <w:szCs w:val="22"/>
        </w:rPr>
        <w:t>tiotropium</w:t>
      </w:r>
      <w:proofErr w:type="spellEnd"/>
      <w:r>
        <w:rPr>
          <w:rFonts w:ascii="Arial" w:hAnsi="Arial"/>
          <w:sz w:val="22"/>
          <w:szCs w:val="22"/>
        </w:rPr>
        <w:t xml:space="preserve"> with </w:t>
      </w:r>
      <w:proofErr w:type="spellStart"/>
      <w:r>
        <w:rPr>
          <w:rFonts w:ascii="Arial" w:hAnsi="Arial"/>
          <w:sz w:val="22"/>
          <w:szCs w:val="22"/>
        </w:rPr>
        <w:t>indacaterol</w:t>
      </w:r>
      <w:proofErr w:type="spellEnd"/>
      <w:r>
        <w:rPr>
          <w:rFonts w:ascii="Arial" w:hAnsi="Arial"/>
          <w:sz w:val="22"/>
          <w:szCs w:val="22"/>
        </w:rPr>
        <w:t xml:space="preserve">. </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65199C" w:rsidRPr="00882085" w:rsidRDefault="0065199C" w:rsidP="00882085">
      <w:pPr>
        <w:jc w:val="both"/>
        <w:rPr>
          <w:rFonts w:ascii="Arial" w:hAnsi="Arial"/>
          <w:b/>
          <w:sz w:val="22"/>
          <w:szCs w:val="22"/>
        </w:rPr>
      </w:pPr>
    </w:p>
    <w:p w:rsidR="006D66A4" w:rsidRPr="00407F2D" w:rsidRDefault="006D66A4" w:rsidP="006D66A4">
      <w:pPr>
        <w:pStyle w:val="ListParagraph"/>
        <w:numPr>
          <w:ilvl w:val="0"/>
          <w:numId w:val="25"/>
        </w:numPr>
        <w:jc w:val="both"/>
        <w:rPr>
          <w:rFonts w:ascii="Arial" w:hAnsi="Arial"/>
          <w:sz w:val="22"/>
          <w:szCs w:val="22"/>
        </w:rPr>
      </w:pPr>
      <w:r w:rsidRPr="00407F2D">
        <w:rPr>
          <w:rFonts w:ascii="Arial" w:hAnsi="Arial"/>
          <w:b/>
          <w:sz w:val="22"/>
          <w:szCs w:val="22"/>
        </w:rPr>
        <w:t>Background</w:t>
      </w:r>
    </w:p>
    <w:p w:rsidR="006A12A5" w:rsidRPr="00882085" w:rsidRDefault="006A12A5" w:rsidP="00882085">
      <w:pPr>
        <w:jc w:val="both"/>
        <w:rPr>
          <w:rFonts w:ascii="Arial" w:hAnsi="Arial"/>
          <w:sz w:val="22"/>
          <w:szCs w:val="22"/>
        </w:rPr>
      </w:pPr>
    </w:p>
    <w:p w:rsidR="006B0D94" w:rsidRPr="004013E7" w:rsidRDefault="004013E7" w:rsidP="004013E7">
      <w:pPr>
        <w:pStyle w:val="ListParagraph"/>
        <w:numPr>
          <w:ilvl w:val="1"/>
          <w:numId w:val="25"/>
        </w:numPr>
        <w:ind w:left="709"/>
        <w:jc w:val="both"/>
        <w:rPr>
          <w:rFonts w:ascii="Arial" w:hAnsi="Arial"/>
          <w:sz w:val="22"/>
          <w:szCs w:val="22"/>
        </w:rPr>
      </w:pPr>
      <w:proofErr w:type="spellStart"/>
      <w:r w:rsidRPr="004013E7">
        <w:rPr>
          <w:rFonts w:ascii="Arial" w:hAnsi="Arial"/>
          <w:sz w:val="22"/>
          <w:szCs w:val="22"/>
        </w:rPr>
        <w:t>Umeclidinium</w:t>
      </w:r>
      <w:proofErr w:type="spellEnd"/>
      <w:r w:rsidR="008636C6">
        <w:rPr>
          <w:rFonts w:ascii="Arial" w:hAnsi="Arial"/>
          <w:sz w:val="22"/>
          <w:szCs w:val="22"/>
        </w:rPr>
        <w:t xml:space="preserve"> + </w:t>
      </w:r>
      <w:proofErr w:type="spellStart"/>
      <w:r w:rsidRPr="004013E7">
        <w:rPr>
          <w:rFonts w:ascii="Arial" w:hAnsi="Arial"/>
          <w:sz w:val="22"/>
          <w:szCs w:val="22"/>
        </w:rPr>
        <w:t>vilanterol</w:t>
      </w:r>
      <w:proofErr w:type="spellEnd"/>
      <w:r w:rsidRPr="004013E7">
        <w:rPr>
          <w:rFonts w:ascii="Arial" w:hAnsi="Arial"/>
          <w:sz w:val="22"/>
          <w:szCs w:val="22"/>
        </w:rPr>
        <w:t xml:space="preserve"> </w:t>
      </w:r>
      <w:r w:rsidR="00AB662E">
        <w:rPr>
          <w:rFonts w:ascii="Arial" w:hAnsi="Arial"/>
          <w:sz w:val="22"/>
          <w:szCs w:val="22"/>
        </w:rPr>
        <w:t xml:space="preserve">(UMEC/VI) </w:t>
      </w:r>
      <w:r w:rsidRPr="004013E7">
        <w:rPr>
          <w:rFonts w:ascii="Arial" w:hAnsi="Arial"/>
          <w:sz w:val="22"/>
          <w:szCs w:val="22"/>
        </w:rPr>
        <w:t>was TGA registered on 4 July 2014</w:t>
      </w:r>
      <w:r w:rsidR="002B1AE6" w:rsidRPr="004013E7">
        <w:rPr>
          <w:rFonts w:ascii="Arial" w:hAnsi="Arial"/>
          <w:sz w:val="22"/>
          <w:szCs w:val="22"/>
        </w:rPr>
        <w:t xml:space="preserve"> for </w:t>
      </w:r>
      <w:r w:rsidRPr="004013E7">
        <w:rPr>
          <w:rFonts w:ascii="Arial" w:hAnsi="Arial"/>
          <w:sz w:val="22"/>
          <w:szCs w:val="22"/>
        </w:rPr>
        <w:t>long-term once daily maintenance bronchodilator treatment to relieve symptoms in adult patients with chronic obstructive pulmonary disease</w:t>
      </w:r>
      <w:r w:rsidR="0064015E">
        <w:rPr>
          <w:rFonts w:ascii="Arial" w:hAnsi="Arial"/>
          <w:sz w:val="22"/>
          <w:szCs w:val="22"/>
        </w:rPr>
        <w:t xml:space="preserve"> (COPD)</w:t>
      </w:r>
      <w:r w:rsidR="0069520F">
        <w:rPr>
          <w:rFonts w:ascii="Arial" w:hAnsi="Arial"/>
          <w:sz w:val="22"/>
          <w:szCs w:val="22"/>
        </w:rPr>
        <w:t>.</w:t>
      </w:r>
    </w:p>
    <w:p w:rsidR="004013E7" w:rsidRPr="004013E7" w:rsidRDefault="004013E7" w:rsidP="004013E7">
      <w:pPr>
        <w:pStyle w:val="ListParagraph"/>
        <w:ind w:left="709"/>
        <w:jc w:val="both"/>
        <w:rPr>
          <w:rFonts w:ascii="Arial" w:hAnsi="Arial"/>
          <w:sz w:val="22"/>
          <w:szCs w:val="22"/>
        </w:rPr>
      </w:pPr>
    </w:p>
    <w:p w:rsidR="004013E7" w:rsidRPr="004013E7" w:rsidRDefault="008066C1" w:rsidP="004013E7">
      <w:pPr>
        <w:pStyle w:val="ListParagraph"/>
        <w:numPr>
          <w:ilvl w:val="1"/>
          <w:numId w:val="25"/>
        </w:numPr>
        <w:jc w:val="both"/>
        <w:rPr>
          <w:rFonts w:ascii="Arial" w:hAnsi="Arial"/>
          <w:sz w:val="22"/>
          <w:szCs w:val="22"/>
        </w:rPr>
      </w:pPr>
      <w:r w:rsidRPr="004013E7">
        <w:rPr>
          <w:rFonts w:ascii="Arial" w:hAnsi="Arial" w:cs="Arial"/>
          <w:sz w:val="22"/>
          <w:szCs w:val="22"/>
        </w:rPr>
        <w:t xml:space="preserve">UMEC/VI was considered by the PBAC in March 2014. The PBAC rejected the submission as the FDC was cost-minimised to the sum of the component products and this was not justified by the evidence presented as the price of the FDC would be approximately twice the cost of monotherapy in the absence of evidence to demonstrate an incremental benefit of this magnitude. </w:t>
      </w:r>
    </w:p>
    <w:p w:rsidR="004013E7" w:rsidRPr="004013E7" w:rsidRDefault="004013E7" w:rsidP="004013E7">
      <w:pPr>
        <w:pStyle w:val="ListParagraph"/>
        <w:jc w:val="both"/>
        <w:rPr>
          <w:rFonts w:ascii="Arial" w:hAnsi="Arial"/>
          <w:sz w:val="22"/>
          <w:szCs w:val="22"/>
        </w:rPr>
      </w:pPr>
    </w:p>
    <w:p w:rsidR="004013E7" w:rsidRPr="004013E7" w:rsidRDefault="008066C1" w:rsidP="004013E7">
      <w:pPr>
        <w:pStyle w:val="ListParagraph"/>
        <w:numPr>
          <w:ilvl w:val="1"/>
          <w:numId w:val="25"/>
        </w:numPr>
        <w:jc w:val="both"/>
        <w:rPr>
          <w:rFonts w:ascii="Arial" w:hAnsi="Arial"/>
          <w:sz w:val="22"/>
          <w:szCs w:val="22"/>
        </w:rPr>
      </w:pPr>
      <w:r w:rsidRPr="004013E7">
        <w:rPr>
          <w:rFonts w:ascii="Arial" w:hAnsi="Arial" w:cs="Arial"/>
          <w:sz w:val="22"/>
          <w:szCs w:val="22"/>
        </w:rPr>
        <w:lastRenderedPageBreak/>
        <w:t xml:space="preserve">As the incremental gain </w:t>
      </w:r>
      <w:r w:rsidR="00A70FD5">
        <w:rPr>
          <w:rFonts w:ascii="Arial" w:hAnsi="Arial" w:cs="Arial"/>
          <w:sz w:val="22"/>
          <w:szCs w:val="22"/>
        </w:rPr>
        <w:t>in FEV</w:t>
      </w:r>
      <w:r w:rsidR="00A70FD5" w:rsidRPr="008636C6">
        <w:rPr>
          <w:rFonts w:ascii="Arial" w:hAnsi="Arial" w:cs="Arial"/>
          <w:sz w:val="22"/>
          <w:szCs w:val="22"/>
          <w:vertAlign w:val="subscript"/>
        </w:rPr>
        <w:t>1</w:t>
      </w:r>
      <w:r w:rsidR="00A70FD5">
        <w:rPr>
          <w:rFonts w:ascii="Arial" w:hAnsi="Arial" w:cs="Arial"/>
          <w:sz w:val="22"/>
          <w:szCs w:val="22"/>
        </w:rPr>
        <w:t xml:space="preserve"> </w:t>
      </w:r>
      <w:r w:rsidRPr="004013E7">
        <w:rPr>
          <w:rFonts w:ascii="Arial" w:hAnsi="Arial" w:cs="Arial"/>
          <w:sz w:val="22"/>
          <w:szCs w:val="22"/>
        </w:rPr>
        <w:t xml:space="preserve">of the FDC was not able to be translated into more clinically relevant measures of effect (e.g. frequency of exacerbations, hospitalisations), the PBAC considered it was unable to determine and value the incremental benefit associated with use of the FDC compared with use of components given concurrently. Therefore, the committee was unable to determine an appropriate price for the FDC. </w:t>
      </w:r>
    </w:p>
    <w:p w:rsidR="004013E7" w:rsidRPr="004013E7" w:rsidRDefault="004013E7" w:rsidP="004013E7">
      <w:pPr>
        <w:pStyle w:val="ListParagraph"/>
        <w:rPr>
          <w:rFonts w:ascii="Arial" w:hAnsi="Arial" w:cs="Arial"/>
          <w:sz w:val="22"/>
          <w:szCs w:val="22"/>
        </w:rPr>
      </w:pPr>
    </w:p>
    <w:p w:rsidR="008066C1" w:rsidRPr="004013E7" w:rsidRDefault="008066C1" w:rsidP="004013E7">
      <w:pPr>
        <w:pStyle w:val="ListParagraph"/>
        <w:numPr>
          <w:ilvl w:val="1"/>
          <w:numId w:val="25"/>
        </w:numPr>
        <w:jc w:val="both"/>
        <w:rPr>
          <w:rFonts w:ascii="Arial" w:hAnsi="Arial"/>
          <w:sz w:val="22"/>
          <w:szCs w:val="22"/>
        </w:rPr>
      </w:pPr>
      <w:r w:rsidRPr="004013E7">
        <w:rPr>
          <w:rFonts w:ascii="Arial" w:hAnsi="Arial" w:cs="Arial"/>
          <w:sz w:val="22"/>
          <w:szCs w:val="22"/>
        </w:rPr>
        <w:t xml:space="preserve">The PBAC also noted that the treatment algorithm for COPD is changing given the potential safety risks associated with </w:t>
      </w:r>
      <w:r w:rsidR="00A70FD5">
        <w:rPr>
          <w:rFonts w:ascii="Arial" w:hAnsi="Arial" w:cs="Arial"/>
          <w:sz w:val="22"/>
          <w:szCs w:val="22"/>
        </w:rPr>
        <w:t>inhaled corticosteroid (</w:t>
      </w:r>
      <w:r w:rsidRPr="004013E7">
        <w:rPr>
          <w:rFonts w:ascii="Arial" w:hAnsi="Arial" w:cs="Arial"/>
          <w:sz w:val="22"/>
          <w:szCs w:val="22"/>
        </w:rPr>
        <w:t>ICS</w:t>
      </w:r>
      <w:r w:rsidR="00A70FD5">
        <w:rPr>
          <w:rFonts w:ascii="Arial" w:hAnsi="Arial" w:cs="Arial"/>
          <w:sz w:val="22"/>
          <w:szCs w:val="22"/>
        </w:rPr>
        <w:t>)</w:t>
      </w:r>
      <w:r w:rsidRPr="004013E7">
        <w:rPr>
          <w:rFonts w:ascii="Arial" w:hAnsi="Arial" w:cs="Arial"/>
          <w:sz w:val="22"/>
          <w:szCs w:val="22"/>
        </w:rPr>
        <w:t xml:space="preserve"> use, therefore there is potential for greater switching from ICS/LABA than what was considered in the original submission.</w:t>
      </w:r>
    </w:p>
    <w:p w:rsidR="00BB7EC3" w:rsidRDefault="00BB7EC3" w:rsidP="00882085">
      <w:pPr>
        <w:jc w:val="both"/>
        <w:rPr>
          <w:rFonts w:ascii="Arial" w:hAnsi="Arial"/>
          <w:b/>
          <w:sz w:val="22"/>
          <w:szCs w:val="22"/>
        </w:rPr>
      </w:pPr>
    </w:p>
    <w:p w:rsidR="006D66A4" w:rsidRPr="00882085" w:rsidRDefault="006D66A4" w:rsidP="00882085">
      <w:pPr>
        <w:jc w:val="both"/>
        <w:rPr>
          <w:rFonts w:ascii="Arial" w:hAnsi="Arial"/>
          <w:b/>
          <w:sz w:val="22"/>
          <w:szCs w:val="22"/>
        </w:rPr>
      </w:pPr>
    </w:p>
    <w:p w:rsidR="006D66A4" w:rsidRPr="00407F2D" w:rsidRDefault="006D66A4" w:rsidP="006D66A4">
      <w:pPr>
        <w:pStyle w:val="ListParagraph"/>
        <w:numPr>
          <w:ilvl w:val="0"/>
          <w:numId w:val="25"/>
        </w:numPr>
        <w:jc w:val="both"/>
        <w:rPr>
          <w:rFonts w:ascii="Arial" w:hAnsi="Arial"/>
          <w:b/>
          <w:sz w:val="22"/>
          <w:szCs w:val="22"/>
        </w:rPr>
      </w:pPr>
      <w:r w:rsidRPr="00407F2D">
        <w:rPr>
          <w:rFonts w:ascii="Arial" w:hAnsi="Arial"/>
          <w:b/>
          <w:sz w:val="22"/>
          <w:szCs w:val="22"/>
        </w:rPr>
        <w:t>Clinical place for the proposed therapy</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6A12A5" w:rsidRPr="004013E7" w:rsidRDefault="004013E7" w:rsidP="004013E7">
      <w:pPr>
        <w:pStyle w:val="ListParagraph"/>
        <w:numPr>
          <w:ilvl w:val="1"/>
          <w:numId w:val="25"/>
        </w:numPr>
        <w:jc w:val="both"/>
        <w:rPr>
          <w:rFonts w:ascii="Arial" w:hAnsi="Arial"/>
          <w:sz w:val="22"/>
          <w:szCs w:val="22"/>
        </w:rPr>
      </w:pPr>
      <w:r w:rsidRPr="004013E7">
        <w:rPr>
          <w:rFonts w:ascii="Arial" w:hAnsi="Arial"/>
          <w:sz w:val="22"/>
          <w:szCs w:val="22"/>
        </w:rPr>
        <w:t xml:space="preserve">The listing of </w:t>
      </w:r>
      <w:r w:rsidR="008636C6" w:rsidRPr="004013E7">
        <w:rPr>
          <w:rFonts w:ascii="Arial" w:hAnsi="Arial" w:cs="Arial"/>
          <w:sz w:val="22"/>
          <w:szCs w:val="22"/>
        </w:rPr>
        <w:t>UMEC/VI</w:t>
      </w:r>
      <w:r w:rsidR="008636C6" w:rsidRPr="004013E7" w:rsidDel="008636C6">
        <w:rPr>
          <w:rFonts w:ascii="Arial" w:hAnsi="Arial"/>
          <w:sz w:val="22"/>
          <w:szCs w:val="22"/>
        </w:rPr>
        <w:t xml:space="preserve"> </w:t>
      </w:r>
      <w:r w:rsidRPr="004013E7">
        <w:rPr>
          <w:rFonts w:ascii="Arial" w:hAnsi="Arial"/>
          <w:sz w:val="22"/>
          <w:szCs w:val="22"/>
        </w:rPr>
        <w:t xml:space="preserve">FDC would provide an alternative in one inhaler for a LABA/LAMA combination, rather than LABA + LAMA in two inhaler devices.   </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6D66A4" w:rsidRPr="00882085" w:rsidRDefault="006D66A4" w:rsidP="00882085">
      <w:pPr>
        <w:pStyle w:val="Header"/>
        <w:tabs>
          <w:tab w:val="clear" w:pos="4153"/>
          <w:tab w:val="clear" w:pos="8306"/>
        </w:tabs>
        <w:jc w:val="both"/>
        <w:rPr>
          <w:rFonts w:ascii="Arial" w:hAnsi="Arial"/>
          <w:sz w:val="22"/>
          <w:szCs w:val="22"/>
        </w:rPr>
      </w:pPr>
    </w:p>
    <w:p w:rsidR="006D66A4" w:rsidRPr="00407F2D" w:rsidRDefault="006D66A4" w:rsidP="006D66A4">
      <w:pPr>
        <w:pStyle w:val="Header"/>
        <w:numPr>
          <w:ilvl w:val="0"/>
          <w:numId w:val="25"/>
        </w:numPr>
        <w:tabs>
          <w:tab w:val="clear" w:pos="4153"/>
          <w:tab w:val="clear" w:pos="8306"/>
        </w:tabs>
        <w:jc w:val="both"/>
        <w:rPr>
          <w:rFonts w:ascii="Arial" w:hAnsi="Arial"/>
          <w:b/>
          <w:sz w:val="22"/>
          <w:szCs w:val="22"/>
        </w:rPr>
      </w:pPr>
      <w:r w:rsidRPr="00407F2D">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013E7" w:rsidRPr="004013E7" w:rsidRDefault="004013E7" w:rsidP="004013E7">
      <w:pPr>
        <w:pStyle w:val="ListParagraph"/>
        <w:numPr>
          <w:ilvl w:val="1"/>
          <w:numId w:val="25"/>
        </w:numPr>
        <w:jc w:val="both"/>
        <w:rPr>
          <w:rFonts w:ascii="Arial" w:hAnsi="Arial" w:cs="Arial"/>
          <w:sz w:val="28"/>
          <w:szCs w:val="22"/>
        </w:rPr>
      </w:pPr>
      <w:r w:rsidRPr="004013E7">
        <w:rPr>
          <w:rFonts w:ascii="Arial" w:hAnsi="Arial" w:cs="Arial"/>
          <w:sz w:val="22"/>
          <w:szCs w:val="19"/>
        </w:rPr>
        <w:t xml:space="preserve">The initial major submission nominated </w:t>
      </w:r>
      <w:proofErr w:type="spellStart"/>
      <w:r w:rsidRPr="004013E7">
        <w:rPr>
          <w:rFonts w:ascii="Arial" w:hAnsi="Arial" w:cs="Arial"/>
          <w:sz w:val="22"/>
          <w:szCs w:val="19"/>
        </w:rPr>
        <w:t>indacaterol</w:t>
      </w:r>
      <w:proofErr w:type="spellEnd"/>
      <w:r w:rsidRPr="004013E7">
        <w:rPr>
          <w:rFonts w:ascii="Arial" w:hAnsi="Arial" w:cs="Arial"/>
          <w:sz w:val="22"/>
          <w:szCs w:val="19"/>
        </w:rPr>
        <w:t xml:space="preserve"> </w:t>
      </w:r>
      <w:r w:rsidR="00AB662E">
        <w:rPr>
          <w:rFonts w:ascii="Arial" w:hAnsi="Arial" w:cs="Arial"/>
          <w:sz w:val="22"/>
          <w:szCs w:val="19"/>
        </w:rPr>
        <w:t>with</w:t>
      </w:r>
      <w:r w:rsidRPr="004013E7">
        <w:rPr>
          <w:rFonts w:ascii="Arial" w:hAnsi="Arial" w:cs="Arial"/>
          <w:sz w:val="22"/>
          <w:szCs w:val="19"/>
        </w:rPr>
        <w:t xml:space="preserve"> </w:t>
      </w:r>
      <w:proofErr w:type="spellStart"/>
      <w:r w:rsidRPr="004013E7">
        <w:rPr>
          <w:rFonts w:ascii="Arial" w:hAnsi="Arial" w:cs="Arial"/>
          <w:sz w:val="22"/>
          <w:szCs w:val="19"/>
        </w:rPr>
        <w:t>tiotropium</w:t>
      </w:r>
      <w:proofErr w:type="spellEnd"/>
      <w:r w:rsidRPr="004013E7">
        <w:rPr>
          <w:rFonts w:ascii="Arial" w:hAnsi="Arial" w:cs="Arial"/>
          <w:sz w:val="22"/>
          <w:szCs w:val="19"/>
        </w:rPr>
        <w:t xml:space="preserve"> as the main comparator and </w:t>
      </w:r>
      <w:proofErr w:type="spellStart"/>
      <w:r w:rsidRPr="004013E7">
        <w:rPr>
          <w:rFonts w:ascii="Arial" w:hAnsi="Arial" w:cs="Arial"/>
          <w:sz w:val="22"/>
          <w:szCs w:val="19"/>
        </w:rPr>
        <w:t>indacaterol</w:t>
      </w:r>
      <w:proofErr w:type="spellEnd"/>
      <w:r w:rsidRPr="004013E7">
        <w:rPr>
          <w:rFonts w:ascii="Arial" w:hAnsi="Arial" w:cs="Arial"/>
          <w:sz w:val="22"/>
          <w:szCs w:val="19"/>
        </w:rPr>
        <w:t>/</w:t>
      </w:r>
      <w:proofErr w:type="spellStart"/>
      <w:r w:rsidRPr="004013E7">
        <w:rPr>
          <w:rFonts w:ascii="Arial" w:hAnsi="Arial" w:cs="Arial"/>
          <w:sz w:val="22"/>
          <w:szCs w:val="19"/>
        </w:rPr>
        <w:t>glycopyrronium</w:t>
      </w:r>
      <w:proofErr w:type="spellEnd"/>
      <w:r w:rsidRPr="004013E7">
        <w:rPr>
          <w:rFonts w:ascii="Arial" w:hAnsi="Arial" w:cs="Arial"/>
          <w:sz w:val="22"/>
          <w:szCs w:val="19"/>
        </w:rPr>
        <w:t xml:space="preserve"> FDC as a supportive comparator. This was accepted by the PBAC in March 2014. </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6D66A4" w:rsidRPr="006D66A4" w:rsidRDefault="006D66A4" w:rsidP="006D66A4">
      <w:pPr>
        <w:jc w:val="both"/>
        <w:rPr>
          <w:rFonts w:ascii="Arial" w:hAnsi="Arial"/>
          <w:sz w:val="22"/>
          <w:szCs w:val="22"/>
        </w:rPr>
      </w:pPr>
    </w:p>
    <w:p w:rsidR="00DF26A7" w:rsidRPr="006D66A4" w:rsidRDefault="00DF26A7" w:rsidP="006D66A4">
      <w:pPr>
        <w:jc w:val="both"/>
        <w:rPr>
          <w:rFonts w:ascii="Arial" w:hAnsi="Arial"/>
          <w:sz w:val="22"/>
          <w:szCs w:val="22"/>
        </w:rPr>
      </w:pPr>
    </w:p>
    <w:p w:rsidR="006D66A4" w:rsidRPr="00407F2D" w:rsidRDefault="006D66A4" w:rsidP="006D66A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4013E7" w:rsidRDefault="00BB7EC3" w:rsidP="004013E7">
      <w:pPr>
        <w:jc w:val="both"/>
        <w:rPr>
          <w:rFonts w:ascii="Arial" w:hAnsi="Arial"/>
          <w:sz w:val="22"/>
          <w:szCs w:val="22"/>
        </w:rPr>
      </w:pPr>
    </w:p>
    <w:p w:rsidR="00BB7EC3" w:rsidRPr="006D66A4" w:rsidRDefault="00BB7EC3" w:rsidP="006D66A4">
      <w:pPr>
        <w:pStyle w:val="ListParagraph"/>
        <w:numPr>
          <w:ilvl w:val="1"/>
          <w:numId w:val="25"/>
        </w:numPr>
        <w:jc w:val="both"/>
        <w:rPr>
          <w:rFonts w:ascii="Arial" w:hAnsi="Arial"/>
          <w:sz w:val="22"/>
          <w:szCs w:val="22"/>
        </w:rPr>
      </w:pPr>
      <w:r w:rsidRPr="006D66A4">
        <w:rPr>
          <w:rFonts w:ascii="Arial" w:hAnsi="Arial"/>
          <w:sz w:val="22"/>
          <w:szCs w:val="22"/>
        </w:rPr>
        <w:t>The</w:t>
      </w:r>
      <w:r w:rsidR="0069520F" w:rsidRPr="006D66A4">
        <w:rPr>
          <w:rFonts w:ascii="Arial" w:hAnsi="Arial"/>
          <w:sz w:val="22"/>
          <w:szCs w:val="22"/>
        </w:rPr>
        <w:t>re was no hearing for this item</w:t>
      </w:r>
      <w:r w:rsidRPr="006D66A4">
        <w:rPr>
          <w:rFonts w:ascii="Arial" w:hAnsi="Arial"/>
          <w:sz w:val="22"/>
          <w:szCs w:val="22"/>
        </w:rPr>
        <w:t>.</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BB7EC3" w:rsidRPr="006D66A4" w:rsidRDefault="00BB7EC3" w:rsidP="006D66A4">
      <w:pPr>
        <w:pStyle w:val="ListParagraph"/>
        <w:numPr>
          <w:ilvl w:val="1"/>
          <w:numId w:val="25"/>
        </w:numPr>
        <w:jc w:val="both"/>
        <w:rPr>
          <w:rFonts w:ascii="Arial" w:hAnsi="Arial"/>
          <w:sz w:val="22"/>
          <w:szCs w:val="22"/>
        </w:rPr>
      </w:pPr>
      <w:r w:rsidRPr="006D66A4">
        <w:rPr>
          <w:rFonts w:ascii="Arial" w:hAnsi="Arial"/>
          <w:sz w:val="22"/>
          <w:szCs w:val="22"/>
        </w:rPr>
        <w:t>The PBAC noted that no consumer comme</w:t>
      </w:r>
      <w:r w:rsidR="004013E7" w:rsidRPr="006D66A4">
        <w:rPr>
          <w:rFonts w:ascii="Arial" w:hAnsi="Arial"/>
          <w:sz w:val="22"/>
          <w:szCs w:val="22"/>
        </w:rPr>
        <w:t>nts were received for this item</w:t>
      </w:r>
      <w:r w:rsidRPr="006D66A4">
        <w:rPr>
          <w:rFonts w:ascii="Arial" w:hAnsi="Arial"/>
          <w:sz w:val="22"/>
          <w:szCs w:val="22"/>
        </w:rPr>
        <w:t>.</w:t>
      </w:r>
    </w:p>
    <w:p w:rsidR="00BB7EC3" w:rsidRPr="00882085" w:rsidRDefault="00BB7EC3" w:rsidP="004013E7">
      <w:pPr>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9F5F2E" w:rsidRPr="006D66A4" w:rsidRDefault="00A0711C" w:rsidP="006D66A4">
      <w:pPr>
        <w:pStyle w:val="ListParagraph"/>
        <w:numPr>
          <w:ilvl w:val="1"/>
          <w:numId w:val="25"/>
        </w:numPr>
        <w:jc w:val="both"/>
        <w:rPr>
          <w:rFonts w:ascii="Arial" w:hAnsi="Arial"/>
          <w:sz w:val="22"/>
          <w:szCs w:val="22"/>
        </w:rPr>
      </w:pPr>
      <w:r w:rsidRPr="006D66A4">
        <w:rPr>
          <w:rFonts w:ascii="Arial" w:hAnsi="Arial" w:cs="Arial"/>
          <w:sz w:val="22"/>
          <w:szCs w:val="22"/>
        </w:rPr>
        <w:t>The submission has presented a new trial which claims an incremental benefit in FEV</w:t>
      </w:r>
      <w:r w:rsidRPr="006D66A4">
        <w:rPr>
          <w:rFonts w:ascii="Arial" w:hAnsi="Arial" w:cs="Arial"/>
          <w:sz w:val="22"/>
          <w:szCs w:val="22"/>
          <w:vertAlign w:val="subscript"/>
        </w:rPr>
        <w:t>1</w:t>
      </w:r>
      <w:r w:rsidRPr="006D66A4">
        <w:rPr>
          <w:rFonts w:ascii="Arial" w:hAnsi="Arial" w:cs="Arial"/>
          <w:sz w:val="22"/>
          <w:szCs w:val="22"/>
        </w:rPr>
        <w:t xml:space="preserve"> of 112mL over </w:t>
      </w:r>
      <w:proofErr w:type="spellStart"/>
      <w:r w:rsidRPr="006D66A4">
        <w:rPr>
          <w:rFonts w:ascii="Arial" w:hAnsi="Arial" w:cs="Arial"/>
          <w:sz w:val="22"/>
          <w:szCs w:val="22"/>
        </w:rPr>
        <w:t>tiotropium</w:t>
      </w:r>
      <w:proofErr w:type="spellEnd"/>
      <w:r w:rsidRPr="006D66A4">
        <w:rPr>
          <w:rFonts w:ascii="Arial" w:hAnsi="Arial" w:cs="Arial"/>
          <w:sz w:val="22"/>
          <w:szCs w:val="22"/>
        </w:rPr>
        <w:t xml:space="preserve"> monotherapy. </w:t>
      </w:r>
      <w:r w:rsidR="0069520F" w:rsidRPr="006D66A4">
        <w:rPr>
          <w:rFonts w:ascii="Arial" w:hAnsi="Arial" w:cs="Arial"/>
          <w:sz w:val="22"/>
          <w:szCs w:val="22"/>
        </w:rPr>
        <w:t>As this is a minor submission, t</w:t>
      </w:r>
      <w:r w:rsidRPr="006D66A4">
        <w:rPr>
          <w:rFonts w:ascii="Arial" w:hAnsi="Arial" w:cs="Arial"/>
          <w:sz w:val="22"/>
          <w:szCs w:val="22"/>
        </w:rPr>
        <w:t>his trial has not been evaluated.</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636D26" w:rsidRPr="006D66A4" w:rsidRDefault="00A0711C" w:rsidP="006D66A4">
      <w:pPr>
        <w:pStyle w:val="ListParagraph"/>
        <w:numPr>
          <w:ilvl w:val="1"/>
          <w:numId w:val="25"/>
        </w:numPr>
        <w:jc w:val="both"/>
        <w:rPr>
          <w:rFonts w:ascii="Arial" w:hAnsi="Arial"/>
          <w:sz w:val="22"/>
          <w:szCs w:val="22"/>
        </w:rPr>
      </w:pPr>
      <w:r w:rsidRPr="006D66A4">
        <w:rPr>
          <w:rFonts w:ascii="Arial" w:hAnsi="Arial"/>
          <w:sz w:val="22"/>
          <w:szCs w:val="22"/>
        </w:rPr>
        <w:t>As in March 2014, the submission claimed the UME</w:t>
      </w:r>
      <w:r w:rsidR="008636C6" w:rsidRPr="006D66A4">
        <w:rPr>
          <w:rFonts w:ascii="Arial" w:hAnsi="Arial"/>
          <w:sz w:val="22"/>
          <w:szCs w:val="22"/>
        </w:rPr>
        <w:t>C</w:t>
      </w:r>
      <w:r w:rsidRPr="006D66A4">
        <w:rPr>
          <w:rFonts w:ascii="Arial" w:hAnsi="Arial"/>
          <w:sz w:val="22"/>
          <w:szCs w:val="22"/>
        </w:rPr>
        <w:t xml:space="preserve">/VI combination therapy has comparable effectiveness to </w:t>
      </w:r>
      <w:proofErr w:type="spellStart"/>
      <w:r w:rsidRPr="006D66A4">
        <w:rPr>
          <w:rFonts w:ascii="Arial" w:hAnsi="Arial"/>
          <w:sz w:val="22"/>
          <w:szCs w:val="22"/>
        </w:rPr>
        <w:t>indacaterol</w:t>
      </w:r>
      <w:proofErr w:type="spellEnd"/>
      <w:r w:rsidRPr="006D66A4">
        <w:rPr>
          <w:rFonts w:ascii="Arial" w:hAnsi="Arial"/>
          <w:sz w:val="22"/>
          <w:szCs w:val="22"/>
        </w:rPr>
        <w:t xml:space="preserve"> 150</w:t>
      </w:r>
      <w:r w:rsidR="00163F06" w:rsidRPr="006D66A4">
        <w:rPr>
          <w:rFonts w:ascii="Arial" w:hAnsi="Arial"/>
          <w:sz w:val="22"/>
          <w:szCs w:val="22"/>
        </w:rPr>
        <w:t xml:space="preserve"> microgram</w:t>
      </w:r>
      <w:r w:rsidRPr="006D66A4">
        <w:rPr>
          <w:rFonts w:ascii="Arial" w:hAnsi="Arial"/>
          <w:sz w:val="22"/>
          <w:szCs w:val="22"/>
        </w:rPr>
        <w:t xml:space="preserve"> plus </w:t>
      </w:r>
      <w:proofErr w:type="spellStart"/>
      <w:r w:rsidRPr="006D66A4">
        <w:rPr>
          <w:rFonts w:ascii="Arial" w:hAnsi="Arial"/>
          <w:sz w:val="22"/>
          <w:szCs w:val="22"/>
        </w:rPr>
        <w:t>tiotropium</w:t>
      </w:r>
      <w:proofErr w:type="spellEnd"/>
      <w:r w:rsidRPr="006D66A4">
        <w:rPr>
          <w:rFonts w:ascii="Arial" w:hAnsi="Arial"/>
          <w:sz w:val="22"/>
          <w:szCs w:val="22"/>
        </w:rPr>
        <w:t xml:space="preserve"> 18</w:t>
      </w:r>
      <w:r w:rsidR="00163F06" w:rsidRPr="006D66A4">
        <w:rPr>
          <w:rFonts w:ascii="Arial" w:hAnsi="Arial"/>
          <w:sz w:val="22"/>
          <w:szCs w:val="22"/>
        </w:rPr>
        <w:t xml:space="preserve"> microgram</w:t>
      </w:r>
      <w:r w:rsidRPr="006D66A4">
        <w:rPr>
          <w:rFonts w:ascii="Arial" w:hAnsi="Arial"/>
          <w:sz w:val="22"/>
          <w:szCs w:val="22"/>
        </w:rPr>
        <w:t xml:space="preserve"> at 12 weeks. The submission claimed that UMEC/VI combination therapy has a mostly benign and similar safety profile to </w:t>
      </w:r>
      <w:proofErr w:type="spellStart"/>
      <w:r w:rsidRPr="006D66A4">
        <w:rPr>
          <w:rFonts w:ascii="Arial" w:hAnsi="Arial"/>
          <w:sz w:val="22"/>
          <w:szCs w:val="22"/>
        </w:rPr>
        <w:t>indacaterol</w:t>
      </w:r>
      <w:proofErr w:type="spellEnd"/>
      <w:r w:rsidRPr="006D66A4">
        <w:rPr>
          <w:rFonts w:ascii="Arial" w:hAnsi="Arial"/>
          <w:sz w:val="22"/>
          <w:szCs w:val="22"/>
        </w:rPr>
        <w:t xml:space="preserve"> plus </w:t>
      </w:r>
      <w:proofErr w:type="spellStart"/>
      <w:r w:rsidRPr="006D66A4">
        <w:rPr>
          <w:rFonts w:ascii="Arial" w:hAnsi="Arial"/>
          <w:sz w:val="22"/>
          <w:szCs w:val="22"/>
        </w:rPr>
        <w:t>tiotropium</w:t>
      </w:r>
      <w:proofErr w:type="spellEnd"/>
      <w:r w:rsidRPr="006D66A4">
        <w:rPr>
          <w:rFonts w:ascii="Arial" w:hAnsi="Arial"/>
          <w:sz w:val="22"/>
          <w:szCs w:val="22"/>
        </w:rPr>
        <w:t xml:space="preserve">. </w:t>
      </w:r>
    </w:p>
    <w:p w:rsidR="00AB662E" w:rsidRDefault="00AB662E" w:rsidP="00AB662E">
      <w:pPr>
        <w:pStyle w:val="ListParagraph"/>
        <w:ind w:left="709"/>
        <w:jc w:val="both"/>
        <w:rPr>
          <w:rFonts w:ascii="Arial" w:hAnsi="Arial"/>
          <w:sz w:val="22"/>
          <w:szCs w:val="22"/>
        </w:rPr>
      </w:pPr>
    </w:p>
    <w:p w:rsidR="00636D26" w:rsidRPr="006D66A4" w:rsidRDefault="00BB7EC3" w:rsidP="006D66A4">
      <w:pPr>
        <w:pStyle w:val="ListParagraph"/>
        <w:numPr>
          <w:ilvl w:val="1"/>
          <w:numId w:val="25"/>
        </w:numPr>
        <w:jc w:val="both"/>
        <w:rPr>
          <w:rFonts w:ascii="Arial" w:hAnsi="Arial"/>
          <w:sz w:val="22"/>
          <w:szCs w:val="22"/>
        </w:rPr>
      </w:pPr>
      <w:r w:rsidRPr="006D66A4">
        <w:rPr>
          <w:rFonts w:ascii="Arial" w:hAnsi="Arial" w:cs="Arial"/>
          <w:sz w:val="22"/>
          <w:szCs w:val="22"/>
        </w:rPr>
        <w:t>The PBAC considered that the claim of non-inferior comparative effectiveness</w:t>
      </w:r>
      <w:r w:rsidR="00636D26" w:rsidRPr="006D66A4">
        <w:rPr>
          <w:rFonts w:ascii="Arial" w:hAnsi="Arial" w:cs="Arial"/>
          <w:sz w:val="22"/>
          <w:szCs w:val="22"/>
        </w:rPr>
        <w:t xml:space="preserve"> to </w:t>
      </w:r>
      <w:proofErr w:type="spellStart"/>
      <w:r w:rsidR="00636D26" w:rsidRPr="006D66A4">
        <w:rPr>
          <w:rFonts w:ascii="Arial" w:hAnsi="Arial" w:cs="Arial"/>
          <w:sz w:val="22"/>
          <w:szCs w:val="22"/>
        </w:rPr>
        <w:t>indacaterol</w:t>
      </w:r>
      <w:proofErr w:type="spellEnd"/>
      <w:r w:rsidR="00636D26" w:rsidRPr="006D66A4">
        <w:rPr>
          <w:rFonts w:ascii="Arial" w:hAnsi="Arial" w:cs="Arial"/>
          <w:sz w:val="22"/>
          <w:szCs w:val="22"/>
        </w:rPr>
        <w:t xml:space="preserve"> plus </w:t>
      </w:r>
      <w:proofErr w:type="spellStart"/>
      <w:r w:rsidR="00636D26" w:rsidRPr="006D66A4">
        <w:rPr>
          <w:rFonts w:ascii="Arial" w:hAnsi="Arial" w:cs="Arial"/>
          <w:sz w:val="22"/>
          <w:szCs w:val="22"/>
        </w:rPr>
        <w:t>tiotropium</w:t>
      </w:r>
      <w:proofErr w:type="spellEnd"/>
      <w:r w:rsidRPr="006D66A4">
        <w:rPr>
          <w:rFonts w:ascii="Arial" w:hAnsi="Arial" w:cs="Arial"/>
          <w:sz w:val="22"/>
          <w:szCs w:val="22"/>
        </w:rPr>
        <w:t xml:space="preserve"> was reasonable</w:t>
      </w:r>
      <w:r w:rsidR="00636D26" w:rsidRPr="006D66A4">
        <w:rPr>
          <w:rFonts w:ascii="Arial" w:hAnsi="Arial" w:cs="Arial"/>
          <w:sz w:val="22"/>
          <w:szCs w:val="22"/>
        </w:rPr>
        <w:t xml:space="preserve">. </w:t>
      </w:r>
    </w:p>
    <w:p w:rsidR="00636D26" w:rsidRPr="00636D26" w:rsidRDefault="00636D26" w:rsidP="00DC7564">
      <w:pPr>
        <w:pStyle w:val="ListParagraph"/>
        <w:ind w:left="709"/>
        <w:jc w:val="both"/>
        <w:rPr>
          <w:rFonts w:ascii="Arial" w:hAnsi="Arial" w:cs="Arial"/>
          <w:sz w:val="22"/>
          <w:szCs w:val="22"/>
        </w:rPr>
      </w:pPr>
    </w:p>
    <w:p w:rsidR="00636D26" w:rsidRPr="006D66A4" w:rsidRDefault="00BB7EC3" w:rsidP="006D66A4">
      <w:pPr>
        <w:pStyle w:val="ListParagraph"/>
        <w:numPr>
          <w:ilvl w:val="1"/>
          <w:numId w:val="25"/>
        </w:numPr>
        <w:jc w:val="both"/>
        <w:rPr>
          <w:rFonts w:ascii="Arial" w:hAnsi="Arial"/>
          <w:sz w:val="22"/>
          <w:szCs w:val="22"/>
        </w:rPr>
      </w:pPr>
      <w:r w:rsidRPr="006D66A4">
        <w:rPr>
          <w:rFonts w:ascii="Arial" w:hAnsi="Arial" w:cs="Arial"/>
          <w:sz w:val="22"/>
          <w:szCs w:val="22"/>
        </w:rPr>
        <w:t>The PBAC considered that the claim of non-inferior comparative safety was reasonable</w:t>
      </w:r>
      <w:r w:rsidR="00636D26" w:rsidRPr="006D66A4">
        <w:rPr>
          <w:rFonts w:ascii="Arial" w:hAnsi="Arial" w:cs="Arial"/>
          <w:sz w:val="22"/>
          <w:szCs w:val="22"/>
        </w:rPr>
        <w:t>.</w:t>
      </w:r>
    </w:p>
    <w:p w:rsidR="00A0711C" w:rsidRPr="00AB662E" w:rsidRDefault="00A0711C" w:rsidP="00A0711C">
      <w:pPr>
        <w:pStyle w:val="ListParagraph"/>
        <w:rPr>
          <w:rFonts w:ascii="Arial" w:hAnsi="Arial" w:cs="Arial"/>
          <w:sz w:val="22"/>
          <w:szCs w:val="22"/>
        </w:rPr>
      </w:pPr>
    </w:p>
    <w:p w:rsidR="00897978" w:rsidRPr="006D66A4" w:rsidRDefault="00A0711C" w:rsidP="006D66A4">
      <w:pPr>
        <w:pStyle w:val="ListParagraph"/>
        <w:numPr>
          <w:ilvl w:val="1"/>
          <w:numId w:val="25"/>
        </w:numPr>
        <w:jc w:val="both"/>
        <w:rPr>
          <w:rFonts w:ascii="Arial" w:hAnsi="Arial"/>
          <w:sz w:val="22"/>
          <w:szCs w:val="22"/>
        </w:rPr>
      </w:pPr>
      <w:r w:rsidRPr="006D66A4">
        <w:rPr>
          <w:rFonts w:ascii="Arial" w:hAnsi="Arial" w:cs="Arial"/>
          <w:sz w:val="22"/>
          <w:szCs w:val="22"/>
        </w:rPr>
        <w:t xml:space="preserve">The </w:t>
      </w:r>
      <w:r w:rsidR="00DC7564" w:rsidRPr="006D66A4">
        <w:rPr>
          <w:rFonts w:ascii="Arial" w:hAnsi="Arial" w:cs="Arial"/>
          <w:sz w:val="22"/>
          <w:szCs w:val="22"/>
        </w:rPr>
        <w:t>PBAC recalled its</w:t>
      </w:r>
      <w:r w:rsidRPr="006D66A4">
        <w:rPr>
          <w:rFonts w:ascii="Arial" w:hAnsi="Arial" w:cs="Arial"/>
          <w:sz w:val="22"/>
          <w:szCs w:val="22"/>
        </w:rPr>
        <w:t xml:space="preserve"> primary concern </w:t>
      </w:r>
      <w:r w:rsidR="00DC7564" w:rsidRPr="006D66A4">
        <w:rPr>
          <w:rFonts w:ascii="Arial" w:hAnsi="Arial" w:cs="Arial"/>
          <w:sz w:val="22"/>
          <w:szCs w:val="22"/>
        </w:rPr>
        <w:t xml:space="preserve">in March 2014 </w:t>
      </w:r>
      <w:r w:rsidRPr="006D66A4">
        <w:rPr>
          <w:rFonts w:ascii="Arial" w:hAnsi="Arial" w:cs="Arial"/>
          <w:sz w:val="22"/>
          <w:szCs w:val="22"/>
        </w:rPr>
        <w:t>that the incremental benefit of the combination product over monotherapy could not be translated into clinically relevant measures of effect and therefore an appropriate price could not be determined.</w:t>
      </w:r>
    </w:p>
    <w:p w:rsidR="00897978" w:rsidRPr="00897978" w:rsidRDefault="00897978" w:rsidP="00897978">
      <w:pPr>
        <w:pStyle w:val="ListParagraph"/>
        <w:rPr>
          <w:rFonts w:ascii="Arial" w:hAnsi="Arial" w:cs="Arial"/>
          <w:sz w:val="22"/>
          <w:szCs w:val="22"/>
        </w:rPr>
      </w:pPr>
    </w:p>
    <w:p w:rsidR="0064015E" w:rsidRPr="006D66A4" w:rsidRDefault="00D77212" w:rsidP="006D66A4">
      <w:pPr>
        <w:pStyle w:val="ListParagraph"/>
        <w:numPr>
          <w:ilvl w:val="1"/>
          <w:numId w:val="25"/>
        </w:numPr>
        <w:jc w:val="both"/>
        <w:rPr>
          <w:rFonts w:ascii="Arial" w:hAnsi="Arial"/>
          <w:sz w:val="22"/>
          <w:szCs w:val="22"/>
        </w:rPr>
      </w:pPr>
      <w:r w:rsidRPr="006D66A4">
        <w:rPr>
          <w:rFonts w:ascii="Arial" w:hAnsi="Arial" w:cs="Arial"/>
          <w:sz w:val="22"/>
          <w:szCs w:val="22"/>
        </w:rPr>
        <w:t>The submission attempted</w:t>
      </w:r>
      <w:r w:rsidR="00A0711C" w:rsidRPr="006D66A4">
        <w:rPr>
          <w:rFonts w:ascii="Arial" w:hAnsi="Arial" w:cs="Arial"/>
          <w:sz w:val="22"/>
          <w:szCs w:val="22"/>
        </w:rPr>
        <w:t xml:space="preserve"> to address the PBAC concerns by calculating the incremental benefit of the FDC using a price per mL improvement in FEV</w:t>
      </w:r>
      <w:r w:rsidR="00A0711C" w:rsidRPr="006D66A4">
        <w:rPr>
          <w:rFonts w:ascii="Arial" w:hAnsi="Arial" w:cs="Arial"/>
          <w:sz w:val="22"/>
          <w:szCs w:val="22"/>
          <w:vertAlign w:val="subscript"/>
        </w:rPr>
        <w:t>1</w:t>
      </w:r>
      <w:r w:rsidR="00A0711C" w:rsidRPr="006D66A4">
        <w:rPr>
          <w:rFonts w:ascii="Arial" w:hAnsi="Arial" w:cs="Arial"/>
          <w:sz w:val="22"/>
          <w:szCs w:val="22"/>
        </w:rPr>
        <w:t xml:space="preserve"> over monotherapy</w:t>
      </w:r>
      <w:r w:rsidR="00646AB3" w:rsidRPr="006D66A4">
        <w:rPr>
          <w:rFonts w:ascii="Arial" w:hAnsi="Arial" w:cs="Arial"/>
          <w:sz w:val="22"/>
          <w:szCs w:val="22"/>
        </w:rPr>
        <w:t xml:space="preserve"> and then discounting the resulting price to deal with some of the uncertainty in this approach</w:t>
      </w:r>
      <w:r w:rsidR="00A0711C" w:rsidRPr="006D66A4">
        <w:rPr>
          <w:rFonts w:ascii="Arial" w:hAnsi="Arial" w:cs="Arial"/>
          <w:sz w:val="22"/>
          <w:szCs w:val="22"/>
        </w:rPr>
        <w:t xml:space="preserve">. </w:t>
      </w:r>
      <w:r w:rsidR="00DC7564" w:rsidRPr="006D66A4">
        <w:rPr>
          <w:rFonts w:ascii="Arial" w:hAnsi="Arial" w:cs="Arial"/>
          <w:sz w:val="22"/>
          <w:szCs w:val="22"/>
        </w:rPr>
        <w:t xml:space="preserve"> </w:t>
      </w:r>
      <w:r w:rsidR="00D55988" w:rsidRPr="006D66A4">
        <w:rPr>
          <w:rFonts w:ascii="Arial" w:hAnsi="Arial" w:cs="Arial"/>
          <w:sz w:val="22"/>
          <w:szCs w:val="22"/>
        </w:rPr>
        <w:t xml:space="preserve">It was </w:t>
      </w:r>
      <w:r w:rsidR="008E29BD" w:rsidRPr="006D66A4">
        <w:rPr>
          <w:rFonts w:ascii="Arial" w:hAnsi="Arial" w:cs="Arial"/>
          <w:sz w:val="22"/>
          <w:szCs w:val="22"/>
        </w:rPr>
        <w:t>noted</w:t>
      </w:r>
      <w:r w:rsidR="00D55988" w:rsidRPr="006D66A4">
        <w:rPr>
          <w:rFonts w:ascii="Arial" w:hAnsi="Arial" w:cs="Arial"/>
          <w:sz w:val="22"/>
          <w:szCs w:val="22"/>
        </w:rPr>
        <w:t xml:space="preserve"> that</w:t>
      </w:r>
      <w:r w:rsidR="008E29BD" w:rsidRPr="006D66A4">
        <w:rPr>
          <w:rFonts w:ascii="Arial" w:hAnsi="Arial" w:cs="Arial"/>
          <w:sz w:val="22"/>
          <w:szCs w:val="22"/>
        </w:rPr>
        <w:t xml:space="preserve"> this</w:t>
      </w:r>
      <w:r w:rsidR="00A0711C" w:rsidRPr="006D66A4">
        <w:rPr>
          <w:rFonts w:ascii="Arial" w:hAnsi="Arial" w:cs="Arial"/>
          <w:sz w:val="22"/>
          <w:szCs w:val="22"/>
        </w:rPr>
        <w:t xml:space="preserve"> approach to </w:t>
      </w:r>
      <w:r w:rsidR="00163F06" w:rsidRPr="006D66A4">
        <w:rPr>
          <w:rFonts w:ascii="Arial" w:hAnsi="Arial" w:cs="Arial"/>
          <w:sz w:val="22"/>
          <w:szCs w:val="22"/>
        </w:rPr>
        <w:t>calculating</w:t>
      </w:r>
      <w:r w:rsidR="00A0711C" w:rsidRPr="006D66A4">
        <w:rPr>
          <w:rFonts w:ascii="Arial" w:hAnsi="Arial" w:cs="Arial"/>
          <w:sz w:val="22"/>
          <w:szCs w:val="22"/>
        </w:rPr>
        <w:t xml:space="preserve"> cost has not previously been considered or accepted by PBAC. This approach assumes that each additional gain in FEV</w:t>
      </w:r>
      <w:r w:rsidR="00A0711C" w:rsidRPr="006D66A4">
        <w:rPr>
          <w:rFonts w:ascii="Arial" w:hAnsi="Arial" w:cs="Arial"/>
          <w:sz w:val="22"/>
          <w:szCs w:val="22"/>
          <w:vertAlign w:val="subscript"/>
        </w:rPr>
        <w:t>1</w:t>
      </w:r>
      <w:r w:rsidR="00A0711C" w:rsidRPr="006D66A4">
        <w:rPr>
          <w:rFonts w:ascii="Arial" w:hAnsi="Arial" w:cs="Arial"/>
          <w:sz w:val="22"/>
          <w:szCs w:val="22"/>
        </w:rPr>
        <w:t xml:space="preserve"> is clinically relevant to the patient.  It also assumes that each additional gain in FEV</w:t>
      </w:r>
      <w:r w:rsidR="00A0711C" w:rsidRPr="006D66A4">
        <w:rPr>
          <w:rFonts w:ascii="Arial" w:hAnsi="Arial" w:cs="Arial"/>
          <w:sz w:val="22"/>
          <w:szCs w:val="22"/>
          <w:vertAlign w:val="subscript"/>
        </w:rPr>
        <w:t>1</w:t>
      </w:r>
      <w:r w:rsidR="00A0711C" w:rsidRPr="006D66A4">
        <w:rPr>
          <w:rFonts w:ascii="Arial" w:hAnsi="Arial" w:cs="Arial"/>
          <w:sz w:val="22"/>
          <w:szCs w:val="22"/>
        </w:rPr>
        <w:t xml:space="preserve"> is equivalent.  </w:t>
      </w:r>
      <w:r w:rsidR="008E29BD" w:rsidRPr="006D66A4">
        <w:rPr>
          <w:rFonts w:ascii="Arial" w:hAnsi="Arial" w:cs="Arial"/>
          <w:sz w:val="22"/>
          <w:szCs w:val="22"/>
        </w:rPr>
        <w:t>Although t</w:t>
      </w:r>
      <w:r w:rsidR="00474E04" w:rsidRPr="006D66A4">
        <w:rPr>
          <w:rFonts w:ascii="Arial" w:hAnsi="Arial" w:cs="Arial"/>
          <w:sz w:val="22"/>
          <w:szCs w:val="22"/>
        </w:rPr>
        <w:t>he PBAC</w:t>
      </w:r>
      <w:r w:rsidR="00646AB3" w:rsidRPr="006D66A4">
        <w:rPr>
          <w:rFonts w:ascii="Arial" w:hAnsi="Arial" w:cs="Arial"/>
          <w:sz w:val="22"/>
          <w:szCs w:val="22"/>
        </w:rPr>
        <w:t xml:space="preserve"> </w:t>
      </w:r>
      <w:r w:rsidR="006D3262" w:rsidRPr="006D66A4">
        <w:rPr>
          <w:rFonts w:ascii="Arial" w:hAnsi="Arial" w:cs="Arial"/>
          <w:sz w:val="22"/>
          <w:szCs w:val="22"/>
        </w:rPr>
        <w:t>c</w:t>
      </w:r>
      <w:r w:rsidR="00474E04" w:rsidRPr="006D66A4">
        <w:rPr>
          <w:rFonts w:ascii="Arial" w:hAnsi="Arial" w:cs="Arial"/>
          <w:sz w:val="22"/>
          <w:szCs w:val="22"/>
        </w:rPr>
        <w:t>onsidered that t</w:t>
      </w:r>
      <w:r w:rsidR="00A0711C" w:rsidRPr="006D66A4">
        <w:rPr>
          <w:rFonts w:ascii="Arial" w:hAnsi="Arial" w:cs="Arial"/>
          <w:sz w:val="22"/>
          <w:szCs w:val="22"/>
        </w:rPr>
        <w:t xml:space="preserve">hese assumptions </w:t>
      </w:r>
      <w:r w:rsidR="00474E04" w:rsidRPr="006D66A4">
        <w:rPr>
          <w:rFonts w:ascii="Arial" w:hAnsi="Arial" w:cs="Arial"/>
          <w:sz w:val="22"/>
          <w:szCs w:val="22"/>
        </w:rPr>
        <w:t xml:space="preserve">were </w:t>
      </w:r>
      <w:r w:rsidR="00A0711C" w:rsidRPr="006D66A4">
        <w:rPr>
          <w:rFonts w:ascii="Arial" w:hAnsi="Arial" w:cs="Arial"/>
          <w:sz w:val="22"/>
          <w:szCs w:val="22"/>
        </w:rPr>
        <w:t>not appropriately justified</w:t>
      </w:r>
      <w:r w:rsidR="008E29BD" w:rsidRPr="006D66A4">
        <w:rPr>
          <w:rFonts w:ascii="Arial" w:hAnsi="Arial" w:cs="Arial"/>
          <w:sz w:val="22"/>
          <w:szCs w:val="22"/>
        </w:rPr>
        <w:t>,</w:t>
      </w:r>
      <w:r w:rsidR="00646AB3" w:rsidRPr="006D66A4">
        <w:rPr>
          <w:rFonts w:ascii="Arial" w:hAnsi="Arial" w:cs="Arial"/>
          <w:sz w:val="22"/>
          <w:szCs w:val="22"/>
        </w:rPr>
        <w:t xml:space="preserve"> </w:t>
      </w:r>
      <w:r w:rsidR="006D3262" w:rsidRPr="006D66A4">
        <w:rPr>
          <w:rFonts w:ascii="Arial" w:hAnsi="Arial" w:cs="Arial"/>
          <w:sz w:val="22"/>
          <w:szCs w:val="22"/>
        </w:rPr>
        <w:t xml:space="preserve">it </w:t>
      </w:r>
      <w:r w:rsidR="008E29BD" w:rsidRPr="006D66A4">
        <w:rPr>
          <w:rFonts w:ascii="Arial" w:hAnsi="Arial"/>
          <w:sz w:val="22"/>
          <w:szCs w:val="22"/>
        </w:rPr>
        <w:t>accepted that</w:t>
      </w:r>
      <w:r w:rsidR="00897978" w:rsidRPr="006D66A4">
        <w:rPr>
          <w:rFonts w:ascii="Arial" w:hAnsi="Arial"/>
          <w:sz w:val="22"/>
          <w:szCs w:val="22"/>
        </w:rPr>
        <w:t xml:space="preserve"> under the </w:t>
      </w:r>
      <w:r w:rsidR="008A3EAC" w:rsidRPr="006D66A4">
        <w:rPr>
          <w:rFonts w:ascii="Arial" w:hAnsi="Arial"/>
          <w:sz w:val="22"/>
          <w:szCs w:val="22"/>
        </w:rPr>
        <w:t>proposed</w:t>
      </w:r>
      <w:r w:rsidR="008E29BD" w:rsidRPr="006D66A4">
        <w:rPr>
          <w:rFonts w:ascii="Arial" w:hAnsi="Arial"/>
          <w:sz w:val="22"/>
          <w:szCs w:val="22"/>
        </w:rPr>
        <w:t xml:space="preserve"> </w:t>
      </w:r>
      <w:r w:rsidR="008A3EAC" w:rsidRPr="006D66A4">
        <w:rPr>
          <w:rFonts w:ascii="Arial" w:hAnsi="Arial"/>
          <w:sz w:val="22"/>
          <w:szCs w:val="22"/>
        </w:rPr>
        <w:t xml:space="preserve">approach, </w:t>
      </w:r>
      <w:r w:rsidR="008E29BD" w:rsidRPr="006D66A4">
        <w:rPr>
          <w:rFonts w:ascii="Arial" w:hAnsi="Arial"/>
          <w:sz w:val="22"/>
          <w:szCs w:val="22"/>
        </w:rPr>
        <w:t xml:space="preserve">the listing of the FDC would be associated with both benefits and cost savings for patients who are already using individual LAMA and LABA in separate devices. </w:t>
      </w:r>
    </w:p>
    <w:p w:rsidR="00646AB3" w:rsidRDefault="00646AB3" w:rsidP="00A22ECD">
      <w:pPr>
        <w:pStyle w:val="ListParagraph"/>
        <w:ind w:left="709"/>
        <w:jc w:val="both"/>
        <w:rPr>
          <w:rFonts w:ascii="Arial" w:hAnsi="Arial"/>
          <w:sz w:val="22"/>
          <w:szCs w:val="22"/>
        </w:rPr>
      </w:pPr>
    </w:p>
    <w:p w:rsidR="00646AB3" w:rsidRPr="006D66A4" w:rsidRDefault="00646AB3" w:rsidP="006D66A4">
      <w:pPr>
        <w:pStyle w:val="ListParagraph"/>
        <w:numPr>
          <w:ilvl w:val="1"/>
          <w:numId w:val="25"/>
        </w:numPr>
        <w:jc w:val="both"/>
        <w:rPr>
          <w:rFonts w:ascii="Arial" w:hAnsi="Arial"/>
          <w:sz w:val="22"/>
          <w:szCs w:val="22"/>
        </w:rPr>
      </w:pPr>
      <w:r w:rsidRPr="006D66A4">
        <w:rPr>
          <w:rFonts w:ascii="Arial" w:hAnsi="Arial"/>
          <w:sz w:val="22"/>
          <w:szCs w:val="22"/>
        </w:rPr>
        <w:t>The PBAC further noted that while improvement in FEV</w:t>
      </w:r>
      <w:r w:rsidRPr="006D66A4">
        <w:rPr>
          <w:rFonts w:ascii="Arial" w:hAnsi="Arial"/>
          <w:sz w:val="22"/>
          <w:szCs w:val="22"/>
          <w:vertAlign w:val="subscript"/>
        </w:rPr>
        <w:t>1</w:t>
      </w:r>
      <w:r w:rsidRPr="006D66A4">
        <w:rPr>
          <w:rFonts w:ascii="Arial" w:hAnsi="Arial"/>
          <w:sz w:val="22"/>
          <w:szCs w:val="22"/>
        </w:rPr>
        <w:t xml:space="preserve"> has previously been accepted as a surrogate outcome in the treatment of COPD, they were concerned that this may not translate into clinically meaningful benefits to the patient.  The PBAC noted that reduction in exacerbations and hospitalisations are outcomes that could potentially be used to measure effectiveness of COPD therapies.</w:t>
      </w:r>
    </w:p>
    <w:p w:rsidR="008E29BD" w:rsidRDefault="008E29BD" w:rsidP="00A22ECD">
      <w:pPr>
        <w:pStyle w:val="ListParagraph"/>
        <w:ind w:left="709"/>
        <w:jc w:val="both"/>
        <w:rPr>
          <w:rFonts w:ascii="Arial" w:hAnsi="Arial"/>
          <w:sz w:val="22"/>
          <w:szCs w:val="22"/>
        </w:rPr>
      </w:pPr>
    </w:p>
    <w:p w:rsidR="008E29BD" w:rsidRPr="006D66A4" w:rsidRDefault="008E29BD"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w:t>
      </w:r>
      <w:r w:rsidR="00646AB3" w:rsidRPr="006D66A4">
        <w:rPr>
          <w:rFonts w:ascii="Arial" w:hAnsi="Arial"/>
          <w:sz w:val="22"/>
          <w:szCs w:val="22"/>
        </w:rPr>
        <w:t>recalled</w:t>
      </w:r>
      <w:r w:rsidRPr="006D66A4">
        <w:rPr>
          <w:rFonts w:ascii="Arial" w:hAnsi="Arial"/>
          <w:sz w:val="22"/>
          <w:szCs w:val="22"/>
        </w:rPr>
        <w:t xml:space="preserve"> that in March 2014, </w:t>
      </w:r>
      <w:proofErr w:type="spellStart"/>
      <w:r w:rsidRPr="006D66A4">
        <w:rPr>
          <w:rFonts w:ascii="Arial" w:hAnsi="Arial"/>
          <w:sz w:val="22"/>
          <w:szCs w:val="22"/>
        </w:rPr>
        <w:t>aclidinium</w:t>
      </w:r>
      <w:proofErr w:type="spellEnd"/>
      <w:r w:rsidRPr="006D66A4">
        <w:rPr>
          <w:rFonts w:ascii="Arial" w:hAnsi="Arial"/>
          <w:sz w:val="22"/>
          <w:szCs w:val="22"/>
        </w:rPr>
        <w:t xml:space="preserve"> (a LAMA)</w:t>
      </w:r>
      <w:r w:rsidR="008A3EAC" w:rsidRPr="006D66A4">
        <w:rPr>
          <w:rFonts w:ascii="Arial" w:hAnsi="Arial"/>
          <w:sz w:val="22"/>
          <w:szCs w:val="22"/>
        </w:rPr>
        <w:t>,</w:t>
      </w:r>
      <w:r w:rsidRPr="006D66A4">
        <w:rPr>
          <w:rFonts w:ascii="Arial" w:hAnsi="Arial"/>
          <w:sz w:val="22"/>
          <w:szCs w:val="22"/>
        </w:rPr>
        <w:t xml:space="preserve"> was rec</w:t>
      </w:r>
      <w:r w:rsidR="00646AB3" w:rsidRPr="006D66A4">
        <w:rPr>
          <w:rFonts w:ascii="Arial" w:hAnsi="Arial"/>
          <w:sz w:val="22"/>
          <w:szCs w:val="22"/>
        </w:rPr>
        <w:t>ommended for listing on the PBS</w:t>
      </w:r>
      <w:r w:rsidRPr="006D66A4">
        <w:rPr>
          <w:rFonts w:ascii="Arial" w:hAnsi="Arial"/>
          <w:sz w:val="22"/>
          <w:szCs w:val="22"/>
        </w:rPr>
        <w:t xml:space="preserve"> at the lower price requested by the sponsor. The PBAC noted that</w:t>
      </w:r>
      <w:r w:rsidR="00646AB3" w:rsidRPr="006D66A4">
        <w:rPr>
          <w:rFonts w:ascii="Arial" w:hAnsi="Arial"/>
          <w:sz w:val="22"/>
          <w:szCs w:val="22"/>
        </w:rPr>
        <w:t xml:space="preserve"> the Department’s advice at the </w:t>
      </w:r>
      <w:r w:rsidRPr="006D66A4">
        <w:rPr>
          <w:rFonts w:ascii="Arial" w:hAnsi="Arial"/>
          <w:sz w:val="22"/>
          <w:szCs w:val="22"/>
        </w:rPr>
        <w:t xml:space="preserve">meeting that the Minister (through his Delegate) intends to declare </w:t>
      </w:r>
      <w:proofErr w:type="spellStart"/>
      <w:r w:rsidRPr="006D66A4">
        <w:rPr>
          <w:rFonts w:ascii="Arial" w:hAnsi="Arial"/>
          <w:sz w:val="22"/>
          <w:szCs w:val="22"/>
        </w:rPr>
        <w:t>aclidinium</w:t>
      </w:r>
      <w:proofErr w:type="spellEnd"/>
      <w:r w:rsidRPr="006D66A4">
        <w:rPr>
          <w:rFonts w:ascii="Arial" w:hAnsi="Arial"/>
          <w:sz w:val="22"/>
          <w:szCs w:val="22"/>
        </w:rPr>
        <w:t xml:space="preserve"> as a pharmaceutical benefit under section 85(2) of the </w:t>
      </w:r>
      <w:r w:rsidRPr="006D66A4">
        <w:rPr>
          <w:rFonts w:ascii="Arial" w:hAnsi="Arial"/>
          <w:i/>
          <w:sz w:val="22"/>
          <w:szCs w:val="22"/>
        </w:rPr>
        <w:t>National Health Act 1953</w:t>
      </w:r>
      <w:r w:rsidRPr="006D66A4">
        <w:rPr>
          <w:rFonts w:ascii="Arial" w:hAnsi="Arial"/>
          <w:sz w:val="22"/>
          <w:szCs w:val="22"/>
        </w:rPr>
        <w:t xml:space="preserve"> and that the PBS listing will proceed with the lower price</w:t>
      </w:r>
      <w:r w:rsidR="005827E0" w:rsidRPr="006D66A4">
        <w:rPr>
          <w:rFonts w:ascii="Arial" w:hAnsi="Arial"/>
          <w:sz w:val="22"/>
          <w:szCs w:val="22"/>
        </w:rPr>
        <w:t xml:space="preserve">.  As the main comparators in this submission, </w:t>
      </w:r>
      <w:proofErr w:type="spellStart"/>
      <w:r w:rsidR="005827E0" w:rsidRPr="006D66A4">
        <w:rPr>
          <w:rFonts w:ascii="Arial" w:hAnsi="Arial"/>
          <w:sz w:val="22"/>
          <w:szCs w:val="22"/>
        </w:rPr>
        <w:t>indacaterol</w:t>
      </w:r>
      <w:proofErr w:type="spellEnd"/>
      <w:r w:rsidR="005827E0" w:rsidRPr="006D66A4">
        <w:rPr>
          <w:rFonts w:ascii="Arial" w:hAnsi="Arial"/>
          <w:sz w:val="22"/>
          <w:szCs w:val="22"/>
        </w:rPr>
        <w:t xml:space="preserve"> and </w:t>
      </w:r>
      <w:proofErr w:type="spellStart"/>
      <w:r w:rsidR="005827E0" w:rsidRPr="006D66A4">
        <w:rPr>
          <w:rFonts w:ascii="Arial" w:hAnsi="Arial"/>
          <w:sz w:val="22"/>
          <w:szCs w:val="22"/>
        </w:rPr>
        <w:t>tiot</w:t>
      </w:r>
      <w:r w:rsidR="00897978" w:rsidRPr="006D66A4">
        <w:rPr>
          <w:rFonts w:ascii="Arial" w:hAnsi="Arial"/>
          <w:sz w:val="22"/>
          <w:szCs w:val="22"/>
        </w:rPr>
        <w:t>ropium</w:t>
      </w:r>
      <w:proofErr w:type="spellEnd"/>
      <w:r w:rsidR="00897978" w:rsidRPr="006D66A4">
        <w:rPr>
          <w:rFonts w:ascii="Arial" w:hAnsi="Arial"/>
          <w:sz w:val="22"/>
          <w:szCs w:val="22"/>
        </w:rPr>
        <w:t xml:space="preserve"> are cost-minimised to </w:t>
      </w:r>
      <w:proofErr w:type="spellStart"/>
      <w:r w:rsidR="00897978" w:rsidRPr="006D66A4">
        <w:rPr>
          <w:rFonts w:ascii="Arial" w:hAnsi="Arial"/>
          <w:sz w:val="22"/>
          <w:szCs w:val="22"/>
        </w:rPr>
        <w:t>acl</w:t>
      </w:r>
      <w:r w:rsidR="005827E0" w:rsidRPr="006D66A4">
        <w:rPr>
          <w:rFonts w:ascii="Arial" w:hAnsi="Arial"/>
          <w:sz w:val="22"/>
          <w:szCs w:val="22"/>
        </w:rPr>
        <w:t>idinium</w:t>
      </w:r>
      <w:proofErr w:type="spellEnd"/>
      <w:r w:rsidR="005827E0" w:rsidRPr="006D66A4">
        <w:rPr>
          <w:rFonts w:ascii="Arial" w:hAnsi="Arial"/>
          <w:sz w:val="22"/>
          <w:szCs w:val="22"/>
        </w:rPr>
        <w:t xml:space="preserve"> (the former via </w:t>
      </w:r>
      <w:proofErr w:type="spellStart"/>
      <w:r w:rsidR="005827E0" w:rsidRPr="006D66A4">
        <w:rPr>
          <w:rFonts w:ascii="Arial" w:hAnsi="Arial"/>
          <w:sz w:val="22"/>
          <w:szCs w:val="22"/>
        </w:rPr>
        <w:t>tiotropium</w:t>
      </w:r>
      <w:proofErr w:type="spellEnd"/>
      <w:r w:rsidR="005827E0" w:rsidRPr="006D66A4">
        <w:rPr>
          <w:rFonts w:ascii="Arial" w:hAnsi="Arial"/>
          <w:sz w:val="22"/>
          <w:szCs w:val="22"/>
        </w:rPr>
        <w:t>)</w:t>
      </w:r>
      <w:proofErr w:type="gramStart"/>
      <w:r w:rsidR="008A3EAC" w:rsidRPr="006D66A4">
        <w:rPr>
          <w:rFonts w:ascii="Arial" w:hAnsi="Arial"/>
          <w:sz w:val="22"/>
          <w:szCs w:val="22"/>
        </w:rPr>
        <w:t>,</w:t>
      </w:r>
      <w:proofErr w:type="gramEnd"/>
      <w:r w:rsidR="005827E0" w:rsidRPr="006D66A4">
        <w:rPr>
          <w:rFonts w:ascii="Arial" w:hAnsi="Arial"/>
          <w:sz w:val="22"/>
          <w:szCs w:val="22"/>
        </w:rPr>
        <w:t xml:space="preserve"> </w:t>
      </w:r>
      <w:r w:rsidR="00646AB3" w:rsidRPr="006D66A4">
        <w:rPr>
          <w:rFonts w:ascii="Arial" w:hAnsi="Arial"/>
          <w:sz w:val="22"/>
          <w:szCs w:val="22"/>
        </w:rPr>
        <w:t xml:space="preserve">the PBAC considered </w:t>
      </w:r>
      <w:r w:rsidR="005827E0" w:rsidRPr="006D66A4">
        <w:rPr>
          <w:rFonts w:ascii="Arial" w:hAnsi="Arial"/>
          <w:sz w:val="22"/>
          <w:szCs w:val="22"/>
        </w:rPr>
        <w:t xml:space="preserve">it is appropriate for the new lower </w:t>
      </w:r>
      <w:proofErr w:type="spellStart"/>
      <w:r w:rsidR="005827E0" w:rsidRPr="006D66A4">
        <w:rPr>
          <w:rFonts w:ascii="Arial" w:hAnsi="Arial"/>
          <w:sz w:val="22"/>
          <w:szCs w:val="22"/>
        </w:rPr>
        <w:t>aclidinium</w:t>
      </w:r>
      <w:proofErr w:type="spellEnd"/>
      <w:r w:rsidR="005827E0" w:rsidRPr="006D66A4">
        <w:rPr>
          <w:rFonts w:ascii="Arial" w:hAnsi="Arial"/>
          <w:sz w:val="22"/>
          <w:szCs w:val="22"/>
        </w:rPr>
        <w:t xml:space="preserve"> price to be used in </w:t>
      </w:r>
      <w:r w:rsidR="008A3EAC" w:rsidRPr="006D66A4">
        <w:rPr>
          <w:rFonts w:ascii="Arial" w:hAnsi="Arial"/>
          <w:sz w:val="22"/>
          <w:szCs w:val="22"/>
        </w:rPr>
        <w:t>calculating the</w:t>
      </w:r>
      <w:r w:rsidR="005827E0" w:rsidRPr="006D66A4">
        <w:rPr>
          <w:rFonts w:ascii="Arial" w:hAnsi="Arial"/>
          <w:sz w:val="22"/>
          <w:szCs w:val="22"/>
        </w:rPr>
        <w:t xml:space="preserve"> price for </w:t>
      </w:r>
      <w:proofErr w:type="spellStart"/>
      <w:r w:rsidR="005827E0" w:rsidRPr="006D66A4">
        <w:rPr>
          <w:rFonts w:ascii="Arial" w:hAnsi="Arial"/>
          <w:sz w:val="22"/>
          <w:szCs w:val="22"/>
        </w:rPr>
        <w:t>umeclidinium</w:t>
      </w:r>
      <w:proofErr w:type="spellEnd"/>
      <w:r w:rsidR="005827E0" w:rsidRPr="006D66A4">
        <w:rPr>
          <w:rFonts w:ascii="Arial" w:hAnsi="Arial"/>
          <w:sz w:val="22"/>
          <w:szCs w:val="22"/>
        </w:rPr>
        <w:t>/</w:t>
      </w:r>
      <w:proofErr w:type="spellStart"/>
      <w:r w:rsidR="005827E0" w:rsidRPr="006D66A4">
        <w:rPr>
          <w:rFonts w:ascii="Arial" w:hAnsi="Arial"/>
          <w:sz w:val="22"/>
          <w:szCs w:val="22"/>
        </w:rPr>
        <w:t>vilanterol</w:t>
      </w:r>
      <w:proofErr w:type="spellEnd"/>
      <w:r w:rsidR="008A3EAC" w:rsidRPr="006D66A4">
        <w:rPr>
          <w:rFonts w:ascii="Arial" w:hAnsi="Arial"/>
          <w:sz w:val="22"/>
          <w:szCs w:val="22"/>
        </w:rPr>
        <w:t>.</w:t>
      </w:r>
      <w:r w:rsidR="00646AB3" w:rsidRPr="006D66A4">
        <w:rPr>
          <w:rFonts w:ascii="Arial" w:hAnsi="Arial"/>
          <w:sz w:val="22"/>
          <w:szCs w:val="22"/>
        </w:rPr>
        <w:t xml:space="preserve">  </w:t>
      </w:r>
      <w:r w:rsidR="008A3EAC" w:rsidRPr="006D66A4">
        <w:rPr>
          <w:rFonts w:ascii="Arial" w:hAnsi="Arial"/>
          <w:sz w:val="22"/>
          <w:szCs w:val="22"/>
        </w:rPr>
        <w:t xml:space="preserve"> </w:t>
      </w:r>
    </w:p>
    <w:p w:rsidR="008A3EAC" w:rsidRDefault="008A3EAC" w:rsidP="00897978">
      <w:pPr>
        <w:pStyle w:val="ListParagraph"/>
        <w:rPr>
          <w:rFonts w:ascii="Arial" w:hAnsi="Arial"/>
          <w:sz w:val="22"/>
          <w:szCs w:val="22"/>
        </w:rPr>
      </w:pPr>
    </w:p>
    <w:p w:rsidR="0064015E" w:rsidRDefault="0064015E" w:rsidP="0064015E">
      <w:pPr>
        <w:pStyle w:val="ListParagraph"/>
        <w:ind w:left="360" w:firstLine="349"/>
        <w:jc w:val="both"/>
        <w:rPr>
          <w:rFonts w:ascii="Arial" w:hAnsi="Arial"/>
          <w:i/>
          <w:sz w:val="22"/>
          <w:szCs w:val="22"/>
        </w:rPr>
      </w:pPr>
      <w:r>
        <w:rPr>
          <w:rFonts w:ascii="Arial" w:hAnsi="Arial"/>
          <w:i/>
          <w:sz w:val="22"/>
          <w:szCs w:val="22"/>
        </w:rPr>
        <w:t>For more detail on PBAC’s view, see section 7 “PBAC outcome”</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BB7EC3" w:rsidRPr="006D66A4" w:rsidRDefault="00D77212" w:rsidP="006D66A4">
      <w:pPr>
        <w:pStyle w:val="ListParagraph"/>
        <w:numPr>
          <w:ilvl w:val="1"/>
          <w:numId w:val="25"/>
        </w:numPr>
        <w:jc w:val="both"/>
        <w:rPr>
          <w:rFonts w:ascii="Arial" w:hAnsi="Arial"/>
          <w:sz w:val="22"/>
          <w:szCs w:val="22"/>
        </w:rPr>
      </w:pPr>
      <w:r w:rsidRPr="006D66A4">
        <w:rPr>
          <w:rFonts w:ascii="Arial" w:hAnsi="Arial"/>
          <w:sz w:val="22"/>
          <w:szCs w:val="22"/>
        </w:rPr>
        <w:t>The submission did not present a new economic model.</w:t>
      </w:r>
    </w:p>
    <w:p w:rsidR="005963BB" w:rsidRPr="00882085" w:rsidRDefault="005963BB" w:rsidP="006B12FF">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A0711C" w:rsidRPr="006D66A4" w:rsidRDefault="00DC7564" w:rsidP="006D66A4">
      <w:pPr>
        <w:pStyle w:val="ListParagraph"/>
        <w:numPr>
          <w:ilvl w:val="1"/>
          <w:numId w:val="25"/>
        </w:numPr>
        <w:jc w:val="both"/>
        <w:rPr>
          <w:rFonts w:ascii="Arial" w:hAnsi="Arial"/>
          <w:sz w:val="22"/>
          <w:szCs w:val="22"/>
        </w:rPr>
      </w:pPr>
      <w:r w:rsidRPr="006D66A4">
        <w:rPr>
          <w:rFonts w:ascii="Arial" w:hAnsi="Arial" w:cs="Arial"/>
          <w:sz w:val="22"/>
          <w:szCs w:val="22"/>
        </w:rPr>
        <w:t xml:space="preserve">The PBAC noted the DUSC’s concern over the likelihood </w:t>
      </w:r>
      <w:r w:rsidR="00A0711C" w:rsidRPr="006D66A4">
        <w:rPr>
          <w:rFonts w:ascii="Arial" w:hAnsi="Arial" w:cs="Arial"/>
          <w:sz w:val="22"/>
          <w:szCs w:val="22"/>
        </w:rPr>
        <w:t xml:space="preserve">that the introduction of a fixed dose combination (FDC) could grow the overall market and that patients could be initiated on the combination earlier than clinically appropriate without the adequate titration of individual components. </w:t>
      </w:r>
      <w:r w:rsidR="00A0711C" w:rsidRPr="006D66A4">
        <w:rPr>
          <w:rFonts w:ascii="Arial" w:hAnsi="Arial" w:cs="Arial"/>
          <w:color w:val="000000"/>
          <w:sz w:val="22"/>
          <w:szCs w:val="20"/>
        </w:rPr>
        <w:t xml:space="preserve">DUSC has noted emerging trends with some FDC products, such as a higher proportion of patients commencing de novo and FDCs increasing the market rather than substituting within current markets (DUSC Outcome Statement February 2013). </w:t>
      </w:r>
    </w:p>
    <w:p w:rsidR="00A0711C" w:rsidRDefault="00A0711C" w:rsidP="006B12FF">
      <w:pPr>
        <w:jc w:val="both"/>
        <w:rPr>
          <w:rFonts w:ascii="Arial" w:hAnsi="Arial"/>
          <w:sz w:val="22"/>
          <w:szCs w:val="22"/>
        </w:rPr>
      </w:pPr>
    </w:p>
    <w:p w:rsidR="00A0711C" w:rsidRPr="00D15601" w:rsidRDefault="00A0711C" w:rsidP="00D15601">
      <w:pPr>
        <w:pStyle w:val="ListParagraph"/>
        <w:numPr>
          <w:ilvl w:val="1"/>
          <w:numId w:val="25"/>
        </w:numPr>
        <w:jc w:val="both"/>
        <w:rPr>
          <w:rFonts w:ascii="Arial" w:hAnsi="Arial"/>
          <w:sz w:val="22"/>
          <w:szCs w:val="22"/>
        </w:rPr>
      </w:pPr>
      <w:r w:rsidRPr="006D66A4">
        <w:rPr>
          <w:rFonts w:ascii="Arial" w:hAnsi="Arial" w:cs="Arial"/>
          <w:sz w:val="22"/>
          <w:szCs w:val="22"/>
        </w:rPr>
        <w:lastRenderedPageBreak/>
        <w:t>In March 2014, the PBAC considered that a risk sharing arrangement would be required to manage the risk associated with higher than estimated usage and cost however no details have been proposed by the sponsor</w:t>
      </w:r>
      <w:r w:rsidR="00D15601" w:rsidRPr="006D66A4">
        <w:rPr>
          <w:rFonts w:ascii="Arial" w:hAnsi="Arial" w:cs="Arial"/>
          <w:sz w:val="22"/>
          <w:szCs w:val="22"/>
        </w:rPr>
        <w:t xml:space="preserve">. </w:t>
      </w:r>
      <w:r w:rsidR="00E60195">
        <w:rPr>
          <w:rFonts w:ascii="Arial" w:hAnsi="Arial" w:cs="Arial"/>
          <w:sz w:val="22"/>
          <w:szCs w:val="22"/>
        </w:rPr>
        <w:t xml:space="preserve"> </w:t>
      </w:r>
    </w:p>
    <w:p w:rsidR="00BB7EC3" w:rsidRPr="0069520F" w:rsidRDefault="00BB7EC3" w:rsidP="0069520F">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6D66A4" w:rsidRPr="00882085" w:rsidRDefault="006D66A4" w:rsidP="00882085">
      <w:pPr>
        <w:jc w:val="both"/>
        <w:rPr>
          <w:rFonts w:ascii="Arial" w:hAnsi="Arial"/>
          <w:b/>
          <w:sz w:val="22"/>
          <w:szCs w:val="22"/>
        </w:rPr>
      </w:pPr>
    </w:p>
    <w:p w:rsidR="006D66A4" w:rsidRPr="00407F2D" w:rsidRDefault="006D66A4" w:rsidP="006D66A4">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B43E90" w:rsidRDefault="00B43E90" w:rsidP="00882085">
      <w:pPr>
        <w:jc w:val="both"/>
        <w:rPr>
          <w:rFonts w:ascii="Arial" w:hAnsi="Arial"/>
          <w:b/>
          <w:sz w:val="22"/>
          <w:szCs w:val="22"/>
        </w:rPr>
      </w:pPr>
    </w:p>
    <w:p w:rsidR="00C81122" w:rsidRPr="006D66A4" w:rsidRDefault="00BB7EC3"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recommended the listing of </w:t>
      </w:r>
      <w:r w:rsidR="00DC7564" w:rsidRPr="006D66A4">
        <w:rPr>
          <w:rFonts w:ascii="Arial" w:hAnsi="Arial" w:cs="Arial"/>
          <w:sz w:val="22"/>
          <w:szCs w:val="22"/>
        </w:rPr>
        <w:t>UMEC/VI</w:t>
      </w:r>
      <w:r w:rsidR="00A0711C" w:rsidRPr="006D66A4">
        <w:rPr>
          <w:rFonts w:ascii="Arial" w:hAnsi="Arial"/>
          <w:sz w:val="22"/>
          <w:szCs w:val="22"/>
        </w:rPr>
        <w:t xml:space="preserve"> as</w:t>
      </w:r>
      <w:r w:rsidR="00C81122" w:rsidRPr="006D66A4">
        <w:rPr>
          <w:rFonts w:ascii="Arial" w:hAnsi="Arial"/>
          <w:sz w:val="22"/>
          <w:szCs w:val="22"/>
        </w:rPr>
        <w:t xml:space="preserve"> an Authority required (S</w:t>
      </w:r>
      <w:r w:rsidR="00A56007" w:rsidRPr="006D66A4">
        <w:rPr>
          <w:rFonts w:ascii="Arial" w:hAnsi="Arial"/>
          <w:sz w:val="22"/>
          <w:szCs w:val="22"/>
        </w:rPr>
        <w:t>TREAMLINED) benefit for the treatment of chronic obstructive pulmonary disease for patients already stabilised on concomitant LAMA and LABA therapy</w:t>
      </w:r>
      <w:r w:rsidRPr="006D66A4">
        <w:rPr>
          <w:rFonts w:ascii="Arial" w:hAnsi="Arial"/>
          <w:sz w:val="22"/>
          <w:szCs w:val="22"/>
        </w:rPr>
        <w:t xml:space="preserve">.  </w:t>
      </w:r>
    </w:p>
    <w:p w:rsidR="00C6310B" w:rsidRDefault="00C6310B" w:rsidP="00897978">
      <w:pPr>
        <w:pStyle w:val="ListParagraph"/>
        <w:ind w:left="709"/>
        <w:jc w:val="both"/>
        <w:rPr>
          <w:rFonts w:ascii="Arial" w:hAnsi="Arial"/>
          <w:sz w:val="22"/>
          <w:szCs w:val="22"/>
        </w:rPr>
      </w:pPr>
    </w:p>
    <w:p w:rsidR="00C6310B" w:rsidRPr="006D66A4" w:rsidRDefault="00C6310B"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considered, amongst other matters, </w:t>
      </w:r>
      <w:r w:rsidR="00897978" w:rsidRPr="006D66A4">
        <w:rPr>
          <w:rFonts w:ascii="Arial" w:hAnsi="Arial"/>
          <w:sz w:val="22"/>
          <w:szCs w:val="22"/>
        </w:rPr>
        <w:t>that the cost-effectiveness of U</w:t>
      </w:r>
      <w:r w:rsidRPr="006D66A4">
        <w:rPr>
          <w:rFonts w:ascii="Arial" w:hAnsi="Arial"/>
          <w:sz w:val="22"/>
          <w:szCs w:val="22"/>
        </w:rPr>
        <w:t>MEC/VI would be acceptable if it were priced using the methodology proposed by the submission</w:t>
      </w:r>
      <w:r w:rsidR="0078648D" w:rsidRPr="006D66A4">
        <w:rPr>
          <w:rFonts w:ascii="Arial" w:hAnsi="Arial"/>
          <w:sz w:val="22"/>
          <w:szCs w:val="22"/>
        </w:rPr>
        <w:t xml:space="preserve"> </w:t>
      </w:r>
      <w:r w:rsidR="00781254" w:rsidRPr="006D66A4">
        <w:rPr>
          <w:rFonts w:ascii="Arial" w:hAnsi="Arial"/>
          <w:sz w:val="22"/>
          <w:szCs w:val="22"/>
        </w:rPr>
        <w:t xml:space="preserve">(see Section 6) </w:t>
      </w:r>
      <w:r w:rsidR="0078648D" w:rsidRPr="006D66A4">
        <w:rPr>
          <w:rFonts w:ascii="Arial" w:hAnsi="Arial"/>
          <w:sz w:val="22"/>
          <w:szCs w:val="22"/>
        </w:rPr>
        <w:t xml:space="preserve">but </w:t>
      </w:r>
      <w:r w:rsidR="006D3262" w:rsidRPr="006D66A4">
        <w:rPr>
          <w:rFonts w:ascii="Arial" w:hAnsi="Arial"/>
          <w:sz w:val="22"/>
          <w:szCs w:val="22"/>
        </w:rPr>
        <w:t xml:space="preserve">with the calculation </w:t>
      </w:r>
      <w:r w:rsidR="0078648D" w:rsidRPr="006D66A4">
        <w:rPr>
          <w:rFonts w:ascii="Arial" w:hAnsi="Arial"/>
          <w:sz w:val="22"/>
          <w:szCs w:val="22"/>
        </w:rPr>
        <w:t>based on</w:t>
      </w:r>
      <w:r w:rsidRPr="006D66A4">
        <w:rPr>
          <w:rFonts w:ascii="Arial" w:hAnsi="Arial"/>
          <w:sz w:val="22"/>
          <w:szCs w:val="22"/>
        </w:rPr>
        <w:t xml:space="preserve"> the new lower </w:t>
      </w:r>
      <w:proofErr w:type="spellStart"/>
      <w:r w:rsidRPr="006D66A4">
        <w:rPr>
          <w:rFonts w:ascii="Arial" w:hAnsi="Arial"/>
          <w:sz w:val="22"/>
          <w:szCs w:val="22"/>
        </w:rPr>
        <w:t>aclidinium</w:t>
      </w:r>
      <w:proofErr w:type="spellEnd"/>
      <w:r w:rsidRPr="006D66A4">
        <w:rPr>
          <w:rFonts w:ascii="Arial" w:hAnsi="Arial"/>
          <w:sz w:val="22"/>
          <w:szCs w:val="22"/>
        </w:rPr>
        <w:t xml:space="preserve"> price</w:t>
      </w:r>
      <w:r w:rsidR="0078648D" w:rsidRPr="006D66A4">
        <w:rPr>
          <w:rFonts w:ascii="Arial" w:hAnsi="Arial"/>
          <w:sz w:val="22"/>
          <w:szCs w:val="22"/>
        </w:rPr>
        <w:t xml:space="preserve"> in place of the current </w:t>
      </w:r>
      <w:proofErr w:type="spellStart"/>
      <w:r w:rsidR="0078648D" w:rsidRPr="006D66A4">
        <w:rPr>
          <w:rFonts w:ascii="Arial" w:hAnsi="Arial"/>
          <w:sz w:val="22"/>
          <w:szCs w:val="22"/>
        </w:rPr>
        <w:t>tiotropium</w:t>
      </w:r>
      <w:proofErr w:type="spellEnd"/>
      <w:r w:rsidR="0078648D" w:rsidRPr="006D66A4">
        <w:rPr>
          <w:rFonts w:ascii="Arial" w:hAnsi="Arial"/>
          <w:sz w:val="22"/>
          <w:szCs w:val="22"/>
        </w:rPr>
        <w:t xml:space="preserve"> price</w:t>
      </w:r>
      <w:r w:rsidR="006D3262" w:rsidRPr="006D66A4">
        <w:rPr>
          <w:rFonts w:ascii="Arial" w:hAnsi="Arial"/>
          <w:sz w:val="22"/>
          <w:szCs w:val="22"/>
        </w:rPr>
        <w:t xml:space="preserve"> as proposed.</w:t>
      </w:r>
      <w:r w:rsidR="0078648D" w:rsidRPr="006D66A4">
        <w:rPr>
          <w:rFonts w:ascii="Arial" w:hAnsi="Arial"/>
          <w:sz w:val="22"/>
          <w:szCs w:val="22"/>
        </w:rPr>
        <w:t xml:space="preserve">  </w:t>
      </w:r>
      <w:r w:rsidRPr="006D66A4">
        <w:rPr>
          <w:rFonts w:ascii="Arial" w:hAnsi="Arial"/>
          <w:sz w:val="22"/>
          <w:szCs w:val="22"/>
        </w:rPr>
        <w:t xml:space="preserve"> </w:t>
      </w:r>
    </w:p>
    <w:p w:rsidR="00C81122" w:rsidRDefault="00C81122" w:rsidP="00C81122">
      <w:pPr>
        <w:pStyle w:val="ListParagraph"/>
        <w:ind w:left="709"/>
        <w:jc w:val="both"/>
        <w:rPr>
          <w:rFonts w:ascii="Arial" w:hAnsi="Arial"/>
          <w:sz w:val="22"/>
          <w:szCs w:val="22"/>
        </w:rPr>
      </w:pPr>
    </w:p>
    <w:p w:rsidR="00C81122" w:rsidRPr="006D66A4" w:rsidRDefault="00C81122" w:rsidP="006D66A4">
      <w:pPr>
        <w:pStyle w:val="ListParagraph"/>
        <w:numPr>
          <w:ilvl w:val="1"/>
          <w:numId w:val="25"/>
        </w:numPr>
        <w:jc w:val="both"/>
        <w:rPr>
          <w:rFonts w:ascii="Arial" w:hAnsi="Arial"/>
          <w:sz w:val="22"/>
          <w:szCs w:val="22"/>
        </w:rPr>
      </w:pPr>
      <w:r w:rsidRPr="006D66A4">
        <w:rPr>
          <w:rFonts w:ascii="Arial" w:hAnsi="Arial"/>
          <w:sz w:val="22"/>
          <w:szCs w:val="22"/>
        </w:rPr>
        <w:t xml:space="preserve">While other treatments for COPD are currently listed as </w:t>
      </w:r>
      <w:r w:rsidR="00DC7564" w:rsidRPr="006D66A4">
        <w:rPr>
          <w:rFonts w:ascii="Arial" w:hAnsi="Arial"/>
          <w:sz w:val="22"/>
          <w:szCs w:val="22"/>
        </w:rPr>
        <w:t>R</w:t>
      </w:r>
      <w:r w:rsidRPr="006D66A4">
        <w:rPr>
          <w:rFonts w:ascii="Arial" w:hAnsi="Arial"/>
          <w:sz w:val="22"/>
          <w:szCs w:val="22"/>
        </w:rPr>
        <w:t xml:space="preserve">estricted </w:t>
      </w:r>
      <w:r w:rsidR="00DC7564" w:rsidRPr="006D66A4">
        <w:rPr>
          <w:rFonts w:ascii="Arial" w:hAnsi="Arial"/>
          <w:sz w:val="22"/>
          <w:szCs w:val="22"/>
        </w:rPr>
        <w:t>B</w:t>
      </w:r>
      <w:r w:rsidRPr="006D66A4">
        <w:rPr>
          <w:rFonts w:ascii="Arial" w:hAnsi="Arial"/>
          <w:sz w:val="22"/>
          <w:szCs w:val="22"/>
        </w:rPr>
        <w:t xml:space="preserve">enefits, the PBAC considered it would be appropriate for </w:t>
      </w:r>
      <w:r w:rsidR="00DC7564" w:rsidRPr="006D66A4">
        <w:rPr>
          <w:rFonts w:ascii="Arial" w:hAnsi="Arial" w:cs="Arial"/>
          <w:sz w:val="22"/>
          <w:szCs w:val="22"/>
        </w:rPr>
        <w:t>UMEC/VI</w:t>
      </w:r>
      <w:r w:rsidRPr="006D66A4">
        <w:rPr>
          <w:rFonts w:ascii="Arial" w:hAnsi="Arial"/>
          <w:sz w:val="22"/>
          <w:szCs w:val="22"/>
        </w:rPr>
        <w:t xml:space="preserve"> to be listed as </w:t>
      </w:r>
      <w:r w:rsidR="009C1258" w:rsidRPr="006D66A4">
        <w:rPr>
          <w:rFonts w:ascii="Arial" w:hAnsi="Arial"/>
          <w:sz w:val="22"/>
          <w:szCs w:val="22"/>
        </w:rPr>
        <w:t xml:space="preserve">Streamlined Authority </w:t>
      </w:r>
      <w:r w:rsidRPr="006D66A4">
        <w:rPr>
          <w:rFonts w:ascii="Arial" w:hAnsi="Arial"/>
          <w:sz w:val="22"/>
          <w:szCs w:val="22"/>
        </w:rPr>
        <w:t>as proposed by the sponsor in an attempt to address inappropriate prescribing of the product</w:t>
      </w:r>
      <w:r w:rsidR="008A3EAC" w:rsidRPr="006D66A4">
        <w:rPr>
          <w:rFonts w:ascii="Arial" w:hAnsi="Arial"/>
          <w:sz w:val="22"/>
          <w:szCs w:val="22"/>
        </w:rPr>
        <w:t xml:space="preserve">, particularly </w:t>
      </w:r>
      <w:r w:rsidR="00646AB3" w:rsidRPr="006D66A4">
        <w:rPr>
          <w:rFonts w:ascii="Arial" w:hAnsi="Arial"/>
          <w:sz w:val="22"/>
          <w:szCs w:val="22"/>
        </w:rPr>
        <w:t>in the first-line setting</w:t>
      </w:r>
      <w:r w:rsidRPr="006D66A4">
        <w:rPr>
          <w:rFonts w:ascii="Arial" w:hAnsi="Arial"/>
          <w:sz w:val="22"/>
          <w:szCs w:val="22"/>
        </w:rPr>
        <w:t>.</w:t>
      </w:r>
      <w:r w:rsidR="00A22ECD" w:rsidRPr="006D66A4">
        <w:rPr>
          <w:rFonts w:ascii="Arial" w:hAnsi="Arial"/>
          <w:sz w:val="22"/>
          <w:szCs w:val="22"/>
        </w:rPr>
        <w:t xml:space="preserve">  The PBAC noted that the sponsor had sought the advice of the Thoracic Society of Australia and New Zealand, which confirmed that initial treatment will be as monotherapy and patients are likely to be transitioned to FDC treatment only when clinically necessary.</w:t>
      </w:r>
    </w:p>
    <w:p w:rsidR="00C81122" w:rsidRPr="00C81122" w:rsidRDefault="00C81122" w:rsidP="00C81122">
      <w:pPr>
        <w:pStyle w:val="ListParagraph"/>
        <w:rPr>
          <w:rFonts w:ascii="Arial" w:hAnsi="Arial"/>
          <w:sz w:val="22"/>
          <w:szCs w:val="22"/>
        </w:rPr>
      </w:pPr>
    </w:p>
    <w:p w:rsidR="00897978" w:rsidRPr="006D66A4" w:rsidRDefault="00C81122" w:rsidP="006D66A4">
      <w:pPr>
        <w:pStyle w:val="ListParagraph"/>
        <w:numPr>
          <w:ilvl w:val="1"/>
          <w:numId w:val="25"/>
        </w:numPr>
        <w:jc w:val="both"/>
        <w:rPr>
          <w:rFonts w:ascii="Arial" w:hAnsi="Arial"/>
          <w:sz w:val="22"/>
          <w:szCs w:val="22"/>
        </w:rPr>
      </w:pPr>
      <w:r w:rsidRPr="006D66A4">
        <w:rPr>
          <w:rFonts w:ascii="Arial" w:hAnsi="Arial"/>
          <w:sz w:val="22"/>
          <w:szCs w:val="22"/>
        </w:rPr>
        <w:t>The PBAC noted that the primary concerns raised in the March 2014 submission were not adequately addressed in the resubmission as the incremental benefit of the combination product could not be translated into clinically relevant measures of effect. However, the Committee accepted that there are both benefits and cost savings for patients who are already using individual LAMA and LABA in separate devices.</w:t>
      </w:r>
    </w:p>
    <w:p w:rsidR="00897978" w:rsidRPr="00897978" w:rsidRDefault="00897978" w:rsidP="00897978">
      <w:pPr>
        <w:pStyle w:val="ListParagraph"/>
        <w:rPr>
          <w:rFonts w:ascii="Arial" w:hAnsi="Arial"/>
          <w:sz w:val="22"/>
          <w:szCs w:val="22"/>
        </w:rPr>
      </w:pPr>
    </w:p>
    <w:p w:rsidR="009C1258" w:rsidRPr="006D66A4" w:rsidRDefault="009C1258"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w:t>
      </w:r>
      <w:r w:rsidR="0078648D" w:rsidRPr="006D66A4">
        <w:rPr>
          <w:rFonts w:ascii="Arial" w:hAnsi="Arial"/>
          <w:sz w:val="22"/>
          <w:szCs w:val="22"/>
        </w:rPr>
        <w:t xml:space="preserve">clinically </w:t>
      </w:r>
      <w:proofErr w:type="spellStart"/>
      <w:r w:rsidRPr="006D66A4">
        <w:rPr>
          <w:rFonts w:ascii="Arial" w:hAnsi="Arial"/>
          <w:sz w:val="22"/>
          <w:szCs w:val="22"/>
        </w:rPr>
        <w:t>equi</w:t>
      </w:r>
      <w:proofErr w:type="spellEnd"/>
      <w:r w:rsidRPr="006D66A4">
        <w:rPr>
          <w:rFonts w:ascii="Arial" w:hAnsi="Arial"/>
          <w:sz w:val="22"/>
          <w:szCs w:val="22"/>
        </w:rPr>
        <w:t>-effective</w:t>
      </w:r>
      <w:r w:rsidR="0078648D" w:rsidRPr="006D66A4">
        <w:rPr>
          <w:rFonts w:ascii="Arial" w:hAnsi="Arial"/>
          <w:sz w:val="22"/>
          <w:szCs w:val="22"/>
        </w:rPr>
        <w:t xml:space="preserve"> </w:t>
      </w:r>
      <w:r w:rsidRPr="006D66A4">
        <w:rPr>
          <w:rFonts w:ascii="Arial" w:hAnsi="Arial"/>
          <w:sz w:val="22"/>
          <w:szCs w:val="22"/>
        </w:rPr>
        <w:t xml:space="preserve">doses </w:t>
      </w:r>
      <w:r w:rsidR="0078648D" w:rsidRPr="006D66A4">
        <w:rPr>
          <w:rFonts w:ascii="Arial" w:hAnsi="Arial"/>
          <w:sz w:val="22"/>
          <w:szCs w:val="22"/>
        </w:rPr>
        <w:t>are</w:t>
      </w:r>
      <w:r w:rsidRPr="006D66A4">
        <w:rPr>
          <w:rFonts w:ascii="Arial" w:hAnsi="Arial"/>
          <w:sz w:val="22"/>
          <w:szCs w:val="22"/>
        </w:rPr>
        <w:t xml:space="preserve"> </w:t>
      </w:r>
      <w:proofErr w:type="spellStart"/>
      <w:r w:rsidRPr="006D66A4">
        <w:rPr>
          <w:rFonts w:ascii="Arial" w:hAnsi="Arial"/>
          <w:sz w:val="22"/>
          <w:szCs w:val="22"/>
        </w:rPr>
        <w:t>umeclidinium</w:t>
      </w:r>
      <w:proofErr w:type="spellEnd"/>
      <w:r w:rsidRPr="006D66A4">
        <w:rPr>
          <w:rFonts w:ascii="Arial" w:hAnsi="Arial"/>
          <w:sz w:val="22"/>
          <w:szCs w:val="22"/>
        </w:rPr>
        <w:t>/</w:t>
      </w:r>
      <w:proofErr w:type="spellStart"/>
      <w:r w:rsidRPr="006D66A4">
        <w:rPr>
          <w:rFonts w:ascii="Arial" w:hAnsi="Arial"/>
          <w:sz w:val="22"/>
          <w:szCs w:val="22"/>
        </w:rPr>
        <w:t>vilanterol</w:t>
      </w:r>
      <w:proofErr w:type="spellEnd"/>
      <w:r w:rsidRPr="006D66A4">
        <w:rPr>
          <w:rFonts w:ascii="Arial" w:hAnsi="Arial"/>
          <w:sz w:val="22"/>
          <w:szCs w:val="22"/>
        </w:rPr>
        <w:t xml:space="preserve"> 62.5/25 </w:t>
      </w:r>
      <w:r w:rsidR="0078648D" w:rsidRPr="006D66A4">
        <w:rPr>
          <w:rFonts w:ascii="Arial" w:hAnsi="Arial"/>
          <w:sz w:val="22"/>
          <w:szCs w:val="22"/>
        </w:rPr>
        <w:t>to</w:t>
      </w:r>
      <w:r w:rsidRPr="006D66A4">
        <w:rPr>
          <w:rFonts w:ascii="Arial" w:hAnsi="Arial"/>
          <w:sz w:val="22"/>
          <w:szCs w:val="22"/>
        </w:rPr>
        <w:t xml:space="preserve"> </w:t>
      </w:r>
      <w:proofErr w:type="spellStart"/>
      <w:r w:rsidRPr="006D66A4">
        <w:rPr>
          <w:rFonts w:ascii="Arial" w:hAnsi="Arial"/>
          <w:sz w:val="22"/>
          <w:szCs w:val="22"/>
        </w:rPr>
        <w:t>tiotropium</w:t>
      </w:r>
      <w:proofErr w:type="spellEnd"/>
      <w:r w:rsidRPr="006D66A4">
        <w:rPr>
          <w:rFonts w:ascii="Arial" w:hAnsi="Arial"/>
          <w:sz w:val="22"/>
          <w:szCs w:val="22"/>
        </w:rPr>
        <w:t xml:space="preserve"> 18 microgram with </w:t>
      </w:r>
      <w:proofErr w:type="spellStart"/>
      <w:r w:rsidRPr="006D66A4">
        <w:rPr>
          <w:rFonts w:ascii="Arial" w:hAnsi="Arial"/>
          <w:sz w:val="22"/>
          <w:szCs w:val="22"/>
        </w:rPr>
        <w:t>indacaterol</w:t>
      </w:r>
      <w:proofErr w:type="spellEnd"/>
      <w:r w:rsidRPr="006D66A4">
        <w:rPr>
          <w:rFonts w:ascii="Arial" w:hAnsi="Arial"/>
          <w:sz w:val="22"/>
          <w:szCs w:val="22"/>
        </w:rPr>
        <w:t xml:space="preserve"> 150 microgram. </w:t>
      </w:r>
    </w:p>
    <w:p w:rsidR="009C1258" w:rsidRPr="00A53D77" w:rsidRDefault="009C1258" w:rsidP="009C1258">
      <w:pPr>
        <w:pStyle w:val="ListParagraph"/>
        <w:rPr>
          <w:rFonts w:ascii="Arial" w:hAnsi="Arial"/>
          <w:sz w:val="22"/>
          <w:szCs w:val="22"/>
        </w:rPr>
      </w:pPr>
    </w:p>
    <w:p w:rsidR="009C1258" w:rsidRPr="006D66A4" w:rsidRDefault="009C1258"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noted that there is significant confusion among prescribers regarding medicines used in COPD and as such, names of individual LAMAs and LABAs should be noted in the restriction. </w:t>
      </w:r>
    </w:p>
    <w:p w:rsidR="009C1258" w:rsidRPr="009C1258" w:rsidRDefault="009C1258" w:rsidP="009C1258">
      <w:pPr>
        <w:pStyle w:val="ListParagraph"/>
        <w:rPr>
          <w:rFonts w:ascii="Arial" w:hAnsi="Arial"/>
          <w:sz w:val="22"/>
          <w:szCs w:val="22"/>
        </w:rPr>
      </w:pPr>
    </w:p>
    <w:p w:rsidR="009C1258" w:rsidRPr="006D66A4" w:rsidRDefault="009C1258"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accepted that </w:t>
      </w:r>
      <w:proofErr w:type="spellStart"/>
      <w:r w:rsidRPr="006D66A4">
        <w:rPr>
          <w:rFonts w:ascii="Arial" w:hAnsi="Arial"/>
          <w:sz w:val="22"/>
          <w:szCs w:val="22"/>
        </w:rPr>
        <w:t>umeclidinium</w:t>
      </w:r>
      <w:proofErr w:type="spellEnd"/>
      <w:r w:rsidRPr="006D66A4">
        <w:rPr>
          <w:rFonts w:ascii="Arial" w:hAnsi="Arial"/>
          <w:sz w:val="22"/>
          <w:szCs w:val="22"/>
        </w:rPr>
        <w:t>/</w:t>
      </w:r>
      <w:proofErr w:type="spellStart"/>
      <w:r w:rsidRPr="006D66A4">
        <w:rPr>
          <w:rFonts w:ascii="Arial" w:hAnsi="Arial"/>
          <w:sz w:val="22"/>
          <w:szCs w:val="22"/>
        </w:rPr>
        <w:t>vilanterol</w:t>
      </w:r>
      <w:proofErr w:type="spellEnd"/>
      <w:r w:rsidRPr="006D66A4">
        <w:rPr>
          <w:rFonts w:ascii="Arial" w:hAnsi="Arial"/>
          <w:sz w:val="22"/>
          <w:szCs w:val="22"/>
        </w:rPr>
        <w:t xml:space="preserve"> has a place in therapy for patients already stabilised on individual LAMA and LABA in separate devices. </w:t>
      </w:r>
    </w:p>
    <w:p w:rsidR="00BB7EC3" w:rsidRPr="00BB7EC3" w:rsidRDefault="00BB7EC3" w:rsidP="00BB7EC3">
      <w:pPr>
        <w:pStyle w:val="ListParagraph"/>
        <w:rPr>
          <w:rFonts w:ascii="Arial" w:hAnsi="Arial"/>
          <w:sz w:val="22"/>
          <w:szCs w:val="22"/>
        </w:rPr>
      </w:pPr>
    </w:p>
    <w:p w:rsidR="00CA7AA6" w:rsidRPr="006D66A4" w:rsidRDefault="00CA7AA6" w:rsidP="006D66A4">
      <w:pPr>
        <w:pStyle w:val="ListParagraph"/>
        <w:numPr>
          <w:ilvl w:val="1"/>
          <w:numId w:val="25"/>
        </w:numPr>
        <w:jc w:val="both"/>
        <w:rPr>
          <w:rFonts w:ascii="Arial" w:hAnsi="Arial"/>
          <w:sz w:val="22"/>
          <w:szCs w:val="22"/>
        </w:rPr>
      </w:pPr>
      <w:r w:rsidRPr="006D66A4">
        <w:rPr>
          <w:rFonts w:ascii="Arial" w:hAnsi="Arial"/>
          <w:sz w:val="22"/>
          <w:u w:val="single"/>
        </w:rPr>
        <w:t xml:space="preserve">Advice to the Minister under Subsection 101 3BA of the </w:t>
      </w:r>
      <w:r w:rsidRPr="006D66A4">
        <w:rPr>
          <w:rFonts w:ascii="Arial" w:hAnsi="Arial"/>
          <w:i/>
          <w:sz w:val="22"/>
          <w:u w:val="single"/>
        </w:rPr>
        <w:t>National Health Act</w:t>
      </w:r>
      <w:r w:rsidRPr="006D66A4">
        <w:rPr>
          <w:rFonts w:ascii="Arial" w:hAnsi="Arial"/>
          <w:sz w:val="22"/>
        </w:rPr>
        <w:t xml:space="preserve"> </w:t>
      </w:r>
    </w:p>
    <w:p w:rsidR="00BB7EC3" w:rsidRDefault="00CA7AA6" w:rsidP="00CA7AA6">
      <w:pPr>
        <w:ind w:left="709"/>
        <w:jc w:val="both"/>
        <w:rPr>
          <w:rFonts w:ascii="Arial" w:hAnsi="Arial"/>
          <w:sz w:val="22"/>
        </w:rPr>
      </w:pPr>
      <w:r w:rsidRPr="00767187">
        <w:rPr>
          <w:rFonts w:ascii="Arial" w:hAnsi="Arial"/>
          <w:sz w:val="22"/>
        </w:rPr>
        <w:t xml:space="preserve">In accordance with subsection 101(3BA) of the </w:t>
      </w:r>
      <w:r w:rsidRPr="00767187">
        <w:rPr>
          <w:rFonts w:ascii="Arial" w:hAnsi="Arial"/>
          <w:i/>
          <w:sz w:val="22"/>
        </w:rPr>
        <w:t>National Health Act</w:t>
      </w:r>
      <w:r w:rsidRPr="00767187">
        <w:rPr>
          <w:rFonts w:ascii="Arial" w:hAnsi="Arial"/>
          <w:sz w:val="22"/>
        </w:rPr>
        <w:t xml:space="preserve"> 1953, the PBAC advised that it is of the opinion that </w:t>
      </w:r>
      <w:proofErr w:type="spellStart"/>
      <w:r>
        <w:rPr>
          <w:rFonts w:ascii="Arial" w:hAnsi="Arial"/>
          <w:sz w:val="22"/>
        </w:rPr>
        <w:t>umeclidinium</w:t>
      </w:r>
      <w:proofErr w:type="spellEnd"/>
      <w:r>
        <w:rPr>
          <w:rFonts w:ascii="Arial" w:hAnsi="Arial"/>
          <w:sz w:val="22"/>
        </w:rPr>
        <w:t>/</w:t>
      </w:r>
      <w:proofErr w:type="spellStart"/>
      <w:r>
        <w:rPr>
          <w:rFonts w:ascii="Arial" w:hAnsi="Arial"/>
          <w:sz w:val="22"/>
        </w:rPr>
        <w:t>vilanterol</w:t>
      </w:r>
      <w:proofErr w:type="spellEnd"/>
      <w:r w:rsidRPr="00767187">
        <w:rPr>
          <w:rFonts w:ascii="Arial" w:hAnsi="Arial"/>
          <w:sz w:val="22"/>
        </w:rPr>
        <w:t xml:space="preserve"> should be treated as interchangeable on an individual patient basis with </w:t>
      </w:r>
      <w:proofErr w:type="spellStart"/>
      <w:r>
        <w:rPr>
          <w:rFonts w:ascii="Arial" w:hAnsi="Arial"/>
          <w:sz w:val="22"/>
        </w:rPr>
        <w:t>indacaterol</w:t>
      </w:r>
      <w:proofErr w:type="spellEnd"/>
      <w:r>
        <w:rPr>
          <w:rFonts w:ascii="Arial" w:hAnsi="Arial"/>
          <w:sz w:val="22"/>
        </w:rPr>
        <w:t>/</w:t>
      </w:r>
      <w:proofErr w:type="spellStart"/>
      <w:r>
        <w:rPr>
          <w:rFonts w:ascii="Arial" w:hAnsi="Arial"/>
          <w:sz w:val="22"/>
        </w:rPr>
        <w:t>glycopyrronium</w:t>
      </w:r>
      <w:proofErr w:type="spellEnd"/>
      <w:r>
        <w:rPr>
          <w:rFonts w:ascii="Arial" w:hAnsi="Arial"/>
          <w:sz w:val="22"/>
        </w:rPr>
        <w:t xml:space="preserve">. </w:t>
      </w:r>
    </w:p>
    <w:p w:rsidR="00CA7AA6" w:rsidRPr="00BB7EC3" w:rsidRDefault="00CA7AA6" w:rsidP="00CA7AA6">
      <w:pPr>
        <w:ind w:left="709"/>
        <w:jc w:val="both"/>
        <w:rPr>
          <w:rFonts w:ascii="Arial" w:hAnsi="Arial"/>
          <w:sz w:val="22"/>
          <w:szCs w:val="22"/>
        </w:rPr>
      </w:pPr>
    </w:p>
    <w:p w:rsidR="00BB7EC3" w:rsidRPr="006D66A4" w:rsidRDefault="00BB7EC3" w:rsidP="006D66A4">
      <w:pPr>
        <w:pStyle w:val="ListParagraph"/>
        <w:numPr>
          <w:ilvl w:val="1"/>
          <w:numId w:val="25"/>
        </w:numPr>
        <w:jc w:val="both"/>
        <w:rPr>
          <w:rFonts w:ascii="Arial" w:hAnsi="Arial"/>
          <w:sz w:val="22"/>
          <w:szCs w:val="22"/>
        </w:rPr>
      </w:pPr>
      <w:r w:rsidRPr="006D66A4">
        <w:rPr>
          <w:rFonts w:ascii="Arial" w:hAnsi="Arial"/>
          <w:sz w:val="22"/>
          <w:szCs w:val="22"/>
        </w:rPr>
        <w:t xml:space="preserve">The PBAC advised that </w:t>
      </w:r>
      <w:proofErr w:type="spellStart"/>
      <w:r w:rsidR="00A56007" w:rsidRPr="006D66A4">
        <w:rPr>
          <w:rFonts w:ascii="Arial" w:hAnsi="Arial"/>
          <w:sz w:val="22"/>
          <w:szCs w:val="22"/>
        </w:rPr>
        <w:t>umeclidinium</w:t>
      </w:r>
      <w:proofErr w:type="spellEnd"/>
      <w:r w:rsidR="00A56007" w:rsidRPr="006D66A4">
        <w:rPr>
          <w:rFonts w:ascii="Arial" w:hAnsi="Arial"/>
          <w:sz w:val="22"/>
          <w:szCs w:val="22"/>
        </w:rPr>
        <w:t>/</w:t>
      </w:r>
      <w:proofErr w:type="spellStart"/>
      <w:r w:rsidR="00A56007" w:rsidRPr="006D66A4">
        <w:rPr>
          <w:rFonts w:ascii="Arial" w:hAnsi="Arial"/>
          <w:sz w:val="22"/>
          <w:szCs w:val="22"/>
        </w:rPr>
        <w:t>vilanterol</w:t>
      </w:r>
      <w:proofErr w:type="spellEnd"/>
      <w:r w:rsidRPr="006D66A4">
        <w:rPr>
          <w:rFonts w:ascii="Arial" w:hAnsi="Arial"/>
          <w:sz w:val="22"/>
          <w:szCs w:val="22"/>
        </w:rPr>
        <w:t xml:space="preserve"> is suitable for prescribing by </w:t>
      </w:r>
      <w:r w:rsidR="00B43E90" w:rsidRPr="006D66A4">
        <w:rPr>
          <w:rFonts w:ascii="Arial" w:hAnsi="Arial"/>
          <w:sz w:val="22"/>
          <w:szCs w:val="22"/>
        </w:rPr>
        <w:t>nurse practitioner</w:t>
      </w:r>
      <w:r w:rsidRPr="006D66A4">
        <w:rPr>
          <w:rFonts w:ascii="Arial" w:hAnsi="Arial"/>
          <w:sz w:val="22"/>
          <w:szCs w:val="22"/>
        </w:rPr>
        <w:t xml:space="preserve">s. </w:t>
      </w:r>
      <w:r w:rsidR="00B43E90" w:rsidRPr="006D66A4">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BB7EC3" w:rsidRPr="006D66A4" w:rsidRDefault="00BB7EC3" w:rsidP="006D66A4">
      <w:pPr>
        <w:pStyle w:val="ListParagraph"/>
        <w:numPr>
          <w:ilvl w:val="1"/>
          <w:numId w:val="25"/>
        </w:numPr>
        <w:jc w:val="both"/>
        <w:rPr>
          <w:rFonts w:ascii="Arial" w:hAnsi="Arial"/>
          <w:sz w:val="22"/>
          <w:szCs w:val="22"/>
        </w:rPr>
      </w:pPr>
      <w:r w:rsidRPr="006D66A4">
        <w:rPr>
          <w:rFonts w:ascii="Arial" w:hAnsi="Arial"/>
          <w:sz w:val="22"/>
          <w:szCs w:val="22"/>
        </w:rPr>
        <w:t>The PBAC recommended that th</w:t>
      </w:r>
      <w:r w:rsidR="00A56007" w:rsidRPr="006D66A4">
        <w:rPr>
          <w:rFonts w:ascii="Arial" w:hAnsi="Arial"/>
          <w:sz w:val="22"/>
          <w:szCs w:val="22"/>
        </w:rPr>
        <w:t>e Safety Net 20 Day Rule should</w:t>
      </w:r>
      <w:r w:rsidRPr="006D66A4">
        <w:rPr>
          <w:rFonts w:ascii="Arial" w:hAnsi="Arial"/>
          <w:sz w:val="22"/>
          <w:szCs w:val="22"/>
        </w:rPr>
        <w:t xml:space="preserve"> apply.</w:t>
      </w:r>
      <w:r w:rsidR="00B43E90" w:rsidRPr="006D66A4">
        <w:rPr>
          <w:rFonts w:ascii="Arial" w:hAnsi="Arial"/>
          <w:sz w:val="22"/>
          <w:szCs w:val="22"/>
        </w:rPr>
        <w:t xml:space="preserve"> </w:t>
      </w:r>
    </w:p>
    <w:p w:rsidR="00DF26A7" w:rsidRDefault="00DF26A7" w:rsidP="00882085">
      <w:pPr>
        <w:jc w:val="both"/>
        <w:rPr>
          <w:rFonts w:ascii="Arial" w:hAnsi="Arial"/>
          <w:sz w:val="22"/>
          <w:szCs w:val="22"/>
        </w:rPr>
      </w:pPr>
    </w:p>
    <w:p w:rsidR="006D66A4" w:rsidRPr="00882085" w:rsidRDefault="006D66A4"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BB7EC3" w:rsidRDefault="00A56007" w:rsidP="00A56007">
      <w:pPr>
        <w:jc w:val="both"/>
        <w:rPr>
          <w:rFonts w:ascii="Arial" w:hAnsi="Arial"/>
          <w:sz w:val="22"/>
          <w:szCs w:val="22"/>
        </w:rPr>
      </w:pPr>
      <w:r>
        <w:rPr>
          <w:rFonts w:ascii="Arial" w:hAnsi="Arial"/>
          <w:sz w:val="22"/>
          <w:szCs w:val="22"/>
        </w:rPr>
        <w:lastRenderedPageBreak/>
        <w:t>Recommended</w:t>
      </w:r>
    </w:p>
    <w:p w:rsidR="00AB662E" w:rsidRDefault="00AB662E" w:rsidP="00AB662E">
      <w:pPr>
        <w:jc w:val="both"/>
        <w:rPr>
          <w:rFonts w:ascii="Arial" w:hAnsi="Arial"/>
          <w:sz w:val="22"/>
          <w:szCs w:val="22"/>
        </w:rPr>
      </w:pPr>
    </w:p>
    <w:p w:rsidR="006D66A4" w:rsidRDefault="006D66A4" w:rsidP="00AB662E">
      <w:pPr>
        <w:jc w:val="both"/>
        <w:rPr>
          <w:rFonts w:ascii="Arial" w:hAnsi="Arial"/>
          <w:sz w:val="22"/>
          <w:szCs w:val="22"/>
        </w:rPr>
      </w:pPr>
    </w:p>
    <w:p w:rsidR="006D66A4" w:rsidRPr="00407F2D" w:rsidRDefault="006D66A4" w:rsidP="006D66A4">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882085" w:rsidRDefault="006906DB" w:rsidP="00882085">
      <w:pPr>
        <w:jc w:val="both"/>
        <w:rPr>
          <w:rFonts w:ascii="Arial" w:hAnsi="Arial"/>
          <w:sz w:val="22"/>
          <w:szCs w:val="22"/>
        </w:rPr>
      </w:pPr>
    </w:p>
    <w:p w:rsidR="00D0321E" w:rsidRPr="006D66A4" w:rsidRDefault="00D0321E" w:rsidP="006D66A4">
      <w:pPr>
        <w:pStyle w:val="ListParagraph"/>
        <w:numPr>
          <w:ilvl w:val="1"/>
          <w:numId w:val="25"/>
        </w:numPr>
        <w:jc w:val="both"/>
        <w:rPr>
          <w:rFonts w:ascii="Arial" w:hAnsi="Arial"/>
          <w:sz w:val="22"/>
          <w:szCs w:val="22"/>
        </w:rPr>
      </w:pPr>
      <w:r w:rsidRPr="006D66A4">
        <w:rPr>
          <w:rFonts w:ascii="Arial" w:hAnsi="Arial"/>
          <w:sz w:val="22"/>
          <w:szCs w:val="22"/>
        </w:rPr>
        <w:t>Add new item:</w:t>
      </w:r>
    </w:p>
    <w:p w:rsidR="008E14A6" w:rsidRPr="008E14A6" w:rsidRDefault="008E14A6" w:rsidP="008E14A6">
      <w:pPr>
        <w:jc w:val="both"/>
        <w:rPr>
          <w:rFonts w:ascii="Arial" w:hAnsi="Arial"/>
          <w:sz w:val="22"/>
          <w:szCs w:val="22"/>
        </w:rPr>
      </w:pPr>
    </w:p>
    <w:tbl>
      <w:tblPr>
        <w:tblW w:w="8505" w:type="dxa"/>
        <w:tblInd w:w="817" w:type="dxa"/>
        <w:tblLayout w:type="fixed"/>
        <w:tblLook w:val="04A0" w:firstRow="1" w:lastRow="0" w:firstColumn="1" w:lastColumn="0" w:noHBand="0" w:noVBand="1"/>
        <w:tblDescription w:val="listing umeclidinium &amp; vilanterol"/>
      </w:tblPr>
      <w:tblGrid>
        <w:gridCol w:w="2126"/>
        <w:gridCol w:w="1985"/>
        <w:gridCol w:w="992"/>
        <w:gridCol w:w="851"/>
        <w:gridCol w:w="1275"/>
        <w:gridCol w:w="1137"/>
        <w:gridCol w:w="139"/>
      </w:tblGrid>
      <w:tr w:rsidR="0069520F" w:rsidTr="00720493">
        <w:trPr>
          <w:gridAfter w:val="1"/>
          <w:wAfter w:w="139" w:type="dxa"/>
          <w:cantSplit/>
          <w:trHeight w:val="471"/>
        </w:trPr>
        <w:tc>
          <w:tcPr>
            <w:tcW w:w="4111" w:type="dxa"/>
            <w:gridSpan w:val="2"/>
            <w:tcBorders>
              <w:top w:val="nil"/>
              <w:left w:val="nil"/>
              <w:bottom w:val="single" w:sz="4" w:space="0" w:color="auto"/>
              <w:right w:val="nil"/>
            </w:tcBorders>
            <w:hideMark/>
          </w:tcPr>
          <w:p w:rsidR="0069520F" w:rsidRDefault="0069520F" w:rsidP="00C74D0E">
            <w:pPr>
              <w:keepNext/>
              <w:ind w:left="-108"/>
              <w:jc w:val="both"/>
              <w:rPr>
                <w:rFonts w:ascii="Arial" w:hAnsi="Arial" w:cs="Arial"/>
                <w:sz w:val="20"/>
              </w:rPr>
            </w:pPr>
            <w:r>
              <w:rPr>
                <w:rFonts w:ascii="Arial" w:hAnsi="Arial" w:cs="Arial"/>
                <w:sz w:val="20"/>
              </w:rPr>
              <w:t>Name, Restriction,</w:t>
            </w:r>
          </w:p>
          <w:p w:rsidR="0069520F" w:rsidRDefault="0069520F" w:rsidP="00C74D0E">
            <w:pPr>
              <w:keepNext/>
              <w:ind w:left="-108"/>
              <w:jc w:val="both"/>
              <w:rPr>
                <w:rFonts w:ascii="Arial" w:hAnsi="Arial" w:cs="Arial"/>
                <w:sz w:val="20"/>
              </w:rPr>
            </w:pPr>
            <w:r>
              <w:rPr>
                <w:rFonts w:ascii="Arial" w:hAnsi="Arial" w:cs="Arial"/>
                <w:sz w:val="20"/>
              </w:rPr>
              <w:t>Manner of administration and form</w:t>
            </w:r>
          </w:p>
        </w:tc>
        <w:tc>
          <w:tcPr>
            <w:tcW w:w="992" w:type="dxa"/>
            <w:tcBorders>
              <w:top w:val="nil"/>
              <w:left w:val="nil"/>
              <w:bottom w:val="single" w:sz="4" w:space="0" w:color="auto"/>
              <w:right w:val="nil"/>
            </w:tcBorders>
            <w:hideMark/>
          </w:tcPr>
          <w:p w:rsidR="0069520F" w:rsidRDefault="0069520F" w:rsidP="00C74D0E">
            <w:pPr>
              <w:keepNext/>
              <w:ind w:left="-108"/>
              <w:jc w:val="both"/>
              <w:rPr>
                <w:rFonts w:ascii="Arial" w:hAnsi="Arial" w:cs="Arial"/>
                <w:sz w:val="20"/>
              </w:rPr>
            </w:pPr>
            <w:r>
              <w:rPr>
                <w:rFonts w:ascii="Arial" w:hAnsi="Arial" w:cs="Arial"/>
                <w:sz w:val="20"/>
              </w:rPr>
              <w:t>Max.</w:t>
            </w:r>
          </w:p>
          <w:p w:rsidR="0069520F" w:rsidRDefault="0069520F" w:rsidP="00C74D0E">
            <w:pPr>
              <w:keepNext/>
              <w:ind w:left="-108"/>
              <w:jc w:val="both"/>
              <w:rPr>
                <w:rFonts w:ascii="Arial" w:hAnsi="Arial" w:cs="Arial"/>
                <w:sz w:val="20"/>
              </w:rPr>
            </w:pPr>
            <w:proofErr w:type="spellStart"/>
            <w:r>
              <w:rPr>
                <w:rFonts w:ascii="Arial" w:hAnsi="Arial" w:cs="Arial"/>
                <w:sz w:val="20"/>
              </w:rPr>
              <w:t>Qty</w:t>
            </w:r>
            <w:proofErr w:type="spellEnd"/>
          </w:p>
        </w:tc>
        <w:tc>
          <w:tcPr>
            <w:tcW w:w="851" w:type="dxa"/>
            <w:tcBorders>
              <w:top w:val="nil"/>
              <w:left w:val="nil"/>
              <w:bottom w:val="single" w:sz="4" w:space="0" w:color="auto"/>
              <w:right w:val="nil"/>
            </w:tcBorders>
            <w:hideMark/>
          </w:tcPr>
          <w:p w:rsidR="0069520F" w:rsidRDefault="0069520F" w:rsidP="00C74D0E">
            <w:pPr>
              <w:keepNext/>
              <w:ind w:left="-108"/>
              <w:jc w:val="both"/>
              <w:rPr>
                <w:rFonts w:ascii="Arial" w:hAnsi="Arial" w:cs="Arial"/>
                <w:sz w:val="20"/>
              </w:rPr>
            </w:pPr>
            <w:r>
              <w:rPr>
                <w:rFonts w:ascii="Arial" w:hAnsi="Arial" w:cs="Arial"/>
                <w:sz w:val="20"/>
              </w:rPr>
              <w:t>№.of</w:t>
            </w:r>
          </w:p>
          <w:p w:rsidR="0069520F" w:rsidRDefault="0069520F" w:rsidP="00C74D0E">
            <w:pPr>
              <w:keepNext/>
              <w:ind w:left="-108"/>
              <w:jc w:val="both"/>
              <w:rPr>
                <w:rFonts w:ascii="Arial" w:hAnsi="Arial" w:cs="Arial"/>
                <w:sz w:val="20"/>
              </w:rPr>
            </w:pPr>
            <w:proofErr w:type="spellStart"/>
            <w:r>
              <w:rPr>
                <w:rFonts w:ascii="Arial" w:hAnsi="Arial" w:cs="Arial"/>
                <w:sz w:val="20"/>
              </w:rPr>
              <w:t>Rpts</w:t>
            </w:r>
            <w:proofErr w:type="spellEnd"/>
          </w:p>
        </w:tc>
        <w:tc>
          <w:tcPr>
            <w:tcW w:w="2412" w:type="dxa"/>
            <w:gridSpan w:val="2"/>
            <w:tcBorders>
              <w:top w:val="nil"/>
              <w:left w:val="nil"/>
              <w:bottom w:val="single" w:sz="4" w:space="0" w:color="auto"/>
              <w:right w:val="nil"/>
            </w:tcBorders>
            <w:hideMark/>
          </w:tcPr>
          <w:p w:rsidR="0069520F" w:rsidRDefault="0069520F" w:rsidP="00C74D0E">
            <w:pPr>
              <w:keepNext/>
              <w:jc w:val="both"/>
              <w:rPr>
                <w:rFonts w:ascii="Arial" w:hAnsi="Arial" w:cs="Arial"/>
                <w:sz w:val="20"/>
                <w:lang w:val="fr-FR"/>
              </w:rPr>
            </w:pPr>
            <w:r>
              <w:rPr>
                <w:rFonts w:ascii="Arial" w:hAnsi="Arial" w:cs="Arial"/>
                <w:sz w:val="20"/>
              </w:rPr>
              <w:t>Proprietary Name and Manufacturer</w:t>
            </w:r>
          </w:p>
        </w:tc>
      </w:tr>
      <w:tr w:rsidR="0069520F" w:rsidTr="00720493">
        <w:trPr>
          <w:gridAfter w:val="1"/>
          <w:wAfter w:w="139" w:type="dxa"/>
          <w:cantSplit/>
          <w:trHeight w:val="577"/>
        </w:trPr>
        <w:tc>
          <w:tcPr>
            <w:tcW w:w="4111" w:type="dxa"/>
            <w:gridSpan w:val="2"/>
            <w:hideMark/>
          </w:tcPr>
          <w:p w:rsidR="0069520F" w:rsidRDefault="0069520F" w:rsidP="00C74D0E">
            <w:pPr>
              <w:keepNext/>
              <w:ind w:left="-108"/>
              <w:jc w:val="both"/>
              <w:rPr>
                <w:rFonts w:ascii="Arial" w:hAnsi="Arial" w:cs="Arial"/>
                <w:sz w:val="20"/>
                <w:szCs w:val="20"/>
              </w:rPr>
            </w:pPr>
            <w:proofErr w:type="spellStart"/>
            <w:r>
              <w:rPr>
                <w:rFonts w:ascii="Arial" w:hAnsi="Arial" w:cs="Arial"/>
                <w:smallCaps/>
                <w:sz w:val="20"/>
                <w:szCs w:val="20"/>
              </w:rPr>
              <w:t>umeclidinium</w:t>
            </w:r>
            <w:proofErr w:type="spellEnd"/>
            <w:r>
              <w:rPr>
                <w:rFonts w:ascii="Arial" w:hAnsi="Arial" w:cs="Arial"/>
                <w:smallCaps/>
                <w:sz w:val="20"/>
                <w:szCs w:val="20"/>
              </w:rPr>
              <w:t xml:space="preserve"> + </w:t>
            </w:r>
            <w:proofErr w:type="spellStart"/>
            <w:r>
              <w:rPr>
                <w:rFonts w:ascii="Arial" w:hAnsi="Arial" w:cs="Arial"/>
                <w:smallCaps/>
                <w:sz w:val="20"/>
                <w:szCs w:val="20"/>
              </w:rPr>
              <w:t>vilanterol</w:t>
            </w:r>
            <w:proofErr w:type="spellEnd"/>
          </w:p>
          <w:p w:rsidR="0069520F" w:rsidRDefault="0069520F" w:rsidP="00C74D0E">
            <w:pPr>
              <w:keepNext/>
              <w:ind w:left="-108"/>
              <w:jc w:val="both"/>
              <w:rPr>
                <w:rFonts w:ascii="Arial" w:hAnsi="Arial" w:cs="Arial"/>
                <w:sz w:val="20"/>
              </w:rPr>
            </w:pPr>
            <w:r>
              <w:rPr>
                <w:rFonts w:ascii="Arial" w:hAnsi="Arial" w:cs="Arial"/>
                <w:sz w:val="20"/>
              </w:rPr>
              <w:t xml:space="preserve">Inhalation: powder for, </w:t>
            </w:r>
          </w:p>
          <w:p w:rsidR="0069520F" w:rsidRDefault="0069520F" w:rsidP="008E14A6">
            <w:pPr>
              <w:keepNext/>
              <w:ind w:left="-108"/>
              <w:jc w:val="both"/>
              <w:rPr>
                <w:rFonts w:ascii="Arial" w:hAnsi="Arial" w:cs="Arial"/>
                <w:sz w:val="20"/>
              </w:rPr>
            </w:pPr>
            <w:proofErr w:type="spellStart"/>
            <w:r>
              <w:rPr>
                <w:rFonts w:ascii="Arial" w:hAnsi="Arial" w:cs="Arial"/>
                <w:sz w:val="20"/>
              </w:rPr>
              <w:t>Umeclidinium</w:t>
            </w:r>
            <w:proofErr w:type="spellEnd"/>
            <w:r>
              <w:rPr>
                <w:rFonts w:ascii="Arial" w:hAnsi="Arial" w:cs="Arial"/>
                <w:sz w:val="20"/>
              </w:rPr>
              <w:t xml:space="preserve"> (as bromide) 62.5 microgram + </w:t>
            </w:r>
            <w:proofErr w:type="spellStart"/>
            <w:r>
              <w:rPr>
                <w:rFonts w:ascii="Arial" w:hAnsi="Arial" w:cs="Arial"/>
                <w:sz w:val="20"/>
              </w:rPr>
              <w:t>vilanterol</w:t>
            </w:r>
            <w:proofErr w:type="spellEnd"/>
            <w:r>
              <w:rPr>
                <w:rFonts w:ascii="Arial" w:hAnsi="Arial" w:cs="Arial"/>
                <w:sz w:val="20"/>
              </w:rPr>
              <w:t xml:space="preserve"> (as </w:t>
            </w:r>
            <w:proofErr w:type="spellStart"/>
            <w:r>
              <w:rPr>
                <w:rFonts w:ascii="Arial" w:hAnsi="Arial" w:cs="Arial"/>
                <w:sz w:val="20"/>
              </w:rPr>
              <w:t>trifenatate</w:t>
            </w:r>
            <w:proofErr w:type="spellEnd"/>
            <w:r>
              <w:rPr>
                <w:rFonts w:ascii="Arial" w:hAnsi="Arial" w:cs="Arial"/>
                <w:sz w:val="20"/>
              </w:rPr>
              <w:t>) 25 microgram</w:t>
            </w:r>
          </w:p>
          <w:p w:rsidR="00AA6313" w:rsidRDefault="00AA6313" w:rsidP="008E14A6">
            <w:pPr>
              <w:keepNext/>
              <w:ind w:left="-108"/>
              <w:jc w:val="both"/>
              <w:rPr>
                <w:rFonts w:ascii="Arial" w:hAnsi="Arial" w:cs="Arial"/>
                <w:sz w:val="20"/>
              </w:rPr>
            </w:pPr>
          </w:p>
          <w:p w:rsidR="00AA6313" w:rsidRDefault="00AA6313" w:rsidP="008E14A6">
            <w:pPr>
              <w:keepNext/>
              <w:ind w:left="-108"/>
              <w:jc w:val="both"/>
              <w:rPr>
                <w:rFonts w:ascii="Arial" w:hAnsi="Arial" w:cs="Arial"/>
                <w:sz w:val="20"/>
              </w:rPr>
            </w:pPr>
          </w:p>
        </w:tc>
        <w:tc>
          <w:tcPr>
            <w:tcW w:w="992" w:type="dxa"/>
          </w:tcPr>
          <w:p w:rsidR="0069520F" w:rsidRDefault="0069520F" w:rsidP="00C74D0E">
            <w:pPr>
              <w:keepNext/>
              <w:ind w:left="-108"/>
              <w:jc w:val="both"/>
              <w:rPr>
                <w:rFonts w:ascii="Arial" w:hAnsi="Arial" w:cs="Arial"/>
                <w:sz w:val="20"/>
              </w:rPr>
            </w:pPr>
          </w:p>
          <w:p w:rsidR="0069520F" w:rsidRDefault="0069520F" w:rsidP="00C74D0E">
            <w:pPr>
              <w:keepNext/>
              <w:ind w:left="-108"/>
              <w:jc w:val="both"/>
              <w:rPr>
                <w:rFonts w:ascii="Arial" w:hAnsi="Arial" w:cs="Arial"/>
                <w:sz w:val="20"/>
              </w:rPr>
            </w:pPr>
            <w:r>
              <w:rPr>
                <w:rFonts w:ascii="Arial" w:hAnsi="Arial" w:cs="Arial"/>
                <w:sz w:val="20"/>
              </w:rPr>
              <w:t>1</w:t>
            </w:r>
          </w:p>
        </w:tc>
        <w:tc>
          <w:tcPr>
            <w:tcW w:w="851" w:type="dxa"/>
            <w:hideMark/>
          </w:tcPr>
          <w:p w:rsidR="0069520F" w:rsidRDefault="0069520F" w:rsidP="00C74D0E">
            <w:pPr>
              <w:keepNext/>
              <w:ind w:left="-108"/>
              <w:jc w:val="both"/>
              <w:rPr>
                <w:rFonts w:ascii="Arial" w:hAnsi="Arial" w:cs="Arial"/>
                <w:sz w:val="20"/>
              </w:rPr>
            </w:pPr>
            <w:r>
              <w:rPr>
                <w:rFonts w:ascii="Arial" w:hAnsi="Arial" w:cs="Arial"/>
                <w:sz w:val="20"/>
              </w:rPr>
              <w:t xml:space="preserve"> </w:t>
            </w:r>
          </w:p>
          <w:p w:rsidR="0069520F" w:rsidRDefault="0069520F" w:rsidP="00C74D0E">
            <w:pPr>
              <w:keepNext/>
              <w:ind w:left="-108"/>
              <w:jc w:val="both"/>
              <w:rPr>
                <w:rFonts w:ascii="Arial" w:hAnsi="Arial" w:cs="Arial"/>
                <w:sz w:val="20"/>
              </w:rPr>
            </w:pPr>
            <w:r>
              <w:rPr>
                <w:rFonts w:ascii="Arial" w:hAnsi="Arial" w:cs="Arial"/>
                <w:sz w:val="20"/>
              </w:rPr>
              <w:t>5</w:t>
            </w:r>
          </w:p>
        </w:tc>
        <w:tc>
          <w:tcPr>
            <w:tcW w:w="1275" w:type="dxa"/>
          </w:tcPr>
          <w:p w:rsidR="0069520F" w:rsidRDefault="0069520F" w:rsidP="00C74D0E">
            <w:pPr>
              <w:keepNext/>
              <w:jc w:val="both"/>
              <w:rPr>
                <w:rFonts w:ascii="Arial" w:hAnsi="Arial" w:cs="Arial"/>
                <w:sz w:val="20"/>
              </w:rPr>
            </w:pPr>
          </w:p>
          <w:p w:rsidR="0069520F" w:rsidRDefault="0069520F" w:rsidP="00C74D0E">
            <w:pPr>
              <w:keepNext/>
              <w:jc w:val="both"/>
              <w:rPr>
                <w:rFonts w:ascii="Arial" w:hAnsi="Arial" w:cs="Arial"/>
                <w:sz w:val="20"/>
              </w:rPr>
            </w:pPr>
            <w:proofErr w:type="spellStart"/>
            <w:r>
              <w:rPr>
                <w:rFonts w:ascii="Arial" w:hAnsi="Arial" w:cs="Arial"/>
                <w:sz w:val="20"/>
              </w:rPr>
              <w:t>Anoro</w:t>
            </w:r>
            <w:proofErr w:type="spellEnd"/>
            <w:r>
              <w:rPr>
                <w:rFonts w:ascii="Arial" w:hAnsi="Arial" w:cs="Arial"/>
                <w:sz w:val="20"/>
                <w:vertAlign w:val="superscript"/>
              </w:rPr>
              <w:t>®</w:t>
            </w:r>
          </w:p>
        </w:tc>
        <w:tc>
          <w:tcPr>
            <w:tcW w:w="1137" w:type="dxa"/>
          </w:tcPr>
          <w:p w:rsidR="0069520F" w:rsidRDefault="0069520F" w:rsidP="00C74D0E">
            <w:pPr>
              <w:keepNext/>
              <w:jc w:val="both"/>
              <w:rPr>
                <w:rFonts w:ascii="Arial" w:hAnsi="Arial" w:cs="Arial"/>
                <w:sz w:val="20"/>
              </w:rPr>
            </w:pPr>
          </w:p>
          <w:p w:rsidR="0069520F" w:rsidRDefault="0069520F" w:rsidP="00C74D0E">
            <w:pPr>
              <w:keepNext/>
              <w:jc w:val="both"/>
              <w:rPr>
                <w:rFonts w:ascii="Arial" w:hAnsi="Arial" w:cs="Arial"/>
                <w:sz w:val="20"/>
              </w:rPr>
            </w:pPr>
            <w:r>
              <w:rPr>
                <w:rFonts w:ascii="Arial" w:hAnsi="Arial" w:cs="Arial"/>
                <w:sz w:val="20"/>
              </w:rPr>
              <w:t>GSK</w:t>
            </w:r>
          </w:p>
        </w:tc>
      </w:tr>
      <w:tr w:rsidR="00720493" w:rsidRPr="00AA6313" w:rsidTr="00720493">
        <w:tblPrEx>
          <w:tblLook w:val="0000" w:firstRow="0" w:lastRow="0" w:firstColumn="0" w:lastColumn="0" w:noHBand="0" w:noVBand="0"/>
        </w:tblPrEx>
        <w:trPr>
          <w:cantSplit/>
          <w:trHeight w:val="360"/>
        </w:trPr>
        <w:tc>
          <w:tcPr>
            <w:tcW w:w="2126" w:type="dxa"/>
            <w:tcBorders>
              <w:top w:val="single" w:sz="4" w:space="0" w:color="auto"/>
              <w:left w:val="single" w:sz="4" w:space="0" w:color="auto"/>
              <w:bottom w:val="single" w:sz="4" w:space="0" w:color="auto"/>
              <w:right w:val="single" w:sz="4" w:space="0" w:color="auto"/>
            </w:tcBorders>
          </w:tcPr>
          <w:p w:rsidR="00720493" w:rsidRPr="00AA6313" w:rsidRDefault="00720493" w:rsidP="00C7068A">
            <w:pPr>
              <w:jc w:val="both"/>
              <w:rPr>
                <w:rFonts w:ascii="Arial Narrow" w:hAnsi="Arial Narrow" w:cs="Arial"/>
                <w:b/>
                <w:sz w:val="20"/>
                <w:szCs w:val="20"/>
              </w:rPr>
            </w:pPr>
            <w:r w:rsidRPr="00AA631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20493" w:rsidRPr="00AA6313" w:rsidRDefault="00720493" w:rsidP="00C7068A">
            <w:pPr>
              <w:rPr>
                <w:rFonts w:ascii="Arial Narrow" w:hAnsi="Arial Narrow" w:cs="Arial"/>
                <w:sz w:val="20"/>
                <w:szCs w:val="20"/>
              </w:rPr>
            </w:pPr>
            <w:r w:rsidRPr="00AA6313">
              <w:rPr>
                <w:rFonts w:ascii="Arial Narrow" w:hAnsi="Arial Narrow" w:cs="Arial"/>
                <w:sz w:val="20"/>
                <w:szCs w:val="20"/>
              </w:rPr>
              <w:t>Chronic Obstru</w:t>
            </w:r>
            <w:bookmarkStart w:id="0" w:name="_GoBack"/>
            <w:bookmarkEnd w:id="0"/>
            <w:r w:rsidRPr="00AA6313">
              <w:rPr>
                <w:rFonts w:ascii="Arial Narrow" w:hAnsi="Arial Narrow" w:cs="Arial"/>
                <w:sz w:val="20"/>
                <w:szCs w:val="20"/>
              </w:rPr>
              <w:t>ctive Pulmonary Disease</w:t>
            </w:r>
          </w:p>
        </w:tc>
      </w:tr>
      <w:tr w:rsidR="00720493" w:rsidRPr="00AA6313" w:rsidTr="00720493">
        <w:tblPrEx>
          <w:tblLook w:val="0000" w:firstRow="0" w:lastRow="0" w:firstColumn="0" w:lastColumn="0" w:noHBand="0" w:noVBand="0"/>
        </w:tblPrEx>
        <w:trPr>
          <w:cantSplit/>
          <w:trHeight w:val="360"/>
        </w:trPr>
        <w:tc>
          <w:tcPr>
            <w:tcW w:w="2126" w:type="dxa"/>
            <w:tcBorders>
              <w:top w:val="single" w:sz="4" w:space="0" w:color="auto"/>
              <w:left w:val="single" w:sz="4" w:space="0" w:color="auto"/>
              <w:bottom w:val="single" w:sz="4" w:space="0" w:color="auto"/>
              <w:right w:val="single" w:sz="4" w:space="0" w:color="auto"/>
            </w:tcBorders>
          </w:tcPr>
          <w:p w:rsidR="00720493" w:rsidRPr="00AA6313" w:rsidRDefault="00720493" w:rsidP="00C7068A">
            <w:pPr>
              <w:jc w:val="both"/>
              <w:rPr>
                <w:rFonts w:ascii="Arial Narrow" w:hAnsi="Arial Narrow" w:cs="Arial"/>
                <w:b/>
                <w:sz w:val="20"/>
                <w:szCs w:val="20"/>
              </w:rPr>
            </w:pPr>
            <w:r w:rsidRPr="00AA6313">
              <w:rPr>
                <w:rFonts w:ascii="Arial Narrow" w:hAnsi="Arial Narrow" w:cs="Arial"/>
                <w:b/>
                <w:sz w:val="20"/>
                <w:szCs w:val="20"/>
              </w:rPr>
              <w:t>Restriction:</w:t>
            </w:r>
          </w:p>
        </w:tc>
        <w:tc>
          <w:tcPr>
            <w:tcW w:w="6379" w:type="dxa"/>
            <w:gridSpan w:val="6"/>
            <w:tcBorders>
              <w:top w:val="single" w:sz="4" w:space="0" w:color="auto"/>
              <w:left w:val="single" w:sz="4" w:space="0" w:color="auto"/>
              <w:bottom w:val="single" w:sz="4" w:space="0" w:color="auto"/>
              <w:right w:val="single" w:sz="4" w:space="0" w:color="auto"/>
            </w:tcBorders>
          </w:tcPr>
          <w:p w:rsidR="00720493" w:rsidRPr="00AA6313" w:rsidRDefault="00720493" w:rsidP="00C7068A">
            <w:pPr>
              <w:ind w:left="-108"/>
              <w:jc w:val="both"/>
              <w:rPr>
                <w:rFonts w:ascii="Arial Narrow" w:hAnsi="Arial Narrow" w:cs="Arial"/>
                <w:sz w:val="20"/>
                <w:szCs w:val="20"/>
              </w:rPr>
            </w:pPr>
            <w:r w:rsidRPr="00AA6313">
              <w:rPr>
                <w:rFonts w:ascii="Arial Narrow" w:hAnsi="Arial Narrow" w:cs="Arial"/>
                <w:sz w:val="20"/>
                <w:szCs w:val="20"/>
              </w:rPr>
              <w:t xml:space="preserve"> Authority required (STREAMLINED) </w:t>
            </w:r>
          </w:p>
        </w:tc>
      </w:tr>
      <w:tr w:rsidR="00720493" w:rsidRPr="00AA6313" w:rsidTr="00720493">
        <w:tblPrEx>
          <w:tblLook w:val="0000" w:firstRow="0" w:lastRow="0" w:firstColumn="0" w:lastColumn="0" w:noHBand="0" w:noVBand="0"/>
        </w:tblPrEx>
        <w:trPr>
          <w:cantSplit/>
          <w:trHeight w:val="360"/>
        </w:trPr>
        <w:tc>
          <w:tcPr>
            <w:tcW w:w="2126" w:type="dxa"/>
            <w:tcBorders>
              <w:top w:val="single" w:sz="4" w:space="0" w:color="auto"/>
              <w:left w:val="single" w:sz="4" w:space="0" w:color="auto"/>
              <w:bottom w:val="single" w:sz="4" w:space="0" w:color="auto"/>
              <w:right w:val="single" w:sz="4" w:space="0" w:color="auto"/>
            </w:tcBorders>
          </w:tcPr>
          <w:p w:rsidR="00720493" w:rsidRPr="00AA6313" w:rsidRDefault="00720493" w:rsidP="00C7068A">
            <w:pPr>
              <w:jc w:val="both"/>
              <w:rPr>
                <w:rFonts w:ascii="Arial Narrow" w:hAnsi="Arial Narrow" w:cs="Arial"/>
                <w:b/>
                <w:sz w:val="20"/>
                <w:szCs w:val="20"/>
              </w:rPr>
            </w:pPr>
            <w:r w:rsidRPr="00AA6313">
              <w:rPr>
                <w:rFonts w:ascii="Arial Narrow" w:hAnsi="Arial Narrow" w:cs="Arial"/>
                <w:b/>
                <w:sz w:val="20"/>
                <w:szCs w:val="20"/>
              </w:rPr>
              <w:t>Clinical criteria:</w:t>
            </w:r>
          </w:p>
          <w:p w:rsidR="00720493" w:rsidRPr="00AA6313" w:rsidRDefault="00720493" w:rsidP="00C7068A">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20493" w:rsidRPr="00AA6313" w:rsidRDefault="00720493" w:rsidP="00C7068A">
            <w:pPr>
              <w:rPr>
                <w:rFonts w:ascii="Arial Narrow" w:hAnsi="Arial Narrow" w:cs="Arial"/>
                <w:sz w:val="20"/>
                <w:szCs w:val="20"/>
              </w:rPr>
            </w:pPr>
            <w:r w:rsidRPr="007745D2">
              <w:rPr>
                <w:rFonts w:ascii="Arial Narrow" w:hAnsi="Arial Narrow" w:cs="Arial"/>
                <w:sz w:val="20"/>
                <w:szCs w:val="20"/>
              </w:rPr>
              <w:t>Patient must have been stabilised on a combination of a long acting muscarinic antagonist and long acting beta-2 agonist.</w:t>
            </w:r>
          </w:p>
        </w:tc>
      </w:tr>
      <w:tr w:rsidR="00720493" w:rsidRPr="00AA6313" w:rsidTr="00720493">
        <w:tblPrEx>
          <w:tblLook w:val="0000" w:firstRow="0" w:lastRow="0" w:firstColumn="0" w:lastColumn="0" w:noHBand="0" w:noVBand="0"/>
        </w:tblPrEx>
        <w:trPr>
          <w:cantSplit/>
          <w:trHeight w:val="360"/>
        </w:trPr>
        <w:tc>
          <w:tcPr>
            <w:tcW w:w="2126" w:type="dxa"/>
            <w:tcBorders>
              <w:top w:val="single" w:sz="4" w:space="0" w:color="auto"/>
              <w:left w:val="single" w:sz="4" w:space="0" w:color="auto"/>
              <w:bottom w:val="single" w:sz="4" w:space="0" w:color="auto"/>
              <w:right w:val="single" w:sz="4" w:space="0" w:color="auto"/>
            </w:tcBorders>
          </w:tcPr>
          <w:p w:rsidR="00720493" w:rsidRPr="00AA6313" w:rsidRDefault="00720493" w:rsidP="00C7068A">
            <w:pPr>
              <w:jc w:val="both"/>
              <w:rPr>
                <w:rFonts w:ascii="Arial Narrow" w:hAnsi="Arial Narrow" w:cs="Arial"/>
                <w:b/>
                <w:sz w:val="20"/>
                <w:szCs w:val="20"/>
              </w:rPr>
            </w:pPr>
            <w:r w:rsidRPr="00AA6313">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720493" w:rsidRPr="007745D2" w:rsidRDefault="00720493" w:rsidP="00C7068A">
            <w:pPr>
              <w:jc w:val="both"/>
              <w:rPr>
                <w:rFonts w:ascii="Arial Narrow" w:hAnsi="Arial Narrow" w:cs="Arial"/>
                <w:sz w:val="20"/>
                <w:szCs w:val="20"/>
              </w:rPr>
            </w:pPr>
            <w:r w:rsidRPr="007745D2">
              <w:rPr>
                <w:rFonts w:ascii="Arial Narrow" w:hAnsi="Arial Narrow" w:cs="Arial"/>
                <w:sz w:val="20"/>
                <w:szCs w:val="20"/>
              </w:rPr>
              <w:t>The treatment must not be</w:t>
            </w:r>
            <w:r>
              <w:rPr>
                <w:rFonts w:ascii="Arial Narrow" w:hAnsi="Arial Narrow" w:cs="Arial"/>
                <w:sz w:val="20"/>
                <w:szCs w:val="20"/>
              </w:rPr>
              <w:t xml:space="preserve"> used</w:t>
            </w:r>
            <w:r w:rsidRPr="007745D2">
              <w:rPr>
                <w:rFonts w:ascii="Arial Narrow" w:hAnsi="Arial Narrow" w:cs="Arial"/>
                <w:sz w:val="20"/>
                <w:szCs w:val="20"/>
              </w:rPr>
              <w:t xml:space="preserve"> in combination with an ICS/LABA, or LAMA or LABA monotherapy.</w:t>
            </w:r>
          </w:p>
          <w:p w:rsidR="00720493" w:rsidRDefault="00720493" w:rsidP="00C7068A">
            <w:pPr>
              <w:jc w:val="both"/>
              <w:rPr>
                <w:rFonts w:ascii="Arial Narrow" w:hAnsi="Arial Narrow" w:cs="Arial"/>
                <w:sz w:val="20"/>
                <w:szCs w:val="20"/>
              </w:rPr>
            </w:pPr>
          </w:p>
          <w:p w:rsidR="00720493" w:rsidRPr="007745D2" w:rsidRDefault="00720493" w:rsidP="00C7068A">
            <w:pPr>
              <w:jc w:val="both"/>
              <w:rPr>
                <w:rFonts w:ascii="Arial Narrow" w:hAnsi="Arial Narrow" w:cs="Arial"/>
                <w:sz w:val="20"/>
                <w:szCs w:val="20"/>
              </w:rPr>
            </w:pPr>
            <w:r w:rsidRPr="007745D2">
              <w:rPr>
                <w:rFonts w:ascii="Arial Narrow" w:hAnsi="Arial Narrow" w:cs="Arial"/>
                <w:sz w:val="20"/>
                <w:szCs w:val="20"/>
              </w:rPr>
              <w:t xml:space="preserve">A LAMA includes </w:t>
            </w:r>
            <w:proofErr w:type="spellStart"/>
            <w:r w:rsidRPr="007745D2">
              <w:rPr>
                <w:rFonts w:ascii="Arial Narrow" w:hAnsi="Arial Narrow" w:cs="Arial"/>
                <w:sz w:val="20"/>
                <w:szCs w:val="20"/>
              </w:rPr>
              <w:t>tiotropium</w:t>
            </w:r>
            <w:proofErr w:type="spellEnd"/>
            <w:r w:rsidRPr="007745D2">
              <w:rPr>
                <w:rFonts w:ascii="Arial Narrow" w:hAnsi="Arial Narrow" w:cs="Arial"/>
                <w:sz w:val="20"/>
                <w:szCs w:val="20"/>
              </w:rPr>
              <w:t xml:space="preserve">, </w:t>
            </w:r>
            <w:proofErr w:type="spellStart"/>
            <w:r w:rsidRPr="007745D2">
              <w:rPr>
                <w:rFonts w:ascii="Arial Narrow" w:hAnsi="Arial Narrow" w:cs="Arial"/>
                <w:sz w:val="20"/>
                <w:szCs w:val="20"/>
              </w:rPr>
              <w:t>glycopyrronium</w:t>
            </w:r>
            <w:proofErr w:type="spellEnd"/>
            <w:r w:rsidRPr="007745D2">
              <w:rPr>
                <w:rFonts w:ascii="Arial Narrow" w:hAnsi="Arial Narrow" w:cs="Arial"/>
                <w:sz w:val="20"/>
                <w:szCs w:val="20"/>
              </w:rPr>
              <w:t xml:space="preserve">, </w:t>
            </w:r>
            <w:proofErr w:type="spellStart"/>
            <w:r w:rsidRPr="007745D2">
              <w:rPr>
                <w:rFonts w:ascii="Arial Narrow" w:hAnsi="Arial Narrow" w:cs="Arial"/>
                <w:sz w:val="20"/>
                <w:szCs w:val="20"/>
              </w:rPr>
              <w:t>aclidinium</w:t>
            </w:r>
            <w:proofErr w:type="spellEnd"/>
            <w:r w:rsidRPr="007745D2">
              <w:rPr>
                <w:rFonts w:ascii="Arial Narrow" w:hAnsi="Arial Narrow" w:cs="Arial"/>
                <w:sz w:val="20"/>
                <w:szCs w:val="20"/>
              </w:rPr>
              <w:t xml:space="preserve"> or </w:t>
            </w:r>
            <w:proofErr w:type="spellStart"/>
            <w:r w:rsidRPr="007745D2">
              <w:rPr>
                <w:rFonts w:ascii="Arial Narrow" w:hAnsi="Arial Narrow" w:cs="Arial"/>
                <w:sz w:val="20"/>
                <w:szCs w:val="20"/>
              </w:rPr>
              <w:t>umeclidinium</w:t>
            </w:r>
            <w:proofErr w:type="spellEnd"/>
            <w:r w:rsidRPr="007745D2">
              <w:rPr>
                <w:rFonts w:ascii="Arial Narrow" w:hAnsi="Arial Narrow" w:cs="Arial"/>
                <w:sz w:val="20"/>
                <w:szCs w:val="20"/>
              </w:rPr>
              <w:t>.</w:t>
            </w:r>
          </w:p>
          <w:p w:rsidR="00720493" w:rsidRDefault="00720493" w:rsidP="00C7068A">
            <w:pPr>
              <w:pStyle w:val="NormalWeb"/>
              <w:ind w:left="0"/>
              <w:rPr>
                <w:rFonts w:ascii="Arial Narrow" w:hAnsi="Arial Narrow" w:cs="Arial"/>
                <w:sz w:val="20"/>
                <w:szCs w:val="20"/>
              </w:rPr>
            </w:pPr>
            <w:r w:rsidRPr="007745D2">
              <w:rPr>
                <w:rFonts w:ascii="Arial Narrow" w:hAnsi="Arial Narrow" w:cs="Arial"/>
                <w:sz w:val="20"/>
                <w:szCs w:val="20"/>
              </w:rPr>
              <w:t xml:space="preserve">A LABA includes </w:t>
            </w:r>
            <w:proofErr w:type="spellStart"/>
            <w:r w:rsidRPr="007745D2">
              <w:rPr>
                <w:rFonts w:ascii="Arial Narrow" w:hAnsi="Arial Narrow" w:cs="Arial"/>
                <w:sz w:val="20"/>
                <w:szCs w:val="20"/>
              </w:rPr>
              <w:t>indacaterol</w:t>
            </w:r>
            <w:proofErr w:type="spellEnd"/>
            <w:r w:rsidRPr="007745D2">
              <w:rPr>
                <w:rFonts w:ascii="Arial Narrow" w:hAnsi="Arial Narrow" w:cs="Arial"/>
                <w:sz w:val="20"/>
                <w:szCs w:val="20"/>
              </w:rPr>
              <w:t xml:space="preserve">, </w:t>
            </w:r>
            <w:proofErr w:type="spellStart"/>
            <w:r w:rsidRPr="007745D2">
              <w:rPr>
                <w:rFonts w:ascii="Arial Narrow" w:hAnsi="Arial Narrow" w:cs="Arial"/>
                <w:sz w:val="20"/>
                <w:szCs w:val="20"/>
              </w:rPr>
              <w:t>salmeterol</w:t>
            </w:r>
            <w:proofErr w:type="spellEnd"/>
            <w:r w:rsidRPr="007745D2">
              <w:rPr>
                <w:rFonts w:ascii="Arial Narrow" w:hAnsi="Arial Narrow" w:cs="Arial"/>
                <w:sz w:val="20"/>
                <w:szCs w:val="20"/>
              </w:rPr>
              <w:t xml:space="preserve"> or </w:t>
            </w:r>
            <w:proofErr w:type="spellStart"/>
            <w:r w:rsidRPr="007745D2">
              <w:rPr>
                <w:rFonts w:ascii="Arial Narrow" w:hAnsi="Arial Narrow" w:cs="Arial"/>
                <w:sz w:val="20"/>
                <w:szCs w:val="20"/>
              </w:rPr>
              <w:t>eformoterol</w:t>
            </w:r>
            <w:proofErr w:type="spellEnd"/>
            <w:r w:rsidRPr="007745D2">
              <w:rPr>
                <w:rFonts w:ascii="Arial Narrow" w:hAnsi="Arial Narrow" w:cs="Arial"/>
                <w:sz w:val="20"/>
                <w:szCs w:val="20"/>
              </w:rPr>
              <w:t>.</w:t>
            </w:r>
            <w:r>
              <w:rPr>
                <w:rFonts w:ascii="Arial Narrow" w:hAnsi="Arial Narrow" w:cs="Arial"/>
                <w:sz w:val="20"/>
                <w:szCs w:val="20"/>
              </w:rPr>
              <w:t xml:space="preserve"> </w:t>
            </w:r>
          </w:p>
          <w:p w:rsidR="00720493" w:rsidRPr="007B6268" w:rsidRDefault="00720493" w:rsidP="00C7068A">
            <w:pPr>
              <w:pStyle w:val="NormalWeb"/>
              <w:ind w:left="0"/>
              <w:rPr>
                <w:rFonts w:ascii="Arial Narrow" w:hAnsi="Arial Narrow"/>
                <w:sz w:val="20"/>
                <w:szCs w:val="20"/>
              </w:rPr>
            </w:pPr>
            <w:r w:rsidRPr="007B6268">
              <w:rPr>
                <w:rFonts w:ascii="Arial Narrow" w:hAnsi="Arial Narrow"/>
                <w:sz w:val="20"/>
                <w:szCs w:val="20"/>
              </w:rPr>
              <w:t>This product is not PBS-subsidised for the treatment of asthma.</w:t>
            </w:r>
          </w:p>
          <w:p w:rsidR="00720493" w:rsidRPr="007B6268" w:rsidRDefault="00720493" w:rsidP="00C7068A">
            <w:pPr>
              <w:pStyle w:val="NormalWeb"/>
              <w:ind w:left="0"/>
              <w:rPr>
                <w:rFonts w:ascii="Arial Narrow" w:hAnsi="Arial Narrow"/>
                <w:sz w:val="20"/>
                <w:szCs w:val="20"/>
              </w:rPr>
            </w:pPr>
            <w:r w:rsidRPr="007B6268">
              <w:rPr>
                <w:rFonts w:ascii="Arial Narrow" w:hAnsi="Arial Narrow"/>
                <w:sz w:val="20"/>
                <w:szCs w:val="20"/>
              </w:rPr>
              <w:t xml:space="preserve">This product is not indicated for the initiation of bronchodilator therapy in COPD. </w:t>
            </w:r>
          </w:p>
          <w:p w:rsidR="00720493" w:rsidRPr="00AA6313" w:rsidRDefault="00720493" w:rsidP="00C7068A">
            <w:pPr>
              <w:ind w:left="-108"/>
              <w:jc w:val="both"/>
              <w:rPr>
                <w:rFonts w:ascii="Arial Narrow" w:hAnsi="Arial Narrow" w:cs="Arial"/>
                <w:sz w:val="20"/>
                <w:szCs w:val="20"/>
              </w:rPr>
            </w:pPr>
          </w:p>
        </w:tc>
      </w:tr>
    </w:tbl>
    <w:p w:rsidR="008D447E" w:rsidRDefault="008D447E" w:rsidP="009D3CAA">
      <w:pPr>
        <w:rPr>
          <w:rFonts w:ascii="Arial" w:hAnsi="Arial"/>
        </w:rPr>
      </w:pPr>
    </w:p>
    <w:p w:rsidR="00837FD3" w:rsidRPr="00A875B4" w:rsidRDefault="00837FD3" w:rsidP="00837FD3">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837FD3" w:rsidRPr="00A875B4" w:rsidRDefault="00837FD3" w:rsidP="00837FD3">
      <w:pPr>
        <w:pStyle w:val="ListParagraph"/>
        <w:rPr>
          <w:rFonts w:ascii="Arial" w:hAnsi="Arial" w:cs="Arial"/>
          <w:b/>
          <w:sz w:val="22"/>
        </w:rPr>
      </w:pPr>
    </w:p>
    <w:p w:rsidR="00837FD3" w:rsidRPr="00A875B4" w:rsidRDefault="00837FD3" w:rsidP="00837FD3">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37FD3" w:rsidRPr="00A875B4" w:rsidRDefault="00837FD3" w:rsidP="00837FD3">
      <w:pPr>
        <w:rPr>
          <w:rFonts w:ascii="Arial" w:hAnsi="Arial" w:cs="Arial"/>
          <w:sz w:val="22"/>
        </w:rPr>
      </w:pPr>
    </w:p>
    <w:p w:rsidR="00837FD3" w:rsidRDefault="00837FD3" w:rsidP="00837FD3">
      <w:pPr>
        <w:pStyle w:val="ListParagraph"/>
        <w:numPr>
          <w:ilvl w:val="0"/>
          <w:numId w:val="25"/>
        </w:numPr>
        <w:jc w:val="both"/>
        <w:rPr>
          <w:rFonts w:ascii="Arial" w:hAnsi="Arial" w:cs="Arial"/>
          <w:b/>
          <w:sz w:val="22"/>
        </w:rPr>
      </w:pPr>
      <w:r w:rsidRPr="00A875B4">
        <w:rPr>
          <w:rFonts w:ascii="Arial" w:hAnsi="Arial" w:cs="Arial"/>
          <w:b/>
          <w:sz w:val="22"/>
        </w:rPr>
        <w:t>Sponsor’s Comment</w:t>
      </w:r>
    </w:p>
    <w:p w:rsidR="00E60195" w:rsidRPr="00A875B4" w:rsidRDefault="00E60195" w:rsidP="00E60195">
      <w:pPr>
        <w:pStyle w:val="ListParagraph"/>
        <w:jc w:val="both"/>
        <w:rPr>
          <w:rFonts w:ascii="Arial" w:hAnsi="Arial" w:cs="Arial"/>
          <w:b/>
          <w:sz w:val="22"/>
        </w:rPr>
      </w:pPr>
    </w:p>
    <w:p w:rsidR="00837FD3" w:rsidRPr="006D6EC7" w:rsidRDefault="00D15601" w:rsidP="00D15601">
      <w:pPr>
        <w:ind w:left="709"/>
        <w:rPr>
          <w:rFonts w:ascii="Arial" w:hAnsi="Arial"/>
        </w:rPr>
      </w:pPr>
      <w:r w:rsidRPr="00211F4B">
        <w:rPr>
          <w:rFonts w:ascii="Arial" w:hAnsi="Arial" w:cs="Arial"/>
          <w:sz w:val="22"/>
        </w:rPr>
        <w:t xml:space="preserve">GlaxoSmithKline welcomes the PBAC’s recommendation to list </w:t>
      </w:r>
      <w:proofErr w:type="spellStart"/>
      <w:r w:rsidRPr="00211F4B">
        <w:rPr>
          <w:rFonts w:ascii="Arial" w:hAnsi="Arial" w:cs="Arial"/>
          <w:sz w:val="22"/>
        </w:rPr>
        <w:t>Anoro</w:t>
      </w:r>
      <w:proofErr w:type="spellEnd"/>
      <w:r w:rsidRPr="00211F4B">
        <w:rPr>
          <w:rFonts w:ascii="Arial" w:hAnsi="Arial" w:cs="Arial"/>
          <w:sz w:val="22"/>
        </w:rPr>
        <w:t xml:space="preserve"> for the treatment of COPD on the PBS</w:t>
      </w:r>
      <w:r>
        <w:rPr>
          <w:rFonts w:ascii="Arial" w:hAnsi="Arial" w:cs="Arial"/>
          <w:sz w:val="22"/>
        </w:rPr>
        <w:t>.</w:t>
      </w:r>
    </w:p>
    <w:sectPr w:rsidR="00837FD3" w:rsidRPr="006D6EC7"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6D66A4" w:rsidRDefault="006D66A4">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142710">
          <w:rPr>
            <w:rFonts w:ascii="Arial" w:hAnsi="Arial" w:cs="Arial"/>
            <w:noProof/>
            <w:sz w:val="20"/>
            <w:szCs w:val="20"/>
          </w:rPr>
          <w:t>5</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3" w:rsidRPr="00DF217D" w:rsidRDefault="00837FD3" w:rsidP="00837FD3">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5">
    <w:nsid w:val="3DAD5A12"/>
    <w:multiLevelType w:val="hybridMultilevel"/>
    <w:tmpl w:val="6D20C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nsid w:val="784D033C"/>
    <w:multiLevelType w:val="multilevel"/>
    <w:tmpl w:val="994693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29"/>
  </w:num>
  <w:num w:numId="3">
    <w:abstractNumId w:val="16"/>
  </w:num>
  <w:num w:numId="4">
    <w:abstractNumId w:val="0"/>
  </w:num>
  <w:num w:numId="5">
    <w:abstractNumId w:val="4"/>
  </w:num>
  <w:num w:numId="6">
    <w:abstractNumId w:val="14"/>
  </w:num>
  <w:num w:numId="7">
    <w:abstractNumId w:val="12"/>
  </w:num>
  <w:num w:numId="8">
    <w:abstractNumId w:val="3"/>
  </w:num>
  <w:num w:numId="9">
    <w:abstractNumId w:val="6"/>
  </w:num>
  <w:num w:numId="10">
    <w:abstractNumId w:val="27"/>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3"/>
  </w:num>
  <w:num w:numId="16">
    <w:abstractNumId w:val="19"/>
  </w:num>
  <w:num w:numId="17">
    <w:abstractNumId w:val="32"/>
  </w:num>
  <w:num w:numId="18">
    <w:abstractNumId w:val="10"/>
  </w:num>
  <w:num w:numId="19">
    <w:abstractNumId w:val="13"/>
  </w:num>
  <w:num w:numId="20">
    <w:abstractNumId w:val="2"/>
  </w:num>
  <w:num w:numId="21">
    <w:abstractNumId w:val="26"/>
  </w:num>
  <w:num w:numId="22">
    <w:abstractNumId w:val="28"/>
  </w:num>
  <w:num w:numId="23">
    <w:abstractNumId w:val="34"/>
  </w:num>
  <w:num w:numId="24">
    <w:abstractNumId w:val="11"/>
  </w:num>
  <w:num w:numId="25">
    <w:abstractNumId w:val="33"/>
  </w:num>
  <w:num w:numId="26">
    <w:abstractNumId w:val="24"/>
  </w:num>
  <w:num w:numId="27">
    <w:abstractNumId w:val="9"/>
  </w:num>
  <w:num w:numId="28">
    <w:abstractNumId w:val="5"/>
  </w:num>
  <w:num w:numId="29">
    <w:abstractNumId w:val="21"/>
  </w:num>
  <w:num w:numId="30">
    <w:abstractNumId w:val="1"/>
  </w:num>
  <w:num w:numId="31">
    <w:abstractNumId w:val="22"/>
  </w:num>
  <w:num w:numId="32">
    <w:abstractNumId w:val="31"/>
  </w:num>
  <w:num w:numId="33">
    <w:abstractNumId w:val="20"/>
  </w:num>
  <w:num w:numId="34">
    <w:abstractNumId w:val="35"/>
  </w:num>
  <w:num w:numId="35">
    <w:abstractNumId w:val="8"/>
  </w:num>
  <w:num w:numId="36">
    <w:abstractNumId w:val="18"/>
  </w:num>
  <w:num w:numId="37">
    <w:abstractNumId w:val="25"/>
  </w:num>
  <w:num w:numId="38">
    <w:abstractNumId w:val="15"/>
  </w:num>
  <w:num w:numId="3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B558D"/>
    <w:rsid w:val="000C6996"/>
    <w:rsid w:val="000D23BA"/>
    <w:rsid w:val="000E681E"/>
    <w:rsid w:val="000F4E6A"/>
    <w:rsid w:val="001107BF"/>
    <w:rsid w:val="0012417C"/>
    <w:rsid w:val="00142395"/>
    <w:rsid w:val="00142710"/>
    <w:rsid w:val="00142714"/>
    <w:rsid w:val="001452ED"/>
    <w:rsid w:val="00155E38"/>
    <w:rsid w:val="00163F06"/>
    <w:rsid w:val="001830CE"/>
    <w:rsid w:val="00196307"/>
    <w:rsid w:val="001B017F"/>
    <w:rsid w:val="001B5129"/>
    <w:rsid w:val="001C1195"/>
    <w:rsid w:val="001D52B3"/>
    <w:rsid w:val="001D7C8F"/>
    <w:rsid w:val="00213CFB"/>
    <w:rsid w:val="00271BA1"/>
    <w:rsid w:val="00277505"/>
    <w:rsid w:val="002821E6"/>
    <w:rsid w:val="0029458F"/>
    <w:rsid w:val="002A104C"/>
    <w:rsid w:val="002A4960"/>
    <w:rsid w:val="002B1AE6"/>
    <w:rsid w:val="002B30F8"/>
    <w:rsid w:val="002C212F"/>
    <w:rsid w:val="002E72CA"/>
    <w:rsid w:val="002F7C84"/>
    <w:rsid w:val="003170FD"/>
    <w:rsid w:val="00326E79"/>
    <w:rsid w:val="003367EF"/>
    <w:rsid w:val="00341AE4"/>
    <w:rsid w:val="003A5B4A"/>
    <w:rsid w:val="003B23C5"/>
    <w:rsid w:val="003B2A75"/>
    <w:rsid w:val="003C42E3"/>
    <w:rsid w:val="003D4AC4"/>
    <w:rsid w:val="003D63B7"/>
    <w:rsid w:val="003E468B"/>
    <w:rsid w:val="003F5C8C"/>
    <w:rsid w:val="004013E7"/>
    <w:rsid w:val="004465BD"/>
    <w:rsid w:val="00466ADA"/>
    <w:rsid w:val="00474E04"/>
    <w:rsid w:val="00485940"/>
    <w:rsid w:val="004B5640"/>
    <w:rsid w:val="004C1BD7"/>
    <w:rsid w:val="004C3DD2"/>
    <w:rsid w:val="004C691D"/>
    <w:rsid w:val="004E692D"/>
    <w:rsid w:val="00514CD7"/>
    <w:rsid w:val="00534E2E"/>
    <w:rsid w:val="00544552"/>
    <w:rsid w:val="00581932"/>
    <w:rsid w:val="005827E0"/>
    <w:rsid w:val="005963BB"/>
    <w:rsid w:val="005A3173"/>
    <w:rsid w:val="005A3223"/>
    <w:rsid w:val="005A3DA3"/>
    <w:rsid w:val="005A52C4"/>
    <w:rsid w:val="005D03AB"/>
    <w:rsid w:val="005D5017"/>
    <w:rsid w:val="00601A91"/>
    <w:rsid w:val="00602BA3"/>
    <w:rsid w:val="00614159"/>
    <w:rsid w:val="00617C00"/>
    <w:rsid w:val="006263BF"/>
    <w:rsid w:val="00630A2C"/>
    <w:rsid w:val="00636D26"/>
    <w:rsid w:val="0064015E"/>
    <w:rsid w:val="00646AB3"/>
    <w:rsid w:val="00651169"/>
    <w:rsid w:val="0065199C"/>
    <w:rsid w:val="00653D69"/>
    <w:rsid w:val="00661386"/>
    <w:rsid w:val="00670A76"/>
    <w:rsid w:val="006711AA"/>
    <w:rsid w:val="00675622"/>
    <w:rsid w:val="006906DB"/>
    <w:rsid w:val="0069520F"/>
    <w:rsid w:val="006A12A5"/>
    <w:rsid w:val="006B0D94"/>
    <w:rsid w:val="006B12FF"/>
    <w:rsid w:val="006B485D"/>
    <w:rsid w:val="006C708E"/>
    <w:rsid w:val="006D3262"/>
    <w:rsid w:val="006D66A4"/>
    <w:rsid w:val="006D6EC7"/>
    <w:rsid w:val="006F5125"/>
    <w:rsid w:val="007174BB"/>
    <w:rsid w:val="00720493"/>
    <w:rsid w:val="0075257A"/>
    <w:rsid w:val="007753C2"/>
    <w:rsid w:val="00781254"/>
    <w:rsid w:val="007838B8"/>
    <w:rsid w:val="0078648D"/>
    <w:rsid w:val="007C0F57"/>
    <w:rsid w:val="007C1D23"/>
    <w:rsid w:val="007C40B6"/>
    <w:rsid w:val="007C729F"/>
    <w:rsid w:val="007D569C"/>
    <w:rsid w:val="007E1D28"/>
    <w:rsid w:val="007F2641"/>
    <w:rsid w:val="007F7C36"/>
    <w:rsid w:val="008066C1"/>
    <w:rsid w:val="00806796"/>
    <w:rsid w:val="00837FD3"/>
    <w:rsid w:val="00856DDD"/>
    <w:rsid w:val="008636C6"/>
    <w:rsid w:val="00863E68"/>
    <w:rsid w:val="00882085"/>
    <w:rsid w:val="00883188"/>
    <w:rsid w:val="00897978"/>
    <w:rsid w:val="00897D58"/>
    <w:rsid w:val="008A3EAC"/>
    <w:rsid w:val="008A4937"/>
    <w:rsid w:val="008D3C82"/>
    <w:rsid w:val="008D447E"/>
    <w:rsid w:val="008E14A6"/>
    <w:rsid w:val="008E29BD"/>
    <w:rsid w:val="008E3680"/>
    <w:rsid w:val="008E5870"/>
    <w:rsid w:val="008F1434"/>
    <w:rsid w:val="008F7355"/>
    <w:rsid w:val="009067B7"/>
    <w:rsid w:val="009156F7"/>
    <w:rsid w:val="00930937"/>
    <w:rsid w:val="00933E6C"/>
    <w:rsid w:val="00942160"/>
    <w:rsid w:val="009602C5"/>
    <w:rsid w:val="00962E4E"/>
    <w:rsid w:val="00974C21"/>
    <w:rsid w:val="009937EB"/>
    <w:rsid w:val="009C1258"/>
    <w:rsid w:val="009C703C"/>
    <w:rsid w:val="009D3CAA"/>
    <w:rsid w:val="009F5B65"/>
    <w:rsid w:val="009F5F2E"/>
    <w:rsid w:val="00A06225"/>
    <w:rsid w:val="00A0711C"/>
    <w:rsid w:val="00A22ECD"/>
    <w:rsid w:val="00A37C8D"/>
    <w:rsid w:val="00A52085"/>
    <w:rsid w:val="00A5273B"/>
    <w:rsid w:val="00A53A9D"/>
    <w:rsid w:val="00A53D77"/>
    <w:rsid w:val="00A56007"/>
    <w:rsid w:val="00A62C1A"/>
    <w:rsid w:val="00A6426D"/>
    <w:rsid w:val="00A70622"/>
    <w:rsid w:val="00A70977"/>
    <w:rsid w:val="00A70FD5"/>
    <w:rsid w:val="00A8390C"/>
    <w:rsid w:val="00A90282"/>
    <w:rsid w:val="00AA4D1C"/>
    <w:rsid w:val="00AA6313"/>
    <w:rsid w:val="00AB662E"/>
    <w:rsid w:val="00AC5206"/>
    <w:rsid w:val="00AE11A5"/>
    <w:rsid w:val="00AF68CC"/>
    <w:rsid w:val="00B205AA"/>
    <w:rsid w:val="00B25F75"/>
    <w:rsid w:val="00B43E90"/>
    <w:rsid w:val="00B56118"/>
    <w:rsid w:val="00B6773F"/>
    <w:rsid w:val="00B915AB"/>
    <w:rsid w:val="00BB69F5"/>
    <w:rsid w:val="00BB7EC3"/>
    <w:rsid w:val="00BC4B9A"/>
    <w:rsid w:val="00BD784C"/>
    <w:rsid w:val="00BF4CB6"/>
    <w:rsid w:val="00C105F3"/>
    <w:rsid w:val="00C12768"/>
    <w:rsid w:val="00C33605"/>
    <w:rsid w:val="00C35996"/>
    <w:rsid w:val="00C5342C"/>
    <w:rsid w:val="00C6256A"/>
    <w:rsid w:val="00C6310B"/>
    <w:rsid w:val="00C81122"/>
    <w:rsid w:val="00C91449"/>
    <w:rsid w:val="00C92D10"/>
    <w:rsid w:val="00CA7AA6"/>
    <w:rsid w:val="00CB3E7B"/>
    <w:rsid w:val="00CE10C4"/>
    <w:rsid w:val="00CE27B5"/>
    <w:rsid w:val="00D0321E"/>
    <w:rsid w:val="00D15601"/>
    <w:rsid w:val="00D3280C"/>
    <w:rsid w:val="00D3406A"/>
    <w:rsid w:val="00D44789"/>
    <w:rsid w:val="00D469B2"/>
    <w:rsid w:val="00D55988"/>
    <w:rsid w:val="00D741EB"/>
    <w:rsid w:val="00D77212"/>
    <w:rsid w:val="00D91271"/>
    <w:rsid w:val="00DA4BAC"/>
    <w:rsid w:val="00DC7564"/>
    <w:rsid w:val="00DE6D27"/>
    <w:rsid w:val="00DF217D"/>
    <w:rsid w:val="00DF26A7"/>
    <w:rsid w:val="00E164B3"/>
    <w:rsid w:val="00E16910"/>
    <w:rsid w:val="00E321AA"/>
    <w:rsid w:val="00E60195"/>
    <w:rsid w:val="00E65E54"/>
    <w:rsid w:val="00E80155"/>
    <w:rsid w:val="00E848C0"/>
    <w:rsid w:val="00E91B96"/>
    <w:rsid w:val="00E941A1"/>
    <w:rsid w:val="00E95CE3"/>
    <w:rsid w:val="00EA2825"/>
    <w:rsid w:val="00EB5088"/>
    <w:rsid w:val="00EC2F95"/>
    <w:rsid w:val="00ED1644"/>
    <w:rsid w:val="00F050BD"/>
    <w:rsid w:val="00F05657"/>
    <w:rsid w:val="00F25578"/>
    <w:rsid w:val="00F258E5"/>
    <w:rsid w:val="00F300BC"/>
    <w:rsid w:val="00F32792"/>
    <w:rsid w:val="00F3334E"/>
    <w:rsid w:val="00F50EC4"/>
    <w:rsid w:val="00F57A6D"/>
    <w:rsid w:val="00F638CC"/>
    <w:rsid w:val="00F8247A"/>
    <w:rsid w:val="00FA5883"/>
    <w:rsid w:val="00FA6055"/>
    <w:rsid w:val="00FB322F"/>
    <w:rsid w:val="00FB442F"/>
    <w:rsid w:val="00FC1929"/>
    <w:rsid w:val="00FC5B46"/>
    <w:rsid w:val="00FE290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9C1258"/>
    <w:pPr>
      <w:spacing w:before="75" w:after="75"/>
      <w:ind w:left="75" w:right="75"/>
    </w:pPr>
  </w:style>
  <w:style w:type="paragraph" w:styleId="Revision">
    <w:name w:val="Revision"/>
    <w:hidden/>
    <w:uiPriority w:val="71"/>
    <w:rsid w:val="009C1258"/>
    <w:rPr>
      <w:sz w:val="24"/>
      <w:szCs w:val="24"/>
    </w:rPr>
  </w:style>
  <w:style w:type="character" w:customStyle="1" w:styleId="ListParagraphChar">
    <w:name w:val="List Paragraph Char"/>
    <w:link w:val="ListParagraph"/>
    <w:uiPriority w:val="72"/>
    <w:locked/>
    <w:rsid w:val="00837F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9C1258"/>
    <w:pPr>
      <w:spacing w:before="75" w:after="75"/>
      <w:ind w:left="75" w:right="75"/>
    </w:pPr>
  </w:style>
  <w:style w:type="paragraph" w:styleId="Revision">
    <w:name w:val="Revision"/>
    <w:hidden/>
    <w:uiPriority w:val="71"/>
    <w:rsid w:val="009C1258"/>
    <w:rPr>
      <w:sz w:val="24"/>
      <w:szCs w:val="24"/>
    </w:rPr>
  </w:style>
  <w:style w:type="character" w:customStyle="1" w:styleId="ListParagraphChar">
    <w:name w:val="List Paragraph Char"/>
    <w:link w:val="ListParagraph"/>
    <w:uiPriority w:val="72"/>
    <w:locked/>
    <w:rsid w:val="00837F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54944686">
      <w:bodyDiv w:val="1"/>
      <w:marLeft w:val="0"/>
      <w:marRight w:val="0"/>
      <w:marTop w:val="0"/>
      <w:marBottom w:val="0"/>
      <w:divBdr>
        <w:top w:val="none" w:sz="0" w:space="0" w:color="auto"/>
        <w:left w:val="none" w:sz="0" w:space="0" w:color="auto"/>
        <w:bottom w:val="none" w:sz="0" w:space="0" w:color="auto"/>
        <w:right w:val="none" w:sz="0" w:space="0" w:color="auto"/>
      </w:divBdr>
    </w:div>
    <w:div w:id="78573485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42487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5633607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17272214">
      <w:bodyDiv w:val="1"/>
      <w:marLeft w:val="0"/>
      <w:marRight w:val="0"/>
      <w:marTop w:val="0"/>
      <w:marBottom w:val="0"/>
      <w:divBdr>
        <w:top w:val="none" w:sz="0" w:space="0" w:color="auto"/>
        <w:left w:val="none" w:sz="0" w:space="0" w:color="auto"/>
        <w:bottom w:val="none" w:sz="0" w:space="0" w:color="auto"/>
        <w:right w:val="none" w:sz="0" w:space="0" w:color="auto"/>
      </w:divBdr>
    </w:div>
    <w:div w:id="21425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435D-860E-4AB0-A7E3-7727A353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1733</Words>
  <Characters>9673</Characters>
  <Application>Microsoft Office Word</Application>
  <DocSecurity>6</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Thomas Gareth</cp:lastModifiedBy>
  <cp:revision>2</cp:revision>
  <cp:lastPrinted>2014-08-01T03:50:00Z</cp:lastPrinted>
  <dcterms:created xsi:type="dcterms:W3CDTF">2014-11-03T03:48:00Z</dcterms:created>
  <dcterms:modified xsi:type="dcterms:W3CDTF">2014-11-03T03:48:00Z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