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5104" w:rsidRPr="004D51AA" w:rsidRDefault="000E65D4" w:rsidP="004D51AA">
      <w:pPr>
        <w:pStyle w:val="BodyText"/>
        <w:rPr>
          <w:b/>
          <w:sz w:val="28"/>
        </w:rPr>
      </w:pPr>
      <w:bookmarkStart w:id="0" w:name="_Toc398284960"/>
      <w:r w:rsidRPr="004D51AA">
        <w:rPr>
          <w:b/>
          <w:sz w:val="28"/>
        </w:rPr>
        <w:t>6.1</w:t>
      </w:r>
      <w:r w:rsidR="00B60939" w:rsidRPr="004D51AA">
        <w:rPr>
          <w:b/>
          <w:sz w:val="28"/>
        </w:rPr>
        <w:tab/>
      </w:r>
      <w:r w:rsidR="0066190B" w:rsidRPr="004D51AA">
        <w:rPr>
          <w:b/>
          <w:sz w:val="28"/>
        </w:rPr>
        <w:t>ADALIMUMAB</w:t>
      </w:r>
      <w:bookmarkEnd w:id="0"/>
    </w:p>
    <w:p w:rsidR="006B5104" w:rsidRPr="006B5104" w:rsidRDefault="00470BCD" w:rsidP="006B5104">
      <w:pPr>
        <w:ind w:left="709"/>
        <w:rPr>
          <w:b/>
          <w:sz w:val="28"/>
        </w:rPr>
      </w:pPr>
      <w:r w:rsidRPr="00055AFE">
        <w:rPr>
          <w:b/>
          <w:sz w:val="28"/>
        </w:rPr>
        <w:t>20 mg/0.4 ml injection, 2 x 0.4 ml syringes,</w:t>
      </w:r>
      <w:r w:rsidRPr="006B5104">
        <w:rPr>
          <w:b/>
          <w:sz w:val="28"/>
        </w:rPr>
        <w:t xml:space="preserve"> </w:t>
      </w:r>
    </w:p>
    <w:p w:rsidR="006B5104" w:rsidRPr="006B5104" w:rsidRDefault="00470BCD" w:rsidP="006B5104">
      <w:pPr>
        <w:ind w:left="709"/>
        <w:rPr>
          <w:b/>
          <w:sz w:val="28"/>
        </w:rPr>
      </w:pPr>
      <w:r w:rsidRPr="006B5104">
        <w:rPr>
          <w:b/>
          <w:sz w:val="28"/>
        </w:rPr>
        <w:t xml:space="preserve">40 mg/0.8 ml injection, 2 x 0.8 ml cartridges, </w:t>
      </w:r>
    </w:p>
    <w:p w:rsidR="006B5104" w:rsidRPr="006B5104" w:rsidRDefault="00470BCD" w:rsidP="006B5104">
      <w:pPr>
        <w:ind w:left="709"/>
        <w:rPr>
          <w:b/>
          <w:sz w:val="28"/>
        </w:rPr>
      </w:pPr>
      <w:r w:rsidRPr="006B5104">
        <w:rPr>
          <w:b/>
          <w:sz w:val="28"/>
        </w:rPr>
        <w:t xml:space="preserve">40 mg/0.8 ml injection, 2 x 0.8 ml syringes, </w:t>
      </w:r>
    </w:p>
    <w:p w:rsidR="006B5104" w:rsidRPr="006B5104" w:rsidRDefault="00470BCD" w:rsidP="006B5104">
      <w:pPr>
        <w:ind w:left="709"/>
        <w:rPr>
          <w:b/>
          <w:sz w:val="28"/>
        </w:rPr>
      </w:pPr>
      <w:r w:rsidRPr="006B5104">
        <w:rPr>
          <w:b/>
          <w:sz w:val="28"/>
        </w:rPr>
        <w:t xml:space="preserve">40 mg/0.8 ml injection, 6 x 0.8 ml cartridges, </w:t>
      </w:r>
    </w:p>
    <w:p w:rsidR="006B5104" w:rsidRPr="006B5104" w:rsidRDefault="00470BCD" w:rsidP="006B5104">
      <w:pPr>
        <w:ind w:left="709"/>
        <w:rPr>
          <w:b/>
          <w:sz w:val="28"/>
        </w:rPr>
      </w:pPr>
      <w:r w:rsidRPr="006B5104">
        <w:rPr>
          <w:b/>
          <w:sz w:val="28"/>
        </w:rPr>
        <w:t xml:space="preserve">40 mg/0.8 ml </w:t>
      </w:r>
      <w:r w:rsidR="00426367">
        <w:rPr>
          <w:b/>
          <w:sz w:val="28"/>
        </w:rPr>
        <w:t>injection, 6 x 0.8 ml syringes;</w:t>
      </w:r>
    </w:p>
    <w:p w:rsidR="00216295" w:rsidRDefault="00470BCD" w:rsidP="006B5104">
      <w:pPr>
        <w:ind w:left="709"/>
        <w:rPr>
          <w:b/>
          <w:sz w:val="28"/>
        </w:rPr>
      </w:pPr>
      <w:proofErr w:type="spellStart"/>
      <w:proofErr w:type="gramStart"/>
      <w:r w:rsidRPr="006B5104">
        <w:rPr>
          <w:b/>
          <w:sz w:val="28"/>
        </w:rPr>
        <w:t>Humira</w:t>
      </w:r>
      <w:proofErr w:type="spellEnd"/>
      <w:r w:rsidRPr="006B5104">
        <w:rPr>
          <w:rFonts w:hint="eastAsia"/>
          <w:b/>
          <w:sz w:val="28"/>
        </w:rPr>
        <w:t>®</w:t>
      </w:r>
      <w:r w:rsidR="00426367">
        <w:rPr>
          <w:b/>
          <w:sz w:val="28"/>
        </w:rPr>
        <w:t>;</w:t>
      </w:r>
      <w:r w:rsidRPr="006B5104">
        <w:rPr>
          <w:b/>
          <w:sz w:val="28"/>
        </w:rPr>
        <w:t xml:space="preserve"> </w:t>
      </w:r>
      <w:proofErr w:type="spellStart"/>
      <w:r w:rsidRPr="006B5104">
        <w:rPr>
          <w:b/>
          <w:sz w:val="28"/>
        </w:rPr>
        <w:t>AbbVie</w:t>
      </w:r>
      <w:proofErr w:type="spellEnd"/>
      <w:r w:rsidRPr="006B5104">
        <w:rPr>
          <w:b/>
          <w:sz w:val="28"/>
        </w:rPr>
        <w:t xml:space="preserve"> Pty Ltd</w:t>
      </w:r>
      <w:r w:rsidR="00426367">
        <w:rPr>
          <w:b/>
          <w:sz w:val="28"/>
        </w:rPr>
        <w:t>.</w:t>
      </w:r>
      <w:proofErr w:type="gramEnd"/>
    </w:p>
    <w:p w:rsidR="00B60939" w:rsidRDefault="00B60939" w:rsidP="00A54C2C">
      <w:pPr>
        <w:widowControl/>
        <w:jc w:val="left"/>
      </w:pPr>
    </w:p>
    <w:p w:rsidR="00091D46" w:rsidRPr="0078738D" w:rsidRDefault="00091D46" w:rsidP="00A54C2C">
      <w:pPr>
        <w:widowControl/>
        <w:jc w:val="left"/>
      </w:pPr>
    </w:p>
    <w:p w:rsidR="00B50DB8" w:rsidRPr="0078738D" w:rsidRDefault="00B50DB8" w:rsidP="00426367">
      <w:pPr>
        <w:pStyle w:val="PBACHeading1"/>
      </w:pPr>
      <w:bookmarkStart w:id="1" w:name="_Toc398284962"/>
      <w:r w:rsidRPr="0078738D">
        <w:t>Purpose of Application</w:t>
      </w:r>
      <w:bookmarkEnd w:id="1"/>
    </w:p>
    <w:p w:rsidR="00B60939" w:rsidRPr="0078738D" w:rsidRDefault="00B60939" w:rsidP="00B60939">
      <w:pPr>
        <w:rPr>
          <w:szCs w:val="22"/>
        </w:rPr>
      </w:pPr>
    </w:p>
    <w:p w:rsidR="002C2775" w:rsidRPr="0078738D" w:rsidRDefault="002F5FAF" w:rsidP="00955E40">
      <w:pPr>
        <w:pStyle w:val="ListParagraph"/>
        <w:widowControl/>
        <w:numPr>
          <w:ilvl w:val="1"/>
          <w:numId w:val="1"/>
        </w:numPr>
        <w:rPr>
          <w:szCs w:val="22"/>
        </w:rPr>
      </w:pPr>
      <w:r w:rsidRPr="0078738D">
        <w:t>The submission propose</w:t>
      </w:r>
      <w:r w:rsidR="00055AFE">
        <w:t>d</w:t>
      </w:r>
      <w:r w:rsidRPr="0078738D">
        <w:t xml:space="preserve"> the inclusion on the Pharmaceutical Benefits Scheme (</w:t>
      </w:r>
      <w:r w:rsidR="00A425A3" w:rsidRPr="0078738D">
        <w:t>Section 85</w:t>
      </w:r>
      <w:r w:rsidRPr="0078738D">
        <w:t>,</w:t>
      </w:r>
      <w:r w:rsidR="001E238E" w:rsidRPr="0078738D">
        <w:t xml:space="preserve"> Authority </w:t>
      </w:r>
      <w:proofErr w:type="gramStart"/>
      <w:r w:rsidR="001E238E" w:rsidRPr="0078738D">
        <w:t>Required</w:t>
      </w:r>
      <w:proofErr w:type="gramEnd"/>
      <w:r w:rsidRPr="0078738D">
        <w:t>)</w:t>
      </w:r>
      <w:r w:rsidR="001E238E" w:rsidRPr="0078738D">
        <w:t xml:space="preserve"> </w:t>
      </w:r>
      <w:r w:rsidRPr="0078738D">
        <w:t>of</w:t>
      </w:r>
      <w:r w:rsidR="001E238E" w:rsidRPr="0078738D">
        <w:t xml:space="preserve"> </w:t>
      </w:r>
      <w:r w:rsidR="00A425A3" w:rsidRPr="0078738D">
        <w:t>adalimumab</w:t>
      </w:r>
      <w:r w:rsidR="001E238E" w:rsidRPr="0078738D">
        <w:t xml:space="preserve"> for treatment of </w:t>
      </w:r>
      <w:r w:rsidR="00A425A3" w:rsidRPr="0078738D">
        <w:t xml:space="preserve">severe </w:t>
      </w:r>
      <w:r w:rsidR="00DA141A" w:rsidRPr="0078738D">
        <w:t xml:space="preserve">refractory </w:t>
      </w:r>
      <w:r w:rsidR="00A425A3" w:rsidRPr="0078738D">
        <w:t>Crohn’s disease in paediatric patients aged 6 to 17 years.</w:t>
      </w:r>
    </w:p>
    <w:p w:rsidR="004E43B2" w:rsidRDefault="004E43B2" w:rsidP="004B1CB4"/>
    <w:p w:rsidR="00941219" w:rsidRPr="0078738D" w:rsidRDefault="00941219" w:rsidP="004B1CB4"/>
    <w:p w:rsidR="00426367" w:rsidRDefault="00426367" w:rsidP="00426367">
      <w:pPr>
        <w:pStyle w:val="PBACHeading1"/>
      </w:pPr>
      <w:bookmarkStart w:id="2" w:name="_Toc398708601"/>
      <w:r w:rsidRPr="00B73618">
        <w:t>Requested listing</w:t>
      </w:r>
      <w:bookmarkEnd w:id="2"/>
    </w:p>
    <w:p w:rsidR="00B60939" w:rsidRPr="0078738D" w:rsidRDefault="00B60939" w:rsidP="00452C90"/>
    <w:p w:rsidR="00A54C2C" w:rsidRPr="00AD7866" w:rsidRDefault="00A54C2C" w:rsidP="00955E40">
      <w:pPr>
        <w:pStyle w:val="ListParagraph"/>
        <w:widowControl/>
        <w:numPr>
          <w:ilvl w:val="1"/>
          <w:numId w:val="1"/>
        </w:numPr>
        <w:rPr>
          <w:bCs/>
        </w:rPr>
      </w:pPr>
      <w:r>
        <w:rPr>
          <w:bCs/>
        </w:rPr>
        <w:t xml:space="preserve">Presented below is </w:t>
      </w:r>
      <w:r w:rsidR="00941219">
        <w:rPr>
          <w:bCs/>
        </w:rPr>
        <w:t xml:space="preserve">the </w:t>
      </w:r>
      <w:r>
        <w:rPr>
          <w:bCs/>
        </w:rPr>
        <w:t xml:space="preserve">abridged </w:t>
      </w:r>
      <w:r w:rsidR="00941219">
        <w:rPr>
          <w:bCs/>
        </w:rPr>
        <w:t xml:space="preserve">proposed </w:t>
      </w:r>
      <w:r>
        <w:rPr>
          <w:bCs/>
        </w:rPr>
        <w:t xml:space="preserve">restriction. </w:t>
      </w:r>
      <w:r w:rsidRPr="00AD7866">
        <w:rPr>
          <w:bCs/>
        </w:rPr>
        <w:t xml:space="preserve">The </w:t>
      </w:r>
      <w:r w:rsidR="00DA6604">
        <w:rPr>
          <w:bCs/>
        </w:rPr>
        <w:t>restriction will need to be finalised in consultation with the sponsor, the Department of Human Services and the Restrictions Working Group.</w:t>
      </w:r>
    </w:p>
    <w:p w:rsidR="0092745F" w:rsidRPr="0078738D" w:rsidRDefault="0092745F" w:rsidP="007E6AA0">
      <w:pPr>
        <w:widowControl/>
      </w:pP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825"/>
        <w:gridCol w:w="569"/>
        <w:gridCol w:w="708"/>
        <w:gridCol w:w="1134"/>
        <w:gridCol w:w="2128"/>
      </w:tblGrid>
      <w:tr w:rsidR="00556CF7" w:rsidRPr="0078738D" w:rsidTr="00556CF7">
        <w:trPr>
          <w:cantSplit/>
          <w:trHeight w:val="463"/>
        </w:trPr>
        <w:tc>
          <w:tcPr>
            <w:tcW w:w="2287" w:type="pct"/>
            <w:vAlign w:val="center"/>
          </w:tcPr>
          <w:p w:rsidR="00556CF7" w:rsidRPr="0092745F" w:rsidRDefault="00556CF7" w:rsidP="00055AFE">
            <w:pPr>
              <w:keepNext/>
              <w:jc w:val="left"/>
              <w:rPr>
                <w:rFonts w:ascii="Arial Narrow" w:hAnsi="Arial Narrow"/>
                <w:sz w:val="20"/>
              </w:rPr>
            </w:pPr>
            <w:r w:rsidRPr="0092745F">
              <w:rPr>
                <w:rFonts w:ascii="Arial Narrow" w:hAnsi="Arial Narrow"/>
                <w:sz w:val="20"/>
              </w:rPr>
              <w:t>Name, Restriction,</w:t>
            </w:r>
          </w:p>
          <w:p w:rsidR="00556CF7" w:rsidRPr="0092745F" w:rsidRDefault="00556CF7" w:rsidP="00055AFE">
            <w:pPr>
              <w:keepNext/>
              <w:jc w:val="left"/>
              <w:rPr>
                <w:rFonts w:ascii="Arial Narrow" w:hAnsi="Arial Narrow"/>
                <w:sz w:val="20"/>
              </w:rPr>
            </w:pPr>
            <w:r w:rsidRPr="0092745F">
              <w:rPr>
                <w:rFonts w:ascii="Arial Narrow" w:hAnsi="Arial Narrow"/>
                <w:sz w:val="20"/>
              </w:rPr>
              <w:t>Manner of administration and form</w:t>
            </w:r>
          </w:p>
        </w:tc>
        <w:tc>
          <w:tcPr>
            <w:tcW w:w="340" w:type="pct"/>
            <w:vAlign w:val="center"/>
          </w:tcPr>
          <w:p w:rsidR="00556CF7" w:rsidRPr="0092745F" w:rsidRDefault="00556CF7" w:rsidP="00055AFE">
            <w:pPr>
              <w:keepNext/>
              <w:jc w:val="center"/>
              <w:rPr>
                <w:rFonts w:ascii="Arial Narrow" w:hAnsi="Arial Narrow"/>
                <w:sz w:val="20"/>
              </w:rPr>
            </w:pPr>
            <w:r w:rsidRPr="0092745F">
              <w:rPr>
                <w:rFonts w:ascii="Arial Narrow" w:hAnsi="Arial Narrow"/>
                <w:sz w:val="20"/>
              </w:rPr>
              <w:t>Max.</w:t>
            </w:r>
          </w:p>
          <w:p w:rsidR="00556CF7" w:rsidRPr="0092745F" w:rsidRDefault="00556CF7" w:rsidP="00055AFE">
            <w:pPr>
              <w:keepNext/>
              <w:jc w:val="center"/>
              <w:rPr>
                <w:rFonts w:ascii="Arial Narrow" w:hAnsi="Arial Narrow"/>
                <w:sz w:val="20"/>
              </w:rPr>
            </w:pPr>
            <w:r w:rsidRPr="0092745F">
              <w:rPr>
                <w:rFonts w:ascii="Arial Narrow" w:hAnsi="Arial Narrow"/>
                <w:sz w:val="20"/>
              </w:rPr>
              <w:t>Qty</w:t>
            </w:r>
          </w:p>
        </w:tc>
        <w:tc>
          <w:tcPr>
            <w:tcW w:w="423" w:type="pct"/>
            <w:vAlign w:val="center"/>
          </w:tcPr>
          <w:p w:rsidR="00556CF7" w:rsidRPr="00941219" w:rsidRDefault="00556CF7" w:rsidP="00055AFE">
            <w:pPr>
              <w:keepNext/>
              <w:jc w:val="center"/>
              <w:rPr>
                <w:rFonts w:ascii="Arial Narrow" w:hAnsi="Arial Narrow"/>
                <w:sz w:val="20"/>
              </w:rPr>
            </w:pPr>
            <w:r w:rsidRPr="00941219">
              <w:rPr>
                <w:rFonts w:ascii="Arial Narrow" w:hAnsi="Arial Narrow" w:cs="Times New Roman"/>
                <w:sz w:val="20"/>
              </w:rPr>
              <w:t>№</w:t>
            </w:r>
            <w:r w:rsidRPr="00941219">
              <w:rPr>
                <w:rFonts w:ascii="Arial Narrow" w:hAnsi="Arial Narrow"/>
                <w:sz w:val="20"/>
              </w:rPr>
              <w:t>.of</w:t>
            </w:r>
          </w:p>
          <w:p w:rsidR="00556CF7" w:rsidRPr="0092745F" w:rsidRDefault="00556CF7" w:rsidP="00055AFE">
            <w:pPr>
              <w:keepNext/>
              <w:jc w:val="center"/>
              <w:rPr>
                <w:rFonts w:ascii="Arial Narrow" w:hAnsi="Arial Narrow"/>
                <w:sz w:val="20"/>
              </w:rPr>
            </w:pPr>
            <w:r w:rsidRPr="00941219">
              <w:rPr>
                <w:rFonts w:ascii="Arial Narrow" w:hAnsi="Arial Narrow"/>
                <w:sz w:val="20"/>
              </w:rPr>
              <w:t>Rpts</w:t>
            </w:r>
          </w:p>
        </w:tc>
        <w:tc>
          <w:tcPr>
            <w:tcW w:w="1949" w:type="pct"/>
            <w:gridSpan w:val="2"/>
            <w:vAlign w:val="center"/>
          </w:tcPr>
          <w:p w:rsidR="00556CF7" w:rsidRPr="0092745F" w:rsidRDefault="00556CF7" w:rsidP="00055AFE">
            <w:pPr>
              <w:keepNext/>
              <w:jc w:val="center"/>
              <w:rPr>
                <w:rFonts w:ascii="Arial Narrow" w:hAnsi="Arial Narrow"/>
                <w:sz w:val="20"/>
              </w:rPr>
            </w:pPr>
            <w:r w:rsidRPr="0092745F">
              <w:rPr>
                <w:rFonts w:ascii="Arial Narrow" w:hAnsi="Arial Narrow"/>
                <w:sz w:val="20"/>
              </w:rPr>
              <w:t>Proprietary Name and Manufacturer</w:t>
            </w:r>
          </w:p>
        </w:tc>
      </w:tr>
      <w:tr w:rsidR="00556CF7" w:rsidRPr="0078738D" w:rsidTr="00556CF7">
        <w:trPr>
          <w:cantSplit/>
          <w:trHeight w:val="567"/>
        </w:trPr>
        <w:tc>
          <w:tcPr>
            <w:tcW w:w="2287" w:type="pct"/>
            <w:vAlign w:val="center"/>
          </w:tcPr>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ADALIMUMAB, INITIAL TREATMENT, </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BODY WEIGHT &lt; 40 KG</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40 mg in 0.8 mL injection, 2 x 0.8 mL syringe </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40 mg in 0.8 mL injection, 2 x 0.8 mL cartridge </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20 mg in 0.4 mL injection, 2 x 0.4 mL syringe</w:t>
            </w:r>
          </w:p>
          <w:p w:rsidR="00556CF7" w:rsidRPr="0092745F" w:rsidRDefault="00556CF7" w:rsidP="00941219">
            <w:pPr>
              <w:jc w:val="left"/>
              <w:rPr>
                <w:rFonts w:ascii="Arial Narrow" w:hAnsi="Arial Narrow"/>
                <w:smallCaps/>
                <w:sz w:val="20"/>
              </w:rPr>
            </w:pPr>
          </w:p>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ADALIMUMAB, INITIAL TREATMENT, </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BODY WEIGHT ≥ 40 KG</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40 mg in 0.8 mL injection, 6 x 0.8 mL syringe</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40 mg in 0.8 mL injection, 6 x 0.8 mL cartridge</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40 mg in 0.8 mL injection, 2 x 0.8 mL syringe </w:t>
            </w:r>
          </w:p>
          <w:p w:rsidR="00556CF7" w:rsidRPr="0092745F" w:rsidRDefault="00556CF7" w:rsidP="00941219">
            <w:pPr>
              <w:jc w:val="left"/>
              <w:rPr>
                <w:rFonts w:ascii="Arial Narrow" w:hAnsi="Arial Narrow"/>
                <w:sz w:val="20"/>
              </w:rPr>
            </w:pPr>
            <w:r w:rsidRPr="0092745F">
              <w:rPr>
                <w:rFonts w:ascii="Arial Narrow" w:hAnsi="Arial Narrow"/>
                <w:smallCaps/>
                <w:sz w:val="20"/>
              </w:rPr>
              <w:t>40 mg in 0.8 mL injection, 2 x 0.8 mL cartridge</w:t>
            </w:r>
          </w:p>
        </w:tc>
        <w:tc>
          <w:tcPr>
            <w:tcW w:w="340" w:type="pct"/>
            <w:vAlign w:val="center"/>
          </w:tcPr>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r w:rsidRPr="0092745F">
              <w:rPr>
                <w:rFonts w:ascii="Arial Narrow" w:hAnsi="Arial Narrow"/>
                <w:sz w:val="20"/>
              </w:rPr>
              <w:t>1</w:t>
            </w:r>
          </w:p>
        </w:tc>
        <w:tc>
          <w:tcPr>
            <w:tcW w:w="423" w:type="pct"/>
            <w:vAlign w:val="center"/>
          </w:tcPr>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0</w:t>
            </w:r>
          </w:p>
          <w:p w:rsidR="00556CF7" w:rsidRPr="0092745F" w:rsidRDefault="00556CF7" w:rsidP="00941219">
            <w:pPr>
              <w:jc w:val="center"/>
              <w:rPr>
                <w:rFonts w:ascii="Arial Narrow" w:hAnsi="Arial Narrow"/>
                <w:sz w:val="20"/>
              </w:rPr>
            </w:pPr>
            <w:r w:rsidRPr="0092745F">
              <w:rPr>
                <w:rFonts w:ascii="Arial Narrow" w:hAnsi="Arial Narrow"/>
                <w:sz w:val="20"/>
              </w:rPr>
              <w:t>0</w:t>
            </w:r>
          </w:p>
          <w:p w:rsidR="00556CF7" w:rsidRPr="0092745F" w:rsidRDefault="00556CF7" w:rsidP="00941219">
            <w:pPr>
              <w:jc w:val="center"/>
              <w:rPr>
                <w:rFonts w:ascii="Arial Narrow" w:hAnsi="Arial Narrow"/>
                <w:sz w:val="20"/>
              </w:rPr>
            </w:pPr>
            <w:r w:rsidRPr="0092745F">
              <w:rPr>
                <w:rFonts w:ascii="Arial Narrow" w:hAnsi="Arial Narrow"/>
                <w:sz w:val="20"/>
              </w:rPr>
              <w:t>3</w:t>
            </w: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0</w:t>
            </w:r>
          </w:p>
          <w:p w:rsidR="00556CF7" w:rsidRPr="0092745F" w:rsidRDefault="00556CF7" w:rsidP="00941219">
            <w:pPr>
              <w:jc w:val="center"/>
              <w:rPr>
                <w:rFonts w:ascii="Arial Narrow" w:hAnsi="Arial Narrow"/>
                <w:sz w:val="20"/>
              </w:rPr>
            </w:pPr>
            <w:r w:rsidRPr="0092745F">
              <w:rPr>
                <w:rFonts w:ascii="Arial Narrow" w:hAnsi="Arial Narrow"/>
                <w:sz w:val="20"/>
              </w:rPr>
              <w:t>0</w:t>
            </w:r>
          </w:p>
          <w:p w:rsidR="00556CF7" w:rsidRPr="0092745F" w:rsidRDefault="00556CF7" w:rsidP="00941219">
            <w:pPr>
              <w:jc w:val="center"/>
              <w:rPr>
                <w:rFonts w:ascii="Arial Narrow" w:hAnsi="Arial Narrow"/>
                <w:sz w:val="20"/>
              </w:rPr>
            </w:pPr>
            <w:r w:rsidRPr="0092745F">
              <w:rPr>
                <w:rFonts w:ascii="Arial Narrow" w:hAnsi="Arial Narrow"/>
                <w:sz w:val="20"/>
              </w:rPr>
              <w:t>2</w:t>
            </w:r>
          </w:p>
          <w:p w:rsidR="00556CF7" w:rsidRPr="0092745F" w:rsidRDefault="00556CF7" w:rsidP="00941219">
            <w:pPr>
              <w:jc w:val="center"/>
              <w:rPr>
                <w:rFonts w:ascii="Arial Narrow" w:hAnsi="Arial Narrow"/>
                <w:sz w:val="20"/>
              </w:rPr>
            </w:pPr>
            <w:r w:rsidRPr="0092745F">
              <w:rPr>
                <w:rFonts w:ascii="Arial Narrow" w:hAnsi="Arial Narrow"/>
                <w:sz w:val="20"/>
              </w:rPr>
              <w:t>2</w:t>
            </w:r>
          </w:p>
        </w:tc>
        <w:tc>
          <w:tcPr>
            <w:tcW w:w="677" w:type="pct"/>
            <w:vAlign w:val="center"/>
          </w:tcPr>
          <w:p w:rsidR="00556CF7" w:rsidRPr="0092745F" w:rsidRDefault="00556CF7" w:rsidP="00941219">
            <w:pPr>
              <w:jc w:val="center"/>
              <w:rPr>
                <w:rFonts w:ascii="Arial Narrow" w:hAnsi="Arial Narrow"/>
                <w:sz w:val="20"/>
              </w:rPr>
            </w:pPr>
            <w:proofErr w:type="spellStart"/>
            <w:r w:rsidRPr="0092745F">
              <w:rPr>
                <w:rFonts w:ascii="Arial Narrow" w:hAnsi="Arial Narrow"/>
                <w:sz w:val="20"/>
              </w:rPr>
              <w:t>Humira</w:t>
            </w:r>
            <w:proofErr w:type="spellEnd"/>
            <w:r w:rsidRPr="00BA71C1">
              <w:rPr>
                <w:rFonts w:ascii="Arial Narrow" w:hAnsi="Arial Narrow"/>
                <w:sz w:val="20"/>
                <w:vertAlign w:val="superscript"/>
              </w:rPr>
              <w:t>®</w:t>
            </w:r>
          </w:p>
        </w:tc>
        <w:tc>
          <w:tcPr>
            <w:tcW w:w="1272" w:type="pct"/>
            <w:vAlign w:val="center"/>
          </w:tcPr>
          <w:p w:rsidR="00556CF7" w:rsidRPr="0092745F" w:rsidRDefault="00556CF7" w:rsidP="00941219">
            <w:pPr>
              <w:jc w:val="center"/>
              <w:rPr>
                <w:rFonts w:ascii="Arial Narrow" w:hAnsi="Arial Narrow"/>
                <w:sz w:val="20"/>
              </w:rPr>
            </w:pPr>
            <w:proofErr w:type="spellStart"/>
            <w:r w:rsidRPr="0092745F">
              <w:rPr>
                <w:rFonts w:ascii="Arial Narrow" w:hAnsi="Arial Narrow"/>
                <w:sz w:val="20"/>
              </w:rPr>
              <w:t>AbbVie</w:t>
            </w:r>
            <w:proofErr w:type="spellEnd"/>
            <w:r w:rsidRPr="0092745F">
              <w:rPr>
                <w:rFonts w:ascii="Arial Narrow" w:hAnsi="Arial Narrow"/>
                <w:sz w:val="20"/>
              </w:rPr>
              <w:t xml:space="preserve"> </w:t>
            </w:r>
          </w:p>
          <w:p w:rsidR="00556CF7" w:rsidRPr="0092745F" w:rsidRDefault="00556CF7" w:rsidP="00941219">
            <w:pPr>
              <w:jc w:val="center"/>
              <w:rPr>
                <w:rFonts w:ascii="Arial Narrow" w:hAnsi="Arial Narrow"/>
                <w:sz w:val="20"/>
              </w:rPr>
            </w:pPr>
            <w:r w:rsidRPr="0092745F">
              <w:rPr>
                <w:rFonts w:ascii="Arial Narrow" w:hAnsi="Arial Narrow"/>
                <w:sz w:val="20"/>
              </w:rPr>
              <w:t>Pty Ltd</w:t>
            </w:r>
          </w:p>
        </w:tc>
      </w:tr>
      <w:tr w:rsidR="00556CF7" w:rsidRPr="0078738D" w:rsidTr="0055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63"/>
        </w:trPr>
        <w:tc>
          <w:tcPr>
            <w:tcW w:w="2287"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A26B75">
            <w:pPr>
              <w:keepNext/>
              <w:jc w:val="left"/>
              <w:rPr>
                <w:rFonts w:ascii="Arial Narrow" w:hAnsi="Arial Narrow"/>
                <w:sz w:val="20"/>
              </w:rPr>
            </w:pPr>
            <w:r w:rsidRPr="0092745F">
              <w:rPr>
                <w:rFonts w:ascii="Arial Narrow" w:hAnsi="Arial Narrow"/>
                <w:sz w:val="20"/>
              </w:rPr>
              <w:t>Name, Restriction,</w:t>
            </w:r>
          </w:p>
          <w:p w:rsidR="00556CF7" w:rsidRPr="0092745F" w:rsidRDefault="00556CF7" w:rsidP="00A26B75">
            <w:pPr>
              <w:keepNext/>
              <w:jc w:val="left"/>
              <w:rPr>
                <w:rFonts w:ascii="Arial Narrow" w:hAnsi="Arial Narrow"/>
                <w:sz w:val="20"/>
              </w:rPr>
            </w:pPr>
            <w:r w:rsidRPr="0092745F">
              <w:rPr>
                <w:rFonts w:ascii="Arial Narrow" w:hAnsi="Arial Narrow"/>
                <w:sz w:val="20"/>
              </w:rPr>
              <w:t>Manner of administration and form</w:t>
            </w:r>
          </w:p>
        </w:tc>
        <w:tc>
          <w:tcPr>
            <w:tcW w:w="340"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A26B75">
            <w:pPr>
              <w:keepNext/>
              <w:jc w:val="center"/>
              <w:rPr>
                <w:rFonts w:ascii="Arial Narrow" w:hAnsi="Arial Narrow"/>
                <w:sz w:val="20"/>
              </w:rPr>
            </w:pPr>
            <w:r w:rsidRPr="0092745F">
              <w:rPr>
                <w:rFonts w:ascii="Arial Narrow" w:hAnsi="Arial Narrow"/>
                <w:sz w:val="20"/>
              </w:rPr>
              <w:t>Max.</w:t>
            </w:r>
          </w:p>
          <w:p w:rsidR="00556CF7" w:rsidRPr="0092745F" w:rsidRDefault="00556CF7" w:rsidP="00A26B75">
            <w:pPr>
              <w:keepNext/>
              <w:jc w:val="center"/>
              <w:rPr>
                <w:rFonts w:ascii="Arial Narrow" w:hAnsi="Arial Narrow"/>
                <w:sz w:val="20"/>
              </w:rPr>
            </w:pPr>
            <w:r w:rsidRPr="0092745F">
              <w:rPr>
                <w:rFonts w:ascii="Arial Narrow" w:hAnsi="Arial Narrow"/>
                <w:sz w:val="20"/>
              </w:rPr>
              <w:t>Qty</w:t>
            </w:r>
          </w:p>
        </w:tc>
        <w:tc>
          <w:tcPr>
            <w:tcW w:w="423" w:type="pct"/>
            <w:tcBorders>
              <w:top w:val="single" w:sz="4" w:space="0" w:color="auto"/>
              <w:left w:val="single" w:sz="4" w:space="0" w:color="auto"/>
              <w:bottom w:val="single" w:sz="4" w:space="0" w:color="auto"/>
              <w:right w:val="single" w:sz="4" w:space="0" w:color="auto"/>
            </w:tcBorders>
            <w:vAlign w:val="center"/>
          </w:tcPr>
          <w:p w:rsidR="00556CF7" w:rsidRPr="00941219" w:rsidRDefault="00556CF7" w:rsidP="00A26B75">
            <w:pPr>
              <w:keepNext/>
              <w:jc w:val="center"/>
              <w:rPr>
                <w:rFonts w:ascii="Arial Narrow" w:hAnsi="Arial Narrow" w:cs="Times New Roman"/>
                <w:sz w:val="20"/>
              </w:rPr>
            </w:pPr>
            <w:r w:rsidRPr="00941219">
              <w:rPr>
                <w:rFonts w:ascii="Arial Narrow" w:hAnsi="Arial Narrow" w:cs="Times New Roman"/>
                <w:sz w:val="20"/>
              </w:rPr>
              <w:t>№.of</w:t>
            </w:r>
          </w:p>
          <w:p w:rsidR="00556CF7" w:rsidRPr="0092745F" w:rsidRDefault="00556CF7" w:rsidP="00A26B75">
            <w:pPr>
              <w:keepNext/>
              <w:jc w:val="center"/>
              <w:rPr>
                <w:rFonts w:ascii="Arial Narrow" w:hAnsi="Arial Narrow"/>
                <w:sz w:val="20"/>
              </w:rPr>
            </w:pPr>
            <w:r w:rsidRPr="00941219">
              <w:rPr>
                <w:rFonts w:ascii="Arial Narrow" w:hAnsi="Arial Narrow" w:cs="Times New Roman"/>
                <w:sz w:val="20"/>
              </w:rPr>
              <w:t>Rpts</w:t>
            </w:r>
          </w:p>
        </w:tc>
        <w:tc>
          <w:tcPr>
            <w:tcW w:w="1949" w:type="pct"/>
            <w:gridSpan w:val="2"/>
            <w:tcBorders>
              <w:top w:val="single" w:sz="4" w:space="0" w:color="auto"/>
              <w:left w:val="single" w:sz="4" w:space="0" w:color="auto"/>
              <w:bottom w:val="single" w:sz="4" w:space="0" w:color="auto"/>
              <w:right w:val="single" w:sz="4" w:space="0" w:color="auto"/>
            </w:tcBorders>
            <w:vAlign w:val="center"/>
          </w:tcPr>
          <w:p w:rsidR="00556CF7" w:rsidRPr="0092745F" w:rsidRDefault="00556CF7" w:rsidP="00A26B75">
            <w:pPr>
              <w:keepNext/>
              <w:jc w:val="center"/>
              <w:rPr>
                <w:rFonts w:ascii="Arial Narrow" w:hAnsi="Arial Narrow"/>
                <w:sz w:val="20"/>
              </w:rPr>
            </w:pPr>
            <w:r w:rsidRPr="0092745F">
              <w:rPr>
                <w:rFonts w:ascii="Arial Narrow" w:hAnsi="Arial Narrow"/>
                <w:sz w:val="20"/>
              </w:rPr>
              <w:t>Proprietary Name and Manufacturer</w:t>
            </w:r>
          </w:p>
        </w:tc>
      </w:tr>
      <w:tr w:rsidR="00556CF7" w:rsidRPr="0078738D" w:rsidTr="00556C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67"/>
        </w:trPr>
        <w:tc>
          <w:tcPr>
            <w:tcW w:w="2287"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ADALIMUMAB, </w:t>
            </w:r>
            <w:r>
              <w:rPr>
                <w:rFonts w:ascii="Arial Narrow" w:hAnsi="Arial Narrow"/>
                <w:smallCaps/>
                <w:sz w:val="20"/>
              </w:rPr>
              <w:t>CONTINUING</w:t>
            </w:r>
            <w:r w:rsidRPr="0092745F">
              <w:rPr>
                <w:rFonts w:ascii="Arial Narrow" w:hAnsi="Arial Narrow"/>
                <w:smallCaps/>
                <w:sz w:val="20"/>
              </w:rPr>
              <w:t xml:space="preserve"> TREATMENT, </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BODY WEIGHT &lt; 40 KG</w:t>
            </w:r>
          </w:p>
          <w:p w:rsidR="00556CF7" w:rsidRPr="0092745F" w:rsidRDefault="00556CF7" w:rsidP="00941219">
            <w:pPr>
              <w:pStyle w:val="Tabletext"/>
              <w:widowControl w:val="0"/>
            </w:pPr>
            <w:r w:rsidRPr="0092745F">
              <w:t xml:space="preserve">20 mg in 0.4 mL injection, 2 x 0.4 mL syringe </w:t>
            </w:r>
          </w:p>
          <w:p w:rsidR="00556CF7" w:rsidRPr="0092745F" w:rsidRDefault="00556CF7" w:rsidP="00941219">
            <w:pPr>
              <w:jc w:val="left"/>
              <w:rPr>
                <w:rFonts w:ascii="Arial Narrow" w:hAnsi="Arial Narrow"/>
                <w:smallCaps/>
                <w:sz w:val="20"/>
              </w:rPr>
            </w:pPr>
          </w:p>
          <w:p w:rsidR="00556CF7" w:rsidRPr="0092745F" w:rsidRDefault="00556CF7" w:rsidP="00941219">
            <w:pPr>
              <w:jc w:val="left"/>
              <w:rPr>
                <w:rFonts w:ascii="Arial Narrow" w:hAnsi="Arial Narrow"/>
                <w:smallCaps/>
                <w:sz w:val="20"/>
              </w:rPr>
            </w:pPr>
            <w:r w:rsidRPr="0092745F">
              <w:rPr>
                <w:rFonts w:ascii="Arial Narrow" w:hAnsi="Arial Narrow"/>
                <w:smallCaps/>
                <w:sz w:val="20"/>
              </w:rPr>
              <w:t xml:space="preserve">ADALIMUMAB, </w:t>
            </w:r>
            <w:r>
              <w:rPr>
                <w:rFonts w:ascii="Arial Narrow" w:hAnsi="Arial Narrow"/>
                <w:smallCaps/>
                <w:sz w:val="20"/>
              </w:rPr>
              <w:t>CONTINUING</w:t>
            </w:r>
            <w:r w:rsidRPr="0092745F">
              <w:rPr>
                <w:rFonts w:ascii="Arial Narrow" w:hAnsi="Arial Narrow"/>
                <w:smallCaps/>
                <w:sz w:val="20"/>
              </w:rPr>
              <w:t xml:space="preserve"> TREATMENT, </w:t>
            </w:r>
          </w:p>
          <w:p w:rsidR="00556CF7" w:rsidRPr="0092745F" w:rsidRDefault="00556CF7" w:rsidP="00941219">
            <w:pPr>
              <w:jc w:val="left"/>
              <w:rPr>
                <w:rFonts w:ascii="Arial Narrow" w:hAnsi="Arial Narrow"/>
                <w:smallCaps/>
                <w:sz w:val="20"/>
              </w:rPr>
            </w:pPr>
            <w:r w:rsidRPr="0092745F">
              <w:rPr>
                <w:rFonts w:ascii="Arial Narrow" w:hAnsi="Arial Narrow"/>
                <w:smallCaps/>
                <w:sz w:val="20"/>
              </w:rPr>
              <w:t>BODY WEIGHT ≥ 40 KG</w:t>
            </w:r>
          </w:p>
          <w:p w:rsidR="00556CF7" w:rsidRPr="0092745F" w:rsidRDefault="00556CF7" w:rsidP="00941219">
            <w:pPr>
              <w:pStyle w:val="Tabletext"/>
              <w:widowControl w:val="0"/>
            </w:pPr>
            <w:r w:rsidRPr="0092745F">
              <w:t xml:space="preserve">40 mg in 0.8 mL injection, 2 x 0.8 mL syringe </w:t>
            </w:r>
          </w:p>
          <w:p w:rsidR="00556CF7" w:rsidRPr="0092745F" w:rsidRDefault="00556CF7" w:rsidP="00941219">
            <w:pPr>
              <w:pStyle w:val="Tabletext"/>
              <w:widowControl w:val="0"/>
            </w:pPr>
            <w:r w:rsidRPr="0092745F">
              <w:t xml:space="preserve">40 mg in 0.8 mL injection, 2 x 0.8 mL cartridge </w:t>
            </w:r>
          </w:p>
        </w:tc>
        <w:tc>
          <w:tcPr>
            <w:tcW w:w="340"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1</w:t>
            </w:r>
          </w:p>
          <w:p w:rsidR="00556CF7" w:rsidRPr="0092745F" w:rsidRDefault="00556CF7" w:rsidP="00941219">
            <w:pPr>
              <w:jc w:val="center"/>
              <w:rPr>
                <w:rFonts w:ascii="Arial Narrow" w:hAnsi="Arial Narrow"/>
                <w:sz w:val="20"/>
              </w:rPr>
            </w:pPr>
            <w:r w:rsidRPr="0092745F">
              <w:rPr>
                <w:rFonts w:ascii="Arial Narrow" w:hAnsi="Arial Narrow"/>
                <w:sz w:val="20"/>
              </w:rPr>
              <w:t>1</w:t>
            </w:r>
          </w:p>
        </w:tc>
        <w:tc>
          <w:tcPr>
            <w:tcW w:w="423"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5</w:t>
            </w: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p>
          <w:p w:rsidR="00556CF7" w:rsidRPr="0092745F" w:rsidRDefault="00556CF7" w:rsidP="00941219">
            <w:pPr>
              <w:jc w:val="center"/>
              <w:rPr>
                <w:rFonts w:ascii="Arial Narrow" w:hAnsi="Arial Narrow"/>
                <w:sz w:val="20"/>
              </w:rPr>
            </w:pPr>
            <w:r w:rsidRPr="0092745F">
              <w:rPr>
                <w:rFonts w:ascii="Arial Narrow" w:hAnsi="Arial Narrow"/>
                <w:sz w:val="20"/>
              </w:rPr>
              <w:t>5</w:t>
            </w:r>
          </w:p>
          <w:p w:rsidR="00556CF7" w:rsidRPr="0092745F" w:rsidRDefault="00556CF7" w:rsidP="00941219">
            <w:pPr>
              <w:jc w:val="center"/>
              <w:rPr>
                <w:rFonts w:ascii="Arial Narrow" w:hAnsi="Arial Narrow"/>
                <w:sz w:val="20"/>
              </w:rPr>
            </w:pPr>
            <w:r w:rsidRPr="0092745F">
              <w:rPr>
                <w:rFonts w:ascii="Arial Narrow" w:hAnsi="Arial Narrow"/>
                <w:sz w:val="20"/>
              </w:rPr>
              <w:t>5</w:t>
            </w:r>
          </w:p>
        </w:tc>
        <w:tc>
          <w:tcPr>
            <w:tcW w:w="678"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941219">
            <w:pPr>
              <w:jc w:val="center"/>
              <w:rPr>
                <w:rFonts w:ascii="Arial Narrow" w:hAnsi="Arial Narrow"/>
                <w:sz w:val="20"/>
              </w:rPr>
            </w:pPr>
            <w:proofErr w:type="spellStart"/>
            <w:r w:rsidRPr="0092745F">
              <w:rPr>
                <w:rFonts w:ascii="Arial Narrow" w:hAnsi="Arial Narrow"/>
                <w:sz w:val="20"/>
              </w:rPr>
              <w:t>Humira</w:t>
            </w:r>
            <w:proofErr w:type="spellEnd"/>
            <w:r w:rsidRPr="00BA71C1">
              <w:rPr>
                <w:rFonts w:ascii="Arial Narrow" w:hAnsi="Arial Narrow"/>
                <w:sz w:val="20"/>
                <w:vertAlign w:val="superscript"/>
              </w:rPr>
              <w:t>®</w:t>
            </w:r>
          </w:p>
        </w:tc>
        <w:tc>
          <w:tcPr>
            <w:tcW w:w="1272" w:type="pct"/>
            <w:tcBorders>
              <w:top w:val="single" w:sz="4" w:space="0" w:color="auto"/>
              <w:left w:val="single" w:sz="4" w:space="0" w:color="auto"/>
              <w:bottom w:val="single" w:sz="4" w:space="0" w:color="auto"/>
              <w:right w:val="single" w:sz="4" w:space="0" w:color="auto"/>
            </w:tcBorders>
            <w:vAlign w:val="center"/>
          </w:tcPr>
          <w:p w:rsidR="00556CF7" w:rsidRPr="0092745F" w:rsidRDefault="00556CF7" w:rsidP="00941219">
            <w:pPr>
              <w:jc w:val="center"/>
              <w:rPr>
                <w:rFonts w:ascii="Arial Narrow" w:hAnsi="Arial Narrow"/>
                <w:sz w:val="20"/>
              </w:rPr>
            </w:pPr>
            <w:proofErr w:type="spellStart"/>
            <w:r w:rsidRPr="0092745F">
              <w:rPr>
                <w:rFonts w:ascii="Arial Narrow" w:hAnsi="Arial Narrow"/>
                <w:sz w:val="20"/>
              </w:rPr>
              <w:t>AbbVie</w:t>
            </w:r>
            <w:proofErr w:type="spellEnd"/>
            <w:r w:rsidRPr="0092745F">
              <w:rPr>
                <w:rFonts w:ascii="Arial Narrow" w:hAnsi="Arial Narrow"/>
                <w:sz w:val="20"/>
              </w:rPr>
              <w:t xml:space="preserve"> </w:t>
            </w:r>
          </w:p>
          <w:p w:rsidR="00556CF7" w:rsidRPr="0092745F" w:rsidRDefault="00556CF7" w:rsidP="00941219">
            <w:pPr>
              <w:jc w:val="center"/>
              <w:rPr>
                <w:rFonts w:ascii="Arial Narrow" w:hAnsi="Arial Narrow"/>
                <w:sz w:val="20"/>
              </w:rPr>
            </w:pPr>
            <w:r w:rsidRPr="0092745F">
              <w:rPr>
                <w:rFonts w:ascii="Arial Narrow" w:hAnsi="Arial Narrow"/>
                <w:sz w:val="20"/>
              </w:rPr>
              <w:t>Pty Ltd</w:t>
            </w:r>
          </w:p>
        </w:tc>
      </w:tr>
    </w:tbl>
    <w:p w:rsidR="00810584" w:rsidRPr="00BD2865" w:rsidRDefault="00810584" w:rsidP="00810584">
      <w:pPr>
        <w:widowControl/>
        <w:rPr>
          <w:szCs w:val="22"/>
        </w:rPr>
      </w:pPr>
    </w:p>
    <w:p w:rsidR="00CF1854" w:rsidRPr="00AD7866" w:rsidRDefault="00CF1854" w:rsidP="00955E40">
      <w:pPr>
        <w:pStyle w:val="ListParagraph"/>
        <w:widowControl/>
        <w:numPr>
          <w:ilvl w:val="1"/>
          <w:numId w:val="1"/>
        </w:numPr>
        <w:rPr>
          <w:szCs w:val="22"/>
        </w:rPr>
      </w:pPr>
      <w:r w:rsidRPr="00AD7866">
        <w:rPr>
          <w:szCs w:val="22"/>
        </w:rPr>
        <w:t xml:space="preserve">The use of Paediatric Crohn’s Disease Activity Index (PCDAI) for determining an inadequate response to conventional therapies or losing response to infliximab seems appropriate and was used by the PBAC for determining the eligibility of infliximab Crohn’s disease treatment in the paediatric population. The definition used </w:t>
      </w:r>
      <w:r w:rsidRPr="00AD7866">
        <w:rPr>
          <w:szCs w:val="22"/>
        </w:rPr>
        <w:lastRenderedPageBreak/>
        <w:t xml:space="preserve">in the clinical trial is slightly different and less stringent (at least a 15 point reduction in PCDAI) than that in the proposed listing. Further the response criteria defined in the PBS listing for infliximab is a 15 point reduction and a total score of no more than 30 points (PCDAI score). This may result in higher continuation </w:t>
      </w:r>
      <w:r w:rsidR="00D91FCE" w:rsidRPr="00AD7866">
        <w:rPr>
          <w:szCs w:val="22"/>
        </w:rPr>
        <w:t>rates for adalimumab compared with</w:t>
      </w:r>
      <w:r w:rsidRPr="00AD7866">
        <w:rPr>
          <w:szCs w:val="22"/>
        </w:rPr>
        <w:t xml:space="preserve"> infliximab, due to the higher total score of no more than 40 points in the response definition for adalimumab.</w:t>
      </w:r>
    </w:p>
    <w:p w:rsidR="00CF1854" w:rsidRPr="00AD7866" w:rsidRDefault="00CF1854" w:rsidP="00CF1854">
      <w:pPr>
        <w:pStyle w:val="ListParagraph"/>
        <w:widowControl/>
        <w:rPr>
          <w:szCs w:val="22"/>
        </w:rPr>
      </w:pPr>
    </w:p>
    <w:p w:rsidR="00CF1854" w:rsidRPr="00AD7866" w:rsidRDefault="00CF1854" w:rsidP="00955E40">
      <w:pPr>
        <w:pStyle w:val="ListParagraph"/>
        <w:widowControl/>
        <w:numPr>
          <w:ilvl w:val="1"/>
          <w:numId w:val="1"/>
        </w:numPr>
        <w:rPr>
          <w:szCs w:val="22"/>
        </w:rPr>
      </w:pPr>
      <w:r w:rsidRPr="00AD7866">
        <w:rPr>
          <w:szCs w:val="22"/>
        </w:rPr>
        <w:t>The submission consider</w:t>
      </w:r>
      <w:r w:rsidR="00A30E23">
        <w:rPr>
          <w:szCs w:val="22"/>
        </w:rPr>
        <w:t>ed</w:t>
      </w:r>
      <w:r w:rsidRPr="00AD7866">
        <w:rPr>
          <w:szCs w:val="22"/>
        </w:rPr>
        <w:t xml:space="preserve"> that the requested restriction is similar to that of infliximab in moderate to severe paediatric Crohn’s disease, except </w:t>
      </w:r>
      <w:r w:rsidR="00D148B3">
        <w:rPr>
          <w:szCs w:val="22"/>
        </w:rPr>
        <w:t xml:space="preserve">for </w:t>
      </w:r>
      <w:r w:rsidRPr="00AD7866">
        <w:rPr>
          <w:szCs w:val="22"/>
        </w:rPr>
        <w:t>the following differences:</w:t>
      </w:r>
    </w:p>
    <w:p w:rsidR="00CF1854" w:rsidRPr="00AD7866" w:rsidRDefault="00CF1854" w:rsidP="00955E40">
      <w:pPr>
        <w:pStyle w:val="ListParagraph"/>
        <w:widowControl/>
        <w:numPr>
          <w:ilvl w:val="0"/>
          <w:numId w:val="2"/>
        </w:numPr>
        <w:ind w:left="993" w:hanging="284"/>
        <w:rPr>
          <w:szCs w:val="22"/>
        </w:rPr>
      </w:pPr>
      <w:r w:rsidRPr="00AD7866">
        <w:rPr>
          <w:szCs w:val="22"/>
        </w:rPr>
        <w:t>The requested adalimumab listing is for severe patients only (PCDAI &gt;40), while infliximab has a listing for moderate to severe Crohn’s disease (PCDAI &gt;30);</w:t>
      </w:r>
    </w:p>
    <w:p w:rsidR="00CF1854" w:rsidRPr="00AD7866" w:rsidRDefault="00CF1854" w:rsidP="00955E40">
      <w:pPr>
        <w:pStyle w:val="ListParagraph"/>
        <w:widowControl/>
        <w:numPr>
          <w:ilvl w:val="0"/>
          <w:numId w:val="2"/>
        </w:numPr>
        <w:ind w:left="993" w:hanging="284"/>
        <w:rPr>
          <w:szCs w:val="22"/>
        </w:rPr>
      </w:pPr>
      <w:r w:rsidRPr="00AD7866">
        <w:rPr>
          <w:szCs w:val="22"/>
        </w:rPr>
        <w:t xml:space="preserve">The 40 mg formulation is to be used as maintenance therapy in patients weighing 40 kg or more, while 20 mg is to be used </w:t>
      </w:r>
      <w:r w:rsidR="00D91FCE" w:rsidRPr="00AD7866">
        <w:rPr>
          <w:szCs w:val="22"/>
        </w:rPr>
        <w:t xml:space="preserve">as maintenance therapy </w:t>
      </w:r>
      <w:r w:rsidRPr="00AD7866">
        <w:rPr>
          <w:szCs w:val="22"/>
        </w:rPr>
        <w:t>in patient</w:t>
      </w:r>
      <w:r w:rsidR="00D91FCE" w:rsidRPr="00AD7866">
        <w:rPr>
          <w:szCs w:val="22"/>
        </w:rPr>
        <w:t xml:space="preserve">s </w:t>
      </w:r>
      <w:r w:rsidR="006A34C8" w:rsidRPr="00AD7866">
        <w:rPr>
          <w:szCs w:val="22"/>
        </w:rPr>
        <w:t xml:space="preserve">weighing </w:t>
      </w:r>
      <w:r w:rsidRPr="00AD7866">
        <w:rPr>
          <w:szCs w:val="22"/>
        </w:rPr>
        <w:t>less than 40 kg;</w:t>
      </w:r>
      <w:r w:rsidR="00A26B75" w:rsidRPr="00AD7866">
        <w:rPr>
          <w:szCs w:val="22"/>
        </w:rPr>
        <w:t xml:space="preserve"> and</w:t>
      </w:r>
    </w:p>
    <w:p w:rsidR="00CF1854" w:rsidRPr="00AD7866" w:rsidRDefault="00CF1854" w:rsidP="00955E40">
      <w:pPr>
        <w:pStyle w:val="ListParagraph"/>
        <w:widowControl/>
        <w:numPr>
          <w:ilvl w:val="0"/>
          <w:numId w:val="2"/>
        </w:numPr>
        <w:ind w:left="993" w:hanging="284"/>
        <w:rPr>
          <w:szCs w:val="22"/>
        </w:rPr>
      </w:pPr>
      <w:r w:rsidRPr="00AD7866">
        <w:rPr>
          <w:szCs w:val="22"/>
        </w:rPr>
        <w:t>General Schedule rather than Section 100 listing;</w:t>
      </w:r>
    </w:p>
    <w:p w:rsidR="00CF1854" w:rsidRPr="00AD7866" w:rsidRDefault="00CF1854" w:rsidP="00955E40">
      <w:pPr>
        <w:pStyle w:val="ListParagraph"/>
        <w:widowControl/>
        <w:numPr>
          <w:ilvl w:val="0"/>
          <w:numId w:val="2"/>
        </w:numPr>
        <w:ind w:left="993" w:hanging="284"/>
        <w:rPr>
          <w:szCs w:val="22"/>
        </w:rPr>
      </w:pPr>
      <w:r w:rsidRPr="00AD7866">
        <w:rPr>
          <w:szCs w:val="22"/>
        </w:rPr>
        <w:t>Second and subsequent continuing treatment authorities to be telephone authority items.</w:t>
      </w:r>
    </w:p>
    <w:p w:rsidR="00CF1854" w:rsidRPr="00AD7866" w:rsidRDefault="00CF1854" w:rsidP="00CF1854">
      <w:pPr>
        <w:pStyle w:val="ListParagraph"/>
        <w:widowControl/>
        <w:ind w:left="993" w:hanging="284"/>
        <w:rPr>
          <w:szCs w:val="22"/>
        </w:rPr>
      </w:pPr>
    </w:p>
    <w:p w:rsidR="006A34C8" w:rsidRPr="00AD7866" w:rsidRDefault="006A34C8" w:rsidP="00955E40">
      <w:pPr>
        <w:pStyle w:val="ListParagraph"/>
        <w:numPr>
          <w:ilvl w:val="1"/>
          <w:numId w:val="1"/>
        </w:numPr>
      </w:pPr>
      <w:r w:rsidRPr="00AD7866">
        <w:t>The Secretariat comments in the commentary suggested one written-only continuing restriction (as opposed to an initial continuing and a second and subsequent telephone authority continuing restriction) for consistency with the Crohn</w:t>
      </w:r>
      <w:r w:rsidR="00A26B75" w:rsidRPr="00AD7866">
        <w:t>’s</w:t>
      </w:r>
      <w:r w:rsidRPr="00AD7866">
        <w:t xml:space="preserve"> disease in adult</w:t>
      </w:r>
      <w:r w:rsidR="00A26B75" w:rsidRPr="00AD7866">
        <w:t>s</w:t>
      </w:r>
      <w:r w:rsidRPr="00AD7866">
        <w:t xml:space="preserve"> listing and on the basis that there does not appear to be any d</w:t>
      </w:r>
      <w:r w:rsidR="00E413AF">
        <w:t>ifference between the criteria.</w:t>
      </w:r>
    </w:p>
    <w:p w:rsidR="006A34C8" w:rsidRPr="00AD7866" w:rsidRDefault="006A34C8" w:rsidP="006A34C8">
      <w:pPr>
        <w:pStyle w:val="ListParagraph"/>
        <w:widowControl/>
      </w:pPr>
    </w:p>
    <w:p w:rsidR="00F70C81" w:rsidRPr="00AD7866" w:rsidRDefault="00C56603" w:rsidP="00955E40">
      <w:pPr>
        <w:pStyle w:val="ListParagraph"/>
        <w:widowControl/>
        <w:numPr>
          <w:ilvl w:val="1"/>
          <w:numId w:val="1"/>
        </w:numPr>
      </w:pPr>
      <w:r w:rsidRPr="00AD7866">
        <w:t>Under its proposed indication</w:t>
      </w:r>
      <w:r w:rsidR="00F70C81" w:rsidRPr="00AD7866">
        <w:t>,</w:t>
      </w:r>
      <w:r w:rsidRPr="00AD7866">
        <w:t xml:space="preserve"> adalimumab can be used as a treatment alternative to infliximab or as a next line of treatment following treatment failure or intolerance to infliximab. While patients who failed an infliximab therapy are currently required to wait 12 months before retrying the therapy, it is assumed that they would be immediately eligible for adalimumab therapy, as is the case in the current listing </w:t>
      </w:r>
      <w:r w:rsidR="00A26B75" w:rsidRPr="00AD7866">
        <w:t>for</w:t>
      </w:r>
      <w:r w:rsidRPr="00AD7866">
        <w:t xml:space="preserve"> adult Crohn’s disease. In addition, the submission proposes that patients should be allowed to switch between adalimumab and infliximab, without having treatment failure, up to two times per treatment cycle, parallel to the adult listing. This may create circumstances conducive to unauthorised use, given that adalimumab is not proposed for the treatment of patients with moderate Crohn’s disease. Additionally, subgroup analyses presented in the submission indicate that adalimumab is less effective in patients who have failed infliximab.</w:t>
      </w:r>
      <w:r w:rsidR="00941219" w:rsidRPr="00AD7866">
        <w:t xml:space="preserve"> </w:t>
      </w:r>
      <w:r w:rsidRPr="00AD7866">
        <w:t>The submission also assumes that patients would have to cease therapy having failed three courses of treatment for adalimumab and infliximab individually. Combined with the possibility to alternate treatments, this would enable patients to fail five treatment cycles before ceasing TNF</w:t>
      </w:r>
      <w:r w:rsidR="00E70ABA">
        <w:t>-</w:t>
      </w:r>
      <w:r w:rsidRPr="00AD7866">
        <w:t>α treatment.</w:t>
      </w:r>
      <w:r w:rsidR="00941219" w:rsidRPr="00AD7866">
        <w:t xml:space="preserve"> </w:t>
      </w:r>
    </w:p>
    <w:p w:rsidR="00F70C81" w:rsidRPr="00AD7866" w:rsidRDefault="00F70C81" w:rsidP="00F70C81">
      <w:pPr>
        <w:pStyle w:val="ListParagraph"/>
        <w:widowControl/>
      </w:pPr>
    </w:p>
    <w:p w:rsidR="00A73742" w:rsidRPr="00AD7866" w:rsidRDefault="00C56603" w:rsidP="00955E40">
      <w:pPr>
        <w:pStyle w:val="ListParagraph"/>
        <w:widowControl/>
        <w:numPr>
          <w:ilvl w:val="1"/>
          <w:numId w:val="1"/>
        </w:numPr>
      </w:pPr>
      <w:r w:rsidRPr="00AD7866">
        <w:t xml:space="preserve">The </w:t>
      </w:r>
      <w:r w:rsidR="00BD1231">
        <w:t>Pre-Sub-Committee Response (</w:t>
      </w:r>
      <w:r w:rsidRPr="00AD7866">
        <w:t>PSCR</w:t>
      </w:r>
      <w:r w:rsidR="00BD1231">
        <w:t>)</w:t>
      </w:r>
      <w:r w:rsidRPr="00AD7866">
        <w:t xml:space="preserve"> </w:t>
      </w:r>
      <w:r w:rsidR="00831469" w:rsidRPr="00AD7866">
        <w:t xml:space="preserve">stated </w:t>
      </w:r>
      <w:r w:rsidRPr="00AD7866">
        <w:t>that the submission is not requesting patients to be able to fail five treatment cycles before ceasing TNF-α therapy but requests that patients can switch between adalimumab and infliximab without failing treatment, up to two times per treatment cycle parallel to the adult Crohn’</w:t>
      </w:r>
      <w:r w:rsidR="00A73742" w:rsidRPr="00AD7866">
        <w:t>s</w:t>
      </w:r>
      <w:r w:rsidRPr="00AD7866">
        <w:t xml:space="preserve"> disease listing (i.e. up to two courses of either adalimumab or infliximab per cycle).</w:t>
      </w:r>
      <w:r w:rsidR="00F70C81" w:rsidRPr="00AD7866">
        <w:t xml:space="preserve"> </w:t>
      </w:r>
      <w:r w:rsidR="00A73742" w:rsidRPr="00AD7866">
        <w:t>The ESC noted that the swapping criteria between adalimumab and infliximab in the adult Crohn</w:t>
      </w:r>
      <w:r w:rsidR="00F70C81" w:rsidRPr="00AD7866">
        <w:t>’s</w:t>
      </w:r>
      <w:r w:rsidR="00A73742" w:rsidRPr="00AD7866">
        <w:t xml:space="preserve"> disease indication would </w:t>
      </w:r>
      <w:r w:rsidR="00F70C81" w:rsidRPr="00AD7866">
        <w:t>require</w:t>
      </w:r>
      <w:r w:rsidR="00A73742" w:rsidRPr="00AD7866">
        <w:t xml:space="preserve"> clarification.</w:t>
      </w:r>
    </w:p>
    <w:p w:rsidR="00CF1854" w:rsidRPr="00AD7866" w:rsidRDefault="00CF1854" w:rsidP="00C56603">
      <w:pPr>
        <w:widowControl/>
        <w:rPr>
          <w:szCs w:val="22"/>
        </w:rPr>
      </w:pPr>
    </w:p>
    <w:p w:rsidR="004E43B2" w:rsidRPr="00AD7866" w:rsidRDefault="00DE73E6" w:rsidP="00955E40">
      <w:pPr>
        <w:pStyle w:val="ListParagraph"/>
        <w:widowControl/>
        <w:numPr>
          <w:ilvl w:val="1"/>
          <w:numId w:val="1"/>
        </w:numPr>
        <w:rPr>
          <w:szCs w:val="22"/>
        </w:rPr>
      </w:pPr>
      <w:r w:rsidRPr="00AD7866">
        <w:rPr>
          <w:szCs w:val="22"/>
        </w:rPr>
        <w:lastRenderedPageBreak/>
        <w:t>The requested basis for listing is a cost minimisation analysis against infliximab</w:t>
      </w:r>
      <w:r w:rsidR="00B60939" w:rsidRPr="00AD7866">
        <w:rPr>
          <w:szCs w:val="22"/>
        </w:rPr>
        <w:t>.</w:t>
      </w:r>
      <w:r w:rsidR="0020385F" w:rsidRPr="00AD7866">
        <w:rPr>
          <w:szCs w:val="22"/>
        </w:rPr>
        <w:t xml:space="preserve"> </w:t>
      </w:r>
      <w:r w:rsidR="00C90EE2" w:rsidRPr="00AD7866">
        <w:rPr>
          <w:szCs w:val="22"/>
        </w:rPr>
        <w:t>The submission suggest</w:t>
      </w:r>
      <w:r w:rsidR="00D148B3">
        <w:rPr>
          <w:szCs w:val="22"/>
        </w:rPr>
        <w:t>ed</w:t>
      </w:r>
      <w:r w:rsidR="00C90EE2" w:rsidRPr="00AD7866">
        <w:rPr>
          <w:szCs w:val="22"/>
        </w:rPr>
        <w:t xml:space="preserve"> that it is </w:t>
      </w:r>
      <w:r w:rsidR="00042C6A">
        <w:rPr>
          <w:noProof/>
          <w:color w:val="000000"/>
          <w:szCs w:val="22"/>
          <w:highlight w:val="black"/>
        </w:rPr>
        <w:t>'''''''''''''''' ''''' ''''''''''' ''''''''''''''''''''''''''''''' ''''' ''''''' '''''''''''''' ''''''''''''''''''' ''''''''''' ''''' ''''''''' ''''''' ''''''''''' ''''''''''''''''' ''''''''' ''''''''''''''' '''''''''''''''''' ''''''''''''''''''''</w:t>
      </w:r>
      <w:r w:rsidR="00C90EE2" w:rsidRPr="00AD7866">
        <w:rPr>
          <w:szCs w:val="22"/>
        </w:rPr>
        <w:t xml:space="preserve">, however all calculations </w:t>
      </w:r>
      <w:r w:rsidR="00717B36" w:rsidRPr="00AD7866">
        <w:rPr>
          <w:szCs w:val="22"/>
        </w:rPr>
        <w:t xml:space="preserve">(economic evaluation and financial estimates) </w:t>
      </w:r>
      <w:r w:rsidR="00C90EE2" w:rsidRPr="00AD7866">
        <w:rPr>
          <w:szCs w:val="22"/>
        </w:rPr>
        <w:t>are performed using the proposed DPMQ.</w:t>
      </w:r>
      <w:r w:rsidR="00AB65E1" w:rsidRPr="00AD7866">
        <w:rPr>
          <w:szCs w:val="22"/>
        </w:rPr>
        <w:t xml:space="preserve"> </w:t>
      </w:r>
      <w:r w:rsidR="00042C6A">
        <w:rPr>
          <w:noProof/>
          <w:color w:val="000000"/>
          <w:szCs w:val="22"/>
          <w:highlight w:val="black"/>
        </w:rPr>
        <w:t>''''''''' '''''''''''''''' ''''''''''''''''''''''' '''''''''' ''' '''' '''''''''''''''' ''''' '''''''''''''' ''''''' '''''''''''' '''''''''''' ''''''''''''''''''' '''''''''''''''''' '''' '''''''' ''''''''''' '''''''''''''''' '''''''''''''''''' ''''''''''''''''''''''''</w:t>
      </w:r>
      <w:r w:rsidR="00AB65E1" w:rsidRPr="00AD7866">
        <w:rPr>
          <w:szCs w:val="22"/>
        </w:rPr>
        <w:t>.</w:t>
      </w:r>
    </w:p>
    <w:p w:rsidR="007820BB" w:rsidRPr="00AD7866" w:rsidRDefault="007820BB" w:rsidP="007820BB">
      <w:pPr>
        <w:pStyle w:val="ListParagraph"/>
        <w:rPr>
          <w:szCs w:val="22"/>
        </w:rPr>
      </w:pPr>
    </w:p>
    <w:p w:rsidR="007820BB" w:rsidRPr="00AD7866" w:rsidRDefault="007820BB" w:rsidP="00955E40">
      <w:pPr>
        <w:pStyle w:val="ListParagraph"/>
        <w:widowControl/>
        <w:numPr>
          <w:ilvl w:val="1"/>
          <w:numId w:val="1"/>
        </w:numPr>
        <w:rPr>
          <w:szCs w:val="22"/>
        </w:rPr>
      </w:pPr>
      <w:r w:rsidRPr="00AD7866">
        <w:rPr>
          <w:szCs w:val="22"/>
        </w:rPr>
        <w:t>The PSCR propose</w:t>
      </w:r>
      <w:r w:rsidR="006D7FD1">
        <w:rPr>
          <w:szCs w:val="22"/>
        </w:rPr>
        <w:t>d</w:t>
      </w:r>
      <w:r w:rsidRPr="00AD7866">
        <w:rPr>
          <w:szCs w:val="22"/>
        </w:rPr>
        <w:t xml:space="preserve"> the addition of a grandfathering clause to the proposed restrictions in line with infliximab in paediatric </w:t>
      </w:r>
      <w:r w:rsidR="00AB65E1" w:rsidRPr="00AD7866">
        <w:rPr>
          <w:szCs w:val="22"/>
        </w:rPr>
        <w:t>Crohn’s</w:t>
      </w:r>
      <w:r w:rsidRPr="00AD7866">
        <w:rPr>
          <w:szCs w:val="22"/>
        </w:rPr>
        <w:t xml:space="preserve"> disease (but limited to patients with severe disease).</w:t>
      </w:r>
    </w:p>
    <w:p w:rsidR="00EB2C92" w:rsidRPr="00AD7866" w:rsidRDefault="00EB2C92" w:rsidP="004B1CB4"/>
    <w:p w:rsidR="00AD7866" w:rsidRDefault="00AD7866" w:rsidP="00AD7866">
      <w:pPr>
        <w:pStyle w:val="ListParagraph"/>
        <w:ind w:left="709"/>
        <w:rPr>
          <w:i/>
          <w:szCs w:val="22"/>
        </w:rPr>
      </w:pPr>
      <w:r>
        <w:rPr>
          <w:i/>
          <w:szCs w:val="22"/>
        </w:rPr>
        <w:t>For more detail on PBAC’s view, see section 7 “PBAC outcome”</w:t>
      </w:r>
    </w:p>
    <w:p w:rsidR="00941219" w:rsidRDefault="00941219" w:rsidP="00AD7866">
      <w:pPr>
        <w:ind w:left="720"/>
      </w:pPr>
    </w:p>
    <w:p w:rsidR="00AD7866" w:rsidRPr="00AD7866" w:rsidRDefault="00AD7866" w:rsidP="00AD7866">
      <w:pPr>
        <w:ind w:left="720"/>
      </w:pPr>
    </w:p>
    <w:p w:rsidR="00B50DB8" w:rsidRPr="00BD2865" w:rsidRDefault="00B50DB8" w:rsidP="00BD6CF3">
      <w:pPr>
        <w:pStyle w:val="PBACHeading1"/>
      </w:pPr>
      <w:bookmarkStart w:id="3" w:name="_Toc398284964"/>
      <w:r w:rsidRPr="00BD2865">
        <w:t>Background</w:t>
      </w:r>
      <w:bookmarkEnd w:id="3"/>
    </w:p>
    <w:p w:rsidR="00B60939" w:rsidRPr="00BD2865" w:rsidRDefault="00B60939" w:rsidP="00B60939">
      <w:pPr>
        <w:rPr>
          <w:szCs w:val="22"/>
        </w:rPr>
      </w:pPr>
    </w:p>
    <w:p w:rsidR="00B60939" w:rsidRPr="00BD2865" w:rsidRDefault="00B60939" w:rsidP="00955E40">
      <w:pPr>
        <w:pStyle w:val="ListParagraph"/>
        <w:widowControl/>
        <w:numPr>
          <w:ilvl w:val="1"/>
          <w:numId w:val="1"/>
        </w:numPr>
        <w:rPr>
          <w:szCs w:val="22"/>
        </w:rPr>
      </w:pPr>
      <w:r w:rsidRPr="00BD2865">
        <w:rPr>
          <w:szCs w:val="22"/>
        </w:rPr>
        <w:t>TGA status:</w:t>
      </w:r>
      <w:r w:rsidR="004A519B" w:rsidRPr="00BD2865">
        <w:rPr>
          <w:szCs w:val="22"/>
        </w:rPr>
        <w:t xml:space="preserve"> Adalimumab</w:t>
      </w:r>
      <w:r w:rsidRPr="00BD2865">
        <w:rPr>
          <w:szCs w:val="22"/>
        </w:rPr>
        <w:t xml:space="preserve"> was TGA registered on </w:t>
      </w:r>
      <w:r w:rsidR="004A519B" w:rsidRPr="00BD2865">
        <w:rPr>
          <w:szCs w:val="22"/>
        </w:rPr>
        <w:t xml:space="preserve">2 June 2014 </w:t>
      </w:r>
      <w:r w:rsidRPr="00BD2865">
        <w:rPr>
          <w:szCs w:val="22"/>
        </w:rPr>
        <w:t>for</w:t>
      </w:r>
      <w:r w:rsidR="004A519B" w:rsidRPr="00BD2865">
        <w:rPr>
          <w:szCs w:val="22"/>
        </w:rPr>
        <w:t xml:space="preserve"> paediatric Crohn’s disease. </w:t>
      </w:r>
    </w:p>
    <w:p w:rsidR="004A519B" w:rsidRPr="00BD2865" w:rsidRDefault="004A519B" w:rsidP="004A519B">
      <w:pPr>
        <w:widowControl/>
        <w:rPr>
          <w:szCs w:val="22"/>
        </w:rPr>
      </w:pPr>
    </w:p>
    <w:p w:rsidR="002C2775" w:rsidRPr="00BD2865" w:rsidRDefault="004A519B" w:rsidP="00955E40">
      <w:pPr>
        <w:pStyle w:val="ListParagraph"/>
        <w:widowControl/>
        <w:numPr>
          <w:ilvl w:val="1"/>
          <w:numId w:val="1"/>
        </w:numPr>
        <w:rPr>
          <w:szCs w:val="22"/>
        </w:rPr>
      </w:pPr>
      <w:r w:rsidRPr="00BD2865">
        <w:rPr>
          <w:szCs w:val="22"/>
        </w:rPr>
        <w:t xml:space="preserve">Adalimumab is currently listed on the PBS for adult Crohn’s disease, rheumatoid arthritis, </w:t>
      </w:r>
      <w:proofErr w:type="spellStart"/>
      <w:r w:rsidRPr="00BD2865">
        <w:rPr>
          <w:szCs w:val="22"/>
        </w:rPr>
        <w:t>polyarticular</w:t>
      </w:r>
      <w:proofErr w:type="spellEnd"/>
      <w:r w:rsidRPr="00BD2865">
        <w:rPr>
          <w:szCs w:val="22"/>
        </w:rPr>
        <w:t xml:space="preserve"> juvenile idiopathic arthritis, and psoriatic arthritis. In July 2014 the PBAC </w:t>
      </w:r>
      <w:r w:rsidR="00DD443F" w:rsidRPr="00BD2865">
        <w:rPr>
          <w:szCs w:val="22"/>
        </w:rPr>
        <w:t xml:space="preserve">rejected a submission </w:t>
      </w:r>
      <w:r w:rsidR="00A72A70">
        <w:rPr>
          <w:szCs w:val="22"/>
        </w:rPr>
        <w:t xml:space="preserve">for </w:t>
      </w:r>
      <w:r w:rsidRPr="00BD2865">
        <w:rPr>
          <w:szCs w:val="22"/>
        </w:rPr>
        <w:t>adalimumab for use in adult patients with moderate to severe ulcerative colitis.</w:t>
      </w:r>
    </w:p>
    <w:p w:rsidR="00EB2C92" w:rsidRDefault="00EB2C92" w:rsidP="00AD7866">
      <w:pPr>
        <w:ind w:left="720"/>
      </w:pPr>
    </w:p>
    <w:p w:rsidR="00AD7866" w:rsidRPr="00BD2865" w:rsidRDefault="00AD7866" w:rsidP="00AD7866">
      <w:pPr>
        <w:ind w:left="720"/>
      </w:pPr>
    </w:p>
    <w:p w:rsidR="00B50DB8" w:rsidRPr="00BD2865" w:rsidRDefault="00B50DB8" w:rsidP="00BD6CF3">
      <w:pPr>
        <w:pStyle w:val="PBACHeading1"/>
      </w:pPr>
      <w:bookmarkStart w:id="4" w:name="_Toc398284965"/>
      <w:r w:rsidRPr="00BD2865">
        <w:t>Clinical place for the proposed therapy</w:t>
      </w:r>
      <w:bookmarkEnd w:id="4"/>
    </w:p>
    <w:p w:rsidR="00B60939" w:rsidRPr="00BD2865" w:rsidRDefault="00B60939" w:rsidP="00B60939">
      <w:pPr>
        <w:rPr>
          <w:szCs w:val="22"/>
        </w:rPr>
      </w:pPr>
    </w:p>
    <w:p w:rsidR="00392C3D" w:rsidRPr="00BD2865" w:rsidRDefault="00392C3D" w:rsidP="00955E40">
      <w:pPr>
        <w:pStyle w:val="ListParagraph"/>
        <w:widowControl/>
        <w:numPr>
          <w:ilvl w:val="1"/>
          <w:numId w:val="1"/>
        </w:numPr>
        <w:rPr>
          <w:szCs w:val="22"/>
        </w:rPr>
      </w:pPr>
      <w:r w:rsidRPr="00BD2865">
        <w:t xml:space="preserve">Crohn’s disease is a chronic and debilitating type of inflammatory bowel disease. The symptoms include diarrhoea, constipation, abdominal pain and rectal bleeding, and may lead to fatigue, fever, weight loss, and menstrual cycle disruptions. The disease may occur at any age and is not curable. Existing treatment options include the alleviation of symptoms, maintenance of remission and prevention of relapse. The current first-line treatment of paediatric Crohn’s disease comprises exclusive enteral nutrition and/or corticosteroids, the second-line therapy is based on </w:t>
      </w:r>
      <w:proofErr w:type="spellStart"/>
      <w:r w:rsidRPr="00BD2865">
        <w:t>immunosuppressants</w:t>
      </w:r>
      <w:proofErr w:type="spellEnd"/>
      <w:r w:rsidRPr="00BD2865">
        <w:t>, and the third line relies on an anti-rheumatic drug therapy (i.e. infliximab) with the possibility of a surgical intervention.</w:t>
      </w:r>
    </w:p>
    <w:p w:rsidR="00894489" w:rsidRPr="00BD2865" w:rsidRDefault="00894489" w:rsidP="00894489">
      <w:pPr>
        <w:widowControl/>
        <w:rPr>
          <w:szCs w:val="22"/>
        </w:rPr>
      </w:pPr>
    </w:p>
    <w:p w:rsidR="00B60939" w:rsidRDefault="00C6753D" w:rsidP="00955E40">
      <w:pPr>
        <w:pStyle w:val="ListParagraph"/>
        <w:numPr>
          <w:ilvl w:val="1"/>
          <w:numId w:val="1"/>
        </w:numPr>
        <w:rPr>
          <w:szCs w:val="22"/>
        </w:rPr>
      </w:pPr>
      <w:r w:rsidRPr="00BD2865">
        <w:rPr>
          <w:szCs w:val="22"/>
        </w:rPr>
        <w:t>The submission propose</w:t>
      </w:r>
      <w:r w:rsidR="006D7FD1">
        <w:rPr>
          <w:szCs w:val="22"/>
        </w:rPr>
        <w:t>d</w:t>
      </w:r>
      <w:r w:rsidRPr="00BD2865">
        <w:rPr>
          <w:szCs w:val="22"/>
        </w:rPr>
        <w:t xml:space="preserve"> that (1) </w:t>
      </w:r>
      <w:r w:rsidR="00D148B3" w:rsidRPr="00BD2865">
        <w:rPr>
          <w:szCs w:val="22"/>
        </w:rPr>
        <w:t xml:space="preserve">adalimumab will become </w:t>
      </w:r>
      <w:r w:rsidRPr="00BD2865">
        <w:rPr>
          <w:szCs w:val="22"/>
        </w:rPr>
        <w:t xml:space="preserve">an alternative to infliximab in the third line therapy, (2) </w:t>
      </w:r>
      <w:r w:rsidR="00D148B3">
        <w:rPr>
          <w:szCs w:val="22"/>
        </w:rPr>
        <w:t xml:space="preserve">adalimumab </w:t>
      </w:r>
      <w:r w:rsidRPr="00BD2865">
        <w:rPr>
          <w:szCs w:val="22"/>
        </w:rPr>
        <w:t>will become an additional line of treatment</w:t>
      </w:r>
      <w:r w:rsidRPr="00BD2865">
        <w:t xml:space="preserve"> </w:t>
      </w:r>
      <w:r w:rsidRPr="00BD2865">
        <w:rPr>
          <w:szCs w:val="22"/>
        </w:rPr>
        <w:t xml:space="preserve">for patients who </w:t>
      </w:r>
      <w:r w:rsidR="00DD443F" w:rsidRPr="00BD2865">
        <w:rPr>
          <w:szCs w:val="22"/>
        </w:rPr>
        <w:t xml:space="preserve">have </w:t>
      </w:r>
      <w:r w:rsidRPr="00BD2865">
        <w:rPr>
          <w:szCs w:val="22"/>
        </w:rPr>
        <w:t>lost</w:t>
      </w:r>
      <w:r w:rsidR="00DD443F" w:rsidRPr="00BD2865">
        <w:rPr>
          <w:szCs w:val="22"/>
        </w:rPr>
        <w:t xml:space="preserve"> their</w:t>
      </w:r>
      <w:r w:rsidRPr="00BD2865">
        <w:rPr>
          <w:szCs w:val="22"/>
        </w:rPr>
        <w:t xml:space="preserve"> response or are intolerant to infliximab, </w:t>
      </w:r>
      <w:r w:rsidR="00D148B3">
        <w:rPr>
          <w:szCs w:val="22"/>
        </w:rPr>
        <w:t xml:space="preserve">and </w:t>
      </w:r>
      <w:r w:rsidRPr="00BD2865">
        <w:rPr>
          <w:szCs w:val="22"/>
        </w:rPr>
        <w:t>(3) patients will be able to alternate between infliximab and adalimumab without failing the therapy.</w:t>
      </w:r>
    </w:p>
    <w:p w:rsidR="00EB2C92" w:rsidRDefault="00EB2C92" w:rsidP="00B60939">
      <w:pPr>
        <w:pStyle w:val="Header"/>
        <w:rPr>
          <w:szCs w:val="22"/>
        </w:rPr>
      </w:pPr>
    </w:p>
    <w:p w:rsidR="00AD7866" w:rsidRDefault="00AD7866" w:rsidP="00AD7866">
      <w:pPr>
        <w:pStyle w:val="ListParagraph"/>
        <w:ind w:left="709"/>
        <w:rPr>
          <w:i/>
          <w:szCs w:val="22"/>
        </w:rPr>
      </w:pPr>
      <w:r>
        <w:rPr>
          <w:szCs w:val="22"/>
        </w:rPr>
        <w:tab/>
      </w:r>
      <w:r>
        <w:rPr>
          <w:i/>
          <w:szCs w:val="22"/>
        </w:rPr>
        <w:t>For more detail on PBAC’s view, see section 7 “PBAC outcome”</w:t>
      </w:r>
    </w:p>
    <w:p w:rsidR="00AD7866" w:rsidRDefault="00AD7866" w:rsidP="00B60939">
      <w:pPr>
        <w:pStyle w:val="Header"/>
        <w:rPr>
          <w:szCs w:val="22"/>
        </w:rPr>
      </w:pPr>
    </w:p>
    <w:p w:rsidR="00AD7866" w:rsidRPr="00BD2865" w:rsidRDefault="00AD7866" w:rsidP="00B60939">
      <w:pPr>
        <w:pStyle w:val="Header"/>
        <w:rPr>
          <w:szCs w:val="22"/>
        </w:rPr>
      </w:pPr>
    </w:p>
    <w:p w:rsidR="00B50DB8" w:rsidRPr="00426367" w:rsidRDefault="00B50DB8" w:rsidP="00426367">
      <w:pPr>
        <w:pStyle w:val="PBACHeading1"/>
      </w:pPr>
      <w:r w:rsidRPr="00426367">
        <w:t>Comparator</w:t>
      </w:r>
    </w:p>
    <w:p w:rsidR="00B60939" w:rsidRPr="00BD2865" w:rsidRDefault="00B60939" w:rsidP="00426367">
      <w:pPr>
        <w:pStyle w:val="PBACHeading1"/>
        <w:numPr>
          <w:ilvl w:val="0"/>
          <w:numId w:val="0"/>
        </w:numPr>
      </w:pPr>
    </w:p>
    <w:p w:rsidR="002C2775" w:rsidRPr="006D7FD1" w:rsidRDefault="00F14787" w:rsidP="00955E40">
      <w:pPr>
        <w:pStyle w:val="ListParagraph"/>
        <w:widowControl/>
        <w:numPr>
          <w:ilvl w:val="1"/>
          <w:numId w:val="1"/>
        </w:numPr>
        <w:rPr>
          <w:szCs w:val="22"/>
        </w:rPr>
      </w:pPr>
      <w:r w:rsidRPr="00BD2865">
        <w:t>Infliximab</w:t>
      </w:r>
      <w:r w:rsidR="00F067A2" w:rsidRPr="00BD2865">
        <w:t xml:space="preserve"> is the appropriate comparator. </w:t>
      </w:r>
      <w:r w:rsidRPr="00BD2865">
        <w:t>It is the only biological agent currently listed on the PBS for Crohn’s disease in paediatric patients who fail conventional therapies</w:t>
      </w:r>
      <w:r w:rsidR="001223B4" w:rsidRPr="00BD2865">
        <w:t xml:space="preserve"> (</w:t>
      </w:r>
      <w:r w:rsidR="00AC43E4" w:rsidRPr="00BD2865">
        <w:t>exclusive enteral nutrition and/or corticosteroids and immunosuppressant therapy</w:t>
      </w:r>
      <w:r w:rsidR="001223B4" w:rsidRPr="00BD2865">
        <w:t>)</w:t>
      </w:r>
      <w:r w:rsidR="00AC43E4" w:rsidRPr="00BD2865">
        <w:t>.</w:t>
      </w:r>
      <w:r w:rsidR="00EC57A9">
        <w:t xml:space="preserve">  </w:t>
      </w:r>
    </w:p>
    <w:p w:rsidR="00B60939" w:rsidRPr="00BD2865" w:rsidRDefault="00B60939" w:rsidP="00DF5D2B">
      <w:pPr>
        <w:rPr>
          <w:szCs w:val="22"/>
        </w:rPr>
      </w:pPr>
    </w:p>
    <w:p w:rsidR="004647BC" w:rsidRPr="00BD2865" w:rsidRDefault="004647BC" w:rsidP="00955E40">
      <w:pPr>
        <w:pStyle w:val="ListParagraph"/>
        <w:widowControl/>
        <w:numPr>
          <w:ilvl w:val="1"/>
          <w:numId w:val="1"/>
        </w:numPr>
        <w:rPr>
          <w:szCs w:val="22"/>
        </w:rPr>
      </w:pPr>
      <w:r w:rsidRPr="00BD2865">
        <w:rPr>
          <w:szCs w:val="22"/>
        </w:rPr>
        <w:t>Additionally, the submission provide</w:t>
      </w:r>
      <w:r w:rsidR="00065764">
        <w:rPr>
          <w:szCs w:val="22"/>
        </w:rPr>
        <w:t>d</w:t>
      </w:r>
      <w:r w:rsidRPr="00BD2865">
        <w:rPr>
          <w:szCs w:val="22"/>
        </w:rPr>
        <w:t xml:space="preserve"> limited evidence in support of the claim that adalimumab efficacy and safety is similar in paediatric and adult patients with severe Crohn’s disease. </w:t>
      </w:r>
      <w:r w:rsidR="002C27E2" w:rsidRPr="00BD2865">
        <w:rPr>
          <w:szCs w:val="22"/>
        </w:rPr>
        <w:t xml:space="preserve">This comparison </w:t>
      </w:r>
      <w:r w:rsidR="00E55B7E">
        <w:rPr>
          <w:szCs w:val="22"/>
        </w:rPr>
        <w:t>wa</w:t>
      </w:r>
      <w:r w:rsidR="002C27E2" w:rsidRPr="00BD2865">
        <w:rPr>
          <w:szCs w:val="22"/>
        </w:rPr>
        <w:t>s not used in a cost-minimisation analysis.</w:t>
      </w:r>
    </w:p>
    <w:p w:rsidR="004647BC" w:rsidRDefault="004647BC" w:rsidP="00DF5D2B">
      <w:pPr>
        <w:rPr>
          <w:szCs w:val="22"/>
        </w:rPr>
      </w:pPr>
    </w:p>
    <w:p w:rsidR="00AD7866" w:rsidRDefault="00AD7866" w:rsidP="00AD7866">
      <w:pPr>
        <w:pStyle w:val="ListParagraph"/>
        <w:ind w:left="709"/>
        <w:rPr>
          <w:i/>
          <w:szCs w:val="22"/>
        </w:rPr>
      </w:pPr>
      <w:r>
        <w:rPr>
          <w:i/>
          <w:szCs w:val="22"/>
        </w:rPr>
        <w:t>For more detail on PBAC’s view, see section 7 “PBAC outcome”</w:t>
      </w:r>
    </w:p>
    <w:p w:rsidR="00EB2C92" w:rsidRDefault="00EB2C92" w:rsidP="00AD7866">
      <w:pPr>
        <w:ind w:left="720"/>
        <w:rPr>
          <w:szCs w:val="22"/>
        </w:rPr>
      </w:pPr>
    </w:p>
    <w:p w:rsidR="00AD7866" w:rsidRPr="00BD2865" w:rsidRDefault="00AD7866" w:rsidP="00AD7866">
      <w:pPr>
        <w:ind w:left="720"/>
        <w:rPr>
          <w:szCs w:val="22"/>
        </w:rPr>
      </w:pPr>
    </w:p>
    <w:p w:rsidR="00B50DB8" w:rsidRPr="00BD2865" w:rsidRDefault="00C37DDC" w:rsidP="00BD6CF3">
      <w:pPr>
        <w:pStyle w:val="PBACHeading1"/>
      </w:pPr>
      <w:bookmarkStart w:id="5" w:name="_Toc398284966"/>
      <w:r>
        <w:t>C</w:t>
      </w:r>
      <w:r w:rsidR="00B50DB8" w:rsidRPr="00BD2865">
        <w:t>onsideration of the evidence</w:t>
      </w:r>
      <w:bookmarkEnd w:id="5"/>
    </w:p>
    <w:p w:rsidR="00B60939" w:rsidRDefault="00B60939" w:rsidP="004B1CB4"/>
    <w:p w:rsidR="000D6510" w:rsidRPr="00A72A70" w:rsidRDefault="000D6510" w:rsidP="000D6510">
      <w:pPr>
        <w:widowControl/>
        <w:spacing w:after="120"/>
        <w:rPr>
          <w:rFonts w:cs="Times New Roman"/>
          <w:b/>
          <w:snapToGrid/>
          <w:szCs w:val="22"/>
        </w:rPr>
      </w:pPr>
      <w:r w:rsidRPr="00A72A70">
        <w:rPr>
          <w:rFonts w:cs="Times New Roman"/>
          <w:b/>
          <w:snapToGrid/>
          <w:szCs w:val="22"/>
        </w:rPr>
        <w:t>Sponsor hearing</w:t>
      </w:r>
    </w:p>
    <w:p w:rsidR="000D6510" w:rsidRPr="000D6510" w:rsidRDefault="000D6510" w:rsidP="00955E40">
      <w:pPr>
        <w:pStyle w:val="ListParagraph"/>
        <w:widowControl/>
        <w:numPr>
          <w:ilvl w:val="1"/>
          <w:numId w:val="1"/>
        </w:numPr>
      </w:pPr>
      <w:r w:rsidRPr="000D6510">
        <w:t>There was no hearing for this item.</w:t>
      </w:r>
    </w:p>
    <w:p w:rsidR="000D6510" w:rsidRDefault="000D6510" w:rsidP="000D6510">
      <w:pPr>
        <w:rPr>
          <w:b/>
          <w:i/>
          <w:szCs w:val="22"/>
        </w:rPr>
      </w:pPr>
    </w:p>
    <w:p w:rsidR="000D6510" w:rsidRPr="00A72A70" w:rsidRDefault="000D6510" w:rsidP="000D6510">
      <w:pPr>
        <w:rPr>
          <w:b/>
          <w:szCs w:val="22"/>
        </w:rPr>
      </w:pPr>
      <w:r w:rsidRPr="00A72A70">
        <w:rPr>
          <w:b/>
          <w:szCs w:val="22"/>
        </w:rPr>
        <w:t>Consumer comments</w:t>
      </w:r>
    </w:p>
    <w:p w:rsidR="000D6510" w:rsidRDefault="000D6510" w:rsidP="004B1CB4"/>
    <w:p w:rsidR="00955E40" w:rsidRPr="00B60BDE" w:rsidRDefault="000D6510" w:rsidP="00955E40">
      <w:pPr>
        <w:pStyle w:val="ListParagraph"/>
        <w:widowControl/>
        <w:numPr>
          <w:ilvl w:val="1"/>
          <w:numId w:val="1"/>
        </w:numPr>
      </w:pPr>
      <w:r w:rsidRPr="00B60BDE">
        <w:t xml:space="preserve">The PBAC noted and welcomed the input from individuals (30), health care professionals (12) and organisations (2) via the Consumer Comments facility on the PBS website.  The comments described a range of benefits of treatment with </w:t>
      </w:r>
      <w:r w:rsidR="00955E40" w:rsidRPr="00B60BDE">
        <w:t>adalimumab</w:t>
      </w:r>
      <w:r w:rsidRPr="00B60BDE">
        <w:t xml:space="preserve"> including the</w:t>
      </w:r>
      <w:r w:rsidR="00955E40" w:rsidRPr="00B60BDE">
        <w:t xml:space="preserve"> following:</w:t>
      </w:r>
      <w:r w:rsidRPr="00B60BDE">
        <w:t xml:space="preserve"> </w:t>
      </w:r>
    </w:p>
    <w:p w:rsidR="0038383D" w:rsidRPr="00B60BDE" w:rsidRDefault="00A01B7B" w:rsidP="00955E40">
      <w:pPr>
        <w:pStyle w:val="ListParagraph"/>
        <w:widowControl/>
        <w:numPr>
          <w:ilvl w:val="0"/>
          <w:numId w:val="11"/>
        </w:numPr>
        <w:ind w:left="993" w:hanging="284"/>
      </w:pPr>
      <w:r w:rsidRPr="00B60BDE">
        <w:t xml:space="preserve">significant </w:t>
      </w:r>
      <w:r w:rsidR="0038383D" w:rsidRPr="00B60BDE">
        <w:t>benefit to the paediatric community as they are often severely affected by Crohn’s disease and it may affect their adolescent growth and puberty;</w:t>
      </w:r>
    </w:p>
    <w:p w:rsidR="0038383D" w:rsidRPr="00B60BDE" w:rsidRDefault="00E55B7E" w:rsidP="00955E40">
      <w:pPr>
        <w:pStyle w:val="ListParagraph"/>
        <w:widowControl/>
        <w:numPr>
          <w:ilvl w:val="0"/>
          <w:numId w:val="11"/>
        </w:numPr>
        <w:ind w:left="993" w:hanging="284"/>
      </w:pPr>
      <w:r>
        <w:t>the</w:t>
      </w:r>
      <w:r w:rsidR="00A01B7B" w:rsidRPr="00B60BDE">
        <w:t xml:space="preserve"> large unmet need for this condition</w:t>
      </w:r>
      <w:r>
        <w:t xml:space="preserve"> as c</w:t>
      </w:r>
      <w:r w:rsidR="00A01B7B" w:rsidRPr="00B60BDE">
        <w:t>urrently children who fail infliximab or who are intolerant have to continue with active disease</w:t>
      </w:r>
      <w:r>
        <w:t xml:space="preserve"> and </w:t>
      </w:r>
      <w:r w:rsidR="00A01B7B" w:rsidRPr="00B60BDE">
        <w:t>be treated with long term steroids or have surgery;</w:t>
      </w:r>
      <w:r w:rsidR="00B8222C">
        <w:t xml:space="preserve"> and</w:t>
      </w:r>
    </w:p>
    <w:p w:rsidR="00A01B7B" w:rsidRDefault="00AC2C2F" w:rsidP="00955E40">
      <w:pPr>
        <w:pStyle w:val="ListParagraph"/>
        <w:widowControl/>
        <w:numPr>
          <w:ilvl w:val="0"/>
          <w:numId w:val="11"/>
        </w:numPr>
        <w:ind w:left="993" w:hanging="284"/>
      </w:pPr>
      <w:proofErr w:type="gramStart"/>
      <w:r>
        <w:t>enables</w:t>
      </w:r>
      <w:proofErr w:type="gramEnd"/>
      <w:r>
        <w:t xml:space="preserve"> paediatric patients with the condition </w:t>
      </w:r>
      <w:r w:rsidR="00B60BDE" w:rsidRPr="00B60BDE">
        <w:t>to lead a normal life.</w:t>
      </w:r>
    </w:p>
    <w:p w:rsidR="007F30FB" w:rsidRDefault="007F30FB" w:rsidP="00E55B7E">
      <w:pPr>
        <w:widowControl/>
        <w:ind w:left="709"/>
      </w:pPr>
    </w:p>
    <w:p w:rsidR="00E55B7E" w:rsidRDefault="00E55B7E" w:rsidP="007F30FB">
      <w:pPr>
        <w:pStyle w:val="ListParagraph"/>
        <w:widowControl/>
        <w:numPr>
          <w:ilvl w:val="1"/>
          <w:numId w:val="1"/>
        </w:numPr>
      </w:pPr>
      <w:r>
        <w:t xml:space="preserve">In addition, the consumer comments highlight current issues of equity of access </w:t>
      </w:r>
      <w:r w:rsidR="00AC2C2F">
        <w:t xml:space="preserve">to third-line treatment </w:t>
      </w:r>
      <w:r w:rsidR="00B8222C">
        <w:t>for paediatric patients with Crohn’s disease</w:t>
      </w:r>
      <w:r w:rsidR="00AC2C2F">
        <w:t>. In particular, infliximab requires infusion in a hospital setting, which requires patients</w:t>
      </w:r>
      <w:r w:rsidR="00B8222C">
        <w:t xml:space="preserve"> living in regional and remote areas</w:t>
      </w:r>
      <w:r w:rsidR="00AC2C2F">
        <w:t xml:space="preserve"> to travel significant distances</w:t>
      </w:r>
      <w:r w:rsidR="00B8222C">
        <w:t xml:space="preserve">, </w:t>
      </w:r>
      <w:r w:rsidR="00AC2C2F">
        <w:t xml:space="preserve">whereas </w:t>
      </w:r>
      <w:r>
        <w:t>adalimumab</w:t>
      </w:r>
      <w:r w:rsidR="00AC2C2F">
        <w:t xml:space="preserve"> can be self-administered. Accordingly, t</w:t>
      </w:r>
      <w:r w:rsidR="00B8222C">
        <w:t xml:space="preserve">he comments note that </w:t>
      </w:r>
      <w:r w:rsidR="00AC2C2F">
        <w:t>the availability of adalimumab</w:t>
      </w:r>
      <w:r w:rsidR="00B8222C">
        <w:t xml:space="preserve"> will translate into reduced disruption to education, work and family life for both the patient and carers.</w:t>
      </w:r>
    </w:p>
    <w:p w:rsidR="004D4959" w:rsidRDefault="004D4959" w:rsidP="004D4959">
      <w:pPr>
        <w:pStyle w:val="ListParagraph"/>
        <w:widowControl/>
      </w:pPr>
    </w:p>
    <w:p w:rsidR="00183FE8" w:rsidRPr="00183FE8" w:rsidRDefault="00183FE8" w:rsidP="00183FE8">
      <w:pPr>
        <w:pStyle w:val="ListParagraph"/>
        <w:ind w:left="709"/>
        <w:rPr>
          <w:i/>
          <w:szCs w:val="22"/>
        </w:rPr>
      </w:pPr>
      <w:r w:rsidRPr="00183FE8">
        <w:rPr>
          <w:i/>
          <w:szCs w:val="22"/>
        </w:rPr>
        <w:t>For more detail on PBAC’s view, see section 7 “PBAC outcome”</w:t>
      </w:r>
    </w:p>
    <w:p w:rsidR="000D6510" w:rsidRPr="00BD2865" w:rsidRDefault="000D6510" w:rsidP="004B1CB4"/>
    <w:p w:rsidR="00B60939" w:rsidRPr="00C37DDC" w:rsidRDefault="00B60939" w:rsidP="00C37DDC">
      <w:pPr>
        <w:rPr>
          <w:b/>
          <w:szCs w:val="22"/>
        </w:rPr>
      </w:pPr>
      <w:bookmarkStart w:id="6" w:name="_Toc398284967"/>
      <w:r w:rsidRPr="00C37DDC">
        <w:rPr>
          <w:b/>
          <w:szCs w:val="22"/>
        </w:rPr>
        <w:t>Clinical trials</w:t>
      </w:r>
      <w:bookmarkEnd w:id="6"/>
    </w:p>
    <w:p w:rsidR="00C37DDC" w:rsidRPr="00BD2865" w:rsidRDefault="00C37DDC" w:rsidP="00C37DDC">
      <w:pPr>
        <w:pStyle w:val="PBACHeading1"/>
        <w:numPr>
          <w:ilvl w:val="0"/>
          <w:numId w:val="0"/>
        </w:numPr>
        <w:ind w:left="720"/>
      </w:pPr>
    </w:p>
    <w:p w:rsidR="007F1017" w:rsidRPr="00BD2865" w:rsidRDefault="00862502" w:rsidP="00955E40">
      <w:pPr>
        <w:pStyle w:val="ListParagraph"/>
        <w:widowControl/>
        <w:numPr>
          <w:ilvl w:val="1"/>
          <w:numId w:val="1"/>
        </w:numPr>
        <w:rPr>
          <w:szCs w:val="22"/>
        </w:rPr>
      </w:pPr>
      <w:r w:rsidRPr="00BD2865">
        <w:t xml:space="preserve">The submission </w:t>
      </w:r>
      <w:r w:rsidR="00065764">
        <w:t>wa</w:t>
      </w:r>
      <w:r w:rsidRPr="00BD2865">
        <w:t xml:space="preserve">s based on </w:t>
      </w:r>
      <w:r w:rsidR="007B2024" w:rsidRPr="00BD2865">
        <w:t>a</w:t>
      </w:r>
      <w:r w:rsidR="00BE3C7C" w:rsidRPr="00BD2865">
        <w:t xml:space="preserve"> naïve</w:t>
      </w:r>
      <w:r w:rsidR="007B2024" w:rsidRPr="00BD2865">
        <w:t xml:space="preserve"> indirect comparison of single arms</w:t>
      </w:r>
      <w:r w:rsidRPr="00BD2865">
        <w:t xml:space="preserve"> </w:t>
      </w:r>
      <w:r w:rsidR="007B2024" w:rsidRPr="00BD2865">
        <w:t xml:space="preserve">from an adalimumab </w:t>
      </w:r>
      <w:r w:rsidRPr="00BD2865">
        <w:t xml:space="preserve">trial </w:t>
      </w:r>
      <w:r w:rsidR="007B2024" w:rsidRPr="00BD2865">
        <w:t>(</w:t>
      </w:r>
      <w:r w:rsidR="009C6539" w:rsidRPr="00BD2865">
        <w:t xml:space="preserve">IMAGINE-1, </w:t>
      </w:r>
      <w:r w:rsidR="00793539" w:rsidRPr="00BD2865">
        <w:t>n=</w:t>
      </w:r>
      <w:r w:rsidR="00573C12" w:rsidRPr="00BD2865">
        <w:t>93</w:t>
      </w:r>
      <w:r w:rsidR="007B2024" w:rsidRPr="00BD2865">
        <w:t>) and an infliximab trial (</w:t>
      </w:r>
      <w:r w:rsidR="009C6539" w:rsidRPr="00BD2865">
        <w:t xml:space="preserve">REACH, </w:t>
      </w:r>
      <w:r w:rsidR="00793539" w:rsidRPr="00BD2865">
        <w:t>n=</w:t>
      </w:r>
      <w:r w:rsidR="0061353F" w:rsidRPr="00BD2865">
        <w:t>52</w:t>
      </w:r>
      <w:r w:rsidR="007B2024" w:rsidRPr="00BD2865">
        <w:t>)</w:t>
      </w:r>
      <w:r w:rsidRPr="00BD2865">
        <w:t>.</w:t>
      </w:r>
      <w:r w:rsidR="00702F8F" w:rsidRPr="00BD2865">
        <w:rPr>
          <w:color w:val="3366FF"/>
        </w:rPr>
        <w:t xml:space="preserve"> </w:t>
      </w:r>
    </w:p>
    <w:p w:rsidR="00862502" w:rsidRPr="00BD2865" w:rsidRDefault="00862502" w:rsidP="00862502">
      <w:pPr>
        <w:widowControl/>
        <w:rPr>
          <w:szCs w:val="22"/>
        </w:rPr>
      </w:pPr>
    </w:p>
    <w:p w:rsidR="00862502" w:rsidRDefault="00862502" w:rsidP="00955E40">
      <w:pPr>
        <w:pStyle w:val="ListParagraph"/>
        <w:widowControl/>
        <w:numPr>
          <w:ilvl w:val="1"/>
          <w:numId w:val="1"/>
        </w:numPr>
        <w:rPr>
          <w:szCs w:val="22"/>
        </w:rPr>
      </w:pPr>
      <w:r w:rsidRPr="00BD2865">
        <w:rPr>
          <w:szCs w:val="22"/>
        </w:rPr>
        <w:t xml:space="preserve">Details of the trials presented in the submission are provided in </w:t>
      </w:r>
      <w:r w:rsidR="005A6AEF">
        <w:rPr>
          <w:szCs w:val="22"/>
        </w:rPr>
        <w:t>the</w:t>
      </w:r>
      <w:r w:rsidR="00B8222C">
        <w:rPr>
          <w:szCs w:val="22"/>
        </w:rPr>
        <w:t xml:space="preserve"> following</w:t>
      </w:r>
      <w:r w:rsidR="005A6AEF">
        <w:rPr>
          <w:szCs w:val="22"/>
        </w:rPr>
        <w:t xml:space="preserve"> table</w:t>
      </w:r>
      <w:r w:rsidR="00E246DA" w:rsidRPr="00BD2865">
        <w:rPr>
          <w:szCs w:val="22"/>
        </w:rPr>
        <w:t xml:space="preserve">. </w:t>
      </w:r>
    </w:p>
    <w:p w:rsidR="000C5BEF" w:rsidRPr="000C5BEF" w:rsidRDefault="000C5BEF" w:rsidP="000C5BEF">
      <w:pPr>
        <w:widowControl/>
        <w:rPr>
          <w:szCs w:val="22"/>
        </w:rPr>
      </w:pPr>
    </w:p>
    <w:p w:rsidR="008F120A" w:rsidRPr="00BD2865" w:rsidRDefault="008F120A" w:rsidP="00A6106C">
      <w:pPr>
        <w:keepNext/>
        <w:keepLines/>
        <w:ind w:firstLine="720"/>
        <w:rPr>
          <w:rStyle w:val="CommentReference"/>
        </w:rPr>
      </w:pPr>
      <w:r w:rsidRPr="00BD2865">
        <w:rPr>
          <w:rStyle w:val="CommentReference"/>
        </w:rPr>
        <w:lastRenderedPageBreak/>
        <w:t>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92"/>
        <w:gridCol w:w="5529"/>
        <w:gridCol w:w="1824"/>
      </w:tblGrid>
      <w:tr w:rsidR="008F120A" w:rsidRPr="00BD2865">
        <w:tc>
          <w:tcPr>
            <w:tcW w:w="594" w:type="pct"/>
          </w:tcPr>
          <w:p w:rsidR="008F120A" w:rsidRPr="00BD2865" w:rsidRDefault="008F120A" w:rsidP="00025300">
            <w:pPr>
              <w:keepNext/>
              <w:keepLines/>
              <w:jc w:val="left"/>
              <w:rPr>
                <w:rFonts w:ascii="Arial Narrow" w:hAnsi="Arial Narrow"/>
                <w:b/>
                <w:sz w:val="20"/>
              </w:rPr>
            </w:pPr>
            <w:r w:rsidRPr="00BD2865">
              <w:rPr>
                <w:rFonts w:ascii="Arial Narrow" w:hAnsi="Arial Narrow"/>
                <w:b/>
                <w:sz w:val="20"/>
              </w:rPr>
              <w:t>Trial ID</w:t>
            </w:r>
          </w:p>
        </w:tc>
        <w:tc>
          <w:tcPr>
            <w:tcW w:w="3313" w:type="pct"/>
          </w:tcPr>
          <w:p w:rsidR="008F120A" w:rsidRPr="00BD2865" w:rsidRDefault="008F120A" w:rsidP="00025300">
            <w:pPr>
              <w:keepNext/>
              <w:keepLines/>
              <w:jc w:val="center"/>
              <w:rPr>
                <w:rFonts w:ascii="Arial Narrow" w:hAnsi="Arial Narrow"/>
                <w:b/>
                <w:sz w:val="20"/>
              </w:rPr>
            </w:pPr>
            <w:r w:rsidRPr="00BD2865">
              <w:rPr>
                <w:rFonts w:ascii="Arial Narrow" w:hAnsi="Arial Narrow"/>
                <w:b/>
                <w:sz w:val="20"/>
              </w:rPr>
              <w:t>Protocol title/ Publication title</w:t>
            </w:r>
          </w:p>
        </w:tc>
        <w:tc>
          <w:tcPr>
            <w:tcW w:w="1093" w:type="pct"/>
          </w:tcPr>
          <w:p w:rsidR="008F120A" w:rsidRPr="00BD2865" w:rsidRDefault="008F120A" w:rsidP="00025300">
            <w:pPr>
              <w:keepNext/>
              <w:keepLines/>
              <w:jc w:val="center"/>
              <w:rPr>
                <w:rFonts w:ascii="Arial Narrow" w:hAnsi="Arial Narrow"/>
                <w:b/>
                <w:sz w:val="20"/>
              </w:rPr>
            </w:pPr>
            <w:r w:rsidRPr="00BD2865">
              <w:rPr>
                <w:rFonts w:ascii="Arial Narrow" w:hAnsi="Arial Narrow"/>
                <w:b/>
                <w:sz w:val="20"/>
              </w:rPr>
              <w:t>Publication citation</w:t>
            </w:r>
          </w:p>
        </w:tc>
      </w:tr>
      <w:tr w:rsidR="008F120A" w:rsidRPr="00BD2865">
        <w:tc>
          <w:tcPr>
            <w:tcW w:w="5000" w:type="pct"/>
            <w:gridSpan w:val="3"/>
          </w:tcPr>
          <w:p w:rsidR="008F120A" w:rsidRPr="00BD2865" w:rsidRDefault="002E07CE" w:rsidP="00025300">
            <w:pPr>
              <w:keepNext/>
              <w:keepLines/>
              <w:jc w:val="left"/>
              <w:rPr>
                <w:rFonts w:ascii="Arial Narrow" w:hAnsi="Arial Narrow"/>
                <w:b/>
                <w:sz w:val="20"/>
              </w:rPr>
            </w:pPr>
            <w:r w:rsidRPr="00BD2865">
              <w:rPr>
                <w:rFonts w:ascii="Arial Narrow" w:hAnsi="Arial Narrow"/>
                <w:b/>
                <w:sz w:val="20"/>
              </w:rPr>
              <w:t>Trial</w:t>
            </w:r>
            <w:r w:rsidR="00025300" w:rsidRPr="00BD2865">
              <w:rPr>
                <w:rFonts w:ascii="Arial Narrow" w:hAnsi="Arial Narrow"/>
                <w:b/>
                <w:sz w:val="20"/>
              </w:rPr>
              <w:t xml:space="preserve"> including adalimumab treatment</w:t>
            </w:r>
          </w:p>
        </w:tc>
      </w:tr>
      <w:tr w:rsidR="00065764" w:rsidRPr="00BD2865" w:rsidTr="00B8222C">
        <w:trPr>
          <w:trHeight w:val="1070"/>
        </w:trPr>
        <w:tc>
          <w:tcPr>
            <w:tcW w:w="594" w:type="pct"/>
            <w:tcBorders>
              <w:bottom w:val="nil"/>
            </w:tcBorders>
          </w:tcPr>
          <w:p w:rsidR="00065764" w:rsidRPr="00BD2865" w:rsidRDefault="00065764" w:rsidP="00B8222C">
            <w:pPr>
              <w:keepNext/>
              <w:keepLines/>
              <w:jc w:val="left"/>
              <w:rPr>
                <w:rFonts w:ascii="Arial Narrow" w:hAnsi="Arial Narrow"/>
                <w:sz w:val="20"/>
              </w:rPr>
            </w:pPr>
            <w:r w:rsidRPr="00BD2865">
              <w:rPr>
                <w:rFonts w:ascii="Arial Narrow" w:hAnsi="Arial Narrow"/>
                <w:sz w:val="20"/>
              </w:rPr>
              <w:t>IMAGINE-1</w:t>
            </w:r>
          </w:p>
        </w:tc>
        <w:tc>
          <w:tcPr>
            <w:tcW w:w="3313" w:type="pct"/>
            <w:tcBorders>
              <w:bottom w:val="nil"/>
            </w:tcBorders>
          </w:tcPr>
          <w:p w:rsidR="00065764" w:rsidRPr="00BD2865" w:rsidRDefault="00065764" w:rsidP="00025300">
            <w:pPr>
              <w:keepNext/>
              <w:keepLines/>
              <w:jc w:val="left"/>
              <w:rPr>
                <w:rFonts w:ascii="Arial Narrow" w:hAnsi="Arial Narrow"/>
                <w:sz w:val="20"/>
              </w:rPr>
            </w:pPr>
            <w:r w:rsidRPr="00BD2865">
              <w:rPr>
                <w:rFonts w:ascii="Arial Narrow" w:hAnsi="Arial Narrow"/>
                <w:sz w:val="20"/>
              </w:rPr>
              <w:t>A Multicentre, Double-blind Study to Evaluate the Safety, Efficacy, and Pharmacokinetics of the Human Anti-TNF Monoclonal Antibody Adalimumab in Paediatric Patients with Moderate to Severe Crohn's Disease, Protocol: M06-806.</w:t>
            </w:r>
          </w:p>
          <w:p w:rsidR="00065764" w:rsidRPr="00BD2865" w:rsidRDefault="00065764" w:rsidP="00025300">
            <w:pPr>
              <w:keepNext/>
              <w:keepLines/>
              <w:jc w:val="left"/>
              <w:rPr>
                <w:rFonts w:ascii="Arial Narrow" w:hAnsi="Arial Narrow"/>
                <w:sz w:val="20"/>
              </w:rPr>
            </w:pPr>
          </w:p>
          <w:p w:rsidR="00065764" w:rsidRPr="00BD2865" w:rsidRDefault="00065764" w:rsidP="00025300">
            <w:pPr>
              <w:keepNext/>
              <w:keepLines/>
              <w:jc w:val="left"/>
              <w:rPr>
                <w:rFonts w:ascii="Arial Narrow" w:hAnsi="Arial Narrow"/>
                <w:b/>
                <w:sz w:val="20"/>
              </w:rPr>
            </w:pPr>
          </w:p>
        </w:tc>
        <w:tc>
          <w:tcPr>
            <w:tcW w:w="1093" w:type="pct"/>
            <w:tcBorders>
              <w:bottom w:val="nil"/>
            </w:tcBorders>
          </w:tcPr>
          <w:p w:rsidR="00065764" w:rsidRPr="00BD2865" w:rsidRDefault="00065764" w:rsidP="00025300">
            <w:pPr>
              <w:keepNext/>
              <w:keepLines/>
              <w:jc w:val="left"/>
              <w:rPr>
                <w:rFonts w:ascii="Arial Narrow" w:hAnsi="Arial Narrow"/>
                <w:sz w:val="20"/>
              </w:rPr>
            </w:pPr>
            <w:r w:rsidRPr="00BD2865">
              <w:rPr>
                <w:rFonts w:ascii="Arial Narrow" w:hAnsi="Arial Narrow"/>
                <w:sz w:val="20"/>
              </w:rPr>
              <w:t>Date of report: 21st April 2011, NCT00409682.</w:t>
            </w:r>
          </w:p>
          <w:p w:rsidR="00065764" w:rsidRPr="00BD2865" w:rsidRDefault="00065764" w:rsidP="00025300">
            <w:pPr>
              <w:keepNext/>
              <w:keepLines/>
              <w:jc w:val="left"/>
              <w:rPr>
                <w:rFonts w:ascii="Arial Narrow" w:hAnsi="Arial Narrow"/>
                <w:sz w:val="20"/>
              </w:rPr>
            </w:pPr>
          </w:p>
          <w:p w:rsidR="00065764" w:rsidRPr="00BD2865" w:rsidRDefault="00065764" w:rsidP="00025300">
            <w:pPr>
              <w:keepNext/>
              <w:keepLines/>
              <w:jc w:val="left"/>
              <w:rPr>
                <w:rFonts w:ascii="Arial Narrow" w:hAnsi="Arial Narrow"/>
                <w:b/>
                <w:sz w:val="20"/>
              </w:rPr>
            </w:pPr>
          </w:p>
        </w:tc>
      </w:tr>
      <w:tr w:rsidR="00065764" w:rsidRPr="00BD2865" w:rsidTr="00065764">
        <w:trPr>
          <w:trHeight w:val="1070"/>
        </w:trPr>
        <w:tc>
          <w:tcPr>
            <w:tcW w:w="594" w:type="pct"/>
            <w:tcBorders>
              <w:top w:val="nil"/>
              <w:bottom w:val="nil"/>
            </w:tcBorders>
            <w:vAlign w:val="center"/>
          </w:tcPr>
          <w:p w:rsidR="00065764" w:rsidRPr="00BD2865" w:rsidRDefault="00065764" w:rsidP="00025300">
            <w:pPr>
              <w:keepNext/>
              <w:keepLines/>
              <w:jc w:val="left"/>
              <w:rPr>
                <w:rFonts w:ascii="Arial Narrow" w:hAnsi="Arial Narrow"/>
                <w:sz w:val="20"/>
              </w:rPr>
            </w:pPr>
          </w:p>
        </w:tc>
        <w:tc>
          <w:tcPr>
            <w:tcW w:w="3313" w:type="pct"/>
            <w:tcBorders>
              <w:top w:val="nil"/>
              <w:bottom w:val="nil"/>
            </w:tcBorders>
          </w:tcPr>
          <w:p w:rsidR="00065764" w:rsidRPr="00BD2865" w:rsidRDefault="00065764" w:rsidP="00065764">
            <w:pPr>
              <w:keepNext/>
              <w:keepLines/>
              <w:jc w:val="left"/>
              <w:rPr>
                <w:rFonts w:ascii="Arial Narrow" w:hAnsi="Arial Narrow"/>
                <w:sz w:val="20"/>
              </w:rPr>
            </w:pPr>
            <w:r w:rsidRPr="00BD2865">
              <w:rPr>
                <w:rFonts w:ascii="Arial Narrow" w:hAnsi="Arial Narrow"/>
                <w:sz w:val="20"/>
              </w:rPr>
              <w:t>A Multi-centre, Open-label Study of the Human Anti-TNF Monoclonal Antibody Adalimumab to Evaluate the Efficacy and the Long-term Safety and Tolerability of Repeated Administration of Adalimumab in Paediatric Patients with Crohn's Disease Who Have Demonstrated a Clinical Response in the M06-806 Study,</w:t>
            </w:r>
          </w:p>
          <w:p w:rsidR="00065764" w:rsidRPr="00BD2865" w:rsidRDefault="00065764" w:rsidP="00065764">
            <w:pPr>
              <w:keepNext/>
              <w:keepLines/>
              <w:jc w:val="left"/>
              <w:rPr>
                <w:rFonts w:ascii="Arial Narrow" w:hAnsi="Arial Narrow"/>
                <w:sz w:val="20"/>
              </w:rPr>
            </w:pPr>
            <w:r w:rsidRPr="00BD2865">
              <w:rPr>
                <w:rFonts w:ascii="Arial Narrow" w:hAnsi="Arial Narrow"/>
                <w:sz w:val="20"/>
              </w:rPr>
              <w:t>Protocol: M06-807</w:t>
            </w:r>
          </w:p>
          <w:p w:rsidR="00065764" w:rsidRPr="00BD2865" w:rsidRDefault="00065764" w:rsidP="00025300">
            <w:pPr>
              <w:keepNext/>
              <w:keepLines/>
              <w:jc w:val="left"/>
              <w:rPr>
                <w:rFonts w:ascii="Arial Narrow" w:hAnsi="Arial Narrow"/>
                <w:sz w:val="20"/>
              </w:rPr>
            </w:pPr>
          </w:p>
        </w:tc>
        <w:tc>
          <w:tcPr>
            <w:tcW w:w="1093" w:type="pct"/>
            <w:tcBorders>
              <w:top w:val="nil"/>
              <w:bottom w:val="nil"/>
            </w:tcBorders>
          </w:tcPr>
          <w:p w:rsidR="00065764" w:rsidRPr="00BD2865" w:rsidRDefault="00065764" w:rsidP="00065764">
            <w:pPr>
              <w:keepNext/>
              <w:keepLines/>
              <w:jc w:val="left"/>
              <w:rPr>
                <w:rFonts w:ascii="Arial Narrow" w:hAnsi="Arial Narrow"/>
                <w:sz w:val="20"/>
              </w:rPr>
            </w:pPr>
            <w:r w:rsidRPr="00BD2865">
              <w:rPr>
                <w:rFonts w:ascii="Arial Narrow" w:hAnsi="Arial Narrow"/>
                <w:sz w:val="20"/>
              </w:rPr>
              <w:t>Date of report: 28th June 2011, NCT00686374.</w:t>
            </w:r>
          </w:p>
          <w:p w:rsidR="00065764" w:rsidRPr="00BD2865" w:rsidRDefault="00065764" w:rsidP="00025300">
            <w:pPr>
              <w:keepNext/>
              <w:keepLines/>
              <w:jc w:val="left"/>
              <w:rPr>
                <w:rFonts w:ascii="Arial Narrow" w:hAnsi="Arial Narrow"/>
                <w:sz w:val="20"/>
              </w:rPr>
            </w:pPr>
          </w:p>
        </w:tc>
      </w:tr>
      <w:tr w:rsidR="00065764" w:rsidRPr="00BD2865" w:rsidTr="00065764">
        <w:trPr>
          <w:trHeight w:val="1070"/>
        </w:trPr>
        <w:tc>
          <w:tcPr>
            <w:tcW w:w="594" w:type="pct"/>
            <w:tcBorders>
              <w:top w:val="nil"/>
            </w:tcBorders>
            <w:vAlign w:val="center"/>
          </w:tcPr>
          <w:p w:rsidR="00065764" w:rsidRPr="00BD2865" w:rsidRDefault="00065764" w:rsidP="00025300">
            <w:pPr>
              <w:keepNext/>
              <w:keepLines/>
              <w:jc w:val="left"/>
              <w:rPr>
                <w:rFonts w:ascii="Arial Narrow" w:hAnsi="Arial Narrow"/>
                <w:sz w:val="20"/>
              </w:rPr>
            </w:pPr>
          </w:p>
        </w:tc>
        <w:tc>
          <w:tcPr>
            <w:tcW w:w="3313" w:type="pct"/>
            <w:tcBorders>
              <w:top w:val="nil"/>
            </w:tcBorders>
          </w:tcPr>
          <w:p w:rsidR="00065764" w:rsidRDefault="00065764" w:rsidP="00025300">
            <w:pPr>
              <w:keepNext/>
              <w:keepLines/>
              <w:jc w:val="left"/>
              <w:rPr>
                <w:rFonts w:ascii="Arial Narrow" w:hAnsi="Arial Narrow"/>
                <w:sz w:val="20"/>
              </w:rPr>
            </w:pPr>
            <w:proofErr w:type="spellStart"/>
            <w:r w:rsidRPr="00BD2865">
              <w:rPr>
                <w:rFonts w:ascii="Arial Narrow" w:hAnsi="Arial Narrow"/>
                <w:sz w:val="20"/>
              </w:rPr>
              <w:t>Hyams</w:t>
            </w:r>
            <w:proofErr w:type="spellEnd"/>
            <w:r w:rsidRPr="00BD2865">
              <w:rPr>
                <w:rFonts w:ascii="Arial Narrow" w:hAnsi="Arial Narrow"/>
                <w:sz w:val="20"/>
              </w:rPr>
              <w:t>, J. S., A. Griffiths, et al. Safety and efficacy of adalimumab for moderate to severe Crohn's disease in children.</w:t>
            </w:r>
          </w:p>
          <w:p w:rsidR="00065764" w:rsidRPr="00BD2865" w:rsidRDefault="00065764" w:rsidP="00025300">
            <w:pPr>
              <w:keepNext/>
              <w:keepLines/>
              <w:jc w:val="left"/>
              <w:rPr>
                <w:rFonts w:ascii="Arial Narrow" w:hAnsi="Arial Narrow"/>
                <w:sz w:val="20"/>
              </w:rPr>
            </w:pPr>
          </w:p>
        </w:tc>
        <w:tc>
          <w:tcPr>
            <w:tcW w:w="1093" w:type="pct"/>
            <w:tcBorders>
              <w:top w:val="nil"/>
            </w:tcBorders>
          </w:tcPr>
          <w:p w:rsidR="00065764" w:rsidRPr="00BD2865" w:rsidRDefault="00065764" w:rsidP="00025300">
            <w:pPr>
              <w:keepNext/>
              <w:keepLines/>
              <w:jc w:val="left"/>
              <w:rPr>
                <w:rFonts w:ascii="Arial Narrow" w:hAnsi="Arial Narrow"/>
                <w:sz w:val="20"/>
              </w:rPr>
            </w:pPr>
            <w:r w:rsidRPr="00BD2865">
              <w:rPr>
                <w:rFonts w:ascii="Arial Narrow" w:hAnsi="Arial Narrow"/>
                <w:sz w:val="20"/>
              </w:rPr>
              <w:t>2012 Gastroenterology 143(2): 365-374 e362.</w:t>
            </w:r>
          </w:p>
        </w:tc>
      </w:tr>
      <w:tr w:rsidR="00025300" w:rsidRPr="00BD2865">
        <w:tc>
          <w:tcPr>
            <w:tcW w:w="5000" w:type="pct"/>
            <w:gridSpan w:val="3"/>
          </w:tcPr>
          <w:p w:rsidR="00025300" w:rsidRPr="00BD2865" w:rsidRDefault="002E07CE" w:rsidP="00025300">
            <w:pPr>
              <w:keepNext/>
              <w:keepLines/>
              <w:jc w:val="left"/>
              <w:rPr>
                <w:rFonts w:ascii="Arial Narrow" w:hAnsi="Arial Narrow"/>
                <w:b/>
                <w:sz w:val="20"/>
              </w:rPr>
            </w:pPr>
            <w:r w:rsidRPr="00BD2865">
              <w:rPr>
                <w:rFonts w:ascii="Arial Narrow" w:hAnsi="Arial Narrow"/>
                <w:b/>
                <w:sz w:val="20"/>
              </w:rPr>
              <w:t>Trial</w:t>
            </w:r>
            <w:r w:rsidR="00025300" w:rsidRPr="00BD2865">
              <w:rPr>
                <w:rFonts w:ascii="Arial Narrow" w:hAnsi="Arial Narrow"/>
                <w:b/>
                <w:sz w:val="20"/>
              </w:rPr>
              <w:t xml:space="preserve"> including infliximab treatment</w:t>
            </w:r>
          </w:p>
        </w:tc>
      </w:tr>
      <w:tr w:rsidR="00065764" w:rsidRPr="00BD2865" w:rsidTr="00B8222C">
        <w:trPr>
          <w:trHeight w:val="840"/>
        </w:trPr>
        <w:tc>
          <w:tcPr>
            <w:tcW w:w="594" w:type="pct"/>
            <w:tcBorders>
              <w:bottom w:val="nil"/>
            </w:tcBorders>
          </w:tcPr>
          <w:p w:rsidR="00065764" w:rsidRPr="00BD2865" w:rsidRDefault="00065764" w:rsidP="00B8222C">
            <w:pPr>
              <w:keepNext/>
              <w:keepLines/>
              <w:jc w:val="left"/>
              <w:rPr>
                <w:rFonts w:ascii="Arial Narrow" w:hAnsi="Arial Narrow"/>
                <w:sz w:val="20"/>
              </w:rPr>
            </w:pPr>
            <w:r w:rsidRPr="00BD2865">
              <w:rPr>
                <w:rFonts w:ascii="Arial Narrow" w:hAnsi="Arial Narrow"/>
                <w:sz w:val="20"/>
              </w:rPr>
              <w:t>REACH</w:t>
            </w:r>
          </w:p>
        </w:tc>
        <w:tc>
          <w:tcPr>
            <w:tcW w:w="3313" w:type="pct"/>
            <w:tcBorders>
              <w:bottom w:val="nil"/>
            </w:tcBorders>
          </w:tcPr>
          <w:p w:rsidR="00065764" w:rsidRPr="00BD2865" w:rsidRDefault="00065764" w:rsidP="00F205D5">
            <w:pPr>
              <w:keepNext/>
              <w:keepLines/>
              <w:jc w:val="left"/>
              <w:rPr>
                <w:rFonts w:ascii="Arial Narrow" w:hAnsi="Arial Narrow"/>
                <w:sz w:val="20"/>
              </w:rPr>
            </w:pPr>
            <w:r w:rsidRPr="00BD2865">
              <w:rPr>
                <w:rFonts w:ascii="Arial Narrow" w:hAnsi="Arial Narrow"/>
                <w:sz w:val="20"/>
              </w:rPr>
              <w:t>A Randomized, Multicentre, Open-label Study to Evaluate the Safety and Efficacy of Anti-TNF a Chimeric Monoclonal Antibody (infliximab) in Paediatric Subjects With Moderate to Severe Crohn's Disease,</w:t>
            </w:r>
          </w:p>
          <w:p w:rsidR="00065764" w:rsidRPr="00BD2865" w:rsidRDefault="00065764" w:rsidP="00F205D5">
            <w:pPr>
              <w:keepNext/>
              <w:keepLines/>
              <w:jc w:val="left"/>
              <w:rPr>
                <w:rFonts w:ascii="Arial Narrow" w:hAnsi="Arial Narrow"/>
                <w:b/>
                <w:sz w:val="20"/>
              </w:rPr>
            </w:pPr>
          </w:p>
        </w:tc>
        <w:tc>
          <w:tcPr>
            <w:tcW w:w="1093" w:type="pct"/>
            <w:tcBorders>
              <w:bottom w:val="nil"/>
            </w:tcBorders>
          </w:tcPr>
          <w:p w:rsidR="00065764" w:rsidRPr="00BD2865" w:rsidRDefault="00065764" w:rsidP="00F205D5">
            <w:pPr>
              <w:keepNext/>
              <w:keepLines/>
              <w:jc w:val="left"/>
              <w:rPr>
                <w:rFonts w:ascii="Arial Narrow" w:hAnsi="Arial Narrow"/>
                <w:sz w:val="20"/>
              </w:rPr>
            </w:pPr>
            <w:r w:rsidRPr="00BD2865">
              <w:rPr>
                <w:rFonts w:ascii="Arial Narrow" w:hAnsi="Arial Narrow"/>
                <w:sz w:val="20"/>
              </w:rPr>
              <w:t>Protocol: CR004786,</w:t>
            </w:r>
          </w:p>
          <w:p w:rsidR="00065764" w:rsidRPr="00BD2865" w:rsidRDefault="00065764" w:rsidP="00F205D5">
            <w:pPr>
              <w:keepNext/>
              <w:keepLines/>
              <w:jc w:val="left"/>
              <w:rPr>
                <w:rFonts w:ascii="Arial Narrow" w:hAnsi="Arial Narrow"/>
                <w:sz w:val="20"/>
              </w:rPr>
            </w:pPr>
            <w:r w:rsidRPr="00BD2865">
              <w:rPr>
                <w:rFonts w:ascii="Arial Narrow" w:hAnsi="Arial Narrow"/>
                <w:sz w:val="20"/>
              </w:rPr>
              <w:t>NCT00207675.</w:t>
            </w:r>
          </w:p>
          <w:p w:rsidR="00065764" w:rsidRPr="00BD2865" w:rsidRDefault="00065764" w:rsidP="00F205D5">
            <w:pPr>
              <w:keepNext/>
              <w:keepLines/>
              <w:jc w:val="left"/>
              <w:rPr>
                <w:rFonts w:ascii="Arial Narrow" w:hAnsi="Arial Narrow"/>
                <w:sz w:val="20"/>
              </w:rPr>
            </w:pPr>
          </w:p>
          <w:p w:rsidR="00065764" w:rsidRPr="00BD2865" w:rsidRDefault="00065764" w:rsidP="00F205D5">
            <w:pPr>
              <w:keepNext/>
              <w:keepLines/>
              <w:jc w:val="left"/>
              <w:rPr>
                <w:rFonts w:ascii="Arial Narrow" w:hAnsi="Arial Narrow"/>
                <w:b/>
                <w:sz w:val="20"/>
              </w:rPr>
            </w:pPr>
          </w:p>
        </w:tc>
      </w:tr>
      <w:tr w:rsidR="00065764" w:rsidRPr="00BD2865" w:rsidTr="00065764">
        <w:trPr>
          <w:trHeight w:val="840"/>
        </w:trPr>
        <w:tc>
          <w:tcPr>
            <w:tcW w:w="594" w:type="pct"/>
            <w:tcBorders>
              <w:top w:val="nil"/>
              <w:bottom w:val="nil"/>
            </w:tcBorders>
            <w:vAlign w:val="center"/>
          </w:tcPr>
          <w:p w:rsidR="00065764" w:rsidRPr="00BD2865" w:rsidRDefault="00065764" w:rsidP="00F205D5">
            <w:pPr>
              <w:keepNext/>
              <w:keepLines/>
              <w:jc w:val="left"/>
              <w:rPr>
                <w:rFonts w:ascii="Arial Narrow" w:hAnsi="Arial Narrow"/>
                <w:sz w:val="20"/>
              </w:rPr>
            </w:pPr>
          </w:p>
        </w:tc>
        <w:tc>
          <w:tcPr>
            <w:tcW w:w="3313" w:type="pct"/>
            <w:tcBorders>
              <w:top w:val="nil"/>
              <w:bottom w:val="nil"/>
            </w:tcBorders>
          </w:tcPr>
          <w:p w:rsidR="00065764" w:rsidRPr="00BD2865" w:rsidRDefault="00065764" w:rsidP="00065764">
            <w:pPr>
              <w:keepNext/>
              <w:keepLines/>
              <w:jc w:val="left"/>
              <w:rPr>
                <w:rFonts w:ascii="Arial Narrow" w:hAnsi="Arial Narrow"/>
                <w:sz w:val="20"/>
              </w:rPr>
            </w:pPr>
            <w:proofErr w:type="spellStart"/>
            <w:r w:rsidRPr="00BD2865">
              <w:rPr>
                <w:rFonts w:ascii="Arial Narrow" w:hAnsi="Arial Narrow"/>
                <w:sz w:val="20"/>
              </w:rPr>
              <w:t>Hyams</w:t>
            </w:r>
            <w:proofErr w:type="spellEnd"/>
            <w:r w:rsidRPr="00BD2865">
              <w:rPr>
                <w:rFonts w:ascii="Arial Narrow" w:hAnsi="Arial Narrow"/>
                <w:sz w:val="20"/>
              </w:rPr>
              <w:t>, J., W. Crandall, et al. Induction and Maintenance Infliximab Therapy for the Treatment of Moderate-to-Severe Crohn's Disease in Children.</w:t>
            </w:r>
          </w:p>
          <w:p w:rsidR="00065764" w:rsidRPr="00BD2865" w:rsidRDefault="00065764" w:rsidP="00F205D5">
            <w:pPr>
              <w:keepNext/>
              <w:keepLines/>
              <w:jc w:val="left"/>
              <w:rPr>
                <w:rFonts w:ascii="Arial Narrow" w:hAnsi="Arial Narrow"/>
                <w:sz w:val="20"/>
              </w:rPr>
            </w:pPr>
          </w:p>
        </w:tc>
        <w:tc>
          <w:tcPr>
            <w:tcW w:w="1093" w:type="pct"/>
            <w:tcBorders>
              <w:top w:val="nil"/>
              <w:bottom w:val="nil"/>
            </w:tcBorders>
          </w:tcPr>
          <w:p w:rsidR="00065764" w:rsidRPr="00BD2865" w:rsidRDefault="00065764" w:rsidP="00065764">
            <w:pPr>
              <w:keepNext/>
              <w:keepLines/>
              <w:jc w:val="left"/>
              <w:rPr>
                <w:rFonts w:ascii="Arial Narrow" w:hAnsi="Arial Narrow"/>
                <w:sz w:val="20"/>
              </w:rPr>
            </w:pPr>
            <w:r w:rsidRPr="00BD2865">
              <w:rPr>
                <w:rFonts w:ascii="Arial Narrow" w:hAnsi="Arial Narrow"/>
                <w:sz w:val="20"/>
              </w:rPr>
              <w:t>2007 Gastroenterology 132(3): 863-873.</w:t>
            </w:r>
          </w:p>
          <w:p w:rsidR="00065764" w:rsidRPr="00BD2865" w:rsidRDefault="00065764" w:rsidP="00F205D5">
            <w:pPr>
              <w:keepNext/>
              <w:keepLines/>
              <w:jc w:val="left"/>
              <w:rPr>
                <w:rFonts w:ascii="Arial Narrow" w:hAnsi="Arial Narrow"/>
                <w:sz w:val="20"/>
              </w:rPr>
            </w:pPr>
          </w:p>
        </w:tc>
      </w:tr>
      <w:tr w:rsidR="00065764" w:rsidRPr="00BD2865" w:rsidTr="00065764">
        <w:trPr>
          <w:trHeight w:val="840"/>
        </w:trPr>
        <w:tc>
          <w:tcPr>
            <w:tcW w:w="594" w:type="pct"/>
            <w:tcBorders>
              <w:top w:val="nil"/>
            </w:tcBorders>
            <w:vAlign w:val="center"/>
          </w:tcPr>
          <w:p w:rsidR="00065764" w:rsidRPr="00BD2865" w:rsidRDefault="00065764" w:rsidP="00F205D5">
            <w:pPr>
              <w:keepNext/>
              <w:keepLines/>
              <w:jc w:val="left"/>
              <w:rPr>
                <w:rFonts w:ascii="Arial Narrow" w:hAnsi="Arial Narrow"/>
                <w:sz w:val="20"/>
              </w:rPr>
            </w:pPr>
          </w:p>
        </w:tc>
        <w:tc>
          <w:tcPr>
            <w:tcW w:w="3313" w:type="pct"/>
            <w:tcBorders>
              <w:top w:val="nil"/>
            </w:tcBorders>
          </w:tcPr>
          <w:p w:rsidR="00065764" w:rsidRPr="00BD2865" w:rsidRDefault="00065764" w:rsidP="00F205D5">
            <w:pPr>
              <w:keepNext/>
              <w:keepLines/>
              <w:jc w:val="left"/>
              <w:rPr>
                <w:rFonts w:ascii="Arial Narrow" w:hAnsi="Arial Narrow"/>
                <w:sz w:val="20"/>
              </w:rPr>
            </w:pPr>
            <w:proofErr w:type="spellStart"/>
            <w:r w:rsidRPr="00BD2865">
              <w:rPr>
                <w:rFonts w:ascii="Arial Narrow" w:hAnsi="Arial Narrow"/>
                <w:sz w:val="20"/>
              </w:rPr>
              <w:t>Hyams</w:t>
            </w:r>
            <w:proofErr w:type="spellEnd"/>
            <w:r w:rsidRPr="00BD2865">
              <w:rPr>
                <w:rFonts w:ascii="Arial Narrow" w:hAnsi="Arial Narrow"/>
                <w:sz w:val="20"/>
              </w:rPr>
              <w:t>, J., T. D. Walters, et al. Safety and efficacy of maintenance infliximab therapy for moderate-to-severe Crohn's disease in children: REACH open-label extension.</w:t>
            </w:r>
          </w:p>
        </w:tc>
        <w:tc>
          <w:tcPr>
            <w:tcW w:w="1093" w:type="pct"/>
            <w:tcBorders>
              <w:top w:val="nil"/>
            </w:tcBorders>
          </w:tcPr>
          <w:p w:rsidR="00065764" w:rsidRPr="00BD2865" w:rsidRDefault="00065764" w:rsidP="00F205D5">
            <w:pPr>
              <w:keepNext/>
              <w:keepLines/>
              <w:jc w:val="left"/>
              <w:rPr>
                <w:rFonts w:ascii="Arial Narrow" w:hAnsi="Arial Narrow"/>
                <w:sz w:val="20"/>
              </w:rPr>
            </w:pPr>
            <w:r w:rsidRPr="00BD2865">
              <w:rPr>
                <w:rFonts w:ascii="Arial Narrow" w:hAnsi="Arial Narrow"/>
                <w:sz w:val="20"/>
              </w:rPr>
              <w:t xml:space="preserve">2011 </w:t>
            </w:r>
            <w:proofErr w:type="spellStart"/>
            <w:r w:rsidRPr="00BD2865">
              <w:rPr>
                <w:rFonts w:ascii="Arial Narrow" w:hAnsi="Arial Narrow"/>
                <w:sz w:val="20"/>
              </w:rPr>
              <w:t>Curr</w:t>
            </w:r>
            <w:proofErr w:type="spellEnd"/>
            <w:r w:rsidRPr="00BD2865">
              <w:rPr>
                <w:rFonts w:ascii="Arial Narrow" w:hAnsi="Arial Narrow"/>
                <w:sz w:val="20"/>
              </w:rPr>
              <w:t xml:space="preserve"> Med Res </w:t>
            </w:r>
            <w:proofErr w:type="spellStart"/>
            <w:r w:rsidRPr="00BD2865">
              <w:rPr>
                <w:rFonts w:ascii="Arial Narrow" w:hAnsi="Arial Narrow"/>
                <w:sz w:val="20"/>
              </w:rPr>
              <w:t>Opin</w:t>
            </w:r>
            <w:proofErr w:type="spellEnd"/>
            <w:r w:rsidRPr="00BD2865">
              <w:rPr>
                <w:rFonts w:ascii="Arial Narrow" w:hAnsi="Arial Narrow"/>
                <w:sz w:val="20"/>
              </w:rPr>
              <w:t xml:space="preserve"> 27(3): 651-662.</w:t>
            </w:r>
          </w:p>
        </w:tc>
      </w:tr>
      <w:tr w:rsidR="00566DDF" w:rsidRPr="00BD2865">
        <w:tc>
          <w:tcPr>
            <w:tcW w:w="5000" w:type="pct"/>
            <w:gridSpan w:val="3"/>
          </w:tcPr>
          <w:p w:rsidR="00566DDF" w:rsidRPr="00BD2865" w:rsidRDefault="00566DDF" w:rsidP="00F205D5">
            <w:pPr>
              <w:keepNext/>
              <w:keepLines/>
              <w:jc w:val="left"/>
              <w:rPr>
                <w:rFonts w:ascii="Arial Narrow" w:hAnsi="Arial Narrow"/>
                <w:b/>
                <w:sz w:val="20"/>
              </w:rPr>
            </w:pPr>
            <w:r w:rsidRPr="00BD2865">
              <w:rPr>
                <w:rFonts w:ascii="Arial Narrow" w:hAnsi="Arial Narrow"/>
                <w:b/>
                <w:sz w:val="20"/>
              </w:rPr>
              <w:t>Supplementary trial with adalimumab treatment</w:t>
            </w:r>
          </w:p>
        </w:tc>
      </w:tr>
      <w:tr w:rsidR="00065764" w:rsidRPr="00BD2865" w:rsidTr="00B8222C">
        <w:trPr>
          <w:trHeight w:val="803"/>
        </w:trPr>
        <w:tc>
          <w:tcPr>
            <w:tcW w:w="594" w:type="pct"/>
            <w:tcBorders>
              <w:bottom w:val="nil"/>
            </w:tcBorders>
          </w:tcPr>
          <w:p w:rsidR="00065764" w:rsidRPr="00BD2865" w:rsidRDefault="00065764" w:rsidP="00B8222C">
            <w:pPr>
              <w:keepNext/>
              <w:keepLines/>
              <w:jc w:val="left"/>
              <w:rPr>
                <w:rFonts w:ascii="Arial Narrow" w:hAnsi="Arial Narrow"/>
                <w:sz w:val="20"/>
              </w:rPr>
            </w:pPr>
            <w:r w:rsidRPr="00BD2865">
              <w:rPr>
                <w:rFonts w:ascii="Arial Narrow" w:hAnsi="Arial Narrow"/>
                <w:sz w:val="20"/>
              </w:rPr>
              <w:t>CHARM</w:t>
            </w:r>
          </w:p>
        </w:tc>
        <w:tc>
          <w:tcPr>
            <w:tcW w:w="3313" w:type="pct"/>
            <w:tcBorders>
              <w:bottom w:val="nil"/>
            </w:tcBorders>
          </w:tcPr>
          <w:p w:rsidR="00065764" w:rsidRPr="00BD2865" w:rsidRDefault="00065764" w:rsidP="00F205D5">
            <w:pPr>
              <w:keepNext/>
              <w:keepLines/>
              <w:jc w:val="left"/>
              <w:rPr>
                <w:rFonts w:ascii="Arial Narrow" w:hAnsi="Arial Narrow"/>
                <w:sz w:val="20"/>
              </w:rPr>
            </w:pPr>
            <w:r w:rsidRPr="00BD2865">
              <w:rPr>
                <w:rFonts w:ascii="Arial Narrow" w:hAnsi="Arial Narrow"/>
                <w:sz w:val="20"/>
              </w:rPr>
              <w:t>A multi-centre, randomized, double-blind, placebo-controlled study of the human anti-TNF monoclonal antibody adalimumab for the induction and maintenance of clinical remission in subjects with Crohn's disease. 2006.</w:t>
            </w:r>
          </w:p>
          <w:p w:rsidR="00065764" w:rsidRPr="00BD2865" w:rsidRDefault="00065764" w:rsidP="00F205D5">
            <w:pPr>
              <w:keepNext/>
              <w:keepLines/>
              <w:jc w:val="left"/>
              <w:rPr>
                <w:rFonts w:ascii="Arial Narrow" w:hAnsi="Arial Narrow"/>
                <w:b/>
                <w:sz w:val="20"/>
              </w:rPr>
            </w:pPr>
          </w:p>
        </w:tc>
        <w:tc>
          <w:tcPr>
            <w:tcW w:w="1093" w:type="pct"/>
            <w:tcBorders>
              <w:bottom w:val="nil"/>
            </w:tcBorders>
          </w:tcPr>
          <w:p w:rsidR="00065764" w:rsidRPr="00BD2865" w:rsidRDefault="00065764" w:rsidP="00F205D5">
            <w:pPr>
              <w:keepNext/>
              <w:keepLines/>
              <w:jc w:val="left"/>
              <w:rPr>
                <w:rFonts w:ascii="Arial Narrow" w:hAnsi="Arial Narrow"/>
                <w:sz w:val="20"/>
              </w:rPr>
            </w:pPr>
            <w:r w:rsidRPr="00BD2865">
              <w:rPr>
                <w:rFonts w:ascii="Arial Narrow" w:hAnsi="Arial Narrow"/>
                <w:sz w:val="20"/>
              </w:rPr>
              <w:t>Protocol: M02-404</w:t>
            </w:r>
          </w:p>
          <w:p w:rsidR="00065764" w:rsidRPr="00BD2865" w:rsidRDefault="00065764" w:rsidP="00F205D5">
            <w:pPr>
              <w:keepNext/>
              <w:keepLines/>
              <w:jc w:val="left"/>
              <w:rPr>
                <w:rFonts w:ascii="Arial Narrow" w:hAnsi="Arial Narrow"/>
                <w:sz w:val="20"/>
              </w:rPr>
            </w:pPr>
            <w:r w:rsidRPr="00BD2865">
              <w:rPr>
                <w:rFonts w:ascii="Arial Narrow" w:hAnsi="Arial Narrow"/>
                <w:sz w:val="20"/>
              </w:rPr>
              <w:t>NCT00195715</w:t>
            </w:r>
          </w:p>
          <w:p w:rsidR="00065764" w:rsidRPr="00BD2865" w:rsidRDefault="00065764" w:rsidP="00F205D5">
            <w:pPr>
              <w:keepNext/>
              <w:keepLines/>
              <w:jc w:val="left"/>
              <w:rPr>
                <w:rFonts w:ascii="Arial Narrow" w:hAnsi="Arial Narrow"/>
                <w:sz w:val="20"/>
              </w:rPr>
            </w:pPr>
          </w:p>
          <w:p w:rsidR="00065764" w:rsidRPr="00BD2865" w:rsidRDefault="00065764" w:rsidP="00DD443F">
            <w:pPr>
              <w:keepNext/>
              <w:keepLines/>
              <w:jc w:val="left"/>
              <w:rPr>
                <w:rFonts w:ascii="Arial Narrow" w:hAnsi="Arial Narrow"/>
                <w:b/>
                <w:sz w:val="20"/>
              </w:rPr>
            </w:pPr>
          </w:p>
        </w:tc>
      </w:tr>
      <w:tr w:rsidR="00065764" w:rsidRPr="00BD2865" w:rsidTr="00065764">
        <w:trPr>
          <w:trHeight w:val="802"/>
        </w:trPr>
        <w:tc>
          <w:tcPr>
            <w:tcW w:w="594" w:type="pct"/>
            <w:tcBorders>
              <w:top w:val="nil"/>
            </w:tcBorders>
            <w:vAlign w:val="center"/>
          </w:tcPr>
          <w:p w:rsidR="00065764" w:rsidRPr="00BD2865" w:rsidRDefault="00065764" w:rsidP="00F205D5">
            <w:pPr>
              <w:keepNext/>
              <w:keepLines/>
              <w:jc w:val="left"/>
              <w:rPr>
                <w:rFonts w:ascii="Arial Narrow" w:hAnsi="Arial Narrow"/>
                <w:sz w:val="20"/>
              </w:rPr>
            </w:pPr>
          </w:p>
        </w:tc>
        <w:tc>
          <w:tcPr>
            <w:tcW w:w="3313" w:type="pct"/>
            <w:tcBorders>
              <w:top w:val="nil"/>
            </w:tcBorders>
          </w:tcPr>
          <w:p w:rsidR="00065764" w:rsidRPr="00BD2865" w:rsidRDefault="00065764" w:rsidP="00F205D5">
            <w:pPr>
              <w:keepNext/>
              <w:keepLines/>
              <w:jc w:val="left"/>
              <w:rPr>
                <w:rFonts w:ascii="Arial Narrow" w:hAnsi="Arial Narrow"/>
                <w:sz w:val="20"/>
              </w:rPr>
            </w:pPr>
            <w:proofErr w:type="spellStart"/>
            <w:r w:rsidRPr="00BD2865">
              <w:rPr>
                <w:rFonts w:ascii="Arial Narrow" w:hAnsi="Arial Narrow"/>
                <w:sz w:val="20"/>
              </w:rPr>
              <w:t>Colombel</w:t>
            </w:r>
            <w:proofErr w:type="spellEnd"/>
            <w:r w:rsidRPr="00BD2865">
              <w:rPr>
                <w:rFonts w:ascii="Arial Narrow" w:hAnsi="Arial Narrow"/>
                <w:sz w:val="20"/>
              </w:rPr>
              <w:t xml:space="preserve"> J-F, </w:t>
            </w:r>
            <w:proofErr w:type="spellStart"/>
            <w:r w:rsidRPr="00BD2865">
              <w:rPr>
                <w:rFonts w:ascii="Arial Narrow" w:hAnsi="Arial Narrow"/>
                <w:sz w:val="20"/>
              </w:rPr>
              <w:t>Sandborn</w:t>
            </w:r>
            <w:proofErr w:type="spellEnd"/>
            <w:r w:rsidRPr="00BD2865">
              <w:rPr>
                <w:rFonts w:ascii="Arial Narrow" w:hAnsi="Arial Narrow"/>
                <w:sz w:val="20"/>
              </w:rPr>
              <w:t>-William J, et al. Adalimumab for maintenance of clinical response and remission in patients with Crohn's disease: the CHARM trial.</w:t>
            </w:r>
          </w:p>
        </w:tc>
        <w:tc>
          <w:tcPr>
            <w:tcW w:w="1093" w:type="pct"/>
            <w:tcBorders>
              <w:top w:val="nil"/>
            </w:tcBorders>
          </w:tcPr>
          <w:p w:rsidR="00065764" w:rsidRPr="00BD2865" w:rsidRDefault="00065764" w:rsidP="00F205D5">
            <w:pPr>
              <w:keepNext/>
              <w:keepLines/>
              <w:jc w:val="left"/>
              <w:rPr>
                <w:rFonts w:ascii="Arial Narrow" w:hAnsi="Arial Narrow"/>
                <w:sz w:val="20"/>
              </w:rPr>
            </w:pPr>
            <w:r w:rsidRPr="00BD2865">
              <w:rPr>
                <w:rFonts w:ascii="Arial Narrow" w:hAnsi="Arial Narrow"/>
                <w:sz w:val="20"/>
              </w:rPr>
              <w:t>2007 Gastroenterology; 132(1): 52-65.</w:t>
            </w:r>
          </w:p>
        </w:tc>
      </w:tr>
    </w:tbl>
    <w:p w:rsidR="00862502" w:rsidRPr="0078738D" w:rsidRDefault="008F120A" w:rsidP="00025300">
      <w:pPr>
        <w:pStyle w:val="TableFooter"/>
        <w:keepNext/>
        <w:keepLines/>
        <w:ind w:firstLine="720"/>
        <w:rPr>
          <w:szCs w:val="22"/>
        </w:rPr>
      </w:pPr>
      <w:r w:rsidRPr="0078738D">
        <w:t xml:space="preserve">Source: </w:t>
      </w:r>
      <w:r w:rsidR="00025300" w:rsidRPr="0078738D">
        <w:t>Table B.2.2 p.54 of the submission.</w:t>
      </w:r>
    </w:p>
    <w:p w:rsidR="00862502" w:rsidRPr="0078738D" w:rsidRDefault="00862502" w:rsidP="008F120A">
      <w:pPr>
        <w:widowControl/>
        <w:rPr>
          <w:szCs w:val="22"/>
        </w:rPr>
      </w:pPr>
    </w:p>
    <w:p w:rsidR="00862502" w:rsidRPr="0078738D" w:rsidRDefault="008F120A" w:rsidP="00955E40">
      <w:pPr>
        <w:pStyle w:val="ListParagraph"/>
        <w:widowControl/>
        <w:numPr>
          <w:ilvl w:val="1"/>
          <w:numId w:val="1"/>
        </w:numPr>
        <w:rPr>
          <w:szCs w:val="22"/>
        </w:rPr>
      </w:pPr>
      <w:r w:rsidRPr="0078738D">
        <w:rPr>
          <w:szCs w:val="22"/>
        </w:rPr>
        <w:t>The key features</w:t>
      </w:r>
      <w:r w:rsidR="00566DDF" w:rsidRPr="0078738D">
        <w:rPr>
          <w:szCs w:val="22"/>
        </w:rPr>
        <w:t xml:space="preserve"> of the direct randomised trial</w:t>
      </w:r>
      <w:r w:rsidRPr="0078738D">
        <w:rPr>
          <w:szCs w:val="22"/>
        </w:rPr>
        <w:t xml:space="preserve">s are </w:t>
      </w:r>
      <w:r w:rsidR="00D84CD7" w:rsidRPr="0078738D">
        <w:rPr>
          <w:szCs w:val="22"/>
        </w:rPr>
        <w:t>summarised in the</w:t>
      </w:r>
      <w:r w:rsidR="00B8222C">
        <w:rPr>
          <w:szCs w:val="22"/>
        </w:rPr>
        <w:t xml:space="preserve"> following</w:t>
      </w:r>
      <w:r w:rsidR="00D84CD7" w:rsidRPr="0078738D">
        <w:rPr>
          <w:szCs w:val="22"/>
        </w:rPr>
        <w:t xml:space="preserve"> table. </w:t>
      </w:r>
    </w:p>
    <w:p w:rsidR="007F1017" w:rsidRPr="0078738D" w:rsidRDefault="007F1017" w:rsidP="00452C90"/>
    <w:p w:rsidR="007F1017" w:rsidRPr="0078738D" w:rsidRDefault="007F1017" w:rsidP="006E32BF">
      <w:pPr>
        <w:keepNext/>
        <w:keepLines/>
        <w:ind w:firstLine="720"/>
        <w:rPr>
          <w:rStyle w:val="CommentReference"/>
        </w:rPr>
      </w:pPr>
      <w:r w:rsidRPr="0078738D">
        <w:rPr>
          <w:rStyle w:val="CommentReference"/>
        </w:rPr>
        <w:lastRenderedPageBreak/>
        <w:t>Key features of the included evidence</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712"/>
        <w:gridCol w:w="1843"/>
        <w:gridCol w:w="850"/>
        <w:gridCol w:w="1701"/>
        <w:gridCol w:w="991"/>
        <w:gridCol w:w="1117"/>
      </w:tblGrid>
      <w:tr w:rsidR="00E22A0D" w:rsidRPr="0078738D">
        <w:tc>
          <w:tcPr>
            <w:tcW w:w="678" w:type="pct"/>
            <w:shd w:val="clear" w:color="auto" w:fill="auto"/>
            <w:vAlign w:val="center"/>
          </w:tcPr>
          <w:p w:rsidR="007F1017" w:rsidRPr="0078738D" w:rsidRDefault="007F1017" w:rsidP="006E32BF">
            <w:pPr>
              <w:keepNext/>
              <w:keepLines/>
              <w:jc w:val="left"/>
              <w:rPr>
                <w:rFonts w:ascii="Arial Narrow" w:hAnsi="Arial Narrow"/>
                <w:b/>
                <w:sz w:val="20"/>
              </w:rPr>
            </w:pPr>
            <w:r w:rsidRPr="0078738D">
              <w:rPr>
                <w:rFonts w:ascii="Arial Narrow" w:hAnsi="Arial Narrow"/>
                <w:b/>
                <w:sz w:val="20"/>
              </w:rPr>
              <w:t>Trial</w:t>
            </w:r>
          </w:p>
        </w:tc>
        <w:tc>
          <w:tcPr>
            <w:tcW w:w="427" w:type="pct"/>
            <w:shd w:val="clear" w:color="auto" w:fill="auto"/>
            <w:vAlign w:val="center"/>
          </w:tcPr>
          <w:p w:rsidR="007F1017" w:rsidRPr="0078738D" w:rsidRDefault="007F1017" w:rsidP="006E32BF">
            <w:pPr>
              <w:keepNext/>
              <w:keepLines/>
              <w:jc w:val="center"/>
              <w:rPr>
                <w:rFonts w:ascii="Arial Narrow" w:hAnsi="Arial Narrow"/>
                <w:b/>
                <w:sz w:val="20"/>
              </w:rPr>
            </w:pPr>
            <w:r w:rsidRPr="0078738D">
              <w:rPr>
                <w:rFonts w:ascii="Arial Narrow" w:hAnsi="Arial Narrow"/>
                <w:b/>
                <w:sz w:val="20"/>
              </w:rPr>
              <w:t>N</w:t>
            </w:r>
            <w:r w:rsidR="00F10426">
              <w:rPr>
                <w:rFonts w:ascii="Arial Narrow" w:hAnsi="Arial Narrow"/>
                <w:b/>
                <w:sz w:val="20"/>
              </w:rPr>
              <w:t xml:space="preserve"> </w:t>
            </w:r>
            <w:r w:rsidR="00F10426" w:rsidRPr="00F10426">
              <w:rPr>
                <w:rFonts w:ascii="Arial Narrow" w:hAnsi="Arial Narrow"/>
                <w:b/>
                <w:sz w:val="20"/>
                <w:vertAlign w:val="superscript"/>
              </w:rPr>
              <w:t>a</w:t>
            </w:r>
          </w:p>
        </w:tc>
        <w:tc>
          <w:tcPr>
            <w:tcW w:w="1104" w:type="pct"/>
            <w:shd w:val="clear" w:color="auto" w:fill="auto"/>
            <w:vAlign w:val="center"/>
          </w:tcPr>
          <w:p w:rsidR="007F1017" w:rsidRPr="0078738D" w:rsidRDefault="007F1017" w:rsidP="006E32BF">
            <w:pPr>
              <w:keepNext/>
              <w:keepLines/>
              <w:jc w:val="center"/>
              <w:rPr>
                <w:rFonts w:ascii="Arial Narrow" w:hAnsi="Arial Narrow"/>
                <w:b/>
                <w:sz w:val="20"/>
              </w:rPr>
            </w:pPr>
            <w:r w:rsidRPr="0078738D">
              <w:rPr>
                <w:rFonts w:ascii="Arial Narrow" w:hAnsi="Arial Narrow"/>
                <w:b/>
                <w:sz w:val="20"/>
              </w:rPr>
              <w:t>Design/ duration</w:t>
            </w:r>
          </w:p>
        </w:tc>
        <w:tc>
          <w:tcPr>
            <w:tcW w:w="509" w:type="pct"/>
            <w:shd w:val="clear" w:color="auto" w:fill="auto"/>
            <w:vAlign w:val="center"/>
          </w:tcPr>
          <w:p w:rsidR="007F1017" w:rsidRPr="0078738D" w:rsidRDefault="007F1017" w:rsidP="006E32BF">
            <w:pPr>
              <w:keepNext/>
              <w:keepLines/>
              <w:jc w:val="center"/>
              <w:rPr>
                <w:rFonts w:ascii="Arial Narrow" w:hAnsi="Arial Narrow"/>
                <w:b/>
                <w:sz w:val="20"/>
              </w:rPr>
            </w:pPr>
            <w:r w:rsidRPr="0078738D">
              <w:rPr>
                <w:rFonts w:ascii="Arial Narrow" w:hAnsi="Arial Narrow"/>
                <w:b/>
                <w:sz w:val="20"/>
              </w:rPr>
              <w:t>Risk of bias</w:t>
            </w:r>
          </w:p>
        </w:tc>
        <w:tc>
          <w:tcPr>
            <w:tcW w:w="1019" w:type="pct"/>
            <w:shd w:val="clear" w:color="auto" w:fill="auto"/>
            <w:vAlign w:val="center"/>
          </w:tcPr>
          <w:p w:rsidR="007F1017" w:rsidRPr="0078738D" w:rsidRDefault="007F1017" w:rsidP="006E32BF">
            <w:pPr>
              <w:keepNext/>
              <w:keepLines/>
              <w:jc w:val="center"/>
              <w:rPr>
                <w:rFonts w:ascii="Arial Narrow" w:hAnsi="Arial Narrow"/>
                <w:b/>
                <w:sz w:val="20"/>
              </w:rPr>
            </w:pPr>
            <w:r w:rsidRPr="0078738D">
              <w:rPr>
                <w:rFonts w:ascii="Arial Narrow" w:hAnsi="Arial Narrow"/>
                <w:b/>
                <w:sz w:val="20"/>
              </w:rPr>
              <w:t>Patient population</w:t>
            </w:r>
          </w:p>
        </w:tc>
        <w:tc>
          <w:tcPr>
            <w:tcW w:w="594" w:type="pct"/>
            <w:shd w:val="clear" w:color="auto" w:fill="auto"/>
            <w:vAlign w:val="center"/>
          </w:tcPr>
          <w:p w:rsidR="007F1017" w:rsidRPr="0078738D" w:rsidRDefault="000C5BEF" w:rsidP="000C5BEF">
            <w:pPr>
              <w:keepNext/>
              <w:keepLines/>
              <w:jc w:val="center"/>
              <w:rPr>
                <w:rFonts w:ascii="Arial Narrow" w:hAnsi="Arial Narrow"/>
                <w:b/>
                <w:sz w:val="20"/>
              </w:rPr>
            </w:pPr>
            <w:r>
              <w:rPr>
                <w:rFonts w:ascii="Arial Narrow" w:hAnsi="Arial Narrow"/>
                <w:b/>
                <w:sz w:val="20"/>
              </w:rPr>
              <w:t>Outcome</w:t>
            </w:r>
            <w:r w:rsidR="007F1017" w:rsidRPr="0078738D">
              <w:rPr>
                <w:rFonts w:ascii="Arial Narrow" w:hAnsi="Arial Narrow"/>
                <w:b/>
                <w:sz w:val="20"/>
              </w:rPr>
              <w:t>s</w:t>
            </w:r>
          </w:p>
        </w:tc>
        <w:tc>
          <w:tcPr>
            <w:tcW w:w="670" w:type="pct"/>
            <w:shd w:val="clear" w:color="auto" w:fill="auto"/>
            <w:vAlign w:val="center"/>
          </w:tcPr>
          <w:p w:rsidR="007F1017" w:rsidRPr="0078738D" w:rsidRDefault="007F1017" w:rsidP="006E32BF">
            <w:pPr>
              <w:keepNext/>
              <w:keepLines/>
              <w:jc w:val="center"/>
              <w:rPr>
                <w:rFonts w:ascii="Arial Narrow" w:hAnsi="Arial Narrow"/>
                <w:b/>
                <w:sz w:val="20"/>
              </w:rPr>
            </w:pPr>
            <w:r w:rsidRPr="0078738D">
              <w:rPr>
                <w:rFonts w:ascii="Arial Narrow" w:hAnsi="Arial Narrow"/>
                <w:b/>
                <w:sz w:val="20"/>
              </w:rPr>
              <w:t>Use in modelled evaluation</w:t>
            </w:r>
          </w:p>
        </w:tc>
      </w:tr>
      <w:tr w:rsidR="007F1017" w:rsidRPr="0078738D">
        <w:tc>
          <w:tcPr>
            <w:tcW w:w="5000" w:type="pct"/>
            <w:gridSpan w:val="7"/>
            <w:shd w:val="clear" w:color="auto" w:fill="auto"/>
            <w:vAlign w:val="center"/>
          </w:tcPr>
          <w:p w:rsidR="007F1017" w:rsidRPr="0078738D" w:rsidRDefault="0078738D" w:rsidP="006E32BF">
            <w:pPr>
              <w:keepNext/>
              <w:keepLines/>
              <w:jc w:val="left"/>
              <w:rPr>
                <w:rFonts w:ascii="Arial Narrow" w:hAnsi="Arial Narrow"/>
                <w:b/>
                <w:sz w:val="20"/>
              </w:rPr>
            </w:pPr>
            <w:r w:rsidRPr="0078738D">
              <w:rPr>
                <w:rFonts w:ascii="Arial Narrow" w:hAnsi="Arial Narrow"/>
                <w:b/>
                <w:sz w:val="20"/>
              </w:rPr>
              <w:t>Adalimumab in paediatric patients</w:t>
            </w:r>
          </w:p>
        </w:tc>
      </w:tr>
      <w:tr w:rsidR="00E22A0D" w:rsidRPr="0078738D">
        <w:tc>
          <w:tcPr>
            <w:tcW w:w="678" w:type="pct"/>
            <w:shd w:val="clear" w:color="auto" w:fill="auto"/>
            <w:vAlign w:val="center"/>
          </w:tcPr>
          <w:p w:rsidR="007F1017" w:rsidRPr="0078738D" w:rsidRDefault="006E32BF" w:rsidP="006E32BF">
            <w:pPr>
              <w:keepNext/>
              <w:keepLines/>
              <w:jc w:val="left"/>
              <w:rPr>
                <w:rFonts w:ascii="Arial Narrow" w:hAnsi="Arial Narrow"/>
                <w:sz w:val="20"/>
              </w:rPr>
            </w:pPr>
            <w:r>
              <w:rPr>
                <w:rFonts w:ascii="Arial Narrow" w:hAnsi="Arial Narrow"/>
                <w:sz w:val="20"/>
              </w:rPr>
              <w:t>IMAGINE-1</w:t>
            </w:r>
          </w:p>
        </w:tc>
        <w:tc>
          <w:tcPr>
            <w:tcW w:w="427" w:type="pct"/>
            <w:shd w:val="clear" w:color="auto" w:fill="auto"/>
            <w:vAlign w:val="center"/>
          </w:tcPr>
          <w:p w:rsidR="007F1017" w:rsidRPr="0078738D" w:rsidRDefault="00BE3C7C" w:rsidP="00BE3C7C">
            <w:pPr>
              <w:keepNext/>
              <w:keepLines/>
              <w:jc w:val="center"/>
              <w:rPr>
                <w:rFonts w:ascii="Arial Narrow" w:hAnsi="Arial Narrow"/>
                <w:sz w:val="20"/>
              </w:rPr>
            </w:pPr>
            <w:r>
              <w:rPr>
                <w:rFonts w:ascii="Arial Narrow" w:hAnsi="Arial Narrow"/>
                <w:sz w:val="20"/>
              </w:rPr>
              <w:t>93</w:t>
            </w:r>
          </w:p>
        </w:tc>
        <w:tc>
          <w:tcPr>
            <w:tcW w:w="1104" w:type="pct"/>
            <w:shd w:val="clear" w:color="auto" w:fill="auto"/>
            <w:vAlign w:val="center"/>
          </w:tcPr>
          <w:p w:rsidR="007F1017" w:rsidRDefault="00932EAA" w:rsidP="006E32BF">
            <w:pPr>
              <w:keepNext/>
              <w:keepLines/>
              <w:jc w:val="center"/>
              <w:rPr>
                <w:rFonts w:ascii="Arial Narrow" w:hAnsi="Arial Narrow"/>
                <w:sz w:val="20"/>
              </w:rPr>
            </w:pPr>
            <w:r>
              <w:rPr>
                <w:rFonts w:ascii="Arial Narrow" w:hAnsi="Arial Narrow"/>
                <w:sz w:val="20"/>
              </w:rPr>
              <w:t>R, MC, DB,</w:t>
            </w:r>
          </w:p>
          <w:p w:rsidR="0042241E" w:rsidRPr="0078738D" w:rsidRDefault="007E7252" w:rsidP="006E32BF">
            <w:pPr>
              <w:keepNext/>
              <w:keepLines/>
              <w:jc w:val="center"/>
              <w:rPr>
                <w:rFonts w:ascii="Arial Narrow" w:hAnsi="Arial Narrow"/>
                <w:sz w:val="20"/>
              </w:rPr>
            </w:pPr>
            <w:r>
              <w:rPr>
                <w:rFonts w:ascii="Arial Narrow" w:hAnsi="Arial Narrow"/>
                <w:sz w:val="20"/>
              </w:rPr>
              <w:t>52 weeks</w:t>
            </w:r>
          </w:p>
        </w:tc>
        <w:tc>
          <w:tcPr>
            <w:tcW w:w="509" w:type="pct"/>
            <w:shd w:val="clear" w:color="auto" w:fill="auto"/>
            <w:vAlign w:val="center"/>
          </w:tcPr>
          <w:p w:rsidR="007F1017" w:rsidRPr="0078738D" w:rsidRDefault="00753D7B" w:rsidP="006E32BF">
            <w:pPr>
              <w:keepNext/>
              <w:keepLines/>
              <w:jc w:val="center"/>
              <w:rPr>
                <w:rFonts w:ascii="Arial Narrow" w:hAnsi="Arial Narrow"/>
                <w:sz w:val="20"/>
              </w:rPr>
            </w:pPr>
            <w:r>
              <w:rPr>
                <w:rFonts w:ascii="Arial Narrow" w:hAnsi="Arial Narrow"/>
                <w:sz w:val="20"/>
              </w:rPr>
              <w:t>Low</w:t>
            </w:r>
          </w:p>
        </w:tc>
        <w:tc>
          <w:tcPr>
            <w:tcW w:w="1019" w:type="pct"/>
            <w:shd w:val="clear" w:color="auto" w:fill="auto"/>
            <w:vAlign w:val="center"/>
          </w:tcPr>
          <w:p w:rsidR="00751C75" w:rsidRPr="0078738D" w:rsidRDefault="00D56FB1" w:rsidP="006E32BF">
            <w:pPr>
              <w:keepNext/>
              <w:keepLines/>
              <w:jc w:val="center"/>
              <w:rPr>
                <w:rFonts w:ascii="Arial Narrow" w:hAnsi="Arial Narrow"/>
                <w:sz w:val="20"/>
              </w:rPr>
            </w:pPr>
            <w:r>
              <w:rPr>
                <w:rFonts w:ascii="Arial Narrow" w:hAnsi="Arial Narrow"/>
                <w:sz w:val="20"/>
              </w:rPr>
              <w:t>Infliximab naïve or experienced</w:t>
            </w:r>
          </w:p>
        </w:tc>
        <w:tc>
          <w:tcPr>
            <w:tcW w:w="594" w:type="pct"/>
            <w:shd w:val="clear" w:color="auto" w:fill="auto"/>
            <w:vAlign w:val="center"/>
          </w:tcPr>
          <w:p w:rsidR="007F1017" w:rsidRPr="0078738D" w:rsidRDefault="00751C75" w:rsidP="006E32BF">
            <w:pPr>
              <w:keepNext/>
              <w:keepLines/>
              <w:jc w:val="center"/>
              <w:rPr>
                <w:rFonts w:ascii="Arial Narrow" w:hAnsi="Arial Narrow"/>
                <w:sz w:val="20"/>
              </w:rPr>
            </w:pPr>
            <w:r>
              <w:rPr>
                <w:rFonts w:ascii="Arial Narrow" w:hAnsi="Arial Narrow"/>
                <w:sz w:val="20"/>
              </w:rPr>
              <w:t>Response, remission</w:t>
            </w:r>
          </w:p>
        </w:tc>
        <w:tc>
          <w:tcPr>
            <w:tcW w:w="670" w:type="pct"/>
            <w:shd w:val="clear" w:color="auto" w:fill="auto"/>
            <w:vAlign w:val="center"/>
          </w:tcPr>
          <w:p w:rsidR="007F1017" w:rsidRPr="0078738D" w:rsidRDefault="009B122F" w:rsidP="006E32BF">
            <w:pPr>
              <w:keepNext/>
              <w:keepLines/>
              <w:jc w:val="center"/>
              <w:rPr>
                <w:rFonts w:ascii="Arial Narrow" w:hAnsi="Arial Narrow"/>
                <w:sz w:val="20"/>
              </w:rPr>
            </w:pPr>
            <w:r>
              <w:rPr>
                <w:rFonts w:ascii="Arial Narrow" w:hAnsi="Arial Narrow"/>
                <w:sz w:val="20"/>
              </w:rPr>
              <w:t>Yes</w:t>
            </w:r>
          </w:p>
        </w:tc>
      </w:tr>
      <w:tr w:rsidR="0078738D" w:rsidRPr="0078738D">
        <w:tc>
          <w:tcPr>
            <w:tcW w:w="5000" w:type="pct"/>
            <w:gridSpan w:val="7"/>
            <w:shd w:val="clear" w:color="auto" w:fill="auto"/>
            <w:vAlign w:val="center"/>
          </w:tcPr>
          <w:p w:rsidR="0078738D" w:rsidRPr="0078738D" w:rsidRDefault="0078738D" w:rsidP="006E32BF">
            <w:pPr>
              <w:keepNext/>
              <w:keepLines/>
              <w:jc w:val="left"/>
              <w:rPr>
                <w:rFonts w:ascii="Arial Narrow" w:hAnsi="Arial Narrow"/>
                <w:b/>
                <w:sz w:val="20"/>
              </w:rPr>
            </w:pPr>
            <w:r w:rsidRPr="0078738D">
              <w:rPr>
                <w:rFonts w:ascii="Arial Narrow" w:hAnsi="Arial Narrow"/>
                <w:b/>
                <w:sz w:val="20"/>
              </w:rPr>
              <w:t>Infliximab in paediatric patients</w:t>
            </w:r>
          </w:p>
        </w:tc>
      </w:tr>
      <w:tr w:rsidR="00E22A0D" w:rsidRPr="0078738D">
        <w:tc>
          <w:tcPr>
            <w:tcW w:w="678" w:type="pct"/>
            <w:shd w:val="clear" w:color="auto" w:fill="auto"/>
            <w:vAlign w:val="center"/>
          </w:tcPr>
          <w:p w:rsidR="007F1017" w:rsidRPr="0078738D" w:rsidRDefault="006E32BF" w:rsidP="006E32BF">
            <w:pPr>
              <w:keepNext/>
              <w:keepLines/>
              <w:jc w:val="left"/>
              <w:rPr>
                <w:rFonts w:ascii="Arial Narrow" w:hAnsi="Arial Narrow"/>
                <w:sz w:val="20"/>
              </w:rPr>
            </w:pPr>
            <w:r>
              <w:rPr>
                <w:rFonts w:ascii="Arial Narrow" w:hAnsi="Arial Narrow"/>
                <w:sz w:val="20"/>
              </w:rPr>
              <w:t>REACH</w:t>
            </w:r>
          </w:p>
        </w:tc>
        <w:tc>
          <w:tcPr>
            <w:tcW w:w="427" w:type="pct"/>
            <w:shd w:val="clear" w:color="auto" w:fill="auto"/>
            <w:vAlign w:val="center"/>
          </w:tcPr>
          <w:p w:rsidR="007F1017" w:rsidRPr="0078738D" w:rsidRDefault="00671C64" w:rsidP="006E32BF">
            <w:pPr>
              <w:keepNext/>
              <w:keepLines/>
              <w:jc w:val="center"/>
              <w:rPr>
                <w:rFonts w:ascii="Arial Narrow" w:hAnsi="Arial Narrow"/>
                <w:sz w:val="20"/>
              </w:rPr>
            </w:pPr>
            <w:r>
              <w:rPr>
                <w:rFonts w:ascii="Arial Narrow" w:hAnsi="Arial Narrow"/>
                <w:sz w:val="20"/>
              </w:rPr>
              <w:t>52</w:t>
            </w:r>
          </w:p>
        </w:tc>
        <w:tc>
          <w:tcPr>
            <w:tcW w:w="1104" w:type="pct"/>
            <w:shd w:val="clear" w:color="auto" w:fill="auto"/>
            <w:vAlign w:val="center"/>
          </w:tcPr>
          <w:p w:rsidR="007F1017" w:rsidRDefault="00DD0167" w:rsidP="006E32BF">
            <w:pPr>
              <w:keepNext/>
              <w:keepLines/>
              <w:jc w:val="center"/>
              <w:rPr>
                <w:rFonts w:ascii="Arial Narrow" w:hAnsi="Arial Narrow"/>
                <w:sz w:val="20"/>
              </w:rPr>
            </w:pPr>
            <w:r>
              <w:rPr>
                <w:rFonts w:ascii="Arial Narrow" w:hAnsi="Arial Narrow"/>
                <w:sz w:val="20"/>
              </w:rPr>
              <w:t>R, MC, OL</w:t>
            </w:r>
            <w:r w:rsidR="0042241E">
              <w:rPr>
                <w:rFonts w:ascii="Arial Narrow" w:hAnsi="Arial Narrow"/>
                <w:sz w:val="20"/>
              </w:rPr>
              <w:t>,</w:t>
            </w:r>
          </w:p>
          <w:p w:rsidR="0042241E" w:rsidRPr="0078738D" w:rsidRDefault="0042241E" w:rsidP="006E32BF">
            <w:pPr>
              <w:keepNext/>
              <w:keepLines/>
              <w:jc w:val="center"/>
              <w:rPr>
                <w:rFonts w:ascii="Arial Narrow" w:hAnsi="Arial Narrow"/>
                <w:sz w:val="20"/>
              </w:rPr>
            </w:pPr>
            <w:r>
              <w:rPr>
                <w:rFonts w:ascii="Arial Narrow" w:hAnsi="Arial Narrow"/>
                <w:sz w:val="20"/>
              </w:rPr>
              <w:t>54 weeks</w:t>
            </w:r>
          </w:p>
        </w:tc>
        <w:tc>
          <w:tcPr>
            <w:tcW w:w="509" w:type="pct"/>
            <w:shd w:val="clear" w:color="auto" w:fill="auto"/>
            <w:vAlign w:val="center"/>
          </w:tcPr>
          <w:p w:rsidR="007F1017" w:rsidRPr="0078738D" w:rsidRDefault="00753D7B" w:rsidP="006E32BF">
            <w:pPr>
              <w:keepNext/>
              <w:keepLines/>
              <w:jc w:val="center"/>
              <w:rPr>
                <w:rFonts w:ascii="Arial Narrow" w:hAnsi="Arial Narrow"/>
                <w:sz w:val="20"/>
              </w:rPr>
            </w:pPr>
            <w:r>
              <w:rPr>
                <w:rFonts w:ascii="Arial Narrow" w:hAnsi="Arial Narrow"/>
                <w:sz w:val="20"/>
              </w:rPr>
              <w:t>Unclear</w:t>
            </w:r>
          </w:p>
        </w:tc>
        <w:tc>
          <w:tcPr>
            <w:tcW w:w="1019" w:type="pct"/>
            <w:shd w:val="clear" w:color="auto" w:fill="auto"/>
            <w:vAlign w:val="center"/>
          </w:tcPr>
          <w:p w:rsidR="007F1017" w:rsidRPr="0078738D" w:rsidRDefault="00751C75" w:rsidP="00F10426">
            <w:pPr>
              <w:keepNext/>
              <w:keepLines/>
              <w:jc w:val="center"/>
              <w:rPr>
                <w:rFonts w:ascii="Arial Narrow" w:hAnsi="Arial Narrow"/>
                <w:sz w:val="20"/>
              </w:rPr>
            </w:pPr>
            <w:r>
              <w:rPr>
                <w:rFonts w:ascii="Arial Narrow" w:hAnsi="Arial Narrow"/>
                <w:sz w:val="20"/>
              </w:rPr>
              <w:t>Infliximab-naïve</w:t>
            </w:r>
            <w:r w:rsidR="00D56FB1">
              <w:rPr>
                <w:rFonts w:ascii="Arial Narrow" w:hAnsi="Arial Narrow"/>
                <w:sz w:val="20"/>
              </w:rPr>
              <w:t xml:space="preserve"> </w:t>
            </w:r>
            <w:r w:rsidR="00F10426">
              <w:rPr>
                <w:rFonts w:ascii="Arial Narrow" w:hAnsi="Arial Narrow"/>
                <w:sz w:val="20"/>
                <w:vertAlign w:val="superscript"/>
              </w:rPr>
              <w:t>b</w:t>
            </w:r>
          </w:p>
        </w:tc>
        <w:tc>
          <w:tcPr>
            <w:tcW w:w="594" w:type="pct"/>
            <w:shd w:val="clear" w:color="auto" w:fill="auto"/>
            <w:vAlign w:val="center"/>
          </w:tcPr>
          <w:p w:rsidR="007F1017" w:rsidRPr="0078738D" w:rsidRDefault="00751C75" w:rsidP="006E32BF">
            <w:pPr>
              <w:keepNext/>
              <w:keepLines/>
              <w:jc w:val="center"/>
              <w:rPr>
                <w:rFonts w:ascii="Arial Narrow" w:hAnsi="Arial Narrow"/>
                <w:sz w:val="20"/>
              </w:rPr>
            </w:pPr>
            <w:r>
              <w:rPr>
                <w:rFonts w:ascii="Arial Narrow" w:hAnsi="Arial Narrow"/>
                <w:sz w:val="20"/>
              </w:rPr>
              <w:t>Response, remission</w:t>
            </w:r>
          </w:p>
        </w:tc>
        <w:tc>
          <w:tcPr>
            <w:tcW w:w="670" w:type="pct"/>
            <w:shd w:val="clear" w:color="auto" w:fill="auto"/>
            <w:vAlign w:val="center"/>
          </w:tcPr>
          <w:p w:rsidR="007F1017" w:rsidRPr="0078738D" w:rsidRDefault="009B122F" w:rsidP="006E32BF">
            <w:pPr>
              <w:keepNext/>
              <w:keepLines/>
              <w:jc w:val="center"/>
              <w:rPr>
                <w:rFonts w:ascii="Arial Narrow" w:hAnsi="Arial Narrow"/>
                <w:sz w:val="20"/>
              </w:rPr>
            </w:pPr>
            <w:r>
              <w:rPr>
                <w:rFonts w:ascii="Arial Narrow" w:hAnsi="Arial Narrow"/>
                <w:sz w:val="20"/>
              </w:rPr>
              <w:t>Yes</w:t>
            </w:r>
          </w:p>
        </w:tc>
      </w:tr>
      <w:tr w:rsidR="006E32BF" w:rsidRPr="0078738D">
        <w:tc>
          <w:tcPr>
            <w:tcW w:w="5000" w:type="pct"/>
            <w:gridSpan w:val="7"/>
            <w:shd w:val="clear" w:color="auto" w:fill="auto"/>
            <w:vAlign w:val="center"/>
          </w:tcPr>
          <w:p w:rsidR="006E32BF" w:rsidRPr="0078738D" w:rsidRDefault="006E32BF" w:rsidP="006E32BF">
            <w:pPr>
              <w:keepNext/>
              <w:keepLines/>
              <w:jc w:val="left"/>
              <w:rPr>
                <w:rFonts w:ascii="Arial Narrow" w:hAnsi="Arial Narrow"/>
                <w:b/>
                <w:sz w:val="20"/>
              </w:rPr>
            </w:pPr>
            <w:r w:rsidRPr="0078738D">
              <w:rPr>
                <w:rFonts w:ascii="Arial Narrow" w:hAnsi="Arial Narrow"/>
                <w:b/>
                <w:sz w:val="20"/>
              </w:rPr>
              <w:t xml:space="preserve">Adalimumab in </w:t>
            </w:r>
            <w:r>
              <w:rPr>
                <w:rFonts w:ascii="Arial Narrow" w:hAnsi="Arial Narrow"/>
                <w:b/>
                <w:sz w:val="20"/>
              </w:rPr>
              <w:t>adult</w:t>
            </w:r>
            <w:r w:rsidRPr="0078738D">
              <w:rPr>
                <w:rFonts w:ascii="Arial Narrow" w:hAnsi="Arial Narrow"/>
                <w:b/>
                <w:sz w:val="20"/>
              </w:rPr>
              <w:t xml:space="preserve"> patients</w:t>
            </w:r>
          </w:p>
        </w:tc>
      </w:tr>
      <w:tr w:rsidR="00E22A0D" w:rsidRPr="00602258">
        <w:tc>
          <w:tcPr>
            <w:tcW w:w="678" w:type="pct"/>
            <w:shd w:val="clear" w:color="auto" w:fill="auto"/>
            <w:vAlign w:val="center"/>
          </w:tcPr>
          <w:p w:rsidR="007F1017" w:rsidRPr="00602258" w:rsidRDefault="006E32BF" w:rsidP="006E32BF">
            <w:pPr>
              <w:keepNext/>
              <w:keepLines/>
              <w:jc w:val="left"/>
              <w:rPr>
                <w:rFonts w:ascii="Arial Narrow" w:hAnsi="Arial Narrow"/>
                <w:sz w:val="20"/>
              </w:rPr>
            </w:pPr>
            <w:r w:rsidRPr="00602258">
              <w:rPr>
                <w:rFonts w:ascii="Arial Narrow" w:hAnsi="Arial Narrow"/>
                <w:sz w:val="20"/>
              </w:rPr>
              <w:t>CHARM</w:t>
            </w:r>
          </w:p>
        </w:tc>
        <w:tc>
          <w:tcPr>
            <w:tcW w:w="427" w:type="pct"/>
            <w:shd w:val="clear" w:color="auto" w:fill="auto"/>
            <w:vAlign w:val="center"/>
          </w:tcPr>
          <w:p w:rsidR="007F1017" w:rsidRPr="00602258" w:rsidRDefault="00671C64" w:rsidP="006E32BF">
            <w:pPr>
              <w:keepNext/>
              <w:keepLines/>
              <w:jc w:val="center"/>
              <w:rPr>
                <w:rFonts w:ascii="Arial Narrow" w:hAnsi="Arial Narrow"/>
                <w:sz w:val="20"/>
              </w:rPr>
            </w:pPr>
            <w:r>
              <w:rPr>
                <w:rFonts w:ascii="Arial Narrow" w:hAnsi="Arial Narrow"/>
                <w:sz w:val="20"/>
              </w:rPr>
              <w:t>260</w:t>
            </w:r>
          </w:p>
        </w:tc>
        <w:tc>
          <w:tcPr>
            <w:tcW w:w="1104" w:type="pct"/>
            <w:shd w:val="clear" w:color="auto" w:fill="auto"/>
            <w:vAlign w:val="center"/>
          </w:tcPr>
          <w:p w:rsidR="007F1017" w:rsidRDefault="00DD0167" w:rsidP="006E32BF">
            <w:pPr>
              <w:keepNext/>
              <w:keepLines/>
              <w:jc w:val="center"/>
              <w:rPr>
                <w:rFonts w:ascii="Arial Narrow" w:hAnsi="Arial Narrow"/>
                <w:sz w:val="20"/>
              </w:rPr>
            </w:pPr>
            <w:r>
              <w:rPr>
                <w:rFonts w:ascii="Arial Narrow" w:hAnsi="Arial Narrow"/>
                <w:sz w:val="20"/>
              </w:rPr>
              <w:t>R, MC, DB</w:t>
            </w:r>
            <w:r w:rsidR="00F34D9C">
              <w:rPr>
                <w:rFonts w:ascii="Arial Narrow" w:hAnsi="Arial Narrow"/>
                <w:sz w:val="20"/>
              </w:rPr>
              <w:t>, PBO</w:t>
            </w:r>
            <w:r w:rsidR="0042241E">
              <w:rPr>
                <w:rFonts w:ascii="Arial Narrow" w:hAnsi="Arial Narrow"/>
                <w:sz w:val="20"/>
              </w:rPr>
              <w:t>,</w:t>
            </w:r>
          </w:p>
          <w:p w:rsidR="00A561BE" w:rsidRPr="00602258" w:rsidRDefault="00A561BE" w:rsidP="006E32BF">
            <w:pPr>
              <w:keepNext/>
              <w:keepLines/>
              <w:jc w:val="center"/>
              <w:rPr>
                <w:rFonts w:ascii="Arial Narrow" w:hAnsi="Arial Narrow"/>
                <w:sz w:val="20"/>
              </w:rPr>
            </w:pPr>
            <w:r>
              <w:rPr>
                <w:rFonts w:ascii="Arial Narrow" w:hAnsi="Arial Narrow"/>
                <w:sz w:val="20"/>
              </w:rPr>
              <w:t>56 weeks</w:t>
            </w:r>
          </w:p>
        </w:tc>
        <w:tc>
          <w:tcPr>
            <w:tcW w:w="509" w:type="pct"/>
            <w:shd w:val="clear" w:color="auto" w:fill="auto"/>
            <w:vAlign w:val="center"/>
          </w:tcPr>
          <w:p w:rsidR="007F1017" w:rsidRPr="00602258" w:rsidRDefault="00753D7B" w:rsidP="006E32BF">
            <w:pPr>
              <w:keepNext/>
              <w:keepLines/>
              <w:jc w:val="center"/>
              <w:rPr>
                <w:rFonts w:ascii="Arial Narrow" w:hAnsi="Arial Narrow"/>
                <w:sz w:val="20"/>
              </w:rPr>
            </w:pPr>
            <w:r>
              <w:rPr>
                <w:rFonts w:ascii="Arial Narrow" w:hAnsi="Arial Narrow"/>
                <w:sz w:val="20"/>
              </w:rPr>
              <w:t>Low</w:t>
            </w:r>
          </w:p>
        </w:tc>
        <w:tc>
          <w:tcPr>
            <w:tcW w:w="1019" w:type="pct"/>
            <w:shd w:val="clear" w:color="auto" w:fill="auto"/>
            <w:vAlign w:val="center"/>
          </w:tcPr>
          <w:p w:rsidR="007F1017" w:rsidRPr="00602258" w:rsidRDefault="00D56FB1" w:rsidP="00F10426">
            <w:pPr>
              <w:keepNext/>
              <w:keepLines/>
              <w:jc w:val="center"/>
              <w:rPr>
                <w:rFonts w:ascii="Arial Narrow" w:hAnsi="Arial Narrow"/>
                <w:sz w:val="20"/>
              </w:rPr>
            </w:pPr>
            <w:r>
              <w:rPr>
                <w:rFonts w:ascii="Arial Narrow" w:hAnsi="Arial Narrow"/>
                <w:sz w:val="20"/>
              </w:rPr>
              <w:t>Infliximab</w:t>
            </w:r>
            <w:r w:rsidR="00334C4E">
              <w:rPr>
                <w:rFonts w:ascii="Arial Narrow" w:hAnsi="Arial Narrow"/>
                <w:sz w:val="20"/>
              </w:rPr>
              <w:t xml:space="preserve"> </w:t>
            </w:r>
            <w:r w:rsidR="00751C75">
              <w:rPr>
                <w:rFonts w:ascii="Arial Narrow" w:hAnsi="Arial Narrow"/>
                <w:sz w:val="20"/>
              </w:rPr>
              <w:t>naïve or experienced</w:t>
            </w:r>
            <w:r w:rsidR="004A0C77">
              <w:rPr>
                <w:rFonts w:ascii="Arial Narrow" w:hAnsi="Arial Narrow"/>
                <w:sz w:val="20"/>
              </w:rPr>
              <w:t xml:space="preserve"> </w:t>
            </w:r>
            <w:r w:rsidR="00F10426">
              <w:rPr>
                <w:rFonts w:ascii="Arial Narrow" w:hAnsi="Arial Narrow"/>
                <w:sz w:val="20"/>
                <w:vertAlign w:val="superscript"/>
              </w:rPr>
              <w:t>b</w:t>
            </w:r>
          </w:p>
        </w:tc>
        <w:tc>
          <w:tcPr>
            <w:tcW w:w="594" w:type="pct"/>
            <w:shd w:val="clear" w:color="auto" w:fill="auto"/>
            <w:vAlign w:val="center"/>
          </w:tcPr>
          <w:p w:rsidR="007F1017" w:rsidRPr="00602258" w:rsidRDefault="00751C75" w:rsidP="006E32BF">
            <w:pPr>
              <w:keepNext/>
              <w:keepLines/>
              <w:jc w:val="center"/>
              <w:rPr>
                <w:rFonts w:ascii="Arial Narrow" w:hAnsi="Arial Narrow"/>
                <w:sz w:val="20"/>
              </w:rPr>
            </w:pPr>
            <w:r>
              <w:rPr>
                <w:rFonts w:ascii="Arial Narrow" w:hAnsi="Arial Narrow"/>
                <w:sz w:val="20"/>
              </w:rPr>
              <w:t>Response, remission</w:t>
            </w:r>
          </w:p>
        </w:tc>
        <w:tc>
          <w:tcPr>
            <w:tcW w:w="670" w:type="pct"/>
            <w:shd w:val="clear" w:color="auto" w:fill="auto"/>
            <w:vAlign w:val="center"/>
          </w:tcPr>
          <w:p w:rsidR="007F1017" w:rsidRPr="00602258" w:rsidRDefault="009B122F" w:rsidP="006E32BF">
            <w:pPr>
              <w:keepNext/>
              <w:keepLines/>
              <w:jc w:val="center"/>
              <w:rPr>
                <w:rFonts w:ascii="Arial Narrow" w:hAnsi="Arial Narrow"/>
                <w:sz w:val="20"/>
              </w:rPr>
            </w:pPr>
            <w:r>
              <w:rPr>
                <w:rFonts w:ascii="Arial Narrow" w:hAnsi="Arial Narrow"/>
                <w:sz w:val="20"/>
              </w:rPr>
              <w:t>No</w:t>
            </w:r>
          </w:p>
        </w:tc>
      </w:tr>
    </w:tbl>
    <w:p w:rsidR="00932EAA" w:rsidRPr="0078738D" w:rsidRDefault="00932EAA" w:rsidP="00932EAA">
      <w:pPr>
        <w:pStyle w:val="TableFooter"/>
        <w:keepNext/>
        <w:keepLines/>
        <w:ind w:firstLine="720"/>
      </w:pPr>
      <w:r w:rsidRPr="0078738D">
        <w:t>Source: compiled during the evaluation</w:t>
      </w:r>
      <w:r>
        <w:t>;</w:t>
      </w:r>
    </w:p>
    <w:p w:rsidR="007F1017" w:rsidRDefault="007F1017" w:rsidP="006E32BF">
      <w:pPr>
        <w:pStyle w:val="TableFooter"/>
        <w:keepNext/>
        <w:keepLines/>
        <w:ind w:firstLine="720"/>
      </w:pPr>
      <w:r w:rsidRPr="0078738D">
        <w:t xml:space="preserve">DB=double blind; MC=multi-centre; OL=open label; </w:t>
      </w:r>
      <w:r w:rsidR="00F34D9C">
        <w:t>R=randomised, PBO=placebo controlled;</w:t>
      </w:r>
    </w:p>
    <w:p w:rsidR="00965992" w:rsidRDefault="00965992" w:rsidP="006E32BF">
      <w:pPr>
        <w:pStyle w:val="TableFooter"/>
        <w:keepNext/>
        <w:keepLines/>
        <w:ind w:firstLine="720"/>
      </w:pPr>
      <w:proofErr w:type="gramStart"/>
      <w:r w:rsidRPr="00965992">
        <w:rPr>
          <w:vertAlign w:val="superscript"/>
        </w:rPr>
        <w:t>a</w:t>
      </w:r>
      <w:proofErr w:type="gramEnd"/>
      <w:r>
        <w:t xml:space="preserve"> number of patients in the </w:t>
      </w:r>
      <w:r w:rsidR="00BE3C7C">
        <w:t>relevant</w:t>
      </w:r>
      <w:r>
        <w:t xml:space="preserve"> single arms in Section B of the submission;</w:t>
      </w:r>
    </w:p>
    <w:p w:rsidR="00D56FB1" w:rsidRPr="0078738D" w:rsidRDefault="00F10426" w:rsidP="006E32BF">
      <w:pPr>
        <w:pStyle w:val="TableFooter"/>
        <w:keepNext/>
        <w:keepLines/>
        <w:ind w:firstLine="720"/>
      </w:pPr>
      <w:proofErr w:type="gramStart"/>
      <w:r>
        <w:rPr>
          <w:vertAlign w:val="superscript"/>
        </w:rPr>
        <w:t>b</w:t>
      </w:r>
      <w:proofErr w:type="gramEnd"/>
      <w:r w:rsidR="00D56FB1">
        <w:t xml:space="preserve"> infliximab or other </w:t>
      </w:r>
      <w:r w:rsidR="00D56FB1" w:rsidRPr="00D56FB1">
        <w:t>tumour necrosis factor</w:t>
      </w:r>
      <w:r w:rsidR="00D56FB1">
        <w:t xml:space="preserve"> inhibitor;</w:t>
      </w:r>
    </w:p>
    <w:p w:rsidR="007F1017" w:rsidRDefault="007F1017" w:rsidP="007B388A">
      <w:pPr>
        <w:ind w:left="720"/>
      </w:pPr>
    </w:p>
    <w:p w:rsidR="004264DD" w:rsidRPr="00BD2865" w:rsidRDefault="004264DD" w:rsidP="00955E40">
      <w:pPr>
        <w:pStyle w:val="ListParagraph"/>
        <w:widowControl/>
        <w:numPr>
          <w:ilvl w:val="1"/>
          <w:numId w:val="1"/>
        </w:numPr>
      </w:pPr>
      <w:r w:rsidRPr="00BD2865">
        <w:t xml:space="preserve">The key difference between the IMAGINE-1 and </w:t>
      </w:r>
      <w:proofErr w:type="gramStart"/>
      <w:r w:rsidRPr="00BD2865">
        <w:t>REACH trial populations was</w:t>
      </w:r>
      <w:proofErr w:type="gramEnd"/>
      <w:r w:rsidRPr="00BD2865">
        <w:t xml:space="preserve"> the inclusion of infliximab-experienced patients in IMAGINE-1</w:t>
      </w:r>
      <w:r w:rsidR="007C7263" w:rsidRPr="00BD2865">
        <w:t xml:space="preserve">. For the naïve indirect comparison between adalimumab and infliximab, infliximab experienced patients in the </w:t>
      </w:r>
      <w:r w:rsidR="000C5BEF">
        <w:t xml:space="preserve">adalimumab trial were excluded. </w:t>
      </w:r>
      <w:r w:rsidR="00BE3C7C" w:rsidRPr="00BD2865">
        <w:t>Additionally, IMAGINE-1 rand</w:t>
      </w:r>
      <w:r w:rsidR="007C7263" w:rsidRPr="00BD2865">
        <w:t xml:space="preserve">omised </w:t>
      </w:r>
      <w:r w:rsidR="008941D8" w:rsidRPr="00BD2865">
        <w:t xml:space="preserve">all </w:t>
      </w:r>
      <w:r w:rsidR="007C7263" w:rsidRPr="00BD2865">
        <w:t xml:space="preserve">patients </w:t>
      </w:r>
      <w:r w:rsidR="002E4B2D" w:rsidRPr="00BD2865">
        <w:t xml:space="preserve">to </w:t>
      </w:r>
      <w:r w:rsidR="001223B4" w:rsidRPr="00BD2865">
        <w:t>low or high dose adalimumab maintenance treatment</w:t>
      </w:r>
      <w:r w:rsidR="002E4B2D" w:rsidRPr="00BD2865">
        <w:t xml:space="preserve"> </w:t>
      </w:r>
      <w:r w:rsidR="008941D8" w:rsidRPr="00BD2865">
        <w:t>after adalimumab induction treatment (week 4)</w:t>
      </w:r>
      <w:r w:rsidR="00BE3C7C" w:rsidRPr="00BD2865">
        <w:t>, while in REACH patients who responded to infliximab induction treatment at week 10, were randomised to a low or high infliximab maintenance dose (5 mg/kg every 8</w:t>
      </w:r>
      <w:r w:rsidR="00717B36" w:rsidRPr="00BD2865">
        <w:t xml:space="preserve"> or 12</w:t>
      </w:r>
      <w:r w:rsidR="00BE3C7C" w:rsidRPr="00BD2865">
        <w:t xml:space="preserve"> weeks)</w:t>
      </w:r>
      <w:r w:rsidRPr="00BD2865">
        <w:t>.</w:t>
      </w:r>
      <w:r w:rsidR="00BE3C7C" w:rsidRPr="00BD2865">
        <w:t xml:space="preserve"> The submission uses a post-hoc subgroup of the IMAGINE-1 </w:t>
      </w:r>
      <w:proofErr w:type="gramStart"/>
      <w:r w:rsidR="00BE3C7C" w:rsidRPr="00BD2865">
        <w:t>trial which included patients receiving high dose adalimumab, were</w:t>
      </w:r>
      <w:proofErr w:type="gramEnd"/>
      <w:r w:rsidR="00BE3C7C" w:rsidRPr="00BD2865">
        <w:t xml:space="preserve"> infliximab-naïve and responded after four weeks of treatment</w:t>
      </w:r>
      <w:r w:rsidR="009D18D4">
        <w:t xml:space="preserve"> </w:t>
      </w:r>
      <w:r w:rsidR="009D18D4" w:rsidRPr="00BD2865">
        <w:t>for the naïve indirect comparison</w:t>
      </w:r>
      <w:r w:rsidR="00BE3C7C" w:rsidRPr="00BD2865">
        <w:t xml:space="preserve">. This post-hoc subgroup may still not be comparable </w:t>
      </w:r>
      <w:r w:rsidR="000B7A28" w:rsidRPr="00BD2865">
        <w:t xml:space="preserve">because patients were included based on </w:t>
      </w:r>
      <w:r w:rsidR="00BE3C7C" w:rsidRPr="00BD2865">
        <w:t xml:space="preserve">response </w:t>
      </w:r>
      <w:r w:rsidR="000B7A28" w:rsidRPr="00BD2865">
        <w:t xml:space="preserve">criteria </w:t>
      </w:r>
      <w:r w:rsidR="00BE3C7C" w:rsidRPr="00BD2865">
        <w:t>measured at differ</w:t>
      </w:r>
      <w:r w:rsidR="000B7A28" w:rsidRPr="00BD2865">
        <w:t>ing</w:t>
      </w:r>
      <w:r w:rsidR="00BE3C7C" w:rsidRPr="00BD2865">
        <w:t xml:space="preserve"> time points. </w:t>
      </w:r>
    </w:p>
    <w:p w:rsidR="00F40412" w:rsidRPr="00BD2865" w:rsidRDefault="00F40412" w:rsidP="007B388A">
      <w:pPr>
        <w:ind w:left="720"/>
      </w:pPr>
    </w:p>
    <w:p w:rsidR="00F40412" w:rsidRPr="00BD2865" w:rsidRDefault="00F40412" w:rsidP="00955E40">
      <w:pPr>
        <w:pStyle w:val="ListParagraph"/>
        <w:widowControl/>
        <w:numPr>
          <w:ilvl w:val="1"/>
          <w:numId w:val="1"/>
        </w:numPr>
      </w:pPr>
      <w:r w:rsidRPr="00BD2865">
        <w:t>The main differences between the IMAGINE-1 and CHARM trial</w:t>
      </w:r>
      <w:r w:rsidR="00DF69D0" w:rsidRPr="00BD2865">
        <w:t>s</w:t>
      </w:r>
      <w:r w:rsidRPr="00BD2865">
        <w:t xml:space="preserve"> were (1) </w:t>
      </w:r>
      <w:r w:rsidR="001347AD" w:rsidRPr="00BD2865">
        <w:t xml:space="preserve">the </w:t>
      </w:r>
      <w:r w:rsidR="000603DC" w:rsidRPr="00BD2865">
        <w:t xml:space="preserve">enrolment of </w:t>
      </w:r>
      <w:r w:rsidRPr="00BD2865">
        <w:t xml:space="preserve">paediatric </w:t>
      </w:r>
      <w:r w:rsidR="008734EE" w:rsidRPr="00BD2865">
        <w:t>or</w:t>
      </w:r>
      <w:r w:rsidRPr="00BD2865">
        <w:t xml:space="preserve"> adult patients, respectively, and (2) efficacy measured using different </w:t>
      </w:r>
      <w:r w:rsidR="008F2720" w:rsidRPr="00BD2865">
        <w:t xml:space="preserve">outcome </w:t>
      </w:r>
      <w:r w:rsidRPr="00BD2865">
        <w:t xml:space="preserve">tools, </w:t>
      </w:r>
      <w:r w:rsidR="00BE3C7C" w:rsidRPr="00BD2865">
        <w:t xml:space="preserve">i.e. </w:t>
      </w:r>
      <w:r w:rsidR="00B71361" w:rsidRPr="00BD2865">
        <w:t>P</w:t>
      </w:r>
      <w:r w:rsidR="00162F2E">
        <w:t xml:space="preserve">CDAI </w:t>
      </w:r>
      <w:r w:rsidR="00B71361" w:rsidRPr="00BD2865">
        <w:t>or Crohn’s Disease Activity Index (CDAI)</w:t>
      </w:r>
      <w:r w:rsidRPr="00BD2865">
        <w:t>.</w:t>
      </w:r>
    </w:p>
    <w:p w:rsidR="00B60939" w:rsidRDefault="00B60939" w:rsidP="007B388A">
      <w:pPr>
        <w:ind w:left="720"/>
        <w:rPr>
          <w:szCs w:val="22"/>
        </w:rPr>
      </w:pPr>
    </w:p>
    <w:p w:rsidR="00183FE8" w:rsidRDefault="00183FE8" w:rsidP="00183FE8">
      <w:pPr>
        <w:pStyle w:val="ListParagraph"/>
        <w:ind w:left="709"/>
        <w:rPr>
          <w:i/>
          <w:szCs w:val="22"/>
        </w:rPr>
      </w:pPr>
      <w:r>
        <w:rPr>
          <w:i/>
          <w:szCs w:val="22"/>
        </w:rPr>
        <w:t>For more detail on PBAC’s view, see section 7 “PBAC outcome”</w:t>
      </w:r>
    </w:p>
    <w:p w:rsidR="00183FE8" w:rsidRPr="0078738D" w:rsidRDefault="00183FE8" w:rsidP="007B388A">
      <w:pPr>
        <w:ind w:left="720"/>
        <w:rPr>
          <w:szCs w:val="22"/>
        </w:rPr>
      </w:pPr>
    </w:p>
    <w:p w:rsidR="00B60939" w:rsidRPr="004D51AA" w:rsidRDefault="00B60939" w:rsidP="004D51AA">
      <w:pPr>
        <w:rPr>
          <w:b/>
          <w:szCs w:val="22"/>
        </w:rPr>
      </w:pPr>
      <w:bookmarkStart w:id="7" w:name="_Toc398284968"/>
      <w:r w:rsidRPr="004D51AA">
        <w:rPr>
          <w:b/>
          <w:szCs w:val="22"/>
        </w:rPr>
        <w:t>Comparative effectiveness</w:t>
      </w:r>
      <w:bookmarkEnd w:id="7"/>
    </w:p>
    <w:p w:rsidR="00B60939" w:rsidRPr="0078738D" w:rsidRDefault="00B60939" w:rsidP="00B60939">
      <w:pPr>
        <w:rPr>
          <w:szCs w:val="22"/>
        </w:rPr>
      </w:pPr>
    </w:p>
    <w:p w:rsidR="007F1017" w:rsidRPr="00182B0D" w:rsidRDefault="005A6AEF" w:rsidP="00955E40">
      <w:pPr>
        <w:pStyle w:val="ListParagraph"/>
        <w:widowControl/>
        <w:numPr>
          <w:ilvl w:val="1"/>
          <w:numId w:val="1"/>
        </w:numPr>
        <w:rPr>
          <w:szCs w:val="22"/>
        </w:rPr>
      </w:pPr>
      <w:r>
        <w:rPr>
          <w:szCs w:val="22"/>
        </w:rPr>
        <w:t xml:space="preserve">The </w:t>
      </w:r>
      <w:r w:rsidR="00B8222C">
        <w:rPr>
          <w:szCs w:val="22"/>
        </w:rPr>
        <w:t xml:space="preserve">following </w:t>
      </w:r>
      <w:r>
        <w:rPr>
          <w:szCs w:val="22"/>
        </w:rPr>
        <w:t xml:space="preserve">table </w:t>
      </w:r>
      <w:r w:rsidR="003E4B82" w:rsidRPr="00182B0D">
        <w:rPr>
          <w:szCs w:val="22"/>
        </w:rPr>
        <w:t xml:space="preserve">presents the efficacy </w:t>
      </w:r>
      <w:r w:rsidR="00402AFE">
        <w:rPr>
          <w:szCs w:val="22"/>
        </w:rPr>
        <w:t xml:space="preserve">from the IMAGINE-1 (adalimumab) trial, for the ITT population and subgroups of patients who </w:t>
      </w:r>
      <w:r w:rsidR="007C7263">
        <w:rPr>
          <w:szCs w:val="22"/>
        </w:rPr>
        <w:t>we</w:t>
      </w:r>
      <w:r w:rsidR="00402AFE">
        <w:rPr>
          <w:szCs w:val="22"/>
        </w:rPr>
        <w:t>re infliximab naïve or experienced.</w:t>
      </w:r>
    </w:p>
    <w:p w:rsidR="00B60939" w:rsidRDefault="00B60939" w:rsidP="00B60939">
      <w:pPr>
        <w:rPr>
          <w:szCs w:val="22"/>
        </w:rPr>
      </w:pPr>
    </w:p>
    <w:p w:rsidR="00BE3C7C" w:rsidRDefault="00BE3C7C" w:rsidP="00BE3C7C">
      <w:pPr>
        <w:keepNext/>
        <w:keepLines/>
        <w:ind w:left="709"/>
        <w:rPr>
          <w:rStyle w:val="CommentReference"/>
        </w:rPr>
      </w:pPr>
      <w:r w:rsidRPr="0078738D">
        <w:rPr>
          <w:rStyle w:val="CommentReference"/>
        </w:rPr>
        <w:lastRenderedPageBreak/>
        <w:t>Results of response and remission rates for</w:t>
      </w:r>
      <w:r>
        <w:rPr>
          <w:rStyle w:val="CommentReference"/>
        </w:rPr>
        <w:t xml:space="preserve"> the high dose adalimumab group</w:t>
      </w:r>
      <w:r w:rsidR="00BE16CA">
        <w:rPr>
          <w:rStyle w:val="CommentReference"/>
        </w:rPr>
        <w:t xml:space="preserve"> and selected sub</w:t>
      </w:r>
      <w:r w:rsidR="00BE16CA">
        <w:rPr>
          <w:rStyle w:val="CommentReference"/>
        </w:rPr>
        <w:noBreakHyphen/>
      </w:r>
      <w:r w:rsidRPr="0078738D">
        <w:rPr>
          <w:rStyle w:val="CommentReference"/>
        </w:rPr>
        <w:t xml:space="preserve">groups of the IMAGINE-1 trial </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64"/>
        <w:gridCol w:w="1321"/>
        <w:gridCol w:w="1323"/>
        <w:gridCol w:w="1586"/>
        <w:gridCol w:w="1586"/>
        <w:gridCol w:w="1584"/>
      </w:tblGrid>
      <w:tr w:rsidR="000C332E" w:rsidRPr="0078738D">
        <w:tc>
          <w:tcPr>
            <w:tcW w:w="576" w:type="pct"/>
            <w:vAlign w:val="center"/>
          </w:tcPr>
          <w:p w:rsidR="000C332E" w:rsidRPr="0078738D" w:rsidRDefault="000C332E" w:rsidP="007C7263">
            <w:pPr>
              <w:keepNext/>
              <w:keepLines/>
              <w:jc w:val="left"/>
              <w:rPr>
                <w:rFonts w:ascii="Arial Narrow" w:hAnsi="Arial Narrow"/>
                <w:b/>
                <w:sz w:val="20"/>
              </w:rPr>
            </w:pPr>
          </w:p>
        </w:tc>
        <w:tc>
          <w:tcPr>
            <w:tcW w:w="1581" w:type="pct"/>
            <w:gridSpan w:val="2"/>
            <w:tcBorders>
              <w:right w:val="double" w:sz="4" w:space="0" w:color="auto"/>
            </w:tcBorders>
            <w:vAlign w:val="center"/>
          </w:tcPr>
          <w:p w:rsidR="000C332E" w:rsidRPr="0078738D" w:rsidRDefault="000C332E" w:rsidP="007C7263">
            <w:pPr>
              <w:keepNext/>
              <w:keepLines/>
              <w:jc w:val="center"/>
              <w:rPr>
                <w:rFonts w:ascii="Arial Narrow" w:hAnsi="Arial Narrow"/>
                <w:b/>
                <w:sz w:val="20"/>
              </w:rPr>
            </w:pPr>
            <w:r w:rsidRPr="0078738D">
              <w:rPr>
                <w:rFonts w:ascii="Arial Narrow" w:hAnsi="Arial Narrow"/>
                <w:b/>
                <w:sz w:val="20"/>
              </w:rPr>
              <w:t xml:space="preserve">ITT </w:t>
            </w:r>
            <w:r>
              <w:rPr>
                <w:rFonts w:ascii="Arial Narrow" w:hAnsi="Arial Narrow"/>
                <w:b/>
                <w:sz w:val="20"/>
              </w:rPr>
              <w:t xml:space="preserve">paediatric </w:t>
            </w:r>
            <w:r w:rsidRPr="0078738D">
              <w:rPr>
                <w:rFonts w:ascii="Arial Narrow" w:hAnsi="Arial Narrow"/>
                <w:b/>
                <w:sz w:val="20"/>
              </w:rPr>
              <w:t>population</w:t>
            </w:r>
          </w:p>
        </w:tc>
        <w:tc>
          <w:tcPr>
            <w:tcW w:w="2843" w:type="pct"/>
            <w:gridSpan w:val="3"/>
            <w:tcBorders>
              <w:left w:val="double" w:sz="4" w:space="0" w:color="auto"/>
            </w:tcBorders>
            <w:vAlign w:val="center"/>
          </w:tcPr>
          <w:p w:rsidR="000C332E" w:rsidRPr="0078738D" w:rsidRDefault="000C332E" w:rsidP="00717B36">
            <w:pPr>
              <w:keepNext/>
              <w:keepLines/>
              <w:jc w:val="center"/>
              <w:rPr>
                <w:rFonts w:ascii="Arial Narrow" w:hAnsi="Arial Narrow"/>
                <w:b/>
                <w:sz w:val="20"/>
              </w:rPr>
            </w:pPr>
            <w:r>
              <w:rPr>
                <w:rFonts w:ascii="Arial Narrow" w:hAnsi="Arial Narrow"/>
                <w:b/>
                <w:sz w:val="20"/>
              </w:rPr>
              <w:t>P</w:t>
            </w:r>
            <w:r w:rsidRPr="0078738D">
              <w:rPr>
                <w:rFonts w:ascii="Arial Narrow" w:hAnsi="Arial Narrow"/>
                <w:b/>
                <w:sz w:val="20"/>
              </w:rPr>
              <w:t>ost-hoc subgroup of high dose adalimumab group</w:t>
            </w:r>
          </w:p>
        </w:tc>
      </w:tr>
      <w:tr w:rsidR="000C332E" w:rsidRPr="0078738D">
        <w:tc>
          <w:tcPr>
            <w:tcW w:w="576" w:type="pct"/>
            <w:vAlign w:val="center"/>
          </w:tcPr>
          <w:p w:rsidR="000C332E" w:rsidRPr="0078738D" w:rsidRDefault="000C332E" w:rsidP="007C7263">
            <w:pPr>
              <w:keepNext/>
              <w:keepLines/>
              <w:jc w:val="left"/>
              <w:rPr>
                <w:rFonts w:ascii="Arial Narrow" w:hAnsi="Arial Narrow"/>
                <w:sz w:val="20"/>
              </w:rPr>
            </w:pPr>
            <w:r w:rsidRPr="0078738D">
              <w:rPr>
                <w:rFonts w:ascii="Arial Narrow" w:hAnsi="Arial Narrow"/>
                <w:b/>
                <w:sz w:val="20"/>
              </w:rPr>
              <w:t xml:space="preserve">Outcome </w:t>
            </w:r>
            <w:r w:rsidRPr="0078738D">
              <w:rPr>
                <w:rFonts w:ascii="Arial Narrow" w:hAnsi="Arial Narrow"/>
                <w:b/>
                <w:sz w:val="20"/>
              </w:rPr>
              <w:br/>
              <w:t>n (%)</w:t>
            </w:r>
          </w:p>
        </w:tc>
        <w:tc>
          <w:tcPr>
            <w:tcW w:w="790" w:type="pct"/>
            <w:vAlign w:val="center"/>
          </w:tcPr>
          <w:p w:rsidR="000C332E" w:rsidRPr="0078738D" w:rsidRDefault="000C332E" w:rsidP="00573C12">
            <w:pPr>
              <w:keepNext/>
              <w:keepLines/>
              <w:jc w:val="center"/>
              <w:rPr>
                <w:rFonts w:ascii="Arial Narrow" w:hAnsi="Arial Narrow"/>
                <w:b/>
                <w:sz w:val="20"/>
              </w:rPr>
            </w:pPr>
            <w:r w:rsidRPr="0078738D">
              <w:rPr>
                <w:rFonts w:ascii="Arial Narrow" w:hAnsi="Arial Narrow"/>
                <w:b/>
                <w:sz w:val="20"/>
              </w:rPr>
              <w:t>High dose</w:t>
            </w:r>
          </w:p>
        </w:tc>
        <w:tc>
          <w:tcPr>
            <w:tcW w:w="790" w:type="pct"/>
            <w:vAlign w:val="center"/>
          </w:tcPr>
          <w:p w:rsidR="000C332E" w:rsidRPr="0078738D" w:rsidRDefault="000C332E" w:rsidP="007C7263">
            <w:pPr>
              <w:keepNext/>
              <w:keepLines/>
              <w:jc w:val="center"/>
              <w:rPr>
                <w:rFonts w:ascii="Arial Narrow" w:hAnsi="Arial Narrow"/>
                <w:sz w:val="20"/>
              </w:rPr>
            </w:pPr>
            <w:r w:rsidRPr="0078738D">
              <w:rPr>
                <w:rFonts w:ascii="Arial Narrow" w:hAnsi="Arial Narrow"/>
                <w:b/>
                <w:sz w:val="20"/>
              </w:rPr>
              <w:t>Low dose</w:t>
            </w:r>
          </w:p>
        </w:tc>
        <w:tc>
          <w:tcPr>
            <w:tcW w:w="948" w:type="pct"/>
            <w:tcBorders>
              <w:left w:val="double" w:sz="4" w:space="0" w:color="auto"/>
            </w:tcBorders>
            <w:vAlign w:val="center"/>
          </w:tcPr>
          <w:p w:rsidR="000C332E" w:rsidRPr="0078738D" w:rsidRDefault="000C332E" w:rsidP="00B26AF4">
            <w:pPr>
              <w:keepNext/>
              <w:keepLines/>
              <w:jc w:val="center"/>
              <w:rPr>
                <w:rFonts w:ascii="Arial Narrow" w:hAnsi="Arial Narrow"/>
                <w:sz w:val="20"/>
              </w:rPr>
            </w:pPr>
            <w:r w:rsidRPr="0078738D">
              <w:rPr>
                <w:rFonts w:ascii="Arial Narrow" w:hAnsi="Arial Narrow"/>
                <w:b/>
                <w:sz w:val="20"/>
              </w:rPr>
              <w:t>Prior infliximab</w:t>
            </w:r>
          </w:p>
        </w:tc>
        <w:tc>
          <w:tcPr>
            <w:tcW w:w="948" w:type="pct"/>
            <w:vAlign w:val="center"/>
          </w:tcPr>
          <w:p w:rsidR="000C332E" w:rsidRPr="0078738D" w:rsidRDefault="000C332E" w:rsidP="007C7263">
            <w:pPr>
              <w:keepNext/>
              <w:keepLines/>
              <w:jc w:val="center"/>
              <w:rPr>
                <w:rFonts w:ascii="Arial Narrow" w:hAnsi="Arial Narrow"/>
                <w:b/>
                <w:sz w:val="20"/>
              </w:rPr>
            </w:pPr>
            <w:r w:rsidRPr="0078738D">
              <w:rPr>
                <w:rFonts w:ascii="Arial Narrow" w:hAnsi="Arial Narrow"/>
                <w:b/>
                <w:sz w:val="20"/>
              </w:rPr>
              <w:t xml:space="preserve">Infliximab-naïve </w:t>
            </w:r>
          </w:p>
        </w:tc>
        <w:tc>
          <w:tcPr>
            <w:tcW w:w="948" w:type="pct"/>
            <w:vAlign w:val="center"/>
          </w:tcPr>
          <w:p w:rsidR="000C332E" w:rsidRPr="0078738D" w:rsidRDefault="000C332E" w:rsidP="007C7263">
            <w:pPr>
              <w:keepNext/>
              <w:keepLines/>
              <w:jc w:val="center"/>
              <w:rPr>
                <w:rFonts w:ascii="Arial Narrow" w:hAnsi="Arial Narrow"/>
                <w:b/>
                <w:sz w:val="20"/>
              </w:rPr>
            </w:pPr>
            <w:r w:rsidRPr="0078738D">
              <w:rPr>
                <w:rFonts w:ascii="Arial Narrow" w:hAnsi="Arial Narrow"/>
                <w:b/>
                <w:sz w:val="20"/>
              </w:rPr>
              <w:t xml:space="preserve">Infliximab-naïve </w:t>
            </w:r>
          </w:p>
          <w:p w:rsidR="000C332E" w:rsidRPr="0078738D" w:rsidRDefault="000C332E" w:rsidP="007C7263">
            <w:pPr>
              <w:keepNext/>
              <w:keepLines/>
              <w:jc w:val="center"/>
              <w:rPr>
                <w:rFonts w:ascii="Arial Narrow" w:hAnsi="Arial Narrow"/>
                <w:sz w:val="20"/>
              </w:rPr>
            </w:pPr>
            <w:r w:rsidRPr="0078738D">
              <w:rPr>
                <w:rFonts w:ascii="Arial Narrow" w:hAnsi="Arial Narrow"/>
                <w:b/>
                <w:sz w:val="20"/>
              </w:rPr>
              <w:t>+ week 4 response</w:t>
            </w:r>
          </w:p>
        </w:tc>
      </w:tr>
      <w:tr w:rsidR="000C332E" w:rsidRPr="0078738D">
        <w:tc>
          <w:tcPr>
            <w:tcW w:w="576" w:type="pct"/>
            <w:vAlign w:val="center"/>
          </w:tcPr>
          <w:p w:rsidR="000C332E" w:rsidRPr="0078738D" w:rsidRDefault="000C332E" w:rsidP="007C7263">
            <w:pPr>
              <w:keepNext/>
              <w:keepLines/>
              <w:jc w:val="left"/>
              <w:rPr>
                <w:rFonts w:ascii="Arial Narrow" w:hAnsi="Arial Narrow"/>
                <w:b/>
                <w:sz w:val="20"/>
              </w:rPr>
            </w:pPr>
            <w:r w:rsidRPr="0078738D">
              <w:rPr>
                <w:rFonts w:ascii="Arial Narrow" w:hAnsi="Arial Narrow"/>
                <w:b/>
                <w:sz w:val="20"/>
              </w:rPr>
              <w:t>N</w:t>
            </w:r>
          </w:p>
        </w:tc>
        <w:tc>
          <w:tcPr>
            <w:tcW w:w="790" w:type="pct"/>
            <w:vAlign w:val="center"/>
          </w:tcPr>
          <w:p w:rsidR="000C332E" w:rsidRPr="0078738D" w:rsidRDefault="000C332E" w:rsidP="00573C12">
            <w:pPr>
              <w:keepNext/>
              <w:keepLines/>
              <w:jc w:val="center"/>
              <w:rPr>
                <w:rFonts w:ascii="Arial Narrow" w:hAnsi="Arial Narrow"/>
                <w:sz w:val="20"/>
              </w:rPr>
            </w:pPr>
            <w:r w:rsidRPr="0078738D">
              <w:rPr>
                <w:rFonts w:ascii="Arial Narrow" w:hAnsi="Arial Narrow"/>
                <w:sz w:val="20"/>
              </w:rPr>
              <w:t>93</w:t>
            </w:r>
          </w:p>
        </w:tc>
        <w:tc>
          <w:tcPr>
            <w:tcW w:w="790" w:type="pct"/>
            <w:vAlign w:val="center"/>
          </w:tcPr>
          <w:p w:rsidR="000C332E" w:rsidRPr="0078738D" w:rsidRDefault="000C332E" w:rsidP="007C7263">
            <w:pPr>
              <w:keepNext/>
              <w:keepLines/>
              <w:jc w:val="center"/>
              <w:rPr>
                <w:rFonts w:ascii="Arial Narrow" w:hAnsi="Arial Narrow"/>
                <w:sz w:val="20"/>
              </w:rPr>
            </w:pPr>
            <w:r w:rsidRPr="0078738D">
              <w:rPr>
                <w:rFonts w:ascii="Arial Narrow" w:hAnsi="Arial Narrow"/>
                <w:sz w:val="20"/>
              </w:rPr>
              <w:t>95</w:t>
            </w:r>
          </w:p>
        </w:tc>
        <w:tc>
          <w:tcPr>
            <w:tcW w:w="948" w:type="pct"/>
            <w:tcBorders>
              <w:left w:val="double" w:sz="4" w:space="0" w:color="auto"/>
            </w:tcBorders>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w:t>
            </w:r>
          </w:p>
        </w:tc>
        <w:tc>
          <w:tcPr>
            <w:tcW w:w="948" w:type="pct"/>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w:t>
            </w:r>
          </w:p>
        </w:tc>
        <w:tc>
          <w:tcPr>
            <w:tcW w:w="948" w:type="pct"/>
            <w:vAlign w:val="center"/>
          </w:tcPr>
          <w:p w:rsidR="000C332E" w:rsidRPr="00042C6A" w:rsidRDefault="00042C6A" w:rsidP="007C7263">
            <w:pPr>
              <w:keepNext/>
              <w:keepLines/>
              <w:jc w:val="center"/>
              <w:rPr>
                <w:rFonts w:ascii="Arial Narrow" w:hAnsi="Arial Narrow"/>
                <w:sz w:val="20"/>
                <w:highlight w:val="black"/>
              </w:rPr>
            </w:pPr>
            <w:r>
              <w:rPr>
                <w:rFonts w:ascii="Arial Narrow" w:hAnsi="Arial Narrow"/>
                <w:noProof/>
                <w:color w:val="000000"/>
                <w:sz w:val="20"/>
                <w:highlight w:val="black"/>
              </w:rPr>
              <w:t>''''''</w:t>
            </w:r>
          </w:p>
        </w:tc>
      </w:tr>
      <w:tr w:rsidR="000C332E" w:rsidRPr="0078738D">
        <w:tc>
          <w:tcPr>
            <w:tcW w:w="576" w:type="pct"/>
            <w:vAlign w:val="center"/>
          </w:tcPr>
          <w:p w:rsidR="000C332E" w:rsidRPr="0078738D" w:rsidRDefault="000C332E" w:rsidP="007C7263">
            <w:pPr>
              <w:keepNext/>
              <w:keepLines/>
              <w:jc w:val="left"/>
              <w:rPr>
                <w:rFonts w:ascii="Arial Narrow" w:hAnsi="Arial Narrow"/>
                <w:b/>
                <w:sz w:val="20"/>
              </w:rPr>
            </w:pPr>
            <w:r w:rsidRPr="0078738D">
              <w:rPr>
                <w:rFonts w:ascii="Arial Narrow" w:hAnsi="Arial Narrow"/>
                <w:b/>
                <w:sz w:val="20"/>
              </w:rPr>
              <w:t>Week 26</w:t>
            </w:r>
          </w:p>
        </w:tc>
        <w:tc>
          <w:tcPr>
            <w:tcW w:w="790" w:type="pct"/>
            <w:vAlign w:val="center"/>
          </w:tcPr>
          <w:p w:rsidR="000C332E" w:rsidRPr="0078738D" w:rsidRDefault="000C332E" w:rsidP="00573C12">
            <w:pPr>
              <w:keepNext/>
              <w:keepLines/>
              <w:jc w:val="center"/>
              <w:rPr>
                <w:rFonts w:ascii="Arial Narrow" w:hAnsi="Arial Narrow"/>
                <w:sz w:val="20"/>
              </w:rPr>
            </w:pPr>
          </w:p>
        </w:tc>
        <w:tc>
          <w:tcPr>
            <w:tcW w:w="790" w:type="pct"/>
            <w:vAlign w:val="center"/>
          </w:tcPr>
          <w:p w:rsidR="000C332E" w:rsidRPr="0078738D" w:rsidRDefault="000C332E" w:rsidP="007C7263">
            <w:pPr>
              <w:keepNext/>
              <w:keepLines/>
              <w:jc w:val="center"/>
              <w:rPr>
                <w:rFonts w:ascii="Arial Narrow" w:hAnsi="Arial Narrow"/>
                <w:sz w:val="20"/>
              </w:rPr>
            </w:pPr>
          </w:p>
        </w:tc>
        <w:tc>
          <w:tcPr>
            <w:tcW w:w="948" w:type="pct"/>
            <w:tcBorders>
              <w:left w:val="double" w:sz="4" w:space="0" w:color="auto"/>
            </w:tcBorders>
            <w:vAlign w:val="center"/>
          </w:tcPr>
          <w:p w:rsidR="000C332E" w:rsidRPr="0078738D" w:rsidRDefault="000C332E" w:rsidP="007C7263">
            <w:pPr>
              <w:keepNext/>
              <w:keepLines/>
              <w:jc w:val="center"/>
              <w:rPr>
                <w:rFonts w:ascii="Arial Narrow" w:hAnsi="Arial Narrow"/>
                <w:i/>
                <w:sz w:val="20"/>
              </w:rPr>
            </w:pPr>
          </w:p>
        </w:tc>
        <w:tc>
          <w:tcPr>
            <w:tcW w:w="948" w:type="pct"/>
            <w:vAlign w:val="center"/>
          </w:tcPr>
          <w:p w:rsidR="000C332E" w:rsidRPr="0078738D" w:rsidRDefault="000C332E" w:rsidP="007C7263">
            <w:pPr>
              <w:keepNext/>
              <w:keepLines/>
              <w:jc w:val="center"/>
              <w:rPr>
                <w:rFonts w:ascii="Arial Narrow" w:hAnsi="Arial Narrow"/>
                <w:i/>
                <w:sz w:val="20"/>
              </w:rPr>
            </w:pPr>
          </w:p>
        </w:tc>
        <w:tc>
          <w:tcPr>
            <w:tcW w:w="948" w:type="pct"/>
            <w:vAlign w:val="center"/>
          </w:tcPr>
          <w:p w:rsidR="000C332E" w:rsidRPr="0078738D" w:rsidRDefault="000C332E" w:rsidP="007C7263">
            <w:pPr>
              <w:keepNext/>
              <w:keepLines/>
              <w:jc w:val="center"/>
              <w:rPr>
                <w:rFonts w:ascii="Arial Narrow" w:hAnsi="Arial Narrow"/>
                <w:sz w:val="20"/>
              </w:rPr>
            </w:pPr>
          </w:p>
        </w:tc>
      </w:tr>
      <w:tr w:rsidR="000C332E" w:rsidRPr="0078738D">
        <w:tc>
          <w:tcPr>
            <w:tcW w:w="576" w:type="pct"/>
            <w:vAlign w:val="center"/>
          </w:tcPr>
          <w:p w:rsidR="000C332E" w:rsidRPr="0078738D" w:rsidRDefault="000C332E" w:rsidP="007C7263">
            <w:pPr>
              <w:keepNext/>
              <w:keepLines/>
              <w:ind w:left="142"/>
              <w:jc w:val="left"/>
              <w:rPr>
                <w:rFonts w:ascii="Arial Narrow" w:hAnsi="Arial Narrow"/>
                <w:sz w:val="20"/>
              </w:rPr>
            </w:pPr>
            <w:r w:rsidRPr="0078738D">
              <w:rPr>
                <w:rFonts w:ascii="Arial Narrow" w:hAnsi="Arial Narrow"/>
                <w:sz w:val="20"/>
              </w:rPr>
              <w:t>Remission</w:t>
            </w:r>
          </w:p>
        </w:tc>
        <w:tc>
          <w:tcPr>
            <w:tcW w:w="790" w:type="pct"/>
            <w:vAlign w:val="center"/>
          </w:tcPr>
          <w:p w:rsidR="000C332E" w:rsidRPr="0078738D" w:rsidRDefault="000C332E" w:rsidP="00573C12">
            <w:pPr>
              <w:keepNext/>
              <w:keepLines/>
              <w:jc w:val="center"/>
              <w:rPr>
                <w:rFonts w:ascii="Arial Narrow" w:hAnsi="Arial Narrow"/>
                <w:sz w:val="20"/>
              </w:rPr>
            </w:pPr>
            <w:r w:rsidRPr="0078738D">
              <w:rPr>
                <w:rFonts w:ascii="Arial Narrow" w:hAnsi="Arial Narrow"/>
                <w:sz w:val="20"/>
              </w:rPr>
              <w:t>36 (38.7%)</w:t>
            </w:r>
          </w:p>
        </w:tc>
        <w:tc>
          <w:tcPr>
            <w:tcW w:w="790" w:type="pct"/>
            <w:vAlign w:val="center"/>
          </w:tcPr>
          <w:p w:rsidR="000C332E" w:rsidRPr="0078738D" w:rsidRDefault="000C332E" w:rsidP="007C7263">
            <w:pPr>
              <w:keepNext/>
              <w:keepLines/>
              <w:jc w:val="center"/>
              <w:rPr>
                <w:rFonts w:ascii="Arial Narrow" w:hAnsi="Arial Narrow"/>
                <w:sz w:val="20"/>
              </w:rPr>
            </w:pPr>
            <w:r w:rsidRPr="0078738D">
              <w:rPr>
                <w:rFonts w:ascii="Arial Narrow" w:hAnsi="Arial Narrow"/>
                <w:sz w:val="20"/>
              </w:rPr>
              <w:t>27 (28.4%)</w:t>
            </w:r>
          </w:p>
        </w:tc>
        <w:tc>
          <w:tcPr>
            <w:tcW w:w="948" w:type="pct"/>
            <w:tcBorders>
              <w:left w:val="double" w:sz="4" w:space="0" w:color="auto"/>
            </w:tcBorders>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sz w:val="20"/>
                <w:highlight w:val="black"/>
              </w:rPr>
            </w:pPr>
            <w:r>
              <w:rPr>
                <w:rFonts w:ascii="Arial Narrow" w:hAnsi="Arial Narrow"/>
                <w:noProof/>
                <w:color w:val="000000"/>
                <w:sz w:val="20"/>
                <w:highlight w:val="black"/>
              </w:rPr>
              <w:t>'''''' ''''''''''''''''''</w:t>
            </w:r>
          </w:p>
        </w:tc>
      </w:tr>
      <w:tr w:rsidR="000C332E" w:rsidRPr="0078738D">
        <w:tc>
          <w:tcPr>
            <w:tcW w:w="576" w:type="pct"/>
            <w:vAlign w:val="center"/>
          </w:tcPr>
          <w:p w:rsidR="000C332E" w:rsidRPr="0078738D" w:rsidRDefault="000C332E" w:rsidP="007C7263">
            <w:pPr>
              <w:keepNext/>
              <w:keepLines/>
              <w:ind w:left="142"/>
              <w:jc w:val="left"/>
              <w:rPr>
                <w:rFonts w:ascii="Arial Narrow" w:hAnsi="Arial Narrow"/>
                <w:sz w:val="20"/>
              </w:rPr>
            </w:pPr>
            <w:r w:rsidRPr="0078738D">
              <w:rPr>
                <w:rFonts w:ascii="Arial Narrow" w:hAnsi="Arial Narrow"/>
                <w:sz w:val="20"/>
              </w:rPr>
              <w:t>Response</w:t>
            </w:r>
          </w:p>
        </w:tc>
        <w:tc>
          <w:tcPr>
            <w:tcW w:w="790" w:type="pct"/>
            <w:vAlign w:val="center"/>
          </w:tcPr>
          <w:p w:rsidR="000C332E" w:rsidRPr="0078738D" w:rsidRDefault="000C332E" w:rsidP="00573C12">
            <w:pPr>
              <w:keepNext/>
              <w:keepLines/>
              <w:jc w:val="center"/>
              <w:rPr>
                <w:rFonts w:ascii="Arial Narrow" w:hAnsi="Arial Narrow"/>
                <w:sz w:val="20"/>
              </w:rPr>
            </w:pPr>
            <w:r w:rsidRPr="0078738D">
              <w:rPr>
                <w:rFonts w:ascii="Arial Narrow" w:hAnsi="Arial Narrow"/>
                <w:sz w:val="20"/>
              </w:rPr>
              <w:t>55 (59.1%)</w:t>
            </w:r>
          </w:p>
        </w:tc>
        <w:tc>
          <w:tcPr>
            <w:tcW w:w="790" w:type="pct"/>
            <w:vAlign w:val="center"/>
          </w:tcPr>
          <w:p w:rsidR="000C332E" w:rsidRPr="0078738D" w:rsidRDefault="000C332E" w:rsidP="007C7263">
            <w:pPr>
              <w:keepNext/>
              <w:keepLines/>
              <w:jc w:val="center"/>
              <w:rPr>
                <w:rFonts w:ascii="Arial Narrow" w:hAnsi="Arial Narrow"/>
                <w:sz w:val="20"/>
              </w:rPr>
            </w:pPr>
            <w:r w:rsidRPr="0078738D">
              <w:rPr>
                <w:rFonts w:ascii="Arial Narrow" w:hAnsi="Arial Narrow"/>
                <w:sz w:val="20"/>
              </w:rPr>
              <w:t>46 (48.4%)</w:t>
            </w:r>
          </w:p>
        </w:tc>
        <w:tc>
          <w:tcPr>
            <w:tcW w:w="948" w:type="pct"/>
            <w:tcBorders>
              <w:left w:val="double" w:sz="4" w:space="0" w:color="auto"/>
            </w:tcBorders>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sz w:val="20"/>
                <w:highlight w:val="black"/>
              </w:rPr>
            </w:pPr>
            <w:r>
              <w:rPr>
                <w:rFonts w:ascii="Arial Narrow" w:hAnsi="Arial Narrow"/>
                <w:noProof/>
                <w:color w:val="000000"/>
                <w:sz w:val="20"/>
                <w:highlight w:val="black"/>
              </w:rPr>
              <w:t>''''' '''''''''''''''''''</w:t>
            </w:r>
          </w:p>
        </w:tc>
      </w:tr>
      <w:tr w:rsidR="000C332E" w:rsidRPr="0078738D">
        <w:tc>
          <w:tcPr>
            <w:tcW w:w="576" w:type="pct"/>
            <w:vAlign w:val="center"/>
          </w:tcPr>
          <w:p w:rsidR="000C332E" w:rsidRPr="0078738D" w:rsidRDefault="000C332E" w:rsidP="007C7263">
            <w:pPr>
              <w:keepNext/>
              <w:keepLines/>
              <w:jc w:val="left"/>
              <w:rPr>
                <w:rFonts w:ascii="Arial Narrow" w:hAnsi="Arial Narrow"/>
                <w:b/>
                <w:sz w:val="20"/>
              </w:rPr>
            </w:pPr>
            <w:r w:rsidRPr="0078738D">
              <w:rPr>
                <w:rFonts w:ascii="Arial Narrow" w:hAnsi="Arial Narrow"/>
                <w:b/>
                <w:sz w:val="20"/>
              </w:rPr>
              <w:t>Week 52</w:t>
            </w:r>
          </w:p>
        </w:tc>
        <w:tc>
          <w:tcPr>
            <w:tcW w:w="790" w:type="pct"/>
            <w:vAlign w:val="center"/>
          </w:tcPr>
          <w:p w:rsidR="000C332E" w:rsidRPr="0078738D" w:rsidRDefault="000C332E" w:rsidP="00573C12">
            <w:pPr>
              <w:keepNext/>
              <w:keepLines/>
              <w:jc w:val="center"/>
              <w:rPr>
                <w:rFonts w:ascii="Arial Narrow" w:hAnsi="Arial Narrow"/>
                <w:sz w:val="20"/>
              </w:rPr>
            </w:pPr>
          </w:p>
        </w:tc>
        <w:tc>
          <w:tcPr>
            <w:tcW w:w="790" w:type="pct"/>
            <w:vAlign w:val="center"/>
          </w:tcPr>
          <w:p w:rsidR="000C332E" w:rsidRPr="0078738D" w:rsidRDefault="000C332E" w:rsidP="007C7263">
            <w:pPr>
              <w:keepNext/>
              <w:keepLines/>
              <w:jc w:val="center"/>
              <w:rPr>
                <w:rFonts w:ascii="Arial Narrow" w:hAnsi="Arial Narrow"/>
                <w:sz w:val="20"/>
              </w:rPr>
            </w:pPr>
          </w:p>
        </w:tc>
        <w:tc>
          <w:tcPr>
            <w:tcW w:w="948" w:type="pct"/>
            <w:tcBorders>
              <w:left w:val="double" w:sz="4" w:space="0" w:color="auto"/>
            </w:tcBorders>
            <w:vAlign w:val="center"/>
          </w:tcPr>
          <w:p w:rsidR="000C332E" w:rsidRPr="0078738D" w:rsidRDefault="000C332E" w:rsidP="007C7263">
            <w:pPr>
              <w:keepNext/>
              <w:keepLines/>
              <w:jc w:val="center"/>
              <w:rPr>
                <w:rFonts w:ascii="Arial Narrow" w:hAnsi="Arial Narrow"/>
                <w:i/>
                <w:sz w:val="20"/>
              </w:rPr>
            </w:pPr>
          </w:p>
        </w:tc>
        <w:tc>
          <w:tcPr>
            <w:tcW w:w="948" w:type="pct"/>
            <w:vAlign w:val="center"/>
          </w:tcPr>
          <w:p w:rsidR="000C332E" w:rsidRPr="0078738D" w:rsidRDefault="000C332E" w:rsidP="007C7263">
            <w:pPr>
              <w:keepNext/>
              <w:keepLines/>
              <w:jc w:val="center"/>
              <w:rPr>
                <w:rFonts w:ascii="Arial Narrow" w:hAnsi="Arial Narrow"/>
                <w:i/>
                <w:sz w:val="20"/>
              </w:rPr>
            </w:pPr>
          </w:p>
        </w:tc>
        <w:tc>
          <w:tcPr>
            <w:tcW w:w="948" w:type="pct"/>
            <w:vAlign w:val="center"/>
          </w:tcPr>
          <w:p w:rsidR="000C332E" w:rsidRPr="0078738D" w:rsidRDefault="000C332E" w:rsidP="007C7263">
            <w:pPr>
              <w:keepNext/>
              <w:keepLines/>
              <w:jc w:val="center"/>
              <w:rPr>
                <w:rFonts w:ascii="Arial Narrow" w:hAnsi="Arial Narrow"/>
                <w:sz w:val="20"/>
              </w:rPr>
            </w:pPr>
          </w:p>
        </w:tc>
      </w:tr>
      <w:tr w:rsidR="000C332E" w:rsidRPr="0078738D">
        <w:tc>
          <w:tcPr>
            <w:tcW w:w="576" w:type="pct"/>
            <w:vAlign w:val="center"/>
          </w:tcPr>
          <w:p w:rsidR="000C332E" w:rsidRPr="0078738D" w:rsidRDefault="000C332E" w:rsidP="007C7263">
            <w:pPr>
              <w:keepNext/>
              <w:keepLines/>
              <w:ind w:left="142"/>
              <w:jc w:val="left"/>
              <w:rPr>
                <w:rFonts w:ascii="Arial Narrow" w:hAnsi="Arial Narrow"/>
                <w:sz w:val="20"/>
              </w:rPr>
            </w:pPr>
            <w:r w:rsidRPr="0078738D">
              <w:rPr>
                <w:rFonts w:ascii="Arial Narrow" w:hAnsi="Arial Narrow"/>
                <w:sz w:val="20"/>
              </w:rPr>
              <w:t>Remission</w:t>
            </w:r>
          </w:p>
        </w:tc>
        <w:tc>
          <w:tcPr>
            <w:tcW w:w="790" w:type="pct"/>
            <w:vAlign w:val="center"/>
          </w:tcPr>
          <w:p w:rsidR="000C332E" w:rsidRPr="0078738D" w:rsidRDefault="000C332E" w:rsidP="00573C12">
            <w:pPr>
              <w:keepNext/>
              <w:keepLines/>
              <w:jc w:val="center"/>
              <w:rPr>
                <w:rFonts w:ascii="Arial Narrow" w:hAnsi="Arial Narrow"/>
                <w:sz w:val="20"/>
              </w:rPr>
            </w:pPr>
            <w:r w:rsidRPr="0078738D">
              <w:rPr>
                <w:rFonts w:ascii="Arial Narrow" w:hAnsi="Arial Narrow"/>
                <w:sz w:val="20"/>
              </w:rPr>
              <w:t>31 (33.3%)</w:t>
            </w:r>
          </w:p>
        </w:tc>
        <w:tc>
          <w:tcPr>
            <w:tcW w:w="790" w:type="pct"/>
            <w:vAlign w:val="center"/>
          </w:tcPr>
          <w:p w:rsidR="000C332E" w:rsidRPr="0078738D" w:rsidRDefault="000C332E" w:rsidP="007C7263">
            <w:pPr>
              <w:keepNext/>
              <w:keepLines/>
              <w:jc w:val="center"/>
              <w:rPr>
                <w:rFonts w:ascii="Arial Narrow" w:hAnsi="Arial Narrow"/>
                <w:sz w:val="20"/>
              </w:rPr>
            </w:pPr>
            <w:r w:rsidRPr="0078738D">
              <w:rPr>
                <w:rFonts w:ascii="Arial Narrow" w:hAnsi="Arial Narrow"/>
                <w:sz w:val="20"/>
              </w:rPr>
              <w:t>22 (23.2%)</w:t>
            </w:r>
          </w:p>
        </w:tc>
        <w:tc>
          <w:tcPr>
            <w:tcW w:w="948" w:type="pct"/>
            <w:tcBorders>
              <w:left w:val="double" w:sz="4" w:space="0" w:color="auto"/>
            </w:tcBorders>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sz w:val="20"/>
                <w:highlight w:val="black"/>
              </w:rPr>
            </w:pPr>
            <w:r>
              <w:rPr>
                <w:rFonts w:ascii="Arial Narrow" w:hAnsi="Arial Narrow"/>
                <w:noProof/>
                <w:color w:val="000000"/>
                <w:sz w:val="20"/>
                <w:highlight w:val="black"/>
              </w:rPr>
              <w:t>'''''' ''''''''''''''''''''</w:t>
            </w:r>
          </w:p>
        </w:tc>
      </w:tr>
      <w:tr w:rsidR="000C332E" w:rsidRPr="0078738D">
        <w:tc>
          <w:tcPr>
            <w:tcW w:w="576" w:type="pct"/>
            <w:vAlign w:val="center"/>
          </w:tcPr>
          <w:p w:rsidR="000C332E" w:rsidRPr="0078738D" w:rsidRDefault="000C332E" w:rsidP="007C7263">
            <w:pPr>
              <w:keepNext/>
              <w:keepLines/>
              <w:ind w:left="142"/>
              <w:jc w:val="left"/>
              <w:rPr>
                <w:rFonts w:ascii="Arial Narrow" w:hAnsi="Arial Narrow"/>
                <w:sz w:val="20"/>
              </w:rPr>
            </w:pPr>
            <w:r w:rsidRPr="0078738D">
              <w:rPr>
                <w:rFonts w:ascii="Arial Narrow" w:hAnsi="Arial Narrow"/>
                <w:sz w:val="20"/>
              </w:rPr>
              <w:t>Response</w:t>
            </w:r>
          </w:p>
        </w:tc>
        <w:tc>
          <w:tcPr>
            <w:tcW w:w="790" w:type="pct"/>
            <w:vAlign w:val="center"/>
          </w:tcPr>
          <w:p w:rsidR="000C332E" w:rsidRPr="0078738D" w:rsidRDefault="000C332E" w:rsidP="00573C12">
            <w:pPr>
              <w:keepNext/>
              <w:keepLines/>
              <w:jc w:val="center"/>
              <w:rPr>
                <w:rFonts w:ascii="Arial Narrow" w:hAnsi="Arial Narrow"/>
                <w:sz w:val="20"/>
              </w:rPr>
            </w:pPr>
            <w:r w:rsidRPr="0078738D">
              <w:rPr>
                <w:rFonts w:ascii="Arial Narrow" w:hAnsi="Arial Narrow"/>
                <w:sz w:val="20"/>
              </w:rPr>
              <w:t>39 (41.9%)</w:t>
            </w:r>
          </w:p>
        </w:tc>
        <w:tc>
          <w:tcPr>
            <w:tcW w:w="790" w:type="pct"/>
            <w:vAlign w:val="center"/>
          </w:tcPr>
          <w:p w:rsidR="000C332E" w:rsidRPr="0078738D" w:rsidRDefault="000C332E" w:rsidP="007C7263">
            <w:pPr>
              <w:keepNext/>
              <w:keepLines/>
              <w:jc w:val="center"/>
              <w:rPr>
                <w:rFonts w:ascii="Arial Narrow" w:hAnsi="Arial Narrow"/>
                <w:sz w:val="20"/>
              </w:rPr>
            </w:pPr>
            <w:r w:rsidRPr="0078738D">
              <w:rPr>
                <w:rFonts w:ascii="Arial Narrow" w:hAnsi="Arial Narrow"/>
                <w:sz w:val="20"/>
              </w:rPr>
              <w:t>27 (28.4%)</w:t>
            </w:r>
          </w:p>
        </w:tc>
        <w:tc>
          <w:tcPr>
            <w:tcW w:w="948" w:type="pct"/>
            <w:tcBorders>
              <w:left w:val="double" w:sz="4" w:space="0" w:color="auto"/>
            </w:tcBorders>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i/>
                <w:sz w:val="20"/>
                <w:highlight w:val="black"/>
              </w:rPr>
            </w:pPr>
            <w:r>
              <w:rPr>
                <w:rFonts w:ascii="Arial Narrow" w:hAnsi="Arial Narrow"/>
                <w:i/>
                <w:noProof/>
                <w:color w:val="000000"/>
                <w:sz w:val="20"/>
                <w:highlight w:val="black"/>
              </w:rPr>
              <w:t>'''''' ''''''''''''''''''</w:t>
            </w:r>
          </w:p>
        </w:tc>
        <w:tc>
          <w:tcPr>
            <w:tcW w:w="948" w:type="pct"/>
            <w:vAlign w:val="center"/>
          </w:tcPr>
          <w:p w:rsidR="000C332E" w:rsidRPr="00042C6A" w:rsidRDefault="00042C6A" w:rsidP="007C7263">
            <w:pPr>
              <w:keepNext/>
              <w:keepLines/>
              <w:jc w:val="center"/>
              <w:rPr>
                <w:rFonts w:ascii="Arial Narrow" w:hAnsi="Arial Narrow"/>
                <w:sz w:val="20"/>
                <w:highlight w:val="black"/>
              </w:rPr>
            </w:pPr>
            <w:r>
              <w:rPr>
                <w:rFonts w:ascii="Arial Narrow" w:hAnsi="Arial Narrow"/>
                <w:noProof/>
                <w:color w:val="000000"/>
                <w:sz w:val="20"/>
                <w:highlight w:val="black"/>
              </w:rPr>
              <w:t>''''''' '''''''''''''''''</w:t>
            </w:r>
          </w:p>
        </w:tc>
      </w:tr>
    </w:tbl>
    <w:p w:rsidR="00AF0A13" w:rsidRPr="0078738D" w:rsidRDefault="00AF0A13" w:rsidP="00AF0A13">
      <w:pPr>
        <w:pStyle w:val="TableFooter"/>
        <w:keepNext/>
        <w:keepLines/>
        <w:ind w:left="709"/>
        <w:rPr>
          <w:i/>
        </w:rPr>
      </w:pPr>
      <w:r>
        <w:t>Source: Table B.6.1</w:t>
      </w:r>
      <w:r w:rsidRPr="0078738D">
        <w:t xml:space="preserve"> pp</w:t>
      </w:r>
      <w:r w:rsidR="005554BF">
        <w:t>.</w:t>
      </w:r>
      <w:r w:rsidRPr="0078738D">
        <w:t xml:space="preserve">89-90 of the submission </w:t>
      </w:r>
      <w:r w:rsidRPr="0078738D">
        <w:rPr>
          <w:i/>
        </w:rPr>
        <w:t>and extracted during evaluation from Clinical Study Report attached with the submission;</w:t>
      </w:r>
    </w:p>
    <w:p w:rsidR="00AF0A13" w:rsidRPr="0078738D" w:rsidRDefault="00AF0A13" w:rsidP="00AF0A13">
      <w:pPr>
        <w:pStyle w:val="TableFooter"/>
        <w:keepNext/>
        <w:keepLines/>
        <w:ind w:left="709"/>
      </w:pPr>
      <w:r w:rsidRPr="0078738D">
        <w:t>ITT</w:t>
      </w:r>
      <w:r w:rsidR="00F72DA2">
        <w:t xml:space="preserve"> =</w:t>
      </w:r>
      <w:r>
        <w:t xml:space="preserve"> </w:t>
      </w:r>
      <w:r w:rsidRPr="0078738D">
        <w:t>intent-to-treat</w:t>
      </w:r>
      <w:r>
        <w:t>;</w:t>
      </w:r>
    </w:p>
    <w:p w:rsidR="00AF0A13" w:rsidRDefault="00AF0A13" w:rsidP="00452C90">
      <w:pPr>
        <w:rPr>
          <w:rStyle w:val="CommentReference"/>
        </w:rPr>
      </w:pPr>
    </w:p>
    <w:p w:rsidR="00AF0A13" w:rsidRPr="00BD2865" w:rsidRDefault="00AF0A13" w:rsidP="00955E40">
      <w:pPr>
        <w:pStyle w:val="ListParagraph"/>
        <w:widowControl/>
        <w:numPr>
          <w:ilvl w:val="1"/>
          <w:numId w:val="1"/>
        </w:numPr>
      </w:pPr>
      <w:r w:rsidRPr="00BD2865">
        <w:t>In IMAGINE-1, high dose patients had better response than the low dose group. Remission and response rates were considerably higher in infliximab-naïve patients than in those with prior infliximab experience. The sub-group of infliximab-naïve, week 4 responders achieved the highest rates for both outcomes. The naïve indirect comparison against infliximab uses the adalimumab high dose subgroup of infliximab naïve, week 4 responders (n=</w:t>
      </w:r>
      <w:r w:rsidR="00042C6A">
        <w:rPr>
          <w:noProof/>
          <w:color w:val="000000"/>
          <w:highlight w:val="black"/>
        </w:rPr>
        <w:t>''''''</w:t>
      </w:r>
      <w:r w:rsidRPr="00BD2865">
        <w:t>), rather than all patients randomised to the adalimumab high dose treatm</w:t>
      </w:r>
      <w:r w:rsidR="00D56CF3">
        <w:t>ent arm (n=93).</w:t>
      </w:r>
    </w:p>
    <w:p w:rsidR="00AF0A13" w:rsidRPr="00BD2865" w:rsidRDefault="00AF0A13" w:rsidP="00452C90">
      <w:pPr>
        <w:rPr>
          <w:rStyle w:val="CommentReference"/>
        </w:rPr>
      </w:pPr>
    </w:p>
    <w:p w:rsidR="00AF0A13" w:rsidRPr="001916E5" w:rsidRDefault="005A6AEF" w:rsidP="00955E40">
      <w:pPr>
        <w:pStyle w:val="ListParagraph"/>
        <w:widowControl/>
        <w:numPr>
          <w:ilvl w:val="1"/>
          <w:numId w:val="1"/>
        </w:numPr>
        <w:rPr>
          <w:rStyle w:val="CommentReference"/>
          <w:sz w:val="22"/>
        </w:rPr>
      </w:pPr>
      <w:r>
        <w:t>The table below</w:t>
      </w:r>
      <w:r w:rsidR="00AF0A13" w:rsidRPr="001916E5">
        <w:t xml:space="preserve"> presents the results from the relevant arm of the infliximab trial (REACH) and the naïve indirect comparison of adalimumab and infliximab in paediatric Crohn’s disease.</w:t>
      </w:r>
    </w:p>
    <w:p w:rsidR="005A6AEF" w:rsidRDefault="005A6AEF" w:rsidP="00AF0A13">
      <w:pPr>
        <w:keepNext/>
        <w:keepLines/>
        <w:ind w:firstLine="709"/>
        <w:rPr>
          <w:rStyle w:val="CommentReference"/>
        </w:rPr>
      </w:pPr>
    </w:p>
    <w:p w:rsidR="00AF0A13" w:rsidRPr="0078738D" w:rsidRDefault="00AF0A13" w:rsidP="00AF0A13">
      <w:pPr>
        <w:keepNext/>
        <w:keepLines/>
        <w:ind w:firstLine="709"/>
        <w:rPr>
          <w:rStyle w:val="CommentReference"/>
        </w:rPr>
      </w:pPr>
      <w:r w:rsidRPr="0078738D">
        <w:rPr>
          <w:rStyle w:val="CommentReference"/>
        </w:rPr>
        <w:t xml:space="preserve">Naïve indirect comparison of response and remission rates in IMAGINE-1 and REACH </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19"/>
        <w:gridCol w:w="2550"/>
        <w:gridCol w:w="2552"/>
        <w:gridCol w:w="1824"/>
      </w:tblGrid>
      <w:tr w:rsidR="00AF0A13" w:rsidRPr="0078738D">
        <w:tc>
          <w:tcPr>
            <w:tcW w:w="850" w:type="pct"/>
            <w:tcBorders>
              <w:left w:val="single" w:sz="4" w:space="0" w:color="auto"/>
              <w:right w:val="single" w:sz="4" w:space="0" w:color="auto"/>
            </w:tcBorders>
          </w:tcPr>
          <w:p w:rsidR="00AF0A13" w:rsidRDefault="00AF0A13" w:rsidP="00AF0A13">
            <w:pPr>
              <w:keepNext/>
              <w:keepLines/>
              <w:jc w:val="center"/>
              <w:rPr>
                <w:rFonts w:ascii="Arial Narrow" w:hAnsi="Arial Narrow"/>
                <w:b/>
                <w:sz w:val="20"/>
              </w:rPr>
            </w:pPr>
          </w:p>
        </w:tc>
        <w:tc>
          <w:tcPr>
            <w:tcW w:w="1528" w:type="pct"/>
            <w:tcBorders>
              <w:left w:val="single" w:sz="4" w:space="0" w:color="auto"/>
            </w:tcBorders>
            <w:vAlign w:val="center"/>
          </w:tcPr>
          <w:p w:rsidR="00AF0A13" w:rsidRDefault="00AF0A13" w:rsidP="00AF0A13">
            <w:pPr>
              <w:keepNext/>
              <w:keepLines/>
              <w:jc w:val="center"/>
              <w:rPr>
                <w:rFonts w:ascii="Arial Narrow" w:hAnsi="Arial Narrow"/>
                <w:b/>
                <w:sz w:val="20"/>
              </w:rPr>
            </w:pPr>
            <w:r>
              <w:rPr>
                <w:rFonts w:ascii="Arial Narrow" w:hAnsi="Arial Narrow"/>
                <w:b/>
                <w:sz w:val="20"/>
              </w:rPr>
              <w:t>Post-hoc subgroup IMAGINE-I</w:t>
            </w:r>
          </w:p>
          <w:p w:rsidR="00AF0A13" w:rsidRDefault="00AF0A13" w:rsidP="00AF0A13">
            <w:pPr>
              <w:keepNext/>
              <w:keepLines/>
              <w:jc w:val="center"/>
              <w:rPr>
                <w:rFonts w:ascii="Arial Narrow" w:hAnsi="Arial Narrow"/>
                <w:b/>
                <w:sz w:val="20"/>
              </w:rPr>
            </w:pPr>
            <w:r>
              <w:rPr>
                <w:rFonts w:ascii="Arial Narrow" w:hAnsi="Arial Narrow"/>
                <w:b/>
                <w:sz w:val="20"/>
              </w:rPr>
              <w:t>high dose ADA</w:t>
            </w:r>
          </w:p>
          <w:p w:rsidR="00AF0A13" w:rsidRDefault="007C7263" w:rsidP="00AF0A13">
            <w:pPr>
              <w:keepNext/>
              <w:keepLines/>
              <w:jc w:val="center"/>
              <w:rPr>
                <w:rFonts w:ascii="Arial Narrow" w:hAnsi="Arial Narrow"/>
                <w:b/>
                <w:sz w:val="20"/>
              </w:rPr>
            </w:pPr>
            <w:r>
              <w:rPr>
                <w:rFonts w:ascii="Arial Narrow" w:hAnsi="Arial Narrow"/>
                <w:b/>
                <w:sz w:val="20"/>
              </w:rPr>
              <w:t>Infliximab</w:t>
            </w:r>
            <w:r w:rsidR="00AF0A13" w:rsidRPr="0078738D">
              <w:rPr>
                <w:rFonts w:ascii="Arial Narrow" w:hAnsi="Arial Narrow"/>
                <w:b/>
                <w:sz w:val="20"/>
              </w:rPr>
              <w:t xml:space="preserve"> naïve</w:t>
            </w:r>
          </w:p>
          <w:p w:rsidR="00AF0A13" w:rsidRPr="0078738D" w:rsidRDefault="00AF0A13" w:rsidP="00AF0A13">
            <w:pPr>
              <w:keepNext/>
              <w:keepLines/>
              <w:jc w:val="center"/>
              <w:rPr>
                <w:rFonts w:ascii="Arial Narrow" w:hAnsi="Arial Narrow"/>
                <w:sz w:val="20"/>
              </w:rPr>
            </w:pPr>
            <w:r w:rsidRPr="0078738D">
              <w:rPr>
                <w:rFonts w:ascii="Arial Narrow" w:hAnsi="Arial Narrow"/>
                <w:b/>
                <w:sz w:val="20"/>
              </w:rPr>
              <w:t>+ week 4 response</w:t>
            </w:r>
          </w:p>
        </w:tc>
        <w:tc>
          <w:tcPr>
            <w:tcW w:w="1529" w:type="pct"/>
            <w:vAlign w:val="center"/>
          </w:tcPr>
          <w:p w:rsidR="00AF0A13" w:rsidRDefault="00AF0A13" w:rsidP="00AF0A13">
            <w:pPr>
              <w:keepNext/>
              <w:keepLines/>
              <w:jc w:val="center"/>
              <w:rPr>
                <w:rFonts w:ascii="Arial Narrow" w:hAnsi="Arial Narrow"/>
                <w:b/>
                <w:sz w:val="20"/>
              </w:rPr>
            </w:pPr>
            <w:r>
              <w:rPr>
                <w:rFonts w:ascii="Arial Narrow" w:hAnsi="Arial Narrow"/>
                <w:b/>
                <w:sz w:val="20"/>
              </w:rPr>
              <w:t>ITT - REACH</w:t>
            </w:r>
          </w:p>
          <w:p w:rsidR="00AF0A13" w:rsidRPr="0078738D" w:rsidRDefault="00AF0A13" w:rsidP="00AF0A13">
            <w:pPr>
              <w:keepNext/>
              <w:keepLines/>
              <w:jc w:val="center"/>
              <w:rPr>
                <w:rFonts w:ascii="Arial Narrow" w:hAnsi="Arial Narrow"/>
                <w:b/>
                <w:sz w:val="20"/>
              </w:rPr>
            </w:pPr>
            <w:r>
              <w:rPr>
                <w:rFonts w:ascii="Arial Narrow" w:hAnsi="Arial Narrow"/>
                <w:b/>
                <w:sz w:val="20"/>
              </w:rPr>
              <w:t xml:space="preserve">IFX 5 mg/kg </w:t>
            </w:r>
            <w:r w:rsidRPr="0078738D">
              <w:rPr>
                <w:rFonts w:ascii="Arial Narrow" w:hAnsi="Arial Narrow"/>
                <w:b/>
                <w:sz w:val="20"/>
              </w:rPr>
              <w:t>every 8 weeks</w:t>
            </w:r>
          </w:p>
          <w:p w:rsidR="00AF0A13" w:rsidRDefault="00AF0A13" w:rsidP="00AF0A13">
            <w:pPr>
              <w:pStyle w:val="ListParagraph"/>
              <w:keepNext/>
              <w:keepLines/>
              <w:ind w:left="218"/>
              <w:jc w:val="center"/>
              <w:rPr>
                <w:rFonts w:ascii="Arial Narrow" w:hAnsi="Arial Narrow"/>
                <w:b/>
                <w:sz w:val="20"/>
              </w:rPr>
            </w:pPr>
            <w:r w:rsidRPr="0078738D">
              <w:rPr>
                <w:rFonts w:ascii="Arial Narrow" w:hAnsi="Arial Narrow"/>
                <w:b/>
                <w:sz w:val="20"/>
              </w:rPr>
              <w:t>TNFα naïve</w:t>
            </w:r>
          </w:p>
          <w:p w:rsidR="00AF0A13" w:rsidRPr="0078738D" w:rsidRDefault="00AF0A13" w:rsidP="00AF0A13">
            <w:pPr>
              <w:pStyle w:val="ListParagraph"/>
              <w:keepNext/>
              <w:keepLines/>
              <w:ind w:left="218"/>
              <w:jc w:val="center"/>
              <w:rPr>
                <w:rFonts w:ascii="Arial Narrow" w:hAnsi="Arial Narrow"/>
                <w:b/>
                <w:sz w:val="20"/>
              </w:rPr>
            </w:pPr>
            <w:r w:rsidRPr="0078738D">
              <w:rPr>
                <w:rFonts w:ascii="Arial Narrow" w:hAnsi="Arial Narrow"/>
                <w:b/>
                <w:sz w:val="20"/>
              </w:rPr>
              <w:t>week 10 responders</w:t>
            </w:r>
          </w:p>
        </w:tc>
        <w:tc>
          <w:tcPr>
            <w:tcW w:w="1093" w:type="pct"/>
            <w:vAlign w:val="center"/>
          </w:tcPr>
          <w:p w:rsidR="00AF0A13" w:rsidRPr="0078738D" w:rsidRDefault="00B26AF4" w:rsidP="00BE3C7C">
            <w:pPr>
              <w:keepNext/>
              <w:keepLines/>
              <w:jc w:val="center"/>
              <w:rPr>
                <w:rFonts w:ascii="Arial Narrow" w:hAnsi="Arial Narrow"/>
                <w:sz w:val="20"/>
              </w:rPr>
            </w:pPr>
            <w:r w:rsidRPr="0078738D">
              <w:rPr>
                <w:rFonts w:ascii="Arial Narrow" w:hAnsi="Arial Narrow"/>
                <w:b/>
                <w:sz w:val="20"/>
              </w:rPr>
              <w:t>RD</w:t>
            </w:r>
            <w:r w:rsidRPr="0078738D">
              <w:rPr>
                <w:rFonts w:ascii="Arial Narrow" w:hAnsi="Arial Narrow"/>
                <w:b/>
                <w:sz w:val="20"/>
              </w:rPr>
              <w:br/>
              <w:t>(95% CI)</w:t>
            </w:r>
          </w:p>
        </w:tc>
      </w:tr>
      <w:tr w:rsidR="00AF0A13" w:rsidRPr="0078738D">
        <w:tc>
          <w:tcPr>
            <w:tcW w:w="850" w:type="pct"/>
            <w:tcBorders>
              <w:left w:val="single" w:sz="4" w:space="0" w:color="auto"/>
              <w:right w:val="single" w:sz="4" w:space="0" w:color="auto"/>
            </w:tcBorders>
            <w:vAlign w:val="center"/>
          </w:tcPr>
          <w:p w:rsidR="00AF0A13" w:rsidRPr="0078738D" w:rsidRDefault="00AF0A13" w:rsidP="00AF0A13">
            <w:pPr>
              <w:keepNext/>
              <w:keepLines/>
              <w:jc w:val="left"/>
              <w:rPr>
                <w:rFonts w:ascii="Arial Narrow" w:hAnsi="Arial Narrow"/>
                <w:sz w:val="20"/>
              </w:rPr>
            </w:pPr>
            <w:r w:rsidRPr="00F06892">
              <w:rPr>
                <w:rFonts w:ascii="Arial Narrow" w:hAnsi="Arial Narrow"/>
                <w:sz w:val="20"/>
              </w:rPr>
              <w:t>N</w:t>
            </w:r>
          </w:p>
        </w:tc>
        <w:tc>
          <w:tcPr>
            <w:tcW w:w="1528" w:type="pct"/>
            <w:tcBorders>
              <w:left w:val="single" w:sz="4" w:space="0" w:color="auto"/>
            </w:tcBorders>
            <w:vAlign w:val="center"/>
          </w:tcPr>
          <w:p w:rsidR="00AF0A13" w:rsidRPr="00042C6A" w:rsidRDefault="00042C6A" w:rsidP="00BE3C7C">
            <w:pPr>
              <w:keepNext/>
              <w:keepLines/>
              <w:jc w:val="center"/>
              <w:rPr>
                <w:rFonts w:ascii="Arial Narrow" w:hAnsi="Arial Narrow"/>
                <w:i/>
                <w:sz w:val="20"/>
                <w:highlight w:val="black"/>
              </w:rPr>
            </w:pPr>
            <w:r>
              <w:rPr>
                <w:rFonts w:ascii="Arial Narrow" w:hAnsi="Arial Narrow"/>
                <w:noProof/>
                <w:color w:val="000000"/>
                <w:sz w:val="20"/>
                <w:highlight w:val="black"/>
              </w:rPr>
              <w:t>''''''</w:t>
            </w:r>
          </w:p>
        </w:tc>
        <w:tc>
          <w:tcPr>
            <w:tcW w:w="1529" w:type="pct"/>
            <w:vAlign w:val="center"/>
          </w:tcPr>
          <w:p w:rsidR="00AF0A13" w:rsidRPr="0078738D" w:rsidRDefault="00AF0A13" w:rsidP="00BE3C7C">
            <w:pPr>
              <w:keepNext/>
              <w:keepLines/>
              <w:jc w:val="center"/>
              <w:rPr>
                <w:rFonts w:ascii="Arial Narrow" w:hAnsi="Arial Narrow"/>
                <w:i/>
                <w:sz w:val="20"/>
              </w:rPr>
            </w:pPr>
            <w:r w:rsidRPr="0078738D">
              <w:rPr>
                <w:rFonts w:ascii="Arial Narrow" w:hAnsi="Arial Narrow"/>
                <w:sz w:val="20"/>
              </w:rPr>
              <w:t>52</w:t>
            </w:r>
          </w:p>
        </w:tc>
        <w:tc>
          <w:tcPr>
            <w:tcW w:w="1093" w:type="pct"/>
            <w:vAlign w:val="center"/>
          </w:tcPr>
          <w:p w:rsidR="00AF0A13" w:rsidRPr="0078738D" w:rsidRDefault="00AF0A13" w:rsidP="00BE3C7C">
            <w:pPr>
              <w:keepNext/>
              <w:keepLines/>
              <w:jc w:val="center"/>
              <w:rPr>
                <w:rFonts w:ascii="Arial Narrow" w:hAnsi="Arial Narrow"/>
                <w:sz w:val="20"/>
              </w:rPr>
            </w:pPr>
          </w:p>
        </w:tc>
      </w:tr>
      <w:tr w:rsidR="00AF0A13" w:rsidRPr="0078738D">
        <w:tc>
          <w:tcPr>
            <w:tcW w:w="850" w:type="pct"/>
            <w:tcBorders>
              <w:left w:val="single" w:sz="4" w:space="0" w:color="auto"/>
              <w:right w:val="single" w:sz="4" w:space="0" w:color="auto"/>
            </w:tcBorders>
            <w:vAlign w:val="center"/>
          </w:tcPr>
          <w:p w:rsidR="00AF0A13" w:rsidRPr="0078738D" w:rsidRDefault="00AF0A13" w:rsidP="00AF0A13">
            <w:pPr>
              <w:keepNext/>
              <w:keepLines/>
              <w:jc w:val="left"/>
              <w:rPr>
                <w:rFonts w:ascii="Arial Narrow" w:hAnsi="Arial Narrow"/>
                <w:i/>
                <w:sz w:val="20"/>
              </w:rPr>
            </w:pPr>
            <w:r w:rsidRPr="0078738D">
              <w:rPr>
                <w:rFonts w:ascii="Arial Narrow" w:hAnsi="Arial Narrow"/>
                <w:b/>
                <w:sz w:val="20"/>
              </w:rPr>
              <w:t>Weeks 26-30</w:t>
            </w:r>
          </w:p>
        </w:tc>
        <w:tc>
          <w:tcPr>
            <w:tcW w:w="1528" w:type="pct"/>
            <w:tcBorders>
              <w:left w:val="single" w:sz="4" w:space="0" w:color="auto"/>
            </w:tcBorders>
            <w:vAlign w:val="center"/>
          </w:tcPr>
          <w:p w:rsidR="00AF0A13" w:rsidRPr="0078738D" w:rsidRDefault="00AF0A13" w:rsidP="00BE3C7C">
            <w:pPr>
              <w:keepNext/>
              <w:keepLines/>
              <w:jc w:val="center"/>
              <w:rPr>
                <w:rFonts w:ascii="Arial Narrow" w:hAnsi="Arial Narrow"/>
                <w:i/>
                <w:sz w:val="20"/>
              </w:rPr>
            </w:pPr>
          </w:p>
        </w:tc>
        <w:tc>
          <w:tcPr>
            <w:tcW w:w="1529" w:type="pct"/>
            <w:vAlign w:val="center"/>
          </w:tcPr>
          <w:p w:rsidR="00AF0A13" w:rsidRPr="0078738D" w:rsidRDefault="00AF0A13" w:rsidP="00BE3C7C">
            <w:pPr>
              <w:keepNext/>
              <w:keepLines/>
              <w:jc w:val="center"/>
              <w:rPr>
                <w:rFonts w:ascii="Arial Narrow" w:hAnsi="Arial Narrow"/>
                <w:i/>
                <w:sz w:val="20"/>
              </w:rPr>
            </w:pPr>
          </w:p>
        </w:tc>
        <w:tc>
          <w:tcPr>
            <w:tcW w:w="1093" w:type="pct"/>
            <w:vAlign w:val="center"/>
          </w:tcPr>
          <w:p w:rsidR="00AF0A13" w:rsidRPr="0078738D" w:rsidRDefault="00AF0A13" w:rsidP="00BE3C7C">
            <w:pPr>
              <w:keepNext/>
              <w:keepLines/>
              <w:jc w:val="center"/>
              <w:rPr>
                <w:rFonts w:ascii="Arial Narrow" w:hAnsi="Arial Narrow"/>
                <w:sz w:val="20"/>
              </w:rPr>
            </w:pPr>
          </w:p>
        </w:tc>
      </w:tr>
      <w:tr w:rsidR="00B26AF4" w:rsidRPr="0078738D">
        <w:tc>
          <w:tcPr>
            <w:tcW w:w="850" w:type="pct"/>
            <w:tcBorders>
              <w:left w:val="single" w:sz="4" w:space="0" w:color="auto"/>
              <w:right w:val="single" w:sz="4" w:space="0" w:color="auto"/>
            </w:tcBorders>
            <w:vAlign w:val="center"/>
          </w:tcPr>
          <w:p w:rsidR="00B26AF4" w:rsidRPr="0078738D" w:rsidRDefault="00B26AF4" w:rsidP="00AF0A13">
            <w:pPr>
              <w:keepNext/>
              <w:keepLines/>
              <w:ind w:firstLine="114"/>
              <w:jc w:val="left"/>
              <w:rPr>
                <w:rFonts w:ascii="Arial Narrow" w:hAnsi="Arial Narrow"/>
                <w:sz w:val="20"/>
              </w:rPr>
            </w:pPr>
            <w:r w:rsidRPr="0078738D">
              <w:rPr>
                <w:rFonts w:ascii="Arial Narrow" w:hAnsi="Arial Narrow"/>
                <w:sz w:val="20"/>
              </w:rPr>
              <w:t>Remission</w:t>
            </w:r>
          </w:p>
        </w:tc>
        <w:tc>
          <w:tcPr>
            <w:tcW w:w="1528" w:type="pct"/>
            <w:tcBorders>
              <w:left w:val="single" w:sz="4" w:space="0" w:color="auto"/>
            </w:tcBorders>
            <w:vAlign w:val="center"/>
          </w:tcPr>
          <w:p w:rsidR="00B26AF4" w:rsidRPr="00042C6A" w:rsidRDefault="00042C6A" w:rsidP="00BE3C7C">
            <w:pPr>
              <w:keepNext/>
              <w:keepLines/>
              <w:jc w:val="center"/>
              <w:rPr>
                <w:rFonts w:ascii="Arial Narrow" w:hAnsi="Arial Narrow"/>
                <w:i/>
                <w:sz w:val="20"/>
                <w:highlight w:val="black"/>
              </w:rPr>
            </w:pPr>
            <w:r>
              <w:rPr>
                <w:rFonts w:ascii="Arial Narrow" w:hAnsi="Arial Narrow"/>
                <w:noProof/>
                <w:color w:val="000000"/>
                <w:sz w:val="20"/>
                <w:highlight w:val="black"/>
              </w:rPr>
              <w:t>'''''' ''''''''''''''''''</w:t>
            </w:r>
          </w:p>
        </w:tc>
        <w:tc>
          <w:tcPr>
            <w:tcW w:w="1529" w:type="pct"/>
            <w:vAlign w:val="center"/>
          </w:tcPr>
          <w:p w:rsidR="00B26AF4" w:rsidRPr="0078738D" w:rsidRDefault="00B26AF4" w:rsidP="00BE3C7C">
            <w:pPr>
              <w:keepNext/>
              <w:keepLines/>
              <w:jc w:val="center"/>
              <w:rPr>
                <w:rFonts w:ascii="Arial Narrow" w:hAnsi="Arial Narrow"/>
                <w:i/>
                <w:sz w:val="20"/>
              </w:rPr>
            </w:pPr>
            <w:r w:rsidRPr="0078738D">
              <w:rPr>
                <w:rFonts w:ascii="Arial Narrow" w:hAnsi="Arial Narrow"/>
                <w:sz w:val="20"/>
              </w:rPr>
              <w:t>31 (59.6%)</w:t>
            </w:r>
          </w:p>
        </w:tc>
        <w:tc>
          <w:tcPr>
            <w:tcW w:w="1093" w:type="pct"/>
            <w:vAlign w:val="center"/>
          </w:tcPr>
          <w:p w:rsidR="00B26AF4" w:rsidRPr="00042C6A" w:rsidRDefault="00042C6A" w:rsidP="00DE14FC">
            <w:pPr>
              <w:keepNext/>
              <w:keepLines/>
              <w:jc w:val="center"/>
              <w:rPr>
                <w:rFonts w:ascii="Arial Narrow" w:hAnsi="Arial Narrow"/>
                <w:sz w:val="20"/>
                <w:highlight w:val="black"/>
              </w:rPr>
            </w:pPr>
            <w:r>
              <w:rPr>
                <w:rFonts w:ascii="Arial Narrow" w:hAnsi="Arial Narrow"/>
                <w:noProof/>
                <w:color w:val="000000"/>
                <w:sz w:val="20"/>
                <w:highlight w:val="black"/>
              </w:rPr>
              <w:t>''''''''''''' ''''''''''''''' ''''''''''''</w:t>
            </w:r>
          </w:p>
        </w:tc>
      </w:tr>
      <w:tr w:rsidR="00B26AF4" w:rsidRPr="0078738D">
        <w:tc>
          <w:tcPr>
            <w:tcW w:w="850" w:type="pct"/>
            <w:tcBorders>
              <w:left w:val="single" w:sz="4" w:space="0" w:color="auto"/>
              <w:right w:val="single" w:sz="4" w:space="0" w:color="auto"/>
            </w:tcBorders>
            <w:vAlign w:val="center"/>
          </w:tcPr>
          <w:p w:rsidR="00B26AF4" w:rsidRPr="0078738D" w:rsidRDefault="00B26AF4" w:rsidP="00AF0A13">
            <w:pPr>
              <w:keepNext/>
              <w:keepLines/>
              <w:ind w:firstLine="114"/>
              <w:jc w:val="left"/>
              <w:rPr>
                <w:rFonts w:ascii="Arial Narrow" w:hAnsi="Arial Narrow"/>
                <w:sz w:val="20"/>
              </w:rPr>
            </w:pPr>
            <w:r w:rsidRPr="0078738D">
              <w:rPr>
                <w:rFonts w:ascii="Arial Narrow" w:hAnsi="Arial Narrow"/>
                <w:sz w:val="20"/>
              </w:rPr>
              <w:t>Response</w:t>
            </w:r>
          </w:p>
        </w:tc>
        <w:tc>
          <w:tcPr>
            <w:tcW w:w="1528" w:type="pct"/>
            <w:tcBorders>
              <w:left w:val="single" w:sz="4" w:space="0" w:color="auto"/>
            </w:tcBorders>
            <w:vAlign w:val="center"/>
          </w:tcPr>
          <w:p w:rsidR="00B26AF4" w:rsidRPr="00042C6A" w:rsidRDefault="00042C6A" w:rsidP="00BE3C7C">
            <w:pPr>
              <w:keepNext/>
              <w:keepLines/>
              <w:jc w:val="center"/>
              <w:rPr>
                <w:rFonts w:ascii="Arial Narrow" w:hAnsi="Arial Narrow"/>
                <w:i/>
                <w:sz w:val="20"/>
                <w:highlight w:val="black"/>
              </w:rPr>
            </w:pPr>
            <w:r>
              <w:rPr>
                <w:rFonts w:ascii="Arial Narrow" w:hAnsi="Arial Narrow"/>
                <w:noProof/>
                <w:color w:val="000000"/>
                <w:sz w:val="20"/>
                <w:highlight w:val="black"/>
              </w:rPr>
              <w:t>''''' '''''''''''''''''</w:t>
            </w:r>
          </w:p>
        </w:tc>
        <w:tc>
          <w:tcPr>
            <w:tcW w:w="1529" w:type="pct"/>
            <w:vAlign w:val="center"/>
          </w:tcPr>
          <w:p w:rsidR="00B26AF4" w:rsidRPr="0078738D" w:rsidRDefault="00B26AF4" w:rsidP="00BE3C7C">
            <w:pPr>
              <w:keepNext/>
              <w:keepLines/>
              <w:jc w:val="center"/>
              <w:rPr>
                <w:rFonts w:ascii="Arial Narrow" w:hAnsi="Arial Narrow"/>
                <w:i/>
                <w:sz w:val="20"/>
              </w:rPr>
            </w:pPr>
            <w:r w:rsidRPr="0078738D">
              <w:rPr>
                <w:rFonts w:ascii="Arial Narrow" w:hAnsi="Arial Narrow"/>
                <w:sz w:val="20"/>
              </w:rPr>
              <w:t>38 (73.1%)</w:t>
            </w:r>
          </w:p>
        </w:tc>
        <w:tc>
          <w:tcPr>
            <w:tcW w:w="1093" w:type="pct"/>
            <w:vAlign w:val="center"/>
          </w:tcPr>
          <w:p w:rsidR="00B26AF4" w:rsidRPr="00042C6A" w:rsidRDefault="00042C6A" w:rsidP="00DE14FC">
            <w:pPr>
              <w:keepNext/>
              <w:keepLines/>
              <w:jc w:val="center"/>
              <w:rPr>
                <w:rFonts w:ascii="Arial Narrow" w:hAnsi="Arial Narrow"/>
                <w:sz w:val="20"/>
                <w:highlight w:val="black"/>
              </w:rPr>
            </w:pPr>
            <w:r>
              <w:rPr>
                <w:rFonts w:ascii="Arial Narrow" w:hAnsi="Arial Narrow"/>
                <w:noProof/>
                <w:color w:val="000000"/>
                <w:sz w:val="20"/>
                <w:highlight w:val="black"/>
              </w:rPr>
              <w:t>'''''''''''' ''''''''''''''' '''''''''''''</w:t>
            </w:r>
          </w:p>
        </w:tc>
      </w:tr>
      <w:tr w:rsidR="00B26AF4" w:rsidRPr="0078738D">
        <w:tc>
          <w:tcPr>
            <w:tcW w:w="850" w:type="pct"/>
            <w:tcBorders>
              <w:left w:val="single" w:sz="4" w:space="0" w:color="auto"/>
              <w:right w:val="single" w:sz="4" w:space="0" w:color="auto"/>
            </w:tcBorders>
            <w:vAlign w:val="center"/>
          </w:tcPr>
          <w:p w:rsidR="00B26AF4" w:rsidRPr="0078738D" w:rsidRDefault="00B26AF4" w:rsidP="00AF0A13">
            <w:pPr>
              <w:keepNext/>
              <w:keepLines/>
              <w:jc w:val="left"/>
              <w:rPr>
                <w:rFonts w:ascii="Arial Narrow" w:hAnsi="Arial Narrow"/>
                <w:i/>
                <w:sz w:val="20"/>
              </w:rPr>
            </w:pPr>
            <w:r w:rsidRPr="0078738D">
              <w:rPr>
                <w:rFonts w:ascii="Arial Narrow" w:hAnsi="Arial Narrow"/>
                <w:b/>
                <w:sz w:val="20"/>
              </w:rPr>
              <w:t>Weeks 52-54</w:t>
            </w:r>
          </w:p>
        </w:tc>
        <w:tc>
          <w:tcPr>
            <w:tcW w:w="1528" w:type="pct"/>
            <w:tcBorders>
              <w:left w:val="single" w:sz="4" w:space="0" w:color="auto"/>
            </w:tcBorders>
            <w:vAlign w:val="center"/>
          </w:tcPr>
          <w:p w:rsidR="00B26AF4" w:rsidRPr="0078738D" w:rsidRDefault="00B26AF4" w:rsidP="00BE3C7C">
            <w:pPr>
              <w:keepNext/>
              <w:keepLines/>
              <w:jc w:val="center"/>
              <w:rPr>
                <w:rFonts w:ascii="Arial Narrow" w:hAnsi="Arial Narrow"/>
                <w:i/>
                <w:sz w:val="20"/>
              </w:rPr>
            </w:pPr>
          </w:p>
        </w:tc>
        <w:tc>
          <w:tcPr>
            <w:tcW w:w="1529" w:type="pct"/>
            <w:vAlign w:val="center"/>
          </w:tcPr>
          <w:p w:rsidR="00B26AF4" w:rsidRPr="0078738D" w:rsidRDefault="00B26AF4" w:rsidP="00BE3C7C">
            <w:pPr>
              <w:keepNext/>
              <w:keepLines/>
              <w:jc w:val="center"/>
              <w:rPr>
                <w:rFonts w:ascii="Arial Narrow" w:hAnsi="Arial Narrow"/>
                <w:i/>
                <w:sz w:val="20"/>
              </w:rPr>
            </w:pPr>
          </w:p>
        </w:tc>
        <w:tc>
          <w:tcPr>
            <w:tcW w:w="1093" w:type="pct"/>
            <w:vAlign w:val="center"/>
          </w:tcPr>
          <w:p w:rsidR="00B26AF4" w:rsidRPr="0078738D" w:rsidRDefault="00B26AF4" w:rsidP="00BE3C7C">
            <w:pPr>
              <w:keepNext/>
              <w:keepLines/>
              <w:jc w:val="center"/>
              <w:rPr>
                <w:rFonts w:ascii="Arial Narrow" w:hAnsi="Arial Narrow"/>
                <w:sz w:val="20"/>
              </w:rPr>
            </w:pPr>
          </w:p>
        </w:tc>
      </w:tr>
      <w:tr w:rsidR="00B26AF4" w:rsidRPr="0078738D">
        <w:tc>
          <w:tcPr>
            <w:tcW w:w="850" w:type="pct"/>
            <w:tcBorders>
              <w:left w:val="single" w:sz="4" w:space="0" w:color="auto"/>
              <w:right w:val="single" w:sz="4" w:space="0" w:color="auto"/>
            </w:tcBorders>
            <w:vAlign w:val="center"/>
          </w:tcPr>
          <w:p w:rsidR="00B26AF4" w:rsidRPr="0078738D" w:rsidRDefault="00B26AF4" w:rsidP="00AF0A13">
            <w:pPr>
              <w:keepNext/>
              <w:keepLines/>
              <w:ind w:firstLine="114"/>
              <w:jc w:val="left"/>
              <w:rPr>
                <w:rFonts w:ascii="Arial Narrow" w:hAnsi="Arial Narrow"/>
                <w:sz w:val="20"/>
              </w:rPr>
            </w:pPr>
            <w:r w:rsidRPr="0078738D">
              <w:rPr>
                <w:rFonts w:ascii="Arial Narrow" w:hAnsi="Arial Narrow"/>
                <w:sz w:val="20"/>
              </w:rPr>
              <w:t>Remission</w:t>
            </w:r>
          </w:p>
        </w:tc>
        <w:tc>
          <w:tcPr>
            <w:tcW w:w="1528" w:type="pct"/>
            <w:tcBorders>
              <w:left w:val="single" w:sz="4" w:space="0" w:color="auto"/>
            </w:tcBorders>
            <w:vAlign w:val="center"/>
          </w:tcPr>
          <w:p w:rsidR="00B26AF4" w:rsidRPr="00042C6A" w:rsidRDefault="00042C6A" w:rsidP="00BE3C7C">
            <w:pPr>
              <w:keepNext/>
              <w:keepLines/>
              <w:jc w:val="center"/>
              <w:rPr>
                <w:rFonts w:ascii="Arial Narrow" w:hAnsi="Arial Narrow"/>
                <w:i/>
                <w:sz w:val="20"/>
                <w:highlight w:val="black"/>
              </w:rPr>
            </w:pPr>
            <w:r>
              <w:rPr>
                <w:rFonts w:ascii="Arial Narrow" w:hAnsi="Arial Narrow"/>
                <w:noProof/>
                <w:color w:val="000000"/>
                <w:sz w:val="20"/>
                <w:highlight w:val="black"/>
              </w:rPr>
              <w:t>'''''' ''''''''''''''''''''</w:t>
            </w:r>
          </w:p>
        </w:tc>
        <w:tc>
          <w:tcPr>
            <w:tcW w:w="1529" w:type="pct"/>
            <w:vAlign w:val="center"/>
          </w:tcPr>
          <w:p w:rsidR="00B26AF4" w:rsidRPr="0078738D" w:rsidRDefault="00B26AF4" w:rsidP="00BE3C7C">
            <w:pPr>
              <w:keepNext/>
              <w:keepLines/>
              <w:jc w:val="center"/>
              <w:rPr>
                <w:rFonts w:ascii="Arial Narrow" w:hAnsi="Arial Narrow"/>
                <w:i/>
                <w:sz w:val="20"/>
              </w:rPr>
            </w:pPr>
            <w:r w:rsidRPr="0078738D">
              <w:rPr>
                <w:rFonts w:ascii="Arial Narrow" w:hAnsi="Arial Narrow"/>
                <w:sz w:val="20"/>
              </w:rPr>
              <w:t>29 (55.8%)</w:t>
            </w:r>
          </w:p>
        </w:tc>
        <w:tc>
          <w:tcPr>
            <w:tcW w:w="1093" w:type="pct"/>
            <w:vAlign w:val="center"/>
          </w:tcPr>
          <w:p w:rsidR="00B26AF4" w:rsidRPr="00042C6A" w:rsidRDefault="00042C6A" w:rsidP="00DE14FC">
            <w:pPr>
              <w:keepNext/>
              <w:keepLines/>
              <w:jc w:val="center"/>
              <w:rPr>
                <w:rFonts w:ascii="Arial Narrow" w:hAnsi="Arial Narrow"/>
                <w:sz w:val="20"/>
                <w:highlight w:val="black"/>
              </w:rPr>
            </w:pPr>
            <w:r>
              <w:rPr>
                <w:rFonts w:ascii="Arial Narrow" w:hAnsi="Arial Narrow"/>
                <w:noProof/>
                <w:color w:val="000000"/>
                <w:sz w:val="20"/>
                <w:highlight w:val="black"/>
              </w:rPr>
              <w:t>'''''''''''''' '''''''''''''''' ''''''''''''</w:t>
            </w:r>
          </w:p>
        </w:tc>
      </w:tr>
      <w:tr w:rsidR="00B26AF4" w:rsidRPr="0078738D">
        <w:tc>
          <w:tcPr>
            <w:tcW w:w="850" w:type="pct"/>
            <w:tcBorders>
              <w:left w:val="single" w:sz="4" w:space="0" w:color="auto"/>
              <w:right w:val="single" w:sz="4" w:space="0" w:color="auto"/>
            </w:tcBorders>
            <w:vAlign w:val="center"/>
          </w:tcPr>
          <w:p w:rsidR="00B26AF4" w:rsidRPr="0078738D" w:rsidRDefault="00B26AF4" w:rsidP="00AF0A13">
            <w:pPr>
              <w:keepNext/>
              <w:keepLines/>
              <w:ind w:firstLine="114"/>
              <w:jc w:val="left"/>
              <w:rPr>
                <w:rFonts w:ascii="Arial Narrow" w:hAnsi="Arial Narrow"/>
                <w:sz w:val="20"/>
              </w:rPr>
            </w:pPr>
            <w:r w:rsidRPr="0078738D">
              <w:rPr>
                <w:rFonts w:ascii="Arial Narrow" w:hAnsi="Arial Narrow"/>
                <w:sz w:val="20"/>
              </w:rPr>
              <w:t>Response</w:t>
            </w:r>
          </w:p>
        </w:tc>
        <w:tc>
          <w:tcPr>
            <w:tcW w:w="1528" w:type="pct"/>
            <w:tcBorders>
              <w:left w:val="single" w:sz="4" w:space="0" w:color="auto"/>
            </w:tcBorders>
            <w:vAlign w:val="center"/>
          </w:tcPr>
          <w:p w:rsidR="00B26AF4" w:rsidRPr="00042C6A" w:rsidRDefault="00042C6A" w:rsidP="00BE3C7C">
            <w:pPr>
              <w:keepNext/>
              <w:keepLines/>
              <w:jc w:val="center"/>
              <w:rPr>
                <w:rFonts w:ascii="Arial Narrow" w:hAnsi="Arial Narrow"/>
                <w:i/>
                <w:sz w:val="20"/>
                <w:highlight w:val="black"/>
              </w:rPr>
            </w:pPr>
            <w:r>
              <w:rPr>
                <w:rFonts w:ascii="Arial Narrow" w:hAnsi="Arial Narrow"/>
                <w:noProof/>
                <w:color w:val="000000"/>
                <w:sz w:val="20"/>
                <w:highlight w:val="black"/>
              </w:rPr>
              <w:t>''''' '''''''''''''''''''</w:t>
            </w:r>
          </w:p>
        </w:tc>
        <w:tc>
          <w:tcPr>
            <w:tcW w:w="1529" w:type="pct"/>
            <w:vAlign w:val="center"/>
          </w:tcPr>
          <w:p w:rsidR="00B26AF4" w:rsidRPr="0078738D" w:rsidRDefault="00B26AF4" w:rsidP="00BE3C7C">
            <w:pPr>
              <w:keepNext/>
              <w:keepLines/>
              <w:jc w:val="center"/>
              <w:rPr>
                <w:rFonts w:ascii="Arial Narrow" w:hAnsi="Arial Narrow"/>
                <w:i/>
                <w:sz w:val="20"/>
              </w:rPr>
            </w:pPr>
            <w:r w:rsidRPr="0078738D">
              <w:rPr>
                <w:rFonts w:ascii="Arial Narrow" w:hAnsi="Arial Narrow"/>
                <w:sz w:val="20"/>
              </w:rPr>
              <w:t>33 (63.5%)</w:t>
            </w:r>
          </w:p>
        </w:tc>
        <w:tc>
          <w:tcPr>
            <w:tcW w:w="1093" w:type="pct"/>
            <w:vAlign w:val="center"/>
          </w:tcPr>
          <w:p w:rsidR="00B26AF4" w:rsidRPr="00042C6A" w:rsidRDefault="00042C6A" w:rsidP="00DE14FC">
            <w:pPr>
              <w:keepNext/>
              <w:keepLines/>
              <w:jc w:val="center"/>
              <w:rPr>
                <w:rFonts w:ascii="Arial Narrow" w:hAnsi="Arial Narrow"/>
                <w:sz w:val="20"/>
                <w:highlight w:val="black"/>
              </w:rPr>
            </w:pPr>
            <w:r>
              <w:rPr>
                <w:rFonts w:ascii="Arial Narrow" w:hAnsi="Arial Narrow"/>
                <w:noProof/>
                <w:color w:val="000000"/>
                <w:sz w:val="20"/>
                <w:highlight w:val="black"/>
              </w:rPr>
              <w:t>'''''''''''''' ''''''''''''''' '''''''''''</w:t>
            </w:r>
          </w:p>
        </w:tc>
      </w:tr>
    </w:tbl>
    <w:p w:rsidR="00B26AF4" w:rsidRPr="0078738D" w:rsidRDefault="00B26AF4" w:rsidP="00B26AF4">
      <w:pPr>
        <w:pStyle w:val="TableFooter"/>
        <w:keepNext/>
        <w:keepLines/>
        <w:ind w:left="709"/>
      </w:pPr>
      <w:r w:rsidRPr="0078738D">
        <w:t>Source: Tables B.6.7 and B.6.8 p.97-98 of the submission; Attachment 4 to the submission (excel spreadsheet);</w:t>
      </w:r>
    </w:p>
    <w:p w:rsidR="00B26AF4" w:rsidRPr="0078738D" w:rsidRDefault="00B26AF4" w:rsidP="00B26AF4">
      <w:pPr>
        <w:pStyle w:val="TableFooter"/>
        <w:keepNext/>
        <w:keepLines/>
        <w:ind w:left="709"/>
      </w:pPr>
      <w:r w:rsidRPr="0078738D">
        <w:t>RD</w:t>
      </w:r>
      <w:r w:rsidR="00F72DA2">
        <w:t xml:space="preserve"> =</w:t>
      </w:r>
      <w:r w:rsidRPr="0078738D">
        <w:t xml:space="preserve"> risk difference; CI = confidence interval; IFX = infliximab; </w:t>
      </w:r>
      <w:r>
        <w:t xml:space="preserve">ADA = adalimumab; </w:t>
      </w:r>
      <w:r w:rsidRPr="0078738D">
        <w:t>TNF</w:t>
      </w:r>
      <w:r w:rsidRPr="0078738D">
        <w:rPr>
          <w:rFonts w:ascii="Times New Roman" w:hAnsi="Times New Roman" w:cs="Times New Roman"/>
        </w:rPr>
        <w:t>α</w:t>
      </w:r>
      <w:r w:rsidRPr="0078738D">
        <w:t xml:space="preserve"> = tumo</w:t>
      </w:r>
      <w:r w:rsidR="00DD4930">
        <w:t>ur necrosis factor alpha; ITT = </w:t>
      </w:r>
      <w:r w:rsidRPr="0078738D">
        <w:t>intent-to-treat;</w:t>
      </w:r>
    </w:p>
    <w:p w:rsidR="00BE3C7C" w:rsidRDefault="00BE3C7C" w:rsidP="00B60939">
      <w:pPr>
        <w:rPr>
          <w:szCs w:val="22"/>
        </w:rPr>
      </w:pPr>
    </w:p>
    <w:p w:rsidR="00AF0A13" w:rsidRPr="009D0F80" w:rsidRDefault="00AF0A13" w:rsidP="00955E40">
      <w:pPr>
        <w:pStyle w:val="ListParagraph"/>
        <w:widowControl/>
        <w:numPr>
          <w:ilvl w:val="1"/>
          <w:numId w:val="1"/>
        </w:numPr>
      </w:pPr>
      <w:r w:rsidRPr="009D0F80">
        <w:t xml:space="preserve">The submission </w:t>
      </w:r>
      <w:r w:rsidR="00053622" w:rsidRPr="009D0F80">
        <w:t>consider</w:t>
      </w:r>
      <w:r w:rsidR="00053622">
        <w:t>ed</w:t>
      </w:r>
      <w:r w:rsidRPr="009D0F80">
        <w:t xml:space="preserve"> that adalimumab has a similar efficacy as infliximab, based on a naïve indirect comparison, with no common comparator. The submission consider</w:t>
      </w:r>
      <w:r w:rsidR="00065764">
        <w:t>ed</w:t>
      </w:r>
      <w:r w:rsidRPr="009D0F80">
        <w:t xml:space="preserve"> that the analysis meets the non-inferior criteria as the lower confidence interval for the primary analysis (remission at week 26) was </w:t>
      </w:r>
      <w:r w:rsidR="00042C6A">
        <w:rPr>
          <w:noProof/>
          <w:color w:val="000000"/>
          <w:highlight w:val="black"/>
        </w:rPr>
        <w:t>''''''''''''</w:t>
      </w:r>
      <w:r w:rsidRPr="009D0F80">
        <w:t xml:space="preserve">% in favour of infliximab, which does not meet the </w:t>
      </w:r>
      <w:r w:rsidR="006864F7" w:rsidRPr="000C6990">
        <w:rPr>
          <w:szCs w:val="22"/>
        </w:rPr>
        <w:t xml:space="preserve">minimal clinically important </w:t>
      </w:r>
      <w:r w:rsidR="006864F7">
        <w:rPr>
          <w:szCs w:val="22"/>
        </w:rPr>
        <w:t>difference (MCID)</w:t>
      </w:r>
      <w:r w:rsidRPr="009D0F80">
        <w:t xml:space="preserve"> of 20%. There are concerns with this methodology and with the </w:t>
      </w:r>
      <w:r w:rsidR="00B77F69" w:rsidRPr="009D0F80">
        <w:t xml:space="preserve">conclusion </w:t>
      </w:r>
      <w:r w:rsidRPr="009D0F80">
        <w:t>that adalimumab has non-inferior efficacy compared to infliximab:</w:t>
      </w:r>
    </w:p>
    <w:p w:rsidR="00AF0A13" w:rsidRPr="00B92322" w:rsidRDefault="00AF0A13" w:rsidP="00955E40">
      <w:pPr>
        <w:numPr>
          <w:ilvl w:val="0"/>
          <w:numId w:val="10"/>
        </w:numPr>
        <w:ind w:left="1134" w:hanging="425"/>
      </w:pPr>
      <w:r w:rsidRPr="00B92322">
        <w:t xml:space="preserve">The patient characteristics were different in the adalimumab and infliximab trials </w:t>
      </w:r>
      <w:r w:rsidR="00A634AD" w:rsidRPr="00B92322">
        <w:t xml:space="preserve">as IMAGINE-1 included patients regardless of prior infliximab experience, </w:t>
      </w:r>
      <w:r w:rsidR="00A634AD" w:rsidRPr="00B92322">
        <w:lastRenderedPageBreak/>
        <w:t>whereas REACH only recruited infliximab-naïve patients</w:t>
      </w:r>
      <w:r w:rsidRPr="00B92322">
        <w:t xml:space="preserve">. </w:t>
      </w:r>
      <w:r w:rsidR="00A634AD" w:rsidRPr="00B92322">
        <w:t xml:space="preserve">The PSCR agreed that the patient populations in these two trials seem comparable, except for the inclusion of infliximab-experienced patients in IMAGINE-1. </w:t>
      </w:r>
      <w:r w:rsidRPr="00B92322">
        <w:t>Such an approach is likely to bias the results. It is unclear whether this would favour adalimumab.</w:t>
      </w:r>
    </w:p>
    <w:p w:rsidR="00AF0A13" w:rsidRPr="009D0F80" w:rsidRDefault="00AF0A13" w:rsidP="00955E40">
      <w:pPr>
        <w:numPr>
          <w:ilvl w:val="0"/>
          <w:numId w:val="10"/>
        </w:numPr>
        <w:ind w:left="1134" w:hanging="425"/>
      </w:pPr>
      <w:r w:rsidRPr="009D0F80">
        <w:t xml:space="preserve">The analyses </w:t>
      </w:r>
      <w:r w:rsidR="007C7263" w:rsidRPr="009D0F80">
        <w:t>we</w:t>
      </w:r>
      <w:r w:rsidRPr="009D0F80">
        <w:t>re performed using a post-hoc subgroup from the adalimumab trial.</w:t>
      </w:r>
      <w:r w:rsidR="004C26CE" w:rsidRPr="009D0F80">
        <w:t xml:space="preserve"> </w:t>
      </w:r>
    </w:p>
    <w:p w:rsidR="00AF0A13" w:rsidRPr="009D0F80" w:rsidRDefault="00AF0A13" w:rsidP="00955E40">
      <w:pPr>
        <w:numPr>
          <w:ilvl w:val="0"/>
          <w:numId w:val="10"/>
        </w:numPr>
        <w:ind w:left="1134" w:hanging="425"/>
      </w:pPr>
      <w:r w:rsidRPr="009D0F80">
        <w:t xml:space="preserve">The proposed restriction is for patients with severe Crohn’s disease. Both trials included patients with moderate </w:t>
      </w:r>
      <w:r w:rsidR="00F12CC3" w:rsidRPr="009D0F80">
        <w:t>to</w:t>
      </w:r>
      <w:r w:rsidRPr="009D0F80">
        <w:t xml:space="preserve"> severe Crohn’s disease.</w:t>
      </w:r>
    </w:p>
    <w:p w:rsidR="00D809BD" w:rsidRPr="00D809BD" w:rsidRDefault="00D809BD" w:rsidP="00D809BD">
      <w:pPr>
        <w:pStyle w:val="ListParagraph"/>
        <w:widowControl/>
        <w:rPr>
          <w:i/>
          <w:szCs w:val="22"/>
        </w:rPr>
      </w:pPr>
    </w:p>
    <w:p w:rsidR="009F7810" w:rsidRDefault="00AF0A13" w:rsidP="00955E40">
      <w:pPr>
        <w:pStyle w:val="ListParagraph"/>
        <w:widowControl/>
        <w:numPr>
          <w:ilvl w:val="1"/>
          <w:numId w:val="1"/>
        </w:numPr>
        <w:rPr>
          <w:szCs w:val="22"/>
        </w:rPr>
      </w:pPr>
      <w:r>
        <w:t>Adalimumab resulted in similar efficacy in paediatric and adult patients with Crohn’s disease, b</w:t>
      </w:r>
      <w:r w:rsidRPr="0078738D">
        <w:t xml:space="preserve">ased on the limited naïve indirect comparison using the CDAI score in paediatric patients aged 13 or over compared to adult patients. </w:t>
      </w:r>
    </w:p>
    <w:p w:rsidR="00402AFE" w:rsidRDefault="00402AFE" w:rsidP="00B71361"/>
    <w:p w:rsidR="00183FE8" w:rsidRDefault="00183FE8" w:rsidP="00183FE8">
      <w:pPr>
        <w:pStyle w:val="ListParagraph"/>
        <w:ind w:left="709"/>
        <w:rPr>
          <w:i/>
          <w:szCs w:val="22"/>
        </w:rPr>
      </w:pPr>
      <w:r>
        <w:rPr>
          <w:i/>
          <w:szCs w:val="22"/>
        </w:rPr>
        <w:t>For more detail on PBAC’s view, see section 7 “PBAC outcome”</w:t>
      </w:r>
    </w:p>
    <w:p w:rsidR="00183FE8" w:rsidRDefault="00183FE8" w:rsidP="00B71361"/>
    <w:p w:rsidR="00B60939" w:rsidRPr="004D51AA" w:rsidRDefault="00B60939" w:rsidP="004D51AA">
      <w:pPr>
        <w:rPr>
          <w:b/>
          <w:szCs w:val="22"/>
        </w:rPr>
      </w:pPr>
      <w:bookmarkStart w:id="8" w:name="_Toc398284969"/>
      <w:r w:rsidRPr="004D51AA">
        <w:rPr>
          <w:b/>
          <w:szCs w:val="22"/>
        </w:rPr>
        <w:t>Comparative harms</w:t>
      </w:r>
      <w:bookmarkEnd w:id="8"/>
    </w:p>
    <w:p w:rsidR="00B60939" w:rsidRPr="0078738D" w:rsidRDefault="00B60939" w:rsidP="00B60939">
      <w:pPr>
        <w:ind w:left="720" w:hanging="720"/>
        <w:rPr>
          <w:szCs w:val="22"/>
        </w:rPr>
      </w:pPr>
    </w:p>
    <w:p w:rsidR="007E10AE" w:rsidRPr="00B26AF4" w:rsidRDefault="00EE69A7" w:rsidP="00955E40">
      <w:pPr>
        <w:pStyle w:val="ListParagraph"/>
        <w:widowControl/>
        <w:numPr>
          <w:ilvl w:val="1"/>
          <w:numId w:val="1"/>
        </w:numPr>
        <w:rPr>
          <w:szCs w:val="22"/>
        </w:rPr>
      </w:pPr>
      <w:r w:rsidRPr="00B26AF4">
        <w:t>The sources of safety data are the clinical trials and extension studies.</w:t>
      </w:r>
      <w:r w:rsidR="009D3CC2" w:rsidRPr="00B26AF4">
        <w:t xml:space="preserve"> The comparison </w:t>
      </w:r>
      <w:r w:rsidR="0005692D" w:rsidRPr="00B26AF4">
        <w:t>involve</w:t>
      </w:r>
      <w:r w:rsidR="0005692D">
        <w:t>d</w:t>
      </w:r>
      <w:r w:rsidR="0005692D" w:rsidRPr="00B26AF4">
        <w:t xml:space="preserve"> </w:t>
      </w:r>
      <w:r w:rsidR="009D3CC2" w:rsidRPr="00B26AF4">
        <w:t xml:space="preserve">an analysis of aggregate categories of adverse events. No statistically significant differences were detected in the </w:t>
      </w:r>
      <w:r w:rsidR="00A432D1" w:rsidRPr="00B26AF4">
        <w:t xml:space="preserve">rates </w:t>
      </w:r>
      <w:r w:rsidR="009D3CC2" w:rsidRPr="00B26AF4">
        <w:t xml:space="preserve">of adverse events, serious adverse events, adverse events leading to discontinuation, infectious and serious infectious adverse events, </w:t>
      </w:r>
      <w:r w:rsidR="00A432D1" w:rsidRPr="00B26AF4">
        <w:t>or</w:t>
      </w:r>
      <w:r w:rsidR="009D3CC2" w:rsidRPr="00B26AF4">
        <w:t xml:space="preserve"> adverse events related to injection site reactions. </w:t>
      </w:r>
    </w:p>
    <w:p w:rsidR="002907B3" w:rsidRDefault="002907B3" w:rsidP="002907B3">
      <w:pPr>
        <w:widowControl/>
      </w:pPr>
    </w:p>
    <w:p w:rsidR="007B388A" w:rsidRPr="00BD2865" w:rsidRDefault="00092D8F" w:rsidP="00955E40">
      <w:pPr>
        <w:pStyle w:val="ListParagraph"/>
        <w:widowControl/>
        <w:numPr>
          <w:ilvl w:val="1"/>
          <w:numId w:val="1"/>
        </w:numPr>
      </w:pPr>
      <w:r w:rsidRPr="00BD2865">
        <w:t>The submission provide</w:t>
      </w:r>
      <w:r w:rsidR="00D6443F">
        <w:t>d</w:t>
      </w:r>
      <w:r w:rsidRPr="00BD2865">
        <w:t xml:space="preserve"> n</w:t>
      </w:r>
      <w:r w:rsidR="001440B7" w:rsidRPr="00BD2865">
        <w:t xml:space="preserve">o evidence or discussion regarding </w:t>
      </w:r>
      <w:r w:rsidR="00C73619" w:rsidRPr="00BD2865">
        <w:t xml:space="preserve">the </w:t>
      </w:r>
      <w:r w:rsidR="001440B7" w:rsidRPr="00BD2865">
        <w:t>comparative safety of adalimumab in paediatric vs</w:t>
      </w:r>
      <w:r w:rsidR="00B26AF4" w:rsidRPr="00BD2865">
        <w:t>.</w:t>
      </w:r>
      <w:r w:rsidR="001440B7" w:rsidRPr="00BD2865">
        <w:t xml:space="preserve"> adult patients.</w:t>
      </w:r>
    </w:p>
    <w:p w:rsidR="005C73DE" w:rsidRDefault="005C73DE" w:rsidP="00BE16CA"/>
    <w:p w:rsidR="00183FE8" w:rsidRDefault="00183FE8" w:rsidP="00183FE8">
      <w:pPr>
        <w:pStyle w:val="ListParagraph"/>
        <w:ind w:left="709"/>
        <w:rPr>
          <w:i/>
          <w:szCs w:val="22"/>
        </w:rPr>
      </w:pPr>
      <w:r>
        <w:rPr>
          <w:i/>
          <w:szCs w:val="22"/>
        </w:rPr>
        <w:t>For more detail on PBAC’s view, see section 7 “PBAC outcome”</w:t>
      </w:r>
    </w:p>
    <w:p w:rsidR="00183FE8" w:rsidRDefault="00183FE8" w:rsidP="00BE16CA"/>
    <w:p w:rsidR="007F1017" w:rsidRPr="004D51AA" w:rsidRDefault="007F1017" w:rsidP="004D51AA">
      <w:pPr>
        <w:rPr>
          <w:b/>
          <w:szCs w:val="22"/>
        </w:rPr>
      </w:pPr>
      <w:bookmarkStart w:id="9" w:name="_Toc398284970"/>
      <w:r w:rsidRPr="004D51AA">
        <w:rPr>
          <w:b/>
          <w:szCs w:val="22"/>
        </w:rPr>
        <w:t>Benefits/harms</w:t>
      </w:r>
      <w:bookmarkEnd w:id="9"/>
    </w:p>
    <w:p w:rsidR="007F1017" w:rsidRPr="0078738D" w:rsidRDefault="007F1017" w:rsidP="007F1017">
      <w:pPr>
        <w:pStyle w:val="ListParagraph"/>
        <w:ind w:left="0"/>
        <w:rPr>
          <w:szCs w:val="22"/>
        </w:rPr>
      </w:pPr>
    </w:p>
    <w:p w:rsidR="00162913" w:rsidRPr="005A6AEF" w:rsidRDefault="00EC00C9" w:rsidP="00955E40">
      <w:pPr>
        <w:pStyle w:val="ListParagraph"/>
        <w:widowControl/>
        <w:numPr>
          <w:ilvl w:val="1"/>
          <w:numId w:val="1"/>
        </w:numPr>
        <w:rPr>
          <w:szCs w:val="22"/>
        </w:rPr>
      </w:pPr>
      <w:r w:rsidRPr="0078738D">
        <w:rPr>
          <w:szCs w:val="22"/>
        </w:rPr>
        <w:t xml:space="preserve">A summary of the comparative benefits and harms for </w:t>
      </w:r>
      <w:r w:rsidR="00BF473C">
        <w:rPr>
          <w:szCs w:val="22"/>
        </w:rPr>
        <w:t>adalimumab</w:t>
      </w:r>
      <w:r w:rsidRPr="0078738D">
        <w:rPr>
          <w:szCs w:val="22"/>
        </w:rPr>
        <w:t xml:space="preserve"> versus </w:t>
      </w:r>
      <w:r w:rsidR="00BF473C">
        <w:rPr>
          <w:szCs w:val="22"/>
        </w:rPr>
        <w:t>infliximab</w:t>
      </w:r>
      <w:r w:rsidRPr="0078738D">
        <w:rPr>
          <w:szCs w:val="22"/>
        </w:rPr>
        <w:t xml:space="preserve"> is presented </w:t>
      </w:r>
      <w:r w:rsidR="0005692D">
        <w:rPr>
          <w:szCs w:val="22"/>
        </w:rPr>
        <w:t>in the following table</w:t>
      </w:r>
      <w:r w:rsidRPr="0078738D">
        <w:rPr>
          <w:szCs w:val="22"/>
        </w:rPr>
        <w:t>.</w:t>
      </w:r>
      <w:r w:rsidR="00410708" w:rsidRPr="0078738D">
        <w:rPr>
          <w:szCs w:val="22"/>
        </w:rPr>
        <w:t xml:space="preserve"> </w:t>
      </w:r>
    </w:p>
    <w:p w:rsidR="00C501B2" w:rsidRPr="0078738D" w:rsidRDefault="004D5254" w:rsidP="0062665A">
      <w:pPr>
        <w:keepNext/>
        <w:ind w:firstLine="720"/>
        <w:rPr>
          <w:rStyle w:val="CommentReference"/>
        </w:rPr>
      </w:pPr>
      <w:r w:rsidRPr="0078738D">
        <w:rPr>
          <w:rStyle w:val="CommentReference"/>
        </w:rPr>
        <w:lastRenderedPageBreak/>
        <w:t xml:space="preserve">Summary of comparative benefits and harms for </w:t>
      </w:r>
      <w:r>
        <w:rPr>
          <w:rStyle w:val="CommentReference"/>
        </w:rPr>
        <w:t>adalimumab</w:t>
      </w:r>
      <w:r w:rsidRPr="0078738D">
        <w:rPr>
          <w:rStyle w:val="CommentReference"/>
        </w:rPr>
        <w:t xml:space="preserve"> and </w:t>
      </w:r>
      <w:r>
        <w:rPr>
          <w:rStyle w:val="CommentReference"/>
        </w:rPr>
        <w:t>infliximab</w:t>
      </w:r>
    </w:p>
    <w:tbl>
      <w:tblPr>
        <w:tblW w:w="4682"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34"/>
        <w:gridCol w:w="1276"/>
        <w:gridCol w:w="993"/>
        <w:gridCol w:w="992"/>
        <w:gridCol w:w="1419"/>
        <w:gridCol w:w="1419"/>
        <w:gridCol w:w="1272"/>
      </w:tblGrid>
      <w:tr w:rsidR="00AE4A35" w:rsidRPr="004E2ADC">
        <w:trPr>
          <w:cantSplit/>
          <w:trHeight w:val="211"/>
          <w:tblHeader/>
        </w:trPr>
        <w:tc>
          <w:tcPr>
            <w:tcW w:w="667" w:type="pct"/>
            <w:vMerge w:val="restart"/>
            <w:vAlign w:val="center"/>
          </w:tcPr>
          <w:p w:rsidR="00AE4A35" w:rsidRPr="004E2ADC" w:rsidRDefault="00AE4A35" w:rsidP="0062665A">
            <w:pPr>
              <w:keepNext/>
              <w:jc w:val="left"/>
              <w:rPr>
                <w:rFonts w:ascii="Arial Narrow" w:hAnsi="Arial Narrow"/>
                <w:sz w:val="20"/>
              </w:rPr>
            </w:pPr>
            <w:r>
              <w:rPr>
                <w:rFonts w:ascii="Arial Narrow" w:hAnsi="Arial Narrow"/>
                <w:b/>
                <w:sz w:val="20"/>
              </w:rPr>
              <w:t>Outcome</w:t>
            </w:r>
          </w:p>
        </w:tc>
        <w:tc>
          <w:tcPr>
            <w:tcW w:w="750" w:type="pct"/>
            <w:vMerge w:val="restart"/>
            <w:vAlign w:val="center"/>
          </w:tcPr>
          <w:p w:rsidR="00AE4A35" w:rsidRDefault="00AE4A35" w:rsidP="0062665A">
            <w:pPr>
              <w:keepNext/>
              <w:jc w:val="center"/>
              <w:rPr>
                <w:rFonts w:ascii="Arial Narrow" w:hAnsi="Arial Narrow"/>
                <w:b/>
                <w:sz w:val="20"/>
                <w:vertAlign w:val="superscript"/>
              </w:rPr>
            </w:pPr>
            <w:r>
              <w:rPr>
                <w:rFonts w:ascii="Arial Narrow" w:hAnsi="Arial Narrow"/>
                <w:b/>
                <w:sz w:val="20"/>
              </w:rPr>
              <w:t>Adalimumab</w:t>
            </w:r>
            <w:r w:rsidR="00B26AF4">
              <w:rPr>
                <w:rFonts w:ascii="Arial Narrow" w:hAnsi="Arial Narrow"/>
                <w:b/>
                <w:sz w:val="20"/>
              </w:rPr>
              <w:t xml:space="preserve"> </w:t>
            </w:r>
            <w:r w:rsidR="00B26AF4" w:rsidRPr="00B26AF4">
              <w:rPr>
                <w:rFonts w:ascii="Arial Narrow" w:hAnsi="Arial Narrow"/>
                <w:b/>
                <w:sz w:val="20"/>
                <w:vertAlign w:val="superscript"/>
              </w:rPr>
              <w:t>a</w:t>
            </w:r>
          </w:p>
          <w:p w:rsidR="00697FA8" w:rsidRPr="00697FA8" w:rsidRDefault="00697FA8" w:rsidP="0062665A">
            <w:pPr>
              <w:keepNext/>
              <w:jc w:val="center"/>
              <w:rPr>
                <w:rFonts w:ascii="Arial Narrow" w:hAnsi="Arial Narrow"/>
                <w:b/>
                <w:sz w:val="20"/>
              </w:rPr>
            </w:pPr>
            <w:r>
              <w:rPr>
                <w:rFonts w:ascii="Arial Narrow" w:hAnsi="Arial Narrow"/>
                <w:b/>
                <w:sz w:val="20"/>
              </w:rPr>
              <w:t>n/N</w:t>
            </w:r>
          </w:p>
        </w:tc>
        <w:tc>
          <w:tcPr>
            <w:tcW w:w="584" w:type="pct"/>
            <w:vMerge w:val="restart"/>
            <w:vAlign w:val="center"/>
          </w:tcPr>
          <w:p w:rsidR="00AE4A35" w:rsidRDefault="00AE4A35" w:rsidP="0062665A">
            <w:pPr>
              <w:keepNext/>
              <w:jc w:val="center"/>
              <w:rPr>
                <w:rFonts w:ascii="Arial Narrow" w:hAnsi="Arial Narrow"/>
                <w:b/>
                <w:sz w:val="20"/>
                <w:vertAlign w:val="superscript"/>
              </w:rPr>
            </w:pPr>
            <w:r>
              <w:rPr>
                <w:rFonts w:ascii="Arial Narrow" w:hAnsi="Arial Narrow"/>
                <w:b/>
                <w:sz w:val="20"/>
              </w:rPr>
              <w:t>Infliximab</w:t>
            </w:r>
            <w:r w:rsidR="00B26AF4">
              <w:rPr>
                <w:rFonts w:ascii="Arial Narrow" w:hAnsi="Arial Narrow"/>
                <w:b/>
                <w:sz w:val="20"/>
              </w:rPr>
              <w:t xml:space="preserve"> </w:t>
            </w:r>
            <w:r w:rsidR="00B26AF4" w:rsidRPr="00B26AF4">
              <w:rPr>
                <w:rFonts w:ascii="Arial Narrow" w:hAnsi="Arial Narrow"/>
                <w:b/>
                <w:sz w:val="20"/>
                <w:vertAlign w:val="superscript"/>
              </w:rPr>
              <w:t>b</w:t>
            </w:r>
          </w:p>
          <w:p w:rsidR="00697FA8" w:rsidRPr="00697FA8" w:rsidRDefault="00697FA8" w:rsidP="0062665A">
            <w:pPr>
              <w:keepNext/>
              <w:jc w:val="center"/>
              <w:rPr>
                <w:rFonts w:ascii="Arial Narrow" w:hAnsi="Arial Narrow"/>
                <w:b/>
                <w:sz w:val="20"/>
              </w:rPr>
            </w:pPr>
            <w:r>
              <w:rPr>
                <w:rFonts w:ascii="Arial Narrow" w:hAnsi="Arial Narrow"/>
                <w:b/>
                <w:sz w:val="20"/>
              </w:rPr>
              <w:t>n/N</w:t>
            </w:r>
          </w:p>
        </w:tc>
        <w:tc>
          <w:tcPr>
            <w:tcW w:w="583" w:type="pct"/>
            <w:vMerge w:val="restart"/>
            <w:vAlign w:val="center"/>
          </w:tcPr>
          <w:p w:rsidR="00AE4A35" w:rsidRPr="00D7362C" w:rsidRDefault="00AE4A35" w:rsidP="0062665A">
            <w:pPr>
              <w:keepNext/>
              <w:jc w:val="center"/>
              <w:rPr>
                <w:rFonts w:ascii="Arial Narrow" w:hAnsi="Arial Narrow"/>
                <w:b/>
                <w:sz w:val="20"/>
              </w:rPr>
            </w:pPr>
            <w:r>
              <w:rPr>
                <w:rFonts w:ascii="Arial Narrow" w:hAnsi="Arial Narrow"/>
                <w:b/>
                <w:sz w:val="20"/>
              </w:rPr>
              <w:t>RR</w:t>
            </w:r>
            <w:r>
              <w:rPr>
                <w:rFonts w:ascii="Arial Narrow" w:hAnsi="Arial Narrow"/>
                <w:b/>
                <w:sz w:val="20"/>
              </w:rPr>
              <w:br/>
              <w:t xml:space="preserve">(95% CI) </w:t>
            </w:r>
          </w:p>
        </w:tc>
        <w:tc>
          <w:tcPr>
            <w:tcW w:w="1668" w:type="pct"/>
            <w:gridSpan w:val="2"/>
            <w:vAlign w:val="center"/>
          </w:tcPr>
          <w:p w:rsidR="00AE4A35" w:rsidRPr="00D7362C" w:rsidRDefault="00AE4A35" w:rsidP="0062665A">
            <w:pPr>
              <w:keepNext/>
              <w:jc w:val="center"/>
              <w:rPr>
                <w:rFonts w:ascii="Arial Narrow" w:hAnsi="Arial Narrow"/>
                <w:b/>
                <w:sz w:val="20"/>
              </w:rPr>
            </w:pPr>
            <w:r w:rsidRPr="0078738D">
              <w:rPr>
                <w:rFonts w:ascii="Arial Narrow" w:hAnsi="Arial Narrow"/>
                <w:b/>
                <w:color w:val="000000"/>
                <w:sz w:val="20"/>
                <w:szCs w:val="18"/>
              </w:rPr>
              <w:t>Event rate/100 patients</w:t>
            </w:r>
            <w:r w:rsidR="00280BFD">
              <w:rPr>
                <w:rFonts w:ascii="Arial Narrow" w:hAnsi="Arial Narrow"/>
                <w:b/>
                <w:color w:val="000000"/>
                <w:sz w:val="20"/>
                <w:szCs w:val="18"/>
              </w:rPr>
              <w:t>*</w:t>
            </w:r>
          </w:p>
        </w:tc>
        <w:tc>
          <w:tcPr>
            <w:tcW w:w="748" w:type="pct"/>
            <w:vMerge w:val="restart"/>
            <w:vAlign w:val="center"/>
          </w:tcPr>
          <w:p w:rsidR="00AE4A35" w:rsidRPr="004E2ADC" w:rsidRDefault="00AE4A35" w:rsidP="0062665A">
            <w:pPr>
              <w:keepNext/>
              <w:jc w:val="center"/>
              <w:rPr>
                <w:rFonts w:ascii="Arial Narrow" w:hAnsi="Arial Narrow"/>
                <w:b/>
                <w:sz w:val="20"/>
              </w:rPr>
            </w:pPr>
            <w:r>
              <w:rPr>
                <w:rFonts w:ascii="Arial Narrow" w:hAnsi="Arial Narrow"/>
                <w:b/>
                <w:sz w:val="20"/>
              </w:rPr>
              <w:t>RD</w:t>
            </w:r>
            <w:r>
              <w:rPr>
                <w:rFonts w:ascii="Arial Narrow" w:hAnsi="Arial Narrow"/>
                <w:b/>
                <w:sz w:val="20"/>
              </w:rPr>
              <w:br/>
              <w:t xml:space="preserve">(95% CI) </w:t>
            </w:r>
          </w:p>
        </w:tc>
      </w:tr>
      <w:tr w:rsidR="00B26AF4" w:rsidRPr="004E2ADC">
        <w:trPr>
          <w:cantSplit/>
          <w:trHeight w:val="210"/>
          <w:tblHeader/>
        </w:trPr>
        <w:tc>
          <w:tcPr>
            <w:tcW w:w="667" w:type="pct"/>
            <w:vMerge/>
            <w:vAlign w:val="center"/>
          </w:tcPr>
          <w:p w:rsidR="00B26AF4" w:rsidRDefault="00B26AF4" w:rsidP="0062665A">
            <w:pPr>
              <w:keepNext/>
              <w:jc w:val="left"/>
              <w:rPr>
                <w:rFonts w:ascii="Arial Narrow" w:hAnsi="Arial Narrow"/>
                <w:b/>
                <w:sz w:val="20"/>
              </w:rPr>
            </w:pPr>
          </w:p>
        </w:tc>
        <w:tc>
          <w:tcPr>
            <w:tcW w:w="750" w:type="pct"/>
            <w:vMerge/>
            <w:vAlign w:val="center"/>
          </w:tcPr>
          <w:p w:rsidR="00B26AF4" w:rsidRDefault="00B26AF4" w:rsidP="0062665A">
            <w:pPr>
              <w:keepNext/>
              <w:jc w:val="center"/>
              <w:rPr>
                <w:rFonts w:ascii="Arial Narrow" w:hAnsi="Arial Narrow"/>
                <w:b/>
                <w:sz w:val="20"/>
              </w:rPr>
            </w:pPr>
          </w:p>
        </w:tc>
        <w:tc>
          <w:tcPr>
            <w:tcW w:w="584" w:type="pct"/>
            <w:vMerge/>
            <w:vAlign w:val="center"/>
          </w:tcPr>
          <w:p w:rsidR="00B26AF4" w:rsidRDefault="00B26AF4" w:rsidP="0062665A">
            <w:pPr>
              <w:keepNext/>
              <w:jc w:val="center"/>
              <w:rPr>
                <w:rFonts w:ascii="Arial Narrow" w:hAnsi="Arial Narrow"/>
                <w:b/>
                <w:sz w:val="20"/>
              </w:rPr>
            </w:pPr>
          </w:p>
        </w:tc>
        <w:tc>
          <w:tcPr>
            <w:tcW w:w="583" w:type="pct"/>
            <w:vMerge/>
            <w:vAlign w:val="center"/>
          </w:tcPr>
          <w:p w:rsidR="00B26AF4" w:rsidRDefault="00B26AF4" w:rsidP="0062665A">
            <w:pPr>
              <w:keepNext/>
              <w:jc w:val="center"/>
              <w:rPr>
                <w:rFonts w:ascii="Arial Narrow" w:hAnsi="Arial Narrow"/>
                <w:b/>
                <w:sz w:val="20"/>
              </w:rPr>
            </w:pPr>
          </w:p>
        </w:tc>
        <w:tc>
          <w:tcPr>
            <w:tcW w:w="834" w:type="pct"/>
            <w:vAlign w:val="center"/>
          </w:tcPr>
          <w:p w:rsidR="00B26AF4" w:rsidRPr="00D7362C" w:rsidRDefault="00B26AF4" w:rsidP="0062665A">
            <w:pPr>
              <w:keepNext/>
              <w:jc w:val="center"/>
              <w:rPr>
                <w:rFonts w:ascii="Arial Narrow" w:hAnsi="Arial Narrow"/>
                <w:b/>
                <w:sz w:val="20"/>
              </w:rPr>
            </w:pPr>
            <w:r>
              <w:rPr>
                <w:rFonts w:ascii="Arial Narrow" w:hAnsi="Arial Narrow"/>
                <w:b/>
                <w:sz w:val="20"/>
              </w:rPr>
              <w:t xml:space="preserve">Adalimumab </w:t>
            </w:r>
            <w:r w:rsidRPr="00B26AF4">
              <w:rPr>
                <w:rFonts w:ascii="Arial Narrow" w:hAnsi="Arial Narrow"/>
                <w:b/>
                <w:sz w:val="20"/>
                <w:vertAlign w:val="superscript"/>
              </w:rPr>
              <w:t>a</w:t>
            </w:r>
          </w:p>
        </w:tc>
        <w:tc>
          <w:tcPr>
            <w:tcW w:w="834" w:type="pct"/>
            <w:vAlign w:val="center"/>
          </w:tcPr>
          <w:p w:rsidR="00B26AF4" w:rsidRPr="00D7362C" w:rsidRDefault="00B26AF4" w:rsidP="0062665A">
            <w:pPr>
              <w:keepNext/>
              <w:jc w:val="center"/>
              <w:rPr>
                <w:rFonts w:ascii="Arial Narrow" w:hAnsi="Arial Narrow"/>
                <w:b/>
                <w:sz w:val="20"/>
              </w:rPr>
            </w:pPr>
            <w:r>
              <w:rPr>
                <w:rFonts w:ascii="Arial Narrow" w:hAnsi="Arial Narrow"/>
                <w:b/>
                <w:sz w:val="20"/>
              </w:rPr>
              <w:t xml:space="preserve">Infliximab </w:t>
            </w:r>
            <w:r w:rsidRPr="00B26AF4">
              <w:rPr>
                <w:rFonts w:ascii="Arial Narrow" w:hAnsi="Arial Narrow"/>
                <w:b/>
                <w:sz w:val="20"/>
                <w:vertAlign w:val="superscript"/>
              </w:rPr>
              <w:t>b</w:t>
            </w:r>
          </w:p>
        </w:tc>
        <w:tc>
          <w:tcPr>
            <w:tcW w:w="748" w:type="pct"/>
            <w:vMerge/>
            <w:vAlign w:val="center"/>
          </w:tcPr>
          <w:p w:rsidR="00B26AF4" w:rsidRDefault="00B26AF4" w:rsidP="0062665A">
            <w:pPr>
              <w:keepNext/>
              <w:jc w:val="center"/>
              <w:rPr>
                <w:rFonts w:ascii="Arial Narrow" w:hAnsi="Arial Narrow"/>
                <w:b/>
                <w:sz w:val="20"/>
              </w:rPr>
            </w:pPr>
          </w:p>
        </w:tc>
      </w:tr>
      <w:tr w:rsidR="000B2C36" w:rsidRPr="004E2ADC">
        <w:trPr>
          <w:cantSplit/>
        </w:trPr>
        <w:tc>
          <w:tcPr>
            <w:tcW w:w="5000" w:type="pct"/>
            <w:gridSpan w:val="7"/>
            <w:vAlign w:val="center"/>
          </w:tcPr>
          <w:p w:rsidR="000B2C36" w:rsidRPr="004E2ADC" w:rsidRDefault="000B2C36" w:rsidP="0062665A">
            <w:pPr>
              <w:keepNext/>
              <w:jc w:val="left"/>
              <w:rPr>
                <w:rFonts w:ascii="Arial Narrow" w:hAnsi="Arial Narrow"/>
                <w:sz w:val="20"/>
              </w:rPr>
            </w:pPr>
            <w:r>
              <w:rPr>
                <w:rFonts w:ascii="Arial Narrow" w:hAnsi="Arial Narrow"/>
                <w:b/>
                <w:sz w:val="20"/>
              </w:rPr>
              <w:t>BENEFITS</w:t>
            </w:r>
          </w:p>
        </w:tc>
      </w:tr>
      <w:tr w:rsidR="00AE4A35" w:rsidRPr="004E2ADC">
        <w:trPr>
          <w:cantSplit/>
        </w:trPr>
        <w:tc>
          <w:tcPr>
            <w:tcW w:w="667" w:type="pct"/>
            <w:vAlign w:val="center"/>
          </w:tcPr>
          <w:p w:rsidR="00AE4A35" w:rsidRPr="00680A59" w:rsidRDefault="00AE4A35" w:rsidP="0062665A">
            <w:pPr>
              <w:keepNext/>
              <w:jc w:val="left"/>
              <w:rPr>
                <w:rFonts w:ascii="Arial Narrow" w:hAnsi="Arial Narrow"/>
                <w:b/>
                <w:sz w:val="20"/>
              </w:rPr>
            </w:pPr>
            <w:r>
              <w:rPr>
                <w:rFonts w:ascii="Arial Narrow" w:hAnsi="Arial Narrow"/>
                <w:b/>
                <w:sz w:val="20"/>
              </w:rPr>
              <w:t>Remission</w:t>
            </w:r>
          </w:p>
        </w:tc>
        <w:tc>
          <w:tcPr>
            <w:tcW w:w="750" w:type="pct"/>
            <w:vAlign w:val="center"/>
          </w:tcPr>
          <w:p w:rsidR="00AE4A35" w:rsidRPr="004E2ADC" w:rsidRDefault="00AE4A35" w:rsidP="0062665A">
            <w:pPr>
              <w:keepNext/>
              <w:jc w:val="center"/>
              <w:rPr>
                <w:rFonts w:ascii="Arial Narrow" w:hAnsi="Arial Narrow"/>
                <w:sz w:val="20"/>
              </w:rPr>
            </w:pPr>
          </w:p>
        </w:tc>
        <w:tc>
          <w:tcPr>
            <w:tcW w:w="584" w:type="pct"/>
            <w:vAlign w:val="center"/>
          </w:tcPr>
          <w:p w:rsidR="00AE4A35" w:rsidRPr="004E2ADC" w:rsidRDefault="00AE4A35" w:rsidP="0062665A">
            <w:pPr>
              <w:keepNext/>
              <w:jc w:val="center"/>
              <w:rPr>
                <w:rFonts w:ascii="Arial Narrow" w:hAnsi="Arial Narrow"/>
                <w:sz w:val="20"/>
              </w:rPr>
            </w:pPr>
          </w:p>
        </w:tc>
        <w:tc>
          <w:tcPr>
            <w:tcW w:w="583" w:type="pct"/>
            <w:vAlign w:val="center"/>
          </w:tcPr>
          <w:p w:rsidR="00AE4A35" w:rsidRPr="004E2ADC" w:rsidRDefault="00AE4A35" w:rsidP="0062665A">
            <w:pPr>
              <w:keepNext/>
              <w:jc w:val="center"/>
              <w:rPr>
                <w:rFonts w:ascii="Arial Narrow" w:hAnsi="Arial Narrow"/>
                <w:sz w:val="20"/>
              </w:rPr>
            </w:pPr>
          </w:p>
        </w:tc>
        <w:tc>
          <w:tcPr>
            <w:tcW w:w="834" w:type="pct"/>
          </w:tcPr>
          <w:p w:rsidR="00AE4A35" w:rsidRPr="004E2ADC" w:rsidRDefault="00AE4A35" w:rsidP="0062665A">
            <w:pPr>
              <w:keepNext/>
              <w:jc w:val="center"/>
              <w:rPr>
                <w:rFonts w:ascii="Arial Narrow" w:hAnsi="Arial Narrow"/>
                <w:sz w:val="20"/>
              </w:rPr>
            </w:pPr>
          </w:p>
        </w:tc>
        <w:tc>
          <w:tcPr>
            <w:tcW w:w="834" w:type="pct"/>
          </w:tcPr>
          <w:p w:rsidR="00AE4A35" w:rsidRPr="004E2ADC" w:rsidRDefault="00AE4A35" w:rsidP="0062665A">
            <w:pPr>
              <w:keepNext/>
              <w:jc w:val="center"/>
              <w:rPr>
                <w:rFonts w:ascii="Arial Narrow" w:hAnsi="Arial Narrow"/>
                <w:sz w:val="20"/>
              </w:rPr>
            </w:pPr>
          </w:p>
        </w:tc>
        <w:tc>
          <w:tcPr>
            <w:tcW w:w="748" w:type="pct"/>
            <w:vAlign w:val="center"/>
          </w:tcPr>
          <w:p w:rsidR="00AE4A35" w:rsidRPr="004E2ADC" w:rsidRDefault="00AE4A35" w:rsidP="0062665A">
            <w:pPr>
              <w:keepNext/>
              <w:jc w:val="center"/>
              <w:rPr>
                <w:rFonts w:ascii="Arial Narrow" w:hAnsi="Arial Narrow"/>
                <w:sz w:val="20"/>
              </w:rPr>
            </w:pPr>
          </w:p>
        </w:tc>
      </w:tr>
      <w:tr w:rsidR="00AE4A35" w:rsidRPr="004E2ADC">
        <w:trPr>
          <w:cantSplit/>
        </w:trPr>
        <w:tc>
          <w:tcPr>
            <w:tcW w:w="667" w:type="pct"/>
            <w:vAlign w:val="center"/>
          </w:tcPr>
          <w:p w:rsidR="00AE4A35" w:rsidRPr="004E2ADC" w:rsidRDefault="00AE4A35" w:rsidP="0062665A">
            <w:pPr>
              <w:keepNext/>
              <w:jc w:val="left"/>
              <w:rPr>
                <w:rFonts w:ascii="Arial Narrow" w:hAnsi="Arial Narrow"/>
                <w:sz w:val="20"/>
              </w:rPr>
            </w:pPr>
            <w:r>
              <w:rPr>
                <w:rFonts w:ascii="Arial Narrow" w:hAnsi="Arial Narrow"/>
                <w:sz w:val="20"/>
              </w:rPr>
              <w:t>Weeks 26-30</w:t>
            </w:r>
          </w:p>
        </w:tc>
        <w:tc>
          <w:tcPr>
            <w:tcW w:w="750"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584" w:type="pct"/>
            <w:vAlign w:val="center"/>
          </w:tcPr>
          <w:p w:rsidR="00AE4A35" w:rsidRPr="004E2ADC" w:rsidRDefault="00AE4A35" w:rsidP="0062665A">
            <w:pPr>
              <w:keepNext/>
              <w:jc w:val="center"/>
              <w:rPr>
                <w:rFonts w:ascii="Arial Narrow" w:hAnsi="Arial Narrow"/>
                <w:sz w:val="20"/>
              </w:rPr>
            </w:pPr>
            <w:r w:rsidRPr="00E16511">
              <w:rPr>
                <w:rFonts w:ascii="Arial Narrow" w:hAnsi="Arial Narrow"/>
                <w:sz w:val="20"/>
              </w:rPr>
              <w:t>31</w:t>
            </w:r>
            <w:r w:rsidR="00D7678A">
              <w:rPr>
                <w:rFonts w:ascii="Arial Narrow" w:hAnsi="Arial Narrow"/>
                <w:sz w:val="20"/>
              </w:rPr>
              <w:t>/52</w:t>
            </w:r>
          </w:p>
        </w:tc>
        <w:tc>
          <w:tcPr>
            <w:tcW w:w="583"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834"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vAlign w:val="center"/>
          </w:tcPr>
          <w:p w:rsidR="00AE4A35" w:rsidRPr="004E2ADC" w:rsidRDefault="005B5BA7" w:rsidP="0062665A">
            <w:pPr>
              <w:keepNext/>
              <w:jc w:val="center"/>
              <w:rPr>
                <w:rFonts w:ascii="Arial Narrow" w:hAnsi="Arial Narrow"/>
                <w:sz w:val="20"/>
              </w:rPr>
            </w:pPr>
            <w:r>
              <w:rPr>
                <w:rFonts w:ascii="Arial Narrow" w:hAnsi="Arial Narrow"/>
                <w:sz w:val="20"/>
              </w:rPr>
              <w:t>59.6</w:t>
            </w:r>
          </w:p>
        </w:tc>
        <w:tc>
          <w:tcPr>
            <w:tcW w:w="748"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r>
      <w:tr w:rsidR="00AE4A35" w:rsidRPr="004E2ADC">
        <w:trPr>
          <w:cantSplit/>
        </w:trPr>
        <w:tc>
          <w:tcPr>
            <w:tcW w:w="667" w:type="pct"/>
            <w:vAlign w:val="center"/>
          </w:tcPr>
          <w:p w:rsidR="00AE4A35" w:rsidRPr="004E2ADC" w:rsidRDefault="00AE4A35" w:rsidP="0062665A">
            <w:pPr>
              <w:keepNext/>
              <w:jc w:val="left"/>
              <w:rPr>
                <w:rFonts w:ascii="Arial Narrow" w:hAnsi="Arial Narrow"/>
                <w:sz w:val="20"/>
              </w:rPr>
            </w:pPr>
            <w:r w:rsidRPr="00184B55">
              <w:rPr>
                <w:rFonts w:ascii="Arial Narrow" w:hAnsi="Arial Narrow"/>
                <w:sz w:val="20"/>
              </w:rPr>
              <w:t>Weeks 52-54</w:t>
            </w:r>
          </w:p>
        </w:tc>
        <w:tc>
          <w:tcPr>
            <w:tcW w:w="750"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584" w:type="pct"/>
            <w:vAlign w:val="center"/>
          </w:tcPr>
          <w:p w:rsidR="00AE4A35" w:rsidRPr="004E2ADC" w:rsidRDefault="00AE4A35" w:rsidP="0062665A">
            <w:pPr>
              <w:keepNext/>
              <w:jc w:val="center"/>
              <w:rPr>
                <w:rFonts w:ascii="Arial Narrow" w:hAnsi="Arial Narrow"/>
                <w:sz w:val="20"/>
              </w:rPr>
            </w:pPr>
            <w:r w:rsidRPr="00E16511">
              <w:rPr>
                <w:rFonts w:ascii="Arial Narrow" w:hAnsi="Arial Narrow"/>
                <w:sz w:val="20"/>
              </w:rPr>
              <w:t>29</w:t>
            </w:r>
            <w:r w:rsidR="00D7678A">
              <w:rPr>
                <w:rFonts w:ascii="Arial Narrow" w:hAnsi="Arial Narrow"/>
                <w:sz w:val="20"/>
              </w:rPr>
              <w:t>/52</w:t>
            </w:r>
          </w:p>
        </w:tc>
        <w:tc>
          <w:tcPr>
            <w:tcW w:w="583"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834"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vAlign w:val="center"/>
          </w:tcPr>
          <w:p w:rsidR="00AE4A35" w:rsidRPr="004E2ADC" w:rsidRDefault="005B5BA7" w:rsidP="0062665A">
            <w:pPr>
              <w:keepNext/>
              <w:jc w:val="center"/>
              <w:rPr>
                <w:rFonts w:ascii="Arial Narrow" w:hAnsi="Arial Narrow"/>
                <w:sz w:val="20"/>
              </w:rPr>
            </w:pPr>
            <w:r>
              <w:rPr>
                <w:rFonts w:ascii="Arial Narrow" w:hAnsi="Arial Narrow"/>
                <w:sz w:val="20"/>
              </w:rPr>
              <w:t>55.8</w:t>
            </w:r>
          </w:p>
        </w:tc>
        <w:tc>
          <w:tcPr>
            <w:tcW w:w="748"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r>
      <w:tr w:rsidR="00AE4A35" w:rsidRPr="004E2ADC">
        <w:trPr>
          <w:cantSplit/>
        </w:trPr>
        <w:tc>
          <w:tcPr>
            <w:tcW w:w="667" w:type="pct"/>
            <w:vAlign w:val="center"/>
          </w:tcPr>
          <w:p w:rsidR="00AE4A35" w:rsidRPr="00680A59" w:rsidRDefault="00AE4A35" w:rsidP="0062665A">
            <w:pPr>
              <w:keepNext/>
              <w:jc w:val="left"/>
              <w:rPr>
                <w:rFonts w:ascii="Arial Narrow" w:hAnsi="Arial Narrow"/>
                <w:b/>
                <w:sz w:val="20"/>
              </w:rPr>
            </w:pPr>
            <w:r>
              <w:rPr>
                <w:rFonts w:ascii="Arial Narrow" w:hAnsi="Arial Narrow"/>
                <w:b/>
                <w:sz w:val="20"/>
              </w:rPr>
              <w:t>Response</w:t>
            </w:r>
          </w:p>
        </w:tc>
        <w:tc>
          <w:tcPr>
            <w:tcW w:w="750" w:type="pct"/>
            <w:vAlign w:val="center"/>
          </w:tcPr>
          <w:p w:rsidR="00AE4A35" w:rsidRPr="004E2ADC" w:rsidRDefault="00AE4A35" w:rsidP="0062665A">
            <w:pPr>
              <w:keepNext/>
              <w:jc w:val="center"/>
              <w:rPr>
                <w:rFonts w:ascii="Arial Narrow" w:hAnsi="Arial Narrow"/>
                <w:sz w:val="20"/>
              </w:rPr>
            </w:pPr>
          </w:p>
        </w:tc>
        <w:tc>
          <w:tcPr>
            <w:tcW w:w="584" w:type="pct"/>
            <w:vAlign w:val="center"/>
          </w:tcPr>
          <w:p w:rsidR="00AE4A35" w:rsidRPr="004E2ADC" w:rsidRDefault="00AE4A35" w:rsidP="0062665A">
            <w:pPr>
              <w:keepNext/>
              <w:jc w:val="center"/>
              <w:rPr>
                <w:rFonts w:ascii="Arial Narrow" w:hAnsi="Arial Narrow"/>
                <w:sz w:val="20"/>
              </w:rPr>
            </w:pPr>
          </w:p>
        </w:tc>
        <w:tc>
          <w:tcPr>
            <w:tcW w:w="583" w:type="pct"/>
            <w:vAlign w:val="center"/>
          </w:tcPr>
          <w:p w:rsidR="00AE4A35" w:rsidRPr="004E2ADC" w:rsidRDefault="00AE4A35" w:rsidP="0062665A">
            <w:pPr>
              <w:keepNext/>
              <w:jc w:val="center"/>
              <w:rPr>
                <w:rFonts w:ascii="Arial Narrow" w:hAnsi="Arial Narrow"/>
                <w:sz w:val="20"/>
              </w:rPr>
            </w:pPr>
          </w:p>
        </w:tc>
        <w:tc>
          <w:tcPr>
            <w:tcW w:w="834" w:type="pct"/>
          </w:tcPr>
          <w:p w:rsidR="00AE4A35" w:rsidRPr="004E2ADC" w:rsidRDefault="00AE4A35" w:rsidP="0062665A">
            <w:pPr>
              <w:keepNext/>
              <w:jc w:val="center"/>
              <w:rPr>
                <w:rFonts w:ascii="Arial Narrow" w:hAnsi="Arial Narrow"/>
                <w:sz w:val="20"/>
              </w:rPr>
            </w:pPr>
          </w:p>
        </w:tc>
        <w:tc>
          <w:tcPr>
            <w:tcW w:w="834" w:type="pct"/>
          </w:tcPr>
          <w:p w:rsidR="00AE4A35" w:rsidRPr="004E2ADC" w:rsidRDefault="00AE4A35" w:rsidP="0062665A">
            <w:pPr>
              <w:keepNext/>
              <w:jc w:val="center"/>
              <w:rPr>
                <w:rFonts w:ascii="Arial Narrow" w:hAnsi="Arial Narrow"/>
                <w:sz w:val="20"/>
              </w:rPr>
            </w:pPr>
          </w:p>
        </w:tc>
        <w:tc>
          <w:tcPr>
            <w:tcW w:w="748" w:type="pct"/>
            <w:vAlign w:val="center"/>
          </w:tcPr>
          <w:p w:rsidR="00AE4A35" w:rsidRPr="004E2ADC" w:rsidRDefault="00AE4A35" w:rsidP="0062665A">
            <w:pPr>
              <w:keepNext/>
              <w:jc w:val="center"/>
              <w:rPr>
                <w:rFonts w:ascii="Arial Narrow" w:hAnsi="Arial Narrow"/>
                <w:sz w:val="20"/>
              </w:rPr>
            </w:pPr>
          </w:p>
        </w:tc>
      </w:tr>
      <w:tr w:rsidR="00AE4A35" w:rsidRPr="004E2ADC">
        <w:trPr>
          <w:cantSplit/>
        </w:trPr>
        <w:tc>
          <w:tcPr>
            <w:tcW w:w="667" w:type="pct"/>
            <w:vAlign w:val="center"/>
          </w:tcPr>
          <w:p w:rsidR="00AE4A35" w:rsidRPr="004E2ADC" w:rsidRDefault="00AE4A35" w:rsidP="0062665A">
            <w:pPr>
              <w:keepNext/>
              <w:jc w:val="left"/>
              <w:rPr>
                <w:rFonts w:ascii="Arial Narrow" w:hAnsi="Arial Narrow"/>
                <w:sz w:val="20"/>
              </w:rPr>
            </w:pPr>
            <w:r>
              <w:rPr>
                <w:rFonts w:ascii="Arial Narrow" w:hAnsi="Arial Narrow"/>
                <w:sz w:val="20"/>
              </w:rPr>
              <w:t>Weeks 26-30</w:t>
            </w:r>
          </w:p>
        </w:tc>
        <w:tc>
          <w:tcPr>
            <w:tcW w:w="750"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584" w:type="pct"/>
            <w:vAlign w:val="center"/>
          </w:tcPr>
          <w:p w:rsidR="00AE4A35" w:rsidRPr="004E2ADC" w:rsidRDefault="00AE4A35" w:rsidP="0062665A">
            <w:pPr>
              <w:keepNext/>
              <w:jc w:val="center"/>
              <w:rPr>
                <w:rFonts w:ascii="Arial Narrow" w:hAnsi="Arial Narrow"/>
                <w:sz w:val="20"/>
              </w:rPr>
            </w:pPr>
            <w:r w:rsidRPr="00E16511">
              <w:rPr>
                <w:rFonts w:ascii="Arial Narrow" w:hAnsi="Arial Narrow"/>
                <w:sz w:val="20"/>
              </w:rPr>
              <w:t>38</w:t>
            </w:r>
            <w:r w:rsidR="00D7678A">
              <w:rPr>
                <w:rFonts w:ascii="Arial Narrow" w:hAnsi="Arial Narrow"/>
                <w:sz w:val="20"/>
              </w:rPr>
              <w:t>/52</w:t>
            </w:r>
          </w:p>
        </w:tc>
        <w:tc>
          <w:tcPr>
            <w:tcW w:w="583"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834"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vAlign w:val="center"/>
          </w:tcPr>
          <w:p w:rsidR="00AE4A35" w:rsidRPr="004E2ADC" w:rsidRDefault="005B5BA7" w:rsidP="0062665A">
            <w:pPr>
              <w:keepNext/>
              <w:jc w:val="center"/>
              <w:rPr>
                <w:rFonts w:ascii="Arial Narrow" w:hAnsi="Arial Narrow"/>
                <w:sz w:val="20"/>
              </w:rPr>
            </w:pPr>
            <w:r>
              <w:rPr>
                <w:rFonts w:ascii="Arial Narrow" w:hAnsi="Arial Narrow"/>
                <w:sz w:val="20"/>
              </w:rPr>
              <w:t>73.1</w:t>
            </w:r>
          </w:p>
        </w:tc>
        <w:tc>
          <w:tcPr>
            <w:tcW w:w="748"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r>
      <w:tr w:rsidR="00AE4A35" w:rsidRPr="004E2ADC">
        <w:trPr>
          <w:cantSplit/>
        </w:trPr>
        <w:tc>
          <w:tcPr>
            <w:tcW w:w="667" w:type="pct"/>
            <w:tcBorders>
              <w:bottom w:val="single" w:sz="4" w:space="0" w:color="auto"/>
            </w:tcBorders>
            <w:vAlign w:val="center"/>
          </w:tcPr>
          <w:p w:rsidR="00AE4A35" w:rsidRPr="004E2ADC" w:rsidRDefault="00AE4A35" w:rsidP="0062665A">
            <w:pPr>
              <w:keepNext/>
              <w:jc w:val="left"/>
              <w:rPr>
                <w:rFonts w:ascii="Arial Narrow" w:hAnsi="Arial Narrow"/>
                <w:sz w:val="20"/>
              </w:rPr>
            </w:pPr>
            <w:r w:rsidRPr="00184B55">
              <w:rPr>
                <w:rFonts w:ascii="Arial Narrow" w:hAnsi="Arial Narrow"/>
                <w:sz w:val="20"/>
              </w:rPr>
              <w:t>Weeks 52-54</w:t>
            </w:r>
          </w:p>
        </w:tc>
        <w:tc>
          <w:tcPr>
            <w:tcW w:w="750" w:type="pct"/>
            <w:tcBorders>
              <w:bottom w:val="single" w:sz="4" w:space="0" w:color="auto"/>
            </w:tcBorders>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584" w:type="pct"/>
            <w:tcBorders>
              <w:bottom w:val="single" w:sz="4" w:space="0" w:color="auto"/>
            </w:tcBorders>
            <w:vAlign w:val="center"/>
          </w:tcPr>
          <w:p w:rsidR="00AE4A35" w:rsidRPr="004E2ADC" w:rsidRDefault="00AE4A35" w:rsidP="0062665A">
            <w:pPr>
              <w:keepNext/>
              <w:jc w:val="center"/>
              <w:rPr>
                <w:rFonts w:ascii="Arial Narrow" w:hAnsi="Arial Narrow"/>
                <w:sz w:val="20"/>
              </w:rPr>
            </w:pPr>
            <w:r w:rsidRPr="00E16511">
              <w:rPr>
                <w:rFonts w:ascii="Arial Narrow" w:hAnsi="Arial Narrow"/>
                <w:sz w:val="20"/>
              </w:rPr>
              <w:t>33</w:t>
            </w:r>
            <w:r w:rsidR="00D7678A">
              <w:rPr>
                <w:rFonts w:ascii="Arial Narrow" w:hAnsi="Arial Narrow"/>
                <w:sz w:val="20"/>
              </w:rPr>
              <w:t>/52</w:t>
            </w:r>
          </w:p>
        </w:tc>
        <w:tc>
          <w:tcPr>
            <w:tcW w:w="583" w:type="pct"/>
            <w:tcBorders>
              <w:bottom w:val="single" w:sz="4" w:space="0" w:color="auto"/>
            </w:tcBorders>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c>
          <w:tcPr>
            <w:tcW w:w="834" w:type="pct"/>
            <w:tcBorders>
              <w:bottom w:val="single" w:sz="4" w:space="0" w:color="auto"/>
            </w:tcBorders>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tcBorders>
              <w:bottom w:val="single" w:sz="4" w:space="0" w:color="auto"/>
            </w:tcBorders>
            <w:vAlign w:val="center"/>
          </w:tcPr>
          <w:p w:rsidR="00AE4A35" w:rsidRPr="004E2ADC" w:rsidRDefault="005B5BA7" w:rsidP="0062665A">
            <w:pPr>
              <w:keepNext/>
              <w:jc w:val="center"/>
              <w:rPr>
                <w:rFonts w:ascii="Arial Narrow" w:hAnsi="Arial Narrow"/>
                <w:sz w:val="20"/>
              </w:rPr>
            </w:pPr>
            <w:r>
              <w:rPr>
                <w:rFonts w:ascii="Arial Narrow" w:hAnsi="Arial Narrow"/>
                <w:sz w:val="20"/>
              </w:rPr>
              <w:t>63.5</w:t>
            </w:r>
          </w:p>
        </w:tc>
        <w:tc>
          <w:tcPr>
            <w:tcW w:w="748" w:type="pct"/>
            <w:tcBorders>
              <w:bottom w:val="single" w:sz="4" w:space="0" w:color="auto"/>
            </w:tcBorders>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xml:space="preserve">'''''''''''' </w:t>
            </w:r>
            <w:r>
              <w:rPr>
                <w:rFonts w:ascii="Arial Narrow" w:hAnsi="Arial Narrow"/>
                <w:noProof/>
                <w:color w:val="000000"/>
                <w:sz w:val="20"/>
                <w:highlight w:val="black"/>
              </w:rPr>
              <w:br/>
              <w:t>''''''''''''''' '''''''''''</w:t>
            </w:r>
          </w:p>
        </w:tc>
      </w:tr>
      <w:tr w:rsidR="000B2C36" w:rsidRPr="004E2ADC">
        <w:trPr>
          <w:cantSplit/>
        </w:trPr>
        <w:tc>
          <w:tcPr>
            <w:tcW w:w="5000" w:type="pct"/>
            <w:gridSpan w:val="7"/>
            <w:tcBorders>
              <w:top w:val="single" w:sz="4" w:space="0" w:color="auto"/>
              <w:bottom w:val="single" w:sz="4" w:space="0" w:color="auto"/>
            </w:tcBorders>
            <w:vAlign w:val="center"/>
          </w:tcPr>
          <w:p w:rsidR="000B2C36" w:rsidRPr="004E2ADC" w:rsidRDefault="000B2C36" w:rsidP="0062665A">
            <w:pPr>
              <w:keepNext/>
              <w:jc w:val="left"/>
              <w:rPr>
                <w:rFonts w:ascii="Arial Narrow" w:hAnsi="Arial Narrow"/>
                <w:sz w:val="20"/>
              </w:rPr>
            </w:pPr>
            <w:r w:rsidRPr="00841AC1">
              <w:rPr>
                <w:rFonts w:ascii="Arial Narrow" w:hAnsi="Arial Narrow"/>
                <w:b/>
                <w:sz w:val="20"/>
              </w:rPr>
              <w:t>HARMS</w:t>
            </w:r>
          </w:p>
        </w:tc>
      </w:tr>
      <w:tr w:rsidR="00AE4A35" w:rsidRPr="004E2ADC">
        <w:trPr>
          <w:cantSplit/>
        </w:trPr>
        <w:tc>
          <w:tcPr>
            <w:tcW w:w="667" w:type="pct"/>
            <w:tcBorders>
              <w:top w:val="single" w:sz="4" w:space="0" w:color="auto"/>
            </w:tcBorders>
            <w:vAlign w:val="center"/>
          </w:tcPr>
          <w:p w:rsidR="00AE4A35" w:rsidRPr="009B2447" w:rsidRDefault="00AE4A35" w:rsidP="0062665A">
            <w:pPr>
              <w:keepNext/>
              <w:jc w:val="left"/>
              <w:rPr>
                <w:rFonts w:ascii="Arial Narrow" w:hAnsi="Arial Narrow"/>
                <w:sz w:val="20"/>
              </w:rPr>
            </w:pPr>
            <w:r w:rsidRPr="009B2447">
              <w:rPr>
                <w:rFonts w:ascii="Arial Narrow" w:hAnsi="Arial Narrow"/>
                <w:sz w:val="20"/>
              </w:rPr>
              <w:t>Serious AEs</w:t>
            </w:r>
          </w:p>
        </w:tc>
        <w:tc>
          <w:tcPr>
            <w:tcW w:w="750"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tc>
        <w:tc>
          <w:tcPr>
            <w:tcW w:w="584" w:type="pct"/>
            <w:tcBorders>
              <w:top w:val="single" w:sz="4" w:space="0" w:color="auto"/>
            </w:tcBorders>
            <w:vAlign w:val="center"/>
          </w:tcPr>
          <w:p w:rsidR="00AE4A35" w:rsidRPr="00431EC2" w:rsidRDefault="00AE4A35" w:rsidP="0062665A">
            <w:pPr>
              <w:keepNext/>
              <w:tabs>
                <w:tab w:val="left" w:pos="150"/>
              </w:tabs>
              <w:jc w:val="center"/>
              <w:rPr>
                <w:rFonts w:ascii="Arial Narrow" w:hAnsi="Arial Narrow"/>
                <w:sz w:val="20"/>
              </w:rPr>
            </w:pPr>
            <w:r>
              <w:rPr>
                <w:rFonts w:ascii="Arial Narrow" w:hAnsi="Arial Narrow"/>
                <w:sz w:val="20"/>
              </w:rPr>
              <w:t>8</w:t>
            </w:r>
            <w:r w:rsidR="00D7678A">
              <w:rPr>
                <w:rFonts w:ascii="Arial Narrow" w:hAnsi="Arial Narrow"/>
                <w:sz w:val="20"/>
              </w:rPr>
              <w:t>/53</w:t>
            </w:r>
          </w:p>
        </w:tc>
        <w:tc>
          <w:tcPr>
            <w:tcW w:w="583"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w:t>
            </w:r>
          </w:p>
        </w:tc>
        <w:tc>
          <w:tcPr>
            <w:tcW w:w="834"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vAlign w:val="center"/>
          </w:tcPr>
          <w:p w:rsidR="00AE4A35" w:rsidRPr="004E2ADC" w:rsidRDefault="005B5BA7" w:rsidP="0062665A">
            <w:pPr>
              <w:keepNext/>
              <w:jc w:val="center"/>
              <w:rPr>
                <w:rFonts w:ascii="Arial Narrow" w:hAnsi="Arial Narrow"/>
                <w:sz w:val="20"/>
              </w:rPr>
            </w:pPr>
            <w:r>
              <w:rPr>
                <w:rFonts w:ascii="Arial Narrow" w:hAnsi="Arial Narrow"/>
                <w:sz w:val="20"/>
              </w:rPr>
              <w:t>15</w:t>
            </w:r>
          </w:p>
        </w:tc>
        <w:tc>
          <w:tcPr>
            <w:tcW w:w="748"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w:t>
            </w:r>
          </w:p>
        </w:tc>
      </w:tr>
      <w:tr w:rsidR="00AE4A35" w:rsidRPr="004E2ADC">
        <w:trPr>
          <w:cantSplit/>
        </w:trPr>
        <w:tc>
          <w:tcPr>
            <w:tcW w:w="667" w:type="pct"/>
            <w:tcBorders>
              <w:top w:val="single" w:sz="4" w:space="0" w:color="auto"/>
            </w:tcBorders>
            <w:vAlign w:val="center"/>
          </w:tcPr>
          <w:p w:rsidR="00AE4A35" w:rsidRPr="009B2447" w:rsidRDefault="00AE4A35" w:rsidP="0062665A">
            <w:pPr>
              <w:keepNext/>
              <w:jc w:val="left"/>
              <w:rPr>
                <w:rFonts w:ascii="Arial Narrow" w:hAnsi="Arial Narrow"/>
                <w:sz w:val="20"/>
              </w:rPr>
            </w:pPr>
            <w:r w:rsidRPr="009B2447">
              <w:rPr>
                <w:rFonts w:ascii="Arial Narrow" w:hAnsi="Arial Narrow"/>
                <w:sz w:val="20"/>
              </w:rPr>
              <w:t>Infectious AEs</w:t>
            </w:r>
          </w:p>
        </w:tc>
        <w:tc>
          <w:tcPr>
            <w:tcW w:w="750"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tc>
        <w:tc>
          <w:tcPr>
            <w:tcW w:w="584" w:type="pct"/>
            <w:tcBorders>
              <w:top w:val="single" w:sz="4" w:space="0" w:color="auto"/>
            </w:tcBorders>
            <w:vAlign w:val="center"/>
          </w:tcPr>
          <w:p w:rsidR="00AE4A35" w:rsidRPr="00431EC2" w:rsidRDefault="00AE4A35" w:rsidP="0062665A">
            <w:pPr>
              <w:keepNext/>
              <w:tabs>
                <w:tab w:val="left" w:pos="150"/>
              </w:tabs>
              <w:jc w:val="center"/>
              <w:rPr>
                <w:rFonts w:ascii="Arial Narrow" w:hAnsi="Arial Narrow"/>
                <w:sz w:val="20"/>
              </w:rPr>
            </w:pPr>
            <w:r w:rsidRPr="00431EC2">
              <w:rPr>
                <w:rFonts w:ascii="Arial Narrow" w:hAnsi="Arial Narrow"/>
                <w:sz w:val="20"/>
              </w:rPr>
              <w:t>39</w:t>
            </w:r>
            <w:r w:rsidR="00D7678A">
              <w:rPr>
                <w:rFonts w:ascii="Arial Narrow" w:hAnsi="Arial Narrow"/>
                <w:sz w:val="20"/>
              </w:rPr>
              <w:t>/53</w:t>
            </w:r>
          </w:p>
        </w:tc>
        <w:tc>
          <w:tcPr>
            <w:tcW w:w="583"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w:t>
            </w:r>
          </w:p>
        </w:tc>
        <w:tc>
          <w:tcPr>
            <w:tcW w:w="834"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vAlign w:val="center"/>
          </w:tcPr>
          <w:p w:rsidR="00AE4A35" w:rsidRPr="004E2ADC" w:rsidRDefault="005B5BA7" w:rsidP="0062665A">
            <w:pPr>
              <w:keepNext/>
              <w:jc w:val="center"/>
              <w:rPr>
                <w:rFonts w:ascii="Arial Narrow" w:hAnsi="Arial Narrow"/>
                <w:sz w:val="20"/>
              </w:rPr>
            </w:pPr>
            <w:r>
              <w:rPr>
                <w:rFonts w:ascii="Arial Narrow" w:hAnsi="Arial Narrow"/>
                <w:sz w:val="20"/>
              </w:rPr>
              <w:t>74</w:t>
            </w:r>
          </w:p>
        </w:tc>
        <w:tc>
          <w:tcPr>
            <w:tcW w:w="748"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w:t>
            </w:r>
          </w:p>
        </w:tc>
      </w:tr>
      <w:tr w:rsidR="00AE4A35" w:rsidRPr="004E2ADC">
        <w:trPr>
          <w:cantSplit/>
        </w:trPr>
        <w:tc>
          <w:tcPr>
            <w:tcW w:w="667" w:type="pct"/>
            <w:tcBorders>
              <w:top w:val="single" w:sz="4" w:space="0" w:color="auto"/>
            </w:tcBorders>
            <w:vAlign w:val="center"/>
          </w:tcPr>
          <w:p w:rsidR="00AE4A35" w:rsidRPr="009B2447" w:rsidRDefault="00AE4A35" w:rsidP="0062665A">
            <w:pPr>
              <w:keepNext/>
              <w:jc w:val="left"/>
              <w:rPr>
                <w:rFonts w:ascii="Arial Narrow" w:hAnsi="Arial Narrow"/>
                <w:sz w:val="20"/>
              </w:rPr>
            </w:pPr>
            <w:r w:rsidRPr="009B2447">
              <w:rPr>
                <w:rFonts w:ascii="Arial Narrow" w:hAnsi="Arial Narrow"/>
                <w:sz w:val="20"/>
              </w:rPr>
              <w:t>Injection-site related AEs</w:t>
            </w:r>
          </w:p>
        </w:tc>
        <w:tc>
          <w:tcPr>
            <w:tcW w:w="750"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tc>
        <w:tc>
          <w:tcPr>
            <w:tcW w:w="584" w:type="pct"/>
            <w:tcBorders>
              <w:top w:val="single" w:sz="4" w:space="0" w:color="auto"/>
            </w:tcBorders>
            <w:vAlign w:val="center"/>
          </w:tcPr>
          <w:p w:rsidR="00AE4A35" w:rsidRPr="00360ABE" w:rsidRDefault="00AE4A35" w:rsidP="0062665A">
            <w:pPr>
              <w:keepNext/>
              <w:tabs>
                <w:tab w:val="left" w:pos="150"/>
              </w:tabs>
              <w:jc w:val="center"/>
              <w:rPr>
                <w:rFonts w:ascii="Arial Narrow" w:hAnsi="Arial Narrow"/>
                <w:sz w:val="20"/>
              </w:rPr>
            </w:pPr>
            <w:r w:rsidRPr="00360ABE">
              <w:rPr>
                <w:rFonts w:ascii="Arial Narrow" w:hAnsi="Arial Narrow"/>
                <w:sz w:val="20"/>
              </w:rPr>
              <w:t>9</w:t>
            </w:r>
            <w:r w:rsidR="00D7678A">
              <w:rPr>
                <w:rFonts w:ascii="Arial Narrow" w:hAnsi="Arial Narrow"/>
                <w:sz w:val="20"/>
              </w:rPr>
              <w:t>/53</w:t>
            </w:r>
          </w:p>
        </w:tc>
        <w:tc>
          <w:tcPr>
            <w:tcW w:w="583"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w:t>
            </w:r>
          </w:p>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w:t>
            </w:r>
          </w:p>
        </w:tc>
        <w:tc>
          <w:tcPr>
            <w:tcW w:w="834" w:type="pct"/>
            <w:vAlign w:val="center"/>
          </w:tcPr>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w:t>
            </w:r>
          </w:p>
        </w:tc>
        <w:tc>
          <w:tcPr>
            <w:tcW w:w="834" w:type="pct"/>
            <w:vAlign w:val="center"/>
          </w:tcPr>
          <w:p w:rsidR="00AE4A35" w:rsidRPr="00360ABE" w:rsidRDefault="005B5BA7" w:rsidP="0062665A">
            <w:pPr>
              <w:keepNext/>
              <w:jc w:val="center"/>
              <w:rPr>
                <w:rFonts w:ascii="Arial Narrow" w:hAnsi="Arial Narrow"/>
                <w:sz w:val="20"/>
              </w:rPr>
            </w:pPr>
            <w:r w:rsidRPr="00360ABE">
              <w:rPr>
                <w:rFonts w:ascii="Arial Narrow" w:hAnsi="Arial Narrow"/>
                <w:sz w:val="20"/>
              </w:rPr>
              <w:t>17</w:t>
            </w:r>
          </w:p>
        </w:tc>
        <w:tc>
          <w:tcPr>
            <w:tcW w:w="748" w:type="pct"/>
            <w:tcBorders>
              <w:top w:val="single" w:sz="4" w:space="0" w:color="auto"/>
            </w:tcBorders>
            <w:vAlign w:val="center"/>
          </w:tcPr>
          <w:p w:rsidR="00AE4A35" w:rsidRPr="00042C6A" w:rsidRDefault="00042C6A" w:rsidP="0062665A">
            <w:pPr>
              <w:keepNext/>
              <w:tabs>
                <w:tab w:val="left" w:pos="150"/>
              </w:tabs>
              <w:jc w:val="center"/>
              <w:rPr>
                <w:rFonts w:ascii="Arial Narrow" w:hAnsi="Arial Narrow"/>
                <w:sz w:val="20"/>
                <w:highlight w:val="black"/>
              </w:rPr>
            </w:pPr>
            <w:r>
              <w:rPr>
                <w:rFonts w:ascii="Arial Narrow" w:hAnsi="Arial Narrow"/>
                <w:noProof/>
                <w:color w:val="000000"/>
                <w:sz w:val="20"/>
                <w:highlight w:val="black"/>
              </w:rPr>
              <w:t xml:space="preserve">'''''''''''''' </w:t>
            </w:r>
          </w:p>
          <w:p w:rsidR="00AE4A35" w:rsidRPr="00042C6A" w:rsidRDefault="00042C6A" w:rsidP="0062665A">
            <w:pPr>
              <w:keepNext/>
              <w:jc w:val="center"/>
              <w:rPr>
                <w:rFonts w:ascii="Arial Narrow" w:hAnsi="Arial Narrow"/>
                <w:sz w:val="20"/>
                <w:highlight w:val="black"/>
              </w:rPr>
            </w:pPr>
            <w:r>
              <w:rPr>
                <w:rFonts w:ascii="Arial Narrow" w:hAnsi="Arial Narrow"/>
                <w:noProof/>
                <w:color w:val="000000"/>
                <w:sz w:val="20"/>
                <w:highlight w:val="black"/>
              </w:rPr>
              <w:t>''''''''''''''' '''''''''</w:t>
            </w:r>
          </w:p>
        </w:tc>
      </w:tr>
    </w:tbl>
    <w:p w:rsidR="00C501B2" w:rsidRDefault="00C501B2" w:rsidP="0062665A">
      <w:pPr>
        <w:pStyle w:val="TableFooter"/>
        <w:keepNext/>
        <w:ind w:left="709"/>
      </w:pPr>
      <w:r w:rsidRPr="00D13A3E">
        <w:t xml:space="preserve">Source: </w:t>
      </w:r>
      <w:r>
        <w:t>Tables B.6.7</w:t>
      </w:r>
      <w:r w:rsidR="004D5254">
        <w:t>,</w:t>
      </w:r>
      <w:r>
        <w:t xml:space="preserve"> B.6.8</w:t>
      </w:r>
      <w:r w:rsidR="004D5254">
        <w:t>, B.6.12</w:t>
      </w:r>
      <w:r>
        <w:t xml:space="preserve"> p</w:t>
      </w:r>
      <w:r w:rsidR="004D5254">
        <w:t>p</w:t>
      </w:r>
      <w:r>
        <w:t>.97-98</w:t>
      </w:r>
      <w:r w:rsidR="004D5254">
        <w:t>, 102</w:t>
      </w:r>
      <w:r>
        <w:t xml:space="preserve"> of the submission; Attachment 4 to the submission (excel spreadsheet);</w:t>
      </w:r>
    </w:p>
    <w:p w:rsidR="00C501B2" w:rsidRDefault="00C501B2" w:rsidP="0062665A">
      <w:pPr>
        <w:pStyle w:val="TableFooter"/>
        <w:keepNext/>
        <w:ind w:left="709"/>
      </w:pPr>
      <w:r>
        <w:t>RD</w:t>
      </w:r>
      <w:r w:rsidR="00F72DA2">
        <w:t xml:space="preserve"> =</w:t>
      </w:r>
      <w:r>
        <w:t xml:space="preserve"> r</w:t>
      </w:r>
      <w:r w:rsidRPr="00D7362C">
        <w:t>isk di</w:t>
      </w:r>
      <w:r>
        <w:t>f</w:t>
      </w:r>
      <w:r w:rsidRPr="00D7362C">
        <w:t>ference</w:t>
      </w:r>
      <w:r>
        <w:t xml:space="preserve">; RR </w:t>
      </w:r>
      <w:r w:rsidR="0050048C">
        <w:t xml:space="preserve">= </w:t>
      </w:r>
      <w:r>
        <w:t>r</w:t>
      </w:r>
      <w:r w:rsidRPr="00D7362C">
        <w:t>elative risk</w:t>
      </w:r>
      <w:r>
        <w:t>; CI = confidence interval</w:t>
      </w:r>
      <w:r w:rsidR="00360ABE">
        <w:t>;</w:t>
      </w:r>
      <w:r>
        <w:t xml:space="preserve"> ITT = intent-to-treat;</w:t>
      </w:r>
      <w:r w:rsidR="00360ABE">
        <w:t xml:space="preserve"> AE = adverse event;</w:t>
      </w:r>
    </w:p>
    <w:p w:rsidR="00280BFD" w:rsidRDefault="00280BFD" w:rsidP="0062665A">
      <w:pPr>
        <w:pStyle w:val="TableFooter"/>
        <w:keepNext/>
        <w:ind w:left="709"/>
      </w:pPr>
      <w:r>
        <w:t xml:space="preserve">* </w:t>
      </w:r>
      <w:proofErr w:type="gramStart"/>
      <w:r w:rsidR="008B156F">
        <w:t>maximum</w:t>
      </w:r>
      <w:proofErr w:type="gramEnd"/>
      <w:r w:rsidR="008B156F">
        <w:t xml:space="preserve"> treatment duration 52 weeks for </w:t>
      </w:r>
      <w:r>
        <w:t xml:space="preserve">adalimumab </w:t>
      </w:r>
      <w:r w:rsidR="008B156F">
        <w:t>and 54 weeks for infliximab.</w:t>
      </w:r>
    </w:p>
    <w:p w:rsidR="00B26AF4" w:rsidRDefault="00B26AF4" w:rsidP="0062665A">
      <w:pPr>
        <w:pStyle w:val="TableFooter"/>
        <w:keepNext/>
        <w:ind w:left="709"/>
      </w:pPr>
      <w:proofErr w:type="gramStart"/>
      <w:r w:rsidRPr="00B26AF4">
        <w:rPr>
          <w:vertAlign w:val="superscript"/>
        </w:rPr>
        <w:t>a</w:t>
      </w:r>
      <w:proofErr w:type="gramEnd"/>
      <w:r>
        <w:t xml:space="preserve"> Post hoc subgroup of the high dose adalimumab arm of IMAGINE-1, which included infliximab naïve patients who responded at four weeks</w:t>
      </w:r>
    </w:p>
    <w:p w:rsidR="00B26AF4" w:rsidRDefault="00B26AF4" w:rsidP="0062665A">
      <w:pPr>
        <w:pStyle w:val="TableFooter"/>
        <w:keepNext/>
        <w:ind w:left="709"/>
      </w:pPr>
      <w:proofErr w:type="gramStart"/>
      <w:r w:rsidRPr="00B26AF4">
        <w:rPr>
          <w:vertAlign w:val="superscript"/>
        </w:rPr>
        <w:t>b</w:t>
      </w:r>
      <w:proofErr w:type="gramEnd"/>
      <w:r>
        <w:t xml:space="preserve"> ITT, 5 mg/kg every 8 weeks arm of REACH trial, patients were randomised at 10 weeks if they responded to infliximab induction therapy (week 0, 2 and 6) </w:t>
      </w:r>
    </w:p>
    <w:p w:rsidR="00B60939" w:rsidRPr="0078738D" w:rsidRDefault="00B60939" w:rsidP="004B1CB4"/>
    <w:p w:rsidR="00B26AF4" w:rsidRPr="00B26AF4" w:rsidRDefault="00B26AF4" w:rsidP="00955E40">
      <w:pPr>
        <w:pStyle w:val="ListParagraph"/>
        <w:widowControl/>
        <w:numPr>
          <w:ilvl w:val="1"/>
          <w:numId w:val="1"/>
        </w:numPr>
        <w:rPr>
          <w:szCs w:val="22"/>
        </w:rPr>
      </w:pPr>
      <w:r>
        <w:t xml:space="preserve">Based on a </w:t>
      </w:r>
      <w:r w:rsidR="00BF1698">
        <w:t xml:space="preserve">naïve </w:t>
      </w:r>
      <w:r>
        <w:t>indirect comparison</w:t>
      </w:r>
      <w:r w:rsidR="00A46113">
        <w:t>, with no common comparator arm</w:t>
      </w:r>
      <w:r>
        <w:t>, it is not clear whether adalimumab is worse or better than infliximab in the treatment of paediatric Crohn’s disease.</w:t>
      </w:r>
    </w:p>
    <w:p w:rsidR="00B60939" w:rsidRDefault="00B60939" w:rsidP="00FC1884"/>
    <w:p w:rsidR="00183FE8" w:rsidRDefault="00183FE8" w:rsidP="00183FE8">
      <w:pPr>
        <w:pStyle w:val="ListParagraph"/>
        <w:ind w:left="709"/>
        <w:rPr>
          <w:i/>
          <w:szCs w:val="22"/>
        </w:rPr>
      </w:pPr>
      <w:r>
        <w:rPr>
          <w:i/>
          <w:szCs w:val="22"/>
        </w:rPr>
        <w:t>For more detail on PBAC’s view, see section 7 “PBAC outcome”</w:t>
      </w:r>
    </w:p>
    <w:p w:rsidR="00183FE8" w:rsidRPr="0078738D" w:rsidRDefault="00183FE8" w:rsidP="00FC1884"/>
    <w:p w:rsidR="00B60939" w:rsidRPr="004D51AA" w:rsidRDefault="00B60939" w:rsidP="004D51AA">
      <w:pPr>
        <w:rPr>
          <w:b/>
          <w:szCs w:val="22"/>
        </w:rPr>
      </w:pPr>
      <w:bookmarkStart w:id="10" w:name="_Toc398284971"/>
      <w:r w:rsidRPr="004D51AA">
        <w:rPr>
          <w:b/>
          <w:szCs w:val="22"/>
        </w:rPr>
        <w:t>Clinical claim</w:t>
      </w:r>
      <w:bookmarkEnd w:id="10"/>
    </w:p>
    <w:p w:rsidR="00B60939" w:rsidRPr="0078738D" w:rsidRDefault="00B60939" w:rsidP="00B60939">
      <w:pPr>
        <w:ind w:left="720" w:hanging="720"/>
        <w:rPr>
          <w:szCs w:val="22"/>
        </w:rPr>
      </w:pPr>
    </w:p>
    <w:p w:rsidR="002B7614" w:rsidRPr="00B92322" w:rsidRDefault="000D2CCD" w:rsidP="00955E40">
      <w:pPr>
        <w:pStyle w:val="ListParagraph"/>
        <w:widowControl/>
        <w:numPr>
          <w:ilvl w:val="1"/>
          <w:numId w:val="1"/>
        </w:numPr>
        <w:rPr>
          <w:szCs w:val="22"/>
        </w:rPr>
      </w:pPr>
      <w:r w:rsidRPr="00B92322">
        <w:t>The submission claim</w:t>
      </w:r>
      <w:r w:rsidR="00D6443F">
        <w:t>ed</w:t>
      </w:r>
      <w:r w:rsidRPr="00B92322">
        <w:t xml:space="preserve"> that adalimumab is non-inferior to infliximab in paediatric Crohn’s disease. </w:t>
      </w:r>
      <w:r w:rsidR="00610904" w:rsidRPr="00B92322">
        <w:t xml:space="preserve">The ESC </w:t>
      </w:r>
      <w:r w:rsidR="00FE3F6A">
        <w:t>advised</w:t>
      </w:r>
      <w:r w:rsidR="00610904" w:rsidRPr="00B92322">
        <w:t xml:space="preserve"> that this </w:t>
      </w:r>
      <w:r w:rsidR="00B71361" w:rsidRPr="00B92322">
        <w:t>claim is unclear</w:t>
      </w:r>
      <w:r w:rsidR="002B7614" w:rsidRPr="00B92322">
        <w:t>:</w:t>
      </w:r>
    </w:p>
    <w:p w:rsidR="00044DBB" w:rsidRPr="00B92322" w:rsidRDefault="00044DBB" w:rsidP="00955E40">
      <w:pPr>
        <w:pStyle w:val="ListParagraph"/>
        <w:widowControl/>
        <w:numPr>
          <w:ilvl w:val="0"/>
          <w:numId w:val="6"/>
        </w:numPr>
        <w:rPr>
          <w:szCs w:val="22"/>
        </w:rPr>
      </w:pPr>
      <w:r w:rsidRPr="00B92322">
        <w:rPr>
          <w:szCs w:val="22"/>
        </w:rPr>
        <w:t>The evidence is from a naïve indirect comparison of single arms</w:t>
      </w:r>
      <w:r w:rsidR="00A46113" w:rsidRPr="00B92322">
        <w:rPr>
          <w:szCs w:val="22"/>
        </w:rPr>
        <w:t xml:space="preserve"> of two trials</w:t>
      </w:r>
      <w:r w:rsidR="00EB4E6F" w:rsidRPr="00B92322">
        <w:rPr>
          <w:szCs w:val="22"/>
        </w:rPr>
        <w:t>.</w:t>
      </w:r>
      <w:r w:rsidRPr="00B92322">
        <w:rPr>
          <w:szCs w:val="22"/>
        </w:rPr>
        <w:t xml:space="preserve"> </w:t>
      </w:r>
      <w:r w:rsidR="00667FBA" w:rsidRPr="00B92322">
        <w:rPr>
          <w:szCs w:val="22"/>
        </w:rPr>
        <w:t>The PSCR</w:t>
      </w:r>
      <w:r w:rsidR="00387A14" w:rsidRPr="00B92322">
        <w:rPr>
          <w:szCs w:val="22"/>
        </w:rPr>
        <w:t xml:space="preserve"> acknowledged the limitation of the naïve indirect comparison, but considered the approach of the post-hoc subgroup of the adalimumab study to be reasonable.</w:t>
      </w:r>
    </w:p>
    <w:p w:rsidR="00044DBB" w:rsidRPr="000C6990" w:rsidRDefault="00044DBB" w:rsidP="00955E40">
      <w:pPr>
        <w:pStyle w:val="ListParagraph"/>
        <w:widowControl/>
        <w:numPr>
          <w:ilvl w:val="0"/>
          <w:numId w:val="6"/>
        </w:numPr>
        <w:rPr>
          <w:szCs w:val="22"/>
        </w:rPr>
      </w:pPr>
      <w:r w:rsidRPr="000C6990">
        <w:rPr>
          <w:szCs w:val="22"/>
        </w:rPr>
        <w:t>The evidence for adalimumab is from a post-hoc subgroup of infliximab-naïve patients who responded at week 4 to adalimumab induction treatment, which is different from the requested PBS-listing</w:t>
      </w:r>
      <w:r w:rsidR="007C3EE7">
        <w:rPr>
          <w:szCs w:val="22"/>
        </w:rPr>
        <w:t>:</w:t>
      </w:r>
      <w:r w:rsidRPr="000C6990">
        <w:rPr>
          <w:szCs w:val="22"/>
        </w:rPr>
        <w:t xml:space="preserve"> </w:t>
      </w:r>
      <w:r w:rsidR="00BF1698" w:rsidRPr="000C6990">
        <w:rPr>
          <w:szCs w:val="22"/>
        </w:rPr>
        <w:t xml:space="preserve">1) </w:t>
      </w:r>
      <w:r w:rsidR="00A058EC" w:rsidRPr="000C6990">
        <w:rPr>
          <w:szCs w:val="22"/>
        </w:rPr>
        <w:t>response at week 12</w:t>
      </w:r>
      <w:r w:rsidR="007C3EE7">
        <w:rPr>
          <w:szCs w:val="22"/>
        </w:rPr>
        <w:t>;</w:t>
      </w:r>
      <w:r w:rsidR="00A058EC" w:rsidRPr="000C6990">
        <w:rPr>
          <w:szCs w:val="22"/>
        </w:rPr>
        <w:t xml:space="preserve"> and</w:t>
      </w:r>
      <w:r w:rsidRPr="000C6990">
        <w:rPr>
          <w:szCs w:val="22"/>
        </w:rPr>
        <w:t xml:space="preserve"> </w:t>
      </w:r>
      <w:r w:rsidR="00BF1698" w:rsidRPr="000C6990">
        <w:rPr>
          <w:szCs w:val="22"/>
        </w:rPr>
        <w:t>2) infliximab naïve and experienced patients</w:t>
      </w:r>
      <w:r w:rsidR="00EB4E6F" w:rsidRPr="000C6990">
        <w:rPr>
          <w:szCs w:val="22"/>
        </w:rPr>
        <w:t>.</w:t>
      </w:r>
    </w:p>
    <w:p w:rsidR="00044DBB" w:rsidRPr="000C6990" w:rsidRDefault="00044DBB" w:rsidP="00955E40">
      <w:pPr>
        <w:pStyle w:val="ListParagraph"/>
        <w:widowControl/>
        <w:numPr>
          <w:ilvl w:val="0"/>
          <w:numId w:val="6"/>
        </w:numPr>
        <w:rPr>
          <w:szCs w:val="22"/>
        </w:rPr>
      </w:pPr>
      <w:r w:rsidRPr="000C6990">
        <w:rPr>
          <w:szCs w:val="22"/>
        </w:rPr>
        <w:t>The evidence is for moderate and severe Crohn’s disease, which is different from the requested PBS-listing of patients with severe Crohn’s disease</w:t>
      </w:r>
      <w:r w:rsidR="00EB4E6F" w:rsidRPr="000C6990">
        <w:rPr>
          <w:szCs w:val="22"/>
        </w:rPr>
        <w:t>.</w:t>
      </w:r>
    </w:p>
    <w:p w:rsidR="00044DBB" w:rsidRPr="000C6990" w:rsidRDefault="00044DBB" w:rsidP="00955E40">
      <w:pPr>
        <w:pStyle w:val="ListParagraph"/>
        <w:widowControl/>
        <w:numPr>
          <w:ilvl w:val="0"/>
          <w:numId w:val="6"/>
        </w:numPr>
        <w:rPr>
          <w:szCs w:val="22"/>
        </w:rPr>
      </w:pPr>
      <w:r w:rsidRPr="000C6990">
        <w:rPr>
          <w:szCs w:val="22"/>
        </w:rPr>
        <w:t>Patients were randomised based on response measured at different points in time (week 4 for adalimumab and week 10 for infliximab)</w:t>
      </w:r>
      <w:r w:rsidR="00A46113" w:rsidRPr="000C6990">
        <w:rPr>
          <w:szCs w:val="22"/>
        </w:rPr>
        <w:t>.</w:t>
      </w:r>
    </w:p>
    <w:p w:rsidR="00CF15FB" w:rsidRPr="00B92322" w:rsidRDefault="00044DBB" w:rsidP="00955E40">
      <w:pPr>
        <w:pStyle w:val="ListParagraph"/>
        <w:widowControl/>
        <w:numPr>
          <w:ilvl w:val="0"/>
          <w:numId w:val="6"/>
        </w:numPr>
        <w:rPr>
          <w:szCs w:val="22"/>
        </w:rPr>
      </w:pPr>
      <w:r w:rsidRPr="000C6990">
        <w:rPr>
          <w:szCs w:val="22"/>
        </w:rPr>
        <w:lastRenderedPageBreak/>
        <w:t xml:space="preserve">The assumed </w:t>
      </w:r>
      <w:r w:rsidR="00402DAB">
        <w:rPr>
          <w:szCs w:val="22"/>
        </w:rPr>
        <w:t>MCID</w:t>
      </w:r>
      <w:r w:rsidRPr="000C6990">
        <w:rPr>
          <w:szCs w:val="22"/>
        </w:rPr>
        <w:t xml:space="preserve"> </w:t>
      </w:r>
      <w:r w:rsidR="000B2C36" w:rsidRPr="000C6990">
        <w:rPr>
          <w:szCs w:val="22"/>
        </w:rPr>
        <w:t xml:space="preserve">(risk difference of 20% for the lower confidence interval) </w:t>
      </w:r>
      <w:r w:rsidRPr="000C6990">
        <w:rPr>
          <w:szCs w:val="22"/>
        </w:rPr>
        <w:t xml:space="preserve">is </w:t>
      </w:r>
      <w:r w:rsidRPr="00B92322">
        <w:rPr>
          <w:szCs w:val="22"/>
        </w:rPr>
        <w:t>not sufficiently justified, and the secondary outcomes (remission and response at week 52-5</w:t>
      </w:r>
      <w:r w:rsidR="00470B37" w:rsidRPr="00B92322">
        <w:rPr>
          <w:szCs w:val="22"/>
        </w:rPr>
        <w:t>4</w:t>
      </w:r>
      <w:r w:rsidRPr="00B92322">
        <w:rPr>
          <w:szCs w:val="22"/>
        </w:rPr>
        <w:t>)</w:t>
      </w:r>
      <w:r w:rsidR="000B2C36" w:rsidRPr="00B92322">
        <w:rPr>
          <w:szCs w:val="22"/>
        </w:rPr>
        <w:t xml:space="preserve"> </w:t>
      </w:r>
      <w:r w:rsidR="005E3B15" w:rsidRPr="00B92322">
        <w:rPr>
          <w:szCs w:val="22"/>
        </w:rPr>
        <w:t>may not meet the non</w:t>
      </w:r>
      <w:r w:rsidR="005E3B15" w:rsidRPr="00B92322">
        <w:rPr>
          <w:szCs w:val="22"/>
        </w:rPr>
        <w:noBreakHyphen/>
      </w:r>
      <w:r w:rsidRPr="00B92322">
        <w:rPr>
          <w:szCs w:val="22"/>
        </w:rPr>
        <w:t>inferiority criteria.</w:t>
      </w:r>
      <w:r w:rsidR="00610904" w:rsidRPr="00B92322">
        <w:rPr>
          <w:szCs w:val="22"/>
        </w:rPr>
        <w:t xml:space="preserve"> </w:t>
      </w:r>
      <w:r w:rsidR="00402DAB" w:rsidRPr="00B92322">
        <w:rPr>
          <w:szCs w:val="22"/>
        </w:rPr>
        <w:t>The PSCR (p2) disagreed with the commentary that the 20% MCID</w:t>
      </w:r>
      <w:r w:rsidR="00610904" w:rsidRPr="00B92322">
        <w:rPr>
          <w:szCs w:val="22"/>
        </w:rPr>
        <w:t xml:space="preserve"> is not sufficiently justified.</w:t>
      </w:r>
      <w:r w:rsidR="00402DAB" w:rsidRPr="00B92322">
        <w:rPr>
          <w:szCs w:val="22"/>
        </w:rPr>
        <w:t xml:space="preserve"> The submission claims that this value was based on the IMAGINE-1 trial which was powered to detect a difference in remission rate of 20% between the high and low dose arms. </w:t>
      </w:r>
      <w:r w:rsidR="00B10CE0" w:rsidRPr="00B92322">
        <w:rPr>
          <w:szCs w:val="22"/>
        </w:rPr>
        <w:t>The ESC disagreed and noted t</w:t>
      </w:r>
      <w:r w:rsidR="00CF15FB" w:rsidRPr="00B92322">
        <w:t xml:space="preserve">here is an apparent </w:t>
      </w:r>
      <w:r w:rsidR="00610904" w:rsidRPr="00B92322">
        <w:t xml:space="preserve">lower </w:t>
      </w:r>
      <w:r w:rsidR="00CF15FB" w:rsidRPr="00B92322">
        <w:t xml:space="preserve">efficacy at 52-54 weeks that </w:t>
      </w:r>
      <w:r w:rsidR="00610904" w:rsidRPr="00B92322">
        <w:t>may</w:t>
      </w:r>
      <w:r w:rsidR="00CF15FB" w:rsidRPr="00B92322">
        <w:t xml:space="preserve"> meet inferiority limits.</w:t>
      </w:r>
    </w:p>
    <w:p w:rsidR="00CF15FB" w:rsidRPr="000C6990" w:rsidRDefault="00CF15FB" w:rsidP="00CF15FB">
      <w:pPr>
        <w:widowControl/>
      </w:pPr>
    </w:p>
    <w:p w:rsidR="00B71361" w:rsidRDefault="00044DBB" w:rsidP="00955E40">
      <w:pPr>
        <w:pStyle w:val="ListParagraph"/>
        <w:widowControl/>
        <w:numPr>
          <w:ilvl w:val="1"/>
          <w:numId w:val="1"/>
        </w:numPr>
      </w:pPr>
      <w:r w:rsidRPr="000C6990">
        <w:t>Additionally, the submission suggest</w:t>
      </w:r>
      <w:r w:rsidR="00D6443F">
        <w:t>ed</w:t>
      </w:r>
      <w:r w:rsidRPr="000C6990">
        <w:t xml:space="preserve"> that adalimumab has comparable efficacy and safety in paediatric and adult populations</w:t>
      </w:r>
      <w:r w:rsidR="00B71361" w:rsidRPr="000C6990">
        <w:t xml:space="preserve">. </w:t>
      </w:r>
      <w:r w:rsidR="00E413AF">
        <w:t xml:space="preserve">As with the </w:t>
      </w:r>
      <w:r w:rsidR="00B71361" w:rsidRPr="000C6990">
        <w:t xml:space="preserve">comparison </w:t>
      </w:r>
      <w:r w:rsidR="00E413AF">
        <w:t>to</w:t>
      </w:r>
      <w:r w:rsidR="00B71361" w:rsidRPr="000C6990">
        <w:t xml:space="preserve"> infliximab, there are concerns with using a naïve indirect comparison approach. Numerically, adalimumab appears to result in more adverse events</w:t>
      </w:r>
      <w:r w:rsidR="002D6583" w:rsidRPr="000C6990">
        <w:t xml:space="preserve"> in paediatric </w:t>
      </w:r>
      <w:proofErr w:type="gramStart"/>
      <w:r w:rsidR="002D6583" w:rsidRPr="000C6990">
        <w:t>patients</w:t>
      </w:r>
      <w:r w:rsidR="00B71361" w:rsidRPr="000C6990">
        <w:t>,</w:t>
      </w:r>
      <w:proofErr w:type="gramEnd"/>
      <w:r w:rsidR="00B71361" w:rsidRPr="000C6990">
        <w:t xml:space="preserve"> however it is unclear whether in clinical practice adalimumab would result in higher rates of adverse events in the paediatric population compared to the adult population</w:t>
      </w:r>
      <w:r w:rsidR="006D1664" w:rsidRPr="000C6990">
        <w:t>.</w:t>
      </w:r>
      <w:r w:rsidR="00C93E5F">
        <w:t xml:space="preserve"> </w:t>
      </w:r>
    </w:p>
    <w:p w:rsidR="00CF15FB" w:rsidRDefault="00CF15FB" w:rsidP="00CF15FB">
      <w:pPr>
        <w:pStyle w:val="ListParagraph"/>
        <w:widowControl/>
      </w:pPr>
    </w:p>
    <w:p w:rsidR="00CF15FB" w:rsidRPr="00B92322" w:rsidRDefault="00C93E5F" w:rsidP="00955E40">
      <w:pPr>
        <w:pStyle w:val="ListParagraph"/>
        <w:widowControl/>
        <w:numPr>
          <w:ilvl w:val="1"/>
          <w:numId w:val="1"/>
        </w:numPr>
      </w:pPr>
      <w:r w:rsidRPr="00B92322">
        <w:t>The PSCR argue</w:t>
      </w:r>
      <w:r w:rsidR="00D6443F">
        <w:t>d</w:t>
      </w:r>
      <w:r w:rsidRPr="00B92322">
        <w:t xml:space="preserve"> it d</w:t>
      </w:r>
      <w:r w:rsidR="00D6443F">
        <w:t>id</w:t>
      </w:r>
      <w:r w:rsidRPr="00B92322">
        <w:t xml:space="preserve"> not consider it appropriate to compare the adverse event profile in adults (CHARM) to children and adolescents (IMAGINE-1).  </w:t>
      </w:r>
      <w:r w:rsidR="00CF15FB" w:rsidRPr="00B92322">
        <w:t>The ESC considered that the submission’s claim of similar safety with infliximab was reasonable.</w:t>
      </w:r>
    </w:p>
    <w:p w:rsidR="002B7614" w:rsidRDefault="002B7614" w:rsidP="005E3B15">
      <w:pPr>
        <w:widowControl/>
        <w:rPr>
          <w:szCs w:val="22"/>
        </w:rPr>
      </w:pPr>
    </w:p>
    <w:p w:rsidR="00183FE8" w:rsidRDefault="00183FE8" w:rsidP="00183FE8">
      <w:pPr>
        <w:pStyle w:val="ListParagraph"/>
        <w:ind w:left="709"/>
        <w:rPr>
          <w:i/>
          <w:szCs w:val="22"/>
        </w:rPr>
      </w:pPr>
      <w:r>
        <w:rPr>
          <w:i/>
          <w:szCs w:val="22"/>
        </w:rPr>
        <w:t>For more detail on PBAC’s view, see section 7 “PBAC outcome”</w:t>
      </w:r>
    </w:p>
    <w:p w:rsidR="00183FE8" w:rsidRPr="005E3B15" w:rsidRDefault="00183FE8" w:rsidP="005E3B15">
      <w:pPr>
        <w:widowControl/>
        <w:rPr>
          <w:szCs w:val="22"/>
        </w:rPr>
      </w:pPr>
    </w:p>
    <w:p w:rsidR="00B60939" w:rsidRPr="004D51AA" w:rsidRDefault="00B60939" w:rsidP="004D51AA">
      <w:pPr>
        <w:rPr>
          <w:b/>
          <w:szCs w:val="22"/>
        </w:rPr>
      </w:pPr>
      <w:bookmarkStart w:id="11" w:name="_Toc398284972"/>
      <w:r w:rsidRPr="004D51AA">
        <w:rPr>
          <w:b/>
          <w:szCs w:val="22"/>
        </w:rPr>
        <w:t>Economic analysis</w:t>
      </w:r>
      <w:bookmarkEnd w:id="11"/>
      <w:r w:rsidR="00491B3A" w:rsidRPr="004D51AA">
        <w:rPr>
          <w:b/>
          <w:szCs w:val="22"/>
        </w:rPr>
        <w:t xml:space="preserve"> </w:t>
      </w:r>
    </w:p>
    <w:p w:rsidR="00B60939" w:rsidRPr="0078738D" w:rsidRDefault="00B60939" w:rsidP="00426367">
      <w:pPr>
        <w:widowControl/>
        <w:rPr>
          <w:szCs w:val="22"/>
        </w:rPr>
      </w:pPr>
    </w:p>
    <w:p w:rsidR="00B60939" w:rsidRPr="000C6990" w:rsidRDefault="00771770" w:rsidP="00955E40">
      <w:pPr>
        <w:pStyle w:val="ListParagraph"/>
        <w:widowControl/>
        <w:numPr>
          <w:ilvl w:val="1"/>
          <w:numId w:val="1"/>
        </w:numPr>
        <w:rPr>
          <w:szCs w:val="22"/>
        </w:rPr>
      </w:pPr>
      <w:r w:rsidRPr="000C6990">
        <w:t>The submission present</w:t>
      </w:r>
      <w:r w:rsidR="00D6443F">
        <w:t>ed</w:t>
      </w:r>
      <w:r w:rsidRPr="000C6990">
        <w:t xml:space="preserve"> a cost-minimisation analysis of adalimumab </w:t>
      </w:r>
      <w:r w:rsidR="00D30669" w:rsidRPr="000C6990">
        <w:t>vs</w:t>
      </w:r>
      <w:r w:rsidR="007179D3" w:rsidRPr="000C6990">
        <w:t>.</w:t>
      </w:r>
      <w:r w:rsidRPr="000C6990">
        <w:t xml:space="preserve"> infliximab. </w:t>
      </w:r>
    </w:p>
    <w:p w:rsidR="00275C5A" w:rsidRPr="000C6990" w:rsidRDefault="00275C5A" w:rsidP="00275C5A">
      <w:pPr>
        <w:widowControl/>
        <w:rPr>
          <w:szCs w:val="22"/>
        </w:rPr>
      </w:pPr>
    </w:p>
    <w:p w:rsidR="00A86E8B" w:rsidRPr="00B92322" w:rsidRDefault="00A86E8B" w:rsidP="00955E40">
      <w:pPr>
        <w:pStyle w:val="ListParagraph"/>
        <w:widowControl/>
        <w:numPr>
          <w:ilvl w:val="1"/>
          <w:numId w:val="1"/>
        </w:numPr>
        <w:rPr>
          <w:szCs w:val="22"/>
        </w:rPr>
      </w:pPr>
      <w:r w:rsidRPr="00B92322">
        <w:t>The equi-effective doses are</w:t>
      </w:r>
      <w:r w:rsidR="00143C54" w:rsidRPr="00B92322">
        <w:t xml:space="preserve"> presented in the table below. Equi-effective doses are </w:t>
      </w:r>
      <w:r w:rsidR="00AB1B1E" w:rsidRPr="00B92322">
        <w:t>based on the</w:t>
      </w:r>
      <w:r w:rsidR="00D760CD" w:rsidRPr="00B92322">
        <w:t xml:space="preserve"> trial dosage</w:t>
      </w:r>
      <w:r w:rsidR="00143C54" w:rsidRPr="00B92322">
        <w:t xml:space="preserve"> </w:t>
      </w:r>
      <w:r w:rsidR="00AB1B1E" w:rsidRPr="00B92322">
        <w:t>as well as on the consideration of</w:t>
      </w:r>
      <w:r w:rsidR="00143C54" w:rsidRPr="00B92322">
        <w:t xml:space="preserve"> current PBS listings of infliximab in paediatric C</w:t>
      </w:r>
      <w:r w:rsidR="009646ED" w:rsidRPr="00B92322">
        <w:t>rohn’s disease and adalimumab for</w:t>
      </w:r>
      <w:r w:rsidR="00143C54" w:rsidRPr="00B92322">
        <w:t xml:space="preserve"> adult </w:t>
      </w:r>
      <w:r w:rsidR="009646ED" w:rsidRPr="00B92322">
        <w:t xml:space="preserve">patients with </w:t>
      </w:r>
      <w:r w:rsidR="00143C54" w:rsidRPr="00B92322">
        <w:t xml:space="preserve">Crohn’s disease. </w:t>
      </w:r>
      <w:r w:rsidR="00905275" w:rsidRPr="00B92322">
        <w:t xml:space="preserve">The </w:t>
      </w:r>
      <w:r w:rsidR="004B4047" w:rsidRPr="00B92322">
        <w:t xml:space="preserve">ESC agreed </w:t>
      </w:r>
      <w:r w:rsidR="00C60CCB" w:rsidRPr="00B92322">
        <w:t>t</w:t>
      </w:r>
      <w:r w:rsidR="004B4047" w:rsidRPr="00B92322">
        <w:t xml:space="preserve">hat the </w:t>
      </w:r>
      <w:r w:rsidR="00905275" w:rsidRPr="00B92322">
        <w:t>equi-effective doses are reasonable.</w:t>
      </w:r>
    </w:p>
    <w:p w:rsidR="00A86E8B" w:rsidRPr="00B92322" w:rsidRDefault="00A86E8B" w:rsidP="00A86E8B">
      <w:pPr>
        <w:widowControl/>
        <w:rPr>
          <w:szCs w:val="22"/>
        </w:rPr>
      </w:pPr>
    </w:p>
    <w:p w:rsidR="00EF1BD5" w:rsidRPr="002C0F9C" w:rsidRDefault="00EF1BD5" w:rsidP="00EF1BD5">
      <w:pPr>
        <w:keepNext/>
        <w:keepLines/>
        <w:ind w:left="720"/>
        <w:rPr>
          <w:rStyle w:val="CommentReference"/>
        </w:rPr>
      </w:pPr>
      <w:r w:rsidRPr="002C0F9C">
        <w:rPr>
          <w:rStyle w:val="CommentReference"/>
        </w:rPr>
        <w:t>Equi-effective doses of adalimumab and infliximab in paediatric Crohn’s disease</w:t>
      </w:r>
    </w:p>
    <w:tbl>
      <w:tblPr>
        <w:tblStyle w:val="TableGrid"/>
        <w:tblW w:w="4558" w:type="pct"/>
        <w:tblInd w:w="817" w:type="dxa"/>
        <w:tblLook w:val="04A0" w:firstRow="1" w:lastRow="0" w:firstColumn="1" w:lastColumn="0" w:noHBand="0" w:noVBand="1"/>
      </w:tblPr>
      <w:tblGrid>
        <w:gridCol w:w="2129"/>
        <w:gridCol w:w="3825"/>
        <w:gridCol w:w="2472"/>
      </w:tblGrid>
      <w:tr w:rsidR="00EF1BD5">
        <w:tc>
          <w:tcPr>
            <w:tcW w:w="1263" w:type="pct"/>
          </w:tcPr>
          <w:p w:rsidR="00EF1BD5" w:rsidRDefault="00EF1BD5" w:rsidP="00EF1BD5">
            <w:pPr>
              <w:pStyle w:val="Tabletext"/>
              <w:keepNext/>
              <w:keepLines/>
            </w:pPr>
          </w:p>
        </w:tc>
        <w:tc>
          <w:tcPr>
            <w:tcW w:w="2270" w:type="pct"/>
          </w:tcPr>
          <w:p w:rsidR="00EF1BD5" w:rsidRPr="002C0F9C" w:rsidRDefault="00EF1BD5" w:rsidP="00EF1BD5">
            <w:pPr>
              <w:pStyle w:val="Tabletext"/>
              <w:keepNext/>
              <w:keepLines/>
              <w:rPr>
                <w:b/>
              </w:rPr>
            </w:pPr>
            <w:r w:rsidRPr="002C0F9C">
              <w:rPr>
                <w:b/>
              </w:rPr>
              <w:t>Adalimumab</w:t>
            </w:r>
          </w:p>
        </w:tc>
        <w:tc>
          <w:tcPr>
            <w:tcW w:w="1467" w:type="pct"/>
          </w:tcPr>
          <w:p w:rsidR="00EF1BD5" w:rsidRPr="002C0F9C" w:rsidRDefault="00EF1BD5" w:rsidP="00EF1BD5">
            <w:pPr>
              <w:pStyle w:val="Tabletext"/>
              <w:keepNext/>
              <w:keepLines/>
              <w:rPr>
                <w:b/>
              </w:rPr>
            </w:pPr>
            <w:r w:rsidRPr="002C0F9C">
              <w:rPr>
                <w:b/>
              </w:rPr>
              <w:t>Infliximab</w:t>
            </w:r>
          </w:p>
        </w:tc>
      </w:tr>
      <w:tr w:rsidR="00EF1BD5">
        <w:tc>
          <w:tcPr>
            <w:tcW w:w="1263" w:type="pct"/>
          </w:tcPr>
          <w:p w:rsidR="00EF1BD5" w:rsidRDefault="00EF1BD5" w:rsidP="00EF1BD5">
            <w:pPr>
              <w:pStyle w:val="Tabletext"/>
              <w:keepNext/>
              <w:keepLines/>
            </w:pPr>
            <w:r>
              <w:t>Mode of administration</w:t>
            </w:r>
          </w:p>
        </w:tc>
        <w:tc>
          <w:tcPr>
            <w:tcW w:w="2270" w:type="pct"/>
          </w:tcPr>
          <w:p w:rsidR="00EF1BD5" w:rsidRDefault="00EF1BD5" w:rsidP="00EF1BD5">
            <w:pPr>
              <w:pStyle w:val="Tabletext"/>
              <w:keepNext/>
              <w:keepLines/>
            </w:pPr>
            <w:r>
              <w:t>SC injection</w:t>
            </w:r>
          </w:p>
        </w:tc>
        <w:tc>
          <w:tcPr>
            <w:tcW w:w="1467" w:type="pct"/>
          </w:tcPr>
          <w:p w:rsidR="00EF1BD5" w:rsidRDefault="00EF1BD5" w:rsidP="00EF1BD5">
            <w:pPr>
              <w:pStyle w:val="Tabletext"/>
              <w:keepNext/>
              <w:keepLines/>
            </w:pPr>
            <w:r>
              <w:t>IV infusion</w:t>
            </w:r>
          </w:p>
        </w:tc>
      </w:tr>
      <w:tr w:rsidR="00EF1BD5">
        <w:tc>
          <w:tcPr>
            <w:tcW w:w="1263" w:type="pct"/>
          </w:tcPr>
          <w:p w:rsidR="00EF1BD5" w:rsidRDefault="00EF1BD5" w:rsidP="00EF1BD5">
            <w:pPr>
              <w:pStyle w:val="Tabletext"/>
              <w:keepNext/>
              <w:keepLines/>
            </w:pPr>
            <w:r>
              <w:t>Induction</w:t>
            </w:r>
          </w:p>
        </w:tc>
        <w:tc>
          <w:tcPr>
            <w:tcW w:w="2270" w:type="pct"/>
          </w:tcPr>
          <w:p w:rsidR="00EF1BD5" w:rsidRDefault="001E1CBE" w:rsidP="00EF1BD5">
            <w:pPr>
              <w:pStyle w:val="Tabletext"/>
              <w:keepNext/>
              <w:keepLines/>
            </w:pPr>
            <w:r>
              <w:t xml:space="preserve">BW </w:t>
            </w:r>
            <w:r w:rsidR="00EF1BD5">
              <w:t>&lt;40 kg: 80 mg at week 0, 40 mg at week 2</w:t>
            </w:r>
          </w:p>
          <w:p w:rsidR="00EF1BD5" w:rsidRDefault="001E1CBE" w:rsidP="00EF1BD5">
            <w:pPr>
              <w:pStyle w:val="Tabletext"/>
              <w:keepNext/>
              <w:keepLines/>
            </w:pPr>
            <w:r>
              <w:t xml:space="preserve">BW </w:t>
            </w:r>
            <w:r w:rsidR="00EF1BD5">
              <w:t>≥40 kg: 160 mg at week 0, 80 mg at week 2</w:t>
            </w:r>
          </w:p>
        </w:tc>
        <w:tc>
          <w:tcPr>
            <w:tcW w:w="1467" w:type="pct"/>
          </w:tcPr>
          <w:p w:rsidR="00EF1BD5" w:rsidRDefault="00EF1BD5" w:rsidP="00EF1BD5">
            <w:pPr>
              <w:pStyle w:val="Tabletext"/>
              <w:keepNext/>
              <w:keepLines/>
            </w:pPr>
            <w:r>
              <w:t>5 mg/kg at weeks 0, 2 and 6</w:t>
            </w:r>
          </w:p>
        </w:tc>
      </w:tr>
      <w:tr w:rsidR="00EF1BD5">
        <w:tc>
          <w:tcPr>
            <w:tcW w:w="1263" w:type="pct"/>
          </w:tcPr>
          <w:p w:rsidR="00EF1BD5" w:rsidRDefault="00EF1BD5" w:rsidP="00EF1BD5">
            <w:pPr>
              <w:pStyle w:val="Tabletext"/>
              <w:keepNext/>
              <w:keepLines/>
            </w:pPr>
            <w:r>
              <w:t>Maintenance</w:t>
            </w:r>
          </w:p>
        </w:tc>
        <w:tc>
          <w:tcPr>
            <w:tcW w:w="2270" w:type="pct"/>
          </w:tcPr>
          <w:p w:rsidR="00EF1BD5" w:rsidRDefault="001E1CBE" w:rsidP="00EF1BD5">
            <w:pPr>
              <w:pStyle w:val="Tabletext"/>
              <w:keepNext/>
              <w:keepLines/>
            </w:pPr>
            <w:r>
              <w:t xml:space="preserve">BW </w:t>
            </w:r>
            <w:r w:rsidR="00EF1BD5">
              <w:t>&lt;40 kg: 20 mg every other week</w:t>
            </w:r>
          </w:p>
          <w:p w:rsidR="00EF1BD5" w:rsidRDefault="001E1CBE" w:rsidP="00EF1BD5">
            <w:pPr>
              <w:pStyle w:val="Tabletext"/>
              <w:keepNext/>
              <w:keepLines/>
            </w:pPr>
            <w:r>
              <w:t xml:space="preserve">BW </w:t>
            </w:r>
            <w:r w:rsidR="00EF1BD5">
              <w:t>≥40 kg: 40 mg every other week</w:t>
            </w:r>
          </w:p>
        </w:tc>
        <w:tc>
          <w:tcPr>
            <w:tcW w:w="1467" w:type="pct"/>
          </w:tcPr>
          <w:p w:rsidR="00EF1BD5" w:rsidRDefault="00EF1BD5" w:rsidP="00EF1BD5">
            <w:pPr>
              <w:pStyle w:val="Tabletext"/>
              <w:keepNext/>
              <w:keepLines/>
            </w:pPr>
            <w:r>
              <w:t>5 mg/kg every 8 weeks</w:t>
            </w:r>
          </w:p>
        </w:tc>
      </w:tr>
    </w:tbl>
    <w:p w:rsidR="00EF1BD5" w:rsidRDefault="00EF1BD5" w:rsidP="00EF1BD5">
      <w:pPr>
        <w:pStyle w:val="TableFooter"/>
        <w:keepNext/>
        <w:keepLines/>
        <w:ind w:left="720"/>
      </w:pPr>
      <w:r>
        <w:t>Source: text pp</w:t>
      </w:r>
      <w:r w:rsidR="005554BF">
        <w:t>.</w:t>
      </w:r>
      <w:r>
        <w:t>133-134 of the submission;</w:t>
      </w:r>
    </w:p>
    <w:p w:rsidR="00EF1BD5" w:rsidRDefault="00EF1BD5" w:rsidP="00EF1BD5">
      <w:pPr>
        <w:pStyle w:val="TableFooter"/>
        <w:keepNext/>
        <w:keepLines/>
        <w:ind w:left="720"/>
      </w:pPr>
      <w:r>
        <w:t>SC = subcutaneous; IV = intravenous;</w:t>
      </w:r>
      <w:r w:rsidR="001E1CBE">
        <w:t xml:space="preserve"> BW = body weight;</w:t>
      </w:r>
    </w:p>
    <w:p w:rsidR="00EF1BD5" w:rsidRPr="001916E5" w:rsidRDefault="00EF1BD5" w:rsidP="00A86E8B">
      <w:pPr>
        <w:widowControl/>
        <w:rPr>
          <w:i/>
          <w:szCs w:val="22"/>
        </w:rPr>
      </w:pPr>
    </w:p>
    <w:p w:rsidR="000E65D4" w:rsidRPr="000E65D4" w:rsidRDefault="005A6AEF" w:rsidP="00955E40">
      <w:pPr>
        <w:pStyle w:val="ListParagraph"/>
        <w:widowControl/>
        <w:numPr>
          <w:ilvl w:val="1"/>
          <w:numId w:val="1"/>
        </w:numPr>
        <w:rPr>
          <w:i/>
          <w:szCs w:val="22"/>
        </w:rPr>
      </w:pPr>
      <w:r>
        <w:t>The</w:t>
      </w:r>
      <w:r w:rsidR="0032335D">
        <w:t xml:space="preserve"> following</w:t>
      </w:r>
      <w:r>
        <w:t xml:space="preserve"> table </w:t>
      </w:r>
      <w:r w:rsidR="003B2B66" w:rsidRPr="003B2B66">
        <w:t>summarises the results of the cost-minimisation analysis presented in the submission</w:t>
      </w:r>
      <w:r w:rsidR="00A46113">
        <w:t xml:space="preserve">. </w:t>
      </w:r>
      <w:r w:rsidR="00042C6A">
        <w:rPr>
          <w:noProof/>
          <w:color w:val="000000"/>
          <w:highlight w:val="black"/>
        </w:rPr>
        <w:t>''''''''''''' ''''''' ''''''''''''''''''''''''' ''''''''''''''''''''''''' ''''''''' ''' ''''' ''''''''''''''' ''''' '''''''''' ''''''''''''''''''''''''''''''' ''''' '''''''''''''''''''''''' ''''''''''''''''''' ''''' ''''''' '''''''''''''' '''''''''''' '''''' ''''''' '''''''''''''''''''' '''''''''''' ''''' '''''''''''' ''''''''''''''''''' ''''''''' ''''''''''''''''' ''''''''''''''''''''' ''' ''''''''' ''''''' ''''''''''''''''' ''''''''' ''''''''''''''''''''''''''''''''''''' '''''''''''''''''''' ''''''''''' ''''''''' '''''''''''''''''''' ''''''''''' '''''''''''''''</w:t>
      </w:r>
      <w:r w:rsidR="00A46113">
        <w:t xml:space="preserve">. </w:t>
      </w:r>
    </w:p>
    <w:p w:rsidR="000E65D4" w:rsidRPr="000E65D4" w:rsidRDefault="000E65D4" w:rsidP="000E65D4">
      <w:pPr>
        <w:widowControl/>
        <w:rPr>
          <w:szCs w:val="22"/>
        </w:rPr>
      </w:pPr>
    </w:p>
    <w:p w:rsidR="00216DF8" w:rsidRDefault="00216DF8" w:rsidP="00216DF8">
      <w:pPr>
        <w:keepNext/>
        <w:keepLines/>
        <w:ind w:left="720"/>
      </w:pPr>
      <w:r>
        <w:rPr>
          <w:rStyle w:val="CommentReference"/>
        </w:rPr>
        <w:lastRenderedPageBreak/>
        <w:t>Cost-minimisation analysis and additional sensitivity analyses</w:t>
      </w:r>
    </w:p>
    <w:tbl>
      <w:tblPr>
        <w:tblStyle w:val="TableGrid"/>
        <w:tblW w:w="4448" w:type="pct"/>
        <w:tblInd w:w="817" w:type="dxa"/>
        <w:tblLayout w:type="fixed"/>
        <w:tblLook w:val="04A0" w:firstRow="1" w:lastRow="0" w:firstColumn="1" w:lastColumn="0" w:noHBand="0" w:noVBand="1"/>
      </w:tblPr>
      <w:tblGrid>
        <w:gridCol w:w="5245"/>
        <w:gridCol w:w="993"/>
        <w:gridCol w:w="992"/>
        <w:gridCol w:w="993"/>
      </w:tblGrid>
      <w:tr w:rsidR="00216DF8" w:rsidTr="00D91FCE">
        <w:trPr>
          <w:trHeight w:val="170"/>
          <w:tblHeader/>
        </w:trPr>
        <w:tc>
          <w:tcPr>
            <w:tcW w:w="3189" w:type="pct"/>
            <w:vAlign w:val="center"/>
          </w:tcPr>
          <w:p w:rsidR="00216DF8" w:rsidRPr="00406783" w:rsidRDefault="00216DF8" w:rsidP="00D91FCE">
            <w:pPr>
              <w:pStyle w:val="Tabletext"/>
              <w:keepNext/>
              <w:rPr>
                <w:b/>
              </w:rPr>
            </w:pPr>
            <w:r w:rsidRPr="00406783">
              <w:rPr>
                <w:b/>
              </w:rPr>
              <w:t>Cost</w:t>
            </w:r>
          </w:p>
        </w:tc>
        <w:tc>
          <w:tcPr>
            <w:tcW w:w="604" w:type="pct"/>
            <w:vAlign w:val="center"/>
          </w:tcPr>
          <w:p w:rsidR="00216DF8" w:rsidRPr="00A10351" w:rsidRDefault="00216DF8" w:rsidP="00D91FCE">
            <w:pPr>
              <w:pStyle w:val="Tabletext"/>
              <w:keepNext/>
              <w:jc w:val="center"/>
              <w:rPr>
                <w:b/>
              </w:rPr>
            </w:pPr>
            <w:r w:rsidRPr="00A10351">
              <w:rPr>
                <w:b/>
              </w:rPr>
              <w:t>Week 12</w:t>
            </w:r>
          </w:p>
        </w:tc>
        <w:tc>
          <w:tcPr>
            <w:tcW w:w="603" w:type="pct"/>
            <w:vAlign w:val="center"/>
          </w:tcPr>
          <w:p w:rsidR="00216DF8" w:rsidRPr="00A10351" w:rsidRDefault="00216DF8" w:rsidP="00D91FCE">
            <w:pPr>
              <w:pStyle w:val="Tabletext"/>
              <w:keepNext/>
              <w:jc w:val="center"/>
              <w:rPr>
                <w:b/>
              </w:rPr>
            </w:pPr>
            <w:r w:rsidRPr="00A10351">
              <w:rPr>
                <w:b/>
              </w:rPr>
              <w:t>Week 52</w:t>
            </w:r>
          </w:p>
        </w:tc>
        <w:tc>
          <w:tcPr>
            <w:tcW w:w="604" w:type="pct"/>
            <w:vAlign w:val="center"/>
          </w:tcPr>
          <w:p w:rsidR="00216DF8" w:rsidRPr="00A10351" w:rsidRDefault="00216DF8" w:rsidP="00D91FCE">
            <w:pPr>
              <w:pStyle w:val="Tabletext"/>
              <w:keepNext/>
              <w:jc w:val="center"/>
              <w:rPr>
                <w:b/>
              </w:rPr>
            </w:pPr>
            <w:r>
              <w:rPr>
                <w:b/>
              </w:rPr>
              <w:t>Year 2+</w:t>
            </w:r>
          </w:p>
        </w:tc>
      </w:tr>
      <w:tr w:rsidR="00216DF8" w:rsidRPr="000A5C1F" w:rsidTr="00D91FCE">
        <w:trPr>
          <w:trHeight w:val="170"/>
        </w:trPr>
        <w:tc>
          <w:tcPr>
            <w:tcW w:w="5000" w:type="pct"/>
            <w:gridSpan w:val="4"/>
            <w:vAlign w:val="center"/>
          </w:tcPr>
          <w:p w:rsidR="00216DF8" w:rsidRPr="00CD0096" w:rsidRDefault="00216DF8" w:rsidP="00D91FCE">
            <w:pPr>
              <w:pStyle w:val="Tabletext"/>
              <w:keepNext/>
            </w:pPr>
            <w:r w:rsidRPr="000B0673">
              <w:rPr>
                <w:b/>
              </w:rPr>
              <w:t>Base model</w:t>
            </w:r>
          </w:p>
        </w:tc>
      </w:tr>
      <w:tr w:rsidR="00216DF8" w:rsidRPr="000A5C1F" w:rsidTr="00D91FCE">
        <w:trPr>
          <w:trHeight w:val="170"/>
        </w:trPr>
        <w:tc>
          <w:tcPr>
            <w:tcW w:w="3189" w:type="pct"/>
          </w:tcPr>
          <w:p w:rsidR="00216DF8" w:rsidRPr="000A5C1F" w:rsidRDefault="00216DF8" w:rsidP="00D91FCE">
            <w:pPr>
              <w:pStyle w:val="Tabletext"/>
              <w:keepNext/>
            </w:pPr>
            <w:r>
              <w:t>Adalimumab treatment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3"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r>
      <w:tr w:rsidR="00216DF8" w:rsidRPr="000A5C1F" w:rsidTr="00D91FCE">
        <w:trPr>
          <w:trHeight w:val="170"/>
        </w:trPr>
        <w:tc>
          <w:tcPr>
            <w:tcW w:w="3189" w:type="pct"/>
          </w:tcPr>
          <w:p w:rsidR="00216DF8" w:rsidRPr="000A5C1F" w:rsidRDefault="00216DF8" w:rsidP="00D91FCE">
            <w:pPr>
              <w:pStyle w:val="Tabletext"/>
              <w:keepNext/>
            </w:pPr>
            <w:r>
              <w:t>Infliximab treatment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3"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r>
      <w:tr w:rsidR="00216DF8" w:rsidRPr="000B0673" w:rsidTr="00D91FCE">
        <w:trPr>
          <w:trHeight w:val="170"/>
        </w:trPr>
        <w:tc>
          <w:tcPr>
            <w:tcW w:w="3189" w:type="pct"/>
          </w:tcPr>
          <w:p w:rsidR="00216DF8" w:rsidRPr="000B0673" w:rsidRDefault="00216DF8" w:rsidP="00D91FCE">
            <w:pPr>
              <w:pStyle w:val="Tabletext"/>
              <w:keepNext/>
            </w:pPr>
            <w:r w:rsidRPr="000B0673">
              <w:t>Incremental cost at DPMQ</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3"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r>
      <w:tr w:rsidR="00216DF8" w:rsidRPr="000B0673" w:rsidTr="00D91FCE">
        <w:trPr>
          <w:trHeight w:val="170"/>
        </w:trPr>
        <w:tc>
          <w:tcPr>
            <w:tcW w:w="3189" w:type="pct"/>
          </w:tcPr>
          <w:p w:rsidR="00216DF8" w:rsidRPr="00A46113" w:rsidRDefault="00216DF8" w:rsidP="00D91FCE">
            <w:pPr>
              <w:pStyle w:val="Tabletext"/>
              <w:keepNext/>
              <w:rPr>
                <w:b/>
              </w:rPr>
            </w:pPr>
            <w:r w:rsidRPr="00A46113">
              <w:rPr>
                <w:b/>
              </w:rPr>
              <w:t xml:space="preserve">Incremental cost with adalimumab price rebate </w:t>
            </w:r>
            <w:r w:rsidRPr="00A46113">
              <w:rPr>
                <w:b/>
                <w:vertAlign w:val="superscript"/>
              </w:rPr>
              <w:t>a</w:t>
            </w:r>
          </w:p>
        </w:tc>
        <w:tc>
          <w:tcPr>
            <w:tcW w:w="604" w:type="pct"/>
            <w:vAlign w:val="center"/>
          </w:tcPr>
          <w:p w:rsidR="00216DF8" w:rsidRPr="00042C6A" w:rsidRDefault="00042C6A" w:rsidP="00D91FCE">
            <w:pPr>
              <w:pStyle w:val="Tabletext"/>
              <w:keepNext/>
              <w:jc w:val="right"/>
              <w:rPr>
                <w:b/>
                <w:highlight w:val="black"/>
              </w:rPr>
            </w:pPr>
            <w:r>
              <w:rPr>
                <w:b/>
                <w:noProof/>
                <w:color w:val="000000"/>
                <w:highlight w:val="black"/>
              </w:rPr>
              <w:t>'''''''''''''''</w:t>
            </w:r>
          </w:p>
        </w:tc>
        <w:tc>
          <w:tcPr>
            <w:tcW w:w="603" w:type="pct"/>
            <w:vAlign w:val="center"/>
          </w:tcPr>
          <w:p w:rsidR="00216DF8" w:rsidRPr="00042C6A" w:rsidRDefault="00042C6A" w:rsidP="00D91FCE">
            <w:pPr>
              <w:pStyle w:val="Tabletext"/>
              <w:keepNext/>
              <w:jc w:val="right"/>
              <w:rPr>
                <w:b/>
                <w:highlight w:val="black"/>
              </w:rPr>
            </w:pPr>
            <w:r>
              <w:rPr>
                <w:b/>
                <w:noProof/>
                <w:color w:val="000000"/>
                <w:highlight w:val="black"/>
              </w:rPr>
              <w:t>''''''''''''''''</w:t>
            </w:r>
          </w:p>
        </w:tc>
        <w:tc>
          <w:tcPr>
            <w:tcW w:w="604" w:type="pct"/>
            <w:vAlign w:val="center"/>
          </w:tcPr>
          <w:p w:rsidR="00216DF8" w:rsidRPr="00042C6A" w:rsidRDefault="00042C6A" w:rsidP="00D91FCE">
            <w:pPr>
              <w:pStyle w:val="Tabletext"/>
              <w:keepNext/>
              <w:jc w:val="right"/>
              <w:rPr>
                <w:b/>
                <w:highlight w:val="black"/>
              </w:rPr>
            </w:pPr>
            <w:r>
              <w:rPr>
                <w:b/>
                <w:noProof/>
                <w:color w:val="000000"/>
                <w:highlight w:val="black"/>
              </w:rPr>
              <w:t>'''''''''''''''</w:t>
            </w:r>
          </w:p>
        </w:tc>
      </w:tr>
      <w:tr w:rsidR="00216DF8" w:rsidTr="00D91FCE">
        <w:trPr>
          <w:trHeight w:val="170"/>
        </w:trPr>
        <w:tc>
          <w:tcPr>
            <w:tcW w:w="5000" w:type="pct"/>
            <w:gridSpan w:val="4"/>
            <w:vAlign w:val="center"/>
          </w:tcPr>
          <w:p w:rsidR="00216DF8" w:rsidRPr="00BF51D5" w:rsidRDefault="00216DF8" w:rsidP="00D91FCE">
            <w:pPr>
              <w:pStyle w:val="Tabletext"/>
              <w:keepNext/>
              <w:rPr>
                <w:b/>
              </w:rPr>
            </w:pPr>
            <w:r w:rsidRPr="00BF51D5">
              <w:rPr>
                <w:b/>
              </w:rPr>
              <w:t>Sensitivity analyses (incremental cost including adalimumab price rebate)</w:t>
            </w:r>
          </w:p>
        </w:tc>
      </w:tr>
      <w:tr w:rsidR="00216DF8" w:rsidTr="00D91FCE">
        <w:trPr>
          <w:trHeight w:val="170"/>
        </w:trPr>
        <w:tc>
          <w:tcPr>
            <w:tcW w:w="3189" w:type="pct"/>
            <w:vAlign w:val="bottom"/>
          </w:tcPr>
          <w:p w:rsidR="00216DF8" w:rsidRPr="00A10351" w:rsidRDefault="00216DF8" w:rsidP="00D91FCE">
            <w:pPr>
              <w:pStyle w:val="Tabletext"/>
              <w:keepNext/>
            </w:pPr>
            <w:r>
              <w:t>Infusion cost MBS item only (base case MBS + hospital cost $</w:t>
            </w:r>
            <w:r w:rsidR="00042C6A">
              <w:rPr>
                <w:noProof/>
                <w:color w:val="000000"/>
                <w:highlight w:val="black"/>
              </w:rPr>
              <w:t>'''''''''</w:t>
            </w:r>
            <w:r>
              <w: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3" w:type="pct"/>
            <w:vAlign w:val="center"/>
          </w:tcPr>
          <w:p w:rsidR="00216DF8" w:rsidRPr="00042C6A" w:rsidRDefault="00042C6A" w:rsidP="00D91FCE">
            <w:pPr>
              <w:pStyle w:val="Tabletext"/>
              <w:keepNext/>
              <w:jc w:val="right"/>
              <w:rPr>
                <w:highlight w:val="black"/>
              </w:rPr>
            </w:pPr>
            <w:r>
              <w:rPr>
                <w:noProof/>
                <w:color w:val="000000"/>
                <w:highlight w:val="black"/>
              </w:rPr>
              <w:t>'''''''''''''''''</w:t>
            </w:r>
          </w:p>
        </w:tc>
        <w:tc>
          <w:tcPr>
            <w:tcW w:w="604" w:type="pct"/>
            <w:vAlign w:val="center"/>
          </w:tcPr>
          <w:p w:rsidR="00216DF8" w:rsidRPr="00042C6A" w:rsidRDefault="00042C6A" w:rsidP="00D91FCE">
            <w:pPr>
              <w:pStyle w:val="Tabletext"/>
              <w:keepNext/>
              <w:jc w:val="right"/>
              <w:rPr>
                <w:highlight w:val="black"/>
              </w:rPr>
            </w:pPr>
            <w:r>
              <w:rPr>
                <w:noProof/>
                <w:color w:val="000000"/>
                <w:highlight w:val="black"/>
              </w:rPr>
              <w:t>''''''''''''''''''</w:t>
            </w:r>
          </w:p>
        </w:tc>
      </w:tr>
      <w:tr w:rsidR="00216DF8" w:rsidTr="00D91FCE">
        <w:trPr>
          <w:trHeight w:val="170"/>
        </w:trPr>
        <w:tc>
          <w:tcPr>
            <w:tcW w:w="3189" w:type="pct"/>
            <w:vAlign w:val="bottom"/>
          </w:tcPr>
          <w:p w:rsidR="00216DF8" w:rsidRPr="00A10351" w:rsidRDefault="00216DF8" w:rsidP="00D91FCE">
            <w:pPr>
              <w:pStyle w:val="Tabletext"/>
              <w:keepNext/>
            </w:pPr>
            <w:r>
              <w:t xml:space="preserve">Number of infliximab vials 2.9 </w:t>
            </w:r>
            <w:r w:rsidRPr="000B2C36">
              <w:rPr>
                <w:vertAlign w:val="superscript"/>
              </w:rPr>
              <w:t>b</w:t>
            </w:r>
            <w:r>
              <w:t xml:space="preserve"> (base case 3)</w:t>
            </w:r>
          </w:p>
        </w:tc>
        <w:tc>
          <w:tcPr>
            <w:tcW w:w="604" w:type="pct"/>
          </w:tcPr>
          <w:p w:rsidR="00216DF8" w:rsidRPr="00042C6A" w:rsidRDefault="00042C6A" w:rsidP="00D91FCE">
            <w:pPr>
              <w:pStyle w:val="Tabletext"/>
              <w:keepNext/>
              <w:jc w:val="right"/>
              <w:rPr>
                <w:highlight w:val="black"/>
              </w:rPr>
            </w:pPr>
            <w:r>
              <w:rPr>
                <w:noProof/>
                <w:color w:val="000000"/>
                <w:highlight w:val="black"/>
              </w:rPr>
              <w:t>''''''''''''''''''</w:t>
            </w:r>
          </w:p>
        </w:tc>
        <w:tc>
          <w:tcPr>
            <w:tcW w:w="603" w:type="pct"/>
          </w:tcPr>
          <w:p w:rsidR="00216DF8" w:rsidRPr="00042C6A" w:rsidRDefault="00042C6A" w:rsidP="00D91FCE">
            <w:pPr>
              <w:pStyle w:val="Tabletext"/>
              <w:keepNext/>
              <w:jc w:val="right"/>
              <w:rPr>
                <w:highlight w:val="black"/>
              </w:rPr>
            </w:pPr>
            <w:r>
              <w:rPr>
                <w:noProof/>
                <w:color w:val="000000"/>
                <w:highlight w:val="black"/>
              </w:rPr>
              <w:t>'''''''''''''''''''</w:t>
            </w:r>
          </w:p>
        </w:tc>
        <w:tc>
          <w:tcPr>
            <w:tcW w:w="604" w:type="pct"/>
          </w:tcPr>
          <w:p w:rsidR="00216DF8" w:rsidRPr="00042C6A" w:rsidRDefault="00042C6A" w:rsidP="00D91FCE">
            <w:pPr>
              <w:pStyle w:val="Tabletext"/>
              <w:keepNext/>
              <w:jc w:val="right"/>
              <w:rPr>
                <w:highlight w:val="black"/>
              </w:rPr>
            </w:pPr>
            <w:r>
              <w:rPr>
                <w:noProof/>
                <w:color w:val="000000"/>
                <w:highlight w:val="black"/>
              </w:rPr>
              <w:t>''''''''''''''''''</w:t>
            </w:r>
          </w:p>
        </w:tc>
      </w:tr>
      <w:tr w:rsidR="00216DF8" w:rsidTr="00D91FCE">
        <w:trPr>
          <w:trHeight w:val="170"/>
        </w:trPr>
        <w:tc>
          <w:tcPr>
            <w:tcW w:w="3189" w:type="pct"/>
            <w:vAlign w:val="bottom"/>
          </w:tcPr>
          <w:p w:rsidR="00216DF8" w:rsidRPr="00A10351" w:rsidRDefault="00216DF8" w:rsidP="00D91FCE">
            <w:pPr>
              <w:pStyle w:val="Tabletext"/>
              <w:keepNext/>
            </w:pPr>
            <w:r>
              <w:t>Adalimumab</w:t>
            </w:r>
            <w:r w:rsidRPr="00561358">
              <w:t xml:space="preserve"> induction packs for BW&lt;40kg</w:t>
            </w:r>
            <w:r>
              <w:t xml:space="preserve"> </w:t>
            </w:r>
            <w:r w:rsidRPr="00E66A9F">
              <w:rPr>
                <w:vertAlign w:val="superscript"/>
              </w:rPr>
              <w:t>c</w:t>
            </w:r>
            <w:r w:rsidRPr="00561358">
              <w:t xml:space="preserve"> </w:t>
            </w:r>
          </w:p>
        </w:tc>
        <w:tc>
          <w:tcPr>
            <w:tcW w:w="604" w:type="pct"/>
          </w:tcPr>
          <w:p w:rsidR="00216DF8" w:rsidRPr="00042C6A" w:rsidRDefault="00042C6A" w:rsidP="00D91FCE">
            <w:pPr>
              <w:pStyle w:val="Tabletext"/>
              <w:keepNext/>
              <w:jc w:val="right"/>
              <w:rPr>
                <w:highlight w:val="black"/>
              </w:rPr>
            </w:pPr>
            <w:r>
              <w:rPr>
                <w:noProof/>
                <w:color w:val="000000"/>
                <w:highlight w:val="black"/>
              </w:rPr>
              <w:t>''''''''''''''''</w:t>
            </w:r>
          </w:p>
        </w:tc>
        <w:tc>
          <w:tcPr>
            <w:tcW w:w="603" w:type="pct"/>
          </w:tcPr>
          <w:p w:rsidR="00216DF8" w:rsidRPr="00042C6A" w:rsidRDefault="00042C6A" w:rsidP="00D91FCE">
            <w:pPr>
              <w:pStyle w:val="Tabletext"/>
              <w:keepNext/>
              <w:jc w:val="right"/>
              <w:rPr>
                <w:highlight w:val="black"/>
              </w:rPr>
            </w:pPr>
            <w:r>
              <w:rPr>
                <w:noProof/>
                <w:color w:val="000000"/>
                <w:highlight w:val="black"/>
              </w:rPr>
              <w:t>'''''''''''''''''''</w:t>
            </w:r>
          </w:p>
        </w:tc>
        <w:tc>
          <w:tcPr>
            <w:tcW w:w="604" w:type="pct"/>
          </w:tcPr>
          <w:p w:rsidR="00216DF8" w:rsidRPr="00042C6A" w:rsidRDefault="00042C6A" w:rsidP="00D91FCE">
            <w:pPr>
              <w:pStyle w:val="Tabletext"/>
              <w:keepNext/>
              <w:jc w:val="right"/>
              <w:rPr>
                <w:highlight w:val="black"/>
              </w:rPr>
            </w:pPr>
            <w:r>
              <w:rPr>
                <w:noProof/>
                <w:color w:val="000000"/>
                <w:highlight w:val="black"/>
              </w:rPr>
              <w:t>'''''''''''''''''</w:t>
            </w:r>
          </w:p>
        </w:tc>
      </w:tr>
      <w:tr w:rsidR="00216DF8" w:rsidRPr="00877A1C" w:rsidTr="00D91FCE">
        <w:trPr>
          <w:trHeight w:val="170"/>
        </w:trPr>
        <w:tc>
          <w:tcPr>
            <w:tcW w:w="3189" w:type="pct"/>
            <w:vAlign w:val="bottom"/>
          </w:tcPr>
          <w:p w:rsidR="00216DF8" w:rsidRPr="00877A1C" w:rsidRDefault="00216DF8" w:rsidP="00D91FCE">
            <w:pPr>
              <w:pStyle w:val="Tabletext"/>
              <w:keepNext/>
            </w:pPr>
            <w:r>
              <w:t>I</w:t>
            </w:r>
            <w:r w:rsidRPr="00561358">
              <w:t>nfusion cost</w:t>
            </w:r>
            <w:r>
              <w:t xml:space="preserve"> MBS only +</w:t>
            </w:r>
            <w:r w:rsidRPr="00561358">
              <w:t xml:space="preserve"> </w:t>
            </w:r>
            <w:r>
              <w:t>2.9 infliximab vials +</w:t>
            </w:r>
            <w:r w:rsidRPr="00561358">
              <w:t xml:space="preserve"> </w:t>
            </w:r>
            <w:r>
              <w:t>adalimumab</w:t>
            </w:r>
            <w:r w:rsidRPr="00561358">
              <w:t xml:space="preserve"> </w:t>
            </w:r>
            <w:r>
              <w:t xml:space="preserve">2 </w:t>
            </w:r>
            <w:r w:rsidRPr="00561358">
              <w:t>packs</w:t>
            </w:r>
          </w:p>
        </w:tc>
        <w:tc>
          <w:tcPr>
            <w:tcW w:w="604" w:type="pct"/>
          </w:tcPr>
          <w:p w:rsidR="00216DF8" w:rsidRPr="00042C6A" w:rsidRDefault="00042C6A" w:rsidP="00D91FCE">
            <w:pPr>
              <w:pStyle w:val="Tabletext"/>
              <w:keepNext/>
              <w:jc w:val="right"/>
              <w:rPr>
                <w:highlight w:val="black"/>
              </w:rPr>
            </w:pPr>
            <w:r>
              <w:rPr>
                <w:noProof/>
                <w:color w:val="000000"/>
                <w:highlight w:val="black"/>
              </w:rPr>
              <w:t>'''''''''''</w:t>
            </w:r>
          </w:p>
        </w:tc>
        <w:tc>
          <w:tcPr>
            <w:tcW w:w="603" w:type="pct"/>
          </w:tcPr>
          <w:p w:rsidR="00216DF8" w:rsidRPr="00042C6A" w:rsidRDefault="00042C6A" w:rsidP="00D91FCE">
            <w:pPr>
              <w:pStyle w:val="Tabletext"/>
              <w:keepNext/>
              <w:jc w:val="right"/>
              <w:rPr>
                <w:highlight w:val="black"/>
              </w:rPr>
            </w:pPr>
            <w:r>
              <w:rPr>
                <w:noProof/>
                <w:color w:val="000000"/>
                <w:highlight w:val="black"/>
              </w:rPr>
              <w:t>'''''''''''''''''</w:t>
            </w:r>
          </w:p>
        </w:tc>
        <w:tc>
          <w:tcPr>
            <w:tcW w:w="604" w:type="pct"/>
          </w:tcPr>
          <w:p w:rsidR="00216DF8" w:rsidRPr="00042C6A" w:rsidRDefault="00042C6A" w:rsidP="00D91FCE">
            <w:pPr>
              <w:pStyle w:val="Tabletext"/>
              <w:keepNext/>
              <w:jc w:val="right"/>
              <w:rPr>
                <w:highlight w:val="black"/>
              </w:rPr>
            </w:pPr>
            <w:r>
              <w:rPr>
                <w:noProof/>
                <w:color w:val="000000"/>
                <w:highlight w:val="black"/>
              </w:rPr>
              <w:t>''''''''''''''''</w:t>
            </w:r>
          </w:p>
        </w:tc>
      </w:tr>
    </w:tbl>
    <w:p w:rsidR="00216DF8" w:rsidRDefault="00216DF8" w:rsidP="00216DF8">
      <w:pPr>
        <w:pStyle w:val="TableFooter"/>
        <w:keepNext/>
        <w:keepLines/>
        <w:ind w:left="720"/>
      </w:pPr>
      <w:r w:rsidRPr="00BB4345">
        <w:t>Source:</w:t>
      </w:r>
      <w:r>
        <w:t xml:space="preserve"> Calculated during evaluation;</w:t>
      </w:r>
    </w:p>
    <w:p w:rsidR="00216DF8" w:rsidRDefault="00216DF8" w:rsidP="00216DF8">
      <w:pPr>
        <w:pStyle w:val="TableFooter"/>
        <w:keepNext/>
        <w:keepLines/>
        <w:ind w:left="720"/>
      </w:pPr>
      <w:r>
        <w:t xml:space="preserve">MBS = </w:t>
      </w:r>
      <w:r w:rsidRPr="008552B6">
        <w:t>Medicare Benefits Schedule</w:t>
      </w:r>
      <w:r>
        <w:t xml:space="preserve">; DPMQ = </w:t>
      </w:r>
      <w:r w:rsidRPr="000115BF">
        <w:t xml:space="preserve">Dispensed </w:t>
      </w:r>
      <w:r>
        <w:t>P</w:t>
      </w:r>
      <w:r w:rsidRPr="000115BF">
        <w:t xml:space="preserve">rice for </w:t>
      </w:r>
      <w:r>
        <w:t>Maximum</w:t>
      </w:r>
      <w:r w:rsidRPr="000115BF">
        <w:t xml:space="preserve"> </w:t>
      </w:r>
      <w:r>
        <w:t>Quantity; BW = body weight;</w:t>
      </w:r>
    </w:p>
    <w:p w:rsidR="00216DF8" w:rsidRDefault="00216DF8" w:rsidP="00216DF8">
      <w:pPr>
        <w:pStyle w:val="TableFooter"/>
        <w:keepNext/>
        <w:keepLines/>
        <w:ind w:left="720"/>
      </w:pPr>
      <w:proofErr w:type="spellStart"/>
      <w:proofErr w:type="gramStart"/>
      <w:r w:rsidRPr="00654EA2">
        <w:rPr>
          <w:vertAlign w:val="superscript"/>
        </w:rPr>
        <w:t>a</w:t>
      </w:r>
      <w:proofErr w:type="spellEnd"/>
      <w:proofErr w:type="gramEnd"/>
      <w:r w:rsidRPr="00654EA2">
        <w:t xml:space="preserve"> The proposed price rebate is </w:t>
      </w:r>
      <w:r w:rsidR="00042C6A">
        <w:rPr>
          <w:noProof/>
          <w:color w:val="000000"/>
          <w:highlight w:val="black"/>
        </w:rPr>
        <w:t>'''''''''''''''</w:t>
      </w:r>
      <w:r w:rsidRPr="00654EA2">
        <w:t xml:space="preserve">% for the two-pack and </w:t>
      </w:r>
      <w:r w:rsidR="00042C6A">
        <w:rPr>
          <w:noProof/>
          <w:color w:val="000000"/>
          <w:highlight w:val="black"/>
        </w:rPr>
        <w:t>''''''''''''</w:t>
      </w:r>
      <w:r w:rsidRPr="00654EA2">
        <w:t>% for the six-pack;</w:t>
      </w:r>
    </w:p>
    <w:p w:rsidR="00216DF8" w:rsidRPr="00C60CCB" w:rsidRDefault="00216DF8" w:rsidP="00216DF8">
      <w:pPr>
        <w:pStyle w:val="TableFooter"/>
        <w:keepNext/>
        <w:keepLines/>
        <w:ind w:left="720"/>
      </w:pPr>
      <w:proofErr w:type="gramStart"/>
      <w:r w:rsidRPr="000B2C36">
        <w:rPr>
          <w:vertAlign w:val="superscript"/>
        </w:rPr>
        <w:t>b</w:t>
      </w:r>
      <w:proofErr w:type="gramEnd"/>
      <w:r>
        <w:t xml:space="preserve"> For the base case the submission estimates that 34.4% of patients are below 40 kg and 65.6% above (average 46.3 kg), resulting in an average of 2.32 vials per infusion, which is rounded to 3 vials.</w:t>
      </w:r>
      <w:r w:rsidRPr="00C60CCB">
        <w:t xml:space="preserve"> For the sensitivity analysis, 2.9 vials per infusion were considered, similar to the value for the financial estimates, based on the percentage of patients receiving 2, 3, or 4 vials.</w:t>
      </w:r>
    </w:p>
    <w:p w:rsidR="00216DF8" w:rsidRPr="00C60CCB" w:rsidRDefault="00216DF8" w:rsidP="00216DF8">
      <w:pPr>
        <w:pStyle w:val="TableFooter"/>
        <w:keepNext/>
        <w:keepLines/>
        <w:ind w:left="720"/>
      </w:pPr>
      <w:proofErr w:type="gramStart"/>
      <w:r w:rsidRPr="00C60CCB">
        <w:rPr>
          <w:vertAlign w:val="superscript"/>
        </w:rPr>
        <w:t>c</w:t>
      </w:r>
      <w:proofErr w:type="gramEnd"/>
      <w:r w:rsidRPr="00C60CCB">
        <w:t xml:space="preserve"> The induction dose for patients under 40 kg is 80 mg in week 0, 40 mg in week 2, 20 mg in week 4, 6, 8 and 10. For the base case the submission includes 1.5 packs of 2 x 40 mg and 2 packs of 2 x 20 mg. For this sensitivity analysis the proposed maximum quantities are used, i.e. 1 pack of 2 x 40 mg and 3 packs of 2 x 20 mg, whereby it is assumed that at week 2 a patient will receive two 20 mg injections.  </w:t>
      </w:r>
    </w:p>
    <w:p w:rsidR="00216DF8" w:rsidRDefault="00216DF8" w:rsidP="00216DF8">
      <w:pPr>
        <w:pStyle w:val="ListParagraph"/>
        <w:widowControl/>
      </w:pPr>
    </w:p>
    <w:p w:rsidR="00091D46" w:rsidRPr="00B92322" w:rsidRDefault="009F7E51" w:rsidP="00955E40">
      <w:pPr>
        <w:pStyle w:val="ListParagraph"/>
        <w:widowControl/>
        <w:numPr>
          <w:ilvl w:val="1"/>
          <w:numId w:val="1"/>
        </w:numPr>
      </w:pPr>
      <w:r w:rsidRPr="000C6990">
        <w:t>Adalimumab is administe</w:t>
      </w:r>
      <w:r w:rsidR="00EB20A5" w:rsidRPr="000C6990">
        <w:t>red as a subcutaneous injection</w:t>
      </w:r>
      <w:r w:rsidRPr="000C6990">
        <w:t xml:space="preserve"> whereas infliximab is administ</w:t>
      </w:r>
      <w:r w:rsidR="00DB655C" w:rsidRPr="000C6990">
        <w:t>e</w:t>
      </w:r>
      <w:r w:rsidRPr="000C6990">
        <w:t xml:space="preserve">red as an intravenous injection. </w:t>
      </w:r>
      <w:r w:rsidR="00F93C76" w:rsidRPr="000C6990">
        <w:t>In</w:t>
      </w:r>
      <w:r w:rsidR="00264D25" w:rsidRPr="000C6990">
        <w:t xml:space="preserve"> the submission</w:t>
      </w:r>
      <w:r w:rsidR="00F93C76" w:rsidRPr="000C6990">
        <w:t xml:space="preserve"> t</w:t>
      </w:r>
      <w:r w:rsidRPr="000C6990">
        <w:t>he cost of infliximab treatment is likely to be overestimated due to the infliximab administration cost per infusion calculated at $</w:t>
      </w:r>
      <w:r w:rsidR="00042C6A">
        <w:rPr>
          <w:noProof/>
          <w:color w:val="000000"/>
          <w:highlight w:val="black"/>
        </w:rPr>
        <w:t>''''''''''''''</w:t>
      </w:r>
      <w:r w:rsidR="00A46113" w:rsidRPr="000C6990">
        <w:t xml:space="preserve"> (MBS cost + in</w:t>
      </w:r>
      <w:r w:rsidR="00B71361" w:rsidRPr="000C6990">
        <w:t>patient</w:t>
      </w:r>
      <w:r w:rsidR="00A46113" w:rsidRPr="000C6990">
        <w:t xml:space="preserve"> hospital cost of $</w:t>
      </w:r>
      <w:r w:rsidR="00042C6A">
        <w:rPr>
          <w:noProof/>
          <w:color w:val="000000"/>
          <w:highlight w:val="black"/>
        </w:rPr>
        <w:t>''''''''''</w:t>
      </w:r>
      <w:r w:rsidR="00A46113" w:rsidRPr="000C6990">
        <w:t>)</w:t>
      </w:r>
      <w:r w:rsidRPr="000C6990">
        <w:t>, and</w:t>
      </w:r>
      <w:r w:rsidR="00BF1698" w:rsidRPr="000C6990">
        <w:t xml:space="preserve"> due</w:t>
      </w:r>
      <w:r w:rsidRPr="000C6990">
        <w:t xml:space="preserve"> to </w:t>
      </w:r>
      <w:r w:rsidRPr="00B92322">
        <w:t xml:space="preserve">the assumption of </w:t>
      </w:r>
      <w:r w:rsidRPr="00654EA2">
        <w:t>0.7</w:t>
      </w:r>
      <w:r w:rsidRPr="00B92322">
        <w:t xml:space="preserve"> vials of wastage per </w:t>
      </w:r>
      <w:r w:rsidR="00E44805" w:rsidRPr="00B92322">
        <w:t xml:space="preserve">infliximab </w:t>
      </w:r>
      <w:r w:rsidRPr="00B92322">
        <w:t>infusion</w:t>
      </w:r>
      <w:r w:rsidR="00500FF8" w:rsidRPr="00B92322">
        <w:t>, which is inconsistent with the approach for the financial estimates</w:t>
      </w:r>
      <w:r w:rsidRPr="00B92322">
        <w:t>.</w:t>
      </w:r>
      <w:r w:rsidR="009824C1" w:rsidRPr="00B92322">
        <w:t xml:space="preserve"> </w:t>
      </w:r>
      <w:r w:rsidR="00A33953" w:rsidRPr="00B92322">
        <w:t xml:space="preserve">These </w:t>
      </w:r>
      <w:r w:rsidR="007A0B6F" w:rsidRPr="00B92322">
        <w:t xml:space="preserve">two </w:t>
      </w:r>
      <w:r w:rsidR="00A33953" w:rsidRPr="00B92322">
        <w:t xml:space="preserve">assumptions favour adalimumab. </w:t>
      </w:r>
      <w:r w:rsidR="003D497D" w:rsidRPr="00B92322">
        <w:t xml:space="preserve">The sensitivity analyses indicate that adalimumab treatment </w:t>
      </w:r>
      <w:r w:rsidR="00B73A87" w:rsidRPr="00B92322">
        <w:t>(</w:t>
      </w:r>
      <w:r w:rsidR="00042C6A">
        <w:rPr>
          <w:noProof/>
          <w:color w:val="000000"/>
          <w:highlight w:val="black"/>
        </w:rPr>
        <w:t>''''''''''''''''''''' ''''''''''' ''''''''''''''''</w:t>
      </w:r>
      <w:r w:rsidR="00B73A87" w:rsidRPr="00B92322">
        <w:t>)</w:t>
      </w:r>
      <w:r w:rsidR="003D497D" w:rsidRPr="00B92322">
        <w:t xml:space="preserve"> may be more costly than infliximab treatment in some scenarios.</w:t>
      </w:r>
      <w:r w:rsidR="004B4047" w:rsidRPr="00B92322">
        <w:t xml:space="preserve">  </w:t>
      </w:r>
      <w:r w:rsidR="00091D46" w:rsidRPr="00B92322">
        <w:t xml:space="preserve">The PSCR considered that the MBS item fee of $97.95 (for infliximab administration cost) is inappropriate to estimate the cost of in-patient infliximab infusion. The Sponsor considers data from the </w:t>
      </w:r>
      <w:r w:rsidR="00042C6A">
        <w:rPr>
          <w:noProof/>
          <w:color w:val="000000"/>
          <w:highlight w:val="black"/>
        </w:rPr>
        <w:t>''''''''''''''''''''''''''''' '''''''''''''''''''' ''''''''''''''''''''''' ''''''''''''''''''''' ''''''''''''''''''''</w:t>
      </w:r>
      <w:r w:rsidR="00091D46" w:rsidRPr="00B92322">
        <w:t xml:space="preserve"> which reports a cost estimate of $</w:t>
      </w:r>
      <w:r w:rsidR="00042C6A">
        <w:rPr>
          <w:noProof/>
          <w:color w:val="000000"/>
          <w:highlight w:val="black"/>
        </w:rPr>
        <w:t>''''''''''</w:t>
      </w:r>
      <w:r w:rsidR="00091D46" w:rsidRPr="00B92322">
        <w:t xml:space="preserve">, to be more appropriate. This data could not be verified. Additionally, the infusion would be as an out-patient, not as an in-patient. </w:t>
      </w:r>
      <w:r w:rsidR="00216DF8" w:rsidRPr="00B92322">
        <w:t>This</w:t>
      </w:r>
      <w:r w:rsidR="00091D46" w:rsidRPr="00B92322">
        <w:t xml:space="preserve"> favours adalimumab.</w:t>
      </w:r>
      <w:r w:rsidR="003D785E" w:rsidRPr="00B92322">
        <w:t xml:space="preserve"> </w:t>
      </w:r>
    </w:p>
    <w:p w:rsidR="00091D46" w:rsidRPr="00B92322" w:rsidRDefault="00091D46" w:rsidP="00091D46">
      <w:pPr>
        <w:pStyle w:val="ListParagraph"/>
        <w:widowControl/>
      </w:pPr>
    </w:p>
    <w:p w:rsidR="00A86E8B" w:rsidRPr="00B92322" w:rsidRDefault="004B4047" w:rsidP="00955E40">
      <w:pPr>
        <w:pStyle w:val="ListParagraph"/>
        <w:widowControl/>
        <w:numPr>
          <w:ilvl w:val="1"/>
          <w:numId w:val="1"/>
        </w:numPr>
        <w:rPr>
          <w:szCs w:val="22"/>
        </w:rPr>
      </w:pPr>
      <w:r w:rsidRPr="00B92322">
        <w:t>The ESC agreed with the commentary that the</w:t>
      </w:r>
      <w:r w:rsidR="00091D46" w:rsidRPr="00B92322">
        <w:t xml:space="preserve"> infliximab in</w:t>
      </w:r>
      <w:r w:rsidR="00435D46" w:rsidRPr="00B92322">
        <w:t>-</w:t>
      </w:r>
      <w:r w:rsidR="00091D46" w:rsidRPr="00B92322">
        <w:t xml:space="preserve">patient costs </w:t>
      </w:r>
      <w:r w:rsidRPr="00B92322">
        <w:t xml:space="preserve">are questionable and </w:t>
      </w:r>
      <w:r w:rsidR="00E413AF">
        <w:t xml:space="preserve">this </w:t>
      </w:r>
      <w:r w:rsidRPr="00B92322">
        <w:t xml:space="preserve">is a major </w:t>
      </w:r>
      <w:r w:rsidR="00E413AF">
        <w:t xml:space="preserve">problem </w:t>
      </w:r>
      <w:r w:rsidRPr="00B92322">
        <w:t xml:space="preserve">with </w:t>
      </w:r>
      <w:r w:rsidR="00E413AF">
        <w:t xml:space="preserve">the </w:t>
      </w:r>
      <w:r w:rsidRPr="00B92322">
        <w:t>cost estimates.</w:t>
      </w:r>
    </w:p>
    <w:p w:rsidR="00BF51D5" w:rsidRPr="00B92322" w:rsidRDefault="00BF51D5" w:rsidP="00BF51D5">
      <w:pPr>
        <w:pStyle w:val="ListParagraph"/>
        <w:rPr>
          <w:szCs w:val="22"/>
        </w:rPr>
      </w:pPr>
    </w:p>
    <w:p w:rsidR="00BF51D5" w:rsidRPr="00B92322" w:rsidRDefault="00BF51D5" w:rsidP="00955E40">
      <w:pPr>
        <w:pStyle w:val="ListParagraph"/>
        <w:widowControl/>
        <w:numPr>
          <w:ilvl w:val="1"/>
          <w:numId w:val="1"/>
        </w:numPr>
        <w:rPr>
          <w:szCs w:val="22"/>
        </w:rPr>
      </w:pPr>
      <w:r w:rsidRPr="00B92322">
        <w:rPr>
          <w:szCs w:val="22"/>
        </w:rPr>
        <w:t>The PSCR provided an updated cost minimisation analysis</w:t>
      </w:r>
      <w:r w:rsidR="007125FD" w:rsidRPr="00B92322">
        <w:rPr>
          <w:szCs w:val="22"/>
        </w:rPr>
        <w:t xml:space="preserve"> (see </w:t>
      </w:r>
      <w:r w:rsidR="00A14A94">
        <w:rPr>
          <w:szCs w:val="22"/>
        </w:rPr>
        <w:t xml:space="preserve">following </w:t>
      </w:r>
      <w:r w:rsidR="005A6AEF">
        <w:rPr>
          <w:szCs w:val="22"/>
        </w:rPr>
        <w:t>table</w:t>
      </w:r>
      <w:r w:rsidR="007125FD" w:rsidRPr="00B92322">
        <w:rPr>
          <w:szCs w:val="22"/>
        </w:rPr>
        <w:t>)</w:t>
      </w:r>
      <w:r w:rsidRPr="00B92322">
        <w:rPr>
          <w:szCs w:val="22"/>
        </w:rPr>
        <w:t xml:space="preserve"> which incorporated the proposed effective </w:t>
      </w:r>
      <w:r w:rsidR="007125FD" w:rsidRPr="00B92322">
        <w:rPr>
          <w:szCs w:val="22"/>
        </w:rPr>
        <w:t xml:space="preserve">price of adalimumab and </w:t>
      </w:r>
      <w:r w:rsidRPr="00B92322">
        <w:rPr>
          <w:szCs w:val="22"/>
        </w:rPr>
        <w:t>corrected the inconsistency between the proposed maximum quantity and the dosing schedule in the strength and number of adalimumab injections used on day 14 of the initial treatment for patients weighing less than 40 kg</w:t>
      </w:r>
      <w:r w:rsidR="007125FD" w:rsidRPr="00B92322">
        <w:rPr>
          <w:szCs w:val="22"/>
        </w:rPr>
        <w:t>.</w:t>
      </w:r>
    </w:p>
    <w:p w:rsidR="007125FD" w:rsidRPr="007125FD" w:rsidRDefault="007125FD" w:rsidP="007125FD">
      <w:pPr>
        <w:pStyle w:val="ListParagraph"/>
        <w:rPr>
          <w:i/>
          <w:szCs w:val="22"/>
        </w:rPr>
      </w:pPr>
    </w:p>
    <w:p w:rsidR="007125FD" w:rsidRPr="00B92322" w:rsidRDefault="007125FD" w:rsidP="007125FD">
      <w:pPr>
        <w:keepNext/>
        <w:keepLines/>
        <w:ind w:left="709"/>
      </w:pPr>
      <w:r w:rsidRPr="00B92322">
        <w:rPr>
          <w:rStyle w:val="CommentReference"/>
          <w:rFonts w:eastAsia="Calibri"/>
        </w:rPr>
        <w:lastRenderedPageBreak/>
        <w:t xml:space="preserve">Comparison of adalimumab </w:t>
      </w:r>
      <w:r w:rsidR="009C1702" w:rsidRPr="00B92322">
        <w:rPr>
          <w:rStyle w:val="CommentReference"/>
          <w:rFonts w:eastAsia="Calibri"/>
        </w:rPr>
        <w:t xml:space="preserve">(effective price) </w:t>
      </w:r>
      <w:r w:rsidRPr="00B92322">
        <w:rPr>
          <w:rStyle w:val="CommentReference"/>
          <w:rFonts w:eastAsia="Calibri"/>
        </w:rPr>
        <w:t>and infliximab treatment costs</w:t>
      </w:r>
    </w:p>
    <w:tbl>
      <w:tblPr>
        <w:tblStyle w:val="TableGrid"/>
        <w:tblW w:w="4559" w:type="pct"/>
        <w:tblInd w:w="817" w:type="dxa"/>
        <w:tblLook w:val="04A0" w:firstRow="1" w:lastRow="0" w:firstColumn="1" w:lastColumn="0" w:noHBand="0" w:noVBand="1"/>
      </w:tblPr>
      <w:tblGrid>
        <w:gridCol w:w="2107"/>
        <w:gridCol w:w="2107"/>
        <w:gridCol w:w="2107"/>
        <w:gridCol w:w="2107"/>
      </w:tblGrid>
      <w:tr w:rsidR="007125FD" w:rsidRPr="00B92322" w:rsidTr="007125FD">
        <w:trPr>
          <w:trHeight w:val="57"/>
        </w:trPr>
        <w:tc>
          <w:tcPr>
            <w:tcW w:w="1250" w:type="pct"/>
            <w:vAlign w:val="center"/>
          </w:tcPr>
          <w:p w:rsidR="007125FD" w:rsidRPr="00B92322" w:rsidRDefault="007125FD" w:rsidP="00A26B75">
            <w:pPr>
              <w:keepNext/>
              <w:keepLines/>
              <w:jc w:val="left"/>
              <w:rPr>
                <w:rFonts w:ascii="Arial Narrow" w:hAnsi="Arial Narrow"/>
                <w:b/>
                <w:sz w:val="20"/>
              </w:rPr>
            </w:pPr>
            <w:r w:rsidRPr="00B92322">
              <w:rPr>
                <w:rFonts w:ascii="Arial Narrow" w:hAnsi="Arial Narrow"/>
                <w:b/>
                <w:sz w:val="20"/>
              </w:rPr>
              <w:t>Time horizon</w:t>
            </w:r>
          </w:p>
        </w:tc>
        <w:tc>
          <w:tcPr>
            <w:tcW w:w="1250" w:type="pct"/>
            <w:vAlign w:val="center"/>
          </w:tcPr>
          <w:p w:rsidR="007125FD" w:rsidRPr="00B92322" w:rsidRDefault="007125FD" w:rsidP="009C1702">
            <w:pPr>
              <w:keepNext/>
              <w:keepLines/>
              <w:jc w:val="right"/>
              <w:rPr>
                <w:rFonts w:ascii="Arial Narrow" w:hAnsi="Arial Narrow"/>
                <w:b/>
                <w:sz w:val="20"/>
              </w:rPr>
            </w:pPr>
            <w:r w:rsidRPr="00B92322">
              <w:rPr>
                <w:rFonts w:ascii="Arial Narrow" w:hAnsi="Arial Narrow"/>
                <w:b/>
                <w:sz w:val="20"/>
              </w:rPr>
              <w:t>Adalimumab</w:t>
            </w:r>
          </w:p>
        </w:tc>
        <w:tc>
          <w:tcPr>
            <w:tcW w:w="1250" w:type="pct"/>
            <w:vAlign w:val="center"/>
          </w:tcPr>
          <w:p w:rsidR="007125FD" w:rsidRPr="00B92322" w:rsidRDefault="007125FD" w:rsidP="00A26B75">
            <w:pPr>
              <w:keepNext/>
              <w:keepLines/>
              <w:jc w:val="right"/>
              <w:rPr>
                <w:rFonts w:ascii="Arial Narrow" w:hAnsi="Arial Narrow"/>
                <w:b/>
                <w:sz w:val="20"/>
              </w:rPr>
            </w:pPr>
            <w:r w:rsidRPr="00B92322">
              <w:rPr>
                <w:rFonts w:ascii="Arial Narrow" w:hAnsi="Arial Narrow"/>
                <w:b/>
                <w:sz w:val="20"/>
              </w:rPr>
              <w:t>Infliximab</w:t>
            </w:r>
          </w:p>
        </w:tc>
        <w:tc>
          <w:tcPr>
            <w:tcW w:w="1250" w:type="pct"/>
            <w:vAlign w:val="center"/>
          </w:tcPr>
          <w:p w:rsidR="007125FD" w:rsidRPr="00B92322" w:rsidRDefault="007125FD" w:rsidP="00A26B75">
            <w:pPr>
              <w:keepNext/>
              <w:keepLines/>
              <w:jc w:val="right"/>
              <w:rPr>
                <w:rFonts w:ascii="Arial Narrow" w:hAnsi="Arial Narrow"/>
                <w:b/>
                <w:sz w:val="20"/>
              </w:rPr>
            </w:pPr>
            <w:r w:rsidRPr="00B92322">
              <w:rPr>
                <w:rFonts w:ascii="Arial Narrow" w:hAnsi="Arial Narrow"/>
                <w:b/>
                <w:sz w:val="20"/>
              </w:rPr>
              <w:t>Difference</w:t>
            </w:r>
          </w:p>
        </w:tc>
      </w:tr>
      <w:tr w:rsidR="007125FD" w:rsidRPr="00B92322" w:rsidTr="007125FD">
        <w:trPr>
          <w:trHeight w:val="57"/>
        </w:trPr>
        <w:tc>
          <w:tcPr>
            <w:tcW w:w="1250" w:type="pct"/>
            <w:vAlign w:val="center"/>
          </w:tcPr>
          <w:p w:rsidR="007125FD" w:rsidRPr="00B92322" w:rsidRDefault="007125FD" w:rsidP="00A26B75">
            <w:pPr>
              <w:keepNext/>
              <w:keepLines/>
              <w:jc w:val="left"/>
              <w:rPr>
                <w:rFonts w:ascii="Arial Narrow" w:hAnsi="Arial Narrow"/>
                <w:b/>
                <w:sz w:val="20"/>
              </w:rPr>
            </w:pPr>
            <w:r w:rsidRPr="00B92322">
              <w:rPr>
                <w:rFonts w:ascii="Arial Narrow" w:hAnsi="Arial Narrow"/>
                <w:b/>
                <w:sz w:val="20"/>
              </w:rPr>
              <w:t>Week 12 total</w:t>
            </w:r>
          </w:p>
        </w:tc>
        <w:tc>
          <w:tcPr>
            <w:tcW w:w="1250" w:type="pct"/>
            <w:vAlign w:val="bottom"/>
          </w:tcPr>
          <w:p w:rsidR="007125FD" w:rsidRPr="00042C6A" w:rsidRDefault="00042C6A" w:rsidP="00A26B75">
            <w:pPr>
              <w:pStyle w:val="TableFooter"/>
              <w:jc w:val="right"/>
              <w:rPr>
                <w:b/>
                <w:sz w:val="20"/>
                <w:highlight w:val="black"/>
              </w:rPr>
            </w:pPr>
            <w:r>
              <w:rPr>
                <w:b/>
                <w:noProof/>
                <w:color w:val="000000"/>
                <w:sz w:val="20"/>
                <w:highlight w:val="black"/>
              </w:rPr>
              <w:t>'''''''''''''</w:t>
            </w:r>
          </w:p>
        </w:tc>
        <w:tc>
          <w:tcPr>
            <w:tcW w:w="1250" w:type="pct"/>
            <w:vAlign w:val="bottom"/>
          </w:tcPr>
          <w:p w:rsidR="007125FD" w:rsidRPr="00042C6A" w:rsidRDefault="00042C6A" w:rsidP="00A26B75">
            <w:pPr>
              <w:pStyle w:val="TableFooter"/>
              <w:jc w:val="right"/>
              <w:rPr>
                <w:b/>
                <w:iCs/>
                <w:sz w:val="20"/>
                <w:highlight w:val="black"/>
              </w:rPr>
            </w:pPr>
            <w:r>
              <w:rPr>
                <w:b/>
                <w:iCs/>
                <w:noProof/>
                <w:color w:val="000000"/>
                <w:sz w:val="20"/>
                <w:highlight w:val="black"/>
              </w:rPr>
              <w:t>'''''''''''''</w:t>
            </w:r>
          </w:p>
        </w:tc>
        <w:tc>
          <w:tcPr>
            <w:tcW w:w="1250" w:type="pct"/>
            <w:vAlign w:val="bottom"/>
          </w:tcPr>
          <w:p w:rsidR="007125FD" w:rsidRPr="00042C6A" w:rsidRDefault="00042C6A" w:rsidP="00A26B75">
            <w:pPr>
              <w:pStyle w:val="TableFooter"/>
              <w:jc w:val="right"/>
              <w:rPr>
                <w:b/>
                <w:iCs/>
                <w:sz w:val="20"/>
                <w:highlight w:val="black"/>
              </w:rPr>
            </w:pPr>
            <w:r>
              <w:rPr>
                <w:b/>
                <w:iCs/>
                <w:noProof/>
                <w:color w:val="000000"/>
                <w:sz w:val="20"/>
                <w:highlight w:val="black"/>
              </w:rPr>
              <w:t>'''''''''''''''</w:t>
            </w:r>
          </w:p>
        </w:tc>
      </w:tr>
      <w:tr w:rsidR="007125FD" w:rsidRPr="00B92322" w:rsidTr="007125FD">
        <w:trPr>
          <w:trHeight w:val="57"/>
        </w:trPr>
        <w:tc>
          <w:tcPr>
            <w:tcW w:w="1250" w:type="pct"/>
            <w:vAlign w:val="center"/>
          </w:tcPr>
          <w:p w:rsidR="007125FD" w:rsidRPr="00B92322" w:rsidRDefault="007125FD" w:rsidP="00A26B75">
            <w:pPr>
              <w:keepNext/>
              <w:keepLines/>
              <w:ind w:left="142"/>
              <w:jc w:val="left"/>
              <w:rPr>
                <w:rFonts w:ascii="Arial Narrow" w:hAnsi="Arial Narrow"/>
                <w:sz w:val="20"/>
              </w:rPr>
            </w:pPr>
            <w:r w:rsidRPr="00B92322">
              <w:rPr>
                <w:rFonts w:ascii="Arial Narrow" w:hAnsi="Arial Narrow"/>
                <w:sz w:val="20"/>
              </w:rPr>
              <w:t>Drug</w:t>
            </w:r>
          </w:p>
        </w:tc>
        <w:tc>
          <w:tcPr>
            <w:tcW w:w="1250" w:type="pct"/>
            <w:vAlign w:val="bottom"/>
          </w:tcPr>
          <w:p w:rsidR="007125FD"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7125FD" w:rsidRPr="00042C6A" w:rsidRDefault="00042C6A" w:rsidP="00A26B75">
            <w:pPr>
              <w:pStyle w:val="TableFooter"/>
              <w:jc w:val="right"/>
              <w:rPr>
                <w:iCs/>
                <w:sz w:val="20"/>
                <w:highlight w:val="black"/>
              </w:rPr>
            </w:pPr>
            <w:r>
              <w:rPr>
                <w:iCs/>
                <w:noProof/>
                <w:color w:val="000000"/>
                <w:sz w:val="20"/>
                <w:highlight w:val="black"/>
              </w:rPr>
              <w:t>'''''''''''''''''</w:t>
            </w:r>
          </w:p>
        </w:tc>
        <w:tc>
          <w:tcPr>
            <w:tcW w:w="1250" w:type="pct"/>
            <w:vAlign w:val="bottom"/>
          </w:tcPr>
          <w:p w:rsidR="007125FD" w:rsidRPr="00042C6A" w:rsidRDefault="00042C6A" w:rsidP="00A26B75">
            <w:pPr>
              <w:pStyle w:val="TableFooter"/>
              <w:jc w:val="right"/>
              <w:rPr>
                <w:iCs/>
                <w:sz w:val="20"/>
                <w:highlight w:val="black"/>
              </w:rPr>
            </w:pPr>
            <w:r>
              <w:rPr>
                <w:iCs/>
                <w:noProof/>
                <w:color w:val="000000"/>
                <w:sz w:val="20"/>
                <w:highlight w:val="black"/>
              </w:rPr>
              <w:t>'''''''''''''</w:t>
            </w:r>
          </w:p>
        </w:tc>
      </w:tr>
      <w:tr w:rsidR="007125FD" w:rsidRPr="00B92322" w:rsidTr="007125FD">
        <w:trPr>
          <w:trHeight w:val="57"/>
        </w:trPr>
        <w:tc>
          <w:tcPr>
            <w:tcW w:w="1250" w:type="pct"/>
            <w:vAlign w:val="center"/>
          </w:tcPr>
          <w:p w:rsidR="007125FD" w:rsidRPr="00B92322" w:rsidRDefault="007125FD" w:rsidP="00A26B75">
            <w:pPr>
              <w:keepNext/>
              <w:keepLines/>
              <w:ind w:left="142"/>
              <w:rPr>
                <w:rFonts w:ascii="Arial Narrow" w:hAnsi="Arial Narrow"/>
                <w:sz w:val="20"/>
              </w:rPr>
            </w:pPr>
            <w:r w:rsidRPr="00B92322">
              <w:rPr>
                <w:rFonts w:ascii="Arial Narrow" w:hAnsi="Arial Narrow"/>
                <w:sz w:val="20"/>
              </w:rPr>
              <w:t>IV administration</w:t>
            </w:r>
          </w:p>
        </w:tc>
        <w:tc>
          <w:tcPr>
            <w:tcW w:w="1250" w:type="pct"/>
            <w:vAlign w:val="bottom"/>
          </w:tcPr>
          <w:p w:rsidR="007125FD"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7125FD"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7125FD" w:rsidRPr="00042C6A" w:rsidRDefault="00042C6A" w:rsidP="00A26B75">
            <w:pPr>
              <w:pStyle w:val="TableFooter"/>
              <w:jc w:val="right"/>
              <w:rPr>
                <w:iCs/>
                <w:sz w:val="20"/>
                <w:highlight w:val="black"/>
              </w:rPr>
            </w:pPr>
            <w:r>
              <w:rPr>
                <w:iCs/>
                <w:noProof/>
                <w:color w:val="000000"/>
                <w:sz w:val="20"/>
                <w:highlight w:val="black"/>
              </w:rPr>
              <w:t>'''''''''''''''''</w:t>
            </w:r>
          </w:p>
        </w:tc>
      </w:tr>
      <w:tr w:rsidR="007125FD" w:rsidRPr="00B92322" w:rsidTr="007125FD">
        <w:trPr>
          <w:trHeight w:val="57"/>
        </w:trPr>
        <w:tc>
          <w:tcPr>
            <w:tcW w:w="1250" w:type="pct"/>
            <w:vAlign w:val="center"/>
          </w:tcPr>
          <w:p w:rsidR="007125FD" w:rsidRPr="00B92322" w:rsidRDefault="007125FD" w:rsidP="00A26B75">
            <w:pPr>
              <w:keepNext/>
              <w:keepLines/>
              <w:jc w:val="left"/>
              <w:rPr>
                <w:rFonts w:ascii="Arial Narrow" w:hAnsi="Arial Narrow"/>
                <w:b/>
                <w:sz w:val="20"/>
              </w:rPr>
            </w:pPr>
            <w:r w:rsidRPr="00B92322">
              <w:rPr>
                <w:rFonts w:ascii="Arial Narrow" w:hAnsi="Arial Narrow"/>
                <w:b/>
                <w:sz w:val="20"/>
              </w:rPr>
              <w:t>Week 52 total</w:t>
            </w:r>
          </w:p>
        </w:tc>
        <w:tc>
          <w:tcPr>
            <w:tcW w:w="1250" w:type="pct"/>
            <w:vAlign w:val="bottom"/>
          </w:tcPr>
          <w:p w:rsidR="007125FD" w:rsidRPr="00042C6A" w:rsidRDefault="00042C6A" w:rsidP="00A26B75">
            <w:pPr>
              <w:pStyle w:val="TableFooter"/>
              <w:jc w:val="right"/>
              <w:rPr>
                <w:b/>
                <w:sz w:val="20"/>
                <w:highlight w:val="black"/>
              </w:rPr>
            </w:pPr>
            <w:r>
              <w:rPr>
                <w:b/>
                <w:noProof/>
                <w:color w:val="000000"/>
                <w:sz w:val="20"/>
                <w:highlight w:val="black"/>
              </w:rPr>
              <w:t>''''''''''''''</w:t>
            </w:r>
          </w:p>
        </w:tc>
        <w:tc>
          <w:tcPr>
            <w:tcW w:w="1250" w:type="pct"/>
            <w:vAlign w:val="bottom"/>
          </w:tcPr>
          <w:p w:rsidR="007125FD" w:rsidRPr="00042C6A" w:rsidRDefault="00042C6A" w:rsidP="00A26B75">
            <w:pPr>
              <w:pStyle w:val="TableFooter"/>
              <w:jc w:val="right"/>
              <w:rPr>
                <w:b/>
                <w:iCs/>
                <w:sz w:val="20"/>
                <w:highlight w:val="black"/>
              </w:rPr>
            </w:pPr>
            <w:r>
              <w:rPr>
                <w:b/>
                <w:iCs/>
                <w:noProof/>
                <w:color w:val="000000"/>
                <w:sz w:val="20"/>
                <w:highlight w:val="black"/>
              </w:rPr>
              <w:t>''''''''''''''''</w:t>
            </w:r>
          </w:p>
        </w:tc>
        <w:tc>
          <w:tcPr>
            <w:tcW w:w="1250" w:type="pct"/>
            <w:vAlign w:val="bottom"/>
          </w:tcPr>
          <w:p w:rsidR="007125FD" w:rsidRPr="00042C6A" w:rsidRDefault="00042C6A" w:rsidP="00A26B75">
            <w:pPr>
              <w:pStyle w:val="TableFooter"/>
              <w:jc w:val="right"/>
              <w:rPr>
                <w:b/>
                <w:iCs/>
                <w:sz w:val="20"/>
                <w:highlight w:val="black"/>
              </w:rPr>
            </w:pPr>
            <w:r>
              <w:rPr>
                <w:b/>
                <w:iCs/>
                <w:noProof/>
                <w:color w:val="000000"/>
                <w:sz w:val="20"/>
                <w:highlight w:val="black"/>
              </w:rPr>
              <w:t>'''''''''''''</w:t>
            </w:r>
          </w:p>
        </w:tc>
      </w:tr>
      <w:tr w:rsidR="006546DB" w:rsidRPr="00B92322" w:rsidTr="007125FD">
        <w:trPr>
          <w:trHeight w:val="57"/>
        </w:trPr>
        <w:tc>
          <w:tcPr>
            <w:tcW w:w="1250" w:type="pct"/>
            <w:vAlign w:val="center"/>
          </w:tcPr>
          <w:p w:rsidR="006546DB" w:rsidRPr="00B92322" w:rsidRDefault="006546DB" w:rsidP="00A26B75">
            <w:pPr>
              <w:keepNext/>
              <w:keepLines/>
              <w:ind w:left="142"/>
              <w:jc w:val="left"/>
              <w:rPr>
                <w:rFonts w:ascii="Arial Narrow" w:hAnsi="Arial Narrow"/>
                <w:sz w:val="20"/>
              </w:rPr>
            </w:pPr>
            <w:r w:rsidRPr="00B92322">
              <w:rPr>
                <w:rFonts w:ascii="Arial Narrow" w:hAnsi="Arial Narrow"/>
                <w:sz w:val="20"/>
              </w:rPr>
              <w:t>Drug</w:t>
            </w:r>
          </w:p>
        </w:tc>
        <w:tc>
          <w:tcPr>
            <w:tcW w:w="1250" w:type="pct"/>
            <w:vAlign w:val="bottom"/>
          </w:tcPr>
          <w:p w:rsidR="006546DB"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6546DB" w:rsidRPr="00042C6A" w:rsidRDefault="00042C6A" w:rsidP="00A26B75">
            <w:pPr>
              <w:pStyle w:val="TableFooter"/>
              <w:jc w:val="right"/>
              <w:rPr>
                <w:iCs/>
                <w:sz w:val="20"/>
                <w:highlight w:val="black"/>
              </w:rPr>
            </w:pPr>
            <w:r>
              <w:rPr>
                <w:iCs/>
                <w:noProof/>
                <w:color w:val="000000"/>
                <w:sz w:val="20"/>
                <w:highlight w:val="black"/>
              </w:rPr>
              <w:t>'''''''''''''''''''''</w:t>
            </w:r>
          </w:p>
        </w:tc>
        <w:tc>
          <w:tcPr>
            <w:tcW w:w="1250" w:type="pct"/>
            <w:vAlign w:val="bottom"/>
          </w:tcPr>
          <w:p w:rsidR="006546DB" w:rsidRPr="00042C6A" w:rsidRDefault="00042C6A" w:rsidP="00A26B75">
            <w:pPr>
              <w:pStyle w:val="TableFooter"/>
              <w:jc w:val="right"/>
              <w:rPr>
                <w:iCs/>
                <w:sz w:val="20"/>
                <w:highlight w:val="black"/>
              </w:rPr>
            </w:pPr>
            <w:r>
              <w:rPr>
                <w:iCs/>
                <w:noProof/>
                <w:color w:val="000000"/>
                <w:sz w:val="20"/>
                <w:highlight w:val="black"/>
              </w:rPr>
              <w:t>'''''''''''''''</w:t>
            </w:r>
          </w:p>
        </w:tc>
      </w:tr>
      <w:tr w:rsidR="006546DB" w:rsidRPr="00B92322" w:rsidTr="007125FD">
        <w:trPr>
          <w:trHeight w:val="57"/>
        </w:trPr>
        <w:tc>
          <w:tcPr>
            <w:tcW w:w="1250" w:type="pct"/>
            <w:vAlign w:val="center"/>
          </w:tcPr>
          <w:p w:rsidR="006546DB" w:rsidRPr="00B92322" w:rsidRDefault="006546DB" w:rsidP="00A26B75">
            <w:pPr>
              <w:keepNext/>
              <w:keepLines/>
              <w:ind w:left="142"/>
              <w:rPr>
                <w:rFonts w:ascii="Arial Narrow" w:hAnsi="Arial Narrow"/>
                <w:sz w:val="20"/>
              </w:rPr>
            </w:pPr>
            <w:r w:rsidRPr="00B92322">
              <w:rPr>
                <w:rFonts w:ascii="Arial Narrow" w:hAnsi="Arial Narrow"/>
                <w:sz w:val="20"/>
              </w:rPr>
              <w:t>IV administration</w:t>
            </w:r>
          </w:p>
        </w:tc>
        <w:tc>
          <w:tcPr>
            <w:tcW w:w="1250" w:type="pct"/>
            <w:vAlign w:val="bottom"/>
          </w:tcPr>
          <w:p w:rsidR="006546DB"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6546DB"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6546DB" w:rsidRPr="00042C6A" w:rsidRDefault="00042C6A" w:rsidP="00A26B75">
            <w:pPr>
              <w:pStyle w:val="TableFooter"/>
              <w:jc w:val="right"/>
              <w:rPr>
                <w:iCs/>
                <w:sz w:val="20"/>
                <w:highlight w:val="black"/>
              </w:rPr>
            </w:pPr>
            <w:r>
              <w:rPr>
                <w:iCs/>
                <w:noProof/>
                <w:color w:val="000000"/>
                <w:sz w:val="20"/>
                <w:highlight w:val="black"/>
              </w:rPr>
              <w:t>'''''''''''''''''</w:t>
            </w:r>
          </w:p>
        </w:tc>
      </w:tr>
      <w:tr w:rsidR="006546DB" w:rsidRPr="00B92322" w:rsidTr="007125FD">
        <w:trPr>
          <w:trHeight w:val="57"/>
        </w:trPr>
        <w:tc>
          <w:tcPr>
            <w:tcW w:w="1250" w:type="pct"/>
            <w:vAlign w:val="center"/>
          </w:tcPr>
          <w:p w:rsidR="006546DB" w:rsidRPr="00B92322" w:rsidRDefault="006546DB" w:rsidP="00A26B75">
            <w:pPr>
              <w:keepNext/>
              <w:keepLines/>
              <w:rPr>
                <w:rFonts w:ascii="Arial Narrow" w:hAnsi="Arial Narrow"/>
                <w:b/>
                <w:sz w:val="20"/>
              </w:rPr>
            </w:pPr>
            <w:r w:rsidRPr="00B92322">
              <w:rPr>
                <w:rFonts w:ascii="Arial Narrow" w:hAnsi="Arial Narrow"/>
                <w:b/>
                <w:sz w:val="20"/>
              </w:rPr>
              <w:t>Subsequent years total</w:t>
            </w:r>
          </w:p>
        </w:tc>
        <w:tc>
          <w:tcPr>
            <w:tcW w:w="1250" w:type="pct"/>
            <w:vAlign w:val="bottom"/>
          </w:tcPr>
          <w:p w:rsidR="006546DB" w:rsidRPr="00042C6A" w:rsidRDefault="00042C6A" w:rsidP="00A26B75">
            <w:pPr>
              <w:pStyle w:val="TableFooter"/>
              <w:jc w:val="right"/>
              <w:rPr>
                <w:b/>
                <w:sz w:val="20"/>
                <w:highlight w:val="black"/>
              </w:rPr>
            </w:pPr>
            <w:r>
              <w:rPr>
                <w:b/>
                <w:noProof/>
                <w:color w:val="000000"/>
                <w:sz w:val="20"/>
                <w:highlight w:val="black"/>
              </w:rPr>
              <w:t>''''''''''''''''</w:t>
            </w:r>
          </w:p>
        </w:tc>
        <w:tc>
          <w:tcPr>
            <w:tcW w:w="1250" w:type="pct"/>
            <w:vAlign w:val="bottom"/>
          </w:tcPr>
          <w:p w:rsidR="006546DB" w:rsidRPr="00042C6A" w:rsidRDefault="00042C6A" w:rsidP="00A26B75">
            <w:pPr>
              <w:pStyle w:val="TableFooter"/>
              <w:jc w:val="right"/>
              <w:rPr>
                <w:b/>
                <w:iCs/>
                <w:sz w:val="20"/>
                <w:highlight w:val="black"/>
              </w:rPr>
            </w:pPr>
            <w:r>
              <w:rPr>
                <w:b/>
                <w:iCs/>
                <w:noProof/>
                <w:color w:val="000000"/>
                <w:sz w:val="20"/>
                <w:highlight w:val="black"/>
              </w:rPr>
              <w:t>''''''''''''''</w:t>
            </w:r>
          </w:p>
        </w:tc>
        <w:tc>
          <w:tcPr>
            <w:tcW w:w="1250" w:type="pct"/>
            <w:vAlign w:val="bottom"/>
          </w:tcPr>
          <w:p w:rsidR="006546DB" w:rsidRPr="00042C6A" w:rsidRDefault="00042C6A" w:rsidP="00A26B75">
            <w:pPr>
              <w:pStyle w:val="TableFooter"/>
              <w:jc w:val="right"/>
              <w:rPr>
                <w:b/>
                <w:iCs/>
                <w:sz w:val="20"/>
                <w:highlight w:val="black"/>
              </w:rPr>
            </w:pPr>
            <w:r>
              <w:rPr>
                <w:b/>
                <w:iCs/>
                <w:noProof/>
                <w:color w:val="000000"/>
                <w:sz w:val="20"/>
                <w:highlight w:val="black"/>
              </w:rPr>
              <w:t>''''''''''''''</w:t>
            </w:r>
          </w:p>
        </w:tc>
      </w:tr>
      <w:tr w:rsidR="006546DB" w:rsidRPr="00B92322" w:rsidTr="007125FD">
        <w:trPr>
          <w:trHeight w:val="57"/>
        </w:trPr>
        <w:tc>
          <w:tcPr>
            <w:tcW w:w="1250" w:type="pct"/>
            <w:vAlign w:val="center"/>
          </w:tcPr>
          <w:p w:rsidR="006546DB" w:rsidRPr="00B92322" w:rsidRDefault="006546DB" w:rsidP="00A26B75">
            <w:pPr>
              <w:keepNext/>
              <w:keepLines/>
              <w:ind w:left="142"/>
              <w:jc w:val="left"/>
              <w:rPr>
                <w:rFonts w:ascii="Arial Narrow" w:hAnsi="Arial Narrow"/>
                <w:sz w:val="20"/>
              </w:rPr>
            </w:pPr>
            <w:r w:rsidRPr="00B92322">
              <w:rPr>
                <w:rFonts w:ascii="Arial Narrow" w:hAnsi="Arial Narrow"/>
                <w:sz w:val="20"/>
              </w:rPr>
              <w:t>Drug</w:t>
            </w:r>
          </w:p>
        </w:tc>
        <w:tc>
          <w:tcPr>
            <w:tcW w:w="1250" w:type="pct"/>
            <w:vAlign w:val="bottom"/>
          </w:tcPr>
          <w:p w:rsidR="006546DB"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6546DB" w:rsidRPr="00042C6A" w:rsidRDefault="00042C6A" w:rsidP="00A26B75">
            <w:pPr>
              <w:pStyle w:val="TableFooter"/>
              <w:jc w:val="right"/>
              <w:rPr>
                <w:iCs/>
                <w:sz w:val="20"/>
                <w:highlight w:val="black"/>
              </w:rPr>
            </w:pPr>
            <w:r>
              <w:rPr>
                <w:iCs/>
                <w:noProof/>
                <w:color w:val="000000"/>
                <w:sz w:val="20"/>
                <w:highlight w:val="black"/>
              </w:rPr>
              <w:t>''''''''''''''''''''</w:t>
            </w:r>
          </w:p>
        </w:tc>
        <w:tc>
          <w:tcPr>
            <w:tcW w:w="1250" w:type="pct"/>
            <w:vAlign w:val="bottom"/>
          </w:tcPr>
          <w:p w:rsidR="006546DB" w:rsidRPr="00042C6A" w:rsidRDefault="00042C6A" w:rsidP="00A26B75">
            <w:pPr>
              <w:pStyle w:val="TableFooter"/>
              <w:jc w:val="right"/>
              <w:rPr>
                <w:iCs/>
                <w:sz w:val="20"/>
                <w:highlight w:val="black"/>
              </w:rPr>
            </w:pPr>
            <w:r>
              <w:rPr>
                <w:iCs/>
                <w:noProof/>
                <w:color w:val="000000"/>
                <w:sz w:val="20"/>
                <w:highlight w:val="black"/>
              </w:rPr>
              <w:t>'''''''''''''''''</w:t>
            </w:r>
          </w:p>
        </w:tc>
      </w:tr>
      <w:tr w:rsidR="007125FD" w:rsidRPr="00B92322" w:rsidTr="007125FD">
        <w:trPr>
          <w:trHeight w:val="57"/>
        </w:trPr>
        <w:tc>
          <w:tcPr>
            <w:tcW w:w="1250" w:type="pct"/>
            <w:vAlign w:val="center"/>
          </w:tcPr>
          <w:p w:rsidR="007125FD" w:rsidRPr="00B92322" w:rsidRDefault="007125FD" w:rsidP="00A26B75">
            <w:pPr>
              <w:keepNext/>
              <w:keepLines/>
              <w:ind w:left="142"/>
              <w:jc w:val="left"/>
              <w:rPr>
                <w:rFonts w:ascii="Arial Narrow" w:hAnsi="Arial Narrow"/>
                <w:sz w:val="20"/>
              </w:rPr>
            </w:pPr>
            <w:r w:rsidRPr="00B92322">
              <w:rPr>
                <w:rFonts w:ascii="Arial Narrow" w:hAnsi="Arial Narrow"/>
                <w:sz w:val="20"/>
              </w:rPr>
              <w:t>IV administration</w:t>
            </w:r>
          </w:p>
        </w:tc>
        <w:tc>
          <w:tcPr>
            <w:tcW w:w="1250" w:type="pct"/>
            <w:vAlign w:val="bottom"/>
          </w:tcPr>
          <w:p w:rsidR="007125FD"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7125FD" w:rsidRPr="00042C6A" w:rsidRDefault="00042C6A" w:rsidP="00A26B75">
            <w:pPr>
              <w:pStyle w:val="TableFooter"/>
              <w:jc w:val="right"/>
              <w:rPr>
                <w:sz w:val="20"/>
                <w:highlight w:val="black"/>
              </w:rPr>
            </w:pPr>
            <w:r>
              <w:rPr>
                <w:noProof/>
                <w:color w:val="000000"/>
                <w:sz w:val="20"/>
                <w:highlight w:val="black"/>
              </w:rPr>
              <w:t>'''''''''''''''</w:t>
            </w:r>
          </w:p>
        </w:tc>
        <w:tc>
          <w:tcPr>
            <w:tcW w:w="1250" w:type="pct"/>
            <w:vAlign w:val="bottom"/>
          </w:tcPr>
          <w:p w:rsidR="007125FD" w:rsidRPr="00042C6A" w:rsidRDefault="00042C6A" w:rsidP="00A26B75">
            <w:pPr>
              <w:pStyle w:val="TableFooter"/>
              <w:jc w:val="right"/>
              <w:rPr>
                <w:iCs/>
                <w:sz w:val="20"/>
                <w:highlight w:val="black"/>
              </w:rPr>
            </w:pPr>
            <w:r>
              <w:rPr>
                <w:iCs/>
                <w:noProof/>
                <w:color w:val="000000"/>
                <w:sz w:val="20"/>
                <w:highlight w:val="black"/>
              </w:rPr>
              <w:t>'''''''''''''''''''</w:t>
            </w:r>
          </w:p>
        </w:tc>
      </w:tr>
    </w:tbl>
    <w:p w:rsidR="007125FD" w:rsidRPr="00B92322" w:rsidRDefault="007125FD" w:rsidP="007125FD">
      <w:pPr>
        <w:pStyle w:val="TableFooter"/>
        <w:keepNext/>
        <w:keepLines/>
        <w:ind w:left="709"/>
      </w:pPr>
      <w:r w:rsidRPr="00B92322">
        <w:t>Source: Compiled based on Table 4, p7 of the PSCR;</w:t>
      </w:r>
    </w:p>
    <w:p w:rsidR="007125FD" w:rsidRPr="00B92322" w:rsidRDefault="007125FD" w:rsidP="007125FD">
      <w:pPr>
        <w:pStyle w:val="TableFooter"/>
        <w:keepNext/>
        <w:keepLines/>
        <w:ind w:left="709"/>
      </w:pPr>
      <w:r w:rsidRPr="00B92322">
        <w:t xml:space="preserve">Italics calculated during evaluation; </w:t>
      </w:r>
      <w:proofErr w:type="gramStart"/>
      <w:r w:rsidRPr="00B92322">
        <w:t>The</w:t>
      </w:r>
      <w:proofErr w:type="gramEnd"/>
      <w:r w:rsidRPr="00B92322">
        <w:t xml:space="preserve"> values for infliximab were slightly different, using the average number of vials (</w:t>
      </w:r>
      <w:r w:rsidR="00042C6A">
        <w:rPr>
          <w:noProof/>
          <w:color w:val="000000"/>
          <w:highlight w:val="black"/>
        </w:rPr>
        <w:t>'''''''''''''</w:t>
      </w:r>
      <w:r w:rsidRPr="00B92322">
        <w:t xml:space="preserve">) from the Section E spreadsheet. </w:t>
      </w:r>
    </w:p>
    <w:p w:rsidR="007125FD" w:rsidRPr="00B92322" w:rsidRDefault="007125FD" w:rsidP="007125FD">
      <w:pPr>
        <w:pStyle w:val="TableFooter"/>
        <w:keepNext/>
        <w:keepLines/>
        <w:ind w:left="709"/>
      </w:pPr>
      <w:r w:rsidRPr="00B92322">
        <w:t>DPMQ = dispensed price, maximum quantity; IV = intravenous</w:t>
      </w:r>
    </w:p>
    <w:p w:rsidR="007125FD" w:rsidRPr="006546DB" w:rsidRDefault="007125FD" w:rsidP="007125FD">
      <w:pPr>
        <w:pStyle w:val="ListParagraph"/>
        <w:widowControl/>
        <w:rPr>
          <w:i/>
          <w:szCs w:val="22"/>
        </w:rPr>
      </w:pPr>
    </w:p>
    <w:p w:rsidR="009C1702" w:rsidRPr="00B92322" w:rsidRDefault="005A6AEF" w:rsidP="00955E40">
      <w:pPr>
        <w:pStyle w:val="ListParagraph"/>
        <w:widowControl/>
        <w:numPr>
          <w:ilvl w:val="1"/>
          <w:numId w:val="1"/>
        </w:numPr>
        <w:rPr>
          <w:szCs w:val="22"/>
        </w:rPr>
      </w:pPr>
      <w:r>
        <w:rPr>
          <w:szCs w:val="22"/>
        </w:rPr>
        <w:t>The table above</w:t>
      </w:r>
      <w:r w:rsidR="009C1702" w:rsidRPr="00B92322">
        <w:rPr>
          <w:szCs w:val="22"/>
        </w:rPr>
        <w:t xml:space="preserve"> includes the cost of in</w:t>
      </w:r>
      <w:r w:rsidR="006864F7" w:rsidRPr="00B92322">
        <w:rPr>
          <w:szCs w:val="22"/>
        </w:rPr>
        <w:t>-</w:t>
      </w:r>
      <w:r w:rsidR="009C1702" w:rsidRPr="00B92322">
        <w:rPr>
          <w:szCs w:val="22"/>
        </w:rPr>
        <w:t xml:space="preserve">patient infliximab administration. A </w:t>
      </w:r>
      <w:r w:rsidR="008C3643" w:rsidRPr="00B92322">
        <w:rPr>
          <w:szCs w:val="22"/>
        </w:rPr>
        <w:t xml:space="preserve">further </w:t>
      </w:r>
      <w:r w:rsidR="009C1702" w:rsidRPr="00B92322">
        <w:rPr>
          <w:szCs w:val="22"/>
        </w:rPr>
        <w:t xml:space="preserve">sensitivity analysis was performed excluding these costs (see </w:t>
      </w:r>
      <w:r>
        <w:rPr>
          <w:szCs w:val="22"/>
        </w:rPr>
        <w:t>table below</w:t>
      </w:r>
      <w:r w:rsidR="009C1702" w:rsidRPr="00B92322">
        <w:rPr>
          <w:szCs w:val="22"/>
        </w:rPr>
        <w:t xml:space="preserve">). </w:t>
      </w:r>
      <w:r w:rsidR="009C1702" w:rsidRPr="00B92322">
        <w:t xml:space="preserve">The </w:t>
      </w:r>
      <w:r w:rsidR="009370E1" w:rsidRPr="00B92322">
        <w:t xml:space="preserve">updated </w:t>
      </w:r>
      <w:r w:rsidR="009C1702" w:rsidRPr="00B92322">
        <w:t>sensitivity analysis indicates</w:t>
      </w:r>
      <w:r w:rsidR="009370E1" w:rsidRPr="00B92322">
        <w:t xml:space="preserve"> that </w:t>
      </w:r>
      <w:r w:rsidR="009C1702" w:rsidRPr="00B92322">
        <w:t xml:space="preserve">adalimumab </w:t>
      </w:r>
      <w:r w:rsidR="009370E1" w:rsidRPr="00B92322">
        <w:t xml:space="preserve">may be even more costly </w:t>
      </w:r>
      <w:r w:rsidR="006864F7" w:rsidRPr="00B92322">
        <w:t xml:space="preserve">than infliximab with the in-patient cost removed </w:t>
      </w:r>
      <w:r w:rsidR="00401D7F">
        <w:t>than previously estimated.</w:t>
      </w:r>
    </w:p>
    <w:p w:rsidR="009370E1" w:rsidRPr="00B92322" w:rsidRDefault="009370E1" w:rsidP="009370E1">
      <w:pPr>
        <w:pStyle w:val="ListParagraph"/>
        <w:widowControl/>
        <w:rPr>
          <w:szCs w:val="22"/>
        </w:rPr>
      </w:pPr>
    </w:p>
    <w:p w:rsidR="009C1702" w:rsidRPr="00B92322" w:rsidRDefault="009C1702" w:rsidP="009C1702">
      <w:pPr>
        <w:keepNext/>
        <w:keepLines/>
        <w:ind w:left="709"/>
        <w:rPr>
          <w:rStyle w:val="CommentReference"/>
          <w:rFonts w:eastAsia="Calibri"/>
        </w:rPr>
      </w:pPr>
      <w:r w:rsidRPr="00B92322">
        <w:rPr>
          <w:rStyle w:val="CommentReference"/>
          <w:rFonts w:eastAsia="Calibri"/>
        </w:rPr>
        <w:t xml:space="preserve">Sensitivity analyses of adalimumab and infliximab treatment costs </w:t>
      </w:r>
    </w:p>
    <w:tbl>
      <w:tblPr>
        <w:tblW w:w="4559"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3"/>
        <w:gridCol w:w="919"/>
        <w:gridCol w:w="873"/>
        <w:gridCol w:w="1629"/>
      </w:tblGrid>
      <w:tr w:rsidR="009C1702" w:rsidRPr="00B92322" w:rsidTr="009C1702">
        <w:trPr>
          <w:trHeight w:val="113"/>
        </w:trPr>
        <w:tc>
          <w:tcPr>
            <w:tcW w:w="2692" w:type="pct"/>
            <w:shd w:val="clear" w:color="auto" w:fill="auto"/>
            <w:noWrap/>
            <w:vAlign w:val="bottom"/>
          </w:tcPr>
          <w:p w:rsidR="009C1702" w:rsidRPr="00B92322" w:rsidRDefault="009C1702" w:rsidP="00A26B75">
            <w:pPr>
              <w:pStyle w:val="TableFooter"/>
              <w:keepNext/>
              <w:rPr>
                <w:snapToGrid/>
                <w:sz w:val="20"/>
                <w:lang w:eastAsia="en-GB"/>
              </w:rPr>
            </w:pPr>
          </w:p>
        </w:tc>
        <w:tc>
          <w:tcPr>
            <w:tcW w:w="2308" w:type="pct"/>
            <w:gridSpan w:val="3"/>
            <w:shd w:val="clear" w:color="auto" w:fill="auto"/>
            <w:noWrap/>
            <w:vAlign w:val="center"/>
          </w:tcPr>
          <w:p w:rsidR="009C1702" w:rsidRPr="00B92322" w:rsidRDefault="009C1702" w:rsidP="00A26B75">
            <w:pPr>
              <w:pStyle w:val="TableFooter"/>
              <w:keepNext/>
              <w:jc w:val="center"/>
              <w:rPr>
                <w:b/>
                <w:snapToGrid/>
                <w:sz w:val="20"/>
                <w:lang w:eastAsia="en-GB"/>
              </w:rPr>
            </w:pPr>
            <w:r w:rsidRPr="00B92322">
              <w:rPr>
                <w:b/>
                <w:snapToGrid/>
                <w:sz w:val="20"/>
                <w:lang w:eastAsia="en-GB"/>
              </w:rPr>
              <w:t>Incremental cost</w:t>
            </w:r>
          </w:p>
        </w:tc>
      </w:tr>
      <w:tr w:rsidR="009C1702" w:rsidRPr="00B92322" w:rsidTr="009C1702">
        <w:trPr>
          <w:trHeight w:val="113"/>
        </w:trPr>
        <w:tc>
          <w:tcPr>
            <w:tcW w:w="2692" w:type="pct"/>
            <w:shd w:val="clear" w:color="auto" w:fill="auto"/>
            <w:noWrap/>
            <w:vAlign w:val="bottom"/>
            <w:hideMark/>
          </w:tcPr>
          <w:p w:rsidR="009C1702" w:rsidRPr="00B92322" w:rsidRDefault="009C1702" w:rsidP="00A26B75">
            <w:pPr>
              <w:pStyle w:val="TableFooter"/>
              <w:keepNext/>
              <w:rPr>
                <w:snapToGrid/>
                <w:sz w:val="20"/>
                <w:lang w:eastAsia="en-GB"/>
              </w:rPr>
            </w:pPr>
          </w:p>
        </w:tc>
        <w:tc>
          <w:tcPr>
            <w:tcW w:w="589" w:type="pct"/>
            <w:shd w:val="clear" w:color="auto" w:fill="auto"/>
            <w:noWrap/>
            <w:vAlign w:val="center"/>
            <w:hideMark/>
          </w:tcPr>
          <w:p w:rsidR="009C1702" w:rsidRPr="00B92322" w:rsidRDefault="009C1702" w:rsidP="00A26B75">
            <w:pPr>
              <w:pStyle w:val="TableFooter"/>
              <w:keepNext/>
              <w:jc w:val="right"/>
              <w:rPr>
                <w:b/>
                <w:snapToGrid/>
                <w:sz w:val="20"/>
                <w:lang w:eastAsia="en-GB"/>
              </w:rPr>
            </w:pPr>
            <w:r w:rsidRPr="00B92322">
              <w:rPr>
                <w:b/>
                <w:snapToGrid/>
                <w:sz w:val="20"/>
                <w:lang w:eastAsia="en-GB"/>
              </w:rPr>
              <w:t xml:space="preserve"> Week 12</w:t>
            </w:r>
          </w:p>
        </w:tc>
        <w:tc>
          <w:tcPr>
            <w:tcW w:w="589" w:type="pct"/>
            <w:shd w:val="clear" w:color="auto" w:fill="auto"/>
            <w:noWrap/>
            <w:vAlign w:val="center"/>
            <w:hideMark/>
          </w:tcPr>
          <w:p w:rsidR="009C1702" w:rsidRPr="00B92322" w:rsidRDefault="009C1702" w:rsidP="00A26B75">
            <w:pPr>
              <w:pStyle w:val="TableFooter"/>
              <w:keepNext/>
              <w:jc w:val="right"/>
              <w:rPr>
                <w:b/>
                <w:snapToGrid/>
                <w:sz w:val="20"/>
                <w:lang w:eastAsia="en-GB"/>
              </w:rPr>
            </w:pPr>
            <w:r w:rsidRPr="00B92322">
              <w:rPr>
                <w:b/>
                <w:snapToGrid/>
                <w:sz w:val="20"/>
                <w:lang w:eastAsia="en-GB"/>
              </w:rPr>
              <w:t>Week 52</w:t>
            </w:r>
          </w:p>
        </w:tc>
        <w:tc>
          <w:tcPr>
            <w:tcW w:w="1131" w:type="pct"/>
            <w:shd w:val="clear" w:color="auto" w:fill="auto"/>
            <w:noWrap/>
            <w:vAlign w:val="center"/>
            <w:hideMark/>
          </w:tcPr>
          <w:p w:rsidR="009C1702" w:rsidRPr="00B92322" w:rsidRDefault="009C1702" w:rsidP="00A26B75">
            <w:pPr>
              <w:pStyle w:val="TableFooter"/>
              <w:keepNext/>
              <w:jc w:val="right"/>
              <w:rPr>
                <w:b/>
                <w:snapToGrid/>
                <w:sz w:val="20"/>
                <w:lang w:eastAsia="en-GB"/>
              </w:rPr>
            </w:pPr>
            <w:r w:rsidRPr="00B92322">
              <w:rPr>
                <w:b/>
                <w:snapToGrid/>
                <w:sz w:val="20"/>
                <w:lang w:eastAsia="en-GB"/>
              </w:rPr>
              <w:t>Subsequent years</w:t>
            </w:r>
          </w:p>
        </w:tc>
      </w:tr>
      <w:tr w:rsidR="009C1702" w:rsidRPr="00B92322" w:rsidTr="009C1702">
        <w:trPr>
          <w:trHeight w:val="113"/>
        </w:trPr>
        <w:tc>
          <w:tcPr>
            <w:tcW w:w="2692" w:type="pct"/>
            <w:shd w:val="clear" w:color="auto" w:fill="auto"/>
            <w:noWrap/>
            <w:vAlign w:val="bottom"/>
            <w:hideMark/>
          </w:tcPr>
          <w:p w:rsidR="009C1702" w:rsidRPr="00B92322" w:rsidRDefault="009C1702" w:rsidP="008C3643">
            <w:pPr>
              <w:pStyle w:val="TableFooter"/>
              <w:keepNext/>
              <w:rPr>
                <w:snapToGrid/>
                <w:sz w:val="20"/>
                <w:lang w:eastAsia="en-GB"/>
              </w:rPr>
            </w:pPr>
            <w:r w:rsidRPr="00B92322">
              <w:rPr>
                <w:snapToGrid/>
                <w:sz w:val="20"/>
                <w:lang w:eastAsia="en-GB"/>
              </w:rPr>
              <w:t>Revised base case (</w:t>
            </w:r>
            <w:r w:rsidR="00042C6A">
              <w:rPr>
                <w:noProof/>
                <w:snapToGrid/>
                <w:color w:val="000000"/>
                <w:sz w:val="20"/>
                <w:highlight w:val="black"/>
                <w:lang w:eastAsia="en-GB"/>
              </w:rPr>
              <w:t>'''''''''''''''''''''' ''''''''''' '''''''''''''''</w:t>
            </w:r>
            <w:r w:rsidRPr="00B92322">
              <w:rPr>
                <w:snapToGrid/>
                <w:sz w:val="20"/>
                <w:lang w:eastAsia="en-GB"/>
              </w:rPr>
              <w:t xml:space="preserve"> infliximab vials)</w:t>
            </w:r>
          </w:p>
        </w:tc>
        <w:tc>
          <w:tcPr>
            <w:tcW w:w="589" w:type="pct"/>
            <w:shd w:val="clear" w:color="000000" w:fill="FFFFFF"/>
            <w:noWrap/>
            <w:vAlign w:val="center"/>
            <w:hideMark/>
          </w:tcPr>
          <w:p w:rsidR="009C1702" w:rsidRPr="00042C6A" w:rsidRDefault="00042C6A" w:rsidP="00A26B75">
            <w:pPr>
              <w:pStyle w:val="TableFooter"/>
              <w:keepNext/>
              <w:jc w:val="right"/>
              <w:rPr>
                <w:snapToGrid/>
                <w:sz w:val="20"/>
                <w:highlight w:val="black"/>
                <w:lang w:eastAsia="en-GB"/>
              </w:rPr>
            </w:pPr>
            <w:r>
              <w:rPr>
                <w:noProof/>
                <w:snapToGrid/>
                <w:color w:val="000000"/>
                <w:sz w:val="20"/>
                <w:highlight w:val="black"/>
                <w:lang w:eastAsia="en-GB"/>
              </w:rPr>
              <w:t>''''''''''''''''''</w:t>
            </w:r>
          </w:p>
        </w:tc>
        <w:tc>
          <w:tcPr>
            <w:tcW w:w="589" w:type="pct"/>
            <w:shd w:val="clear" w:color="000000" w:fill="FFFFFF"/>
            <w:noWrap/>
            <w:vAlign w:val="center"/>
            <w:hideMark/>
          </w:tcPr>
          <w:p w:rsidR="009C1702" w:rsidRPr="00042C6A" w:rsidRDefault="00042C6A" w:rsidP="00A26B75">
            <w:pPr>
              <w:pStyle w:val="TableFooter"/>
              <w:keepNext/>
              <w:jc w:val="right"/>
              <w:rPr>
                <w:snapToGrid/>
                <w:sz w:val="20"/>
                <w:highlight w:val="black"/>
                <w:lang w:eastAsia="en-GB"/>
              </w:rPr>
            </w:pPr>
            <w:r>
              <w:rPr>
                <w:noProof/>
                <w:snapToGrid/>
                <w:color w:val="000000"/>
                <w:sz w:val="20"/>
                <w:highlight w:val="black"/>
                <w:lang w:eastAsia="en-GB"/>
              </w:rPr>
              <w:t>''''''''''''''''''''</w:t>
            </w:r>
          </w:p>
        </w:tc>
        <w:tc>
          <w:tcPr>
            <w:tcW w:w="1131" w:type="pct"/>
            <w:shd w:val="clear" w:color="000000" w:fill="FFFFFF"/>
            <w:noWrap/>
            <w:vAlign w:val="center"/>
            <w:hideMark/>
          </w:tcPr>
          <w:p w:rsidR="009C1702" w:rsidRPr="00042C6A" w:rsidRDefault="00042C6A" w:rsidP="00A26B75">
            <w:pPr>
              <w:pStyle w:val="TableFooter"/>
              <w:keepNext/>
              <w:jc w:val="right"/>
              <w:rPr>
                <w:snapToGrid/>
                <w:sz w:val="20"/>
                <w:highlight w:val="black"/>
                <w:lang w:eastAsia="en-GB"/>
              </w:rPr>
            </w:pPr>
            <w:r>
              <w:rPr>
                <w:noProof/>
                <w:snapToGrid/>
                <w:color w:val="000000"/>
                <w:sz w:val="20"/>
                <w:highlight w:val="black"/>
                <w:lang w:eastAsia="en-GB"/>
              </w:rPr>
              <w:t>''''''''''''''''''</w:t>
            </w:r>
          </w:p>
        </w:tc>
      </w:tr>
      <w:tr w:rsidR="009C1702" w:rsidRPr="00B92322" w:rsidTr="009C1702">
        <w:trPr>
          <w:trHeight w:val="113"/>
        </w:trPr>
        <w:tc>
          <w:tcPr>
            <w:tcW w:w="2692" w:type="pct"/>
            <w:shd w:val="clear" w:color="000000" w:fill="FFFFFF"/>
            <w:noWrap/>
            <w:vAlign w:val="bottom"/>
            <w:hideMark/>
          </w:tcPr>
          <w:p w:rsidR="009C1702" w:rsidRPr="00B92322" w:rsidRDefault="009C1702" w:rsidP="00A26B75">
            <w:pPr>
              <w:pStyle w:val="TableFooter"/>
              <w:keepNext/>
              <w:rPr>
                <w:snapToGrid/>
                <w:sz w:val="20"/>
                <w:lang w:eastAsia="en-GB"/>
              </w:rPr>
            </w:pPr>
            <w:r w:rsidRPr="00B92322">
              <w:rPr>
                <w:snapToGrid/>
                <w:sz w:val="20"/>
                <w:lang w:eastAsia="en-GB"/>
              </w:rPr>
              <w:t>Infusion cost MBS item only (base case MBS + hospital cost $</w:t>
            </w:r>
            <w:r w:rsidR="00042C6A">
              <w:rPr>
                <w:noProof/>
                <w:snapToGrid/>
                <w:color w:val="000000"/>
                <w:sz w:val="20"/>
                <w:highlight w:val="black"/>
                <w:lang w:eastAsia="en-GB"/>
              </w:rPr>
              <w:t>'''''''''</w:t>
            </w:r>
            <w:r w:rsidRPr="00B92322">
              <w:rPr>
                <w:snapToGrid/>
                <w:sz w:val="20"/>
                <w:lang w:eastAsia="en-GB"/>
              </w:rPr>
              <w:t>)</w:t>
            </w:r>
          </w:p>
        </w:tc>
        <w:tc>
          <w:tcPr>
            <w:tcW w:w="589" w:type="pct"/>
            <w:shd w:val="clear" w:color="000000" w:fill="FFFFFF"/>
            <w:noWrap/>
            <w:vAlign w:val="center"/>
            <w:hideMark/>
          </w:tcPr>
          <w:p w:rsidR="009C1702" w:rsidRPr="00042C6A" w:rsidRDefault="00042C6A" w:rsidP="00A26B75">
            <w:pPr>
              <w:pStyle w:val="TableFooter"/>
              <w:keepNext/>
              <w:jc w:val="right"/>
              <w:rPr>
                <w:snapToGrid/>
                <w:sz w:val="20"/>
                <w:highlight w:val="black"/>
                <w:lang w:eastAsia="en-GB"/>
              </w:rPr>
            </w:pPr>
            <w:r>
              <w:rPr>
                <w:noProof/>
                <w:snapToGrid/>
                <w:color w:val="000000"/>
                <w:sz w:val="20"/>
                <w:highlight w:val="black"/>
                <w:lang w:eastAsia="en-GB"/>
              </w:rPr>
              <w:t>'''''''''''</w:t>
            </w:r>
          </w:p>
        </w:tc>
        <w:tc>
          <w:tcPr>
            <w:tcW w:w="589" w:type="pct"/>
            <w:shd w:val="clear" w:color="000000" w:fill="FFFFFF"/>
            <w:noWrap/>
            <w:vAlign w:val="center"/>
            <w:hideMark/>
          </w:tcPr>
          <w:p w:rsidR="009C1702" w:rsidRPr="00042C6A" w:rsidRDefault="00042C6A" w:rsidP="00A26B75">
            <w:pPr>
              <w:pStyle w:val="TableFooter"/>
              <w:keepNext/>
              <w:jc w:val="right"/>
              <w:rPr>
                <w:snapToGrid/>
                <w:sz w:val="20"/>
                <w:highlight w:val="black"/>
                <w:lang w:eastAsia="en-GB"/>
              </w:rPr>
            </w:pPr>
            <w:r>
              <w:rPr>
                <w:noProof/>
                <w:snapToGrid/>
                <w:color w:val="000000"/>
                <w:sz w:val="20"/>
                <w:highlight w:val="black"/>
                <w:lang w:eastAsia="en-GB"/>
              </w:rPr>
              <w:t>'''''''''''''''</w:t>
            </w:r>
          </w:p>
        </w:tc>
        <w:tc>
          <w:tcPr>
            <w:tcW w:w="1131" w:type="pct"/>
            <w:shd w:val="clear" w:color="000000" w:fill="FFFFFF"/>
            <w:noWrap/>
            <w:vAlign w:val="center"/>
            <w:hideMark/>
          </w:tcPr>
          <w:p w:rsidR="009C1702" w:rsidRPr="00042C6A" w:rsidRDefault="00042C6A" w:rsidP="00A26B75">
            <w:pPr>
              <w:pStyle w:val="TableFooter"/>
              <w:keepNext/>
              <w:jc w:val="right"/>
              <w:rPr>
                <w:snapToGrid/>
                <w:sz w:val="20"/>
                <w:highlight w:val="black"/>
                <w:lang w:eastAsia="en-GB"/>
              </w:rPr>
            </w:pPr>
            <w:r>
              <w:rPr>
                <w:noProof/>
                <w:snapToGrid/>
                <w:color w:val="000000"/>
                <w:sz w:val="20"/>
                <w:highlight w:val="black"/>
                <w:lang w:eastAsia="en-GB"/>
              </w:rPr>
              <w:t>'''''''''''''''''</w:t>
            </w:r>
          </w:p>
        </w:tc>
      </w:tr>
    </w:tbl>
    <w:p w:rsidR="009C1702" w:rsidRPr="00B92322" w:rsidRDefault="009C1702" w:rsidP="009C1702">
      <w:pPr>
        <w:pStyle w:val="TableFooter"/>
        <w:keepNext/>
        <w:keepLines/>
        <w:ind w:left="709"/>
      </w:pPr>
      <w:r w:rsidRPr="00B92322">
        <w:t>Source: Calculated during evaluation</w:t>
      </w:r>
    </w:p>
    <w:p w:rsidR="009C1702" w:rsidRPr="00B92322" w:rsidRDefault="009C1702" w:rsidP="009C1702">
      <w:pPr>
        <w:pStyle w:val="TableFooter"/>
        <w:keepNext/>
        <w:keepLines/>
        <w:ind w:left="709"/>
      </w:pPr>
      <w:r w:rsidRPr="00B92322">
        <w:t>MBS = Medical Benefits Schedule; PSCR = Pre-Sub-Committee Response</w:t>
      </w:r>
    </w:p>
    <w:p w:rsidR="000A5C1F" w:rsidRDefault="000A5C1F" w:rsidP="00C25D9C">
      <w:pPr>
        <w:widowControl/>
        <w:rPr>
          <w:szCs w:val="22"/>
        </w:rPr>
      </w:pPr>
    </w:p>
    <w:p w:rsidR="00183FE8" w:rsidRDefault="00183FE8" w:rsidP="00183FE8">
      <w:pPr>
        <w:pStyle w:val="ListParagraph"/>
        <w:ind w:left="709"/>
        <w:rPr>
          <w:i/>
          <w:szCs w:val="22"/>
        </w:rPr>
      </w:pPr>
      <w:r>
        <w:rPr>
          <w:i/>
          <w:szCs w:val="22"/>
        </w:rPr>
        <w:t>For more detail on PBAC’s view, see section 7 “PBAC outcome”</w:t>
      </w:r>
    </w:p>
    <w:p w:rsidR="00183FE8" w:rsidRPr="006546DB" w:rsidRDefault="00183FE8" w:rsidP="00C25D9C">
      <w:pPr>
        <w:widowControl/>
        <w:rPr>
          <w:szCs w:val="22"/>
        </w:rPr>
      </w:pPr>
    </w:p>
    <w:p w:rsidR="00334D72" w:rsidRPr="00183FE8" w:rsidRDefault="00490AED" w:rsidP="00E713B6">
      <w:pPr>
        <w:pStyle w:val="BodyText"/>
        <w:rPr>
          <w:b/>
        </w:rPr>
      </w:pPr>
      <w:r w:rsidRPr="00183FE8">
        <w:rPr>
          <w:b/>
        </w:rPr>
        <w:t>Drug cost</w:t>
      </w:r>
      <w:r w:rsidR="00334D72" w:rsidRPr="00183FE8">
        <w:rPr>
          <w:b/>
        </w:rPr>
        <w:t>/</w:t>
      </w:r>
      <w:r w:rsidR="00C25D9C" w:rsidRPr="00183FE8">
        <w:rPr>
          <w:b/>
        </w:rPr>
        <w:t>patient</w:t>
      </w:r>
      <w:r w:rsidR="00334D72" w:rsidRPr="00183FE8">
        <w:rPr>
          <w:b/>
        </w:rPr>
        <w:t>/</w:t>
      </w:r>
      <w:r w:rsidR="00D44D9E" w:rsidRPr="00183FE8">
        <w:rPr>
          <w:b/>
        </w:rPr>
        <w:t>year</w:t>
      </w:r>
      <w:r w:rsidR="00C25D9C" w:rsidRPr="00183FE8">
        <w:rPr>
          <w:b/>
        </w:rPr>
        <w:t xml:space="preserve"> </w:t>
      </w:r>
      <w:r w:rsidR="00334D72" w:rsidRPr="00183FE8">
        <w:rPr>
          <w:b/>
        </w:rPr>
        <w:br/>
      </w:r>
    </w:p>
    <w:p w:rsidR="00C25D9C" w:rsidRPr="006546DB" w:rsidRDefault="00216DF8" w:rsidP="00955E40">
      <w:pPr>
        <w:pStyle w:val="ListParagraph"/>
        <w:widowControl/>
        <w:numPr>
          <w:ilvl w:val="1"/>
          <w:numId w:val="1"/>
        </w:numPr>
        <w:rPr>
          <w:szCs w:val="22"/>
        </w:rPr>
      </w:pPr>
      <w:r w:rsidRPr="006546DB">
        <w:t xml:space="preserve">The drug </w:t>
      </w:r>
      <w:r w:rsidR="00334D72" w:rsidRPr="006546DB">
        <w:t xml:space="preserve">cost/patient/year was estimated to be </w:t>
      </w:r>
      <w:r w:rsidR="00C25D9C" w:rsidRPr="006546DB">
        <w:t>$</w:t>
      </w:r>
      <w:r w:rsidR="00042C6A">
        <w:rPr>
          <w:noProof/>
          <w:color w:val="000000"/>
          <w:highlight w:val="black"/>
        </w:rPr>
        <w:t>'''''''''''''''</w:t>
      </w:r>
      <w:r w:rsidR="00827190" w:rsidRPr="006546DB">
        <w:t xml:space="preserve"> in Year 1 </w:t>
      </w:r>
      <w:r w:rsidR="00827190" w:rsidRPr="006546DB">
        <w:rPr>
          <w:szCs w:val="22"/>
        </w:rPr>
        <w:t>and $</w:t>
      </w:r>
      <w:r w:rsidR="00042C6A">
        <w:rPr>
          <w:noProof/>
          <w:color w:val="000000"/>
          <w:szCs w:val="22"/>
          <w:highlight w:val="black"/>
        </w:rPr>
        <w:t>'''''''''''''''''</w:t>
      </w:r>
      <w:r w:rsidR="00827190" w:rsidRPr="006546DB">
        <w:rPr>
          <w:szCs w:val="22"/>
        </w:rPr>
        <w:t xml:space="preserve"> in subsequent years (</w:t>
      </w:r>
      <w:r w:rsidR="00042C6A">
        <w:rPr>
          <w:noProof/>
          <w:color w:val="000000"/>
          <w:szCs w:val="22"/>
          <w:highlight w:val="black"/>
        </w:rPr>
        <w:t>''''''''''''''''''''''' '''''''' ''''''''''''''''''''''' ''''''''''''''''''''''''''' ''''''''''''' ''''''''''''''''</w:t>
      </w:r>
      <w:r w:rsidR="00827190" w:rsidRPr="006546DB">
        <w:rPr>
          <w:szCs w:val="22"/>
        </w:rPr>
        <w:t>), based on 100% continuation rates</w:t>
      </w:r>
      <w:r w:rsidR="00435D46">
        <w:rPr>
          <w:szCs w:val="22"/>
        </w:rPr>
        <w:t xml:space="preserve"> (see Table 8)</w:t>
      </w:r>
      <w:r w:rsidR="00827190" w:rsidRPr="006546DB">
        <w:rPr>
          <w:szCs w:val="22"/>
        </w:rPr>
        <w:t>.</w:t>
      </w:r>
    </w:p>
    <w:p w:rsidR="00C25D9C" w:rsidRPr="006546DB" w:rsidRDefault="00C25D9C" w:rsidP="00C25D9C">
      <w:pPr>
        <w:widowControl/>
        <w:rPr>
          <w:szCs w:val="22"/>
        </w:rPr>
      </w:pPr>
    </w:p>
    <w:p w:rsidR="00A86E8B" w:rsidRPr="006546DB" w:rsidRDefault="002A3658" w:rsidP="00955E40">
      <w:pPr>
        <w:pStyle w:val="ListParagraph"/>
        <w:widowControl/>
        <w:numPr>
          <w:ilvl w:val="1"/>
          <w:numId w:val="1"/>
        </w:numPr>
        <w:rPr>
          <w:szCs w:val="22"/>
        </w:rPr>
      </w:pPr>
      <w:r w:rsidRPr="006546DB">
        <w:rPr>
          <w:szCs w:val="22"/>
        </w:rPr>
        <w:t xml:space="preserve">Crohn’s disease is chronic and incurable therefore the adalimumab treatment is likely to be ongoing. The </w:t>
      </w:r>
      <w:r w:rsidR="008B781A" w:rsidRPr="006546DB">
        <w:rPr>
          <w:szCs w:val="22"/>
        </w:rPr>
        <w:t xml:space="preserve">typical </w:t>
      </w:r>
      <w:r w:rsidRPr="006546DB">
        <w:rPr>
          <w:szCs w:val="22"/>
        </w:rPr>
        <w:t xml:space="preserve">treatment would comprise an induction therapy and </w:t>
      </w:r>
      <w:r w:rsidR="007D4384" w:rsidRPr="006546DB">
        <w:rPr>
          <w:szCs w:val="22"/>
        </w:rPr>
        <w:t xml:space="preserve">continued </w:t>
      </w:r>
      <w:r w:rsidRPr="006546DB">
        <w:rPr>
          <w:szCs w:val="22"/>
        </w:rPr>
        <w:t xml:space="preserve">maintenance </w:t>
      </w:r>
      <w:r w:rsidR="007D4384" w:rsidRPr="006546DB">
        <w:rPr>
          <w:szCs w:val="22"/>
        </w:rPr>
        <w:t>therapy for those who respond to induction therapy</w:t>
      </w:r>
      <w:r w:rsidRPr="006546DB">
        <w:rPr>
          <w:szCs w:val="22"/>
        </w:rPr>
        <w:t xml:space="preserve">. </w:t>
      </w:r>
      <w:r w:rsidR="00652887" w:rsidRPr="006546DB">
        <w:rPr>
          <w:szCs w:val="22"/>
        </w:rPr>
        <w:t xml:space="preserve">The </w:t>
      </w:r>
      <w:r w:rsidR="00BF1698" w:rsidRPr="006546DB">
        <w:rPr>
          <w:szCs w:val="22"/>
        </w:rPr>
        <w:t xml:space="preserve">drug </w:t>
      </w:r>
      <w:r w:rsidR="00652887" w:rsidRPr="006546DB">
        <w:rPr>
          <w:szCs w:val="22"/>
        </w:rPr>
        <w:t xml:space="preserve">cost of infliximab treatment is </w:t>
      </w:r>
      <w:r w:rsidR="00910B6B" w:rsidRPr="006546DB">
        <w:rPr>
          <w:szCs w:val="22"/>
        </w:rPr>
        <w:t>$</w:t>
      </w:r>
      <w:r w:rsidR="00042C6A">
        <w:rPr>
          <w:noProof/>
          <w:color w:val="000000"/>
          <w:szCs w:val="22"/>
          <w:highlight w:val="black"/>
        </w:rPr>
        <w:t>''''''''''''''''''</w:t>
      </w:r>
      <w:r w:rsidR="00910B6B" w:rsidRPr="006546DB">
        <w:rPr>
          <w:szCs w:val="22"/>
        </w:rPr>
        <w:t xml:space="preserve"> </w:t>
      </w:r>
      <w:r w:rsidR="00652887" w:rsidRPr="006546DB">
        <w:rPr>
          <w:szCs w:val="22"/>
        </w:rPr>
        <w:t>in year 1 and $</w:t>
      </w:r>
      <w:r w:rsidR="00042C6A">
        <w:rPr>
          <w:noProof/>
          <w:color w:val="000000"/>
          <w:szCs w:val="22"/>
          <w:highlight w:val="black"/>
        </w:rPr>
        <w:t>'''''''''''''''</w:t>
      </w:r>
      <w:r w:rsidR="00910B6B" w:rsidRPr="006546DB">
        <w:rPr>
          <w:szCs w:val="22"/>
        </w:rPr>
        <w:t xml:space="preserve"> </w:t>
      </w:r>
      <w:r w:rsidR="00652887" w:rsidRPr="006546DB">
        <w:rPr>
          <w:szCs w:val="22"/>
        </w:rPr>
        <w:t>in subsequent years</w:t>
      </w:r>
      <w:r w:rsidR="00910B6B" w:rsidRPr="006546DB">
        <w:rPr>
          <w:szCs w:val="22"/>
        </w:rPr>
        <w:t xml:space="preserve">, assuming </w:t>
      </w:r>
      <w:r w:rsidR="00042C6A">
        <w:rPr>
          <w:noProof/>
          <w:color w:val="000000"/>
          <w:szCs w:val="22"/>
          <w:highlight w:val="black"/>
        </w:rPr>
        <w:t>'''</w:t>
      </w:r>
      <w:r w:rsidR="00910B6B" w:rsidRPr="006546DB">
        <w:rPr>
          <w:szCs w:val="22"/>
        </w:rPr>
        <w:t xml:space="preserve"> infusions in year 1 and </w:t>
      </w:r>
      <w:r w:rsidR="00042C6A">
        <w:rPr>
          <w:noProof/>
          <w:color w:val="000000"/>
          <w:szCs w:val="22"/>
          <w:highlight w:val="black"/>
        </w:rPr>
        <w:t>'''''''</w:t>
      </w:r>
      <w:r w:rsidR="006864F7" w:rsidRPr="006546DB">
        <w:rPr>
          <w:szCs w:val="22"/>
        </w:rPr>
        <w:t xml:space="preserve"> in subsequent years and </w:t>
      </w:r>
      <w:r w:rsidR="00042C6A">
        <w:rPr>
          <w:noProof/>
          <w:color w:val="000000"/>
          <w:szCs w:val="22"/>
          <w:highlight w:val="black"/>
        </w:rPr>
        <w:t>''''''''''''</w:t>
      </w:r>
      <w:r w:rsidR="00910B6B" w:rsidRPr="006546DB">
        <w:rPr>
          <w:szCs w:val="22"/>
        </w:rPr>
        <w:t xml:space="preserve"> </w:t>
      </w:r>
      <w:r w:rsidR="00500FF8" w:rsidRPr="006546DB">
        <w:rPr>
          <w:szCs w:val="22"/>
        </w:rPr>
        <w:t xml:space="preserve">infliximab </w:t>
      </w:r>
      <w:r w:rsidR="00910B6B" w:rsidRPr="006546DB">
        <w:rPr>
          <w:szCs w:val="22"/>
        </w:rPr>
        <w:t>vials per infusion</w:t>
      </w:r>
      <w:r w:rsidR="00652887" w:rsidRPr="006546DB">
        <w:rPr>
          <w:szCs w:val="22"/>
        </w:rPr>
        <w:t>.</w:t>
      </w:r>
    </w:p>
    <w:p w:rsidR="00B60939" w:rsidRPr="000C6990" w:rsidRDefault="00B60939" w:rsidP="001456B0">
      <w:pPr>
        <w:rPr>
          <w:szCs w:val="22"/>
        </w:rPr>
      </w:pPr>
    </w:p>
    <w:p w:rsidR="00B60939" w:rsidRPr="004D51AA" w:rsidRDefault="00B60939" w:rsidP="004D51AA">
      <w:pPr>
        <w:rPr>
          <w:b/>
          <w:szCs w:val="22"/>
        </w:rPr>
      </w:pPr>
      <w:bookmarkStart w:id="12" w:name="_Toc398284973"/>
      <w:r w:rsidRPr="004D51AA">
        <w:rPr>
          <w:b/>
          <w:szCs w:val="22"/>
        </w:rPr>
        <w:t>Estimated PBS usage &amp; financial implications</w:t>
      </w:r>
      <w:bookmarkEnd w:id="12"/>
    </w:p>
    <w:p w:rsidR="00B60939" w:rsidRPr="0078738D" w:rsidRDefault="00B60939" w:rsidP="00B60939">
      <w:pPr>
        <w:ind w:left="720" w:hanging="720"/>
        <w:rPr>
          <w:b/>
          <w:i/>
          <w:szCs w:val="22"/>
        </w:rPr>
      </w:pPr>
    </w:p>
    <w:p w:rsidR="0072416F" w:rsidRPr="00A6777B" w:rsidRDefault="00577172" w:rsidP="00955E40">
      <w:pPr>
        <w:pStyle w:val="ListParagraph"/>
        <w:widowControl/>
        <w:numPr>
          <w:ilvl w:val="1"/>
          <w:numId w:val="1"/>
        </w:numPr>
        <w:rPr>
          <w:szCs w:val="22"/>
        </w:rPr>
      </w:pPr>
      <w:r w:rsidRPr="00A6777B">
        <w:t xml:space="preserve">This submission </w:t>
      </w:r>
      <w:r w:rsidR="00971E2D">
        <w:t>was not</w:t>
      </w:r>
      <w:r w:rsidR="00C25D9C" w:rsidRPr="00A6777B">
        <w:t xml:space="preserve"> considered by DUSC. </w:t>
      </w:r>
      <w:r w:rsidR="00A6777B" w:rsidRPr="00A6777B">
        <w:t xml:space="preserve">The submission </w:t>
      </w:r>
      <w:r w:rsidR="00055AFE">
        <w:t>took</w:t>
      </w:r>
      <w:r w:rsidR="00055AFE" w:rsidRPr="00A6777B">
        <w:t xml:space="preserve"> </w:t>
      </w:r>
      <w:r w:rsidR="00A6777B" w:rsidRPr="00A6777B">
        <w:t xml:space="preserve">a market share approach and relies on the Highly Specialised Drugs Program, </w:t>
      </w:r>
      <w:r w:rsidR="00990D4A">
        <w:t xml:space="preserve">the </w:t>
      </w:r>
      <w:r w:rsidR="00A6777B" w:rsidRPr="00A6777B">
        <w:t xml:space="preserve">10% PBS sample and </w:t>
      </w:r>
      <w:r w:rsidR="00046E75">
        <w:t xml:space="preserve">the </w:t>
      </w:r>
      <w:r w:rsidR="00A6777B" w:rsidRPr="00A6777B">
        <w:t>Australian Bureau of Statistics as primary data sources.</w:t>
      </w:r>
      <w:r w:rsidR="00C25D9C" w:rsidRPr="00A6777B">
        <w:t xml:space="preserve"> </w:t>
      </w:r>
    </w:p>
    <w:p w:rsidR="00C25D9C" w:rsidRPr="0078738D" w:rsidRDefault="00C25D9C" w:rsidP="00C25D9C">
      <w:pPr>
        <w:widowControl/>
        <w:rPr>
          <w:szCs w:val="22"/>
        </w:rPr>
      </w:pPr>
    </w:p>
    <w:p w:rsidR="00C25D9C" w:rsidRPr="0078738D" w:rsidRDefault="00C25D9C" w:rsidP="0062665A">
      <w:pPr>
        <w:keepNext/>
        <w:ind w:firstLine="709"/>
        <w:rPr>
          <w:rStyle w:val="CommentReference"/>
        </w:rPr>
      </w:pPr>
      <w:r w:rsidRPr="0078738D">
        <w:rPr>
          <w:rStyle w:val="CommentReference"/>
        </w:rPr>
        <w:lastRenderedPageBreak/>
        <w:t>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835"/>
        <w:gridCol w:w="1102"/>
        <w:gridCol w:w="1103"/>
        <w:gridCol w:w="1102"/>
        <w:gridCol w:w="1103"/>
        <w:gridCol w:w="1102"/>
      </w:tblGrid>
      <w:tr w:rsidR="00230EEA" w:rsidRPr="0078738D">
        <w:trPr>
          <w:tblHeader/>
        </w:trPr>
        <w:tc>
          <w:tcPr>
            <w:tcW w:w="1698" w:type="pct"/>
            <w:shd w:val="clear" w:color="auto" w:fill="auto"/>
            <w:vAlign w:val="center"/>
          </w:tcPr>
          <w:p w:rsidR="00230EEA" w:rsidRPr="0078738D" w:rsidRDefault="00230EEA" w:rsidP="0062665A">
            <w:pPr>
              <w:keepNext/>
              <w:tabs>
                <w:tab w:val="left" w:pos="142"/>
              </w:tabs>
              <w:jc w:val="left"/>
              <w:rPr>
                <w:rFonts w:ascii="Arial Narrow" w:hAnsi="Arial Narrow"/>
                <w:b/>
                <w:sz w:val="20"/>
              </w:rPr>
            </w:pPr>
          </w:p>
        </w:tc>
        <w:tc>
          <w:tcPr>
            <w:tcW w:w="660" w:type="pct"/>
            <w:shd w:val="clear" w:color="auto" w:fill="auto"/>
            <w:vAlign w:val="center"/>
          </w:tcPr>
          <w:p w:rsidR="00230EEA" w:rsidRPr="00281B67" w:rsidRDefault="00230EEA" w:rsidP="0062665A">
            <w:pPr>
              <w:pStyle w:val="Tabletext"/>
              <w:keepNext/>
              <w:keepLines/>
              <w:jc w:val="center"/>
              <w:rPr>
                <w:b/>
              </w:rPr>
            </w:pPr>
            <w:r w:rsidRPr="00281B67">
              <w:rPr>
                <w:b/>
              </w:rPr>
              <w:t>2015-16</w:t>
            </w:r>
          </w:p>
        </w:tc>
        <w:tc>
          <w:tcPr>
            <w:tcW w:w="661" w:type="pct"/>
            <w:shd w:val="clear" w:color="auto" w:fill="auto"/>
            <w:vAlign w:val="center"/>
          </w:tcPr>
          <w:p w:rsidR="00230EEA" w:rsidRPr="00281B67" w:rsidRDefault="00230EEA" w:rsidP="0062665A">
            <w:pPr>
              <w:pStyle w:val="Tabletext"/>
              <w:keepNext/>
              <w:keepLines/>
              <w:jc w:val="center"/>
              <w:rPr>
                <w:b/>
              </w:rPr>
            </w:pPr>
            <w:r w:rsidRPr="00281B67">
              <w:rPr>
                <w:b/>
              </w:rPr>
              <w:t>2016-17</w:t>
            </w:r>
          </w:p>
        </w:tc>
        <w:tc>
          <w:tcPr>
            <w:tcW w:w="660" w:type="pct"/>
            <w:shd w:val="clear" w:color="auto" w:fill="auto"/>
            <w:vAlign w:val="center"/>
          </w:tcPr>
          <w:p w:rsidR="00230EEA" w:rsidRPr="00281B67" w:rsidRDefault="00230EEA" w:rsidP="0062665A">
            <w:pPr>
              <w:pStyle w:val="Tabletext"/>
              <w:keepNext/>
              <w:keepLines/>
              <w:jc w:val="center"/>
              <w:rPr>
                <w:b/>
              </w:rPr>
            </w:pPr>
            <w:r w:rsidRPr="00281B67">
              <w:rPr>
                <w:b/>
              </w:rPr>
              <w:t>2017-18</w:t>
            </w:r>
          </w:p>
        </w:tc>
        <w:tc>
          <w:tcPr>
            <w:tcW w:w="661" w:type="pct"/>
            <w:shd w:val="clear" w:color="auto" w:fill="auto"/>
            <w:vAlign w:val="center"/>
          </w:tcPr>
          <w:p w:rsidR="00230EEA" w:rsidRPr="00281B67" w:rsidRDefault="00230EEA" w:rsidP="0062665A">
            <w:pPr>
              <w:pStyle w:val="Tabletext"/>
              <w:keepNext/>
              <w:keepLines/>
              <w:jc w:val="center"/>
              <w:rPr>
                <w:b/>
              </w:rPr>
            </w:pPr>
            <w:r w:rsidRPr="00281B67">
              <w:rPr>
                <w:b/>
              </w:rPr>
              <w:t>2018-19</w:t>
            </w:r>
          </w:p>
        </w:tc>
        <w:tc>
          <w:tcPr>
            <w:tcW w:w="660" w:type="pct"/>
            <w:shd w:val="clear" w:color="auto" w:fill="auto"/>
            <w:vAlign w:val="center"/>
          </w:tcPr>
          <w:p w:rsidR="00230EEA" w:rsidRPr="00281B67" w:rsidRDefault="00230EEA" w:rsidP="0062665A">
            <w:pPr>
              <w:pStyle w:val="Tabletext"/>
              <w:keepNext/>
              <w:keepLines/>
              <w:jc w:val="center"/>
              <w:rPr>
                <w:b/>
              </w:rPr>
            </w:pPr>
            <w:r w:rsidRPr="00281B67">
              <w:rPr>
                <w:b/>
              </w:rPr>
              <w:t>2019-20</w:t>
            </w:r>
          </w:p>
        </w:tc>
      </w:tr>
      <w:tr w:rsidR="00C25D9C" w:rsidRPr="0078738D">
        <w:tc>
          <w:tcPr>
            <w:tcW w:w="5000" w:type="pct"/>
            <w:gridSpan w:val="6"/>
            <w:shd w:val="clear" w:color="auto" w:fill="auto"/>
            <w:vAlign w:val="center"/>
          </w:tcPr>
          <w:p w:rsidR="00C25D9C" w:rsidRPr="0078738D" w:rsidRDefault="00C25D9C" w:rsidP="0062665A">
            <w:pPr>
              <w:keepNext/>
              <w:jc w:val="left"/>
              <w:rPr>
                <w:rFonts w:ascii="Arial Narrow" w:hAnsi="Arial Narrow"/>
                <w:b/>
                <w:bCs/>
                <w:color w:val="000000"/>
                <w:sz w:val="20"/>
              </w:rPr>
            </w:pPr>
            <w:r w:rsidRPr="0078738D">
              <w:rPr>
                <w:rFonts w:ascii="Arial Narrow" w:hAnsi="Arial Narrow"/>
                <w:b/>
                <w:bCs/>
                <w:color w:val="000000"/>
                <w:sz w:val="20"/>
              </w:rPr>
              <w:t>Estimated extent of use</w:t>
            </w:r>
            <w:r w:rsidR="006F4FEF">
              <w:rPr>
                <w:rFonts w:ascii="Arial Narrow" w:hAnsi="Arial Narrow"/>
                <w:b/>
                <w:bCs/>
                <w:color w:val="000000"/>
                <w:sz w:val="20"/>
              </w:rPr>
              <w:t xml:space="preserve"> </w:t>
            </w:r>
            <w:r w:rsidR="006F4FEF" w:rsidRPr="006F4FEF">
              <w:rPr>
                <w:rFonts w:ascii="Arial Narrow" w:hAnsi="Arial Narrow"/>
                <w:b/>
                <w:bCs/>
                <w:color w:val="000000"/>
                <w:sz w:val="20"/>
                <w:vertAlign w:val="superscript"/>
              </w:rPr>
              <w:t>a</w:t>
            </w:r>
          </w:p>
        </w:tc>
      </w:tr>
      <w:tr w:rsidR="005943BC" w:rsidRPr="0078738D">
        <w:tc>
          <w:tcPr>
            <w:tcW w:w="1698" w:type="pct"/>
            <w:shd w:val="clear" w:color="auto" w:fill="auto"/>
            <w:vAlign w:val="center"/>
          </w:tcPr>
          <w:p w:rsidR="005943BC" w:rsidRPr="0078738D" w:rsidRDefault="005943BC" w:rsidP="0062665A">
            <w:pPr>
              <w:keepNext/>
              <w:tabs>
                <w:tab w:val="left" w:pos="142"/>
              </w:tabs>
              <w:jc w:val="left"/>
              <w:rPr>
                <w:rFonts w:ascii="Arial Narrow" w:hAnsi="Arial Narrow"/>
                <w:sz w:val="20"/>
              </w:rPr>
            </w:pPr>
            <w:r>
              <w:rPr>
                <w:rFonts w:ascii="Arial Narrow" w:hAnsi="Arial Narrow"/>
                <w:sz w:val="20"/>
              </w:rPr>
              <w:t>Infliximab vials total in severe disease</w:t>
            </w:r>
          </w:p>
        </w:tc>
        <w:tc>
          <w:tcPr>
            <w:tcW w:w="660" w:type="pct"/>
            <w:shd w:val="clear" w:color="auto" w:fill="auto"/>
          </w:tcPr>
          <w:p w:rsidR="005943BC" w:rsidRPr="00042C6A" w:rsidRDefault="00042C6A" w:rsidP="0062665A">
            <w:pPr>
              <w:pStyle w:val="Tabletext"/>
              <w:keepNext/>
              <w:keepLines/>
              <w:jc w:val="center"/>
              <w:rPr>
                <w:highlight w:val="black"/>
              </w:rPr>
            </w:pPr>
            <w:r>
              <w:rPr>
                <w:noProof/>
                <w:color w:val="000000"/>
                <w:highlight w:val="black"/>
              </w:rPr>
              <w:t xml:space="preserve">''''''''''''' </w:t>
            </w:r>
          </w:p>
        </w:tc>
        <w:tc>
          <w:tcPr>
            <w:tcW w:w="661" w:type="pct"/>
            <w:shd w:val="clear" w:color="auto" w:fill="auto"/>
          </w:tcPr>
          <w:p w:rsidR="005943BC" w:rsidRPr="00042C6A" w:rsidRDefault="00042C6A" w:rsidP="0062665A">
            <w:pPr>
              <w:pStyle w:val="Tabletext"/>
              <w:keepNext/>
              <w:keepLines/>
              <w:jc w:val="center"/>
              <w:rPr>
                <w:highlight w:val="black"/>
              </w:rPr>
            </w:pPr>
            <w:r>
              <w:rPr>
                <w:noProof/>
                <w:color w:val="000000"/>
                <w:highlight w:val="black"/>
              </w:rPr>
              <w:t xml:space="preserve">''''''''''''''' </w:t>
            </w:r>
          </w:p>
        </w:tc>
        <w:tc>
          <w:tcPr>
            <w:tcW w:w="660" w:type="pct"/>
            <w:shd w:val="clear" w:color="auto" w:fill="auto"/>
          </w:tcPr>
          <w:p w:rsidR="005943BC" w:rsidRPr="00042C6A" w:rsidRDefault="00042C6A" w:rsidP="0062665A">
            <w:pPr>
              <w:pStyle w:val="Tabletext"/>
              <w:keepNext/>
              <w:keepLines/>
              <w:jc w:val="center"/>
              <w:rPr>
                <w:highlight w:val="black"/>
              </w:rPr>
            </w:pPr>
            <w:r>
              <w:rPr>
                <w:noProof/>
                <w:color w:val="000000"/>
                <w:highlight w:val="black"/>
              </w:rPr>
              <w:t xml:space="preserve">'''''''''''' </w:t>
            </w:r>
          </w:p>
        </w:tc>
        <w:tc>
          <w:tcPr>
            <w:tcW w:w="661" w:type="pct"/>
            <w:shd w:val="clear" w:color="auto" w:fill="auto"/>
          </w:tcPr>
          <w:p w:rsidR="005943BC" w:rsidRPr="00042C6A" w:rsidRDefault="00042C6A" w:rsidP="0062665A">
            <w:pPr>
              <w:pStyle w:val="Tabletext"/>
              <w:keepNext/>
              <w:keepLines/>
              <w:jc w:val="center"/>
              <w:rPr>
                <w:highlight w:val="black"/>
              </w:rPr>
            </w:pPr>
            <w:r>
              <w:rPr>
                <w:noProof/>
                <w:color w:val="000000"/>
                <w:highlight w:val="black"/>
              </w:rPr>
              <w:t xml:space="preserve">'''''''''''''' </w:t>
            </w:r>
          </w:p>
        </w:tc>
        <w:tc>
          <w:tcPr>
            <w:tcW w:w="660" w:type="pct"/>
            <w:shd w:val="clear" w:color="auto" w:fill="auto"/>
          </w:tcPr>
          <w:p w:rsidR="005943BC" w:rsidRPr="00042C6A" w:rsidRDefault="00042C6A" w:rsidP="0062665A">
            <w:pPr>
              <w:pStyle w:val="Tabletext"/>
              <w:keepNext/>
              <w:keepLines/>
              <w:jc w:val="center"/>
              <w:rPr>
                <w:highlight w:val="black"/>
              </w:rPr>
            </w:pPr>
            <w:r>
              <w:rPr>
                <w:noProof/>
                <w:color w:val="000000"/>
                <w:highlight w:val="black"/>
              </w:rPr>
              <w:t xml:space="preserve">'''''''''''' </w:t>
            </w:r>
          </w:p>
        </w:tc>
      </w:tr>
      <w:tr w:rsidR="005943BC" w:rsidRPr="0078738D">
        <w:tc>
          <w:tcPr>
            <w:tcW w:w="1698" w:type="pct"/>
            <w:shd w:val="clear" w:color="auto" w:fill="auto"/>
            <w:vAlign w:val="center"/>
          </w:tcPr>
          <w:p w:rsidR="00230EEA" w:rsidRPr="0078738D" w:rsidRDefault="00230EEA" w:rsidP="0062665A">
            <w:pPr>
              <w:keepNext/>
              <w:tabs>
                <w:tab w:val="left" w:pos="142"/>
              </w:tabs>
              <w:jc w:val="left"/>
              <w:rPr>
                <w:rFonts w:ascii="Arial Narrow" w:hAnsi="Arial Narrow"/>
                <w:sz w:val="20"/>
              </w:rPr>
            </w:pPr>
            <w:r>
              <w:rPr>
                <w:rFonts w:ascii="Arial Narrow" w:hAnsi="Arial Narrow"/>
                <w:sz w:val="20"/>
              </w:rPr>
              <w:t>Substitution rate</w:t>
            </w:r>
          </w:p>
        </w:tc>
        <w:tc>
          <w:tcPr>
            <w:tcW w:w="660" w:type="pct"/>
            <w:shd w:val="clear" w:color="auto" w:fill="auto"/>
            <w:vAlign w:val="center"/>
          </w:tcPr>
          <w:p w:rsidR="00230EEA" w:rsidRPr="00042C6A" w:rsidRDefault="00042C6A" w:rsidP="0062665A">
            <w:pPr>
              <w:pStyle w:val="Tabletext"/>
              <w:keepNext/>
              <w:keepLines/>
              <w:jc w:val="center"/>
              <w:rPr>
                <w:highlight w:val="black"/>
              </w:rPr>
            </w:pPr>
            <w:r>
              <w:rPr>
                <w:noProof/>
                <w:color w:val="000000"/>
                <w:highlight w:val="black"/>
              </w:rPr>
              <w:t>''''''''''</w:t>
            </w:r>
          </w:p>
        </w:tc>
        <w:tc>
          <w:tcPr>
            <w:tcW w:w="661" w:type="pct"/>
            <w:shd w:val="clear" w:color="auto" w:fill="auto"/>
            <w:vAlign w:val="center"/>
          </w:tcPr>
          <w:p w:rsidR="00230EEA" w:rsidRPr="00042C6A" w:rsidRDefault="00042C6A" w:rsidP="0062665A">
            <w:pPr>
              <w:pStyle w:val="Tabletext"/>
              <w:keepNext/>
              <w:keepLines/>
              <w:jc w:val="center"/>
              <w:rPr>
                <w:highlight w:val="black"/>
              </w:rPr>
            </w:pPr>
            <w:r>
              <w:rPr>
                <w:noProof/>
                <w:color w:val="000000"/>
                <w:highlight w:val="black"/>
              </w:rPr>
              <w:t>'''''''''''</w:t>
            </w:r>
          </w:p>
        </w:tc>
        <w:tc>
          <w:tcPr>
            <w:tcW w:w="660" w:type="pct"/>
            <w:shd w:val="clear" w:color="auto" w:fill="auto"/>
            <w:vAlign w:val="center"/>
          </w:tcPr>
          <w:p w:rsidR="00230EEA" w:rsidRPr="00042C6A" w:rsidRDefault="00042C6A" w:rsidP="0062665A">
            <w:pPr>
              <w:pStyle w:val="Tabletext"/>
              <w:keepNext/>
              <w:keepLines/>
              <w:jc w:val="center"/>
              <w:rPr>
                <w:highlight w:val="black"/>
              </w:rPr>
            </w:pPr>
            <w:r>
              <w:rPr>
                <w:noProof/>
                <w:color w:val="000000"/>
                <w:highlight w:val="black"/>
              </w:rPr>
              <w:t>'''''''''''</w:t>
            </w:r>
          </w:p>
        </w:tc>
        <w:tc>
          <w:tcPr>
            <w:tcW w:w="661" w:type="pct"/>
            <w:shd w:val="clear" w:color="auto" w:fill="auto"/>
            <w:vAlign w:val="center"/>
          </w:tcPr>
          <w:p w:rsidR="00230EEA" w:rsidRPr="00042C6A" w:rsidRDefault="00042C6A" w:rsidP="0062665A">
            <w:pPr>
              <w:pStyle w:val="Tabletext"/>
              <w:keepNext/>
              <w:keepLines/>
              <w:jc w:val="center"/>
              <w:rPr>
                <w:highlight w:val="black"/>
              </w:rPr>
            </w:pPr>
            <w:r>
              <w:rPr>
                <w:noProof/>
                <w:color w:val="000000"/>
                <w:highlight w:val="black"/>
              </w:rPr>
              <w:t>'''''''''''</w:t>
            </w:r>
          </w:p>
        </w:tc>
        <w:tc>
          <w:tcPr>
            <w:tcW w:w="660" w:type="pct"/>
            <w:shd w:val="clear" w:color="auto" w:fill="auto"/>
            <w:vAlign w:val="center"/>
          </w:tcPr>
          <w:p w:rsidR="00230EEA" w:rsidRPr="00042C6A" w:rsidRDefault="00042C6A" w:rsidP="0062665A">
            <w:pPr>
              <w:pStyle w:val="Tabletext"/>
              <w:keepNext/>
              <w:keepLines/>
              <w:jc w:val="center"/>
              <w:rPr>
                <w:highlight w:val="black"/>
              </w:rPr>
            </w:pPr>
            <w:r>
              <w:rPr>
                <w:noProof/>
                <w:color w:val="000000"/>
                <w:highlight w:val="black"/>
              </w:rPr>
              <w:t>''''''''''</w:t>
            </w:r>
          </w:p>
        </w:tc>
      </w:tr>
      <w:tr w:rsidR="006F4FEF" w:rsidRPr="0078738D">
        <w:tc>
          <w:tcPr>
            <w:tcW w:w="1698" w:type="pct"/>
            <w:shd w:val="clear" w:color="auto" w:fill="auto"/>
            <w:vAlign w:val="center"/>
          </w:tcPr>
          <w:p w:rsidR="00230EEA" w:rsidRPr="0078738D" w:rsidRDefault="00230EEA" w:rsidP="0062665A">
            <w:pPr>
              <w:keepNext/>
              <w:tabs>
                <w:tab w:val="left" w:pos="142"/>
              </w:tabs>
              <w:jc w:val="left"/>
              <w:rPr>
                <w:rFonts w:ascii="Arial Narrow" w:hAnsi="Arial Narrow"/>
                <w:sz w:val="20"/>
              </w:rPr>
            </w:pPr>
            <w:r>
              <w:rPr>
                <w:rFonts w:ascii="Arial Narrow" w:hAnsi="Arial Narrow"/>
                <w:sz w:val="20"/>
              </w:rPr>
              <w:t>Market growth</w:t>
            </w:r>
          </w:p>
        </w:tc>
        <w:tc>
          <w:tcPr>
            <w:tcW w:w="660" w:type="pct"/>
            <w:shd w:val="clear" w:color="auto" w:fill="auto"/>
            <w:vAlign w:val="center"/>
          </w:tcPr>
          <w:p w:rsidR="00230EEA" w:rsidRPr="00042C6A" w:rsidRDefault="00042C6A" w:rsidP="0062665A">
            <w:pPr>
              <w:keepNext/>
              <w:jc w:val="center"/>
              <w:rPr>
                <w:highlight w:val="black"/>
              </w:rPr>
            </w:pPr>
            <w:r>
              <w:rPr>
                <w:rFonts w:ascii="Arial Narrow" w:hAnsi="Arial Narrow"/>
                <w:bCs/>
                <w:noProof/>
                <w:color w:val="000000"/>
                <w:sz w:val="20"/>
                <w:highlight w:val="black"/>
              </w:rPr>
              <w:t>'''''''''''</w:t>
            </w:r>
          </w:p>
        </w:tc>
        <w:tc>
          <w:tcPr>
            <w:tcW w:w="661" w:type="pct"/>
            <w:shd w:val="clear" w:color="auto" w:fill="auto"/>
            <w:vAlign w:val="center"/>
          </w:tcPr>
          <w:p w:rsidR="00230EEA" w:rsidRPr="00042C6A" w:rsidRDefault="00042C6A" w:rsidP="0062665A">
            <w:pPr>
              <w:keepNext/>
              <w:jc w:val="center"/>
              <w:rPr>
                <w:highlight w:val="black"/>
              </w:rPr>
            </w:pPr>
            <w:r>
              <w:rPr>
                <w:rFonts w:ascii="Arial Narrow" w:hAnsi="Arial Narrow"/>
                <w:bCs/>
                <w:noProof/>
                <w:color w:val="000000"/>
                <w:sz w:val="20"/>
                <w:highlight w:val="black"/>
              </w:rPr>
              <w:t>'''''''''''</w:t>
            </w:r>
          </w:p>
        </w:tc>
        <w:tc>
          <w:tcPr>
            <w:tcW w:w="660" w:type="pct"/>
            <w:shd w:val="clear" w:color="auto" w:fill="auto"/>
            <w:vAlign w:val="center"/>
          </w:tcPr>
          <w:p w:rsidR="00230EEA" w:rsidRPr="00042C6A" w:rsidRDefault="00042C6A" w:rsidP="0062665A">
            <w:pPr>
              <w:keepNext/>
              <w:jc w:val="center"/>
              <w:rPr>
                <w:highlight w:val="black"/>
              </w:rPr>
            </w:pPr>
            <w:r>
              <w:rPr>
                <w:rFonts w:ascii="Arial Narrow" w:hAnsi="Arial Narrow"/>
                <w:bCs/>
                <w:noProof/>
                <w:color w:val="000000"/>
                <w:sz w:val="20"/>
                <w:highlight w:val="black"/>
              </w:rPr>
              <w:t>''''''''''</w:t>
            </w:r>
          </w:p>
        </w:tc>
        <w:tc>
          <w:tcPr>
            <w:tcW w:w="661" w:type="pct"/>
            <w:shd w:val="clear" w:color="auto" w:fill="auto"/>
            <w:vAlign w:val="center"/>
          </w:tcPr>
          <w:p w:rsidR="00230EEA" w:rsidRPr="00042C6A" w:rsidRDefault="00042C6A" w:rsidP="0062665A">
            <w:pPr>
              <w:keepNext/>
              <w:jc w:val="center"/>
              <w:rPr>
                <w:highlight w:val="black"/>
              </w:rPr>
            </w:pPr>
            <w:r>
              <w:rPr>
                <w:rFonts w:ascii="Arial Narrow" w:hAnsi="Arial Narrow"/>
                <w:bCs/>
                <w:noProof/>
                <w:color w:val="000000"/>
                <w:sz w:val="20"/>
                <w:highlight w:val="black"/>
              </w:rPr>
              <w:t>''''''''''</w:t>
            </w:r>
          </w:p>
        </w:tc>
        <w:tc>
          <w:tcPr>
            <w:tcW w:w="660" w:type="pct"/>
            <w:shd w:val="clear" w:color="auto" w:fill="auto"/>
            <w:vAlign w:val="center"/>
          </w:tcPr>
          <w:p w:rsidR="00230EEA" w:rsidRPr="00042C6A" w:rsidRDefault="00042C6A" w:rsidP="0062665A">
            <w:pPr>
              <w:keepNext/>
              <w:jc w:val="center"/>
              <w:rPr>
                <w:highlight w:val="black"/>
              </w:rPr>
            </w:pPr>
            <w:r>
              <w:rPr>
                <w:rFonts w:ascii="Arial Narrow" w:hAnsi="Arial Narrow"/>
                <w:bCs/>
                <w:noProof/>
                <w:color w:val="000000"/>
                <w:sz w:val="20"/>
                <w:highlight w:val="black"/>
              </w:rPr>
              <w:t>'''''''''''</w:t>
            </w:r>
          </w:p>
        </w:tc>
      </w:tr>
      <w:tr w:rsidR="005943BC" w:rsidRPr="0078738D">
        <w:tc>
          <w:tcPr>
            <w:tcW w:w="1698" w:type="pct"/>
            <w:shd w:val="clear" w:color="auto" w:fill="auto"/>
            <w:vAlign w:val="center"/>
          </w:tcPr>
          <w:p w:rsidR="006F4FEF" w:rsidRPr="0078738D" w:rsidRDefault="006F4FEF" w:rsidP="0062665A">
            <w:pPr>
              <w:keepNext/>
              <w:tabs>
                <w:tab w:val="left" w:pos="142"/>
              </w:tabs>
              <w:jc w:val="left"/>
              <w:rPr>
                <w:rFonts w:ascii="Arial Narrow" w:hAnsi="Arial Narrow"/>
                <w:sz w:val="20"/>
              </w:rPr>
            </w:pPr>
            <w:r>
              <w:rPr>
                <w:rFonts w:ascii="Arial Narrow" w:hAnsi="Arial Narrow"/>
                <w:sz w:val="20"/>
              </w:rPr>
              <w:t xml:space="preserve">Adalimumab packs </w:t>
            </w:r>
            <w:r w:rsidR="007D4384" w:rsidRPr="007D4384">
              <w:rPr>
                <w:rFonts w:ascii="Arial Narrow" w:hAnsi="Arial Narrow"/>
                <w:sz w:val="20"/>
                <w:vertAlign w:val="superscript"/>
              </w:rPr>
              <w:t>a</w:t>
            </w:r>
          </w:p>
        </w:tc>
        <w:tc>
          <w:tcPr>
            <w:tcW w:w="660" w:type="pct"/>
            <w:shd w:val="clear" w:color="auto" w:fill="auto"/>
            <w:vAlign w:val="center"/>
          </w:tcPr>
          <w:p w:rsidR="006F4FEF" w:rsidRPr="00042C6A" w:rsidRDefault="00042C6A" w:rsidP="0062665A">
            <w:pPr>
              <w:pStyle w:val="Tabletext"/>
              <w:keepNext/>
              <w:keepLines/>
              <w:jc w:val="center"/>
              <w:rPr>
                <w:highlight w:val="black"/>
              </w:rPr>
            </w:pPr>
            <w:r>
              <w:rPr>
                <w:noProof/>
                <w:color w:val="000000"/>
                <w:highlight w:val="black"/>
              </w:rPr>
              <w:t>'''''''''''''</w:t>
            </w:r>
          </w:p>
        </w:tc>
        <w:tc>
          <w:tcPr>
            <w:tcW w:w="661" w:type="pct"/>
            <w:shd w:val="clear" w:color="auto" w:fill="auto"/>
            <w:vAlign w:val="center"/>
          </w:tcPr>
          <w:p w:rsidR="006F4FEF" w:rsidRPr="00042C6A" w:rsidRDefault="00042C6A" w:rsidP="0062665A">
            <w:pPr>
              <w:pStyle w:val="Tabletext"/>
              <w:keepNext/>
              <w:keepLines/>
              <w:jc w:val="center"/>
              <w:rPr>
                <w:highlight w:val="black"/>
              </w:rPr>
            </w:pPr>
            <w:r>
              <w:rPr>
                <w:noProof/>
                <w:color w:val="000000"/>
                <w:highlight w:val="black"/>
              </w:rPr>
              <w:t>'''''''''''''''</w:t>
            </w:r>
          </w:p>
        </w:tc>
        <w:tc>
          <w:tcPr>
            <w:tcW w:w="660" w:type="pct"/>
            <w:shd w:val="clear" w:color="auto" w:fill="auto"/>
            <w:vAlign w:val="center"/>
          </w:tcPr>
          <w:p w:rsidR="006F4FEF" w:rsidRPr="00042C6A" w:rsidRDefault="00042C6A" w:rsidP="0062665A">
            <w:pPr>
              <w:pStyle w:val="Tabletext"/>
              <w:keepNext/>
              <w:keepLines/>
              <w:jc w:val="center"/>
              <w:rPr>
                <w:highlight w:val="black"/>
              </w:rPr>
            </w:pPr>
            <w:r>
              <w:rPr>
                <w:noProof/>
                <w:color w:val="000000"/>
                <w:highlight w:val="black"/>
              </w:rPr>
              <w:t>'''''''''''''</w:t>
            </w:r>
          </w:p>
        </w:tc>
        <w:tc>
          <w:tcPr>
            <w:tcW w:w="661" w:type="pct"/>
            <w:shd w:val="clear" w:color="auto" w:fill="auto"/>
            <w:vAlign w:val="center"/>
          </w:tcPr>
          <w:p w:rsidR="006F4FEF" w:rsidRPr="00042C6A" w:rsidRDefault="00042C6A" w:rsidP="0062665A">
            <w:pPr>
              <w:pStyle w:val="Tabletext"/>
              <w:keepNext/>
              <w:keepLines/>
              <w:jc w:val="center"/>
              <w:rPr>
                <w:highlight w:val="black"/>
              </w:rPr>
            </w:pPr>
            <w:r>
              <w:rPr>
                <w:noProof/>
                <w:color w:val="000000"/>
                <w:highlight w:val="black"/>
              </w:rPr>
              <w:t>''''''''''''''</w:t>
            </w:r>
          </w:p>
        </w:tc>
        <w:tc>
          <w:tcPr>
            <w:tcW w:w="660" w:type="pct"/>
            <w:shd w:val="clear" w:color="auto" w:fill="auto"/>
            <w:vAlign w:val="center"/>
          </w:tcPr>
          <w:p w:rsidR="006F4FEF" w:rsidRPr="00042C6A" w:rsidRDefault="00042C6A" w:rsidP="0062665A">
            <w:pPr>
              <w:pStyle w:val="Tabletext"/>
              <w:keepNext/>
              <w:keepLines/>
              <w:jc w:val="center"/>
              <w:rPr>
                <w:highlight w:val="black"/>
              </w:rPr>
            </w:pPr>
            <w:r>
              <w:rPr>
                <w:noProof/>
                <w:color w:val="000000"/>
                <w:highlight w:val="black"/>
              </w:rPr>
              <w:t>''''''''''''</w:t>
            </w:r>
          </w:p>
        </w:tc>
      </w:tr>
      <w:tr w:rsidR="00C25D9C" w:rsidRPr="0078738D">
        <w:tc>
          <w:tcPr>
            <w:tcW w:w="5000" w:type="pct"/>
            <w:gridSpan w:val="6"/>
            <w:shd w:val="clear" w:color="auto" w:fill="auto"/>
            <w:vAlign w:val="center"/>
          </w:tcPr>
          <w:p w:rsidR="00C25D9C" w:rsidRPr="0078738D" w:rsidRDefault="007D4384" w:rsidP="0062665A">
            <w:pPr>
              <w:keepNext/>
              <w:jc w:val="left"/>
              <w:rPr>
                <w:rFonts w:ascii="Arial Narrow" w:hAnsi="Arial Narrow"/>
                <w:b/>
                <w:bCs/>
                <w:color w:val="000000"/>
                <w:sz w:val="20"/>
              </w:rPr>
            </w:pPr>
            <w:r w:rsidRPr="004E2ADC">
              <w:rPr>
                <w:rFonts w:ascii="Arial Narrow" w:hAnsi="Arial Narrow"/>
                <w:b/>
                <w:bCs/>
                <w:color w:val="000000"/>
                <w:sz w:val="20"/>
              </w:rPr>
              <w:t>Estimated net cost to PBS/RPBS/MBS</w:t>
            </w:r>
          </w:p>
        </w:tc>
      </w:tr>
      <w:tr w:rsidR="007D4384" w:rsidRPr="0078738D">
        <w:tc>
          <w:tcPr>
            <w:tcW w:w="1698" w:type="pct"/>
            <w:shd w:val="clear" w:color="auto" w:fill="auto"/>
          </w:tcPr>
          <w:p w:rsidR="007D4384" w:rsidRPr="006F4FEF" w:rsidRDefault="007D4384" w:rsidP="0062665A">
            <w:pPr>
              <w:keepNext/>
              <w:tabs>
                <w:tab w:val="left" w:pos="142"/>
              </w:tabs>
              <w:jc w:val="left"/>
              <w:rPr>
                <w:rFonts w:ascii="Arial Narrow" w:hAnsi="Arial Narrow"/>
                <w:sz w:val="20"/>
              </w:rPr>
            </w:pPr>
            <w:r>
              <w:rPr>
                <w:rFonts w:ascii="Arial Narrow" w:hAnsi="Arial Narrow"/>
                <w:sz w:val="20"/>
              </w:rPr>
              <w:t>Net cost to PBS/RPBS</w:t>
            </w:r>
          </w:p>
        </w:tc>
        <w:tc>
          <w:tcPr>
            <w:tcW w:w="660"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r>
      <w:tr w:rsidR="007D4384" w:rsidRPr="0078738D">
        <w:tc>
          <w:tcPr>
            <w:tcW w:w="1698" w:type="pct"/>
            <w:shd w:val="clear" w:color="auto" w:fill="auto"/>
          </w:tcPr>
          <w:p w:rsidR="007D4384" w:rsidRPr="006F4FEF" w:rsidRDefault="007D4384" w:rsidP="0062665A">
            <w:pPr>
              <w:keepNext/>
              <w:tabs>
                <w:tab w:val="left" w:pos="142"/>
              </w:tabs>
              <w:jc w:val="left"/>
              <w:rPr>
                <w:rFonts w:ascii="Arial Narrow" w:hAnsi="Arial Narrow"/>
                <w:sz w:val="20"/>
              </w:rPr>
            </w:pPr>
            <w:r>
              <w:rPr>
                <w:rFonts w:ascii="Arial Narrow" w:hAnsi="Arial Narrow"/>
                <w:sz w:val="20"/>
              </w:rPr>
              <w:t>Net cost to MBS</w:t>
            </w:r>
          </w:p>
        </w:tc>
        <w:tc>
          <w:tcPr>
            <w:tcW w:w="660"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highlight w:val="black"/>
              </w:rPr>
            </w:pPr>
            <w:r>
              <w:rPr>
                <w:noProof/>
                <w:color w:val="000000"/>
                <w:highlight w:val="black"/>
              </w:rPr>
              <w:t>'''''''''''''''''''''''</w:t>
            </w:r>
          </w:p>
        </w:tc>
      </w:tr>
      <w:tr w:rsidR="00C25D9C" w:rsidRPr="0078738D">
        <w:tc>
          <w:tcPr>
            <w:tcW w:w="5000" w:type="pct"/>
            <w:gridSpan w:val="6"/>
            <w:shd w:val="clear" w:color="auto" w:fill="auto"/>
            <w:vAlign w:val="center"/>
          </w:tcPr>
          <w:p w:rsidR="00C25D9C" w:rsidRPr="0078738D" w:rsidRDefault="00C25D9C" w:rsidP="0062665A">
            <w:pPr>
              <w:keepNext/>
              <w:jc w:val="left"/>
              <w:rPr>
                <w:rFonts w:ascii="Arial Narrow" w:hAnsi="Arial Narrow"/>
                <w:b/>
                <w:color w:val="000000"/>
                <w:sz w:val="20"/>
              </w:rPr>
            </w:pPr>
            <w:r w:rsidRPr="0078738D">
              <w:rPr>
                <w:rFonts w:ascii="Arial Narrow" w:hAnsi="Arial Narrow"/>
                <w:b/>
                <w:color w:val="000000"/>
                <w:sz w:val="20"/>
              </w:rPr>
              <w:t>Estimated total net cost</w:t>
            </w:r>
          </w:p>
        </w:tc>
      </w:tr>
      <w:tr w:rsidR="007D4384" w:rsidRPr="0078738D">
        <w:tc>
          <w:tcPr>
            <w:tcW w:w="1698" w:type="pct"/>
            <w:shd w:val="clear" w:color="auto" w:fill="auto"/>
            <w:vAlign w:val="center"/>
          </w:tcPr>
          <w:p w:rsidR="007D4384" w:rsidRPr="0078738D" w:rsidRDefault="007D4384" w:rsidP="0062665A">
            <w:pPr>
              <w:keepNext/>
              <w:tabs>
                <w:tab w:val="left" w:pos="142"/>
              </w:tabs>
              <w:jc w:val="left"/>
              <w:rPr>
                <w:rFonts w:ascii="Arial Narrow" w:hAnsi="Arial Narrow"/>
                <w:b/>
                <w:sz w:val="20"/>
              </w:rPr>
            </w:pPr>
            <w:r w:rsidRPr="0078738D">
              <w:rPr>
                <w:rFonts w:ascii="Arial Narrow" w:hAnsi="Arial Narrow"/>
                <w:b/>
                <w:bCs/>
                <w:color w:val="000000"/>
                <w:sz w:val="20"/>
              </w:rPr>
              <w:t xml:space="preserve">Net cost to </w:t>
            </w:r>
            <w:r w:rsidR="00F21839">
              <w:rPr>
                <w:rFonts w:ascii="Arial Narrow" w:hAnsi="Arial Narrow"/>
                <w:b/>
                <w:bCs/>
                <w:color w:val="000000"/>
                <w:sz w:val="20"/>
              </w:rPr>
              <w:t>government</w:t>
            </w:r>
          </w:p>
        </w:tc>
        <w:tc>
          <w:tcPr>
            <w:tcW w:w="660" w:type="pct"/>
            <w:shd w:val="clear" w:color="auto" w:fill="auto"/>
            <w:vAlign w:val="bottom"/>
          </w:tcPr>
          <w:p w:rsidR="007D4384" w:rsidRPr="00042C6A" w:rsidRDefault="00042C6A" w:rsidP="0062665A">
            <w:pPr>
              <w:pStyle w:val="Tabletext"/>
              <w:keepNext/>
              <w:keepLines/>
              <w:jc w:val="right"/>
              <w:rPr>
                <w:b/>
                <w:highlight w:val="black"/>
              </w:rPr>
            </w:pPr>
            <w:r>
              <w:rPr>
                <w:b/>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b/>
                <w:highlight w:val="black"/>
              </w:rPr>
            </w:pPr>
            <w:r>
              <w:rPr>
                <w:b/>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b/>
                <w:highlight w:val="black"/>
              </w:rPr>
            </w:pPr>
            <w:r>
              <w:rPr>
                <w:b/>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b/>
                <w:highlight w:val="black"/>
              </w:rPr>
            </w:pPr>
            <w:r>
              <w:rPr>
                <w:b/>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b/>
                <w:highlight w:val="black"/>
              </w:rPr>
            </w:pPr>
            <w:r>
              <w:rPr>
                <w:b/>
                <w:noProof/>
                <w:color w:val="000000"/>
                <w:highlight w:val="black"/>
              </w:rPr>
              <w:t>'''''''''''''''''''''</w:t>
            </w:r>
          </w:p>
        </w:tc>
      </w:tr>
      <w:tr w:rsidR="007D4384" w:rsidRPr="0078738D">
        <w:tc>
          <w:tcPr>
            <w:tcW w:w="1698" w:type="pct"/>
            <w:shd w:val="clear" w:color="auto" w:fill="auto"/>
            <w:vAlign w:val="center"/>
          </w:tcPr>
          <w:p w:rsidR="007D4384" w:rsidRPr="0078738D" w:rsidRDefault="007D4384" w:rsidP="0062665A">
            <w:pPr>
              <w:keepNext/>
              <w:tabs>
                <w:tab w:val="left" w:pos="142"/>
              </w:tabs>
              <w:jc w:val="left"/>
              <w:rPr>
                <w:rFonts w:ascii="Arial Narrow" w:hAnsi="Arial Narrow"/>
                <w:b/>
                <w:sz w:val="20"/>
              </w:rPr>
            </w:pPr>
            <w:r w:rsidRPr="00560B10">
              <w:rPr>
                <w:rFonts w:ascii="Arial Narrow" w:hAnsi="Arial Narrow"/>
                <w:b/>
                <w:bCs/>
                <w:color w:val="000000"/>
                <w:sz w:val="20"/>
              </w:rPr>
              <w:t xml:space="preserve">Including rebate </w:t>
            </w:r>
            <w:r w:rsidRPr="00560B10">
              <w:rPr>
                <w:rFonts w:ascii="Arial Narrow" w:hAnsi="Arial Narrow"/>
                <w:b/>
                <w:bCs/>
                <w:color w:val="000000"/>
                <w:sz w:val="20"/>
                <w:vertAlign w:val="superscript"/>
              </w:rPr>
              <w:t>b</w:t>
            </w:r>
          </w:p>
        </w:tc>
        <w:tc>
          <w:tcPr>
            <w:tcW w:w="660" w:type="pct"/>
            <w:shd w:val="clear" w:color="auto" w:fill="auto"/>
            <w:vAlign w:val="bottom"/>
          </w:tcPr>
          <w:p w:rsidR="007D4384" w:rsidRPr="00042C6A" w:rsidRDefault="00042C6A" w:rsidP="0062665A">
            <w:pPr>
              <w:pStyle w:val="Tabletext"/>
              <w:keepNext/>
              <w:keepLines/>
              <w:jc w:val="right"/>
              <w:rPr>
                <w:b/>
                <w:i/>
                <w:color w:val="000000"/>
                <w:highlight w:val="black"/>
              </w:rPr>
            </w:pPr>
            <w:r>
              <w:rPr>
                <w:b/>
                <w:i/>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b/>
                <w:i/>
                <w:color w:val="000000"/>
                <w:highlight w:val="black"/>
              </w:rPr>
            </w:pPr>
            <w:r>
              <w:rPr>
                <w:b/>
                <w:i/>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b/>
                <w:i/>
                <w:color w:val="000000"/>
                <w:highlight w:val="black"/>
              </w:rPr>
            </w:pPr>
            <w:r>
              <w:rPr>
                <w:b/>
                <w:i/>
                <w:noProof/>
                <w:color w:val="000000"/>
                <w:highlight w:val="black"/>
              </w:rPr>
              <w:t>''''''''''''''''</w:t>
            </w:r>
          </w:p>
        </w:tc>
        <w:tc>
          <w:tcPr>
            <w:tcW w:w="661" w:type="pct"/>
            <w:shd w:val="clear" w:color="auto" w:fill="auto"/>
            <w:vAlign w:val="bottom"/>
          </w:tcPr>
          <w:p w:rsidR="007D4384" w:rsidRPr="00042C6A" w:rsidRDefault="00042C6A" w:rsidP="0062665A">
            <w:pPr>
              <w:pStyle w:val="Tabletext"/>
              <w:keepNext/>
              <w:keepLines/>
              <w:jc w:val="right"/>
              <w:rPr>
                <w:b/>
                <w:i/>
                <w:color w:val="000000"/>
                <w:highlight w:val="black"/>
              </w:rPr>
            </w:pPr>
            <w:r>
              <w:rPr>
                <w:b/>
                <w:i/>
                <w:noProof/>
                <w:color w:val="000000"/>
                <w:highlight w:val="black"/>
              </w:rPr>
              <w:t>'''''''''''''''''</w:t>
            </w:r>
          </w:p>
        </w:tc>
        <w:tc>
          <w:tcPr>
            <w:tcW w:w="660" w:type="pct"/>
            <w:shd w:val="clear" w:color="auto" w:fill="auto"/>
            <w:vAlign w:val="bottom"/>
          </w:tcPr>
          <w:p w:rsidR="007D4384" w:rsidRPr="00042C6A" w:rsidRDefault="00042C6A" w:rsidP="0062665A">
            <w:pPr>
              <w:pStyle w:val="Tabletext"/>
              <w:keepNext/>
              <w:keepLines/>
              <w:jc w:val="right"/>
              <w:rPr>
                <w:b/>
                <w:i/>
                <w:color w:val="000000"/>
                <w:highlight w:val="black"/>
              </w:rPr>
            </w:pPr>
            <w:r>
              <w:rPr>
                <w:b/>
                <w:i/>
                <w:noProof/>
                <w:color w:val="000000"/>
                <w:highlight w:val="black"/>
              </w:rPr>
              <w:t>''''''''''''''''''''</w:t>
            </w:r>
          </w:p>
        </w:tc>
      </w:tr>
    </w:tbl>
    <w:p w:rsidR="00A05733" w:rsidRPr="00A05733" w:rsidRDefault="00A05733" w:rsidP="0062665A">
      <w:pPr>
        <w:pStyle w:val="TableFooter"/>
        <w:keepNext/>
        <w:ind w:firstLine="720"/>
      </w:pPr>
      <w:r w:rsidRPr="00A05733">
        <w:t>Source: Table E.4.1 p.161 of the submission</w:t>
      </w:r>
      <w:r w:rsidR="00FE6210">
        <w:t xml:space="preserve"> and Section E electronic attachment to the submission.</w:t>
      </w:r>
    </w:p>
    <w:p w:rsidR="00C25D9C" w:rsidRDefault="00C25D9C" w:rsidP="0062665A">
      <w:pPr>
        <w:pStyle w:val="TableFooter"/>
        <w:keepNext/>
        <w:ind w:left="720"/>
      </w:pPr>
      <w:proofErr w:type="spellStart"/>
      <w:proofErr w:type="gramStart"/>
      <w:r w:rsidRPr="0078738D">
        <w:rPr>
          <w:vertAlign w:val="superscript"/>
        </w:rPr>
        <w:t>a</w:t>
      </w:r>
      <w:proofErr w:type="spellEnd"/>
      <w:proofErr w:type="gramEnd"/>
      <w:r w:rsidRPr="0078738D">
        <w:t xml:space="preserve"> </w:t>
      </w:r>
      <w:r w:rsidRPr="006B1942">
        <w:t xml:space="preserve">Assuming </w:t>
      </w:r>
      <w:r w:rsidR="006F4FEF" w:rsidRPr="006B1942">
        <w:t xml:space="preserve">infliximab vials </w:t>
      </w:r>
      <w:r w:rsidRPr="006B1942">
        <w:t>per year as estimated by the submission</w:t>
      </w:r>
      <w:r w:rsidR="004468AE" w:rsidRPr="006B1942">
        <w:t>,</w:t>
      </w:r>
      <w:r w:rsidR="006F4FEF" w:rsidRPr="006B1942">
        <w:t xml:space="preserve"> a 4/3 adalimumab to infliximab pack relativity</w:t>
      </w:r>
      <w:r w:rsidR="004468AE" w:rsidRPr="006B1942">
        <w:t xml:space="preserve">, and severe disease </w:t>
      </w:r>
      <w:r w:rsidR="003C3E89" w:rsidRPr="006B1942">
        <w:t>accounting for</w:t>
      </w:r>
      <w:r w:rsidR="004468AE" w:rsidRPr="006B1942">
        <w:t xml:space="preserve"> </w:t>
      </w:r>
      <w:r w:rsidR="00042C6A">
        <w:rPr>
          <w:noProof/>
          <w:color w:val="000000"/>
          <w:highlight w:val="black"/>
        </w:rPr>
        <w:t>'''''''''''</w:t>
      </w:r>
      <w:r w:rsidR="004468AE" w:rsidRPr="006B1942">
        <w:t>% of infliximab use</w:t>
      </w:r>
      <w:r w:rsidR="004468AE">
        <w:t>;</w:t>
      </w:r>
    </w:p>
    <w:p w:rsidR="006F4FEF" w:rsidRDefault="006F4FEF" w:rsidP="006F4FEF">
      <w:pPr>
        <w:pStyle w:val="TableFooter"/>
        <w:keepNext/>
        <w:keepLines/>
        <w:ind w:left="720"/>
      </w:pPr>
      <w:proofErr w:type="gramStart"/>
      <w:r w:rsidRPr="00560B10">
        <w:rPr>
          <w:vertAlign w:val="superscript"/>
        </w:rPr>
        <w:t>b</w:t>
      </w:r>
      <w:proofErr w:type="gramEnd"/>
      <w:r w:rsidRPr="006B1942">
        <w:t xml:space="preserve"> the proposed price rebate is </w:t>
      </w:r>
      <w:r w:rsidR="00042C6A">
        <w:rPr>
          <w:noProof/>
          <w:color w:val="000000"/>
          <w:highlight w:val="black"/>
        </w:rPr>
        <w:t>'''''''''''''</w:t>
      </w:r>
      <w:r w:rsidRPr="006B1942">
        <w:t xml:space="preserve">% for the two-pack and </w:t>
      </w:r>
      <w:r w:rsidR="00042C6A">
        <w:rPr>
          <w:noProof/>
          <w:color w:val="000000"/>
          <w:highlight w:val="black"/>
        </w:rPr>
        <w:t>'''''''''''''</w:t>
      </w:r>
      <w:r w:rsidRPr="006B1942">
        <w:t>% for the six-pack</w:t>
      </w:r>
      <w:r>
        <w:t>;</w:t>
      </w:r>
    </w:p>
    <w:p w:rsidR="00C25D9C" w:rsidRPr="002A4CF9" w:rsidRDefault="00C25D9C" w:rsidP="00C25D9C">
      <w:pPr>
        <w:widowControl/>
        <w:rPr>
          <w:szCs w:val="22"/>
        </w:rPr>
      </w:pPr>
    </w:p>
    <w:p w:rsidR="00665DEE" w:rsidRPr="002A4CF9" w:rsidRDefault="00665DEE" w:rsidP="00665DEE">
      <w:pPr>
        <w:pStyle w:val="ListParagraph"/>
        <w:widowControl/>
        <w:rPr>
          <w:szCs w:val="22"/>
        </w:rPr>
      </w:pPr>
      <w:r w:rsidRPr="002A4CF9">
        <w:rPr>
          <w:szCs w:val="22"/>
        </w:rPr>
        <w:t>The redacted table above shows that in Year 5, the estimated number of adalimumab packs supplied would be less than 10,000 and the net cost to Government would be less than $10 million.</w:t>
      </w:r>
    </w:p>
    <w:p w:rsidR="00665DEE" w:rsidRPr="0078738D" w:rsidRDefault="00665DEE" w:rsidP="00C25D9C">
      <w:pPr>
        <w:widowControl/>
        <w:rPr>
          <w:szCs w:val="22"/>
        </w:rPr>
      </w:pPr>
    </w:p>
    <w:p w:rsidR="00CE335B" w:rsidRPr="000C6990" w:rsidRDefault="00CE335B" w:rsidP="00955E40">
      <w:pPr>
        <w:pStyle w:val="ListParagraph"/>
        <w:widowControl/>
        <w:numPr>
          <w:ilvl w:val="1"/>
          <w:numId w:val="1"/>
        </w:numPr>
        <w:rPr>
          <w:szCs w:val="22"/>
        </w:rPr>
      </w:pPr>
      <w:r w:rsidRPr="000C6990">
        <w:rPr>
          <w:szCs w:val="22"/>
        </w:rPr>
        <w:t>The submission estimate</w:t>
      </w:r>
      <w:r w:rsidR="0041466D">
        <w:rPr>
          <w:szCs w:val="22"/>
        </w:rPr>
        <w:t>d</w:t>
      </w:r>
      <w:r w:rsidRPr="000C6990">
        <w:rPr>
          <w:szCs w:val="22"/>
        </w:rPr>
        <w:t xml:space="preserve"> a net cost to the PBS</w:t>
      </w:r>
      <w:r w:rsidR="00534ADA" w:rsidRPr="000C6990">
        <w:rPr>
          <w:szCs w:val="22"/>
        </w:rPr>
        <w:t>/MBS</w:t>
      </w:r>
      <w:r w:rsidRPr="000C6990">
        <w:rPr>
          <w:szCs w:val="22"/>
        </w:rPr>
        <w:t xml:space="preserve"> over five years of $</w:t>
      </w:r>
      <w:r w:rsidR="00042C6A">
        <w:rPr>
          <w:noProof/>
          <w:color w:val="000000"/>
          <w:szCs w:val="22"/>
          <w:highlight w:val="black"/>
        </w:rPr>
        <w:t>''''''''''''''''''''''</w:t>
      </w:r>
      <w:r w:rsidRPr="000C6990">
        <w:rPr>
          <w:szCs w:val="22"/>
        </w:rPr>
        <w:t xml:space="preserve"> and $</w:t>
      </w:r>
      <w:r w:rsidR="00042C6A">
        <w:rPr>
          <w:noProof/>
          <w:color w:val="000000"/>
          <w:szCs w:val="22"/>
          <w:highlight w:val="black"/>
        </w:rPr>
        <w:t>''''''' '''''''''''''' ''''''''''''' ''''''' ''''''''''''''' '''''''''''''''' '''''' '''''''''''''''''''''''''''''' '''' '''''''''''' '''''''''''''''''''' '''''''''''''''''' ''''' '''''''''''''''''''</w:t>
      </w:r>
      <w:r w:rsidRPr="000C6990">
        <w:rPr>
          <w:szCs w:val="22"/>
        </w:rPr>
        <w:t xml:space="preserve">. </w:t>
      </w:r>
      <w:r w:rsidR="00534ADA" w:rsidRPr="000C6990">
        <w:rPr>
          <w:szCs w:val="22"/>
        </w:rPr>
        <w:t>The increase in PBS/MBS cost is due to an additional line of treatment after infliximab treatment failure or intolerance</w:t>
      </w:r>
      <w:r w:rsidR="00DE14FC" w:rsidRPr="000C6990">
        <w:rPr>
          <w:szCs w:val="22"/>
        </w:rPr>
        <w:t xml:space="preserve"> and cost-offsets for inpatient infusions which are not included in the PBS/MBS cost</w:t>
      </w:r>
      <w:r w:rsidR="00534ADA" w:rsidRPr="000C6990">
        <w:rPr>
          <w:szCs w:val="22"/>
        </w:rPr>
        <w:t xml:space="preserve">. </w:t>
      </w:r>
      <w:r w:rsidRPr="000C6990">
        <w:rPr>
          <w:szCs w:val="22"/>
        </w:rPr>
        <w:t>The estimates may be higher or lower depending on:</w:t>
      </w:r>
    </w:p>
    <w:p w:rsidR="007D4384" w:rsidRPr="00B92322" w:rsidRDefault="007D4384" w:rsidP="00955E40">
      <w:pPr>
        <w:pStyle w:val="ListParagraph"/>
        <w:widowControl/>
        <w:numPr>
          <w:ilvl w:val="0"/>
          <w:numId w:val="7"/>
        </w:numPr>
        <w:rPr>
          <w:szCs w:val="22"/>
        </w:rPr>
      </w:pPr>
      <w:r w:rsidRPr="00B92322">
        <w:rPr>
          <w:szCs w:val="22"/>
        </w:rPr>
        <w:t xml:space="preserve">The substitution rate of adalimumab in severe patients currently treated with infliximab is estimated to be </w:t>
      </w:r>
      <w:r w:rsidR="00042C6A">
        <w:rPr>
          <w:noProof/>
          <w:color w:val="000000"/>
          <w:szCs w:val="22"/>
          <w:highlight w:val="black"/>
        </w:rPr>
        <w:t>''''''</w:t>
      </w:r>
      <w:r w:rsidRPr="00B92322">
        <w:rPr>
          <w:szCs w:val="22"/>
        </w:rPr>
        <w:t>% in year 5, which may be an overestimate</w:t>
      </w:r>
      <w:r w:rsidR="007519BE" w:rsidRPr="00B92322">
        <w:rPr>
          <w:szCs w:val="22"/>
        </w:rPr>
        <w:t>.</w:t>
      </w:r>
      <w:r w:rsidR="00D91E2B" w:rsidRPr="00B92322">
        <w:rPr>
          <w:szCs w:val="22"/>
        </w:rPr>
        <w:t xml:space="preserve"> The PSCR</w:t>
      </w:r>
      <w:r w:rsidR="00EA293F" w:rsidRPr="00B92322">
        <w:rPr>
          <w:szCs w:val="22"/>
        </w:rPr>
        <w:t xml:space="preserve"> acknowledged that the substitution rate is conservative and may be overestimated. </w:t>
      </w:r>
    </w:p>
    <w:p w:rsidR="00EC0B84" w:rsidRPr="00B92322" w:rsidRDefault="00EC0B84" w:rsidP="00955E40">
      <w:pPr>
        <w:pStyle w:val="ListParagraph"/>
        <w:numPr>
          <w:ilvl w:val="0"/>
          <w:numId w:val="7"/>
        </w:numPr>
        <w:rPr>
          <w:szCs w:val="24"/>
        </w:rPr>
      </w:pPr>
      <w:r w:rsidRPr="00B92322">
        <w:rPr>
          <w:szCs w:val="24"/>
        </w:rPr>
        <w:t>The submission d</w:t>
      </w:r>
      <w:r w:rsidR="00EB424B">
        <w:rPr>
          <w:szCs w:val="24"/>
        </w:rPr>
        <w:t>id</w:t>
      </w:r>
      <w:r w:rsidRPr="00B92322">
        <w:rPr>
          <w:szCs w:val="24"/>
        </w:rPr>
        <w:t xml:space="preserve"> not estimate uptake for induction and maintenance therapy separately</w:t>
      </w:r>
      <w:r w:rsidR="00A14A94">
        <w:rPr>
          <w:szCs w:val="24"/>
        </w:rPr>
        <w:t>.</w:t>
      </w:r>
      <w:r w:rsidRPr="00B92322">
        <w:rPr>
          <w:szCs w:val="24"/>
        </w:rPr>
        <w:t xml:space="preserve"> </w:t>
      </w:r>
      <w:r w:rsidR="00A14A94">
        <w:rPr>
          <w:szCs w:val="24"/>
        </w:rPr>
        <w:t>T</w:t>
      </w:r>
      <w:r w:rsidRPr="00B92322">
        <w:rPr>
          <w:szCs w:val="24"/>
        </w:rPr>
        <w:t>his may not be appropriate if the continuation rate at 12</w:t>
      </w:r>
      <w:r w:rsidR="00A14A94">
        <w:rPr>
          <w:szCs w:val="24"/>
        </w:rPr>
        <w:t> </w:t>
      </w:r>
      <w:r w:rsidRPr="00B92322">
        <w:rPr>
          <w:szCs w:val="24"/>
        </w:rPr>
        <w:t>weeks is low</w:t>
      </w:r>
      <w:r w:rsidR="00435D46" w:rsidRPr="00B92322">
        <w:rPr>
          <w:szCs w:val="24"/>
        </w:rPr>
        <w:t>.</w:t>
      </w:r>
    </w:p>
    <w:p w:rsidR="00EC0B84" w:rsidRPr="00B92322" w:rsidRDefault="00EC0B84" w:rsidP="00955E40">
      <w:pPr>
        <w:pStyle w:val="ListParagraph"/>
        <w:numPr>
          <w:ilvl w:val="0"/>
          <w:numId w:val="7"/>
        </w:numPr>
        <w:rPr>
          <w:szCs w:val="24"/>
        </w:rPr>
      </w:pPr>
      <w:r w:rsidRPr="00B92322">
        <w:rPr>
          <w:szCs w:val="24"/>
        </w:rPr>
        <w:t>The analysis implicitly assume</w:t>
      </w:r>
      <w:r w:rsidR="00EB424B">
        <w:rPr>
          <w:szCs w:val="24"/>
        </w:rPr>
        <w:t>d</w:t>
      </w:r>
      <w:r w:rsidRPr="00B92322">
        <w:rPr>
          <w:szCs w:val="24"/>
        </w:rPr>
        <w:t xml:space="preserve"> that continuation rates and compliance in adalimumab and infliximab </w:t>
      </w:r>
      <w:proofErr w:type="gramStart"/>
      <w:r w:rsidRPr="00B92322">
        <w:rPr>
          <w:szCs w:val="24"/>
        </w:rPr>
        <w:t>are</w:t>
      </w:r>
      <w:proofErr w:type="gramEnd"/>
      <w:r w:rsidRPr="00B92322">
        <w:rPr>
          <w:szCs w:val="24"/>
        </w:rPr>
        <w:t xml:space="preserve"> equal, which may or may not be true.</w:t>
      </w:r>
    </w:p>
    <w:p w:rsidR="00EC0B84" w:rsidRPr="00B92322" w:rsidRDefault="00CE335B" w:rsidP="00955E40">
      <w:pPr>
        <w:pStyle w:val="ListParagraph"/>
        <w:widowControl/>
        <w:numPr>
          <w:ilvl w:val="0"/>
          <w:numId w:val="7"/>
        </w:numPr>
        <w:rPr>
          <w:szCs w:val="22"/>
        </w:rPr>
      </w:pPr>
      <w:r w:rsidRPr="00B92322">
        <w:rPr>
          <w:szCs w:val="22"/>
        </w:rPr>
        <w:t xml:space="preserve">Leakage </w:t>
      </w:r>
      <w:r w:rsidR="00E413AF">
        <w:rPr>
          <w:szCs w:val="22"/>
        </w:rPr>
        <w:t xml:space="preserve">of use </w:t>
      </w:r>
      <w:r w:rsidRPr="00B92322">
        <w:rPr>
          <w:szCs w:val="22"/>
        </w:rPr>
        <w:t xml:space="preserve">to patients with moderate disease, as </w:t>
      </w:r>
      <w:r w:rsidR="007D59E6" w:rsidRPr="00B92322">
        <w:rPr>
          <w:szCs w:val="22"/>
        </w:rPr>
        <w:t xml:space="preserve">clinicians </w:t>
      </w:r>
      <w:r w:rsidRPr="00B92322">
        <w:rPr>
          <w:szCs w:val="22"/>
        </w:rPr>
        <w:t xml:space="preserve">may </w:t>
      </w:r>
      <w:r w:rsidR="007D59E6" w:rsidRPr="00B92322">
        <w:rPr>
          <w:szCs w:val="22"/>
        </w:rPr>
        <w:t>prefer</w:t>
      </w:r>
      <w:r w:rsidRPr="00B92322">
        <w:rPr>
          <w:szCs w:val="22"/>
        </w:rPr>
        <w:t xml:space="preserve"> to use PBS prescribing than the proposed compassionate program</w:t>
      </w:r>
      <w:r w:rsidR="00A14A94">
        <w:rPr>
          <w:szCs w:val="22"/>
        </w:rPr>
        <w:t xml:space="preserve"> (see paragraph 6.32)</w:t>
      </w:r>
      <w:r w:rsidRPr="00B92322">
        <w:rPr>
          <w:szCs w:val="22"/>
        </w:rPr>
        <w:t xml:space="preserve">. </w:t>
      </w:r>
      <w:r w:rsidR="00842C9A" w:rsidRPr="00B92322">
        <w:rPr>
          <w:szCs w:val="22"/>
        </w:rPr>
        <w:t xml:space="preserve">The PSCR disagreed and argued that the compassionate supply process is both straight forward and efficient. The ESC nonetheless considered that there may be some leakage </w:t>
      </w:r>
      <w:r w:rsidR="00E413AF">
        <w:rPr>
          <w:szCs w:val="22"/>
        </w:rPr>
        <w:t xml:space="preserve">of use </w:t>
      </w:r>
      <w:r w:rsidR="00842C9A" w:rsidRPr="00B92322">
        <w:rPr>
          <w:szCs w:val="22"/>
        </w:rPr>
        <w:t>to patients with moderate disease.</w:t>
      </w:r>
    </w:p>
    <w:p w:rsidR="00D44D9E" w:rsidRPr="00B92322" w:rsidRDefault="00D44D9E" w:rsidP="00D44D9E">
      <w:pPr>
        <w:widowControl/>
        <w:rPr>
          <w:szCs w:val="22"/>
        </w:rPr>
      </w:pPr>
    </w:p>
    <w:p w:rsidR="00D44D9E" w:rsidRPr="00B92322" w:rsidRDefault="00D44D9E" w:rsidP="00955E40">
      <w:pPr>
        <w:pStyle w:val="ListParagraph"/>
        <w:widowControl/>
        <w:numPr>
          <w:ilvl w:val="1"/>
          <w:numId w:val="1"/>
        </w:numPr>
        <w:rPr>
          <w:szCs w:val="22"/>
        </w:rPr>
      </w:pPr>
      <w:r w:rsidRPr="00B92322">
        <w:rPr>
          <w:szCs w:val="22"/>
        </w:rPr>
        <w:t xml:space="preserve">As requested in the commentary, the PSCR provided details of the 10% PBS sample data for adult Crohn’s disease on the number of scripts for adalimumab and infliximab per year. The PSCR noted that timing differences in PBS-listing of both drugs for adult and paediatric patients which may affect the applicability of substitution and market growth assumptions across both populations. </w:t>
      </w:r>
    </w:p>
    <w:p w:rsidR="00D10040" w:rsidRDefault="00D10040" w:rsidP="00576972">
      <w:pPr>
        <w:widowControl/>
        <w:rPr>
          <w:szCs w:val="22"/>
        </w:rPr>
      </w:pPr>
    </w:p>
    <w:p w:rsidR="00183FE8" w:rsidRDefault="00183FE8" w:rsidP="00183FE8">
      <w:pPr>
        <w:pStyle w:val="ListParagraph"/>
        <w:ind w:left="709"/>
        <w:rPr>
          <w:i/>
          <w:szCs w:val="22"/>
        </w:rPr>
      </w:pPr>
      <w:r>
        <w:rPr>
          <w:i/>
          <w:szCs w:val="22"/>
        </w:rPr>
        <w:t>For more detail on PBAC’s view, see section 7 “PBAC outcome”</w:t>
      </w:r>
    </w:p>
    <w:p w:rsidR="00183FE8" w:rsidRPr="0078738D" w:rsidRDefault="00183FE8" w:rsidP="00576972">
      <w:pPr>
        <w:widowControl/>
        <w:rPr>
          <w:szCs w:val="22"/>
        </w:rPr>
      </w:pPr>
    </w:p>
    <w:p w:rsidR="00576972" w:rsidRPr="004D51AA" w:rsidRDefault="00576972" w:rsidP="004D51AA">
      <w:pPr>
        <w:rPr>
          <w:b/>
          <w:szCs w:val="22"/>
        </w:rPr>
      </w:pPr>
      <w:bookmarkStart w:id="13" w:name="_Toc398284974"/>
      <w:r w:rsidRPr="004D51AA">
        <w:rPr>
          <w:b/>
          <w:szCs w:val="22"/>
        </w:rPr>
        <w:t>Quality Use of Medicines</w:t>
      </w:r>
      <w:bookmarkEnd w:id="13"/>
    </w:p>
    <w:p w:rsidR="00576972" w:rsidRPr="0078738D" w:rsidRDefault="00576972" w:rsidP="00576972">
      <w:pPr>
        <w:widowControl/>
        <w:rPr>
          <w:szCs w:val="22"/>
        </w:rPr>
      </w:pPr>
    </w:p>
    <w:p w:rsidR="00CA3924" w:rsidRDefault="00192318" w:rsidP="00955E40">
      <w:pPr>
        <w:pStyle w:val="ListParagraph"/>
        <w:widowControl/>
        <w:numPr>
          <w:ilvl w:val="1"/>
          <w:numId w:val="1"/>
        </w:numPr>
        <w:rPr>
          <w:szCs w:val="22"/>
        </w:rPr>
      </w:pPr>
      <w:proofErr w:type="spellStart"/>
      <w:proofErr w:type="gramStart"/>
      <w:r w:rsidRPr="00192318">
        <w:rPr>
          <w:szCs w:val="22"/>
        </w:rPr>
        <w:t>myHEALTHguide</w:t>
      </w:r>
      <w:proofErr w:type="spellEnd"/>
      <w:proofErr w:type="gramEnd"/>
      <w:r w:rsidRPr="00192318">
        <w:rPr>
          <w:szCs w:val="22"/>
        </w:rPr>
        <w:t xml:space="preserve"> and </w:t>
      </w:r>
      <w:proofErr w:type="spellStart"/>
      <w:r w:rsidRPr="00192318">
        <w:rPr>
          <w:szCs w:val="22"/>
        </w:rPr>
        <w:t>OnTrack</w:t>
      </w:r>
      <w:proofErr w:type="spellEnd"/>
      <w:r>
        <w:rPr>
          <w:szCs w:val="22"/>
        </w:rPr>
        <w:t xml:space="preserve"> are the Sponsor’s programs</w:t>
      </w:r>
      <w:r w:rsidRPr="00192318">
        <w:rPr>
          <w:szCs w:val="22"/>
        </w:rPr>
        <w:t xml:space="preserve"> </w:t>
      </w:r>
      <w:r>
        <w:rPr>
          <w:szCs w:val="22"/>
        </w:rPr>
        <w:t xml:space="preserve">that </w:t>
      </w:r>
      <w:r w:rsidRPr="00192318">
        <w:rPr>
          <w:szCs w:val="22"/>
        </w:rPr>
        <w:t xml:space="preserve">aim at improving patient education, support, quality of life and enhancing the quality use of medicines. </w:t>
      </w:r>
      <w:proofErr w:type="spellStart"/>
      <w:proofErr w:type="gramStart"/>
      <w:r w:rsidR="00D15E8D" w:rsidRPr="00192318">
        <w:rPr>
          <w:szCs w:val="22"/>
        </w:rPr>
        <w:t>myHEALTHguide</w:t>
      </w:r>
      <w:proofErr w:type="spellEnd"/>
      <w:proofErr w:type="gramEnd"/>
      <w:r w:rsidR="00D15E8D" w:rsidRPr="00192318">
        <w:rPr>
          <w:szCs w:val="22"/>
        </w:rPr>
        <w:t xml:space="preserve"> </w:t>
      </w:r>
      <w:r w:rsidR="00D15E8D">
        <w:rPr>
          <w:szCs w:val="22"/>
        </w:rPr>
        <w:t xml:space="preserve">offers the possibility of home injections assisted by a nurse. </w:t>
      </w:r>
      <w:proofErr w:type="spellStart"/>
      <w:r>
        <w:rPr>
          <w:szCs w:val="22"/>
        </w:rPr>
        <w:t>OnTrack</w:t>
      </w:r>
      <w:proofErr w:type="spellEnd"/>
      <w:r>
        <w:rPr>
          <w:szCs w:val="22"/>
        </w:rPr>
        <w:t xml:space="preserve"> includes </w:t>
      </w:r>
      <w:r w:rsidRPr="00192318">
        <w:rPr>
          <w:szCs w:val="22"/>
        </w:rPr>
        <w:t xml:space="preserve">a </w:t>
      </w:r>
      <w:r>
        <w:rPr>
          <w:szCs w:val="22"/>
        </w:rPr>
        <w:t>possibility of</w:t>
      </w:r>
      <w:r w:rsidRPr="00192318">
        <w:rPr>
          <w:szCs w:val="22"/>
        </w:rPr>
        <w:t xml:space="preserve"> compassionate supply</w:t>
      </w:r>
      <w:r w:rsidR="00CA3924" w:rsidRPr="00CA3924">
        <w:rPr>
          <w:szCs w:val="22"/>
        </w:rPr>
        <w:t xml:space="preserve"> </w:t>
      </w:r>
      <w:r w:rsidR="00CA3924">
        <w:rPr>
          <w:szCs w:val="22"/>
        </w:rPr>
        <w:t xml:space="preserve">enabled through patient enrolment by </w:t>
      </w:r>
      <w:r w:rsidR="00CA3924" w:rsidRPr="00192318">
        <w:rPr>
          <w:szCs w:val="22"/>
        </w:rPr>
        <w:t>a clinician</w:t>
      </w:r>
      <w:r w:rsidR="00CA3924">
        <w:rPr>
          <w:szCs w:val="22"/>
        </w:rPr>
        <w:t xml:space="preserve"> for patients:</w:t>
      </w:r>
    </w:p>
    <w:p w:rsidR="00CA3924" w:rsidRDefault="00CA3924" w:rsidP="00955E40">
      <w:pPr>
        <w:pStyle w:val="ListParagraph"/>
        <w:widowControl/>
        <w:numPr>
          <w:ilvl w:val="0"/>
          <w:numId w:val="8"/>
        </w:numPr>
        <w:rPr>
          <w:szCs w:val="22"/>
        </w:rPr>
      </w:pPr>
      <w:r>
        <w:rPr>
          <w:szCs w:val="22"/>
        </w:rPr>
        <w:t xml:space="preserve">with </w:t>
      </w:r>
      <w:r w:rsidR="00192318" w:rsidRPr="00192318">
        <w:rPr>
          <w:szCs w:val="22"/>
        </w:rPr>
        <w:t>moderate disease</w:t>
      </w:r>
      <w:r w:rsidR="00066362">
        <w:rPr>
          <w:szCs w:val="22"/>
        </w:rPr>
        <w:t>,</w:t>
      </w:r>
      <w:r w:rsidR="00192318" w:rsidRPr="00192318">
        <w:rPr>
          <w:szCs w:val="22"/>
        </w:rPr>
        <w:t xml:space="preserve"> </w:t>
      </w:r>
      <w:r>
        <w:rPr>
          <w:szCs w:val="22"/>
        </w:rPr>
        <w:t>or</w:t>
      </w:r>
      <w:r w:rsidRPr="00192318">
        <w:rPr>
          <w:szCs w:val="22"/>
        </w:rPr>
        <w:t xml:space="preserve"> </w:t>
      </w:r>
    </w:p>
    <w:p w:rsidR="00CA3924" w:rsidRDefault="00CA3924" w:rsidP="00955E40">
      <w:pPr>
        <w:pStyle w:val="ListParagraph"/>
        <w:widowControl/>
        <w:numPr>
          <w:ilvl w:val="0"/>
          <w:numId w:val="8"/>
        </w:numPr>
        <w:rPr>
          <w:szCs w:val="22"/>
        </w:rPr>
      </w:pPr>
      <w:proofErr w:type="gramStart"/>
      <w:r>
        <w:rPr>
          <w:szCs w:val="22"/>
        </w:rPr>
        <w:t>who</w:t>
      </w:r>
      <w:proofErr w:type="gramEnd"/>
      <w:r>
        <w:rPr>
          <w:szCs w:val="22"/>
        </w:rPr>
        <w:t xml:space="preserve"> require </w:t>
      </w:r>
      <w:r w:rsidR="00192318" w:rsidRPr="00192318">
        <w:rPr>
          <w:szCs w:val="22"/>
        </w:rPr>
        <w:t>dose escalation</w:t>
      </w:r>
      <w:r>
        <w:rPr>
          <w:szCs w:val="22"/>
        </w:rPr>
        <w:t xml:space="preserve"> to weekly dosing, after initial response at 12 weeks</w:t>
      </w:r>
      <w:r w:rsidR="00D7418C">
        <w:rPr>
          <w:szCs w:val="22"/>
        </w:rPr>
        <w:t>.</w:t>
      </w:r>
    </w:p>
    <w:p w:rsidR="00576972" w:rsidRPr="000C6990" w:rsidRDefault="00192318" w:rsidP="00CA3924">
      <w:pPr>
        <w:widowControl/>
        <w:ind w:left="709"/>
        <w:rPr>
          <w:szCs w:val="22"/>
        </w:rPr>
      </w:pPr>
      <w:r w:rsidRPr="000C6990">
        <w:rPr>
          <w:szCs w:val="22"/>
        </w:rPr>
        <w:t xml:space="preserve">Details of the programs </w:t>
      </w:r>
      <w:r w:rsidR="00E413AF">
        <w:rPr>
          <w:szCs w:val="22"/>
        </w:rPr>
        <w:t>were</w:t>
      </w:r>
      <w:r w:rsidRPr="000C6990">
        <w:rPr>
          <w:szCs w:val="22"/>
        </w:rPr>
        <w:t xml:space="preserve"> not provided.</w:t>
      </w:r>
    </w:p>
    <w:p w:rsidR="00091D46" w:rsidRDefault="00091D46" w:rsidP="004D51AA">
      <w:pPr>
        <w:pStyle w:val="BodyText"/>
      </w:pPr>
      <w:bookmarkStart w:id="14" w:name="_Toc398284975"/>
    </w:p>
    <w:p w:rsidR="00183FE8" w:rsidRDefault="00183FE8" w:rsidP="00183FE8">
      <w:pPr>
        <w:pStyle w:val="ListParagraph"/>
        <w:ind w:left="709"/>
        <w:rPr>
          <w:i/>
          <w:szCs w:val="22"/>
        </w:rPr>
      </w:pPr>
      <w:r>
        <w:rPr>
          <w:i/>
          <w:szCs w:val="22"/>
        </w:rPr>
        <w:t>For more detail on PBAC’s view, see section 7 “PBAC outcome”</w:t>
      </w:r>
    </w:p>
    <w:p w:rsidR="00183FE8" w:rsidRPr="00183FE8" w:rsidRDefault="00183FE8" w:rsidP="00183FE8"/>
    <w:p w:rsidR="00576972" w:rsidRPr="004D51AA" w:rsidRDefault="00576972" w:rsidP="004D51AA">
      <w:pPr>
        <w:rPr>
          <w:b/>
          <w:szCs w:val="22"/>
        </w:rPr>
      </w:pPr>
      <w:r w:rsidRPr="004D51AA">
        <w:rPr>
          <w:b/>
          <w:szCs w:val="22"/>
        </w:rPr>
        <w:t>Financial Management – Risk Sharing Arrangements</w:t>
      </w:r>
      <w:bookmarkEnd w:id="14"/>
    </w:p>
    <w:p w:rsidR="00C25D9C" w:rsidRPr="0078738D" w:rsidRDefault="00C25D9C" w:rsidP="00576972">
      <w:pPr>
        <w:widowControl/>
        <w:rPr>
          <w:szCs w:val="22"/>
        </w:rPr>
      </w:pPr>
    </w:p>
    <w:p w:rsidR="000A3C77" w:rsidRPr="00042C6A" w:rsidRDefault="00042C6A" w:rsidP="00042C6A">
      <w:pPr>
        <w:widowControl/>
        <w:ind w:left="720" w:hanging="720"/>
        <w:rPr>
          <w:szCs w:val="22"/>
          <w:highlight w:val="black"/>
        </w:rPr>
      </w:pPr>
      <w:r>
        <w:rPr>
          <w:noProof/>
          <w:color w:val="000000"/>
          <w:szCs w:val="22"/>
          <w:highlight w:val="black"/>
        </w:rPr>
        <w:t>'''''''''''''''''''' '''''''''''''''''''''''''' ''''''''''''''''''''''' ''' ''''''''''''''''''' ''''''''''''''' ''''''''''''''''''''''''''''' ''''''''''''''' ''''''''''''''''''''' ''''''''' '''' '''''''''''''''''''''''''''' '''''' ''''''''''' '''''''''''''''''''' ''''''''''''''''''' ''''''''''''''''' ''''''' '''''''' '''''''''''''''''''''' '''''''''' ''''''''''''''''''' '''''' ''''''''' '''''''''''''''''''' '''''''''''' ''''''' '''''''''''' '''''''''''''''' '''' ''''''' ''''''''''''''''''''''''' ''''' ''''''''''''''''''' '''' '''' ''''''' '''''''''''''''''''''''''''' '''''''' '''''''''''''''' ''''''''''''''''''''' '''''''''' ''' '''' ''''''''''''''' ''''' '''''''''''''''' ''''''' ''''''''''''' '''''''''''' '''''''''''''''''' '''''''''''''''''' '''' '''''''' ''''''''''''' '''''''''''''''' '''''''''''''''''''' '''''''''''''''''''''''''</w:t>
      </w:r>
    </w:p>
    <w:p w:rsidR="009A2AB8" w:rsidRDefault="009A2AB8" w:rsidP="009A2AB8">
      <w:pPr>
        <w:pStyle w:val="ListParagraph"/>
        <w:widowControl/>
        <w:rPr>
          <w:szCs w:val="22"/>
        </w:rPr>
      </w:pPr>
    </w:p>
    <w:p w:rsidR="009A2AB8" w:rsidRPr="009A2AB8" w:rsidRDefault="009A2AB8" w:rsidP="009A2AB8">
      <w:pPr>
        <w:widowControl/>
        <w:numPr>
          <w:ilvl w:val="1"/>
          <w:numId w:val="1"/>
        </w:numPr>
        <w:rPr>
          <w:bCs/>
          <w:szCs w:val="22"/>
          <w:lang w:val="en-GB"/>
        </w:rPr>
      </w:pPr>
      <w:r>
        <w:rPr>
          <w:bCs/>
          <w:szCs w:val="22"/>
          <w:lang w:val="en-GB"/>
        </w:rPr>
        <w:t>The PBAC noted the submission did not propose a risk sharing arrangement</w:t>
      </w:r>
      <w:r w:rsidR="00C956B9">
        <w:rPr>
          <w:bCs/>
          <w:szCs w:val="22"/>
          <w:lang w:val="en-GB"/>
        </w:rPr>
        <w:t xml:space="preserve"> (RSA)</w:t>
      </w:r>
      <w:r>
        <w:rPr>
          <w:bCs/>
          <w:szCs w:val="22"/>
          <w:lang w:val="en-GB"/>
        </w:rPr>
        <w:t xml:space="preserve">. </w:t>
      </w:r>
      <w:r w:rsidR="00042C6A">
        <w:rPr>
          <w:bCs/>
          <w:noProof/>
          <w:color w:val="000000"/>
          <w:szCs w:val="22"/>
          <w:highlight w:val="black"/>
          <w:lang w:val="en-GB"/>
        </w:rPr>
        <w:t>''''''''' '''''''''''''' ''''''''''''''''''''''''' ''''''''' ''''''' '''''''''''''''''''''''' '''''''''''''''''''''' ''''''''''''''' '''''' ''''''''''''''''''' ''''' ''''''' '''''''''''''''' ''''''''''' ''''''' '''''''''''''''''''''''''''''''' ''''''' ''''''''''''''''''' ''''''''''''''''''''' '''''''''' '''''''' '''''''''''''''''''''''''''' '''''''''''''' '''''''''''''''' '''''''''' ''''''' ''''''''''''''''' ''''''''''' ''''' ''''''''' ''''''''''' '''''''''''''''''''' ''''''''''''''''' '''''' ''''''''''''''''''''' ''''' ''''''''''''''''''''''''''''''' '''''''' '''''''''''''''''''''''' '''''''''''''''''''' '''''' ''''''''' ''''''' ''''''''''''''''''''' ''''''''''''''''''''''</w:t>
      </w:r>
    </w:p>
    <w:p w:rsidR="00576972" w:rsidRDefault="00576972" w:rsidP="00576972">
      <w:pPr>
        <w:widowControl/>
        <w:rPr>
          <w:szCs w:val="22"/>
        </w:rPr>
      </w:pPr>
    </w:p>
    <w:p w:rsidR="00AD7866" w:rsidRDefault="00AD7866" w:rsidP="00AD7866">
      <w:pPr>
        <w:pStyle w:val="ListParagraph"/>
        <w:ind w:left="709"/>
        <w:rPr>
          <w:i/>
          <w:szCs w:val="22"/>
        </w:rPr>
      </w:pPr>
      <w:r>
        <w:rPr>
          <w:i/>
          <w:szCs w:val="22"/>
        </w:rPr>
        <w:t>For more detail on PBAC’s view, see section 7 “PBAC outc</w:t>
      </w:r>
      <w:bookmarkStart w:id="15" w:name="_GoBack"/>
      <w:bookmarkEnd w:id="15"/>
      <w:r>
        <w:rPr>
          <w:i/>
          <w:szCs w:val="22"/>
        </w:rPr>
        <w:t>ome”</w:t>
      </w:r>
    </w:p>
    <w:p w:rsidR="003B441A" w:rsidRDefault="003B441A" w:rsidP="00576972">
      <w:pPr>
        <w:widowControl/>
        <w:rPr>
          <w:szCs w:val="22"/>
        </w:rPr>
      </w:pPr>
    </w:p>
    <w:p w:rsidR="00AD7866" w:rsidRDefault="00AD7866" w:rsidP="00576972">
      <w:pPr>
        <w:widowControl/>
        <w:rPr>
          <w:szCs w:val="22"/>
        </w:rPr>
      </w:pPr>
    </w:p>
    <w:p w:rsidR="00B92322" w:rsidRPr="00B92322" w:rsidRDefault="00B92322" w:rsidP="00955E40">
      <w:pPr>
        <w:widowControl/>
        <w:numPr>
          <w:ilvl w:val="0"/>
          <w:numId w:val="1"/>
        </w:numPr>
        <w:rPr>
          <w:b/>
          <w:bCs/>
          <w:szCs w:val="22"/>
        </w:rPr>
      </w:pPr>
      <w:r w:rsidRPr="00B92322">
        <w:rPr>
          <w:b/>
          <w:bCs/>
          <w:szCs w:val="22"/>
        </w:rPr>
        <w:t>PBAC Outcome</w:t>
      </w:r>
    </w:p>
    <w:p w:rsidR="00B92322" w:rsidRPr="00B92322" w:rsidRDefault="00B92322" w:rsidP="00B92322">
      <w:pPr>
        <w:widowControl/>
        <w:rPr>
          <w:b/>
          <w:bCs/>
          <w:szCs w:val="22"/>
          <w:lang w:val="en-GB"/>
        </w:rPr>
      </w:pPr>
    </w:p>
    <w:p w:rsidR="000C444F" w:rsidRDefault="007F151B" w:rsidP="00955E40">
      <w:pPr>
        <w:widowControl/>
        <w:numPr>
          <w:ilvl w:val="1"/>
          <w:numId w:val="1"/>
        </w:numPr>
        <w:rPr>
          <w:bCs/>
          <w:szCs w:val="22"/>
          <w:lang w:val="en-GB"/>
        </w:rPr>
      </w:pPr>
      <w:r>
        <w:rPr>
          <w:bCs/>
          <w:szCs w:val="22"/>
          <w:lang w:val="en-GB"/>
        </w:rPr>
        <w:t>The PBAC recommended extending the current Section 85 listing of adalimumab to include listing for the treatment of severe</w:t>
      </w:r>
      <w:r w:rsidR="00E20BE7">
        <w:rPr>
          <w:bCs/>
          <w:szCs w:val="22"/>
          <w:lang w:val="en-GB"/>
        </w:rPr>
        <w:t xml:space="preserve"> refractory</w:t>
      </w:r>
      <w:r>
        <w:rPr>
          <w:bCs/>
          <w:szCs w:val="22"/>
          <w:lang w:val="en-GB"/>
        </w:rPr>
        <w:t xml:space="preserve"> Crohn’s disease</w:t>
      </w:r>
      <w:r w:rsidRPr="007F151B">
        <w:rPr>
          <w:bCs/>
          <w:szCs w:val="22"/>
          <w:lang w:val="en-GB"/>
        </w:rPr>
        <w:t xml:space="preserve"> </w:t>
      </w:r>
      <w:r w:rsidR="00E20BE7">
        <w:rPr>
          <w:bCs/>
          <w:szCs w:val="22"/>
          <w:lang w:val="en-GB"/>
        </w:rPr>
        <w:t xml:space="preserve">in </w:t>
      </w:r>
      <w:r>
        <w:rPr>
          <w:bCs/>
          <w:szCs w:val="22"/>
          <w:lang w:val="en-GB"/>
        </w:rPr>
        <w:t xml:space="preserve">paediatric patients </w:t>
      </w:r>
      <w:r w:rsidR="00E20BE7">
        <w:rPr>
          <w:bCs/>
          <w:szCs w:val="22"/>
          <w:lang w:val="en-GB"/>
        </w:rPr>
        <w:t>aged 6 to 17 years</w:t>
      </w:r>
      <w:r w:rsidR="00D0061B">
        <w:rPr>
          <w:bCs/>
          <w:szCs w:val="22"/>
          <w:lang w:val="en-GB"/>
        </w:rPr>
        <w:t>.</w:t>
      </w:r>
      <w:r w:rsidR="00597AD7">
        <w:rPr>
          <w:bCs/>
          <w:szCs w:val="22"/>
          <w:lang w:val="en-GB"/>
        </w:rPr>
        <w:t xml:space="preserve"> The PBAC recommended</w:t>
      </w:r>
      <w:r w:rsidR="009C167E">
        <w:rPr>
          <w:bCs/>
          <w:szCs w:val="22"/>
          <w:lang w:val="en-GB"/>
        </w:rPr>
        <w:t xml:space="preserve"> </w:t>
      </w:r>
      <w:r w:rsidR="00597AD7">
        <w:rPr>
          <w:bCs/>
          <w:szCs w:val="22"/>
          <w:lang w:val="en-GB"/>
        </w:rPr>
        <w:t>an Authority required (written</w:t>
      </w:r>
      <w:r w:rsidR="00D0061B">
        <w:rPr>
          <w:bCs/>
          <w:szCs w:val="22"/>
          <w:lang w:val="en-GB"/>
        </w:rPr>
        <w:noBreakHyphen/>
      </w:r>
      <w:r w:rsidR="00597AD7">
        <w:rPr>
          <w:bCs/>
          <w:szCs w:val="22"/>
          <w:lang w:val="en-GB"/>
        </w:rPr>
        <w:t xml:space="preserve">only) </w:t>
      </w:r>
      <w:r w:rsidR="00963FF2">
        <w:rPr>
          <w:bCs/>
          <w:szCs w:val="22"/>
          <w:lang w:val="en-GB"/>
        </w:rPr>
        <w:t xml:space="preserve">restriction </w:t>
      </w:r>
      <w:r w:rsidR="00597AD7">
        <w:rPr>
          <w:bCs/>
          <w:szCs w:val="22"/>
          <w:lang w:val="en-GB"/>
        </w:rPr>
        <w:t>for both initial and continuing treatment.</w:t>
      </w:r>
      <w:r>
        <w:rPr>
          <w:bCs/>
          <w:szCs w:val="22"/>
          <w:lang w:val="en-GB"/>
        </w:rPr>
        <w:t xml:space="preserve"> </w:t>
      </w:r>
    </w:p>
    <w:p w:rsidR="000C444F" w:rsidRDefault="000C444F" w:rsidP="000C444F">
      <w:pPr>
        <w:widowControl/>
        <w:ind w:left="720"/>
        <w:rPr>
          <w:bCs/>
          <w:szCs w:val="22"/>
          <w:lang w:val="en-GB"/>
        </w:rPr>
      </w:pPr>
    </w:p>
    <w:p w:rsidR="00B922D4" w:rsidRPr="0080505D" w:rsidRDefault="000C444F" w:rsidP="00B922D4">
      <w:pPr>
        <w:widowControl/>
        <w:numPr>
          <w:ilvl w:val="1"/>
          <w:numId w:val="1"/>
        </w:numPr>
        <w:rPr>
          <w:bCs/>
          <w:szCs w:val="22"/>
          <w:lang w:val="en-GB"/>
        </w:rPr>
      </w:pPr>
      <w:r>
        <w:rPr>
          <w:bCs/>
          <w:szCs w:val="22"/>
          <w:lang w:val="en-GB"/>
        </w:rPr>
        <w:t>The PBAC recommended</w:t>
      </w:r>
      <w:r w:rsidR="00137072">
        <w:rPr>
          <w:bCs/>
          <w:szCs w:val="22"/>
          <w:lang w:val="en-GB"/>
        </w:rPr>
        <w:t xml:space="preserve"> the listing of adalimumab </w:t>
      </w:r>
      <w:r w:rsidR="007F151B">
        <w:rPr>
          <w:bCs/>
          <w:szCs w:val="22"/>
          <w:lang w:val="en-GB"/>
        </w:rPr>
        <w:t>on a cost-minimisation basis with infliximab.</w:t>
      </w:r>
      <w:r w:rsidR="00963FF2">
        <w:rPr>
          <w:bCs/>
          <w:szCs w:val="22"/>
          <w:lang w:val="en-GB"/>
        </w:rPr>
        <w:t xml:space="preserve"> The PBAC considered the equi-effective doses </w:t>
      </w:r>
      <w:r w:rsidR="00B922D4">
        <w:rPr>
          <w:bCs/>
          <w:szCs w:val="22"/>
          <w:lang w:val="en-GB"/>
        </w:rPr>
        <w:t>are:</w:t>
      </w:r>
    </w:p>
    <w:p w:rsidR="00B922D4" w:rsidRPr="00B922D4" w:rsidRDefault="00B922D4" w:rsidP="00B922D4">
      <w:pPr>
        <w:pStyle w:val="ListParagraph"/>
        <w:widowControl/>
        <w:numPr>
          <w:ilvl w:val="0"/>
          <w:numId w:val="12"/>
        </w:numPr>
        <w:ind w:left="993" w:hanging="284"/>
        <w:rPr>
          <w:bCs/>
          <w:szCs w:val="22"/>
          <w:lang w:val="en-GB"/>
        </w:rPr>
      </w:pPr>
      <w:r w:rsidRPr="00B922D4">
        <w:rPr>
          <w:bCs/>
          <w:szCs w:val="22"/>
          <w:lang w:val="en-GB"/>
        </w:rPr>
        <w:t>adalimumab</w:t>
      </w:r>
      <w:r>
        <w:rPr>
          <w:bCs/>
          <w:szCs w:val="22"/>
          <w:lang w:val="en-GB"/>
        </w:rPr>
        <w:t xml:space="preserve"> </w:t>
      </w:r>
      <w:r w:rsidR="004C01B3">
        <w:rPr>
          <w:bCs/>
          <w:szCs w:val="22"/>
          <w:lang w:val="en-GB"/>
        </w:rPr>
        <w:t>–</w:t>
      </w:r>
      <w:r>
        <w:rPr>
          <w:bCs/>
          <w:szCs w:val="22"/>
          <w:lang w:val="en-GB"/>
        </w:rPr>
        <w:t xml:space="preserve"> patients weighing less than 40 kg: 80 mg at week 0, 40</w:t>
      </w:r>
      <w:r w:rsidR="0080505D">
        <w:rPr>
          <w:bCs/>
          <w:szCs w:val="22"/>
          <w:lang w:val="en-GB"/>
        </w:rPr>
        <w:t> </w:t>
      </w:r>
      <w:r w:rsidR="00D0061B">
        <w:rPr>
          <w:bCs/>
          <w:szCs w:val="22"/>
          <w:lang w:val="en-GB"/>
        </w:rPr>
        <w:t>mg at week </w:t>
      </w:r>
      <w:r>
        <w:rPr>
          <w:bCs/>
          <w:szCs w:val="22"/>
          <w:lang w:val="en-GB"/>
        </w:rPr>
        <w:t>2, then 20 mg every other week thereafter</w:t>
      </w:r>
      <w:r w:rsidR="0080505D">
        <w:rPr>
          <w:bCs/>
          <w:szCs w:val="22"/>
          <w:lang w:val="en-GB"/>
        </w:rPr>
        <w:t>;</w:t>
      </w:r>
      <w:r w:rsidR="004C01B3">
        <w:rPr>
          <w:bCs/>
          <w:szCs w:val="22"/>
          <w:lang w:val="en-GB"/>
        </w:rPr>
        <w:t xml:space="preserve"> </w:t>
      </w:r>
      <w:r>
        <w:rPr>
          <w:bCs/>
          <w:szCs w:val="22"/>
          <w:lang w:val="en-GB"/>
        </w:rPr>
        <w:t>patients weighing more than</w:t>
      </w:r>
      <w:r w:rsidR="00E91A19">
        <w:rPr>
          <w:bCs/>
          <w:szCs w:val="22"/>
          <w:lang w:val="en-GB"/>
        </w:rPr>
        <w:t xml:space="preserve"> or equal to</w:t>
      </w:r>
      <w:r>
        <w:rPr>
          <w:bCs/>
          <w:szCs w:val="22"/>
          <w:lang w:val="en-GB"/>
        </w:rPr>
        <w:t xml:space="preserve"> 40 kg: 160 mg at week 0, 80 mg at week 2, then 40 mg every other week thereafter; </w:t>
      </w:r>
      <w:r w:rsidR="00C50093">
        <w:rPr>
          <w:bCs/>
          <w:szCs w:val="22"/>
          <w:lang w:val="en-GB"/>
        </w:rPr>
        <w:t>and</w:t>
      </w:r>
    </w:p>
    <w:p w:rsidR="00B92322" w:rsidRPr="00B922D4" w:rsidRDefault="00B922D4" w:rsidP="00B922D4">
      <w:pPr>
        <w:pStyle w:val="ListParagraph"/>
        <w:widowControl/>
        <w:numPr>
          <w:ilvl w:val="0"/>
          <w:numId w:val="12"/>
        </w:numPr>
        <w:ind w:left="993" w:hanging="284"/>
        <w:rPr>
          <w:bCs/>
          <w:szCs w:val="22"/>
          <w:lang w:val="en-GB"/>
        </w:rPr>
      </w:pPr>
      <w:proofErr w:type="gramStart"/>
      <w:r>
        <w:rPr>
          <w:bCs/>
          <w:szCs w:val="22"/>
          <w:lang w:val="en-GB"/>
        </w:rPr>
        <w:t>infliximab</w:t>
      </w:r>
      <w:proofErr w:type="gramEnd"/>
      <w:r>
        <w:rPr>
          <w:bCs/>
          <w:szCs w:val="22"/>
          <w:lang w:val="en-GB"/>
        </w:rPr>
        <w:t xml:space="preserve"> </w:t>
      </w:r>
      <w:r w:rsidR="00C50093">
        <w:rPr>
          <w:bCs/>
          <w:szCs w:val="22"/>
          <w:lang w:val="en-GB"/>
        </w:rPr>
        <w:t>–</w:t>
      </w:r>
      <w:r>
        <w:rPr>
          <w:bCs/>
          <w:szCs w:val="22"/>
          <w:lang w:val="en-GB"/>
        </w:rPr>
        <w:t xml:space="preserve"> </w:t>
      </w:r>
      <w:r w:rsidR="00C50093">
        <w:rPr>
          <w:bCs/>
          <w:szCs w:val="22"/>
          <w:lang w:val="en-GB"/>
        </w:rPr>
        <w:t>5 mg/kg at week</w:t>
      </w:r>
      <w:r w:rsidR="0080505D">
        <w:rPr>
          <w:bCs/>
          <w:szCs w:val="22"/>
          <w:lang w:val="en-GB"/>
        </w:rPr>
        <w:t>s</w:t>
      </w:r>
      <w:r w:rsidR="00C50093">
        <w:rPr>
          <w:bCs/>
          <w:szCs w:val="22"/>
          <w:lang w:val="en-GB"/>
        </w:rPr>
        <w:t xml:space="preserve"> 0, 2, 6 and every 8 weeks thereafter.</w:t>
      </w:r>
      <w:r w:rsidRPr="00B922D4">
        <w:rPr>
          <w:bCs/>
          <w:szCs w:val="22"/>
          <w:lang w:val="en-GB"/>
        </w:rPr>
        <w:t xml:space="preserve">  </w:t>
      </w:r>
      <w:r w:rsidR="00963FF2" w:rsidRPr="00B922D4">
        <w:rPr>
          <w:bCs/>
          <w:szCs w:val="22"/>
          <w:lang w:val="en-GB"/>
        </w:rPr>
        <w:t xml:space="preserve">  </w:t>
      </w:r>
    </w:p>
    <w:p w:rsidR="00963FF2" w:rsidRPr="004C01B3" w:rsidRDefault="00963FF2" w:rsidP="00B92322">
      <w:pPr>
        <w:widowControl/>
        <w:rPr>
          <w:bCs/>
          <w:szCs w:val="22"/>
          <w:lang w:val="en-GB"/>
        </w:rPr>
      </w:pPr>
    </w:p>
    <w:p w:rsidR="004563E8" w:rsidRDefault="004C01B3" w:rsidP="00955E40">
      <w:pPr>
        <w:widowControl/>
        <w:numPr>
          <w:ilvl w:val="1"/>
          <w:numId w:val="1"/>
        </w:numPr>
        <w:rPr>
          <w:bCs/>
          <w:szCs w:val="22"/>
          <w:lang w:val="en-GB"/>
        </w:rPr>
      </w:pPr>
      <w:r w:rsidRPr="004C01B3">
        <w:rPr>
          <w:bCs/>
          <w:szCs w:val="22"/>
          <w:lang w:val="en-GB"/>
        </w:rPr>
        <w:t>The</w:t>
      </w:r>
      <w:r>
        <w:rPr>
          <w:bCs/>
          <w:szCs w:val="22"/>
          <w:lang w:val="en-GB"/>
        </w:rPr>
        <w:t xml:space="preserve"> PBAC </w:t>
      </w:r>
      <w:r w:rsidR="00100BCD">
        <w:rPr>
          <w:bCs/>
          <w:szCs w:val="22"/>
          <w:lang w:val="en-GB"/>
        </w:rPr>
        <w:t xml:space="preserve">noted </w:t>
      </w:r>
      <w:r>
        <w:rPr>
          <w:bCs/>
          <w:szCs w:val="22"/>
          <w:lang w:val="en-GB"/>
        </w:rPr>
        <w:t>the</w:t>
      </w:r>
      <w:r w:rsidR="00100BCD">
        <w:rPr>
          <w:bCs/>
          <w:szCs w:val="22"/>
          <w:lang w:val="en-GB"/>
        </w:rPr>
        <w:t xml:space="preserve"> differences between the proposed</w:t>
      </w:r>
      <w:r>
        <w:rPr>
          <w:bCs/>
          <w:szCs w:val="22"/>
          <w:lang w:val="en-GB"/>
        </w:rPr>
        <w:t xml:space="preserve"> restriction </w:t>
      </w:r>
      <w:r w:rsidR="00CF1EBF">
        <w:rPr>
          <w:bCs/>
          <w:szCs w:val="22"/>
          <w:lang w:val="en-GB"/>
        </w:rPr>
        <w:t>for adalimumab</w:t>
      </w:r>
      <w:r w:rsidR="00100BCD">
        <w:rPr>
          <w:bCs/>
          <w:szCs w:val="22"/>
          <w:lang w:val="en-GB"/>
        </w:rPr>
        <w:t xml:space="preserve"> and current restriction</w:t>
      </w:r>
      <w:r w:rsidR="0047494A">
        <w:rPr>
          <w:bCs/>
          <w:szCs w:val="22"/>
          <w:lang w:val="en-GB"/>
        </w:rPr>
        <w:t>s</w:t>
      </w:r>
      <w:r w:rsidR="00100BCD">
        <w:rPr>
          <w:bCs/>
          <w:szCs w:val="22"/>
          <w:lang w:val="en-GB"/>
        </w:rPr>
        <w:t xml:space="preserve"> for infliximab</w:t>
      </w:r>
      <w:r w:rsidR="0047494A">
        <w:rPr>
          <w:bCs/>
          <w:szCs w:val="22"/>
          <w:lang w:val="en-GB"/>
        </w:rPr>
        <w:t xml:space="preserve"> (i.e. </w:t>
      </w:r>
      <w:r w:rsidR="003318CF">
        <w:rPr>
          <w:bCs/>
          <w:szCs w:val="22"/>
          <w:lang w:val="en-GB"/>
        </w:rPr>
        <w:t xml:space="preserve">severe Crohn’s disease for adalimumab versus moderate to severe Crohn’s disease for infliximab, </w:t>
      </w:r>
      <w:r w:rsidR="0047494A">
        <w:rPr>
          <w:bCs/>
          <w:szCs w:val="22"/>
          <w:lang w:val="en-GB"/>
        </w:rPr>
        <w:t>PCDAI definition and clinical response criteria)</w:t>
      </w:r>
      <w:r w:rsidR="00100BCD">
        <w:rPr>
          <w:bCs/>
          <w:szCs w:val="22"/>
          <w:lang w:val="en-GB"/>
        </w:rPr>
        <w:t xml:space="preserve">. The PBAC </w:t>
      </w:r>
      <w:r w:rsidR="00E27E7B">
        <w:rPr>
          <w:bCs/>
          <w:szCs w:val="22"/>
          <w:lang w:val="en-GB"/>
        </w:rPr>
        <w:t>recommended</w:t>
      </w:r>
      <w:r w:rsidR="00100BCD">
        <w:rPr>
          <w:bCs/>
          <w:szCs w:val="22"/>
          <w:lang w:val="en-GB"/>
        </w:rPr>
        <w:t xml:space="preserve"> to keep the </w:t>
      </w:r>
      <w:r w:rsidR="0047494A">
        <w:rPr>
          <w:bCs/>
          <w:szCs w:val="22"/>
          <w:lang w:val="en-GB"/>
        </w:rPr>
        <w:t>adalimumab restriction</w:t>
      </w:r>
      <w:r w:rsidR="00100BCD">
        <w:rPr>
          <w:bCs/>
          <w:szCs w:val="22"/>
          <w:lang w:val="en-GB"/>
        </w:rPr>
        <w:t xml:space="preserve"> as proposed when finalising the restriction wording</w:t>
      </w:r>
      <w:r w:rsidR="009946DE">
        <w:rPr>
          <w:bCs/>
          <w:szCs w:val="22"/>
          <w:lang w:val="en-GB"/>
        </w:rPr>
        <w:t>,</w:t>
      </w:r>
      <w:r w:rsidR="001F4658">
        <w:rPr>
          <w:bCs/>
          <w:szCs w:val="22"/>
          <w:lang w:val="en-GB"/>
        </w:rPr>
        <w:t xml:space="preserve"> however,</w:t>
      </w:r>
      <w:r w:rsidR="00E27E7B">
        <w:rPr>
          <w:bCs/>
          <w:szCs w:val="22"/>
          <w:lang w:val="en-GB"/>
        </w:rPr>
        <w:t xml:space="preserve"> </w:t>
      </w:r>
      <w:r w:rsidR="001F4658">
        <w:rPr>
          <w:bCs/>
          <w:szCs w:val="22"/>
          <w:lang w:val="en-GB"/>
        </w:rPr>
        <w:t>t</w:t>
      </w:r>
      <w:r w:rsidR="00E27E7B">
        <w:rPr>
          <w:bCs/>
          <w:szCs w:val="22"/>
          <w:lang w:val="en-GB"/>
        </w:rPr>
        <w:t>he PBAC</w:t>
      </w:r>
      <w:r w:rsidR="00100BCD">
        <w:rPr>
          <w:bCs/>
          <w:szCs w:val="22"/>
          <w:lang w:val="en-GB"/>
        </w:rPr>
        <w:t xml:space="preserve"> </w:t>
      </w:r>
      <w:r w:rsidR="00E27E7B">
        <w:rPr>
          <w:bCs/>
          <w:szCs w:val="22"/>
          <w:lang w:val="en-GB"/>
        </w:rPr>
        <w:t xml:space="preserve">requested the </w:t>
      </w:r>
      <w:r w:rsidR="004563E8">
        <w:rPr>
          <w:bCs/>
          <w:szCs w:val="22"/>
          <w:lang w:val="en-GB"/>
        </w:rPr>
        <w:t>Secretariat</w:t>
      </w:r>
      <w:r w:rsidR="00E27E7B">
        <w:rPr>
          <w:bCs/>
          <w:szCs w:val="22"/>
          <w:lang w:val="en-GB"/>
        </w:rPr>
        <w:t xml:space="preserve"> to work with the Restriction</w:t>
      </w:r>
      <w:r w:rsidR="0098792A">
        <w:rPr>
          <w:bCs/>
          <w:szCs w:val="22"/>
          <w:lang w:val="en-GB"/>
        </w:rPr>
        <w:t>s</w:t>
      </w:r>
      <w:r w:rsidR="00E27E7B">
        <w:rPr>
          <w:bCs/>
          <w:szCs w:val="22"/>
          <w:lang w:val="en-GB"/>
        </w:rPr>
        <w:t xml:space="preserve"> Working Group</w:t>
      </w:r>
      <w:r w:rsidR="001F4658">
        <w:rPr>
          <w:bCs/>
          <w:szCs w:val="22"/>
          <w:lang w:val="en-GB"/>
        </w:rPr>
        <w:t xml:space="preserve"> and sponsor</w:t>
      </w:r>
      <w:r w:rsidR="00E27E7B">
        <w:rPr>
          <w:bCs/>
          <w:szCs w:val="22"/>
          <w:lang w:val="en-GB"/>
        </w:rPr>
        <w:t xml:space="preserve"> </w:t>
      </w:r>
      <w:r w:rsidR="00E27E7B">
        <w:rPr>
          <w:bCs/>
          <w:szCs w:val="22"/>
          <w:lang w:val="en-GB"/>
        </w:rPr>
        <w:lastRenderedPageBreak/>
        <w:t xml:space="preserve">in clarifying the </w:t>
      </w:r>
      <w:r w:rsidR="001327EC">
        <w:rPr>
          <w:bCs/>
          <w:szCs w:val="22"/>
          <w:lang w:val="en-GB"/>
        </w:rPr>
        <w:t>interchangeability</w:t>
      </w:r>
      <w:r w:rsidR="00100BCD">
        <w:rPr>
          <w:bCs/>
          <w:szCs w:val="22"/>
          <w:lang w:val="en-GB"/>
        </w:rPr>
        <w:t xml:space="preserve"> criteria</w:t>
      </w:r>
      <w:r w:rsidR="0047494A">
        <w:rPr>
          <w:bCs/>
          <w:szCs w:val="22"/>
          <w:lang w:val="en-GB"/>
        </w:rPr>
        <w:t xml:space="preserve"> between adalimumab and infliximab</w:t>
      </w:r>
      <w:r w:rsidR="00100BCD">
        <w:rPr>
          <w:bCs/>
          <w:szCs w:val="22"/>
          <w:lang w:val="en-GB"/>
        </w:rPr>
        <w:t xml:space="preserve"> </w:t>
      </w:r>
      <w:r w:rsidR="004563E8">
        <w:rPr>
          <w:bCs/>
          <w:szCs w:val="22"/>
          <w:lang w:val="en-GB"/>
        </w:rPr>
        <w:t xml:space="preserve">as </w:t>
      </w:r>
      <w:r w:rsidR="00E413AF">
        <w:rPr>
          <w:bCs/>
          <w:szCs w:val="22"/>
          <w:lang w:val="en-GB"/>
        </w:rPr>
        <w:t>for</w:t>
      </w:r>
      <w:r w:rsidR="009946DE">
        <w:rPr>
          <w:bCs/>
          <w:szCs w:val="22"/>
          <w:lang w:val="en-GB"/>
        </w:rPr>
        <w:t xml:space="preserve"> </w:t>
      </w:r>
      <w:r w:rsidR="00100BCD">
        <w:rPr>
          <w:bCs/>
          <w:szCs w:val="22"/>
          <w:lang w:val="en-GB"/>
        </w:rPr>
        <w:t xml:space="preserve">the adult Crohn’s disease indication. </w:t>
      </w:r>
    </w:p>
    <w:p w:rsidR="001F4658" w:rsidRDefault="001F4658" w:rsidP="001F4658">
      <w:pPr>
        <w:widowControl/>
        <w:ind w:left="720"/>
        <w:rPr>
          <w:bCs/>
          <w:szCs w:val="22"/>
          <w:lang w:val="en-GB"/>
        </w:rPr>
      </w:pPr>
    </w:p>
    <w:p w:rsidR="00F73A6B" w:rsidRDefault="00F73A6B" w:rsidP="00F73A6B">
      <w:pPr>
        <w:widowControl/>
        <w:numPr>
          <w:ilvl w:val="1"/>
          <w:numId w:val="1"/>
        </w:numPr>
        <w:rPr>
          <w:bCs/>
          <w:szCs w:val="22"/>
          <w:lang w:val="en-GB"/>
        </w:rPr>
      </w:pPr>
      <w:r>
        <w:rPr>
          <w:bCs/>
          <w:szCs w:val="22"/>
          <w:lang w:val="en-GB"/>
        </w:rPr>
        <w:t>The PBAC noted that the sponsor, in its PSCR, proposed the addition of a grandfathering clause in line with infliximab in paediatric Crohn’s disease but limited to patients with severe disease. The PBAC agreed to the inclusion of a grandfather restriction to enable con</w:t>
      </w:r>
      <w:r w:rsidR="00BA525C">
        <w:rPr>
          <w:bCs/>
          <w:szCs w:val="22"/>
          <w:lang w:val="en-GB"/>
        </w:rPr>
        <w:t xml:space="preserve">tinuing PBS-subsidised </w:t>
      </w:r>
      <w:r w:rsidR="00B65C0D">
        <w:rPr>
          <w:bCs/>
          <w:szCs w:val="22"/>
          <w:lang w:val="en-GB"/>
        </w:rPr>
        <w:t xml:space="preserve">adalimumab </w:t>
      </w:r>
      <w:r w:rsidR="00BA525C">
        <w:rPr>
          <w:bCs/>
          <w:szCs w:val="22"/>
          <w:lang w:val="en-GB"/>
        </w:rPr>
        <w:t>treatment for</w:t>
      </w:r>
      <w:r>
        <w:rPr>
          <w:bCs/>
          <w:szCs w:val="22"/>
          <w:lang w:val="en-GB"/>
        </w:rPr>
        <w:t xml:space="preserve"> patients with severe disease </w:t>
      </w:r>
      <w:r w:rsidR="00BA525C">
        <w:rPr>
          <w:bCs/>
          <w:szCs w:val="22"/>
          <w:lang w:val="en-GB"/>
        </w:rPr>
        <w:t xml:space="preserve">that are </w:t>
      </w:r>
      <w:r>
        <w:rPr>
          <w:bCs/>
          <w:szCs w:val="22"/>
          <w:lang w:val="en-GB"/>
        </w:rPr>
        <w:t>currently being treated under the compassionate access program.</w:t>
      </w:r>
    </w:p>
    <w:p w:rsidR="00F73A6B" w:rsidRDefault="00F73A6B" w:rsidP="00F73A6B">
      <w:pPr>
        <w:widowControl/>
        <w:ind w:left="720"/>
        <w:rPr>
          <w:bCs/>
          <w:szCs w:val="22"/>
          <w:lang w:val="en-GB"/>
        </w:rPr>
      </w:pPr>
    </w:p>
    <w:p w:rsidR="00CF1EBF" w:rsidRDefault="001F4658" w:rsidP="00955E40">
      <w:pPr>
        <w:widowControl/>
        <w:numPr>
          <w:ilvl w:val="1"/>
          <w:numId w:val="1"/>
        </w:numPr>
        <w:rPr>
          <w:bCs/>
          <w:szCs w:val="22"/>
          <w:lang w:val="en-GB"/>
        </w:rPr>
      </w:pPr>
      <w:r>
        <w:rPr>
          <w:bCs/>
          <w:szCs w:val="22"/>
          <w:lang w:val="en-GB"/>
        </w:rPr>
        <w:t>The PBAC agreed that the clinical place for adalimumab would be as an alternative treatment</w:t>
      </w:r>
      <w:r w:rsidR="00100BCD">
        <w:rPr>
          <w:bCs/>
          <w:szCs w:val="22"/>
          <w:lang w:val="en-GB"/>
        </w:rPr>
        <w:t xml:space="preserve"> </w:t>
      </w:r>
      <w:r>
        <w:rPr>
          <w:bCs/>
          <w:szCs w:val="22"/>
          <w:lang w:val="en-GB"/>
        </w:rPr>
        <w:t xml:space="preserve">to infliximab in the third line therapy and will become an additional line of treatment for patients who fail treatment or are intolerant to infliximab. The PBAC </w:t>
      </w:r>
      <w:r w:rsidR="0053670B">
        <w:rPr>
          <w:bCs/>
          <w:szCs w:val="22"/>
          <w:lang w:val="en-GB"/>
        </w:rPr>
        <w:t>considered</w:t>
      </w:r>
      <w:r>
        <w:rPr>
          <w:bCs/>
          <w:szCs w:val="22"/>
          <w:lang w:val="en-GB"/>
        </w:rPr>
        <w:t xml:space="preserve"> that patients</w:t>
      </w:r>
      <w:r w:rsidR="0053670B">
        <w:rPr>
          <w:bCs/>
          <w:szCs w:val="22"/>
          <w:lang w:val="en-GB"/>
        </w:rPr>
        <w:t xml:space="preserve"> can alternate between adalimumab and infliximab without failing the therapy.</w:t>
      </w:r>
      <w:r w:rsidR="00535F09">
        <w:rPr>
          <w:bCs/>
          <w:szCs w:val="22"/>
          <w:lang w:val="en-GB"/>
        </w:rPr>
        <w:t xml:space="preserve"> The PBAC acknowledged that there is a high clinical need for this treatment in the paediatric population.</w:t>
      </w:r>
      <w:r>
        <w:rPr>
          <w:bCs/>
          <w:szCs w:val="22"/>
          <w:lang w:val="en-GB"/>
        </w:rPr>
        <w:t xml:space="preserve"> </w:t>
      </w:r>
      <w:r w:rsidR="008A5782">
        <w:rPr>
          <w:bCs/>
          <w:szCs w:val="22"/>
          <w:lang w:val="en-GB"/>
        </w:rPr>
        <w:t>The</w:t>
      </w:r>
      <w:r w:rsidR="00BF2A4F">
        <w:rPr>
          <w:bCs/>
          <w:szCs w:val="22"/>
          <w:lang w:val="en-GB"/>
        </w:rPr>
        <w:t xml:space="preserve"> PBAC agreed that </w:t>
      </w:r>
      <w:r w:rsidR="00C67D6B">
        <w:rPr>
          <w:bCs/>
          <w:szCs w:val="22"/>
          <w:lang w:val="en-GB"/>
        </w:rPr>
        <w:t xml:space="preserve">the administration of adalimumab as a subcutaneous injection, as opposed to infusion for infliximab, will result in </w:t>
      </w:r>
      <w:r w:rsidR="00BF2A4F">
        <w:rPr>
          <w:bCs/>
          <w:szCs w:val="22"/>
          <w:lang w:val="en-GB"/>
        </w:rPr>
        <w:t>significant</w:t>
      </w:r>
      <w:r w:rsidR="008A5782">
        <w:rPr>
          <w:bCs/>
          <w:szCs w:val="22"/>
          <w:lang w:val="en-GB"/>
        </w:rPr>
        <w:t xml:space="preserve"> </w:t>
      </w:r>
      <w:r w:rsidR="00325426">
        <w:rPr>
          <w:bCs/>
          <w:szCs w:val="22"/>
          <w:lang w:val="en-GB"/>
        </w:rPr>
        <w:t xml:space="preserve">benefits </w:t>
      </w:r>
      <w:r w:rsidR="00BF2A4F">
        <w:rPr>
          <w:bCs/>
          <w:szCs w:val="22"/>
          <w:lang w:val="en-GB"/>
        </w:rPr>
        <w:t xml:space="preserve">for </w:t>
      </w:r>
      <w:r w:rsidR="00C67D6B">
        <w:rPr>
          <w:bCs/>
          <w:szCs w:val="22"/>
          <w:lang w:val="en-GB"/>
        </w:rPr>
        <w:t xml:space="preserve">patients with </w:t>
      </w:r>
      <w:r w:rsidR="00BF2A4F">
        <w:rPr>
          <w:bCs/>
          <w:szCs w:val="22"/>
          <w:lang w:val="en-GB"/>
        </w:rPr>
        <w:t>this condition</w:t>
      </w:r>
      <w:r w:rsidR="008A5782">
        <w:rPr>
          <w:bCs/>
          <w:szCs w:val="22"/>
          <w:lang w:val="en-GB"/>
        </w:rPr>
        <w:t xml:space="preserve">. </w:t>
      </w:r>
    </w:p>
    <w:p w:rsidR="0053670B" w:rsidRDefault="0053670B" w:rsidP="0053670B">
      <w:pPr>
        <w:pStyle w:val="ListParagraph"/>
        <w:rPr>
          <w:bCs/>
          <w:szCs w:val="22"/>
          <w:lang w:val="en-GB"/>
        </w:rPr>
      </w:pPr>
    </w:p>
    <w:p w:rsidR="0053670B" w:rsidRDefault="0053670B" w:rsidP="00955E40">
      <w:pPr>
        <w:widowControl/>
        <w:numPr>
          <w:ilvl w:val="1"/>
          <w:numId w:val="1"/>
        </w:numPr>
        <w:rPr>
          <w:bCs/>
          <w:szCs w:val="22"/>
          <w:lang w:val="en-GB"/>
        </w:rPr>
      </w:pPr>
      <w:r>
        <w:rPr>
          <w:bCs/>
          <w:szCs w:val="22"/>
          <w:lang w:val="en-GB"/>
        </w:rPr>
        <w:t>The PBAC accepted infliximab as the appropriate comparator.</w:t>
      </w:r>
    </w:p>
    <w:p w:rsidR="0053670B" w:rsidRDefault="0053670B" w:rsidP="0053670B">
      <w:pPr>
        <w:pStyle w:val="ListParagraph"/>
        <w:rPr>
          <w:bCs/>
          <w:szCs w:val="22"/>
          <w:lang w:val="en-GB"/>
        </w:rPr>
      </w:pPr>
    </w:p>
    <w:p w:rsidR="00B408A2" w:rsidRDefault="0053670B" w:rsidP="00FF4401">
      <w:pPr>
        <w:widowControl/>
        <w:numPr>
          <w:ilvl w:val="1"/>
          <w:numId w:val="1"/>
        </w:numPr>
        <w:rPr>
          <w:bCs/>
          <w:szCs w:val="22"/>
          <w:lang w:val="en-GB"/>
        </w:rPr>
      </w:pPr>
      <w:r w:rsidRPr="000D621A">
        <w:rPr>
          <w:bCs/>
          <w:szCs w:val="22"/>
          <w:lang w:val="en-GB"/>
        </w:rPr>
        <w:t xml:space="preserve">The PBAC </w:t>
      </w:r>
      <w:r w:rsidR="00341C34" w:rsidRPr="000D621A">
        <w:rPr>
          <w:bCs/>
          <w:szCs w:val="22"/>
          <w:lang w:val="en-GB"/>
        </w:rPr>
        <w:t>noted</w:t>
      </w:r>
      <w:r w:rsidR="00032EC5" w:rsidRPr="000D621A">
        <w:rPr>
          <w:bCs/>
          <w:szCs w:val="22"/>
          <w:lang w:val="en-GB"/>
        </w:rPr>
        <w:t xml:space="preserve"> </w:t>
      </w:r>
      <w:r w:rsidRPr="000D621A">
        <w:rPr>
          <w:bCs/>
          <w:szCs w:val="22"/>
          <w:lang w:val="en-GB"/>
        </w:rPr>
        <w:t>the</w:t>
      </w:r>
      <w:r w:rsidR="00FF4401" w:rsidRPr="000D621A">
        <w:rPr>
          <w:bCs/>
          <w:szCs w:val="22"/>
          <w:lang w:val="en-GB"/>
        </w:rPr>
        <w:t xml:space="preserve"> results of the</w:t>
      </w:r>
      <w:r w:rsidRPr="000D621A">
        <w:rPr>
          <w:bCs/>
          <w:szCs w:val="22"/>
          <w:lang w:val="en-GB"/>
        </w:rPr>
        <w:t xml:space="preserve"> naïve </w:t>
      </w:r>
      <w:r w:rsidR="00032EC5" w:rsidRPr="000D621A">
        <w:rPr>
          <w:bCs/>
          <w:szCs w:val="22"/>
          <w:lang w:val="en-GB"/>
        </w:rPr>
        <w:t xml:space="preserve">indirect </w:t>
      </w:r>
      <w:r w:rsidRPr="000D621A">
        <w:rPr>
          <w:bCs/>
          <w:szCs w:val="22"/>
          <w:lang w:val="en-GB"/>
        </w:rPr>
        <w:t xml:space="preserve">comparison between </w:t>
      </w:r>
      <w:r w:rsidR="00584570">
        <w:rPr>
          <w:bCs/>
          <w:szCs w:val="22"/>
          <w:lang w:val="en-GB"/>
        </w:rPr>
        <w:t xml:space="preserve">the </w:t>
      </w:r>
      <w:r w:rsidRPr="000D621A">
        <w:rPr>
          <w:bCs/>
          <w:szCs w:val="22"/>
          <w:lang w:val="en-GB"/>
        </w:rPr>
        <w:t>adalimumab</w:t>
      </w:r>
      <w:r w:rsidR="009B3833">
        <w:rPr>
          <w:bCs/>
          <w:szCs w:val="22"/>
          <w:lang w:val="en-GB"/>
        </w:rPr>
        <w:t xml:space="preserve"> (IMAGINE-1)</w:t>
      </w:r>
      <w:r w:rsidRPr="000D621A">
        <w:rPr>
          <w:bCs/>
          <w:szCs w:val="22"/>
          <w:lang w:val="en-GB"/>
        </w:rPr>
        <w:t xml:space="preserve"> and infliximab</w:t>
      </w:r>
      <w:r w:rsidR="009B3833">
        <w:rPr>
          <w:bCs/>
          <w:szCs w:val="22"/>
          <w:lang w:val="en-GB"/>
        </w:rPr>
        <w:t xml:space="preserve"> (REACH)</w:t>
      </w:r>
      <w:r w:rsidR="00584570">
        <w:rPr>
          <w:bCs/>
          <w:szCs w:val="22"/>
          <w:lang w:val="en-GB"/>
        </w:rPr>
        <w:t xml:space="preserve"> trials</w:t>
      </w:r>
      <w:r w:rsidRPr="000D621A">
        <w:rPr>
          <w:bCs/>
          <w:szCs w:val="22"/>
          <w:lang w:val="en-GB"/>
        </w:rPr>
        <w:t>.</w:t>
      </w:r>
      <w:r w:rsidR="00032EC5" w:rsidRPr="000D621A">
        <w:rPr>
          <w:bCs/>
          <w:szCs w:val="22"/>
          <w:lang w:val="en-GB"/>
        </w:rPr>
        <w:t xml:space="preserve"> The PBAC </w:t>
      </w:r>
      <w:r w:rsidR="00341C34" w:rsidRPr="000D621A">
        <w:rPr>
          <w:bCs/>
          <w:szCs w:val="22"/>
          <w:lang w:val="en-GB"/>
        </w:rPr>
        <w:t>considered</w:t>
      </w:r>
      <w:r w:rsidR="00FF4401" w:rsidRPr="000D621A">
        <w:rPr>
          <w:bCs/>
          <w:szCs w:val="22"/>
          <w:lang w:val="en-GB"/>
        </w:rPr>
        <w:t xml:space="preserve"> the conce</w:t>
      </w:r>
      <w:r w:rsidR="00341C34" w:rsidRPr="000D621A">
        <w:rPr>
          <w:bCs/>
          <w:szCs w:val="22"/>
          <w:lang w:val="en-GB"/>
        </w:rPr>
        <w:t>rns</w:t>
      </w:r>
      <w:r w:rsidR="00FF4401" w:rsidRPr="000D621A">
        <w:rPr>
          <w:bCs/>
          <w:szCs w:val="22"/>
          <w:lang w:val="en-GB"/>
        </w:rPr>
        <w:t xml:space="preserve"> </w:t>
      </w:r>
      <w:proofErr w:type="gramStart"/>
      <w:r w:rsidR="00341C34" w:rsidRPr="000D621A">
        <w:rPr>
          <w:bCs/>
          <w:szCs w:val="22"/>
          <w:lang w:val="en-GB"/>
        </w:rPr>
        <w:t>raised</w:t>
      </w:r>
      <w:proofErr w:type="gramEnd"/>
      <w:r w:rsidR="00341C34" w:rsidRPr="000D621A">
        <w:rPr>
          <w:bCs/>
          <w:szCs w:val="22"/>
          <w:lang w:val="en-GB"/>
        </w:rPr>
        <w:t xml:space="preserve"> by</w:t>
      </w:r>
      <w:r w:rsidR="00FF4401" w:rsidRPr="000D621A">
        <w:rPr>
          <w:bCs/>
          <w:szCs w:val="22"/>
          <w:lang w:val="en-GB"/>
        </w:rPr>
        <w:t xml:space="preserve"> </w:t>
      </w:r>
      <w:r w:rsidR="003B1D88">
        <w:rPr>
          <w:bCs/>
          <w:szCs w:val="22"/>
          <w:lang w:val="en-GB"/>
        </w:rPr>
        <w:t xml:space="preserve">the </w:t>
      </w:r>
      <w:r w:rsidR="00FF4401" w:rsidRPr="000D621A">
        <w:rPr>
          <w:bCs/>
          <w:szCs w:val="22"/>
          <w:lang w:val="en-GB"/>
        </w:rPr>
        <w:t>ESC</w:t>
      </w:r>
      <w:r w:rsidR="00341C34" w:rsidRPr="000D621A">
        <w:rPr>
          <w:bCs/>
          <w:szCs w:val="22"/>
          <w:lang w:val="en-GB"/>
        </w:rPr>
        <w:t xml:space="preserve"> and agreed</w:t>
      </w:r>
      <w:r w:rsidR="00FF4401" w:rsidRPr="000D621A">
        <w:rPr>
          <w:bCs/>
          <w:szCs w:val="22"/>
          <w:lang w:val="en-GB"/>
        </w:rPr>
        <w:t xml:space="preserve"> that</w:t>
      </w:r>
      <w:r w:rsidR="00341C34" w:rsidRPr="000D621A">
        <w:rPr>
          <w:bCs/>
          <w:szCs w:val="22"/>
          <w:lang w:val="en-GB"/>
        </w:rPr>
        <w:t xml:space="preserve"> there is a trend for inferiority with adalimumab</w:t>
      </w:r>
      <w:r w:rsidR="009B3833">
        <w:rPr>
          <w:bCs/>
          <w:szCs w:val="22"/>
          <w:lang w:val="en-GB"/>
        </w:rPr>
        <w:t xml:space="preserve"> in patients who have had previous infliximab exposure</w:t>
      </w:r>
      <w:r w:rsidR="00584570">
        <w:rPr>
          <w:bCs/>
          <w:szCs w:val="22"/>
          <w:lang w:val="en-GB"/>
        </w:rPr>
        <w:t xml:space="preserve"> (</w:t>
      </w:r>
      <w:r w:rsidR="009B3833">
        <w:rPr>
          <w:bCs/>
          <w:szCs w:val="22"/>
          <w:lang w:val="en-GB"/>
        </w:rPr>
        <w:t>compared to infliximab-naïve patients</w:t>
      </w:r>
      <w:r w:rsidR="00584570">
        <w:rPr>
          <w:bCs/>
          <w:szCs w:val="22"/>
          <w:lang w:val="en-GB"/>
        </w:rPr>
        <w:t>)</w:t>
      </w:r>
      <w:r w:rsidR="009B3833">
        <w:rPr>
          <w:bCs/>
          <w:szCs w:val="22"/>
          <w:lang w:val="en-GB"/>
        </w:rPr>
        <w:t xml:space="preserve"> and</w:t>
      </w:r>
      <w:r w:rsidR="00584570">
        <w:rPr>
          <w:bCs/>
          <w:szCs w:val="22"/>
          <w:lang w:val="en-GB"/>
        </w:rPr>
        <w:t xml:space="preserve"> that</w:t>
      </w:r>
      <w:r w:rsidR="009B3833">
        <w:rPr>
          <w:bCs/>
          <w:szCs w:val="22"/>
          <w:lang w:val="en-GB"/>
        </w:rPr>
        <w:t xml:space="preserve"> </w:t>
      </w:r>
      <w:r w:rsidR="003B1D88">
        <w:rPr>
          <w:bCs/>
          <w:szCs w:val="22"/>
          <w:lang w:val="en-GB"/>
        </w:rPr>
        <w:t>there is an</w:t>
      </w:r>
      <w:r w:rsidR="009B3833">
        <w:rPr>
          <w:bCs/>
          <w:szCs w:val="22"/>
          <w:lang w:val="en-GB"/>
        </w:rPr>
        <w:t xml:space="preserve"> apparent reduction in efficacy</w:t>
      </w:r>
      <w:r w:rsidR="003B1D88">
        <w:rPr>
          <w:bCs/>
          <w:szCs w:val="22"/>
          <w:lang w:val="en-GB"/>
        </w:rPr>
        <w:t xml:space="preserve"> at 52</w:t>
      </w:r>
      <w:r w:rsidR="00657ADE">
        <w:rPr>
          <w:bCs/>
          <w:szCs w:val="22"/>
          <w:lang w:val="en-GB"/>
        </w:rPr>
        <w:noBreakHyphen/>
      </w:r>
      <w:r w:rsidR="003B1D88">
        <w:rPr>
          <w:bCs/>
          <w:szCs w:val="22"/>
          <w:lang w:val="en-GB"/>
        </w:rPr>
        <w:t>54</w:t>
      </w:r>
      <w:r w:rsidR="00657ADE">
        <w:rPr>
          <w:bCs/>
          <w:szCs w:val="22"/>
          <w:lang w:val="en-GB"/>
        </w:rPr>
        <w:t> </w:t>
      </w:r>
      <w:r w:rsidR="003B1D88">
        <w:rPr>
          <w:bCs/>
          <w:szCs w:val="22"/>
          <w:lang w:val="en-GB"/>
        </w:rPr>
        <w:t xml:space="preserve">weeks, which may meet </w:t>
      </w:r>
      <w:r w:rsidR="0096360B">
        <w:rPr>
          <w:bCs/>
          <w:szCs w:val="22"/>
          <w:lang w:val="en-GB"/>
        </w:rPr>
        <w:t xml:space="preserve">the specified </w:t>
      </w:r>
      <w:r w:rsidR="003B1D88">
        <w:rPr>
          <w:bCs/>
          <w:szCs w:val="22"/>
          <w:lang w:val="en-GB"/>
        </w:rPr>
        <w:t xml:space="preserve">inferiority limit. </w:t>
      </w:r>
      <w:r w:rsidR="0096360B">
        <w:rPr>
          <w:bCs/>
          <w:szCs w:val="22"/>
          <w:lang w:val="en-GB"/>
        </w:rPr>
        <w:t>It was also noted, however, that the assumed MCID of 20% was not sufficient</w:t>
      </w:r>
      <w:r w:rsidR="0098792A">
        <w:rPr>
          <w:bCs/>
          <w:szCs w:val="22"/>
          <w:lang w:val="en-GB"/>
        </w:rPr>
        <w:t>ly</w:t>
      </w:r>
      <w:r w:rsidR="0096360B">
        <w:rPr>
          <w:bCs/>
          <w:szCs w:val="22"/>
          <w:lang w:val="en-GB"/>
        </w:rPr>
        <w:t xml:space="preserve"> justified.</w:t>
      </w:r>
    </w:p>
    <w:p w:rsidR="00B408A2" w:rsidRDefault="00B408A2" w:rsidP="00B408A2">
      <w:pPr>
        <w:pStyle w:val="ListParagraph"/>
        <w:rPr>
          <w:bCs/>
          <w:szCs w:val="22"/>
          <w:lang w:val="en-GB"/>
        </w:rPr>
      </w:pPr>
    </w:p>
    <w:p w:rsidR="005B7CC2" w:rsidRDefault="00341C34" w:rsidP="00FF4401">
      <w:pPr>
        <w:widowControl/>
        <w:numPr>
          <w:ilvl w:val="1"/>
          <w:numId w:val="1"/>
        </w:numPr>
        <w:rPr>
          <w:bCs/>
          <w:szCs w:val="22"/>
          <w:lang w:val="en-GB"/>
        </w:rPr>
      </w:pPr>
      <w:r w:rsidRPr="000D621A">
        <w:rPr>
          <w:bCs/>
          <w:szCs w:val="22"/>
          <w:lang w:val="en-GB"/>
        </w:rPr>
        <w:t xml:space="preserve">The PBAC </w:t>
      </w:r>
      <w:r w:rsidR="000C3A74" w:rsidRPr="000D621A">
        <w:rPr>
          <w:bCs/>
          <w:szCs w:val="22"/>
          <w:lang w:val="en-GB"/>
        </w:rPr>
        <w:t>noted that th</w:t>
      </w:r>
      <w:r w:rsidR="003B1D88">
        <w:rPr>
          <w:bCs/>
          <w:szCs w:val="22"/>
          <w:lang w:val="en-GB"/>
        </w:rPr>
        <w:t>ere was no apparent reduction in adalimumab efficacy over time for the adult population,</w:t>
      </w:r>
      <w:r w:rsidR="000C3A74" w:rsidRPr="000D621A">
        <w:rPr>
          <w:bCs/>
          <w:szCs w:val="22"/>
          <w:lang w:val="en-GB"/>
        </w:rPr>
        <w:t xml:space="preserve"> </w:t>
      </w:r>
      <w:r w:rsidR="003B1D88">
        <w:rPr>
          <w:bCs/>
          <w:szCs w:val="22"/>
          <w:lang w:val="en-GB"/>
        </w:rPr>
        <w:t xml:space="preserve">with </w:t>
      </w:r>
      <w:r w:rsidR="000C3A74" w:rsidRPr="000D621A">
        <w:rPr>
          <w:bCs/>
          <w:szCs w:val="22"/>
          <w:lang w:val="en-GB"/>
        </w:rPr>
        <w:t>adalimumab</w:t>
      </w:r>
      <w:r w:rsidR="00A10155" w:rsidRPr="000D621A">
        <w:rPr>
          <w:bCs/>
          <w:szCs w:val="22"/>
          <w:lang w:val="en-GB"/>
        </w:rPr>
        <w:t xml:space="preserve"> </w:t>
      </w:r>
      <w:r w:rsidR="003B1D88">
        <w:rPr>
          <w:bCs/>
          <w:szCs w:val="22"/>
          <w:lang w:val="en-GB"/>
        </w:rPr>
        <w:t xml:space="preserve">showing </w:t>
      </w:r>
      <w:r w:rsidR="000C3A74" w:rsidRPr="000D621A">
        <w:rPr>
          <w:bCs/>
          <w:szCs w:val="22"/>
          <w:lang w:val="en-GB"/>
        </w:rPr>
        <w:t xml:space="preserve">consistent </w:t>
      </w:r>
      <w:r w:rsidR="00A10155" w:rsidRPr="000D621A">
        <w:rPr>
          <w:bCs/>
          <w:szCs w:val="22"/>
          <w:lang w:val="en-GB"/>
        </w:rPr>
        <w:t xml:space="preserve">non-inferior </w:t>
      </w:r>
      <w:r w:rsidR="000C3A74" w:rsidRPr="000D621A">
        <w:rPr>
          <w:bCs/>
          <w:szCs w:val="22"/>
          <w:lang w:val="en-GB"/>
        </w:rPr>
        <w:t>efficacy to infliximab</w:t>
      </w:r>
      <w:r w:rsidR="00DC09F9" w:rsidRPr="000D621A">
        <w:rPr>
          <w:bCs/>
          <w:szCs w:val="22"/>
          <w:lang w:val="en-GB"/>
        </w:rPr>
        <w:t xml:space="preserve"> (PBAC Minutes November 2007)</w:t>
      </w:r>
      <w:r w:rsidR="000C3A74" w:rsidRPr="000D621A">
        <w:rPr>
          <w:bCs/>
          <w:szCs w:val="22"/>
          <w:lang w:val="en-GB"/>
        </w:rPr>
        <w:t xml:space="preserve">. </w:t>
      </w:r>
      <w:r w:rsidR="008A5782">
        <w:rPr>
          <w:bCs/>
          <w:szCs w:val="22"/>
          <w:lang w:val="en-GB"/>
        </w:rPr>
        <w:t>However, t</w:t>
      </w:r>
      <w:r w:rsidR="000C3A74" w:rsidRPr="00584570">
        <w:rPr>
          <w:bCs/>
          <w:szCs w:val="22"/>
          <w:lang w:val="en-GB"/>
        </w:rPr>
        <w:t>he PBAC</w:t>
      </w:r>
      <w:r w:rsidR="00A10155" w:rsidRPr="00584570">
        <w:rPr>
          <w:bCs/>
          <w:szCs w:val="22"/>
          <w:lang w:val="en-GB"/>
        </w:rPr>
        <w:t xml:space="preserve"> </w:t>
      </w:r>
      <w:r w:rsidR="008A5782">
        <w:rPr>
          <w:bCs/>
          <w:szCs w:val="22"/>
          <w:lang w:val="en-GB"/>
        </w:rPr>
        <w:t>noted the limitations of the available data</w:t>
      </w:r>
      <w:r w:rsidR="00187838">
        <w:rPr>
          <w:bCs/>
          <w:szCs w:val="22"/>
          <w:lang w:val="en-GB"/>
        </w:rPr>
        <w:t xml:space="preserve"> for paediatric patients,</w:t>
      </w:r>
      <w:r w:rsidR="008A5782">
        <w:rPr>
          <w:bCs/>
          <w:szCs w:val="22"/>
          <w:lang w:val="en-GB"/>
        </w:rPr>
        <w:t xml:space="preserve"> including the small number of patients in the </w:t>
      </w:r>
      <w:r w:rsidR="00D7349B">
        <w:rPr>
          <w:bCs/>
          <w:szCs w:val="22"/>
          <w:lang w:val="en-GB"/>
        </w:rPr>
        <w:t xml:space="preserve">infliximab-naïve </w:t>
      </w:r>
      <w:r w:rsidR="008A5782">
        <w:rPr>
          <w:bCs/>
          <w:szCs w:val="22"/>
          <w:lang w:val="en-GB"/>
        </w:rPr>
        <w:t>sub-group analysis</w:t>
      </w:r>
      <w:r w:rsidR="00E2457E">
        <w:rPr>
          <w:bCs/>
          <w:szCs w:val="22"/>
          <w:lang w:val="en-GB"/>
        </w:rPr>
        <w:t>,</w:t>
      </w:r>
      <w:r w:rsidR="008A5782">
        <w:rPr>
          <w:bCs/>
          <w:szCs w:val="22"/>
          <w:lang w:val="en-GB"/>
        </w:rPr>
        <w:t xml:space="preserve"> and acknowledged that more reliable data would be difficult to obtain.</w:t>
      </w:r>
    </w:p>
    <w:p w:rsidR="005B7CC2" w:rsidRDefault="005B7CC2" w:rsidP="005B7CC2">
      <w:pPr>
        <w:pStyle w:val="ListParagraph"/>
        <w:rPr>
          <w:bCs/>
          <w:szCs w:val="22"/>
          <w:lang w:val="en-GB"/>
        </w:rPr>
      </w:pPr>
    </w:p>
    <w:p w:rsidR="0053670B" w:rsidRPr="0042121C" w:rsidRDefault="000F0E06" w:rsidP="0042121C">
      <w:pPr>
        <w:widowControl/>
        <w:numPr>
          <w:ilvl w:val="1"/>
          <w:numId w:val="1"/>
        </w:numPr>
        <w:rPr>
          <w:bCs/>
          <w:szCs w:val="22"/>
          <w:lang w:val="en-GB"/>
        </w:rPr>
      </w:pPr>
      <w:r w:rsidRPr="0042121C">
        <w:rPr>
          <w:bCs/>
          <w:szCs w:val="22"/>
          <w:lang w:val="en-GB"/>
        </w:rPr>
        <w:t xml:space="preserve">The PBAC </w:t>
      </w:r>
      <w:r w:rsidR="00C536E4" w:rsidRPr="0042121C">
        <w:rPr>
          <w:bCs/>
          <w:szCs w:val="22"/>
          <w:lang w:val="en-GB"/>
        </w:rPr>
        <w:t xml:space="preserve">therefore considered </w:t>
      </w:r>
      <w:r w:rsidR="00400ACB">
        <w:rPr>
          <w:bCs/>
          <w:szCs w:val="22"/>
          <w:lang w:val="en-GB"/>
        </w:rPr>
        <w:t xml:space="preserve">that, </w:t>
      </w:r>
      <w:r w:rsidR="00BD1982">
        <w:rPr>
          <w:bCs/>
          <w:szCs w:val="22"/>
          <w:lang w:val="en-GB"/>
        </w:rPr>
        <w:t>on the basis of the available evidence,</w:t>
      </w:r>
      <w:r w:rsidR="00C536E4" w:rsidRPr="0042121C">
        <w:rPr>
          <w:bCs/>
          <w:szCs w:val="22"/>
          <w:lang w:val="en-GB"/>
        </w:rPr>
        <w:t xml:space="preserve"> </w:t>
      </w:r>
      <w:r w:rsidR="002A2946" w:rsidRPr="0042121C">
        <w:rPr>
          <w:bCs/>
          <w:szCs w:val="22"/>
          <w:lang w:val="en-GB"/>
        </w:rPr>
        <w:t xml:space="preserve">it is reasonable to conclude that adalimumab is non-inferior in terms of efficacy and comparable </w:t>
      </w:r>
      <w:r w:rsidR="00C536E4" w:rsidRPr="0042121C">
        <w:rPr>
          <w:bCs/>
          <w:szCs w:val="22"/>
          <w:lang w:val="en-GB"/>
        </w:rPr>
        <w:t xml:space="preserve">in terms of </w:t>
      </w:r>
      <w:r w:rsidR="002A2946" w:rsidRPr="0042121C">
        <w:rPr>
          <w:bCs/>
          <w:szCs w:val="22"/>
          <w:lang w:val="en-GB"/>
        </w:rPr>
        <w:t>safety to infliximab.</w:t>
      </w:r>
    </w:p>
    <w:p w:rsidR="002A2946" w:rsidRDefault="002A2946" w:rsidP="002A2946">
      <w:pPr>
        <w:pStyle w:val="ListParagraph"/>
        <w:rPr>
          <w:bCs/>
          <w:szCs w:val="22"/>
          <w:lang w:val="en-GB"/>
        </w:rPr>
      </w:pPr>
    </w:p>
    <w:p w:rsidR="002A2946" w:rsidRDefault="0042121C" w:rsidP="00955E40">
      <w:pPr>
        <w:widowControl/>
        <w:numPr>
          <w:ilvl w:val="1"/>
          <w:numId w:val="1"/>
        </w:numPr>
        <w:rPr>
          <w:bCs/>
          <w:szCs w:val="22"/>
          <w:lang w:val="en-GB"/>
        </w:rPr>
      </w:pPr>
      <w:r>
        <w:rPr>
          <w:bCs/>
          <w:szCs w:val="22"/>
          <w:lang w:val="en-GB"/>
        </w:rPr>
        <w:t xml:space="preserve">The PBAC considered the cost-minimisation analysis of adalimumab against infliximab. </w:t>
      </w:r>
      <w:r w:rsidR="001119D6">
        <w:rPr>
          <w:bCs/>
          <w:szCs w:val="22"/>
          <w:lang w:val="en-GB"/>
        </w:rPr>
        <w:t>The PBAC</w:t>
      </w:r>
      <w:r w:rsidR="00CA0097">
        <w:rPr>
          <w:bCs/>
          <w:szCs w:val="22"/>
          <w:lang w:val="en-GB"/>
        </w:rPr>
        <w:t xml:space="preserve"> agreed with ESC that the outcomes of the cost-minimisation analysis are biased in favour of adalimumab by the inclusion of the in-patient resource </w:t>
      </w:r>
      <w:r w:rsidR="007D0C53">
        <w:rPr>
          <w:bCs/>
          <w:szCs w:val="22"/>
          <w:lang w:val="en-GB"/>
        </w:rPr>
        <w:t xml:space="preserve">cost </w:t>
      </w:r>
      <w:r w:rsidR="00CA0097">
        <w:rPr>
          <w:bCs/>
          <w:szCs w:val="22"/>
          <w:lang w:val="en-GB"/>
        </w:rPr>
        <w:t>of $</w:t>
      </w:r>
      <w:r w:rsidR="00042C6A">
        <w:rPr>
          <w:bCs/>
          <w:noProof/>
          <w:color w:val="000000"/>
          <w:szCs w:val="22"/>
          <w:highlight w:val="black"/>
          <w:lang w:val="en-GB"/>
        </w:rPr>
        <w:t>'''''''''</w:t>
      </w:r>
      <w:r w:rsidR="00CA0097">
        <w:rPr>
          <w:bCs/>
          <w:szCs w:val="22"/>
          <w:lang w:val="en-GB"/>
        </w:rPr>
        <w:t xml:space="preserve"> per infliximab infusion. </w:t>
      </w:r>
      <w:r w:rsidR="007D0C53">
        <w:rPr>
          <w:bCs/>
          <w:szCs w:val="22"/>
          <w:lang w:val="en-GB"/>
        </w:rPr>
        <w:t>A</w:t>
      </w:r>
      <w:r w:rsidR="001A5F05">
        <w:rPr>
          <w:bCs/>
          <w:szCs w:val="22"/>
          <w:lang w:val="en-GB"/>
        </w:rPr>
        <w:t xml:space="preserve">s the methodology used to reach this estimate was not provided and </w:t>
      </w:r>
      <w:r w:rsidR="00BD37D2">
        <w:rPr>
          <w:bCs/>
          <w:szCs w:val="22"/>
          <w:lang w:val="en-GB"/>
        </w:rPr>
        <w:t xml:space="preserve">that the cost of infliximab infusion may vary significantly </w:t>
      </w:r>
      <w:r w:rsidR="007D0C53">
        <w:rPr>
          <w:bCs/>
          <w:szCs w:val="22"/>
          <w:lang w:val="en-GB"/>
        </w:rPr>
        <w:t xml:space="preserve">across </w:t>
      </w:r>
      <w:r w:rsidR="00BD37D2">
        <w:rPr>
          <w:bCs/>
          <w:szCs w:val="22"/>
          <w:lang w:val="en-GB"/>
        </w:rPr>
        <w:t>jurisdiction</w:t>
      </w:r>
      <w:r w:rsidR="007D0C53">
        <w:rPr>
          <w:bCs/>
          <w:szCs w:val="22"/>
          <w:lang w:val="en-GB"/>
        </w:rPr>
        <w:t>s</w:t>
      </w:r>
      <w:r w:rsidR="00BD37D2">
        <w:rPr>
          <w:bCs/>
          <w:szCs w:val="22"/>
          <w:lang w:val="en-GB"/>
        </w:rPr>
        <w:t xml:space="preserve">, the </w:t>
      </w:r>
      <w:r w:rsidR="00CA0097">
        <w:rPr>
          <w:bCs/>
          <w:szCs w:val="22"/>
          <w:lang w:val="en-GB"/>
        </w:rPr>
        <w:t xml:space="preserve">PBAC </w:t>
      </w:r>
      <w:r w:rsidR="001119D6">
        <w:rPr>
          <w:bCs/>
          <w:szCs w:val="22"/>
          <w:lang w:val="en-GB"/>
        </w:rPr>
        <w:t xml:space="preserve">did not accept the </w:t>
      </w:r>
      <w:r w:rsidR="002D4A17">
        <w:rPr>
          <w:bCs/>
          <w:szCs w:val="22"/>
          <w:lang w:val="en-GB"/>
        </w:rPr>
        <w:t xml:space="preserve">submission’s </w:t>
      </w:r>
      <w:r w:rsidR="001119D6">
        <w:rPr>
          <w:bCs/>
          <w:szCs w:val="22"/>
          <w:lang w:val="en-GB"/>
        </w:rPr>
        <w:t xml:space="preserve">proposed </w:t>
      </w:r>
      <w:r w:rsidR="00400ACB">
        <w:rPr>
          <w:bCs/>
          <w:szCs w:val="22"/>
          <w:lang w:val="en-GB"/>
        </w:rPr>
        <w:t>offset for the cost of infliximab infusion</w:t>
      </w:r>
      <w:r w:rsidR="00CA0097">
        <w:rPr>
          <w:bCs/>
          <w:szCs w:val="22"/>
          <w:lang w:val="en-GB"/>
        </w:rPr>
        <w:t>.</w:t>
      </w:r>
    </w:p>
    <w:p w:rsidR="00401D7F" w:rsidRPr="00F73A6B" w:rsidRDefault="00401D7F" w:rsidP="00F73A6B">
      <w:pPr>
        <w:rPr>
          <w:bCs/>
          <w:szCs w:val="22"/>
          <w:lang w:val="en-GB"/>
        </w:rPr>
      </w:pPr>
    </w:p>
    <w:p w:rsidR="00C62168" w:rsidRDefault="00401D7F" w:rsidP="00955E40">
      <w:pPr>
        <w:widowControl/>
        <w:numPr>
          <w:ilvl w:val="1"/>
          <w:numId w:val="1"/>
        </w:numPr>
        <w:rPr>
          <w:bCs/>
          <w:szCs w:val="22"/>
          <w:lang w:val="en-GB"/>
        </w:rPr>
      </w:pPr>
      <w:r>
        <w:rPr>
          <w:bCs/>
          <w:szCs w:val="22"/>
          <w:lang w:val="en-GB"/>
        </w:rPr>
        <w:t>The PBAC agreed with the issues regarding the utilisation and financial estimates outlined in paragraph 6.31.</w:t>
      </w:r>
    </w:p>
    <w:p w:rsidR="001327EC" w:rsidRDefault="001327EC" w:rsidP="001327EC">
      <w:pPr>
        <w:pStyle w:val="ListParagraph"/>
        <w:rPr>
          <w:bCs/>
          <w:szCs w:val="22"/>
          <w:lang w:val="en-GB"/>
        </w:rPr>
      </w:pPr>
    </w:p>
    <w:p w:rsidR="001327EC" w:rsidRPr="001327EC" w:rsidRDefault="001327EC" w:rsidP="00263483">
      <w:pPr>
        <w:pStyle w:val="ListParagraph"/>
        <w:keepNext/>
        <w:widowControl/>
        <w:numPr>
          <w:ilvl w:val="1"/>
          <w:numId w:val="1"/>
        </w:numPr>
        <w:rPr>
          <w:szCs w:val="22"/>
          <w:u w:val="single"/>
        </w:rPr>
      </w:pPr>
      <w:r w:rsidRPr="001327EC">
        <w:rPr>
          <w:rFonts w:cs="Times New Roman"/>
          <w:snapToGrid/>
          <w:szCs w:val="22"/>
          <w:u w:val="single"/>
          <w:lang w:eastAsia="en-AU"/>
        </w:rPr>
        <w:lastRenderedPageBreak/>
        <w:t>Advice to the Minister under subsection 101(3BA) of the</w:t>
      </w:r>
      <w:r w:rsidRPr="001327EC">
        <w:rPr>
          <w:rFonts w:cs="Times New Roman"/>
          <w:i/>
          <w:snapToGrid/>
          <w:szCs w:val="22"/>
          <w:u w:val="single"/>
          <w:lang w:eastAsia="en-AU"/>
        </w:rPr>
        <w:t xml:space="preserve"> </w:t>
      </w:r>
      <w:r w:rsidR="00BD37D2" w:rsidRPr="00BD37D2">
        <w:rPr>
          <w:rFonts w:cs="Times New Roman"/>
          <w:snapToGrid/>
          <w:szCs w:val="22"/>
          <w:u w:val="single"/>
          <w:lang w:eastAsia="en-AU"/>
        </w:rPr>
        <w:t>Act</w:t>
      </w:r>
    </w:p>
    <w:p w:rsidR="001327EC" w:rsidRDefault="001327EC" w:rsidP="001327EC">
      <w:pPr>
        <w:widowControl/>
        <w:ind w:left="720"/>
        <w:rPr>
          <w:rFonts w:cs="Times New Roman"/>
          <w:snapToGrid/>
          <w:szCs w:val="22"/>
          <w:lang w:eastAsia="en-AU"/>
        </w:rPr>
      </w:pPr>
      <w:r w:rsidRPr="001327EC">
        <w:rPr>
          <w:rFonts w:cs="Times New Roman"/>
          <w:snapToGrid/>
          <w:szCs w:val="22"/>
          <w:lang w:eastAsia="en-AU"/>
        </w:rPr>
        <w:t xml:space="preserve">In accordance with subsection 101(3BA) of the </w:t>
      </w:r>
      <w:r w:rsidR="00BD37D2" w:rsidRPr="00BD37D2">
        <w:rPr>
          <w:rFonts w:cs="Times New Roman"/>
          <w:snapToGrid/>
          <w:szCs w:val="22"/>
          <w:lang w:eastAsia="en-AU"/>
        </w:rPr>
        <w:t>Act</w:t>
      </w:r>
      <w:r w:rsidRPr="001327EC">
        <w:rPr>
          <w:rFonts w:cs="Times New Roman"/>
          <w:snapToGrid/>
          <w:szCs w:val="22"/>
          <w:lang w:eastAsia="en-AU"/>
        </w:rPr>
        <w:t xml:space="preserve"> the PBAC advised that it is of the opinion that, on the basis if the material available to it at its November 2014 meeting, </w:t>
      </w:r>
      <w:r>
        <w:rPr>
          <w:rFonts w:cs="Times New Roman"/>
          <w:snapToGrid/>
          <w:szCs w:val="22"/>
          <w:lang w:eastAsia="en-AU"/>
        </w:rPr>
        <w:t>adalimumab</w:t>
      </w:r>
      <w:r w:rsidRPr="001327EC">
        <w:rPr>
          <w:rFonts w:cs="Times New Roman"/>
          <w:snapToGrid/>
          <w:szCs w:val="22"/>
          <w:lang w:eastAsia="en-AU"/>
        </w:rPr>
        <w:t xml:space="preserve"> should</w:t>
      </w:r>
      <w:r>
        <w:rPr>
          <w:rFonts w:cs="Times New Roman"/>
          <w:snapToGrid/>
          <w:szCs w:val="22"/>
          <w:lang w:eastAsia="en-AU"/>
        </w:rPr>
        <w:t xml:space="preserve"> not</w:t>
      </w:r>
      <w:r w:rsidRPr="001327EC">
        <w:rPr>
          <w:rFonts w:cs="Times New Roman"/>
          <w:snapToGrid/>
          <w:szCs w:val="22"/>
          <w:lang w:eastAsia="en-AU"/>
        </w:rPr>
        <w:t xml:space="preserve"> be treated as interchangeable on an individual patient basis with</w:t>
      </w:r>
      <w:r>
        <w:rPr>
          <w:rFonts w:cs="Times New Roman"/>
          <w:snapToGrid/>
          <w:szCs w:val="22"/>
          <w:lang w:eastAsia="en-AU"/>
        </w:rPr>
        <w:t xml:space="preserve"> any other drugs.</w:t>
      </w:r>
    </w:p>
    <w:p w:rsidR="001327EC" w:rsidRDefault="001327EC" w:rsidP="002D4A17">
      <w:pPr>
        <w:widowControl/>
        <w:rPr>
          <w:rFonts w:cs="Times New Roman"/>
          <w:snapToGrid/>
          <w:szCs w:val="22"/>
          <w:lang w:eastAsia="en-AU"/>
        </w:rPr>
      </w:pPr>
    </w:p>
    <w:p w:rsidR="00CA0097" w:rsidRDefault="001327EC" w:rsidP="001327EC">
      <w:pPr>
        <w:pStyle w:val="ListParagraph"/>
        <w:widowControl/>
        <w:numPr>
          <w:ilvl w:val="1"/>
          <w:numId w:val="1"/>
        </w:numPr>
        <w:rPr>
          <w:bCs/>
          <w:szCs w:val="22"/>
          <w:lang w:val="en-GB"/>
        </w:rPr>
      </w:pPr>
      <w:r>
        <w:rPr>
          <w:bCs/>
          <w:szCs w:val="22"/>
          <w:lang w:val="en-GB"/>
        </w:rPr>
        <w:t>The PBAC advised that adalimumab is not suitable for prescribing by nurse practitioners.</w:t>
      </w:r>
    </w:p>
    <w:p w:rsidR="001327EC" w:rsidRDefault="001327EC" w:rsidP="001327EC">
      <w:pPr>
        <w:pStyle w:val="ListParagraph"/>
        <w:widowControl/>
        <w:rPr>
          <w:bCs/>
          <w:szCs w:val="22"/>
          <w:lang w:val="en-GB"/>
        </w:rPr>
      </w:pPr>
    </w:p>
    <w:p w:rsidR="001327EC" w:rsidRPr="001327EC" w:rsidRDefault="001327EC" w:rsidP="001327EC">
      <w:pPr>
        <w:pStyle w:val="ListParagraph"/>
        <w:numPr>
          <w:ilvl w:val="1"/>
          <w:numId w:val="1"/>
        </w:numPr>
        <w:rPr>
          <w:bCs/>
          <w:szCs w:val="22"/>
        </w:rPr>
      </w:pPr>
      <w:r>
        <w:rPr>
          <w:bCs/>
          <w:szCs w:val="22"/>
          <w:lang w:val="en-GB"/>
        </w:rPr>
        <w:t xml:space="preserve">The PBAC recommended that the Safety Net 20 Day Rule should apply </w:t>
      </w:r>
      <w:r w:rsidRPr="001327EC">
        <w:rPr>
          <w:bCs/>
          <w:szCs w:val="22"/>
        </w:rPr>
        <w:t>for continuing treatment as it is currently applied to adalimumab for continuing treatment of Crohn</w:t>
      </w:r>
      <w:r w:rsidR="0098792A">
        <w:rPr>
          <w:bCs/>
          <w:szCs w:val="22"/>
        </w:rPr>
        <w:t>’s</w:t>
      </w:r>
      <w:r w:rsidRPr="001327EC">
        <w:rPr>
          <w:bCs/>
          <w:szCs w:val="22"/>
        </w:rPr>
        <w:t xml:space="preserve"> disease in adults. </w:t>
      </w:r>
    </w:p>
    <w:p w:rsidR="002D4A17" w:rsidRDefault="002D4A17" w:rsidP="00B92322">
      <w:pPr>
        <w:widowControl/>
        <w:rPr>
          <w:b/>
          <w:bCs/>
          <w:szCs w:val="22"/>
          <w:lang w:val="en-GB"/>
        </w:rPr>
      </w:pPr>
    </w:p>
    <w:p w:rsidR="00B92322" w:rsidRPr="00B92322" w:rsidRDefault="00B92322" w:rsidP="00B92322">
      <w:pPr>
        <w:widowControl/>
        <w:rPr>
          <w:b/>
          <w:bCs/>
          <w:szCs w:val="22"/>
          <w:lang w:val="en-GB"/>
        </w:rPr>
      </w:pPr>
      <w:r w:rsidRPr="00B92322">
        <w:rPr>
          <w:b/>
          <w:bCs/>
          <w:szCs w:val="22"/>
          <w:lang w:val="en-GB"/>
        </w:rPr>
        <w:t>Outcome:</w:t>
      </w:r>
    </w:p>
    <w:p w:rsidR="00B92322" w:rsidRPr="00B92322" w:rsidRDefault="00B92322" w:rsidP="00B92322">
      <w:pPr>
        <w:widowControl/>
        <w:rPr>
          <w:bCs/>
          <w:szCs w:val="22"/>
          <w:lang w:val="en-GB"/>
        </w:rPr>
      </w:pPr>
      <w:r w:rsidRPr="00B92322">
        <w:rPr>
          <w:bCs/>
          <w:szCs w:val="22"/>
          <w:lang w:val="en-GB"/>
        </w:rPr>
        <w:t xml:space="preserve">Recommended </w:t>
      </w:r>
    </w:p>
    <w:p w:rsidR="00B92322" w:rsidRDefault="00B92322" w:rsidP="00B92322">
      <w:pPr>
        <w:widowControl/>
        <w:rPr>
          <w:bCs/>
          <w:szCs w:val="22"/>
          <w:lang w:val="en-GB"/>
        </w:rPr>
      </w:pPr>
    </w:p>
    <w:p w:rsidR="001327EC" w:rsidRDefault="001327EC" w:rsidP="00B92322">
      <w:pPr>
        <w:widowControl/>
        <w:rPr>
          <w:bCs/>
          <w:szCs w:val="22"/>
          <w:lang w:val="en-GB"/>
        </w:rPr>
      </w:pPr>
    </w:p>
    <w:p w:rsidR="00B92322" w:rsidRDefault="00B92322" w:rsidP="00955E40">
      <w:pPr>
        <w:widowControl/>
        <w:numPr>
          <w:ilvl w:val="0"/>
          <w:numId w:val="1"/>
        </w:numPr>
        <w:rPr>
          <w:b/>
          <w:bCs/>
          <w:szCs w:val="22"/>
          <w:lang w:val="en-GB"/>
        </w:rPr>
      </w:pPr>
      <w:r w:rsidRPr="002D4A17">
        <w:rPr>
          <w:b/>
          <w:bCs/>
          <w:szCs w:val="22"/>
          <w:lang w:val="en-GB"/>
        </w:rPr>
        <w:t>Recommended listing</w:t>
      </w:r>
    </w:p>
    <w:p w:rsidR="007F30FB" w:rsidRPr="002D4A17" w:rsidRDefault="007F30FB" w:rsidP="007F30FB">
      <w:pPr>
        <w:widowControl/>
        <w:ind w:left="720"/>
        <w:rPr>
          <w:b/>
          <w:bCs/>
          <w:szCs w:val="22"/>
          <w:lang w:val="en-GB"/>
        </w:rPr>
      </w:pPr>
    </w:p>
    <w:p w:rsidR="00B92322" w:rsidRPr="002D4A17" w:rsidRDefault="00B92322" w:rsidP="00B92322">
      <w:pPr>
        <w:widowControl/>
        <w:numPr>
          <w:ilvl w:val="1"/>
          <w:numId w:val="1"/>
        </w:numPr>
        <w:rPr>
          <w:bCs/>
          <w:szCs w:val="22"/>
        </w:rPr>
      </w:pPr>
      <w:r w:rsidRPr="002D4A17">
        <w:rPr>
          <w:bCs/>
          <w:szCs w:val="22"/>
        </w:rPr>
        <w:t>Amend existing/recommended listing</w:t>
      </w:r>
      <w:r w:rsidR="00821197">
        <w:rPr>
          <w:bCs/>
          <w:szCs w:val="22"/>
        </w:rPr>
        <w:t xml:space="preserve">. </w:t>
      </w:r>
      <w:r w:rsidR="002B0356">
        <w:rPr>
          <w:bCs/>
          <w:szCs w:val="22"/>
        </w:rPr>
        <w:t>Restriction to be finalised</w:t>
      </w:r>
      <w:r w:rsidR="000C1CFF">
        <w:rPr>
          <w:bCs/>
          <w:szCs w:val="22"/>
        </w:rPr>
        <w:t xml:space="preserve"> including flow-on changes to current infliximab restriction</w:t>
      </w:r>
      <w:r w:rsidR="002B0356">
        <w:rPr>
          <w:bCs/>
          <w:szCs w:val="22"/>
        </w:rPr>
        <w:t>.</w:t>
      </w:r>
      <w:r w:rsidR="00AC2C2F">
        <w:rPr>
          <w:bCs/>
          <w:szCs w:val="22"/>
        </w:rPr>
        <w:t xml:space="preserve"> </w:t>
      </w:r>
    </w:p>
    <w:p w:rsidR="00B92322" w:rsidRDefault="00B92322" w:rsidP="00B92322">
      <w:pPr>
        <w:widowControl/>
        <w:rPr>
          <w:b/>
          <w:bCs/>
          <w:szCs w:val="22"/>
        </w:rPr>
      </w:pPr>
    </w:p>
    <w:p w:rsidR="00A95EFB" w:rsidRDefault="00A95EFB" w:rsidP="00B92322">
      <w:pPr>
        <w:widowControl/>
        <w:rPr>
          <w:b/>
          <w:bCs/>
          <w:szCs w:val="22"/>
        </w:rPr>
      </w:pPr>
    </w:p>
    <w:p w:rsidR="00412DAB" w:rsidRDefault="00412DAB" w:rsidP="00412DAB">
      <w:pPr>
        <w:pStyle w:val="ListParagraph"/>
        <w:widowControl/>
        <w:numPr>
          <w:ilvl w:val="0"/>
          <w:numId w:val="1"/>
        </w:numPr>
        <w:rPr>
          <w:b/>
        </w:rPr>
      </w:pPr>
      <w:r w:rsidRPr="00D4420F">
        <w:rPr>
          <w:b/>
        </w:rPr>
        <w:t>Context for Decision</w:t>
      </w:r>
    </w:p>
    <w:p w:rsidR="00412DAB" w:rsidRPr="00D4420F" w:rsidRDefault="00412DAB" w:rsidP="00412DAB">
      <w:pPr>
        <w:pStyle w:val="ListParagraph"/>
        <w:rPr>
          <w:b/>
        </w:rPr>
      </w:pPr>
    </w:p>
    <w:p w:rsidR="00412DAB" w:rsidRPr="00D4420F" w:rsidRDefault="00412DAB" w:rsidP="00412DAB">
      <w:pPr>
        <w:ind w:left="720"/>
      </w:pPr>
      <w:r w:rsidRPr="00D4420F">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412DAB" w:rsidRDefault="00412DAB" w:rsidP="00412DAB"/>
    <w:p w:rsidR="00A95EFB" w:rsidRPr="00D4420F" w:rsidRDefault="00A95EFB" w:rsidP="00412DAB"/>
    <w:p w:rsidR="00412DAB" w:rsidRDefault="00412DAB" w:rsidP="00412DAB">
      <w:pPr>
        <w:pStyle w:val="ListParagraph"/>
        <w:widowControl/>
        <w:numPr>
          <w:ilvl w:val="0"/>
          <w:numId w:val="1"/>
        </w:numPr>
        <w:rPr>
          <w:b/>
        </w:rPr>
      </w:pPr>
      <w:r w:rsidRPr="00D4420F">
        <w:rPr>
          <w:b/>
        </w:rPr>
        <w:t>Sponsor’s Comment</w:t>
      </w:r>
    </w:p>
    <w:p w:rsidR="00412DAB" w:rsidRDefault="00412DAB" w:rsidP="00C37DDC">
      <w:pPr>
        <w:widowControl/>
        <w:ind w:left="720"/>
        <w:rPr>
          <w:b/>
          <w:bCs/>
          <w:szCs w:val="22"/>
        </w:rPr>
      </w:pPr>
    </w:p>
    <w:p w:rsidR="00401B36" w:rsidRPr="00880178" w:rsidRDefault="00401B36" w:rsidP="00401B36">
      <w:pPr>
        <w:widowControl/>
        <w:ind w:left="720"/>
        <w:rPr>
          <w:bCs/>
          <w:szCs w:val="22"/>
        </w:rPr>
      </w:pPr>
      <w:proofErr w:type="spellStart"/>
      <w:r w:rsidRPr="00880178">
        <w:rPr>
          <w:bCs/>
          <w:szCs w:val="22"/>
        </w:rPr>
        <w:t>Abb</w:t>
      </w:r>
      <w:r>
        <w:rPr>
          <w:bCs/>
          <w:szCs w:val="22"/>
        </w:rPr>
        <w:t>Vi</w:t>
      </w:r>
      <w:r w:rsidRPr="00880178">
        <w:rPr>
          <w:bCs/>
          <w:szCs w:val="22"/>
        </w:rPr>
        <w:t>e</w:t>
      </w:r>
      <w:proofErr w:type="spellEnd"/>
      <w:r>
        <w:rPr>
          <w:bCs/>
          <w:szCs w:val="22"/>
        </w:rPr>
        <w:t xml:space="preserve"> is pleased that adalimumab will be available for patients with paediatric Crohn’s disease.</w:t>
      </w:r>
    </w:p>
    <w:p w:rsidR="00401B36" w:rsidRPr="00B92322" w:rsidRDefault="00401B36" w:rsidP="00401B36">
      <w:pPr>
        <w:widowControl/>
        <w:ind w:left="720"/>
        <w:rPr>
          <w:b/>
          <w:bCs/>
          <w:szCs w:val="22"/>
        </w:rPr>
      </w:pPr>
    </w:p>
    <w:sectPr w:rsidR="00401B36" w:rsidRPr="00B92322" w:rsidSect="003032ED">
      <w:headerReference w:type="default" r:id="rId9"/>
      <w:footerReference w:type="default" r:id="rId10"/>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C6A" w:rsidRDefault="00042C6A" w:rsidP="00124A51">
      <w:r>
        <w:separator/>
      </w:r>
    </w:p>
  </w:endnote>
  <w:endnote w:type="continuationSeparator" w:id="0">
    <w:p w:rsidR="00042C6A" w:rsidRDefault="00042C6A"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92818"/>
      <w:docPartObj>
        <w:docPartGallery w:val="Page Numbers (Bottom of Page)"/>
        <w:docPartUnique/>
      </w:docPartObj>
    </w:sdtPr>
    <w:sdtEndPr>
      <w:rPr>
        <w:noProof/>
      </w:rPr>
    </w:sdtEndPr>
    <w:sdtContent>
      <w:p w:rsidR="00C37DDC" w:rsidRDefault="00C37DDC">
        <w:pPr>
          <w:pStyle w:val="Footer"/>
          <w:jc w:val="center"/>
        </w:pPr>
      </w:p>
      <w:p w:rsidR="00560B10" w:rsidRDefault="00560B10">
        <w:pPr>
          <w:pStyle w:val="Footer"/>
          <w:jc w:val="center"/>
        </w:pPr>
        <w:r>
          <w:fldChar w:fldCharType="begin"/>
        </w:r>
        <w:r>
          <w:instrText xml:space="preserve"> PAGE   \* MERGEFORMAT </w:instrText>
        </w:r>
        <w:r>
          <w:fldChar w:fldCharType="separate"/>
        </w:r>
        <w:r w:rsidR="00255BAD">
          <w:rPr>
            <w:noProof/>
          </w:rPr>
          <w:t>14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C6A" w:rsidRDefault="00042C6A" w:rsidP="00124A51">
      <w:r>
        <w:separator/>
      </w:r>
    </w:p>
  </w:footnote>
  <w:footnote w:type="continuationSeparator" w:id="0">
    <w:p w:rsidR="00042C6A" w:rsidRDefault="00042C6A"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10" w:rsidRPr="00A4245C" w:rsidRDefault="00560B10" w:rsidP="00162BC3">
    <w:pPr>
      <w:pStyle w:val="Header"/>
      <w:jc w:val="center"/>
      <w:rPr>
        <w:i/>
      </w:rPr>
    </w:pPr>
    <w:r>
      <w:rPr>
        <w:i/>
      </w:rPr>
      <w:t>Public Summary Document</w:t>
    </w:r>
    <w:r w:rsidRPr="00A4245C">
      <w:rPr>
        <w:i/>
      </w:rPr>
      <w:t xml:space="preserve"> – November 2014 PBAC Meeting</w:t>
    </w:r>
  </w:p>
  <w:p w:rsidR="00560B10" w:rsidRPr="00A4245C" w:rsidRDefault="00560B10">
    <w:pPr>
      <w:pStyle w:val="Head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A70FC"/>
    <w:multiLevelType w:val="hybridMultilevel"/>
    <w:tmpl w:val="76EA8A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nsid w:val="15A04F9A"/>
    <w:multiLevelType w:val="hybridMultilevel"/>
    <w:tmpl w:val="A5149A24"/>
    <w:lvl w:ilvl="0" w:tplc="FFFFFFFF">
      <w:start w:val="1"/>
      <w:numFmt w:val="bullet"/>
      <w:lvlText w:val=""/>
      <w:lvlJc w:val="left"/>
      <w:pPr>
        <w:tabs>
          <w:tab w:val="num" w:pos="720"/>
        </w:tabs>
        <w:ind w:left="720" w:hanging="360"/>
      </w:pPr>
      <w:rPr>
        <w:rFonts w:ascii="Symbol" w:hAnsi="Symbol" w:hint="default"/>
      </w:rPr>
    </w:lvl>
    <w:lvl w:ilvl="1" w:tplc="F488CFD6">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2A8856A6"/>
    <w:multiLevelType w:val="hybridMultilevel"/>
    <w:tmpl w:val="E8F46D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33686B50"/>
    <w:multiLevelType w:val="hybridMultilevel"/>
    <w:tmpl w:val="378C662A"/>
    <w:lvl w:ilvl="0" w:tplc="DC8EE4A2">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585612F"/>
    <w:multiLevelType w:val="hybridMultilevel"/>
    <w:tmpl w:val="0E285A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3B0C75B6"/>
    <w:multiLevelType w:val="hybridMultilevel"/>
    <w:tmpl w:val="2D78DD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B605486"/>
    <w:multiLevelType w:val="hybridMultilevel"/>
    <w:tmpl w:val="C96E1DF0"/>
    <w:lvl w:ilvl="0" w:tplc="DC8EE4A2">
      <w:start w:val="1"/>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nsid w:val="5AC16EAB"/>
    <w:multiLevelType w:val="hybridMultilevel"/>
    <w:tmpl w:val="D0863E9E"/>
    <w:lvl w:ilvl="0" w:tplc="DC8EE4A2">
      <w:start w:val="1"/>
      <w:numFmt w:val="bullet"/>
      <w:lvlText w:val="-"/>
      <w:lvlJc w:val="left"/>
      <w:pPr>
        <w:ind w:left="1080" w:hanging="360"/>
      </w:pPr>
      <w:rPr>
        <w:rFonts w:ascii="Calibri" w:eastAsia="Times New Roman" w:hAnsi="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5EC44E8E"/>
    <w:multiLevelType w:val="hybridMultilevel"/>
    <w:tmpl w:val="A6767B6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nsid w:val="68D73BF7"/>
    <w:multiLevelType w:val="hybridMultilevel"/>
    <w:tmpl w:val="6EF2BA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nsid w:val="68F82EFA"/>
    <w:multiLevelType w:val="hybridMultilevel"/>
    <w:tmpl w:val="F79E2E86"/>
    <w:lvl w:ilvl="0" w:tplc="0C090001">
      <w:start w:val="1"/>
      <w:numFmt w:val="bullet"/>
      <w:lvlText w:val=""/>
      <w:lvlJc w:val="left"/>
      <w:pPr>
        <w:ind w:left="1473" w:hanging="360"/>
      </w:pPr>
      <w:rPr>
        <w:rFonts w:ascii="Symbol" w:hAnsi="Symbol" w:hint="default"/>
      </w:rPr>
    </w:lvl>
    <w:lvl w:ilvl="1" w:tplc="0C090003" w:tentative="1">
      <w:start w:val="1"/>
      <w:numFmt w:val="bullet"/>
      <w:lvlText w:val="o"/>
      <w:lvlJc w:val="left"/>
      <w:pPr>
        <w:ind w:left="2193" w:hanging="360"/>
      </w:pPr>
      <w:rPr>
        <w:rFonts w:ascii="Courier New" w:hAnsi="Courier New" w:cs="Courier New" w:hint="default"/>
      </w:rPr>
    </w:lvl>
    <w:lvl w:ilvl="2" w:tplc="0C090005" w:tentative="1">
      <w:start w:val="1"/>
      <w:numFmt w:val="bullet"/>
      <w:lvlText w:val=""/>
      <w:lvlJc w:val="left"/>
      <w:pPr>
        <w:ind w:left="2913" w:hanging="360"/>
      </w:pPr>
      <w:rPr>
        <w:rFonts w:ascii="Wingdings" w:hAnsi="Wingdings" w:hint="default"/>
      </w:rPr>
    </w:lvl>
    <w:lvl w:ilvl="3" w:tplc="0C090001" w:tentative="1">
      <w:start w:val="1"/>
      <w:numFmt w:val="bullet"/>
      <w:lvlText w:val=""/>
      <w:lvlJc w:val="left"/>
      <w:pPr>
        <w:ind w:left="3633" w:hanging="360"/>
      </w:pPr>
      <w:rPr>
        <w:rFonts w:ascii="Symbol" w:hAnsi="Symbol" w:hint="default"/>
      </w:rPr>
    </w:lvl>
    <w:lvl w:ilvl="4" w:tplc="0C090003" w:tentative="1">
      <w:start w:val="1"/>
      <w:numFmt w:val="bullet"/>
      <w:lvlText w:val="o"/>
      <w:lvlJc w:val="left"/>
      <w:pPr>
        <w:ind w:left="4353" w:hanging="360"/>
      </w:pPr>
      <w:rPr>
        <w:rFonts w:ascii="Courier New" w:hAnsi="Courier New" w:cs="Courier New" w:hint="default"/>
      </w:rPr>
    </w:lvl>
    <w:lvl w:ilvl="5" w:tplc="0C090005" w:tentative="1">
      <w:start w:val="1"/>
      <w:numFmt w:val="bullet"/>
      <w:lvlText w:val=""/>
      <w:lvlJc w:val="left"/>
      <w:pPr>
        <w:ind w:left="5073" w:hanging="360"/>
      </w:pPr>
      <w:rPr>
        <w:rFonts w:ascii="Wingdings" w:hAnsi="Wingdings" w:hint="default"/>
      </w:rPr>
    </w:lvl>
    <w:lvl w:ilvl="6" w:tplc="0C090001" w:tentative="1">
      <w:start w:val="1"/>
      <w:numFmt w:val="bullet"/>
      <w:lvlText w:val=""/>
      <w:lvlJc w:val="left"/>
      <w:pPr>
        <w:ind w:left="5793" w:hanging="360"/>
      </w:pPr>
      <w:rPr>
        <w:rFonts w:ascii="Symbol" w:hAnsi="Symbol" w:hint="default"/>
      </w:rPr>
    </w:lvl>
    <w:lvl w:ilvl="7" w:tplc="0C090003" w:tentative="1">
      <w:start w:val="1"/>
      <w:numFmt w:val="bullet"/>
      <w:lvlText w:val="o"/>
      <w:lvlJc w:val="left"/>
      <w:pPr>
        <w:ind w:left="6513" w:hanging="360"/>
      </w:pPr>
      <w:rPr>
        <w:rFonts w:ascii="Courier New" w:hAnsi="Courier New" w:cs="Courier New" w:hint="default"/>
      </w:rPr>
    </w:lvl>
    <w:lvl w:ilvl="8" w:tplc="0C090005" w:tentative="1">
      <w:start w:val="1"/>
      <w:numFmt w:val="bullet"/>
      <w:lvlText w:val=""/>
      <w:lvlJc w:val="left"/>
      <w:pPr>
        <w:ind w:left="7233" w:hanging="360"/>
      </w:pPr>
      <w:rPr>
        <w:rFonts w:ascii="Wingdings" w:hAnsi="Wingdings" w:hint="default"/>
      </w:rPr>
    </w:lvl>
  </w:abstractNum>
  <w:abstractNum w:abstractNumId="11">
    <w:nsid w:val="6AC37619"/>
    <w:multiLevelType w:val="hybridMultilevel"/>
    <w:tmpl w:val="FE906A30"/>
    <w:lvl w:ilvl="0" w:tplc="DC8EE4A2">
      <w:start w:val="1"/>
      <w:numFmt w:val="bullet"/>
      <w:lvlText w:val="-"/>
      <w:lvlJc w:val="left"/>
      <w:pPr>
        <w:ind w:left="1080" w:hanging="360"/>
      </w:pPr>
      <w:rPr>
        <w:rFonts w:ascii="Calibri" w:eastAsia="Times New Roman"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nsid w:val="784D033C"/>
    <w:multiLevelType w:val="multilevel"/>
    <w:tmpl w:val="775477F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ascii="Arial" w:hAnsi="Arial" w:hint="default"/>
        <w:b w:val="0"/>
        <w:i w:val="0"/>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7BBE6919"/>
    <w:multiLevelType w:val="hybridMultilevel"/>
    <w:tmpl w:val="51D24CE0"/>
    <w:lvl w:ilvl="0" w:tplc="F488CFD6">
      <w:numFmt w:val="bullet"/>
      <w:lvlText w:val="-"/>
      <w:lvlJc w:val="left"/>
      <w:pPr>
        <w:ind w:left="360" w:hanging="360"/>
      </w:pPr>
      <w:rPr>
        <w:rFonts w:ascii="Times New Roman" w:eastAsia="Times New Roman" w:hAnsi="Times New Roman"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3"/>
  </w:num>
  <w:num w:numId="3">
    <w:abstractNumId w:val="9"/>
  </w:num>
  <w:num w:numId="4">
    <w:abstractNumId w:val="0"/>
  </w:num>
  <w:num w:numId="5">
    <w:abstractNumId w:val="2"/>
  </w:num>
  <w:num w:numId="6">
    <w:abstractNumId w:val="11"/>
  </w:num>
  <w:num w:numId="7">
    <w:abstractNumId w:val="6"/>
  </w:num>
  <w:num w:numId="8">
    <w:abstractNumId w:val="7"/>
  </w:num>
  <w:num w:numId="9">
    <w:abstractNumId w:val="3"/>
  </w:num>
  <w:num w:numId="10">
    <w:abstractNumId w:val="4"/>
  </w:num>
  <w:num w:numId="11">
    <w:abstractNumId w:val="8"/>
  </w:num>
  <w:num w:numId="12">
    <w:abstractNumId w:val="10"/>
  </w:num>
  <w:num w:numId="13">
    <w:abstractNumId w:val="1"/>
  </w:num>
  <w:num w:numId="14">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E4E"/>
    <w:rsid w:val="0000046D"/>
    <w:rsid w:val="00000790"/>
    <w:rsid w:val="000007AF"/>
    <w:rsid w:val="0000110B"/>
    <w:rsid w:val="000013CB"/>
    <w:rsid w:val="0000186F"/>
    <w:rsid w:val="00001C18"/>
    <w:rsid w:val="00002AB7"/>
    <w:rsid w:val="00003499"/>
    <w:rsid w:val="00003DE2"/>
    <w:rsid w:val="00003DFD"/>
    <w:rsid w:val="00004333"/>
    <w:rsid w:val="00004B3F"/>
    <w:rsid w:val="00004C36"/>
    <w:rsid w:val="00004C3F"/>
    <w:rsid w:val="000052E4"/>
    <w:rsid w:val="00005415"/>
    <w:rsid w:val="0000571F"/>
    <w:rsid w:val="00006518"/>
    <w:rsid w:val="000065C6"/>
    <w:rsid w:val="00006FC2"/>
    <w:rsid w:val="000115BF"/>
    <w:rsid w:val="0001176B"/>
    <w:rsid w:val="00011A8F"/>
    <w:rsid w:val="0001203C"/>
    <w:rsid w:val="0001208D"/>
    <w:rsid w:val="00013247"/>
    <w:rsid w:val="0001332F"/>
    <w:rsid w:val="00013923"/>
    <w:rsid w:val="000140AD"/>
    <w:rsid w:val="0001433C"/>
    <w:rsid w:val="000143BD"/>
    <w:rsid w:val="00014410"/>
    <w:rsid w:val="00014504"/>
    <w:rsid w:val="00014711"/>
    <w:rsid w:val="000147AF"/>
    <w:rsid w:val="00014D94"/>
    <w:rsid w:val="00015105"/>
    <w:rsid w:val="000151FB"/>
    <w:rsid w:val="000157CF"/>
    <w:rsid w:val="00015886"/>
    <w:rsid w:val="000162CF"/>
    <w:rsid w:val="000162EF"/>
    <w:rsid w:val="00016739"/>
    <w:rsid w:val="0001793B"/>
    <w:rsid w:val="00017D94"/>
    <w:rsid w:val="00020324"/>
    <w:rsid w:val="00020E8B"/>
    <w:rsid w:val="00020FDB"/>
    <w:rsid w:val="000221D1"/>
    <w:rsid w:val="00022245"/>
    <w:rsid w:val="0002225F"/>
    <w:rsid w:val="00022349"/>
    <w:rsid w:val="00022549"/>
    <w:rsid w:val="000226DD"/>
    <w:rsid w:val="00022E07"/>
    <w:rsid w:val="00023763"/>
    <w:rsid w:val="00023983"/>
    <w:rsid w:val="00023A3F"/>
    <w:rsid w:val="000244E9"/>
    <w:rsid w:val="00024924"/>
    <w:rsid w:val="00025300"/>
    <w:rsid w:val="000262AB"/>
    <w:rsid w:val="000262C4"/>
    <w:rsid w:val="00026379"/>
    <w:rsid w:val="00026424"/>
    <w:rsid w:val="000273E6"/>
    <w:rsid w:val="00027A14"/>
    <w:rsid w:val="00027B74"/>
    <w:rsid w:val="00030097"/>
    <w:rsid w:val="00030C31"/>
    <w:rsid w:val="00030DBD"/>
    <w:rsid w:val="00031406"/>
    <w:rsid w:val="000315FC"/>
    <w:rsid w:val="00031D34"/>
    <w:rsid w:val="00032EC5"/>
    <w:rsid w:val="0003353A"/>
    <w:rsid w:val="00033F74"/>
    <w:rsid w:val="0003445F"/>
    <w:rsid w:val="000346B1"/>
    <w:rsid w:val="00034705"/>
    <w:rsid w:val="00034ADD"/>
    <w:rsid w:val="00036A18"/>
    <w:rsid w:val="00036B51"/>
    <w:rsid w:val="00036D3D"/>
    <w:rsid w:val="00037042"/>
    <w:rsid w:val="00037EA6"/>
    <w:rsid w:val="000407BD"/>
    <w:rsid w:val="00040895"/>
    <w:rsid w:val="00041021"/>
    <w:rsid w:val="000415E2"/>
    <w:rsid w:val="00041FFC"/>
    <w:rsid w:val="000428EB"/>
    <w:rsid w:val="00042C6A"/>
    <w:rsid w:val="00043C37"/>
    <w:rsid w:val="00043F8F"/>
    <w:rsid w:val="000442A6"/>
    <w:rsid w:val="0004445A"/>
    <w:rsid w:val="00044C90"/>
    <w:rsid w:val="00044DBB"/>
    <w:rsid w:val="00045D7D"/>
    <w:rsid w:val="000462D6"/>
    <w:rsid w:val="00046B11"/>
    <w:rsid w:val="00046E75"/>
    <w:rsid w:val="0004707D"/>
    <w:rsid w:val="0004710D"/>
    <w:rsid w:val="00047EB1"/>
    <w:rsid w:val="0005091B"/>
    <w:rsid w:val="00051098"/>
    <w:rsid w:val="000516E3"/>
    <w:rsid w:val="00051946"/>
    <w:rsid w:val="00051BD4"/>
    <w:rsid w:val="00051FCC"/>
    <w:rsid w:val="000521E4"/>
    <w:rsid w:val="0005251E"/>
    <w:rsid w:val="00052C52"/>
    <w:rsid w:val="00052C94"/>
    <w:rsid w:val="00053622"/>
    <w:rsid w:val="00053D2B"/>
    <w:rsid w:val="000546D7"/>
    <w:rsid w:val="00054ADD"/>
    <w:rsid w:val="0005512C"/>
    <w:rsid w:val="000553DF"/>
    <w:rsid w:val="00055AFE"/>
    <w:rsid w:val="00056323"/>
    <w:rsid w:val="0005692D"/>
    <w:rsid w:val="0005716D"/>
    <w:rsid w:val="00057383"/>
    <w:rsid w:val="00060127"/>
    <w:rsid w:val="0006020F"/>
    <w:rsid w:val="000602FC"/>
    <w:rsid w:val="000603DC"/>
    <w:rsid w:val="0006073B"/>
    <w:rsid w:val="000616EE"/>
    <w:rsid w:val="00062B44"/>
    <w:rsid w:val="00062FA5"/>
    <w:rsid w:val="00063396"/>
    <w:rsid w:val="0006342C"/>
    <w:rsid w:val="000636D4"/>
    <w:rsid w:val="00063A49"/>
    <w:rsid w:val="000642E6"/>
    <w:rsid w:val="0006433D"/>
    <w:rsid w:val="0006480F"/>
    <w:rsid w:val="00065635"/>
    <w:rsid w:val="00065648"/>
    <w:rsid w:val="00065764"/>
    <w:rsid w:val="00065D24"/>
    <w:rsid w:val="00066362"/>
    <w:rsid w:val="00066970"/>
    <w:rsid w:val="00067544"/>
    <w:rsid w:val="00067E41"/>
    <w:rsid w:val="0007083D"/>
    <w:rsid w:val="00070C03"/>
    <w:rsid w:val="00071241"/>
    <w:rsid w:val="00071248"/>
    <w:rsid w:val="000716DE"/>
    <w:rsid w:val="00071D79"/>
    <w:rsid w:val="000720B9"/>
    <w:rsid w:val="00073458"/>
    <w:rsid w:val="000739B0"/>
    <w:rsid w:val="00073EC7"/>
    <w:rsid w:val="00074768"/>
    <w:rsid w:val="00074C4C"/>
    <w:rsid w:val="00075CC4"/>
    <w:rsid w:val="0007626C"/>
    <w:rsid w:val="00076828"/>
    <w:rsid w:val="00076F1C"/>
    <w:rsid w:val="00077527"/>
    <w:rsid w:val="00080488"/>
    <w:rsid w:val="000812CA"/>
    <w:rsid w:val="00081E8E"/>
    <w:rsid w:val="00082B24"/>
    <w:rsid w:val="00082F8D"/>
    <w:rsid w:val="000830EC"/>
    <w:rsid w:val="000834C0"/>
    <w:rsid w:val="00083960"/>
    <w:rsid w:val="00083D06"/>
    <w:rsid w:val="00084354"/>
    <w:rsid w:val="00084E12"/>
    <w:rsid w:val="00086021"/>
    <w:rsid w:val="0008627F"/>
    <w:rsid w:val="00086CFD"/>
    <w:rsid w:val="00086E8F"/>
    <w:rsid w:val="00087093"/>
    <w:rsid w:val="00087AD2"/>
    <w:rsid w:val="00087C0E"/>
    <w:rsid w:val="00090BD0"/>
    <w:rsid w:val="00090C7E"/>
    <w:rsid w:val="00090EF4"/>
    <w:rsid w:val="00091D46"/>
    <w:rsid w:val="00092D8F"/>
    <w:rsid w:val="00093D2A"/>
    <w:rsid w:val="0009468E"/>
    <w:rsid w:val="00094CAA"/>
    <w:rsid w:val="00095359"/>
    <w:rsid w:val="0009535A"/>
    <w:rsid w:val="000962C7"/>
    <w:rsid w:val="00096574"/>
    <w:rsid w:val="00097066"/>
    <w:rsid w:val="0009753B"/>
    <w:rsid w:val="000A0B47"/>
    <w:rsid w:val="000A0DF1"/>
    <w:rsid w:val="000A12F0"/>
    <w:rsid w:val="000A1563"/>
    <w:rsid w:val="000A27D5"/>
    <w:rsid w:val="000A3C77"/>
    <w:rsid w:val="000A3E52"/>
    <w:rsid w:val="000A4A0D"/>
    <w:rsid w:val="000A4E81"/>
    <w:rsid w:val="000A4F61"/>
    <w:rsid w:val="000A5C1F"/>
    <w:rsid w:val="000A6F7F"/>
    <w:rsid w:val="000A781A"/>
    <w:rsid w:val="000A79A9"/>
    <w:rsid w:val="000B0673"/>
    <w:rsid w:val="000B0BAC"/>
    <w:rsid w:val="000B16C5"/>
    <w:rsid w:val="000B226C"/>
    <w:rsid w:val="000B23EC"/>
    <w:rsid w:val="000B2663"/>
    <w:rsid w:val="000B293B"/>
    <w:rsid w:val="000B2C36"/>
    <w:rsid w:val="000B3003"/>
    <w:rsid w:val="000B3327"/>
    <w:rsid w:val="000B37D2"/>
    <w:rsid w:val="000B3FBE"/>
    <w:rsid w:val="000B417B"/>
    <w:rsid w:val="000B432A"/>
    <w:rsid w:val="000B45BF"/>
    <w:rsid w:val="000B5833"/>
    <w:rsid w:val="000B6B34"/>
    <w:rsid w:val="000B7A28"/>
    <w:rsid w:val="000C1762"/>
    <w:rsid w:val="000C1CFF"/>
    <w:rsid w:val="000C297F"/>
    <w:rsid w:val="000C2ABC"/>
    <w:rsid w:val="000C332E"/>
    <w:rsid w:val="000C38EC"/>
    <w:rsid w:val="000C397E"/>
    <w:rsid w:val="000C3A74"/>
    <w:rsid w:val="000C4305"/>
    <w:rsid w:val="000C444F"/>
    <w:rsid w:val="000C4B1A"/>
    <w:rsid w:val="000C4B54"/>
    <w:rsid w:val="000C5B5D"/>
    <w:rsid w:val="000C5B6B"/>
    <w:rsid w:val="000C5BEF"/>
    <w:rsid w:val="000C6141"/>
    <w:rsid w:val="000C6685"/>
    <w:rsid w:val="000C6990"/>
    <w:rsid w:val="000C6E40"/>
    <w:rsid w:val="000C7907"/>
    <w:rsid w:val="000D0153"/>
    <w:rsid w:val="000D07A9"/>
    <w:rsid w:val="000D0C40"/>
    <w:rsid w:val="000D11F1"/>
    <w:rsid w:val="000D1BFC"/>
    <w:rsid w:val="000D2179"/>
    <w:rsid w:val="000D2877"/>
    <w:rsid w:val="000D2C27"/>
    <w:rsid w:val="000D2CCD"/>
    <w:rsid w:val="000D330B"/>
    <w:rsid w:val="000D3369"/>
    <w:rsid w:val="000D346A"/>
    <w:rsid w:val="000D3C5C"/>
    <w:rsid w:val="000D3D43"/>
    <w:rsid w:val="000D4003"/>
    <w:rsid w:val="000D4171"/>
    <w:rsid w:val="000D5D1E"/>
    <w:rsid w:val="000D5FB8"/>
    <w:rsid w:val="000D621A"/>
    <w:rsid w:val="000D6510"/>
    <w:rsid w:val="000D67E0"/>
    <w:rsid w:val="000D69F7"/>
    <w:rsid w:val="000D7CC9"/>
    <w:rsid w:val="000E01CC"/>
    <w:rsid w:val="000E08CA"/>
    <w:rsid w:val="000E0FF0"/>
    <w:rsid w:val="000E2FEC"/>
    <w:rsid w:val="000E39CE"/>
    <w:rsid w:val="000E4B75"/>
    <w:rsid w:val="000E561C"/>
    <w:rsid w:val="000E5666"/>
    <w:rsid w:val="000E6174"/>
    <w:rsid w:val="000E61CC"/>
    <w:rsid w:val="000E65D4"/>
    <w:rsid w:val="000E6899"/>
    <w:rsid w:val="000E7DD6"/>
    <w:rsid w:val="000F04DD"/>
    <w:rsid w:val="000F0E06"/>
    <w:rsid w:val="000F19C0"/>
    <w:rsid w:val="000F2045"/>
    <w:rsid w:val="000F2EAA"/>
    <w:rsid w:val="000F3F58"/>
    <w:rsid w:val="000F476C"/>
    <w:rsid w:val="000F4BB8"/>
    <w:rsid w:val="000F5664"/>
    <w:rsid w:val="000F5D9C"/>
    <w:rsid w:val="000F60C4"/>
    <w:rsid w:val="000F6897"/>
    <w:rsid w:val="000F6D62"/>
    <w:rsid w:val="000F7127"/>
    <w:rsid w:val="000F750B"/>
    <w:rsid w:val="000F7EC6"/>
    <w:rsid w:val="00100BCD"/>
    <w:rsid w:val="00100F8A"/>
    <w:rsid w:val="001022C5"/>
    <w:rsid w:val="00102541"/>
    <w:rsid w:val="001028DD"/>
    <w:rsid w:val="00102B18"/>
    <w:rsid w:val="00102F1C"/>
    <w:rsid w:val="00103770"/>
    <w:rsid w:val="00104F55"/>
    <w:rsid w:val="00105C7B"/>
    <w:rsid w:val="00105E20"/>
    <w:rsid w:val="00106649"/>
    <w:rsid w:val="00106F5D"/>
    <w:rsid w:val="001072A4"/>
    <w:rsid w:val="001101BC"/>
    <w:rsid w:val="0011032E"/>
    <w:rsid w:val="001113FD"/>
    <w:rsid w:val="00111519"/>
    <w:rsid w:val="00111551"/>
    <w:rsid w:val="001115B3"/>
    <w:rsid w:val="001119D6"/>
    <w:rsid w:val="00111D21"/>
    <w:rsid w:val="00111E6B"/>
    <w:rsid w:val="0011212E"/>
    <w:rsid w:val="00112215"/>
    <w:rsid w:val="00112B1C"/>
    <w:rsid w:val="001130AD"/>
    <w:rsid w:val="0011348B"/>
    <w:rsid w:val="001137BD"/>
    <w:rsid w:val="00114D6B"/>
    <w:rsid w:val="00116498"/>
    <w:rsid w:val="001176E7"/>
    <w:rsid w:val="00120B7C"/>
    <w:rsid w:val="00121724"/>
    <w:rsid w:val="00121799"/>
    <w:rsid w:val="00121EA8"/>
    <w:rsid w:val="001222FC"/>
    <w:rsid w:val="001223B4"/>
    <w:rsid w:val="001230BE"/>
    <w:rsid w:val="001236E0"/>
    <w:rsid w:val="00123F8D"/>
    <w:rsid w:val="00124306"/>
    <w:rsid w:val="0012469F"/>
    <w:rsid w:val="00124A51"/>
    <w:rsid w:val="00124AE7"/>
    <w:rsid w:val="0012650B"/>
    <w:rsid w:val="00126621"/>
    <w:rsid w:val="00126F00"/>
    <w:rsid w:val="00127248"/>
    <w:rsid w:val="00127D6E"/>
    <w:rsid w:val="001301E9"/>
    <w:rsid w:val="00130559"/>
    <w:rsid w:val="00131368"/>
    <w:rsid w:val="00131D56"/>
    <w:rsid w:val="001321E5"/>
    <w:rsid w:val="0013236C"/>
    <w:rsid w:val="0013265D"/>
    <w:rsid w:val="001327EC"/>
    <w:rsid w:val="00132998"/>
    <w:rsid w:val="00134529"/>
    <w:rsid w:val="001346EB"/>
    <w:rsid w:val="001347AD"/>
    <w:rsid w:val="00135543"/>
    <w:rsid w:val="00135888"/>
    <w:rsid w:val="00136E0B"/>
    <w:rsid w:val="00137072"/>
    <w:rsid w:val="001371A5"/>
    <w:rsid w:val="00137645"/>
    <w:rsid w:val="00137F67"/>
    <w:rsid w:val="00140155"/>
    <w:rsid w:val="0014015A"/>
    <w:rsid w:val="001403CE"/>
    <w:rsid w:val="00140807"/>
    <w:rsid w:val="00140D92"/>
    <w:rsid w:val="00140E99"/>
    <w:rsid w:val="00140EAF"/>
    <w:rsid w:val="00142079"/>
    <w:rsid w:val="00142B24"/>
    <w:rsid w:val="00143004"/>
    <w:rsid w:val="00143162"/>
    <w:rsid w:val="001438E8"/>
    <w:rsid w:val="00143C54"/>
    <w:rsid w:val="001440B7"/>
    <w:rsid w:val="0014459E"/>
    <w:rsid w:val="00145238"/>
    <w:rsid w:val="00145540"/>
    <w:rsid w:val="001456B0"/>
    <w:rsid w:val="00145E1B"/>
    <w:rsid w:val="001460B5"/>
    <w:rsid w:val="0014627E"/>
    <w:rsid w:val="00146F7E"/>
    <w:rsid w:val="00150812"/>
    <w:rsid w:val="00150B24"/>
    <w:rsid w:val="0015199E"/>
    <w:rsid w:val="00151D2C"/>
    <w:rsid w:val="00152ACA"/>
    <w:rsid w:val="00152ADB"/>
    <w:rsid w:val="0015333B"/>
    <w:rsid w:val="0015398C"/>
    <w:rsid w:val="001542C3"/>
    <w:rsid w:val="00154375"/>
    <w:rsid w:val="00154795"/>
    <w:rsid w:val="00154959"/>
    <w:rsid w:val="00154F59"/>
    <w:rsid w:val="0015598E"/>
    <w:rsid w:val="00156399"/>
    <w:rsid w:val="00156E2B"/>
    <w:rsid w:val="0015709F"/>
    <w:rsid w:val="001570E4"/>
    <w:rsid w:val="00157130"/>
    <w:rsid w:val="0015719D"/>
    <w:rsid w:val="00157DE0"/>
    <w:rsid w:val="00161F42"/>
    <w:rsid w:val="0016203F"/>
    <w:rsid w:val="00162913"/>
    <w:rsid w:val="00162BBC"/>
    <w:rsid w:val="00162BC3"/>
    <w:rsid w:val="00162F2E"/>
    <w:rsid w:val="001632E9"/>
    <w:rsid w:val="001638A2"/>
    <w:rsid w:val="00163928"/>
    <w:rsid w:val="00163EFF"/>
    <w:rsid w:val="0016542B"/>
    <w:rsid w:val="001654B4"/>
    <w:rsid w:val="001661FB"/>
    <w:rsid w:val="00166A37"/>
    <w:rsid w:val="001670CD"/>
    <w:rsid w:val="00167A35"/>
    <w:rsid w:val="001700F6"/>
    <w:rsid w:val="00170428"/>
    <w:rsid w:val="00171037"/>
    <w:rsid w:val="00171189"/>
    <w:rsid w:val="00171A7C"/>
    <w:rsid w:val="00171DBD"/>
    <w:rsid w:val="00173540"/>
    <w:rsid w:val="00173A41"/>
    <w:rsid w:val="00173C61"/>
    <w:rsid w:val="00174A7C"/>
    <w:rsid w:val="00174D47"/>
    <w:rsid w:val="00174E59"/>
    <w:rsid w:val="001754A1"/>
    <w:rsid w:val="0017569C"/>
    <w:rsid w:val="00175BBE"/>
    <w:rsid w:val="00175F7B"/>
    <w:rsid w:val="001769EE"/>
    <w:rsid w:val="00176EAC"/>
    <w:rsid w:val="0018012A"/>
    <w:rsid w:val="001807CA"/>
    <w:rsid w:val="00181CB8"/>
    <w:rsid w:val="001822B6"/>
    <w:rsid w:val="0018232A"/>
    <w:rsid w:val="00182899"/>
    <w:rsid w:val="00182B0D"/>
    <w:rsid w:val="00182DC2"/>
    <w:rsid w:val="00183180"/>
    <w:rsid w:val="001831AB"/>
    <w:rsid w:val="001836ED"/>
    <w:rsid w:val="00183867"/>
    <w:rsid w:val="00183E26"/>
    <w:rsid w:val="00183E44"/>
    <w:rsid w:val="00183EEC"/>
    <w:rsid w:val="00183FE8"/>
    <w:rsid w:val="0018410B"/>
    <w:rsid w:val="0018489F"/>
    <w:rsid w:val="00184B55"/>
    <w:rsid w:val="00184CC7"/>
    <w:rsid w:val="00185959"/>
    <w:rsid w:val="00185DDF"/>
    <w:rsid w:val="001867CA"/>
    <w:rsid w:val="00187339"/>
    <w:rsid w:val="0018752F"/>
    <w:rsid w:val="001877F3"/>
    <w:rsid w:val="00187838"/>
    <w:rsid w:val="00187CC9"/>
    <w:rsid w:val="00187CFF"/>
    <w:rsid w:val="001900DE"/>
    <w:rsid w:val="00190974"/>
    <w:rsid w:val="00190BA1"/>
    <w:rsid w:val="001916E5"/>
    <w:rsid w:val="001917E4"/>
    <w:rsid w:val="00191CF2"/>
    <w:rsid w:val="00192318"/>
    <w:rsid w:val="00193600"/>
    <w:rsid w:val="001941A0"/>
    <w:rsid w:val="00194621"/>
    <w:rsid w:val="0019472C"/>
    <w:rsid w:val="00195222"/>
    <w:rsid w:val="00195BC0"/>
    <w:rsid w:val="00195DDD"/>
    <w:rsid w:val="001975D8"/>
    <w:rsid w:val="00197848"/>
    <w:rsid w:val="00197C06"/>
    <w:rsid w:val="001A00BC"/>
    <w:rsid w:val="001A057B"/>
    <w:rsid w:val="001A19CE"/>
    <w:rsid w:val="001A1A4D"/>
    <w:rsid w:val="001A4890"/>
    <w:rsid w:val="001A50E8"/>
    <w:rsid w:val="001A54AD"/>
    <w:rsid w:val="001A5AC6"/>
    <w:rsid w:val="001A5F05"/>
    <w:rsid w:val="001A69DB"/>
    <w:rsid w:val="001A769F"/>
    <w:rsid w:val="001A77B1"/>
    <w:rsid w:val="001A7A68"/>
    <w:rsid w:val="001B03BB"/>
    <w:rsid w:val="001B09D4"/>
    <w:rsid w:val="001B139A"/>
    <w:rsid w:val="001B1589"/>
    <w:rsid w:val="001B1DC6"/>
    <w:rsid w:val="001B1F71"/>
    <w:rsid w:val="001B22C4"/>
    <w:rsid w:val="001B2F0A"/>
    <w:rsid w:val="001B3443"/>
    <w:rsid w:val="001B3607"/>
    <w:rsid w:val="001B4298"/>
    <w:rsid w:val="001B4A26"/>
    <w:rsid w:val="001B56AC"/>
    <w:rsid w:val="001B61B8"/>
    <w:rsid w:val="001B62F1"/>
    <w:rsid w:val="001B63FA"/>
    <w:rsid w:val="001B7088"/>
    <w:rsid w:val="001B793E"/>
    <w:rsid w:val="001C017F"/>
    <w:rsid w:val="001C0A13"/>
    <w:rsid w:val="001C1303"/>
    <w:rsid w:val="001C1401"/>
    <w:rsid w:val="001C15C0"/>
    <w:rsid w:val="001C1E39"/>
    <w:rsid w:val="001C1EBA"/>
    <w:rsid w:val="001C20CE"/>
    <w:rsid w:val="001C29E2"/>
    <w:rsid w:val="001C2E38"/>
    <w:rsid w:val="001C330F"/>
    <w:rsid w:val="001C3AE5"/>
    <w:rsid w:val="001C3F28"/>
    <w:rsid w:val="001C4217"/>
    <w:rsid w:val="001C661B"/>
    <w:rsid w:val="001C6E66"/>
    <w:rsid w:val="001C7305"/>
    <w:rsid w:val="001C7378"/>
    <w:rsid w:val="001D0898"/>
    <w:rsid w:val="001D09C8"/>
    <w:rsid w:val="001D0DFE"/>
    <w:rsid w:val="001D108A"/>
    <w:rsid w:val="001D11D0"/>
    <w:rsid w:val="001D16A9"/>
    <w:rsid w:val="001D1B55"/>
    <w:rsid w:val="001D1DD9"/>
    <w:rsid w:val="001D2D4C"/>
    <w:rsid w:val="001D33BE"/>
    <w:rsid w:val="001D3AB7"/>
    <w:rsid w:val="001D3CB9"/>
    <w:rsid w:val="001D5683"/>
    <w:rsid w:val="001D6251"/>
    <w:rsid w:val="001D65ED"/>
    <w:rsid w:val="001D6654"/>
    <w:rsid w:val="001D67C8"/>
    <w:rsid w:val="001D6B2A"/>
    <w:rsid w:val="001D6CB8"/>
    <w:rsid w:val="001D6F7C"/>
    <w:rsid w:val="001D795C"/>
    <w:rsid w:val="001D7C70"/>
    <w:rsid w:val="001E0283"/>
    <w:rsid w:val="001E06F4"/>
    <w:rsid w:val="001E14EF"/>
    <w:rsid w:val="001E1623"/>
    <w:rsid w:val="001E168B"/>
    <w:rsid w:val="001E16E7"/>
    <w:rsid w:val="001E1CBE"/>
    <w:rsid w:val="001E238E"/>
    <w:rsid w:val="001E2B1E"/>
    <w:rsid w:val="001E52EB"/>
    <w:rsid w:val="001E58B0"/>
    <w:rsid w:val="001E6081"/>
    <w:rsid w:val="001E65E8"/>
    <w:rsid w:val="001E6F21"/>
    <w:rsid w:val="001E740C"/>
    <w:rsid w:val="001E7D7D"/>
    <w:rsid w:val="001E7F8D"/>
    <w:rsid w:val="001F0BED"/>
    <w:rsid w:val="001F1235"/>
    <w:rsid w:val="001F128A"/>
    <w:rsid w:val="001F1CB3"/>
    <w:rsid w:val="001F1E2E"/>
    <w:rsid w:val="001F20B2"/>
    <w:rsid w:val="001F2456"/>
    <w:rsid w:val="001F29DB"/>
    <w:rsid w:val="001F2E11"/>
    <w:rsid w:val="001F4658"/>
    <w:rsid w:val="001F5019"/>
    <w:rsid w:val="001F6752"/>
    <w:rsid w:val="001F7361"/>
    <w:rsid w:val="001F797D"/>
    <w:rsid w:val="001F7F9F"/>
    <w:rsid w:val="002002C0"/>
    <w:rsid w:val="00200C81"/>
    <w:rsid w:val="0020196E"/>
    <w:rsid w:val="002019E1"/>
    <w:rsid w:val="00201C23"/>
    <w:rsid w:val="00201F4E"/>
    <w:rsid w:val="002028C9"/>
    <w:rsid w:val="00202CC7"/>
    <w:rsid w:val="0020385F"/>
    <w:rsid w:val="00204228"/>
    <w:rsid w:val="00204650"/>
    <w:rsid w:val="00204E0D"/>
    <w:rsid w:val="00205320"/>
    <w:rsid w:val="00205A08"/>
    <w:rsid w:val="00205EA4"/>
    <w:rsid w:val="00205F86"/>
    <w:rsid w:val="002064A8"/>
    <w:rsid w:val="00206563"/>
    <w:rsid w:val="002069A0"/>
    <w:rsid w:val="00207021"/>
    <w:rsid w:val="002077ED"/>
    <w:rsid w:val="00207959"/>
    <w:rsid w:val="00207A2F"/>
    <w:rsid w:val="00207D00"/>
    <w:rsid w:val="0021053C"/>
    <w:rsid w:val="002105C1"/>
    <w:rsid w:val="00212DC8"/>
    <w:rsid w:val="00213591"/>
    <w:rsid w:val="002146F0"/>
    <w:rsid w:val="002148AB"/>
    <w:rsid w:val="00215431"/>
    <w:rsid w:val="0021590D"/>
    <w:rsid w:val="00216295"/>
    <w:rsid w:val="00216DF8"/>
    <w:rsid w:val="0021729B"/>
    <w:rsid w:val="002179BA"/>
    <w:rsid w:val="00217F9E"/>
    <w:rsid w:val="002208D9"/>
    <w:rsid w:val="00221C6C"/>
    <w:rsid w:val="00221DA1"/>
    <w:rsid w:val="00223047"/>
    <w:rsid w:val="0022392F"/>
    <w:rsid w:val="00223B49"/>
    <w:rsid w:val="00223E90"/>
    <w:rsid w:val="002246B1"/>
    <w:rsid w:val="002247B0"/>
    <w:rsid w:val="00224823"/>
    <w:rsid w:val="00224B27"/>
    <w:rsid w:val="00224DD4"/>
    <w:rsid w:val="00225175"/>
    <w:rsid w:val="00225772"/>
    <w:rsid w:val="00225F10"/>
    <w:rsid w:val="0022618F"/>
    <w:rsid w:val="00227C9B"/>
    <w:rsid w:val="00227DC1"/>
    <w:rsid w:val="00230621"/>
    <w:rsid w:val="002309CC"/>
    <w:rsid w:val="00230EEA"/>
    <w:rsid w:val="00231733"/>
    <w:rsid w:val="00231905"/>
    <w:rsid w:val="00232B1E"/>
    <w:rsid w:val="00232DD7"/>
    <w:rsid w:val="00232DE5"/>
    <w:rsid w:val="0023543F"/>
    <w:rsid w:val="00236FA2"/>
    <w:rsid w:val="0023760F"/>
    <w:rsid w:val="002408B4"/>
    <w:rsid w:val="002423E6"/>
    <w:rsid w:val="0024246C"/>
    <w:rsid w:val="00243BA8"/>
    <w:rsid w:val="00243D99"/>
    <w:rsid w:val="0024463F"/>
    <w:rsid w:val="00244EE8"/>
    <w:rsid w:val="002454AD"/>
    <w:rsid w:val="002456EB"/>
    <w:rsid w:val="00247084"/>
    <w:rsid w:val="002500A4"/>
    <w:rsid w:val="002502DB"/>
    <w:rsid w:val="0025068D"/>
    <w:rsid w:val="00250EFF"/>
    <w:rsid w:val="00251EDC"/>
    <w:rsid w:val="00252091"/>
    <w:rsid w:val="00253121"/>
    <w:rsid w:val="00253993"/>
    <w:rsid w:val="00254368"/>
    <w:rsid w:val="00254CAE"/>
    <w:rsid w:val="00254DCF"/>
    <w:rsid w:val="00255259"/>
    <w:rsid w:val="0025534B"/>
    <w:rsid w:val="002555C3"/>
    <w:rsid w:val="00255BAD"/>
    <w:rsid w:val="00255BB7"/>
    <w:rsid w:val="00256053"/>
    <w:rsid w:val="002561A2"/>
    <w:rsid w:val="002566FA"/>
    <w:rsid w:val="00257085"/>
    <w:rsid w:val="00257C1D"/>
    <w:rsid w:val="002604D7"/>
    <w:rsid w:val="00260D67"/>
    <w:rsid w:val="00260E95"/>
    <w:rsid w:val="0026126A"/>
    <w:rsid w:val="002618E3"/>
    <w:rsid w:val="002618E6"/>
    <w:rsid w:val="00261BD2"/>
    <w:rsid w:val="00262A87"/>
    <w:rsid w:val="00262DE4"/>
    <w:rsid w:val="00263483"/>
    <w:rsid w:val="00263E1B"/>
    <w:rsid w:val="002640C4"/>
    <w:rsid w:val="002641A1"/>
    <w:rsid w:val="002649E7"/>
    <w:rsid w:val="00264AA0"/>
    <w:rsid w:val="00264D25"/>
    <w:rsid w:val="00265402"/>
    <w:rsid w:val="00266327"/>
    <w:rsid w:val="00266E42"/>
    <w:rsid w:val="00267042"/>
    <w:rsid w:val="00267425"/>
    <w:rsid w:val="00270391"/>
    <w:rsid w:val="0027090E"/>
    <w:rsid w:val="00270C36"/>
    <w:rsid w:val="0027102C"/>
    <w:rsid w:val="002713C1"/>
    <w:rsid w:val="002715FD"/>
    <w:rsid w:val="002716EE"/>
    <w:rsid w:val="002719FB"/>
    <w:rsid w:val="00271B79"/>
    <w:rsid w:val="0027227E"/>
    <w:rsid w:val="0027270C"/>
    <w:rsid w:val="00272AD9"/>
    <w:rsid w:val="00272DD0"/>
    <w:rsid w:val="00272F5F"/>
    <w:rsid w:val="002734B8"/>
    <w:rsid w:val="0027403D"/>
    <w:rsid w:val="00274C48"/>
    <w:rsid w:val="00274C6C"/>
    <w:rsid w:val="0027566A"/>
    <w:rsid w:val="00275C5A"/>
    <w:rsid w:val="00276815"/>
    <w:rsid w:val="00276905"/>
    <w:rsid w:val="00277171"/>
    <w:rsid w:val="002772C1"/>
    <w:rsid w:val="002773B7"/>
    <w:rsid w:val="00277A50"/>
    <w:rsid w:val="00277BCF"/>
    <w:rsid w:val="00277F94"/>
    <w:rsid w:val="0028011B"/>
    <w:rsid w:val="00280877"/>
    <w:rsid w:val="00280BFD"/>
    <w:rsid w:val="00281014"/>
    <w:rsid w:val="00281473"/>
    <w:rsid w:val="00281B67"/>
    <w:rsid w:val="00281DF8"/>
    <w:rsid w:val="00283095"/>
    <w:rsid w:val="002834CD"/>
    <w:rsid w:val="00283620"/>
    <w:rsid w:val="002837C9"/>
    <w:rsid w:val="00283BDB"/>
    <w:rsid w:val="0028458E"/>
    <w:rsid w:val="002845ED"/>
    <w:rsid w:val="00284AA5"/>
    <w:rsid w:val="00285E11"/>
    <w:rsid w:val="0028616F"/>
    <w:rsid w:val="002864A0"/>
    <w:rsid w:val="00287C29"/>
    <w:rsid w:val="00287DD2"/>
    <w:rsid w:val="002907B3"/>
    <w:rsid w:val="002911DB"/>
    <w:rsid w:val="00292884"/>
    <w:rsid w:val="002931B2"/>
    <w:rsid w:val="002931C6"/>
    <w:rsid w:val="00293367"/>
    <w:rsid w:val="00293D0E"/>
    <w:rsid w:val="0029647C"/>
    <w:rsid w:val="00296B53"/>
    <w:rsid w:val="00296D81"/>
    <w:rsid w:val="0029787A"/>
    <w:rsid w:val="002979B1"/>
    <w:rsid w:val="00297A80"/>
    <w:rsid w:val="002A0C29"/>
    <w:rsid w:val="002A0C9A"/>
    <w:rsid w:val="002A14AB"/>
    <w:rsid w:val="002A1FC7"/>
    <w:rsid w:val="002A2946"/>
    <w:rsid w:val="002A3658"/>
    <w:rsid w:val="002A452D"/>
    <w:rsid w:val="002A4CF9"/>
    <w:rsid w:val="002A5880"/>
    <w:rsid w:val="002A5A50"/>
    <w:rsid w:val="002A5FAD"/>
    <w:rsid w:val="002A638A"/>
    <w:rsid w:val="002A6559"/>
    <w:rsid w:val="002A6576"/>
    <w:rsid w:val="002A7C78"/>
    <w:rsid w:val="002B0356"/>
    <w:rsid w:val="002B0CF2"/>
    <w:rsid w:val="002B1097"/>
    <w:rsid w:val="002B176D"/>
    <w:rsid w:val="002B1C1F"/>
    <w:rsid w:val="002B289E"/>
    <w:rsid w:val="002B377F"/>
    <w:rsid w:val="002B432F"/>
    <w:rsid w:val="002B45CC"/>
    <w:rsid w:val="002B4D6B"/>
    <w:rsid w:val="002B544E"/>
    <w:rsid w:val="002B58CA"/>
    <w:rsid w:val="002B5BA2"/>
    <w:rsid w:val="002B6CCE"/>
    <w:rsid w:val="002B7614"/>
    <w:rsid w:val="002B783B"/>
    <w:rsid w:val="002C027B"/>
    <w:rsid w:val="002C0440"/>
    <w:rsid w:val="002C1572"/>
    <w:rsid w:val="002C1840"/>
    <w:rsid w:val="002C1C90"/>
    <w:rsid w:val="002C21CD"/>
    <w:rsid w:val="002C2644"/>
    <w:rsid w:val="002C2775"/>
    <w:rsid w:val="002C27C1"/>
    <w:rsid w:val="002C27C9"/>
    <w:rsid w:val="002C27E2"/>
    <w:rsid w:val="002C2D4C"/>
    <w:rsid w:val="002C3575"/>
    <w:rsid w:val="002C3DEB"/>
    <w:rsid w:val="002C3EEA"/>
    <w:rsid w:val="002C3FFE"/>
    <w:rsid w:val="002C5A4B"/>
    <w:rsid w:val="002C64A1"/>
    <w:rsid w:val="002C7B79"/>
    <w:rsid w:val="002D0167"/>
    <w:rsid w:val="002D0469"/>
    <w:rsid w:val="002D0E6F"/>
    <w:rsid w:val="002D1028"/>
    <w:rsid w:val="002D14AA"/>
    <w:rsid w:val="002D3492"/>
    <w:rsid w:val="002D36B4"/>
    <w:rsid w:val="002D4653"/>
    <w:rsid w:val="002D4916"/>
    <w:rsid w:val="002D4A17"/>
    <w:rsid w:val="002D4A2D"/>
    <w:rsid w:val="002D57BF"/>
    <w:rsid w:val="002D591C"/>
    <w:rsid w:val="002D5CA4"/>
    <w:rsid w:val="002D6583"/>
    <w:rsid w:val="002D79BE"/>
    <w:rsid w:val="002E07CE"/>
    <w:rsid w:val="002E081C"/>
    <w:rsid w:val="002E08ED"/>
    <w:rsid w:val="002E1193"/>
    <w:rsid w:val="002E171C"/>
    <w:rsid w:val="002E1745"/>
    <w:rsid w:val="002E1C48"/>
    <w:rsid w:val="002E1D5F"/>
    <w:rsid w:val="002E3BA2"/>
    <w:rsid w:val="002E41C3"/>
    <w:rsid w:val="002E44A6"/>
    <w:rsid w:val="002E4B2D"/>
    <w:rsid w:val="002E6247"/>
    <w:rsid w:val="002E7340"/>
    <w:rsid w:val="002F034A"/>
    <w:rsid w:val="002F0376"/>
    <w:rsid w:val="002F08CD"/>
    <w:rsid w:val="002F16FF"/>
    <w:rsid w:val="002F1A0A"/>
    <w:rsid w:val="002F2789"/>
    <w:rsid w:val="002F3A74"/>
    <w:rsid w:val="002F44D6"/>
    <w:rsid w:val="002F471B"/>
    <w:rsid w:val="002F4CFB"/>
    <w:rsid w:val="002F4DF5"/>
    <w:rsid w:val="002F4F37"/>
    <w:rsid w:val="002F5472"/>
    <w:rsid w:val="002F57CF"/>
    <w:rsid w:val="002F5DA0"/>
    <w:rsid w:val="002F5FAF"/>
    <w:rsid w:val="002F6D25"/>
    <w:rsid w:val="002F72BA"/>
    <w:rsid w:val="002F74E5"/>
    <w:rsid w:val="002F784D"/>
    <w:rsid w:val="0030020B"/>
    <w:rsid w:val="00300DAA"/>
    <w:rsid w:val="00301017"/>
    <w:rsid w:val="003010C7"/>
    <w:rsid w:val="00301C6D"/>
    <w:rsid w:val="00301F11"/>
    <w:rsid w:val="00302393"/>
    <w:rsid w:val="00302C01"/>
    <w:rsid w:val="00302F2D"/>
    <w:rsid w:val="00303185"/>
    <w:rsid w:val="003032ED"/>
    <w:rsid w:val="00303390"/>
    <w:rsid w:val="003039AF"/>
    <w:rsid w:val="00303F64"/>
    <w:rsid w:val="0030472C"/>
    <w:rsid w:val="003050F5"/>
    <w:rsid w:val="00305F92"/>
    <w:rsid w:val="00305FBA"/>
    <w:rsid w:val="00306079"/>
    <w:rsid w:val="00306203"/>
    <w:rsid w:val="00306703"/>
    <w:rsid w:val="00307023"/>
    <w:rsid w:val="003073B0"/>
    <w:rsid w:val="0030786C"/>
    <w:rsid w:val="00310120"/>
    <w:rsid w:val="0031031A"/>
    <w:rsid w:val="00310981"/>
    <w:rsid w:val="00311345"/>
    <w:rsid w:val="003115C3"/>
    <w:rsid w:val="00311CCD"/>
    <w:rsid w:val="0031200E"/>
    <w:rsid w:val="003127AB"/>
    <w:rsid w:val="00312AF7"/>
    <w:rsid w:val="003139EA"/>
    <w:rsid w:val="003149B5"/>
    <w:rsid w:val="00315498"/>
    <w:rsid w:val="00315F27"/>
    <w:rsid w:val="003169C0"/>
    <w:rsid w:val="003171BE"/>
    <w:rsid w:val="0031789C"/>
    <w:rsid w:val="00317CAD"/>
    <w:rsid w:val="0032049E"/>
    <w:rsid w:val="003207BF"/>
    <w:rsid w:val="00320A6A"/>
    <w:rsid w:val="0032111C"/>
    <w:rsid w:val="0032123D"/>
    <w:rsid w:val="003215C8"/>
    <w:rsid w:val="00321AF8"/>
    <w:rsid w:val="00321B4D"/>
    <w:rsid w:val="00321E53"/>
    <w:rsid w:val="00321FC8"/>
    <w:rsid w:val="00322496"/>
    <w:rsid w:val="0032335D"/>
    <w:rsid w:val="00323580"/>
    <w:rsid w:val="0032438F"/>
    <w:rsid w:val="00324FCA"/>
    <w:rsid w:val="00325426"/>
    <w:rsid w:val="00325548"/>
    <w:rsid w:val="00325B9F"/>
    <w:rsid w:val="00325BD1"/>
    <w:rsid w:val="00325F74"/>
    <w:rsid w:val="0032620D"/>
    <w:rsid w:val="00326915"/>
    <w:rsid w:val="00326E2A"/>
    <w:rsid w:val="00327742"/>
    <w:rsid w:val="003310AA"/>
    <w:rsid w:val="0033140E"/>
    <w:rsid w:val="0033145D"/>
    <w:rsid w:val="0033157D"/>
    <w:rsid w:val="003318CF"/>
    <w:rsid w:val="00332215"/>
    <w:rsid w:val="0033229D"/>
    <w:rsid w:val="0033249A"/>
    <w:rsid w:val="003332AC"/>
    <w:rsid w:val="0033415A"/>
    <w:rsid w:val="00334708"/>
    <w:rsid w:val="00334C4E"/>
    <w:rsid w:val="00334D72"/>
    <w:rsid w:val="003366C3"/>
    <w:rsid w:val="003366C9"/>
    <w:rsid w:val="00336A89"/>
    <w:rsid w:val="003371B0"/>
    <w:rsid w:val="00337A9F"/>
    <w:rsid w:val="00337F70"/>
    <w:rsid w:val="00340405"/>
    <w:rsid w:val="0034041D"/>
    <w:rsid w:val="00340D2F"/>
    <w:rsid w:val="00340D69"/>
    <w:rsid w:val="00341C34"/>
    <w:rsid w:val="0034202E"/>
    <w:rsid w:val="00342499"/>
    <w:rsid w:val="00342B5A"/>
    <w:rsid w:val="00342F20"/>
    <w:rsid w:val="003430B4"/>
    <w:rsid w:val="00343758"/>
    <w:rsid w:val="0034501B"/>
    <w:rsid w:val="0034600C"/>
    <w:rsid w:val="00346226"/>
    <w:rsid w:val="003467F2"/>
    <w:rsid w:val="003472C7"/>
    <w:rsid w:val="003475C6"/>
    <w:rsid w:val="003478CC"/>
    <w:rsid w:val="00347D8F"/>
    <w:rsid w:val="0035034A"/>
    <w:rsid w:val="003506B4"/>
    <w:rsid w:val="00351D28"/>
    <w:rsid w:val="003524E3"/>
    <w:rsid w:val="00352503"/>
    <w:rsid w:val="0035314E"/>
    <w:rsid w:val="0035346B"/>
    <w:rsid w:val="003548B2"/>
    <w:rsid w:val="00354FB8"/>
    <w:rsid w:val="0035620E"/>
    <w:rsid w:val="003569A1"/>
    <w:rsid w:val="00356E16"/>
    <w:rsid w:val="00357093"/>
    <w:rsid w:val="003605D1"/>
    <w:rsid w:val="00360A19"/>
    <w:rsid w:val="00360ABE"/>
    <w:rsid w:val="003611B8"/>
    <w:rsid w:val="003615C4"/>
    <w:rsid w:val="00361E45"/>
    <w:rsid w:val="00361F01"/>
    <w:rsid w:val="00361F08"/>
    <w:rsid w:val="00361F35"/>
    <w:rsid w:val="00363100"/>
    <w:rsid w:val="003635DB"/>
    <w:rsid w:val="003640B2"/>
    <w:rsid w:val="003640DE"/>
    <w:rsid w:val="003643C1"/>
    <w:rsid w:val="00364978"/>
    <w:rsid w:val="0036502C"/>
    <w:rsid w:val="0036535B"/>
    <w:rsid w:val="003659B9"/>
    <w:rsid w:val="00365A12"/>
    <w:rsid w:val="003660AC"/>
    <w:rsid w:val="003701E7"/>
    <w:rsid w:val="003715C4"/>
    <w:rsid w:val="00371629"/>
    <w:rsid w:val="003726AA"/>
    <w:rsid w:val="00372F06"/>
    <w:rsid w:val="0037307B"/>
    <w:rsid w:val="00373F51"/>
    <w:rsid w:val="00374701"/>
    <w:rsid w:val="00374E51"/>
    <w:rsid w:val="00375779"/>
    <w:rsid w:val="003759A9"/>
    <w:rsid w:val="00376264"/>
    <w:rsid w:val="003763DF"/>
    <w:rsid w:val="003768FD"/>
    <w:rsid w:val="00380143"/>
    <w:rsid w:val="00380672"/>
    <w:rsid w:val="003818D3"/>
    <w:rsid w:val="00381C1C"/>
    <w:rsid w:val="00381C42"/>
    <w:rsid w:val="00381E27"/>
    <w:rsid w:val="00382181"/>
    <w:rsid w:val="0038365C"/>
    <w:rsid w:val="0038383D"/>
    <w:rsid w:val="00384A62"/>
    <w:rsid w:val="00384C41"/>
    <w:rsid w:val="00384D5B"/>
    <w:rsid w:val="00385487"/>
    <w:rsid w:val="00386188"/>
    <w:rsid w:val="00386717"/>
    <w:rsid w:val="00386870"/>
    <w:rsid w:val="00386B70"/>
    <w:rsid w:val="00387051"/>
    <w:rsid w:val="00387805"/>
    <w:rsid w:val="00387A14"/>
    <w:rsid w:val="0039007E"/>
    <w:rsid w:val="003910CC"/>
    <w:rsid w:val="00392272"/>
    <w:rsid w:val="00392291"/>
    <w:rsid w:val="0039252C"/>
    <w:rsid w:val="0039298F"/>
    <w:rsid w:val="00392C3D"/>
    <w:rsid w:val="00392E68"/>
    <w:rsid w:val="0039315D"/>
    <w:rsid w:val="003955F8"/>
    <w:rsid w:val="0039560A"/>
    <w:rsid w:val="00395939"/>
    <w:rsid w:val="00395FF9"/>
    <w:rsid w:val="003960BF"/>
    <w:rsid w:val="0039668C"/>
    <w:rsid w:val="00396FD0"/>
    <w:rsid w:val="00397D70"/>
    <w:rsid w:val="003A01D4"/>
    <w:rsid w:val="003A026B"/>
    <w:rsid w:val="003A07CC"/>
    <w:rsid w:val="003A15AF"/>
    <w:rsid w:val="003A1A7A"/>
    <w:rsid w:val="003A2B43"/>
    <w:rsid w:val="003A342D"/>
    <w:rsid w:val="003A4450"/>
    <w:rsid w:val="003A5D45"/>
    <w:rsid w:val="003A6301"/>
    <w:rsid w:val="003A632B"/>
    <w:rsid w:val="003A635F"/>
    <w:rsid w:val="003A7F53"/>
    <w:rsid w:val="003B1A4A"/>
    <w:rsid w:val="003B1D88"/>
    <w:rsid w:val="003B2B66"/>
    <w:rsid w:val="003B3173"/>
    <w:rsid w:val="003B3DB4"/>
    <w:rsid w:val="003B3E38"/>
    <w:rsid w:val="003B43BE"/>
    <w:rsid w:val="003B441A"/>
    <w:rsid w:val="003B5667"/>
    <w:rsid w:val="003B6324"/>
    <w:rsid w:val="003B6BB2"/>
    <w:rsid w:val="003B7D71"/>
    <w:rsid w:val="003C02AA"/>
    <w:rsid w:val="003C02FF"/>
    <w:rsid w:val="003C110A"/>
    <w:rsid w:val="003C1829"/>
    <w:rsid w:val="003C2FFF"/>
    <w:rsid w:val="003C3314"/>
    <w:rsid w:val="003C3918"/>
    <w:rsid w:val="003C3E89"/>
    <w:rsid w:val="003C40A3"/>
    <w:rsid w:val="003C44A9"/>
    <w:rsid w:val="003C44B0"/>
    <w:rsid w:val="003C496C"/>
    <w:rsid w:val="003C4D08"/>
    <w:rsid w:val="003C4FA2"/>
    <w:rsid w:val="003C5943"/>
    <w:rsid w:val="003C5A99"/>
    <w:rsid w:val="003C7831"/>
    <w:rsid w:val="003C7959"/>
    <w:rsid w:val="003C7987"/>
    <w:rsid w:val="003C7D89"/>
    <w:rsid w:val="003D0755"/>
    <w:rsid w:val="003D0794"/>
    <w:rsid w:val="003D0AB0"/>
    <w:rsid w:val="003D0D32"/>
    <w:rsid w:val="003D1063"/>
    <w:rsid w:val="003D1828"/>
    <w:rsid w:val="003D22F1"/>
    <w:rsid w:val="003D2422"/>
    <w:rsid w:val="003D2626"/>
    <w:rsid w:val="003D29E1"/>
    <w:rsid w:val="003D2F2D"/>
    <w:rsid w:val="003D3046"/>
    <w:rsid w:val="003D3C48"/>
    <w:rsid w:val="003D42E2"/>
    <w:rsid w:val="003D48B5"/>
    <w:rsid w:val="003D497D"/>
    <w:rsid w:val="003D5367"/>
    <w:rsid w:val="003D56B6"/>
    <w:rsid w:val="003D5B56"/>
    <w:rsid w:val="003D670F"/>
    <w:rsid w:val="003D673D"/>
    <w:rsid w:val="003D785E"/>
    <w:rsid w:val="003D7AFE"/>
    <w:rsid w:val="003E0AD0"/>
    <w:rsid w:val="003E12DE"/>
    <w:rsid w:val="003E1540"/>
    <w:rsid w:val="003E1CD2"/>
    <w:rsid w:val="003E21DB"/>
    <w:rsid w:val="003E3EE3"/>
    <w:rsid w:val="003E4041"/>
    <w:rsid w:val="003E40FF"/>
    <w:rsid w:val="003E4B82"/>
    <w:rsid w:val="003E52AD"/>
    <w:rsid w:val="003E56C7"/>
    <w:rsid w:val="003E7183"/>
    <w:rsid w:val="003E7B95"/>
    <w:rsid w:val="003E7E0D"/>
    <w:rsid w:val="003E7EB5"/>
    <w:rsid w:val="003F0607"/>
    <w:rsid w:val="003F0AA2"/>
    <w:rsid w:val="003F1DCC"/>
    <w:rsid w:val="003F1F62"/>
    <w:rsid w:val="003F2825"/>
    <w:rsid w:val="003F2CCC"/>
    <w:rsid w:val="003F3A1B"/>
    <w:rsid w:val="003F3CFE"/>
    <w:rsid w:val="003F3DD9"/>
    <w:rsid w:val="003F4014"/>
    <w:rsid w:val="003F4156"/>
    <w:rsid w:val="003F4605"/>
    <w:rsid w:val="003F49CE"/>
    <w:rsid w:val="003F4C7B"/>
    <w:rsid w:val="003F5AB7"/>
    <w:rsid w:val="003F5DD0"/>
    <w:rsid w:val="003F6AB1"/>
    <w:rsid w:val="003F7538"/>
    <w:rsid w:val="003F7BA9"/>
    <w:rsid w:val="00400460"/>
    <w:rsid w:val="00400ACB"/>
    <w:rsid w:val="004011F9"/>
    <w:rsid w:val="00401B36"/>
    <w:rsid w:val="00401D7F"/>
    <w:rsid w:val="00401F19"/>
    <w:rsid w:val="00402AFE"/>
    <w:rsid w:val="00402DAB"/>
    <w:rsid w:val="00402F2B"/>
    <w:rsid w:val="004035D5"/>
    <w:rsid w:val="0040383B"/>
    <w:rsid w:val="00403BEA"/>
    <w:rsid w:val="00403DC7"/>
    <w:rsid w:val="00404557"/>
    <w:rsid w:val="0040576E"/>
    <w:rsid w:val="0040578B"/>
    <w:rsid w:val="00405B9F"/>
    <w:rsid w:val="00406783"/>
    <w:rsid w:val="0040703B"/>
    <w:rsid w:val="00407896"/>
    <w:rsid w:val="00407A6D"/>
    <w:rsid w:val="0041017F"/>
    <w:rsid w:val="00410708"/>
    <w:rsid w:val="004107A3"/>
    <w:rsid w:val="00410BA0"/>
    <w:rsid w:val="00410C0D"/>
    <w:rsid w:val="00410E34"/>
    <w:rsid w:val="00410EC7"/>
    <w:rsid w:val="00411508"/>
    <w:rsid w:val="00411522"/>
    <w:rsid w:val="00411910"/>
    <w:rsid w:val="00411B7F"/>
    <w:rsid w:val="00411D5E"/>
    <w:rsid w:val="00411E2A"/>
    <w:rsid w:val="0041223F"/>
    <w:rsid w:val="00412DAB"/>
    <w:rsid w:val="0041320C"/>
    <w:rsid w:val="0041356A"/>
    <w:rsid w:val="00413A7A"/>
    <w:rsid w:val="00413DFD"/>
    <w:rsid w:val="00414391"/>
    <w:rsid w:val="00414476"/>
    <w:rsid w:val="0041466D"/>
    <w:rsid w:val="00414AF9"/>
    <w:rsid w:val="00415862"/>
    <w:rsid w:val="004162A8"/>
    <w:rsid w:val="004179D5"/>
    <w:rsid w:val="00417D0C"/>
    <w:rsid w:val="00420459"/>
    <w:rsid w:val="00420B9F"/>
    <w:rsid w:val="00420D4A"/>
    <w:rsid w:val="0042121C"/>
    <w:rsid w:val="00421630"/>
    <w:rsid w:val="00421B31"/>
    <w:rsid w:val="0042218E"/>
    <w:rsid w:val="004221B5"/>
    <w:rsid w:val="0042241E"/>
    <w:rsid w:val="00422BEF"/>
    <w:rsid w:val="004235F7"/>
    <w:rsid w:val="004237F2"/>
    <w:rsid w:val="004241F6"/>
    <w:rsid w:val="00424319"/>
    <w:rsid w:val="00426367"/>
    <w:rsid w:val="004264DD"/>
    <w:rsid w:val="00426BCE"/>
    <w:rsid w:val="00427BE3"/>
    <w:rsid w:val="00430AE5"/>
    <w:rsid w:val="00431736"/>
    <w:rsid w:val="0043184D"/>
    <w:rsid w:val="004319F8"/>
    <w:rsid w:val="00431E5B"/>
    <w:rsid w:val="00431EC2"/>
    <w:rsid w:val="00433044"/>
    <w:rsid w:val="00433138"/>
    <w:rsid w:val="0043366E"/>
    <w:rsid w:val="00433BB0"/>
    <w:rsid w:val="00433F27"/>
    <w:rsid w:val="00434727"/>
    <w:rsid w:val="00434D4E"/>
    <w:rsid w:val="004358C3"/>
    <w:rsid w:val="004359D1"/>
    <w:rsid w:val="00435D46"/>
    <w:rsid w:val="004361F8"/>
    <w:rsid w:val="0043688E"/>
    <w:rsid w:val="00436A4B"/>
    <w:rsid w:val="00437407"/>
    <w:rsid w:val="00437C39"/>
    <w:rsid w:val="00440720"/>
    <w:rsid w:val="00441F15"/>
    <w:rsid w:val="00442A7E"/>
    <w:rsid w:val="00443662"/>
    <w:rsid w:val="0044405F"/>
    <w:rsid w:val="004443A7"/>
    <w:rsid w:val="00444BE1"/>
    <w:rsid w:val="004453D1"/>
    <w:rsid w:val="004455C2"/>
    <w:rsid w:val="00446049"/>
    <w:rsid w:val="00446280"/>
    <w:rsid w:val="004464EB"/>
    <w:rsid w:val="004468AE"/>
    <w:rsid w:val="00447088"/>
    <w:rsid w:val="004474DC"/>
    <w:rsid w:val="00447514"/>
    <w:rsid w:val="0044766E"/>
    <w:rsid w:val="004479D4"/>
    <w:rsid w:val="00450A0A"/>
    <w:rsid w:val="00450AC7"/>
    <w:rsid w:val="0045115A"/>
    <w:rsid w:val="004516AF"/>
    <w:rsid w:val="00451950"/>
    <w:rsid w:val="00452009"/>
    <w:rsid w:val="00452C90"/>
    <w:rsid w:val="00454264"/>
    <w:rsid w:val="00454506"/>
    <w:rsid w:val="00454CB8"/>
    <w:rsid w:val="00454F43"/>
    <w:rsid w:val="00455023"/>
    <w:rsid w:val="00455D45"/>
    <w:rsid w:val="00455E3E"/>
    <w:rsid w:val="0045630C"/>
    <w:rsid w:val="004563E8"/>
    <w:rsid w:val="00456420"/>
    <w:rsid w:val="00456CB2"/>
    <w:rsid w:val="00457901"/>
    <w:rsid w:val="00457A7C"/>
    <w:rsid w:val="00460CA1"/>
    <w:rsid w:val="00460EF9"/>
    <w:rsid w:val="00461526"/>
    <w:rsid w:val="004618CF"/>
    <w:rsid w:val="00461AFF"/>
    <w:rsid w:val="00461C01"/>
    <w:rsid w:val="00461C2B"/>
    <w:rsid w:val="0046393C"/>
    <w:rsid w:val="0046455C"/>
    <w:rsid w:val="00464595"/>
    <w:rsid w:val="004647BC"/>
    <w:rsid w:val="00464FCC"/>
    <w:rsid w:val="004653C3"/>
    <w:rsid w:val="00465E6D"/>
    <w:rsid w:val="0046674B"/>
    <w:rsid w:val="004676CA"/>
    <w:rsid w:val="004678D8"/>
    <w:rsid w:val="004707AE"/>
    <w:rsid w:val="00470B37"/>
    <w:rsid w:val="00470BCD"/>
    <w:rsid w:val="00471A71"/>
    <w:rsid w:val="00471C09"/>
    <w:rsid w:val="00472167"/>
    <w:rsid w:val="00472207"/>
    <w:rsid w:val="0047387D"/>
    <w:rsid w:val="00473CF8"/>
    <w:rsid w:val="00474704"/>
    <w:rsid w:val="0047494A"/>
    <w:rsid w:val="00475D8E"/>
    <w:rsid w:val="0047618E"/>
    <w:rsid w:val="00476794"/>
    <w:rsid w:val="00476D72"/>
    <w:rsid w:val="00477F8B"/>
    <w:rsid w:val="00480135"/>
    <w:rsid w:val="00481174"/>
    <w:rsid w:val="004817B1"/>
    <w:rsid w:val="004827F3"/>
    <w:rsid w:val="00482C0B"/>
    <w:rsid w:val="0048344E"/>
    <w:rsid w:val="00483BEF"/>
    <w:rsid w:val="004841D3"/>
    <w:rsid w:val="004846BF"/>
    <w:rsid w:val="00484808"/>
    <w:rsid w:val="004855E4"/>
    <w:rsid w:val="0048565D"/>
    <w:rsid w:val="00485731"/>
    <w:rsid w:val="00485FB8"/>
    <w:rsid w:val="004867E2"/>
    <w:rsid w:val="00487352"/>
    <w:rsid w:val="0048751E"/>
    <w:rsid w:val="004906A3"/>
    <w:rsid w:val="00490AED"/>
    <w:rsid w:val="00491B3A"/>
    <w:rsid w:val="004921BC"/>
    <w:rsid w:val="00492452"/>
    <w:rsid w:val="004924F9"/>
    <w:rsid w:val="00492CFD"/>
    <w:rsid w:val="00493133"/>
    <w:rsid w:val="00493425"/>
    <w:rsid w:val="004940E3"/>
    <w:rsid w:val="00494211"/>
    <w:rsid w:val="004942D8"/>
    <w:rsid w:val="004945DA"/>
    <w:rsid w:val="00495097"/>
    <w:rsid w:val="004953F5"/>
    <w:rsid w:val="00495464"/>
    <w:rsid w:val="004962D2"/>
    <w:rsid w:val="00496633"/>
    <w:rsid w:val="004979E0"/>
    <w:rsid w:val="004A0C77"/>
    <w:rsid w:val="004A0DA1"/>
    <w:rsid w:val="004A0FAF"/>
    <w:rsid w:val="004A1244"/>
    <w:rsid w:val="004A1300"/>
    <w:rsid w:val="004A2452"/>
    <w:rsid w:val="004A47D8"/>
    <w:rsid w:val="004A49E2"/>
    <w:rsid w:val="004A519B"/>
    <w:rsid w:val="004A51BE"/>
    <w:rsid w:val="004A6597"/>
    <w:rsid w:val="004A6B37"/>
    <w:rsid w:val="004A6CBB"/>
    <w:rsid w:val="004A7593"/>
    <w:rsid w:val="004A7620"/>
    <w:rsid w:val="004A7745"/>
    <w:rsid w:val="004B0D29"/>
    <w:rsid w:val="004B110D"/>
    <w:rsid w:val="004B14A8"/>
    <w:rsid w:val="004B1B20"/>
    <w:rsid w:val="004B1CB4"/>
    <w:rsid w:val="004B2B42"/>
    <w:rsid w:val="004B2CE1"/>
    <w:rsid w:val="004B2F18"/>
    <w:rsid w:val="004B3DDB"/>
    <w:rsid w:val="004B3FA1"/>
    <w:rsid w:val="004B4047"/>
    <w:rsid w:val="004B442C"/>
    <w:rsid w:val="004B44AA"/>
    <w:rsid w:val="004B44FD"/>
    <w:rsid w:val="004B474C"/>
    <w:rsid w:val="004B4A72"/>
    <w:rsid w:val="004B4C16"/>
    <w:rsid w:val="004B50FB"/>
    <w:rsid w:val="004B5CFC"/>
    <w:rsid w:val="004B5E64"/>
    <w:rsid w:val="004B64F1"/>
    <w:rsid w:val="004B68B2"/>
    <w:rsid w:val="004B692B"/>
    <w:rsid w:val="004B6A7E"/>
    <w:rsid w:val="004B6F80"/>
    <w:rsid w:val="004B716C"/>
    <w:rsid w:val="004B7440"/>
    <w:rsid w:val="004B7561"/>
    <w:rsid w:val="004C01B3"/>
    <w:rsid w:val="004C0315"/>
    <w:rsid w:val="004C0D92"/>
    <w:rsid w:val="004C10C3"/>
    <w:rsid w:val="004C26CE"/>
    <w:rsid w:val="004C323F"/>
    <w:rsid w:val="004C3ADB"/>
    <w:rsid w:val="004C3C94"/>
    <w:rsid w:val="004C4AED"/>
    <w:rsid w:val="004C5804"/>
    <w:rsid w:val="004C5C36"/>
    <w:rsid w:val="004C5CEE"/>
    <w:rsid w:val="004C61C7"/>
    <w:rsid w:val="004C634E"/>
    <w:rsid w:val="004C6520"/>
    <w:rsid w:val="004C6857"/>
    <w:rsid w:val="004C6D69"/>
    <w:rsid w:val="004C6E68"/>
    <w:rsid w:val="004C7489"/>
    <w:rsid w:val="004C7B66"/>
    <w:rsid w:val="004D07F3"/>
    <w:rsid w:val="004D14E8"/>
    <w:rsid w:val="004D15F5"/>
    <w:rsid w:val="004D16B9"/>
    <w:rsid w:val="004D220D"/>
    <w:rsid w:val="004D2653"/>
    <w:rsid w:val="004D2D86"/>
    <w:rsid w:val="004D4491"/>
    <w:rsid w:val="004D4959"/>
    <w:rsid w:val="004D4D13"/>
    <w:rsid w:val="004D51AA"/>
    <w:rsid w:val="004D5254"/>
    <w:rsid w:val="004D552B"/>
    <w:rsid w:val="004D55A0"/>
    <w:rsid w:val="004D55C4"/>
    <w:rsid w:val="004D57A6"/>
    <w:rsid w:val="004D5D1F"/>
    <w:rsid w:val="004D6BE1"/>
    <w:rsid w:val="004D7A74"/>
    <w:rsid w:val="004E0144"/>
    <w:rsid w:val="004E0DA9"/>
    <w:rsid w:val="004E0EB8"/>
    <w:rsid w:val="004E0F2E"/>
    <w:rsid w:val="004E11B3"/>
    <w:rsid w:val="004E154E"/>
    <w:rsid w:val="004E1926"/>
    <w:rsid w:val="004E1BD2"/>
    <w:rsid w:val="004E23CA"/>
    <w:rsid w:val="004E2ADC"/>
    <w:rsid w:val="004E2C0B"/>
    <w:rsid w:val="004E43B2"/>
    <w:rsid w:val="004E44E4"/>
    <w:rsid w:val="004E49FE"/>
    <w:rsid w:val="004E4C3C"/>
    <w:rsid w:val="004E4C71"/>
    <w:rsid w:val="004E4C95"/>
    <w:rsid w:val="004E5FA8"/>
    <w:rsid w:val="004E5FC6"/>
    <w:rsid w:val="004E6200"/>
    <w:rsid w:val="004E6CCA"/>
    <w:rsid w:val="004F0424"/>
    <w:rsid w:val="004F05C7"/>
    <w:rsid w:val="004F0925"/>
    <w:rsid w:val="004F1493"/>
    <w:rsid w:val="004F1D02"/>
    <w:rsid w:val="004F2266"/>
    <w:rsid w:val="004F243D"/>
    <w:rsid w:val="004F2653"/>
    <w:rsid w:val="004F2679"/>
    <w:rsid w:val="004F308B"/>
    <w:rsid w:val="004F3EB6"/>
    <w:rsid w:val="004F49AC"/>
    <w:rsid w:val="004F5212"/>
    <w:rsid w:val="004F550F"/>
    <w:rsid w:val="004F5AD6"/>
    <w:rsid w:val="004F5C0B"/>
    <w:rsid w:val="004F5EF4"/>
    <w:rsid w:val="004F6485"/>
    <w:rsid w:val="004F69A5"/>
    <w:rsid w:val="004F6B35"/>
    <w:rsid w:val="004F70C3"/>
    <w:rsid w:val="004F7696"/>
    <w:rsid w:val="004F779F"/>
    <w:rsid w:val="004F7865"/>
    <w:rsid w:val="004F78AE"/>
    <w:rsid w:val="005003D2"/>
    <w:rsid w:val="0050048C"/>
    <w:rsid w:val="00500C24"/>
    <w:rsid w:val="00500FF8"/>
    <w:rsid w:val="00501CEF"/>
    <w:rsid w:val="00501D61"/>
    <w:rsid w:val="00501EEB"/>
    <w:rsid w:val="005029C5"/>
    <w:rsid w:val="00502DFC"/>
    <w:rsid w:val="005032EC"/>
    <w:rsid w:val="0050411F"/>
    <w:rsid w:val="005057AE"/>
    <w:rsid w:val="00505913"/>
    <w:rsid w:val="0050596A"/>
    <w:rsid w:val="00505D39"/>
    <w:rsid w:val="00505D50"/>
    <w:rsid w:val="00506928"/>
    <w:rsid w:val="00507540"/>
    <w:rsid w:val="005079A2"/>
    <w:rsid w:val="005100E9"/>
    <w:rsid w:val="00511820"/>
    <w:rsid w:val="00511CAE"/>
    <w:rsid w:val="00511F95"/>
    <w:rsid w:val="005129E3"/>
    <w:rsid w:val="00513C68"/>
    <w:rsid w:val="00513C6B"/>
    <w:rsid w:val="005146BD"/>
    <w:rsid w:val="00514712"/>
    <w:rsid w:val="005152B5"/>
    <w:rsid w:val="005155C7"/>
    <w:rsid w:val="005156D4"/>
    <w:rsid w:val="00515E96"/>
    <w:rsid w:val="005164EF"/>
    <w:rsid w:val="00516C9C"/>
    <w:rsid w:val="0051759E"/>
    <w:rsid w:val="0052023A"/>
    <w:rsid w:val="00520FF7"/>
    <w:rsid w:val="00521319"/>
    <w:rsid w:val="00521377"/>
    <w:rsid w:val="00521736"/>
    <w:rsid w:val="00521BE7"/>
    <w:rsid w:val="00523C28"/>
    <w:rsid w:val="005242E2"/>
    <w:rsid w:val="00524589"/>
    <w:rsid w:val="00524979"/>
    <w:rsid w:val="00525D0A"/>
    <w:rsid w:val="00526287"/>
    <w:rsid w:val="00526377"/>
    <w:rsid w:val="00526433"/>
    <w:rsid w:val="005264B6"/>
    <w:rsid w:val="00526887"/>
    <w:rsid w:val="005272BC"/>
    <w:rsid w:val="00527D42"/>
    <w:rsid w:val="00530E14"/>
    <w:rsid w:val="00531530"/>
    <w:rsid w:val="0053202C"/>
    <w:rsid w:val="005321A6"/>
    <w:rsid w:val="00532BD5"/>
    <w:rsid w:val="00532CD8"/>
    <w:rsid w:val="00533ED3"/>
    <w:rsid w:val="005347CF"/>
    <w:rsid w:val="00534ADA"/>
    <w:rsid w:val="00534BB9"/>
    <w:rsid w:val="00534DE4"/>
    <w:rsid w:val="005356A0"/>
    <w:rsid w:val="00535F09"/>
    <w:rsid w:val="005363F3"/>
    <w:rsid w:val="0053670B"/>
    <w:rsid w:val="00536B27"/>
    <w:rsid w:val="00536D1D"/>
    <w:rsid w:val="005376EB"/>
    <w:rsid w:val="00537E65"/>
    <w:rsid w:val="00537FE4"/>
    <w:rsid w:val="00540803"/>
    <w:rsid w:val="00541228"/>
    <w:rsid w:val="00541536"/>
    <w:rsid w:val="00541ADD"/>
    <w:rsid w:val="00543671"/>
    <w:rsid w:val="005443D3"/>
    <w:rsid w:val="005444DB"/>
    <w:rsid w:val="0054475D"/>
    <w:rsid w:val="005468F7"/>
    <w:rsid w:val="00546B33"/>
    <w:rsid w:val="005471AA"/>
    <w:rsid w:val="0054753D"/>
    <w:rsid w:val="00550B13"/>
    <w:rsid w:val="00551739"/>
    <w:rsid w:val="00551CEA"/>
    <w:rsid w:val="00551F53"/>
    <w:rsid w:val="00552950"/>
    <w:rsid w:val="00552BD3"/>
    <w:rsid w:val="00552F3F"/>
    <w:rsid w:val="00555109"/>
    <w:rsid w:val="005554BF"/>
    <w:rsid w:val="00555A75"/>
    <w:rsid w:val="0055625E"/>
    <w:rsid w:val="005565E7"/>
    <w:rsid w:val="00556853"/>
    <w:rsid w:val="00556CF7"/>
    <w:rsid w:val="00557E89"/>
    <w:rsid w:val="0056086B"/>
    <w:rsid w:val="00560B10"/>
    <w:rsid w:val="00561358"/>
    <w:rsid w:val="005619AB"/>
    <w:rsid w:val="00561A58"/>
    <w:rsid w:val="00561BC2"/>
    <w:rsid w:val="00561CB4"/>
    <w:rsid w:val="0056227E"/>
    <w:rsid w:val="005622EC"/>
    <w:rsid w:val="00562530"/>
    <w:rsid w:val="00563084"/>
    <w:rsid w:val="005631FB"/>
    <w:rsid w:val="00563C96"/>
    <w:rsid w:val="005648CE"/>
    <w:rsid w:val="00564B1C"/>
    <w:rsid w:val="005656E3"/>
    <w:rsid w:val="00566210"/>
    <w:rsid w:val="005668E6"/>
    <w:rsid w:val="0056696F"/>
    <w:rsid w:val="00566DDF"/>
    <w:rsid w:val="0057088C"/>
    <w:rsid w:val="00570E78"/>
    <w:rsid w:val="00571E4E"/>
    <w:rsid w:val="005722B8"/>
    <w:rsid w:val="005725B0"/>
    <w:rsid w:val="00572DDC"/>
    <w:rsid w:val="00573C12"/>
    <w:rsid w:val="00573D42"/>
    <w:rsid w:val="005753FF"/>
    <w:rsid w:val="00575405"/>
    <w:rsid w:val="00575684"/>
    <w:rsid w:val="0057576D"/>
    <w:rsid w:val="00575D8D"/>
    <w:rsid w:val="00575F91"/>
    <w:rsid w:val="00576615"/>
    <w:rsid w:val="005767C2"/>
    <w:rsid w:val="00576972"/>
    <w:rsid w:val="00577172"/>
    <w:rsid w:val="00577C41"/>
    <w:rsid w:val="00577C83"/>
    <w:rsid w:val="005802AD"/>
    <w:rsid w:val="0058152E"/>
    <w:rsid w:val="0058225F"/>
    <w:rsid w:val="00582401"/>
    <w:rsid w:val="00582674"/>
    <w:rsid w:val="00582BBA"/>
    <w:rsid w:val="00582EFA"/>
    <w:rsid w:val="005832C0"/>
    <w:rsid w:val="00583699"/>
    <w:rsid w:val="00583BCC"/>
    <w:rsid w:val="00583BEA"/>
    <w:rsid w:val="00583D22"/>
    <w:rsid w:val="00584570"/>
    <w:rsid w:val="00584A52"/>
    <w:rsid w:val="005851F0"/>
    <w:rsid w:val="005870C3"/>
    <w:rsid w:val="00587AF3"/>
    <w:rsid w:val="0059009E"/>
    <w:rsid w:val="005908ED"/>
    <w:rsid w:val="00592077"/>
    <w:rsid w:val="00593E09"/>
    <w:rsid w:val="00594129"/>
    <w:rsid w:val="005943BC"/>
    <w:rsid w:val="0059480E"/>
    <w:rsid w:val="00594F1A"/>
    <w:rsid w:val="005950D8"/>
    <w:rsid w:val="00596B1A"/>
    <w:rsid w:val="00596FF5"/>
    <w:rsid w:val="00597512"/>
    <w:rsid w:val="00597AD7"/>
    <w:rsid w:val="005A086F"/>
    <w:rsid w:val="005A0B22"/>
    <w:rsid w:val="005A1152"/>
    <w:rsid w:val="005A21F4"/>
    <w:rsid w:val="005A4579"/>
    <w:rsid w:val="005A4D52"/>
    <w:rsid w:val="005A567D"/>
    <w:rsid w:val="005A5850"/>
    <w:rsid w:val="005A5A9A"/>
    <w:rsid w:val="005A5EA4"/>
    <w:rsid w:val="005A62C2"/>
    <w:rsid w:val="005A63A7"/>
    <w:rsid w:val="005A6AEF"/>
    <w:rsid w:val="005A6DC0"/>
    <w:rsid w:val="005A6DC3"/>
    <w:rsid w:val="005A728B"/>
    <w:rsid w:val="005A769B"/>
    <w:rsid w:val="005A7840"/>
    <w:rsid w:val="005B0162"/>
    <w:rsid w:val="005B01A6"/>
    <w:rsid w:val="005B09AE"/>
    <w:rsid w:val="005B14C2"/>
    <w:rsid w:val="005B18F1"/>
    <w:rsid w:val="005B2185"/>
    <w:rsid w:val="005B21B9"/>
    <w:rsid w:val="005B2691"/>
    <w:rsid w:val="005B29D2"/>
    <w:rsid w:val="005B2F3F"/>
    <w:rsid w:val="005B333E"/>
    <w:rsid w:val="005B38DE"/>
    <w:rsid w:val="005B3CF0"/>
    <w:rsid w:val="005B3DBA"/>
    <w:rsid w:val="005B3EDD"/>
    <w:rsid w:val="005B4153"/>
    <w:rsid w:val="005B454E"/>
    <w:rsid w:val="005B571F"/>
    <w:rsid w:val="005B5857"/>
    <w:rsid w:val="005B59B3"/>
    <w:rsid w:val="005B5BA7"/>
    <w:rsid w:val="005B5F2B"/>
    <w:rsid w:val="005B6894"/>
    <w:rsid w:val="005B6ED9"/>
    <w:rsid w:val="005B7367"/>
    <w:rsid w:val="005B74FE"/>
    <w:rsid w:val="005B7AB7"/>
    <w:rsid w:val="005B7CC2"/>
    <w:rsid w:val="005B7E8E"/>
    <w:rsid w:val="005C00B5"/>
    <w:rsid w:val="005C050B"/>
    <w:rsid w:val="005C0735"/>
    <w:rsid w:val="005C1B27"/>
    <w:rsid w:val="005C1B83"/>
    <w:rsid w:val="005C2175"/>
    <w:rsid w:val="005C318B"/>
    <w:rsid w:val="005C346B"/>
    <w:rsid w:val="005C3756"/>
    <w:rsid w:val="005C39FF"/>
    <w:rsid w:val="005C403E"/>
    <w:rsid w:val="005C43D6"/>
    <w:rsid w:val="005C4B2F"/>
    <w:rsid w:val="005C519C"/>
    <w:rsid w:val="005C5590"/>
    <w:rsid w:val="005C569B"/>
    <w:rsid w:val="005C64B1"/>
    <w:rsid w:val="005C6F94"/>
    <w:rsid w:val="005C73DE"/>
    <w:rsid w:val="005C7E90"/>
    <w:rsid w:val="005D044D"/>
    <w:rsid w:val="005D1254"/>
    <w:rsid w:val="005D18AD"/>
    <w:rsid w:val="005D18DF"/>
    <w:rsid w:val="005D20A4"/>
    <w:rsid w:val="005D20DC"/>
    <w:rsid w:val="005D22ED"/>
    <w:rsid w:val="005D2576"/>
    <w:rsid w:val="005D3BF7"/>
    <w:rsid w:val="005D3EFC"/>
    <w:rsid w:val="005D4CE7"/>
    <w:rsid w:val="005D6016"/>
    <w:rsid w:val="005D612D"/>
    <w:rsid w:val="005D69C5"/>
    <w:rsid w:val="005D71BE"/>
    <w:rsid w:val="005D72EA"/>
    <w:rsid w:val="005D733D"/>
    <w:rsid w:val="005D7808"/>
    <w:rsid w:val="005D7B6B"/>
    <w:rsid w:val="005D7B6D"/>
    <w:rsid w:val="005E05A6"/>
    <w:rsid w:val="005E05BD"/>
    <w:rsid w:val="005E0A11"/>
    <w:rsid w:val="005E0B90"/>
    <w:rsid w:val="005E26E2"/>
    <w:rsid w:val="005E27F8"/>
    <w:rsid w:val="005E298D"/>
    <w:rsid w:val="005E2A20"/>
    <w:rsid w:val="005E2D61"/>
    <w:rsid w:val="005E3938"/>
    <w:rsid w:val="005E39A0"/>
    <w:rsid w:val="005E3B15"/>
    <w:rsid w:val="005E4305"/>
    <w:rsid w:val="005E48D1"/>
    <w:rsid w:val="005E5C9A"/>
    <w:rsid w:val="005E61A3"/>
    <w:rsid w:val="005E73C0"/>
    <w:rsid w:val="005E762E"/>
    <w:rsid w:val="005E7716"/>
    <w:rsid w:val="005E795D"/>
    <w:rsid w:val="005F02D2"/>
    <w:rsid w:val="005F044D"/>
    <w:rsid w:val="005F113F"/>
    <w:rsid w:val="005F1338"/>
    <w:rsid w:val="005F14D8"/>
    <w:rsid w:val="005F2258"/>
    <w:rsid w:val="005F2706"/>
    <w:rsid w:val="005F2D90"/>
    <w:rsid w:val="005F3354"/>
    <w:rsid w:val="005F3CAB"/>
    <w:rsid w:val="005F3E2B"/>
    <w:rsid w:val="005F402E"/>
    <w:rsid w:val="005F64E3"/>
    <w:rsid w:val="005F6680"/>
    <w:rsid w:val="005F6A8F"/>
    <w:rsid w:val="005F70CA"/>
    <w:rsid w:val="005F73C1"/>
    <w:rsid w:val="00600198"/>
    <w:rsid w:val="00600A6E"/>
    <w:rsid w:val="00601381"/>
    <w:rsid w:val="00601F4B"/>
    <w:rsid w:val="00602258"/>
    <w:rsid w:val="00602B0A"/>
    <w:rsid w:val="00602F5B"/>
    <w:rsid w:val="0060374F"/>
    <w:rsid w:val="00604321"/>
    <w:rsid w:val="00604D30"/>
    <w:rsid w:val="00604D8E"/>
    <w:rsid w:val="0060552D"/>
    <w:rsid w:val="00605D07"/>
    <w:rsid w:val="00606542"/>
    <w:rsid w:val="00606BF6"/>
    <w:rsid w:val="00607669"/>
    <w:rsid w:val="00607949"/>
    <w:rsid w:val="00607E28"/>
    <w:rsid w:val="00610835"/>
    <w:rsid w:val="00610904"/>
    <w:rsid w:val="006109E7"/>
    <w:rsid w:val="00611227"/>
    <w:rsid w:val="00611255"/>
    <w:rsid w:val="006118D5"/>
    <w:rsid w:val="0061219F"/>
    <w:rsid w:val="006125DA"/>
    <w:rsid w:val="00612F97"/>
    <w:rsid w:val="0061353F"/>
    <w:rsid w:val="006144CD"/>
    <w:rsid w:val="00615BCE"/>
    <w:rsid w:val="00615CA8"/>
    <w:rsid w:val="006161EC"/>
    <w:rsid w:val="006163E3"/>
    <w:rsid w:val="006163F6"/>
    <w:rsid w:val="0061659F"/>
    <w:rsid w:val="00616802"/>
    <w:rsid w:val="00617E12"/>
    <w:rsid w:val="006203E9"/>
    <w:rsid w:val="00620F65"/>
    <w:rsid w:val="006213F1"/>
    <w:rsid w:val="00621477"/>
    <w:rsid w:val="00621F5F"/>
    <w:rsid w:val="0062316D"/>
    <w:rsid w:val="00623634"/>
    <w:rsid w:val="00624A3C"/>
    <w:rsid w:val="00624FF0"/>
    <w:rsid w:val="00625110"/>
    <w:rsid w:val="006256FF"/>
    <w:rsid w:val="00625BC2"/>
    <w:rsid w:val="00625CD0"/>
    <w:rsid w:val="0062646E"/>
    <w:rsid w:val="0062665A"/>
    <w:rsid w:val="00627119"/>
    <w:rsid w:val="006301C6"/>
    <w:rsid w:val="006306D1"/>
    <w:rsid w:val="0063070C"/>
    <w:rsid w:val="00631495"/>
    <w:rsid w:val="00631D6B"/>
    <w:rsid w:val="00632275"/>
    <w:rsid w:val="00632657"/>
    <w:rsid w:val="00632D89"/>
    <w:rsid w:val="0063399D"/>
    <w:rsid w:val="00633BBF"/>
    <w:rsid w:val="00633ECB"/>
    <w:rsid w:val="006345FF"/>
    <w:rsid w:val="0063479F"/>
    <w:rsid w:val="00635872"/>
    <w:rsid w:val="006364A1"/>
    <w:rsid w:val="00637BFD"/>
    <w:rsid w:val="00640299"/>
    <w:rsid w:val="00643357"/>
    <w:rsid w:val="00643433"/>
    <w:rsid w:val="006434B0"/>
    <w:rsid w:val="00643825"/>
    <w:rsid w:val="006449B4"/>
    <w:rsid w:val="00644B4A"/>
    <w:rsid w:val="00644BC0"/>
    <w:rsid w:val="0064599E"/>
    <w:rsid w:val="00645A84"/>
    <w:rsid w:val="00645FD1"/>
    <w:rsid w:val="006471CC"/>
    <w:rsid w:val="00647F86"/>
    <w:rsid w:val="006506DD"/>
    <w:rsid w:val="0065079F"/>
    <w:rsid w:val="006514EB"/>
    <w:rsid w:val="0065161E"/>
    <w:rsid w:val="00651AF5"/>
    <w:rsid w:val="00651CE1"/>
    <w:rsid w:val="00651D2A"/>
    <w:rsid w:val="00651EB8"/>
    <w:rsid w:val="0065206A"/>
    <w:rsid w:val="00652101"/>
    <w:rsid w:val="00652694"/>
    <w:rsid w:val="00652887"/>
    <w:rsid w:val="00652A6E"/>
    <w:rsid w:val="00652CBF"/>
    <w:rsid w:val="00653905"/>
    <w:rsid w:val="00653ACC"/>
    <w:rsid w:val="00654423"/>
    <w:rsid w:val="006546DB"/>
    <w:rsid w:val="00654B7D"/>
    <w:rsid w:val="00654EA2"/>
    <w:rsid w:val="006556D9"/>
    <w:rsid w:val="006558E8"/>
    <w:rsid w:val="00655BBC"/>
    <w:rsid w:val="006579DA"/>
    <w:rsid w:val="00657ADE"/>
    <w:rsid w:val="00660362"/>
    <w:rsid w:val="00660AE6"/>
    <w:rsid w:val="00660B10"/>
    <w:rsid w:val="00660BE7"/>
    <w:rsid w:val="0066189F"/>
    <w:rsid w:val="0066190B"/>
    <w:rsid w:val="006622F7"/>
    <w:rsid w:val="0066235E"/>
    <w:rsid w:val="0066290A"/>
    <w:rsid w:val="00662F21"/>
    <w:rsid w:val="0066306D"/>
    <w:rsid w:val="00663DA5"/>
    <w:rsid w:val="006648A6"/>
    <w:rsid w:val="00664C46"/>
    <w:rsid w:val="00664CF7"/>
    <w:rsid w:val="0066561D"/>
    <w:rsid w:val="006657F8"/>
    <w:rsid w:val="00665C73"/>
    <w:rsid w:val="00665DEE"/>
    <w:rsid w:val="006670C5"/>
    <w:rsid w:val="00667FBA"/>
    <w:rsid w:val="006702E0"/>
    <w:rsid w:val="006703AE"/>
    <w:rsid w:val="006707BC"/>
    <w:rsid w:val="006709C0"/>
    <w:rsid w:val="00670A21"/>
    <w:rsid w:val="00671BA1"/>
    <w:rsid w:val="00671C64"/>
    <w:rsid w:val="00671F38"/>
    <w:rsid w:val="00671FE9"/>
    <w:rsid w:val="00672535"/>
    <w:rsid w:val="006733FA"/>
    <w:rsid w:val="006737CA"/>
    <w:rsid w:val="00673BEE"/>
    <w:rsid w:val="00674254"/>
    <w:rsid w:val="006749F7"/>
    <w:rsid w:val="00674E42"/>
    <w:rsid w:val="006754B6"/>
    <w:rsid w:val="006758A0"/>
    <w:rsid w:val="00675CBE"/>
    <w:rsid w:val="00676112"/>
    <w:rsid w:val="00676BC8"/>
    <w:rsid w:val="00676ED1"/>
    <w:rsid w:val="0067710B"/>
    <w:rsid w:val="00677139"/>
    <w:rsid w:val="0067742D"/>
    <w:rsid w:val="0067786E"/>
    <w:rsid w:val="00680221"/>
    <w:rsid w:val="00680A59"/>
    <w:rsid w:val="00680C67"/>
    <w:rsid w:val="00681515"/>
    <w:rsid w:val="006818CB"/>
    <w:rsid w:val="00681A71"/>
    <w:rsid w:val="00682112"/>
    <w:rsid w:val="006837AF"/>
    <w:rsid w:val="00683C65"/>
    <w:rsid w:val="0068440F"/>
    <w:rsid w:val="00685141"/>
    <w:rsid w:val="006858FA"/>
    <w:rsid w:val="0068606C"/>
    <w:rsid w:val="006864F7"/>
    <w:rsid w:val="00686848"/>
    <w:rsid w:val="006872BA"/>
    <w:rsid w:val="0068732F"/>
    <w:rsid w:val="00690C28"/>
    <w:rsid w:val="0069161D"/>
    <w:rsid w:val="006917D7"/>
    <w:rsid w:val="00691856"/>
    <w:rsid w:val="006923A4"/>
    <w:rsid w:val="0069246A"/>
    <w:rsid w:val="006925F7"/>
    <w:rsid w:val="006928CB"/>
    <w:rsid w:val="00692953"/>
    <w:rsid w:val="00692C80"/>
    <w:rsid w:val="00693ABC"/>
    <w:rsid w:val="00693EDE"/>
    <w:rsid w:val="00694019"/>
    <w:rsid w:val="00694F44"/>
    <w:rsid w:val="0069524E"/>
    <w:rsid w:val="0069527B"/>
    <w:rsid w:val="0069527D"/>
    <w:rsid w:val="006954C2"/>
    <w:rsid w:val="006957F7"/>
    <w:rsid w:val="00695BCF"/>
    <w:rsid w:val="00696C8D"/>
    <w:rsid w:val="00697FA8"/>
    <w:rsid w:val="006A03BF"/>
    <w:rsid w:val="006A1968"/>
    <w:rsid w:val="006A19B9"/>
    <w:rsid w:val="006A1A33"/>
    <w:rsid w:val="006A1AC6"/>
    <w:rsid w:val="006A1CF9"/>
    <w:rsid w:val="006A2334"/>
    <w:rsid w:val="006A25C1"/>
    <w:rsid w:val="006A2769"/>
    <w:rsid w:val="006A3325"/>
    <w:rsid w:val="006A34C8"/>
    <w:rsid w:val="006A3C14"/>
    <w:rsid w:val="006A3FB7"/>
    <w:rsid w:val="006A46EC"/>
    <w:rsid w:val="006A48E9"/>
    <w:rsid w:val="006A4FFC"/>
    <w:rsid w:val="006A5141"/>
    <w:rsid w:val="006A59B2"/>
    <w:rsid w:val="006A5DF7"/>
    <w:rsid w:val="006A62F8"/>
    <w:rsid w:val="006A6ECE"/>
    <w:rsid w:val="006A746D"/>
    <w:rsid w:val="006A753C"/>
    <w:rsid w:val="006A762C"/>
    <w:rsid w:val="006A76E9"/>
    <w:rsid w:val="006A7A2C"/>
    <w:rsid w:val="006A7DF0"/>
    <w:rsid w:val="006B00A0"/>
    <w:rsid w:val="006B0F8C"/>
    <w:rsid w:val="006B155C"/>
    <w:rsid w:val="006B182A"/>
    <w:rsid w:val="006B1942"/>
    <w:rsid w:val="006B1B7E"/>
    <w:rsid w:val="006B2610"/>
    <w:rsid w:val="006B2DF3"/>
    <w:rsid w:val="006B322C"/>
    <w:rsid w:val="006B36B7"/>
    <w:rsid w:val="006B38B8"/>
    <w:rsid w:val="006B409A"/>
    <w:rsid w:val="006B4B83"/>
    <w:rsid w:val="006B5104"/>
    <w:rsid w:val="006B7690"/>
    <w:rsid w:val="006B7AD9"/>
    <w:rsid w:val="006C008B"/>
    <w:rsid w:val="006C0780"/>
    <w:rsid w:val="006C0907"/>
    <w:rsid w:val="006C1341"/>
    <w:rsid w:val="006C17F8"/>
    <w:rsid w:val="006C2A8E"/>
    <w:rsid w:val="006C2AE6"/>
    <w:rsid w:val="006C37E4"/>
    <w:rsid w:val="006C392D"/>
    <w:rsid w:val="006C39FF"/>
    <w:rsid w:val="006C5136"/>
    <w:rsid w:val="006C5352"/>
    <w:rsid w:val="006C5508"/>
    <w:rsid w:val="006C5E67"/>
    <w:rsid w:val="006C5E78"/>
    <w:rsid w:val="006C6044"/>
    <w:rsid w:val="006C6072"/>
    <w:rsid w:val="006C6AEB"/>
    <w:rsid w:val="006C75AF"/>
    <w:rsid w:val="006C7961"/>
    <w:rsid w:val="006D00D2"/>
    <w:rsid w:val="006D1664"/>
    <w:rsid w:val="006D1B88"/>
    <w:rsid w:val="006D22F3"/>
    <w:rsid w:val="006D264E"/>
    <w:rsid w:val="006D2B57"/>
    <w:rsid w:val="006D33F5"/>
    <w:rsid w:val="006D383C"/>
    <w:rsid w:val="006D3891"/>
    <w:rsid w:val="006D3C7D"/>
    <w:rsid w:val="006D4125"/>
    <w:rsid w:val="006D4C8E"/>
    <w:rsid w:val="006D504A"/>
    <w:rsid w:val="006D5935"/>
    <w:rsid w:val="006D5D5F"/>
    <w:rsid w:val="006D5E69"/>
    <w:rsid w:val="006D62A5"/>
    <w:rsid w:val="006D7A4E"/>
    <w:rsid w:val="006D7D1C"/>
    <w:rsid w:val="006D7F1E"/>
    <w:rsid w:val="006D7FD1"/>
    <w:rsid w:val="006E0739"/>
    <w:rsid w:val="006E0DA0"/>
    <w:rsid w:val="006E1A1C"/>
    <w:rsid w:val="006E1C5D"/>
    <w:rsid w:val="006E2177"/>
    <w:rsid w:val="006E2455"/>
    <w:rsid w:val="006E32BF"/>
    <w:rsid w:val="006E35CD"/>
    <w:rsid w:val="006E411B"/>
    <w:rsid w:val="006E4315"/>
    <w:rsid w:val="006E4BE3"/>
    <w:rsid w:val="006E4C47"/>
    <w:rsid w:val="006E4CA3"/>
    <w:rsid w:val="006E4D42"/>
    <w:rsid w:val="006E515A"/>
    <w:rsid w:val="006E5664"/>
    <w:rsid w:val="006E5FF4"/>
    <w:rsid w:val="006E7264"/>
    <w:rsid w:val="006E7410"/>
    <w:rsid w:val="006E799D"/>
    <w:rsid w:val="006E7E13"/>
    <w:rsid w:val="006F0447"/>
    <w:rsid w:val="006F0756"/>
    <w:rsid w:val="006F08D0"/>
    <w:rsid w:val="006F31AD"/>
    <w:rsid w:val="006F3868"/>
    <w:rsid w:val="006F3E9F"/>
    <w:rsid w:val="006F437E"/>
    <w:rsid w:val="006F4FEF"/>
    <w:rsid w:val="006F63A5"/>
    <w:rsid w:val="006F6704"/>
    <w:rsid w:val="00700229"/>
    <w:rsid w:val="0070194E"/>
    <w:rsid w:val="00702010"/>
    <w:rsid w:val="0070264D"/>
    <w:rsid w:val="0070276E"/>
    <w:rsid w:val="0070277C"/>
    <w:rsid w:val="007028AB"/>
    <w:rsid w:val="00702F8F"/>
    <w:rsid w:val="00703A3A"/>
    <w:rsid w:val="007044E0"/>
    <w:rsid w:val="007052AC"/>
    <w:rsid w:val="0070693E"/>
    <w:rsid w:val="00706B89"/>
    <w:rsid w:val="007102BF"/>
    <w:rsid w:val="00711A36"/>
    <w:rsid w:val="00711DA5"/>
    <w:rsid w:val="00711F96"/>
    <w:rsid w:val="00712051"/>
    <w:rsid w:val="007125FD"/>
    <w:rsid w:val="0071305C"/>
    <w:rsid w:val="00713AF4"/>
    <w:rsid w:val="007142C1"/>
    <w:rsid w:val="00715440"/>
    <w:rsid w:val="00715F19"/>
    <w:rsid w:val="0071640E"/>
    <w:rsid w:val="00716AED"/>
    <w:rsid w:val="00716F97"/>
    <w:rsid w:val="00717281"/>
    <w:rsid w:val="007172AD"/>
    <w:rsid w:val="00717402"/>
    <w:rsid w:val="007179D3"/>
    <w:rsid w:val="00717B36"/>
    <w:rsid w:val="007203B4"/>
    <w:rsid w:val="00720645"/>
    <w:rsid w:val="00720991"/>
    <w:rsid w:val="00721595"/>
    <w:rsid w:val="0072172C"/>
    <w:rsid w:val="0072239A"/>
    <w:rsid w:val="00722506"/>
    <w:rsid w:val="00722AA3"/>
    <w:rsid w:val="00722DEB"/>
    <w:rsid w:val="00723216"/>
    <w:rsid w:val="00723393"/>
    <w:rsid w:val="00723F67"/>
    <w:rsid w:val="0072416F"/>
    <w:rsid w:val="007243C1"/>
    <w:rsid w:val="00725363"/>
    <w:rsid w:val="007254D6"/>
    <w:rsid w:val="007255D0"/>
    <w:rsid w:val="00725608"/>
    <w:rsid w:val="00726248"/>
    <w:rsid w:val="00727A18"/>
    <w:rsid w:val="007302AE"/>
    <w:rsid w:val="00731090"/>
    <w:rsid w:val="00731256"/>
    <w:rsid w:val="007320D5"/>
    <w:rsid w:val="007321E4"/>
    <w:rsid w:val="0073236F"/>
    <w:rsid w:val="00732865"/>
    <w:rsid w:val="00735328"/>
    <w:rsid w:val="00735AD2"/>
    <w:rsid w:val="007367E5"/>
    <w:rsid w:val="0073685B"/>
    <w:rsid w:val="00737707"/>
    <w:rsid w:val="00737890"/>
    <w:rsid w:val="00737C5A"/>
    <w:rsid w:val="00737CE4"/>
    <w:rsid w:val="007403A9"/>
    <w:rsid w:val="00740750"/>
    <w:rsid w:val="00740C49"/>
    <w:rsid w:val="0074112E"/>
    <w:rsid w:val="00741BB7"/>
    <w:rsid w:val="007421EB"/>
    <w:rsid w:val="007429B1"/>
    <w:rsid w:val="00742D1C"/>
    <w:rsid w:val="007445A6"/>
    <w:rsid w:val="00745B98"/>
    <w:rsid w:val="007463CF"/>
    <w:rsid w:val="0074668F"/>
    <w:rsid w:val="007466D6"/>
    <w:rsid w:val="00747265"/>
    <w:rsid w:val="007519BE"/>
    <w:rsid w:val="00751C75"/>
    <w:rsid w:val="00751D87"/>
    <w:rsid w:val="00751D90"/>
    <w:rsid w:val="00752B61"/>
    <w:rsid w:val="00752DC2"/>
    <w:rsid w:val="00753D7B"/>
    <w:rsid w:val="007541C9"/>
    <w:rsid w:val="00755784"/>
    <w:rsid w:val="00755F6F"/>
    <w:rsid w:val="00756441"/>
    <w:rsid w:val="007569A5"/>
    <w:rsid w:val="00756AED"/>
    <w:rsid w:val="00756E7E"/>
    <w:rsid w:val="007600FB"/>
    <w:rsid w:val="00760350"/>
    <w:rsid w:val="00760581"/>
    <w:rsid w:val="00760593"/>
    <w:rsid w:val="007606F1"/>
    <w:rsid w:val="007611CB"/>
    <w:rsid w:val="00761646"/>
    <w:rsid w:val="00761711"/>
    <w:rsid w:val="00761FBE"/>
    <w:rsid w:val="0076301D"/>
    <w:rsid w:val="0076444F"/>
    <w:rsid w:val="007653BA"/>
    <w:rsid w:val="007653F9"/>
    <w:rsid w:val="00766F53"/>
    <w:rsid w:val="00766F74"/>
    <w:rsid w:val="0076720B"/>
    <w:rsid w:val="0077023B"/>
    <w:rsid w:val="0077091C"/>
    <w:rsid w:val="00770F02"/>
    <w:rsid w:val="00771074"/>
    <w:rsid w:val="00771770"/>
    <w:rsid w:val="00773829"/>
    <w:rsid w:val="00774225"/>
    <w:rsid w:val="007749DB"/>
    <w:rsid w:val="00775C0C"/>
    <w:rsid w:val="00776C3E"/>
    <w:rsid w:val="007807F6"/>
    <w:rsid w:val="007809DB"/>
    <w:rsid w:val="00780EF8"/>
    <w:rsid w:val="007820BB"/>
    <w:rsid w:val="007822AC"/>
    <w:rsid w:val="007823BA"/>
    <w:rsid w:val="007824F8"/>
    <w:rsid w:val="00782C73"/>
    <w:rsid w:val="00783149"/>
    <w:rsid w:val="007835E9"/>
    <w:rsid w:val="007842D3"/>
    <w:rsid w:val="007846EA"/>
    <w:rsid w:val="007854C9"/>
    <w:rsid w:val="0078557A"/>
    <w:rsid w:val="007860A5"/>
    <w:rsid w:val="00786194"/>
    <w:rsid w:val="00786947"/>
    <w:rsid w:val="00786EE9"/>
    <w:rsid w:val="0078738D"/>
    <w:rsid w:val="00787C8B"/>
    <w:rsid w:val="00787E1B"/>
    <w:rsid w:val="0079035F"/>
    <w:rsid w:val="007912DD"/>
    <w:rsid w:val="00791C26"/>
    <w:rsid w:val="00791E65"/>
    <w:rsid w:val="00793049"/>
    <w:rsid w:val="007933D9"/>
    <w:rsid w:val="00793539"/>
    <w:rsid w:val="00793736"/>
    <w:rsid w:val="0079438D"/>
    <w:rsid w:val="007954C9"/>
    <w:rsid w:val="00795C79"/>
    <w:rsid w:val="007966FC"/>
    <w:rsid w:val="007A0A12"/>
    <w:rsid w:val="007A0B6F"/>
    <w:rsid w:val="007A15C8"/>
    <w:rsid w:val="007A2AC1"/>
    <w:rsid w:val="007A3ABA"/>
    <w:rsid w:val="007A3E8D"/>
    <w:rsid w:val="007A40CD"/>
    <w:rsid w:val="007A5EB0"/>
    <w:rsid w:val="007A6383"/>
    <w:rsid w:val="007A647D"/>
    <w:rsid w:val="007A737F"/>
    <w:rsid w:val="007A7BE8"/>
    <w:rsid w:val="007B0A86"/>
    <w:rsid w:val="007B114F"/>
    <w:rsid w:val="007B149D"/>
    <w:rsid w:val="007B2024"/>
    <w:rsid w:val="007B251D"/>
    <w:rsid w:val="007B2C41"/>
    <w:rsid w:val="007B2D71"/>
    <w:rsid w:val="007B3513"/>
    <w:rsid w:val="007B3634"/>
    <w:rsid w:val="007B388A"/>
    <w:rsid w:val="007B39E3"/>
    <w:rsid w:val="007B4AB4"/>
    <w:rsid w:val="007B4D03"/>
    <w:rsid w:val="007B558B"/>
    <w:rsid w:val="007B55B6"/>
    <w:rsid w:val="007B58A7"/>
    <w:rsid w:val="007B61C0"/>
    <w:rsid w:val="007B67F9"/>
    <w:rsid w:val="007B7027"/>
    <w:rsid w:val="007B77D1"/>
    <w:rsid w:val="007B7A87"/>
    <w:rsid w:val="007C0070"/>
    <w:rsid w:val="007C03CC"/>
    <w:rsid w:val="007C09B8"/>
    <w:rsid w:val="007C0AAA"/>
    <w:rsid w:val="007C0F2C"/>
    <w:rsid w:val="007C2DE3"/>
    <w:rsid w:val="007C3018"/>
    <w:rsid w:val="007C3303"/>
    <w:rsid w:val="007C361D"/>
    <w:rsid w:val="007C3EE7"/>
    <w:rsid w:val="007C404A"/>
    <w:rsid w:val="007C4EC1"/>
    <w:rsid w:val="007C50BF"/>
    <w:rsid w:val="007C5180"/>
    <w:rsid w:val="007C59B8"/>
    <w:rsid w:val="007C5D5E"/>
    <w:rsid w:val="007C6284"/>
    <w:rsid w:val="007C659A"/>
    <w:rsid w:val="007C6E24"/>
    <w:rsid w:val="007C71A4"/>
    <w:rsid w:val="007C7263"/>
    <w:rsid w:val="007C78D8"/>
    <w:rsid w:val="007D0013"/>
    <w:rsid w:val="007D0446"/>
    <w:rsid w:val="007D07B3"/>
    <w:rsid w:val="007D08EC"/>
    <w:rsid w:val="007D0AFF"/>
    <w:rsid w:val="007D0B38"/>
    <w:rsid w:val="007D0C12"/>
    <w:rsid w:val="007D0C53"/>
    <w:rsid w:val="007D0CF5"/>
    <w:rsid w:val="007D1783"/>
    <w:rsid w:val="007D19D1"/>
    <w:rsid w:val="007D29CB"/>
    <w:rsid w:val="007D2A81"/>
    <w:rsid w:val="007D2DF5"/>
    <w:rsid w:val="007D32A4"/>
    <w:rsid w:val="007D3C17"/>
    <w:rsid w:val="007D4072"/>
    <w:rsid w:val="007D40DB"/>
    <w:rsid w:val="007D4384"/>
    <w:rsid w:val="007D4518"/>
    <w:rsid w:val="007D59E6"/>
    <w:rsid w:val="007D5AF6"/>
    <w:rsid w:val="007D5AFF"/>
    <w:rsid w:val="007D65E0"/>
    <w:rsid w:val="007D7B9E"/>
    <w:rsid w:val="007D7BE0"/>
    <w:rsid w:val="007D7CC1"/>
    <w:rsid w:val="007E04A7"/>
    <w:rsid w:val="007E057F"/>
    <w:rsid w:val="007E10AE"/>
    <w:rsid w:val="007E1E72"/>
    <w:rsid w:val="007E2CF3"/>
    <w:rsid w:val="007E2D1A"/>
    <w:rsid w:val="007E38BC"/>
    <w:rsid w:val="007E3E20"/>
    <w:rsid w:val="007E3F4B"/>
    <w:rsid w:val="007E50FE"/>
    <w:rsid w:val="007E5F00"/>
    <w:rsid w:val="007E60FC"/>
    <w:rsid w:val="007E6497"/>
    <w:rsid w:val="007E6849"/>
    <w:rsid w:val="007E6AA0"/>
    <w:rsid w:val="007E7252"/>
    <w:rsid w:val="007E73B1"/>
    <w:rsid w:val="007E74D5"/>
    <w:rsid w:val="007E7E91"/>
    <w:rsid w:val="007F03A7"/>
    <w:rsid w:val="007F0539"/>
    <w:rsid w:val="007F1017"/>
    <w:rsid w:val="007F151B"/>
    <w:rsid w:val="007F1E04"/>
    <w:rsid w:val="007F21B3"/>
    <w:rsid w:val="007F23AD"/>
    <w:rsid w:val="007F243C"/>
    <w:rsid w:val="007F2500"/>
    <w:rsid w:val="007F273F"/>
    <w:rsid w:val="007F30FB"/>
    <w:rsid w:val="007F32A5"/>
    <w:rsid w:val="007F3C2E"/>
    <w:rsid w:val="007F3CC2"/>
    <w:rsid w:val="007F3DB5"/>
    <w:rsid w:val="007F4A3F"/>
    <w:rsid w:val="007F507F"/>
    <w:rsid w:val="007F561C"/>
    <w:rsid w:val="007F56A4"/>
    <w:rsid w:val="007F5F19"/>
    <w:rsid w:val="007F61F8"/>
    <w:rsid w:val="007F6280"/>
    <w:rsid w:val="007F6B2E"/>
    <w:rsid w:val="007F716B"/>
    <w:rsid w:val="007F728A"/>
    <w:rsid w:val="007F7A9B"/>
    <w:rsid w:val="00800074"/>
    <w:rsid w:val="00800DB1"/>
    <w:rsid w:val="008010EB"/>
    <w:rsid w:val="0080120A"/>
    <w:rsid w:val="0080162F"/>
    <w:rsid w:val="00801710"/>
    <w:rsid w:val="00801DED"/>
    <w:rsid w:val="00801E50"/>
    <w:rsid w:val="00802707"/>
    <w:rsid w:val="00802B1F"/>
    <w:rsid w:val="00803697"/>
    <w:rsid w:val="00804AD9"/>
    <w:rsid w:val="0080505D"/>
    <w:rsid w:val="00805142"/>
    <w:rsid w:val="00805496"/>
    <w:rsid w:val="0080559F"/>
    <w:rsid w:val="00807A8B"/>
    <w:rsid w:val="00807D5A"/>
    <w:rsid w:val="00810584"/>
    <w:rsid w:val="008105AC"/>
    <w:rsid w:val="00810C53"/>
    <w:rsid w:val="008112A4"/>
    <w:rsid w:val="00812149"/>
    <w:rsid w:val="008122C1"/>
    <w:rsid w:val="008124A2"/>
    <w:rsid w:val="00812773"/>
    <w:rsid w:val="008132FA"/>
    <w:rsid w:val="00813A28"/>
    <w:rsid w:val="0081459E"/>
    <w:rsid w:val="00815389"/>
    <w:rsid w:val="00815434"/>
    <w:rsid w:val="008163E5"/>
    <w:rsid w:val="008166EF"/>
    <w:rsid w:val="008167EC"/>
    <w:rsid w:val="00816B84"/>
    <w:rsid w:val="0082022F"/>
    <w:rsid w:val="008204A9"/>
    <w:rsid w:val="008205A6"/>
    <w:rsid w:val="008209DD"/>
    <w:rsid w:val="00820B2A"/>
    <w:rsid w:val="00821197"/>
    <w:rsid w:val="00822252"/>
    <w:rsid w:val="008223CC"/>
    <w:rsid w:val="0082287B"/>
    <w:rsid w:val="00823473"/>
    <w:rsid w:val="00823651"/>
    <w:rsid w:val="008236B1"/>
    <w:rsid w:val="0082429E"/>
    <w:rsid w:val="008247BC"/>
    <w:rsid w:val="008251AB"/>
    <w:rsid w:val="0082583C"/>
    <w:rsid w:val="0082624C"/>
    <w:rsid w:val="008264EB"/>
    <w:rsid w:val="00826AED"/>
    <w:rsid w:val="00826F93"/>
    <w:rsid w:val="00827190"/>
    <w:rsid w:val="0082754A"/>
    <w:rsid w:val="00827723"/>
    <w:rsid w:val="008302A6"/>
    <w:rsid w:val="008306E7"/>
    <w:rsid w:val="00831469"/>
    <w:rsid w:val="0083184A"/>
    <w:rsid w:val="0083190B"/>
    <w:rsid w:val="00831A8A"/>
    <w:rsid w:val="00831D11"/>
    <w:rsid w:val="00831E15"/>
    <w:rsid w:val="0083262F"/>
    <w:rsid w:val="00832657"/>
    <w:rsid w:val="00832B94"/>
    <w:rsid w:val="008331DB"/>
    <w:rsid w:val="008332F7"/>
    <w:rsid w:val="0083334D"/>
    <w:rsid w:val="00833512"/>
    <w:rsid w:val="00833B05"/>
    <w:rsid w:val="0083407D"/>
    <w:rsid w:val="0083475A"/>
    <w:rsid w:val="008359AA"/>
    <w:rsid w:val="00836030"/>
    <w:rsid w:val="008360D0"/>
    <w:rsid w:val="008366F4"/>
    <w:rsid w:val="008370FE"/>
    <w:rsid w:val="008371C3"/>
    <w:rsid w:val="008409E0"/>
    <w:rsid w:val="00840CA2"/>
    <w:rsid w:val="00841A62"/>
    <w:rsid w:val="00841AC1"/>
    <w:rsid w:val="008420DA"/>
    <w:rsid w:val="00842C9A"/>
    <w:rsid w:val="00843080"/>
    <w:rsid w:val="008433C6"/>
    <w:rsid w:val="00843B18"/>
    <w:rsid w:val="00844003"/>
    <w:rsid w:val="00844B38"/>
    <w:rsid w:val="00844BEA"/>
    <w:rsid w:val="00844CCE"/>
    <w:rsid w:val="00845830"/>
    <w:rsid w:val="0084595C"/>
    <w:rsid w:val="00845CD7"/>
    <w:rsid w:val="008462AC"/>
    <w:rsid w:val="00846658"/>
    <w:rsid w:val="008471CD"/>
    <w:rsid w:val="00847AB5"/>
    <w:rsid w:val="00850429"/>
    <w:rsid w:val="008504CC"/>
    <w:rsid w:val="00851298"/>
    <w:rsid w:val="00854734"/>
    <w:rsid w:val="00854B96"/>
    <w:rsid w:val="008552B6"/>
    <w:rsid w:val="00856052"/>
    <w:rsid w:val="00856884"/>
    <w:rsid w:val="00856E9A"/>
    <w:rsid w:val="0085778A"/>
    <w:rsid w:val="0085781C"/>
    <w:rsid w:val="00857986"/>
    <w:rsid w:val="0085798D"/>
    <w:rsid w:val="00857D0D"/>
    <w:rsid w:val="00857F9C"/>
    <w:rsid w:val="0086117B"/>
    <w:rsid w:val="00861CB7"/>
    <w:rsid w:val="008624C1"/>
    <w:rsid w:val="00862502"/>
    <w:rsid w:val="00862596"/>
    <w:rsid w:val="00862610"/>
    <w:rsid w:val="008630BE"/>
    <w:rsid w:val="00863406"/>
    <w:rsid w:val="00863F16"/>
    <w:rsid w:val="00864472"/>
    <w:rsid w:val="00864F21"/>
    <w:rsid w:val="00865213"/>
    <w:rsid w:val="00865A31"/>
    <w:rsid w:val="00867183"/>
    <w:rsid w:val="00867A26"/>
    <w:rsid w:val="00867B6F"/>
    <w:rsid w:val="0087225C"/>
    <w:rsid w:val="00872551"/>
    <w:rsid w:val="00872632"/>
    <w:rsid w:val="00872E8A"/>
    <w:rsid w:val="00873297"/>
    <w:rsid w:val="008732C6"/>
    <w:rsid w:val="008734EE"/>
    <w:rsid w:val="0087467C"/>
    <w:rsid w:val="0087561C"/>
    <w:rsid w:val="00875B8A"/>
    <w:rsid w:val="00875DD8"/>
    <w:rsid w:val="00875EB1"/>
    <w:rsid w:val="00876337"/>
    <w:rsid w:val="0087633D"/>
    <w:rsid w:val="008764D7"/>
    <w:rsid w:val="00877A1C"/>
    <w:rsid w:val="00877CAF"/>
    <w:rsid w:val="00881775"/>
    <w:rsid w:val="00882874"/>
    <w:rsid w:val="00882A86"/>
    <w:rsid w:val="00882C59"/>
    <w:rsid w:val="00882D60"/>
    <w:rsid w:val="008832FC"/>
    <w:rsid w:val="00883787"/>
    <w:rsid w:val="00883B57"/>
    <w:rsid w:val="00883B79"/>
    <w:rsid w:val="00884810"/>
    <w:rsid w:val="0088605E"/>
    <w:rsid w:val="008861ED"/>
    <w:rsid w:val="008863AC"/>
    <w:rsid w:val="00886696"/>
    <w:rsid w:val="00887088"/>
    <w:rsid w:val="00887852"/>
    <w:rsid w:val="00890884"/>
    <w:rsid w:val="0089202D"/>
    <w:rsid w:val="00892669"/>
    <w:rsid w:val="008941D8"/>
    <w:rsid w:val="00894489"/>
    <w:rsid w:val="00895440"/>
    <w:rsid w:val="008957A6"/>
    <w:rsid w:val="00895983"/>
    <w:rsid w:val="00895D7D"/>
    <w:rsid w:val="00895F30"/>
    <w:rsid w:val="00896129"/>
    <w:rsid w:val="00896336"/>
    <w:rsid w:val="008963A5"/>
    <w:rsid w:val="008974F2"/>
    <w:rsid w:val="00897517"/>
    <w:rsid w:val="008A0E4C"/>
    <w:rsid w:val="008A1327"/>
    <w:rsid w:val="008A16E5"/>
    <w:rsid w:val="008A18E8"/>
    <w:rsid w:val="008A1F5D"/>
    <w:rsid w:val="008A247C"/>
    <w:rsid w:val="008A2D88"/>
    <w:rsid w:val="008A33F6"/>
    <w:rsid w:val="008A3AA0"/>
    <w:rsid w:val="008A3C3E"/>
    <w:rsid w:val="008A4354"/>
    <w:rsid w:val="008A4965"/>
    <w:rsid w:val="008A5782"/>
    <w:rsid w:val="008A6903"/>
    <w:rsid w:val="008A69B9"/>
    <w:rsid w:val="008A6C34"/>
    <w:rsid w:val="008A747C"/>
    <w:rsid w:val="008A762C"/>
    <w:rsid w:val="008A79DE"/>
    <w:rsid w:val="008A7E25"/>
    <w:rsid w:val="008B0AA0"/>
    <w:rsid w:val="008B0AD2"/>
    <w:rsid w:val="008B1426"/>
    <w:rsid w:val="008B14D2"/>
    <w:rsid w:val="008B156F"/>
    <w:rsid w:val="008B180C"/>
    <w:rsid w:val="008B195C"/>
    <w:rsid w:val="008B3500"/>
    <w:rsid w:val="008B3C13"/>
    <w:rsid w:val="008B5D4E"/>
    <w:rsid w:val="008B5F03"/>
    <w:rsid w:val="008B719B"/>
    <w:rsid w:val="008B781A"/>
    <w:rsid w:val="008B7D7E"/>
    <w:rsid w:val="008C0034"/>
    <w:rsid w:val="008C04C1"/>
    <w:rsid w:val="008C334E"/>
    <w:rsid w:val="008C3643"/>
    <w:rsid w:val="008C4AA9"/>
    <w:rsid w:val="008C4CB9"/>
    <w:rsid w:val="008C4EA6"/>
    <w:rsid w:val="008C5B35"/>
    <w:rsid w:val="008C60CF"/>
    <w:rsid w:val="008C6731"/>
    <w:rsid w:val="008C6ECE"/>
    <w:rsid w:val="008C7BD0"/>
    <w:rsid w:val="008C7ECB"/>
    <w:rsid w:val="008D06C2"/>
    <w:rsid w:val="008D0894"/>
    <w:rsid w:val="008D0964"/>
    <w:rsid w:val="008D1B1F"/>
    <w:rsid w:val="008D1D0D"/>
    <w:rsid w:val="008D2C3D"/>
    <w:rsid w:val="008D358B"/>
    <w:rsid w:val="008D3FE9"/>
    <w:rsid w:val="008D4A19"/>
    <w:rsid w:val="008D4B7D"/>
    <w:rsid w:val="008D511A"/>
    <w:rsid w:val="008D546A"/>
    <w:rsid w:val="008D693B"/>
    <w:rsid w:val="008D6E54"/>
    <w:rsid w:val="008E03A3"/>
    <w:rsid w:val="008E0865"/>
    <w:rsid w:val="008E08C8"/>
    <w:rsid w:val="008E09C8"/>
    <w:rsid w:val="008E0F7B"/>
    <w:rsid w:val="008E13D6"/>
    <w:rsid w:val="008E15FF"/>
    <w:rsid w:val="008E1B9E"/>
    <w:rsid w:val="008E2C4E"/>
    <w:rsid w:val="008E2F17"/>
    <w:rsid w:val="008E472B"/>
    <w:rsid w:val="008E6334"/>
    <w:rsid w:val="008E67B3"/>
    <w:rsid w:val="008F0563"/>
    <w:rsid w:val="008F0C1D"/>
    <w:rsid w:val="008F120A"/>
    <w:rsid w:val="008F15B5"/>
    <w:rsid w:val="008F16E3"/>
    <w:rsid w:val="008F2720"/>
    <w:rsid w:val="008F2FC2"/>
    <w:rsid w:val="008F4811"/>
    <w:rsid w:val="008F48EB"/>
    <w:rsid w:val="008F4CB1"/>
    <w:rsid w:val="008F4F0B"/>
    <w:rsid w:val="008F5186"/>
    <w:rsid w:val="008F5A8E"/>
    <w:rsid w:val="008F6CE8"/>
    <w:rsid w:val="008F7203"/>
    <w:rsid w:val="008F7500"/>
    <w:rsid w:val="008F7C7C"/>
    <w:rsid w:val="00900024"/>
    <w:rsid w:val="0090019F"/>
    <w:rsid w:val="009002AB"/>
    <w:rsid w:val="00900E0E"/>
    <w:rsid w:val="00901C83"/>
    <w:rsid w:val="00902B4E"/>
    <w:rsid w:val="00903572"/>
    <w:rsid w:val="00903804"/>
    <w:rsid w:val="0090470D"/>
    <w:rsid w:val="00904F9F"/>
    <w:rsid w:val="00905275"/>
    <w:rsid w:val="0090546E"/>
    <w:rsid w:val="009062A5"/>
    <w:rsid w:val="009069A9"/>
    <w:rsid w:val="0090716E"/>
    <w:rsid w:val="00910759"/>
    <w:rsid w:val="009108D6"/>
    <w:rsid w:val="00910B6B"/>
    <w:rsid w:val="00910CD8"/>
    <w:rsid w:val="00910F6B"/>
    <w:rsid w:val="0091125C"/>
    <w:rsid w:val="00911272"/>
    <w:rsid w:val="0091145E"/>
    <w:rsid w:val="00911BAF"/>
    <w:rsid w:val="00911D61"/>
    <w:rsid w:val="009127EA"/>
    <w:rsid w:val="00912D07"/>
    <w:rsid w:val="00913128"/>
    <w:rsid w:val="00913451"/>
    <w:rsid w:val="00913672"/>
    <w:rsid w:val="0091409C"/>
    <w:rsid w:val="00914185"/>
    <w:rsid w:val="0091425F"/>
    <w:rsid w:val="00917B9A"/>
    <w:rsid w:val="00917FB5"/>
    <w:rsid w:val="009209C2"/>
    <w:rsid w:val="00922AED"/>
    <w:rsid w:val="009244ED"/>
    <w:rsid w:val="00924867"/>
    <w:rsid w:val="00924B97"/>
    <w:rsid w:val="00924FDC"/>
    <w:rsid w:val="00925DD2"/>
    <w:rsid w:val="00926110"/>
    <w:rsid w:val="00926A2C"/>
    <w:rsid w:val="0092736F"/>
    <w:rsid w:val="0092745F"/>
    <w:rsid w:val="00930208"/>
    <w:rsid w:val="00930DDA"/>
    <w:rsid w:val="00931292"/>
    <w:rsid w:val="00931354"/>
    <w:rsid w:val="00932901"/>
    <w:rsid w:val="00932DA4"/>
    <w:rsid w:val="00932EAA"/>
    <w:rsid w:val="00933F22"/>
    <w:rsid w:val="0093429D"/>
    <w:rsid w:val="0093429F"/>
    <w:rsid w:val="009370E1"/>
    <w:rsid w:val="009370EB"/>
    <w:rsid w:val="009375DD"/>
    <w:rsid w:val="00937CB7"/>
    <w:rsid w:val="00937DD3"/>
    <w:rsid w:val="00940560"/>
    <w:rsid w:val="00940E87"/>
    <w:rsid w:val="00941219"/>
    <w:rsid w:val="00942B7C"/>
    <w:rsid w:val="009437FA"/>
    <w:rsid w:val="00945600"/>
    <w:rsid w:val="00945F12"/>
    <w:rsid w:val="009466FD"/>
    <w:rsid w:val="009472AB"/>
    <w:rsid w:val="009509C2"/>
    <w:rsid w:val="00951060"/>
    <w:rsid w:val="00951132"/>
    <w:rsid w:val="00952208"/>
    <w:rsid w:val="00953052"/>
    <w:rsid w:val="00953424"/>
    <w:rsid w:val="00954031"/>
    <w:rsid w:val="009549DC"/>
    <w:rsid w:val="00954B8E"/>
    <w:rsid w:val="009552DE"/>
    <w:rsid w:val="009552F5"/>
    <w:rsid w:val="0095581D"/>
    <w:rsid w:val="00955B14"/>
    <w:rsid w:val="00955E40"/>
    <w:rsid w:val="00957145"/>
    <w:rsid w:val="00957AF9"/>
    <w:rsid w:val="009616C3"/>
    <w:rsid w:val="0096218E"/>
    <w:rsid w:val="0096224D"/>
    <w:rsid w:val="00962683"/>
    <w:rsid w:val="00962AD2"/>
    <w:rsid w:val="00962CB9"/>
    <w:rsid w:val="00962FC4"/>
    <w:rsid w:val="0096360B"/>
    <w:rsid w:val="00963DE2"/>
    <w:rsid w:val="00963FF2"/>
    <w:rsid w:val="00964312"/>
    <w:rsid w:val="009646ED"/>
    <w:rsid w:val="009652E3"/>
    <w:rsid w:val="009655D0"/>
    <w:rsid w:val="00965726"/>
    <w:rsid w:val="00965992"/>
    <w:rsid w:val="00965BE4"/>
    <w:rsid w:val="00967869"/>
    <w:rsid w:val="0097059F"/>
    <w:rsid w:val="009716ED"/>
    <w:rsid w:val="00971937"/>
    <w:rsid w:val="00971C5B"/>
    <w:rsid w:val="00971E2D"/>
    <w:rsid w:val="00972424"/>
    <w:rsid w:val="009728BB"/>
    <w:rsid w:val="00972E44"/>
    <w:rsid w:val="00973B04"/>
    <w:rsid w:val="009743AC"/>
    <w:rsid w:val="009748F2"/>
    <w:rsid w:val="00974C4F"/>
    <w:rsid w:val="00974FC5"/>
    <w:rsid w:val="00975A75"/>
    <w:rsid w:val="00975B55"/>
    <w:rsid w:val="00975DA5"/>
    <w:rsid w:val="00975FD0"/>
    <w:rsid w:val="009771FC"/>
    <w:rsid w:val="009802AF"/>
    <w:rsid w:val="00980978"/>
    <w:rsid w:val="00980D99"/>
    <w:rsid w:val="0098175E"/>
    <w:rsid w:val="00981766"/>
    <w:rsid w:val="00981F0E"/>
    <w:rsid w:val="009824C1"/>
    <w:rsid w:val="00982581"/>
    <w:rsid w:val="0098276B"/>
    <w:rsid w:val="00982E21"/>
    <w:rsid w:val="00982F4D"/>
    <w:rsid w:val="00982F83"/>
    <w:rsid w:val="00983E57"/>
    <w:rsid w:val="00984D2F"/>
    <w:rsid w:val="009855DF"/>
    <w:rsid w:val="009862C6"/>
    <w:rsid w:val="00986966"/>
    <w:rsid w:val="00987423"/>
    <w:rsid w:val="009876D2"/>
    <w:rsid w:val="00987829"/>
    <w:rsid w:val="0098792A"/>
    <w:rsid w:val="00987A49"/>
    <w:rsid w:val="0099002C"/>
    <w:rsid w:val="009906B0"/>
    <w:rsid w:val="00990D4A"/>
    <w:rsid w:val="009914EC"/>
    <w:rsid w:val="00991AF6"/>
    <w:rsid w:val="0099254A"/>
    <w:rsid w:val="0099274F"/>
    <w:rsid w:val="0099295E"/>
    <w:rsid w:val="00992A11"/>
    <w:rsid w:val="00992ADE"/>
    <w:rsid w:val="00993363"/>
    <w:rsid w:val="0099359D"/>
    <w:rsid w:val="00993602"/>
    <w:rsid w:val="009937AB"/>
    <w:rsid w:val="009946DE"/>
    <w:rsid w:val="009947A9"/>
    <w:rsid w:val="009947D6"/>
    <w:rsid w:val="0099481F"/>
    <w:rsid w:val="00994F89"/>
    <w:rsid w:val="009952E5"/>
    <w:rsid w:val="00995472"/>
    <w:rsid w:val="00996B1A"/>
    <w:rsid w:val="009974C0"/>
    <w:rsid w:val="00997C1E"/>
    <w:rsid w:val="00997CB5"/>
    <w:rsid w:val="009A06FF"/>
    <w:rsid w:val="009A0A63"/>
    <w:rsid w:val="009A0C86"/>
    <w:rsid w:val="009A14A2"/>
    <w:rsid w:val="009A1953"/>
    <w:rsid w:val="009A1E7F"/>
    <w:rsid w:val="009A2AB8"/>
    <w:rsid w:val="009A2B5C"/>
    <w:rsid w:val="009A2C42"/>
    <w:rsid w:val="009A395C"/>
    <w:rsid w:val="009A40D7"/>
    <w:rsid w:val="009A5465"/>
    <w:rsid w:val="009A5A85"/>
    <w:rsid w:val="009A5CC7"/>
    <w:rsid w:val="009A6086"/>
    <w:rsid w:val="009A6930"/>
    <w:rsid w:val="009A6ABD"/>
    <w:rsid w:val="009A739B"/>
    <w:rsid w:val="009A7ABB"/>
    <w:rsid w:val="009A7F66"/>
    <w:rsid w:val="009B0B41"/>
    <w:rsid w:val="009B122F"/>
    <w:rsid w:val="009B1281"/>
    <w:rsid w:val="009B1551"/>
    <w:rsid w:val="009B21FA"/>
    <w:rsid w:val="009B2447"/>
    <w:rsid w:val="009B2978"/>
    <w:rsid w:val="009B2ABA"/>
    <w:rsid w:val="009B37F1"/>
    <w:rsid w:val="009B3833"/>
    <w:rsid w:val="009B3C3F"/>
    <w:rsid w:val="009B3E26"/>
    <w:rsid w:val="009B403C"/>
    <w:rsid w:val="009B502C"/>
    <w:rsid w:val="009B6A52"/>
    <w:rsid w:val="009B700D"/>
    <w:rsid w:val="009C0001"/>
    <w:rsid w:val="009C0679"/>
    <w:rsid w:val="009C0A51"/>
    <w:rsid w:val="009C1347"/>
    <w:rsid w:val="009C167E"/>
    <w:rsid w:val="009C1702"/>
    <w:rsid w:val="009C1B7B"/>
    <w:rsid w:val="009C2525"/>
    <w:rsid w:val="009C2969"/>
    <w:rsid w:val="009C2C5E"/>
    <w:rsid w:val="009C3189"/>
    <w:rsid w:val="009C3D00"/>
    <w:rsid w:val="009C4028"/>
    <w:rsid w:val="009C4498"/>
    <w:rsid w:val="009C5433"/>
    <w:rsid w:val="009C6539"/>
    <w:rsid w:val="009C7D75"/>
    <w:rsid w:val="009D0661"/>
    <w:rsid w:val="009D0A1C"/>
    <w:rsid w:val="009D0F80"/>
    <w:rsid w:val="009D10C7"/>
    <w:rsid w:val="009D1121"/>
    <w:rsid w:val="009D18D4"/>
    <w:rsid w:val="009D211C"/>
    <w:rsid w:val="009D2603"/>
    <w:rsid w:val="009D2780"/>
    <w:rsid w:val="009D2E29"/>
    <w:rsid w:val="009D3CC2"/>
    <w:rsid w:val="009D4CC7"/>
    <w:rsid w:val="009D5B91"/>
    <w:rsid w:val="009D666B"/>
    <w:rsid w:val="009D6E07"/>
    <w:rsid w:val="009D7B53"/>
    <w:rsid w:val="009D7EAB"/>
    <w:rsid w:val="009D7FB3"/>
    <w:rsid w:val="009E0118"/>
    <w:rsid w:val="009E0904"/>
    <w:rsid w:val="009E1742"/>
    <w:rsid w:val="009E1898"/>
    <w:rsid w:val="009E198A"/>
    <w:rsid w:val="009E1D4C"/>
    <w:rsid w:val="009E205E"/>
    <w:rsid w:val="009E206B"/>
    <w:rsid w:val="009E2E8D"/>
    <w:rsid w:val="009E30BA"/>
    <w:rsid w:val="009E388D"/>
    <w:rsid w:val="009E48AA"/>
    <w:rsid w:val="009E4B72"/>
    <w:rsid w:val="009E4C07"/>
    <w:rsid w:val="009E6885"/>
    <w:rsid w:val="009F01C0"/>
    <w:rsid w:val="009F04D5"/>
    <w:rsid w:val="009F1095"/>
    <w:rsid w:val="009F17C5"/>
    <w:rsid w:val="009F1A1B"/>
    <w:rsid w:val="009F2276"/>
    <w:rsid w:val="009F2C31"/>
    <w:rsid w:val="009F3FA7"/>
    <w:rsid w:val="009F4646"/>
    <w:rsid w:val="009F47EA"/>
    <w:rsid w:val="009F4BEC"/>
    <w:rsid w:val="009F5607"/>
    <w:rsid w:val="009F5C1C"/>
    <w:rsid w:val="009F639A"/>
    <w:rsid w:val="009F712E"/>
    <w:rsid w:val="009F76F5"/>
    <w:rsid w:val="009F7810"/>
    <w:rsid w:val="009F7E51"/>
    <w:rsid w:val="00A006A1"/>
    <w:rsid w:val="00A00C8C"/>
    <w:rsid w:val="00A01B7B"/>
    <w:rsid w:val="00A01E86"/>
    <w:rsid w:val="00A02557"/>
    <w:rsid w:val="00A030D6"/>
    <w:rsid w:val="00A03D43"/>
    <w:rsid w:val="00A042FB"/>
    <w:rsid w:val="00A04380"/>
    <w:rsid w:val="00A048C3"/>
    <w:rsid w:val="00A04CDB"/>
    <w:rsid w:val="00A0508C"/>
    <w:rsid w:val="00A05733"/>
    <w:rsid w:val="00A058EC"/>
    <w:rsid w:val="00A072C5"/>
    <w:rsid w:val="00A07486"/>
    <w:rsid w:val="00A07BC2"/>
    <w:rsid w:val="00A10155"/>
    <w:rsid w:val="00A105A9"/>
    <w:rsid w:val="00A108F0"/>
    <w:rsid w:val="00A10962"/>
    <w:rsid w:val="00A1108A"/>
    <w:rsid w:val="00A11A9D"/>
    <w:rsid w:val="00A1204F"/>
    <w:rsid w:val="00A120EC"/>
    <w:rsid w:val="00A1280C"/>
    <w:rsid w:val="00A12D21"/>
    <w:rsid w:val="00A130D6"/>
    <w:rsid w:val="00A13683"/>
    <w:rsid w:val="00A13948"/>
    <w:rsid w:val="00A1443C"/>
    <w:rsid w:val="00A14A94"/>
    <w:rsid w:val="00A14F1F"/>
    <w:rsid w:val="00A15F28"/>
    <w:rsid w:val="00A17372"/>
    <w:rsid w:val="00A17392"/>
    <w:rsid w:val="00A17901"/>
    <w:rsid w:val="00A17A3E"/>
    <w:rsid w:val="00A20401"/>
    <w:rsid w:val="00A20718"/>
    <w:rsid w:val="00A2165B"/>
    <w:rsid w:val="00A22196"/>
    <w:rsid w:val="00A2223E"/>
    <w:rsid w:val="00A2232E"/>
    <w:rsid w:val="00A22F6B"/>
    <w:rsid w:val="00A2356D"/>
    <w:rsid w:val="00A244CE"/>
    <w:rsid w:val="00A249A0"/>
    <w:rsid w:val="00A24AC0"/>
    <w:rsid w:val="00A24E96"/>
    <w:rsid w:val="00A24FD1"/>
    <w:rsid w:val="00A25AB0"/>
    <w:rsid w:val="00A26288"/>
    <w:rsid w:val="00A26B75"/>
    <w:rsid w:val="00A27784"/>
    <w:rsid w:val="00A27AEC"/>
    <w:rsid w:val="00A303F6"/>
    <w:rsid w:val="00A304E0"/>
    <w:rsid w:val="00A30E23"/>
    <w:rsid w:val="00A30E55"/>
    <w:rsid w:val="00A319DC"/>
    <w:rsid w:val="00A31F04"/>
    <w:rsid w:val="00A31F1D"/>
    <w:rsid w:val="00A3209D"/>
    <w:rsid w:val="00A324A0"/>
    <w:rsid w:val="00A3277C"/>
    <w:rsid w:val="00A32904"/>
    <w:rsid w:val="00A33953"/>
    <w:rsid w:val="00A34288"/>
    <w:rsid w:val="00A344A9"/>
    <w:rsid w:val="00A35226"/>
    <w:rsid w:val="00A354AC"/>
    <w:rsid w:val="00A35D16"/>
    <w:rsid w:val="00A36B14"/>
    <w:rsid w:val="00A36C19"/>
    <w:rsid w:val="00A37E48"/>
    <w:rsid w:val="00A400D9"/>
    <w:rsid w:val="00A40295"/>
    <w:rsid w:val="00A4073C"/>
    <w:rsid w:val="00A40978"/>
    <w:rsid w:val="00A41691"/>
    <w:rsid w:val="00A417F2"/>
    <w:rsid w:val="00A418B0"/>
    <w:rsid w:val="00A42255"/>
    <w:rsid w:val="00A4245C"/>
    <w:rsid w:val="00A425A3"/>
    <w:rsid w:val="00A42BA2"/>
    <w:rsid w:val="00A432D1"/>
    <w:rsid w:val="00A43461"/>
    <w:rsid w:val="00A43512"/>
    <w:rsid w:val="00A437AE"/>
    <w:rsid w:val="00A43C59"/>
    <w:rsid w:val="00A442AC"/>
    <w:rsid w:val="00A44811"/>
    <w:rsid w:val="00A4491C"/>
    <w:rsid w:val="00A4503E"/>
    <w:rsid w:val="00A45180"/>
    <w:rsid w:val="00A460F0"/>
    <w:rsid w:val="00A46110"/>
    <w:rsid w:val="00A46113"/>
    <w:rsid w:val="00A46671"/>
    <w:rsid w:val="00A46D91"/>
    <w:rsid w:val="00A47A7E"/>
    <w:rsid w:val="00A501E2"/>
    <w:rsid w:val="00A50ECD"/>
    <w:rsid w:val="00A52729"/>
    <w:rsid w:val="00A53163"/>
    <w:rsid w:val="00A53267"/>
    <w:rsid w:val="00A53675"/>
    <w:rsid w:val="00A541A3"/>
    <w:rsid w:val="00A54C2C"/>
    <w:rsid w:val="00A54C2F"/>
    <w:rsid w:val="00A55AFD"/>
    <w:rsid w:val="00A55F25"/>
    <w:rsid w:val="00A56030"/>
    <w:rsid w:val="00A56091"/>
    <w:rsid w:val="00A561BE"/>
    <w:rsid w:val="00A56509"/>
    <w:rsid w:val="00A56B6A"/>
    <w:rsid w:val="00A56EC6"/>
    <w:rsid w:val="00A5773F"/>
    <w:rsid w:val="00A578DC"/>
    <w:rsid w:val="00A6014A"/>
    <w:rsid w:val="00A6055B"/>
    <w:rsid w:val="00A60887"/>
    <w:rsid w:val="00A6106C"/>
    <w:rsid w:val="00A61C76"/>
    <w:rsid w:val="00A61CBD"/>
    <w:rsid w:val="00A633F3"/>
    <w:rsid w:val="00A634AD"/>
    <w:rsid w:val="00A63CC3"/>
    <w:rsid w:val="00A65134"/>
    <w:rsid w:val="00A658DC"/>
    <w:rsid w:val="00A65ABD"/>
    <w:rsid w:val="00A65AFD"/>
    <w:rsid w:val="00A66223"/>
    <w:rsid w:val="00A666F9"/>
    <w:rsid w:val="00A66736"/>
    <w:rsid w:val="00A66E51"/>
    <w:rsid w:val="00A66EA4"/>
    <w:rsid w:val="00A6725B"/>
    <w:rsid w:val="00A673A7"/>
    <w:rsid w:val="00A6777B"/>
    <w:rsid w:val="00A70F04"/>
    <w:rsid w:val="00A717E7"/>
    <w:rsid w:val="00A71CDA"/>
    <w:rsid w:val="00A72493"/>
    <w:rsid w:val="00A728E2"/>
    <w:rsid w:val="00A72A70"/>
    <w:rsid w:val="00A72B3E"/>
    <w:rsid w:val="00A73742"/>
    <w:rsid w:val="00A738E7"/>
    <w:rsid w:val="00A73C3F"/>
    <w:rsid w:val="00A7491F"/>
    <w:rsid w:val="00A752C2"/>
    <w:rsid w:val="00A7627B"/>
    <w:rsid w:val="00A76773"/>
    <w:rsid w:val="00A77D55"/>
    <w:rsid w:val="00A804B6"/>
    <w:rsid w:val="00A804C1"/>
    <w:rsid w:val="00A808D2"/>
    <w:rsid w:val="00A80DEA"/>
    <w:rsid w:val="00A810DF"/>
    <w:rsid w:val="00A811D4"/>
    <w:rsid w:val="00A814AE"/>
    <w:rsid w:val="00A8200A"/>
    <w:rsid w:val="00A82337"/>
    <w:rsid w:val="00A82779"/>
    <w:rsid w:val="00A8290B"/>
    <w:rsid w:val="00A82C33"/>
    <w:rsid w:val="00A82E1C"/>
    <w:rsid w:val="00A83475"/>
    <w:rsid w:val="00A85757"/>
    <w:rsid w:val="00A85B07"/>
    <w:rsid w:val="00A86AA1"/>
    <w:rsid w:val="00A86E8B"/>
    <w:rsid w:val="00A86EF2"/>
    <w:rsid w:val="00A8717E"/>
    <w:rsid w:val="00A90418"/>
    <w:rsid w:val="00A90ABF"/>
    <w:rsid w:val="00A90E4B"/>
    <w:rsid w:val="00A90F4A"/>
    <w:rsid w:val="00A92312"/>
    <w:rsid w:val="00A9249E"/>
    <w:rsid w:val="00A92A99"/>
    <w:rsid w:val="00A92AA3"/>
    <w:rsid w:val="00A93072"/>
    <w:rsid w:val="00A933F9"/>
    <w:rsid w:val="00A94EFD"/>
    <w:rsid w:val="00A959D8"/>
    <w:rsid w:val="00A95EFB"/>
    <w:rsid w:val="00A96EFF"/>
    <w:rsid w:val="00A97E4E"/>
    <w:rsid w:val="00A97F1D"/>
    <w:rsid w:val="00AA0651"/>
    <w:rsid w:val="00AA0FAE"/>
    <w:rsid w:val="00AA11FA"/>
    <w:rsid w:val="00AA15D5"/>
    <w:rsid w:val="00AA1FD1"/>
    <w:rsid w:val="00AA26AB"/>
    <w:rsid w:val="00AA292F"/>
    <w:rsid w:val="00AA3B5A"/>
    <w:rsid w:val="00AA404E"/>
    <w:rsid w:val="00AA48FA"/>
    <w:rsid w:val="00AA4DBD"/>
    <w:rsid w:val="00AA4ED1"/>
    <w:rsid w:val="00AA4F7B"/>
    <w:rsid w:val="00AA5713"/>
    <w:rsid w:val="00AA5B30"/>
    <w:rsid w:val="00AA5E31"/>
    <w:rsid w:val="00AA6508"/>
    <w:rsid w:val="00AA65AF"/>
    <w:rsid w:val="00AA6A39"/>
    <w:rsid w:val="00AA70CF"/>
    <w:rsid w:val="00AA780F"/>
    <w:rsid w:val="00AB01C5"/>
    <w:rsid w:val="00AB042A"/>
    <w:rsid w:val="00AB0BE5"/>
    <w:rsid w:val="00AB1B1E"/>
    <w:rsid w:val="00AB1F00"/>
    <w:rsid w:val="00AB2C54"/>
    <w:rsid w:val="00AB2C9B"/>
    <w:rsid w:val="00AB2D34"/>
    <w:rsid w:val="00AB3430"/>
    <w:rsid w:val="00AB34AD"/>
    <w:rsid w:val="00AB36B9"/>
    <w:rsid w:val="00AB3EAB"/>
    <w:rsid w:val="00AB4D1A"/>
    <w:rsid w:val="00AB4D87"/>
    <w:rsid w:val="00AB4F3B"/>
    <w:rsid w:val="00AB56D5"/>
    <w:rsid w:val="00AB6435"/>
    <w:rsid w:val="00AB659B"/>
    <w:rsid w:val="00AB65E1"/>
    <w:rsid w:val="00AB669A"/>
    <w:rsid w:val="00AB7CFA"/>
    <w:rsid w:val="00AC0756"/>
    <w:rsid w:val="00AC0C4D"/>
    <w:rsid w:val="00AC0DB0"/>
    <w:rsid w:val="00AC18BF"/>
    <w:rsid w:val="00AC2AD1"/>
    <w:rsid w:val="00AC2C2F"/>
    <w:rsid w:val="00AC2E8B"/>
    <w:rsid w:val="00AC43E4"/>
    <w:rsid w:val="00AC49A6"/>
    <w:rsid w:val="00AC4D6E"/>
    <w:rsid w:val="00AC5D8C"/>
    <w:rsid w:val="00AC6FE6"/>
    <w:rsid w:val="00AC710E"/>
    <w:rsid w:val="00AD025D"/>
    <w:rsid w:val="00AD08FC"/>
    <w:rsid w:val="00AD0FB9"/>
    <w:rsid w:val="00AD1425"/>
    <w:rsid w:val="00AD1DAD"/>
    <w:rsid w:val="00AD1E83"/>
    <w:rsid w:val="00AD2338"/>
    <w:rsid w:val="00AD2567"/>
    <w:rsid w:val="00AD2572"/>
    <w:rsid w:val="00AD271E"/>
    <w:rsid w:val="00AD2CC0"/>
    <w:rsid w:val="00AD2E70"/>
    <w:rsid w:val="00AD3655"/>
    <w:rsid w:val="00AD3C6D"/>
    <w:rsid w:val="00AD3F91"/>
    <w:rsid w:val="00AD559A"/>
    <w:rsid w:val="00AD5A41"/>
    <w:rsid w:val="00AD6000"/>
    <w:rsid w:val="00AD6CFA"/>
    <w:rsid w:val="00AD7025"/>
    <w:rsid w:val="00AD7386"/>
    <w:rsid w:val="00AD7866"/>
    <w:rsid w:val="00AD7E89"/>
    <w:rsid w:val="00AE0819"/>
    <w:rsid w:val="00AE14DF"/>
    <w:rsid w:val="00AE25EA"/>
    <w:rsid w:val="00AE2A06"/>
    <w:rsid w:val="00AE2DAB"/>
    <w:rsid w:val="00AE3687"/>
    <w:rsid w:val="00AE3B89"/>
    <w:rsid w:val="00AE3BD8"/>
    <w:rsid w:val="00AE3CF7"/>
    <w:rsid w:val="00AE4A35"/>
    <w:rsid w:val="00AE4BAB"/>
    <w:rsid w:val="00AE4D16"/>
    <w:rsid w:val="00AE4EFC"/>
    <w:rsid w:val="00AE4F4D"/>
    <w:rsid w:val="00AE53EA"/>
    <w:rsid w:val="00AE598C"/>
    <w:rsid w:val="00AE64A7"/>
    <w:rsid w:val="00AE7AF1"/>
    <w:rsid w:val="00AF0324"/>
    <w:rsid w:val="00AF08F3"/>
    <w:rsid w:val="00AF0A13"/>
    <w:rsid w:val="00AF0FAF"/>
    <w:rsid w:val="00AF0FFC"/>
    <w:rsid w:val="00AF1062"/>
    <w:rsid w:val="00AF10A2"/>
    <w:rsid w:val="00AF10C0"/>
    <w:rsid w:val="00AF1A52"/>
    <w:rsid w:val="00AF2983"/>
    <w:rsid w:val="00AF3D98"/>
    <w:rsid w:val="00AF5565"/>
    <w:rsid w:val="00AF5569"/>
    <w:rsid w:val="00AF5882"/>
    <w:rsid w:val="00AF5BE0"/>
    <w:rsid w:val="00AF67DB"/>
    <w:rsid w:val="00AF67E4"/>
    <w:rsid w:val="00AF688A"/>
    <w:rsid w:val="00AF6D04"/>
    <w:rsid w:val="00AF7390"/>
    <w:rsid w:val="00B008B1"/>
    <w:rsid w:val="00B02260"/>
    <w:rsid w:val="00B027EC"/>
    <w:rsid w:val="00B03FA7"/>
    <w:rsid w:val="00B055B1"/>
    <w:rsid w:val="00B05715"/>
    <w:rsid w:val="00B05F90"/>
    <w:rsid w:val="00B0601B"/>
    <w:rsid w:val="00B075AA"/>
    <w:rsid w:val="00B07EA5"/>
    <w:rsid w:val="00B10459"/>
    <w:rsid w:val="00B10C8D"/>
    <w:rsid w:val="00B10CE0"/>
    <w:rsid w:val="00B110B1"/>
    <w:rsid w:val="00B1189C"/>
    <w:rsid w:val="00B11982"/>
    <w:rsid w:val="00B11B44"/>
    <w:rsid w:val="00B11E99"/>
    <w:rsid w:val="00B131BC"/>
    <w:rsid w:val="00B13963"/>
    <w:rsid w:val="00B13D97"/>
    <w:rsid w:val="00B146F5"/>
    <w:rsid w:val="00B1476C"/>
    <w:rsid w:val="00B14D9A"/>
    <w:rsid w:val="00B15A72"/>
    <w:rsid w:val="00B15BB5"/>
    <w:rsid w:val="00B20553"/>
    <w:rsid w:val="00B20A2F"/>
    <w:rsid w:val="00B20D6D"/>
    <w:rsid w:val="00B21AAA"/>
    <w:rsid w:val="00B22340"/>
    <w:rsid w:val="00B22CDD"/>
    <w:rsid w:val="00B240DA"/>
    <w:rsid w:val="00B241E4"/>
    <w:rsid w:val="00B24C72"/>
    <w:rsid w:val="00B2540B"/>
    <w:rsid w:val="00B256FB"/>
    <w:rsid w:val="00B25AB5"/>
    <w:rsid w:val="00B25EC3"/>
    <w:rsid w:val="00B26AF4"/>
    <w:rsid w:val="00B26D7A"/>
    <w:rsid w:val="00B274FF"/>
    <w:rsid w:val="00B27662"/>
    <w:rsid w:val="00B3008E"/>
    <w:rsid w:val="00B31600"/>
    <w:rsid w:val="00B324EA"/>
    <w:rsid w:val="00B34DF7"/>
    <w:rsid w:val="00B34FDB"/>
    <w:rsid w:val="00B360B6"/>
    <w:rsid w:val="00B3707D"/>
    <w:rsid w:val="00B375D0"/>
    <w:rsid w:val="00B408A2"/>
    <w:rsid w:val="00B40E51"/>
    <w:rsid w:val="00B42401"/>
    <w:rsid w:val="00B42424"/>
    <w:rsid w:val="00B42851"/>
    <w:rsid w:val="00B4286A"/>
    <w:rsid w:val="00B429E0"/>
    <w:rsid w:val="00B42CBF"/>
    <w:rsid w:val="00B42F7A"/>
    <w:rsid w:val="00B44D86"/>
    <w:rsid w:val="00B45A42"/>
    <w:rsid w:val="00B45E49"/>
    <w:rsid w:val="00B462C5"/>
    <w:rsid w:val="00B46E97"/>
    <w:rsid w:val="00B477E0"/>
    <w:rsid w:val="00B502AF"/>
    <w:rsid w:val="00B50372"/>
    <w:rsid w:val="00B50DB8"/>
    <w:rsid w:val="00B51849"/>
    <w:rsid w:val="00B519EE"/>
    <w:rsid w:val="00B522E3"/>
    <w:rsid w:val="00B52615"/>
    <w:rsid w:val="00B52731"/>
    <w:rsid w:val="00B5307A"/>
    <w:rsid w:val="00B53148"/>
    <w:rsid w:val="00B53905"/>
    <w:rsid w:val="00B54750"/>
    <w:rsid w:val="00B548F2"/>
    <w:rsid w:val="00B54B5B"/>
    <w:rsid w:val="00B5562E"/>
    <w:rsid w:val="00B558CD"/>
    <w:rsid w:val="00B55D64"/>
    <w:rsid w:val="00B55E04"/>
    <w:rsid w:val="00B56445"/>
    <w:rsid w:val="00B56899"/>
    <w:rsid w:val="00B57000"/>
    <w:rsid w:val="00B57152"/>
    <w:rsid w:val="00B5771A"/>
    <w:rsid w:val="00B57C6B"/>
    <w:rsid w:val="00B600B4"/>
    <w:rsid w:val="00B60939"/>
    <w:rsid w:val="00B60AE1"/>
    <w:rsid w:val="00B60AFD"/>
    <w:rsid w:val="00B60BDE"/>
    <w:rsid w:val="00B61AC0"/>
    <w:rsid w:val="00B61BCE"/>
    <w:rsid w:val="00B6234E"/>
    <w:rsid w:val="00B62715"/>
    <w:rsid w:val="00B62835"/>
    <w:rsid w:val="00B63346"/>
    <w:rsid w:val="00B63F0D"/>
    <w:rsid w:val="00B65C0D"/>
    <w:rsid w:val="00B66030"/>
    <w:rsid w:val="00B6687C"/>
    <w:rsid w:val="00B670B3"/>
    <w:rsid w:val="00B67599"/>
    <w:rsid w:val="00B675D3"/>
    <w:rsid w:val="00B6784C"/>
    <w:rsid w:val="00B67A61"/>
    <w:rsid w:val="00B67A84"/>
    <w:rsid w:val="00B704BF"/>
    <w:rsid w:val="00B709BE"/>
    <w:rsid w:val="00B70C0B"/>
    <w:rsid w:val="00B71361"/>
    <w:rsid w:val="00B717A7"/>
    <w:rsid w:val="00B7264E"/>
    <w:rsid w:val="00B731B8"/>
    <w:rsid w:val="00B73685"/>
    <w:rsid w:val="00B73A87"/>
    <w:rsid w:val="00B74CA7"/>
    <w:rsid w:val="00B75531"/>
    <w:rsid w:val="00B75697"/>
    <w:rsid w:val="00B7650E"/>
    <w:rsid w:val="00B766E7"/>
    <w:rsid w:val="00B76A3F"/>
    <w:rsid w:val="00B76D2B"/>
    <w:rsid w:val="00B779ED"/>
    <w:rsid w:val="00B77C80"/>
    <w:rsid w:val="00B77E0F"/>
    <w:rsid w:val="00B77F69"/>
    <w:rsid w:val="00B80462"/>
    <w:rsid w:val="00B81293"/>
    <w:rsid w:val="00B81408"/>
    <w:rsid w:val="00B818A4"/>
    <w:rsid w:val="00B81C88"/>
    <w:rsid w:val="00B8222C"/>
    <w:rsid w:val="00B830DD"/>
    <w:rsid w:val="00B8488F"/>
    <w:rsid w:val="00B855D1"/>
    <w:rsid w:val="00B8568E"/>
    <w:rsid w:val="00B85E88"/>
    <w:rsid w:val="00B8649C"/>
    <w:rsid w:val="00B86C78"/>
    <w:rsid w:val="00B86E60"/>
    <w:rsid w:val="00B909B7"/>
    <w:rsid w:val="00B91439"/>
    <w:rsid w:val="00B922B4"/>
    <w:rsid w:val="00B922D4"/>
    <w:rsid w:val="00B92322"/>
    <w:rsid w:val="00B923AA"/>
    <w:rsid w:val="00B92D0B"/>
    <w:rsid w:val="00B9462A"/>
    <w:rsid w:val="00B94945"/>
    <w:rsid w:val="00B94F88"/>
    <w:rsid w:val="00B95082"/>
    <w:rsid w:val="00B95094"/>
    <w:rsid w:val="00B95381"/>
    <w:rsid w:val="00B95813"/>
    <w:rsid w:val="00B95F93"/>
    <w:rsid w:val="00B96DA3"/>
    <w:rsid w:val="00B97035"/>
    <w:rsid w:val="00B97AA6"/>
    <w:rsid w:val="00B97F4E"/>
    <w:rsid w:val="00BA0812"/>
    <w:rsid w:val="00BA0A79"/>
    <w:rsid w:val="00BA28EF"/>
    <w:rsid w:val="00BA2F2C"/>
    <w:rsid w:val="00BA2FA2"/>
    <w:rsid w:val="00BA3356"/>
    <w:rsid w:val="00BA3721"/>
    <w:rsid w:val="00BA4146"/>
    <w:rsid w:val="00BA4FFF"/>
    <w:rsid w:val="00BA525C"/>
    <w:rsid w:val="00BA52AE"/>
    <w:rsid w:val="00BA5E71"/>
    <w:rsid w:val="00BA652B"/>
    <w:rsid w:val="00BA65AB"/>
    <w:rsid w:val="00BA6A20"/>
    <w:rsid w:val="00BA6AA6"/>
    <w:rsid w:val="00BA71CB"/>
    <w:rsid w:val="00BB0057"/>
    <w:rsid w:val="00BB00D9"/>
    <w:rsid w:val="00BB07FE"/>
    <w:rsid w:val="00BB0D83"/>
    <w:rsid w:val="00BB16D9"/>
    <w:rsid w:val="00BB2385"/>
    <w:rsid w:val="00BB5223"/>
    <w:rsid w:val="00BB5462"/>
    <w:rsid w:val="00BB5D70"/>
    <w:rsid w:val="00BB5D86"/>
    <w:rsid w:val="00BB6A4D"/>
    <w:rsid w:val="00BB6E3C"/>
    <w:rsid w:val="00BB7032"/>
    <w:rsid w:val="00BB7405"/>
    <w:rsid w:val="00BC019E"/>
    <w:rsid w:val="00BC01E9"/>
    <w:rsid w:val="00BC054E"/>
    <w:rsid w:val="00BC07D9"/>
    <w:rsid w:val="00BC1A7A"/>
    <w:rsid w:val="00BC1BD7"/>
    <w:rsid w:val="00BC2336"/>
    <w:rsid w:val="00BC3095"/>
    <w:rsid w:val="00BC4146"/>
    <w:rsid w:val="00BC4188"/>
    <w:rsid w:val="00BC483F"/>
    <w:rsid w:val="00BC5035"/>
    <w:rsid w:val="00BC5461"/>
    <w:rsid w:val="00BC54E0"/>
    <w:rsid w:val="00BC56F9"/>
    <w:rsid w:val="00BC634C"/>
    <w:rsid w:val="00BC67FE"/>
    <w:rsid w:val="00BC696C"/>
    <w:rsid w:val="00BC6C00"/>
    <w:rsid w:val="00BC6DF2"/>
    <w:rsid w:val="00BC729C"/>
    <w:rsid w:val="00BD0974"/>
    <w:rsid w:val="00BD0CCD"/>
    <w:rsid w:val="00BD0EBB"/>
    <w:rsid w:val="00BD1231"/>
    <w:rsid w:val="00BD142E"/>
    <w:rsid w:val="00BD1799"/>
    <w:rsid w:val="00BD1982"/>
    <w:rsid w:val="00BD1F40"/>
    <w:rsid w:val="00BD26B8"/>
    <w:rsid w:val="00BD2865"/>
    <w:rsid w:val="00BD2973"/>
    <w:rsid w:val="00BD365B"/>
    <w:rsid w:val="00BD37D2"/>
    <w:rsid w:val="00BD386C"/>
    <w:rsid w:val="00BD3AAA"/>
    <w:rsid w:val="00BD3AF2"/>
    <w:rsid w:val="00BD3B8D"/>
    <w:rsid w:val="00BD3DEE"/>
    <w:rsid w:val="00BD420C"/>
    <w:rsid w:val="00BD4BC4"/>
    <w:rsid w:val="00BD4F95"/>
    <w:rsid w:val="00BD51D5"/>
    <w:rsid w:val="00BD55EB"/>
    <w:rsid w:val="00BD5710"/>
    <w:rsid w:val="00BD5A75"/>
    <w:rsid w:val="00BD5DF8"/>
    <w:rsid w:val="00BD6CF3"/>
    <w:rsid w:val="00BD7078"/>
    <w:rsid w:val="00BD79B2"/>
    <w:rsid w:val="00BE0368"/>
    <w:rsid w:val="00BE0CAE"/>
    <w:rsid w:val="00BE155D"/>
    <w:rsid w:val="00BE16CA"/>
    <w:rsid w:val="00BE2180"/>
    <w:rsid w:val="00BE22F8"/>
    <w:rsid w:val="00BE327F"/>
    <w:rsid w:val="00BE3906"/>
    <w:rsid w:val="00BE392D"/>
    <w:rsid w:val="00BE3A3A"/>
    <w:rsid w:val="00BE3A5F"/>
    <w:rsid w:val="00BE3C7C"/>
    <w:rsid w:val="00BE4203"/>
    <w:rsid w:val="00BE4275"/>
    <w:rsid w:val="00BE4F6D"/>
    <w:rsid w:val="00BE4FA1"/>
    <w:rsid w:val="00BE5C77"/>
    <w:rsid w:val="00BE6199"/>
    <w:rsid w:val="00BE7111"/>
    <w:rsid w:val="00BE712E"/>
    <w:rsid w:val="00BE7C1F"/>
    <w:rsid w:val="00BE7E05"/>
    <w:rsid w:val="00BF0089"/>
    <w:rsid w:val="00BF07AF"/>
    <w:rsid w:val="00BF14E9"/>
    <w:rsid w:val="00BF1698"/>
    <w:rsid w:val="00BF1FE0"/>
    <w:rsid w:val="00BF22A4"/>
    <w:rsid w:val="00BF2433"/>
    <w:rsid w:val="00BF2A4F"/>
    <w:rsid w:val="00BF2C00"/>
    <w:rsid w:val="00BF30C6"/>
    <w:rsid w:val="00BF3189"/>
    <w:rsid w:val="00BF3383"/>
    <w:rsid w:val="00BF378D"/>
    <w:rsid w:val="00BF473C"/>
    <w:rsid w:val="00BF4BEC"/>
    <w:rsid w:val="00BF4C9E"/>
    <w:rsid w:val="00BF51D5"/>
    <w:rsid w:val="00BF53A4"/>
    <w:rsid w:val="00BF61C9"/>
    <w:rsid w:val="00BF6549"/>
    <w:rsid w:val="00BF68B5"/>
    <w:rsid w:val="00BF6A35"/>
    <w:rsid w:val="00BF6D02"/>
    <w:rsid w:val="00BF7606"/>
    <w:rsid w:val="00BF7D22"/>
    <w:rsid w:val="00BF7FBA"/>
    <w:rsid w:val="00C003AA"/>
    <w:rsid w:val="00C00B1F"/>
    <w:rsid w:val="00C00E4F"/>
    <w:rsid w:val="00C022E2"/>
    <w:rsid w:val="00C0256D"/>
    <w:rsid w:val="00C030A5"/>
    <w:rsid w:val="00C03A08"/>
    <w:rsid w:val="00C03F5E"/>
    <w:rsid w:val="00C04127"/>
    <w:rsid w:val="00C04F21"/>
    <w:rsid w:val="00C05099"/>
    <w:rsid w:val="00C052E1"/>
    <w:rsid w:val="00C05617"/>
    <w:rsid w:val="00C05A22"/>
    <w:rsid w:val="00C05B78"/>
    <w:rsid w:val="00C0622B"/>
    <w:rsid w:val="00C06267"/>
    <w:rsid w:val="00C063E5"/>
    <w:rsid w:val="00C0658A"/>
    <w:rsid w:val="00C0693B"/>
    <w:rsid w:val="00C06BF4"/>
    <w:rsid w:val="00C06D5F"/>
    <w:rsid w:val="00C070B0"/>
    <w:rsid w:val="00C079A6"/>
    <w:rsid w:val="00C07A82"/>
    <w:rsid w:val="00C10100"/>
    <w:rsid w:val="00C103E9"/>
    <w:rsid w:val="00C11414"/>
    <w:rsid w:val="00C11981"/>
    <w:rsid w:val="00C11C3C"/>
    <w:rsid w:val="00C11D4C"/>
    <w:rsid w:val="00C11E85"/>
    <w:rsid w:val="00C1305C"/>
    <w:rsid w:val="00C132AE"/>
    <w:rsid w:val="00C146E7"/>
    <w:rsid w:val="00C1623E"/>
    <w:rsid w:val="00C1640E"/>
    <w:rsid w:val="00C1702B"/>
    <w:rsid w:val="00C17092"/>
    <w:rsid w:val="00C17335"/>
    <w:rsid w:val="00C20BBF"/>
    <w:rsid w:val="00C216E2"/>
    <w:rsid w:val="00C21C3F"/>
    <w:rsid w:val="00C21E02"/>
    <w:rsid w:val="00C23162"/>
    <w:rsid w:val="00C23A96"/>
    <w:rsid w:val="00C24C28"/>
    <w:rsid w:val="00C25418"/>
    <w:rsid w:val="00C25AEF"/>
    <w:rsid w:val="00C25D9C"/>
    <w:rsid w:val="00C26519"/>
    <w:rsid w:val="00C271ED"/>
    <w:rsid w:val="00C3047C"/>
    <w:rsid w:val="00C31649"/>
    <w:rsid w:val="00C32078"/>
    <w:rsid w:val="00C3224D"/>
    <w:rsid w:val="00C33F80"/>
    <w:rsid w:val="00C3417F"/>
    <w:rsid w:val="00C34334"/>
    <w:rsid w:val="00C34872"/>
    <w:rsid w:val="00C355C9"/>
    <w:rsid w:val="00C36DA1"/>
    <w:rsid w:val="00C37DDC"/>
    <w:rsid w:val="00C37F4E"/>
    <w:rsid w:val="00C40362"/>
    <w:rsid w:val="00C40385"/>
    <w:rsid w:val="00C40508"/>
    <w:rsid w:val="00C40A58"/>
    <w:rsid w:val="00C40AF2"/>
    <w:rsid w:val="00C40C0B"/>
    <w:rsid w:val="00C40D73"/>
    <w:rsid w:val="00C40F22"/>
    <w:rsid w:val="00C41E35"/>
    <w:rsid w:val="00C42EF5"/>
    <w:rsid w:val="00C4340B"/>
    <w:rsid w:val="00C44C03"/>
    <w:rsid w:val="00C455E6"/>
    <w:rsid w:val="00C4612F"/>
    <w:rsid w:val="00C478D7"/>
    <w:rsid w:val="00C50093"/>
    <w:rsid w:val="00C501B2"/>
    <w:rsid w:val="00C50CC8"/>
    <w:rsid w:val="00C51164"/>
    <w:rsid w:val="00C51272"/>
    <w:rsid w:val="00C512D3"/>
    <w:rsid w:val="00C5130F"/>
    <w:rsid w:val="00C5134F"/>
    <w:rsid w:val="00C517EC"/>
    <w:rsid w:val="00C51941"/>
    <w:rsid w:val="00C51B16"/>
    <w:rsid w:val="00C52AA7"/>
    <w:rsid w:val="00C5318A"/>
    <w:rsid w:val="00C533AB"/>
    <w:rsid w:val="00C536E4"/>
    <w:rsid w:val="00C542D0"/>
    <w:rsid w:val="00C5449E"/>
    <w:rsid w:val="00C5495F"/>
    <w:rsid w:val="00C549FA"/>
    <w:rsid w:val="00C55E58"/>
    <w:rsid w:val="00C5639B"/>
    <w:rsid w:val="00C56603"/>
    <w:rsid w:val="00C56761"/>
    <w:rsid w:val="00C578DB"/>
    <w:rsid w:val="00C6007D"/>
    <w:rsid w:val="00C60CCB"/>
    <w:rsid w:val="00C60EE6"/>
    <w:rsid w:val="00C62168"/>
    <w:rsid w:val="00C625E6"/>
    <w:rsid w:val="00C62DFB"/>
    <w:rsid w:val="00C6328A"/>
    <w:rsid w:val="00C63454"/>
    <w:rsid w:val="00C646B9"/>
    <w:rsid w:val="00C6473A"/>
    <w:rsid w:val="00C64B04"/>
    <w:rsid w:val="00C65576"/>
    <w:rsid w:val="00C65CF8"/>
    <w:rsid w:val="00C66165"/>
    <w:rsid w:val="00C6674D"/>
    <w:rsid w:val="00C674E6"/>
    <w:rsid w:val="00C6753D"/>
    <w:rsid w:val="00C678D8"/>
    <w:rsid w:val="00C67986"/>
    <w:rsid w:val="00C67D6B"/>
    <w:rsid w:val="00C7124D"/>
    <w:rsid w:val="00C71453"/>
    <w:rsid w:val="00C71763"/>
    <w:rsid w:val="00C71C32"/>
    <w:rsid w:val="00C71D1F"/>
    <w:rsid w:val="00C726B9"/>
    <w:rsid w:val="00C72A53"/>
    <w:rsid w:val="00C72B70"/>
    <w:rsid w:val="00C72BEC"/>
    <w:rsid w:val="00C731C5"/>
    <w:rsid w:val="00C73252"/>
    <w:rsid w:val="00C73619"/>
    <w:rsid w:val="00C74130"/>
    <w:rsid w:val="00C74D44"/>
    <w:rsid w:val="00C750C8"/>
    <w:rsid w:val="00C75D3A"/>
    <w:rsid w:val="00C75F8A"/>
    <w:rsid w:val="00C76B9F"/>
    <w:rsid w:val="00C76DCB"/>
    <w:rsid w:val="00C770FF"/>
    <w:rsid w:val="00C774D2"/>
    <w:rsid w:val="00C77C4E"/>
    <w:rsid w:val="00C80344"/>
    <w:rsid w:val="00C8099F"/>
    <w:rsid w:val="00C8141B"/>
    <w:rsid w:val="00C8213F"/>
    <w:rsid w:val="00C836A5"/>
    <w:rsid w:val="00C847E3"/>
    <w:rsid w:val="00C8501D"/>
    <w:rsid w:val="00C85103"/>
    <w:rsid w:val="00C85E50"/>
    <w:rsid w:val="00C86310"/>
    <w:rsid w:val="00C8652B"/>
    <w:rsid w:val="00C8797A"/>
    <w:rsid w:val="00C87F2C"/>
    <w:rsid w:val="00C900FF"/>
    <w:rsid w:val="00C9012E"/>
    <w:rsid w:val="00C90C9F"/>
    <w:rsid w:val="00C90EE2"/>
    <w:rsid w:val="00C919A8"/>
    <w:rsid w:val="00C92C84"/>
    <w:rsid w:val="00C92E40"/>
    <w:rsid w:val="00C938CF"/>
    <w:rsid w:val="00C93E5F"/>
    <w:rsid w:val="00C94BAD"/>
    <w:rsid w:val="00C94CD1"/>
    <w:rsid w:val="00C94E47"/>
    <w:rsid w:val="00C9564D"/>
    <w:rsid w:val="00C956B9"/>
    <w:rsid w:val="00C957ED"/>
    <w:rsid w:val="00C9681D"/>
    <w:rsid w:val="00C96BA8"/>
    <w:rsid w:val="00C9727D"/>
    <w:rsid w:val="00C978FA"/>
    <w:rsid w:val="00C97B6D"/>
    <w:rsid w:val="00C97C81"/>
    <w:rsid w:val="00CA0097"/>
    <w:rsid w:val="00CA047C"/>
    <w:rsid w:val="00CA1696"/>
    <w:rsid w:val="00CA1B45"/>
    <w:rsid w:val="00CA31C8"/>
    <w:rsid w:val="00CA3394"/>
    <w:rsid w:val="00CA3924"/>
    <w:rsid w:val="00CA3DD5"/>
    <w:rsid w:val="00CA3FC3"/>
    <w:rsid w:val="00CA480E"/>
    <w:rsid w:val="00CA4BE5"/>
    <w:rsid w:val="00CA4E2F"/>
    <w:rsid w:val="00CA5245"/>
    <w:rsid w:val="00CA5EDA"/>
    <w:rsid w:val="00CA687A"/>
    <w:rsid w:val="00CA6FBE"/>
    <w:rsid w:val="00CA6FE0"/>
    <w:rsid w:val="00CA713A"/>
    <w:rsid w:val="00CA7602"/>
    <w:rsid w:val="00CA7B09"/>
    <w:rsid w:val="00CB06E5"/>
    <w:rsid w:val="00CB0EBB"/>
    <w:rsid w:val="00CB118F"/>
    <w:rsid w:val="00CB1757"/>
    <w:rsid w:val="00CB1916"/>
    <w:rsid w:val="00CB1BC3"/>
    <w:rsid w:val="00CB2117"/>
    <w:rsid w:val="00CB2CCC"/>
    <w:rsid w:val="00CB3C34"/>
    <w:rsid w:val="00CB4138"/>
    <w:rsid w:val="00CB449C"/>
    <w:rsid w:val="00CB5B1A"/>
    <w:rsid w:val="00CB6BE5"/>
    <w:rsid w:val="00CB77BE"/>
    <w:rsid w:val="00CB7F31"/>
    <w:rsid w:val="00CC120C"/>
    <w:rsid w:val="00CC2E37"/>
    <w:rsid w:val="00CC337C"/>
    <w:rsid w:val="00CC45A4"/>
    <w:rsid w:val="00CC4A32"/>
    <w:rsid w:val="00CC53C5"/>
    <w:rsid w:val="00CC597F"/>
    <w:rsid w:val="00CC5C1E"/>
    <w:rsid w:val="00CC70E1"/>
    <w:rsid w:val="00CC79E4"/>
    <w:rsid w:val="00CD0096"/>
    <w:rsid w:val="00CD0A84"/>
    <w:rsid w:val="00CD16CB"/>
    <w:rsid w:val="00CD1789"/>
    <w:rsid w:val="00CD1FCC"/>
    <w:rsid w:val="00CD249C"/>
    <w:rsid w:val="00CD3323"/>
    <w:rsid w:val="00CD4145"/>
    <w:rsid w:val="00CD42D3"/>
    <w:rsid w:val="00CD472E"/>
    <w:rsid w:val="00CD4F2A"/>
    <w:rsid w:val="00CD55FC"/>
    <w:rsid w:val="00CD58F7"/>
    <w:rsid w:val="00CD5EF9"/>
    <w:rsid w:val="00CD6ADC"/>
    <w:rsid w:val="00CD7594"/>
    <w:rsid w:val="00CD77A1"/>
    <w:rsid w:val="00CD7F79"/>
    <w:rsid w:val="00CE12F9"/>
    <w:rsid w:val="00CE1D26"/>
    <w:rsid w:val="00CE2232"/>
    <w:rsid w:val="00CE335B"/>
    <w:rsid w:val="00CE36F1"/>
    <w:rsid w:val="00CE38ED"/>
    <w:rsid w:val="00CE419A"/>
    <w:rsid w:val="00CE4C35"/>
    <w:rsid w:val="00CE4DA4"/>
    <w:rsid w:val="00CE5217"/>
    <w:rsid w:val="00CE590F"/>
    <w:rsid w:val="00CE5F84"/>
    <w:rsid w:val="00CE6274"/>
    <w:rsid w:val="00CE655F"/>
    <w:rsid w:val="00CE69C6"/>
    <w:rsid w:val="00CE713E"/>
    <w:rsid w:val="00CE750D"/>
    <w:rsid w:val="00CE7582"/>
    <w:rsid w:val="00CF0590"/>
    <w:rsid w:val="00CF15FB"/>
    <w:rsid w:val="00CF1854"/>
    <w:rsid w:val="00CF1EBF"/>
    <w:rsid w:val="00CF2987"/>
    <w:rsid w:val="00CF2D1B"/>
    <w:rsid w:val="00CF2E11"/>
    <w:rsid w:val="00CF2FB1"/>
    <w:rsid w:val="00CF33BA"/>
    <w:rsid w:val="00CF3F40"/>
    <w:rsid w:val="00CF456B"/>
    <w:rsid w:val="00CF4CDD"/>
    <w:rsid w:val="00CF50A7"/>
    <w:rsid w:val="00CF583F"/>
    <w:rsid w:val="00CF5A22"/>
    <w:rsid w:val="00CF798E"/>
    <w:rsid w:val="00D0009A"/>
    <w:rsid w:val="00D0061B"/>
    <w:rsid w:val="00D008E4"/>
    <w:rsid w:val="00D00A6F"/>
    <w:rsid w:val="00D0211F"/>
    <w:rsid w:val="00D023FB"/>
    <w:rsid w:val="00D0262E"/>
    <w:rsid w:val="00D02F0C"/>
    <w:rsid w:val="00D0394E"/>
    <w:rsid w:val="00D03B06"/>
    <w:rsid w:val="00D04143"/>
    <w:rsid w:val="00D04D25"/>
    <w:rsid w:val="00D05F93"/>
    <w:rsid w:val="00D07030"/>
    <w:rsid w:val="00D10040"/>
    <w:rsid w:val="00D10A38"/>
    <w:rsid w:val="00D110BD"/>
    <w:rsid w:val="00D11BCC"/>
    <w:rsid w:val="00D11D17"/>
    <w:rsid w:val="00D12334"/>
    <w:rsid w:val="00D129F5"/>
    <w:rsid w:val="00D148B3"/>
    <w:rsid w:val="00D14B4F"/>
    <w:rsid w:val="00D14B9B"/>
    <w:rsid w:val="00D158EC"/>
    <w:rsid w:val="00D15E8D"/>
    <w:rsid w:val="00D15F6A"/>
    <w:rsid w:val="00D171AD"/>
    <w:rsid w:val="00D17805"/>
    <w:rsid w:val="00D17D6C"/>
    <w:rsid w:val="00D17EF7"/>
    <w:rsid w:val="00D2023B"/>
    <w:rsid w:val="00D20B06"/>
    <w:rsid w:val="00D21582"/>
    <w:rsid w:val="00D216C9"/>
    <w:rsid w:val="00D21DB7"/>
    <w:rsid w:val="00D220CF"/>
    <w:rsid w:val="00D2235E"/>
    <w:rsid w:val="00D2272A"/>
    <w:rsid w:val="00D23591"/>
    <w:rsid w:val="00D238E4"/>
    <w:rsid w:val="00D24267"/>
    <w:rsid w:val="00D24A92"/>
    <w:rsid w:val="00D24BC3"/>
    <w:rsid w:val="00D25D48"/>
    <w:rsid w:val="00D26141"/>
    <w:rsid w:val="00D26BDA"/>
    <w:rsid w:val="00D2732F"/>
    <w:rsid w:val="00D30669"/>
    <w:rsid w:val="00D315FC"/>
    <w:rsid w:val="00D319A3"/>
    <w:rsid w:val="00D325BE"/>
    <w:rsid w:val="00D328DE"/>
    <w:rsid w:val="00D32BA1"/>
    <w:rsid w:val="00D33C8D"/>
    <w:rsid w:val="00D3441E"/>
    <w:rsid w:val="00D34FD4"/>
    <w:rsid w:val="00D3529C"/>
    <w:rsid w:val="00D3577C"/>
    <w:rsid w:val="00D357FF"/>
    <w:rsid w:val="00D3581D"/>
    <w:rsid w:val="00D36217"/>
    <w:rsid w:val="00D36548"/>
    <w:rsid w:val="00D367ED"/>
    <w:rsid w:val="00D36CAB"/>
    <w:rsid w:val="00D36E79"/>
    <w:rsid w:val="00D373FF"/>
    <w:rsid w:val="00D40357"/>
    <w:rsid w:val="00D41BBB"/>
    <w:rsid w:val="00D41D1E"/>
    <w:rsid w:val="00D4220E"/>
    <w:rsid w:val="00D434D9"/>
    <w:rsid w:val="00D43F83"/>
    <w:rsid w:val="00D44B46"/>
    <w:rsid w:val="00D44D9E"/>
    <w:rsid w:val="00D44E87"/>
    <w:rsid w:val="00D45D21"/>
    <w:rsid w:val="00D46A54"/>
    <w:rsid w:val="00D4732F"/>
    <w:rsid w:val="00D477EB"/>
    <w:rsid w:val="00D50229"/>
    <w:rsid w:val="00D507F4"/>
    <w:rsid w:val="00D50859"/>
    <w:rsid w:val="00D509C1"/>
    <w:rsid w:val="00D51413"/>
    <w:rsid w:val="00D51801"/>
    <w:rsid w:val="00D534A5"/>
    <w:rsid w:val="00D537AF"/>
    <w:rsid w:val="00D538FF"/>
    <w:rsid w:val="00D53C72"/>
    <w:rsid w:val="00D53DCB"/>
    <w:rsid w:val="00D5423D"/>
    <w:rsid w:val="00D546E3"/>
    <w:rsid w:val="00D54FE3"/>
    <w:rsid w:val="00D55232"/>
    <w:rsid w:val="00D55273"/>
    <w:rsid w:val="00D55D98"/>
    <w:rsid w:val="00D56CF3"/>
    <w:rsid w:val="00D56D5D"/>
    <w:rsid w:val="00D56FB1"/>
    <w:rsid w:val="00D573CC"/>
    <w:rsid w:val="00D574CD"/>
    <w:rsid w:val="00D57DEA"/>
    <w:rsid w:val="00D60DAF"/>
    <w:rsid w:val="00D61740"/>
    <w:rsid w:val="00D6195D"/>
    <w:rsid w:val="00D62E22"/>
    <w:rsid w:val="00D634B7"/>
    <w:rsid w:val="00D63A85"/>
    <w:rsid w:val="00D6443F"/>
    <w:rsid w:val="00D65328"/>
    <w:rsid w:val="00D6537D"/>
    <w:rsid w:val="00D6563D"/>
    <w:rsid w:val="00D659B4"/>
    <w:rsid w:val="00D65C58"/>
    <w:rsid w:val="00D662AA"/>
    <w:rsid w:val="00D66B19"/>
    <w:rsid w:val="00D671E5"/>
    <w:rsid w:val="00D67531"/>
    <w:rsid w:val="00D700A4"/>
    <w:rsid w:val="00D720A5"/>
    <w:rsid w:val="00D72A9C"/>
    <w:rsid w:val="00D7307D"/>
    <w:rsid w:val="00D731E4"/>
    <w:rsid w:val="00D7349B"/>
    <w:rsid w:val="00D7362C"/>
    <w:rsid w:val="00D7381C"/>
    <w:rsid w:val="00D7418C"/>
    <w:rsid w:val="00D74505"/>
    <w:rsid w:val="00D74C82"/>
    <w:rsid w:val="00D75247"/>
    <w:rsid w:val="00D75B3E"/>
    <w:rsid w:val="00D760CD"/>
    <w:rsid w:val="00D76596"/>
    <w:rsid w:val="00D7678A"/>
    <w:rsid w:val="00D76A44"/>
    <w:rsid w:val="00D772E1"/>
    <w:rsid w:val="00D7740F"/>
    <w:rsid w:val="00D801E1"/>
    <w:rsid w:val="00D80863"/>
    <w:rsid w:val="00D809BD"/>
    <w:rsid w:val="00D80E99"/>
    <w:rsid w:val="00D81C1E"/>
    <w:rsid w:val="00D830F0"/>
    <w:rsid w:val="00D845E1"/>
    <w:rsid w:val="00D84CD7"/>
    <w:rsid w:val="00D859E6"/>
    <w:rsid w:val="00D86B2D"/>
    <w:rsid w:val="00D86CF5"/>
    <w:rsid w:val="00D86D1A"/>
    <w:rsid w:val="00D875B8"/>
    <w:rsid w:val="00D87A77"/>
    <w:rsid w:val="00D87D8B"/>
    <w:rsid w:val="00D9150E"/>
    <w:rsid w:val="00D91584"/>
    <w:rsid w:val="00D91B44"/>
    <w:rsid w:val="00D91B70"/>
    <w:rsid w:val="00D91E2B"/>
    <w:rsid w:val="00D91F07"/>
    <w:rsid w:val="00D91FCE"/>
    <w:rsid w:val="00D93753"/>
    <w:rsid w:val="00D93B6E"/>
    <w:rsid w:val="00D94031"/>
    <w:rsid w:val="00D94247"/>
    <w:rsid w:val="00D9427B"/>
    <w:rsid w:val="00D944AE"/>
    <w:rsid w:val="00D96028"/>
    <w:rsid w:val="00D9685F"/>
    <w:rsid w:val="00DA051D"/>
    <w:rsid w:val="00DA0730"/>
    <w:rsid w:val="00DA101D"/>
    <w:rsid w:val="00DA141A"/>
    <w:rsid w:val="00DA149C"/>
    <w:rsid w:val="00DA1FC5"/>
    <w:rsid w:val="00DA230B"/>
    <w:rsid w:val="00DA2546"/>
    <w:rsid w:val="00DA370E"/>
    <w:rsid w:val="00DA421A"/>
    <w:rsid w:val="00DA461F"/>
    <w:rsid w:val="00DA4913"/>
    <w:rsid w:val="00DA4F92"/>
    <w:rsid w:val="00DA53FA"/>
    <w:rsid w:val="00DA546C"/>
    <w:rsid w:val="00DA565A"/>
    <w:rsid w:val="00DA5C9D"/>
    <w:rsid w:val="00DA65A3"/>
    <w:rsid w:val="00DA6604"/>
    <w:rsid w:val="00DA6D8B"/>
    <w:rsid w:val="00DA77A5"/>
    <w:rsid w:val="00DB0578"/>
    <w:rsid w:val="00DB0D64"/>
    <w:rsid w:val="00DB0EAF"/>
    <w:rsid w:val="00DB11F6"/>
    <w:rsid w:val="00DB1B52"/>
    <w:rsid w:val="00DB226E"/>
    <w:rsid w:val="00DB229C"/>
    <w:rsid w:val="00DB2D93"/>
    <w:rsid w:val="00DB39DA"/>
    <w:rsid w:val="00DB3ECD"/>
    <w:rsid w:val="00DB409F"/>
    <w:rsid w:val="00DB4322"/>
    <w:rsid w:val="00DB4E09"/>
    <w:rsid w:val="00DB52AC"/>
    <w:rsid w:val="00DB6177"/>
    <w:rsid w:val="00DB655C"/>
    <w:rsid w:val="00DB6E77"/>
    <w:rsid w:val="00DC04C1"/>
    <w:rsid w:val="00DC0776"/>
    <w:rsid w:val="00DC09F9"/>
    <w:rsid w:val="00DC1045"/>
    <w:rsid w:val="00DC1561"/>
    <w:rsid w:val="00DC1C77"/>
    <w:rsid w:val="00DC2667"/>
    <w:rsid w:val="00DC3B7A"/>
    <w:rsid w:val="00DC4296"/>
    <w:rsid w:val="00DC4677"/>
    <w:rsid w:val="00DC52E6"/>
    <w:rsid w:val="00DC5501"/>
    <w:rsid w:val="00DC59EA"/>
    <w:rsid w:val="00DC684F"/>
    <w:rsid w:val="00DC6BA7"/>
    <w:rsid w:val="00DC6F63"/>
    <w:rsid w:val="00DC73D3"/>
    <w:rsid w:val="00DC7BC7"/>
    <w:rsid w:val="00DC7F16"/>
    <w:rsid w:val="00DD0167"/>
    <w:rsid w:val="00DD03DA"/>
    <w:rsid w:val="00DD0601"/>
    <w:rsid w:val="00DD1283"/>
    <w:rsid w:val="00DD1552"/>
    <w:rsid w:val="00DD16AB"/>
    <w:rsid w:val="00DD19A6"/>
    <w:rsid w:val="00DD21A2"/>
    <w:rsid w:val="00DD2B1B"/>
    <w:rsid w:val="00DD2F60"/>
    <w:rsid w:val="00DD3F28"/>
    <w:rsid w:val="00DD4044"/>
    <w:rsid w:val="00DD405A"/>
    <w:rsid w:val="00DD40DD"/>
    <w:rsid w:val="00DD421C"/>
    <w:rsid w:val="00DD4324"/>
    <w:rsid w:val="00DD443F"/>
    <w:rsid w:val="00DD4537"/>
    <w:rsid w:val="00DD46CB"/>
    <w:rsid w:val="00DD4930"/>
    <w:rsid w:val="00DD4C45"/>
    <w:rsid w:val="00DD4E15"/>
    <w:rsid w:val="00DD53FF"/>
    <w:rsid w:val="00DD55BF"/>
    <w:rsid w:val="00DD5877"/>
    <w:rsid w:val="00DD5A8F"/>
    <w:rsid w:val="00DD6681"/>
    <w:rsid w:val="00DD7D19"/>
    <w:rsid w:val="00DE0313"/>
    <w:rsid w:val="00DE0B7F"/>
    <w:rsid w:val="00DE14FC"/>
    <w:rsid w:val="00DE1DCF"/>
    <w:rsid w:val="00DE1EEC"/>
    <w:rsid w:val="00DE22AC"/>
    <w:rsid w:val="00DE3A08"/>
    <w:rsid w:val="00DE3BFA"/>
    <w:rsid w:val="00DE4A0C"/>
    <w:rsid w:val="00DE4FCB"/>
    <w:rsid w:val="00DE6705"/>
    <w:rsid w:val="00DE73E6"/>
    <w:rsid w:val="00DE743C"/>
    <w:rsid w:val="00DE76FE"/>
    <w:rsid w:val="00DE7BCD"/>
    <w:rsid w:val="00DF0518"/>
    <w:rsid w:val="00DF08B3"/>
    <w:rsid w:val="00DF1460"/>
    <w:rsid w:val="00DF1523"/>
    <w:rsid w:val="00DF1E02"/>
    <w:rsid w:val="00DF1E62"/>
    <w:rsid w:val="00DF2222"/>
    <w:rsid w:val="00DF237C"/>
    <w:rsid w:val="00DF3560"/>
    <w:rsid w:val="00DF3A4F"/>
    <w:rsid w:val="00DF3B7B"/>
    <w:rsid w:val="00DF3C3E"/>
    <w:rsid w:val="00DF423E"/>
    <w:rsid w:val="00DF4E7D"/>
    <w:rsid w:val="00DF5761"/>
    <w:rsid w:val="00DF59F3"/>
    <w:rsid w:val="00DF5A2F"/>
    <w:rsid w:val="00DF5D28"/>
    <w:rsid w:val="00DF5D2B"/>
    <w:rsid w:val="00DF5F0D"/>
    <w:rsid w:val="00DF5F58"/>
    <w:rsid w:val="00DF6219"/>
    <w:rsid w:val="00DF65E4"/>
    <w:rsid w:val="00DF69D0"/>
    <w:rsid w:val="00DF6D02"/>
    <w:rsid w:val="00DF6D19"/>
    <w:rsid w:val="00DF76DC"/>
    <w:rsid w:val="00DF771B"/>
    <w:rsid w:val="00DF7C11"/>
    <w:rsid w:val="00E00646"/>
    <w:rsid w:val="00E00994"/>
    <w:rsid w:val="00E01665"/>
    <w:rsid w:val="00E0289A"/>
    <w:rsid w:val="00E039D6"/>
    <w:rsid w:val="00E04083"/>
    <w:rsid w:val="00E050CD"/>
    <w:rsid w:val="00E053F0"/>
    <w:rsid w:val="00E05A14"/>
    <w:rsid w:val="00E05E5E"/>
    <w:rsid w:val="00E061AF"/>
    <w:rsid w:val="00E063EC"/>
    <w:rsid w:val="00E06675"/>
    <w:rsid w:val="00E06B80"/>
    <w:rsid w:val="00E071F5"/>
    <w:rsid w:val="00E075BE"/>
    <w:rsid w:val="00E07D6B"/>
    <w:rsid w:val="00E10149"/>
    <w:rsid w:val="00E10517"/>
    <w:rsid w:val="00E10ADA"/>
    <w:rsid w:val="00E11F59"/>
    <w:rsid w:val="00E120C8"/>
    <w:rsid w:val="00E1406D"/>
    <w:rsid w:val="00E14739"/>
    <w:rsid w:val="00E15309"/>
    <w:rsid w:val="00E156D4"/>
    <w:rsid w:val="00E1571E"/>
    <w:rsid w:val="00E16372"/>
    <w:rsid w:val="00E16511"/>
    <w:rsid w:val="00E16581"/>
    <w:rsid w:val="00E1658C"/>
    <w:rsid w:val="00E16637"/>
    <w:rsid w:val="00E16BBA"/>
    <w:rsid w:val="00E16E8A"/>
    <w:rsid w:val="00E1704F"/>
    <w:rsid w:val="00E17510"/>
    <w:rsid w:val="00E20809"/>
    <w:rsid w:val="00E2093F"/>
    <w:rsid w:val="00E20A29"/>
    <w:rsid w:val="00E20BE7"/>
    <w:rsid w:val="00E20EAF"/>
    <w:rsid w:val="00E20ED6"/>
    <w:rsid w:val="00E21358"/>
    <w:rsid w:val="00E2249B"/>
    <w:rsid w:val="00E22A0D"/>
    <w:rsid w:val="00E22D01"/>
    <w:rsid w:val="00E23524"/>
    <w:rsid w:val="00E2457E"/>
    <w:rsid w:val="00E246DA"/>
    <w:rsid w:val="00E249D8"/>
    <w:rsid w:val="00E24BB5"/>
    <w:rsid w:val="00E25A2C"/>
    <w:rsid w:val="00E25C96"/>
    <w:rsid w:val="00E26470"/>
    <w:rsid w:val="00E2771E"/>
    <w:rsid w:val="00E27A9B"/>
    <w:rsid w:val="00E27D94"/>
    <w:rsid w:val="00E27E7B"/>
    <w:rsid w:val="00E30074"/>
    <w:rsid w:val="00E30A72"/>
    <w:rsid w:val="00E31A92"/>
    <w:rsid w:val="00E34036"/>
    <w:rsid w:val="00E34473"/>
    <w:rsid w:val="00E3510C"/>
    <w:rsid w:val="00E3576B"/>
    <w:rsid w:val="00E3597F"/>
    <w:rsid w:val="00E359B1"/>
    <w:rsid w:val="00E35DE8"/>
    <w:rsid w:val="00E363BD"/>
    <w:rsid w:val="00E371D8"/>
    <w:rsid w:val="00E37569"/>
    <w:rsid w:val="00E37594"/>
    <w:rsid w:val="00E408DF"/>
    <w:rsid w:val="00E40CC4"/>
    <w:rsid w:val="00E410F1"/>
    <w:rsid w:val="00E413AF"/>
    <w:rsid w:val="00E41B5E"/>
    <w:rsid w:val="00E41C8B"/>
    <w:rsid w:val="00E41D71"/>
    <w:rsid w:val="00E41E30"/>
    <w:rsid w:val="00E41FF3"/>
    <w:rsid w:val="00E42259"/>
    <w:rsid w:val="00E427CB"/>
    <w:rsid w:val="00E429D6"/>
    <w:rsid w:val="00E42A0B"/>
    <w:rsid w:val="00E43D70"/>
    <w:rsid w:val="00E44518"/>
    <w:rsid w:val="00E44805"/>
    <w:rsid w:val="00E454F5"/>
    <w:rsid w:val="00E4577B"/>
    <w:rsid w:val="00E46440"/>
    <w:rsid w:val="00E46BBD"/>
    <w:rsid w:val="00E46E27"/>
    <w:rsid w:val="00E4754E"/>
    <w:rsid w:val="00E47807"/>
    <w:rsid w:val="00E47B2C"/>
    <w:rsid w:val="00E47DF8"/>
    <w:rsid w:val="00E5033B"/>
    <w:rsid w:val="00E507F2"/>
    <w:rsid w:val="00E50D65"/>
    <w:rsid w:val="00E50E6D"/>
    <w:rsid w:val="00E510D9"/>
    <w:rsid w:val="00E51560"/>
    <w:rsid w:val="00E516A3"/>
    <w:rsid w:val="00E524F5"/>
    <w:rsid w:val="00E52C2A"/>
    <w:rsid w:val="00E551DE"/>
    <w:rsid w:val="00E55424"/>
    <w:rsid w:val="00E55442"/>
    <w:rsid w:val="00E55B7E"/>
    <w:rsid w:val="00E55BB5"/>
    <w:rsid w:val="00E55CC5"/>
    <w:rsid w:val="00E563BB"/>
    <w:rsid w:val="00E573D0"/>
    <w:rsid w:val="00E60292"/>
    <w:rsid w:val="00E60ADF"/>
    <w:rsid w:val="00E61150"/>
    <w:rsid w:val="00E614A3"/>
    <w:rsid w:val="00E623E9"/>
    <w:rsid w:val="00E635D6"/>
    <w:rsid w:val="00E635FB"/>
    <w:rsid w:val="00E63697"/>
    <w:rsid w:val="00E63A47"/>
    <w:rsid w:val="00E641E3"/>
    <w:rsid w:val="00E64230"/>
    <w:rsid w:val="00E644BA"/>
    <w:rsid w:val="00E648D1"/>
    <w:rsid w:val="00E65D7A"/>
    <w:rsid w:val="00E65E79"/>
    <w:rsid w:val="00E66A9F"/>
    <w:rsid w:val="00E67416"/>
    <w:rsid w:val="00E70ABA"/>
    <w:rsid w:val="00E713B6"/>
    <w:rsid w:val="00E718B6"/>
    <w:rsid w:val="00E71A76"/>
    <w:rsid w:val="00E72521"/>
    <w:rsid w:val="00E7292F"/>
    <w:rsid w:val="00E729F7"/>
    <w:rsid w:val="00E732B7"/>
    <w:rsid w:val="00E73581"/>
    <w:rsid w:val="00E73B6E"/>
    <w:rsid w:val="00E73CE7"/>
    <w:rsid w:val="00E74041"/>
    <w:rsid w:val="00E75540"/>
    <w:rsid w:val="00E75A99"/>
    <w:rsid w:val="00E75F15"/>
    <w:rsid w:val="00E762A9"/>
    <w:rsid w:val="00E76844"/>
    <w:rsid w:val="00E77B97"/>
    <w:rsid w:val="00E77C5A"/>
    <w:rsid w:val="00E77CD8"/>
    <w:rsid w:val="00E80638"/>
    <w:rsid w:val="00E810BE"/>
    <w:rsid w:val="00E81249"/>
    <w:rsid w:val="00E81B21"/>
    <w:rsid w:val="00E81D8D"/>
    <w:rsid w:val="00E82621"/>
    <w:rsid w:val="00E83725"/>
    <w:rsid w:val="00E83B4D"/>
    <w:rsid w:val="00E83BDF"/>
    <w:rsid w:val="00E84178"/>
    <w:rsid w:val="00E84D70"/>
    <w:rsid w:val="00E84FC5"/>
    <w:rsid w:val="00E85A7B"/>
    <w:rsid w:val="00E8606E"/>
    <w:rsid w:val="00E866C2"/>
    <w:rsid w:val="00E866F6"/>
    <w:rsid w:val="00E86DA4"/>
    <w:rsid w:val="00E87349"/>
    <w:rsid w:val="00E87E8E"/>
    <w:rsid w:val="00E90291"/>
    <w:rsid w:val="00E91564"/>
    <w:rsid w:val="00E9173C"/>
    <w:rsid w:val="00E91A19"/>
    <w:rsid w:val="00E91A68"/>
    <w:rsid w:val="00E92104"/>
    <w:rsid w:val="00E92129"/>
    <w:rsid w:val="00E9225C"/>
    <w:rsid w:val="00E92298"/>
    <w:rsid w:val="00E924AB"/>
    <w:rsid w:val="00E934BA"/>
    <w:rsid w:val="00E939C3"/>
    <w:rsid w:val="00E93CAA"/>
    <w:rsid w:val="00E93D48"/>
    <w:rsid w:val="00E94167"/>
    <w:rsid w:val="00E94AD1"/>
    <w:rsid w:val="00E952CB"/>
    <w:rsid w:val="00E95776"/>
    <w:rsid w:val="00E95C4A"/>
    <w:rsid w:val="00E9703C"/>
    <w:rsid w:val="00E97070"/>
    <w:rsid w:val="00E97DDC"/>
    <w:rsid w:val="00EA0AA3"/>
    <w:rsid w:val="00EA1B14"/>
    <w:rsid w:val="00EA1C1D"/>
    <w:rsid w:val="00EA218D"/>
    <w:rsid w:val="00EA28CE"/>
    <w:rsid w:val="00EA293F"/>
    <w:rsid w:val="00EA3456"/>
    <w:rsid w:val="00EA353F"/>
    <w:rsid w:val="00EA3864"/>
    <w:rsid w:val="00EA40E2"/>
    <w:rsid w:val="00EA43F4"/>
    <w:rsid w:val="00EA4D07"/>
    <w:rsid w:val="00EA7D83"/>
    <w:rsid w:val="00EB0936"/>
    <w:rsid w:val="00EB13EA"/>
    <w:rsid w:val="00EB13EB"/>
    <w:rsid w:val="00EB15B6"/>
    <w:rsid w:val="00EB1716"/>
    <w:rsid w:val="00EB1859"/>
    <w:rsid w:val="00EB20A5"/>
    <w:rsid w:val="00EB248B"/>
    <w:rsid w:val="00EB25EF"/>
    <w:rsid w:val="00EB26DB"/>
    <w:rsid w:val="00EB2C92"/>
    <w:rsid w:val="00EB3B12"/>
    <w:rsid w:val="00EB3E5B"/>
    <w:rsid w:val="00EB424B"/>
    <w:rsid w:val="00EB4916"/>
    <w:rsid w:val="00EB4E6F"/>
    <w:rsid w:val="00EB5316"/>
    <w:rsid w:val="00EB55F0"/>
    <w:rsid w:val="00EB5A33"/>
    <w:rsid w:val="00EB644F"/>
    <w:rsid w:val="00EB6DC4"/>
    <w:rsid w:val="00EC00C9"/>
    <w:rsid w:val="00EC0716"/>
    <w:rsid w:val="00EC0AF5"/>
    <w:rsid w:val="00EC0B84"/>
    <w:rsid w:val="00EC0BE7"/>
    <w:rsid w:val="00EC3B0B"/>
    <w:rsid w:val="00EC3B68"/>
    <w:rsid w:val="00EC3BCD"/>
    <w:rsid w:val="00EC3CD7"/>
    <w:rsid w:val="00EC4F56"/>
    <w:rsid w:val="00EC517D"/>
    <w:rsid w:val="00EC53DE"/>
    <w:rsid w:val="00EC57A9"/>
    <w:rsid w:val="00EC5A9A"/>
    <w:rsid w:val="00EC61A9"/>
    <w:rsid w:val="00EC6445"/>
    <w:rsid w:val="00EC7061"/>
    <w:rsid w:val="00EC7297"/>
    <w:rsid w:val="00ED07D6"/>
    <w:rsid w:val="00ED0CC3"/>
    <w:rsid w:val="00ED1477"/>
    <w:rsid w:val="00ED1AEE"/>
    <w:rsid w:val="00ED2C59"/>
    <w:rsid w:val="00ED2FF9"/>
    <w:rsid w:val="00ED32EC"/>
    <w:rsid w:val="00ED3552"/>
    <w:rsid w:val="00ED3767"/>
    <w:rsid w:val="00ED4352"/>
    <w:rsid w:val="00ED4D79"/>
    <w:rsid w:val="00ED5BD7"/>
    <w:rsid w:val="00ED6E53"/>
    <w:rsid w:val="00ED7F3F"/>
    <w:rsid w:val="00EE07D3"/>
    <w:rsid w:val="00EE0819"/>
    <w:rsid w:val="00EE0A10"/>
    <w:rsid w:val="00EE134F"/>
    <w:rsid w:val="00EE2DAE"/>
    <w:rsid w:val="00EE3760"/>
    <w:rsid w:val="00EE39AB"/>
    <w:rsid w:val="00EE3AC6"/>
    <w:rsid w:val="00EE556F"/>
    <w:rsid w:val="00EE6329"/>
    <w:rsid w:val="00EE69A7"/>
    <w:rsid w:val="00EE6E66"/>
    <w:rsid w:val="00EE6FBE"/>
    <w:rsid w:val="00EE74A7"/>
    <w:rsid w:val="00EE79CC"/>
    <w:rsid w:val="00EE7D84"/>
    <w:rsid w:val="00EF0FC6"/>
    <w:rsid w:val="00EF115B"/>
    <w:rsid w:val="00EF1B06"/>
    <w:rsid w:val="00EF1BD5"/>
    <w:rsid w:val="00EF1FB6"/>
    <w:rsid w:val="00EF239A"/>
    <w:rsid w:val="00EF25F8"/>
    <w:rsid w:val="00EF293C"/>
    <w:rsid w:val="00EF3DD4"/>
    <w:rsid w:val="00EF4A39"/>
    <w:rsid w:val="00EF4D0B"/>
    <w:rsid w:val="00EF504E"/>
    <w:rsid w:val="00EF54A0"/>
    <w:rsid w:val="00EF58D0"/>
    <w:rsid w:val="00EF5D61"/>
    <w:rsid w:val="00EF674A"/>
    <w:rsid w:val="00EF6BF2"/>
    <w:rsid w:val="00EF7C0C"/>
    <w:rsid w:val="00F01420"/>
    <w:rsid w:val="00F019D3"/>
    <w:rsid w:val="00F02397"/>
    <w:rsid w:val="00F028EC"/>
    <w:rsid w:val="00F02B57"/>
    <w:rsid w:val="00F02D10"/>
    <w:rsid w:val="00F0498B"/>
    <w:rsid w:val="00F04A5A"/>
    <w:rsid w:val="00F0546B"/>
    <w:rsid w:val="00F05581"/>
    <w:rsid w:val="00F0576C"/>
    <w:rsid w:val="00F064C4"/>
    <w:rsid w:val="00F0660D"/>
    <w:rsid w:val="00F067A2"/>
    <w:rsid w:val="00F06892"/>
    <w:rsid w:val="00F0735D"/>
    <w:rsid w:val="00F07AB0"/>
    <w:rsid w:val="00F10426"/>
    <w:rsid w:val="00F11134"/>
    <w:rsid w:val="00F116B4"/>
    <w:rsid w:val="00F11B51"/>
    <w:rsid w:val="00F11D41"/>
    <w:rsid w:val="00F11DE5"/>
    <w:rsid w:val="00F122F7"/>
    <w:rsid w:val="00F123CA"/>
    <w:rsid w:val="00F12CC3"/>
    <w:rsid w:val="00F132F0"/>
    <w:rsid w:val="00F14787"/>
    <w:rsid w:val="00F14CBC"/>
    <w:rsid w:val="00F15873"/>
    <w:rsid w:val="00F1589A"/>
    <w:rsid w:val="00F15CE9"/>
    <w:rsid w:val="00F16622"/>
    <w:rsid w:val="00F16A5F"/>
    <w:rsid w:val="00F17522"/>
    <w:rsid w:val="00F17DC2"/>
    <w:rsid w:val="00F17E10"/>
    <w:rsid w:val="00F20197"/>
    <w:rsid w:val="00F205D5"/>
    <w:rsid w:val="00F21839"/>
    <w:rsid w:val="00F22CB1"/>
    <w:rsid w:val="00F22D98"/>
    <w:rsid w:val="00F232EF"/>
    <w:rsid w:val="00F23978"/>
    <w:rsid w:val="00F23A59"/>
    <w:rsid w:val="00F23AA3"/>
    <w:rsid w:val="00F23D7D"/>
    <w:rsid w:val="00F23E38"/>
    <w:rsid w:val="00F24837"/>
    <w:rsid w:val="00F25267"/>
    <w:rsid w:val="00F2527C"/>
    <w:rsid w:val="00F252E1"/>
    <w:rsid w:val="00F25720"/>
    <w:rsid w:val="00F2575F"/>
    <w:rsid w:val="00F25CB3"/>
    <w:rsid w:val="00F26153"/>
    <w:rsid w:val="00F26377"/>
    <w:rsid w:val="00F26514"/>
    <w:rsid w:val="00F26C33"/>
    <w:rsid w:val="00F2717D"/>
    <w:rsid w:val="00F30E7D"/>
    <w:rsid w:val="00F3214A"/>
    <w:rsid w:val="00F33DE9"/>
    <w:rsid w:val="00F34282"/>
    <w:rsid w:val="00F34D9C"/>
    <w:rsid w:val="00F358BD"/>
    <w:rsid w:val="00F3619A"/>
    <w:rsid w:val="00F37491"/>
    <w:rsid w:val="00F37C2A"/>
    <w:rsid w:val="00F37C3E"/>
    <w:rsid w:val="00F37DA5"/>
    <w:rsid w:val="00F40412"/>
    <w:rsid w:val="00F405D0"/>
    <w:rsid w:val="00F40C6F"/>
    <w:rsid w:val="00F4180D"/>
    <w:rsid w:val="00F422EB"/>
    <w:rsid w:val="00F4238E"/>
    <w:rsid w:val="00F42533"/>
    <w:rsid w:val="00F439C8"/>
    <w:rsid w:val="00F43B41"/>
    <w:rsid w:val="00F46CB6"/>
    <w:rsid w:val="00F47C68"/>
    <w:rsid w:val="00F506B4"/>
    <w:rsid w:val="00F51311"/>
    <w:rsid w:val="00F5159B"/>
    <w:rsid w:val="00F51660"/>
    <w:rsid w:val="00F51EDE"/>
    <w:rsid w:val="00F51EED"/>
    <w:rsid w:val="00F52B9B"/>
    <w:rsid w:val="00F54587"/>
    <w:rsid w:val="00F546A7"/>
    <w:rsid w:val="00F54CD1"/>
    <w:rsid w:val="00F55E73"/>
    <w:rsid w:val="00F55F31"/>
    <w:rsid w:val="00F565D9"/>
    <w:rsid w:val="00F57B1E"/>
    <w:rsid w:val="00F57DD5"/>
    <w:rsid w:val="00F57F7B"/>
    <w:rsid w:val="00F60092"/>
    <w:rsid w:val="00F6137F"/>
    <w:rsid w:val="00F61681"/>
    <w:rsid w:val="00F6251C"/>
    <w:rsid w:val="00F63478"/>
    <w:rsid w:val="00F63A11"/>
    <w:rsid w:val="00F641C2"/>
    <w:rsid w:val="00F6500D"/>
    <w:rsid w:val="00F6580B"/>
    <w:rsid w:val="00F65FD3"/>
    <w:rsid w:val="00F667BC"/>
    <w:rsid w:val="00F66E9E"/>
    <w:rsid w:val="00F67E43"/>
    <w:rsid w:val="00F702E8"/>
    <w:rsid w:val="00F70542"/>
    <w:rsid w:val="00F70687"/>
    <w:rsid w:val="00F70C81"/>
    <w:rsid w:val="00F7153A"/>
    <w:rsid w:val="00F71DF4"/>
    <w:rsid w:val="00F725E6"/>
    <w:rsid w:val="00F727E8"/>
    <w:rsid w:val="00F72DA2"/>
    <w:rsid w:val="00F730F4"/>
    <w:rsid w:val="00F7325D"/>
    <w:rsid w:val="00F7397D"/>
    <w:rsid w:val="00F73A6B"/>
    <w:rsid w:val="00F74705"/>
    <w:rsid w:val="00F74C95"/>
    <w:rsid w:val="00F74E3F"/>
    <w:rsid w:val="00F7561E"/>
    <w:rsid w:val="00F7565A"/>
    <w:rsid w:val="00F75AB8"/>
    <w:rsid w:val="00F75DA0"/>
    <w:rsid w:val="00F76345"/>
    <w:rsid w:val="00F7662B"/>
    <w:rsid w:val="00F769BB"/>
    <w:rsid w:val="00F775D8"/>
    <w:rsid w:val="00F77842"/>
    <w:rsid w:val="00F77DA7"/>
    <w:rsid w:val="00F77EAF"/>
    <w:rsid w:val="00F77EE6"/>
    <w:rsid w:val="00F77F0D"/>
    <w:rsid w:val="00F808E2"/>
    <w:rsid w:val="00F80A61"/>
    <w:rsid w:val="00F80A88"/>
    <w:rsid w:val="00F80B8C"/>
    <w:rsid w:val="00F80E5D"/>
    <w:rsid w:val="00F813DF"/>
    <w:rsid w:val="00F81D05"/>
    <w:rsid w:val="00F827CC"/>
    <w:rsid w:val="00F82ADD"/>
    <w:rsid w:val="00F83629"/>
    <w:rsid w:val="00F840D2"/>
    <w:rsid w:val="00F84186"/>
    <w:rsid w:val="00F845B1"/>
    <w:rsid w:val="00F84E8D"/>
    <w:rsid w:val="00F851CE"/>
    <w:rsid w:val="00F85207"/>
    <w:rsid w:val="00F857AA"/>
    <w:rsid w:val="00F861A6"/>
    <w:rsid w:val="00F86423"/>
    <w:rsid w:val="00F866CA"/>
    <w:rsid w:val="00F86800"/>
    <w:rsid w:val="00F86832"/>
    <w:rsid w:val="00F86C7D"/>
    <w:rsid w:val="00F86F16"/>
    <w:rsid w:val="00F878FC"/>
    <w:rsid w:val="00F87F17"/>
    <w:rsid w:val="00F90563"/>
    <w:rsid w:val="00F91221"/>
    <w:rsid w:val="00F9150E"/>
    <w:rsid w:val="00F91A75"/>
    <w:rsid w:val="00F91AB2"/>
    <w:rsid w:val="00F92285"/>
    <w:rsid w:val="00F9296D"/>
    <w:rsid w:val="00F93498"/>
    <w:rsid w:val="00F936B0"/>
    <w:rsid w:val="00F9385C"/>
    <w:rsid w:val="00F93B26"/>
    <w:rsid w:val="00F93C76"/>
    <w:rsid w:val="00F9428A"/>
    <w:rsid w:val="00F94456"/>
    <w:rsid w:val="00F94516"/>
    <w:rsid w:val="00F94E86"/>
    <w:rsid w:val="00F956BD"/>
    <w:rsid w:val="00F958D3"/>
    <w:rsid w:val="00F95EB7"/>
    <w:rsid w:val="00F96B87"/>
    <w:rsid w:val="00F97A78"/>
    <w:rsid w:val="00FA09C6"/>
    <w:rsid w:val="00FA0BDB"/>
    <w:rsid w:val="00FA128C"/>
    <w:rsid w:val="00FA1579"/>
    <w:rsid w:val="00FA24E7"/>
    <w:rsid w:val="00FA3009"/>
    <w:rsid w:val="00FA41A2"/>
    <w:rsid w:val="00FA490A"/>
    <w:rsid w:val="00FA4A40"/>
    <w:rsid w:val="00FA4B02"/>
    <w:rsid w:val="00FA4F44"/>
    <w:rsid w:val="00FA5297"/>
    <w:rsid w:val="00FA7FE8"/>
    <w:rsid w:val="00FB0118"/>
    <w:rsid w:val="00FB0203"/>
    <w:rsid w:val="00FB1124"/>
    <w:rsid w:val="00FB138C"/>
    <w:rsid w:val="00FB1668"/>
    <w:rsid w:val="00FB19D2"/>
    <w:rsid w:val="00FB1CA4"/>
    <w:rsid w:val="00FB1E97"/>
    <w:rsid w:val="00FB263B"/>
    <w:rsid w:val="00FB285A"/>
    <w:rsid w:val="00FB295C"/>
    <w:rsid w:val="00FB2FCB"/>
    <w:rsid w:val="00FB39D0"/>
    <w:rsid w:val="00FB41EA"/>
    <w:rsid w:val="00FB4203"/>
    <w:rsid w:val="00FB4310"/>
    <w:rsid w:val="00FB4A74"/>
    <w:rsid w:val="00FB4BB4"/>
    <w:rsid w:val="00FB6496"/>
    <w:rsid w:val="00FB6547"/>
    <w:rsid w:val="00FB6575"/>
    <w:rsid w:val="00FB69FE"/>
    <w:rsid w:val="00FB6CDE"/>
    <w:rsid w:val="00FB75ED"/>
    <w:rsid w:val="00FB7D48"/>
    <w:rsid w:val="00FC1074"/>
    <w:rsid w:val="00FC1387"/>
    <w:rsid w:val="00FC1497"/>
    <w:rsid w:val="00FC149B"/>
    <w:rsid w:val="00FC1884"/>
    <w:rsid w:val="00FC1E27"/>
    <w:rsid w:val="00FC1FF4"/>
    <w:rsid w:val="00FC2C0F"/>
    <w:rsid w:val="00FC33E2"/>
    <w:rsid w:val="00FC3B80"/>
    <w:rsid w:val="00FC3C1F"/>
    <w:rsid w:val="00FC445C"/>
    <w:rsid w:val="00FC4D35"/>
    <w:rsid w:val="00FC607E"/>
    <w:rsid w:val="00FC7484"/>
    <w:rsid w:val="00FC7578"/>
    <w:rsid w:val="00FC75E4"/>
    <w:rsid w:val="00FC767A"/>
    <w:rsid w:val="00FC7EF9"/>
    <w:rsid w:val="00FD0E5A"/>
    <w:rsid w:val="00FD1613"/>
    <w:rsid w:val="00FD1D16"/>
    <w:rsid w:val="00FD2100"/>
    <w:rsid w:val="00FD37F3"/>
    <w:rsid w:val="00FD446D"/>
    <w:rsid w:val="00FD4DC7"/>
    <w:rsid w:val="00FD56C7"/>
    <w:rsid w:val="00FD57BF"/>
    <w:rsid w:val="00FD57C9"/>
    <w:rsid w:val="00FD5BBA"/>
    <w:rsid w:val="00FD66E2"/>
    <w:rsid w:val="00FD6F22"/>
    <w:rsid w:val="00FD6FBD"/>
    <w:rsid w:val="00FD7D9E"/>
    <w:rsid w:val="00FE02A8"/>
    <w:rsid w:val="00FE0304"/>
    <w:rsid w:val="00FE0661"/>
    <w:rsid w:val="00FE09F7"/>
    <w:rsid w:val="00FE0D6B"/>
    <w:rsid w:val="00FE207D"/>
    <w:rsid w:val="00FE2758"/>
    <w:rsid w:val="00FE334F"/>
    <w:rsid w:val="00FE3500"/>
    <w:rsid w:val="00FE36B2"/>
    <w:rsid w:val="00FE36DF"/>
    <w:rsid w:val="00FE3F6A"/>
    <w:rsid w:val="00FE5399"/>
    <w:rsid w:val="00FE5EB3"/>
    <w:rsid w:val="00FE6210"/>
    <w:rsid w:val="00FE6691"/>
    <w:rsid w:val="00FE67DE"/>
    <w:rsid w:val="00FE7091"/>
    <w:rsid w:val="00FE72D5"/>
    <w:rsid w:val="00FE7B1B"/>
    <w:rsid w:val="00FE7D92"/>
    <w:rsid w:val="00FF0360"/>
    <w:rsid w:val="00FF093B"/>
    <w:rsid w:val="00FF0A3F"/>
    <w:rsid w:val="00FF1863"/>
    <w:rsid w:val="00FF2962"/>
    <w:rsid w:val="00FF2BE0"/>
    <w:rsid w:val="00FF32CB"/>
    <w:rsid w:val="00FF3528"/>
    <w:rsid w:val="00FF3746"/>
    <w:rsid w:val="00FF3DCF"/>
    <w:rsid w:val="00FF3F03"/>
    <w:rsid w:val="00FF4114"/>
    <w:rsid w:val="00FF4401"/>
    <w:rsid w:val="00FF48A0"/>
    <w:rsid w:val="00FF500C"/>
    <w:rsid w:val="00FF5386"/>
    <w:rsid w:val="00FF5AA3"/>
    <w:rsid w:val="00FF5C58"/>
    <w:rsid w:val="00FF6327"/>
    <w:rsid w:val="00FF670E"/>
    <w:rsid w:val="00FF6997"/>
    <w:rsid w:val="00FF6C10"/>
    <w:rsid w:val="00FF733B"/>
    <w:rsid w:val="00FF7BF9"/>
    <w:rsid w:val="00FF7C0D"/>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HeadingRow">
    <w:name w:val="TableHeadingRow"/>
    <w:basedOn w:val="TableText0"/>
    <w:next w:val="TableText0"/>
    <w:uiPriority w:val="99"/>
    <w:rsid w:val="006D3891"/>
    <w:rPr>
      <w:rFonts w:ascii="Calibri" w:hAnsi="Calibri" w:cs="Times New Roman"/>
      <w:b/>
      <w:bCs/>
      <w:iCs/>
      <w:szCs w:val="18"/>
    </w:rPr>
  </w:style>
  <w:style w:type="paragraph" w:customStyle="1" w:styleId="TableHeadingCentred">
    <w:name w:val="TableHeadingCentred"/>
    <w:basedOn w:val="Normal"/>
    <w:next w:val="TableText0"/>
    <w:rsid w:val="002D0E6F"/>
    <w:pPr>
      <w:keepNext/>
      <w:widowControl/>
      <w:spacing w:before="40" w:after="40"/>
      <w:jc w:val="center"/>
    </w:pPr>
    <w:rPr>
      <w:rFonts w:ascii="Calibri" w:hAnsi="Calibri" w:cs="Times New Roman"/>
      <w:b/>
      <w:bCs/>
      <w:iCs/>
      <w:snapToGrid/>
      <w:sz w:val="20"/>
      <w:szCs w:val="18"/>
    </w:rPr>
  </w:style>
  <w:style w:type="character" w:customStyle="1" w:styleId="ListParagraphChar">
    <w:name w:val="List Paragraph Char"/>
    <w:link w:val="ListParagraph"/>
    <w:uiPriority w:val="99"/>
    <w:locked/>
    <w:rsid w:val="00B26AF4"/>
    <w:rPr>
      <w:rFonts w:ascii="Arial" w:hAnsi="Arial" w:cs="Arial"/>
      <w:snapToGrid w:val="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annotation text" w:uiPriority="99"/>
    <w:lsdException w:name="header" w:uiPriority="99"/>
    <w:lsdException w:name="footer"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Normal"/>
    <w:next w:val="Normal"/>
    <w:qFormat/>
    <w:rsid w:val="00D76A44"/>
    <w:pPr>
      <w:ind w:left="720" w:hanging="720"/>
      <w:outlineLvl w:val="0"/>
    </w:pPr>
    <w:rPr>
      <w:rFonts w:ascii="Arial Bold" w:hAnsi="Arial Bold"/>
      <w:b/>
      <w:caps/>
    </w:rPr>
  </w:style>
  <w:style w:type="paragraph" w:styleId="Heading2">
    <w:name w:val="heading 2"/>
    <w:basedOn w:val="Normal"/>
    <w:next w:val="Normal"/>
    <w:link w:val="Heading2Char"/>
    <w:qFormat/>
    <w:rsid w:val="004B3DDB"/>
    <w:pPr>
      <w:outlineLvl w:val="1"/>
    </w:pPr>
    <w:rPr>
      <w:b/>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uiPriority w:val="9"/>
    <w:rsid w:val="004B3DDB"/>
    <w:rPr>
      <w:rFonts w:ascii="Arial" w:hAnsi="Arial" w:cs="Arial"/>
      <w:b/>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basedOn w:val="Normal"/>
    <w:next w:val="Normal"/>
    <w:link w:val="CaptionChar"/>
    <w:unhideWhenUsed/>
    <w:rsid w:val="00124A51"/>
    <w:pPr>
      <w:spacing w:after="200"/>
    </w:pPr>
    <w:rPr>
      <w:b/>
      <w:bCs/>
      <w:color w:val="4F81BD" w:themeColor="accent1"/>
      <w:sz w:val="18"/>
      <w:szCs w:val="18"/>
    </w:rPr>
  </w:style>
  <w:style w:type="character" w:customStyle="1" w:styleId="CaptionChar">
    <w:name w:val="Caption Char"/>
    <w:link w:val="Caption"/>
    <w:rsid w:val="00124A51"/>
    <w:rPr>
      <w:b/>
      <w:bCs/>
      <w:snapToGrid w:val="0"/>
      <w:color w:val="4F81BD" w:themeColor="accent1"/>
      <w:sz w:val="18"/>
      <w:szCs w:val="18"/>
      <w:lang w:eastAsia="en-US"/>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2771E"/>
    <w:rPr>
      <w:rFonts w:ascii="Arial Narrow" w:hAnsi="Arial Narrow"/>
      <w:b/>
      <w:sz w:val="20"/>
      <w:szCs w:val="16"/>
    </w:rPr>
  </w:style>
  <w:style w:type="paragraph" w:customStyle="1" w:styleId="Tabletext">
    <w:name w:val="Table text"/>
    <w:basedOn w:val="Normal"/>
    <w:link w:val="TabletextChar"/>
    <w:qFormat/>
    <w:rsid w:val="00D2272A"/>
    <w:pPr>
      <w:widowControl/>
      <w:jc w:val="left"/>
    </w:pPr>
    <w:rPr>
      <w:rFonts w:ascii="Arial Narrow" w:hAnsi="Arial Narrow" w:cs="Times New Roman"/>
      <w:snapToGrid/>
      <w:sz w:val="20"/>
    </w:rPr>
  </w:style>
  <w:style w:type="paragraph" w:customStyle="1" w:styleId="TableHeading">
    <w:name w:val="TableHeading"/>
    <w:basedOn w:val="Normal"/>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D2272A"/>
    <w:rPr>
      <w:rFonts w:ascii="Arial Narrow" w:hAnsi="Arial Narrow"/>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widowControl/>
      <w:spacing w:before="480" w:line="276" w:lineRule="auto"/>
      <w:ind w:left="0" w:firstLine="0"/>
      <w:jc w:val="left"/>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TableText0">
    <w:name w:val="TableText"/>
    <w:basedOn w:val="Normal"/>
    <w:qFormat/>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TableHeadingRow">
    <w:name w:val="TableHeadingRow"/>
    <w:basedOn w:val="TableText0"/>
    <w:next w:val="TableText0"/>
    <w:uiPriority w:val="99"/>
    <w:rsid w:val="006D3891"/>
    <w:rPr>
      <w:rFonts w:ascii="Calibri" w:hAnsi="Calibri" w:cs="Times New Roman"/>
      <w:b/>
      <w:bCs/>
      <w:iCs/>
      <w:szCs w:val="18"/>
    </w:rPr>
  </w:style>
  <w:style w:type="paragraph" w:customStyle="1" w:styleId="TableHeadingCentred">
    <w:name w:val="TableHeadingCentred"/>
    <w:basedOn w:val="Normal"/>
    <w:next w:val="TableText0"/>
    <w:rsid w:val="002D0E6F"/>
    <w:pPr>
      <w:keepNext/>
      <w:widowControl/>
      <w:spacing w:before="40" w:after="40"/>
      <w:jc w:val="center"/>
    </w:pPr>
    <w:rPr>
      <w:rFonts w:ascii="Calibri" w:hAnsi="Calibri" w:cs="Times New Roman"/>
      <w:b/>
      <w:bCs/>
      <w:iCs/>
      <w:snapToGrid/>
      <w:sz w:val="20"/>
      <w:szCs w:val="18"/>
    </w:rPr>
  </w:style>
  <w:style w:type="character" w:customStyle="1" w:styleId="ListParagraphChar">
    <w:name w:val="List Paragraph Char"/>
    <w:link w:val="ListParagraph"/>
    <w:uiPriority w:val="99"/>
    <w:locked/>
    <w:rsid w:val="00B26AF4"/>
    <w:rPr>
      <w:rFonts w:ascii="Arial" w:hAnsi="Arial" w:cs="Arial"/>
      <w:snapToGrid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3485">
      <w:bodyDiv w:val="1"/>
      <w:marLeft w:val="0"/>
      <w:marRight w:val="0"/>
      <w:marTop w:val="0"/>
      <w:marBottom w:val="0"/>
      <w:divBdr>
        <w:top w:val="none" w:sz="0" w:space="0" w:color="auto"/>
        <w:left w:val="none" w:sz="0" w:space="0" w:color="auto"/>
        <w:bottom w:val="none" w:sz="0" w:space="0" w:color="auto"/>
        <w:right w:val="none" w:sz="0" w:space="0" w:color="auto"/>
      </w:divBdr>
    </w:div>
    <w:div w:id="488399308">
      <w:bodyDiv w:val="1"/>
      <w:marLeft w:val="0"/>
      <w:marRight w:val="0"/>
      <w:marTop w:val="0"/>
      <w:marBottom w:val="0"/>
      <w:divBdr>
        <w:top w:val="none" w:sz="0" w:space="0" w:color="auto"/>
        <w:left w:val="none" w:sz="0" w:space="0" w:color="auto"/>
        <w:bottom w:val="none" w:sz="0" w:space="0" w:color="auto"/>
        <w:right w:val="none" w:sz="0" w:space="0" w:color="auto"/>
      </w:divBdr>
    </w:div>
    <w:div w:id="559750621">
      <w:bodyDiv w:val="1"/>
      <w:marLeft w:val="0"/>
      <w:marRight w:val="0"/>
      <w:marTop w:val="0"/>
      <w:marBottom w:val="0"/>
      <w:divBdr>
        <w:top w:val="none" w:sz="0" w:space="0" w:color="auto"/>
        <w:left w:val="none" w:sz="0" w:space="0" w:color="auto"/>
        <w:bottom w:val="none" w:sz="0" w:space="0" w:color="auto"/>
        <w:right w:val="none" w:sz="0" w:space="0" w:color="auto"/>
      </w:divBdr>
    </w:div>
    <w:div w:id="205221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86A74-FE15-4CE4-A68D-E4C62C522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6535</Words>
  <Characters>37253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2015-02-23T06:13:00Z</dcterms:created>
  <dcterms:modified xsi:type="dcterms:W3CDTF">2015-03-03T03:48:00Z</dcterms:modified>
</cp:coreProperties>
</file>