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F47" w:rsidRDefault="003B37E8" w:rsidP="003C53E0">
      <w:pPr>
        <w:ind w:left="720" w:hanging="720"/>
        <w:rPr>
          <w:rFonts w:ascii="Arial" w:hAnsi="Arial"/>
          <w:b/>
          <w:sz w:val="28"/>
          <w:szCs w:val="28"/>
        </w:rPr>
      </w:pPr>
      <w:r>
        <w:rPr>
          <w:rFonts w:ascii="Arial" w:hAnsi="Arial"/>
          <w:b/>
          <w:sz w:val="28"/>
          <w:szCs w:val="28"/>
        </w:rPr>
        <w:t>7</w:t>
      </w:r>
      <w:r w:rsidR="00134F47">
        <w:rPr>
          <w:rFonts w:ascii="Arial" w:hAnsi="Arial"/>
          <w:b/>
          <w:sz w:val="28"/>
          <w:szCs w:val="28"/>
        </w:rPr>
        <w:t>.10</w:t>
      </w:r>
      <w:r w:rsidR="00134F47">
        <w:rPr>
          <w:rFonts w:ascii="Arial" w:hAnsi="Arial"/>
          <w:b/>
          <w:sz w:val="28"/>
          <w:szCs w:val="28"/>
        </w:rPr>
        <w:tab/>
        <w:t>ALEMTUZUMAB</w:t>
      </w:r>
    </w:p>
    <w:p w:rsidR="003C53E0" w:rsidRPr="003C53E0" w:rsidRDefault="003C53E0" w:rsidP="00134F47">
      <w:pPr>
        <w:ind w:left="720"/>
        <w:rPr>
          <w:rFonts w:ascii="Arial" w:hAnsi="Arial"/>
          <w:b/>
          <w:sz w:val="28"/>
          <w:szCs w:val="28"/>
        </w:rPr>
      </w:pPr>
      <w:r w:rsidRPr="003C53E0">
        <w:rPr>
          <w:rFonts w:ascii="Arial" w:hAnsi="Arial"/>
          <w:b/>
          <w:sz w:val="28"/>
          <w:szCs w:val="28"/>
        </w:rPr>
        <w:t>solution for infusion, 10 mg/ mL</w:t>
      </w:r>
      <w:r w:rsidR="00B66750">
        <w:rPr>
          <w:rFonts w:ascii="Arial" w:hAnsi="Arial"/>
          <w:b/>
          <w:sz w:val="28"/>
          <w:szCs w:val="28"/>
        </w:rPr>
        <w:t>;</w:t>
      </w:r>
      <w:r w:rsidRPr="003C53E0">
        <w:rPr>
          <w:rFonts w:ascii="Arial" w:hAnsi="Arial"/>
          <w:b/>
          <w:sz w:val="28"/>
          <w:szCs w:val="28"/>
        </w:rPr>
        <w:t xml:space="preserve"> </w:t>
      </w:r>
    </w:p>
    <w:p w:rsidR="00D3280C" w:rsidRPr="006D6EC7" w:rsidRDefault="00B66750" w:rsidP="00134F47">
      <w:pPr>
        <w:ind w:left="720"/>
        <w:rPr>
          <w:rFonts w:ascii="Arial" w:hAnsi="Arial"/>
          <w:b/>
          <w:sz w:val="28"/>
          <w:szCs w:val="28"/>
        </w:rPr>
      </w:pPr>
      <w:r>
        <w:rPr>
          <w:rFonts w:ascii="Arial" w:hAnsi="Arial"/>
          <w:b/>
          <w:sz w:val="28"/>
          <w:szCs w:val="28"/>
        </w:rPr>
        <w:t>Lemtrada®;</w:t>
      </w:r>
      <w:r w:rsidR="003C53E0" w:rsidRPr="003C53E0">
        <w:rPr>
          <w:rFonts w:ascii="Arial" w:hAnsi="Arial"/>
          <w:b/>
          <w:sz w:val="28"/>
          <w:szCs w:val="28"/>
        </w:rPr>
        <w:t xml:space="preserve"> Genzyme (Sanofi-Aventis Australia Pty Ltd)</w:t>
      </w:r>
      <w:r>
        <w:rPr>
          <w:rFonts w:ascii="Arial" w:hAnsi="Arial"/>
          <w:b/>
          <w:sz w:val="28"/>
          <w:szCs w:val="28"/>
        </w:rPr>
        <w:t>.</w:t>
      </w:r>
    </w:p>
    <w:p w:rsidR="00CE10C4" w:rsidRDefault="00CE10C4" w:rsidP="00A5273B">
      <w:pPr>
        <w:rPr>
          <w:rFonts w:ascii="Arial" w:hAnsi="Arial"/>
          <w:b/>
        </w:rPr>
      </w:pPr>
    </w:p>
    <w:p w:rsidR="00186B54" w:rsidRDefault="00186B54" w:rsidP="00A5273B">
      <w:pPr>
        <w:rPr>
          <w:rFonts w:ascii="Arial" w:hAnsi="Arial"/>
          <w:b/>
        </w:rPr>
      </w:pPr>
    </w:p>
    <w:p w:rsidR="00CE10C4" w:rsidRPr="00882085" w:rsidRDefault="00CE10C4" w:rsidP="00186B54">
      <w:pPr>
        <w:pStyle w:val="ListParagraph"/>
        <w:numPr>
          <w:ilvl w:val="0"/>
          <w:numId w:val="25"/>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E16910" w:rsidRPr="003C53E0" w:rsidRDefault="003C53E0" w:rsidP="003C53E0">
      <w:pPr>
        <w:pStyle w:val="ListParagraph"/>
        <w:numPr>
          <w:ilvl w:val="1"/>
          <w:numId w:val="25"/>
        </w:numPr>
        <w:jc w:val="both"/>
        <w:rPr>
          <w:rFonts w:ascii="Arial" w:hAnsi="Arial"/>
          <w:sz w:val="22"/>
          <w:szCs w:val="22"/>
        </w:rPr>
      </w:pPr>
      <w:r w:rsidRPr="003C53E0">
        <w:rPr>
          <w:rFonts w:ascii="Arial" w:hAnsi="Arial"/>
          <w:sz w:val="22"/>
          <w:szCs w:val="22"/>
        </w:rPr>
        <w:t>Amend the July 2014 PBAC recommendation to list alemtuzumab on a cost-minimisation basis with natalizumab a</w:t>
      </w:r>
      <w:bookmarkStart w:id="0" w:name="_GoBack"/>
      <w:bookmarkEnd w:id="0"/>
      <w:r w:rsidRPr="003C53E0">
        <w:rPr>
          <w:rFonts w:ascii="Arial" w:hAnsi="Arial"/>
          <w:sz w:val="22"/>
          <w:szCs w:val="22"/>
        </w:rPr>
        <w:t>nd fingolimod with regards to the claimed dosing durability.</w:t>
      </w:r>
    </w:p>
    <w:p w:rsidR="006A12A5" w:rsidRDefault="006A12A5" w:rsidP="00882085">
      <w:pPr>
        <w:jc w:val="both"/>
        <w:rPr>
          <w:rFonts w:ascii="Arial" w:hAnsi="Arial"/>
          <w:b/>
          <w:sz w:val="22"/>
          <w:szCs w:val="22"/>
        </w:rPr>
      </w:pPr>
    </w:p>
    <w:p w:rsidR="00186B54" w:rsidRPr="00882085" w:rsidRDefault="00186B54" w:rsidP="00882085">
      <w:pPr>
        <w:jc w:val="both"/>
        <w:rPr>
          <w:rFonts w:ascii="Arial" w:hAnsi="Arial"/>
          <w:b/>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2B1AE6" w:rsidRDefault="003C53E0" w:rsidP="00882085">
      <w:pPr>
        <w:pStyle w:val="ListParagraph"/>
        <w:numPr>
          <w:ilvl w:val="1"/>
          <w:numId w:val="25"/>
        </w:numPr>
        <w:jc w:val="both"/>
        <w:rPr>
          <w:rFonts w:ascii="Arial" w:hAnsi="Arial"/>
          <w:sz w:val="22"/>
          <w:szCs w:val="22"/>
        </w:rPr>
      </w:pPr>
      <w:r>
        <w:rPr>
          <w:rFonts w:ascii="Arial" w:hAnsi="Arial"/>
          <w:sz w:val="22"/>
          <w:szCs w:val="22"/>
        </w:rPr>
        <w:t xml:space="preserve">The re-submission presented the restriction as recommended by the PBAC at the July 2014 meeting. </w:t>
      </w:r>
    </w:p>
    <w:p w:rsidR="00BB7EC3" w:rsidRDefault="00BB7EC3" w:rsidP="00882085">
      <w:pPr>
        <w:jc w:val="both"/>
        <w:rPr>
          <w:rFonts w:ascii="Arial" w:hAnsi="Arial"/>
          <w:b/>
          <w:sz w:val="22"/>
          <w:szCs w:val="22"/>
        </w:rPr>
      </w:pPr>
    </w:p>
    <w:p w:rsidR="00186B54" w:rsidRPr="00882085" w:rsidRDefault="00186B54"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ED6658" w:rsidRDefault="006B0D94" w:rsidP="00882085">
      <w:pPr>
        <w:pStyle w:val="ListParagraph"/>
        <w:numPr>
          <w:ilvl w:val="1"/>
          <w:numId w:val="25"/>
        </w:numPr>
        <w:jc w:val="both"/>
        <w:rPr>
          <w:rFonts w:ascii="Arial" w:hAnsi="Arial"/>
          <w:sz w:val="22"/>
          <w:szCs w:val="22"/>
        </w:rPr>
      </w:pPr>
      <w:r w:rsidRPr="000802DF">
        <w:rPr>
          <w:rFonts w:ascii="Arial" w:hAnsi="Arial"/>
          <w:sz w:val="22"/>
          <w:szCs w:val="22"/>
        </w:rPr>
        <w:t>A</w:t>
      </w:r>
      <w:r w:rsidR="000802DF" w:rsidRPr="000802DF">
        <w:rPr>
          <w:rFonts w:ascii="Arial" w:hAnsi="Arial"/>
          <w:sz w:val="22"/>
          <w:szCs w:val="22"/>
        </w:rPr>
        <w:t xml:space="preserve">lemtuzumab </w:t>
      </w:r>
      <w:r w:rsidR="002B1AE6" w:rsidRPr="000802DF">
        <w:rPr>
          <w:rFonts w:ascii="Arial" w:hAnsi="Arial"/>
          <w:sz w:val="22"/>
          <w:szCs w:val="22"/>
        </w:rPr>
        <w:t xml:space="preserve">was TGA registered on </w:t>
      </w:r>
      <w:r w:rsidR="000802DF" w:rsidRPr="000802DF">
        <w:rPr>
          <w:rFonts w:ascii="Arial" w:hAnsi="Arial"/>
          <w:sz w:val="22"/>
          <w:szCs w:val="22"/>
        </w:rPr>
        <w:t>18 December 2013 for the treatment of relapsing-remitting MS (RRMS).</w:t>
      </w:r>
    </w:p>
    <w:p w:rsidR="00ED6658" w:rsidRPr="00ED6658" w:rsidRDefault="00ED6658" w:rsidP="00ED6658">
      <w:pPr>
        <w:jc w:val="both"/>
        <w:rPr>
          <w:rFonts w:ascii="Arial" w:hAnsi="Arial"/>
          <w:sz w:val="22"/>
          <w:szCs w:val="22"/>
        </w:rPr>
      </w:pPr>
    </w:p>
    <w:p w:rsidR="00ED6658" w:rsidRDefault="00ED6658" w:rsidP="00ED6658">
      <w:pPr>
        <w:pStyle w:val="ListParagraph"/>
        <w:numPr>
          <w:ilvl w:val="1"/>
          <w:numId w:val="25"/>
        </w:numPr>
        <w:jc w:val="both"/>
        <w:rPr>
          <w:rFonts w:ascii="Arial" w:hAnsi="Arial" w:cs="Arial"/>
          <w:sz w:val="22"/>
          <w:szCs w:val="22"/>
        </w:rPr>
      </w:pPr>
      <w:r w:rsidRPr="00ED6658">
        <w:rPr>
          <w:rFonts w:ascii="Arial" w:hAnsi="Arial" w:cs="Arial"/>
          <w:sz w:val="22"/>
          <w:szCs w:val="22"/>
        </w:rPr>
        <w:t xml:space="preserve">A major submission for alemtuzumab for the treatment of relapsing-remitting multiple sclerosis was considered and recommended by the PBAC at its July 2014 </w:t>
      </w:r>
      <w:r w:rsidR="00047707" w:rsidRPr="00ED6658">
        <w:rPr>
          <w:rFonts w:ascii="Arial" w:hAnsi="Arial" w:cs="Arial"/>
          <w:sz w:val="22"/>
          <w:szCs w:val="22"/>
        </w:rPr>
        <w:t>meeting</w:t>
      </w:r>
      <w:r w:rsidR="00047707">
        <w:rPr>
          <w:rFonts w:ascii="Arial" w:hAnsi="Arial" w:cs="Arial"/>
          <w:sz w:val="22"/>
          <w:szCs w:val="22"/>
        </w:rPr>
        <w:t>.</w:t>
      </w:r>
      <w:r w:rsidR="00047707" w:rsidRPr="00ED6658">
        <w:rPr>
          <w:rFonts w:ascii="Arial" w:hAnsi="Arial" w:cs="Arial"/>
          <w:sz w:val="22"/>
          <w:szCs w:val="22"/>
        </w:rPr>
        <w:t xml:space="preserve"> Listing</w:t>
      </w:r>
      <w:r w:rsidRPr="00ED6658">
        <w:rPr>
          <w:rFonts w:ascii="Arial" w:hAnsi="Arial" w:cs="Arial"/>
          <w:sz w:val="22"/>
          <w:szCs w:val="22"/>
        </w:rPr>
        <w:t xml:space="preserve"> was recommended on a cost-minimisation basis against </w:t>
      </w:r>
      <w:r w:rsidR="00D032E2">
        <w:rPr>
          <w:rFonts w:ascii="Arial" w:hAnsi="Arial" w:cs="Arial"/>
          <w:noProof/>
          <w:color w:val="000000"/>
          <w:sz w:val="22"/>
          <w:szCs w:val="22"/>
          <w:highlight w:val="black"/>
        </w:rPr>
        <w:t xml:space="preserve">'''''''' </w:t>
      </w:r>
      <w:r w:rsidRPr="00BE1748">
        <w:rPr>
          <w:rFonts w:ascii="Arial" w:hAnsi="Arial" w:cs="Arial"/>
          <w:sz w:val="22"/>
          <w:szCs w:val="22"/>
        </w:rPr>
        <w:t xml:space="preserve">years of </w:t>
      </w:r>
      <w:r w:rsidRPr="00ED6658">
        <w:rPr>
          <w:rFonts w:ascii="Arial" w:hAnsi="Arial" w:cs="Arial"/>
          <w:sz w:val="22"/>
          <w:szCs w:val="22"/>
        </w:rPr>
        <w:t>treatment with fingolimod (50%) and natalizumab (50%) and with (a) any price advantage for fingolimod accounting for its oral form not applying and (b) cost- offsets for infection management and prophylaxis for alemtuzumab</w:t>
      </w:r>
      <w:r>
        <w:rPr>
          <w:rFonts w:ascii="Arial" w:hAnsi="Arial" w:cs="Arial"/>
          <w:sz w:val="22"/>
          <w:szCs w:val="22"/>
        </w:rPr>
        <w:t>.</w:t>
      </w:r>
    </w:p>
    <w:p w:rsidR="00ED6658" w:rsidRPr="00ED6658" w:rsidRDefault="00ED6658" w:rsidP="00ED6658">
      <w:pPr>
        <w:pStyle w:val="ListParagraph"/>
        <w:rPr>
          <w:rFonts w:ascii="Arial" w:hAnsi="Arial" w:cs="Arial"/>
          <w:sz w:val="22"/>
          <w:szCs w:val="22"/>
        </w:rPr>
      </w:pPr>
    </w:p>
    <w:p w:rsidR="00ED6658" w:rsidRPr="00ED6658" w:rsidRDefault="00ED6658" w:rsidP="00ED6658">
      <w:pPr>
        <w:pStyle w:val="ListParagraph"/>
        <w:numPr>
          <w:ilvl w:val="1"/>
          <w:numId w:val="25"/>
        </w:numPr>
        <w:jc w:val="both"/>
        <w:rPr>
          <w:rFonts w:ascii="Arial" w:hAnsi="Arial" w:cs="Arial"/>
          <w:sz w:val="22"/>
          <w:szCs w:val="22"/>
        </w:rPr>
      </w:pPr>
      <w:r>
        <w:rPr>
          <w:rFonts w:ascii="Arial" w:hAnsi="Arial" w:cs="Arial"/>
          <w:sz w:val="22"/>
          <w:szCs w:val="22"/>
        </w:rPr>
        <w:t xml:space="preserve"> </w:t>
      </w:r>
      <w:r w:rsidRPr="00ED6658">
        <w:rPr>
          <w:rFonts w:ascii="Arial" w:hAnsi="Arial" w:cs="Arial"/>
          <w:sz w:val="22"/>
          <w:szCs w:val="22"/>
        </w:rPr>
        <w:t>In making this recommendation:</w:t>
      </w:r>
    </w:p>
    <w:p w:rsidR="006A12A5" w:rsidRDefault="00ED6658" w:rsidP="00ED6658">
      <w:pPr>
        <w:pStyle w:val="ListParagraph"/>
        <w:jc w:val="both"/>
        <w:rPr>
          <w:rFonts w:ascii="Arial" w:hAnsi="Arial" w:cs="Arial"/>
          <w:sz w:val="22"/>
          <w:szCs w:val="22"/>
        </w:rPr>
      </w:pPr>
      <w:r w:rsidRPr="00ED6658">
        <w:rPr>
          <w:rFonts w:ascii="Arial" w:hAnsi="Arial" w:cs="Arial"/>
          <w:sz w:val="22"/>
          <w:szCs w:val="22"/>
        </w:rPr>
        <w:t xml:space="preserve">“The PBAC considered that the claim of clinical durability of alemtuzumab [2 years] compared to fingolimod and natalizumab [4.059 years] had not been supported in the submission. The PBAC noted that the claim of durability was informed by the interim results of the CARE-MS extension study, and that the duration of the clinical effect compared to fingolimod and natalizumab remains uncertain. The PBAC did not accept that in-trial re-treatment rates were justified to be an adequate proxy for durability of effect as they do not account for patients switching to other therapies and patients lost to follow-up. Further, the basis of the clinician’s decision to re-treat with alemtuzumab (as opposed to another disease modifying therapy) is not clearly linked to monitoring of any particular aspect of effect. The PBAC noted that the approach used by the submission does not account for any waning of effects before re-treatment. The PBAC considered that the criteria for a patient to seek re-treatment was unclear and that it was uncertain how any such criteria may be interpreted by clinicians. The PBAC considered that once the final results of the extension study are known, and if they support durability of effect, the sponsor is welcome to lodge a submission to the PBAC providing this evidence. The PBAC also agreed with the ESC that a modelled cost-utility analysis may be an alternate way to value </w:t>
      </w:r>
      <w:r w:rsidRPr="00ED6658">
        <w:rPr>
          <w:rFonts w:ascii="Arial" w:hAnsi="Arial" w:cs="Arial"/>
          <w:sz w:val="22"/>
          <w:szCs w:val="22"/>
        </w:rPr>
        <w:lastRenderedPageBreak/>
        <w:t>alemtuzumab to better account for the differences in the risk/benefit profile (both short-term and long-term) between treatments.”</w:t>
      </w:r>
    </w:p>
    <w:p w:rsidR="00ED6658" w:rsidRPr="00ED6658" w:rsidRDefault="00ED6658" w:rsidP="00ED6658">
      <w:pPr>
        <w:pStyle w:val="ListParagraph"/>
        <w:jc w:val="both"/>
        <w:rPr>
          <w:rFonts w:ascii="Arial" w:hAnsi="Arial"/>
          <w:sz w:val="22"/>
          <w:szCs w:val="22"/>
        </w:rPr>
      </w:pPr>
    </w:p>
    <w:p w:rsidR="00BB7EC3" w:rsidRDefault="00ED6658" w:rsidP="00ED6658">
      <w:pPr>
        <w:pStyle w:val="ListParagraph"/>
        <w:numPr>
          <w:ilvl w:val="1"/>
          <w:numId w:val="25"/>
        </w:numPr>
        <w:jc w:val="both"/>
        <w:rPr>
          <w:rFonts w:ascii="Arial" w:hAnsi="Arial"/>
          <w:sz w:val="22"/>
          <w:szCs w:val="22"/>
        </w:rPr>
      </w:pPr>
      <w:r w:rsidRPr="00ED6658">
        <w:rPr>
          <w:rFonts w:ascii="Arial" w:hAnsi="Arial"/>
          <w:sz w:val="22"/>
          <w:szCs w:val="22"/>
        </w:rPr>
        <w:t>The key difference in this re-submission compared to the base case recommended by PBAC in July 2014 is that a cost-minimisation analysis based on</w:t>
      </w:r>
      <w:r w:rsidRPr="00020555">
        <w:rPr>
          <w:rFonts w:ascii="Arial" w:hAnsi="Arial"/>
          <w:sz w:val="22"/>
          <w:szCs w:val="22"/>
        </w:rPr>
        <w:t xml:space="preserve"> </w:t>
      </w:r>
      <w:r w:rsidR="00D032E2">
        <w:rPr>
          <w:rFonts w:ascii="Arial" w:hAnsi="Arial"/>
          <w:noProof/>
          <w:color w:val="000000"/>
          <w:sz w:val="22"/>
          <w:szCs w:val="22"/>
          <w:highlight w:val="black"/>
        </w:rPr>
        <w:t xml:space="preserve">'''''''''''' </w:t>
      </w:r>
      <w:r w:rsidRPr="00BE1748">
        <w:rPr>
          <w:rFonts w:ascii="Arial" w:hAnsi="Arial"/>
          <w:sz w:val="22"/>
          <w:szCs w:val="22"/>
        </w:rPr>
        <w:t>years of</w:t>
      </w:r>
      <w:r w:rsidR="00D032E2">
        <w:rPr>
          <w:rFonts w:ascii="Arial" w:hAnsi="Arial"/>
          <w:noProof/>
          <w:color w:val="000000"/>
          <w:sz w:val="22"/>
          <w:szCs w:val="22"/>
          <w:highlight w:val="black"/>
        </w:rPr>
        <w:t xml:space="preserve"> </w:t>
      </w:r>
      <w:r w:rsidRPr="00ED6658">
        <w:rPr>
          <w:rFonts w:ascii="Arial" w:hAnsi="Arial"/>
          <w:sz w:val="22"/>
          <w:szCs w:val="22"/>
        </w:rPr>
        <w:t xml:space="preserve">treatment with fingolimod and natalizumab is proposed – the base case recommended by PBAC is a cost-minimisation based on </w:t>
      </w:r>
      <w:r w:rsidR="00D032E2">
        <w:rPr>
          <w:rFonts w:ascii="Arial" w:hAnsi="Arial"/>
          <w:noProof/>
          <w:color w:val="000000"/>
          <w:sz w:val="22"/>
          <w:szCs w:val="22"/>
          <w:highlight w:val="black"/>
        </w:rPr>
        <w:t>'''''''''</w:t>
      </w:r>
      <w:r w:rsidRPr="00ED6658">
        <w:rPr>
          <w:rFonts w:ascii="Arial" w:hAnsi="Arial"/>
          <w:sz w:val="22"/>
          <w:szCs w:val="22"/>
        </w:rPr>
        <w:t xml:space="preserve"> years of treatment with the later medicines.</w:t>
      </w:r>
    </w:p>
    <w:p w:rsidR="00E17AE6" w:rsidRPr="00E17AE6" w:rsidRDefault="00E17AE6" w:rsidP="00E17AE6">
      <w:pPr>
        <w:jc w:val="both"/>
        <w:rPr>
          <w:rFonts w:ascii="Arial" w:hAnsi="Arial"/>
          <w:sz w:val="20"/>
          <w:szCs w:val="20"/>
        </w:rPr>
      </w:pPr>
    </w:p>
    <w:p w:rsidR="00E17AE6" w:rsidRPr="00E17AE6" w:rsidRDefault="00E17AE6" w:rsidP="00186B54">
      <w:pPr>
        <w:ind w:left="709"/>
        <w:jc w:val="both"/>
        <w:rPr>
          <w:rFonts w:ascii="Arial" w:hAnsi="Arial"/>
          <w:sz w:val="20"/>
          <w:szCs w:val="20"/>
        </w:rPr>
      </w:pPr>
      <w:r w:rsidRPr="00E17AE6">
        <w:rPr>
          <w:rFonts w:ascii="Arial Narrow" w:hAnsi="Arial Narrow" w:cs="Arial"/>
          <w:b/>
          <w:snapToGrid w:val="0"/>
          <w:sz w:val="20"/>
          <w:szCs w:val="20"/>
          <w:lang w:eastAsia="en-US"/>
        </w:rPr>
        <w:t xml:space="preserve"> Summary of the changes between the previous submission and current re-submission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77"/>
        <w:gridCol w:w="4693"/>
        <w:gridCol w:w="2693"/>
      </w:tblGrid>
      <w:tr w:rsidR="00E17AE6" w:rsidRPr="00E17AE6" w:rsidTr="00186B54">
        <w:trPr>
          <w:trHeight w:val="220"/>
          <w:tblHeader/>
        </w:trPr>
        <w:tc>
          <w:tcPr>
            <w:tcW w:w="584" w:type="pct"/>
            <w:tcBorders>
              <w:top w:val="single" w:sz="4" w:space="0" w:color="auto"/>
              <w:left w:val="single" w:sz="4" w:space="0" w:color="auto"/>
              <w:bottom w:val="single" w:sz="4" w:space="0" w:color="auto"/>
              <w:right w:val="single" w:sz="4" w:space="0" w:color="auto"/>
            </w:tcBorders>
          </w:tcPr>
          <w:p w:rsidR="00E17AE6" w:rsidRPr="00E17AE6" w:rsidRDefault="00E17AE6">
            <w:pPr>
              <w:widowControl w:val="0"/>
              <w:spacing w:line="276" w:lineRule="auto"/>
              <w:rPr>
                <w:rFonts w:ascii="Arial Narrow" w:hAnsi="Arial Narrow" w:cs="Arial"/>
                <w:snapToGrid w:val="0"/>
                <w:sz w:val="20"/>
                <w:szCs w:val="20"/>
                <w:lang w:eastAsia="en-US"/>
              </w:rPr>
            </w:pPr>
          </w:p>
        </w:tc>
        <w:tc>
          <w:tcPr>
            <w:tcW w:w="2806" w:type="pct"/>
            <w:tcBorders>
              <w:top w:val="single" w:sz="4" w:space="0" w:color="auto"/>
              <w:left w:val="single" w:sz="4" w:space="0" w:color="auto"/>
              <w:bottom w:val="single" w:sz="4" w:space="0" w:color="auto"/>
              <w:right w:val="single" w:sz="4" w:space="0" w:color="auto"/>
            </w:tcBorders>
            <w:vAlign w:val="center"/>
            <w:hideMark/>
          </w:tcPr>
          <w:p w:rsidR="00E17AE6" w:rsidRPr="00E17AE6" w:rsidRDefault="00E17AE6">
            <w:pPr>
              <w:widowControl w:val="0"/>
              <w:spacing w:line="276" w:lineRule="auto"/>
              <w:jc w:val="center"/>
              <w:rPr>
                <w:rFonts w:ascii="Arial Narrow" w:hAnsi="Arial Narrow" w:cs="Arial"/>
                <w:b/>
                <w:snapToGrid w:val="0"/>
                <w:sz w:val="20"/>
                <w:szCs w:val="20"/>
                <w:lang w:eastAsia="en-US"/>
              </w:rPr>
            </w:pPr>
            <w:r w:rsidRPr="00E17AE6">
              <w:rPr>
                <w:rFonts w:ascii="Arial Narrow" w:hAnsi="Arial Narrow" w:cs="Arial"/>
                <w:b/>
                <w:snapToGrid w:val="0"/>
                <w:sz w:val="20"/>
                <w:szCs w:val="20"/>
                <w:lang w:eastAsia="en-US"/>
              </w:rPr>
              <w:t>Alemtuzumab July 2014</w:t>
            </w:r>
          </w:p>
        </w:tc>
        <w:tc>
          <w:tcPr>
            <w:tcW w:w="1610" w:type="pct"/>
            <w:tcBorders>
              <w:top w:val="single" w:sz="4" w:space="0" w:color="auto"/>
              <w:left w:val="single" w:sz="4" w:space="0" w:color="auto"/>
              <w:bottom w:val="single" w:sz="4" w:space="0" w:color="auto"/>
              <w:right w:val="single" w:sz="4" w:space="0" w:color="auto"/>
            </w:tcBorders>
            <w:vAlign w:val="center"/>
            <w:hideMark/>
          </w:tcPr>
          <w:p w:rsidR="00E17AE6" w:rsidRPr="00E17AE6" w:rsidRDefault="00E17AE6">
            <w:pPr>
              <w:widowControl w:val="0"/>
              <w:spacing w:line="276" w:lineRule="auto"/>
              <w:jc w:val="center"/>
              <w:rPr>
                <w:rFonts w:ascii="Arial Narrow" w:hAnsi="Arial Narrow" w:cs="Arial"/>
                <w:b/>
                <w:snapToGrid w:val="0"/>
                <w:sz w:val="20"/>
                <w:szCs w:val="20"/>
                <w:lang w:eastAsia="en-US"/>
              </w:rPr>
            </w:pPr>
            <w:r w:rsidRPr="00E17AE6">
              <w:rPr>
                <w:rFonts w:ascii="Arial Narrow" w:hAnsi="Arial Narrow" w:cs="Arial"/>
                <w:b/>
                <w:snapToGrid w:val="0"/>
                <w:sz w:val="20"/>
                <w:szCs w:val="20"/>
                <w:lang w:eastAsia="en-US"/>
              </w:rPr>
              <w:t>Current re-submission</w:t>
            </w:r>
          </w:p>
        </w:tc>
      </w:tr>
      <w:tr w:rsidR="00E17AE6" w:rsidRPr="00E17AE6" w:rsidTr="00186B54">
        <w:trPr>
          <w:trHeight w:val="794"/>
        </w:trPr>
        <w:tc>
          <w:tcPr>
            <w:tcW w:w="584" w:type="pct"/>
            <w:tcBorders>
              <w:top w:val="single" w:sz="4" w:space="0" w:color="auto"/>
              <w:left w:val="single" w:sz="4" w:space="0" w:color="auto"/>
              <w:bottom w:val="single" w:sz="4" w:space="0" w:color="auto"/>
              <w:right w:val="single" w:sz="4" w:space="0" w:color="auto"/>
            </w:tcBorders>
            <w:hideMark/>
          </w:tcPr>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Cost-minimisation</w:t>
            </w:r>
          </w:p>
        </w:tc>
        <w:tc>
          <w:tcPr>
            <w:tcW w:w="2806" w:type="pct"/>
            <w:tcBorders>
              <w:top w:val="single" w:sz="4" w:space="0" w:color="auto"/>
              <w:left w:val="single" w:sz="4" w:space="0" w:color="auto"/>
              <w:bottom w:val="single" w:sz="4" w:space="0" w:color="auto"/>
              <w:right w:val="single" w:sz="4" w:space="0" w:color="auto"/>
            </w:tcBorders>
            <w:hideMark/>
          </w:tcPr>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Au</w:t>
            </w:r>
            <w:r w:rsidR="00776FC8">
              <w:rPr>
                <w:rFonts w:ascii="Arial Narrow" w:hAnsi="Arial Narrow" w:cs="Arial"/>
                <w:snapToGrid w:val="0"/>
                <w:sz w:val="20"/>
                <w:szCs w:val="20"/>
                <w:lang w:eastAsia="en-US"/>
              </w:rPr>
              <w:t>thority required listing of alem</w:t>
            </w:r>
            <w:r w:rsidRPr="00E17AE6">
              <w:rPr>
                <w:rFonts w:ascii="Arial Narrow" w:hAnsi="Arial Narrow" w:cs="Arial"/>
                <w:snapToGrid w:val="0"/>
                <w:sz w:val="20"/>
                <w:szCs w:val="20"/>
                <w:lang w:eastAsia="en-US"/>
              </w:rPr>
              <w:t xml:space="preserve">tuzumab was sought on a cost-minimisation basis with </w:t>
            </w:r>
            <w:r w:rsidR="00D032E2">
              <w:rPr>
                <w:rFonts w:ascii="Arial Narrow" w:hAnsi="Arial Narrow" w:cs="Arial"/>
                <w:noProof/>
                <w:snapToGrid w:val="0"/>
                <w:color w:val="000000"/>
                <w:sz w:val="20"/>
                <w:szCs w:val="20"/>
                <w:highlight w:val="black"/>
                <w:lang w:eastAsia="en-US"/>
              </w:rPr>
              <w:t>''''''''</w:t>
            </w:r>
            <w:r w:rsidRPr="00E17AE6">
              <w:rPr>
                <w:rFonts w:ascii="Arial Narrow" w:hAnsi="Arial Narrow" w:cs="Arial"/>
                <w:snapToGrid w:val="0"/>
                <w:sz w:val="20"/>
                <w:szCs w:val="20"/>
                <w:lang w:eastAsia="en-US"/>
              </w:rPr>
              <w:t xml:space="preserve"> years of treatment with alemtuzumab compared to 2-5 years (4.059) of treatment with fingolimod and natalizumab.</w:t>
            </w:r>
          </w:p>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b/>
                <w:snapToGrid w:val="0"/>
                <w:sz w:val="20"/>
                <w:szCs w:val="20"/>
                <w:lang w:eastAsia="en-US"/>
              </w:rPr>
              <w:t xml:space="preserve">PBAC Comment: </w:t>
            </w:r>
            <w:r w:rsidRPr="00E17AE6">
              <w:rPr>
                <w:rFonts w:ascii="Arial Narrow" w:hAnsi="Arial Narrow" w:cs="Arial"/>
                <w:snapToGrid w:val="0"/>
                <w:sz w:val="20"/>
                <w:szCs w:val="20"/>
                <w:lang w:eastAsia="en-US"/>
              </w:rPr>
              <w:t xml:space="preserve">The PBAC considered a cost-minimisation based on </w:t>
            </w:r>
            <w:r w:rsidR="00D032E2">
              <w:rPr>
                <w:rFonts w:ascii="Arial Narrow" w:hAnsi="Arial Narrow" w:cs="Arial"/>
                <w:noProof/>
                <w:snapToGrid w:val="0"/>
                <w:color w:val="000000"/>
                <w:sz w:val="20"/>
                <w:szCs w:val="20"/>
                <w:highlight w:val="black"/>
                <w:lang w:eastAsia="en-US"/>
              </w:rPr>
              <w:t>'''''''</w:t>
            </w:r>
            <w:r w:rsidRPr="00E17AE6">
              <w:rPr>
                <w:rFonts w:ascii="Arial Narrow" w:hAnsi="Arial Narrow" w:cs="Arial"/>
                <w:snapToGrid w:val="0"/>
                <w:sz w:val="20"/>
                <w:szCs w:val="20"/>
                <w:lang w:eastAsia="en-US"/>
              </w:rPr>
              <w:t xml:space="preserve"> years of treatment with fingolimod and natalizumab is more appropriate.</w:t>
            </w:r>
          </w:p>
        </w:tc>
        <w:tc>
          <w:tcPr>
            <w:tcW w:w="1610" w:type="pct"/>
            <w:tcBorders>
              <w:top w:val="single" w:sz="4" w:space="0" w:color="auto"/>
              <w:left w:val="single" w:sz="4" w:space="0" w:color="auto"/>
              <w:bottom w:val="single" w:sz="4" w:space="0" w:color="auto"/>
              <w:right w:val="single" w:sz="4" w:space="0" w:color="auto"/>
            </w:tcBorders>
            <w:hideMark/>
          </w:tcPr>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 xml:space="preserve">Proposes a revised cost minimisation analysis based on </w:t>
            </w:r>
            <w:r w:rsidR="00D032E2">
              <w:rPr>
                <w:rFonts w:ascii="Arial Narrow" w:hAnsi="Arial Narrow" w:cs="Arial"/>
                <w:noProof/>
                <w:snapToGrid w:val="0"/>
                <w:color w:val="000000"/>
                <w:sz w:val="20"/>
                <w:szCs w:val="20"/>
                <w:highlight w:val="black"/>
                <w:lang w:eastAsia="en-US"/>
              </w:rPr>
              <w:t xml:space="preserve">'''''''''''''' </w:t>
            </w:r>
            <w:r w:rsidRPr="00BE1748">
              <w:rPr>
                <w:rFonts w:ascii="Arial Narrow" w:hAnsi="Arial Narrow" w:cs="Arial"/>
                <w:snapToGrid w:val="0"/>
                <w:sz w:val="20"/>
                <w:szCs w:val="20"/>
                <w:lang w:eastAsia="en-US"/>
              </w:rPr>
              <w:t>years of</w:t>
            </w:r>
            <w:r w:rsidRPr="00E17AE6">
              <w:rPr>
                <w:rFonts w:ascii="Arial Narrow" w:hAnsi="Arial Narrow" w:cs="Arial"/>
                <w:snapToGrid w:val="0"/>
                <w:sz w:val="20"/>
                <w:szCs w:val="20"/>
                <w:lang w:eastAsia="en-US"/>
              </w:rPr>
              <w:t xml:space="preserve"> treatment with fingolimod and natalizumab.</w:t>
            </w:r>
          </w:p>
        </w:tc>
      </w:tr>
      <w:tr w:rsidR="00E17AE6" w:rsidRPr="00E17AE6" w:rsidTr="00186B54">
        <w:trPr>
          <w:trHeight w:val="56"/>
        </w:trPr>
        <w:tc>
          <w:tcPr>
            <w:tcW w:w="584" w:type="pct"/>
            <w:tcBorders>
              <w:top w:val="single" w:sz="4" w:space="0" w:color="auto"/>
              <w:left w:val="single" w:sz="4" w:space="0" w:color="auto"/>
              <w:bottom w:val="single" w:sz="4" w:space="0" w:color="auto"/>
              <w:right w:val="single" w:sz="4" w:space="0" w:color="auto"/>
            </w:tcBorders>
            <w:hideMark/>
          </w:tcPr>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Comparator weighting</w:t>
            </w:r>
          </w:p>
        </w:tc>
        <w:tc>
          <w:tcPr>
            <w:tcW w:w="2806" w:type="pct"/>
            <w:tcBorders>
              <w:top w:val="single" w:sz="4" w:space="0" w:color="auto"/>
              <w:left w:val="single" w:sz="4" w:space="0" w:color="auto"/>
              <w:bottom w:val="single" w:sz="4" w:space="0" w:color="auto"/>
              <w:right w:val="single" w:sz="4" w:space="0" w:color="auto"/>
            </w:tcBorders>
            <w:hideMark/>
          </w:tcPr>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Submission noted that based on a clinician survey</w:t>
            </w:r>
            <w:r w:rsidR="00776FC8">
              <w:rPr>
                <w:rFonts w:ascii="Arial Narrow" w:hAnsi="Arial Narrow" w:cs="Arial"/>
                <w:snapToGrid w:val="0"/>
                <w:sz w:val="20"/>
                <w:szCs w:val="20"/>
                <w:lang w:eastAsia="en-US"/>
              </w:rPr>
              <w:t xml:space="preserve"> the relative proportion of alem</w:t>
            </w:r>
            <w:r w:rsidRPr="00E17AE6">
              <w:rPr>
                <w:rFonts w:ascii="Arial Narrow" w:hAnsi="Arial Narrow" w:cs="Arial"/>
                <w:snapToGrid w:val="0"/>
                <w:sz w:val="20"/>
                <w:szCs w:val="20"/>
                <w:lang w:eastAsia="en-US"/>
              </w:rPr>
              <w:t>tuzumab use from replacement of natalizumab and fingolimod is 71% and 29% respectively.</w:t>
            </w:r>
          </w:p>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b/>
                <w:snapToGrid w:val="0"/>
                <w:sz w:val="20"/>
                <w:szCs w:val="20"/>
                <w:lang w:eastAsia="en-US"/>
              </w:rPr>
              <w:t xml:space="preserve">PBAC Comment: </w:t>
            </w:r>
            <w:r w:rsidRPr="00E17AE6">
              <w:rPr>
                <w:rFonts w:ascii="Arial Narrow" w:hAnsi="Arial Narrow" w:cs="Arial"/>
                <w:snapToGrid w:val="0"/>
                <w:sz w:val="20"/>
                <w:szCs w:val="20"/>
                <w:lang w:eastAsia="en-US"/>
              </w:rPr>
              <w:t>The PBAC considered given the uncertainty of how alemtuzumab would be used in clinical practice, that a weighting of 50:50 would be more appropriate.</w:t>
            </w:r>
          </w:p>
        </w:tc>
        <w:tc>
          <w:tcPr>
            <w:tcW w:w="1610" w:type="pct"/>
            <w:tcBorders>
              <w:top w:val="single" w:sz="4" w:space="0" w:color="auto"/>
              <w:left w:val="single" w:sz="4" w:space="0" w:color="auto"/>
              <w:bottom w:val="single" w:sz="4" w:space="0" w:color="auto"/>
              <w:right w:val="single" w:sz="4" w:space="0" w:color="auto"/>
            </w:tcBorders>
            <w:hideMark/>
          </w:tcPr>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Adopts the requested changes to comparator weighting of 50:50.</w:t>
            </w:r>
          </w:p>
        </w:tc>
      </w:tr>
      <w:tr w:rsidR="00E17AE6" w:rsidRPr="00E17AE6" w:rsidTr="00186B54">
        <w:trPr>
          <w:trHeight w:val="56"/>
        </w:trPr>
        <w:tc>
          <w:tcPr>
            <w:tcW w:w="584" w:type="pct"/>
            <w:tcBorders>
              <w:top w:val="single" w:sz="4" w:space="0" w:color="auto"/>
              <w:left w:val="single" w:sz="4" w:space="0" w:color="auto"/>
              <w:bottom w:val="single" w:sz="4" w:space="0" w:color="auto"/>
              <w:right w:val="single" w:sz="4" w:space="0" w:color="auto"/>
            </w:tcBorders>
            <w:hideMark/>
          </w:tcPr>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Cost offsets</w:t>
            </w:r>
          </w:p>
        </w:tc>
        <w:tc>
          <w:tcPr>
            <w:tcW w:w="2806" w:type="pct"/>
            <w:tcBorders>
              <w:top w:val="single" w:sz="4" w:space="0" w:color="auto"/>
              <w:left w:val="single" w:sz="4" w:space="0" w:color="auto"/>
              <w:bottom w:val="single" w:sz="4" w:space="0" w:color="auto"/>
              <w:right w:val="single" w:sz="4" w:space="0" w:color="auto"/>
            </w:tcBorders>
          </w:tcPr>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Submission includes prophylactic treatment costs and administration costs.</w:t>
            </w:r>
          </w:p>
          <w:p w:rsidR="00E17AE6" w:rsidRPr="00E17AE6" w:rsidRDefault="00E17AE6">
            <w:pPr>
              <w:widowControl w:val="0"/>
              <w:spacing w:line="276" w:lineRule="auto"/>
              <w:rPr>
                <w:rFonts w:ascii="Arial Narrow" w:hAnsi="Arial Narrow" w:cs="Arial"/>
                <w:snapToGrid w:val="0"/>
                <w:sz w:val="20"/>
                <w:szCs w:val="20"/>
                <w:lang w:eastAsia="en-US"/>
              </w:rPr>
            </w:pPr>
          </w:p>
          <w:p w:rsidR="00E17AE6" w:rsidRPr="00E17AE6" w:rsidRDefault="00E17AE6">
            <w:pPr>
              <w:widowControl w:val="0"/>
              <w:spacing w:line="276" w:lineRule="auto"/>
              <w:rPr>
                <w:rFonts w:ascii="Arial Narrow" w:hAnsi="Arial Narrow" w:cs="Arial"/>
                <w:b/>
                <w:snapToGrid w:val="0"/>
                <w:sz w:val="20"/>
                <w:szCs w:val="20"/>
                <w:lang w:eastAsia="en-US"/>
              </w:rPr>
            </w:pPr>
            <w:r w:rsidRPr="00E17AE6">
              <w:rPr>
                <w:rFonts w:ascii="Arial Narrow" w:hAnsi="Arial Narrow" w:cs="Arial"/>
                <w:b/>
                <w:snapToGrid w:val="0"/>
                <w:sz w:val="20"/>
                <w:szCs w:val="20"/>
                <w:lang w:eastAsia="en-US"/>
              </w:rPr>
              <w:t xml:space="preserve">PBAC Comment: </w:t>
            </w:r>
          </w:p>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Should include cost-offsets for infusion and for prophylaxis and treatment of adverse events.</w:t>
            </w:r>
          </w:p>
        </w:tc>
        <w:tc>
          <w:tcPr>
            <w:tcW w:w="1610" w:type="pct"/>
            <w:tcBorders>
              <w:top w:val="single" w:sz="4" w:space="0" w:color="auto"/>
              <w:left w:val="single" w:sz="4" w:space="0" w:color="auto"/>
              <w:bottom w:val="single" w:sz="4" w:space="0" w:color="auto"/>
              <w:right w:val="single" w:sz="4" w:space="0" w:color="auto"/>
            </w:tcBorders>
            <w:hideMark/>
          </w:tcPr>
          <w:p w:rsidR="00E17AE6" w:rsidRPr="00E17AE6" w:rsidRDefault="00E17AE6" w:rsidP="00047707">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 xml:space="preserve">The re-submission does not account for infusion cost unlike previous </w:t>
            </w:r>
            <w:r w:rsidR="00047707" w:rsidRPr="00E17AE6">
              <w:rPr>
                <w:rFonts w:ascii="Arial Narrow" w:hAnsi="Arial Narrow" w:cs="Arial"/>
                <w:snapToGrid w:val="0"/>
                <w:sz w:val="20"/>
                <w:szCs w:val="20"/>
                <w:lang w:eastAsia="en-US"/>
              </w:rPr>
              <w:t xml:space="preserve">submission </w:t>
            </w:r>
            <w:r w:rsidRPr="00E17AE6">
              <w:rPr>
                <w:rFonts w:ascii="Arial Narrow" w:hAnsi="Arial Narrow" w:cs="Arial"/>
                <w:snapToGrid w:val="0"/>
                <w:sz w:val="20"/>
                <w:szCs w:val="20"/>
                <w:lang w:eastAsia="en-US"/>
              </w:rPr>
              <w:br/>
              <w:t>and the prices used for prophylaxis are not con</w:t>
            </w:r>
            <w:r w:rsidR="00047707">
              <w:rPr>
                <w:rFonts w:ascii="Arial Narrow" w:hAnsi="Arial Narrow" w:cs="Arial"/>
                <w:snapToGrid w:val="0"/>
                <w:sz w:val="20"/>
                <w:szCs w:val="20"/>
                <w:lang w:eastAsia="en-US"/>
              </w:rPr>
              <w:t xml:space="preserve">sistent with current PBS prices. </w:t>
            </w:r>
            <w:r w:rsidRPr="00E17AE6">
              <w:rPr>
                <w:rFonts w:ascii="Arial Narrow" w:hAnsi="Arial Narrow" w:cs="Arial"/>
                <w:snapToGrid w:val="0"/>
                <w:sz w:val="20"/>
                <w:szCs w:val="20"/>
                <w:lang w:eastAsia="en-US"/>
              </w:rPr>
              <w:t>Submission does not include costs for treating adverse events.</w:t>
            </w:r>
          </w:p>
        </w:tc>
      </w:tr>
      <w:tr w:rsidR="00E17AE6" w:rsidRPr="00E17AE6" w:rsidTr="00186B54">
        <w:trPr>
          <w:trHeight w:val="56"/>
        </w:trPr>
        <w:tc>
          <w:tcPr>
            <w:tcW w:w="584" w:type="pct"/>
            <w:tcBorders>
              <w:top w:val="single" w:sz="4" w:space="0" w:color="auto"/>
              <w:left w:val="single" w:sz="4" w:space="0" w:color="auto"/>
              <w:bottom w:val="single" w:sz="4" w:space="0" w:color="auto"/>
              <w:right w:val="single" w:sz="4" w:space="0" w:color="auto"/>
            </w:tcBorders>
            <w:hideMark/>
          </w:tcPr>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Utilisation/</w:t>
            </w:r>
          </w:p>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Financial Estimates</w:t>
            </w:r>
          </w:p>
        </w:tc>
        <w:tc>
          <w:tcPr>
            <w:tcW w:w="2806" w:type="pct"/>
            <w:tcBorders>
              <w:top w:val="single" w:sz="4" w:space="0" w:color="auto"/>
              <w:left w:val="single" w:sz="4" w:space="0" w:color="auto"/>
              <w:bottom w:val="single" w:sz="4" w:space="0" w:color="auto"/>
              <w:right w:val="single" w:sz="4" w:space="0" w:color="auto"/>
            </w:tcBorders>
          </w:tcPr>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Submission assumes no re-treatment dosing with alemtuzumab beyond the standard two courses</w:t>
            </w:r>
          </w:p>
          <w:p w:rsidR="00E17AE6" w:rsidRPr="00E17AE6" w:rsidRDefault="00E17AE6">
            <w:pPr>
              <w:widowControl w:val="0"/>
              <w:spacing w:line="276" w:lineRule="auto"/>
              <w:rPr>
                <w:rFonts w:ascii="Arial Narrow" w:hAnsi="Arial Narrow" w:cs="Arial"/>
                <w:snapToGrid w:val="0"/>
                <w:sz w:val="20"/>
                <w:szCs w:val="20"/>
                <w:lang w:eastAsia="en-US"/>
              </w:rPr>
            </w:pPr>
          </w:p>
          <w:p w:rsidR="00E17AE6" w:rsidRPr="00E17AE6" w:rsidRDefault="00E17AE6">
            <w:pPr>
              <w:widowControl w:val="0"/>
              <w:spacing w:line="276" w:lineRule="auto"/>
              <w:rPr>
                <w:rFonts w:ascii="Arial Narrow" w:hAnsi="Arial Narrow" w:cs="Arial"/>
                <w:b/>
                <w:snapToGrid w:val="0"/>
                <w:sz w:val="20"/>
                <w:szCs w:val="20"/>
                <w:lang w:eastAsia="en-US"/>
              </w:rPr>
            </w:pPr>
            <w:r w:rsidRPr="00E17AE6">
              <w:rPr>
                <w:rFonts w:ascii="Arial Narrow" w:hAnsi="Arial Narrow" w:cs="Arial"/>
                <w:b/>
                <w:snapToGrid w:val="0"/>
                <w:sz w:val="20"/>
                <w:szCs w:val="20"/>
                <w:lang w:eastAsia="en-US"/>
              </w:rPr>
              <w:t>PBAC Comment:</w:t>
            </w:r>
          </w:p>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This is inappropriate as the available study data indicate that some patients will require re-treatments within this timeframe.</w:t>
            </w:r>
          </w:p>
        </w:tc>
        <w:tc>
          <w:tcPr>
            <w:tcW w:w="1610" w:type="pct"/>
            <w:tcBorders>
              <w:top w:val="single" w:sz="4" w:space="0" w:color="auto"/>
              <w:left w:val="single" w:sz="4" w:space="0" w:color="auto"/>
              <w:bottom w:val="single" w:sz="4" w:space="0" w:color="auto"/>
              <w:right w:val="single" w:sz="4" w:space="0" w:color="auto"/>
            </w:tcBorders>
            <w:hideMark/>
          </w:tcPr>
          <w:p w:rsidR="00E17AE6" w:rsidRPr="00E17AE6" w:rsidRDefault="00E17AE6">
            <w:pPr>
              <w:widowControl w:val="0"/>
              <w:spacing w:line="276" w:lineRule="auto"/>
              <w:rPr>
                <w:rFonts w:ascii="Arial Narrow" w:hAnsi="Arial Narrow" w:cs="Arial"/>
                <w:snapToGrid w:val="0"/>
                <w:sz w:val="20"/>
                <w:szCs w:val="20"/>
                <w:lang w:eastAsia="en-US"/>
              </w:rPr>
            </w:pPr>
            <w:r w:rsidRPr="00E17AE6">
              <w:rPr>
                <w:rFonts w:ascii="Arial Narrow" w:hAnsi="Arial Narrow" w:cs="Arial"/>
                <w:snapToGrid w:val="0"/>
                <w:sz w:val="20"/>
                <w:szCs w:val="20"/>
                <w:lang w:eastAsia="en-US"/>
              </w:rPr>
              <w:t>Submission appears to continue to assume two treatments per patient.</w:t>
            </w:r>
          </w:p>
        </w:tc>
      </w:tr>
    </w:tbl>
    <w:p w:rsidR="00E17AE6" w:rsidRPr="00E17AE6" w:rsidRDefault="00E17AE6" w:rsidP="00E17AE6">
      <w:pPr>
        <w:jc w:val="both"/>
        <w:rPr>
          <w:rFonts w:ascii="Arial" w:hAnsi="Arial"/>
          <w:sz w:val="22"/>
          <w:szCs w:val="22"/>
        </w:rPr>
      </w:pPr>
    </w:p>
    <w:p w:rsidR="00BB7EC3" w:rsidRPr="00882085" w:rsidRDefault="00BB7EC3" w:rsidP="00882085">
      <w:pPr>
        <w:jc w:val="both"/>
        <w:rPr>
          <w:rFonts w:ascii="Arial" w:hAnsi="Arial"/>
          <w:b/>
          <w:sz w:val="22"/>
          <w:szCs w:val="22"/>
        </w:rPr>
      </w:pPr>
    </w:p>
    <w:p w:rsidR="00CE10C4" w:rsidRPr="00882085" w:rsidRDefault="00CE10C4" w:rsidP="00882085">
      <w:pPr>
        <w:pStyle w:val="ListParagraph"/>
        <w:numPr>
          <w:ilvl w:val="0"/>
          <w:numId w:val="25"/>
        </w:numPr>
        <w:jc w:val="both"/>
        <w:rPr>
          <w:rFonts w:ascii="Arial" w:hAnsi="Arial"/>
          <w:b/>
          <w:sz w:val="22"/>
          <w:szCs w:val="22"/>
        </w:rPr>
      </w:pPr>
      <w:r w:rsidRPr="00882085">
        <w:rPr>
          <w:rFonts w:ascii="Arial" w:hAnsi="Arial"/>
          <w:b/>
          <w:sz w:val="22"/>
          <w:szCs w:val="22"/>
        </w:rPr>
        <w:t>Clinical place for the proposed ther</w:t>
      </w:r>
      <w:r w:rsidR="006A12A5" w:rsidRPr="00882085">
        <w:rPr>
          <w:rFonts w:ascii="Arial" w:hAnsi="Arial"/>
          <w:b/>
          <w:sz w:val="22"/>
          <w:szCs w:val="22"/>
        </w:rPr>
        <w:t>apy</w:t>
      </w:r>
    </w:p>
    <w:p w:rsidR="00CE10C4" w:rsidRPr="00882085" w:rsidRDefault="008E3680" w:rsidP="00882085">
      <w:pPr>
        <w:jc w:val="both"/>
        <w:rPr>
          <w:rFonts w:ascii="Arial" w:hAnsi="Arial"/>
          <w:sz w:val="22"/>
          <w:szCs w:val="22"/>
        </w:rPr>
      </w:pPr>
      <w:r w:rsidRPr="00882085">
        <w:rPr>
          <w:rFonts w:ascii="Arial" w:hAnsi="Arial"/>
          <w:sz w:val="22"/>
          <w:szCs w:val="22"/>
        </w:rPr>
        <w:t xml:space="preserve"> </w:t>
      </w:r>
    </w:p>
    <w:p w:rsidR="00A97B36" w:rsidRDefault="00A97B36" w:rsidP="00A97B36">
      <w:pPr>
        <w:pStyle w:val="ListParagraph"/>
        <w:numPr>
          <w:ilvl w:val="1"/>
          <w:numId w:val="25"/>
        </w:numPr>
        <w:jc w:val="both"/>
        <w:rPr>
          <w:rFonts w:ascii="Arial" w:hAnsi="Arial"/>
          <w:sz w:val="22"/>
          <w:szCs w:val="22"/>
        </w:rPr>
      </w:pPr>
      <w:r w:rsidRPr="006706A8">
        <w:rPr>
          <w:rFonts w:ascii="Arial" w:hAnsi="Arial"/>
          <w:sz w:val="22"/>
          <w:szCs w:val="22"/>
        </w:rPr>
        <w:t>Multiple sclerosis is a progressive, chronic disease of the central nervous system in which the myelin sheath protecting axons is damaged, resulting in distorted nerve signals and pathways. Most patients present with relapsing-remitting multiple sclerosis</w:t>
      </w:r>
      <w:r>
        <w:rPr>
          <w:rFonts w:ascii="Arial" w:hAnsi="Arial"/>
          <w:sz w:val="22"/>
          <w:szCs w:val="22"/>
        </w:rPr>
        <w:t xml:space="preserve"> (RRMS)</w:t>
      </w:r>
      <w:r w:rsidRPr="006706A8">
        <w:rPr>
          <w:rFonts w:ascii="Arial" w:hAnsi="Arial"/>
          <w:sz w:val="22"/>
          <w:szCs w:val="22"/>
        </w:rPr>
        <w:t>, characterised by acute clinical attacks (relapses) followed by variable recovery and periods of clinical stability. Multiple sclerosis is characterised by a complex range of symptoms including visual disturbance, fatigue, pain, reduced mobility and coordination, cognitive impairment and mood changes.</w:t>
      </w:r>
    </w:p>
    <w:p w:rsidR="00A97B36" w:rsidRPr="00A97B36" w:rsidRDefault="00A97B36" w:rsidP="00A97B36">
      <w:pPr>
        <w:jc w:val="both"/>
        <w:rPr>
          <w:rFonts w:ascii="Arial" w:hAnsi="Arial"/>
          <w:sz w:val="22"/>
          <w:szCs w:val="22"/>
        </w:rPr>
      </w:pPr>
    </w:p>
    <w:p w:rsidR="006A12A5" w:rsidRPr="00A97B36" w:rsidRDefault="00A97B36" w:rsidP="00A97B36">
      <w:pPr>
        <w:pStyle w:val="ListParagraph"/>
        <w:numPr>
          <w:ilvl w:val="1"/>
          <w:numId w:val="25"/>
        </w:numPr>
        <w:rPr>
          <w:rFonts w:ascii="Arial" w:hAnsi="Arial"/>
          <w:sz w:val="22"/>
          <w:szCs w:val="22"/>
        </w:rPr>
      </w:pPr>
      <w:r>
        <w:rPr>
          <w:rFonts w:ascii="Arial" w:hAnsi="Arial"/>
          <w:sz w:val="22"/>
          <w:szCs w:val="22"/>
        </w:rPr>
        <w:lastRenderedPageBreak/>
        <w:t>At the July 2014 meeting, t</w:t>
      </w:r>
      <w:r w:rsidR="00B01234" w:rsidRPr="00A97B36">
        <w:rPr>
          <w:rFonts w:ascii="Arial" w:hAnsi="Arial"/>
          <w:sz w:val="22"/>
          <w:szCs w:val="22"/>
        </w:rPr>
        <w:t>he PBAC noted that the clinician at the hearing reaffirmed the proposed clinical place for alemtuzumab as: a first-line therapy in patients with poor prognostic signs; and as escalation therapy in treatment experienced patients with ongoing disease activity. The PBAC recognised that there may be a clinical need for the drug in patients with high disease activity, noting the consumer comments. The PBAC considered that this clinical place was uncertain, particularly in the early stages of the disease, where there is pressure to decide which treatment to initiate before poor prognostic signs manifest. Over time, should confidence with this medicine grow in the absence of any emerging but unexpected safety concerns, this is likely to result in earlier treatment in patients with better prognosis.</w:t>
      </w:r>
      <w:r w:rsidR="00C35996" w:rsidRPr="00A97B36">
        <w:rPr>
          <w:rFonts w:ascii="Arial" w:hAnsi="Arial"/>
          <w:sz w:val="22"/>
          <w:szCs w:val="22"/>
        </w:rPr>
        <w:tab/>
      </w:r>
    </w:p>
    <w:p w:rsidR="006A12A5" w:rsidRDefault="006A12A5" w:rsidP="00882085">
      <w:pPr>
        <w:pStyle w:val="Header"/>
        <w:tabs>
          <w:tab w:val="clear" w:pos="4153"/>
          <w:tab w:val="clear" w:pos="8306"/>
        </w:tabs>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Default="00BB7EC3" w:rsidP="00882085">
      <w:pPr>
        <w:pStyle w:val="Header"/>
        <w:tabs>
          <w:tab w:val="clear" w:pos="4153"/>
          <w:tab w:val="clear" w:pos="8306"/>
        </w:tabs>
        <w:jc w:val="both"/>
        <w:rPr>
          <w:rFonts w:ascii="Arial" w:hAnsi="Arial"/>
          <w:sz w:val="22"/>
          <w:szCs w:val="22"/>
        </w:rPr>
      </w:pPr>
    </w:p>
    <w:p w:rsidR="00186B54" w:rsidRPr="00882085" w:rsidRDefault="00186B54" w:rsidP="00882085">
      <w:pPr>
        <w:pStyle w:val="Header"/>
        <w:tabs>
          <w:tab w:val="clear" w:pos="4153"/>
          <w:tab w:val="clear" w:pos="8306"/>
        </w:tabs>
        <w:jc w:val="both"/>
        <w:rPr>
          <w:rFonts w:ascii="Arial" w:hAnsi="Arial"/>
          <w:sz w:val="22"/>
          <w:szCs w:val="22"/>
        </w:rPr>
      </w:pPr>
    </w:p>
    <w:p w:rsidR="005A3173" w:rsidRPr="00882085" w:rsidRDefault="005A3173" w:rsidP="00882085">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C35996" w:rsidRPr="00882085" w:rsidRDefault="00C05063" w:rsidP="00882085">
      <w:pPr>
        <w:pStyle w:val="ListParagraph"/>
        <w:numPr>
          <w:ilvl w:val="1"/>
          <w:numId w:val="25"/>
        </w:numPr>
        <w:jc w:val="both"/>
        <w:rPr>
          <w:rFonts w:ascii="Arial" w:hAnsi="Arial"/>
          <w:sz w:val="22"/>
          <w:szCs w:val="22"/>
        </w:rPr>
      </w:pPr>
      <w:r w:rsidRPr="006706A8">
        <w:rPr>
          <w:rFonts w:ascii="Arial" w:hAnsi="Arial"/>
          <w:sz w:val="22"/>
          <w:szCs w:val="22"/>
        </w:rPr>
        <w:t xml:space="preserve">The </w:t>
      </w:r>
      <w:r>
        <w:rPr>
          <w:rFonts w:ascii="Arial" w:hAnsi="Arial"/>
          <w:sz w:val="22"/>
          <w:szCs w:val="22"/>
        </w:rPr>
        <w:t>re-</w:t>
      </w:r>
      <w:r w:rsidRPr="006706A8">
        <w:rPr>
          <w:rFonts w:ascii="Arial" w:hAnsi="Arial"/>
          <w:sz w:val="22"/>
          <w:szCs w:val="22"/>
        </w:rPr>
        <w:t xml:space="preserve">submission </w:t>
      </w:r>
      <w:r w:rsidR="000026F3" w:rsidRPr="006706A8">
        <w:rPr>
          <w:rFonts w:ascii="Arial" w:hAnsi="Arial"/>
          <w:sz w:val="22"/>
          <w:szCs w:val="22"/>
        </w:rPr>
        <w:t>nominate</w:t>
      </w:r>
      <w:r w:rsidR="000026F3">
        <w:rPr>
          <w:rFonts w:ascii="Arial" w:hAnsi="Arial"/>
          <w:sz w:val="22"/>
          <w:szCs w:val="22"/>
        </w:rPr>
        <w:t>d</w:t>
      </w:r>
      <w:r w:rsidR="000026F3" w:rsidRPr="006706A8">
        <w:rPr>
          <w:rFonts w:ascii="Arial" w:hAnsi="Arial"/>
          <w:sz w:val="22"/>
          <w:szCs w:val="22"/>
        </w:rPr>
        <w:t xml:space="preserve"> </w:t>
      </w:r>
      <w:r w:rsidR="000026F3">
        <w:rPr>
          <w:rFonts w:ascii="Arial" w:hAnsi="Arial"/>
          <w:sz w:val="22"/>
          <w:szCs w:val="22"/>
        </w:rPr>
        <w:t>fingolimod</w:t>
      </w:r>
      <w:r w:rsidRPr="006706A8">
        <w:rPr>
          <w:rFonts w:ascii="Arial" w:hAnsi="Arial"/>
          <w:sz w:val="22"/>
          <w:szCs w:val="22"/>
        </w:rPr>
        <w:t xml:space="preserve"> and natalizumab as the main comparators</w:t>
      </w:r>
      <w:r>
        <w:rPr>
          <w:rFonts w:ascii="Arial" w:hAnsi="Arial"/>
          <w:sz w:val="22"/>
          <w:szCs w:val="22"/>
        </w:rPr>
        <w:t xml:space="preserve">, which were previously accepted by the PBAC at the July 2014 meeting. </w:t>
      </w:r>
    </w:p>
    <w:p w:rsidR="00BB7EC3" w:rsidRDefault="00BB7EC3" w:rsidP="008D447E">
      <w:pPr>
        <w:pStyle w:val="ListParagraph"/>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186B54" w:rsidRDefault="00186B54" w:rsidP="008D447E">
      <w:pPr>
        <w:pStyle w:val="ListParagraph"/>
        <w:jc w:val="both"/>
        <w:rPr>
          <w:rFonts w:ascii="Arial" w:hAnsi="Arial"/>
          <w:sz w:val="22"/>
          <w:szCs w:val="22"/>
        </w:rPr>
      </w:pPr>
    </w:p>
    <w:p w:rsidR="00DF26A7" w:rsidRPr="008D447E" w:rsidRDefault="00C35996" w:rsidP="008D447E">
      <w:pPr>
        <w:pStyle w:val="ListParagraph"/>
        <w:jc w:val="both"/>
        <w:rPr>
          <w:rFonts w:ascii="Arial" w:hAnsi="Arial"/>
          <w:sz w:val="22"/>
          <w:szCs w:val="22"/>
        </w:rPr>
      </w:pPr>
      <w:r w:rsidRPr="00882085">
        <w:rPr>
          <w:rFonts w:ascii="Arial" w:hAnsi="Arial"/>
          <w:sz w:val="22"/>
          <w:szCs w:val="22"/>
        </w:rPr>
        <w:tab/>
      </w:r>
    </w:p>
    <w:p w:rsidR="000B558D" w:rsidRPr="00882085" w:rsidRDefault="00186B54" w:rsidP="00186B54">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w:t>
      </w:r>
      <w:r w:rsidR="000B558D" w:rsidRPr="00882085">
        <w:rPr>
          <w:rFonts w:ascii="Arial" w:hAnsi="Arial"/>
          <w:b/>
          <w:sz w:val="22"/>
          <w:szCs w:val="22"/>
        </w:rPr>
        <w:t>onsideration of the evidence</w:t>
      </w:r>
    </w:p>
    <w:p w:rsidR="006A12A5" w:rsidRDefault="006A12A5" w:rsidP="00882085">
      <w:pPr>
        <w:jc w:val="both"/>
        <w:rPr>
          <w:rFonts w:ascii="Arial" w:hAnsi="Arial"/>
          <w:b/>
          <w:sz w:val="22"/>
          <w:szCs w:val="22"/>
        </w:rPr>
      </w:pPr>
    </w:p>
    <w:p w:rsidR="00BB7EC3" w:rsidRPr="00186B54" w:rsidRDefault="00BB7EC3" w:rsidP="00BB7EC3">
      <w:pPr>
        <w:jc w:val="both"/>
        <w:rPr>
          <w:rFonts w:ascii="Arial" w:hAnsi="Arial"/>
          <w:b/>
          <w:sz w:val="22"/>
          <w:szCs w:val="22"/>
        </w:rPr>
      </w:pPr>
      <w:r w:rsidRPr="00186B54">
        <w:rPr>
          <w:rFonts w:ascii="Arial" w:hAnsi="Arial"/>
          <w:b/>
          <w:sz w:val="22"/>
          <w:szCs w:val="22"/>
        </w:rPr>
        <w:t>Sponsor hearing</w:t>
      </w:r>
    </w:p>
    <w:p w:rsidR="00BB7EC3" w:rsidRPr="00882085" w:rsidRDefault="00BB7EC3" w:rsidP="00BB7EC3">
      <w:pPr>
        <w:ind w:left="709"/>
        <w:jc w:val="both"/>
        <w:rPr>
          <w:rFonts w:ascii="Arial" w:hAnsi="Arial"/>
          <w:b/>
          <w:sz w:val="22"/>
          <w:szCs w:val="22"/>
        </w:rPr>
      </w:pPr>
    </w:p>
    <w:p w:rsidR="00BB7EC3" w:rsidRDefault="00C05063" w:rsidP="00186B54">
      <w:pPr>
        <w:pStyle w:val="ListParagraph"/>
        <w:numPr>
          <w:ilvl w:val="1"/>
          <w:numId w:val="25"/>
        </w:numPr>
        <w:jc w:val="both"/>
        <w:rPr>
          <w:rFonts w:ascii="Arial" w:hAnsi="Arial"/>
          <w:sz w:val="22"/>
          <w:szCs w:val="22"/>
        </w:rPr>
      </w:pPr>
      <w:r>
        <w:rPr>
          <w:rFonts w:ascii="Arial" w:hAnsi="Arial"/>
          <w:sz w:val="22"/>
          <w:szCs w:val="22"/>
        </w:rPr>
        <w:t xml:space="preserve"> </w:t>
      </w:r>
      <w:r w:rsidR="00BB7EC3">
        <w:rPr>
          <w:rFonts w:ascii="Arial" w:hAnsi="Arial"/>
          <w:sz w:val="22"/>
          <w:szCs w:val="22"/>
        </w:rPr>
        <w:t>There was no hearing for this item</w:t>
      </w:r>
      <w:r>
        <w:rPr>
          <w:rFonts w:ascii="Arial" w:hAnsi="Arial"/>
          <w:sz w:val="22"/>
          <w:szCs w:val="22"/>
        </w:rPr>
        <w:t xml:space="preserve"> as it was a minor submission</w:t>
      </w:r>
      <w:r w:rsidR="00BB7EC3">
        <w:rPr>
          <w:rFonts w:ascii="Arial" w:hAnsi="Arial"/>
          <w:sz w:val="22"/>
          <w:szCs w:val="22"/>
        </w:rPr>
        <w:t>.</w:t>
      </w:r>
    </w:p>
    <w:p w:rsidR="00BB7EC3" w:rsidRDefault="00BB7EC3" w:rsidP="00BB7EC3">
      <w:pPr>
        <w:pStyle w:val="ListParagraph"/>
        <w:ind w:left="709"/>
        <w:jc w:val="both"/>
        <w:rPr>
          <w:rFonts w:ascii="Arial" w:hAnsi="Arial"/>
          <w:sz w:val="22"/>
          <w:szCs w:val="22"/>
        </w:rPr>
      </w:pPr>
    </w:p>
    <w:p w:rsidR="00BB7EC3" w:rsidRPr="00186B54" w:rsidRDefault="00BB7EC3" w:rsidP="00BB7EC3">
      <w:pPr>
        <w:jc w:val="both"/>
        <w:rPr>
          <w:rFonts w:ascii="Arial" w:hAnsi="Arial"/>
          <w:b/>
          <w:sz w:val="22"/>
          <w:szCs w:val="22"/>
        </w:rPr>
      </w:pPr>
      <w:r w:rsidRPr="00186B54">
        <w:rPr>
          <w:rFonts w:ascii="Arial" w:hAnsi="Arial"/>
          <w:b/>
          <w:sz w:val="22"/>
          <w:szCs w:val="22"/>
        </w:rPr>
        <w:t>Consumer comments</w:t>
      </w:r>
    </w:p>
    <w:p w:rsidR="00BB7EC3" w:rsidRDefault="00BB7EC3" w:rsidP="00BB7EC3">
      <w:pPr>
        <w:pStyle w:val="ListParagraph"/>
        <w:ind w:left="709"/>
        <w:jc w:val="both"/>
        <w:rPr>
          <w:rFonts w:ascii="Arial" w:hAnsi="Arial"/>
          <w:sz w:val="22"/>
          <w:szCs w:val="22"/>
        </w:rPr>
      </w:pPr>
    </w:p>
    <w:p w:rsidR="00C05063" w:rsidRPr="006706A8" w:rsidRDefault="00C05063" w:rsidP="00186B54">
      <w:pPr>
        <w:pStyle w:val="ListParagraph"/>
        <w:numPr>
          <w:ilvl w:val="1"/>
          <w:numId w:val="25"/>
        </w:numPr>
        <w:jc w:val="both"/>
        <w:rPr>
          <w:rFonts w:ascii="Arial" w:hAnsi="Arial"/>
          <w:sz w:val="22"/>
          <w:szCs w:val="22"/>
        </w:rPr>
      </w:pPr>
      <w:r w:rsidRPr="006706A8">
        <w:rPr>
          <w:rFonts w:ascii="Arial" w:hAnsi="Arial"/>
          <w:sz w:val="22"/>
          <w:szCs w:val="22"/>
        </w:rPr>
        <w:t>The PBAC noted and welcomed the input from individuals (</w:t>
      </w:r>
      <w:r w:rsidR="00A32BDC">
        <w:rPr>
          <w:rFonts w:ascii="Arial" w:hAnsi="Arial"/>
          <w:sz w:val="22"/>
          <w:szCs w:val="22"/>
        </w:rPr>
        <w:t>2</w:t>
      </w:r>
      <w:r w:rsidRPr="006706A8">
        <w:rPr>
          <w:rFonts w:ascii="Arial" w:hAnsi="Arial"/>
          <w:sz w:val="22"/>
          <w:szCs w:val="22"/>
        </w:rPr>
        <w:t>), health care professionals (</w:t>
      </w:r>
      <w:r w:rsidR="00A32BDC">
        <w:rPr>
          <w:rFonts w:ascii="Arial" w:hAnsi="Arial"/>
          <w:sz w:val="22"/>
          <w:szCs w:val="22"/>
        </w:rPr>
        <w:t>2</w:t>
      </w:r>
      <w:r w:rsidRPr="006706A8">
        <w:rPr>
          <w:rFonts w:ascii="Arial" w:hAnsi="Arial"/>
          <w:sz w:val="22"/>
          <w:szCs w:val="22"/>
        </w:rPr>
        <w:t>) and organisations (</w:t>
      </w:r>
      <w:r w:rsidR="00A32BDC">
        <w:rPr>
          <w:rFonts w:ascii="Arial" w:hAnsi="Arial"/>
          <w:sz w:val="22"/>
          <w:szCs w:val="22"/>
        </w:rPr>
        <w:t>4</w:t>
      </w:r>
      <w:r w:rsidRPr="006706A8">
        <w:rPr>
          <w:rFonts w:ascii="Arial" w:hAnsi="Arial"/>
          <w:sz w:val="22"/>
          <w:szCs w:val="22"/>
        </w:rPr>
        <w:t xml:space="preserve">) via the Consumer Comments facility on the PBS website. The comments described a range of perceived benefits of treatment with alemtuzumab including </w:t>
      </w:r>
      <w:r w:rsidR="00A32BDC">
        <w:rPr>
          <w:rFonts w:ascii="Arial" w:hAnsi="Arial"/>
          <w:sz w:val="22"/>
          <w:szCs w:val="22"/>
        </w:rPr>
        <w:t xml:space="preserve">efficacy with respect to relapses and progression, durability of the treatment which may obviate need for future treatment and compliance benefits of the drug. </w:t>
      </w:r>
    </w:p>
    <w:p w:rsidR="002B1AE6" w:rsidRDefault="002B1AE6" w:rsidP="00882085">
      <w:pPr>
        <w:jc w:val="both"/>
        <w:rPr>
          <w:rFonts w:ascii="Arial" w:hAnsi="Arial"/>
          <w:b/>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b/>
          <w:sz w:val="22"/>
          <w:szCs w:val="22"/>
        </w:rPr>
      </w:pPr>
    </w:p>
    <w:p w:rsidR="00B43E90" w:rsidRPr="00186B54" w:rsidRDefault="00B43E90" w:rsidP="00882085">
      <w:pPr>
        <w:jc w:val="both"/>
        <w:rPr>
          <w:rFonts w:ascii="Arial" w:hAnsi="Arial"/>
          <w:b/>
          <w:sz w:val="22"/>
          <w:szCs w:val="22"/>
        </w:rPr>
      </w:pPr>
      <w:r w:rsidRPr="00186B54">
        <w:rPr>
          <w:rFonts w:ascii="Arial" w:hAnsi="Arial"/>
          <w:b/>
          <w:sz w:val="22"/>
          <w:szCs w:val="22"/>
        </w:rPr>
        <w:t>Clinical trials</w:t>
      </w:r>
    </w:p>
    <w:p w:rsidR="002B1AE6" w:rsidRPr="00882085" w:rsidRDefault="002B1AE6" w:rsidP="00882085">
      <w:pPr>
        <w:jc w:val="both"/>
        <w:rPr>
          <w:rFonts w:ascii="Arial" w:hAnsi="Arial"/>
          <w:sz w:val="22"/>
          <w:szCs w:val="22"/>
        </w:rPr>
      </w:pPr>
    </w:p>
    <w:p w:rsidR="00B6773F" w:rsidRPr="00B6773F" w:rsidRDefault="005D5DE9" w:rsidP="00186B54">
      <w:pPr>
        <w:pStyle w:val="ListParagraph"/>
        <w:numPr>
          <w:ilvl w:val="1"/>
          <w:numId w:val="25"/>
        </w:numPr>
        <w:jc w:val="both"/>
        <w:rPr>
          <w:rFonts w:ascii="Arial" w:hAnsi="Arial"/>
          <w:sz w:val="22"/>
          <w:szCs w:val="22"/>
        </w:rPr>
      </w:pPr>
      <w:r>
        <w:rPr>
          <w:rFonts w:ascii="Arial" w:hAnsi="Arial"/>
          <w:sz w:val="22"/>
          <w:szCs w:val="22"/>
        </w:rPr>
        <w:t xml:space="preserve">No new data </w:t>
      </w:r>
      <w:r w:rsidR="005F7A4B">
        <w:rPr>
          <w:rFonts w:ascii="Arial" w:hAnsi="Arial"/>
          <w:sz w:val="22"/>
          <w:szCs w:val="22"/>
        </w:rPr>
        <w:t>wa</w:t>
      </w:r>
      <w:r>
        <w:rPr>
          <w:rFonts w:ascii="Arial" w:hAnsi="Arial"/>
          <w:sz w:val="22"/>
          <w:szCs w:val="22"/>
        </w:rPr>
        <w:t xml:space="preserve">s provided in the re-submission. The resubmission relies on data </w:t>
      </w:r>
      <w:r w:rsidR="001F3464">
        <w:rPr>
          <w:rFonts w:ascii="Arial" w:hAnsi="Arial"/>
          <w:sz w:val="22"/>
          <w:szCs w:val="22"/>
        </w:rPr>
        <w:t>present in the July 2014 submission</w:t>
      </w:r>
      <w:r>
        <w:rPr>
          <w:rFonts w:ascii="Arial" w:hAnsi="Arial"/>
          <w:sz w:val="22"/>
          <w:szCs w:val="22"/>
        </w:rPr>
        <w:t>, including from the extension study of the CARE MS-I and CARE MS-II</w:t>
      </w:r>
      <w:r w:rsidR="00D86660">
        <w:rPr>
          <w:rFonts w:ascii="Arial" w:hAnsi="Arial"/>
          <w:sz w:val="22"/>
          <w:szCs w:val="22"/>
        </w:rPr>
        <w:t xml:space="preserve"> trials. </w:t>
      </w:r>
    </w:p>
    <w:p w:rsidR="007E643D" w:rsidRDefault="007E643D">
      <w:pPr>
        <w:rPr>
          <w:rFonts w:ascii="Arial" w:hAnsi="Arial"/>
          <w:sz w:val="22"/>
          <w:szCs w:val="22"/>
        </w:rPr>
      </w:pPr>
      <w:r>
        <w:rPr>
          <w:rFonts w:ascii="Arial" w:hAnsi="Arial"/>
          <w:sz w:val="22"/>
          <w:szCs w:val="22"/>
        </w:rPr>
        <w:br w:type="page"/>
      </w:r>
    </w:p>
    <w:p w:rsidR="000B558D" w:rsidRDefault="000B558D" w:rsidP="009F5F2E">
      <w:pPr>
        <w:ind w:left="709"/>
        <w:jc w:val="both"/>
        <w:rPr>
          <w:rFonts w:ascii="Arial" w:hAnsi="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386"/>
        <w:gridCol w:w="1700"/>
      </w:tblGrid>
      <w:tr w:rsidR="001C15F3" w:rsidRPr="006706A8" w:rsidTr="005A7794">
        <w:tc>
          <w:tcPr>
            <w:tcW w:w="1276" w:type="dxa"/>
            <w:vAlign w:val="center"/>
          </w:tcPr>
          <w:p w:rsidR="001C15F3" w:rsidRPr="006706A8" w:rsidRDefault="001C15F3" w:rsidP="005A7794">
            <w:pPr>
              <w:widowControl w:val="0"/>
              <w:jc w:val="both"/>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Trial ID</w:t>
            </w:r>
          </w:p>
        </w:tc>
        <w:tc>
          <w:tcPr>
            <w:tcW w:w="5386" w:type="dxa"/>
            <w:vAlign w:val="center"/>
          </w:tcPr>
          <w:p w:rsidR="001C15F3" w:rsidRPr="006706A8" w:rsidRDefault="001C15F3" w:rsidP="005A7794">
            <w:pPr>
              <w:widowControl w:val="0"/>
              <w:jc w:val="center"/>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Protocol title/ Publication title</w:t>
            </w:r>
          </w:p>
        </w:tc>
        <w:tc>
          <w:tcPr>
            <w:tcW w:w="1700" w:type="dxa"/>
            <w:vAlign w:val="center"/>
          </w:tcPr>
          <w:p w:rsidR="001C15F3" w:rsidRPr="006706A8" w:rsidRDefault="001C15F3" w:rsidP="005A7794">
            <w:pPr>
              <w:widowControl w:val="0"/>
              <w:jc w:val="center"/>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Publication citation</w:t>
            </w:r>
          </w:p>
        </w:tc>
      </w:tr>
      <w:tr w:rsidR="001C15F3" w:rsidRPr="006706A8" w:rsidTr="005A7794">
        <w:tc>
          <w:tcPr>
            <w:tcW w:w="8362" w:type="dxa"/>
            <w:gridSpan w:val="3"/>
            <w:vAlign w:val="center"/>
          </w:tcPr>
          <w:p w:rsidR="001C15F3" w:rsidRPr="006706A8" w:rsidRDefault="001C15F3" w:rsidP="005A7794">
            <w:pPr>
              <w:widowControl w:val="0"/>
              <w:jc w:val="both"/>
              <w:rPr>
                <w:rFonts w:ascii="Arial Narrow" w:hAnsi="Arial Narrow" w:cs="Arial"/>
                <w:b/>
                <w:snapToGrid w:val="0"/>
                <w:sz w:val="20"/>
                <w:szCs w:val="20"/>
                <w:lang w:eastAsia="en-US"/>
              </w:rPr>
            </w:pPr>
            <w:r w:rsidRPr="006706A8">
              <w:rPr>
                <w:rFonts w:ascii="Arial Narrow" w:hAnsi="Arial Narrow" w:cs="Arial"/>
                <w:b/>
                <w:snapToGrid w:val="0"/>
                <w:sz w:val="20"/>
                <w:szCs w:val="20"/>
                <w:lang w:eastAsia="en-US"/>
              </w:rPr>
              <w:t>Alemtuzumab vs. subcutaneous interferon beta-1a</w:t>
            </w:r>
          </w:p>
        </w:tc>
      </w:tr>
      <w:tr w:rsidR="001C15F3" w:rsidRPr="006706A8" w:rsidTr="005A7794">
        <w:tc>
          <w:tcPr>
            <w:tcW w:w="1276" w:type="dxa"/>
            <w:vMerge w:val="restart"/>
            <w:vAlign w:val="center"/>
          </w:tcPr>
          <w:p w:rsidR="001C15F3" w:rsidRPr="006706A8" w:rsidRDefault="001C15F3" w:rsidP="005A779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CARE MS-I</w:t>
            </w:r>
          </w:p>
        </w:tc>
        <w:tc>
          <w:tcPr>
            <w:tcW w:w="5386" w:type="dxa"/>
            <w:vAlign w:val="center"/>
          </w:tcPr>
          <w:p w:rsidR="001C15F3" w:rsidRPr="006706A8" w:rsidRDefault="001C15F3" w:rsidP="005A779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Genzyme Corporation Clinical Study Report (2012). A Phase 3 Randomized, Rater-Blinded Study Comparing Two Annual Cycles of Intravenous Alemtuzumab to Three-Times Weekly Subcutaneous Interferon Beta-1a (Rebif®) in Treatment-Naïve Patients with Relapsing-Remitting Multiple Sclerosis</w:t>
            </w:r>
          </w:p>
        </w:tc>
        <w:tc>
          <w:tcPr>
            <w:tcW w:w="1700" w:type="dxa"/>
            <w:vAlign w:val="center"/>
          </w:tcPr>
          <w:p w:rsidR="001C15F3" w:rsidRPr="006706A8" w:rsidRDefault="001C15F3" w:rsidP="005A779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Internal study report</w:t>
            </w:r>
          </w:p>
        </w:tc>
      </w:tr>
      <w:tr w:rsidR="001C15F3" w:rsidRPr="006706A8" w:rsidTr="005A7794">
        <w:tc>
          <w:tcPr>
            <w:tcW w:w="1276" w:type="dxa"/>
            <w:vMerge/>
            <w:vAlign w:val="center"/>
          </w:tcPr>
          <w:p w:rsidR="001C15F3" w:rsidRPr="006706A8" w:rsidRDefault="001C15F3" w:rsidP="005A7794">
            <w:pPr>
              <w:widowControl w:val="0"/>
              <w:jc w:val="both"/>
              <w:rPr>
                <w:rFonts w:ascii="Arial Narrow" w:hAnsi="Arial Narrow" w:cs="Arial"/>
                <w:snapToGrid w:val="0"/>
                <w:sz w:val="20"/>
                <w:szCs w:val="20"/>
                <w:lang w:eastAsia="en-US"/>
              </w:rPr>
            </w:pPr>
          </w:p>
        </w:tc>
        <w:tc>
          <w:tcPr>
            <w:tcW w:w="5386" w:type="dxa"/>
            <w:vAlign w:val="center"/>
          </w:tcPr>
          <w:p w:rsidR="001C15F3" w:rsidRPr="006706A8" w:rsidRDefault="001C15F3" w:rsidP="005A779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 xml:space="preserve">Cohen et al (2012). Alemtuzumab versus interferon beta 1a as first-line treatment for patients with relapsing-remitting multiple sclerosis: a randomised controlled phase 3 trial. </w:t>
            </w:r>
          </w:p>
        </w:tc>
        <w:tc>
          <w:tcPr>
            <w:tcW w:w="1700" w:type="dxa"/>
            <w:vAlign w:val="center"/>
          </w:tcPr>
          <w:p w:rsidR="001C15F3" w:rsidRPr="006706A8" w:rsidRDefault="001C15F3" w:rsidP="005A779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The Lancet 380: 1819-1828</w:t>
            </w:r>
          </w:p>
        </w:tc>
      </w:tr>
      <w:tr w:rsidR="001C15F3" w:rsidRPr="006706A8" w:rsidTr="005A7794">
        <w:tc>
          <w:tcPr>
            <w:tcW w:w="1276" w:type="dxa"/>
            <w:vMerge w:val="restart"/>
            <w:vAlign w:val="center"/>
          </w:tcPr>
          <w:p w:rsidR="001C15F3" w:rsidRPr="006706A8" w:rsidRDefault="001C15F3" w:rsidP="005A779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CARE MS-II</w:t>
            </w:r>
          </w:p>
        </w:tc>
        <w:tc>
          <w:tcPr>
            <w:tcW w:w="5386" w:type="dxa"/>
            <w:vAlign w:val="center"/>
          </w:tcPr>
          <w:p w:rsidR="001C15F3" w:rsidRPr="006706A8" w:rsidRDefault="001C15F3" w:rsidP="005A779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Genzyme Corporation Clinical Study Report (2012). A Phase 3 Randomized, Rater- and Dose-Blinded Study Comparing Two Annual Cycles of Intravenous Low- and High-Dose Alemtuzumab to Three-Times Weekly Subcutaneous Interferon Beta-1a (Rebif®) in Patients with Relapsing-Remitting Multiple Sclerosis who Have Relapsed on Therapy</w:t>
            </w:r>
          </w:p>
        </w:tc>
        <w:tc>
          <w:tcPr>
            <w:tcW w:w="1700" w:type="dxa"/>
            <w:vAlign w:val="center"/>
          </w:tcPr>
          <w:p w:rsidR="001C15F3" w:rsidRPr="006706A8" w:rsidRDefault="001C15F3" w:rsidP="005A779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Internal study report</w:t>
            </w:r>
          </w:p>
        </w:tc>
      </w:tr>
      <w:tr w:rsidR="001C15F3" w:rsidRPr="006706A8" w:rsidTr="005A7794">
        <w:tc>
          <w:tcPr>
            <w:tcW w:w="1276" w:type="dxa"/>
            <w:vMerge/>
            <w:vAlign w:val="center"/>
          </w:tcPr>
          <w:p w:rsidR="001C15F3" w:rsidRPr="006706A8" w:rsidRDefault="001C15F3" w:rsidP="005A7794">
            <w:pPr>
              <w:widowControl w:val="0"/>
              <w:ind w:firstLine="720"/>
              <w:jc w:val="both"/>
              <w:rPr>
                <w:rFonts w:ascii="Arial Narrow" w:hAnsi="Arial Narrow" w:cs="Arial"/>
                <w:snapToGrid w:val="0"/>
                <w:sz w:val="20"/>
                <w:szCs w:val="20"/>
                <w:lang w:eastAsia="en-US"/>
              </w:rPr>
            </w:pPr>
          </w:p>
        </w:tc>
        <w:tc>
          <w:tcPr>
            <w:tcW w:w="5386" w:type="dxa"/>
            <w:vAlign w:val="center"/>
          </w:tcPr>
          <w:p w:rsidR="001C15F3" w:rsidRPr="006706A8" w:rsidRDefault="001C15F3" w:rsidP="005A779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Coles et al (2012). Alemtuzumab for patients with relapsing multiple sclerosis after disease-modifying therapy: a randomised controlled phase 3 trial</w:t>
            </w:r>
          </w:p>
        </w:tc>
        <w:tc>
          <w:tcPr>
            <w:tcW w:w="1700" w:type="dxa"/>
            <w:vAlign w:val="center"/>
          </w:tcPr>
          <w:p w:rsidR="001C15F3" w:rsidRPr="006706A8" w:rsidRDefault="001C15F3" w:rsidP="005A7794">
            <w:pPr>
              <w:widowControl w:val="0"/>
              <w:jc w:val="both"/>
              <w:rPr>
                <w:rFonts w:ascii="Arial Narrow" w:hAnsi="Arial Narrow" w:cs="Arial"/>
                <w:snapToGrid w:val="0"/>
                <w:sz w:val="20"/>
                <w:szCs w:val="20"/>
                <w:lang w:eastAsia="en-US"/>
              </w:rPr>
            </w:pPr>
            <w:r w:rsidRPr="006706A8">
              <w:rPr>
                <w:rFonts w:ascii="Arial Narrow" w:hAnsi="Arial Narrow" w:cs="Arial"/>
                <w:snapToGrid w:val="0"/>
                <w:sz w:val="20"/>
                <w:szCs w:val="20"/>
                <w:lang w:eastAsia="en-US"/>
              </w:rPr>
              <w:t>The Lancet 380: 1829-1839</w:t>
            </w:r>
          </w:p>
        </w:tc>
      </w:tr>
      <w:tr w:rsidR="00473B87" w:rsidRPr="006706A8" w:rsidTr="005A7794">
        <w:tc>
          <w:tcPr>
            <w:tcW w:w="1276" w:type="dxa"/>
            <w:vAlign w:val="center"/>
          </w:tcPr>
          <w:p w:rsidR="00473B87" w:rsidRPr="00473B87" w:rsidRDefault="00473B87" w:rsidP="00473B87">
            <w:pPr>
              <w:widowControl w:val="0"/>
              <w:jc w:val="both"/>
              <w:rPr>
                <w:rFonts w:ascii="Arial Narrow" w:hAnsi="Arial Narrow" w:cs="Arial"/>
                <w:snapToGrid w:val="0"/>
                <w:sz w:val="18"/>
                <w:szCs w:val="18"/>
                <w:lang w:eastAsia="en-US"/>
              </w:rPr>
            </w:pPr>
            <w:r w:rsidRPr="00473B87">
              <w:rPr>
                <w:rFonts w:ascii="Arial Narrow" w:hAnsi="Arial Narrow" w:cs="Arial"/>
                <w:snapToGrid w:val="0"/>
                <w:sz w:val="18"/>
                <w:szCs w:val="18"/>
                <w:lang w:val="en-GB" w:eastAsia="en-US"/>
              </w:rPr>
              <w:t>CAMMS03409</w:t>
            </w:r>
          </w:p>
        </w:tc>
        <w:tc>
          <w:tcPr>
            <w:tcW w:w="5386" w:type="dxa"/>
            <w:vAlign w:val="center"/>
          </w:tcPr>
          <w:p w:rsidR="00473B87" w:rsidRPr="006706A8" w:rsidRDefault="00473B87" w:rsidP="005A7794">
            <w:pPr>
              <w:widowControl w:val="0"/>
              <w:jc w:val="both"/>
              <w:rPr>
                <w:rFonts w:ascii="Arial Narrow" w:hAnsi="Arial Narrow" w:cs="Arial"/>
                <w:snapToGrid w:val="0"/>
                <w:sz w:val="20"/>
                <w:szCs w:val="20"/>
                <w:lang w:eastAsia="en-US"/>
              </w:rPr>
            </w:pPr>
            <w:r w:rsidRPr="00473B87">
              <w:rPr>
                <w:rFonts w:ascii="Arial Narrow" w:hAnsi="Arial Narrow" w:cs="Arial"/>
                <w:snapToGrid w:val="0"/>
                <w:sz w:val="20"/>
                <w:szCs w:val="20"/>
                <w:lang w:val="en-GB" w:eastAsia="en-US"/>
              </w:rPr>
              <w:t>Patients from CARE-MS I and CARE-MS II enrolled in extension</w:t>
            </w:r>
          </w:p>
        </w:tc>
        <w:tc>
          <w:tcPr>
            <w:tcW w:w="1700" w:type="dxa"/>
            <w:vAlign w:val="center"/>
          </w:tcPr>
          <w:p w:rsidR="00473B87" w:rsidRPr="006706A8" w:rsidRDefault="00473B87" w:rsidP="005A7794">
            <w:pPr>
              <w:widowControl w:val="0"/>
              <w:jc w:val="both"/>
              <w:rPr>
                <w:rFonts w:ascii="Arial Narrow" w:hAnsi="Arial Narrow" w:cs="Arial"/>
                <w:snapToGrid w:val="0"/>
                <w:sz w:val="20"/>
                <w:szCs w:val="20"/>
                <w:lang w:eastAsia="en-US"/>
              </w:rPr>
            </w:pPr>
          </w:p>
        </w:tc>
      </w:tr>
    </w:tbl>
    <w:p w:rsidR="009F5F2E" w:rsidRDefault="009F5F2E" w:rsidP="009F5F2E">
      <w:pPr>
        <w:ind w:left="709"/>
        <w:jc w:val="both"/>
        <w:rPr>
          <w:rFonts w:ascii="Arial" w:hAnsi="Arial"/>
          <w:sz w:val="22"/>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BB7EC3" w:rsidRPr="00882085" w:rsidRDefault="00BB7EC3" w:rsidP="00BB7EC3">
      <w:pPr>
        <w:ind w:left="709"/>
        <w:jc w:val="both"/>
        <w:rPr>
          <w:rFonts w:ascii="Arial" w:hAnsi="Arial"/>
          <w:sz w:val="22"/>
          <w:szCs w:val="22"/>
        </w:rPr>
      </w:pPr>
    </w:p>
    <w:p w:rsidR="005A3173" w:rsidRPr="00186B54" w:rsidRDefault="005A3173" w:rsidP="00882085">
      <w:pPr>
        <w:jc w:val="both"/>
        <w:rPr>
          <w:rFonts w:ascii="Arial" w:hAnsi="Arial"/>
          <w:b/>
          <w:sz w:val="22"/>
          <w:szCs w:val="22"/>
        </w:rPr>
      </w:pPr>
      <w:r w:rsidRPr="00186B54">
        <w:rPr>
          <w:rFonts w:ascii="Arial" w:hAnsi="Arial"/>
          <w:b/>
          <w:sz w:val="22"/>
          <w:szCs w:val="22"/>
        </w:rPr>
        <w:t>Clinical claim</w:t>
      </w:r>
    </w:p>
    <w:p w:rsidR="005A3173" w:rsidRPr="00882085" w:rsidRDefault="005A3173" w:rsidP="00882085">
      <w:pPr>
        <w:ind w:left="720" w:hanging="720"/>
        <w:jc w:val="both"/>
        <w:rPr>
          <w:rFonts w:ascii="Arial" w:hAnsi="Arial"/>
          <w:sz w:val="22"/>
          <w:szCs w:val="22"/>
        </w:rPr>
      </w:pPr>
    </w:p>
    <w:p w:rsidR="008E6D34" w:rsidRDefault="008E6D34" w:rsidP="00186B54">
      <w:pPr>
        <w:pStyle w:val="ListParagraph"/>
        <w:numPr>
          <w:ilvl w:val="1"/>
          <w:numId w:val="25"/>
        </w:numPr>
        <w:jc w:val="both"/>
        <w:rPr>
          <w:rFonts w:ascii="Arial" w:hAnsi="Arial"/>
          <w:sz w:val="22"/>
          <w:szCs w:val="22"/>
        </w:rPr>
      </w:pPr>
      <w:r w:rsidRPr="008E6D34">
        <w:rPr>
          <w:rFonts w:ascii="Arial" w:hAnsi="Arial"/>
          <w:sz w:val="22"/>
          <w:szCs w:val="22"/>
        </w:rPr>
        <w:t>The re</w:t>
      </w:r>
      <w:r>
        <w:rPr>
          <w:rFonts w:ascii="Arial" w:hAnsi="Arial"/>
          <w:sz w:val="22"/>
          <w:szCs w:val="22"/>
        </w:rPr>
        <w:t>-</w:t>
      </w:r>
      <w:r w:rsidRPr="008E6D34">
        <w:rPr>
          <w:rFonts w:ascii="Arial" w:hAnsi="Arial"/>
          <w:sz w:val="22"/>
          <w:szCs w:val="22"/>
        </w:rPr>
        <w:t>submission present</w:t>
      </w:r>
      <w:r>
        <w:rPr>
          <w:rFonts w:ascii="Arial" w:hAnsi="Arial"/>
          <w:sz w:val="22"/>
          <w:szCs w:val="22"/>
        </w:rPr>
        <w:t>ed</w:t>
      </w:r>
      <w:r w:rsidRPr="008E6D34">
        <w:rPr>
          <w:rFonts w:ascii="Arial" w:hAnsi="Arial"/>
          <w:sz w:val="22"/>
          <w:szCs w:val="22"/>
        </w:rPr>
        <w:t xml:space="preserve"> an analysis </w:t>
      </w:r>
      <w:r>
        <w:rPr>
          <w:rFonts w:ascii="Arial" w:hAnsi="Arial"/>
          <w:sz w:val="22"/>
          <w:szCs w:val="22"/>
        </w:rPr>
        <w:t xml:space="preserve">for the duration of treatment </w:t>
      </w:r>
      <w:r w:rsidRPr="008E6D34">
        <w:rPr>
          <w:rFonts w:ascii="Arial" w:hAnsi="Arial"/>
          <w:sz w:val="22"/>
          <w:szCs w:val="22"/>
        </w:rPr>
        <w:t>based on</w:t>
      </w:r>
      <w:r w:rsidR="00EB4D7D">
        <w:rPr>
          <w:rFonts w:ascii="Arial" w:hAnsi="Arial"/>
          <w:sz w:val="22"/>
          <w:szCs w:val="22"/>
        </w:rPr>
        <w:t xml:space="preserve"> approximately</w:t>
      </w:r>
      <w:r w:rsidRPr="008E6D34">
        <w:rPr>
          <w:rFonts w:ascii="Arial" w:hAnsi="Arial"/>
          <w:sz w:val="22"/>
          <w:szCs w:val="22"/>
        </w:rPr>
        <w:t xml:space="preserve"> three years treatment of natalizumab and fingolimod compared to the base case recommended by PBAC – cost-minimisation based on </w:t>
      </w:r>
      <w:r w:rsidR="00D032E2">
        <w:rPr>
          <w:rFonts w:ascii="Arial" w:hAnsi="Arial"/>
          <w:noProof/>
          <w:color w:val="000000"/>
          <w:sz w:val="22"/>
          <w:szCs w:val="22"/>
          <w:highlight w:val="black"/>
        </w:rPr>
        <w:t xml:space="preserve">'''''''' </w:t>
      </w:r>
      <w:r w:rsidRPr="00BE1748">
        <w:rPr>
          <w:rFonts w:ascii="Arial" w:hAnsi="Arial"/>
          <w:sz w:val="22"/>
          <w:szCs w:val="22"/>
        </w:rPr>
        <w:t>years</w:t>
      </w:r>
      <w:r w:rsidR="00D032E2">
        <w:rPr>
          <w:rFonts w:ascii="Arial" w:hAnsi="Arial"/>
          <w:noProof/>
          <w:color w:val="000000"/>
          <w:sz w:val="22"/>
          <w:szCs w:val="22"/>
          <w:highlight w:val="black"/>
        </w:rPr>
        <w:t xml:space="preserve"> </w:t>
      </w:r>
      <w:r w:rsidRPr="008E6D34">
        <w:rPr>
          <w:rFonts w:ascii="Arial" w:hAnsi="Arial"/>
          <w:sz w:val="22"/>
          <w:szCs w:val="22"/>
        </w:rPr>
        <w:t xml:space="preserve">treatment.  This results in an ex-manufacturer price per vial that is </w:t>
      </w:r>
      <w:r w:rsidR="00D032E2">
        <w:rPr>
          <w:rFonts w:ascii="Arial" w:hAnsi="Arial"/>
          <w:noProof/>
          <w:color w:val="000000"/>
          <w:sz w:val="22"/>
          <w:szCs w:val="22"/>
          <w:highlight w:val="black"/>
        </w:rPr>
        <w:t>'''''''''''''''' ''''''''''''</w:t>
      </w:r>
      <w:r w:rsidRPr="008E6D34">
        <w:rPr>
          <w:rFonts w:ascii="Arial" w:hAnsi="Arial"/>
          <w:sz w:val="22"/>
          <w:szCs w:val="22"/>
        </w:rPr>
        <w:t xml:space="preserve"> higher than that recommended by PBAC</w:t>
      </w:r>
      <w:r w:rsidR="00B343F1">
        <w:rPr>
          <w:rFonts w:ascii="Arial" w:hAnsi="Arial"/>
          <w:sz w:val="22"/>
          <w:szCs w:val="22"/>
        </w:rPr>
        <w:t xml:space="preserve">. </w:t>
      </w:r>
    </w:p>
    <w:p w:rsidR="00B343F1" w:rsidRPr="00B343F1" w:rsidRDefault="00B343F1" w:rsidP="00B343F1">
      <w:pPr>
        <w:jc w:val="both"/>
        <w:rPr>
          <w:rFonts w:ascii="Arial" w:hAnsi="Arial"/>
          <w:sz w:val="22"/>
          <w:szCs w:val="22"/>
        </w:rPr>
      </w:pPr>
    </w:p>
    <w:p w:rsidR="002F1685" w:rsidRPr="002F1685" w:rsidRDefault="008E6D34" w:rsidP="00186B54">
      <w:pPr>
        <w:pStyle w:val="ListParagraph"/>
        <w:numPr>
          <w:ilvl w:val="1"/>
          <w:numId w:val="25"/>
        </w:numPr>
        <w:jc w:val="both"/>
        <w:rPr>
          <w:rFonts w:ascii="Arial" w:hAnsi="Arial"/>
          <w:sz w:val="22"/>
          <w:szCs w:val="22"/>
        </w:rPr>
      </w:pPr>
      <w:r w:rsidRPr="008E6D34">
        <w:rPr>
          <w:rFonts w:ascii="Arial" w:hAnsi="Arial"/>
          <w:sz w:val="22"/>
          <w:szCs w:val="22"/>
        </w:rPr>
        <w:t>The resubmission relies on data included in the major submission considered at the July 2014 PBAC meeting to justify the proposed three year cost-minimisation approach, arguing that trial re-treatment rates are an adequate proxy for durability of effect because</w:t>
      </w:r>
      <w:r>
        <w:rPr>
          <w:rFonts w:ascii="Arial" w:hAnsi="Arial"/>
          <w:sz w:val="22"/>
          <w:szCs w:val="22"/>
        </w:rPr>
        <w:t xml:space="preserve"> </w:t>
      </w:r>
      <w:r>
        <w:rPr>
          <w:rFonts w:ascii="Arial" w:hAnsi="Arial" w:cs="Arial"/>
          <w:i/>
          <w:sz w:val="22"/>
          <w:szCs w:val="22"/>
        </w:rPr>
        <w:t xml:space="preserve">“In years 2 and 3, a total of approximately 19% of patient experienced relapse (9% in year 2 and 10% in year 3), compared with 19.3% of patients who received re-treatment in year 3 This alignment in the results indicates that re-treatment rates do represent an accurate proxy for relapse, and therefore supports the pricing assumptions made in the submission. Data presented in the </w:t>
      </w:r>
      <w:r w:rsidR="00EB4D7D">
        <w:rPr>
          <w:rFonts w:ascii="Arial" w:hAnsi="Arial" w:cs="Arial"/>
          <w:i/>
          <w:sz w:val="22"/>
          <w:szCs w:val="22"/>
        </w:rPr>
        <w:t xml:space="preserve">major </w:t>
      </w:r>
      <w:r>
        <w:rPr>
          <w:rFonts w:ascii="Arial" w:hAnsi="Arial" w:cs="Arial"/>
          <w:i/>
          <w:sz w:val="22"/>
          <w:szCs w:val="22"/>
        </w:rPr>
        <w:t>submission (page 106) also demonstrated that, at year 3, improvements with respect to progression of disability observed during the main studies was also maintained during year 3, with 84% of patients enrolled into the extension study shown to be free of progression of disability at the end of year 3”.</w:t>
      </w:r>
    </w:p>
    <w:p w:rsidR="002F1685" w:rsidRPr="002F1685" w:rsidRDefault="002F1685" w:rsidP="002F1685">
      <w:pPr>
        <w:pStyle w:val="ListParagraph"/>
        <w:rPr>
          <w:rFonts w:ascii="Arial" w:hAnsi="Arial"/>
          <w:sz w:val="22"/>
          <w:szCs w:val="22"/>
        </w:rPr>
      </w:pPr>
    </w:p>
    <w:p w:rsidR="008E6D34" w:rsidRPr="002F1685" w:rsidRDefault="008E6D34" w:rsidP="00186B54">
      <w:pPr>
        <w:pStyle w:val="ListParagraph"/>
        <w:numPr>
          <w:ilvl w:val="1"/>
          <w:numId w:val="25"/>
        </w:numPr>
        <w:jc w:val="both"/>
        <w:rPr>
          <w:rFonts w:ascii="Arial" w:hAnsi="Arial"/>
          <w:sz w:val="22"/>
          <w:szCs w:val="22"/>
        </w:rPr>
      </w:pPr>
      <w:r w:rsidRPr="002F1685">
        <w:rPr>
          <w:rFonts w:ascii="Arial" w:hAnsi="Arial"/>
          <w:sz w:val="22"/>
          <w:szCs w:val="22"/>
        </w:rPr>
        <w:t>However, the criteria for re-treatment in the extension trials, CARE MS-I and CARE MS-II trials, were that patients could receive alemtuzumab re-treatments if they had:</w:t>
      </w:r>
    </w:p>
    <w:p w:rsidR="008E6D34" w:rsidRPr="008E6D34" w:rsidRDefault="008E6D34" w:rsidP="008E6D34">
      <w:pPr>
        <w:pStyle w:val="ListParagraph"/>
        <w:numPr>
          <w:ilvl w:val="1"/>
          <w:numId w:val="38"/>
        </w:numPr>
        <w:jc w:val="both"/>
        <w:rPr>
          <w:rFonts w:ascii="Arial" w:hAnsi="Arial"/>
          <w:sz w:val="22"/>
          <w:szCs w:val="22"/>
        </w:rPr>
      </w:pPr>
      <w:r w:rsidRPr="008E6D34">
        <w:rPr>
          <w:rFonts w:ascii="Arial" w:hAnsi="Arial"/>
          <w:sz w:val="22"/>
          <w:szCs w:val="22"/>
        </w:rPr>
        <w:t xml:space="preserve">At least one protocol-defined relapse; </w:t>
      </w:r>
    </w:p>
    <w:p w:rsidR="00BB7EC3" w:rsidRDefault="008E6D34" w:rsidP="00022850">
      <w:pPr>
        <w:pStyle w:val="ListParagraph"/>
        <w:numPr>
          <w:ilvl w:val="1"/>
          <w:numId w:val="38"/>
        </w:numPr>
        <w:jc w:val="both"/>
        <w:rPr>
          <w:rFonts w:ascii="Arial" w:hAnsi="Arial"/>
          <w:sz w:val="22"/>
          <w:szCs w:val="22"/>
        </w:rPr>
      </w:pPr>
      <w:r w:rsidRPr="008E6D34">
        <w:rPr>
          <w:rFonts w:ascii="Arial" w:hAnsi="Arial"/>
          <w:sz w:val="22"/>
          <w:szCs w:val="22"/>
        </w:rPr>
        <w:t>or</w:t>
      </w:r>
      <w:r>
        <w:rPr>
          <w:rFonts w:ascii="Arial" w:hAnsi="Arial"/>
          <w:sz w:val="22"/>
          <w:szCs w:val="22"/>
        </w:rPr>
        <w:t xml:space="preserve"> </w:t>
      </w:r>
      <w:r w:rsidRPr="008E6D34">
        <w:rPr>
          <w:rFonts w:ascii="Arial" w:hAnsi="Arial"/>
          <w:sz w:val="22"/>
          <w:szCs w:val="22"/>
        </w:rPr>
        <w:t>At least two new or enlarging T2 and/or Gd-enhancing brain or spinal lesions on MRI</w:t>
      </w:r>
      <w:r w:rsidR="005F7A4B">
        <w:rPr>
          <w:rFonts w:ascii="Arial" w:hAnsi="Arial"/>
          <w:sz w:val="22"/>
          <w:szCs w:val="22"/>
        </w:rPr>
        <w:t>.</w:t>
      </w:r>
    </w:p>
    <w:p w:rsidR="002F63EB" w:rsidRDefault="002F63EB" w:rsidP="002F63EB">
      <w:pPr>
        <w:jc w:val="both"/>
        <w:rPr>
          <w:rFonts w:ascii="Arial" w:hAnsi="Arial"/>
          <w:sz w:val="22"/>
          <w:szCs w:val="22"/>
        </w:rPr>
      </w:pPr>
    </w:p>
    <w:p w:rsidR="007E643D" w:rsidRDefault="007E643D">
      <w:pPr>
        <w:rPr>
          <w:rFonts w:ascii="Arial" w:hAnsi="Arial"/>
          <w:sz w:val="22"/>
          <w:szCs w:val="22"/>
        </w:rPr>
      </w:pPr>
    </w:p>
    <w:p w:rsidR="002F63EB" w:rsidRPr="002F63EB" w:rsidRDefault="002F63EB" w:rsidP="00186B54">
      <w:pPr>
        <w:pStyle w:val="ListParagraph"/>
        <w:numPr>
          <w:ilvl w:val="1"/>
          <w:numId w:val="25"/>
        </w:numPr>
        <w:jc w:val="both"/>
        <w:rPr>
          <w:rFonts w:ascii="Arial" w:hAnsi="Arial"/>
          <w:sz w:val="22"/>
          <w:szCs w:val="22"/>
        </w:rPr>
      </w:pPr>
      <w:r w:rsidRPr="002F63EB">
        <w:rPr>
          <w:rFonts w:ascii="Arial" w:hAnsi="Arial"/>
          <w:sz w:val="22"/>
          <w:szCs w:val="22"/>
        </w:rPr>
        <w:t xml:space="preserve">The PBAC did consider the </w:t>
      </w:r>
      <w:r w:rsidR="00D032E2">
        <w:rPr>
          <w:rFonts w:ascii="Arial" w:hAnsi="Arial"/>
          <w:noProof/>
          <w:color w:val="000000"/>
          <w:sz w:val="22"/>
          <w:szCs w:val="22"/>
          <w:highlight w:val="black"/>
        </w:rPr>
        <w:t>'''' ''''''''''</w:t>
      </w:r>
      <w:r w:rsidRPr="002F63EB">
        <w:rPr>
          <w:rFonts w:ascii="Arial" w:hAnsi="Arial"/>
          <w:sz w:val="22"/>
          <w:szCs w:val="22"/>
        </w:rPr>
        <w:t xml:space="preserve"> results from CARE MS-I and CARE MS-II in its July deliberations and: </w:t>
      </w:r>
    </w:p>
    <w:p w:rsidR="002F63EB" w:rsidRPr="002F63EB" w:rsidRDefault="002F63EB" w:rsidP="002F63EB">
      <w:pPr>
        <w:ind w:left="1134" w:hanging="425"/>
        <w:jc w:val="both"/>
        <w:rPr>
          <w:rFonts w:ascii="Arial" w:hAnsi="Arial"/>
          <w:sz w:val="22"/>
          <w:szCs w:val="22"/>
        </w:rPr>
      </w:pPr>
      <w:r w:rsidRPr="002F63EB">
        <w:rPr>
          <w:rFonts w:ascii="Arial" w:hAnsi="Arial"/>
          <w:sz w:val="22"/>
          <w:szCs w:val="22"/>
        </w:rPr>
        <w:t>•</w:t>
      </w:r>
      <w:r w:rsidRPr="002F63EB">
        <w:rPr>
          <w:rFonts w:ascii="Arial" w:hAnsi="Arial"/>
          <w:sz w:val="22"/>
          <w:szCs w:val="22"/>
        </w:rPr>
        <w:tab/>
        <w:t xml:space="preserve">did not accept that in-trial re-treatment rates were justified to be an adequate proxy for durability of effect as they do not account for patients switching to other therapies and patients lost to follow-up,  </w:t>
      </w:r>
    </w:p>
    <w:p w:rsidR="002F63EB" w:rsidRPr="002F63EB" w:rsidRDefault="002F63EB" w:rsidP="002F63EB">
      <w:pPr>
        <w:ind w:left="1134" w:hanging="425"/>
        <w:jc w:val="both"/>
        <w:rPr>
          <w:rFonts w:ascii="Arial" w:hAnsi="Arial"/>
          <w:sz w:val="22"/>
          <w:szCs w:val="22"/>
        </w:rPr>
      </w:pPr>
      <w:r w:rsidRPr="002F63EB">
        <w:rPr>
          <w:rFonts w:ascii="Arial" w:hAnsi="Arial"/>
          <w:sz w:val="22"/>
          <w:szCs w:val="22"/>
        </w:rPr>
        <w:t>•</w:t>
      </w:r>
      <w:r w:rsidRPr="002F63EB">
        <w:rPr>
          <w:rFonts w:ascii="Arial" w:hAnsi="Arial"/>
          <w:sz w:val="22"/>
          <w:szCs w:val="22"/>
        </w:rPr>
        <w:tab/>
        <w:t>noted it is unclear whether the re-treatment criteria used in the CARE MS extension studies are likely to be representative of clinical practice and  that the criteria for a patient to seek re-treatment were unclear and that it was uncertain how any such criteria may be interpreted by clinicians, and</w:t>
      </w:r>
    </w:p>
    <w:p w:rsidR="002F63EB" w:rsidRDefault="002F63EB" w:rsidP="002F63EB">
      <w:pPr>
        <w:ind w:left="1134" w:hanging="425"/>
        <w:jc w:val="both"/>
        <w:rPr>
          <w:rFonts w:ascii="Arial" w:hAnsi="Arial"/>
          <w:sz w:val="22"/>
          <w:szCs w:val="22"/>
        </w:rPr>
      </w:pPr>
      <w:r w:rsidRPr="002F63EB">
        <w:rPr>
          <w:rFonts w:ascii="Arial" w:hAnsi="Arial"/>
          <w:sz w:val="22"/>
          <w:szCs w:val="22"/>
        </w:rPr>
        <w:t>•</w:t>
      </w:r>
      <w:r w:rsidRPr="002F63EB">
        <w:rPr>
          <w:rFonts w:ascii="Arial" w:hAnsi="Arial"/>
          <w:sz w:val="22"/>
          <w:szCs w:val="22"/>
        </w:rPr>
        <w:tab/>
        <w:t>noted that the approach used by the submission does not account for any waning of effects before re-treatment.</w:t>
      </w:r>
    </w:p>
    <w:p w:rsidR="00761EF6" w:rsidRDefault="00761EF6" w:rsidP="00EB4D7D">
      <w:pPr>
        <w:jc w:val="both"/>
        <w:rPr>
          <w:rFonts w:ascii="Arial" w:hAnsi="Arial"/>
          <w:sz w:val="22"/>
          <w:szCs w:val="22"/>
        </w:rPr>
      </w:pPr>
    </w:p>
    <w:p w:rsidR="00761EF6" w:rsidRPr="00761EF6" w:rsidRDefault="00761EF6" w:rsidP="00186B54">
      <w:pPr>
        <w:pStyle w:val="ListParagraph"/>
        <w:numPr>
          <w:ilvl w:val="1"/>
          <w:numId w:val="25"/>
        </w:numPr>
        <w:jc w:val="both"/>
        <w:rPr>
          <w:rFonts w:ascii="Arial" w:hAnsi="Arial"/>
          <w:sz w:val="22"/>
          <w:szCs w:val="22"/>
        </w:rPr>
      </w:pPr>
      <w:r w:rsidRPr="00761EF6">
        <w:rPr>
          <w:rFonts w:ascii="Arial" w:hAnsi="Arial"/>
          <w:sz w:val="22"/>
          <w:szCs w:val="22"/>
        </w:rPr>
        <w:t>Additionally, the July PBAC minutes</w:t>
      </w:r>
      <w:r w:rsidR="00EB4D7D">
        <w:rPr>
          <w:rFonts w:ascii="Arial" w:hAnsi="Arial"/>
          <w:sz w:val="22"/>
          <w:szCs w:val="22"/>
        </w:rPr>
        <w:t xml:space="preserve"> stated</w:t>
      </w:r>
      <w:r w:rsidRPr="00761EF6">
        <w:rPr>
          <w:rFonts w:ascii="Arial" w:hAnsi="Arial"/>
          <w:sz w:val="22"/>
          <w:szCs w:val="22"/>
        </w:rPr>
        <w:t>,</w:t>
      </w:r>
    </w:p>
    <w:p w:rsidR="00761EF6" w:rsidRPr="00761EF6" w:rsidRDefault="00761EF6" w:rsidP="00761EF6">
      <w:pPr>
        <w:ind w:left="709"/>
        <w:jc w:val="both"/>
        <w:rPr>
          <w:rFonts w:ascii="Arial" w:hAnsi="Arial"/>
          <w:sz w:val="22"/>
          <w:szCs w:val="22"/>
        </w:rPr>
      </w:pPr>
      <w:r w:rsidRPr="00761EF6">
        <w:rPr>
          <w:rFonts w:ascii="Arial" w:hAnsi="Arial"/>
          <w:sz w:val="22"/>
          <w:szCs w:val="22"/>
        </w:rPr>
        <w:t>”The PBAC considered that the proportion of patients remaining relapse-free may provide an informative basis for assessing durability of effect and as well as proportions of patents being re-treated if the necessary links between individual patients could be adequately demonstrated. The Committee considered Table B.27 of the submission and associated text confirming that only 15% of the total extension study population were relapse free at the end of Year 3.  The Committee noted that these data appeared to be inconsistent with the trial data, and subsequently considered that the presentation of the data in this way may in fact be erroneous.”</w:t>
      </w:r>
    </w:p>
    <w:p w:rsidR="00761EF6" w:rsidRPr="00761EF6" w:rsidRDefault="00761EF6" w:rsidP="00761EF6">
      <w:pPr>
        <w:ind w:left="709"/>
        <w:jc w:val="both"/>
        <w:rPr>
          <w:rFonts w:ascii="Arial" w:hAnsi="Arial"/>
          <w:sz w:val="22"/>
          <w:szCs w:val="22"/>
        </w:rPr>
      </w:pPr>
    </w:p>
    <w:p w:rsidR="00761EF6" w:rsidRPr="002F63EB" w:rsidRDefault="00761EF6" w:rsidP="00761EF6">
      <w:pPr>
        <w:ind w:left="709"/>
        <w:jc w:val="both"/>
        <w:rPr>
          <w:rFonts w:ascii="Arial" w:hAnsi="Arial"/>
          <w:sz w:val="22"/>
          <w:szCs w:val="22"/>
        </w:rPr>
      </w:pPr>
      <w:r w:rsidRPr="00761EF6">
        <w:rPr>
          <w:rFonts w:ascii="Arial" w:hAnsi="Arial"/>
          <w:sz w:val="22"/>
          <w:szCs w:val="22"/>
        </w:rPr>
        <w:t>The minor resubmission appears to present no data or arguments that address these concerns.</w:t>
      </w:r>
    </w:p>
    <w:p w:rsidR="00F57A6D" w:rsidRPr="00882085" w:rsidRDefault="00F57A6D" w:rsidP="00882085">
      <w:pPr>
        <w:ind w:left="720" w:hanging="720"/>
        <w:jc w:val="both"/>
        <w:rPr>
          <w:rFonts w:ascii="Arial" w:hAnsi="Arial"/>
          <w:sz w:val="22"/>
          <w:szCs w:val="22"/>
        </w:rPr>
      </w:pPr>
    </w:p>
    <w:p w:rsidR="005A3173" w:rsidRPr="00186B54" w:rsidRDefault="005A3173" w:rsidP="00882085">
      <w:pPr>
        <w:ind w:left="720" w:hanging="720"/>
        <w:jc w:val="both"/>
        <w:rPr>
          <w:rFonts w:ascii="Arial" w:hAnsi="Arial"/>
          <w:b/>
          <w:sz w:val="22"/>
          <w:szCs w:val="22"/>
        </w:rPr>
      </w:pPr>
      <w:r w:rsidRPr="00186B54">
        <w:rPr>
          <w:rFonts w:ascii="Arial" w:hAnsi="Arial"/>
          <w:b/>
          <w:sz w:val="22"/>
          <w:szCs w:val="22"/>
        </w:rPr>
        <w:t>Economic analysis</w:t>
      </w:r>
    </w:p>
    <w:p w:rsidR="005A3173" w:rsidRPr="00882085" w:rsidRDefault="005A3173" w:rsidP="00882085">
      <w:pPr>
        <w:ind w:left="720" w:hanging="720"/>
        <w:jc w:val="both"/>
        <w:rPr>
          <w:rFonts w:ascii="Arial" w:hAnsi="Arial"/>
          <w:sz w:val="22"/>
          <w:szCs w:val="22"/>
        </w:rPr>
      </w:pPr>
    </w:p>
    <w:p w:rsidR="00BB7EC3" w:rsidRDefault="00761EF6" w:rsidP="00186B54">
      <w:pPr>
        <w:pStyle w:val="ListParagraph"/>
        <w:numPr>
          <w:ilvl w:val="1"/>
          <w:numId w:val="25"/>
        </w:numPr>
        <w:jc w:val="both"/>
        <w:rPr>
          <w:rFonts w:ascii="Arial" w:hAnsi="Arial"/>
          <w:sz w:val="22"/>
          <w:szCs w:val="22"/>
        </w:rPr>
      </w:pPr>
      <w:r w:rsidRPr="00EB4D7D">
        <w:rPr>
          <w:rFonts w:ascii="Arial" w:hAnsi="Arial"/>
          <w:sz w:val="22"/>
          <w:szCs w:val="22"/>
        </w:rPr>
        <w:t xml:space="preserve">The resubmission presents an updated cost-minimisation analysis comparing </w:t>
      </w:r>
      <w:r w:rsidR="00D032E2">
        <w:rPr>
          <w:rFonts w:ascii="Arial" w:hAnsi="Arial"/>
          <w:noProof/>
          <w:color w:val="000000"/>
          <w:sz w:val="22"/>
          <w:szCs w:val="22"/>
          <w:highlight w:val="black"/>
        </w:rPr>
        <w:t>'''''''''</w:t>
      </w:r>
      <w:r w:rsidRPr="00EB4D7D">
        <w:rPr>
          <w:rFonts w:ascii="Arial" w:hAnsi="Arial"/>
          <w:sz w:val="22"/>
          <w:szCs w:val="22"/>
        </w:rPr>
        <w:t xml:space="preserve"> years of treatment with alemtuzumab to </w:t>
      </w:r>
      <w:r w:rsidR="00D032E2">
        <w:rPr>
          <w:rFonts w:ascii="Arial" w:hAnsi="Arial"/>
          <w:noProof/>
          <w:color w:val="000000"/>
          <w:sz w:val="22"/>
          <w:szCs w:val="22"/>
          <w:highlight w:val="black"/>
        </w:rPr>
        <w:t xml:space="preserve">'''''''''''' </w:t>
      </w:r>
      <w:r w:rsidRPr="00BE1748">
        <w:rPr>
          <w:rFonts w:ascii="Arial" w:hAnsi="Arial"/>
          <w:sz w:val="22"/>
          <w:szCs w:val="22"/>
        </w:rPr>
        <w:t>years</w:t>
      </w:r>
      <w:r w:rsidRPr="00EB4D7D">
        <w:rPr>
          <w:rFonts w:ascii="Arial" w:hAnsi="Arial"/>
          <w:sz w:val="22"/>
          <w:szCs w:val="22"/>
        </w:rPr>
        <w:t xml:space="preserve"> of treatment with fingolimod and natalizumab. </w:t>
      </w:r>
    </w:p>
    <w:p w:rsidR="00EB4D7D" w:rsidRPr="00EB4D7D" w:rsidRDefault="00EB4D7D" w:rsidP="00EB4D7D">
      <w:pPr>
        <w:jc w:val="both"/>
        <w:rPr>
          <w:rFonts w:ascii="Arial" w:hAnsi="Arial"/>
          <w:sz w:val="22"/>
          <w:szCs w:val="22"/>
        </w:rPr>
      </w:pPr>
    </w:p>
    <w:p w:rsidR="006504A1" w:rsidRPr="00492A5A" w:rsidRDefault="00440601" w:rsidP="00186B54">
      <w:pPr>
        <w:pStyle w:val="ListParagraph"/>
        <w:numPr>
          <w:ilvl w:val="1"/>
          <w:numId w:val="25"/>
        </w:numPr>
        <w:jc w:val="both"/>
        <w:rPr>
          <w:rFonts w:ascii="Arial" w:hAnsi="Arial" w:cs="Arial"/>
          <w:sz w:val="22"/>
          <w:szCs w:val="22"/>
        </w:rPr>
      </w:pPr>
      <w:r w:rsidRPr="00492A5A">
        <w:rPr>
          <w:rFonts w:ascii="Arial" w:hAnsi="Arial" w:cs="Arial"/>
          <w:sz w:val="22"/>
          <w:szCs w:val="22"/>
        </w:rPr>
        <w:t>The resubmission presents cost offsets in the cost-minimisation analysis</w:t>
      </w:r>
      <w:r w:rsidR="006504A1" w:rsidRPr="00492A5A">
        <w:rPr>
          <w:rFonts w:ascii="Arial" w:hAnsi="Arial" w:cs="Arial"/>
          <w:sz w:val="22"/>
          <w:szCs w:val="22"/>
        </w:rPr>
        <w:t xml:space="preserve">. </w:t>
      </w:r>
    </w:p>
    <w:p w:rsidR="00BB7EC3" w:rsidRPr="00492A5A" w:rsidRDefault="00440601" w:rsidP="006504A1">
      <w:pPr>
        <w:pStyle w:val="ListParagraph"/>
        <w:ind w:left="709"/>
        <w:jc w:val="both"/>
        <w:rPr>
          <w:rFonts w:ascii="Arial" w:hAnsi="Arial" w:cs="Arial"/>
          <w:sz w:val="22"/>
          <w:szCs w:val="22"/>
        </w:rPr>
      </w:pPr>
      <w:r w:rsidRPr="00492A5A">
        <w:rPr>
          <w:rFonts w:ascii="Arial" w:hAnsi="Arial" w:cs="Arial"/>
          <w:sz w:val="22"/>
          <w:szCs w:val="22"/>
        </w:rPr>
        <w:t xml:space="preserve"> </w:t>
      </w:r>
    </w:p>
    <w:p w:rsidR="006504A1" w:rsidRPr="00492A5A" w:rsidRDefault="006504A1" w:rsidP="00186B54">
      <w:pPr>
        <w:pStyle w:val="ListParagraph"/>
        <w:numPr>
          <w:ilvl w:val="1"/>
          <w:numId w:val="25"/>
        </w:numPr>
        <w:jc w:val="both"/>
        <w:rPr>
          <w:rFonts w:ascii="Arial" w:hAnsi="Arial"/>
          <w:sz w:val="22"/>
          <w:szCs w:val="22"/>
        </w:rPr>
      </w:pPr>
      <w:r w:rsidRPr="00492A5A">
        <w:rPr>
          <w:rFonts w:ascii="Arial" w:hAnsi="Arial"/>
          <w:sz w:val="22"/>
          <w:szCs w:val="22"/>
        </w:rPr>
        <w:t>The resubmission presents the total infusion cost incurred over two-courses of alemtuzumab treatment ($97.95 x 8 = $783.60), but does not include these in its calculation of the price of alemtuzumab.</w:t>
      </w:r>
    </w:p>
    <w:p w:rsidR="00B01E02" w:rsidRPr="00492A5A" w:rsidRDefault="00B01E02" w:rsidP="00A22E30">
      <w:pPr>
        <w:pStyle w:val="ListParagraph"/>
        <w:ind w:left="709"/>
        <w:jc w:val="both"/>
        <w:rPr>
          <w:rFonts w:ascii="Arial" w:hAnsi="Arial"/>
          <w:sz w:val="22"/>
          <w:szCs w:val="22"/>
        </w:rPr>
      </w:pPr>
    </w:p>
    <w:p w:rsidR="00B01E02" w:rsidRPr="00492A5A" w:rsidRDefault="00B01E02" w:rsidP="00186B54">
      <w:pPr>
        <w:pStyle w:val="ListParagraph"/>
        <w:numPr>
          <w:ilvl w:val="1"/>
          <w:numId w:val="25"/>
        </w:numPr>
        <w:jc w:val="both"/>
        <w:rPr>
          <w:rFonts w:ascii="Arial" w:hAnsi="Arial"/>
          <w:sz w:val="22"/>
          <w:szCs w:val="22"/>
        </w:rPr>
      </w:pPr>
      <w:r w:rsidRPr="00492A5A">
        <w:rPr>
          <w:rFonts w:ascii="Arial" w:hAnsi="Arial"/>
          <w:sz w:val="22"/>
          <w:szCs w:val="22"/>
        </w:rPr>
        <w:t xml:space="preserve">The resubmission </w:t>
      </w:r>
      <w:r w:rsidR="00E31B0D" w:rsidRPr="00492A5A">
        <w:rPr>
          <w:rFonts w:ascii="Arial" w:hAnsi="Arial"/>
          <w:sz w:val="22"/>
          <w:szCs w:val="22"/>
        </w:rPr>
        <w:t>did not use the current PBS Schedule</w:t>
      </w:r>
      <w:r w:rsidRPr="00492A5A">
        <w:rPr>
          <w:rFonts w:ascii="Arial" w:hAnsi="Arial"/>
          <w:sz w:val="22"/>
          <w:szCs w:val="22"/>
        </w:rPr>
        <w:t xml:space="preserve"> </w:t>
      </w:r>
      <w:r w:rsidR="00E31B0D" w:rsidRPr="00492A5A">
        <w:rPr>
          <w:rFonts w:ascii="Arial" w:hAnsi="Arial"/>
          <w:sz w:val="22"/>
          <w:szCs w:val="22"/>
        </w:rPr>
        <w:t xml:space="preserve">price to </w:t>
      </w:r>
      <w:r w:rsidR="00EB4D7D">
        <w:rPr>
          <w:rFonts w:ascii="Arial" w:hAnsi="Arial"/>
          <w:sz w:val="22"/>
          <w:szCs w:val="22"/>
        </w:rPr>
        <w:t>calculate</w:t>
      </w:r>
      <w:r w:rsidRPr="00492A5A">
        <w:rPr>
          <w:rFonts w:ascii="Arial" w:hAnsi="Arial"/>
          <w:sz w:val="22"/>
          <w:szCs w:val="22"/>
        </w:rPr>
        <w:t xml:space="preserve"> the cost of pre-treatment and prophylaxis for two-courses of alemtuzumab treatment.</w:t>
      </w:r>
    </w:p>
    <w:p w:rsidR="00E31B0D" w:rsidRPr="00492A5A" w:rsidRDefault="00E31B0D" w:rsidP="00A22E30">
      <w:pPr>
        <w:pStyle w:val="ListParagraph"/>
        <w:ind w:left="709"/>
        <w:jc w:val="both"/>
        <w:rPr>
          <w:rFonts w:ascii="Arial" w:hAnsi="Arial"/>
          <w:sz w:val="22"/>
          <w:szCs w:val="22"/>
        </w:rPr>
      </w:pPr>
    </w:p>
    <w:p w:rsidR="00E31B0D" w:rsidRPr="00492A5A" w:rsidRDefault="00E31B0D" w:rsidP="00186B54">
      <w:pPr>
        <w:pStyle w:val="ListParagraph"/>
        <w:numPr>
          <w:ilvl w:val="1"/>
          <w:numId w:val="25"/>
        </w:numPr>
        <w:jc w:val="both"/>
        <w:rPr>
          <w:rFonts w:ascii="Arial" w:hAnsi="Arial"/>
          <w:sz w:val="22"/>
          <w:szCs w:val="22"/>
        </w:rPr>
      </w:pPr>
      <w:r w:rsidRPr="00492A5A">
        <w:rPr>
          <w:rFonts w:ascii="Arial" w:hAnsi="Arial"/>
          <w:sz w:val="22"/>
          <w:szCs w:val="22"/>
        </w:rPr>
        <w:t>In the pre-PBAC response, the sponsor agreed to the re-calculated price</w:t>
      </w:r>
      <w:r w:rsidR="00826EBF" w:rsidRPr="00492A5A">
        <w:rPr>
          <w:rFonts w:ascii="Arial" w:hAnsi="Arial"/>
          <w:sz w:val="22"/>
          <w:szCs w:val="22"/>
        </w:rPr>
        <w:t xml:space="preserve"> based on the updated cost of pre-treatment and prophylaxis and inclusion of infusion costs</w:t>
      </w:r>
      <w:r w:rsidRPr="00492A5A">
        <w:rPr>
          <w:rFonts w:ascii="Arial" w:hAnsi="Arial"/>
          <w:sz w:val="22"/>
          <w:szCs w:val="22"/>
        </w:rPr>
        <w:t xml:space="preserve">. </w:t>
      </w:r>
    </w:p>
    <w:p w:rsidR="00B01E02" w:rsidRPr="00492A5A" w:rsidRDefault="00B01E02" w:rsidP="00A22E30">
      <w:pPr>
        <w:pStyle w:val="ListParagraph"/>
        <w:ind w:left="709"/>
        <w:jc w:val="both"/>
        <w:rPr>
          <w:rFonts w:ascii="Arial" w:hAnsi="Arial"/>
          <w:sz w:val="22"/>
          <w:szCs w:val="22"/>
        </w:rPr>
      </w:pPr>
    </w:p>
    <w:p w:rsidR="00B01E02" w:rsidRPr="00492A5A" w:rsidRDefault="005F7A4B" w:rsidP="00186B54">
      <w:pPr>
        <w:pStyle w:val="ListParagraph"/>
        <w:numPr>
          <w:ilvl w:val="1"/>
          <w:numId w:val="25"/>
        </w:numPr>
        <w:jc w:val="both"/>
        <w:rPr>
          <w:rFonts w:ascii="Arial" w:hAnsi="Arial"/>
          <w:sz w:val="22"/>
          <w:szCs w:val="22"/>
        </w:rPr>
      </w:pPr>
      <w:r>
        <w:rPr>
          <w:rFonts w:ascii="Arial" w:hAnsi="Arial"/>
          <w:sz w:val="22"/>
          <w:szCs w:val="22"/>
        </w:rPr>
        <w:t>The t</w:t>
      </w:r>
      <w:r w:rsidR="00B01E02" w:rsidRPr="00492A5A">
        <w:rPr>
          <w:rFonts w:ascii="Arial" w:hAnsi="Arial"/>
          <w:sz w:val="22"/>
          <w:szCs w:val="22"/>
        </w:rPr>
        <w:t>able below provides a corrected resubmission price for alemtuzumab and compares these to the “</w:t>
      </w:r>
      <w:r w:rsidR="00D032E2">
        <w:rPr>
          <w:rFonts w:ascii="Arial" w:hAnsi="Arial"/>
          <w:noProof/>
          <w:color w:val="000000"/>
          <w:sz w:val="22"/>
          <w:szCs w:val="22"/>
          <w:highlight w:val="black"/>
        </w:rPr>
        <w:t xml:space="preserve">''''''''''''''' </w:t>
      </w:r>
      <w:r w:rsidR="00B01E02" w:rsidRPr="00BE1748">
        <w:rPr>
          <w:rFonts w:ascii="Arial" w:hAnsi="Arial"/>
          <w:sz w:val="22"/>
          <w:szCs w:val="22"/>
        </w:rPr>
        <w:t>cost-minimisation</w:t>
      </w:r>
      <w:r w:rsidR="00B01E02" w:rsidRPr="00492A5A">
        <w:rPr>
          <w:rFonts w:ascii="Arial" w:hAnsi="Arial"/>
          <w:sz w:val="22"/>
          <w:szCs w:val="22"/>
        </w:rPr>
        <w:t>” price. The resubmission does not account for the costs of treating adverse effects with alemtuzumab. Neither price includes a cost offset for treating adverse events.</w:t>
      </w:r>
    </w:p>
    <w:p w:rsidR="00B01E02" w:rsidRPr="00B01E02" w:rsidRDefault="00B01E02" w:rsidP="00B01E02">
      <w:pPr>
        <w:pStyle w:val="ListParagraph"/>
        <w:rPr>
          <w:szCs w:val="22"/>
        </w:rPr>
      </w:pPr>
    </w:p>
    <w:p w:rsidR="00A2242C" w:rsidRDefault="00B01E02" w:rsidP="00A2242C">
      <w:pPr>
        <w:tabs>
          <w:tab w:val="left" w:pos="709"/>
        </w:tabs>
        <w:jc w:val="both"/>
        <w:rPr>
          <w:szCs w:val="22"/>
        </w:rPr>
      </w:pPr>
      <w:r>
        <w:rPr>
          <w:szCs w:val="22"/>
        </w:rPr>
        <w:tab/>
      </w:r>
    </w:p>
    <w:p w:rsidR="00A2242C" w:rsidRDefault="00A2242C">
      <w:pPr>
        <w:rPr>
          <w:szCs w:val="22"/>
        </w:rPr>
      </w:pPr>
    </w:p>
    <w:p w:rsidR="00B01E02" w:rsidRPr="00B01E02" w:rsidRDefault="00B01E02" w:rsidP="00A2242C">
      <w:pPr>
        <w:tabs>
          <w:tab w:val="left" w:pos="709"/>
        </w:tabs>
        <w:jc w:val="both"/>
        <w:rPr>
          <w:szCs w:val="22"/>
        </w:rPr>
      </w:pPr>
      <w:r w:rsidRPr="00A85856">
        <w:rPr>
          <w:rFonts w:ascii="Arial Narrow" w:eastAsiaTheme="minorHAnsi" w:hAnsi="Arial Narrow" w:cstheme="minorBidi"/>
          <w:b/>
          <w:bCs/>
          <w:sz w:val="20"/>
          <w:szCs w:val="20"/>
          <w:lang w:eastAsia="en-US"/>
        </w:rPr>
        <w:t xml:space="preserve">Effective ex-manufacturer cost per vial </w:t>
      </w:r>
      <w:r>
        <w:rPr>
          <w:rFonts w:ascii="Arial Narrow" w:eastAsiaTheme="minorHAnsi" w:hAnsi="Arial Narrow" w:cstheme="minorBidi"/>
          <w:b/>
          <w:bCs/>
          <w:sz w:val="20"/>
          <w:szCs w:val="20"/>
          <w:lang w:eastAsia="en-US"/>
        </w:rPr>
        <w:t>of alemtuzumab</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3246"/>
        <w:gridCol w:w="1579"/>
      </w:tblGrid>
      <w:tr w:rsidR="00B01E02" w:rsidRPr="00A85856" w:rsidTr="00020C76">
        <w:trPr>
          <w:trHeight w:val="947"/>
        </w:trPr>
        <w:tc>
          <w:tcPr>
            <w:tcW w:w="2115" w:type="pct"/>
            <w:tcBorders>
              <w:bottom w:val="single" w:sz="4" w:space="0" w:color="auto"/>
            </w:tcBorders>
            <w:shd w:val="clear" w:color="auto" w:fill="auto"/>
            <w:vAlign w:val="bottom"/>
            <w:hideMark/>
          </w:tcPr>
          <w:p w:rsidR="00B01E02" w:rsidRPr="00A85856" w:rsidRDefault="00B01E02" w:rsidP="00020C76">
            <w:pPr>
              <w:rPr>
                <w:rFonts w:ascii="Arial Narrow" w:hAnsi="Arial Narrow" w:cs="Calibri"/>
                <w:b/>
                <w:bCs/>
                <w:color w:val="000000"/>
                <w:sz w:val="20"/>
                <w:szCs w:val="20"/>
              </w:rPr>
            </w:pPr>
            <w:r w:rsidRPr="00A85856">
              <w:rPr>
                <w:rFonts w:ascii="Arial Narrow" w:hAnsi="Arial Narrow" w:cs="Calibri"/>
                <w:b/>
                <w:bCs/>
                <w:color w:val="000000"/>
                <w:sz w:val="20"/>
                <w:szCs w:val="20"/>
              </w:rPr>
              <w:t>Assumed length of treatment benefit (years)</w:t>
            </w:r>
          </w:p>
        </w:tc>
        <w:tc>
          <w:tcPr>
            <w:tcW w:w="1941" w:type="pct"/>
            <w:tcBorders>
              <w:bottom w:val="single" w:sz="4" w:space="0" w:color="auto"/>
            </w:tcBorders>
            <w:shd w:val="clear" w:color="auto" w:fill="auto"/>
            <w:vAlign w:val="bottom"/>
            <w:hideMark/>
          </w:tcPr>
          <w:p w:rsidR="00B01E02" w:rsidRPr="00A85856" w:rsidRDefault="00B01E02" w:rsidP="00020C76">
            <w:pPr>
              <w:jc w:val="center"/>
              <w:rPr>
                <w:rFonts w:ascii="Arial Narrow" w:hAnsi="Arial Narrow" w:cs="Calibri"/>
                <w:b/>
                <w:color w:val="000000"/>
                <w:sz w:val="20"/>
                <w:szCs w:val="20"/>
              </w:rPr>
            </w:pPr>
            <w:r w:rsidRPr="00A85856">
              <w:rPr>
                <w:rFonts w:ascii="Arial Narrow" w:hAnsi="Arial Narrow" w:cs="Calibri"/>
                <w:b/>
                <w:color w:val="000000"/>
                <w:sz w:val="20"/>
                <w:szCs w:val="20"/>
              </w:rPr>
              <w:t>Cost per patient (including administration and prophylaxis</w:t>
            </w:r>
            <w:r>
              <w:rPr>
                <w:rFonts w:ascii="Arial Narrow" w:hAnsi="Arial Narrow" w:cs="Calibri"/>
                <w:b/>
                <w:color w:val="000000"/>
                <w:sz w:val="20"/>
                <w:szCs w:val="20"/>
              </w:rPr>
              <w:t xml:space="preserve"> costs</w:t>
            </w:r>
            <w:r w:rsidRPr="00A85856">
              <w:rPr>
                <w:rFonts w:ascii="Arial Narrow" w:hAnsi="Arial Narrow" w:cs="Calibri"/>
                <w:b/>
                <w:color w:val="000000"/>
                <w:sz w:val="20"/>
                <w:szCs w:val="20"/>
              </w:rPr>
              <w:t xml:space="preserve"> but not </w:t>
            </w:r>
            <w:r>
              <w:rPr>
                <w:rFonts w:ascii="Arial Narrow" w:hAnsi="Arial Narrow" w:cs="Calibri"/>
                <w:b/>
                <w:color w:val="000000"/>
                <w:sz w:val="20"/>
                <w:szCs w:val="20"/>
              </w:rPr>
              <w:t xml:space="preserve">costs for </w:t>
            </w:r>
            <w:r w:rsidRPr="00A85856">
              <w:rPr>
                <w:rFonts w:ascii="Arial Narrow" w:hAnsi="Arial Narrow" w:cs="Calibri"/>
                <w:b/>
                <w:color w:val="000000"/>
                <w:sz w:val="20"/>
                <w:szCs w:val="20"/>
              </w:rPr>
              <w:t>treatment of adverse events)</w:t>
            </w:r>
          </w:p>
        </w:tc>
        <w:tc>
          <w:tcPr>
            <w:tcW w:w="945" w:type="pct"/>
            <w:tcBorders>
              <w:bottom w:val="single" w:sz="4" w:space="0" w:color="auto"/>
            </w:tcBorders>
            <w:shd w:val="clear" w:color="auto" w:fill="auto"/>
            <w:noWrap/>
            <w:vAlign w:val="bottom"/>
            <w:hideMark/>
          </w:tcPr>
          <w:p w:rsidR="00B01E02" w:rsidRPr="00A85856" w:rsidRDefault="00B01E02" w:rsidP="00020C76">
            <w:pPr>
              <w:jc w:val="center"/>
              <w:rPr>
                <w:rFonts w:ascii="Arial Narrow" w:hAnsi="Arial Narrow" w:cs="Calibri"/>
                <w:b/>
                <w:color w:val="000000"/>
                <w:sz w:val="20"/>
                <w:szCs w:val="20"/>
              </w:rPr>
            </w:pPr>
            <w:r w:rsidRPr="00A85856">
              <w:rPr>
                <w:rFonts w:ascii="Arial Narrow" w:hAnsi="Arial Narrow" w:cs="Calibri"/>
                <w:b/>
                <w:color w:val="000000"/>
                <w:sz w:val="20"/>
                <w:szCs w:val="20"/>
              </w:rPr>
              <w:t>Cost per vial</w:t>
            </w:r>
          </w:p>
          <w:p w:rsidR="00B01E02" w:rsidRPr="00A85856" w:rsidRDefault="00B01E02" w:rsidP="00020C76">
            <w:pPr>
              <w:jc w:val="center"/>
              <w:rPr>
                <w:rFonts w:ascii="Arial Narrow" w:hAnsi="Arial Narrow" w:cs="Calibri"/>
                <w:b/>
                <w:color w:val="000000"/>
                <w:sz w:val="20"/>
                <w:szCs w:val="20"/>
              </w:rPr>
            </w:pPr>
            <w:r w:rsidRPr="00A85856">
              <w:rPr>
                <w:rFonts w:ascii="Arial Narrow" w:hAnsi="Arial Narrow" w:cs="Calibri"/>
                <w:b/>
                <w:color w:val="000000"/>
                <w:sz w:val="20"/>
                <w:szCs w:val="20"/>
              </w:rPr>
              <w:t xml:space="preserve">(effective </w:t>
            </w:r>
          </w:p>
          <w:p w:rsidR="00B01E02" w:rsidRPr="00A85856" w:rsidRDefault="00B01E02" w:rsidP="00020C76">
            <w:pPr>
              <w:jc w:val="center"/>
              <w:rPr>
                <w:rFonts w:ascii="Arial Narrow" w:hAnsi="Arial Narrow" w:cs="Calibri"/>
                <w:b/>
                <w:color w:val="000000"/>
                <w:sz w:val="20"/>
                <w:szCs w:val="20"/>
              </w:rPr>
            </w:pPr>
            <w:r w:rsidRPr="00A85856">
              <w:rPr>
                <w:rFonts w:ascii="Arial Narrow" w:hAnsi="Arial Narrow" w:cs="Calibri"/>
                <w:b/>
                <w:color w:val="000000"/>
                <w:sz w:val="20"/>
                <w:szCs w:val="20"/>
              </w:rPr>
              <w:t>Ex-manufacturer)</w:t>
            </w:r>
          </w:p>
        </w:tc>
      </w:tr>
      <w:tr w:rsidR="00B01E02" w:rsidRPr="00A85856" w:rsidTr="00020C76">
        <w:trPr>
          <w:trHeight w:val="300"/>
        </w:trPr>
        <w:tc>
          <w:tcPr>
            <w:tcW w:w="2115" w:type="pct"/>
            <w:tcBorders>
              <w:bottom w:val="nil"/>
            </w:tcBorders>
            <w:shd w:val="clear" w:color="auto" w:fill="auto"/>
            <w:noWrap/>
            <w:vAlign w:val="bottom"/>
            <w:hideMark/>
          </w:tcPr>
          <w:p w:rsidR="00B01E02" w:rsidRPr="00D032E2" w:rsidRDefault="00D032E2" w:rsidP="00020C76">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 ''''''''''''''' '''''''''' ''''''''''''</w:t>
            </w:r>
          </w:p>
        </w:tc>
        <w:tc>
          <w:tcPr>
            <w:tcW w:w="1941" w:type="pct"/>
            <w:tcBorders>
              <w:bottom w:val="nil"/>
            </w:tcBorders>
            <w:shd w:val="clear" w:color="auto" w:fill="auto"/>
            <w:noWrap/>
            <w:vAlign w:val="bottom"/>
            <w:hideMark/>
          </w:tcPr>
          <w:p w:rsidR="00B01E02" w:rsidRPr="00D032E2" w:rsidRDefault="00D032E2" w:rsidP="00020C76">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w:t>
            </w:r>
          </w:p>
          <w:p w:rsidR="00B01E02" w:rsidRPr="00D032E2" w:rsidRDefault="00D032E2" w:rsidP="00020C76">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 '''''' ''' ''''''''''''''''''''' ''''''''''''''''</w:t>
            </w:r>
          </w:p>
        </w:tc>
        <w:tc>
          <w:tcPr>
            <w:tcW w:w="945" w:type="pct"/>
            <w:tcBorders>
              <w:bottom w:val="nil"/>
            </w:tcBorders>
            <w:shd w:val="clear" w:color="auto" w:fill="auto"/>
            <w:noWrap/>
            <w:vAlign w:val="bottom"/>
            <w:hideMark/>
          </w:tcPr>
          <w:p w:rsidR="00B01E02" w:rsidRPr="00D032E2" w:rsidRDefault="00D032E2" w:rsidP="00020C76">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r w:rsidR="00B01E02" w:rsidRPr="00A85856" w:rsidTr="00020C76">
        <w:trPr>
          <w:trHeight w:val="300"/>
        </w:trPr>
        <w:tc>
          <w:tcPr>
            <w:tcW w:w="2115" w:type="pct"/>
            <w:tcBorders>
              <w:top w:val="nil"/>
              <w:bottom w:val="single" w:sz="4" w:space="0" w:color="auto"/>
            </w:tcBorders>
            <w:shd w:val="clear" w:color="auto" w:fill="auto"/>
            <w:noWrap/>
            <w:vAlign w:val="bottom"/>
            <w:hideMark/>
          </w:tcPr>
          <w:p w:rsidR="00B01E02" w:rsidRPr="00D032E2" w:rsidRDefault="00D032E2" w:rsidP="00020C76">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 '''''''''''''''' '''''''''''' ''''''' '''' '''''''''''''''' '''''''''' ''''''' '''' ''''''''''''''</w:t>
            </w:r>
          </w:p>
        </w:tc>
        <w:tc>
          <w:tcPr>
            <w:tcW w:w="1941" w:type="pct"/>
            <w:tcBorders>
              <w:top w:val="nil"/>
              <w:bottom w:val="single" w:sz="4" w:space="0" w:color="auto"/>
            </w:tcBorders>
            <w:shd w:val="clear" w:color="auto" w:fill="auto"/>
            <w:noWrap/>
            <w:vAlign w:val="bottom"/>
            <w:hideMark/>
          </w:tcPr>
          <w:p w:rsidR="00B01E02" w:rsidRPr="00D032E2" w:rsidRDefault="00D032E2" w:rsidP="00020C76">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        '''''''''''''''''''''''''</w:t>
            </w:r>
          </w:p>
        </w:tc>
        <w:tc>
          <w:tcPr>
            <w:tcW w:w="945" w:type="pct"/>
            <w:tcBorders>
              <w:top w:val="nil"/>
              <w:bottom w:val="single" w:sz="4" w:space="0" w:color="auto"/>
            </w:tcBorders>
            <w:shd w:val="clear" w:color="auto" w:fill="auto"/>
            <w:noWrap/>
            <w:vAlign w:val="bottom"/>
            <w:hideMark/>
          </w:tcPr>
          <w:p w:rsidR="00B01E02" w:rsidRPr="00D032E2" w:rsidRDefault="00D032E2" w:rsidP="00020C76">
            <w:pPr>
              <w:jc w:val="center"/>
              <w:rPr>
                <w:rFonts w:ascii="Arial Narrow" w:hAnsi="Arial Narrow" w:cs="Calibri"/>
                <w:color w:val="000000"/>
                <w:sz w:val="20"/>
                <w:szCs w:val="20"/>
                <w:highlight w:val="black"/>
              </w:rPr>
            </w:pPr>
            <w:r>
              <w:rPr>
                <w:rFonts w:ascii="Arial Narrow" w:hAnsi="Arial Narrow" w:cs="Calibri"/>
                <w:noProof/>
                <w:color w:val="000000"/>
                <w:sz w:val="20"/>
                <w:szCs w:val="20"/>
                <w:highlight w:val="black"/>
              </w:rPr>
              <w:t>'''''''''''''''''''''</w:t>
            </w:r>
          </w:p>
        </w:tc>
      </w:tr>
    </w:tbl>
    <w:p w:rsidR="00440601" w:rsidRPr="00492A5A" w:rsidRDefault="00440601" w:rsidP="00492A5A">
      <w:pPr>
        <w:jc w:val="both"/>
        <w:rPr>
          <w:szCs w:val="22"/>
        </w:rPr>
      </w:pPr>
    </w:p>
    <w:p w:rsidR="00BB7EC3" w:rsidRPr="00BB7EC3" w:rsidRDefault="00BB7EC3" w:rsidP="00BB7EC3">
      <w:pPr>
        <w:pStyle w:val="ListParagraph"/>
        <w:ind w:left="709"/>
        <w:jc w:val="both"/>
        <w:rPr>
          <w:rFonts w:ascii="Arial" w:hAnsi="Arial"/>
          <w:i/>
          <w:sz w:val="22"/>
          <w:szCs w:val="22"/>
        </w:rPr>
      </w:pPr>
      <w:r>
        <w:rPr>
          <w:rFonts w:ascii="Arial" w:hAnsi="Arial"/>
          <w:i/>
          <w:sz w:val="22"/>
          <w:szCs w:val="22"/>
        </w:rPr>
        <w:t>For more detail on PBAC’s view, see section 7 “PBAC outcome”</w:t>
      </w:r>
    </w:p>
    <w:p w:rsidR="00F57A6D" w:rsidRDefault="00F57A6D" w:rsidP="00882085">
      <w:pPr>
        <w:ind w:left="720" w:hanging="720"/>
        <w:jc w:val="both"/>
        <w:rPr>
          <w:rFonts w:ascii="Arial" w:hAnsi="Arial"/>
          <w:sz w:val="22"/>
          <w:szCs w:val="22"/>
        </w:rPr>
      </w:pPr>
    </w:p>
    <w:p w:rsidR="005963BB" w:rsidRPr="00186B54" w:rsidRDefault="005963BB" w:rsidP="00882085">
      <w:pPr>
        <w:ind w:left="720" w:hanging="720"/>
        <w:jc w:val="both"/>
        <w:rPr>
          <w:rFonts w:ascii="Arial" w:hAnsi="Arial"/>
          <w:b/>
          <w:sz w:val="22"/>
          <w:szCs w:val="22"/>
        </w:rPr>
      </w:pPr>
      <w:r w:rsidRPr="00186B54">
        <w:rPr>
          <w:rFonts w:ascii="Arial" w:hAnsi="Arial"/>
          <w:b/>
          <w:sz w:val="22"/>
          <w:szCs w:val="22"/>
        </w:rPr>
        <w:t>Drug c</w:t>
      </w:r>
      <w:r w:rsidR="00D86660" w:rsidRPr="00186B54">
        <w:rPr>
          <w:rFonts w:ascii="Arial" w:hAnsi="Arial"/>
          <w:b/>
          <w:sz w:val="22"/>
          <w:szCs w:val="22"/>
        </w:rPr>
        <w:t>ost/patient/</w:t>
      </w:r>
      <w:r w:rsidR="00D86660" w:rsidRPr="00186B54">
        <w:rPr>
          <w:rFonts w:ascii="Arial" w:hAnsi="Arial" w:cs="Arial"/>
          <w:b/>
          <w:sz w:val="22"/>
          <w:szCs w:val="20"/>
          <w:lang w:eastAsia="en-US"/>
        </w:rPr>
        <w:t xml:space="preserve"> course (over 2 years)</w:t>
      </w:r>
    </w:p>
    <w:p w:rsidR="005963BB" w:rsidRDefault="005963BB" w:rsidP="00882085">
      <w:pPr>
        <w:ind w:left="720" w:hanging="720"/>
        <w:jc w:val="both"/>
        <w:rPr>
          <w:rFonts w:ascii="Arial" w:hAnsi="Arial"/>
          <w:sz w:val="22"/>
          <w:szCs w:val="22"/>
        </w:rPr>
      </w:pPr>
    </w:p>
    <w:p w:rsidR="005963BB" w:rsidRPr="005963BB" w:rsidRDefault="0070603B" w:rsidP="00186B54">
      <w:pPr>
        <w:pStyle w:val="ListParagraph"/>
        <w:numPr>
          <w:ilvl w:val="1"/>
          <w:numId w:val="25"/>
        </w:numPr>
        <w:jc w:val="both"/>
        <w:rPr>
          <w:rFonts w:ascii="Arial" w:hAnsi="Arial" w:cs="Arial"/>
          <w:snapToGrid w:val="0"/>
          <w:sz w:val="22"/>
          <w:szCs w:val="22"/>
          <w:lang w:eastAsia="en-US"/>
        </w:rPr>
      </w:pPr>
      <w:r>
        <w:rPr>
          <w:rFonts w:ascii="Arial" w:hAnsi="Arial" w:cs="Arial"/>
          <w:sz w:val="22"/>
          <w:szCs w:val="20"/>
          <w:lang w:eastAsia="en-US"/>
        </w:rPr>
        <w:t>Based</w:t>
      </w:r>
      <w:r w:rsidR="00D86660" w:rsidRPr="006706A8">
        <w:rPr>
          <w:rFonts w:ascii="Arial" w:hAnsi="Arial" w:cs="Arial"/>
          <w:sz w:val="22"/>
          <w:szCs w:val="20"/>
          <w:lang w:eastAsia="en-US"/>
        </w:rPr>
        <w:t xml:space="preserve"> on the proposed ex-manufacturer list price</w:t>
      </w:r>
      <w:r w:rsidR="00D86660">
        <w:rPr>
          <w:rFonts w:ascii="Arial" w:hAnsi="Arial" w:cs="Arial"/>
          <w:sz w:val="22"/>
          <w:szCs w:val="20"/>
          <w:lang w:eastAsia="en-US"/>
        </w:rPr>
        <w:t xml:space="preserve"> and </w:t>
      </w:r>
      <w:r>
        <w:rPr>
          <w:rFonts w:ascii="Arial" w:hAnsi="Arial" w:cs="Arial"/>
          <w:sz w:val="22"/>
          <w:szCs w:val="20"/>
          <w:lang w:eastAsia="en-US"/>
        </w:rPr>
        <w:t xml:space="preserve">revised </w:t>
      </w:r>
      <w:r w:rsidR="00D86660">
        <w:rPr>
          <w:rFonts w:ascii="Arial" w:hAnsi="Arial" w:cs="Arial"/>
          <w:sz w:val="22"/>
          <w:szCs w:val="20"/>
          <w:lang w:eastAsia="en-US"/>
        </w:rPr>
        <w:t>cost-minimisation approach</w:t>
      </w:r>
      <w:r w:rsidR="00D86660" w:rsidRPr="006706A8">
        <w:rPr>
          <w:rFonts w:ascii="Arial" w:hAnsi="Arial" w:cs="Arial"/>
          <w:sz w:val="22"/>
          <w:szCs w:val="20"/>
          <w:lang w:eastAsia="en-US"/>
        </w:rPr>
        <w:t>,</w:t>
      </w:r>
      <w:r>
        <w:rPr>
          <w:rFonts w:ascii="Arial" w:hAnsi="Arial" w:cs="Arial"/>
          <w:sz w:val="22"/>
          <w:szCs w:val="20"/>
          <w:lang w:eastAsia="en-US"/>
        </w:rPr>
        <w:t xml:space="preserve"> alemtuzumab will cost</w:t>
      </w:r>
      <w:r w:rsidRPr="0070603B">
        <w:rPr>
          <w:rFonts w:ascii="Arial" w:hAnsi="Arial" w:cs="Arial"/>
          <w:sz w:val="22"/>
          <w:szCs w:val="20"/>
          <w:lang w:eastAsia="en-US"/>
        </w:rPr>
        <w:t xml:space="preserve"> </w:t>
      </w:r>
      <w:r w:rsidR="00D032E2">
        <w:rPr>
          <w:rFonts w:ascii="Arial" w:hAnsi="Arial" w:cs="Arial"/>
          <w:noProof/>
          <w:color w:val="000000"/>
          <w:sz w:val="22"/>
          <w:szCs w:val="20"/>
          <w:highlight w:val="black"/>
          <w:lang w:eastAsia="en-US"/>
        </w:rPr>
        <w:t>'''''''''''''''''''''''''''''''''''''</w:t>
      </w:r>
      <w:r>
        <w:rPr>
          <w:rFonts w:ascii="Arial" w:hAnsi="Arial" w:cs="Arial"/>
          <w:sz w:val="22"/>
          <w:szCs w:val="20"/>
          <w:lang w:eastAsia="en-US"/>
        </w:rPr>
        <w:t xml:space="preserve"> f</w:t>
      </w:r>
      <w:r w:rsidR="00D86660" w:rsidRPr="006706A8">
        <w:rPr>
          <w:rFonts w:ascii="Arial" w:hAnsi="Arial" w:cs="Arial"/>
          <w:sz w:val="22"/>
          <w:szCs w:val="20"/>
          <w:lang w:eastAsia="en-US"/>
        </w:rPr>
        <w:t>or the standard two courses of therapy (one course per year for two years).</w:t>
      </w:r>
      <w:r>
        <w:rPr>
          <w:rFonts w:ascii="Arial" w:hAnsi="Arial" w:cs="Arial"/>
          <w:sz w:val="22"/>
          <w:szCs w:val="20"/>
          <w:lang w:eastAsia="en-US"/>
        </w:rPr>
        <w:t xml:space="preserve"> A cost of </w:t>
      </w:r>
      <w:r w:rsidR="00D032E2">
        <w:rPr>
          <w:rFonts w:ascii="Arial" w:hAnsi="Arial" w:cs="Arial"/>
          <w:noProof/>
          <w:color w:val="000000"/>
          <w:sz w:val="22"/>
          <w:szCs w:val="20"/>
          <w:highlight w:val="black"/>
          <w:lang w:eastAsia="en-US"/>
        </w:rPr>
        <w:t>''''''''''''''''''''''''</w:t>
      </w:r>
      <w:r>
        <w:rPr>
          <w:rFonts w:ascii="Arial" w:hAnsi="Arial" w:cs="Arial"/>
          <w:sz w:val="22"/>
          <w:szCs w:val="20"/>
          <w:lang w:eastAsia="en-US"/>
        </w:rPr>
        <w:t xml:space="preserve"> was recommended by the PBAC at the July 2014 meeting.  </w:t>
      </w:r>
    </w:p>
    <w:p w:rsidR="005963BB" w:rsidRDefault="005963BB" w:rsidP="00882085">
      <w:pPr>
        <w:ind w:left="720" w:hanging="720"/>
        <w:jc w:val="both"/>
        <w:rPr>
          <w:rFonts w:ascii="Arial" w:hAnsi="Arial"/>
          <w:sz w:val="22"/>
          <w:szCs w:val="22"/>
        </w:rPr>
      </w:pPr>
    </w:p>
    <w:p w:rsidR="005A3173" w:rsidRPr="00186B54" w:rsidRDefault="005A3173" w:rsidP="00882085">
      <w:pPr>
        <w:ind w:left="720" w:hanging="720"/>
        <w:jc w:val="both"/>
        <w:rPr>
          <w:rFonts w:ascii="Arial" w:hAnsi="Arial"/>
          <w:b/>
          <w:sz w:val="22"/>
          <w:szCs w:val="22"/>
        </w:rPr>
      </w:pPr>
      <w:r w:rsidRPr="00186B54">
        <w:rPr>
          <w:rFonts w:ascii="Arial" w:hAnsi="Arial"/>
          <w:b/>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BB7EC3" w:rsidRDefault="00E564A5" w:rsidP="00186B54">
      <w:pPr>
        <w:pStyle w:val="ListParagraph"/>
        <w:numPr>
          <w:ilvl w:val="1"/>
          <w:numId w:val="25"/>
        </w:numPr>
        <w:jc w:val="both"/>
        <w:rPr>
          <w:rFonts w:ascii="Arial" w:hAnsi="Arial"/>
          <w:sz w:val="22"/>
          <w:szCs w:val="22"/>
        </w:rPr>
      </w:pPr>
      <w:r>
        <w:rPr>
          <w:rFonts w:ascii="Arial" w:hAnsi="Arial" w:cs="Arial"/>
          <w:sz w:val="22"/>
          <w:szCs w:val="22"/>
        </w:rPr>
        <w:t>The re-submission provides updated financial estimates based on the proposed effective price for alemtuzumab and the effective prices for natalizumab and fingol</w:t>
      </w:r>
      <w:r w:rsidR="00776FC8">
        <w:rPr>
          <w:rFonts w:ascii="Arial" w:hAnsi="Arial" w:cs="Arial"/>
          <w:sz w:val="22"/>
          <w:szCs w:val="22"/>
        </w:rPr>
        <w:t>imo</w:t>
      </w:r>
      <w:r>
        <w:rPr>
          <w:rFonts w:ascii="Arial" w:hAnsi="Arial" w:cs="Arial"/>
          <w:sz w:val="22"/>
          <w:szCs w:val="22"/>
        </w:rPr>
        <w:t xml:space="preserve">d.  </w:t>
      </w:r>
      <w:r w:rsidR="002D31F5" w:rsidRPr="002D31F5">
        <w:rPr>
          <w:rFonts w:ascii="Arial" w:hAnsi="Arial" w:cs="Arial"/>
          <w:sz w:val="22"/>
          <w:szCs w:val="22"/>
        </w:rPr>
        <w:t xml:space="preserve">Based on these updated calculations, the overall net cost of the listing of alemtuzumab on the PBS is estimated to be approximately </w:t>
      </w:r>
      <w:r w:rsidR="00D032E2">
        <w:rPr>
          <w:rFonts w:ascii="Arial" w:hAnsi="Arial" w:cs="Arial"/>
          <w:noProof/>
          <w:color w:val="000000"/>
          <w:sz w:val="22"/>
          <w:szCs w:val="22"/>
          <w:highlight w:val="black"/>
        </w:rPr>
        <w:t>''''''''''' '''''''''''''''</w:t>
      </w:r>
      <w:r w:rsidR="002D31F5" w:rsidRPr="002D31F5">
        <w:rPr>
          <w:rFonts w:ascii="Arial" w:hAnsi="Arial" w:cs="Arial"/>
          <w:sz w:val="22"/>
          <w:szCs w:val="22"/>
        </w:rPr>
        <w:t xml:space="preserve"> in year one, decreasing to approximately </w:t>
      </w:r>
      <w:r w:rsidR="00D032E2">
        <w:rPr>
          <w:rFonts w:ascii="Arial" w:hAnsi="Arial" w:cs="Arial"/>
          <w:noProof/>
          <w:color w:val="000000"/>
          <w:sz w:val="22"/>
          <w:szCs w:val="22"/>
          <w:highlight w:val="black"/>
        </w:rPr>
        <w:t>'''''''''' ''''''''''''''</w:t>
      </w:r>
      <w:r w:rsidR="002D31F5" w:rsidRPr="002D31F5">
        <w:rPr>
          <w:rFonts w:ascii="Arial" w:hAnsi="Arial" w:cs="Arial"/>
          <w:sz w:val="22"/>
          <w:szCs w:val="22"/>
        </w:rPr>
        <w:t xml:space="preserve"> in year 5</w:t>
      </w:r>
      <w:r w:rsidR="002D31F5">
        <w:rPr>
          <w:rFonts w:ascii="Arial" w:hAnsi="Arial" w:cs="Arial"/>
          <w:sz w:val="22"/>
          <w:szCs w:val="22"/>
        </w:rPr>
        <w:t xml:space="preserve">. </w:t>
      </w:r>
      <w:r w:rsidR="002D31F5" w:rsidRPr="002D31F5">
        <w:rPr>
          <w:rFonts w:ascii="Arial" w:hAnsi="Arial" w:cs="Arial"/>
          <w:sz w:val="22"/>
          <w:szCs w:val="22"/>
        </w:rPr>
        <w:t xml:space="preserve"> </w:t>
      </w:r>
      <w:r>
        <w:rPr>
          <w:rFonts w:ascii="Arial" w:hAnsi="Arial" w:cs="Arial"/>
          <w:sz w:val="22"/>
          <w:szCs w:val="22"/>
        </w:rPr>
        <w:t xml:space="preserve">The updated financial estimates do not appear to have taken account of the potential for patients to require re-treatment beyond the standard two courses. </w:t>
      </w:r>
    </w:p>
    <w:p w:rsidR="00CE10C4" w:rsidRDefault="00CE10C4" w:rsidP="00882085">
      <w:pPr>
        <w:jc w:val="both"/>
        <w:rPr>
          <w:rFonts w:ascii="Arial" w:hAnsi="Arial"/>
          <w:b/>
          <w:sz w:val="22"/>
          <w:szCs w:val="22"/>
        </w:rPr>
      </w:pPr>
    </w:p>
    <w:p w:rsidR="00186B54" w:rsidRPr="00882085" w:rsidRDefault="00186B54" w:rsidP="00882085">
      <w:pPr>
        <w:jc w:val="both"/>
        <w:rPr>
          <w:rFonts w:ascii="Arial" w:hAnsi="Arial"/>
          <w:b/>
          <w:sz w:val="22"/>
          <w:szCs w:val="22"/>
        </w:rPr>
      </w:pPr>
    </w:p>
    <w:p w:rsidR="009067B7" w:rsidRPr="00E2528B" w:rsidRDefault="00A62C1A" w:rsidP="00186B54">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 xml:space="preserve">PBAC </w:t>
      </w:r>
      <w:r w:rsidR="00930937" w:rsidRPr="00882085">
        <w:rPr>
          <w:rFonts w:ascii="Arial" w:hAnsi="Arial"/>
          <w:b/>
          <w:sz w:val="22"/>
          <w:szCs w:val="22"/>
        </w:rPr>
        <w:t>Outcome</w:t>
      </w:r>
    </w:p>
    <w:p w:rsidR="009067B7" w:rsidRPr="00882085" w:rsidRDefault="009067B7" w:rsidP="00882085">
      <w:pPr>
        <w:jc w:val="both"/>
        <w:rPr>
          <w:rFonts w:ascii="Arial" w:hAnsi="Arial"/>
          <w:b/>
          <w:sz w:val="22"/>
          <w:szCs w:val="22"/>
        </w:rPr>
      </w:pPr>
    </w:p>
    <w:p w:rsidR="00BB7EC3" w:rsidRDefault="00022850" w:rsidP="00186B54">
      <w:pPr>
        <w:pStyle w:val="ListParagraph"/>
        <w:numPr>
          <w:ilvl w:val="1"/>
          <w:numId w:val="25"/>
        </w:numPr>
        <w:jc w:val="both"/>
        <w:rPr>
          <w:rFonts w:ascii="Arial" w:hAnsi="Arial"/>
          <w:sz w:val="22"/>
          <w:szCs w:val="22"/>
        </w:rPr>
      </w:pPr>
      <w:r w:rsidRPr="00E442E3">
        <w:rPr>
          <w:rFonts w:ascii="Arial" w:hAnsi="Arial"/>
          <w:sz w:val="22"/>
          <w:szCs w:val="22"/>
        </w:rPr>
        <w:t>The PBAC reiterated its previous recommendation</w:t>
      </w:r>
      <w:r w:rsidR="00204B0D" w:rsidRPr="00E442E3">
        <w:rPr>
          <w:rFonts w:ascii="Arial" w:hAnsi="Arial"/>
          <w:sz w:val="22"/>
          <w:szCs w:val="22"/>
        </w:rPr>
        <w:t xml:space="preserve"> for </w:t>
      </w:r>
      <w:r w:rsidR="00204B0D" w:rsidRPr="00E442E3">
        <w:rPr>
          <w:rFonts w:ascii="Arial" w:hAnsi="Arial" w:cs="Arial"/>
          <w:sz w:val="22"/>
          <w:szCs w:val="22"/>
        </w:rPr>
        <w:t>the Authority Required Section 100 (Highly Specialised Drugs Program) listing of alemtuzumab for the treatment of relapsing-remitting multiple sclerosis</w:t>
      </w:r>
      <w:r w:rsidR="005F7A4B" w:rsidRPr="00E442E3">
        <w:rPr>
          <w:rFonts w:ascii="Arial" w:hAnsi="Arial" w:cs="Arial"/>
          <w:sz w:val="22"/>
          <w:szCs w:val="22"/>
        </w:rPr>
        <w:t>.</w:t>
      </w:r>
      <w:r w:rsidR="00204B0D" w:rsidRPr="00E442E3">
        <w:rPr>
          <w:rFonts w:ascii="Arial" w:hAnsi="Arial"/>
          <w:sz w:val="22"/>
          <w:szCs w:val="22"/>
        </w:rPr>
        <w:t xml:space="preserve"> </w:t>
      </w:r>
      <w:r w:rsidRPr="00E442E3">
        <w:rPr>
          <w:rFonts w:ascii="Arial" w:hAnsi="Arial"/>
          <w:sz w:val="22"/>
          <w:szCs w:val="22"/>
        </w:rPr>
        <w:t xml:space="preserve"> </w:t>
      </w:r>
      <w:r w:rsidR="00204B0D" w:rsidRPr="00E442E3">
        <w:rPr>
          <w:rFonts w:ascii="Arial" w:hAnsi="Arial"/>
          <w:sz w:val="22"/>
          <w:szCs w:val="22"/>
        </w:rPr>
        <w:t xml:space="preserve">The PBAC rejected the </w:t>
      </w:r>
      <w:r w:rsidR="00E442E3" w:rsidRPr="00E442E3">
        <w:rPr>
          <w:rFonts w:ascii="Arial" w:hAnsi="Arial"/>
          <w:sz w:val="22"/>
          <w:szCs w:val="22"/>
        </w:rPr>
        <w:t>re-</w:t>
      </w:r>
      <w:r w:rsidR="00204B0D" w:rsidRPr="00E442E3">
        <w:rPr>
          <w:rFonts w:ascii="Arial" w:hAnsi="Arial"/>
          <w:sz w:val="22"/>
          <w:szCs w:val="22"/>
        </w:rPr>
        <w:t xml:space="preserve">submission to amend the </w:t>
      </w:r>
      <w:r w:rsidR="00E442E3" w:rsidRPr="00E442E3">
        <w:rPr>
          <w:rFonts w:ascii="Arial" w:hAnsi="Arial"/>
          <w:sz w:val="22"/>
          <w:szCs w:val="22"/>
        </w:rPr>
        <w:t xml:space="preserve">basis of the </w:t>
      </w:r>
      <w:r w:rsidR="00204B0D" w:rsidRPr="00E442E3">
        <w:rPr>
          <w:rFonts w:ascii="Arial" w:hAnsi="Arial"/>
          <w:sz w:val="22"/>
          <w:szCs w:val="22"/>
        </w:rPr>
        <w:t>July 2014 PBAC recommendation to list alemtuzumab</w:t>
      </w:r>
      <w:r w:rsidR="00E442E3">
        <w:rPr>
          <w:rFonts w:ascii="Arial" w:hAnsi="Arial"/>
          <w:sz w:val="22"/>
          <w:szCs w:val="22"/>
        </w:rPr>
        <w:t xml:space="preserve">. </w:t>
      </w:r>
    </w:p>
    <w:p w:rsidR="00E442E3" w:rsidRPr="00E442E3" w:rsidRDefault="00E442E3" w:rsidP="00E442E3">
      <w:pPr>
        <w:jc w:val="both"/>
        <w:rPr>
          <w:rFonts w:ascii="Arial" w:hAnsi="Arial"/>
          <w:sz w:val="22"/>
          <w:szCs w:val="22"/>
        </w:rPr>
      </w:pPr>
    </w:p>
    <w:p w:rsidR="00E4299E" w:rsidRDefault="00204B0D" w:rsidP="00186B54">
      <w:pPr>
        <w:pStyle w:val="ListParagraph"/>
        <w:numPr>
          <w:ilvl w:val="1"/>
          <w:numId w:val="25"/>
        </w:numPr>
        <w:jc w:val="both"/>
        <w:rPr>
          <w:rFonts w:ascii="Arial" w:hAnsi="Arial"/>
          <w:sz w:val="22"/>
          <w:szCs w:val="22"/>
        </w:rPr>
      </w:pPr>
      <w:r w:rsidRPr="00E4299E">
        <w:rPr>
          <w:rFonts w:ascii="Arial" w:hAnsi="Arial"/>
          <w:sz w:val="22"/>
          <w:szCs w:val="22"/>
        </w:rPr>
        <w:t xml:space="preserve">The PBAC noted that no new </w:t>
      </w:r>
      <w:r w:rsidR="00F52F23" w:rsidRPr="00E4299E">
        <w:rPr>
          <w:rFonts w:ascii="Arial" w:hAnsi="Arial"/>
          <w:sz w:val="22"/>
          <w:szCs w:val="22"/>
        </w:rPr>
        <w:t>information was provided about the clinical place of alemtuzumab and recalled that the committee recognised that there may be a clinical need for the drug in patients with high disease activity but considered that this clinical place was uncertain.  The PBAC noted the consumer comments submitted with this submission</w:t>
      </w:r>
      <w:r w:rsidR="00E4299E">
        <w:rPr>
          <w:rFonts w:ascii="Arial" w:hAnsi="Arial"/>
          <w:sz w:val="22"/>
          <w:szCs w:val="22"/>
        </w:rPr>
        <w:t>.</w:t>
      </w:r>
    </w:p>
    <w:p w:rsidR="00F52F23" w:rsidRPr="00E4299E" w:rsidRDefault="00F52F23" w:rsidP="00E4299E">
      <w:pPr>
        <w:jc w:val="both"/>
        <w:rPr>
          <w:rFonts w:ascii="Arial" w:hAnsi="Arial"/>
          <w:sz w:val="22"/>
          <w:szCs w:val="22"/>
        </w:rPr>
      </w:pPr>
      <w:r w:rsidRPr="00E4299E">
        <w:rPr>
          <w:rFonts w:ascii="Arial" w:hAnsi="Arial"/>
          <w:sz w:val="22"/>
          <w:szCs w:val="22"/>
        </w:rPr>
        <w:t xml:space="preserve"> </w:t>
      </w:r>
    </w:p>
    <w:p w:rsidR="00BB7EC3" w:rsidRDefault="00204B0D" w:rsidP="00186B54">
      <w:pPr>
        <w:pStyle w:val="ListParagraph"/>
        <w:numPr>
          <w:ilvl w:val="1"/>
          <w:numId w:val="25"/>
        </w:numPr>
        <w:jc w:val="both"/>
        <w:rPr>
          <w:rFonts w:ascii="Arial" w:hAnsi="Arial"/>
          <w:sz w:val="22"/>
          <w:szCs w:val="22"/>
        </w:rPr>
      </w:pPr>
      <w:r w:rsidRPr="00F52F23">
        <w:rPr>
          <w:rFonts w:ascii="Arial" w:hAnsi="Arial"/>
          <w:sz w:val="22"/>
          <w:szCs w:val="22"/>
        </w:rPr>
        <w:t xml:space="preserve">The PBAC noted that the re-submission nominated the previously accepted fingolimod and natalizumab as the main comparators. </w:t>
      </w:r>
    </w:p>
    <w:p w:rsidR="001024A4" w:rsidRPr="001024A4" w:rsidRDefault="001024A4" w:rsidP="001024A4">
      <w:pPr>
        <w:pStyle w:val="ListParagraph"/>
        <w:rPr>
          <w:rFonts w:ascii="Arial" w:hAnsi="Arial"/>
          <w:sz w:val="22"/>
          <w:szCs w:val="22"/>
        </w:rPr>
      </w:pPr>
    </w:p>
    <w:p w:rsidR="00A31B9D" w:rsidRDefault="001024A4" w:rsidP="00186B54">
      <w:pPr>
        <w:pStyle w:val="ListParagraph"/>
        <w:numPr>
          <w:ilvl w:val="1"/>
          <w:numId w:val="25"/>
        </w:numPr>
        <w:jc w:val="both"/>
        <w:rPr>
          <w:rFonts w:ascii="Arial" w:hAnsi="Arial"/>
          <w:sz w:val="22"/>
          <w:szCs w:val="22"/>
        </w:rPr>
      </w:pPr>
      <w:r>
        <w:rPr>
          <w:rFonts w:ascii="Arial" w:hAnsi="Arial"/>
          <w:sz w:val="22"/>
          <w:szCs w:val="22"/>
        </w:rPr>
        <w:t xml:space="preserve">The PBAC noted that </w:t>
      </w:r>
      <w:r w:rsidRPr="001024A4">
        <w:rPr>
          <w:rFonts w:ascii="Arial" w:hAnsi="Arial"/>
          <w:sz w:val="22"/>
          <w:szCs w:val="22"/>
        </w:rPr>
        <w:t>no new data</w:t>
      </w:r>
      <w:r>
        <w:rPr>
          <w:rFonts w:ascii="Arial" w:hAnsi="Arial"/>
          <w:sz w:val="22"/>
          <w:szCs w:val="22"/>
        </w:rPr>
        <w:t xml:space="preserve"> was presented in the submission </w:t>
      </w:r>
      <w:r w:rsidRPr="001024A4">
        <w:rPr>
          <w:rFonts w:ascii="Arial" w:hAnsi="Arial"/>
          <w:sz w:val="22"/>
          <w:szCs w:val="22"/>
        </w:rPr>
        <w:t xml:space="preserve">to justify revising the </w:t>
      </w:r>
      <w:r>
        <w:rPr>
          <w:rFonts w:ascii="Arial" w:hAnsi="Arial"/>
          <w:sz w:val="22"/>
          <w:szCs w:val="22"/>
        </w:rPr>
        <w:t xml:space="preserve">dosing durability compared to the comparators. </w:t>
      </w:r>
      <w:r w:rsidR="00CA1042">
        <w:rPr>
          <w:rFonts w:ascii="Arial" w:hAnsi="Arial"/>
          <w:sz w:val="22"/>
          <w:szCs w:val="22"/>
        </w:rPr>
        <w:t xml:space="preserve">The resubmission relied on the same trials </w:t>
      </w:r>
      <w:r w:rsidR="00913A4F">
        <w:rPr>
          <w:rFonts w:ascii="Arial" w:hAnsi="Arial"/>
          <w:sz w:val="22"/>
          <w:szCs w:val="22"/>
        </w:rPr>
        <w:t>as presented in the July 2014 submission, namely CARE-MSI, CARE-</w:t>
      </w:r>
      <w:r w:rsidR="00913A4F">
        <w:rPr>
          <w:rFonts w:ascii="Arial" w:hAnsi="Arial"/>
          <w:sz w:val="22"/>
          <w:szCs w:val="22"/>
        </w:rPr>
        <w:lastRenderedPageBreak/>
        <w:t xml:space="preserve">MSII and </w:t>
      </w:r>
      <w:r w:rsidR="00913A4F" w:rsidRPr="00897695">
        <w:rPr>
          <w:rFonts w:ascii="Arial" w:hAnsi="Arial"/>
          <w:sz w:val="22"/>
          <w:szCs w:val="22"/>
        </w:rPr>
        <w:t>the extensio</w:t>
      </w:r>
      <w:r w:rsidR="00913A4F">
        <w:rPr>
          <w:rFonts w:ascii="Arial" w:hAnsi="Arial"/>
          <w:sz w:val="22"/>
          <w:szCs w:val="22"/>
        </w:rPr>
        <w:t xml:space="preserve">n study, CAMMS03409. </w:t>
      </w:r>
      <w:r w:rsidR="00A31B9D">
        <w:rPr>
          <w:rFonts w:ascii="Arial" w:hAnsi="Arial"/>
          <w:sz w:val="22"/>
          <w:szCs w:val="22"/>
        </w:rPr>
        <w:t xml:space="preserve">The </w:t>
      </w:r>
      <w:r w:rsidR="00897695" w:rsidRPr="00A31B9D">
        <w:rPr>
          <w:rFonts w:ascii="Arial" w:hAnsi="Arial"/>
          <w:sz w:val="22"/>
          <w:szCs w:val="22"/>
        </w:rPr>
        <w:t xml:space="preserve">PBAC recalled its concern regarding a high </w:t>
      </w:r>
      <w:r w:rsidR="00A31B9D">
        <w:rPr>
          <w:rFonts w:ascii="Arial" w:hAnsi="Arial"/>
          <w:sz w:val="22"/>
          <w:szCs w:val="22"/>
        </w:rPr>
        <w:t>risk of bias</w:t>
      </w:r>
      <w:r w:rsidR="00897695" w:rsidRPr="00A31B9D">
        <w:rPr>
          <w:rFonts w:ascii="Arial" w:hAnsi="Arial"/>
          <w:sz w:val="22"/>
          <w:szCs w:val="22"/>
        </w:rPr>
        <w:t xml:space="preserve"> in the pivotal trials.</w:t>
      </w:r>
    </w:p>
    <w:p w:rsidR="00A31B9D" w:rsidRPr="00A31B9D" w:rsidRDefault="00A31B9D" w:rsidP="00A31B9D">
      <w:pPr>
        <w:pStyle w:val="ListParagraph"/>
        <w:rPr>
          <w:rFonts w:ascii="Arial" w:hAnsi="Arial"/>
          <w:sz w:val="22"/>
          <w:szCs w:val="22"/>
        </w:rPr>
      </w:pPr>
    </w:p>
    <w:p w:rsidR="009866A4" w:rsidRDefault="00A31B9D" w:rsidP="00186B54">
      <w:pPr>
        <w:pStyle w:val="ListParagraph"/>
        <w:numPr>
          <w:ilvl w:val="1"/>
          <w:numId w:val="25"/>
        </w:numPr>
        <w:jc w:val="both"/>
        <w:rPr>
          <w:rFonts w:ascii="Arial" w:hAnsi="Arial"/>
          <w:sz w:val="22"/>
          <w:szCs w:val="22"/>
        </w:rPr>
      </w:pPr>
      <w:r w:rsidRPr="009866A4">
        <w:rPr>
          <w:rFonts w:ascii="Arial" w:hAnsi="Arial"/>
          <w:sz w:val="22"/>
          <w:szCs w:val="22"/>
        </w:rPr>
        <w:t>The PBAC reiterated</w:t>
      </w:r>
      <w:r w:rsidR="00897695" w:rsidRPr="009866A4">
        <w:rPr>
          <w:rFonts w:ascii="Arial" w:hAnsi="Arial"/>
          <w:sz w:val="22"/>
          <w:szCs w:val="22"/>
        </w:rPr>
        <w:t xml:space="preserve"> </w:t>
      </w:r>
      <w:r w:rsidR="00F52FC3">
        <w:rPr>
          <w:rFonts w:ascii="Arial" w:hAnsi="Arial"/>
          <w:sz w:val="22"/>
          <w:szCs w:val="22"/>
        </w:rPr>
        <w:t xml:space="preserve">its </w:t>
      </w:r>
      <w:r w:rsidR="00475DA2">
        <w:rPr>
          <w:rFonts w:ascii="Arial" w:hAnsi="Arial"/>
          <w:sz w:val="22"/>
          <w:szCs w:val="22"/>
        </w:rPr>
        <w:t xml:space="preserve">view from July 2014 </w:t>
      </w:r>
      <w:r w:rsidR="00F52FC3">
        <w:rPr>
          <w:rFonts w:ascii="Arial" w:hAnsi="Arial"/>
          <w:sz w:val="22"/>
          <w:szCs w:val="22"/>
        </w:rPr>
        <w:t>of</w:t>
      </w:r>
      <w:r w:rsidR="00897695" w:rsidRPr="009866A4">
        <w:rPr>
          <w:rFonts w:ascii="Arial" w:hAnsi="Arial"/>
          <w:sz w:val="22"/>
          <w:szCs w:val="22"/>
        </w:rPr>
        <w:t xml:space="preserve"> substantial concern</w:t>
      </w:r>
      <w:r w:rsidR="00F52FC3">
        <w:rPr>
          <w:rFonts w:ascii="Arial" w:hAnsi="Arial"/>
          <w:sz w:val="22"/>
          <w:szCs w:val="22"/>
        </w:rPr>
        <w:t xml:space="preserve"> regarding u</w:t>
      </w:r>
      <w:r w:rsidR="00897695" w:rsidRPr="009866A4">
        <w:rPr>
          <w:rFonts w:ascii="Arial" w:hAnsi="Arial"/>
          <w:sz w:val="22"/>
          <w:szCs w:val="22"/>
        </w:rPr>
        <w:t>s</w:t>
      </w:r>
      <w:r w:rsidR="00F52FC3">
        <w:rPr>
          <w:rFonts w:ascii="Arial" w:hAnsi="Arial"/>
          <w:sz w:val="22"/>
          <w:szCs w:val="22"/>
        </w:rPr>
        <w:t xml:space="preserve">e of </w:t>
      </w:r>
      <w:r w:rsidRPr="009866A4">
        <w:rPr>
          <w:rFonts w:ascii="Arial" w:hAnsi="Arial"/>
          <w:sz w:val="22"/>
          <w:szCs w:val="22"/>
        </w:rPr>
        <w:t xml:space="preserve">the </w:t>
      </w:r>
      <w:r w:rsidR="00897695" w:rsidRPr="009866A4">
        <w:rPr>
          <w:rFonts w:ascii="Arial" w:hAnsi="Arial"/>
          <w:sz w:val="22"/>
          <w:szCs w:val="22"/>
        </w:rPr>
        <w:t xml:space="preserve">extension study (CAMMS03409) </w:t>
      </w:r>
      <w:r w:rsidR="00F52FC3">
        <w:rPr>
          <w:rFonts w:ascii="Arial" w:hAnsi="Arial"/>
          <w:sz w:val="22"/>
          <w:szCs w:val="22"/>
        </w:rPr>
        <w:t xml:space="preserve">to </w:t>
      </w:r>
      <w:r w:rsidR="00E4299E">
        <w:rPr>
          <w:rFonts w:ascii="Arial" w:hAnsi="Arial"/>
          <w:sz w:val="22"/>
          <w:szCs w:val="22"/>
        </w:rPr>
        <w:t>establish</w:t>
      </w:r>
      <w:r w:rsidR="00E4299E" w:rsidRPr="009866A4">
        <w:rPr>
          <w:rFonts w:ascii="Arial" w:hAnsi="Arial"/>
          <w:sz w:val="22"/>
          <w:szCs w:val="22"/>
        </w:rPr>
        <w:t xml:space="preserve"> </w:t>
      </w:r>
      <w:r w:rsidR="009866A4" w:rsidRPr="009866A4">
        <w:rPr>
          <w:rFonts w:ascii="Arial" w:hAnsi="Arial"/>
          <w:sz w:val="22"/>
          <w:szCs w:val="22"/>
        </w:rPr>
        <w:t xml:space="preserve">the durability of the effect of alemtuzumab. </w:t>
      </w:r>
      <w:r w:rsidR="00897695" w:rsidRPr="009866A4">
        <w:rPr>
          <w:rFonts w:ascii="Arial" w:hAnsi="Arial"/>
          <w:sz w:val="22"/>
          <w:szCs w:val="22"/>
        </w:rPr>
        <w:t xml:space="preserve">  </w:t>
      </w:r>
      <w:r w:rsidR="009866A4" w:rsidRPr="009866A4">
        <w:rPr>
          <w:rFonts w:ascii="Arial" w:hAnsi="Arial"/>
          <w:sz w:val="22"/>
          <w:szCs w:val="22"/>
        </w:rPr>
        <w:t>Final results are likely to be subject to many of the same limitations as the preliminary data: re-treatment rates do not account for patients switching to other therapies and patients lost to follow-up; waning of effects before re-treatment are not accounted for; it is unclear whether the re-treatment criteria used in the CARE MS extension studies are likely to be representative of clinical practice.</w:t>
      </w:r>
    </w:p>
    <w:p w:rsidR="00B83580" w:rsidRPr="00B83580" w:rsidRDefault="00B83580" w:rsidP="00B83580">
      <w:pPr>
        <w:jc w:val="both"/>
        <w:rPr>
          <w:rFonts w:ascii="Arial" w:hAnsi="Arial"/>
          <w:sz w:val="22"/>
          <w:szCs w:val="22"/>
        </w:rPr>
      </w:pPr>
    </w:p>
    <w:p w:rsidR="00271DD8" w:rsidRPr="00B83580" w:rsidRDefault="00271DD8" w:rsidP="00186B54">
      <w:pPr>
        <w:pStyle w:val="ListParagraph"/>
        <w:numPr>
          <w:ilvl w:val="1"/>
          <w:numId w:val="25"/>
        </w:numPr>
        <w:jc w:val="both"/>
        <w:rPr>
          <w:rFonts w:ascii="Arial" w:hAnsi="Arial"/>
          <w:sz w:val="22"/>
          <w:szCs w:val="22"/>
        </w:rPr>
      </w:pPr>
      <w:r w:rsidRPr="00B83580">
        <w:rPr>
          <w:rFonts w:ascii="Arial" w:hAnsi="Arial"/>
          <w:sz w:val="22"/>
          <w:szCs w:val="22"/>
        </w:rPr>
        <w:t xml:space="preserve">The PBAC recalled that </w:t>
      </w:r>
      <w:r w:rsidR="005F7A4B" w:rsidRPr="00B83580">
        <w:rPr>
          <w:rFonts w:ascii="Arial" w:hAnsi="Arial"/>
          <w:sz w:val="22"/>
          <w:szCs w:val="22"/>
        </w:rPr>
        <w:t xml:space="preserve">it </w:t>
      </w:r>
      <w:r w:rsidRPr="00B83580">
        <w:rPr>
          <w:rFonts w:ascii="Arial" w:hAnsi="Arial"/>
          <w:sz w:val="22"/>
          <w:szCs w:val="22"/>
        </w:rPr>
        <w:t xml:space="preserve">considered that the proportion of patients remaining relapse-free may provide an informative basis for assessing durability of effect and as well as proportions of patents being re-treated if the necessary links between individual patients could be adequately demonstrated. The Committee </w:t>
      </w:r>
      <w:r w:rsidR="00F52FC3" w:rsidRPr="00B83580">
        <w:rPr>
          <w:rFonts w:ascii="Arial" w:hAnsi="Arial"/>
          <w:sz w:val="22"/>
          <w:szCs w:val="22"/>
        </w:rPr>
        <w:t xml:space="preserve">again </w:t>
      </w:r>
      <w:r w:rsidRPr="00B83580">
        <w:rPr>
          <w:rFonts w:ascii="Arial" w:hAnsi="Arial"/>
          <w:sz w:val="22"/>
          <w:szCs w:val="22"/>
        </w:rPr>
        <w:t xml:space="preserve">considered Table B.27 of the July 2014 submission and associated text confirming that only 15% of the total extension study population were relapse free at the end of Year 3.  The Committee </w:t>
      </w:r>
      <w:r w:rsidR="00F52FC3" w:rsidRPr="00B83580">
        <w:rPr>
          <w:rFonts w:ascii="Arial" w:hAnsi="Arial"/>
          <w:sz w:val="22"/>
          <w:szCs w:val="22"/>
        </w:rPr>
        <w:t xml:space="preserve">again </w:t>
      </w:r>
      <w:r w:rsidRPr="00B83580">
        <w:rPr>
          <w:rFonts w:ascii="Arial" w:hAnsi="Arial"/>
          <w:sz w:val="22"/>
          <w:szCs w:val="22"/>
        </w:rPr>
        <w:t xml:space="preserve">noted that these data appeared to be inconsistent with the trial data, and </w:t>
      </w:r>
      <w:r w:rsidR="00F52FC3" w:rsidRPr="00B83580">
        <w:rPr>
          <w:rFonts w:ascii="Arial" w:hAnsi="Arial"/>
          <w:sz w:val="22"/>
          <w:szCs w:val="22"/>
        </w:rPr>
        <w:t>was again concerned</w:t>
      </w:r>
      <w:r w:rsidR="00B83580">
        <w:rPr>
          <w:rFonts w:ascii="Arial" w:hAnsi="Arial"/>
          <w:sz w:val="22"/>
          <w:szCs w:val="22"/>
        </w:rPr>
        <w:t xml:space="preserve"> </w:t>
      </w:r>
      <w:r w:rsidR="00B83580" w:rsidRPr="00B83580">
        <w:rPr>
          <w:rFonts w:ascii="Arial" w:hAnsi="Arial"/>
          <w:sz w:val="22"/>
          <w:szCs w:val="22"/>
        </w:rPr>
        <w:t>that the presentation of the data in this way may in fact be erroneous.</w:t>
      </w:r>
      <w:r w:rsidR="00806EEA">
        <w:rPr>
          <w:rFonts w:ascii="Arial" w:hAnsi="Arial"/>
          <w:sz w:val="22"/>
          <w:szCs w:val="22"/>
        </w:rPr>
        <w:t xml:space="preserve"> </w:t>
      </w:r>
      <w:r w:rsidR="00E2528B" w:rsidRPr="00B83580">
        <w:rPr>
          <w:rFonts w:ascii="Arial" w:hAnsi="Arial"/>
          <w:sz w:val="22"/>
          <w:szCs w:val="22"/>
        </w:rPr>
        <w:t xml:space="preserve">The PBAC noted that the submission did not address this issue. </w:t>
      </w:r>
    </w:p>
    <w:p w:rsidR="00271DD8" w:rsidRPr="00271DD8" w:rsidRDefault="00271DD8" w:rsidP="00271DD8">
      <w:pPr>
        <w:jc w:val="both"/>
        <w:rPr>
          <w:rFonts w:ascii="Arial" w:hAnsi="Arial"/>
          <w:sz w:val="22"/>
          <w:szCs w:val="22"/>
        </w:rPr>
      </w:pPr>
    </w:p>
    <w:p w:rsidR="00BB7EC3" w:rsidRDefault="00440601" w:rsidP="00186B54">
      <w:pPr>
        <w:pStyle w:val="ListParagraph"/>
        <w:numPr>
          <w:ilvl w:val="1"/>
          <w:numId w:val="25"/>
        </w:numPr>
        <w:jc w:val="both"/>
        <w:rPr>
          <w:rFonts w:ascii="Arial" w:hAnsi="Arial"/>
          <w:sz w:val="22"/>
          <w:szCs w:val="22"/>
        </w:rPr>
      </w:pPr>
      <w:r>
        <w:rPr>
          <w:rFonts w:ascii="Arial" w:hAnsi="Arial"/>
          <w:sz w:val="22"/>
          <w:szCs w:val="22"/>
        </w:rPr>
        <w:t xml:space="preserve">The PBAC </w:t>
      </w:r>
      <w:r w:rsidR="006504A1">
        <w:rPr>
          <w:rFonts w:ascii="Arial" w:hAnsi="Arial"/>
          <w:sz w:val="22"/>
          <w:szCs w:val="22"/>
        </w:rPr>
        <w:t>noted the</w:t>
      </w:r>
      <w:r>
        <w:rPr>
          <w:rFonts w:ascii="Arial" w:hAnsi="Arial"/>
          <w:sz w:val="22"/>
          <w:szCs w:val="22"/>
        </w:rPr>
        <w:t xml:space="preserve"> </w:t>
      </w:r>
      <w:r w:rsidR="006504A1">
        <w:rPr>
          <w:rFonts w:ascii="Arial" w:hAnsi="Arial"/>
          <w:sz w:val="22"/>
          <w:szCs w:val="22"/>
        </w:rPr>
        <w:t>s</w:t>
      </w:r>
      <w:r w:rsidRPr="00440601">
        <w:rPr>
          <w:rFonts w:ascii="Arial" w:hAnsi="Arial"/>
          <w:sz w:val="22"/>
          <w:szCs w:val="22"/>
        </w:rPr>
        <w:t>ponsor-funded Lemtrada safety monitoring program</w:t>
      </w:r>
      <w:r w:rsidR="00BB7EC3" w:rsidRPr="00882085">
        <w:rPr>
          <w:rFonts w:ascii="Arial" w:hAnsi="Arial"/>
          <w:sz w:val="22"/>
          <w:szCs w:val="22"/>
        </w:rPr>
        <w:t>.</w:t>
      </w:r>
    </w:p>
    <w:p w:rsidR="00BB7EC3" w:rsidRPr="00BB7EC3" w:rsidRDefault="00BB7EC3" w:rsidP="00BB7EC3">
      <w:pPr>
        <w:pStyle w:val="ListParagraph"/>
        <w:rPr>
          <w:rFonts w:ascii="Arial" w:hAnsi="Arial"/>
          <w:sz w:val="22"/>
          <w:szCs w:val="22"/>
        </w:rPr>
      </w:pPr>
    </w:p>
    <w:p w:rsidR="006217A3" w:rsidRDefault="006217A3" w:rsidP="00186B54">
      <w:pPr>
        <w:pStyle w:val="ListParagraph"/>
        <w:numPr>
          <w:ilvl w:val="1"/>
          <w:numId w:val="25"/>
        </w:numPr>
        <w:jc w:val="both"/>
        <w:rPr>
          <w:rFonts w:ascii="Arial" w:hAnsi="Arial"/>
          <w:sz w:val="22"/>
          <w:szCs w:val="22"/>
        </w:rPr>
      </w:pPr>
      <w:r w:rsidRPr="00022850">
        <w:rPr>
          <w:rFonts w:ascii="Arial" w:hAnsi="Arial"/>
          <w:sz w:val="22"/>
          <w:szCs w:val="22"/>
        </w:rPr>
        <w:t xml:space="preserve">The PBAC </w:t>
      </w:r>
      <w:r>
        <w:rPr>
          <w:rFonts w:ascii="Arial" w:hAnsi="Arial"/>
          <w:sz w:val="22"/>
          <w:szCs w:val="22"/>
        </w:rPr>
        <w:t>recalled</w:t>
      </w:r>
      <w:r w:rsidRPr="00022850">
        <w:rPr>
          <w:rFonts w:ascii="Arial" w:hAnsi="Arial"/>
          <w:sz w:val="22"/>
          <w:szCs w:val="22"/>
        </w:rPr>
        <w:t xml:space="preserve"> that </w:t>
      </w:r>
      <w:r w:rsidR="005F7A4B">
        <w:rPr>
          <w:rFonts w:ascii="Arial" w:hAnsi="Arial"/>
          <w:sz w:val="22"/>
          <w:szCs w:val="22"/>
        </w:rPr>
        <w:t xml:space="preserve">it had considered that </w:t>
      </w:r>
      <w:r w:rsidRPr="00022850">
        <w:rPr>
          <w:rFonts w:ascii="Arial" w:hAnsi="Arial"/>
          <w:sz w:val="22"/>
          <w:szCs w:val="22"/>
        </w:rPr>
        <w:t>a modelled cost-utility analysis may be an alternate way to value alemtuzumab to better account for the differences in the risk/benefit profile (both short-term and long-term) between treatments.</w:t>
      </w:r>
    </w:p>
    <w:p w:rsidR="00DD120E" w:rsidRPr="00DD120E" w:rsidRDefault="00DD120E" w:rsidP="00DD120E">
      <w:pPr>
        <w:pStyle w:val="ListParagraph"/>
        <w:rPr>
          <w:rFonts w:ascii="Arial" w:hAnsi="Arial"/>
          <w:sz w:val="22"/>
          <w:szCs w:val="22"/>
        </w:rPr>
      </w:pPr>
    </w:p>
    <w:p w:rsidR="00BB7EC3" w:rsidRDefault="00DD120E" w:rsidP="00186B54">
      <w:pPr>
        <w:pStyle w:val="ListParagraph"/>
        <w:numPr>
          <w:ilvl w:val="1"/>
          <w:numId w:val="25"/>
        </w:numPr>
        <w:jc w:val="both"/>
        <w:rPr>
          <w:rFonts w:ascii="Arial" w:hAnsi="Arial"/>
          <w:sz w:val="22"/>
          <w:szCs w:val="22"/>
        </w:rPr>
      </w:pPr>
      <w:r w:rsidRPr="00DD120E">
        <w:rPr>
          <w:rFonts w:ascii="Arial" w:hAnsi="Arial"/>
          <w:sz w:val="22"/>
          <w:szCs w:val="22"/>
        </w:rPr>
        <w:t xml:space="preserve">The PBAC </w:t>
      </w:r>
      <w:r>
        <w:rPr>
          <w:rFonts w:ascii="Arial" w:hAnsi="Arial"/>
          <w:sz w:val="22"/>
          <w:szCs w:val="22"/>
        </w:rPr>
        <w:t xml:space="preserve">again </w:t>
      </w:r>
      <w:r w:rsidRPr="00DD120E">
        <w:rPr>
          <w:rFonts w:ascii="Arial" w:hAnsi="Arial"/>
          <w:sz w:val="22"/>
          <w:szCs w:val="22"/>
        </w:rPr>
        <w:t>noted that, although based on a cost-minimisation approach, the submission estimate</w:t>
      </w:r>
      <w:r w:rsidR="00E2528B">
        <w:rPr>
          <w:rFonts w:ascii="Arial" w:hAnsi="Arial"/>
          <w:sz w:val="22"/>
          <w:szCs w:val="22"/>
        </w:rPr>
        <w:t>d</w:t>
      </w:r>
      <w:r w:rsidRPr="00DD120E">
        <w:rPr>
          <w:rFonts w:ascii="Arial" w:hAnsi="Arial"/>
          <w:sz w:val="22"/>
          <w:szCs w:val="22"/>
        </w:rPr>
        <w:t xml:space="preserve"> a net cost to the PBS</w:t>
      </w:r>
      <w:r>
        <w:rPr>
          <w:rFonts w:ascii="Arial" w:hAnsi="Arial"/>
          <w:sz w:val="22"/>
          <w:szCs w:val="22"/>
        </w:rPr>
        <w:t xml:space="preserve">, though lower than the net cost estimated in the previous submission. </w:t>
      </w:r>
    </w:p>
    <w:p w:rsidR="00DD120E" w:rsidRPr="00DD120E" w:rsidRDefault="00DD120E" w:rsidP="00DD120E">
      <w:pPr>
        <w:jc w:val="both"/>
        <w:rPr>
          <w:rFonts w:ascii="Arial" w:hAnsi="Arial"/>
          <w:sz w:val="22"/>
          <w:szCs w:val="22"/>
        </w:rPr>
      </w:pPr>
    </w:p>
    <w:p w:rsidR="00BB7EC3" w:rsidRPr="002E023D" w:rsidRDefault="00BB7EC3" w:rsidP="00186B54">
      <w:pPr>
        <w:pStyle w:val="ListParagraph"/>
        <w:numPr>
          <w:ilvl w:val="1"/>
          <w:numId w:val="25"/>
        </w:numPr>
        <w:jc w:val="both"/>
        <w:rPr>
          <w:rFonts w:ascii="Arial" w:hAnsi="Arial"/>
          <w:sz w:val="22"/>
          <w:szCs w:val="22"/>
        </w:rPr>
      </w:pPr>
      <w:r w:rsidRPr="002E023D">
        <w:rPr>
          <w:rFonts w:ascii="Arial" w:hAnsi="Arial"/>
          <w:sz w:val="22"/>
          <w:szCs w:val="22"/>
        </w:rPr>
        <w:t xml:space="preserve">The PBAC </w:t>
      </w:r>
      <w:r w:rsidR="004B3209">
        <w:rPr>
          <w:rFonts w:ascii="Arial" w:hAnsi="Arial"/>
          <w:sz w:val="22"/>
          <w:szCs w:val="22"/>
        </w:rPr>
        <w:t xml:space="preserve">did not recommend any changes to the </w:t>
      </w:r>
      <w:r w:rsidR="00FC30EF">
        <w:rPr>
          <w:rFonts w:ascii="Arial" w:hAnsi="Arial"/>
          <w:sz w:val="22"/>
          <w:szCs w:val="22"/>
        </w:rPr>
        <w:t xml:space="preserve">listing </w:t>
      </w:r>
      <w:r w:rsidR="00FC30EF" w:rsidRPr="002E023D">
        <w:rPr>
          <w:rFonts w:ascii="Arial" w:hAnsi="Arial"/>
          <w:sz w:val="22"/>
          <w:szCs w:val="22"/>
        </w:rPr>
        <w:t>recommended</w:t>
      </w:r>
      <w:r w:rsidR="004B3209">
        <w:rPr>
          <w:rFonts w:ascii="Arial" w:hAnsi="Arial"/>
          <w:sz w:val="22"/>
          <w:szCs w:val="22"/>
        </w:rPr>
        <w:t xml:space="preserve"> at the July 2014 meeting. </w:t>
      </w:r>
    </w:p>
    <w:p w:rsidR="00BB7EC3" w:rsidRPr="002E023D" w:rsidRDefault="00BB7EC3" w:rsidP="00BB7EC3">
      <w:pPr>
        <w:pStyle w:val="ListParagraph"/>
        <w:rPr>
          <w:rFonts w:ascii="Arial" w:hAnsi="Arial"/>
          <w:sz w:val="22"/>
          <w:szCs w:val="22"/>
        </w:rPr>
      </w:pPr>
    </w:p>
    <w:p w:rsidR="00DC6E97" w:rsidRPr="002E023D" w:rsidRDefault="00BB7EC3" w:rsidP="00186B54">
      <w:pPr>
        <w:pStyle w:val="ListParagraph"/>
        <w:numPr>
          <w:ilvl w:val="1"/>
          <w:numId w:val="25"/>
        </w:numPr>
        <w:jc w:val="both"/>
        <w:rPr>
          <w:rFonts w:ascii="Arial" w:hAnsi="Arial"/>
          <w:sz w:val="22"/>
          <w:szCs w:val="22"/>
        </w:rPr>
      </w:pPr>
      <w:r w:rsidRPr="002E023D">
        <w:rPr>
          <w:rFonts w:ascii="Arial" w:hAnsi="Arial"/>
          <w:sz w:val="22"/>
          <w:szCs w:val="22"/>
        </w:rPr>
        <w:t>The PBA</w:t>
      </w:r>
      <w:r w:rsidR="00DC6E97" w:rsidRPr="002E023D">
        <w:rPr>
          <w:rFonts w:ascii="Arial" w:hAnsi="Arial"/>
          <w:sz w:val="22"/>
          <w:szCs w:val="22"/>
        </w:rPr>
        <w:t xml:space="preserve">C noted that this submission </w:t>
      </w:r>
      <w:r w:rsidRPr="002E023D">
        <w:rPr>
          <w:rFonts w:ascii="Arial" w:hAnsi="Arial"/>
          <w:sz w:val="22"/>
          <w:szCs w:val="22"/>
        </w:rPr>
        <w:t xml:space="preserve">is not </w:t>
      </w:r>
      <w:r w:rsidR="00B43E90" w:rsidRPr="002E023D">
        <w:rPr>
          <w:rFonts w:ascii="Arial" w:hAnsi="Arial"/>
          <w:sz w:val="22"/>
          <w:szCs w:val="22"/>
        </w:rPr>
        <w:t>eligibl</w:t>
      </w:r>
      <w:r w:rsidRPr="002E023D">
        <w:rPr>
          <w:rFonts w:ascii="Arial" w:hAnsi="Arial"/>
          <w:sz w:val="22"/>
          <w:szCs w:val="22"/>
        </w:rPr>
        <w:t>e</w:t>
      </w:r>
      <w:r w:rsidR="00B43E90" w:rsidRPr="002E023D">
        <w:rPr>
          <w:rFonts w:ascii="Arial" w:hAnsi="Arial"/>
          <w:sz w:val="22"/>
          <w:szCs w:val="22"/>
        </w:rPr>
        <w:t xml:space="preserve"> for </w:t>
      </w:r>
      <w:r w:rsidRPr="002E023D">
        <w:rPr>
          <w:rFonts w:ascii="Arial" w:hAnsi="Arial"/>
          <w:sz w:val="22"/>
          <w:szCs w:val="22"/>
        </w:rPr>
        <w:t xml:space="preserve">an </w:t>
      </w:r>
      <w:r w:rsidR="00B43E90" w:rsidRPr="002E023D">
        <w:rPr>
          <w:rFonts w:ascii="Arial" w:hAnsi="Arial"/>
          <w:sz w:val="22"/>
          <w:szCs w:val="22"/>
        </w:rPr>
        <w:t>Independent Review</w:t>
      </w:r>
      <w:r w:rsidR="00FC30EF">
        <w:rPr>
          <w:rFonts w:ascii="Arial" w:hAnsi="Arial"/>
          <w:sz w:val="22"/>
          <w:szCs w:val="22"/>
        </w:rPr>
        <w:t xml:space="preserve">. </w:t>
      </w:r>
    </w:p>
    <w:p w:rsidR="00DC6E97" w:rsidRDefault="00DC6E97" w:rsidP="00DC6E97">
      <w:pPr>
        <w:pStyle w:val="ListParagraph"/>
        <w:rPr>
          <w:rFonts w:ascii="Arial" w:hAnsi="Arial"/>
          <w:b/>
          <w:sz w:val="22"/>
          <w:szCs w:val="22"/>
        </w:rPr>
      </w:pPr>
    </w:p>
    <w:p w:rsidR="00B66750" w:rsidRPr="00DC6E97" w:rsidRDefault="00B66750" w:rsidP="00DC6E97">
      <w:pPr>
        <w:pStyle w:val="ListParagraph"/>
        <w:rPr>
          <w:rFonts w:ascii="Arial" w:hAnsi="Arial"/>
          <w:b/>
          <w:sz w:val="22"/>
          <w:szCs w:val="22"/>
        </w:rPr>
      </w:pPr>
    </w:p>
    <w:p w:rsidR="009C703C" w:rsidRPr="00DC6E97" w:rsidRDefault="009C703C" w:rsidP="00DC6E97">
      <w:pPr>
        <w:jc w:val="both"/>
        <w:rPr>
          <w:rFonts w:ascii="Arial" w:hAnsi="Arial"/>
          <w:b/>
          <w:sz w:val="22"/>
          <w:szCs w:val="22"/>
        </w:rPr>
      </w:pPr>
      <w:r w:rsidRPr="00DC6E97">
        <w:rPr>
          <w:rFonts w:ascii="Arial" w:hAnsi="Arial"/>
          <w:b/>
          <w:sz w:val="22"/>
          <w:szCs w:val="22"/>
        </w:rPr>
        <w:t>Outcome:</w:t>
      </w:r>
    </w:p>
    <w:p w:rsidR="00BB7EC3" w:rsidRDefault="009C703C" w:rsidP="00882085">
      <w:pPr>
        <w:jc w:val="both"/>
        <w:rPr>
          <w:rFonts w:ascii="Arial" w:hAnsi="Arial"/>
          <w:sz w:val="22"/>
          <w:szCs w:val="22"/>
        </w:rPr>
      </w:pPr>
      <w:r w:rsidRPr="00882085">
        <w:rPr>
          <w:rFonts w:ascii="Arial" w:hAnsi="Arial"/>
          <w:sz w:val="22"/>
          <w:szCs w:val="22"/>
        </w:rPr>
        <w:t xml:space="preserve">Rejected </w:t>
      </w:r>
    </w:p>
    <w:p w:rsidR="003B37E8" w:rsidRDefault="003B37E8" w:rsidP="00882085">
      <w:pPr>
        <w:jc w:val="both"/>
        <w:rPr>
          <w:rFonts w:ascii="Arial" w:hAnsi="Arial"/>
          <w:sz w:val="22"/>
          <w:szCs w:val="22"/>
        </w:rPr>
      </w:pPr>
    </w:p>
    <w:p w:rsidR="00186B54" w:rsidRDefault="00186B54" w:rsidP="00882085">
      <w:pPr>
        <w:jc w:val="both"/>
        <w:rPr>
          <w:rFonts w:ascii="Arial" w:hAnsi="Arial"/>
          <w:sz w:val="22"/>
          <w:szCs w:val="22"/>
        </w:rPr>
      </w:pPr>
    </w:p>
    <w:p w:rsidR="00622EDD" w:rsidRDefault="00622EDD" w:rsidP="00622EDD">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622EDD" w:rsidRPr="00D4420F" w:rsidRDefault="00622EDD" w:rsidP="00622EDD">
      <w:pPr>
        <w:pStyle w:val="ListParagraph"/>
        <w:jc w:val="both"/>
        <w:rPr>
          <w:rFonts w:ascii="Arial" w:hAnsi="Arial" w:cs="Arial"/>
          <w:b/>
          <w:sz w:val="22"/>
        </w:rPr>
      </w:pPr>
    </w:p>
    <w:p w:rsidR="00622EDD" w:rsidRPr="00D4420F" w:rsidRDefault="00622EDD" w:rsidP="00622EDD">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22EDD" w:rsidRDefault="00622EDD" w:rsidP="00622EDD">
      <w:pPr>
        <w:jc w:val="both"/>
        <w:rPr>
          <w:rFonts w:ascii="Arial" w:hAnsi="Arial" w:cs="Arial"/>
          <w:sz w:val="22"/>
        </w:rPr>
      </w:pPr>
    </w:p>
    <w:p w:rsidR="00A2242C" w:rsidRPr="00D4420F" w:rsidRDefault="00A2242C" w:rsidP="00622EDD">
      <w:pPr>
        <w:jc w:val="both"/>
        <w:rPr>
          <w:rFonts w:ascii="Arial" w:hAnsi="Arial" w:cs="Arial"/>
          <w:sz w:val="22"/>
        </w:rPr>
      </w:pPr>
    </w:p>
    <w:p w:rsidR="00622EDD" w:rsidRDefault="00622EDD" w:rsidP="00622EDD">
      <w:pPr>
        <w:pStyle w:val="ListParagraph"/>
        <w:numPr>
          <w:ilvl w:val="0"/>
          <w:numId w:val="25"/>
        </w:numPr>
        <w:jc w:val="both"/>
        <w:rPr>
          <w:rFonts w:ascii="Arial" w:hAnsi="Arial" w:cs="Arial"/>
          <w:b/>
          <w:sz w:val="22"/>
        </w:rPr>
      </w:pPr>
      <w:r w:rsidRPr="00D4420F">
        <w:rPr>
          <w:rFonts w:ascii="Arial" w:hAnsi="Arial" w:cs="Arial"/>
          <w:b/>
          <w:sz w:val="22"/>
        </w:rPr>
        <w:t>Sponsor’s Comment</w:t>
      </w:r>
    </w:p>
    <w:p w:rsidR="00622EDD" w:rsidRDefault="00622EDD" w:rsidP="00A2242C">
      <w:pPr>
        <w:ind w:left="720"/>
        <w:jc w:val="both"/>
        <w:rPr>
          <w:rFonts w:ascii="Arial" w:hAnsi="Arial"/>
          <w:sz w:val="22"/>
          <w:szCs w:val="22"/>
        </w:rPr>
      </w:pPr>
    </w:p>
    <w:p w:rsidR="00A2242C" w:rsidRPr="00622EDD" w:rsidRDefault="00805DB7" w:rsidP="00805DB7">
      <w:pPr>
        <w:ind w:left="720"/>
        <w:jc w:val="both"/>
        <w:rPr>
          <w:rFonts w:ascii="Arial" w:hAnsi="Arial"/>
          <w:sz w:val="22"/>
          <w:szCs w:val="22"/>
        </w:rPr>
      </w:pPr>
      <w:r w:rsidRPr="00805DB7">
        <w:rPr>
          <w:rFonts w:ascii="Arial" w:hAnsi="Arial"/>
          <w:sz w:val="22"/>
          <w:szCs w:val="22"/>
        </w:rPr>
        <w:t>Genzyme (a Sanofi company) remains committed to working with the Department towards achieving the PBS listing of Lemtrada for patients with relapsing-remitting multiple sclerosis.</w:t>
      </w:r>
    </w:p>
    <w:sectPr w:rsidR="00A2242C" w:rsidRPr="00622EDD" w:rsidSect="00134F47">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2E2" w:rsidRDefault="00D032E2">
      <w:r>
        <w:separator/>
      </w:r>
    </w:p>
  </w:endnote>
  <w:endnote w:type="continuationSeparator" w:id="0">
    <w:p w:rsidR="00D032E2" w:rsidRDefault="00D0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1779865664"/>
      <w:docPartObj>
        <w:docPartGallery w:val="Page Numbers (Bottom of Page)"/>
        <w:docPartUnique/>
      </w:docPartObj>
    </w:sdtPr>
    <w:sdtEndPr>
      <w:rPr>
        <w:rFonts w:ascii="Arial" w:hAnsi="Arial" w:cs="Arial"/>
        <w:noProof/>
        <w:sz w:val="22"/>
        <w:szCs w:val="20"/>
      </w:rPr>
    </w:sdtEndPr>
    <w:sdtContent>
      <w:p w:rsidR="00A2242C" w:rsidRDefault="00A2242C">
        <w:pPr>
          <w:pStyle w:val="Footer"/>
          <w:jc w:val="center"/>
          <w:rPr>
            <w:sz w:val="28"/>
          </w:rPr>
        </w:pPr>
      </w:p>
      <w:p w:rsidR="00651169" w:rsidRPr="00186B54" w:rsidRDefault="00651169">
        <w:pPr>
          <w:pStyle w:val="Footer"/>
          <w:jc w:val="center"/>
          <w:rPr>
            <w:rFonts w:ascii="Arial" w:hAnsi="Arial" w:cs="Arial"/>
            <w:sz w:val="22"/>
            <w:szCs w:val="20"/>
          </w:rPr>
        </w:pPr>
        <w:r w:rsidRPr="00186B54">
          <w:rPr>
            <w:rFonts w:ascii="Arial" w:hAnsi="Arial" w:cs="Arial"/>
            <w:sz w:val="22"/>
            <w:szCs w:val="20"/>
          </w:rPr>
          <w:fldChar w:fldCharType="begin"/>
        </w:r>
        <w:r w:rsidRPr="00186B54">
          <w:rPr>
            <w:rFonts w:ascii="Arial" w:hAnsi="Arial" w:cs="Arial"/>
            <w:sz w:val="22"/>
            <w:szCs w:val="20"/>
          </w:rPr>
          <w:instrText xml:space="preserve"> PAGE   \* MERGEFORMAT </w:instrText>
        </w:r>
        <w:r w:rsidRPr="00186B54">
          <w:rPr>
            <w:rFonts w:ascii="Arial" w:hAnsi="Arial" w:cs="Arial"/>
            <w:sz w:val="22"/>
            <w:szCs w:val="20"/>
          </w:rPr>
          <w:fldChar w:fldCharType="separate"/>
        </w:r>
        <w:r w:rsidR="00D032E2">
          <w:rPr>
            <w:rFonts w:ascii="Arial" w:hAnsi="Arial" w:cs="Arial"/>
            <w:noProof/>
            <w:sz w:val="22"/>
            <w:szCs w:val="20"/>
          </w:rPr>
          <w:t>8</w:t>
        </w:r>
        <w:r w:rsidRPr="00186B54">
          <w:rPr>
            <w:rFonts w:ascii="Arial" w:hAnsi="Arial" w:cs="Arial"/>
            <w:noProof/>
            <w:sz w:val="22"/>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2E2" w:rsidRDefault="00D032E2">
      <w:r>
        <w:separator/>
      </w:r>
    </w:p>
  </w:footnote>
  <w:footnote w:type="continuationSeparator" w:id="0">
    <w:p w:rsidR="00D032E2" w:rsidRDefault="00D03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C7" w:rsidRDefault="00F945CB" w:rsidP="009602C5">
    <w:pPr>
      <w:pStyle w:val="Header"/>
      <w:jc w:val="center"/>
      <w:rPr>
        <w:rFonts w:ascii="Arial" w:hAnsi="Arial" w:cs="Arial"/>
        <w:i/>
        <w:color w:val="808080"/>
        <w:sz w:val="22"/>
      </w:rPr>
    </w:pPr>
    <w:r>
      <w:rPr>
        <w:rFonts w:ascii="Arial" w:hAnsi="Arial" w:cs="Arial"/>
        <w:i/>
        <w:color w:val="808080"/>
        <w:sz w:val="22"/>
      </w:rPr>
      <w:t>Public Summary Document</w:t>
    </w:r>
    <w:r w:rsidR="006D6EC7" w:rsidRPr="00DF217D">
      <w:rPr>
        <w:rFonts w:ascii="Arial" w:hAnsi="Arial" w:cs="Arial"/>
        <w:i/>
        <w:color w:val="808080"/>
        <w:sz w:val="22"/>
      </w:rPr>
      <w:t xml:space="preserve"> – </w:t>
    </w:r>
    <w:r w:rsidR="000B5313">
      <w:rPr>
        <w:rFonts w:ascii="Arial" w:hAnsi="Arial" w:cs="Arial"/>
        <w:i/>
        <w:color w:val="808080"/>
        <w:sz w:val="22"/>
      </w:rPr>
      <w:t>November</w:t>
    </w:r>
    <w:r w:rsidR="006D6EC7">
      <w:rPr>
        <w:rFonts w:ascii="Arial" w:hAnsi="Arial" w:cs="Arial"/>
        <w:i/>
        <w:color w:val="808080"/>
        <w:sz w:val="22"/>
      </w:rPr>
      <w:t xml:space="preserve"> 2014 </w:t>
    </w:r>
    <w:r w:rsidR="006D6EC7" w:rsidRPr="00DF217D">
      <w:rPr>
        <w:rFonts w:ascii="Arial" w:hAnsi="Arial" w:cs="Arial"/>
        <w:i/>
        <w:color w:val="808080"/>
        <w:sz w:val="22"/>
      </w:rPr>
      <w:t>PBAC</w:t>
    </w:r>
    <w:r w:rsidR="006D6EC7">
      <w:rPr>
        <w:rFonts w:ascii="Arial" w:hAnsi="Arial" w:cs="Arial"/>
        <w:i/>
        <w:color w:val="808080"/>
        <w:sz w:val="22"/>
      </w:rPr>
      <w:t xml:space="preserve"> </w:t>
    </w:r>
    <w:r w:rsidR="006D6EC7" w:rsidRPr="00DF217D">
      <w:rPr>
        <w:rFonts w:ascii="Arial" w:hAnsi="Arial" w:cs="Arial"/>
        <w:i/>
        <w:color w:val="808080"/>
        <w:sz w:val="22"/>
      </w:rPr>
      <w:t>Meeting</w:t>
    </w:r>
  </w:p>
  <w:p w:rsidR="00134F47" w:rsidRPr="00DF217D" w:rsidRDefault="00134F47" w:rsidP="009602C5">
    <w:pPr>
      <w:pStyle w:val="Header"/>
      <w:jc w:val="center"/>
      <w:rPr>
        <w:rFonts w:ascii="Arial" w:hAnsi="Arial" w:cs="Arial"/>
        <w:i/>
        <w:color w:val="80808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26D15B36"/>
    <w:multiLevelType w:val="hybridMultilevel"/>
    <w:tmpl w:val="B3C2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9">
    <w:nsid w:val="444E26D8"/>
    <w:multiLevelType w:val="multilevel"/>
    <w:tmpl w:val="840C2B72"/>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48D1E83"/>
    <w:multiLevelType w:val="hybridMultilevel"/>
    <w:tmpl w:val="24543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2">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51545E6"/>
    <w:multiLevelType w:val="multilevel"/>
    <w:tmpl w:val="840C2B72"/>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4">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6">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9">
    <w:nsid w:val="784D033C"/>
    <w:multiLevelType w:val="multilevel"/>
    <w:tmpl w:val="2C564704"/>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5"/>
  </w:num>
  <w:num w:numId="3">
    <w:abstractNumId w:val="21"/>
  </w:num>
  <w:num w:numId="4">
    <w:abstractNumId w:val="0"/>
  </w:num>
  <w:num w:numId="5">
    <w:abstractNumId w:val="5"/>
  </w:num>
  <w:num w:numId="6">
    <w:abstractNumId w:val="18"/>
  </w:num>
  <w:num w:numId="7">
    <w:abstractNumId w:val="16"/>
  </w:num>
  <w:num w:numId="8">
    <w:abstractNumId w:val="4"/>
  </w:num>
  <w:num w:numId="9">
    <w:abstractNumId w:val="7"/>
  </w:num>
  <w:num w:numId="10">
    <w:abstractNumId w:val="33"/>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36"/>
  </w:num>
  <w:num w:numId="15">
    <w:abstractNumId w:val="29"/>
  </w:num>
  <w:num w:numId="16">
    <w:abstractNumId w:val="24"/>
  </w:num>
  <w:num w:numId="17">
    <w:abstractNumId w:val="38"/>
  </w:num>
  <w:num w:numId="18">
    <w:abstractNumId w:val="12"/>
  </w:num>
  <w:num w:numId="19">
    <w:abstractNumId w:val="17"/>
  </w:num>
  <w:num w:numId="20">
    <w:abstractNumId w:val="2"/>
  </w:num>
  <w:num w:numId="21">
    <w:abstractNumId w:val="32"/>
  </w:num>
  <w:num w:numId="22">
    <w:abstractNumId w:val="34"/>
  </w:num>
  <w:num w:numId="23">
    <w:abstractNumId w:val="40"/>
  </w:num>
  <w:num w:numId="24">
    <w:abstractNumId w:val="15"/>
  </w:num>
  <w:num w:numId="25">
    <w:abstractNumId w:val="39"/>
  </w:num>
  <w:num w:numId="26">
    <w:abstractNumId w:val="30"/>
  </w:num>
  <w:num w:numId="27">
    <w:abstractNumId w:val="11"/>
  </w:num>
  <w:num w:numId="28">
    <w:abstractNumId w:val="6"/>
  </w:num>
  <w:num w:numId="29">
    <w:abstractNumId w:val="26"/>
  </w:num>
  <w:num w:numId="30">
    <w:abstractNumId w:val="1"/>
  </w:num>
  <w:num w:numId="31">
    <w:abstractNumId w:val="27"/>
  </w:num>
  <w:num w:numId="32">
    <w:abstractNumId w:val="37"/>
  </w:num>
  <w:num w:numId="33">
    <w:abstractNumId w:val="25"/>
  </w:num>
  <w:num w:numId="34">
    <w:abstractNumId w:val="41"/>
  </w:num>
  <w:num w:numId="35">
    <w:abstractNumId w:val="10"/>
  </w:num>
  <w:num w:numId="36">
    <w:abstractNumId w:val="23"/>
  </w:num>
  <w:num w:numId="37">
    <w:abstractNumId w:val="31"/>
  </w:num>
  <w:num w:numId="38">
    <w:abstractNumId w:val="28"/>
  </w:num>
  <w:num w:numId="39">
    <w:abstractNumId w:val="19"/>
  </w:num>
  <w:num w:numId="40">
    <w:abstractNumId w:val="14"/>
  </w:num>
  <w:num w:numId="41">
    <w:abstractNumId w:val="8"/>
  </w:num>
  <w:num w:numId="42">
    <w:abstractNumId w:val="3"/>
  </w:num>
  <w:num w:numId="43">
    <w:abstractNumId w:val="1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6F3"/>
    <w:rsid w:val="00020555"/>
    <w:rsid w:val="00022850"/>
    <w:rsid w:val="0002464A"/>
    <w:rsid w:val="0003106B"/>
    <w:rsid w:val="000402A7"/>
    <w:rsid w:val="000421A1"/>
    <w:rsid w:val="0004240E"/>
    <w:rsid w:val="000443A5"/>
    <w:rsid w:val="00045E26"/>
    <w:rsid w:val="00047707"/>
    <w:rsid w:val="000514B5"/>
    <w:rsid w:val="00060E64"/>
    <w:rsid w:val="00066755"/>
    <w:rsid w:val="000802DF"/>
    <w:rsid w:val="000969AD"/>
    <w:rsid w:val="000B5313"/>
    <w:rsid w:val="000B558D"/>
    <w:rsid w:val="000C6996"/>
    <w:rsid w:val="000D23BA"/>
    <w:rsid w:val="000D3F52"/>
    <w:rsid w:val="000E681E"/>
    <w:rsid w:val="000F4E6A"/>
    <w:rsid w:val="001024A4"/>
    <w:rsid w:val="001107BF"/>
    <w:rsid w:val="0012417C"/>
    <w:rsid w:val="00134F47"/>
    <w:rsid w:val="00142395"/>
    <w:rsid w:val="00142714"/>
    <w:rsid w:val="00143D08"/>
    <w:rsid w:val="001452ED"/>
    <w:rsid w:val="001830CE"/>
    <w:rsid w:val="00186B54"/>
    <w:rsid w:val="00196307"/>
    <w:rsid w:val="001B017F"/>
    <w:rsid w:val="001B5129"/>
    <w:rsid w:val="001C1195"/>
    <w:rsid w:val="001C15F3"/>
    <w:rsid w:val="001D0655"/>
    <w:rsid w:val="001F3464"/>
    <w:rsid w:val="00204B0D"/>
    <w:rsid w:val="00213CFB"/>
    <w:rsid w:val="00266C7F"/>
    <w:rsid w:val="00271BA1"/>
    <w:rsid w:val="00271DD8"/>
    <w:rsid w:val="00277505"/>
    <w:rsid w:val="0029458F"/>
    <w:rsid w:val="002A104C"/>
    <w:rsid w:val="002A4960"/>
    <w:rsid w:val="002B1AE6"/>
    <w:rsid w:val="002B30F8"/>
    <w:rsid w:val="002B7C47"/>
    <w:rsid w:val="002C212F"/>
    <w:rsid w:val="002D31F5"/>
    <w:rsid w:val="002D63B2"/>
    <w:rsid w:val="002E023D"/>
    <w:rsid w:val="002E72CA"/>
    <w:rsid w:val="002F1685"/>
    <w:rsid w:val="002F63EB"/>
    <w:rsid w:val="00326E79"/>
    <w:rsid w:val="003367EF"/>
    <w:rsid w:val="00341AE4"/>
    <w:rsid w:val="003A5B4A"/>
    <w:rsid w:val="003B23C5"/>
    <w:rsid w:val="003B2A75"/>
    <w:rsid w:val="003B37E8"/>
    <w:rsid w:val="003C53E0"/>
    <w:rsid w:val="003D4AC4"/>
    <w:rsid w:val="003D63B7"/>
    <w:rsid w:val="003E468B"/>
    <w:rsid w:val="003F5C8C"/>
    <w:rsid w:val="0042305E"/>
    <w:rsid w:val="00440601"/>
    <w:rsid w:val="004465BD"/>
    <w:rsid w:val="00466ADA"/>
    <w:rsid w:val="00473B87"/>
    <w:rsid w:val="00475DA2"/>
    <w:rsid w:val="00485940"/>
    <w:rsid w:val="00492A5A"/>
    <w:rsid w:val="004935A5"/>
    <w:rsid w:val="004B3209"/>
    <w:rsid w:val="004B5640"/>
    <w:rsid w:val="004B70BE"/>
    <w:rsid w:val="004C1BD7"/>
    <w:rsid w:val="004C691D"/>
    <w:rsid w:val="004E692D"/>
    <w:rsid w:val="00514CD7"/>
    <w:rsid w:val="00530182"/>
    <w:rsid w:val="00534E2E"/>
    <w:rsid w:val="00544552"/>
    <w:rsid w:val="00581539"/>
    <w:rsid w:val="00581932"/>
    <w:rsid w:val="005963BB"/>
    <w:rsid w:val="005A3173"/>
    <w:rsid w:val="005A3223"/>
    <w:rsid w:val="005A3DA3"/>
    <w:rsid w:val="005A52C4"/>
    <w:rsid w:val="005D03AB"/>
    <w:rsid w:val="005D5017"/>
    <w:rsid w:val="005D5DE9"/>
    <w:rsid w:val="005F7A4B"/>
    <w:rsid w:val="00601A91"/>
    <w:rsid w:val="00602BA3"/>
    <w:rsid w:val="00602C70"/>
    <w:rsid w:val="00614159"/>
    <w:rsid w:val="00617C00"/>
    <w:rsid w:val="006217A3"/>
    <w:rsid w:val="00622EDD"/>
    <w:rsid w:val="006263BF"/>
    <w:rsid w:val="00630A2C"/>
    <w:rsid w:val="006504A1"/>
    <w:rsid w:val="00651169"/>
    <w:rsid w:val="00653D69"/>
    <w:rsid w:val="00670A76"/>
    <w:rsid w:val="006711AA"/>
    <w:rsid w:val="00675622"/>
    <w:rsid w:val="006906DB"/>
    <w:rsid w:val="006A12A5"/>
    <w:rsid w:val="006B0D94"/>
    <w:rsid w:val="006B485D"/>
    <w:rsid w:val="006C708E"/>
    <w:rsid w:val="006D6EC7"/>
    <w:rsid w:val="006F5125"/>
    <w:rsid w:val="0070603B"/>
    <w:rsid w:val="007174BB"/>
    <w:rsid w:val="00745128"/>
    <w:rsid w:val="00761EF6"/>
    <w:rsid w:val="007753C2"/>
    <w:rsid w:val="00776FC8"/>
    <w:rsid w:val="007838B8"/>
    <w:rsid w:val="0079586C"/>
    <w:rsid w:val="007C0F57"/>
    <w:rsid w:val="007C40B6"/>
    <w:rsid w:val="007C729F"/>
    <w:rsid w:val="007E1D28"/>
    <w:rsid w:val="007E643D"/>
    <w:rsid w:val="007F2641"/>
    <w:rsid w:val="007F7C36"/>
    <w:rsid w:val="00805DB7"/>
    <w:rsid w:val="00806796"/>
    <w:rsid w:val="00806EEA"/>
    <w:rsid w:val="00826EBF"/>
    <w:rsid w:val="00856DDD"/>
    <w:rsid w:val="00863E68"/>
    <w:rsid w:val="00882085"/>
    <w:rsid w:val="00883188"/>
    <w:rsid w:val="00897695"/>
    <w:rsid w:val="00897D58"/>
    <w:rsid w:val="008A3857"/>
    <w:rsid w:val="008A4937"/>
    <w:rsid w:val="008A4945"/>
    <w:rsid w:val="008D3C82"/>
    <w:rsid w:val="008D447E"/>
    <w:rsid w:val="008D58C6"/>
    <w:rsid w:val="008E3680"/>
    <w:rsid w:val="008E5870"/>
    <w:rsid w:val="008E6D34"/>
    <w:rsid w:val="008F1434"/>
    <w:rsid w:val="008F7355"/>
    <w:rsid w:val="009067B7"/>
    <w:rsid w:val="00913A4F"/>
    <w:rsid w:val="00930937"/>
    <w:rsid w:val="00933E6C"/>
    <w:rsid w:val="00942160"/>
    <w:rsid w:val="009602C5"/>
    <w:rsid w:val="00974C21"/>
    <w:rsid w:val="009866A4"/>
    <w:rsid w:val="00996164"/>
    <w:rsid w:val="009B1D4B"/>
    <w:rsid w:val="009B7B0A"/>
    <w:rsid w:val="009C703C"/>
    <w:rsid w:val="009D3CAA"/>
    <w:rsid w:val="009F5B65"/>
    <w:rsid w:val="009F5F2E"/>
    <w:rsid w:val="00A06225"/>
    <w:rsid w:val="00A2242C"/>
    <w:rsid w:val="00A22E30"/>
    <w:rsid w:val="00A31B9D"/>
    <w:rsid w:val="00A32BDC"/>
    <w:rsid w:val="00A37C8D"/>
    <w:rsid w:val="00A5273B"/>
    <w:rsid w:val="00A53A9D"/>
    <w:rsid w:val="00A62C1A"/>
    <w:rsid w:val="00A6426D"/>
    <w:rsid w:val="00A70622"/>
    <w:rsid w:val="00A70977"/>
    <w:rsid w:val="00A8390C"/>
    <w:rsid w:val="00A97B36"/>
    <w:rsid w:val="00AA4D1C"/>
    <w:rsid w:val="00AC5206"/>
    <w:rsid w:val="00AE11A5"/>
    <w:rsid w:val="00AF68CC"/>
    <w:rsid w:val="00B01234"/>
    <w:rsid w:val="00B01E02"/>
    <w:rsid w:val="00B205AA"/>
    <w:rsid w:val="00B25F75"/>
    <w:rsid w:val="00B343F1"/>
    <w:rsid w:val="00B43E90"/>
    <w:rsid w:val="00B56118"/>
    <w:rsid w:val="00B62461"/>
    <w:rsid w:val="00B66750"/>
    <w:rsid w:val="00B6773F"/>
    <w:rsid w:val="00B83580"/>
    <w:rsid w:val="00BB69F5"/>
    <w:rsid w:val="00BB7EC3"/>
    <w:rsid w:val="00BC4B9A"/>
    <w:rsid w:val="00BD1C89"/>
    <w:rsid w:val="00BD53D0"/>
    <w:rsid w:val="00BD784C"/>
    <w:rsid w:val="00BE1748"/>
    <w:rsid w:val="00BF4CB6"/>
    <w:rsid w:val="00C05063"/>
    <w:rsid w:val="00C12768"/>
    <w:rsid w:val="00C35996"/>
    <w:rsid w:val="00C5342C"/>
    <w:rsid w:val="00C6256A"/>
    <w:rsid w:val="00C91449"/>
    <w:rsid w:val="00C92D10"/>
    <w:rsid w:val="00CA1042"/>
    <w:rsid w:val="00CB583A"/>
    <w:rsid w:val="00CD1CBF"/>
    <w:rsid w:val="00CE10C4"/>
    <w:rsid w:val="00CE27B5"/>
    <w:rsid w:val="00D0321E"/>
    <w:rsid w:val="00D032E2"/>
    <w:rsid w:val="00D3280C"/>
    <w:rsid w:val="00D3406A"/>
    <w:rsid w:val="00D469B2"/>
    <w:rsid w:val="00D741EB"/>
    <w:rsid w:val="00D86660"/>
    <w:rsid w:val="00D91271"/>
    <w:rsid w:val="00DA4BAC"/>
    <w:rsid w:val="00DC6E97"/>
    <w:rsid w:val="00DD120E"/>
    <w:rsid w:val="00DE6D27"/>
    <w:rsid w:val="00DF217D"/>
    <w:rsid w:val="00DF26A7"/>
    <w:rsid w:val="00E1242C"/>
    <w:rsid w:val="00E164B3"/>
    <w:rsid w:val="00E16910"/>
    <w:rsid w:val="00E17AE6"/>
    <w:rsid w:val="00E2528B"/>
    <w:rsid w:val="00E31B0D"/>
    <w:rsid w:val="00E34645"/>
    <w:rsid w:val="00E4299E"/>
    <w:rsid w:val="00E442E3"/>
    <w:rsid w:val="00E564A5"/>
    <w:rsid w:val="00E65E54"/>
    <w:rsid w:val="00E80155"/>
    <w:rsid w:val="00E848C0"/>
    <w:rsid w:val="00E91B96"/>
    <w:rsid w:val="00E941A1"/>
    <w:rsid w:val="00E94F16"/>
    <w:rsid w:val="00E95CE3"/>
    <w:rsid w:val="00EA2825"/>
    <w:rsid w:val="00EB4D7D"/>
    <w:rsid w:val="00EB5088"/>
    <w:rsid w:val="00ED1644"/>
    <w:rsid w:val="00ED6658"/>
    <w:rsid w:val="00EF7108"/>
    <w:rsid w:val="00F050BD"/>
    <w:rsid w:val="00F05657"/>
    <w:rsid w:val="00F20CE5"/>
    <w:rsid w:val="00F25578"/>
    <w:rsid w:val="00F258E5"/>
    <w:rsid w:val="00F300BC"/>
    <w:rsid w:val="00F3334E"/>
    <w:rsid w:val="00F508F4"/>
    <w:rsid w:val="00F50EC4"/>
    <w:rsid w:val="00F52F23"/>
    <w:rsid w:val="00F52FC3"/>
    <w:rsid w:val="00F57A6D"/>
    <w:rsid w:val="00F638CC"/>
    <w:rsid w:val="00F70064"/>
    <w:rsid w:val="00F8247A"/>
    <w:rsid w:val="00F945CB"/>
    <w:rsid w:val="00FA5883"/>
    <w:rsid w:val="00FA6055"/>
    <w:rsid w:val="00FB322F"/>
    <w:rsid w:val="00FB442F"/>
    <w:rsid w:val="00FC1929"/>
    <w:rsid w:val="00FC30EF"/>
    <w:rsid w:val="00FC5B46"/>
    <w:rsid w:val="00FE00D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ListBullet">
    <w:name w:val="List Bullet"/>
    <w:basedOn w:val="Normal"/>
    <w:autoRedefine/>
    <w:rsid w:val="00F70064"/>
    <w:rPr>
      <w:rFonts w:ascii="Arial" w:hAnsi="Arial" w:cs="Arial"/>
      <w:snapToGrid w:val="0"/>
      <w:sz w:val="20"/>
      <w:szCs w:val="20"/>
      <w:lang w:eastAsia="en-US"/>
    </w:rPr>
  </w:style>
  <w:style w:type="character" w:styleId="Hyperlink">
    <w:name w:val="Hyperlink"/>
    <w:rsid w:val="00F70064"/>
    <w:rPr>
      <w:color w:val="0000FF"/>
      <w:u w:val="single"/>
    </w:rPr>
  </w:style>
  <w:style w:type="paragraph" w:styleId="NormalWeb">
    <w:name w:val="Normal (Web)"/>
    <w:basedOn w:val="Normal"/>
    <w:uiPriority w:val="99"/>
    <w:unhideWhenUsed/>
    <w:rsid w:val="00F70064"/>
    <w:pPr>
      <w:spacing w:before="100" w:beforeAutospacing="1" w:after="100" w:afterAutospacing="1"/>
    </w:pPr>
  </w:style>
  <w:style w:type="character" w:customStyle="1" w:styleId="ListParagraphChar">
    <w:name w:val="List Paragraph Char"/>
    <w:link w:val="ListParagraph"/>
    <w:uiPriority w:val="72"/>
    <w:rsid w:val="00F700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ListBullet">
    <w:name w:val="List Bullet"/>
    <w:basedOn w:val="Normal"/>
    <w:autoRedefine/>
    <w:rsid w:val="00F70064"/>
    <w:rPr>
      <w:rFonts w:ascii="Arial" w:hAnsi="Arial" w:cs="Arial"/>
      <w:snapToGrid w:val="0"/>
      <w:sz w:val="20"/>
      <w:szCs w:val="20"/>
      <w:lang w:eastAsia="en-US"/>
    </w:rPr>
  </w:style>
  <w:style w:type="character" w:styleId="Hyperlink">
    <w:name w:val="Hyperlink"/>
    <w:rsid w:val="00F70064"/>
    <w:rPr>
      <w:color w:val="0000FF"/>
      <w:u w:val="single"/>
    </w:rPr>
  </w:style>
  <w:style w:type="paragraph" w:styleId="NormalWeb">
    <w:name w:val="Normal (Web)"/>
    <w:basedOn w:val="Normal"/>
    <w:uiPriority w:val="99"/>
    <w:unhideWhenUsed/>
    <w:rsid w:val="00F70064"/>
    <w:pPr>
      <w:spacing w:before="100" w:beforeAutospacing="1" w:after="100" w:afterAutospacing="1"/>
    </w:pPr>
  </w:style>
  <w:style w:type="character" w:customStyle="1" w:styleId="ListParagraphChar">
    <w:name w:val="List Paragraph Char"/>
    <w:link w:val="ListParagraph"/>
    <w:uiPriority w:val="72"/>
    <w:rsid w:val="00F700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40074887">
      <w:bodyDiv w:val="1"/>
      <w:marLeft w:val="0"/>
      <w:marRight w:val="0"/>
      <w:marTop w:val="0"/>
      <w:marBottom w:val="0"/>
      <w:divBdr>
        <w:top w:val="none" w:sz="0" w:space="0" w:color="auto"/>
        <w:left w:val="none" w:sz="0" w:space="0" w:color="auto"/>
        <w:bottom w:val="none" w:sz="0" w:space="0" w:color="auto"/>
        <w:right w:val="none" w:sz="0" w:space="0" w:color="auto"/>
      </w:divBdr>
    </w:div>
    <w:div w:id="156578488">
      <w:bodyDiv w:val="1"/>
      <w:marLeft w:val="0"/>
      <w:marRight w:val="0"/>
      <w:marTop w:val="0"/>
      <w:marBottom w:val="0"/>
      <w:divBdr>
        <w:top w:val="none" w:sz="0" w:space="0" w:color="auto"/>
        <w:left w:val="none" w:sz="0" w:space="0" w:color="auto"/>
        <w:bottom w:val="none" w:sz="0" w:space="0" w:color="auto"/>
        <w:right w:val="none" w:sz="0" w:space="0" w:color="auto"/>
      </w:divBdr>
      <w:divsChild>
        <w:div w:id="1820073693">
          <w:marLeft w:val="547"/>
          <w:marRight w:val="0"/>
          <w:marTop w:val="96"/>
          <w:marBottom w:val="0"/>
          <w:divBdr>
            <w:top w:val="none" w:sz="0" w:space="0" w:color="auto"/>
            <w:left w:val="none" w:sz="0" w:space="0" w:color="auto"/>
            <w:bottom w:val="none" w:sz="0" w:space="0" w:color="auto"/>
            <w:right w:val="none" w:sz="0" w:space="0" w:color="auto"/>
          </w:divBdr>
        </w:div>
      </w:divsChild>
    </w:div>
    <w:div w:id="480974309">
      <w:bodyDiv w:val="1"/>
      <w:marLeft w:val="0"/>
      <w:marRight w:val="0"/>
      <w:marTop w:val="0"/>
      <w:marBottom w:val="0"/>
      <w:divBdr>
        <w:top w:val="none" w:sz="0" w:space="0" w:color="auto"/>
        <w:left w:val="none" w:sz="0" w:space="0" w:color="auto"/>
        <w:bottom w:val="none" w:sz="0" w:space="0" w:color="auto"/>
        <w:right w:val="none" w:sz="0" w:space="0" w:color="auto"/>
      </w:divBdr>
    </w:div>
    <w:div w:id="601835645">
      <w:bodyDiv w:val="1"/>
      <w:marLeft w:val="0"/>
      <w:marRight w:val="0"/>
      <w:marTop w:val="0"/>
      <w:marBottom w:val="0"/>
      <w:divBdr>
        <w:top w:val="none" w:sz="0" w:space="0" w:color="auto"/>
        <w:left w:val="none" w:sz="0" w:space="0" w:color="auto"/>
        <w:bottom w:val="none" w:sz="0" w:space="0" w:color="auto"/>
        <w:right w:val="none" w:sz="0" w:space="0" w:color="auto"/>
      </w:divBdr>
    </w:div>
    <w:div w:id="714237748">
      <w:bodyDiv w:val="1"/>
      <w:marLeft w:val="0"/>
      <w:marRight w:val="0"/>
      <w:marTop w:val="0"/>
      <w:marBottom w:val="0"/>
      <w:divBdr>
        <w:top w:val="none" w:sz="0" w:space="0" w:color="auto"/>
        <w:left w:val="none" w:sz="0" w:space="0" w:color="auto"/>
        <w:bottom w:val="none" w:sz="0" w:space="0" w:color="auto"/>
        <w:right w:val="none" w:sz="0" w:space="0" w:color="auto"/>
      </w:divBdr>
    </w:div>
    <w:div w:id="760756614">
      <w:bodyDiv w:val="1"/>
      <w:marLeft w:val="0"/>
      <w:marRight w:val="0"/>
      <w:marTop w:val="0"/>
      <w:marBottom w:val="0"/>
      <w:divBdr>
        <w:top w:val="none" w:sz="0" w:space="0" w:color="auto"/>
        <w:left w:val="none" w:sz="0" w:space="0" w:color="auto"/>
        <w:bottom w:val="none" w:sz="0" w:space="0" w:color="auto"/>
        <w:right w:val="none" w:sz="0" w:space="0" w:color="auto"/>
      </w:divBdr>
    </w:div>
    <w:div w:id="79436837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4495753">
      <w:bodyDiv w:val="1"/>
      <w:marLeft w:val="0"/>
      <w:marRight w:val="0"/>
      <w:marTop w:val="0"/>
      <w:marBottom w:val="0"/>
      <w:divBdr>
        <w:top w:val="none" w:sz="0" w:space="0" w:color="auto"/>
        <w:left w:val="none" w:sz="0" w:space="0" w:color="auto"/>
        <w:bottom w:val="none" w:sz="0" w:space="0" w:color="auto"/>
        <w:right w:val="none" w:sz="0" w:space="0" w:color="auto"/>
      </w:divBdr>
    </w:div>
    <w:div w:id="839582747">
      <w:bodyDiv w:val="1"/>
      <w:marLeft w:val="0"/>
      <w:marRight w:val="0"/>
      <w:marTop w:val="0"/>
      <w:marBottom w:val="0"/>
      <w:divBdr>
        <w:top w:val="none" w:sz="0" w:space="0" w:color="auto"/>
        <w:left w:val="none" w:sz="0" w:space="0" w:color="auto"/>
        <w:bottom w:val="none" w:sz="0" w:space="0" w:color="auto"/>
        <w:right w:val="none" w:sz="0" w:space="0" w:color="auto"/>
      </w:divBdr>
      <w:divsChild>
        <w:div w:id="398796243">
          <w:marLeft w:val="547"/>
          <w:marRight w:val="0"/>
          <w:marTop w:val="134"/>
          <w:marBottom w:val="0"/>
          <w:divBdr>
            <w:top w:val="none" w:sz="0" w:space="0" w:color="auto"/>
            <w:left w:val="none" w:sz="0" w:space="0" w:color="auto"/>
            <w:bottom w:val="none" w:sz="0" w:space="0" w:color="auto"/>
            <w:right w:val="none" w:sz="0" w:space="0" w:color="auto"/>
          </w:divBdr>
        </w:div>
      </w:divsChild>
    </w:div>
    <w:div w:id="898977909">
      <w:bodyDiv w:val="1"/>
      <w:marLeft w:val="0"/>
      <w:marRight w:val="0"/>
      <w:marTop w:val="0"/>
      <w:marBottom w:val="0"/>
      <w:divBdr>
        <w:top w:val="none" w:sz="0" w:space="0" w:color="auto"/>
        <w:left w:val="none" w:sz="0" w:space="0" w:color="auto"/>
        <w:bottom w:val="none" w:sz="0" w:space="0" w:color="auto"/>
        <w:right w:val="none" w:sz="0" w:space="0" w:color="auto"/>
      </w:divBdr>
    </w:div>
    <w:div w:id="1070269419">
      <w:bodyDiv w:val="1"/>
      <w:marLeft w:val="0"/>
      <w:marRight w:val="0"/>
      <w:marTop w:val="0"/>
      <w:marBottom w:val="0"/>
      <w:divBdr>
        <w:top w:val="none" w:sz="0" w:space="0" w:color="auto"/>
        <w:left w:val="none" w:sz="0" w:space="0" w:color="auto"/>
        <w:bottom w:val="none" w:sz="0" w:space="0" w:color="auto"/>
        <w:right w:val="none" w:sz="0" w:space="0" w:color="auto"/>
      </w:divBdr>
    </w:div>
    <w:div w:id="1073434403">
      <w:bodyDiv w:val="1"/>
      <w:marLeft w:val="0"/>
      <w:marRight w:val="0"/>
      <w:marTop w:val="0"/>
      <w:marBottom w:val="0"/>
      <w:divBdr>
        <w:top w:val="none" w:sz="0" w:space="0" w:color="auto"/>
        <w:left w:val="none" w:sz="0" w:space="0" w:color="auto"/>
        <w:bottom w:val="none" w:sz="0" w:space="0" w:color="auto"/>
        <w:right w:val="none" w:sz="0" w:space="0" w:color="auto"/>
      </w:divBdr>
    </w:div>
    <w:div w:id="1092700686">
      <w:bodyDiv w:val="1"/>
      <w:marLeft w:val="0"/>
      <w:marRight w:val="0"/>
      <w:marTop w:val="0"/>
      <w:marBottom w:val="0"/>
      <w:divBdr>
        <w:top w:val="none" w:sz="0" w:space="0" w:color="auto"/>
        <w:left w:val="none" w:sz="0" w:space="0" w:color="auto"/>
        <w:bottom w:val="none" w:sz="0" w:space="0" w:color="auto"/>
        <w:right w:val="none" w:sz="0" w:space="0" w:color="auto"/>
      </w:divBdr>
    </w:div>
    <w:div w:id="1210458052">
      <w:bodyDiv w:val="1"/>
      <w:marLeft w:val="0"/>
      <w:marRight w:val="0"/>
      <w:marTop w:val="0"/>
      <w:marBottom w:val="0"/>
      <w:divBdr>
        <w:top w:val="none" w:sz="0" w:space="0" w:color="auto"/>
        <w:left w:val="none" w:sz="0" w:space="0" w:color="auto"/>
        <w:bottom w:val="none" w:sz="0" w:space="0" w:color="auto"/>
        <w:right w:val="none" w:sz="0" w:space="0" w:color="auto"/>
      </w:divBdr>
    </w:div>
    <w:div w:id="1257321269">
      <w:bodyDiv w:val="1"/>
      <w:marLeft w:val="0"/>
      <w:marRight w:val="0"/>
      <w:marTop w:val="0"/>
      <w:marBottom w:val="0"/>
      <w:divBdr>
        <w:top w:val="none" w:sz="0" w:space="0" w:color="auto"/>
        <w:left w:val="none" w:sz="0" w:space="0" w:color="auto"/>
        <w:bottom w:val="none" w:sz="0" w:space="0" w:color="auto"/>
        <w:right w:val="none" w:sz="0" w:space="0" w:color="auto"/>
      </w:divBdr>
    </w:div>
    <w:div w:id="158629925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22313278">
      <w:bodyDiv w:val="1"/>
      <w:marLeft w:val="0"/>
      <w:marRight w:val="0"/>
      <w:marTop w:val="0"/>
      <w:marBottom w:val="0"/>
      <w:divBdr>
        <w:top w:val="none" w:sz="0" w:space="0" w:color="auto"/>
        <w:left w:val="none" w:sz="0" w:space="0" w:color="auto"/>
        <w:bottom w:val="none" w:sz="0" w:space="0" w:color="auto"/>
        <w:right w:val="none" w:sz="0" w:space="0" w:color="auto"/>
      </w:divBdr>
    </w:div>
    <w:div w:id="189716264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1372548">
      <w:bodyDiv w:val="1"/>
      <w:marLeft w:val="0"/>
      <w:marRight w:val="0"/>
      <w:marTop w:val="0"/>
      <w:marBottom w:val="0"/>
      <w:divBdr>
        <w:top w:val="none" w:sz="0" w:space="0" w:color="auto"/>
        <w:left w:val="none" w:sz="0" w:space="0" w:color="auto"/>
        <w:bottom w:val="none" w:sz="0" w:space="0" w:color="auto"/>
        <w:right w:val="none" w:sz="0" w:space="0" w:color="auto"/>
      </w:divBdr>
    </w:div>
    <w:div w:id="203753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764D2-2DEA-47D4-943D-254223DC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2740</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2015-03-02T03:49:00Z</dcterms:created>
  <dcterms:modified xsi:type="dcterms:W3CDTF">2015-03-02T03:50:00Z</dcterms:modified>
</cp:coreProperties>
</file>